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87" w:rsidRPr="00DE7532" w:rsidRDefault="00882187" w:rsidP="00882187">
      <w:pPr>
        <w:jc w:val="center"/>
        <w:rPr>
          <w:b/>
          <w:sz w:val="22"/>
          <w:szCs w:val="22"/>
        </w:rPr>
      </w:pPr>
    </w:p>
    <w:p w:rsidR="00DA530E" w:rsidRPr="00DE7532" w:rsidRDefault="00DA530E" w:rsidP="00882187">
      <w:pPr>
        <w:jc w:val="center"/>
        <w:rPr>
          <w:b/>
          <w:sz w:val="22"/>
          <w:szCs w:val="22"/>
        </w:rPr>
      </w:pPr>
    </w:p>
    <w:p w:rsidR="00882187" w:rsidRPr="00DE7532" w:rsidRDefault="00882187" w:rsidP="00882187">
      <w:pPr>
        <w:jc w:val="center"/>
        <w:rPr>
          <w:b/>
          <w:sz w:val="22"/>
          <w:szCs w:val="22"/>
        </w:rPr>
      </w:pPr>
      <w:r w:rsidRPr="00DE7532">
        <w:rPr>
          <w:b/>
          <w:sz w:val="22"/>
          <w:szCs w:val="22"/>
        </w:rPr>
        <w:t>SÚHRN CHARAKTERISTICKÝCH VLASTNOSTÍ LIEKU</w:t>
      </w:r>
    </w:p>
    <w:p w:rsidR="00882187" w:rsidRPr="00DE7532" w:rsidRDefault="00882187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1. </w:t>
      </w:r>
      <w:r w:rsidR="009040E6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NÁZOV LIEKU</w:t>
      </w:r>
    </w:p>
    <w:p w:rsidR="00882187" w:rsidRPr="00DE7532" w:rsidRDefault="00882187" w:rsidP="00882187">
      <w:pPr>
        <w:rPr>
          <w:b/>
          <w:bCs/>
          <w:sz w:val="22"/>
          <w:szCs w:val="22"/>
        </w:rPr>
      </w:pPr>
    </w:p>
    <w:p w:rsidR="004A24AE" w:rsidRPr="00DE7532" w:rsidRDefault="004A24AE" w:rsidP="00DA530E">
      <w:pPr>
        <w:rPr>
          <w:sz w:val="22"/>
          <w:szCs w:val="22"/>
        </w:rPr>
      </w:pPr>
      <w:r w:rsidRPr="00DE7532">
        <w:rPr>
          <w:sz w:val="22"/>
          <w:szCs w:val="22"/>
        </w:rPr>
        <w:t>Tadalafil Accord 2,5 mg filmom obalené tablety</w:t>
      </w:r>
    </w:p>
    <w:p w:rsidR="00882187" w:rsidRPr="00DE7532" w:rsidRDefault="00882187" w:rsidP="00882187">
      <w:pPr>
        <w:rPr>
          <w:sz w:val="22"/>
          <w:szCs w:val="22"/>
        </w:rPr>
      </w:pPr>
    </w:p>
    <w:p w:rsidR="009040E6" w:rsidRPr="00DE7532" w:rsidRDefault="009040E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2. </w:t>
      </w:r>
      <w:r w:rsidR="009040E6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KVALITATÍVNE A KVANTITATÍVNE ZLOŽENIE</w:t>
      </w:r>
    </w:p>
    <w:p w:rsidR="00D55C1A" w:rsidRPr="00DE7532" w:rsidRDefault="00D55C1A" w:rsidP="00882187">
      <w:pPr>
        <w:rPr>
          <w:sz w:val="22"/>
          <w:szCs w:val="22"/>
        </w:rPr>
      </w:pPr>
    </w:p>
    <w:p w:rsidR="00D55C1A" w:rsidRPr="00DE7532" w:rsidRDefault="003450ED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K</w:t>
      </w:r>
      <w:r w:rsidR="00D55C1A" w:rsidRPr="00DE7532">
        <w:rPr>
          <w:sz w:val="22"/>
          <w:szCs w:val="22"/>
        </w:rPr>
        <w:t xml:space="preserve">aždá </w:t>
      </w:r>
      <w:r w:rsidRPr="00DE7532">
        <w:rPr>
          <w:sz w:val="22"/>
          <w:szCs w:val="22"/>
        </w:rPr>
        <w:t xml:space="preserve">filmom obalená </w:t>
      </w:r>
      <w:r w:rsidR="00D55C1A" w:rsidRPr="00DE7532">
        <w:rPr>
          <w:sz w:val="22"/>
          <w:szCs w:val="22"/>
        </w:rPr>
        <w:t>tableta obsahuje 2,5 mg tadalafilu.</w:t>
      </w:r>
    </w:p>
    <w:p w:rsidR="00DA530E" w:rsidRPr="00DE7532" w:rsidRDefault="00DA530E" w:rsidP="00882187">
      <w:pPr>
        <w:rPr>
          <w:sz w:val="22"/>
          <w:szCs w:val="22"/>
        </w:rPr>
      </w:pPr>
    </w:p>
    <w:p w:rsidR="008A478F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Pomocné látky so známym účinkom:</w:t>
      </w:r>
      <w:r w:rsidR="009040E6" w:rsidRPr="00DE7532">
        <w:rPr>
          <w:sz w:val="22"/>
          <w:szCs w:val="22"/>
        </w:rPr>
        <w:t xml:space="preserve"> </w:t>
      </w:r>
    </w:p>
    <w:p w:rsidR="008A478F" w:rsidRPr="00DE7532" w:rsidRDefault="008A478F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Monohydrát laktózy.</w:t>
      </w:r>
    </w:p>
    <w:p w:rsidR="00DA530E" w:rsidRPr="00DE7532" w:rsidRDefault="008A478F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Každá filmom obalená tableta obsahuje 45,786 mg laktózy (</w:t>
      </w:r>
      <w:r w:rsidR="00F66C11">
        <w:rPr>
          <w:sz w:val="22"/>
          <w:szCs w:val="22"/>
        </w:rPr>
        <w:t>ako</w:t>
      </w:r>
      <w:r w:rsidRPr="00DE7532">
        <w:rPr>
          <w:sz w:val="22"/>
          <w:szCs w:val="22"/>
        </w:rPr>
        <w:t xml:space="preserve"> monohydrát).</w:t>
      </w:r>
    </w:p>
    <w:p w:rsidR="008A478F" w:rsidRPr="00DE7532" w:rsidRDefault="008A478F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Úplný zoznam pomocných látok, pozri časť 6.1.</w:t>
      </w:r>
    </w:p>
    <w:p w:rsidR="009040E6" w:rsidRPr="00DE7532" w:rsidRDefault="009040E6" w:rsidP="00882187">
      <w:pPr>
        <w:rPr>
          <w:sz w:val="22"/>
          <w:szCs w:val="22"/>
        </w:rPr>
      </w:pPr>
    </w:p>
    <w:p w:rsidR="009040E6" w:rsidRPr="00DE7532" w:rsidRDefault="009040E6" w:rsidP="00882187">
      <w:pPr>
        <w:rPr>
          <w:sz w:val="22"/>
          <w:szCs w:val="22"/>
        </w:rPr>
      </w:pPr>
      <w:bookmarkStart w:id="0" w:name="_GoBack"/>
      <w:bookmarkEnd w:id="0"/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3. </w:t>
      </w:r>
      <w:r w:rsidR="009040E6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LIEKOVÁ FORMA</w:t>
      </w:r>
    </w:p>
    <w:p w:rsidR="009040E6" w:rsidRPr="00DE7532" w:rsidRDefault="009040E6" w:rsidP="00882187">
      <w:pPr>
        <w:rPr>
          <w:b/>
          <w:bCs/>
          <w:sz w:val="22"/>
          <w:szCs w:val="22"/>
        </w:rPr>
      </w:pPr>
    </w:p>
    <w:p w:rsidR="00882187" w:rsidRPr="00DE7532" w:rsidRDefault="009040E6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Filmom obalená tableta</w:t>
      </w:r>
      <w:r w:rsidR="00F66C11">
        <w:rPr>
          <w:sz w:val="22"/>
          <w:szCs w:val="22"/>
        </w:rPr>
        <w:t>.</w:t>
      </w:r>
      <w:r w:rsidRPr="00DE7532">
        <w:rPr>
          <w:sz w:val="22"/>
          <w:szCs w:val="22"/>
        </w:rPr>
        <w:t xml:space="preserve"> </w:t>
      </w:r>
    </w:p>
    <w:p w:rsidR="009040E6" w:rsidRPr="00DE7532" w:rsidRDefault="009040E6" w:rsidP="00882187">
      <w:pPr>
        <w:rPr>
          <w:sz w:val="22"/>
          <w:szCs w:val="22"/>
        </w:rPr>
      </w:pPr>
    </w:p>
    <w:p w:rsidR="00294EBD" w:rsidRPr="00DE7532" w:rsidRDefault="00294EBD" w:rsidP="00882187">
      <w:pPr>
        <w:rPr>
          <w:color w:val="000000"/>
          <w:sz w:val="22"/>
          <w:szCs w:val="22"/>
        </w:rPr>
      </w:pPr>
      <w:r w:rsidRPr="00DE7532">
        <w:rPr>
          <w:sz w:val="22"/>
          <w:szCs w:val="22"/>
        </w:rPr>
        <w:t>Biela</w:t>
      </w:r>
      <w:r w:rsidR="00F66C11">
        <w:rPr>
          <w:sz w:val="22"/>
          <w:szCs w:val="22"/>
        </w:rPr>
        <w:t>,</w:t>
      </w:r>
      <w:r w:rsidRPr="00DE7532">
        <w:rPr>
          <w:sz w:val="22"/>
          <w:szCs w:val="22"/>
        </w:rPr>
        <w:t xml:space="preserve"> okrúhla</w:t>
      </w:r>
      <w:r w:rsidR="00F66C11">
        <w:rPr>
          <w:sz w:val="22"/>
          <w:szCs w:val="22"/>
        </w:rPr>
        <w:t>,</w:t>
      </w:r>
      <w:r w:rsidR="009040E6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bikonvexná</w:t>
      </w:r>
      <w:r w:rsidR="00F66C11">
        <w:rPr>
          <w:sz w:val="22"/>
          <w:szCs w:val="22"/>
        </w:rPr>
        <w:t>,</w:t>
      </w:r>
      <w:r w:rsidRPr="00DE7532">
        <w:rPr>
          <w:sz w:val="22"/>
          <w:szCs w:val="22"/>
        </w:rPr>
        <w:t xml:space="preserve"> filmom obalená tableta</w:t>
      </w:r>
      <w:r w:rsidR="009C4B9F" w:rsidRPr="00DE7532">
        <w:rPr>
          <w:sz w:val="22"/>
          <w:szCs w:val="22"/>
        </w:rPr>
        <w:t xml:space="preserve"> so skosenými hranami</w:t>
      </w:r>
      <w:r w:rsidRPr="00DE7532">
        <w:rPr>
          <w:sz w:val="22"/>
          <w:szCs w:val="22"/>
        </w:rPr>
        <w:t xml:space="preserve"> a </w:t>
      </w:r>
      <w:r w:rsidR="009C4B9F" w:rsidRPr="00DE7532">
        <w:rPr>
          <w:sz w:val="22"/>
          <w:szCs w:val="22"/>
        </w:rPr>
        <w:t xml:space="preserve">s priemerom </w:t>
      </w:r>
      <w:r w:rsidR="00F66C11">
        <w:rPr>
          <w:sz w:val="22"/>
          <w:szCs w:val="22"/>
        </w:rPr>
        <w:t xml:space="preserve">približne </w:t>
      </w:r>
      <w:r w:rsidR="009C4B9F" w:rsidRPr="00DE7532">
        <w:rPr>
          <w:sz w:val="22"/>
          <w:szCs w:val="22"/>
        </w:rPr>
        <w:t>5,5 mm</w:t>
      </w:r>
      <w:r w:rsidR="00F66C11">
        <w:rPr>
          <w:sz w:val="22"/>
          <w:szCs w:val="22"/>
        </w:rPr>
        <w:t>,</w:t>
      </w:r>
      <w:r w:rsidR="009C4B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s vyznačeným </w:t>
      </w:r>
      <w:r w:rsidRPr="00DE7532">
        <w:rPr>
          <w:color w:val="000000"/>
          <w:sz w:val="22"/>
          <w:szCs w:val="22"/>
        </w:rPr>
        <w:t>"T" na jednej strane a "25" na druhej strane.</w:t>
      </w:r>
    </w:p>
    <w:p w:rsidR="009040E6" w:rsidRPr="00DE7532" w:rsidRDefault="009040E6" w:rsidP="00882187">
      <w:pPr>
        <w:rPr>
          <w:sz w:val="22"/>
          <w:szCs w:val="22"/>
        </w:rPr>
      </w:pPr>
    </w:p>
    <w:p w:rsidR="00A508CC" w:rsidRPr="00DE7532" w:rsidRDefault="00A508C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 </w:t>
      </w:r>
      <w:r w:rsidR="00A508CC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KLINICKÉ ÚDAJE</w:t>
      </w:r>
    </w:p>
    <w:p w:rsidR="00A508CC" w:rsidRPr="00DE7532" w:rsidRDefault="00A508CC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>4.1 Terapeutické indikácie</w:t>
      </w:r>
    </w:p>
    <w:p w:rsidR="00A508CC" w:rsidRPr="00DE7532" w:rsidRDefault="00A508C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Liečba erektilnej dysfunkcie u dospelých mužov.</w:t>
      </w:r>
    </w:p>
    <w:p w:rsidR="00294EBD" w:rsidRPr="00DE7532" w:rsidRDefault="00294EBD" w:rsidP="00882187">
      <w:pPr>
        <w:rPr>
          <w:sz w:val="22"/>
          <w:szCs w:val="22"/>
        </w:rPr>
      </w:pPr>
    </w:p>
    <w:p w:rsidR="00882187" w:rsidRPr="00DE7532" w:rsidRDefault="00A508CC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Na to, aby bol tadalafil účinný</w:t>
      </w:r>
      <w:r w:rsidR="00294EBD" w:rsidRPr="00DE7532">
        <w:rPr>
          <w:sz w:val="22"/>
          <w:szCs w:val="22"/>
        </w:rPr>
        <w:t xml:space="preserve"> v liečbe erektilnej dysfunkcie</w:t>
      </w:r>
      <w:r w:rsidRPr="00DE7532">
        <w:rPr>
          <w:sz w:val="22"/>
          <w:szCs w:val="22"/>
        </w:rPr>
        <w:t xml:space="preserve">, </w:t>
      </w:r>
      <w:r w:rsidR="00882187" w:rsidRPr="00DE7532">
        <w:rPr>
          <w:sz w:val="22"/>
          <w:szCs w:val="22"/>
        </w:rPr>
        <w:t>je potrebná sexuálna stimulácia.</w:t>
      </w:r>
    </w:p>
    <w:p w:rsidR="00294EBD" w:rsidRPr="00DE7532" w:rsidRDefault="00294EBD" w:rsidP="00882187">
      <w:pPr>
        <w:rPr>
          <w:sz w:val="22"/>
          <w:szCs w:val="22"/>
        </w:rPr>
      </w:pPr>
    </w:p>
    <w:p w:rsidR="00882187" w:rsidRPr="00DE7532" w:rsidRDefault="004A24AE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Tadalafil Accord</w:t>
      </w:r>
      <w:r w:rsidR="00294EBD" w:rsidRPr="00DE7532">
        <w:rPr>
          <w:sz w:val="22"/>
          <w:szCs w:val="22"/>
        </w:rPr>
        <w:t xml:space="preserve"> 2,5 mg</w:t>
      </w:r>
      <w:r w:rsidR="00A508CC" w:rsidRPr="00DE7532">
        <w:rPr>
          <w:sz w:val="22"/>
          <w:szCs w:val="22"/>
        </w:rPr>
        <w:t xml:space="preserve"> filmom obalené tablety </w:t>
      </w:r>
      <w:r w:rsidR="00882187" w:rsidRPr="00DE7532">
        <w:rPr>
          <w:sz w:val="22"/>
          <w:szCs w:val="22"/>
        </w:rPr>
        <w:t xml:space="preserve">nie </w:t>
      </w:r>
      <w:r w:rsidR="00A508CC" w:rsidRPr="00DE7532">
        <w:rPr>
          <w:sz w:val="22"/>
          <w:szCs w:val="22"/>
        </w:rPr>
        <w:t xml:space="preserve">sú </w:t>
      </w:r>
      <w:r w:rsidR="00882187" w:rsidRPr="00DE7532">
        <w:rPr>
          <w:sz w:val="22"/>
          <w:szCs w:val="22"/>
        </w:rPr>
        <w:t>indikovan</w:t>
      </w:r>
      <w:r w:rsidR="00A508CC" w:rsidRPr="00DE7532">
        <w:rPr>
          <w:sz w:val="22"/>
          <w:szCs w:val="22"/>
        </w:rPr>
        <w:t>é</w:t>
      </w:r>
      <w:r w:rsidR="00882187" w:rsidRPr="00DE7532">
        <w:rPr>
          <w:sz w:val="22"/>
          <w:szCs w:val="22"/>
        </w:rPr>
        <w:t xml:space="preserve"> na použitie u žien.</w:t>
      </w:r>
    </w:p>
    <w:p w:rsidR="00A508CC" w:rsidRPr="00DE7532" w:rsidRDefault="00A508C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>4.2 Dávkovanie a spôsob podávania</w:t>
      </w:r>
    </w:p>
    <w:p w:rsidR="00A508CC" w:rsidRPr="00DE7532" w:rsidRDefault="00A508C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Dávkovanie</w:t>
      </w:r>
    </w:p>
    <w:p w:rsidR="00294EBD" w:rsidRPr="00DE7532" w:rsidRDefault="00294EBD" w:rsidP="00882187">
      <w:pPr>
        <w:rPr>
          <w:i/>
          <w:iCs/>
          <w:sz w:val="22"/>
          <w:szCs w:val="22"/>
        </w:rPr>
      </w:pPr>
    </w:p>
    <w:p w:rsidR="00882187" w:rsidRPr="00DE7532" w:rsidRDefault="005048F0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Dospelí muži</w:t>
      </w:r>
    </w:p>
    <w:p w:rsidR="00907409" w:rsidRPr="008A5458" w:rsidRDefault="00907409" w:rsidP="00907409">
      <w:pPr>
        <w:pStyle w:val="Normlndobloku"/>
      </w:pPr>
      <w:r>
        <w:t>Všeobecne sa</w:t>
      </w:r>
      <w:r w:rsidRPr="008A5458">
        <w:t xml:space="preserve"> odporúča dávka 10 mg podaná pred očakávanou sexuálnou aktivitou </w:t>
      </w:r>
      <w:r>
        <w:t>s jedlom alebo bez jedla</w:t>
      </w:r>
      <w:r w:rsidRPr="008A5458">
        <w:t xml:space="preserve">. </w:t>
      </w:r>
    </w:p>
    <w:p w:rsidR="00907409" w:rsidRPr="008A5458" w:rsidRDefault="00907409" w:rsidP="00907409">
      <w:pPr>
        <w:pStyle w:val="Normlndobloku"/>
      </w:pPr>
      <w:r w:rsidRPr="001421B3">
        <w:t xml:space="preserve">Dávka 20 mg sa môže vyskúšať </w:t>
      </w:r>
      <w:r w:rsidRPr="00013D9B">
        <w:t>u</w:t>
      </w:r>
      <w:r w:rsidRPr="00C35722">
        <w:t xml:space="preserve"> pacientov, u ktorých tadalafil v dávke 10 mg nevedie k očakávanému účinku</w:t>
      </w:r>
      <w:r>
        <w:t>.</w:t>
      </w:r>
      <w:r w:rsidRPr="008A5458">
        <w:t xml:space="preserve"> Liek sa má užiť aspoň 30 minút pred sexuálnou aktivitou.</w:t>
      </w:r>
    </w:p>
    <w:p w:rsidR="00907409" w:rsidRPr="008A5458" w:rsidRDefault="00907409" w:rsidP="00907409">
      <w:pPr>
        <w:pStyle w:val="Normlndobloku"/>
      </w:pPr>
      <w:r w:rsidRPr="008A5458">
        <w:t>Maximáln</w:t>
      </w:r>
      <w:r>
        <w:t>a</w:t>
      </w:r>
      <w:r w:rsidRPr="008A5458">
        <w:t xml:space="preserve"> </w:t>
      </w:r>
      <w:r>
        <w:t xml:space="preserve">frekvencia </w:t>
      </w:r>
      <w:r w:rsidRPr="008A5458">
        <w:t>dávkovani</w:t>
      </w:r>
      <w:r>
        <w:t>a</w:t>
      </w:r>
      <w:r w:rsidRPr="008A5458">
        <w:t xml:space="preserve"> je jedenkrát denne.</w:t>
      </w:r>
    </w:p>
    <w:p w:rsidR="00294EBD" w:rsidRPr="00DE7532" w:rsidRDefault="00294EB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Tadalafil 10 a 20 mg je určený na </w:t>
      </w:r>
      <w:r w:rsidR="005048F0" w:rsidRPr="00DE7532">
        <w:rPr>
          <w:sz w:val="22"/>
          <w:szCs w:val="22"/>
        </w:rPr>
        <w:t>užitie</w:t>
      </w:r>
      <w:r w:rsidRPr="00DE7532">
        <w:rPr>
          <w:sz w:val="22"/>
          <w:szCs w:val="22"/>
        </w:rPr>
        <w:t xml:space="preserve"> pred očakávanou sexuálnou aktivitou a neodporúča sa na</w:t>
      </w:r>
      <w:r w:rsidR="00D921EC" w:rsidRPr="00DE7532">
        <w:rPr>
          <w:sz w:val="22"/>
          <w:szCs w:val="22"/>
        </w:rPr>
        <w:t xml:space="preserve"> </w:t>
      </w:r>
      <w:r w:rsidR="00907409">
        <w:rPr>
          <w:sz w:val="22"/>
          <w:szCs w:val="22"/>
        </w:rPr>
        <w:t xml:space="preserve">pravidelné </w:t>
      </w:r>
      <w:r w:rsidRPr="00DE7532">
        <w:rPr>
          <w:sz w:val="22"/>
          <w:szCs w:val="22"/>
        </w:rPr>
        <w:t>každodenné užívanie.</w:t>
      </w:r>
    </w:p>
    <w:p w:rsidR="00294EBD" w:rsidRPr="00DE7532" w:rsidRDefault="00294EBD" w:rsidP="00882187">
      <w:pPr>
        <w:rPr>
          <w:sz w:val="22"/>
          <w:szCs w:val="22"/>
        </w:rPr>
      </w:pPr>
    </w:p>
    <w:p w:rsidR="00294EBD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U pacientov, u ktorých sa predpokladá časté užívanie </w:t>
      </w:r>
      <w:r w:rsidR="00294EBD" w:rsidRPr="00DE7532">
        <w:rPr>
          <w:sz w:val="22"/>
          <w:szCs w:val="22"/>
        </w:rPr>
        <w:t>T</w:t>
      </w:r>
      <w:r w:rsidR="005048F0" w:rsidRPr="00DE7532">
        <w:rPr>
          <w:sz w:val="22"/>
          <w:szCs w:val="22"/>
        </w:rPr>
        <w:t>adalafilu</w:t>
      </w:r>
      <w:r w:rsidRPr="00DE7532">
        <w:rPr>
          <w:sz w:val="22"/>
          <w:szCs w:val="22"/>
        </w:rPr>
        <w:t xml:space="preserve"> </w:t>
      </w:r>
      <w:r w:rsidR="00294EBD" w:rsidRPr="00DE7532">
        <w:rPr>
          <w:sz w:val="22"/>
          <w:szCs w:val="22"/>
        </w:rPr>
        <w:t xml:space="preserve">Accord </w:t>
      </w:r>
      <w:r w:rsidRPr="00DE7532">
        <w:rPr>
          <w:sz w:val="22"/>
          <w:szCs w:val="22"/>
        </w:rPr>
        <w:t>(t.j. aspoň dvakrát týždenne)</w:t>
      </w:r>
      <w:r w:rsidR="000747EA" w:rsidRPr="00DE7532">
        <w:rPr>
          <w:sz w:val="22"/>
          <w:szCs w:val="22"/>
        </w:rPr>
        <w:t>,</w:t>
      </w:r>
      <w:r w:rsidRPr="00DE7532">
        <w:rPr>
          <w:sz w:val="22"/>
          <w:szCs w:val="22"/>
        </w:rPr>
        <w:t xml:space="preserve"> m</w:t>
      </w:r>
      <w:r w:rsidR="000747EA" w:rsidRPr="00DE7532">
        <w:rPr>
          <w:sz w:val="22"/>
          <w:szCs w:val="22"/>
        </w:rPr>
        <w:t>ôže byť</w:t>
      </w:r>
      <w:r w:rsidR="00D921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vhodné zvážiť dávkovanie s najnižšou dávkou </w:t>
      </w:r>
      <w:r w:rsidR="00614380" w:rsidRPr="00DE7532">
        <w:rPr>
          <w:sz w:val="22"/>
          <w:szCs w:val="22"/>
        </w:rPr>
        <w:t xml:space="preserve">lieku </w:t>
      </w:r>
      <w:r w:rsidR="004A24AE" w:rsidRPr="00DE7532">
        <w:rPr>
          <w:sz w:val="22"/>
          <w:szCs w:val="22"/>
        </w:rPr>
        <w:t>Tadalafil Accord</w:t>
      </w:r>
      <w:r w:rsidR="005048F0" w:rsidRPr="00DE7532">
        <w:rPr>
          <w:sz w:val="22"/>
          <w:szCs w:val="22"/>
        </w:rPr>
        <w:t xml:space="preserve"> filmom obalené tablety </w:t>
      </w:r>
      <w:r w:rsidRPr="00DE7532">
        <w:rPr>
          <w:sz w:val="22"/>
          <w:szCs w:val="22"/>
        </w:rPr>
        <w:t>jedenkrát denne, na základe</w:t>
      </w:r>
      <w:r w:rsidR="005048F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rozhodnutia pacienta a zváženia lekára.</w:t>
      </w:r>
      <w:r w:rsidR="00D921EC" w:rsidRPr="00DE7532">
        <w:rPr>
          <w:sz w:val="22"/>
          <w:szCs w:val="22"/>
        </w:rPr>
        <w:t xml:space="preserve"> </w:t>
      </w:r>
    </w:p>
    <w:p w:rsidR="00294EBD" w:rsidRPr="00DE7532" w:rsidRDefault="00294EBD" w:rsidP="00882187">
      <w:pPr>
        <w:rPr>
          <w:sz w:val="22"/>
          <w:szCs w:val="22"/>
        </w:rPr>
      </w:pPr>
    </w:p>
    <w:p w:rsidR="00294EBD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lastRenderedPageBreak/>
        <w:t xml:space="preserve">U týchto pacientov sa odporúča dávka 5 mg jedenkrát denne približne </w:t>
      </w:r>
      <w:r w:rsidR="00907409" w:rsidRPr="00DE7532">
        <w:rPr>
          <w:sz w:val="22"/>
          <w:szCs w:val="22"/>
        </w:rPr>
        <w:t xml:space="preserve">v </w:t>
      </w:r>
      <w:r w:rsidRPr="00DE7532">
        <w:rPr>
          <w:sz w:val="22"/>
          <w:szCs w:val="22"/>
        </w:rPr>
        <w:t>rovnakom čase. Dávku je</w:t>
      </w:r>
      <w:r w:rsidR="00D921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možné znížiť na 2,5 mg jedenkrát den</w:t>
      </w:r>
      <w:r w:rsidR="005048F0" w:rsidRPr="00DE7532">
        <w:rPr>
          <w:sz w:val="22"/>
          <w:szCs w:val="22"/>
        </w:rPr>
        <w:t>ne podľa znášanlivosti pacienta</w:t>
      </w:r>
      <w:r w:rsidR="00294EBD" w:rsidRPr="00DE7532">
        <w:rPr>
          <w:sz w:val="22"/>
          <w:szCs w:val="22"/>
        </w:rPr>
        <w:t>.</w:t>
      </w:r>
    </w:p>
    <w:p w:rsidR="00294EBD" w:rsidRPr="00DE7532" w:rsidRDefault="00294EB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Vhodnosť kontinuálneho používania </w:t>
      </w:r>
      <w:r w:rsidR="000747EA" w:rsidRPr="00DE7532">
        <w:rPr>
          <w:sz w:val="22"/>
          <w:szCs w:val="22"/>
        </w:rPr>
        <w:t xml:space="preserve">jedenkrát </w:t>
      </w:r>
      <w:r w:rsidR="00F166F6" w:rsidRPr="00DE7532">
        <w:rPr>
          <w:sz w:val="22"/>
          <w:szCs w:val="22"/>
        </w:rPr>
        <w:t>denn</w:t>
      </w:r>
      <w:r w:rsidR="000747EA" w:rsidRPr="00DE7532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sa má pravidelne prehodnocovať.</w:t>
      </w:r>
    </w:p>
    <w:p w:rsidR="00F166F6" w:rsidRPr="00DE7532" w:rsidRDefault="00F166F6" w:rsidP="00882187">
      <w:pPr>
        <w:rPr>
          <w:sz w:val="22"/>
          <w:szCs w:val="22"/>
        </w:rPr>
      </w:pPr>
    </w:p>
    <w:p w:rsidR="00F166F6" w:rsidRPr="00DE7532" w:rsidRDefault="00F166F6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Osobitné skupiny pacientov</w:t>
      </w:r>
    </w:p>
    <w:p w:rsidR="00F166F6" w:rsidRPr="00DE7532" w:rsidRDefault="00F166F6" w:rsidP="00882187">
      <w:pPr>
        <w:rPr>
          <w:sz w:val="22"/>
          <w:szCs w:val="22"/>
        </w:rPr>
      </w:pPr>
    </w:p>
    <w:p w:rsidR="00F166F6" w:rsidRPr="00DE7532" w:rsidRDefault="00F166F6" w:rsidP="00F166F6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Starší muži</w:t>
      </w:r>
    </w:p>
    <w:p w:rsidR="00F166F6" w:rsidRPr="00DE7532" w:rsidRDefault="00F166F6" w:rsidP="00F166F6">
      <w:pPr>
        <w:rPr>
          <w:sz w:val="22"/>
          <w:szCs w:val="22"/>
        </w:rPr>
      </w:pPr>
      <w:r w:rsidRPr="00DE7532">
        <w:rPr>
          <w:sz w:val="22"/>
          <w:szCs w:val="22"/>
        </w:rPr>
        <w:t>U starších pacientov nie je potrebná úprava dávky.</w:t>
      </w:r>
    </w:p>
    <w:p w:rsidR="00F166F6" w:rsidRPr="00DE7532" w:rsidRDefault="00F166F6" w:rsidP="00882187">
      <w:pPr>
        <w:rPr>
          <w:i/>
          <w:iCs/>
          <w:sz w:val="22"/>
          <w:szCs w:val="22"/>
        </w:rPr>
      </w:pPr>
    </w:p>
    <w:p w:rsidR="00F166F6" w:rsidRPr="00DE7532" w:rsidRDefault="00F166F6" w:rsidP="00F166F6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Muži s poruchou funkcie obličiek</w:t>
      </w:r>
    </w:p>
    <w:p w:rsidR="00907409" w:rsidRPr="00415DBB" w:rsidRDefault="00F166F6" w:rsidP="00415DBB">
      <w:pPr>
        <w:rPr>
          <w:i/>
          <w:sz w:val="22"/>
          <w:szCs w:val="22"/>
        </w:rPr>
      </w:pPr>
      <w:r w:rsidRPr="00415DBB">
        <w:rPr>
          <w:sz w:val="22"/>
          <w:szCs w:val="22"/>
        </w:rPr>
        <w:t>U pacientov s ľahkou až stredne závažnou poruchou funkcie obličiek nie je potrebná úprava</w:t>
      </w:r>
      <w:r w:rsidR="00D921EC" w:rsidRPr="00415DBB">
        <w:rPr>
          <w:sz w:val="22"/>
          <w:szCs w:val="22"/>
        </w:rPr>
        <w:t xml:space="preserve"> </w:t>
      </w:r>
      <w:r w:rsidRPr="00415DBB">
        <w:rPr>
          <w:sz w:val="22"/>
          <w:szCs w:val="22"/>
        </w:rPr>
        <w:t xml:space="preserve">dávky. Pre pacientov so závažnou poruchou funkcie obličiek je maximálna </w:t>
      </w:r>
      <w:r w:rsidR="00907409" w:rsidRPr="00415DBB">
        <w:rPr>
          <w:sz w:val="22"/>
          <w:szCs w:val="22"/>
        </w:rPr>
        <w:t xml:space="preserve">odporučená </w:t>
      </w:r>
      <w:r w:rsidRPr="00415DBB">
        <w:rPr>
          <w:sz w:val="22"/>
          <w:szCs w:val="22"/>
        </w:rPr>
        <w:t>dávka 10 mg</w:t>
      </w:r>
      <w:r w:rsidR="00907409" w:rsidRPr="00415DBB">
        <w:rPr>
          <w:sz w:val="22"/>
          <w:szCs w:val="22"/>
        </w:rPr>
        <w:t xml:space="preserve"> </w:t>
      </w:r>
      <w:r w:rsidR="00F755F5" w:rsidRPr="00F755F5">
        <w:rPr>
          <w:sz w:val="22"/>
          <w:szCs w:val="22"/>
        </w:rPr>
        <w:t>na liečbu podľa potreby (on-demand).</w:t>
      </w:r>
      <w:r w:rsidR="00F755F5" w:rsidRPr="00F755F5">
        <w:rPr>
          <w:i/>
          <w:sz w:val="22"/>
          <w:szCs w:val="22"/>
        </w:rPr>
        <w:t xml:space="preserve"> </w:t>
      </w:r>
    </w:p>
    <w:p w:rsidR="00294EBD" w:rsidRPr="00DE7532" w:rsidRDefault="00294EBD" w:rsidP="00F166F6">
      <w:pPr>
        <w:rPr>
          <w:sz w:val="22"/>
          <w:szCs w:val="22"/>
        </w:rPr>
      </w:pPr>
    </w:p>
    <w:p w:rsidR="00F166F6" w:rsidRPr="00DE7532" w:rsidRDefault="00F166F6" w:rsidP="00F166F6">
      <w:pPr>
        <w:rPr>
          <w:sz w:val="22"/>
          <w:szCs w:val="22"/>
        </w:rPr>
      </w:pPr>
      <w:r w:rsidRPr="00DE7532">
        <w:rPr>
          <w:sz w:val="22"/>
          <w:szCs w:val="22"/>
        </w:rPr>
        <w:t>Dávkovanie tadalafilu jedenkrát denne sa neodporúča u pacientov so závažnou poruchou funkcie obličiek (pozri časti 4.4 a 5.2).</w:t>
      </w:r>
    </w:p>
    <w:p w:rsidR="00F166F6" w:rsidRPr="00DE7532" w:rsidRDefault="00F166F6" w:rsidP="00882187">
      <w:pPr>
        <w:rPr>
          <w:i/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Muži s poruchou funkcie pečene</w:t>
      </w:r>
    </w:p>
    <w:p w:rsidR="004739F0" w:rsidRPr="00DE7532" w:rsidRDefault="00F166F6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O</w:t>
      </w:r>
      <w:r w:rsidR="00882187" w:rsidRPr="00DE7532">
        <w:rPr>
          <w:sz w:val="22"/>
          <w:szCs w:val="22"/>
        </w:rPr>
        <w:t xml:space="preserve">dporúčaná dávka </w:t>
      </w:r>
      <w:r w:rsidR="00294EBD" w:rsidRPr="00DE7532">
        <w:rPr>
          <w:sz w:val="22"/>
          <w:szCs w:val="22"/>
        </w:rPr>
        <w:t>t</w:t>
      </w:r>
      <w:r w:rsidR="004A24AE" w:rsidRPr="00DE7532">
        <w:rPr>
          <w:sz w:val="22"/>
          <w:szCs w:val="22"/>
        </w:rPr>
        <w:t>adalafil</w:t>
      </w:r>
      <w:r w:rsidR="00294EBD" w:rsidRPr="00DE7532">
        <w:rPr>
          <w:sz w:val="22"/>
          <w:szCs w:val="22"/>
        </w:rPr>
        <w:t>u</w:t>
      </w:r>
      <w:r w:rsidR="004A24AE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je 10 mg </w:t>
      </w:r>
      <w:r w:rsidR="00882187" w:rsidRPr="00DE7532">
        <w:rPr>
          <w:sz w:val="22"/>
          <w:szCs w:val="22"/>
        </w:rPr>
        <w:t xml:space="preserve">podaná pred očakávanou </w:t>
      </w:r>
      <w:r w:rsidRPr="00DE7532">
        <w:rPr>
          <w:sz w:val="22"/>
          <w:szCs w:val="22"/>
        </w:rPr>
        <w:t>sexuálnou</w:t>
      </w:r>
      <w:r w:rsidR="00882187" w:rsidRPr="00DE7532">
        <w:rPr>
          <w:sz w:val="22"/>
          <w:szCs w:val="22"/>
        </w:rPr>
        <w:t xml:space="preserve"> aktivitou </w:t>
      </w:r>
      <w:r w:rsidR="00415DBB" w:rsidRPr="003D7355">
        <w:rPr>
          <w:sz w:val="22"/>
          <w:szCs w:val="22"/>
        </w:rPr>
        <w:t xml:space="preserve">a </w:t>
      </w:r>
      <w:r w:rsidR="00F755F5" w:rsidRPr="003D7355">
        <w:rPr>
          <w:sz w:val="22"/>
          <w:szCs w:val="22"/>
        </w:rPr>
        <w:t>s jedlom alebo bez jedla.</w:t>
      </w:r>
      <w:r w:rsidR="00415DBB" w:rsidRPr="008A5458">
        <w:rPr>
          <w:i/>
        </w:rPr>
        <w:t xml:space="preserve"> </w:t>
      </w:r>
      <w:r w:rsidR="00882187" w:rsidRPr="00DE7532">
        <w:rPr>
          <w:sz w:val="22"/>
          <w:szCs w:val="22"/>
        </w:rPr>
        <w:t>O bezpečnosti použitia</w:t>
      </w:r>
      <w:r w:rsidRPr="00DE7532">
        <w:rPr>
          <w:sz w:val="22"/>
          <w:szCs w:val="22"/>
        </w:rPr>
        <w:t xml:space="preserve"> </w:t>
      </w:r>
      <w:r w:rsidR="00E514A4" w:rsidRPr="00DE7532">
        <w:rPr>
          <w:sz w:val="22"/>
          <w:szCs w:val="22"/>
        </w:rPr>
        <w:t>tadalafilu</w:t>
      </w:r>
      <w:r w:rsidR="00D921EC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u pacientov so závažnou poruchou </w:t>
      </w:r>
      <w:r w:rsidR="00E514A4" w:rsidRPr="00DE7532">
        <w:rPr>
          <w:sz w:val="22"/>
          <w:szCs w:val="22"/>
        </w:rPr>
        <w:t xml:space="preserve">funkcie </w:t>
      </w:r>
      <w:r w:rsidR="00882187" w:rsidRPr="00DE7532">
        <w:rPr>
          <w:sz w:val="22"/>
          <w:szCs w:val="22"/>
        </w:rPr>
        <w:t xml:space="preserve">pečene </w:t>
      </w:r>
      <w:r w:rsidR="00F755F5" w:rsidRPr="00F755F5">
        <w:rPr>
          <w:sz w:val="22"/>
          <w:szCs w:val="22"/>
        </w:rPr>
        <w:t xml:space="preserve">(Childovo – Pughovo skóre C) </w:t>
      </w:r>
      <w:r w:rsidR="00882187" w:rsidRPr="00DE7532">
        <w:rPr>
          <w:sz w:val="22"/>
          <w:szCs w:val="22"/>
        </w:rPr>
        <w:t>sú</w:t>
      </w:r>
      <w:r w:rsidR="00D921EC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dostupné iba obmedzené klinické údaje; v prípade </w:t>
      </w:r>
      <w:r w:rsidR="00E514A4" w:rsidRPr="00DE7532">
        <w:rPr>
          <w:sz w:val="22"/>
          <w:szCs w:val="22"/>
        </w:rPr>
        <w:t xml:space="preserve">jeho </w:t>
      </w:r>
      <w:r w:rsidR="00882187" w:rsidRPr="00DE7532">
        <w:rPr>
          <w:sz w:val="22"/>
          <w:szCs w:val="22"/>
        </w:rPr>
        <w:t>predpísania musí predpisujúci lekár</w:t>
      </w:r>
      <w:r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individuálne </w:t>
      </w:r>
      <w:r w:rsidR="00E514A4" w:rsidRPr="00DE7532">
        <w:rPr>
          <w:sz w:val="22"/>
          <w:szCs w:val="22"/>
        </w:rPr>
        <w:t xml:space="preserve">a </w:t>
      </w:r>
      <w:r w:rsidR="00882187" w:rsidRPr="00DE7532">
        <w:rPr>
          <w:sz w:val="22"/>
          <w:szCs w:val="22"/>
        </w:rPr>
        <w:t>dôsledne zvážiť pomer pr</w:t>
      </w:r>
      <w:r w:rsidR="00E514A4" w:rsidRPr="00DE7532">
        <w:rPr>
          <w:sz w:val="22"/>
          <w:szCs w:val="22"/>
        </w:rPr>
        <w:t>ínosu</w:t>
      </w:r>
      <w:r w:rsidR="00882187" w:rsidRPr="00DE7532">
        <w:rPr>
          <w:sz w:val="22"/>
          <w:szCs w:val="22"/>
        </w:rPr>
        <w:t xml:space="preserve"> a rizika. O podávaní vyšších dávok tadalafilu ako10 mg pacientom s poruchou funkcie pečene nie sú dostupné žiadne údaje.</w:t>
      </w:r>
      <w:r w:rsidRPr="00DE7532">
        <w:rPr>
          <w:sz w:val="22"/>
          <w:szCs w:val="22"/>
        </w:rPr>
        <w:t xml:space="preserve"> </w:t>
      </w:r>
    </w:p>
    <w:p w:rsidR="004739F0" w:rsidRPr="00DE7532" w:rsidRDefault="004739F0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Dávkovanie </w:t>
      </w:r>
      <w:r w:rsidR="004739F0" w:rsidRPr="00DE7532">
        <w:rPr>
          <w:sz w:val="22"/>
          <w:szCs w:val="22"/>
        </w:rPr>
        <w:t xml:space="preserve">tadalafilu </w:t>
      </w:r>
      <w:r w:rsidR="00415DBB" w:rsidRPr="003D7355">
        <w:rPr>
          <w:sz w:val="22"/>
          <w:szCs w:val="22"/>
        </w:rPr>
        <w:t xml:space="preserve">jedenkrát denne </w:t>
      </w:r>
      <w:r w:rsidR="00F755F5" w:rsidRPr="003D7355">
        <w:rPr>
          <w:sz w:val="22"/>
          <w:szCs w:val="22"/>
        </w:rPr>
        <w:t>na liečbu erektilnej dysfunkcie</w:t>
      </w:r>
      <w:r w:rsidR="00415DBB" w:rsidRPr="008A5458">
        <w:rPr>
          <w:i/>
        </w:rPr>
        <w:t xml:space="preserve"> </w:t>
      </w:r>
      <w:r w:rsidRPr="00DE7532">
        <w:rPr>
          <w:sz w:val="22"/>
          <w:szCs w:val="22"/>
        </w:rPr>
        <w:t>sa nehodnotilo u pacientov s poruchou funkcie pečene, preto v prípade</w:t>
      </w:r>
      <w:r w:rsidR="00D921EC" w:rsidRPr="00DE7532">
        <w:rPr>
          <w:sz w:val="22"/>
          <w:szCs w:val="22"/>
        </w:rPr>
        <w:t xml:space="preserve"> predpísania lieku </w:t>
      </w:r>
      <w:r w:rsidRPr="00DE7532">
        <w:rPr>
          <w:sz w:val="22"/>
          <w:szCs w:val="22"/>
        </w:rPr>
        <w:t xml:space="preserve">musí lekár individuálne </w:t>
      </w:r>
      <w:r w:rsidR="00E514A4" w:rsidRPr="00DE7532">
        <w:rPr>
          <w:sz w:val="22"/>
          <w:szCs w:val="22"/>
        </w:rPr>
        <w:t xml:space="preserve">a </w:t>
      </w:r>
      <w:r w:rsidRPr="00DE7532">
        <w:rPr>
          <w:sz w:val="22"/>
          <w:szCs w:val="22"/>
        </w:rPr>
        <w:t>dôsledne zvážiť pomer pr</w:t>
      </w:r>
      <w:r w:rsidR="00E514A4" w:rsidRPr="00DE7532">
        <w:rPr>
          <w:sz w:val="22"/>
          <w:szCs w:val="22"/>
        </w:rPr>
        <w:t>ínos</w:t>
      </w:r>
      <w:r w:rsidRPr="00DE7532">
        <w:rPr>
          <w:sz w:val="22"/>
          <w:szCs w:val="22"/>
        </w:rPr>
        <w:t>u a rizika (pozri časti 4.4</w:t>
      </w:r>
      <w:r w:rsidR="00D921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a 5.2).</w:t>
      </w:r>
    </w:p>
    <w:p w:rsidR="00EA1545" w:rsidRPr="00DE7532" w:rsidRDefault="00EA1545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Muži s diabetom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U mužov s diabetom nie je potrebná žiadna úprava dávky.</w:t>
      </w:r>
    </w:p>
    <w:p w:rsidR="00EA1545" w:rsidRPr="00DE7532" w:rsidRDefault="00EA1545" w:rsidP="00882187">
      <w:pPr>
        <w:rPr>
          <w:sz w:val="22"/>
          <w:szCs w:val="22"/>
        </w:rPr>
      </w:pPr>
    </w:p>
    <w:p w:rsidR="00882187" w:rsidRPr="00DE7532" w:rsidRDefault="00EA1545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Pediatrická populácia</w:t>
      </w:r>
    </w:p>
    <w:p w:rsidR="00EA1545" w:rsidRPr="00DE7532" w:rsidRDefault="00415DBB" w:rsidP="00882187">
      <w:pPr>
        <w:rPr>
          <w:sz w:val="22"/>
          <w:szCs w:val="22"/>
        </w:rPr>
      </w:pPr>
      <w:r w:rsidRPr="00A97DFF">
        <w:rPr>
          <w:sz w:val="22"/>
          <w:szCs w:val="22"/>
        </w:rPr>
        <w:t xml:space="preserve">Použitie Tadalafilu </w:t>
      </w:r>
      <w:r>
        <w:rPr>
          <w:sz w:val="22"/>
          <w:szCs w:val="22"/>
        </w:rPr>
        <w:t>Accord</w:t>
      </w:r>
      <w:r w:rsidRPr="00A97DFF">
        <w:rPr>
          <w:sz w:val="22"/>
          <w:szCs w:val="22"/>
        </w:rPr>
        <w:t xml:space="preserve"> sa netýka pediatrickej populácie v indikácii liečby erektilnej dysfunkcie.</w:t>
      </w:r>
      <w:r w:rsidR="00EA1545" w:rsidRPr="00DE7532">
        <w:rPr>
          <w:sz w:val="22"/>
          <w:szCs w:val="22"/>
        </w:rPr>
        <w:t>.</w:t>
      </w:r>
    </w:p>
    <w:p w:rsidR="00EA1545" w:rsidRPr="00DE7532" w:rsidRDefault="00EA1545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Spôsob podania</w:t>
      </w:r>
    </w:p>
    <w:p w:rsidR="006720E9" w:rsidRPr="00DE7532" w:rsidRDefault="006720E9" w:rsidP="00882187">
      <w:pPr>
        <w:rPr>
          <w:sz w:val="22"/>
          <w:szCs w:val="22"/>
        </w:rPr>
      </w:pPr>
    </w:p>
    <w:p w:rsidR="003D7355" w:rsidRPr="007D0CD6" w:rsidRDefault="003D7355" w:rsidP="003D7355">
      <w:pPr>
        <w:pStyle w:val="Normlndobloku"/>
      </w:pPr>
      <w:r w:rsidRPr="007D0CD6">
        <w:t>Tablety sú určené na perorálne podanie.</w:t>
      </w:r>
    </w:p>
    <w:p w:rsidR="00EA1545" w:rsidRPr="00DE7532" w:rsidRDefault="00EA1545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4.3 </w:t>
      </w:r>
      <w:r w:rsidR="00D921EC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Kontraindikácie</w:t>
      </w:r>
    </w:p>
    <w:p w:rsidR="00EA1545" w:rsidRPr="00DE7532" w:rsidRDefault="00EA1545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Precitlivenosť na liečivo alebo na ktorúkoľvek z pomocných látok uvedených v časti 6.1.</w:t>
      </w:r>
    </w:p>
    <w:p w:rsidR="00C601F7" w:rsidRPr="00DE7532" w:rsidRDefault="00C601F7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klinických </w:t>
      </w:r>
      <w:r w:rsidR="00415DBB">
        <w:rPr>
          <w:sz w:val="22"/>
          <w:szCs w:val="22"/>
        </w:rPr>
        <w:t>skúšaniach</w:t>
      </w:r>
      <w:r w:rsidRPr="00DE7532">
        <w:rPr>
          <w:sz w:val="22"/>
          <w:szCs w:val="22"/>
        </w:rPr>
        <w:t xml:space="preserve"> sa zistilo, že tadalafil zosilňuje hypotenz</w:t>
      </w:r>
      <w:r w:rsidR="00456039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456039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účinky nitrátov. </w:t>
      </w:r>
      <w:r w:rsidR="00456039">
        <w:rPr>
          <w:sz w:val="22"/>
          <w:szCs w:val="22"/>
        </w:rPr>
        <w:t>P</w:t>
      </w:r>
      <w:r w:rsidRPr="00DE7532">
        <w:rPr>
          <w:sz w:val="22"/>
          <w:szCs w:val="22"/>
        </w:rPr>
        <w:t xml:space="preserve">ravdepodobne </w:t>
      </w:r>
      <w:r w:rsidR="00456039">
        <w:rPr>
          <w:sz w:val="22"/>
          <w:szCs w:val="22"/>
        </w:rPr>
        <w:t xml:space="preserve">to </w:t>
      </w:r>
      <w:r w:rsidRPr="00DE7532">
        <w:rPr>
          <w:sz w:val="22"/>
          <w:szCs w:val="22"/>
        </w:rPr>
        <w:t>vyplýva z kombinovaných účinkov nitrátov a tadalafilu na metabolickú dráhu</w:t>
      </w:r>
      <w:r w:rsidR="00D921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oxid dusnatý/cGMP. </w:t>
      </w:r>
      <w:r w:rsidR="00EA1545" w:rsidRPr="00DE7532">
        <w:rPr>
          <w:sz w:val="22"/>
          <w:szCs w:val="22"/>
        </w:rPr>
        <w:t>Preto</w:t>
      </w:r>
      <w:r w:rsidRPr="00DE7532">
        <w:rPr>
          <w:sz w:val="22"/>
          <w:szCs w:val="22"/>
        </w:rPr>
        <w:t xml:space="preserve"> je podávanie</w:t>
      </w:r>
      <w:r w:rsidR="00614380" w:rsidRPr="00DE7532">
        <w:rPr>
          <w:sz w:val="22"/>
          <w:szCs w:val="22"/>
        </w:rPr>
        <w:t xml:space="preserve"> </w:t>
      </w:r>
      <w:r w:rsidR="004A24AE" w:rsidRPr="00DE7532">
        <w:rPr>
          <w:sz w:val="22"/>
          <w:szCs w:val="22"/>
        </w:rPr>
        <w:t>Tadalafil</w:t>
      </w:r>
      <w:r w:rsidR="00C601F7" w:rsidRPr="00DE7532">
        <w:rPr>
          <w:sz w:val="22"/>
          <w:szCs w:val="22"/>
        </w:rPr>
        <w:t>u</w:t>
      </w:r>
      <w:r w:rsidR="004A24AE" w:rsidRPr="00DE7532">
        <w:rPr>
          <w:sz w:val="22"/>
          <w:szCs w:val="22"/>
        </w:rPr>
        <w:t xml:space="preserve"> Accord</w:t>
      </w:r>
      <w:r w:rsidR="00EA1545" w:rsidRPr="00DE7532">
        <w:rPr>
          <w:sz w:val="22"/>
          <w:szCs w:val="22"/>
        </w:rPr>
        <w:t xml:space="preserve"> filmom obalené tablety </w:t>
      </w:r>
      <w:r w:rsidRPr="00DE7532">
        <w:rPr>
          <w:sz w:val="22"/>
          <w:szCs w:val="22"/>
        </w:rPr>
        <w:t>pacientom užívajúcim</w:t>
      </w:r>
      <w:r w:rsidR="00D921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organické nitráty v akejkoľvek forme</w:t>
      </w:r>
      <w:r w:rsidR="00EA1545" w:rsidRPr="00DE7532">
        <w:rPr>
          <w:sz w:val="22"/>
          <w:szCs w:val="22"/>
        </w:rPr>
        <w:t xml:space="preserve"> kontraindikované</w:t>
      </w:r>
      <w:r w:rsidRPr="00DE7532">
        <w:rPr>
          <w:sz w:val="22"/>
          <w:szCs w:val="22"/>
        </w:rPr>
        <w:t xml:space="preserve"> (pozri časť 4.5).</w:t>
      </w:r>
    </w:p>
    <w:p w:rsidR="00EA1545" w:rsidRPr="00DE7532" w:rsidRDefault="00EA1545" w:rsidP="00882187">
      <w:pPr>
        <w:rPr>
          <w:sz w:val="22"/>
          <w:szCs w:val="22"/>
        </w:rPr>
      </w:pPr>
    </w:p>
    <w:p w:rsidR="00456039" w:rsidRPr="008A5458" w:rsidRDefault="004A24AE" w:rsidP="00456039">
      <w:pPr>
        <w:rPr>
          <w:sz w:val="22"/>
          <w:szCs w:val="22"/>
        </w:rPr>
      </w:pPr>
      <w:r w:rsidRPr="00DE7532">
        <w:rPr>
          <w:sz w:val="22"/>
          <w:szCs w:val="22"/>
        </w:rPr>
        <w:t>Tadalafil Accord</w:t>
      </w:r>
      <w:r w:rsidR="002C4C2F" w:rsidRPr="00DE7532">
        <w:rPr>
          <w:sz w:val="22"/>
          <w:szCs w:val="22"/>
        </w:rPr>
        <w:t xml:space="preserve"> filmom obalené tablety </w:t>
      </w:r>
      <w:r w:rsidR="00882187" w:rsidRPr="00DE7532">
        <w:rPr>
          <w:sz w:val="22"/>
          <w:szCs w:val="22"/>
        </w:rPr>
        <w:t>nesm</w:t>
      </w:r>
      <w:r w:rsidR="002C4C2F" w:rsidRPr="00DE7532">
        <w:rPr>
          <w:sz w:val="22"/>
          <w:szCs w:val="22"/>
        </w:rPr>
        <w:t>ú</w:t>
      </w:r>
      <w:r w:rsidR="00882187" w:rsidRPr="00DE7532">
        <w:rPr>
          <w:sz w:val="22"/>
          <w:szCs w:val="22"/>
        </w:rPr>
        <w:t xml:space="preserve"> užívať muž</w:t>
      </w:r>
      <w:r w:rsidR="002C4C2F" w:rsidRPr="00DE7532">
        <w:rPr>
          <w:sz w:val="22"/>
          <w:szCs w:val="22"/>
        </w:rPr>
        <w:t>i</w:t>
      </w:r>
      <w:r w:rsidR="00882187" w:rsidRPr="00DE7532">
        <w:rPr>
          <w:sz w:val="22"/>
          <w:szCs w:val="22"/>
        </w:rPr>
        <w:t xml:space="preserve"> so srdcovým ochorením, ktorý</w:t>
      </w:r>
      <w:r w:rsidR="002C4C2F" w:rsidRPr="00DE7532">
        <w:rPr>
          <w:sz w:val="22"/>
          <w:szCs w:val="22"/>
        </w:rPr>
        <w:t>m</w:t>
      </w:r>
      <w:r w:rsidR="00882187" w:rsidRPr="00DE7532">
        <w:rPr>
          <w:sz w:val="22"/>
          <w:szCs w:val="22"/>
        </w:rPr>
        <w:t xml:space="preserve"> sa sexuálna aktivita</w:t>
      </w:r>
      <w:r w:rsidR="002C4C2F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neodporúča. </w:t>
      </w:r>
      <w:r w:rsidR="00456039">
        <w:rPr>
          <w:sz w:val="22"/>
          <w:szCs w:val="22"/>
        </w:rPr>
        <w:t>Ošetrujúci lekár má zvážiť p</w:t>
      </w:r>
      <w:r w:rsidR="00456039" w:rsidRPr="008A5458">
        <w:rPr>
          <w:sz w:val="22"/>
          <w:szCs w:val="22"/>
        </w:rPr>
        <w:t xml:space="preserve">otenciálne kardiálne riziko </w:t>
      </w:r>
      <w:r w:rsidR="00456039">
        <w:rPr>
          <w:sz w:val="22"/>
          <w:szCs w:val="22"/>
        </w:rPr>
        <w:t xml:space="preserve">plynúce zo </w:t>
      </w:r>
      <w:r w:rsidR="00456039" w:rsidRPr="008A5458">
        <w:rPr>
          <w:sz w:val="22"/>
          <w:szCs w:val="22"/>
        </w:rPr>
        <w:t>sexuálnej aktivity u pacientov s </w:t>
      </w:r>
      <w:r w:rsidR="00456039">
        <w:rPr>
          <w:sz w:val="22"/>
          <w:szCs w:val="22"/>
        </w:rPr>
        <w:t>pre</w:t>
      </w:r>
      <w:r w:rsidR="00456039" w:rsidRPr="008A5458">
        <w:rPr>
          <w:sz w:val="22"/>
          <w:szCs w:val="22"/>
        </w:rPr>
        <w:t>existujúcim kardiovaskulárnym ochorením</w:t>
      </w:r>
      <w:r w:rsidR="00456039">
        <w:rPr>
          <w:sz w:val="22"/>
          <w:szCs w:val="22"/>
        </w:rPr>
        <w:t>.</w:t>
      </w:r>
    </w:p>
    <w:p w:rsidR="002C4C2F" w:rsidRPr="00DE7532" w:rsidRDefault="002C4C2F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Nasledujúce skupiny pacientov s kardiovaskulárnym ochorením neboli zahrnuté v klinických </w:t>
      </w:r>
      <w:r w:rsidR="00456039">
        <w:rPr>
          <w:sz w:val="22"/>
          <w:szCs w:val="22"/>
        </w:rPr>
        <w:t>skúšaniach</w:t>
      </w:r>
      <w:r w:rsidRPr="00DE7532">
        <w:rPr>
          <w:sz w:val="22"/>
          <w:szCs w:val="22"/>
        </w:rPr>
        <w:t>,</w:t>
      </w:r>
    </w:p>
    <w:p w:rsidR="002C4C2F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a preto je u nich použitie tadalafilu kontraindikované:</w:t>
      </w:r>
    </w:p>
    <w:p w:rsidR="00882187" w:rsidRPr="00DE7532" w:rsidRDefault="00882187" w:rsidP="002C4C2F">
      <w:pPr>
        <w:numPr>
          <w:ilvl w:val="0"/>
          <w:numId w:val="4"/>
        </w:numPr>
        <w:rPr>
          <w:sz w:val="22"/>
          <w:szCs w:val="22"/>
        </w:rPr>
      </w:pPr>
      <w:r w:rsidRPr="00DE7532">
        <w:rPr>
          <w:sz w:val="22"/>
          <w:szCs w:val="22"/>
        </w:rPr>
        <w:t>pacienti s infarktom myokardu počas posledných 90 dní,</w:t>
      </w:r>
    </w:p>
    <w:p w:rsidR="00882187" w:rsidRPr="00DE7532" w:rsidRDefault="00882187" w:rsidP="002C4C2F">
      <w:pPr>
        <w:numPr>
          <w:ilvl w:val="0"/>
          <w:numId w:val="4"/>
        </w:numPr>
        <w:rPr>
          <w:sz w:val="22"/>
          <w:szCs w:val="22"/>
        </w:rPr>
      </w:pPr>
      <w:r w:rsidRPr="00DE7532">
        <w:rPr>
          <w:sz w:val="22"/>
          <w:szCs w:val="22"/>
        </w:rPr>
        <w:lastRenderedPageBreak/>
        <w:t>pacienti s nestabilnou angínou pe</w:t>
      </w:r>
      <w:r w:rsidR="00E514A4" w:rsidRPr="00DE7532">
        <w:rPr>
          <w:sz w:val="22"/>
          <w:szCs w:val="22"/>
        </w:rPr>
        <w:t>k</w:t>
      </w:r>
      <w:r w:rsidRPr="00DE7532">
        <w:rPr>
          <w:sz w:val="22"/>
          <w:szCs w:val="22"/>
        </w:rPr>
        <w:t>toris alebo angínou pe</w:t>
      </w:r>
      <w:r w:rsidR="00E514A4" w:rsidRPr="00DE7532">
        <w:rPr>
          <w:sz w:val="22"/>
          <w:szCs w:val="22"/>
        </w:rPr>
        <w:t>k</w:t>
      </w:r>
      <w:r w:rsidRPr="00DE7532">
        <w:rPr>
          <w:sz w:val="22"/>
          <w:szCs w:val="22"/>
        </w:rPr>
        <w:t>toris, ktorá sa prejavuje počas</w:t>
      </w:r>
      <w:r w:rsidR="002C4C2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pohlavného styku,</w:t>
      </w:r>
    </w:p>
    <w:p w:rsidR="00882187" w:rsidRPr="00DE7532" w:rsidRDefault="00882187" w:rsidP="002C4C2F">
      <w:pPr>
        <w:numPr>
          <w:ilvl w:val="0"/>
          <w:numId w:val="4"/>
        </w:numPr>
        <w:rPr>
          <w:sz w:val="22"/>
          <w:szCs w:val="22"/>
        </w:rPr>
      </w:pPr>
      <w:r w:rsidRPr="00DE7532">
        <w:rPr>
          <w:sz w:val="22"/>
          <w:szCs w:val="22"/>
        </w:rPr>
        <w:t xml:space="preserve">pacienti so </w:t>
      </w:r>
      <w:r w:rsidR="00456039">
        <w:rPr>
          <w:sz w:val="22"/>
          <w:szCs w:val="22"/>
        </w:rPr>
        <w:t>srdcovým zlyhávaním</w:t>
      </w:r>
      <w:r w:rsidR="00456039" w:rsidRPr="008A5458">
        <w:rPr>
          <w:sz w:val="22"/>
          <w:szCs w:val="22"/>
        </w:rPr>
        <w:t xml:space="preserve"> triedy</w:t>
      </w:r>
      <w:r w:rsidR="00456039">
        <w:rPr>
          <w:sz w:val="22"/>
          <w:szCs w:val="22"/>
        </w:rPr>
        <w:t xml:space="preserve"> NYHA</w:t>
      </w:r>
      <w:r w:rsidR="00456039" w:rsidRPr="008A5458">
        <w:rPr>
          <w:sz w:val="22"/>
          <w:szCs w:val="22"/>
        </w:rPr>
        <w:t xml:space="preserve"> 2 podľa </w:t>
      </w:r>
      <w:r w:rsidR="00456039" w:rsidRPr="008A5458">
        <w:rPr>
          <w:color w:val="000000"/>
          <w:sz w:val="22"/>
          <w:szCs w:val="22"/>
          <w:lang w:eastAsia="cs-CZ"/>
        </w:rPr>
        <w:t>New York Heart Association</w:t>
      </w:r>
      <w:r w:rsidR="003D7355">
        <w:rPr>
          <w:color w:val="000000"/>
          <w:sz w:val="22"/>
          <w:szCs w:val="22"/>
          <w:lang w:eastAsia="cs-CZ"/>
        </w:rPr>
        <w:t xml:space="preserve"> </w:t>
      </w:r>
      <w:r w:rsidR="00456039" w:rsidRPr="008A5458">
        <w:rPr>
          <w:sz w:val="22"/>
          <w:szCs w:val="22"/>
        </w:rPr>
        <w:t xml:space="preserve">alebo </w:t>
      </w:r>
      <w:r w:rsidR="00456039">
        <w:rPr>
          <w:sz w:val="22"/>
          <w:szCs w:val="22"/>
        </w:rPr>
        <w:t>vyšším</w:t>
      </w:r>
      <w:r w:rsidR="00456039" w:rsidRPr="008A5458">
        <w:rPr>
          <w:sz w:val="22"/>
          <w:szCs w:val="22"/>
        </w:rPr>
        <w:t xml:space="preserve"> počas posledných 6 mesiacov</w:t>
      </w:r>
      <w:r w:rsidRPr="00DE7532">
        <w:rPr>
          <w:sz w:val="22"/>
          <w:szCs w:val="22"/>
        </w:rPr>
        <w:t>,</w:t>
      </w:r>
    </w:p>
    <w:p w:rsidR="00882187" w:rsidRPr="00DE7532" w:rsidRDefault="00882187" w:rsidP="002C4C2F">
      <w:pPr>
        <w:numPr>
          <w:ilvl w:val="0"/>
          <w:numId w:val="4"/>
        </w:numPr>
        <w:rPr>
          <w:sz w:val="22"/>
          <w:szCs w:val="22"/>
        </w:rPr>
      </w:pPr>
      <w:r w:rsidRPr="00DE7532">
        <w:rPr>
          <w:sz w:val="22"/>
          <w:szCs w:val="22"/>
        </w:rPr>
        <w:t>pacienti s neliečenými arytmiami, hypotenziou (&lt; 90/50 mmHg) alebo neliečenou</w:t>
      </w:r>
      <w:r w:rsidR="002C4C2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hypertenziou,</w:t>
      </w:r>
    </w:p>
    <w:p w:rsidR="00882187" w:rsidRPr="00DE7532" w:rsidRDefault="00882187" w:rsidP="002C4C2F">
      <w:pPr>
        <w:numPr>
          <w:ilvl w:val="0"/>
          <w:numId w:val="4"/>
        </w:numPr>
        <w:rPr>
          <w:sz w:val="22"/>
          <w:szCs w:val="22"/>
        </w:rPr>
      </w:pPr>
      <w:r w:rsidRPr="00DE7532">
        <w:rPr>
          <w:sz w:val="22"/>
          <w:szCs w:val="22"/>
        </w:rPr>
        <w:t xml:space="preserve">pacienti s </w:t>
      </w:r>
      <w:r w:rsidR="00456039">
        <w:rPr>
          <w:sz w:val="22"/>
          <w:szCs w:val="22"/>
        </w:rPr>
        <w:t>cievnou</w:t>
      </w:r>
      <w:r w:rsidR="00456039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mozgovou príhodou počas posledných 6 mesiacov.</w:t>
      </w:r>
    </w:p>
    <w:p w:rsidR="008A4A2C" w:rsidRPr="00DE7532" w:rsidRDefault="008A4A2C" w:rsidP="008A4A2C">
      <w:pPr>
        <w:ind w:left="360"/>
        <w:rPr>
          <w:sz w:val="22"/>
          <w:szCs w:val="22"/>
        </w:rPr>
      </w:pPr>
    </w:p>
    <w:p w:rsidR="00882187" w:rsidRPr="00DE7532" w:rsidRDefault="004A24AE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Tadalafil Accord</w:t>
      </w:r>
      <w:r w:rsidR="008A4A2C" w:rsidRPr="00DE7532">
        <w:rPr>
          <w:sz w:val="22"/>
          <w:szCs w:val="22"/>
        </w:rPr>
        <w:t xml:space="preserve"> filmom obalené tablety sú</w:t>
      </w:r>
      <w:r w:rsidR="00882187" w:rsidRPr="00DE7532">
        <w:rPr>
          <w:sz w:val="22"/>
          <w:szCs w:val="22"/>
        </w:rPr>
        <w:t xml:space="preserve"> kontraindikovan</w:t>
      </w:r>
      <w:r w:rsidR="008A4A2C" w:rsidRPr="00DE7532">
        <w:rPr>
          <w:sz w:val="22"/>
          <w:szCs w:val="22"/>
        </w:rPr>
        <w:t>é</w:t>
      </w:r>
      <w:r w:rsidR="00882187" w:rsidRPr="00DE7532">
        <w:rPr>
          <w:sz w:val="22"/>
          <w:szCs w:val="22"/>
        </w:rPr>
        <w:t xml:space="preserve"> paciento</w:t>
      </w:r>
      <w:r w:rsidR="00456039">
        <w:rPr>
          <w:sz w:val="22"/>
          <w:szCs w:val="22"/>
        </w:rPr>
        <w:t>m</w:t>
      </w:r>
      <w:r w:rsidR="00882187" w:rsidRPr="00DE7532">
        <w:rPr>
          <w:sz w:val="22"/>
          <w:szCs w:val="22"/>
        </w:rPr>
        <w:t xml:space="preserve">, </w:t>
      </w:r>
      <w:r w:rsidR="00456039" w:rsidRPr="008A5458">
        <w:rPr>
          <w:sz w:val="22"/>
          <w:szCs w:val="22"/>
        </w:rPr>
        <w:t xml:space="preserve">ktorí </w:t>
      </w:r>
      <w:r w:rsidR="00456039">
        <w:rPr>
          <w:sz w:val="22"/>
          <w:szCs w:val="22"/>
        </w:rPr>
        <w:t>stratili schopnosť vidieť</w:t>
      </w:r>
      <w:r w:rsidR="00456039" w:rsidRPr="008A5458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v jednom oku v dôsledku</w:t>
      </w:r>
      <w:r w:rsidR="008A4A2C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nearteritickej prednej ischemickej neuropatie zrakového nervu (non-arteritic anterior ischaemic optic</w:t>
      </w:r>
      <w:r w:rsidR="008A4A2C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neuropathy, NAION) bez ohľadu na to, či táto príhoda súvisela alebo nesúvisela s predchádzajúcou</w:t>
      </w:r>
      <w:r w:rsidR="008A4A2C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expozíciou inhibítoru PDE5 (pozri časť 4.4).</w:t>
      </w:r>
    </w:p>
    <w:p w:rsidR="00C601F7" w:rsidRPr="00DE7532" w:rsidRDefault="00C601F7" w:rsidP="00882187">
      <w:pPr>
        <w:rPr>
          <w:sz w:val="22"/>
          <w:szCs w:val="22"/>
        </w:rPr>
      </w:pPr>
    </w:p>
    <w:p w:rsidR="00C601F7" w:rsidRPr="00DE7532" w:rsidRDefault="00C601F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Súčasné podanie PDE5 inhibítorov vrátane tadalafilu so stimulátormi guanylátcyklázy ako je riociguát</w:t>
      </w:r>
    </w:p>
    <w:p w:rsidR="00C601F7" w:rsidRPr="00DE7532" w:rsidRDefault="00C601F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je kontraindikované, pretože môže potenciálne viesť k symptomatickej hypotenzii (pozri časť 4.5).</w:t>
      </w:r>
    </w:p>
    <w:p w:rsidR="00C601F7" w:rsidRPr="00DE7532" w:rsidRDefault="00C601F7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4.4 </w:t>
      </w:r>
      <w:r w:rsidR="00FB2F6F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Osobitné upozornenia a opatrenia pri používaní</w:t>
      </w:r>
    </w:p>
    <w:p w:rsidR="00A422DD" w:rsidRPr="00DE7532" w:rsidRDefault="00A422D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 xml:space="preserve">Pred liečbou </w:t>
      </w:r>
      <w:r w:rsidR="004A24AE" w:rsidRPr="00DE7532">
        <w:rPr>
          <w:sz w:val="22"/>
          <w:szCs w:val="22"/>
          <w:u w:val="single"/>
        </w:rPr>
        <w:t>Tadalafil</w:t>
      </w:r>
      <w:r w:rsidR="00BA7C27" w:rsidRPr="00DE7532">
        <w:rPr>
          <w:sz w:val="22"/>
          <w:szCs w:val="22"/>
          <w:u w:val="single"/>
        </w:rPr>
        <w:t>om</w:t>
      </w:r>
      <w:r w:rsidR="004A24AE" w:rsidRPr="00DE7532">
        <w:rPr>
          <w:sz w:val="22"/>
          <w:szCs w:val="22"/>
          <w:u w:val="single"/>
        </w:rPr>
        <w:t xml:space="preserve"> Accord</w:t>
      </w:r>
      <w:r w:rsidR="00A422DD" w:rsidRPr="00DE7532">
        <w:rPr>
          <w:sz w:val="22"/>
          <w:szCs w:val="22"/>
          <w:u w:val="single"/>
        </w:rPr>
        <w:t xml:space="preserve"> filmom obalené tablety</w:t>
      </w:r>
    </w:p>
    <w:p w:rsidR="00BA7C27" w:rsidRPr="00DE7532" w:rsidRDefault="00BA7C27" w:rsidP="00882187">
      <w:pPr>
        <w:rPr>
          <w:sz w:val="22"/>
          <w:szCs w:val="22"/>
        </w:rPr>
      </w:pPr>
    </w:p>
    <w:p w:rsidR="001074E1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Pri diagnostike erektilnej dysfunkcie je potrebné pred zvážením</w:t>
      </w:r>
      <w:r w:rsidR="001074E1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farmakologickej liečby zohľadniť anamnézu a výsledky lekárske</w:t>
      </w:r>
      <w:r w:rsidR="006901AF" w:rsidRPr="00DE7532">
        <w:rPr>
          <w:sz w:val="22"/>
          <w:szCs w:val="22"/>
        </w:rPr>
        <w:t>ho</w:t>
      </w:r>
      <w:r w:rsidRPr="00DE7532">
        <w:rPr>
          <w:sz w:val="22"/>
          <w:szCs w:val="22"/>
        </w:rPr>
        <w:t xml:space="preserve"> </w:t>
      </w:r>
      <w:r w:rsidR="006901AF" w:rsidRPr="00DE7532">
        <w:rPr>
          <w:sz w:val="22"/>
          <w:szCs w:val="22"/>
        </w:rPr>
        <w:t>vyšetrenia</w:t>
      </w:r>
      <w:r w:rsidRPr="00DE7532">
        <w:rPr>
          <w:sz w:val="22"/>
          <w:szCs w:val="22"/>
        </w:rPr>
        <w:t xml:space="preserve"> a určiť potenciálne skryté</w:t>
      </w:r>
      <w:r w:rsidR="001074E1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príčiny.</w:t>
      </w:r>
    </w:p>
    <w:p w:rsidR="000E4F8D" w:rsidRPr="00DE7532" w:rsidRDefault="000E4F8D" w:rsidP="00882187">
      <w:pPr>
        <w:rPr>
          <w:sz w:val="22"/>
          <w:szCs w:val="22"/>
        </w:rPr>
      </w:pPr>
    </w:p>
    <w:p w:rsidR="001074E1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Pred začatím akejkoľvek liečby erektilnej dysfunkcie </w:t>
      </w:r>
      <w:r w:rsidR="001074E1" w:rsidRPr="00DE7532">
        <w:rPr>
          <w:sz w:val="22"/>
          <w:szCs w:val="22"/>
        </w:rPr>
        <w:t>má</w:t>
      </w:r>
      <w:r w:rsidRPr="00DE7532">
        <w:rPr>
          <w:sz w:val="22"/>
          <w:szCs w:val="22"/>
        </w:rPr>
        <w:t xml:space="preserve"> lekár zvážiť kardiovaskulárny stav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pacient</w:t>
      </w:r>
      <w:r w:rsidR="006901AF" w:rsidRPr="00DE7532">
        <w:rPr>
          <w:sz w:val="22"/>
          <w:szCs w:val="22"/>
        </w:rPr>
        <w:t>a</w:t>
      </w:r>
      <w:r w:rsidRPr="00DE7532">
        <w:rPr>
          <w:sz w:val="22"/>
          <w:szCs w:val="22"/>
        </w:rPr>
        <w:t>, pretože v súvislosti so sexuálnou aktivitou existuje určitý stupeň kardiálneho rizika.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Tadalafil má vazodilatačné vlastnosti, ktoré spôsobujú mierne a prechodné zníženie krvného tlaku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(pozri časť 5.1), </w:t>
      </w:r>
      <w:r w:rsidR="00456039">
        <w:rPr>
          <w:sz w:val="22"/>
          <w:szCs w:val="22"/>
        </w:rPr>
        <w:t xml:space="preserve"> a preto </w:t>
      </w:r>
      <w:r w:rsidR="00FE709C" w:rsidRPr="00DE7532">
        <w:rPr>
          <w:sz w:val="22"/>
          <w:szCs w:val="22"/>
        </w:rPr>
        <w:t>zosilňuje</w:t>
      </w:r>
      <w:r w:rsidRPr="00DE7532">
        <w:rPr>
          <w:sz w:val="22"/>
          <w:szCs w:val="22"/>
        </w:rPr>
        <w:t xml:space="preserve"> hypotenz</w:t>
      </w:r>
      <w:r w:rsidR="00267890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267890">
        <w:rPr>
          <w:sz w:val="22"/>
          <w:szCs w:val="22"/>
        </w:rPr>
        <w:t>y</w:t>
      </w:r>
      <w:r w:rsidRPr="00DE7532">
        <w:rPr>
          <w:sz w:val="22"/>
          <w:szCs w:val="22"/>
        </w:rPr>
        <w:t xml:space="preserve"> účinok nitrátov (pozri časť 4.3).</w:t>
      </w:r>
      <w:r w:rsidR="00FB2F6F" w:rsidRPr="00DE7532">
        <w:rPr>
          <w:sz w:val="22"/>
          <w:szCs w:val="22"/>
        </w:rPr>
        <w:t xml:space="preserve"> </w:t>
      </w:r>
    </w:p>
    <w:p w:rsidR="000E4F8D" w:rsidRPr="00DE7532" w:rsidRDefault="000E4F8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V rámci vyšetrenia erektilnej dysfunkcie je potrebné diagnostikovať jej možné príčiny, pričom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príslušná liečba sa stanoví až po dostatočnom lekárskom vyšetrení. Nie je známe, či je </w:t>
      </w:r>
      <w:r w:rsidR="001074E1" w:rsidRPr="00DE7532">
        <w:rPr>
          <w:sz w:val="22"/>
          <w:szCs w:val="22"/>
        </w:rPr>
        <w:t>tadalafil</w:t>
      </w:r>
      <w:r w:rsidRPr="00DE7532">
        <w:rPr>
          <w:sz w:val="22"/>
          <w:szCs w:val="22"/>
        </w:rPr>
        <w:t xml:space="preserve"> účinný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u pacientov, ktorí sa podrobili operačnému zákroku v panvovej oblasti alebo radikálnej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prostatektómii</w:t>
      </w:r>
      <w:r w:rsidR="006901AF" w:rsidRPr="00DE7532">
        <w:rPr>
          <w:sz w:val="22"/>
          <w:szCs w:val="22"/>
        </w:rPr>
        <w:t xml:space="preserve"> bez zachovania nervov</w:t>
      </w:r>
      <w:r w:rsidRPr="00DE7532">
        <w:rPr>
          <w:sz w:val="22"/>
          <w:szCs w:val="22"/>
        </w:rPr>
        <w:t>.</w:t>
      </w:r>
    </w:p>
    <w:p w:rsidR="001074E1" w:rsidRPr="00DE7532" w:rsidRDefault="001074E1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Kardiovaskulárne udalosti</w:t>
      </w:r>
    </w:p>
    <w:p w:rsidR="00FB2F6F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V postmarketingovom sledovaní a/alebo v klinických štúdiách boli hlásené závažné kardiovaskulárne</w:t>
      </w:r>
      <w:r w:rsidR="001A13E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udalosti vrátane infarktu myokardu, náhlej </w:t>
      </w:r>
      <w:r w:rsidR="006F7044" w:rsidRPr="00DE7532">
        <w:rPr>
          <w:sz w:val="22"/>
          <w:szCs w:val="22"/>
        </w:rPr>
        <w:t xml:space="preserve">srdcovej </w:t>
      </w:r>
      <w:r w:rsidRPr="00DE7532">
        <w:rPr>
          <w:sz w:val="22"/>
          <w:szCs w:val="22"/>
        </w:rPr>
        <w:t>smrti, nestabilnej angíny pe</w:t>
      </w:r>
      <w:r w:rsidR="00D528C2" w:rsidRPr="00DE7532">
        <w:rPr>
          <w:sz w:val="22"/>
          <w:szCs w:val="22"/>
        </w:rPr>
        <w:t>k</w:t>
      </w:r>
      <w:r w:rsidRPr="00DE7532">
        <w:rPr>
          <w:sz w:val="22"/>
          <w:szCs w:val="22"/>
        </w:rPr>
        <w:t>toris, ventrikulárnej arytmie,</w:t>
      </w:r>
      <w:r w:rsidR="006F7044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mozgovej príhody, tranzitórnych ischemických atakov, bolesti na hrudníku, palpitácií a tachykardií.</w:t>
      </w:r>
      <w:r w:rsidR="006F7044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Väčšina pacientov, u ktorých boli tieto udalosti hlásené, vykazovali už predtým prítomnosť</w:t>
      </w:r>
      <w:r w:rsidR="006F7044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kardiovaskulárnych rizikových faktorov. </w:t>
      </w:r>
      <w:r w:rsidR="001A13E2">
        <w:rPr>
          <w:sz w:val="22"/>
          <w:szCs w:val="22"/>
        </w:rPr>
        <w:t>N</w:t>
      </w:r>
      <w:r w:rsidR="001A13E2" w:rsidRPr="008A5458">
        <w:rPr>
          <w:sz w:val="22"/>
          <w:szCs w:val="22"/>
        </w:rPr>
        <w:t xml:space="preserve">edá sa </w:t>
      </w:r>
      <w:r w:rsidR="001A13E2">
        <w:rPr>
          <w:sz w:val="22"/>
          <w:szCs w:val="22"/>
        </w:rPr>
        <w:t xml:space="preserve">však </w:t>
      </w:r>
      <w:r w:rsidR="001A13E2" w:rsidRPr="008A5458">
        <w:rPr>
          <w:sz w:val="22"/>
          <w:szCs w:val="22"/>
        </w:rPr>
        <w:t xml:space="preserve">definitívne </w:t>
      </w:r>
      <w:r w:rsidRPr="00DE7532">
        <w:rPr>
          <w:sz w:val="22"/>
          <w:szCs w:val="22"/>
        </w:rPr>
        <w:t>určiť, či boli hlásené udalosti</w:t>
      </w:r>
      <w:r w:rsidR="006F7044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 priamej súvislosti s týmito rizikovými faktormi, s </w:t>
      </w:r>
      <w:r w:rsidR="006F7044" w:rsidRPr="00DE7532">
        <w:rPr>
          <w:sz w:val="22"/>
          <w:szCs w:val="22"/>
        </w:rPr>
        <w:t>tadalafilom</w:t>
      </w:r>
      <w:r w:rsidRPr="00DE7532">
        <w:rPr>
          <w:sz w:val="22"/>
          <w:szCs w:val="22"/>
        </w:rPr>
        <w:t>, sexuálnou aktivitou alebo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s kombináciou týchto </w:t>
      </w:r>
      <w:r w:rsidR="006F7044" w:rsidRPr="00DE7532">
        <w:rPr>
          <w:sz w:val="22"/>
          <w:szCs w:val="22"/>
        </w:rPr>
        <w:t>alebo</w:t>
      </w:r>
      <w:r w:rsidRPr="00DE7532">
        <w:rPr>
          <w:sz w:val="22"/>
          <w:szCs w:val="22"/>
        </w:rPr>
        <w:t xml:space="preserve"> ďalších faktorov.</w:t>
      </w:r>
      <w:r w:rsidR="00FB2F6F" w:rsidRPr="00DE7532">
        <w:rPr>
          <w:sz w:val="22"/>
          <w:szCs w:val="22"/>
        </w:rPr>
        <w:t xml:space="preserve"> </w:t>
      </w:r>
    </w:p>
    <w:p w:rsidR="001F5C8D" w:rsidRPr="00DE7532" w:rsidRDefault="001F5C8D" w:rsidP="00882187">
      <w:pPr>
        <w:rPr>
          <w:sz w:val="22"/>
          <w:szCs w:val="22"/>
        </w:rPr>
      </w:pPr>
    </w:p>
    <w:p w:rsidR="00FB2F6F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U pacientov užívajúcich súčasne antihypertenz</w:t>
      </w:r>
      <w:r w:rsidR="00267890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267890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lieky môže tadalafil vyvolať zníženie krvného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tlaku. Na začiatku liečby tadalafilom jedenkrát denne je potrebné klinické zváženie prípadnej úpravy</w:t>
      </w:r>
      <w:r w:rsidR="00FB2F6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dávky antihypertenz</w:t>
      </w:r>
      <w:r w:rsidR="00267890">
        <w:rPr>
          <w:sz w:val="22"/>
          <w:szCs w:val="22"/>
        </w:rPr>
        <w:t>ív</w:t>
      </w:r>
      <w:r w:rsidRPr="00DE7532">
        <w:rPr>
          <w:sz w:val="22"/>
          <w:szCs w:val="22"/>
        </w:rPr>
        <w:t xml:space="preserve">nej </w:t>
      </w:r>
      <w:r w:rsidR="006F7044" w:rsidRPr="00DE7532">
        <w:rPr>
          <w:sz w:val="22"/>
          <w:szCs w:val="22"/>
        </w:rPr>
        <w:t>liečby</w:t>
      </w:r>
      <w:r w:rsidRPr="00DE7532">
        <w:rPr>
          <w:sz w:val="22"/>
          <w:szCs w:val="22"/>
        </w:rPr>
        <w:t>.</w:t>
      </w:r>
      <w:r w:rsidR="00FB2F6F" w:rsidRPr="00DE7532">
        <w:rPr>
          <w:sz w:val="22"/>
          <w:szCs w:val="22"/>
        </w:rPr>
        <w:t xml:space="preserve"> </w:t>
      </w:r>
    </w:p>
    <w:p w:rsidR="001F5C8D" w:rsidRPr="00DE7532" w:rsidRDefault="001F5C8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U </w:t>
      </w:r>
      <w:r w:rsidR="001A13E2">
        <w:rPr>
          <w:sz w:val="22"/>
          <w:szCs w:val="22"/>
        </w:rPr>
        <w:t xml:space="preserve">niektorých </w:t>
      </w:r>
      <w:r w:rsidRPr="00DE7532">
        <w:rPr>
          <w:sz w:val="22"/>
          <w:szCs w:val="22"/>
        </w:rPr>
        <w:t>pacientov užívajúcich alfa</w:t>
      </w:r>
      <w:r w:rsidRPr="00DE7532">
        <w:rPr>
          <w:sz w:val="22"/>
          <w:szCs w:val="22"/>
          <w:vertAlign w:val="subscript"/>
        </w:rPr>
        <w:t>1</w:t>
      </w:r>
      <w:r w:rsidR="00267890">
        <w:rPr>
          <w:sz w:val="22"/>
          <w:szCs w:val="22"/>
        </w:rPr>
        <w:t>-</w:t>
      </w:r>
      <w:r w:rsidRPr="00DE7532">
        <w:rPr>
          <w:sz w:val="22"/>
          <w:szCs w:val="22"/>
        </w:rPr>
        <w:t xml:space="preserve">blokátory môže súčasné podanie </w:t>
      </w:r>
      <w:r w:rsidR="006F7044" w:rsidRPr="00DE7532">
        <w:rPr>
          <w:sz w:val="22"/>
          <w:szCs w:val="22"/>
        </w:rPr>
        <w:t>tadalafilu</w:t>
      </w:r>
      <w:r w:rsidRPr="00DE7532">
        <w:rPr>
          <w:sz w:val="22"/>
          <w:szCs w:val="22"/>
        </w:rPr>
        <w:t xml:space="preserve"> viesť k symptomatickej hypotenzii (pozri časť 4.5). Kombinácia tadalafilu </w:t>
      </w:r>
      <w:r w:rsidR="006F7044" w:rsidRPr="00DE7532">
        <w:rPr>
          <w:sz w:val="22"/>
          <w:szCs w:val="22"/>
        </w:rPr>
        <w:t>a</w:t>
      </w:r>
      <w:r w:rsidRPr="00DE7532">
        <w:rPr>
          <w:sz w:val="22"/>
          <w:szCs w:val="22"/>
        </w:rPr>
        <w:t xml:space="preserve"> doxazosín</w:t>
      </w:r>
      <w:r w:rsidR="006F7044" w:rsidRPr="00DE7532">
        <w:rPr>
          <w:sz w:val="22"/>
          <w:szCs w:val="22"/>
        </w:rPr>
        <w:t>u</w:t>
      </w:r>
      <w:r w:rsidRPr="00DE7532">
        <w:rPr>
          <w:sz w:val="22"/>
          <w:szCs w:val="22"/>
        </w:rPr>
        <w:t xml:space="preserve"> sa neodporúča.</w:t>
      </w:r>
    </w:p>
    <w:p w:rsidR="006F7044" w:rsidRPr="00DE7532" w:rsidRDefault="006F7044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Zrak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súvislosti s užitím </w:t>
      </w:r>
      <w:r w:rsidR="001007B6" w:rsidRPr="00DE7532">
        <w:rPr>
          <w:sz w:val="22"/>
          <w:szCs w:val="22"/>
        </w:rPr>
        <w:t>tadalafilu</w:t>
      </w:r>
      <w:r w:rsidRPr="00DE7532">
        <w:rPr>
          <w:sz w:val="22"/>
          <w:szCs w:val="22"/>
        </w:rPr>
        <w:t xml:space="preserve"> a iných inhibítorov PDE5 boli hlásené poruchy zraku a prípady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NAION. Pacient má byť poučený, aby v prípade náhlej poruchy videnia prestal užívať </w:t>
      </w:r>
      <w:r w:rsidR="004A24AE" w:rsidRPr="00DE7532">
        <w:rPr>
          <w:sz w:val="22"/>
          <w:szCs w:val="22"/>
        </w:rPr>
        <w:t>Tadalafil Accord</w:t>
      </w:r>
      <w:r w:rsidR="001007B6" w:rsidRPr="00DE7532">
        <w:rPr>
          <w:sz w:val="22"/>
          <w:szCs w:val="22"/>
        </w:rPr>
        <w:t xml:space="preserve"> filmom obalené tablety </w:t>
      </w:r>
      <w:r w:rsidRPr="00DE7532">
        <w:rPr>
          <w:sz w:val="22"/>
          <w:szCs w:val="22"/>
        </w:rPr>
        <w:t>a ihneď sa poradil s lekárom (pozri časť 4.3).</w:t>
      </w:r>
      <w:r w:rsidR="00924923" w:rsidRPr="00DE7532">
        <w:rPr>
          <w:sz w:val="22"/>
          <w:szCs w:val="22"/>
        </w:rPr>
        <w:t xml:space="preserve"> Pacienti so známymi hereditárnymi degeneratívnymi ochoreniami </w:t>
      </w:r>
      <w:r w:rsidR="0056755B">
        <w:rPr>
          <w:sz w:val="22"/>
          <w:szCs w:val="22"/>
        </w:rPr>
        <w:t xml:space="preserve">retiny </w:t>
      </w:r>
      <w:r w:rsidR="00924923" w:rsidRPr="00DE7532">
        <w:rPr>
          <w:sz w:val="22"/>
          <w:szCs w:val="22"/>
        </w:rPr>
        <w:t xml:space="preserve">vrátane </w:t>
      </w:r>
      <w:r w:rsidR="005C0784" w:rsidRPr="005C0784">
        <w:rPr>
          <w:i/>
          <w:sz w:val="22"/>
          <w:szCs w:val="22"/>
        </w:rPr>
        <w:t>retinitis pigmentosa</w:t>
      </w:r>
      <w:r w:rsidR="00924923" w:rsidRPr="00DE7532">
        <w:rPr>
          <w:sz w:val="22"/>
          <w:szCs w:val="22"/>
        </w:rPr>
        <w:t xml:space="preserve"> neboli zaradení do klinických</w:t>
      </w:r>
      <w:r w:rsidR="003D7355">
        <w:rPr>
          <w:sz w:val="22"/>
          <w:szCs w:val="22"/>
        </w:rPr>
        <w:t xml:space="preserve"> </w:t>
      </w:r>
      <w:r w:rsidR="00F40637">
        <w:rPr>
          <w:sz w:val="22"/>
          <w:szCs w:val="22"/>
        </w:rPr>
        <w:t>skúšaní</w:t>
      </w:r>
      <w:r w:rsidR="00924923" w:rsidRPr="00DE7532">
        <w:rPr>
          <w:sz w:val="22"/>
          <w:szCs w:val="22"/>
        </w:rPr>
        <w:t xml:space="preserve"> a </w:t>
      </w:r>
      <w:r w:rsidR="00F40637">
        <w:rPr>
          <w:sz w:val="22"/>
          <w:szCs w:val="22"/>
        </w:rPr>
        <w:t>užívanie sa týmto pacientom</w:t>
      </w:r>
      <w:r w:rsidR="00F40637" w:rsidRPr="008A5458">
        <w:rPr>
          <w:sz w:val="22"/>
          <w:szCs w:val="22"/>
        </w:rPr>
        <w:t xml:space="preserve">  </w:t>
      </w:r>
      <w:r w:rsidR="00924923" w:rsidRPr="00DE7532">
        <w:rPr>
          <w:sz w:val="22"/>
          <w:szCs w:val="22"/>
        </w:rPr>
        <w:t>neodporúča.</w:t>
      </w:r>
    </w:p>
    <w:p w:rsidR="001007B6" w:rsidRPr="00DE7532" w:rsidRDefault="001007B6" w:rsidP="00882187">
      <w:pPr>
        <w:rPr>
          <w:sz w:val="22"/>
          <w:szCs w:val="22"/>
          <w:u w:val="single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lastRenderedPageBreak/>
        <w:t>Poruchy funkcie obličiek a pečene</w:t>
      </w:r>
    </w:p>
    <w:p w:rsidR="00DB158F" w:rsidRPr="00DE7532" w:rsidRDefault="00DB158F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Z dôvodu zvýšenej expozície tadalafilu (AUC), obmedzenej klinickej skúsenosti a nedostatočnej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schopnosti ovplyvňovať klírens dialýzou, dávkovanie </w:t>
      </w:r>
      <w:r w:rsidR="004A24AE" w:rsidRPr="00DE7532">
        <w:rPr>
          <w:sz w:val="22"/>
          <w:szCs w:val="22"/>
        </w:rPr>
        <w:t>Tadalafil</w:t>
      </w:r>
      <w:r w:rsidR="00DB158F" w:rsidRPr="00DE7532">
        <w:rPr>
          <w:sz w:val="22"/>
          <w:szCs w:val="22"/>
        </w:rPr>
        <w:t>u</w:t>
      </w:r>
      <w:r w:rsidR="004A24AE" w:rsidRPr="00DE7532">
        <w:rPr>
          <w:sz w:val="22"/>
          <w:szCs w:val="22"/>
        </w:rPr>
        <w:t xml:space="preserve"> Accord</w:t>
      </w:r>
      <w:r w:rsidR="001007B6" w:rsidRPr="00DE7532">
        <w:rPr>
          <w:sz w:val="22"/>
          <w:szCs w:val="22"/>
        </w:rPr>
        <w:t xml:space="preserve"> filmom obalené tablety </w:t>
      </w:r>
      <w:r w:rsidRPr="00DE7532">
        <w:rPr>
          <w:sz w:val="22"/>
          <w:szCs w:val="22"/>
        </w:rPr>
        <w:t>jedenkrát denne sa neodporúča</w:t>
      </w:r>
      <w:r w:rsidR="001007B6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paciento</w:t>
      </w:r>
      <w:r w:rsidR="00F40637">
        <w:rPr>
          <w:sz w:val="22"/>
          <w:szCs w:val="22"/>
        </w:rPr>
        <w:t>m</w:t>
      </w:r>
      <w:r w:rsidRPr="00DE7532">
        <w:rPr>
          <w:sz w:val="22"/>
          <w:szCs w:val="22"/>
        </w:rPr>
        <w:t xml:space="preserve"> so závažnou poruchou funkcie obličiek.</w:t>
      </w:r>
    </w:p>
    <w:p w:rsidR="00DB158F" w:rsidRPr="00DE7532" w:rsidRDefault="00DB158F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O bezpečnosti použitia </w:t>
      </w:r>
      <w:r w:rsidR="001007B6" w:rsidRPr="00DE7532">
        <w:rPr>
          <w:sz w:val="22"/>
          <w:szCs w:val="22"/>
        </w:rPr>
        <w:t>tadalafilu</w:t>
      </w:r>
      <w:r w:rsidRPr="00DE7532">
        <w:rPr>
          <w:sz w:val="22"/>
          <w:szCs w:val="22"/>
        </w:rPr>
        <w:t xml:space="preserve"> jedenkrát denne u pacientov so závažnou hepatálnou insuficienciou</w:t>
      </w:r>
      <w:r w:rsidR="003D7355">
        <w:rPr>
          <w:sz w:val="22"/>
          <w:szCs w:val="22"/>
        </w:rPr>
        <w:t xml:space="preserve"> </w:t>
      </w:r>
      <w:r w:rsidR="00F40637" w:rsidRPr="008A5458">
        <w:rPr>
          <w:sz w:val="22"/>
          <w:szCs w:val="22"/>
        </w:rPr>
        <w:t>(Childov</w:t>
      </w:r>
      <w:r w:rsidR="00F40637">
        <w:rPr>
          <w:sz w:val="22"/>
          <w:szCs w:val="22"/>
        </w:rPr>
        <w:t>o</w:t>
      </w:r>
      <w:r w:rsidR="00F40637" w:rsidRPr="008A5458">
        <w:rPr>
          <w:sz w:val="22"/>
          <w:szCs w:val="22"/>
        </w:rPr>
        <w:t xml:space="preserve"> </w:t>
      </w:r>
      <w:r w:rsidR="00F40637">
        <w:rPr>
          <w:sz w:val="22"/>
          <w:szCs w:val="22"/>
        </w:rPr>
        <w:t>–</w:t>
      </w:r>
      <w:r w:rsidR="00F40637" w:rsidRPr="008A5458">
        <w:rPr>
          <w:sz w:val="22"/>
          <w:szCs w:val="22"/>
        </w:rPr>
        <w:t xml:space="preserve"> Pughov</w:t>
      </w:r>
      <w:r w:rsidR="00F40637">
        <w:rPr>
          <w:sz w:val="22"/>
          <w:szCs w:val="22"/>
        </w:rPr>
        <w:t>o skóre C</w:t>
      </w:r>
      <w:r w:rsidR="00F40637" w:rsidRPr="008A5458">
        <w:rPr>
          <w:sz w:val="22"/>
          <w:szCs w:val="22"/>
        </w:rPr>
        <w:t xml:space="preserve">) </w:t>
      </w:r>
      <w:r w:rsidRPr="00DE7532">
        <w:rPr>
          <w:sz w:val="22"/>
          <w:szCs w:val="22"/>
        </w:rPr>
        <w:t>sú dostupné obmedzené klinické údaje. Dávkovanie</w:t>
      </w:r>
      <w:r w:rsidR="003D7355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jedenkrát </w:t>
      </w:r>
      <w:r w:rsidR="00DB158F" w:rsidRPr="00DE7532">
        <w:rPr>
          <w:sz w:val="22"/>
          <w:szCs w:val="22"/>
        </w:rPr>
        <w:t xml:space="preserve">denne v liečbe erektilnej dysfunkcie </w:t>
      </w:r>
      <w:r w:rsidRPr="00DE7532">
        <w:rPr>
          <w:sz w:val="22"/>
          <w:szCs w:val="22"/>
        </w:rPr>
        <w:t>sa</w:t>
      </w:r>
      <w:r w:rsidR="001007B6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nehodnotilo u pacientov s hepatálnou insuficienciou.</w:t>
      </w:r>
      <w:r w:rsidR="00992C29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 prípade predpísania </w:t>
      </w:r>
      <w:r w:rsidR="004A24AE" w:rsidRPr="00DE7532">
        <w:rPr>
          <w:sz w:val="22"/>
          <w:szCs w:val="22"/>
        </w:rPr>
        <w:t>Tadalafil</w:t>
      </w:r>
      <w:r w:rsidR="00DB158F" w:rsidRPr="00DE7532">
        <w:rPr>
          <w:sz w:val="22"/>
          <w:szCs w:val="22"/>
        </w:rPr>
        <w:t>u</w:t>
      </w:r>
      <w:r w:rsidR="004A24AE" w:rsidRPr="00DE7532">
        <w:rPr>
          <w:sz w:val="22"/>
          <w:szCs w:val="22"/>
        </w:rPr>
        <w:t xml:space="preserve"> Accord</w:t>
      </w:r>
      <w:r w:rsidR="001007B6" w:rsidRPr="00DE7532">
        <w:rPr>
          <w:sz w:val="22"/>
          <w:szCs w:val="22"/>
        </w:rPr>
        <w:t xml:space="preserve"> filmom obalené tablety</w:t>
      </w:r>
      <w:r w:rsidRPr="00DE7532">
        <w:rPr>
          <w:sz w:val="22"/>
          <w:szCs w:val="22"/>
        </w:rPr>
        <w:t xml:space="preserve"> musí lekár</w:t>
      </w:r>
      <w:r w:rsidR="001007B6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individuálne dôsledne zvážiť pomer pr</w:t>
      </w:r>
      <w:r w:rsidR="00D528C2" w:rsidRPr="00DE7532">
        <w:rPr>
          <w:sz w:val="22"/>
          <w:szCs w:val="22"/>
        </w:rPr>
        <w:t>ínosu</w:t>
      </w:r>
      <w:r w:rsidRPr="00DE7532">
        <w:rPr>
          <w:sz w:val="22"/>
          <w:szCs w:val="22"/>
        </w:rPr>
        <w:t xml:space="preserve"> a rizika.</w:t>
      </w:r>
    </w:p>
    <w:p w:rsidR="001007B6" w:rsidRPr="00DE7532" w:rsidRDefault="001007B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Priapizmus a anatomická deformácia penisu</w:t>
      </w:r>
    </w:p>
    <w:p w:rsidR="00B7372B" w:rsidRPr="00DE7532" w:rsidRDefault="00B7372B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Pacientov, u ktorých trvá erekcia 4 hodiny a viac, je potrebné poučiť o nutnosti okamžitého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vyhľadania lekára. Ak nedôjde k okamžitej liečbe priapizmu, môže dôjsť k poškodeniu tkaniva penisu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a k trvalej strate potencie.</w:t>
      </w:r>
    </w:p>
    <w:p w:rsidR="00B7372B" w:rsidRPr="00DE7532" w:rsidRDefault="00B7372B" w:rsidP="00882187">
      <w:pPr>
        <w:rPr>
          <w:sz w:val="22"/>
          <w:szCs w:val="22"/>
        </w:rPr>
      </w:pPr>
    </w:p>
    <w:p w:rsidR="00882187" w:rsidRPr="00DE7532" w:rsidRDefault="004A24AE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Tadalafil Accord</w:t>
      </w:r>
      <w:r w:rsidR="001007B6" w:rsidRPr="00DE7532">
        <w:rPr>
          <w:sz w:val="22"/>
          <w:szCs w:val="22"/>
        </w:rPr>
        <w:t xml:space="preserve"> filmom obalené tablety </w:t>
      </w:r>
      <w:r w:rsidR="00882187" w:rsidRPr="00DE7532">
        <w:rPr>
          <w:sz w:val="22"/>
          <w:szCs w:val="22"/>
        </w:rPr>
        <w:t>je potrebné užívať s opatrnosťou u pacientov s anatomickými deformáciami penisu (ako je</w:t>
      </w:r>
      <w:r w:rsidR="001007B6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angulácia, fibróza kavernózny</w:t>
      </w:r>
      <w:r w:rsidR="001007B6" w:rsidRPr="00DE7532">
        <w:rPr>
          <w:sz w:val="22"/>
          <w:szCs w:val="22"/>
        </w:rPr>
        <w:t>c</w:t>
      </w:r>
      <w:r w:rsidR="00882187" w:rsidRPr="00DE7532">
        <w:rPr>
          <w:sz w:val="22"/>
          <w:szCs w:val="22"/>
        </w:rPr>
        <w:t xml:space="preserve">h telies alebo Peyronieho choroba) alebo u pacientov </w:t>
      </w:r>
      <w:r w:rsidR="00F40637">
        <w:rPr>
          <w:sz w:val="22"/>
          <w:szCs w:val="22"/>
        </w:rPr>
        <w:t xml:space="preserve">s </w:t>
      </w:r>
      <w:r w:rsidR="00882187" w:rsidRPr="00DE7532">
        <w:rPr>
          <w:sz w:val="22"/>
          <w:szCs w:val="22"/>
        </w:rPr>
        <w:t>ochoreniami, ktoré môžu predisponovať ku vzniku priapizmu (ako je kosáčiková anémia,</w:t>
      </w:r>
      <w:r w:rsidR="001007B6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mnohopočetný myelóm alebo leukémia).</w:t>
      </w:r>
    </w:p>
    <w:p w:rsidR="001007B6" w:rsidRPr="00DE7532" w:rsidRDefault="001007B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Použitie s inhibítormi CYP3A4</w:t>
      </w:r>
    </w:p>
    <w:p w:rsidR="00E321B6" w:rsidRPr="00DE7532" w:rsidRDefault="00E321B6" w:rsidP="00882187">
      <w:pPr>
        <w:rPr>
          <w:sz w:val="22"/>
          <w:szCs w:val="22"/>
        </w:rPr>
      </w:pPr>
    </w:p>
    <w:p w:rsidR="00E321B6" w:rsidRPr="00DE7532" w:rsidRDefault="00F40637" w:rsidP="00F40637">
      <w:pPr>
        <w:rPr>
          <w:sz w:val="22"/>
          <w:szCs w:val="22"/>
        </w:rPr>
      </w:pPr>
      <w:r>
        <w:rPr>
          <w:sz w:val="22"/>
          <w:szCs w:val="22"/>
        </w:rPr>
        <w:t>Pacientom</w:t>
      </w:r>
      <w:r w:rsidRPr="008A5458">
        <w:rPr>
          <w:sz w:val="22"/>
          <w:szCs w:val="22"/>
        </w:rPr>
        <w:t xml:space="preserve"> dlhodobo užívajúci</w:t>
      </w:r>
      <w:r>
        <w:rPr>
          <w:sz w:val="22"/>
          <w:szCs w:val="22"/>
        </w:rPr>
        <w:t>m</w:t>
      </w:r>
      <w:r w:rsidRPr="008A5458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silné in</w:t>
      </w:r>
      <w:r w:rsidR="00E321B6" w:rsidRPr="00DE7532">
        <w:rPr>
          <w:sz w:val="22"/>
          <w:szCs w:val="22"/>
        </w:rPr>
        <w:t>duktory</w:t>
      </w:r>
      <w:r w:rsidR="00882187" w:rsidRPr="00DE7532">
        <w:rPr>
          <w:sz w:val="22"/>
          <w:szCs w:val="22"/>
        </w:rPr>
        <w:t xml:space="preserve"> CYP3A4</w:t>
      </w:r>
      <w:r w:rsidR="00E321B6" w:rsidRPr="00DE7532">
        <w:rPr>
          <w:sz w:val="22"/>
          <w:szCs w:val="22"/>
        </w:rPr>
        <w:t xml:space="preserve"> ako je rifampicín sa použitie tadalafilu neodporúča (pozri časť 4.5).</w:t>
      </w:r>
    </w:p>
    <w:p w:rsidR="00E321B6" w:rsidRPr="00DE7532" w:rsidRDefault="00E321B6" w:rsidP="00882187">
      <w:pPr>
        <w:rPr>
          <w:sz w:val="22"/>
          <w:szCs w:val="22"/>
        </w:rPr>
      </w:pPr>
    </w:p>
    <w:p w:rsidR="001007B6" w:rsidRPr="00DE7532" w:rsidRDefault="00E321B6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Pri predpisovaní Tadalafilu Accord pacientom užívajúcim silné inhibítory CYP3A4 </w:t>
      </w:r>
      <w:r w:rsidR="001007B6" w:rsidRPr="00DE7532">
        <w:rPr>
          <w:sz w:val="22"/>
          <w:szCs w:val="22"/>
        </w:rPr>
        <w:t>(ritonavir, sa</w:t>
      </w:r>
      <w:r w:rsidR="00D528C2" w:rsidRPr="00DE7532">
        <w:rPr>
          <w:sz w:val="22"/>
          <w:szCs w:val="22"/>
        </w:rPr>
        <w:t>ch</w:t>
      </w:r>
      <w:r w:rsidR="001007B6" w:rsidRPr="00DE7532">
        <w:rPr>
          <w:sz w:val="22"/>
          <w:szCs w:val="22"/>
        </w:rPr>
        <w:t xml:space="preserve">inavir, ketokonazol, itrakonazol a erytromycín) je potrebná opatrnosť, </w:t>
      </w:r>
      <w:r w:rsidR="00882187" w:rsidRPr="00DE7532">
        <w:rPr>
          <w:sz w:val="22"/>
          <w:szCs w:val="22"/>
        </w:rPr>
        <w:t>keďže bola v kombinácii s týmito</w:t>
      </w:r>
      <w:r w:rsidR="001007B6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liekmi pozorovaná zvýšená </w:t>
      </w:r>
      <w:r w:rsidRPr="00DE7532">
        <w:rPr>
          <w:sz w:val="22"/>
          <w:szCs w:val="22"/>
        </w:rPr>
        <w:t>expozícia tadalafilu (AUC).</w:t>
      </w:r>
    </w:p>
    <w:p w:rsidR="00E321B6" w:rsidRPr="00DE7532" w:rsidRDefault="00E321B6" w:rsidP="00882187">
      <w:pPr>
        <w:rPr>
          <w:sz w:val="22"/>
          <w:szCs w:val="22"/>
        </w:rPr>
      </w:pPr>
    </w:p>
    <w:p w:rsidR="00882187" w:rsidRPr="00DE7532" w:rsidRDefault="004A24AE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Tadalafil Accord</w:t>
      </w:r>
      <w:r w:rsidR="001007B6" w:rsidRPr="00DE7532">
        <w:rPr>
          <w:sz w:val="22"/>
          <w:szCs w:val="22"/>
          <w:u w:val="single"/>
        </w:rPr>
        <w:t xml:space="preserve"> filmom obalené tablety </w:t>
      </w:r>
      <w:r w:rsidR="00882187" w:rsidRPr="00DE7532">
        <w:rPr>
          <w:sz w:val="22"/>
          <w:szCs w:val="22"/>
          <w:u w:val="single"/>
        </w:rPr>
        <w:t>a iné lieky na liečbu erektilnej dysfunkcie</w:t>
      </w:r>
    </w:p>
    <w:p w:rsidR="00E321B6" w:rsidRPr="00DE7532" w:rsidRDefault="00E321B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Bezpečnosť a účinnosť kombinovanej liečby </w:t>
      </w:r>
      <w:r w:rsidR="001007B6" w:rsidRPr="00DE7532">
        <w:rPr>
          <w:sz w:val="22"/>
          <w:szCs w:val="22"/>
        </w:rPr>
        <w:t>tadalafilom</w:t>
      </w:r>
      <w:r w:rsidRPr="00DE7532">
        <w:rPr>
          <w:sz w:val="22"/>
          <w:szCs w:val="22"/>
        </w:rPr>
        <w:t xml:space="preserve"> a inými PDE5 inhibítormi alebo inými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liekmi na liečbu erektilnej dysfunkcie nebola skúmaná.</w:t>
      </w:r>
      <w:r w:rsidR="001007B6" w:rsidRPr="00DE7532">
        <w:rPr>
          <w:sz w:val="22"/>
          <w:szCs w:val="22"/>
        </w:rPr>
        <w:t xml:space="preserve"> Pacienti majú byť poučení</w:t>
      </w:r>
      <w:r w:rsidRPr="00DE7532">
        <w:rPr>
          <w:sz w:val="22"/>
          <w:szCs w:val="22"/>
        </w:rPr>
        <w:t xml:space="preserve">, aby neužívali </w:t>
      </w:r>
      <w:r w:rsidR="004A24AE" w:rsidRPr="00DE7532">
        <w:rPr>
          <w:sz w:val="22"/>
          <w:szCs w:val="22"/>
        </w:rPr>
        <w:t>Tadalafil Accord</w:t>
      </w:r>
      <w:r w:rsidR="001007B6" w:rsidRPr="00DE7532">
        <w:rPr>
          <w:sz w:val="22"/>
          <w:szCs w:val="22"/>
        </w:rPr>
        <w:t xml:space="preserve"> filmom obalené tablety </w:t>
      </w:r>
      <w:r w:rsidRPr="00DE7532">
        <w:rPr>
          <w:sz w:val="22"/>
          <w:szCs w:val="22"/>
        </w:rPr>
        <w:t>v takýchto kombináciách.</w:t>
      </w:r>
    </w:p>
    <w:p w:rsidR="001007B6" w:rsidRPr="00DE7532" w:rsidRDefault="001007B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Laktóza</w:t>
      </w:r>
    </w:p>
    <w:p w:rsidR="00E321B6" w:rsidRPr="00DE7532" w:rsidRDefault="00E321B6" w:rsidP="00882187">
      <w:pPr>
        <w:rPr>
          <w:sz w:val="22"/>
          <w:szCs w:val="22"/>
        </w:rPr>
      </w:pPr>
    </w:p>
    <w:p w:rsidR="00BE75E2" w:rsidRPr="008A5458" w:rsidRDefault="004A24AE" w:rsidP="00BE75E2">
      <w:pPr>
        <w:rPr>
          <w:b/>
          <w:bCs/>
          <w:sz w:val="22"/>
          <w:szCs w:val="22"/>
        </w:rPr>
      </w:pPr>
      <w:r w:rsidRPr="00DE7532">
        <w:rPr>
          <w:sz w:val="22"/>
          <w:szCs w:val="22"/>
        </w:rPr>
        <w:t>Tadalafil Accord</w:t>
      </w:r>
      <w:r w:rsidR="005A4350" w:rsidRPr="00DE7532">
        <w:rPr>
          <w:sz w:val="22"/>
          <w:szCs w:val="22"/>
        </w:rPr>
        <w:t xml:space="preserve"> filmom obalené tablety </w:t>
      </w:r>
      <w:r w:rsidR="00882187" w:rsidRPr="00DE7532">
        <w:rPr>
          <w:sz w:val="22"/>
          <w:szCs w:val="22"/>
        </w:rPr>
        <w:t>obsahuj</w:t>
      </w:r>
      <w:r w:rsidR="005A4350" w:rsidRPr="00DE7532">
        <w:rPr>
          <w:sz w:val="22"/>
          <w:szCs w:val="22"/>
        </w:rPr>
        <w:t>ú</w:t>
      </w:r>
      <w:r w:rsidR="00882187" w:rsidRPr="00DE7532">
        <w:rPr>
          <w:sz w:val="22"/>
          <w:szCs w:val="22"/>
        </w:rPr>
        <w:t xml:space="preserve"> laktózu. </w:t>
      </w:r>
      <w:r w:rsidR="00BE75E2" w:rsidRPr="00013D9B">
        <w:rPr>
          <w:sz w:val="22"/>
          <w:szCs w:val="22"/>
          <w:lang w:val="pt-PT"/>
        </w:rPr>
        <w:t xml:space="preserve">Pacienti so zriedkavými dedičnými problémami </w:t>
      </w:r>
      <w:r w:rsidR="00BE75E2" w:rsidRPr="00013D9B">
        <w:rPr>
          <w:sz w:val="22"/>
          <w:szCs w:val="22"/>
        </w:rPr>
        <w:t>galaktózovej intolerancie, lapónskeho deficitu laktázy alebo glukózo-galaktózovej malabsorpcie nesmú</w:t>
      </w:r>
      <w:r w:rsidR="00BE75E2" w:rsidRPr="00013D9B">
        <w:rPr>
          <w:sz w:val="22"/>
          <w:szCs w:val="22"/>
          <w:lang w:val="pt-PT"/>
        </w:rPr>
        <w:t xml:space="preserve"> užívať tento liek</w:t>
      </w:r>
      <w:r w:rsidR="00BE75E2">
        <w:rPr>
          <w:sz w:val="22"/>
          <w:szCs w:val="22"/>
        </w:rPr>
        <w:t>.</w:t>
      </w:r>
    </w:p>
    <w:p w:rsidR="005A4350" w:rsidRPr="00DE7532" w:rsidRDefault="005A4350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4.5 </w:t>
      </w:r>
      <w:r w:rsidR="0084686A" w:rsidRPr="00DE7532">
        <w:rPr>
          <w:b/>
          <w:bCs/>
          <w:sz w:val="22"/>
          <w:szCs w:val="22"/>
        </w:rPr>
        <w:tab/>
        <w:t>Liekové a iné interakcie</w:t>
      </w:r>
    </w:p>
    <w:p w:rsidR="0084686A" w:rsidRPr="00DE7532" w:rsidRDefault="0084686A" w:rsidP="00882187">
      <w:pPr>
        <w:rPr>
          <w:b/>
          <w:bCs/>
          <w:sz w:val="22"/>
          <w:szCs w:val="22"/>
        </w:rPr>
      </w:pPr>
    </w:p>
    <w:p w:rsidR="00882187" w:rsidRPr="00DE7532" w:rsidRDefault="00BE75E2" w:rsidP="00882187">
      <w:pPr>
        <w:rPr>
          <w:sz w:val="22"/>
          <w:szCs w:val="22"/>
        </w:rPr>
      </w:pPr>
      <w:r>
        <w:rPr>
          <w:sz w:val="22"/>
          <w:szCs w:val="22"/>
        </w:rPr>
        <w:t>Nižšie uvedené sú i</w:t>
      </w:r>
      <w:r w:rsidR="00882187" w:rsidRPr="00DE7532">
        <w:rPr>
          <w:sz w:val="22"/>
          <w:szCs w:val="22"/>
        </w:rPr>
        <w:t>nterakčné štúdie</w:t>
      </w:r>
      <w:r>
        <w:rPr>
          <w:sz w:val="22"/>
          <w:szCs w:val="22"/>
        </w:rPr>
        <w:t>, ktoré</w:t>
      </w:r>
      <w:r w:rsidR="00882187" w:rsidRPr="00DE7532">
        <w:rPr>
          <w:sz w:val="22"/>
          <w:szCs w:val="22"/>
        </w:rPr>
        <w:t xml:space="preserve"> </w:t>
      </w:r>
      <w:r w:rsidR="0084686A" w:rsidRPr="00DE7532">
        <w:rPr>
          <w:sz w:val="22"/>
          <w:szCs w:val="22"/>
        </w:rPr>
        <w:t>sa</w:t>
      </w:r>
      <w:r w:rsidR="00882187" w:rsidRPr="00DE7532">
        <w:rPr>
          <w:sz w:val="22"/>
          <w:szCs w:val="22"/>
        </w:rPr>
        <w:t xml:space="preserve"> </w:t>
      </w:r>
      <w:r w:rsidR="0084686A" w:rsidRPr="00DE7532">
        <w:rPr>
          <w:sz w:val="22"/>
          <w:szCs w:val="22"/>
        </w:rPr>
        <w:t>uskutočnili</w:t>
      </w:r>
      <w:r w:rsidR="00882187" w:rsidRPr="00DE7532">
        <w:rPr>
          <w:sz w:val="22"/>
          <w:szCs w:val="22"/>
        </w:rPr>
        <w:t xml:space="preserve"> s dávkami 10 mg a/alebo 20 mg tadalafilu</w:t>
      </w:r>
      <w:r w:rsidR="00A46FFC">
        <w:rPr>
          <w:sz w:val="22"/>
          <w:szCs w:val="22"/>
        </w:rPr>
        <w:t xml:space="preserve">. </w:t>
      </w:r>
      <w:r w:rsidR="00882187" w:rsidRPr="00DE7532">
        <w:rPr>
          <w:sz w:val="22"/>
          <w:szCs w:val="22"/>
        </w:rPr>
        <w:t>Na</w:t>
      </w:r>
      <w:r w:rsidR="00A7563A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základe interakčných štúdií, </w:t>
      </w:r>
      <w:r w:rsidR="00A46FFC">
        <w:rPr>
          <w:sz w:val="22"/>
          <w:szCs w:val="22"/>
        </w:rPr>
        <w:t xml:space="preserve">v ktorých </w:t>
      </w:r>
      <w:r w:rsidR="00882187" w:rsidRPr="00DE7532">
        <w:rPr>
          <w:sz w:val="22"/>
          <w:szCs w:val="22"/>
        </w:rPr>
        <w:t>bola použitá iba dávka 10 mg</w:t>
      </w:r>
      <w:r w:rsidR="0084686A" w:rsidRPr="00DE7532">
        <w:rPr>
          <w:sz w:val="22"/>
          <w:szCs w:val="22"/>
        </w:rPr>
        <w:t xml:space="preserve"> tadalafilu</w:t>
      </w:r>
      <w:r w:rsidR="00882187" w:rsidRPr="00DE7532">
        <w:rPr>
          <w:sz w:val="22"/>
          <w:szCs w:val="22"/>
        </w:rPr>
        <w:t>, sa nedajú úplne vylúčiť klinicky</w:t>
      </w:r>
      <w:r w:rsidR="0084686A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relevantné interakcie pri vyšš</w:t>
      </w:r>
      <w:r w:rsidR="0084686A" w:rsidRPr="00DE7532">
        <w:rPr>
          <w:sz w:val="22"/>
          <w:szCs w:val="22"/>
        </w:rPr>
        <w:t>ích</w:t>
      </w:r>
      <w:r w:rsidR="00882187" w:rsidRPr="00DE7532">
        <w:rPr>
          <w:sz w:val="22"/>
          <w:szCs w:val="22"/>
        </w:rPr>
        <w:t xml:space="preserve"> dávk</w:t>
      </w:r>
      <w:r w:rsidR="0084686A" w:rsidRPr="00DE7532">
        <w:rPr>
          <w:sz w:val="22"/>
          <w:szCs w:val="22"/>
        </w:rPr>
        <w:t>ach</w:t>
      </w:r>
      <w:r w:rsidR="00882187" w:rsidRPr="00DE7532">
        <w:rPr>
          <w:sz w:val="22"/>
          <w:szCs w:val="22"/>
        </w:rPr>
        <w:t>.</w:t>
      </w:r>
    </w:p>
    <w:p w:rsidR="0084686A" w:rsidRPr="00DE7532" w:rsidRDefault="0084686A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Vplyv iných liečiv na tadalafil</w:t>
      </w:r>
    </w:p>
    <w:p w:rsidR="0084686A" w:rsidRPr="00DE7532" w:rsidRDefault="0084686A" w:rsidP="00882187">
      <w:pPr>
        <w:rPr>
          <w:i/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Inhibítory cytochrómu P450</w:t>
      </w:r>
    </w:p>
    <w:p w:rsidR="00E321B6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Tadalafil sa metabolizuje </w:t>
      </w:r>
      <w:r w:rsidR="00EE1AD6" w:rsidRPr="00DE7532">
        <w:rPr>
          <w:sz w:val="22"/>
          <w:szCs w:val="22"/>
        </w:rPr>
        <w:t>predovšetkým</w:t>
      </w:r>
      <w:r w:rsidRPr="00DE7532">
        <w:rPr>
          <w:sz w:val="22"/>
          <w:szCs w:val="22"/>
        </w:rPr>
        <w:t xml:space="preserve"> prostredníctvom CYP3A4. Selektívny inhibítor CYP3A4</w:t>
      </w:r>
      <w:r w:rsidR="001A6C2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ketokonazol (200 mg denne) zvýšil expozíciu (AUC) tadalafilu (10 mg) 2-násobne a </w:t>
      </w:r>
      <w:r w:rsidR="00E321B6" w:rsidRPr="00DE7532">
        <w:rPr>
          <w:sz w:val="22"/>
          <w:szCs w:val="22"/>
        </w:rPr>
        <w:t>C</w:t>
      </w:r>
      <w:r w:rsidRPr="00DE7532">
        <w:rPr>
          <w:sz w:val="22"/>
          <w:szCs w:val="22"/>
          <w:vertAlign w:val="subscript"/>
        </w:rPr>
        <w:t>max</w:t>
      </w:r>
      <w:r w:rsidRPr="00DE7532">
        <w:rPr>
          <w:sz w:val="22"/>
          <w:szCs w:val="22"/>
        </w:rPr>
        <w:t xml:space="preserve"> o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15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</w:t>
      </w:r>
      <w:r w:rsidR="001A6C25" w:rsidRPr="00DE7532">
        <w:rPr>
          <w:sz w:val="22"/>
          <w:szCs w:val="22"/>
        </w:rPr>
        <w:t xml:space="preserve">  </w:t>
      </w:r>
      <w:r w:rsidRPr="00DE7532">
        <w:rPr>
          <w:sz w:val="22"/>
          <w:szCs w:val="22"/>
        </w:rPr>
        <w:t xml:space="preserve">v porovnaní s hodnotami AUC a </w:t>
      </w:r>
      <w:r w:rsidR="00E321B6" w:rsidRPr="00DE7532">
        <w:rPr>
          <w:sz w:val="22"/>
          <w:szCs w:val="22"/>
        </w:rPr>
        <w:t>C</w:t>
      </w:r>
      <w:r w:rsidR="00EE1AD6" w:rsidRPr="00DE7532">
        <w:rPr>
          <w:sz w:val="22"/>
          <w:szCs w:val="22"/>
          <w:vertAlign w:val="subscript"/>
        </w:rPr>
        <w:t>max</w:t>
      </w:r>
      <w:r w:rsidRPr="00DE7532">
        <w:rPr>
          <w:sz w:val="22"/>
          <w:szCs w:val="22"/>
        </w:rPr>
        <w:t xml:space="preserve"> pre samotný tadalafil. Ketokonazol (400 mg denne) zvýšil</w:t>
      </w:r>
      <w:r w:rsidR="001A6C2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expozíciu (AUC) tadalafilu (20 mg) 4-násobne a </w:t>
      </w:r>
      <w:r w:rsidR="00E321B6" w:rsidRPr="00DE7532">
        <w:rPr>
          <w:sz w:val="22"/>
          <w:szCs w:val="22"/>
        </w:rPr>
        <w:t>C</w:t>
      </w:r>
      <w:r w:rsidR="00EE1AD6" w:rsidRPr="00DE7532">
        <w:rPr>
          <w:sz w:val="22"/>
          <w:szCs w:val="22"/>
          <w:vertAlign w:val="subscript"/>
        </w:rPr>
        <w:t>max</w:t>
      </w:r>
      <w:r w:rsidR="00EE1AD6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o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22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%. Inhibí</w:t>
      </w:r>
      <w:r w:rsidR="001A6C25" w:rsidRPr="00DE7532">
        <w:rPr>
          <w:sz w:val="22"/>
          <w:szCs w:val="22"/>
        </w:rPr>
        <w:t xml:space="preserve">tor proteázy ritonavir (200 mg dva </w:t>
      </w:r>
      <w:r w:rsidRPr="00DE7532">
        <w:rPr>
          <w:sz w:val="22"/>
          <w:szCs w:val="22"/>
        </w:rPr>
        <w:lastRenderedPageBreak/>
        <w:t>krát denne), ktorý je inhibítorom CYP3A4, CYP2C9, CYP2C19 a CYP2D6, zvýšil expozíciu (AUC)</w:t>
      </w:r>
      <w:r w:rsidR="001A6C2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tadalafilu (20 mg) 2-násobne bez zmeny </w:t>
      </w:r>
      <w:r w:rsidR="00E321B6" w:rsidRPr="00DE7532">
        <w:rPr>
          <w:sz w:val="22"/>
          <w:szCs w:val="22"/>
        </w:rPr>
        <w:t>C</w:t>
      </w:r>
      <w:r w:rsidR="00EE1AD6" w:rsidRPr="00DE7532">
        <w:rPr>
          <w:sz w:val="22"/>
          <w:szCs w:val="22"/>
          <w:vertAlign w:val="subscript"/>
        </w:rPr>
        <w:t>max</w:t>
      </w:r>
      <w:r w:rsidRPr="00DE7532">
        <w:rPr>
          <w:sz w:val="22"/>
          <w:szCs w:val="22"/>
        </w:rPr>
        <w:t xml:space="preserve">. </w:t>
      </w:r>
      <w:r w:rsidR="00E321B6" w:rsidRPr="00DE7532">
        <w:rPr>
          <w:sz w:val="22"/>
          <w:szCs w:val="22"/>
        </w:rPr>
        <w:t>Ritonavir (500 mg alebo 600 mg dvakrát denne) zvýšil expozíciu tadalafilu (20 mg) po jednorazovom podaní (AUC) o 32 % a C</w:t>
      </w:r>
      <w:r w:rsidR="00E321B6" w:rsidRPr="00267890">
        <w:rPr>
          <w:sz w:val="22"/>
          <w:szCs w:val="22"/>
          <w:vertAlign w:val="subscript"/>
        </w:rPr>
        <w:t xml:space="preserve">max </w:t>
      </w:r>
      <w:r w:rsidR="00267890">
        <w:rPr>
          <w:sz w:val="22"/>
          <w:szCs w:val="22"/>
          <w:vertAlign w:val="subscript"/>
        </w:rPr>
        <w:t xml:space="preserve"> </w:t>
      </w:r>
      <w:r w:rsidR="00E321B6" w:rsidRPr="00DE7532">
        <w:rPr>
          <w:sz w:val="22"/>
          <w:szCs w:val="22"/>
        </w:rPr>
        <w:t>znížil o</w:t>
      </w:r>
      <w:r w:rsidR="00F109D8">
        <w:rPr>
          <w:sz w:val="22"/>
          <w:szCs w:val="22"/>
        </w:rPr>
        <w:t> </w:t>
      </w:r>
      <w:r w:rsidR="00E321B6" w:rsidRPr="00DE7532">
        <w:rPr>
          <w:sz w:val="22"/>
          <w:szCs w:val="22"/>
        </w:rPr>
        <w:t>30</w:t>
      </w:r>
      <w:r w:rsidR="00F109D8">
        <w:rPr>
          <w:sz w:val="22"/>
          <w:szCs w:val="22"/>
        </w:rPr>
        <w:t xml:space="preserve"> </w:t>
      </w:r>
      <w:r w:rsidR="00E321B6" w:rsidRPr="00DE7532">
        <w:rPr>
          <w:sz w:val="22"/>
          <w:szCs w:val="22"/>
        </w:rPr>
        <w:t>%.</w:t>
      </w:r>
    </w:p>
    <w:p w:rsidR="00E321B6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Hoci špecifické interakcie neboli skúmané, ostatné</w:t>
      </w:r>
      <w:r w:rsidR="001A6C2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inhibítory proteázy, ako sa</w:t>
      </w:r>
      <w:r w:rsidR="00B56A41" w:rsidRPr="00DE7532">
        <w:rPr>
          <w:sz w:val="22"/>
          <w:szCs w:val="22"/>
        </w:rPr>
        <w:t>ch</w:t>
      </w:r>
      <w:r w:rsidRPr="00DE7532">
        <w:rPr>
          <w:sz w:val="22"/>
          <w:szCs w:val="22"/>
        </w:rPr>
        <w:t>inavir a iné inhibítory CYP3A4, ako erytromycín, klaritromycín,</w:t>
      </w:r>
      <w:r w:rsidR="001A6C2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itrakonazol a grapefruitová šťava sa spolu s tadalafilom majú používať opatrne, pretože je možné</w:t>
      </w:r>
      <w:r w:rsidR="001A6C2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predpokladať, že by mohli zvyšovať plazmatické koncentrácie tadalafilu (pozri časť 4.4). </w:t>
      </w:r>
    </w:p>
    <w:p w:rsidR="00882187" w:rsidRPr="00DE7532" w:rsidRDefault="00EE1AD6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dôsledku toho </w:t>
      </w:r>
      <w:r w:rsidR="00882187" w:rsidRPr="00DE7532">
        <w:rPr>
          <w:sz w:val="22"/>
          <w:szCs w:val="22"/>
        </w:rPr>
        <w:t xml:space="preserve">sa môže zvýšiť výskyt nežiaducich </w:t>
      </w:r>
      <w:r w:rsidRPr="00DE7532">
        <w:rPr>
          <w:sz w:val="22"/>
          <w:szCs w:val="22"/>
        </w:rPr>
        <w:t>účinkov</w:t>
      </w:r>
      <w:r w:rsidR="00882187" w:rsidRPr="00DE7532">
        <w:rPr>
          <w:sz w:val="22"/>
          <w:szCs w:val="22"/>
        </w:rPr>
        <w:t xml:space="preserve"> popísaných v časti 4.8.</w:t>
      </w:r>
    </w:p>
    <w:p w:rsidR="00EE1AD6" w:rsidRPr="00DE7532" w:rsidRDefault="00EE1AD6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 </w:t>
      </w: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Transportné proteíny</w:t>
      </w:r>
    </w:p>
    <w:p w:rsidR="00101D4D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Úloha transportných proteínov (napr. </w:t>
      </w:r>
      <w:r w:rsidR="00A46FFC">
        <w:rPr>
          <w:sz w:val="22"/>
          <w:szCs w:val="22"/>
        </w:rPr>
        <w:t>P</w:t>
      </w:r>
      <w:r w:rsidRPr="00DE7532">
        <w:rPr>
          <w:sz w:val="22"/>
          <w:szCs w:val="22"/>
        </w:rPr>
        <w:t>-glykoproteínu) pri distribúcii tadalafilu nie je známa. Aj tak</w:t>
      </w:r>
      <w:r w:rsidR="001A6C2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však existuje potenciál liekových interakcií sprostredkovaných inhibíciou transportných proteínov.</w:t>
      </w:r>
      <w:r w:rsidR="001A6C25" w:rsidRPr="00DE7532">
        <w:rPr>
          <w:sz w:val="22"/>
          <w:szCs w:val="22"/>
        </w:rPr>
        <w:t xml:space="preserve"> </w:t>
      </w:r>
    </w:p>
    <w:p w:rsidR="001A6C25" w:rsidRPr="00DE7532" w:rsidRDefault="001A6C25" w:rsidP="00882187">
      <w:pPr>
        <w:rPr>
          <w:i/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Induktory cytochrómu P450</w:t>
      </w:r>
    </w:p>
    <w:p w:rsidR="00882187" w:rsidRPr="00DE7532" w:rsidRDefault="00101D4D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I</w:t>
      </w:r>
      <w:r w:rsidR="00882187" w:rsidRPr="00DE7532">
        <w:rPr>
          <w:sz w:val="22"/>
          <w:szCs w:val="22"/>
        </w:rPr>
        <w:t>nduktor CYP3A4</w:t>
      </w:r>
      <w:r w:rsidRPr="00DE7532">
        <w:rPr>
          <w:sz w:val="22"/>
          <w:szCs w:val="22"/>
        </w:rPr>
        <w:t xml:space="preserve"> rifampicín</w:t>
      </w:r>
      <w:r w:rsidR="00882187" w:rsidRPr="00DE7532">
        <w:rPr>
          <w:sz w:val="22"/>
          <w:szCs w:val="22"/>
        </w:rPr>
        <w:t xml:space="preserve"> znížil hodnotu AUC tadalafilu o</w:t>
      </w:r>
      <w:r w:rsidR="00F109D8">
        <w:rPr>
          <w:sz w:val="22"/>
          <w:szCs w:val="22"/>
        </w:rPr>
        <w:t> </w:t>
      </w:r>
      <w:r w:rsidR="00882187" w:rsidRPr="00DE7532">
        <w:rPr>
          <w:sz w:val="22"/>
          <w:szCs w:val="22"/>
        </w:rPr>
        <w:t>88</w:t>
      </w:r>
      <w:r w:rsidR="00F109D8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% v porovnaní</w:t>
      </w:r>
      <w:r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s hodnotami AUC po podaní samotného tadalafilu (10 mg). Predpokladá sa, že táto znížená expozícia</w:t>
      </w:r>
      <w:r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zníži účinok tadalafilu, rozsah zníženia účinku nie je známy. Iné induktory CYP3A4, ako sú</w:t>
      </w:r>
      <w:r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fenobarbital, fenytoín a</w:t>
      </w:r>
      <w:r w:rsidR="00B56A41" w:rsidRPr="00DE7532">
        <w:rPr>
          <w:sz w:val="22"/>
          <w:szCs w:val="22"/>
        </w:rPr>
        <w:t> </w:t>
      </w:r>
      <w:r w:rsidR="00882187" w:rsidRPr="00DE7532">
        <w:rPr>
          <w:sz w:val="22"/>
          <w:szCs w:val="22"/>
        </w:rPr>
        <w:t>karbamazepín</w:t>
      </w:r>
      <w:r w:rsidR="00B56A41" w:rsidRPr="00DE7532">
        <w:rPr>
          <w:sz w:val="22"/>
          <w:szCs w:val="22"/>
        </w:rPr>
        <w:t>,</w:t>
      </w:r>
      <w:r w:rsidR="00882187" w:rsidRPr="00DE7532">
        <w:rPr>
          <w:sz w:val="22"/>
          <w:szCs w:val="22"/>
        </w:rPr>
        <w:t xml:space="preserve"> môžu taktiež znížiť plazmatické koncentrácie tadalafilu.</w:t>
      </w:r>
    </w:p>
    <w:p w:rsidR="00101D4D" w:rsidRPr="00DE7532" w:rsidRDefault="00101D4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Vplyv tadalafilu na iné lieky</w:t>
      </w:r>
    </w:p>
    <w:p w:rsidR="00101D4D" w:rsidRPr="00DE7532" w:rsidRDefault="00101D4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Nitráty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klinických </w:t>
      </w:r>
      <w:r w:rsidR="00A46FFC">
        <w:rPr>
          <w:sz w:val="22"/>
          <w:szCs w:val="22"/>
        </w:rPr>
        <w:t>skúšaniach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sa zistilo, že tadalafil (5, 10 a 20 mg) zosilňuje hypotenz</w:t>
      </w:r>
      <w:r w:rsidR="00A46FFC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A46FFC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účinky nitrátov.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Z toho dôvodu je kontraindikované podávanie </w:t>
      </w:r>
      <w:r w:rsidR="00E321B6" w:rsidRPr="00DE7532">
        <w:rPr>
          <w:sz w:val="22"/>
          <w:szCs w:val="22"/>
        </w:rPr>
        <w:t>T</w:t>
      </w:r>
      <w:r w:rsidR="00531625" w:rsidRPr="00DE7532">
        <w:rPr>
          <w:sz w:val="22"/>
          <w:szCs w:val="22"/>
        </w:rPr>
        <w:t>adalafilu</w:t>
      </w:r>
      <w:r w:rsidRPr="00DE7532">
        <w:rPr>
          <w:sz w:val="22"/>
          <w:szCs w:val="22"/>
        </w:rPr>
        <w:t xml:space="preserve"> </w:t>
      </w:r>
      <w:r w:rsidR="00E321B6" w:rsidRPr="00DE7532">
        <w:rPr>
          <w:sz w:val="22"/>
          <w:szCs w:val="22"/>
        </w:rPr>
        <w:t xml:space="preserve">Accord </w:t>
      </w:r>
      <w:r w:rsidRPr="00DE7532">
        <w:rPr>
          <w:sz w:val="22"/>
          <w:szCs w:val="22"/>
        </w:rPr>
        <w:t>pacientom, ktorí užívajú organický nitrát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 akejkoľvek forme (pozri časť 4.3). </w:t>
      </w:r>
      <w:r w:rsidR="00531625" w:rsidRPr="00DE7532">
        <w:rPr>
          <w:sz w:val="22"/>
          <w:szCs w:val="22"/>
        </w:rPr>
        <w:t>Na základe</w:t>
      </w:r>
      <w:r w:rsidRPr="00DE7532">
        <w:rPr>
          <w:sz w:val="22"/>
          <w:szCs w:val="22"/>
        </w:rPr>
        <w:t xml:space="preserve"> výsledkov </w:t>
      </w:r>
      <w:r w:rsidR="00A46FFC" w:rsidRPr="00DE7532">
        <w:rPr>
          <w:sz w:val="22"/>
          <w:szCs w:val="22"/>
        </w:rPr>
        <w:t>klinick</w:t>
      </w:r>
      <w:r w:rsidR="00A46FFC">
        <w:rPr>
          <w:sz w:val="22"/>
          <w:szCs w:val="22"/>
        </w:rPr>
        <w:t>ého</w:t>
      </w:r>
      <w:r w:rsidR="00A46FFC" w:rsidRPr="00DE7532">
        <w:rPr>
          <w:sz w:val="22"/>
          <w:szCs w:val="22"/>
        </w:rPr>
        <w:t xml:space="preserve"> </w:t>
      </w:r>
      <w:r w:rsidR="00A46FFC">
        <w:rPr>
          <w:sz w:val="22"/>
          <w:szCs w:val="22"/>
        </w:rPr>
        <w:t>skúšania</w:t>
      </w:r>
      <w:r w:rsidRPr="00DE7532">
        <w:rPr>
          <w:sz w:val="22"/>
          <w:szCs w:val="22"/>
        </w:rPr>
        <w:t>, v ktorej 150 jednotlivcov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užívalo po dobu 7 dní v rôznych časoch dennú dávku 20 mg tadalafilu a 0,4 mg sublingválneho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nitroglycerínu bolo zistené, že interakcia pretrvávala </w:t>
      </w:r>
      <w:r w:rsidR="00A46FFC">
        <w:rPr>
          <w:sz w:val="22"/>
          <w:szCs w:val="22"/>
        </w:rPr>
        <w:t>viac</w:t>
      </w:r>
      <w:r w:rsidRPr="00DE7532">
        <w:rPr>
          <w:sz w:val="22"/>
          <w:szCs w:val="22"/>
        </w:rPr>
        <w:t xml:space="preserve"> ako 24 hodín, ale nebola už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zaznamenaná po uplynutí 48 hodín od poslednej dávky tadalafilu. U pacienta užívajúceho akúkoľvek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dávku </w:t>
      </w:r>
      <w:r w:rsidR="00E321B6" w:rsidRPr="00DE7532">
        <w:rPr>
          <w:sz w:val="22"/>
          <w:szCs w:val="22"/>
        </w:rPr>
        <w:t>T</w:t>
      </w:r>
      <w:r w:rsidR="00531625" w:rsidRPr="00DE7532">
        <w:rPr>
          <w:sz w:val="22"/>
          <w:szCs w:val="22"/>
        </w:rPr>
        <w:t>adalafilu</w:t>
      </w:r>
      <w:r w:rsidRPr="00DE7532">
        <w:rPr>
          <w:sz w:val="22"/>
          <w:szCs w:val="22"/>
        </w:rPr>
        <w:t xml:space="preserve"> </w:t>
      </w:r>
      <w:r w:rsidR="00E321B6" w:rsidRPr="00DE7532">
        <w:rPr>
          <w:sz w:val="22"/>
          <w:szCs w:val="22"/>
        </w:rPr>
        <w:t xml:space="preserve">Accord (2,5 mg až </w:t>
      </w:r>
      <w:r w:rsidRPr="00DE7532">
        <w:rPr>
          <w:sz w:val="22"/>
          <w:szCs w:val="22"/>
        </w:rPr>
        <w:t xml:space="preserve">20 mg), </w:t>
      </w:r>
      <w:r w:rsidR="00A46FFC">
        <w:rPr>
          <w:sz w:val="22"/>
          <w:szCs w:val="22"/>
        </w:rPr>
        <w:t xml:space="preserve">keď </w:t>
      </w:r>
      <w:r w:rsidRPr="00DE7532">
        <w:rPr>
          <w:sz w:val="22"/>
          <w:szCs w:val="22"/>
        </w:rPr>
        <w:t>sa v život ohrozujúcej situácii javí podanie nitrátov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z </w:t>
      </w:r>
      <w:r w:rsidR="00992C29" w:rsidRPr="00DE7532">
        <w:rPr>
          <w:sz w:val="22"/>
          <w:szCs w:val="22"/>
        </w:rPr>
        <w:t>medicínskeho</w:t>
      </w:r>
      <w:r w:rsidRPr="00DE7532">
        <w:rPr>
          <w:sz w:val="22"/>
          <w:szCs w:val="22"/>
        </w:rPr>
        <w:t xml:space="preserve"> hľadiska</w:t>
      </w:r>
      <w:r w:rsidR="00531625" w:rsidRPr="00DE7532">
        <w:rPr>
          <w:sz w:val="22"/>
          <w:szCs w:val="22"/>
        </w:rPr>
        <w:t xml:space="preserve"> ako</w:t>
      </w:r>
      <w:r w:rsidRPr="00DE7532">
        <w:rPr>
          <w:sz w:val="22"/>
          <w:szCs w:val="22"/>
        </w:rPr>
        <w:t xml:space="preserve"> nevyhnutné, </w:t>
      </w:r>
      <w:r w:rsidR="00531625" w:rsidRPr="00DE7532">
        <w:rPr>
          <w:sz w:val="22"/>
          <w:szCs w:val="22"/>
        </w:rPr>
        <w:t>má</w:t>
      </w:r>
      <w:r w:rsidRPr="00DE7532">
        <w:rPr>
          <w:sz w:val="22"/>
          <w:szCs w:val="22"/>
        </w:rPr>
        <w:t xml:space="preserve"> pred podaním nitrátov uplynúť od užitia poslednej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dávky </w:t>
      </w:r>
      <w:r w:rsidR="00E321B6" w:rsidRPr="00DE7532">
        <w:rPr>
          <w:sz w:val="22"/>
          <w:szCs w:val="22"/>
        </w:rPr>
        <w:t>T</w:t>
      </w:r>
      <w:r w:rsidR="00531625" w:rsidRPr="00DE7532">
        <w:rPr>
          <w:sz w:val="22"/>
          <w:szCs w:val="22"/>
        </w:rPr>
        <w:t>adalafilu</w:t>
      </w:r>
      <w:r w:rsidRPr="00DE7532">
        <w:rPr>
          <w:sz w:val="22"/>
          <w:szCs w:val="22"/>
        </w:rPr>
        <w:t xml:space="preserve"> </w:t>
      </w:r>
      <w:r w:rsidR="00E321B6" w:rsidRPr="00DE7532">
        <w:rPr>
          <w:sz w:val="22"/>
          <w:szCs w:val="22"/>
        </w:rPr>
        <w:t>Accord a</w:t>
      </w:r>
      <w:r w:rsidRPr="00DE7532">
        <w:rPr>
          <w:sz w:val="22"/>
          <w:szCs w:val="22"/>
        </w:rPr>
        <w:t xml:space="preserve">spoň 48 hodín. Za týchto okolností je možné </w:t>
      </w:r>
      <w:r w:rsidR="00A46FFC">
        <w:rPr>
          <w:sz w:val="22"/>
          <w:szCs w:val="22"/>
        </w:rPr>
        <w:t>podať</w:t>
      </w:r>
      <w:r w:rsidR="00A46FF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nitráty, </w:t>
      </w:r>
      <w:r w:rsidR="00A46FFC">
        <w:rPr>
          <w:sz w:val="22"/>
          <w:szCs w:val="22"/>
        </w:rPr>
        <w:t>ale</w:t>
      </w:r>
      <w:r w:rsidR="00A46FF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iba pod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priamym lekárskym dohľadom a za náležitého monitorovania hemodynamických funkcií.</w:t>
      </w:r>
    </w:p>
    <w:p w:rsidR="00101D4D" w:rsidRPr="00DE7532" w:rsidRDefault="00101D4D" w:rsidP="00882187">
      <w:pPr>
        <w:rPr>
          <w:sz w:val="22"/>
          <w:szCs w:val="22"/>
        </w:rPr>
      </w:pPr>
    </w:p>
    <w:p w:rsidR="00882187" w:rsidRPr="00DE7532" w:rsidRDefault="00531625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Antihypertenzíva (</w:t>
      </w:r>
      <w:r w:rsidR="00882187" w:rsidRPr="00DE7532">
        <w:rPr>
          <w:i/>
          <w:iCs/>
          <w:sz w:val="22"/>
          <w:szCs w:val="22"/>
        </w:rPr>
        <w:t xml:space="preserve">vrátane blokátorov </w:t>
      </w:r>
      <w:r w:rsidR="004C6732" w:rsidRPr="00DE7532">
        <w:rPr>
          <w:i/>
          <w:iCs/>
          <w:sz w:val="22"/>
          <w:szCs w:val="22"/>
        </w:rPr>
        <w:t>vápnikového</w:t>
      </w:r>
      <w:r w:rsidR="00882187" w:rsidRPr="00DE7532">
        <w:rPr>
          <w:i/>
          <w:iCs/>
          <w:sz w:val="22"/>
          <w:szCs w:val="22"/>
        </w:rPr>
        <w:t xml:space="preserve"> kanála)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Súčasné podanie doxazosínu (4 a 8 mg denne) a tadalafilu (5 mg denná dávka a 20 mg ako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jednorazová dávka) signifikantne zvyšuje hypotenz</w:t>
      </w:r>
      <w:r w:rsidR="00267890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267890">
        <w:rPr>
          <w:sz w:val="22"/>
          <w:szCs w:val="22"/>
        </w:rPr>
        <w:t>y</w:t>
      </w:r>
      <w:r w:rsidRPr="00DE7532">
        <w:rPr>
          <w:sz w:val="22"/>
          <w:szCs w:val="22"/>
        </w:rPr>
        <w:t xml:space="preserve"> účinok tohto alfablokátora.</w:t>
      </w:r>
      <w:r w:rsidR="004C6732" w:rsidRPr="00DE7532">
        <w:rPr>
          <w:sz w:val="22"/>
          <w:szCs w:val="22"/>
        </w:rPr>
        <w:t xml:space="preserve"> </w:t>
      </w:r>
      <w:r w:rsidR="00797466">
        <w:rPr>
          <w:sz w:val="22"/>
          <w:szCs w:val="22"/>
        </w:rPr>
        <w:t>Ú</w:t>
      </w:r>
      <w:r w:rsidR="00797466" w:rsidRPr="00A97DFF">
        <w:rPr>
          <w:sz w:val="22"/>
          <w:szCs w:val="22"/>
        </w:rPr>
        <w:t xml:space="preserve">činok trvá </w:t>
      </w:r>
      <w:r w:rsidR="00797466">
        <w:rPr>
          <w:sz w:val="22"/>
          <w:szCs w:val="22"/>
        </w:rPr>
        <w:t>najmenej</w:t>
      </w:r>
      <w:r w:rsidR="00797466" w:rsidRPr="00A97DFF">
        <w:rPr>
          <w:sz w:val="22"/>
          <w:szCs w:val="22"/>
        </w:rPr>
        <w:t xml:space="preserve"> dvanásť hodín a môže byť symptomatický</w:t>
      </w:r>
      <w:r w:rsidR="00797466">
        <w:rPr>
          <w:sz w:val="22"/>
          <w:szCs w:val="22"/>
        </w:rPr>
        <w:t>,</w:t>
      </w:r>
      <w:r w:rsidR="00797466" w:rsidRPr="00A97DFF">
        <w:rPr>
          <w:sz w:val="22"/>
          <w:szCs w:val="22"/>
        </w:rPr>
        <w:t xml:space="preserve"> </w:t>
      </w:r>
      <w:r w:rsidR="00797466">
        <w:rPr>
          <w:sz w:val="22"/>
          <w:szCs w:val="22"/>
        </w:rPr>
        <w:t>objaviť sa môže</w:t>
      </w:r>
      <w:r w:rsidR="00797466" w:rsidRPr="00A97DFF">
        <w:rPr>
          <w:sz w:val="22"/>
          <w:szCs w:val="22"/>
        </w:rPr>
        <w:t xml:space="preserve"> synkop</w:t>
      </w:r>
      <w:r w:rsidR="00797466">
        <w:rPr>
          <w:sz w:val="22"/>
          <w:szCs w:val="22"/>
        </w:rPr>
        <w:t xml:space="preserve">a. </w:t>
      </w:r>
      <w:r w:rsidRPr="00DE7532">
        <w:rPr>
          <w:sz w:val="22"/>
          <w:szCs w:val="22"/>
        </w:rPr>
        <w:t>Preto sa táto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kombinácia neodporúča (pozri časť 4.4).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interakčných štúdiách vykonaných </w:t>
      </w:r>
      <w:r w:rsidR="00797466">
        <w:rPr>
          <w:sz w:val="22"/>
          <w:szCs w:val="22"/>
        </w:rPr>
        <w:t xml:space="preserve"> na </w:t>
      </w:r>
      <w:r w:rsidR="00797466" w:rsidRPr="00DE7532">
        <w:rPr>
          <w:sz w:val="22"/>
          <w:szCs w:val="22"/>
        </w:rPr>
        <w:t>limitovan</w:t>
      </w:r>
      <w:r w:rsidR="00797466">
        <w:rPr>
          <w:sz w:val="22"/>
          <w:szCs w:val="22"/>
        </w:rPr>
        <w:t>om</w:t>
      </w:r>
      <w:r w:rsidR="00797466" w:rsidRPr="00DE7532">
        <w:rPr>
          <w:sz w:val="22"/>
          <w:szCs w:val="22"/>
        </w:rPr>
        <w:t xml:space="preserve"> počt</w:t>
      </w:r>
      <w:r w:rsidR="00797466">
        <w:rPr>
          <w:sz w:val="22"/>
          <w:szCs w:val="22"/>
        </w:rPr>
        <w:t>e</w:t>
      </w:r>
      <w:r w:rsidR="00797466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zdravých dobrovoľníkov neboli tieto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účinky hlásené pri alfuzosíne alebo tamsulozíne. Avšak pozornosť treba venovať pri používaní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tadalafilu u paci</w:t>
      </w:r>
      <w:r w:rsidR="00B6245F" w:rsidRPr="00DE7532">
        <w:rPr>
          <w:sz w:val="22"/>
          <w:szCs w:val="22"/>
        </w:rPr>
        <w:t xml:space="preserve">entov liečených alfablokátormi, </w:t>
      </w:r>
      <w:r w:rsidRPr="00DE7532">
        <w:rPr>
          <w:sz w:val="22"/>
          <w:szCs w:val="22"/>
        </w:rPr>
        <w:t>a najmä u starších osôb. Liečbu treba začať</w:t>
      </w:r>
      <w:r w:rsidR="004C673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s minimálnou dávkou a postupne </w:t>
      </w:r>
      <w:r w:rsidR="00797466">
        <w:rPr>
          <w:sz w:val="22"/>
          <w:szCs w:val="22"/>
        </w:rPr>
        <w:t xml:space="preserve">ju </w:t>
      </w:r>
      <w:r w:rsidRPr="00DE7532">
        <w:rPr>
          <w:sz w:val="22"/>
          <w:szCs w:val="22"/>
        </w:rPr>
        <w:t>upraviť.</w:t>
      </w:r>
    </w:p>
    <w:p w:rsidR="00B6245F" w:rsidRPr="00DE7532" w:rsidRDefault="00B6245F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V klinicko-farmakologických štúdiách sa skúmala schopnosť tadalafilu zosilniť hypotenz</w:t>
      </w:r>
      <w:r w:rsidR="00797466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797466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účinky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antihypertenz</w:t>
      </w:r>
      <w:r w:rsidR="0056755B">
        <w:rPr>
          <w:sz w:val="22"/>
          <w:szCs w:val="22"/>
        </w:rPr>
        <w:t>ívny</w:t>
      </w:r>
      <w:r w:rsidRPr="00DE7532">
        <w:rPr>
          <w:sz w:val="22"/>
          <w:szCs w:val="22"/>
        </w:rPr>
        <w:t>ch liekov. Skúmal sa pritom vplyv na hlavné skupiny antihypertenz</w:t>
      </w:r>
      <w:r w:rsidR="00797466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A7563A">
        <w:rPr>
          <w:sz w:val="22"/>
          <w:szCs w:val="22"/>
        </w:rPr>
        <w:t>y</w:t>
      </w:r>
      <w:r w:rsidRPr="00DE7532">
        <w:rPr>
          <w:sz w:val="22"/>
          <w:szCs w:val="22"/>
        </w:rPr>
        <w:t>ch liekov,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vrátane </w:t>
      </w:r>
      <w:r w:rsidR="00B6245F" w:rsidRPr="00DE7532">
        <w:rPr>
          <w:sz w:val="22"/>
          <w:szCs w:val="22"/>
        </w:rPr>
        <w:t xml:space="preserve">blokátorov </w:t>
      </w:r>
      <w:r w:rsidR="004C6732" w:rsidRPr="00DE7532">
        <w:rPr>
          <w:iCs/>
          <w:sz w:val="22"/>
          <w:szCs w:val="22"/>
        </w:rPr>
        <w:t>vápnikového</w:t>
      </w:r>
      <w:r w:rsidR="004C6732" w:rsidRPr="00DE7532">
        <w:rPr>
          <w:i/>
          <w:iCs/>
          <w:sz w:val="22"/>
          <w:szCs w:val="22"/>
        </w:rPr>
        <w:t xml:space="preserve"> </w:t>
      </w:r>
      <w:r w:rsidRPr="00DE7532">
        <w:rPr>
          <w:sz w:val="22"/>
          <w:szCs w:val="22"/>
        </w:rPr>
        <w:t>kanála (amlodipín), inhibítorov enzýmu konvertujúceho angiotenzín</w:t>
      </w:r>
      <w:r w:rsidR="009C221F" w:rsidRPr="00DE7532">
        <w:rPr>
          <w:sz w:val="22"/>
          <w:szCs w:val="22"/>
        </w:rPr>
        <w:t xml:space="preserve"> (ACE) </w:t>
      </w:r>
      <w:r w:rsidR="0056755B">
        <w:rPr>
          <w:sz w:val="22"/>
          <w:szCs w:val="22"/>
        </w:rPr>
        <w:t>(enalapril), beta</w:t>
      </w:r>
      <w:r w:rsidRPr="00DE7532">
        <w:rPr>
          <w:sz w:val="22"/>
          <w:szCs w:val="22"/>
        </w:rPr>
        <w:t>blokátorov (metoprolol), tiazidových diuretík (bendrofluazid) a blokátorov receptorov</w:t>
      </w:r>
      <w:r w:rsidR="009C221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angiotenzínu II (rozličné typy a dávky, podávané samostatne alebo v kombinácii s tiazidmi,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blokátormi </w:t>
      </w:r>
      <w:r w:rsidR="00194BE0" w:rsidRPr="00DE7532">
        <w:rPr>
          <w:iCs/>
          <w:sz w:val="22"/>
          <w:szCs w:val="22"/>
        </w:rPr>
        <w:t>vápnikového</w:t>
      </w:r>
      <w:r w:rsidR="00194BE0" w:rsidRPr="00DE7532">
        <w:rPr>
          <w:i/>
          <w:iCs/>
          <w:sz w:val="22"/>
          <w:szCs w:val="22"/>
        </w:rPr>
        <w:t xml:space="preserve"> </w:t>
      </w:r>
      <w:r w:rsidRPr="00DE7532">
        <w:rPr>
          <w:sz w:val="22"/>
          <w:szCs w:val="22"/>
        </w:rPr>
        <w:t>kanál</w:t>
      </w:r>
      <w:r w:rsidR="0056755B">
        <w:rPr>
          <w:sz w:val="22"/>
          <w:szCs w:val="22"/>
        </w:rPr>
        <w:t>a, betablokátormi a/alebo alfa</w:t>
      </w:r>
      <w:r w:rsidRPr="00DE7532">
        <w:rPr>
          <w:sz w:val="22"/>
          <w:szCs w:val="22"/>
        </w:rPr>
        <w:t>blokátormi). Tadalafil (v dávke 10 mg,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okrem štúdií s blokátormi receptorov angiotenzínu II a amlodipínom, v ktorých sa použila dávka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20 mg) nemal klinicky významné interakcie so žiadnym liekom z týchto skupín. V inej klinicko</w:t>
      </w:r>
      <w:r w:rsidR="0056755B">
        <w:rPr>
          <w:sz w:val="22"/>
          <w:szCs w:val="22"/>
        </w:rPr>
        <w:t>-</w:t>
      </w:r>
      <w:r w:rsidR="00992C29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farmakologickej</w:t>
      </w:r>
      <w:r w:rsidR="001E318E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štúdii </w:t>
      </w:r>
      <w:r w:rsidR="001E318E" w:rsidRPr="00DE7532">
        <w:rPr>
          <w:sz w:val="22"/>
          <w:szCs w:val="22"/>
        </w:rPr>
        <w:t>sa</w:t>
      </w:r>
      <w:r w:rsidRPr="00DE7532">
        <w:rPr>
          <w:sz w:val="22"/>
          <w:szCs w:val="22"/>
        </w:rPr>
        <w:t xml:space="preserve"> skúma</w:t>
      </w:r>
      <w:r w:rsidR="001E318E" w:rsidRPr="00DE7532">
        <w:rPr>
          <w:sz w:val="22"/>
          <w:szCs w:val="22"/>
        </w:rPr>
        <w:t>l</w:t>
      </w:r>
      <w:r w:rsidRPr="00DE7532">
        <w:rPr>
          <w:sz w:val="22"/>
          <w:szCs w:val="22"/>
        </w:rPr>
        <w:t xml:space="preserve"> tadalafil (20 mg) v kombinácii až </w:t>
      </w:r>
      <w:r w:rsidR="00B56A41" w:rsidRPr="00DE7532">
        <w:rPr>
          <w:sz w:val="22"/>
          <w:szCs w:val="22"/>
        </w:rPr>
        <w:t xml:space="preserve">so </w:t>
      </w:r>
      <w:r w:rsidRPr="00DE7532">
        <w:rPr>
          <w:sz w:val="22"/>
          <w:szCs w:val="22"/>
        </w:rPr>
        <w:t>4 triedami antihypertenzív.</w:t>
      </w:r>
      <w:r w:rsidR="001E318E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U jednotlivcov užívajúcich </w:t>
      </w:r>
      <w:r w:rsidR="00B56A41" w:rsidRPr="00DE7532">
        <w:rPr>
          <w:sz w:val="22"/>
          <w:szCs w:val="22"/>
        </w:rPr>
        <w:t>viacero</w:t>
      </w:r>
      <w:r w:rsidRPr="00DE7532">
        <w:rPr>
          <w:sz w:val="22"/>
          <w:szCs w:val="22"/>
        </w:rPr>
        <w:t xml:space="preserve"> antihypertenzív boli zmeny krvného tlaku pri ambulantných</w:t>
      </w:r>
      <w:r w:rsidR="001E318E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kontrolách vo vzťahu k stupňu ko</w:t>
      </w:r>
      <w:r w:rsidR="00B56A41" w:rsidRPr="00DE7532">
        <w:rPr>
          <w:sz w:val="22"/>
          <w:szCs w:val="22"/>
        </w:rPr>
        <w:t>ntroly</w:t>
      </w:r>
      <w:r w:rsidRPr="00DE7532">
        <w:rPr>
          <w:sz w:val="22"/>
          <w:szCs w:val="22"/>
        </w:rPr>
        <w:t xml:space="preserve"> hypertenzie. Účastníci štúdie, ktorých hypertenzia bola</w:t>
      </w:r>
      <w:r w:rsidR="001E318E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dobre kontrolovaná </w:t>
      </w:r>
      <w:r w:rsidR="00B56A41" w:rsidRPr="00DE7532">
        <w:rPr>
          <w:sz w:val="22"/>
          <w:szCs w:val="22"/>
        </w:rPr>
        <w:t>liečb</w:t>
      </w:r>
      <w:r w:rsidRPr="00DE7532">
        <w:rPr>
          <w:sz w:val="22"/>
          <w:szCs w:val="22"/>
        </w:rPr>
        <w:t>ou, vykazovali iba minimálny pokles krvného tlaku podobný zníženiu</w:t>
      </w:r>
      <w:r w:rsidR="001E318E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pozorovanému u zdravých osôb. U </w:t>
      </w:r>
      <w:r w:rsidR="00797466">
        <w:rPr>
          <w:sz w:val="22"/>
          <w:szCs w:val="22"/>
        </w:rPr>
        <w:t xml:space="preserve">osôb </w:t>
      </w:r>
      <w:r w:rsidRPr="00DE7532">
        <w:rPr>
          <w:sz w:val="22"/>
          <w:szCs w:val="22"/>
        </w:rPr>
        <w:t>v štúdii, ktorých krvný tlak nebol ko</w:t>
      </w:r>
      <w:r w:rsidR="00274215" w:rsidRPr="00DE7532">
        <w:rPr>
          <w:sz w:val="22"/>
          <w:szCs w:val="22"/>
        </w:rPr>
        <w:t>ntrolo</w:t>
      </w:r>
      <w:r w:rsidRPr="00DE7532">
        <w:rPr>
          <w:sz w:val="22"/>
          <w:szCs w:val="22"/>
        </w:rPr>
        <w:t>vaný,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bolo pozorované väčšie zníženie krvného tlaku, ktoré však u väčšiny jednotlivcov nebolo spojené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s </w:t>
      </w:r>
      <w:r w:rsidRPr="00DE7532">
        <w:rPr>
          <w:sz w:val="22"/>
          <w:szCs w:val="22"/>
        </w:rPr>
        <w:lastRenderedPageBreak/>
        <w:t>príznakmi hypotenzie. U pacientov, ktorí súbežne používajú antihypertenz</w:t>
      </w:r>
      <w:r w:rsidR="0056755B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56755B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lieky, môže tadalafil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 dávke 20 mg spôsobiť zníženie krvného tlaku, ktoré </w:t>
      </w:r>
      <w:r w:rsidR="0073759D" w:rsidRPr="00DE7532">
        <w:rPr>
          <w:sz w:val="22"/>
          <w:szCs w:val="22"/>
        </w:rPr>
        <w:t xml:space="preserve">je (s výnimkou alfablokátorov – doxazosín </w:t>
      </w:r>
      <w:r w:rsidRPr="00DE7532">
        <w:rPr>
          <w:sz w:val="22"/>
          <w:szCs w:val="22"/>
        </w:rPr>
        <w:t>pozri vyššie)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všeobecne mierne a nie je pravdepodobné, že bude klinicky významné. Pri analýze údajov získaných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 klinických štúdiách III. fázy sa taktiež nezistili žiadne rozdiely nežiaducich účinkov medzi pacientmi</w:t>
      </w:r>
      <w:r w:rsidR="00076FA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užívajúcimi tadalafil v kombinácii s antihypertenz</w:t>
      </w:r>
      <w:r w:rsidR="0056755B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56755B">
        <w:rPr>
          <w:sz w:val="22"/>
          <w:szCs w:val="22"/>
        </w:rPr>
        <w:t>y</w:t>
      </w:r>
      <w:r w:rsidRPr="00DE7532">
        <w:rPr>
          <w:sz w:val="22"/>
          <w:szCs w:val="22"/>
        </w:rPr>
        <w:t xml:space="preserve">mi liekmi alebo bez nich. </w:t>
      </w:r>
      <w:r w:rsidR="00076FAC" w:rsidRPr="00DE7532">
        <w:rPr>
          <w:sz w:val="22"/>
          <w:szCs w:val="22"/>
        </w:rPr>
        <w:t>Avšak p</w:t>
      </w:r>
      <w:r w:rsidRPr="00DE7532">
        <w:rPr>
          <w:sz w:val="22"/>
          <w:szCs w:val="22"/>
        </w:rPr>
        <w:t xml:space="preserve">acienti, ktorí </w:t>
      </w:r>
      <w:r w:rsidR="00076FAC" w:rsidRPr="00DE7532">
        <w:rPr>
          <w:sz w:val="22"/>
          <w:szCs w:val="22"/>
        </w:rPr>
        <w:t xml:space="preserve">sú liečení </w:t>
      </w:r>
      <w:r w:rsidRPr="00DE7532">
        <w:rPr>
          <w:sz w:val="22"/>
          <w:szCs w:val="22"/>
        </w:rPr>
        <w:t>antihypertenz</w:t>
      </w:r>
      <w:r w:rsidR="0056755B">
        <w:rPr>
          <w:sz w:val="22"/>
          <w:szCs w:val="22"/>
        </w:rPr>
        <w:t>ív</w:t>
      </w:r>
      <w:r w:rsidRPr="00DE7532">
        <w:rPr>
          <w:sz w:val="22"/>
          <w:szCs w:val="22"/>
        </w:rPr>
        <w:t>n</w:t>
      </w:r>
      <w:r w:rsidR="0056755B">
        <w:rPr>
          <w:sz w:val="22"/>
          <w:szCs w:val="22"/>
        </w:rPr>
        <w:t>y</w:t>
      </w:r>
      <w:r w:rsidR="00076FAC" w:rsidRPr="00DE7532">
        <w:rPr>
          <w:sz w:val="22"/>
          <w:szCs w:val="22"/>
        </w:rPr>
        <w:t>mi</w:t>
      </w:r>
      <w:r w:rsidRPr="00DE7532">
        <w:rPr>
          <w:sz w:val="22"/>
          <w:szCs w:val="22"/>
        </w:rPr>
        <w:t xml:space="preserve"> liek</w:t>
      </w:r>
      <w:r w:rsidR="00076FAC" w:rsidRPr="00DE7532">
        <w:rPr>
          <w:sz w:val="22"/>
          <w:szCs w:val="22"/>
        </w:rPr>
        <w:t>mi</w:t>
      </w:r>
      <w:r w:rsidRPr="00DE7532">
        <w:rPr>
          <w:sz w:val="22"/>
          <w:szCs w:val="22"/>
        </w:rPr>
        <w:t xml:space="preserve">, </w:t>
      </w:r>
      <w:r w:rsidR="00076FAC" w:rsidRPr="00DE7532">
        <w:rPr>
          <w:sz w:val="22"/>
          <w:szCs w:val="22"/>
        </w:rPr>
        <w:t>majú</w:t>
      </w:r>
      <w:r w:rsidRPr="00DE7532">
        <w:rPr>
          <w:sz w:val="22"/>
          <w:szCs w:val="22"/>
        </w:rPr>
        <w:t xml:space="preserve"> byť </w:t>
      </w:r>
      <w:r w:rsidR="00274215" w:rsidRPr="00DE7532">
        <w:rPr>
          <w:sz w:val="22"/>
          <w:szCs w:val="22"/>
        </w:rPr>
        <w:t>náležite</w:t>
      </w:r>
      <w:r w:rsidRPr="00DE7532">
        <w:rPr>
          <w:sz w:val="22"/>
          <w:szCs w:val="22"/>
        </w:rPr>
        <w:t xml:space="preserve"> upozornení na možné zníženie krvného tlaku.</w:t>
      </w:r>
    </w:p>
    <w:p w:rsidR="00076FAC" w:rsidRPr="00DE7532" w:rsidRDefault="00076FAC" w:rsidP="00882187">
      <w:pPr>
        <w:rPr>
          <w:i/>
          <w:iCs/>
          <w:sz w:val="22"/>
          <w:szCs w:val="22"/>
        </w:rPr>
      </w:pPr>
    </w:p>
    <w:p w:rsidR="007A1CC1" w:rsidRPr="00DE7532" w:rsidRDefault="007A1CC1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Riociguát</w:t>
      </w:r>
    </w:p>
    <w:p w:rsidR="007A1CC1" w:rsidRPr="00DE7532" w:rsidRDefault="0085157B" w:rsidP="00882187">
      <w:pPr>
        <w:rPr>
          <w:iCs/>
          <w:sz w:val="22"/>
          <w:szCs w:val="22"/>
        </w:rPr>
      </w:pPr>
      <w:r w:rsidRPr="00DE7532">
        <w:rPr>
          <w:iCs/>
          <w:sz w:val="22"/>
          <w:szCs w:val="22"/>
        </w:rPr>
        <w:t>Predklinické štúdie preukázali aditívny systémový účinok na zníženie krvného tlaku, keď sa inhibítory</w:t>
      </w:r>
      <w:r w:rsidR="0056755B">
        <w:rPr>
          <w:iCs/>
          <w:sz w:val="22"/>
          <w:szCs w:val="22"/>
        </w:rPr>
        <w:t xml:space="preserve"> PDE5 kombinovali s riociguátom.</w:t>
      </w:r>
      <w:r w:rsidRPr="00DE7532">
        <w:rPr>
          <w:iCs/>
          <w:sz w:val="22"/>
          <w:szCs w:val="22"/>
        </w:rPr>
        <w:t xml:space="preserve"> V</w:t>
      </w:r>
      <w:r w:rsidR="0056755B">
        <w:rPr>
          <w:iCs/>
          <w:sz w:val="22"/>
          <w:szCs w:val="22"/>
        </w:rPr>
        <w:t> </w:t>
      </w:r>
      <w:r w:rsidRPr="00DE7532">
        <w:rPr>
          <w:iCs/>
          <w:sz w:val="22"/>
          <w:szCs w:val="22"/>
        </w:rPr>
        <w:t>klinických</w:t>
      </w:r>
      <w:r w:rsidR="0056755B">
        <w:rPr>
          <w:iCs/>
          <w:sz w:val="22"/>
          <w:szCs w:val="22"/>
        </w:rPr>
        <w:t xml:space="preserve"> skúšaniach sa dokázalo, že riociguát zosilň</w:t>
      </w:r>
      <w:r w:rsidRPr="00DE7532">
        <w:rPr>
          <w:iCs/>
          <w:sz w:val="22"/>
          <w:szCs w:val="22"/>
        </w:rPr>
        <w:t>uje hypotenz</w:t>
      </w:r>
      <w:r w:rsidR="00797466">
        <w:rPr>
          <w:iCs/>
          <w:sz w:val="22"/>
          <w:szCs w:val="22"/>
        </w:rPr>
        <w:t>ív</w:t>
      </w:r>
      <w:r w:rsidRPr="00DE7532">
        <w:rPr>
          <w:iCs/>
          <w:sz w:val="22"/>
          <w:szCs w:val="22"/>
        </w:rPr>
        <w:t>n</w:t>
      </w:r>
      <w:r w:rsidR="00797466">
        <w:rPr>
          <w:iCs/>
          <w:sz w:val="22"/>
          <w:szCs w:val="22"/>
        </w:rPr>
        <w:t>e</w:t>
      </w:r>
      <w:r w:rsidRPr="00DE7532">
        <w:rPr>
          <w:iCs/>
          <w:sz w:val="22"/>
          <w:szCs w:val="22"/>
        </w:rPr>
        <w:t xml:space="preserve"> účinky inhibítorov PDE5. Nezaznamenal sa priaznivý klinický účinok tejto kombinácie v sledovanej populácii. Súčasné použitie riociguátu s inhibítormi PDE5 vrátane tadalafilu je kontraindikované (pozri časť 4.3)</w:t>
      </w:r>
    </w:p>
    <w:p w:rsidR="007A1CC1" w:rsidRPr="00DE7532" w:rsidRDefault="007A1CC1" w:rsidP="00882187">
      <w:pPr>
        <w:rPr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Inhibítory 5-alfa reduktázy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klinickom skúšaní, </w:t>
      </w:r>
      <w:r w:rsidR="00797466">
        <w:rPr>
          <w:sz w:val="22"/>
          <w:szCs w:val="22"/>
        </w:rPr>
        <w:t>v ktorom</w:t>
      </w:r>
      <w:r w:rsidR="00797466" w:rsidRPr="008A5458">
        <w:rPr>
          <w:sz w:val="22"/>
          <w:szCs w:val="22"/>
        </w:rPr>
        <w:t xml:space="preserve"> </w:t>
      </w:r>
      <w:r w:rsidR="00797466">
        <w:rPr>
          <w:sz w:val="22"/>
          <w:szCs w:val="22"/>
        </w:rPr>
        <w:t xml:space="preserve">sa </w:t>
      </w:r>
      <w:r w:rsidRPr="00DE7532">
        <w:rPr>
          <w:sz w:val="22"/>
          <w:szCs w:val="22"/>
        </w:rPr>
        <w:t xml:space="preserve">porovnával účinok tadalafilu 5 mg </w:t>
      </w:r>
      <w:r w:rsidR="00797466">
        <w:rPr>
          <w:sz w:val="22"/>
          <w:szCs w:val="22"/>
        </w:rPr>
        <w:t>súbežne podávaného</w:t>
      </w:r>
      <w:r w:rsidR="00797466" w:rsidRPr="008A545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s finasteridom</w:t>
      </w:r>
      <w:r w:rsidR="00194BE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5 mg oproti placebu podávanému spolu s finasteridom 5 mg na zlepšen</w:t>
      </w:r>
      <w:r w:rsidR="00274215" w:rsidRPr="00DE7532">
        <w:rPr>
          <w:sz w:val="22"/>
          <w:szCs w:val="22"/>
        </w:rPr>
        <w:t>ie</w:t>
      </w:r>
      <w:r w:rsidRPr="00DE7532">
        <w:rPr>
          <w:sz w:val="22"/>
          <w:szCs w:val="22"/>
        </w:rPr>
        <w:t xml:space="preserve"> príznakov BPH</w:t>
      </w:r>
      <w:r w:rsidR="00274215" w:rsidRPr="00DE7532">
        <w:rPr>
          <w:sz w:val="22"/>
          <w:szCs w:val="22"/>
        </w:rPr>
        <w:t>,</w:t>
      </w:r>
      <w:r w:rsidRPr="00DE7532">
        <w:rPr>
          <w:sz w:val="22"/>
          <w:szCs w:val="22"/>
        </w:rPr>
        <w:t xml:space="preserve"> sa nevyskytli</w:t>
      </w:r>
      <w:r w:rsidR="00194BE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žiadne nové nežiaduce reakcie. </w:t>
      </w:r>
      <w:r w:rsidR="00797466">
        <w:rPr>
          <w:sz w:val="22"/>
          <w:szCs w:val="22"/>
        </w:rPr>
        <w:t>N</w:t>
      </w:r>
      <w:r w:rsidRPr="00DE7532">
        <w:rPr>
          <w:sz w:val="22"/>
          <w:szCs w:val="22"/>
        </w:rPr>
        <w:t xml:space="preserve">ebola vykonaná </w:t>
      </w:r>
      <w:r w:rsidR="00797466">
        <w:rPr>
          <w:sz w:val="22"/>
          <w:szCs w:val="22"/>
        </w:rPr>
        <w:t>formálna</w:t>
      </w:r>
      <w:r w:rsidR="00797466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štúdia </w:t>
      </w:r>
      <w:r w:rsidR="00274215" w:rsidRPr="00DE7532">
        <w:rPr>
          <w:sz w:val="22"/>
          <w:szCs w:val="22"/>
        </w:rPr>
        <w:t>liekových interakcií</w:t>
      </w:r>
      <w:r w:rsidR="00194BE0" w:rsidRPr="00DE7532">
        <w:rPr>
          <w:sz w:val="22"/>
          <w:szCs w:val="22"/>
        </w:rPr>
        <w:t xml:space="preserve"> </w:t>
      </w:r>
      <w:r w:rsidR="00274215" w:rsidRPr="00DE7532">
        <w:rPr>
          <w:sz w:val="22"/>
          <w:szCs w:val="22"/>
        </w:rPr>
        <w:t>hodnotiaca</w:t>
      </w:r>
      <w:r w:rsidRPr="00DE7532">
        <w:rPr>
          <w:sz w:val="22"/>
          <w:szCs w:val="22"/>
        </w:rPr>
        <w:t xml:space="preserve"> vplyv tadalafilu a inhibítorov 5-alfa reduktázy (5-ARI), a preto je</w:t>
      </w:r>
      <w:r w:rsidR="00194BE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potrebné podá</w:t>
      </w:r>
      <w:r w:rsidR="0028017D" w:rsidRPr="00DE7532">
        <w:rPr>
          <w:sz w:val="22"/>
          <w:szCs w:val="22"/>
        </w:rPr>
        <w:t>vať tadalafil súbežne s 5-ARI s</w:t>
      </w:r>
      <w:r w:rsidRPr="00DE7532">
        <w:rPr>
          <w:sz w:val="22"/>
          <w:szCs w:val="22"/>
        </w:rPr>
        <w:t xml:space="preserve"> opatrnosťou.</w:t>
      </w:r>
    </w:p>
    <w:p w:rsidR="00076FAC" w:rsidRPr="00DE7532" w:rsidRDefault="00076FA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Substráty pre CYPIA2 (napr. teofylín)</w:t>
      </w:r>
    </w:p>
    <w:p w:rsidR="0028017D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Pri podaní tadalafilu v dávke 10 mg spolu s teofylínom (neselektívny inhibítor fosfodiesterázy) sa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 klinicko-farmakologickej štúdii nezistila žiadna farmakokinetická interakcia. Jediným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farmakodynamickým účinkom bolo malé (3,5 úderov/min) zrýchlenie </w:t>
      </w:r>
      <w:r w:rsidR="0028017D" w:rsidRPr="00DE7532">
        <w:rPr>
          <w:sz w:val="22"/>
          <w:szCs w:val="22"/>
        </w:rPr>
        <w:t>tepovej frekvencie</w:t>
      </w:r>
      <w:r w:rsidRPr="00DE7532">
        <w:rPr>
          <w:sz w:val="22"/>
          <w:szCs w:val="22"/>
        </w:rPr>
        <w:t>. Hoci bol tento účinok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malý a v štúdii nevykazoval klinickú významnosť, pri spoločnom podaní týchto liekov </w:t>
      </w:r>
      <w:r w:rsidR="0028017D" w:rsidRPr="00DE7532">
        <w:rPr>
          <w:sz w:val="22"/>
          <w:szCs w:val="22"/>
        </w:rPr>
        <w:t xml:space="preserve">sa má </w:t>
      </w:r>
      <w:r w:rsidRPr="00DE7532">
        <w:rPr>
          <w:sz w:val="22"/>
          <w:szCs w:val="22"/>
        </w:rPr>
        <w:t>vziať do úvahy.</w:t>
      </w:r>
      <w:r w:rsidR="0028017D" w:rsidRPr="00DE7532">
        <w:rPr>
          <w:sz w:val="22"/>
          <w:szCs w:val="22"/>
        </w:rPr>
        <w:t xml:space="preserve"> </w:t>
      </w:r>
    </w:p>
    <w:p w:rsidR="0028017D" w:rsidRPr="00DE7532" w:rsidRDefault="0028017D" w:rsidP="00882187">
      <w:pPr>
        <w:rPr>
          <w:i/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Etinylestradiol a terbutalín</w:t>
      </w:r>
    </w:p>
    <w:p w:rsidR="003E7B0C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Zistilo sa, že tadalafil spôsobuje zvýšenie biologickej dostupnosti etinylestradiolu po perorálnom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podaní, </w:t>
      </w:r>
      <w:r w:rsidR="003E7B0C" w:rsidRPr="0098553D">
        <w:rPr>
          <w:sz w:val="22"/>
          <w:szCs w:val="22"/>
        </w:rPr>
        <w:t>podobné zvýšenie sa dá očakávať pri perorálnom podaní terbutalínu, hoci klinický</w:t>
      </w:r>
      <w:r w:rsidR="003E7B0C">
        <w:rPr>
          <w:sz w:val="22"/>
          <w:szCs w:val="22"/>
        </w:rPr>
        <w:t xml:space="preserve"> </w:t>
      </w:r>
      <w:r w:rsidR="003E7B0C" w:rsidRPr="0098553D">
        <w:rPr>
          <w:sz w:val="22"/>
          <w:szCs w:val="22"/>
        </w:rPr>
        <w:t>dôsledok je nejasný</w:t>
      </w:r>
      <w:r w:rsidR="003E7B0C" w:rsidRPr="00DE7532" w:rsidDel="003E7B0C">
        <w:rPr>
          <w:sz w:val="22"/>
          <w:szCs w:val="22"/>
        </w:rPr>
        <w:t xml:space="preserve"> </w:t>
      </w:r>
    </w:p>
    <w:p w:rsidR="0028017D" w:rsidRPr="00DE7532" w:rsidRDefault="0028017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Alkohol</w:t>
      </w:r>
    </w:p>
    <w:p w:rsidR="00BC7474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Koncentráci</w:t>
      </w:r>
      <w:r w:rsidR="003E7B0C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alkoholu (priemerná maximálna koncentrácia alkoholu v krvi 0,08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%) nebol</w:t>
      </w:r>
      <w:r w:rsidR="003E7B0C">
        <w:rPr>
          <w:sz w:val="22"/>
          <w:szCs w:val="22"/>
        </w:rPr>
        <w:t>i</w:t>
      </w:r>
      <w:r w:rsidRPr="00DE7532">
        <w:rPr>
          <w:sz w:val="22"/>
          <w:szCs w:val="22"/>
        </w:rPr>
        <w:t xml:space="preserve"> ovplyvnen</w:t>
      </w:r>
      <w:r w:rsidR="003E7B0C">
        <w:rPr>
          <w:sz w:val="22"/>
          <w:szCs w:val="22"/>
        </w:rPr>
        <w:t>é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súčasným podaním tadalafilu (10 mg alebo 20 mg). Okrem toho neboli pozorované žiadne zmeny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 koncentrácii tadalafilu po 3 hodinách po súbežnom užití s alkoholom. Alkohol bol podávaný za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podmienok maximalizujúcich rýchlosť jeho </w:t>
      </w:r>
      <w:r w:rsidR="0028017D" w:rsidRPr="00DE7532">
        <w:rPr>
          <w:sz w:val="22"/>
          <w:szCs w:val="22"/>
        </w:rPr>
        <w:t>absorpcie</w:t>
      </w:r>
      <w:r w:rsidRPr="00DE7532">
        <w:rPr>
          <w:sz w:val="22"/>
          <w:szCs w:val="22"/>
        </w:rPr>
        <w:t xml:space="preserve"> (ráno nalačno a bez jedla ešte 2 hodiny po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požití alkoholu). </w:t>
      </w:r>
    </w:p>
    <w:p w:rsidR="00BC7474" w:rsidRPr="00DE7532" w:rsidRDefault="00BC7474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Tadalafil (20 mg) nezosilňoval priemerné zníženie krvného tlaku spôsobené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alkoholom (0,7 g/kg, t.j. približne 180 ml 40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 alkoholu [vodky] u 80-kg muža), u niektorých osôb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však boli pozorované posturálne závraty a ortostatická hypotenzia. Pokiaľ bol tadalafil podaný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s nižšou dávkou alkoholu (0,6 g/kg), hypotenzia nebola pozorovaná a výskyt závratov mal podobnú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frekvenciu ako po alkohole samotnom. Tadalafil (10 mg) nezosilňoval vplyv alkoholu na kognitívne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funkcie.</w:t>
      </w:r>
    </w:p>
    <w:p w:rsidR="0028017D" w:rsidRPr="00DE7532" w:rsidRDefault="0028017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Lieky metabolizované cytochrómom P450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Nepredpokladá sa, že by tadalafil spôsoboval klinicky významnú inhibíciu alebo indukciu klírensu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liekov, ktoré sú metabolizované izoformami CYP450. Štúdie potvrdili, že tadalafil neinhibuje ani</w:t>
      </w:r>
      <w:r w:rsidR="0028017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neindukuje izoformy CYP450, vrátane CYP3A4, CYP1A2, CYP2D6, CYP2E1, CYP2C9 a CYP2C19.</w:t>
      </w:r>
    </w:p>
    <w:p w:rsidR="0028017D" w:rsidRPr="00DE7532" w:rsidRDefault="0028017D" w:rsidP="00882187">
      <w:pPr>
        <w:rPr>
          <w:i/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Substráty pre CYP2C9 (napr. R-warfarín)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Tadalafil (10 mg a 20 mg) nemá žiadny klinicky významný účinok na expozíciu (AUC) S-warfarínu</w:t>
      </w:r>
      <w:r w:rsidR="00C4232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alebo R-warfarínu (substrát pre CYP2C9), ani nespôsobil zmeny protrombínového času </w:t>
      </w:r>
      <w:r w:rsidR="00C42328" w:rsidRPr="00DE7532">
        <w:rPr>
          <w:sz w:val="22"/>
          <w:szCs w:val="22"/>
        </w:rPr>
        <w:t xml:space="preserve">spôsobené </w:t>
      </w:r>
      <w:r w:rsidRPr="00DE7532">
        <w:rPr>
          <w:sz w:val="22"/>
          <w:szCs w:val="22"/>
        </w:rPr>
        <w:t>warfarínom.</w:t>
      </w:r>
    </w:p>
    <w:p w:rsidR="00C42328" w:rsidRPr="00DE7532" w:rsidRDefault="00C42328" w:rsidP="00882187">
      <w:pPr>
        <w:rPr>
          <w:sz w:val="22"/>
          <w:szCs w:val="22"/>
        </w:rPr>
      </w:pPr>
    </w:p>
    <w:p w:rsidR="003E7B0C" w:rsidRPr="008A5458" w:rsidRDefault="003E7B0C" w:rsidP="003E7B0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Kyselina acetylsalicylová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Tadalafil (10 mg a 20 mg) </w:t>
      </w:r>
      <w:r w:rsidR="00992C29" w:rsidRPr="00DE7532">
        <w:rPr>
          <w:sz w:val="22"/>
          <w:szCs w:val="22"/>
        </w:rPr>
        <w:t>nepotenciuje</w:t>
      </w:r>
      <w:r w:rsidRPr="00DE7532">
        <w:rPr>
          <w:sz w:val="22"/>
          <w:szCs w:val="22"/>
        </w:rPr>
        <w:t xml:space="preserve"> predĺženie času krvácania spôsobeného kyselinou</w:t>
      </w:r>
      <w:r w:rsidR="00C4232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acetylsalicylovou.</w:t>
      </w:r>
    </w:p>
    <w:p w:rsidR="00C42328" w:rsidRPr="00DE7532" w:rsidRDefault="00C42328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Antidiabetické lieky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Neuskutočnili sa žiadne špecifické interakčné štúdie s antidiabetikami.</w:t>
      </w:r>
    </w:p>
    <w:p w:rsidR="00C42328" w:rsidRPr="00DE7532" w:rsidRDefault="00C42328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4.6 </w:t>
      </w:r>
      <w:r w:rsidR="00C42328" w:rsidRPr="00DE7532">
        <w:rPr>
          <w:b/>
          <w:bCs/>
          <w:sz w:val="22"/>
          <w:szCs w:val="22"/>
        </w:rPr>
        <w:tab/>
        <w:t>Fertilita, gravidita a laktácia</w:t>
      </w:r>
    </w:p>
    <w:p w:rsidR="00C42328" w:rsidRPr="00DE7532" w:rsidRDefault="00C42328" w:rsidP="00882187">
      <w:pPr>
        <w:rPr>
          <w:sz w:val="22"/>
          <w:szCs w:val="22"/>
        </w:rPr>
      </w:pPr>
    </w:p>
    <w:p w:rsidR="00882187" w:rsidRPr="00DE7532" w:rsidRDefault="00C42328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Tadalafil</w:t>
      </w:r>
      <w:r w:rsidR="00882187" w:rsidRPr="00DE7532">
        <w:rPr>
          <w:sz w:val="22"/>
          <w:szCs w:val="22"/>
        </w:rPr>
        <w:t xml:space="preserve"> </w:t>
      </w:r>
      <w:r w:rsidR="00BC7474" w:rsidRPr="00DE7532">
        <w:rPr>
          <w:sz w:val="22"/>
          <w:szCs w:val="22"/>
        </w:rPr>
        <w:t xml:space="preserve">Accord 2,5 mg </w:t>
      </w:r>
      <w:r w:rsidR="00882187" w:rsidRPr="00DE7532">
        <w:rPr>
          <w:sz w:val="22"/>
          <w:szCs w:val="22"/>
        </w:rPr>
        <w:t>nie je indikovaný na použitie u žien.</w:t>
      </w:r>
    </w:p>
    <w:p w:rsidR="00C42328" w:rsidRPr="00DE7532" w:rsidRDefault="00C42328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Gravidita</w:t>
      </w:r>
    </w:p>
    <w:p w:rsidR="00BC7474" w:rsidRPr="00DE7532" w:rsidRDefault="00BC7474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K dispozícii je iba obmedzené množstvo údajov o použití tadalafilu u gravidných žien. Štúdie na</w:t>
      </w:r>
      <w:r w:rsidR="00C4232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zvieratách nepreukázali priame alebo nepriame </w:t>
      </w:r>
      <w:r w:rsidR="00BC7474" w:rsidRPr="00DE7532">
        <w:rPr>
          <w:sz w:val="22"/>
          <w:szCs w:val="22"/>
        </w:rPr>
        <w:t xml:space="preserve">škodlivé </w:t>
      </w:r>
      <w:r w:rsidRPr="00DE7532">
        <w:rPr>
          <w:sz w:val="22"/>
          <w:szCs w:val="22"/>
        </w:rPr>
        <w:t>účinky na priebeh tehotenstva, embryonálny/fetálny</w:t>
      </w:r>
      <w:r w:rsidR="00C42328" w:rsidRPr="00DE7532">
        <w:rPr>
          <w:sz w:val="22"/>
          <w:szCs w:val="22"/>
        </w:rPr>
        <w:t xml:space="preserve"> </w:t>
      </w:r>
      <w:r w:rsidR="003E7B0C">
        <w:rPr>
          <w:sz w:val="22"/>
          <w:szCs w:val="22"/>
        </w:rPr>
        <w:t>vývin</w:t>
      </w:r>
      <w:r w:rsidRPr="00DE7532">
        <w:rPr>
          <w:sz w:val="22"/>
          <w:szCs w:val="22"/>
        </w:rPr>
        <w:t xml:space="preserve">, pôrod alebo postnatálny </w:t>
      </w:r>
      <w:r w:rsidR="003E7B0C">
        <w:rPr>
          <w:sz w:val="22"/>
          <w:szCs w:val="22"/>
        </w:rPr>
        <w:t>vývin</w:t>
      </w:r>
      <w:r w:rsidRPr="00DE7532">
        <w:rPr>
          <w:sz w:val="22"/>
          <w:szCs w:val="22"/>
        </w:rPr>
        <w:t xml:space="preserve"> (pozri časť 5.3). Užívanie </w:t>
      </w:r>
      <w:r w:rsidR="00BC7474" w:rsidRPr="00DE7532">
        <w:rPr>
          <w:sz w:val="22"/>
          <w:szCs w:val="22"/>
        </w:rPr>
        <w:t>T</w:t>
      </w:r>
      <w:r w:rsidR="00C42328" w:rsidRPr="00DE7532">
        <w:rPr>
          <w:sz w:val="22"/>
          <w:szCs w:val="22"/>
        </w:rPr>
        <w:t>adalafilu</w:t>
      </w:r>
      <w:r w:rsidRPr="00DE7532">
        <w:rPr>
          <w:sz w:val="22"/>
          <w:szCs w:val="22"/>
        </w:rPr>
        <w:t xml:space="preserve"> </w:t>
      </w:r>
      <w:r w:rsidR="00BC7474" w:rsidRPr="00DE7532">
        <w:rPr>
          <w:sz w:val="22"/>
          <w:szCs w:val="22"/>
        </w:rPr>
        <w:t>Accord v</w:t>
      </w:r>
      <w:r w:rsidRPr="00DE7532">
        <w:rPr>
          <w:sz w:val="22"/>
          <w:szCs w:val="22"/>
        </w:rPr>
        <w:t xml:space="preserve"> tehotenstve sa</w:t>
      </w:r>
      <w:r w:rsidR="00C4232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z preventívnych dôvodov neodporúča.</w:t>
      </w:r>
    </w:p>
    <w:p w:rsidR="00C42328" w:rsidRPr="00DE7532" w:rsidRDefault="00C42328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Laktácia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Dostupné farmakodynamické/toxikologické </w:t>
      </w:r>
      <w:r w:rsidR="003E7B0C">
        <w:rPr>
          <w:sz w:val="22"/>
          <w:szCs w:val="22"/>
        </w:rPr>
        <w:t>údaje</w:t>
      </w:r>
      <w:r w:rsidR="003E7B0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preukázali </w:t>
      </w:r>
      <w:r w:rsidR="00244460" w:rsidRPr="00DE7532">
        <w:rPr>
          <w:sz w:val="22"/>
          <w:szCs w:val="22"/>
        </w:rPr>
        <w:t xml:space="preserve">vylučovanie </w:t>
      </w:r>
      <w:r w:rsidRPr="00DE7532">
        <w:rPr>
          <w:sz w:val="22"/>
          <w:szCs w:val="22"/>
        </w:rPr>
        <w:t>tadalafilu do</w:t>
      </w:r>
      <w:r w:rsidR="00FB17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materského mlieka</w:t>
      </w:r>
      <w:r w:rsidR="003E7B0C">
        <w:rPr>
          <w:sz w:val="22"/>
          <w:szCs w:val="22"/>
        </w:rPr>
        <w:t xml:space="preserve"> u zvierat</w:t>
      </w:r>
      <w:r w:rsidRPr="00DE7532">
        <w:rPr>
          <w:sz w:val="22"/>
          <w:szCs w:val="22"/>
        </w:rPr>
        <w:t xml:space="preserve">. Nemôže byť vylúčené riziko pre dojčené dieťa. </w:t>
      </w:r>
      <w:r w:rsidR="00244460" w:rsidRPr="00DE7532">
        <w:rPr>
          <w:sz w:val="22"/>
          <w:szCs w:val="22"/>
        </w:rPr>
        <w:t>Tadalafil</w:t>
      </w:r>
      <w:r w:rsidRPr="00DE7532">
        <w:rPr>
          <w:sz w:val="22"/>
          <w:szCs w:val="22"/>
        </w:rPr>
        <w:t xml:space="preserve"> </w:t>
      </w:r>
      <w:r w:rsidR="007F3EC9" w:rsidRPr="00DE7532">
        <w:rPr>
          <w:sz w:val="22"/>
          <w:szCs w:val="22"/>
        </w:rPr>
        <w:t xml:space="preserve">Accord </w:t>
      </w:r>
      <w:r w:rsidRPr="00DE7532">
        <w:rPr>
          <w:sz w:val="22"/>
          <w:szCs w:val="22"/>
        </w:rPr>
        <w:t>sa nemá užívať</w:t>
      </w:r>
      <w:r w:rsidR="00FB17EC" w:rsidRPr="00DE7532">
        <w:rPr>
          <w:sz w:val="22"/>
          <w:szCs w:val="22"/>
        </w:rPr>
        <w:t xml:space="preserve"> </w:t>
      </w:r>
      <w:r w:rsidR="00EA5D3C" w:rsidRPr="00DE7532">
        <w:rPr>
          <w:sz w:val="22"/>
          <w:szCs w:val="22"/>
        </w:rPr>
        <w:t>počas</w:t>
      </w:r>
      <w:r w:rsidRPr="00DE7532">
        <w:rPr>
          <w:sz w:val="22"/>
          <w:szCs w:val="22"/>
        </w:rPr>
        <w:t xml:space="preserve"> dojčenia</w:t>
      </w:r>
      <w:r w:rsidR="00C42328" w:rsidRPr="00DE7532">
        <w:rPr>
          <w:sz w:val="22"/>
          <w:szCs w:val="22"/>
        </w:rPr>
        <w:t>.</w:t>
      </w:r>
    </w:p>
    <w:p w:rsidR="00C42328" w:rsidRPr="00DE7532" w:rsidRDefault="00C42328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Fertilita</w:t>
      </w:r>
    </w:p>
    <w:p w:rsidR="00330A20" w:rsidRPr="00DE7532" w:rsidRDefault="00330A20" w:rsidP="00882187">
      <w:pPr>
        <w:rPr>
          <w:sz w:val="22"/>
          <w:szCs w:val="22"/>
        </w:rPr>
      </w:pPr>
    </w:p>
    <w:p w:rsidR="00A570E1" w:rsidRPr="008A5458" w:rsidRDefault="00882187" w:rsidP="00A570E1">
      <w:pPr>
        <w:rPr>
          <w:sz w:val="22"/>
          <w:szCs w:val="22"/>
        </w:rPr>
      </w:pPr>
      <w:r w:rsidRPr="00DE7532">
        <w:rPr>
          <w:sz w:val="22"/>
          <w:szCs w:val="22"/>
        </w:rPr>
        <w:t>U psov sa objavili účinky, ktoré môžu indikovať poruchu fertility. Dve po sebe nasledujúce klinické</w:t>
      </w:r>
      <w:r w:rsidR="00FB17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skúšania naznačujú, </w:t>
      </w:r>
      <w:r w:rsidR="00A570E1">
        <w:rPr>
          <w:sz w:val="22"/>
          <w:szCs w:val="22"/>
        </w:rPr>
        <w:t>že tento účinok nie je pravdepodobný u ľudí</w:t>
      </w:r>
      <w:r w:rsidR="00A570E1" w:rsidRPr="008A5458">
        <w:rPr>
          <w:sz w:val="22"/>
          <w:szCs w:val="22"/>
        </w:rPr>
        <w:t xml:space="preserve">, </w:t>
      </w:r>
      <w:r w:rsidR="00A570E1">
        <w:rPr>
          <w:sz w:val="22"/>
          <w:szCs w:val="22"/>
        </w:rPr>
        <w:t>hoci</w:t>
      </w:r>
      <w:r w:rsidR="00A570E1" w:rsidRPr="008A5458">
        <w:rPr>
          <w:sz w:val="22"/>
          <w:szCs w:val="22"/>
        </w:rPr>
        <w:t xml:space="preserve"> u niektorých mužov bola zaznamenaná znížená koncentrácia spermií (pozri časti 5.1 a 5.3).</w:t>
      </w:r>
    </w:p>
    <w:p w:rsidR="00244460" w:rsidRPr="00DE7532" w:rsidRDefault="00244460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4.7 </w:t>
      </w:r>
      <w:r w:rsidR="00244460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Ovplyvnenie schopnosti viesť vozidlá a obsluhovať stroje</w:t>
      </w:r>
    </w:p>
    <w:p w:rsidR="00244460" w:rsidRPr="00DE7532" w:rsidRDefault="00244460" w:rsidP="00882187">
      <w:pPr>
        <w:rPr>
          <w:sz w:val="22"/>
          <w:szCs w:val="22"/>
        </w:rPr>
      </w:pPr>
    </w:p>
    <w:p w:rsidR="00244460" w:rsidRPr="00DE7532" w:rsidRDefault="00244460" w:rsidP="00882187">
      <w:pPr>
        <w:rPr>
          <w:b/>
          <w:bCs/>
          <w:sz w:val="22"/>
          <w:szCs w:val="22"/>
        </w:rPr>
      </w:pPr>
      <w:r w:rsidRPr="00DE7532">
        <w:rPr>
          <w:sz w:val="22"/>
          <w:szCs w:val="22"/>
        </w:rPr>
        <w:t>Tadalafil</w:t>
      </w:r>
      <w:r w:rsidR="00882187" w:rsidRPr="00DE7532">
        <w:rPr>
          <w:sz w:val="22"/>
          <w:szCs w:val="22"/>
        </w:rPr>
        <w:t xml:space="preserve"> </w:t>
      </w:r>
      <w:r w:rsidR="00330A20" w:rsidRPr="00DE7532">
        <w:rPr>
          <w:sz w:val="22"/>
          <w:szCs w:val="22"/>
        </w:rPr>
        <w:t xml:space="preserve">Accord </w:t>
      </w:r>
      <w:r w:rsidR="00882187" w:rsidRPr="00DE7532">
        <w:rPr>
          <w:sz w:val="22"/>
          <w:szCs w:val="22"/>
        </w:rPr>
        <w:t>má zanedbateľný vplyv na schopnosť viesť vozidlá alebo obsluhovať stroje. Hoci výskyt</w:t>
      </w:r>
      <w:r w:rsidR="00FB17EC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závratov v klinických </w:t>
      </w:r>
      <w:r w:rsidR="00A570E1">
        <w:rPr>
          <w:sz w:val="22"/>
          <w:szCs w:val="22"/>
        </w:rPr>
        <w:t>skúšaniach</w:t>
      </w:r>
      <w:r w:rsidR="00A570E1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bol podobný </w:t>
      </w:r>
      <w:r w:rsidR="00A570E1">
        <w:rPr>
          <w:sz w:val="22"/>
          <w:szCs w:val="22"/>
        </w:rPr>
        <w:t>vo vetvách</w:t>
      </w:r>
      <w:r w:rsidR="00882187" w:rsidRPr="00DE7532">
        <w:rPr>
          <w:sz w:val="22"/>
          <w:szCs w:val="22"/>
        </w:rPr>
        <w:t xml:space="preserve"> </w:t>
      </w:r>
      <w:r w:rsidR="00EA5D3C" w:rsidRPr="00DE7532">
        <w:rPr>
          <w:sz w:val="22"/>
          <w:szCs w:val="22"/>
        </w:rPr>
        <w:t xml:space="preserve">s </w:t>
      </w:r>
      <w:r w:rsidR="00882187" w:rsidRPr="00DE7532">
        <w:rPr>
          <w:sz w:val="22"/>
          <w:szCs w:val="22"/>
        </w:rPr>
        <w:t>placeb</w:t>
      </w:r>
      <w:r w:rsidR="00EA5D3C" w:rsidRPr="00DE7532">
        <w:rPr>
          <w:sz w:val="22"/>
          <w:szCs w:val="22"/>
        </w:rPr>
        <w:t>om</w:t>
      </w:r>
      <w:r w:rsidR="00882187" w:rsidRPr="00DE7532">
        <w:rPr>
          <w:sz w:val="22"/>
          <w:szCs w:val="22"/>
        </w:rPr>
        <w:t xml:space="preserve"> a tadalafil</w:t>
      </w:r>
      <w:r w:rsidR="00EA5D3C" w:rsidRPr="00DE7532">
        <w:rPr>
          <w:sz w:val="22"/>
          <w:szCs w:val="22"/>
        </w:rPr>
        <w:t>om</w:t>
      </w:r>
      <w:r w:rsidR="00882187" w:rsidRPr="00DE7532">
        <w:rPr>
          <w:sz w:val="22"/>
          <w:szCs w:val="22"/>
        </w:rPr>
        <w:t>, pred vedením</w:t>
      </w:r>
      <w:r w:rsidR="00FB17EC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motorových vozidiel alebo používaním strojov pacienti </w:t>
      </w:r>
      <w:r w:rsidRPr="00DE7532">
        <w:rPr>
          <w:sz w:val="22"/>
          <w:szCs w:val="22"/>
        </w:rPr>
        <w:t>majú</w:t>
      </w:r>
      <w:r w:rsidR="00882187" w:rsidRPr="00DE7532">
        <w:rPr>
          <w:sz w:val="22"/>
          <w:szCs w:val="22"/>
        </w:rPr>
        <w:t xml:space="preserve"> poznať svoju reakciu na </w:t>
      </w:r>
      <w:r w:rsidR="00330A20" w:rsidRPr="00DE7532">
        <w:rPr>
          <w:sz w:val="22"/>
          <w:szCs w:val="22"/>
        </w:rPr>
        <w:t>T</w:t>
      </w:r>
      <w:r w:rsidRPr="00DE7532">
        <w:rPr>
          <w:sz w:val="22"/>
          <w:szCs w:val="22"/>
        </w:rPr>
        <w:t>adalafil</w:t>
      </w:r>
      <w:r w:rsidR="00330A20" w:rsidRPr="00DE7532">
        <w:rPr>
          <w:sz w:val="22"/>
          <w:szCs w:val="22"/>
        </w:rPr>
        <w:t xml:space="preserve"> Accord.</w:t>
      </w:r>
    </w:p>
    <w:p w:rsidR="00FB17EC" w:rsidRPr="00DE7532" w:rsidRDefault="00FB17EC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4.8 </w:t>
      </w:r>
      <w:r w:rsidR="00FB17EC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Nežiaduce účinky</w:t>
      </w:r>
    </w:p>
    <w:p w:rsidR="00FB17EC" w:rsidRPr="00DE7532" w:rsidRDefault="00FB17E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Zhrnutie bezpečnostného profilu</w:t>
      </w:r>
    </w:p>
    <w:p w:rsidR="000E6162" w:rsidRPr="00DE7532" w:rsidRDefault="000E6162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Najčastejšie hlásené nežiaduce </w:t>
      </w:r>
      <w:r w:rsidR="00A570E1">
        <w:rPr>
          <w:sz w:val="22"/>
          <w:szCs w:val="22"/>
        </w:rPr>
        <w:t>reakcie</w:t>
      </w:r>
      <w:r w:rsidR="00A570E1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u pacientov užívajúcich </w:t>
      </w:r>
      <w:r w:rsidR="00FB17EC" w:rsidRPr="00DE7532">
        <w:rPr>
          <w:sz w:val="22"/>
          <w:szCs w:val="22"/>
        </w:rPr>
        <w:t>tadalafil</w:t>
      </w:r>
      <w:r w:rsidRPr="00DE7532">
        <w:rPr>
          <w:sz w:val="22"/>
          <w:szCs w:val="22"/>
        </w:rPr>
        <w:t xml:space="preserve"> na liečbu erektilnej dysfunkcie</w:t>
      </w:r>
      <w:r w:rsidR="00FB17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alebo benígnej hyperplázie prostaty boli bolesť hlavy, dyspepsia, bolesť chrbta a myalgia, u ktorých</w:t>
      </w:r>
      <w:r w:rsidR="00FB17E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incidencia narastala so zvyšujúcou sa dávkou </w:t>
      </w:r>
      <w:r w:rsidR="00FB17EC" w:rsidRPr="00DE7532">
        <w:rPr>
          <w:sz w:val="22"/>
          <w:szCs w:val="22"/>
        </w:rPr>
        <w:t>tadalafilu</w:t>
      </w:r>
      <w:r w:rsidRPr="00DE7532">
        <w:rPr>
          <w:sz w:val="22"/>
          <w:szCs w:val="22"/>
        </w:rPr>
        <w:t xml:space="preserve">. </w:t>
      </w:r>
      <w:r w:rsidR="000E6162" w:rsidRPr="00DE7532">
        <w:rPr>
          <w:sz w:val="22"/>
          <w:szCs w:val="22"/>
        </w:rPr>
        <w:t xml:space="preserve">Hlásené nežiaduce rekcie boli prechodné a vo všeobecnosti mierne alebo stredne závažné. </w:t>
      </w:r>
      <w:r w:rsidR="00246799" w:rsidRPr="00DE7532">
        <w:rPr>
          <w:sz w:val="22"/>
          <w:szCs w:val="22"/>
        </w:rPr>
        <w:t>Väčšina prípadov</w:t>
      </w:r>
      <w:r w:rsidRPr="00DE7532">
        <w:rPr>
          <w:sz w:val="22"/>
          <w:szCs w:val="22"/>
        </w:rPr>
        <w:t xml:space="preserve"> boles</w:t>
      </w:r>
      <w:r w:rsidR="00246799" w:rsidRPr="00DE7532">
        <w:rPr>
          <w:sz w:val="22"/>
          <w:szCs w:val="22"/>
        </w:rPr>
        <w:t>ti</w:t>
      </w:r>
      <w:r w:rsidRPr="00DE7532">
        <w:rPr>
          <w:sz w:val="22"/>
          <w:szCs w:val="22"/>
        </w:rPr>
        <w:t xml:space="preserve"> hlavy hlásená pri užívaní </w:t>
      </w:r>
      <w:r w:rsidR="00FB17EC" w:rsidRPr="00DE7532">
        <w:rPr>
          <w:sz w:val="22"/>
          <w:szCs w:val="22"/>
        </w:rPr>
        <w:t xml:space="preserve">tadalafilu </w:t>
      </w:r>
      <w:r w:rsidRPr="00DE7532">
        <w:rPr>
          <w:sz w:val="22"/>
          <w:szCs w:val="22"/>
        </w:rPr>
        <w:t xml:space="preserve">jedenkrát denne </w:t>
      </w:r>
      <w:r w:rsidR="00246799" w:rsidRPr="00DE7532">
        <w:rPr>
          <w:sz w:val="22"/>
          <w:szCs w:val="22"/>
        </w:rPr>
        <w:t xml:space="preserve">bola </w:t>
      </w:r>
      <w:r w:rsidRPr="00DE7532">
        <w:rPr>
          <w:sz w:val="22"/>
          <w:szCs w:val="22"/>
        </w:rPr>
        <w:t>medzi 10 a 30 dňom od začiatku liečby.</w:t>
      </w:r>
    </w:p>
    <w:p w:rsidR="00FB17EC" w:rsidRPr="00DE7532" w:rsidRDefault="00FB17E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Tabuľkové zhrnutie nežiaducich účinkov</w:t>
      </w:r>
    </w:p>
    <w:p w:rsidR="00A93872" w:rsidRPr="00DE7532" w:rsidRDefault="00A93872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nižšie uvedenej tabuľke sú vymenované nežiaduce účinky zo spontánnych hlásení </w:t>
      </w:r>
      <w:r w:rsidR="00FB17EC" w:rsidRPr="00DE7532">
        <w:rPr>
          <w:sz w:val="22"/>
          <w:szCs w:val="22"/>
        </w:rPr>
        <w:t xml:space="preserve">a </w:t>
      </w:r>
      <w:r w:rsidRPr="00DE7532">
        <w:rPr>
          <w:sz w:val="22"/>
          <w:szCs w:val="22"/>
        </w:rPr>
        <w:t>v placebom</w:t>
      </w:r>
      <w:r w:rsidR="007729D3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kontrolovaných klinických </w:t>
      </w:r>
      <w:r w:rsidR="0075388A">
        <w:rPr>
          <w:sz w:val="22"/>
          <w:szCs w:val="22"/>
        </w:rPr>
        <w:t xml:space="preserve">skúšaniach </w:t>
      </w:r>
      <w:r w:rsidRPr="00DE7532">
        <w:rPr>
          <w:sz w:val="22"/>
          <w:szCs w:val="22"/>
        </w:rPr>
        <w:t xml:space="preserve">(zahŕňajúcich celkovo 7116 pacientov liečených </w:t>
      </w:r>
      <w:r w:rsidR="00FB17EC" w:rsidRPr="00DE7532">
        <w:rPr>
          <w:sz w:val="22"/>
          <w:szCs w:val="22"/>
        </w:rPr>
        <w:t>tadalafilom</w:t>
      </w:r>
      <w:r w:rsidR="007729D3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a 3718 pacientov na placebe) v liečbe erektilnej dysfunkcie </w:t>
      </w:r>
      <w:r w:rsidR="0075388A">
        <w:rPr>
          <w:sz w:val="22"/>
          <w:szCs w:val="22"/>
        </w:rPr>
        <w:t>podľa potreby</w:t>
      </w:r>
      <w:r w:rsidRPr="00DE7532">
        <w:rPr>
          <w:sz w:val="22"/>
          <w:szCs w:val="22"/>
        </w:rPr>
        <w:t xml:space="preserve"> alebo jedenkrát denne </w:t>
      </w:r>
      <w:r w:rsidR="00FB17EC" w:rsidRPr="00DE7532">
        <w:rPr>
          <w:sz w:val="22"/>
          <w:szCs w:val="22"/>
        </w:rPr>
        <w:t>a</w:t>
      </w:r>
      <w:r w:rsidR="0095245C" w:rsidRPr="00DE7532">
        <w:rPr>
          <w:sz w:val="22"/>
          <w:szCs w:val="22"/>
        </w:rPr>
        <w:t>lebo</w:t>
      </w:r>
      <w:r w:rsidR="007729D3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 liečbe benígnej hyperplázie prostaty jedenkrát denne.</w:t>
      </w:r>
    </w:p>
    <w:p w:rsidR="00FB17EC" w:rsidRPr="00DE7532" w:rsidRDefault="00FB17E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Frekvencia výskytu: veľmi časté (≥</w:t>
      </w:r>
      <w:r w:rsidR="0075388A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1/10), časté (≥</w:t>
      </w:r>
      <w:r w:rsidR="0075388A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1/100 až &lt;</w:t>
      </w:r>
      <w:r w:rsidR="0075388A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1/10), menej ča</w:t>
      </w:r>
      <w:r w:rsidR="00D2068C" w:rsidRPr="00DE7532">
        <w:rPr>
          <w:sz w:val="22"/>
          <w:szCs w:val="22"/>
        </w:rPr>
        <w:t>sté (≥</w:t>
      </w:r>
      <w:r w:rsidR="0075388A">
        <w:rPr>
          <w:sz w:val="22"/>
          <w:szCs w:val="22"/>
        </w:rPr>
        <w:t xml:space="preserve"> </w:t>
      </w:r>
      <w:r w:rsidR="00D2068C" w:rsidRPr="00DE7532">
        <w:rPr>
          <w:sz w:val="22"/>
          <w:szCs w:val="22"/>
        </w:rPr>
        <w:t>1/1</w:t>
      </w:r>
      <w:r w:rsidR="004C28F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000 až &lt;</w:t>
      </w:r>
      <w:r w:rsidR="0075388A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1/100),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zriedkavé (≥</w:t>
      </w:r>
      <w:r w:rsidR="0075388A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1/10 000 až &lt;</w:t>
      </w:r>
      <w:r w:rsidR="0075388A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1/1</w:t>
      </w:r>
      <w:r w:rsidR="004C28F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000), veľmi zriedkavé (&lt;</w:t>
      </w:r>
      <w:r w:rsidR="0075388A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1/10 000) a neznáme (z dostupných údajov).</w:t>
      </w:r>
    </w:p>
    <w:p w:rsidR="00A93872" w:rsidRPr="00DE7532" w:rsidRDefault="00A93872" w:rsidP="00A93872">
      <w:pPr>
        <w:rPr>
          <w:color w:val="000000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985"/>
        <w:gridCol w:w="2126"/>
        <w:gridCol w:w="3260"/>
      </w:tblGrid>
      <w:tr w:rsidR="00A93872" w:rsidRPr="00DE7532" w:rsidTr="006B4D48">
        <w:trPr>
          <w:tblHeader/>
        </w:trPr>
        <w:tc>
          <w:tcPr>
            <w:tcW w:w="1809" w:type="dxa"/>
          </w:tcPr>
          <w:p w:rsidR="00A93872" w:rsidRPr="00DE7532" w:rsidRDefault="00A93872" w:rsidP="00E15F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E7532">
              <w:rPr>
                <w:b/>
                <w:bCs/>
                <w:color w:val="000000"/>
                <w:sz w:val="22"/>
                <w:szCs w:val="22"/>
              </w:rPr>
              <w:lastRenderedPageBreak/>
              <w:t>Veľmi časté</w:t>
            </w:r>
          </w:p>
          <w:p w:rsidR="00A93872" w:rsidRPr="00DE7532" w:rsidRDefault="00A93872" w:rsidP="00E15FC9">
            <w:pPr>
              <w:rPr>
                <w:b/>
                <w:color w:val="000000"/>
                <w:sz w:val="22"/>
                <w:szCs w:val="22"/>
              </w:rPr>
            </w:pPr>
            <w:r w:rsidRPr="00DE7532">
              <w:rPr>
                <w:b/>
                <w:color w:val="000000"/>
                <w:sz w:val="22"/>
                <w:szCs w:val="22"/>
              </w:rPr>
              <w:t>(≥</w:t>
            </w:r>
            <w:r w:rsidR="00CC44B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E7532">
              <w:rPr>
                <w:b/>
                <w:color w:val="000000"/>
                <w:sz w:val="22"/>
                <w:szCs w:val="22"/>
              </w:rPr>
              <w:t>1/10)</w:t>
            </w: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E7532">
              <w:rPr>
                <w:b/>
                <w:bCs/>
                <w:color w:val="000000"/>
                <w:sz w:val="22"/>
                <w:szCs w:val="22"/>
              </w:rPr>
              <w:t>Časté</w:t>
            </w:r>
          </w:p>
          <w:p w:rsidR="00A93872" w:rsidRPr="00DE7532" w:rsidRDefault="00A93872" w:rsidP="00A93872">
            <w:pPr>
              <w:rPr>
                <w:b/>
                <w:color w:val="000000"/>
                <w:sz w:val="22"/>
                <w:szCs w:val="22"/>
              </w:rPr>
            </w:pPr>
            <w:r w:rsidRPr="00DE7532">
              <w:rPr>
                <w:b/>
                <w:color w:val="000000"/>
                <w:sz w:val="22"/>
                <w:szCs w:val="22"/>
              </w:rPr>
              <w:t>(≥</w:t>
            </w:r>
            <w:r w:rsidR="00CC44B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E7532">
              <w:rPr>
                <w:b/>
                <w:color w:val="000000"/>
                <w:sz w:val="22"/>
                <w:szCs w:val="22"/>
              </w:rPr>
              <w:t>1/100 až &lt;1/10)</w:t>
            </w:r>
          </w:p>
        </w:tc>
        <w:tc>
          <w:tcPr>
            <w:tcW w:w="2126" w:type="dxa"/>
          </w:tcPr>
          <w:p w:rsidR="00A93872" w:rsidRPr="00DE7532" w:rsidRDefault="00A93872" w:rsidP="00E15F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E7532">
              <w:rPr>
                <w:b/>
                <w:bCs/>
                <w:color w:val="000000"/>
                <w:sz w:val="22"/>
                <w:szCs w:val="22"/>
              </w:rPr>
              <w:t>Menej časté</w:t>
            </w:r>
          </w:p>
          <w:p w:rsidR="00A93872" w:rsidRPr="00DE7532" w:rsidRDefault="00A93872" w:rsidP="00A93872">
            <w:pPr>
              <w:rPr>
                <w:b/>
                <w:color w:val="000000"/>
                <w:sz w:val="22"/>
                <w:szCs w:val="22"/>
              </w:rPr>
            </w:pPr>
            <w:r w:rsidRPr="00DE7532">
              <w:rPr>
                <w:b/>
                <w:color w:val="000000"/>
                <w:sz w:val="22"/>
                <w:szCs w:val="22"/>
              </w:rPr>
              <w:t>(≥</w:t>
            </w:r>
            <w:r w:rsidR="00CC44B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E7532">
              <w:rPr>
                <w:b/>
                <w:color w:val="000000"/>
                <w:sz w:val="22"/>
                <w:szCs w:val="22"/>
              </w:rPr>
              <w:t>1/1</w:t>
            </w:r>
            <w:r w:rsidR="004C28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E7532">
              <w:rPr>
                <w:b/>
                <w:color w:val="000000"/>
                <w:sz w:val="22"/>
                <w:szCs w:val="22"/>
              </w:rPr>
              <w:t>000 až &lt;1/100)</w:t>
            </w:r>
          </w:p>
        </w:tc>
        <w:tc>
          <w:tcPr>
            <w:tcW w:w="3260" w:type="dxa"/>
          </w:tcPr>
          <w:p w:rsidR="00A93872" w:rsidRPr="00DE7532" w:rsidRDefault="00A93872" w:rsidP="00E15FC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E7532">
              <w:rPr>
                <w:b/>
                <w:bCs/>
                <w:color w:val="000000"/>
                <w:sz w:val="22"/>
                <w:szCs w:val="22"/>
              </w:rPr>
              <w:t>Zriedkavé</w:t>
            </w:r>
          </w:p>
          <w:p w:rsidR="00A93872" w:rsidRPr="00DE7532" w:rsidRDefault="00A93872" w:rsidP="00A93872">
            <w:pPr>
              <w:rPr>
                <w:b/>
                <w:color w:val="000000"/>
                <w:sz w:val="22"/>
                <w:szCs w:val="22"/>
              </w:rPr>
            </w:pPr>
            <w:r w:rsidRPr="00DE7532">
              <w:rPr>
                <w:b/>
                <w:color w:val="000000"/>
                <w:sz w:val="22"/>
                <w:szCs w:val="22"/>
              </w:rPr>
              <w:t>(≥</w:t>
            </w:r>
            <w:r w:rsidR="00CC44B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E7532">
              <w:rPr>
                <w:b/>
                <w:color w:val="000000"/>
                <w:sz w:val="22"/>
                <w:szCs w:val="22"/>
              </w:rPr>
              <w:t>1/10000 až &lt;</w:t>
            </w:r>
            <w:r w:rsidR="00CC44B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E7532">
              <w:rPr>
                <w:b/>
                <w:color w:val="000000"/>
                <w:sz w:val="22"/>
                <w:szCs w:val="22"/>
              </w:rPr>
              <w:t>1/1</w:t>
            </w:r>
            <w:r w:rsidR="004C28F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E7532">
              <w:rPr>
                <w:b/>
                <w:color w:val="000000"/>
                <w:sz w:val="22"/>
                <w:szCs w:val="22"/>
              </w:rPr>
              <w:t>000)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imunitného systému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A93872" w:rsidRPr="00DE7532" w:rsidRDefault="0075388A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C6313C" w:rsidRPr="00DE7532">
              <w:rPr>
                <w:sz w:val="22"/>
                <w:szCs w:val="22"/>
              </w:rPr>
              <w:t>ypersenzitívne reakcie</w:t>
            </w:r>
          </w:p>
        </w:tc>
        <w:tc>
          <w:tcPr>
            <w:tcW w:w="3260" w:type="dxa"/>
          </w:tcPr>
          <w:p w:rsidR="00A93872" w:rsidRPr="00DE7532" w:rsidRDefault="0075388A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  <w:r w:rsidR="00C6313C" w:rsidRPr="00DE7532">
              <w:rPr>
                <w:color w:val="000000"/>
                <w:sz w:val="22"/>
                <w:szCs w:val="22"/>
              </w:rPr>
              <w:t>ngioedé</w:t>
            </w:r>
            <w:r w:rsidR="00A93872" w:rsidRPr="00DE7532">
              <w:rPr>
                <w:color w:val="000000"/>
                <w:sz w:val="22"/>
                <w:szCs w:val="22"/>
              </w:rPr>
              <w:t>m</w:t>
            </w:r>
            <w:r w:rsidR="00A93872" w:rsidRPr="00DE7532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nervového systému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1985" w:type="dxa"/>
          </w:tcPr>
          <w:p w:rsidR="00A93872" w:rsidRPr="00DE7532" w:rsidRDefault="0075388A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C6313C" w:rsidRPr="00DE7532">
              <w:rPr>
                <w:sz w:val="22"/>
                <w:szCs w:val="22"/>
              </w:rPr>
              <w:t>olesť hlavy</w:t>
            </w:r>
          </w:p>
        </w:tc>
        <w:tc>
          <w:tcPr>
            <w:tcW w:w="2126" w:type="dxa"/>
          </w:tcPr>
          <w:p w:rsidR="00A93872" w:rsidRPr="00DE7532" w:rsidRDefault="0075388A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="00C6313C" w:rsidRPr="00DE7532">
              <w:rPr>
                <w:color w:val="000000"/>
                <w:sz w:val="22"/>
                <w:szCs w:val="22"/>
              </w:rPr>
              <w:t>ávrat</w:t>
            </w:r>
            <w:r>
              <w:rPr>
                <w:color w:val="000000"/>
                <w:sz w:val="22"/>
                <w:szCs w:val="22"/>
              </w:rPr>
              <w:t>y</w:t>
            </w:r>
          </w:p>
        </w:tc>
        <w:tc>
          <w:tcPr>
            <w:tcW w:w="3260" w:type="dxa"/>
          </w:tcPr>
          <w:p w:rsidR="00A93872" w:rsidRPr="00DE7532" w:rsidRDefault="0075388A" w:rsidP="0044531A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44531A" w:rsidRPr="00DE7532">
              <w:rPr>
                <w:sz w:val="22"/>
                <w:szCs w:val="22"/>
              </w:rPr>
              <w:t>ozgová príhoda</w:t>
            </w:r>
            <w:r w:rsidR="0044531A" w:rsidRPr="00DE7532">
              <w:rPr>
                <w:sz w:val="22"/>
                <w:szCs w:val="22"/>
                <w:vertAlign w:val="superscript"/>
              </w:rPr>
              <w:t>1</w:t>
            </w:r>
            <w:r w:rsidR="0044531A" w:rsidRPr="00DE7532">
              <w:rPr>
                <w:sz w:val="22"/>
                <w:szCs w:val="22"/>
              </w:rPr>
              <w:t xml:space="preserve"> (vrátane krvácavých príhod), synkopa, tranzitórne ischemické ataky</w:t>
            </w:r>
            <w:r w:rsidR="0044531A" w:rsidRPr="00DE7532">
              <w:rPr>
                <w:sz w:val="22"/>
                <w:szCs w:val="22"/>
                <w:vertAlign w:val="superscript"/>
              </w:rPr>
              <w:t>1</w:t>
            </w:r>
            <w:r w:rsidR="0044531A" w:rsidRPr="00DE7532">
              <w:rPr>
                <w:sz w:val="22"/>
                <w:szCs w:val="22"/>
              </w:rPr>
              <w:t>, migréna</w:t>
            </w:r>
            <w:r w:rsidR="0044531A" w:rsidRPr="00DE7532">
              <w:rPr>
                <w:sz w:val="22"/>
                <w:szCs w:val="22"/>
                <w:vertAlign w:val="superscript"/>
              </w:rPr>
              <w:t>2</w:t>
            </w:r>
            <w:r w:rsidR="0044531A" w:rsidRPr="00DE7532">
              <w:rPr>
                <w:sz w:val="22"/>
                <w:szCs w:val="22"/>
              </w:rPr>
              <w:t>, záchvaty, prechodná amnézia</w:t>
            </w:r>
            <w:r w:rsidR="0044531A" w:rsidRPr="00DE7532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oka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A161FD" w:rsidRPr="00DE7532" w:rsidRDefault="0075388A" w:rsidP="00A16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A161FD" w:rsidRPr="00DE7532">
              <w:rPr>
                <w:sz w:val="22"/>
                <w:szCs w:val="22"/>
              </w:rPr>
              <w:t>ozmazané videnie,</w:t>
            </w:r>
          </w:p>
          <w:p w:rsidR="00A161FD" w:rsidRPr="00DE7532" w:rsidRDefault="00A161FD" w:rsidP="00A161FD">
            <w:pPr>
              <w:rPr>
                <w:sz w:val="22"/>
                <w:szCs w:val="22"/>
              </w:rPr>
            </w:pPr>
            <w:r w:rsidRPr="00DE7532">
              <w:rPr>
                <w:sz w:val="22"/>
                <w:szCs w:val="22"/>
              </w:rPr>
              <w:t>pocity opisované ako</w:t>
            </w:r>
          </w:p>
          <w:p w:rsidR="00A93872" w:rsidRPr="00DE7532" w:rsidRDefault="00A161FD" w:rsidP="00A161FD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sz w:val="22"/>
                <w:szCs w:val="22"/>
              </w:rPr>
              <w:t>bolesť oka</w:t>
            </w:r>
            <w:r w:rsidRPr="00DE7532">
              <w:rPr>
                <w:color w:val="000000"/>
                <w:sz w:val="22"/>
                <w:szCs w:val="22"/>
              </w:rPr>
              <w:t xml:space="preserve"> </w:t>
            </w:r>
          </w:p>
          <w:p w:rsidR="00A161FD" w:rsidRPr="00DE7532" w:rsidRDefault="00A161FD" w:rsidP="00A161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CF5A69" w:rsidRPr="00A97DFF" w:rsidRDefault="0056755B" w:rsidP="00CF5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defekty v zornom poli</w:t>
            </w:r>
            <w:r w:rsidR="00CF5A69" w:rsidRPr="00A97DFF">
              <w:rPr>
                <w:sz w:val="22"/>
                <w:szCs w:val="22"/>
              </w:rPr>
              <w:t>,</w:t>
            </w:r>
            <w:r w:rsidR="00CC44B5">
              <w:rPr>
                <w:sz w:val="22"/>
                <w:szCs w:val="22"/>
              </w:rPr>
              <w:t xml:space="preserve"> </w:t>
            </w:r>
            <w:r w:rsidR="00CF5A69" w:rsidRPr="00A97DFF">
              <w:rPr>
                <w:sz w:val="22"/>
                <w:szCs w:val="22"/>
              </w:rPr>
              <w:t>opuch očných viečok,</w:t>
            </w:r>
          </w:p>
          <w:p w:rsidR="00CF5A69" w:rsidRPr="00A97DFF" w:rsidRDefault="00CF5A69" w:rsidP="00CF5A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7DFF">
              <w:rPr>
                <w:sz w:val="22"/>
                <w:szCs w:val="22"/>
              </w:rPr>
              <w:t>hyperémia</w:t>
            </w:r>
            <w:r w:rsidR="0056755B">
              <w:rPr>
                <w:sz w:val="22"/>
                <w:szCs w:val="22"/>
              </w:rPr>
              <w:t xml:space="preserve"> spojovky</w:t>
            </w:r>
            <w:r w:rsidRPr="00A97DFF">
              <w:rPr>
                <w:sz w:val="22"/>
                <w:szCs w:val="22"/>
              </w:rPr>
              <w:t>, nearteritická</w:t>
            </w:r>
            <w:r w:rsidR="00CC44B5">
              <w:rPr>
                <w:sz w:val="22"/>
                <w:szCs w:val="22"/>
              </w:rPr>
              <w:t xml:space="preserve"> </w:t>
            </w:r>
            <w:r w:rsidRPr="00A97DFF">
              <w:rPr>
                <w:sz w:val="22"/>
                <w:szCs w:val="22"/>
              </w:rPr>
              <w:t>predná ischemická</w:t>
            </w:r>
            <w:r w:rsidR="00CC44B5">
              <w:rPr>
                <w:sz w:val="22"/>
                <w:szCs w:val="22"/>
              </w:rPr>
              <w:t xml:space="preserve"> </w:t>
            </w:r>
            <w:r w:rsidRPr="00A97DFF">
              <w:rPr>
                <w:sz w:val="22"/>
                <w:szCs w:val="22"/>
              </w:rPr>
              <w:t>neuropatia zrakového</w:t>
            </w:r>
          </w:p>
          <w:p w:rsidR="00A93872" w:rsidRPr="00DE7532" w:rsidRDefault="00CF5A69" w:rsidP="00CC44B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7DFF">
              <w:rPr>
                <w:sz w:val="22"/>
                <w:szCs w:val="22"/>
              </w:rPr>
              <w:t>nervu (NAION)</w:t>
            </w:r>
            <w:r w:rsidRPr="00A97DFF">
              <w:rPr>
                <w:sz w:val="22"/>
                <w:szCs w:val="22"/>
                <w:vertAlign w:val="superscript"/>
              </w:rPr>
              <w:t>2</w:t>
            </w:r>
            <w:r w:rsidRPr="00A97DFF">
              <w:rPr>
                <w:sz w:val="22"/>
                <w:szCs w:val="22"/>
              </w:rPr>
              <w:t>,</w:t>
            </w:r>
            <w:r w:rsidR="00CC44B5">
              <w:rPr>
                <w:sz w:val="22"/>
                <w:szCs w:val="22"/>
              </w:rPr>
              <w:t xml:space="preserve"> </w:t>
            </w:r>
            <w:r w:rsidRPr="00A97DFF">
              <w:rPr>
                <w:sz w:val="22"/>
                <w:szCs w:val="22"/>
              </w:rPr>
              <w:t>cievna</w:t>
            </w:r>
            <w:r w:rsidR="006277AD">
              <w:rPr>
                <w:sz w:val="22"/>
                <w:szCs w:val="22"/>
              </w:rPr>
              <w:t xml:space="preserve"> </w:t>
            </w:r>
            <w:r w:rsidRPr="00A97DFF">
              <w:rPr>
                <w:sz w:val="22"/>
                <w:szCs w:val="22"/>
              </w:rPr>
              <w:t>oklúzia sietnice</w:t>
            </w:r>
            <w:r w:rsidRPr="00A97DFF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ucha a labyrintu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A93872" w:rsidRPr="00DE7532" w:rsidRDefault="006277AD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A161FD" w:rsidRPr="00DE7532">
              <w:rPr>
                <w:color w:val="000000"/>
                <w:sz w:val="22"/>
                <w:szCs w:val="22"/>
              </w:rPr>
              <w:t>i</w:t>
            </w:r>
            <w:r w:rsidR="00A93872" w:rsidRPr="00DE7532">
              <w:rPr>
                <w:color w:val="000000"/>
                <w:sz w:val="22"/>
                <w:szCs w:val="22"/>
              </w:rPr>
              <w:t>nitus</w:t>
            </w:r>
          </w:p>
        </w:tc>
        <w:tc>
          <w:tcPr>
            <w:tcW w:w="3260" w:type="dxa"/>
          </w:tcPr>
          <w:p w:rsidR="00A93872" w:rsidRPr="00DE7532" w:rsidRDefault="006277AD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161FD" w:rsidRPr="00DE7532">
              <w:rPr>
                <w:sz w:val="22"/>
                <w:szCs w:val="22"/>
              </w:rPr>
              <w:t>áhla strata sluchu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srdca a srdcovej činnosti</w:t>
            </w:r>
            <w:r w:rsidRPr="00DE7532">
              <w:rPr>
                <w:i/>
                <w:iCs/>
                <w:sz w:val="22"/>
                <w:szCs w:val="22"/>
                <w:vertAlign w:val="superscript"/>
              </w:rPr>
              <w:t>1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A93872" w:rsidRPr="00DE7532" w:rsidRDefault="006277AD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="00A161FD" w:rsidRPr="00DE7532">
              <w:rPr>
                <w:color w:val="000000"/>
                <w:sz w:val="22"/>
                <w:szCs w:val="22"/>
              </w:rPr>
              <w:t xml:space="preserve">achykardia, </w:t>
            </w:r>
            <w:r>
              <w:rPr>
                <w:color w:val="000000"/>
                <w:sz w:val="22"/>
                <w:szCs w:val="22"/>
              </w:rPr>
              <w:t>p</w:t>
            </w:r>
            <w:r w:rsidR="00A161FD" w:rsidRPr="00DE7532">
              <w:rPr>
                <w:color w:val="000000"/>
                <w:sz w:val="22"/>
                <w:szCs w:val="22"/>
              </w:rPr>
              <w:t>alpitácie</w:t>
            </w:r>
          </w:p>
        </w:tc>
        <w:tc>
          <w:tcPr>
            <w:tcW w:w="3260" w:type="dxa"/>
          </w:tcPr>
          <w:p w:rsidR="00A93872" w:rsidRPr="00DE7532" w:rsidRDefault="006277AD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A161FD" w:rsidRPr="00DE7532">
              <w:rPr>
                <w:sz w:val="22"/>
                <w:szCs w:val="22"/>
              </w:rPr>
              <w:t>nfarkt myokardu, nestabilná angina pectoris</w:t>
            </w:r>
            <w:r w:rsidR="00A161FD" w:rsidRPr="00DE7532">
              <w:rPr>
                <w:sz w:val="22"/>
                <w:szCs w:val="22"/>
                <w:vertAlign w:val="superscript"/>
              </w:rPr>
              <w:t>2</w:t>
            </w:r>
            <w:r w:rsidR="00A161FD" w:rsidRPr="00DE7532">
              <w:rPr>
                <w:sz w:val="22"/>
                <w:szCs w:val="22"/>
              </w:rPr>
              <w:t>, ventrikulárna arytmia</w:t>
            </w:r>
            <w:r w:rsidR="00A161FD" w:rsidRPr="00DE7532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ciev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6B4D48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A161FD" w:rsidRPr="00DE7532">
              <w:rPr>
                <w:sz w:val="22"/>
                <w:szCs w:val="22"/>
              </w:rPr>
              <w:t>ávaly tepla</w:t>
            </w:r>
          </w:p>
        </w:tc>
        <w:tc>
          <w:tcPr>
            <w:tcW w:w="2126" w:type="dxa"/>
          </w:tcPr>
          <w:p w:rsidR="00A93872" w:rsidRPr="00DE7532" w:rsidRDefault="006B4D48" w:rsidP="00A1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</w:t>
            </w:r>
            <w:r w:rsidR="00A161FD" w:rsidRPr="00DE7532">
              <w:rPr>
                <w:color w:val="000000"/>
                <w:sz w:val="22"/>
                <w:szCs w:val="22"/>
              </w:rPr>
              <w:t>ypotenzia</w:t>
            </w:r>
            <w:r w:rsidR="00A93872" w:rsidRPr="00DE7532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="00A93872" w:rsidRPr="00DE7532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h</w:t>
            </w:r>
            <w:r w:rsidR="00A93872" w:rsidRPr="00DE7532">
              <w:rPr>
                <w:color w:val="000000"/>
                <w:sz w:val="22"/>
                <w:szCs w:val="22"/>
              </w:rPr>
              <w:t>yperten</w:t>
            </w:r>
            <w:r w:rsidR="00A161FD" w:rsidRPr="00DE7532">
              <w:rPr>
                <w:color w:val="000000"/>
                <w:sz w:val="22"/>
                <w:szCs w:val="22"/>
              </w:rPr>
              <w:t>zia</w:t>
            </w:r>
          </w:p>
        </w:tc>
        <w:tc>
          <w:tcPr>
            <w:tcW w:w="3260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dýchacej sústavy, hrudníka a mediastína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6B4D48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nazálna k</w:t>
            </w:r>
            <w:r w:rsidRPr="008A5458">
              <w:rPr>
                <w:sz w:val="22"/>
                <w:szCs w:val="22"/>
              </w:rPr>
              <w:t>ongescia</w:t>
            </w:r>
          </w:p>
        </w:tc>
        <w:tc>
          <w:tcPr>
            <w:tcW w:w="2126" w:type="dxa"/>
          </w:tcPr>
          <w:p w:rsidR="00A93872" w:rsidRPr="00DE7532" w:rsidRDefault="006B4D48" w:rsidP="00A1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="00A93872" w:rsidRPr="00DE7532">
              <w:rPr>
                <w:color w:val="000000"/>
                <w:sz w:val="22"/>
                <w:szCs w:val="22"/>
              </w:rPr>
              <w:t xml:space="preserve">yspnoe, </w:t>
            </w:r>
            <w:r>
              <w:rPr>
                <w:color w:val="000000"/>
                <w:sz w:val="22"/>
                <w:szCs w:val="22"/>
              </w:rPr>
              <w:t>e</w:t>
            </w:r>
            <w:r w:rsidR="00A93872" w:rsidRPr="00DE7532">
              <w:rPr>
                <w:color w:val="000000"/>
                <w:sz w:val="22"/>
                <w:szCs w:val="22"/>
              </w:rPr>
              <w:t>pistax</w:t>
            </w:r>
            <w:r w:rsidR="00A161FD" w:rsidRPr="00DE7532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260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gastrointestinálneho traktu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6B4D48" w:rsidP="00A1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  <w:r w:rsidR="00A161FD" w:rsidRPr="00DE7532">
              <w:rPr>
                <w:color w:val="000000"/>
                <w:sz w:val="22"/>
                <w:szCs w:val="22"/>
              </w:rPr>
              <w:t xml:space="preserve">yspepsia, </w:t>
            </w:r>
            <w:r>
              <w:rPr>
                <w:color w:val="000000"/>
                <w:sz w:val="22"/>
                <w:szCs w:val="22"/>
              </w:rPr>
              <w:t>g</w:t>
            </w:r>
            <w:r w:rsidR="00A161FD" w:rsidRPr="00DE7532">
              <w:rPr>
                <w:color w:val="000000"/>
                <w:sz w:val="22"/>
                <w:szCs w:val="22"/>
              </w:rPr>
              <w:t>astr</w:t>
            </w:r>
            <w:r w:rsidR="00A93872" w:rsidRPr="00DE7532">
              <w:rPr>
                <w:color w:val="000000"/>
                <w:sz w:val="22"/>
                <w:szCs w:val="22"/>
              </w:rPr>
              <w:t>oe</w:t>
            </w:r>
            <w:r w:rsidR="00A161FD" w:rsidRPr="00DE7532">
              <w:rPr>
                <w:color w:val="000000"/>
                <w:sz w:val="22"/>
                <w:szCs w:val="22"/>
              </w:rPr>
              <w:t xml:space="preserve">zofageálny </w:t>
            </w:r>
            <w:r w:rsidR="00A93872" w:rsidRPr="00DE7532">
              <w:rPr>
                <w:color w:val="000000"/>
                <w:sz w:val="22"/>
                <w:szCs w:val="22"/>
              </w:rPr>
              <w:t>reflux</w:t>
            </w:r>
          </w:p>
        </w:tc>
        <w:tc>
          <w:tcPr>
            <w:tcW w:w="2126" w:type="dxa"/>
          </w:tcPr>
          <w:p w:rsidR="00D373F6" w:rsidRPr="00DE7532" w:rsidRDefault="006B4D48" w:rsidP="00D37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DE7532">
              <w:rPr>
                <w:sz w:val="22"/>
                <w:szCs w:val="22"/>
              </w:rPr>
              <w:t xml:space="preserve">olesť </w:t>
            </w:r>
            <w:r w:rsidR="00D373F6" w:rsidRPr="00DE7532">
              <w:rPr>
                <w:sz w:val="22"/>
                <w:szCs w:val="22"/>
              </w:rPr>
              <w:t>brucha</w:t>
            </w:r>
          </w:p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kože a podkožného tkaniva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A93872" w:rsidRPr="00DE7532" w:rsidRDefault="006B4D48" w:rsidP="00D373F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D373F6" w:rsidRPr="00DE7532">
              <w:rPr>
                <w:sz w:val="22"/>
                <w:szCs w:val="22"/>
              </w:rPr>
              <w:t>yrážka, hyperhidróza (potenie)</w:t>
            </w:r>
          </w:p>
        </w:tc>
        <w:tc>
          <w:tcPr>
            <w:tcW w:w="3260" w:type="dxa"/>
          </w:tcPr>
          <w:p w:rsidR="00A93872" w:rsidRPr="00DE7532" w:rsidRDefault="006B4D48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ž</w:t>
            </w:r>
            <w:r w:rsidR="00D373F6" w:rsidRPr="00DE7532">
              <w:rPr>
                <w:sz w:val="22"/>
                <w:szCs w:val="22"/>
              </w:rPr>
              <w:t>ihľavka, Stevensov-Johnsonov syndróm</w:t>
            </w:r>
            <w:r w:rsidR="00D373F6" w:rsidRPr="00DE7532">
              <w:rPr>
                <w:sz w:val="22"/>
                <w:szCs w:val="22"/>
                <w:vertAlign w:val="superscript"/>
              </w:rPr>
              <w:t>2</w:t>
            </w:r>
            <w:r w:rsidR="00D373F6" w:rsidRPr="00DE7532">
              <w:rPr>
                <w:sz w:val="22"/>
                <w:szCs w:val="22"/>
              </w:rPr>
              <w:t>, exfoliatívna dermatitída</w:t>
            </w:r>
            <w:r w:rsidR="00D373F6" w:rsidRPr="00DE7532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kostrovej a svalovej sústavy a spojivového tkaniva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6B4D48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A4A19" w:rsidRPr="00DE7532">
              <w:rPr>
                <w:sz w:val="22"/>
                <w:szCs w:val="22"/>
              </w:rPr>
              <w:t>olesť chrbta, myalgia, bolesť končatín</w:t>
            </w:r>
          </w:p>
        </w:tc>
        <w:tc>
          <w:tcPr>
            <w:tcW w:w="2126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obličiek a močových ciest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A93872" w:rsidRPr="00DE7532" w:rsidRDefault="006B4D48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</w:t>
            </w:r>
            <w:r w:rsidR="00944F8B" w:rsidRPr="00DE7532">
              <w:rPr>
                <w:color w:val="000000"/>
                <w:sz w:val="22"/>
                <w:szCs w:val="22"/>
              </w:rPr>
              <w:t>e</w:t>
            </w:r>
            <w:r w:rsidR="009A4A19" w:rsidRPr="00DE7532">
              <w:rPr>
                <w:color w:val="000000"/>
                <w:sz w:val="22"/>
                <w:szCs w:val="22"/>
              </w:rPr>
              <w:t>matú</w:t>
            </w:r>
            <w:r w:rsidR="00A93872" w:rsidRPr="00DE7532">
              <w:rPr>
                <w:color w:val="000000"/>
                <w:sz w:val="22"/>
                <w:szCs w:val="22"/>
              </w:rPr>
              <w:t>ria</w:t>
            </w:r>
          </w:p>
        </w:tc>
        <w:tc>
          <w:tcPr>
            <w:tcW w:w="3260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C6313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Poruchy reprodukčného systému a prsníkov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</w:tcPr>
          <w:p w:rsidR="00A93872" w:rsidRPr="00DE7532" w:rsidRDefault="006B4D48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DE7532">
              <w:rPr>
                <w:sz w:val="22"/>
                <w:szCs w:val="22"/>
              </w:rPr>
              <w:t xml:space="preserve">rvácanie </w:t>
            </w:r>
            <w:r w:rsidR="00276AF5" w:rsidRPr="00DE7532">
              <w:rPr>
                <w:sz w:val="22"/>
                <w:szCs w:val="22"/>
              </w:rPr>
              <w:t>z penisu, hematospermia</w:t>
            </w:r>
          </w:p>
        </w:tc>
        <w:tc>
          <w:tcPr>
            <w:tcW w:w="3260" w:type="dxa"/>
          </w:tcPr>
          <w:p w:rsidR="00A93872" w:rsidRPr="00DE7532" w:rsidRDefault="006B4D48" w:rsidP="00276AF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76AF5" w:rsidRPr="00DE7532">
              <w:rPr>
                <w:sz w:val="22"/>
                <w:szCs w:val="22"/>
              </w:rPr>
              <w:t>redĺžené erekcie, priapizmus</w:t>
            </w:r>
            <w:r w:rsidR="00276AF5" w:rsidRPr="00DE7532">
              <w:rPr>
                <w:color w:val="000000"/>
                <w:sz w:val="22"/>
                <w:szCs w:val="22"/>
                <w:vertAlign w:val="superscript"/>
                <w:lang w:eastAsia="cs-CZ"/>
              </w:rPr>
              <w:t>2</w:t>
            </w:r>
          </w:p>
        </w:tc>
      </w:tr>
      <w:tr w:rsidR="00A93872" w:rsidRPr="00DE7532" w:rsidTr="006B4D48">
        <w:tc>
          <w:tcPr>
            <w:tcW w:w="9180" w:type="dxa"/>
            <w:gridSpan w:val="4"/>
          </w:tcPr>
          <w:p w:rsidR="00A93872" w:rsidRPr="00DE7532" w:rsidRDefault="00C6313C" w:rsidP="00E15FC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E7532">
              <w:rPr>
                <w:i/>
                <w:iCs/>
                <w:sz w:val="22"/>
                <w:szCs w:val="22"/>
              </w:rPr>
              <w:t>Celkové poruchy a reakcie v mieste podania</w:t>
            </w:r>
          </w:p>
        </w:tc>
      </w:tr>
      <w:tr w:rsidR="00A93872" w:rsidRPr="00DE7532" w:rsidTr="006B4D48">
        <w:tc>
          <w:tcPr>
            <w:tcW w:w="1809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93872" w:rsidRPr="00DE7532" w:rsidRDefault="00A93872" w:rsidP="00E15FC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A93872" w:rsidRPr="00DE7532" w:rsidRDefault="006B4D48" w:rsidP="00E15FC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276AF5" w:rsidRPr="00DE7532">
              <w:rPr>
                <w:sz w:val="22"/>
                <w:szCs w:val="22"/>
              </w:rPr>
              <w:t>olesť na hrudníku</w:t>
            </w:r>
            <w:r w:rsidR="00276AF5" w:rsidRPr="00DE7532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260" w:type="dxa"/>
          </w:tcPr>
          <w:p w:rsidR="00A93872" w:rsidRPr="00DE7532" w:rsidRDefault="00276AF5" w:rsidP="00E15FC9">
            <w:pPr>
              <w:rPr>
                <w:color w:val="000000"/>
                <w:sz w:val="22"/>
                <w:szCs w:val="22"/>
              </w:rPr>
            </w:pPr>
            <w:r w:rsidRPr="00DE7532">
              <w:rPr>
                <w:sz w:val="22"/>
                <w:szCs w:val="22"/>
              </w:rPr>
              <w:t>edém</w:t>
            </w:r>
            <w:r w:rsidR="006B4D48">
              <w:rPr>
                <w:sz w:val="22"/>
                <w:szCs w:val="22"/>
              </w:rPr>
              <w:t xml:space="preserve"> tváre</w:t>
            </w:r>
            <w:r w:rsidRPr="00DE7532">
              <w:rPr>
                <w:sz w:val="22"/>
                <w:szCs w:val="22"/>
                <w:vertAlign w:val="superscript"/>
              </w:rPr>
              <w:t>2</w:t>
            </w:r>
            <w:r w:rsidRPr="00DE7532">
              <w:rPr>
                <w:sz w:val="22"/>
                <w:szCs w:val="22"/>
              </w:rPr>
              <w:t>, náhla srdcová smrť</w:t>
            </w:r>
            <w:r w:rsidRPr="00DE7532">
              <w:rPr>
                <w:sz w:val="22"/>
                <w:szCs w:val="22"/>
                <w:vertAlign w:val="superscript"/>
              </w:rPr>
              <w:t>1,2</w:t>
            </w:r>
          </w:p>
        </w:tc>
      </w:tr>
    </w:tbl>
    <w:p w:rsidR="00632889" w:rsidRPr="00DE7532" w:rsidRDefault="00632889" w:rsidP="00882187">
      <w:pPr>
        <w:rPr>
          <w:iCs/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  <w:vertAlign w:val="superscript"/>
        </w:rPr>
        <w:t>1</w:t>
      </w:r>
      <w:r w:rsidRPr="00DE7532">
        <w:rPr>
          <w:sz w:val="22"/>
          <w:szCs w:val="22"/>
        </w:rPr>
        <w:t xml:space="preserve"> Väčšina pacientov </w:t>
      </w:r>
      <w:r w:rsidR="00632889" w:rsidRPr="00DE7532">
        <w:rPr>
          <w:sz w:val="22"/>
          <w:szCs w:val="22"/>
        </w:rPr>
        <w:t>mala</w:t>
      </w:r>
      <w:r w:rsidRPr="00DE7532">
        <w:rPr>
          <w:sz w:val="22"/>
          <w:szCs w:val="22"/>
        </w:rPr>
        <w:t xml:space="preserve"> </w:t>
      </w:r>
      <w:r w:rsidR="00632889" w:rsidRPr="00DE7532">
        <w:rPr>
          <w:sz w:val="22"/>
          <w:szCs w:val="22"/>
        </w:rPr>
        <w:t>preexistujúce</w:t>
      </w:r>
      <w:r w:rsidRPr="00DE7532">
        <w:rPr>
          <w:sz w:val="22"/>
          <w:szCs w:val="22"/>
        </w:rPr>
        <w:t xml:space="preserve"> kardiovaskulárn</w:t>
      </w:r>
      <w:r w:rsidR="00632889" w:rsidRPr="00DE7532">
        <w:rPr>
          <w:sz w:val="22"/>
          <w:szCs w:val="22"/>
        </w:rPr>
        <w:t>e</w:t>
      </w:r>
      <w:r w:rsidRPr="00DE7532">
        <w:rPr>
          <w:sz w:val="22"/>
          <w:szCs w:val="22"/>
        </w:rPr>
        <w:t xml:space="preserve"> rizikov</w:t>
      </w:r>
      <w:r w:rsidR="00632889" w:rsidRPr="00DE7532">
        <w:rPr>
          <w:sz w:val="22"/>
          <w:szCs w:val="22"/>
        </w:rPr>
        <w:t>é</w:t>
      </w:r>
      <w:r w:rsidRPr="00DE7532">
        <w:rPr>
          <w:sz w:val="22"/>
          <w:szCs w:val="22"/>
        </w:rPr>
        <w:t xml:space="preserve"> faktor</w:t>
      </w:r>
      <w:r w:rsidR="00632889" w:rsidRPr="00DE7532">
        <w:rPr>
          <w:sz w:val="22"/>
          <w:szCs w:val="22"/>
        </w:rPr>
        <w:t xml:space="preserve">y </w:t>
      </w:r>
      <w:r w:rsidRPr="00DE7532">
        <w:rPr>
          <w:sz w:val="22"/>
          <w:szCs w:val="22"/>
        </w:rPr>
        <w:t>(pozri časť 4.4).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  <w:vertAlign w:val="superscript"/>
        </w:rPr>
        <w:t>2</w:t>
      </w:r>
      <w:r w:rsidRPr="00DE7532">
        <w:rPr>
          <w:sz w:val="22"/>
          <w:szCs w:val="22"/>
        </w:rPr>
        <w:t xml:space="preserve"> Nežiaduce </w:t>
      </w:r>
      <w:r w:rsidR="006B4D48">
        <w:rPr>
          <w:sz w:val="22"/>
          <w:szCs w:val="22"/>
        </w:rPr>
        <w:t>reakcie</w:t>
      </w:r>
      <w:r w:rsidR="006B4D4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hlásené v rámci postmarketingového sledovania nepozorované v placebom</w:t>
      </w:r>
      <w:r w:rsidR="00632889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kontrolovaných klinických </w:t>
      </w:r>
      <w:r w:rsidR="006B4D48">
        <w:rPr>
          <w:sz w:val="22"/>
          <w:szCs w:val="22"/>
        </w:rPr>
        <w:t>skúšaniach</w:t>
      </w:r>
      <w:r w:rsidRPr="00DE7532">
        <w:rPr>
          <w:sz w:val="22"/>
          <w:szCs w:val="22"/>
        </w:rPr>
        <w:t>.</w:t>
      </w:r>
    </w:p>
    <w:p w:rsidR="00011342" w:rsidRPr="00DE7532" w:rsidRDefault="00011342" w:rsidP="00882187">
      <w:pPr>
        <w:rPr>
          <w:sz w:val="22"/>
          <w:szCs w:val="22"/>
        </w:rPr>
      </w:pPr>
      <w:r w:rsidRPr="00DE7532">
        <w:rPr>
          <w:sz w:val="22"/>
          <w:szCs w:val="22"/>
          <w:vertAlign w:val="superscript"/>
        </w:rPr>
        <w:t>3</w:t>
      </w:r>
      <w:r w:rsidRPr="00DE7532">
        <w:rPr>
          <w:sz w:val="22"/>
          <w:szCs w:val="22"/>
        </w:rPr>
        <w:t xml:space="preserve"> Častejšie hlásené, keď bol tadalafil podaný pacientom, ktorí už užívajú antihypertenzíva.</w:t>
      </w:r>
    </w:p>
    <w:p w:rsidR="00011342" w:rsidRPr="00DE7532" w:rsidRDefault="00011342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 xml:space="preserve">Popis vybraných nežiaducich </w:t>
      </w:r>
      <w:r w:rsidR="006B4D48">
        <w:rPr>
          <w:sz w:val="22"/>
          <w:szCs w:val="22"/>
          <w:u w:val="single"/>
        </w:rPr>
        <w:t>reakcií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U pacientov liečených tadalafilom jedenkrát denne bol hlásený mierne zvýšený výskyt abnormalít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EKG, najmä sínusovej bradykardie v porovnaní s placebom. Väčšina týchto abnormalít EKG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nesúvisela s nežiaducimi účinkami.</w:t>
      </w:r>
    </w:p>
    <w:p w:rsidR="00632889" w:rsidRPr="00DE7532" w:rsidRDefault="00632889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Ostatné osobitné skupiny</w:t>
      </w:r>
      <w:r w:rsidR="00995475" w:rsidRPr="00DE7532">
        <w:rPr>
          <w:sz w:val="22"/>
          <w:szCs w:val="22"/>
          <w:u w:val="single"/>
        </w:rPr>
        <w:t xml:space="preserve"> pacientov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Údaje o pacientoch starších ako 65 rokov, ktorí </w:t>
      </w:r>
      <w:r w:rsidR="00632889" w:rsidRPr="00DE7532">
        <w:rPr>
          <w:sz w:val="22"/>
          <w:szCs w:val="22"/>
        </w:rPr>
        <w:t xml:space="preserve">počas klinického skúšania </w:t>
      </w:r>
      <w:r w:rsidRPr="00DE7532">
        <w:rPr>
          <w:sz w:val="22"/>
          <w:szCs w:val="22"/>
        </w:rPr>
        <w:t>užívali tadalafil, či už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na liečbu erektilnej dysfunkcie alebo na liečbu benígnej hyperplázie prostaty</w:t>
      </w:r>
      <w:r w:rsidR="00995475" w:rsidRPr="00DE7532">
        <w:rPr>
          <w:sz w:val="22"/>
          <w:szCs w:val="22"/>
        </w:rPr>
        <w:t>,</w:t>
      </w:r>
      <w:r w:rsidRPr="00DE7532">
        <w:rPr>
          <w:sz w:val="22"/>
          <w:szCs w:val="22"/>
        </w:rPr>
        <w:t xml:space="preserve"> sú obmedzené.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 klinických skúšaniach s 5 mg tadalafilu užívanými jedenkrát denne na liečbu benígnej hyperplázie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prostaty boli hlásené závraty a hnačka častejšie u pacientov starších ako 75 rokov veku.</w:t>
      </w:r>
    </w:p>
    <w:p w:rsidR="00632889" w:rsidRPr="00DE7532" w:rsidRDefault="00632889" w:rsidP="00882187">
      <w:pPr>
        <w:rPr>
          <w:sz w:val="22"/>
          <w:szCs w:val="22"/>
        </w:rPr>
      </w:pPr>
    </w:p>
    <w:p w:rsidR="00632889" w:rsidRPr="00DE7532" w:rsidRDefault="00632889" w:rsidP="00632889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Hlásenie podozrení na nežiaduce reakcie</w:t>
      </w:r>
    </w:p>
    <w:p w:rsidR="006B4D48" w:rsidRPr="008976C4" w:rsidRDefault="00632889" w:rsidP="006B4D48">
      <w:pPr>
        <w:autoSpaceDE w:val="0"/>
        <w:autoSpaceDN w:val="0"/>
        <w:adjustRightInd w:val="0"/>
        <w:rPr>
          <w:sz w:val="22"/>
          <w:szCs w:val="22"/>
        </w:rPr>
      </w:pPr>
      <w:r w:rsidRPr="00DE7532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="006B4D48" w:rsidRPr="00E95AD6">
        <w:rPr>
          <w:sz w:val="22"/>
          <w:szCs w:val="22"/>
          <w:highlight w:val="lightGray"/>
        </w:rPr>
        <w:t>národného systému hlásenia uvedeného v </w:t>
      </w:r>
      <w:hyperlink r:id="rId7" w:history="1">
        <w:r w:rsidR="006B4D48" w:rsidRPr="00E95AD6">
          <w:rPr>
            <w:rStyle w:val="Hypertextovprepojenie"/>
            <w:sz w:val="22"/>
            <w:szCs w:val="22"/>
          </w:rPr>
          <w:t>Prílohe V</w:t>
        </w:r>
      </w:hyperlink>
      <w:r w:rsidR="006B4D48" w:rsidRPr="008976C4">
        <w:rPr>
          <w:sz w:val="22"/>
          <w:szCs w:val="22"/>
        </w:rPr>
        <w:t>.</w:t>
      </w:r>
    </w:p>
    <w:p w:rsidR="009D5C51" w:rsidRPr="00DE7532" w:rsidRDefault="009D5C51" w:rsidP="006B4D48">
      <w:pPr>
        <w:suppressLineNumbers/>
        <w:autoSpaceDE w:val="0"/>
        <w:autoSpaceDN w:val="0"/>
        <w:adjustRightInd w:val="0"/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4.9 </w:t>
      </w:r>
      <w:r w:rsidR="00632889" w:rsidRPr="00DE7532">
        <w:rPr>
          <w:b/>
          <w:bCs/>
          <w:sz w:val="22"/>
          <w:szCs w:val="22"/>
        </w:rPr>
        <w:tab/>
        <w:t>Predávkovanie</w:t>
      </w:r>
    </w:p>
    <w:p w:rsidR="001303A9" w:rsidRPr="00DE7532" w:rsidRDefault="001303A9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Zdravým osobám boli podané jednorazové dávky do 500 mg a pacientom sa podali opakované denné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dávky do 100 mg. Nežiaduce </w:t>
      </w:r>
      <w:r w:rsidR="008A300F">
        <w:rPr>
          <w:sz w:val="22"/>
          <w:szCs w:val="22"/>
        </w:rPr>
        <w:t xml:space="preserve">udalosti </w:t>
      </w:r>
      <w:r w:rsidRPr="00DE7532">
        <w:rPr>
          <w:sz w:val="22"/>
          <w:szCs w:val="22"/>
        </w:rPr>
        <w:t>boli podobné ako pri nižších dávkach. V prípade predávkovania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je potrebné začať štandardnú podpornú liečbu. Hemodialýza prispieva k eliminácii tadalafilu iba</w:t>
      </w:r>
      <w:r w:rsidR="00011342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nepatrne.</w:t>
      </w:r>
    </w:p>
    <w:p w:rsidR="00632889" w:rsidRPr="00DE7532" w:rsidRDefault="00632889" w:rsidP="00882187">
      <w:pPr>
        <w:rPr>
          <w:sz w:val="22"/>
          <w:szCs w:val="22"/>
        </w:rPr>
      </w:pPr>
    </w:p>
    <w:p w:rsidR="006E15A6" w:rsidRPr="00DE7532" w:rsidRDefault="006E15A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5. </w:t>
      </w:r>
      <w:r w:rsidR="006E15A6" w:rsidRPr="00DE7532">
        <w:rPr>
          <w:b/>
          <w:bCs/>
          <w:sz w:val="22"/>
          <w:szCs w:val="22"/>
        </w:rPr>
        <w:tab/>
      </w:r>
      <w:r w:rsidR="00992C29" w:rsidRPr="00DE7532">
        <w:rPr>
          <w:b/>
          <w:bCs/>
          <w:sz w:val="22"/>
          <w:szCs w:val="22"/>
        </w:rPr>
        <w:t>FARMAKOLOGICKÉ</w:t>
      </w:r>
      <w:r w:rsidRPr="00DE7532">
        <w:rPr>
          <w:b/>
          <w:bCs/>
          <w:sz w:val="22"/>
          <w:szCs w:val="22"/>
        </w:rPr>
        <w:t xml:space="preserve"> VLASTNOSTI</w:t>
      </w:r>
    </w:p>
    <w:p w:rsidR="006E15A6" w:rsidRPr="00DE7532" w:rsidRDefault="006E15A6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5.1 </w:t>
      </w:r>
      <w:r w:rsidR="006E15A6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Farmakodynamick</w:t>
      </w:r>
      <w:r w:rsidR="006E15A6" w:rsidRPr="00DE7532">
        <w:rPr>
          <w:b/>
          <w:bCs/>
          <w:sz w:val="22"/>
          <w:szCs w:val="22"/>
        </w:rPr>
        <w:t>é</w:t>
      </w:r>
      <w:r w:rsidRPr="00DE7532">
        <w:rPr>
          <w:b/>
          <w:bCs/>
          <w:sz w:val="22"/>
          <w:szCs w:val="22"/>
        </w:rPr>
        <w:t xml:space="preserve"> vlastnosti</w:t>
      </w:r>
    </w:p>
    <w:p w:rsidR="006E15A6" w:rsidRPr="00DE7532" w:rsidRDefault="006E15A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Farmakoterapeutická </w:t>
      </w:r>
      <w:r w:rsidRPr="00A16F0C">
        <w:rPr>
          <w:sz w:val="22"/>
          <w:szCs w:val="22"/>
        </w:rPr>
        <w:t xml:space="preserve">skupina: </w:t>
      </w:r>
      <w:r w:rsidR="0068690D" w:rsidRPr="00A16F0C">
        <w:rPr>
          <w:sz w:val="22"/>
          <w:szCs w:val="22"/>
        </w:rPr>
        <w:t>Urologiká, liečivá pri poruchách erekcie</w:t>
      </w:r>
      <w:r w:rsidRPr="00A16F0C">
        <w:rPr>
          <w:sz w:val="22"/>
          <w:szCs w:val="22"/>
        </w:rPr>
        <w:t>, ATC</w:t>
      </w:r>
      <w:r w:rsidRPr="00DE7532">
        <w:rPr>
          <w:sz w:val="22"/>
          <w:szCs w:val="22"/>
        </w:rPr>
        <w:t xml:space="preserve"> kód: G04BE08.</w:t>
      </w:r>
    </w:p>
    <w:p w:rsidR="006E15A6" w:rsidRPr="00DE7532" w:rsidRDefault="006E15A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Mechanizmus účinku</w:t>
      </w:r>
    </w:p>
    <w:p w:rsidR="001303A9" w:rsidRPr="00DE7532" w:rsidRDefault="001303A9" w:rsidP="00882187">
      <w:pPr>
        <w:rPr>
          <w:sz w:val="22"/>
          <w:szCs w:val="22"/>
        </w:rPr>
      </w:pPr>
    </w:p>
    <w:p w:rsidR="00882187" w:rsidRPr="00DE7532" w:rsidRDefault="00F109D8" w:rsidP="00882187">
      <w:pPr>
        <w:rPr>
          <w:sz w:val="22"/>
          <w:szCs w:val="22"/>
        </w:rPr>
      </w:pPr>
      <w:r w:rsidRPr="00A97DFF">
        <w:rPr>
          <w:sz w:val="22"/>
          <w:szCs w:val="22"/>
        </w:rPr>
        <w:t>Tadalafil je selektívny</w:t>
      </w:r>
      <w:r>
        <w:rPr>
          <w:sz w:val="22"/>
          <w:szCs w:val="22"/>
        </w:rPr>
        <w:t>,</w:t>
      </w:r>
      <w:r w:rsidRPr="00A97DFF">
        <w:rPr>
          <w:sz w:val="22"/>
          <w:szCs w:val="22"/>
        </w:rPr>
        <w:t xml:space="preserve"> reverzibilný inhibítor fosfodiesterázy typu 5 (PDE5)</w:t>
      </w:r>
      <w:r>
        <w:rPr>
          <w:sz w:val="22"/>
          <w:szCs w:val="22"/>
        </w:rPr>
        <w:t xml:space="preserve"> špecifickej pre cyklický guanozín-monofosfát (cGMP). </w:t>
      </w:r>
      <w:r w:rsidR="0095245C" w:rsidRPr="00DE7532">
        <w:rPr>
          <w:sz w:val="22"/>
          <w:szCs w:val="22"/>
        </w:rPr>
        <w:t xml:space="preserve">Zatiaľ čo sexuálna </w:t>
      </w:r>
      <w:r w:rsidR="00882187" w:rsidRPr="00DE7532">
        <w:rPr>
          <w:sz w:val="22"/>
          <w:szCs w:val="22"/>
        </w:rPr>
        <w:t>stimulácia spôsobuje lokálne</w:t>
      </w:r>
      <w:r w:rsidR="0037489F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 xml:space="preserve">uvoľnenie oxidu dusnatého, inhibícia PDE5 tadalafilom zvyšuje hladiny cGMP v </w:t>
      </w:r>
      <w:r w:rsidR="00882187" w:rsidRPr="00DE7532">
        <w:rPr>
          <w:i/>
          <w:sz w:val="22"/>
          <w:szCs w:val="22"/>
        </w:rPr>
        <w:t>corpus cavernosum</w:t>
      </w:r>
      <w:r w:rsidR="00882187" w:rsidRPr="00DE7532">
        <w:rPr>
          <w:sz w:val="22"/>
          <w:szCs w:val="22"/>
        </w:rPr>
        <w:t>.</w:t>
      </w:r>
      <w:r w:rsidR="0037489F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To vedie k relaxácii hladkej svaloviny a umožneniu vtoku krvi do tkanív penisu s následnou erekciou.</w:t>
      </w:r>
      <w:r w:rsidR="0037489F" w:rsidRPr="00DE7532">
        <w:rPr>
          <w:sz w:val="22"/>
          <w:szCs w:val="22"/>
        </w:rPr>
        <w:t xml:space="preserve"> T</w:t>
      </w:r>
      <w:r w:rsidR="00882187" w:rsidRPr="00DE7532">
        <w:rPr>
          <w:sz w:val="22"/>
          <w:szCs w:val="22"/>
        </w:rPr>
        <w:t xml:space="preserve">adalafil </w:t>
      </w:r>
      <w:r w:rsidR="0037489F" w:rsidRPr="00DE7532">
        <w:rPr>
          <w:sz w:val="22"/>
          <w:szCs w:val="22"/>
        </w:rPr>
        <w:t xml:space="preserve">nemá </w:t>
      </w:r>
      <w:r w:rsidR="00882187" w:rsidRPr="00DE7532">
        <w:rPr>
          <w:sz w:val="22"/>
          <w:szCs w:val="22"/>
        </w:rPr>
        <w:t xml:space="preserve">žiadny účinok </w:t>
      </w:r>
      <w:r w:rsidR="00A5527A" w:rsidRPr="00DE7532">
        <w:rPr>
          <w:sz w:val="22"/>
          <w:szCs w:val="22"/>
        </w:rPr>
        <w:t xml:space="preserve">v liečbe erektilnej dysfunkcie </w:t>
      </w:r>
      <w:r w:rsidR="00882187" w:rsidRPr="00DE7532">
        <w:rPr>
          <w:sz w:val="22"/>
          <w:szCs w:val="22"/>
        </w:rPr>
        <w:t xml:space="preserve">bez </w:t>
      </w:r>
      <w:r w:rsidR="0037489F" w:rsidRPr="00DE7532">
        <w:rPr>
          <w:sz w:val="22"/>
          <w:szCs w:val="22"/>
        </w:rPr>
        <w:t>sexuálnej</w:t>
      </w:r>
      <w:r w:rsidR="00882187" w:rsidRPr="00DE7532">
        <w:rPr>
          <w:sz w:val="22"/>
          <w:szCs w:val="22"/>
        </w:rPr>
        <w:t xml:space="preserve"> stimulácie.</w:t>
      </w:r>
    </w:p>
    <w:p w:rsidR="0037489F" w:rsidRPr="00DE7532" w:rsidRDefault="0037489F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Farmakodynamické účinky</w:t>
      </w:r>
    </w:p>
    <w:p w:rsidR="00CD5193" w:rsidRPr="00DE7532" w:rsidRDefault="00CD5193" w:rsidP="00882187">
      <w:pPr>
        <w:rPr>
          <w:sz w:val="22"/>
          <w:szCs w:val="22"/>
        </w:rPr>
      </w:pPr>
    </w:p>
    <w:p w:rsidR="00CD5193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</w:t>
      </w:r>
      <w:r w:rsidRPr="00DE7532">
        <w:rPr>
          <w:i/>
          <w:iCs/>
          <w:sz w:val="22"/>
          <w:szCs w:val="22"/>
        </w:rPr>
        <w:t xml:space="preserve">in vitro </w:t>
      </w:r>
      <w:r w:rsidRPr="00DE7532">
        <w:rPr>
          <w:sz w:val="22"/>
          <w:szCs w:val="22"/>
        </w:rPr>
        <w:t>štúdiách sa ukázalo, že tadalafil je selektívnym inhibítorom PDE5. PDE5 je enzým</w:t>
      </w:r>
      <w:r w:rsidR="003748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nachádzajúci sa v hladkej svalovine </w:t>
      </w:r>
      <w:r w:rsidRPr="00DE7532">
        <w:rPr>
          <w:i/>
          <w:sz w:val="22"/>
          <w:szCs w:val="22"/>
        </w:rPr>
        <w:t>corpus cavernosum</w:t>
      </w:r>
      <w:r w:rsidRPr="00DE7532">
        <w:rPr>
          <w:sz w:val="22"/>
          <w:szCs w:val="22"/>
        </w:rPr>
        <w:t>, ciev a vnútorných orgánov, v kostrovom svalstve, krvných doštičkách, obličkách, pľúcach a mozočku. Účinok tadalafilu na PDE5</w:t>
      </w:r>
      <w:r w:rsidR="003748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je silnejší ako na iné fosfodiesterázy. Tadalafil má viac ako 10 000-krát silnejší účinok na PDE5 ako</w:t>
      </w:r>
      <w:r w:rsidR="003748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na PDE1, PDE2 a PDE4, </w:t>
      </w:r>
      <w:r w:rsidR="0095245C" w:rsidRPr="00DE7532">
        <w:rPr>
          <w:sz w:val="22"/>
          <w:szCs w:val="22"/>
        </w:rPr>
        <w:t xml:space="preserve">enzýmy, </w:t>
      </w:r>
      <w:r w:rsidRPr="00DE7532">
        <w:rPr>
          <w:sz w:val="22"/>
          <w:szCs w:val="22"/>
        </w:rPr>
        <w:t>ktoré sa nachádzajú v srdci, mozgu, cievach, pečeni a iných orgánoch.</w:t>
      </w:r>
      <w:r w:rsidR="0037489F" w:rsidRPr="00DE7532">
        <w:rPr>
          <w:sz w:val="22"/>
          <w:szCs w:val="22"/>
        </w:rPr>
        <w:t xml:space="preserve"> 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Tadalafil má viac ako 10 000-krát silnejší účinok na PDE5 ako na PDE3, </w:t>
      </w:r>
      <w:r w:rsidR="0076004F" w:rsidRPr="00DE7532">
        <w:rPr>
          <w:sz w:val="22"/>
          <w:szCs w:val="22"/>
        </w:rPr>
        <w:t xml:space="preserve">enzým, </w:t>
      </w:r>
      <w:r w:rsidRPr="00DE7532">
        <w:rPr>
          <w:sz w:val="22"/>
          <w:szCs w:val="22"/>
        </w:rPr>
        <w:t>ktorý sa nachádza v srdci</w:t>
      </w:r>
      <w:r w:rsidR="003748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a cievach. Táto selektivita k PDE5 oproti PDE3 je dôležitá, pretože </w:t>
      </w:r>
      <w:r w:rsidR="0037489F" w:rsidRPr="00DE7532">
        <w:rPr>
          <w:sz w:val="22"/>
          <w:szCs w:val="22"/>
        </w:rPr>
        <w:t xml:space="preserve">enzým </w:t>
      </w:r>
      <w:r w:rsidRPr="00DE7532">
        <w:rPr>
          <w:sz w:val="22"/>
          <w:szCs w:val="22"/>
        </w:rPr>
        <w:t>PDE3 má význam pri kontrakcii</w:t>
      </w:r>
      <w:r w:rsidR="003748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myokardu. Okrem toho, tadalafil má približne 700-krát silnejší účinok na PDE5 ako na PDE6, enzým</w:t>
      </w:r>
      <w:r w:rsidR="003748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nachádzajúci sa v sietnici a ktorý je zodpovedný za fototransdukciu. Tadalafil má taktiež viac ako</w:t>
      </w:r>
      <w:r w:rsidR="0037489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10 000-krát silnejší účinok na PDE5 ako na PDE7 - PDE10.</w:t>
      </w:r>
    </w:p>
    <w:p w:rsidR="0037489F" w:rsidRPr="00DE7532" w:rsidRDefault="0037489F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Klinická účinnosť a bezpečnosť</w:t>
      </w:r>
    </w:p>
    <w:p w:rsidR="00CD5193" w:rsidRPr="00DE7532" w:rsidRDefault="00CD5193" w:rsidP="00B14D80">
      <w:pPr>
        <w:rPr>
          <w:sz w:val="22"/>
          <w:szCs w:val="22"/>
        </w:rPr>
      </w:pPr>
    </w:p>
    <w:p w:rsidR="00CD5193" w:rsidRPr="00DE7532" w:rsidRDefault="00CD5193" w:rsidP="00CD5193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porovnaní s placebom, tadalafil podávaný zdravým osobám neviedol k žiadnym významným zmenám systolického a diastolického krvného tlaku v ľahu (priemerné maximálne zníženie o 1,6/0,8 </w:t>
      </w:r>
      <w:r w:rsidRPr="00DE7532">
        <w:rPr>
          <w:sz w:val="22"/>
          <w:szCs w:val="22"/>
        </w:rPr>
        <w:lastRenderedPageBreak/>
        <w:t>mmHg), systolického a diastolického krvného tlaku v stoji (priemerné maximálne zníženie o 0,2/4,6 mmHg) a srdcovej frekvencie.</w:t>
      </w:r>
    </w:p>
    <w:p w:rsidR="00CD5193" w:rsidRPr="00DE7532" w:rsidRDefault="00CD5193" w:rsidP="00B14D80">
      <w:pPr>
        <w:rPr>
          <w:sz w:val="22"/>
          <w:szCs w:val="22"/>
        </w:rPr>
      </w:pPr>
    </w:p>
    <w:p w:rsidR="00CD5193" w:rsidRPr="00DE7532" w:rsidRDefault="00CD5193" w:rsidP="00CD5193">
      <w:pPr>
        <w:rPr>
          <w:sz w:val="22"/>
          <w:szCs w:val="22"/>
        </w:rPr>
      </w:pPr>
      <w:r w:rsidRPr="00DE7532">
        <w:rPr>
          <w:sz w:val="22"/>
          <w:szCs w:val="22"/>
        </w:rPr>
        <w:t>V štúdii hodnotiacej vplyv tadalafilu na zrak sa pri Farnsworthovom - Munsellovom 100-odtieňovom teste nezistila žiadna porucha farebného rozlíšenia (modrá/zelená). Toto zistenie je v súlade s nízkou afinitou tadalafilu k</w:t>
      </w:r>
      <w:r w:rsidR="00267890">
        <w:rPr>
          <w:sz w:val="22"/>
          <w:szCs w:val="22"/>
        </w:rPr>
        <w:t> </w:t>
      </w:r>
      <w:r w:rsidRPr="00DE7532">
        <w:rPr>
          <w:sz w:val="22"/>
          <w:szCs w:val="22"/>
        </w:rPr>
        <w:t>PDE6 v porovnaní s PDE5. Vo všetkých klinických štúdiách sa pozoroval zriedkavý výskyt porúch farebného videnia (&lt; 0,1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%). </w:t>
      </w:r>
    </w:p>
    <w:p w:rsidR="00CD5193" w:rsidRPr="00DE7532" w:rsidRDefault="00CD5193" w:rsidP="00B14D80">
      <w:pPr>
        <w:rPr>
          <w:sz w:val="22"/>
          <w:szCs w:val="22"/>
        </w:rPr>
      </w:pPr>
    </w:p>
    <w:p w:rsidR="00CD5193" w:rsidRPr="00DE7532" w:rsidRDefault="00CD5193" w:rsidP="00CD5193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Boli vykonané tri štúdie u mužov zamerané na zhodnotenie potenciálneho účinku tadalafilu 10 mg (jedna 6-mesačná štúdia) a 20 mg (jedna 6-mesačná a jedna 9-mesačná štúdia) podávaného denne na spermatogenézu. V dvoch z týchto štúdií boli v súvislosti s liečbou tadalafilom pozorované poklesy v počte a koncentrácii spermií pravdepodobne bez klinickej významnosti. Tieto účinky neboli spojené so zmenami v ďalších parametroch ako </w:t>
      </w:r>
      <w:r w:rsidR="00F109D8">
        <w:rPr>
          <w:sz w:val="22"/>
          <w:szCs w:val="22"/>
        </w:rPr>
        <w:t>sú</w:t>
      </w:r>
      <w:r w:rsidR="00F109D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motilita, morfológia a </w:t>
      </w:r>
      <w:r w:rsidR="00F109D8">
        <w:rPr>
          <w:sz w:val="22"/>
          <w:szCs w:val="22"/>
        </w:rPr>
        <w:t>hladina folikuly stimulujúceho hormónu</w:t>
      </w:r>
      <w:r w:rsidR="00F109D8" w:rsidRPr="00DE7532">
        <w:rPr>
          <w:sz w:val="22"/>
          <w:szCs w:val="22"/>
        </w:rPr>
        <w:t xml:space="preserve"> </w:t>
      </w:r>
      <w:r w:rsidR="00F109D8">
        <w:rPr>
          <w:sz w:val="22"/>
          <w:szCs w:val="22"/>
        </w:rPr>
        <w:t>(</w:t>
      </w:r>
      <w:r w:rsidRPr="00DE7532">
        <w:rPr>
          <w:sz w:val="22"/>
          <w:szCs w:val="22"/>
        </w:rPr>
        <w:t>FSH</w:t>
      </w:r>
      <w:r w:rsidR="00F109D8">
        <w:rPr>
          <w:sz w:val="22"/>
          <w:szCs w:val="22"/>
        </w:rPr>
        <w:t>)</w:t>
      </w:r>
      <w:r w:rsidRPr="00DE7532">
        <w:rPr>
          <w:sz w:val="22"/>
          <w:szCs w:val="22"/>
        </w:rPr>
        <w:t xml:space="preserve">. </w:t>
      </w:r>
    </w:p>
    <w:p w:rsidR="00CD5193" w:rsidRPr="00DE7532" w:rsidRDefault="00CD5193" w:rsidP="00CD5193">
      <w:pPr>
        <w:rPr>
          <w:sz w:val="22"/>
          <w:szCs w:val="22"/>
        </w:rPr>
      </w:pPr>
    </w:p>
    <w:p w:rsidR="00B14D80" w:rsidRPr="00DE7532" w:rsidRDefault="00B14D80" w:rsidP="00B14D80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Boli vykonané tri klinické </w:t>
      </w:r>
      <w:r w:rsidR="00F109D8">
        <w:rPr>
          <w:sz w:val="22"/>
          <w:szCs w:val="22"/>
        </w:rPr>
        <w:t>skúšania</w:t>
      </w:r>
      <w:r w:rsidR="00F109D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s 1 054 pacientmi v domácom prostredí a sledovalo sa obdobie reakcie pacienta na tadalafil podávaný </w:t>
      </w:r>
      <w:r w:rsidR="00363323" w:rsidRPr="00DE7532">
        <w:rPr>
          <w:sz w:val="22"/>
          <w:szCs w:val="22"/>
        </w:rPr>
        <w:t>podľa potreby</w:t>
      </w:r>
      <w:r w:rsidRPr="00DE7532">
        <w:rPr>
          <w:sz w:val="22"/>
          <w:szCs w:val="22"/>
        </w:rPr>
        <w:t xml:space="preserve">. Tadalafil v porovnaní s placebom preukázal štatisticky významné zlepšenie erektilnej funkcie a schopnosti mať úspešný pohlavný styk v období až do 36 hodín po jeho užití, rovnako ako schopnosti dosiahnuť a </w:t>
      </w:r>
      <w:r w:rsidR="00992C29" w:rsidRPr="00DE7532">
        <w:rPr>
          <w:sz w:val="22"/>
          <w:szCs w:val="22"/>
        </w:rPr>
        <w:t>udržať erekciu</w:t>
      </w:r>
      <w:r w:rsidRPr="00DE7532">
        <w:rPr>
          <w:sz w:val="22"/>
          <w:szCs w:val="22"/>
        </w:rPr>
        <w:t xml:space="preserve"> dostatočnú na úspešný pohlavný styk už 16 minút po jeho užití.</w:t>
      </w:r>
    </w:p>
    <w:p w:rsidR="004E4777" w:rsidRPr="00DE7532" w:rsidRDefault="004E4777" w:rsidP="00B14D80">
      <w:pPr>
        <w:rPr>
          <w:sz w:val="22"/>
          <w:szCs w:val="22"/>
        </w:rPr>
      </w:pPr>
    </w:p>
    <w:p w:rsidR="00343D2E" w:rsidRPr="00DE7532" w:rsidRDefault="001505EC" w:rsidP="00882187">
      <w:pPr>
        <w:rPr>
          <w:sz w:val="22"/>
          <w:szCs w:val="22"/>
        </w:rPr>
      </w:pPr>
      <w:r w:rsidRPr="00DE7532">
        <w:rPr>
          <w:rStyle w:val="hps"/>
          <w:sz w:val="22"/>
          <w:szCs w:val="22"/>
        </w:rPr>
        <w:t>Tadalafil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dávkach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od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2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do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100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mg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bol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hodnotený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16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klinických</w:t>
      </w:r>
      <w:r w:rsidRPr="00DE7532">
        <w:rPr>
          <w:sz w:val="22"/>
          <w:szCs w:val="22"/>
        </w:rPr>
        <w:t xml:space="preserve"> </w:t>
      </w:r>
      <w:r w:rsidR="00F109D8">
        <w:rPr>
          <w:rStyle w:val="hps"/>
          <w:sz w:val="22"/>
          <w:szCs w:val="22"/>
        </w:rPr>
        <w:t>skúšaniach</w:t>
      </w:r>
      <w:r w:rsidR="00F109D8" w:rsidRPr="00DE7532">
        <w:rPr>
          <w:rStyle w:val="hps"/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zahŕňajúcich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3250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pacientov</w:t>
      </w:r>
      <w:r w:rsidRPr="00DE7532">
        <w:rPr>
          <w:sz w:val="22"/>
          <w:szCs w:val="22"/>
        </w:rPr>
        <w:t xml:space="preserve">, </w:t>
      </w:r>
      <w:r w:rsidRPr="00DE7532">
        <w:rPr>
          <w:rStyle w:val="hps"/>
          <w:sz w:val="22"/>
          <w:szCs w:val="22"/>
        </w:rPr>
        <w:t>vrátane pacientov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s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erektilnou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dysfunkciou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rôznych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stupňov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závažnosti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atn"/>
          <w:sz w:val="22"/>
          <w:szCs w:val="22"/>
        </w:rPr>
        <w:t>(</w:t>
      </w:r>
      <w:r w:rsidRPr="00DE7532">
        <w:rPr>
          <w:sz w:val="22"/>
          <w:szCs w:val="22"/>
        </w:rPr>
        <w:t>miern</w:t>
      </w:r>
      <w:r w:rsidR="00EC497E" w:rsidRPr="00DE7532">
        <w:rPr>
          <w:sz w:val="22"/>
          <w:szCs w:val="22"/>
        </w:rPr>
        <w:t>a</w:t>
      </w:r>
      <w:r w:rsidRPr="00DE7532">
        <w:rPr>
          <w:sz w:val="22"/>
          <w:szCs w:val="22"/>
        </w:rPr>
        <w:t xml:space="preserve">, </w:t>
      </w:r>
      <w:r w:rsidRPr="00DE7532">
        <w:rPr>
          <w:rStyle w:val="hps"/>
          <w:sz w:val="22"/>
          <w:szCs w:val="22"/>
        </w:rPr>
        <w:t>stredne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závažn</w:t>
      </w:r>
      <w:r w:rsidR="00EC497E" w:rsidRPr="00DE7532">
        <w:rPr>
          <w:rStyle w:val="hps"/>
          <w:sz w:val="22"/>
          <w:szCs w:val="22"/>
        </w:rPr>
        <w:t>á</w:t>
      </w:r>
      <w:r w:rsidRPr="00DE7532">
        <w:rPr>
          <w:sz w:val="22"/>
          <w:szCs w:val="22"/>
        </w:rPr>
        <w:t xml:space="preserve">, </w:t>
      </w:r>
      <w:r w:rsidRPr="00DE7532">
        <w:rPr>
          <w:rStyle w:val="hps"/>
          <w:sz w:val="22"/>
          <w:szCs w:val="22"/>
        </w:rPr>
        <w:t>závažn</w:t>
      </w:r>
      <w:r w:rsidR="00EC497E" w:rsidRPr="00DE7532">
        <w:rPr>
          <w:rStyle w:val="hps"/>
          <w:sz w:val="22"/>
          <w:szCs w:val="22"/>
        </w:rPr>
        <w:t>á</w:t>
      </w:r>
      <w:r w:rsidRPr="00DE7532">
        <w:rPr>
          <w:sz w:val="22"/>
          <w:szCs w:val="22"/>
        </w:rPr>
        <w:t xml:space="preserve">), </w:t>
      </w:r>
      <w:r w:rsidRPr="00DE7532">
        <w:rPr>
          <w:rStyle w:val="hps"/>
          <w:sz w:val="22"/>
          <w:szCs w:val="22"/>
        </w:rPr>
        <w:t>etiológií</w:t>
      </w:r>
      <w:r w:rsidRPr="00DE7532">
        <w:rPr>
          <w:sz w:val="22"/>
          <w:szCs w:val="22"/>
        </w:rPr>
        <w:t xml:space="preserve">, </w:t>
      </w:r>
      <w:r w:rsidRPr="00DE7532">
        <w:rPr>
          <w:rStyle w:val="hps"/>
          <w:sz w:val="22"/>
          <w:szCs w:val="22"/>
        </w:rPr>
        <w:t>veku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atn"/>
          <w:sz w:val="22"/>
          <w:szCs w:val="22"/>
        </w:rPr>
        <w:t>(</w:t>
      </w:r>
      <w:r w:rsidRPr="00DE7532">
        <w:rPr>
          <w:sz w:val="22"/>
          <w:szCs w:val="22"/>
        </w:rPr>
        <w:t xml:space="preserve">v </w:t>
      </w:r>
      <w:r w:rsidRPr="00DE7532">
        <w:rPr>
          <w:rStyle w:val="hps"/>
          <w:sz w:val="22"/>
          <w:szCs w:val="22"/>
        </w:rPr>
        <w:t>rozmedzí</w:t>
      </w:r>
      <w:r w:rsidRPr="00DE7532">
        <w:rPr>
          <w:sz w:val="22"/>
          <w:szCs w:val="22"/>
        </w:rPr>
        <w:t xml:space="preserve"> od </w:t>
      </w:r>
      <w:r w:rsidRPr="00DE7532">
        <w:rPr>
          <w:rStyle w:val="hps"/>
          <w:sz w:val="22"/>
          <w:szCs w:val="22"/>
        </w:rPr>
        <w:t>21 do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86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rokov</w:t>
      </w:r>
      <w:r w:rsidRPr="00DE7532">
        <w:rPr>
          <w:sz w:val="22"/>
          <w:szCs w:val="22"/>
        </w:rPr>
        <w:t xml:space="preserve">) </w:t>
      </w:r>
      <w:r w:rsidRPr="00DE7532">
        <w:rPr>
          <w:rStyle w:val="hps"/>
          <w:sz w:val="22"/>
          <w:szCs w:val="22"/>
        </w:rPr>
        <w:t>a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etník</w:t>
      </w:r>
      <w:r w:rsidRPr="00DE7532">
        <w:rPr>
          <w:sz w:val="22"/>
          <w:szCs w:val="22"/>
        </w:rPr>
        <w:t xml:space="preserve">. </w:t>
      </w:r>
      <w:r w:rsidRPr="00DE7532">
        <w:rPr>
          <w:rStyle w:val="hps"/>
          <w:sz w:val="22"/>
          <w:szCs w:val="22"/>
        </w:rPr>
        <w:t>Väčšina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pacientov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hlásila poruchy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erekcie</w:t>
      </w:r>
      <w:r w:rsidRPr="00DE7532">
        <w:rPr>
          <w:sz w:val="22"/>
          <w:szCs w:val="22"/>
        </w:rPr>
        <w:t xml:space="preserve"> </w:t>
      </w:r>
      <w:r w:rsidR="00557AB0" w:rsidRPr="00DE7532">
        <w:rPr>
          <w:rStyle w:val="hps"/>
          <w:sz w:val="22"/>
          <w:szCs w:val="22"/>
        </w:rPr>
        <w:t xml:space="preserve">v trvaní </w:t>
      </w:r>
      <w:r w:rsidRPr="00DE7532">
        <w:rPr>
          <w:rStyle w:val="hps"/>
          <w:sz w:val="22"/>
          <w:szCs w:val="22"/>
        </w:rPr>
        <w:t>najmenej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1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rok</w:t>
      </w:r>
      <w:r w:rsidRPr="00DE7532">
        <w:rPr>
          <w:sz w:val="22"/>
          <w:szCs w:val="22"/>
        </w:rPr>
        <w:t xml:space="preserve">. </w:t>
      </w:r>
      <w:r w:rsidRPr="00DE7532">
        <w:rPr>
          <w:rStyle w:val="hps"/>
          <w:sz w:val="22"/>
          <w:szCs w:val="22"/>
        </w:rPr>
        <w:t>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 xml:space="preserve">štúdiách </w:t>
      </w:r>
      <w:r w:rsidR="00EC497E" w:rsidRPr="00DE7532">
        <w:rPr>
          <w:rStyle w:val="hps"/>
          <w:sz w:val="22"/>
          <w:szCs w:val="22"/>
        </w:rPr>
        <w:t xml:space="preserve">primárnej </w:t>
      </w:r>
      <w:r w:rsidRPr="00DE7532">
        <w:rPr>
          <w:rStyle w:val="hps"/>
          <w:sz w:val="22"/>
          <w:szCs w:val="22"/>
        </w:rPr>
        <w:t>účinnosti</w:t>
      </w:r>
      <w:r w:rsidRPr="00DE7532">
        <w:rPr>
          <w:sz w:val="22"/>
          <w:szCs w:val="22"/>
        </w:rPr>
        <w:t xml:space="preserve"> </w:t>
      </w:r>
      <w:r w:rsidR="00EC497E" w:rsidRPr="00DE7532">
        <w:rPr>
          <w:sz w:val="22"/>
          <w:szCs w:val="22"/>
        </w:rPr>
        <w:t xml:space="preserve">u </w:t>
      </w:r>
      <w:r w:rsidRPr="00DE7532">
        <w:rPr>
          <w:rStyle w:val="hps"/>
          <w:sz w:val="22"/>
          <w:szCs w:val="22"/>
        </w:rPr>
        <w:t>všeobecnej populácie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81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</w:t>
      </w:r>
      <w:r w:rsidRPr="00DE7532">
        <w:rPr>
          <w:rStyle w:val="hps"/>
          <w:sz w:val="22"/>
          <w:szCs w:val="22"/>
        </w:rPr>
        <w:t>pacientov uviedlo</w:t>
      </w:r>
      <w:r w:rsidRPr="00DE7532">
        <w:rPr>
          <w:sz w:val="22"/>
          <w:szCs w:val="22"/>
        </w:rPr>
        <w:t xml:space="preserve">, </w:t>
      </w:r>
      <w:r w:rsidRPr="00DE7532">
        <w:rPr>
          <w:rStyle w:val="hps"/>
          <w:sz w:val="22"/>
          <w:szCs w:val="22"/>
        </w:rPr>
        <w:t>že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tadalafil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zlepš</w:t>
      </w:r>
      <w:r w:rsidR="00557AB0" w:rsidRPr="00DE7532">
        <w:rPr>
          <w:rStyle w:val="hps"/>
          <w:sz w:val="22"/>
          <w:szCs w:val="22"/>
        </w:rPr>
        <w:t>il</w:t>
      </w:r>
      <w:r w:rsidRPr="00DE7532">
        <w:rPr>
          <w:rStyle w:val="hps"/>
          <w:sz w:val="22"/>
          <w:szCs w:val="22"/>
        </w:rPr>
        <w:t xml:space="preserve"> erekci</w:t>
      </w:r>
      <w:r w:rsidR="00557AB0" w:rsidRPr="00DE7532">
        <w:rPr>
          <w:rStyle w:val="hps"/>
          <w:sz w:val="22"/>
          <w:szCs w:val="22"/>
        </w:rPr>
        <w:t>u</w:t>
      </w:r>
      <w:r w:rsidRPr="00DE7532">
        <w:rPr>
          <w:sz w:val="22"/>
          <w:szCs w:val="22"/>
        </w:rPr>
        <w:t xml:space="preserve"> </w:t>
      </w:r>
      <w:r w:rsidR="00557AB0" w:rsidRPr="00DE7532">
        <w:rPr>
          <w:rStyle w:val="hps"/>
          <w:sz w:val="22"/>
          <w:szCs w:val="22"/>
        </w:rPr>
        <w:t>v porovnaní s</w:t>
      </w:r>
      <w:r w:rsidR="00F109D8">
        <w:rPr>
          <w:sz w:val="22"/>
          <w:szCs w:val="22"/>
        </w:rPr>
        <w:t> </w:t>
      </w:r>
      <w:r w:rsidRPr="00DE7532">
        <w:rPr>
          <w:rStyle w:val="hps"/>
          <w:sz w:val="22"/>
          <w:szCs w:val="22"/>
        </w:rPr>
        <w:t>35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</w:t>
      </w:r>
      <w:r w:rsidRPr="00DE7532">
        <w:rPr>
          <w:rStyle w:val="hps"/>
          <w:sz w:val="22"/>
          <w:szCs w:val="22"/>
        </w:rPr>
        <w:t>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placeba</w:t>
      </w:r>
      <w:r w:rsidRPr="00DE7532">
        <w:rPr>
          <w:sz w:val="22"/>
          <w:szCs w:val="22"/>
        </w:rPr>
        <w:t xml:space="preserve">. </w:t>
      </w:r>
      <w:r w:rsidRPr="00DE7532">
        <w:rPr>
          <w:rStyle w:val="hps"/>
          <w:sz w:val="22"/>
          <w:szCs w:val="22"/>
        </w:rPr>
        <w:t>Aj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pacient</w:t>
      </w:r>
      <w:r w:rsidR="00557AB0" w:rsidRPr="00DE7532">
        <w:rPr>
          <w:rStyle w:val="hps"/>
          <w:sz w:val="22"/>
          <w:szCs w:val="22"/>
        </w:rPr>
        <w:t>i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s erektilnou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dysfunkciou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vo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všetkých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kategóri</w:t>
      </w:r>
      <w:r w:rsidR="00557AB0" w:rsidRPr="00DE7532">
        <w:rPr>
          <w:rStyle w:val="hps"/>
          <w:sz w:val="22"/>
          <w:szCs w:val="22"/>
        </w:rPr>
        <w:t>ách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závažnosti</w:t>
      </w:r>
      <w:r w:rsidRPr="00DE7532">
        <w:rPr>
          <w:sz w:val="22"/>
          <w:szCs w:val="22"/>
        </w:rPr>
        <w:t xml:space="preserve"> </w:t>
      </w:r>
      <w:r w:rsidR="00557AB0" w:rsidRPr="00DE7532">
        <w:rPr>
          <w:rStyle w:val="hps"/>
          <w:sz w:val="22"/>
          <w:szCs w:val="22"/>
        </w:rPr>
        <w:t>uviedl</w:t>
      </w:r>
      <w:r w:rsidR="00EC497E" w:rsidRPr="00DE7532">
        <w:rPr>
          <w:rStyle w:val="hps"/>
          <w:sz w:val="22"/>
          <w:szCs w:val="22"/>
        </w:rPr>
        <w:t>i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zlepšenie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erekcie počas užívania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tadalafilu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atn"/>
          <w:sz w:val="22"/>
          <w:szCs w:val="22"/>
        </w:rPr>
        <w:t>(</w:t>
      </w:r>
      <w:r w:rsidR="00BB01E4" w:rsidRPr="00DE7532">
        <w:rPr>
          <w:sz w:val="22"/>
          <w:szCs w:val="22"/>
        </w:rPr>
        <w:t>86</w:t>
      </w:r>
      <w:r w:rsidR="00F109D8">
        <w:rPr>
          <w:sz w:val="22"/>
          <w:szCs w:val="22"/>
        </w:rPr>
        <w:t xml:space="preserve"> </w:t>
      </w:r>
      <w:r w:rsidR="00BB01E4" w:rsidRPr="00DE7532">
        <w:rPr>
          <w:sz w:val="22"/>
          <w:szCs w:val="22"/>
        </w:rPr>
        <w:t xml:space="preserve">% </w:t>
      </w:r>
      <w:r w:rsidR="00BB01E4" w:rsidRPr="00DE7532">
        <w:rPr>
          <w:rStyle w:val="hps"/>
          <w:sz w:val="22"/>
          <w:szCs w:val="22"/>
        </w:rPr>
        <w:t>pre</w:t>
      </w:r>
      <w:r w:rsidR="00BB01E4"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miern</w:t>
      </w:r>
      <w:r w:rsidR="00EC497E" w:rsidRPr="00DE7532">
        <w:rPr>
          <w:rStyle w:val="hps"/>
          <w:sz w:val="22"/>
          <w:szCs w:val="22"/>
        </w:rPr>
        <w:t>u</w:t>
      </w:r>
      <w:r w:rsidR="00BB01E4" w:rsidRPr="00DE7532">
        <w:rPr>
          <w:rStyle w:val="hps"/>
          <w:sz w:val="22"/>
          <w:szCs w:val="22"/>
        </w:rPr>
        <w:t xml:space="preserve">, </w:t>
      </w:r>
      <w:r w:rsidRPr="00DE7532">
        <w:rPr>
          <w:rStyle w:val="hps"/>
          <w:sz w:val="22"/>
          <w:szCs w:val="22"/>
        </w:rPr>
        <w:t>83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>%</w:t>
      </w:r>
      <w:r w:rsidR="00BB01E4" w:rsidRPr="00DE7532">
        <w:rPr>
          <w:sz w:val="22"/>
          <w:szCs w:val="22"/>
        </w:rPr>
        <w:t xml:space="preserve"> pre </w:t>
      </w:r>
      <w:r w:rsidR="00BB01E4" w:rsidRPr="00DE7532">
        <w:rPr>
          <w:rStyle w:val="hps"/>
          <w:sz w:val="22"/>
          <w:szCs w:val="22"/>
        </w:rPr>
        <w:t>stredne</w:t>
      </w:r>
      <w:r w:rsidR="00BB01E4"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závažnú</w:t>
      </w:r>
      <w:r w:rsidR="00BB01E4" w:rsidRPr="00DE7532">
        <w:rPr>
          <w:sz w:val="22"/>
          <w:szCs w:val="22"/>
        </w:rPr>
        <w:t xml:space="preserve"> a</w:t>
      </w:r>
      <w:r w:rsidR="00F109D8">
        <w:rPr>
          <w:sz w:val="22"/>
          <w:szCs w:val="22"/>
        </w:rPr>
        <w:t> </w:t>
      </w:r>
      <w:r w:rsidRPr="00DE7532">
        <w:rPr>
          <w:rStyle w:val="hps"/>
          <w:sz w:val="22"/>
          <w:szCs w:val="22"/>
        </w:rPr>
        <w:t>72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>%</w:t>
      </w:r>
      <w:r w:rsidR="00BB01E4" w:rsidRPr="00DE7532">
        <w:rPr>
          <w:sz w:val="22"/>
          <w:szCs w:val="22"/>
        </w:rPr>
        <w:t xml:space="preserve"> pre</w:t>
      </w:r>
      <w:r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závažnú d</w:t>
      </w:r>
      <w:r w:rsidR="00EC497E" w:rsidRPr="00DE7532">
        <w:rPr>
          <w:rStyle w:val="hps"/>
          <w:sz w:val="22"/>
          <w:szCs w:val="22"/>
        </w:rPr>
        <w:t>y</w:t>
      </w:r>
      <w:r w:rsidR="00BB01E4" w:rsidRPr="00DE7532">
        <w:rPr>
          <w:rStyle w:val="hps"/>
          <w:sz w:val="22"/>
          <w:szCs w:val="22"/>
        </w:rPr>
        <w:t>sfunkciu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v porovnaní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s</w:t>
      </w:r>
      <w:r w:rsidR="00F109D8">
        <w:rPr>
          <w:sz w:val="22"/>
          <w:szCs w:val="22"/>
        </w:rPr>
        <w:t> </w:t>
      </w:r>
      <w:r w:rsidRPr="00DE7532">
        <w:rPr>
          <w:rStyle w:val="hps"/>
          <w:sz w:val="22"/>
          <w:szCs w:val="22"/>
        </w:rPr>
        <w:t>45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>%</w:t>
      </w:r>
      <w:r w:rsidR="00BB01E4"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pre</w:t>
      </w:r>
      <w:r w:rsidR="00BB01E4"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miern</w:t>
      </w:r>
      <w:r w:rsidR="00EC497E" w:rsidRPr="00DE7532">
        <w:rPr>
          <w:rStyle w:val="hps"/>
          <w:sz w:val="22"/>
          <w:szCs w:val="22"/>
        </w:rPr>
        <w:t>u</w:t>
      </w:r>
      <w:r w:rsidRPr="00DE7532">
        <w:rPr>
          <w:sz w:val="22"/>
          <w:szCs w:val="22"/>
        </w:rPr>
        <w:t xml:space="preserve">, </w:t>
      </w:r>
      <w:r w:rsidRPr="00DE7532">
        <w:rPr>
          <w:rStyle w:val="hps"/>
          <w:sz w:val="22"/>
          <w:szCs w:val="22"/>
        </w:rPr>
        <w:t>42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>%</w:t>
      </w:r>
      <w:r w:rsidR="00BB01E4" w:rsidRPr="00DE7532">
        <w:rPr>
          <w:sz w:val="22"/>
          <w:szCs w:val="22"/>
        </w:rPr>
        <w:t xml:space="preserve"> pre </w:t>
      </w:r>
      <w:r w:rsidR="00BB01E4" w:rsidRPr="00DE7532">
        <w:rPr>
          <w:rStyle w:val="hps"/>
          <w:sz w:val="22"/>
          <w:szCs w:val="22"/>
        </w:rPr>
        <w:t>stredne</w:t>
      </w:r>
      <w:r w:rsidR="00BB01E4"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závažnú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a</w:t>
      </w:r>
      <w:r w:rsidR="00F109D8">
        <w:rPr>
          <w:sz w:val="22"/>
          <w:szCs w:val="22"/>
        </w:rPr>
        <w:t> </w:t>
      </w:r>
      <w:r w:rsidRPr="00DE7532">
        <w:rPr>
          <w:rStyle w:val="hps"/>
          <w:sz w:val="22"/>
          <w:szCs w:val="22"/>
        </w:rPr>
        <w:t>19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>%</w:t>
      </w:r>
      <w:r w:rsidR="00BB01E4" w:rsidRPr="00DE7532">
        <w:rPr>
          <w:sz w:val="22"/>
          <w:szCs w:val="22"/>
        </w:rPr>
        <w:t xml:space="preserve"> pre </w:t>
      </w:r>
      <w:r w:rsidR="00BB01E4" w:rsidRPr="00DE7532">
        <w:rPr>
          <w:rStyle w:val="hps"/>
          <w:sz w:val="22"/>
          <w:szCs w:val="22"/>
        </w:rPr>
        <w:t>závažnú d</w:t>
      </w:r>
      <w:r w:rsidR="00EC497E" w:rsidRPr="00DE7532">
        <w:rPr>
          <w:rStyle w:val="hps"/>
          <w:sz w:val="22"/>
          <w:szCs w:val="22"/>
        </w:rPr>
        <w:t>y</w:t>
      </w:r>
      <w:r w:rsidR="00BB01E4" w:rsidRPr="00DE7532">
        <w:rPr>
          <w:rStyle w:val="hps"/>
          <w:sz w:val="22"/>
          <w:szCs w:val="22"/>
        </w:rPr>
        <w:t>sfunkciu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u placeba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)</w:t>
      </w:r>
      <w:r w:rsidRPr="00DE7532">
        <w:rPr>
          <w:sz w:val="22"/>
          <w:szCs w:val="22"/>
        </w:rPr>
        <w:t xml:space="preserve">. </w:t>
      </w:r>
      <w:r w:rsidRPr="00DE7532">
        <w:rPr>
          <w:rStyle w:val="hps"/>
          <w:sz w:val="22"/>
          <w:szCs w:val="22"/>
        </w:rPr>
        <w:t>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 xml:space="preserve">štúdiách </w:t>
      </w:r>
      <w:r w:rsidR="00EC497E" w:rsidRPr="00DE7532">
        <w:rPr>
          <w:rStyle w:val="hps"/>
          <w:sz w:val="22"/>
          <w:szCs w:val="22"/>
        </w:rPr>
        <w:t xml:space="preserve">primárnej </w:t>
      </w:r>
      <w:r w:rsidRPr="00DE7532">
        <w:rPr>
          <w:rStyle w:val="hps"/>
          <w:sz w:val="22"/>
          <w:szCs w:val="22"/>
        </w:rPr>
        <w:t>účinnosti</w:t>
      </w:r>
      <w:r w:rsidRPr="00DE7532">
        <w:rPr>
          <w:sz w:val="22"/>
          <w:szCs w:val="22"/>
        </w:rPr>
        <w:t xml:space="preserve"> </w:t>
      </w:r>
      <w:r w:rsidR="00BB01E4" w:rsidRPr="00DE7532">
        <w:rPr>
          <w:sz w:val="22"/>
          <w:szCs w:val="22"/>
        </w:rPr>
        <w:t xml:space="preserve">bolo </w:t>
      </w:r>
      <w:r w:rsidRPr="00DE7532">
        <w:rPr>
          <w:rStyle w:val="hps"/>
          <w:sz w:val="22"/>
          <w:szCs w:val="22"/>
        </w:rPr>
        <w:t>75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</w:t>
      </w:r>
      <w:r w:rsidRPr="00DE7532">
        <w:rPr>
          <w:rStyle w:val="hps"/>
          <w:sz w:val="22"/>
          <w:szCs w:val="22"/>
        </w:rPr>
        <w:t>pokusov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o</w:t>
      </w:r>
      <w:r w:rsidRPr="00DE7532">
        <w:rPr>
          <w:sz w:val="22"/>
          <w:szCs w:val="22"/>
        </w:rPr>
        <w:t xml:space="preserve"> </w:t>
      </w:r>
      <w:r w:rsidR="00BB01E4" w:rsidRPr="00DE7532">
        <w:rPr>
          <w:sz w:val="22"/>
          <w:szCs w:val="22"/>
        </w:rPr>
        <w:t xml:space="preserve">pohlavný </w:t>
      </w:r>
      <w:r w:rsidRPr="00DE7532">
        <w:rPr>
          <w:rStyle w:val="hps"/>
          <w:sz w:val="22"/>
          <w:szCs w:val="22"/>
        </w:rPr>
        <w:t>styk</w:t>
      </w:r>
      <w:r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u</w:t>
      </w:r>
      <w:r w:rsidR="00BB01E4"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pacientov</w:t>
      </w:r>
      <w:r w:rsidR="00BB01E4" w:rsidRPr="00DE7532">
        <w:rPr>
          <w:sz w:val="22"/>
          <w:szCs w:val="22"/>
        </w:rPr>
        <w:t xml:space="preserve"> </w:t>
      </w:r>
      <w:r w:rsidR="00BB01E4" w:rsidRPr="00DE7532">
        <w:rPr>
          <w:rStyle w:val="hps"/>
          <w:sz w:val="22"/>
          <w:szCs w:val="22"/>
        </w:rPr>
        <w:t>liečených</w:t>
      </w:r>
      <w:r w:rsidR="00BB01E4"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tadalafil</w:t>
      </w:r>
      <w:r w:rsidR="00BB01E4" w:rsidRPr="00DE7532">
        <w:rPr>
          <w:rStyle w:val="hps"/>
          <w:sz w:val="22"/>
          <w:szCs w:val="22"/>
        </w:rPr>
        <w:t>om úspešných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v porovnaní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s</w:t>
      </w:r>
      <w:r w:rsidR="00F109D8">
        <w:rPr>
          <w:sz w:val="22"/>
          <w:szCs w:val="22"/>
        </w:rPr>
        <w:t> </w:t>
      </w:r>
      <w:r w:rsidRPr="00DE7532">
        <w:rPr>
          <w:rStyle w:val="hps"/>
          <w:sz w:val="22"/>
          <w:szCs w:val="22"/>
        </w:rPr>
        <w:t>32</w:t>
      </w:r>
      <w:r w:rsidR="00F109D8">
        <w:rPr>
          <w:rStyle w:val="hps"/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</w:t>
      </w:r>
      <w:r w:rsidRPr="00DE7532">
        <w:rPr>
          <w:rStyle w:val="hps"/>
          <w:sz w:val="22"/>
          <w:szCs w:val="22"/>
        </w:rPr>
        <w:t>u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pacientov užívajúcich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placebo</w:t>
      </w:r>
      <w:r w:rsidRPr="00DE7532">
        <w:rPr>
          <w:sz w:val="22"/>
          <w:szCs w:val="22"/>
        </w:rPr>
        <w:t>.</w:t>
      </w:r>
    </w:p>
    <w:p w:rsidR="00230955" w:rsidRPr="00DE7532" w:rsidRDefault="00230955" w:rsidP="00882187">
      <w:pPr>
        <w:rPr>
          <w:sz w:val="22"/>
          <w:szCs w:val="22"/>
        </w:rPr>
      </w:pPr>
    </w:p>
    <w:p w:rsidR="00E1081F" w:rsidRPr="00DE7532" w:rsidRDefault="00E1081F" w:rsidP="00E1081F">
      <w:pPr>
        <w:rPr>
          <w:sz w:val="22"/>
          <w:szCs w:val="22"/>
        </w:rPr>
      </w:pPr>
      <w:r w:rsidRPr="00DE7532">
        <w:rPr>
          <w:sz w:val="22"/>
          <w:szCs w:val="22"/>
        </w:rPr>
        <w:t>V 12-</w:t>
      </w:r>
      <w:r w:rsidR="00F109D8" w:rsidRPr="00DE7532">
        <w:rPr>
          <w:sz w:val="22"/>
          <w:szCs w:val="22"/>
        </w:rPr>
        <w:t>týžd</w:t>
      </w:r>
      <w:r w:rsidR="00F109D8">
        <w:rPr>
          <w:sz w:val="22"/>
          <w:szCs w:val="22"/>
        </w:rPr>
        <w:t xml:space="preserve">ňovom skúšaní </w:t>
      </w:r>
      <w:r w:rsidR="00F109D8" w:rsidRPr="00B329E6">
        <w:rPr>
          <w:sz w:val="22"/>
          <w:szCs w:val="22"/>
        </w:rPr>
        <w:t>vykona</w:t>
      </w:r>
      <w:r w:rsidR="00F109D8">
        <w:rPr>
          <w:sz w:val="22"/>
          <w:szCs w:val="22"/>
        </w:rPr>
        <w:t>nom na</w:t>
      </w:r>
      <w:r w:rsidR="00F109D8" w:rsidRPr="008A545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186 </w:t>
      </w:r>
      <w:r w:rsidR="00F109D8" w:rsidRPr="00DE7532">
        <w:rPr>
          <w:sz w:val="22"/>
          <w:szCs w:val="22"/>
        </w:rPr>
        <w:t>pacient</w:t>
      </w:r>
      <w:r w:rsidR="00F109D8">
        <w:rPr>
          <w:sz w:val="22"/>
          <w:szCs w:val="22"/>
        </w:rPr>
        <w:t xml:space="preserve">och </w:t>
      </w:r>
      <w:r w:rsidRPr="00DE7532">
        <w:rPr>
          <w:sz w:val="22"/>
          <w:szCs w:val="22"/>
        </w:rPr>
        <w:t xml:space="preserve">(142 </w:t>
      </w:r>
      <w:r w:rsidR="00F109D8" w:rsidRPr="00DE7532">
        <w:rPr>
          <w:sz w:val="22"/>
          <w:szCs w:val="22"/>
        </w:rPr>
        <w:t>užíva</w:t>
      </w:r>
      <w:r w:rsidR="00F109D8">
        <w:rPr>
          <w:sz w:val="22"/>
          <w:szCs w:val="22"/>
        </w:rPr>
        <w:t>li</w:t>
      </w:r>
      <w:r w:rsidR="00F109D8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tadalafil, 44 placebo) so</w:t>
      </w:r>
    </w:p>
    <w:p w:rsidR="00E1081F" w:rsidRPr="00DE7532" w:rsidRDefault="00E1081F" w:rsidP="00E1081F">
      <w:pPr>
        <w:rPr>
          <w:sz w:val="22"/>
          <w:szCs w:val="22"/>
        </w:rPr>
      </w:pPr>
      <w:r w:rsidRPr="00DE7532">
        <w:rPr>
          <w:sz w:val="22"/>
          <w:szCs w:val="22"/>
        </w:rPr>
        <w:t>sekundárnou erektilnou dysfunkciou spôsobenou poranením miechy tadalafil signifikantne zlepšoval</w:t>
      </w:r>
    </w:p>
    <w:p w:rsidR="00E1081F" w:rsidRPr="00DE7532" w:rsidRDefault="00E1081F" w:rsidP="00E1081F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erektilnú funkciu vedúcu ku 48 % priemernému podielu úspešných pokusov o pohlavný styk na </w:t>
      </w:r>
      <w:r w:rsidR="0056755B">
        <w:rPr>
          <w:sz w:val="22"/>
          <w:szCs w:val="22"/>
        </w:rPr>
        <w:t>účastníka</w:t>
      </w:r>
      <w:r w:rsidRPr="00DE7532">
        <w:rPr>
          <w:sz w:val="22"/>
          <w:szCs w:val="22"/>
        </w:rPr>
        <w:t xml:space="preserve"> u pacientov užívajúcich tadalafil 10 alebo 20 mg (flexibilná dávka, podľa potreby) v porovnaní so 17 % pacientov užívajúcimi placebo.</w:t>
      </w:r>
    </w:p>
    <w:p w:rsidR="00E1081F" w:rsidRPr="00DE7532" w:rsidRDefault="00E1081F" w:rsidP="00882187">
      <w:pPr>
        <w:rPr>
          <w:sz w:val="22"/>
          <w:szCs w:val="22"/>
        </w:rPr>
      </w:pPr>
    </w:p>
    <w:p w:rsidR="00A95C1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Na zhodnotenie </w:t>
      </w:r>
      <w:r w:rsidR="00BB01E4" w:rsidRPr="00DE7532">
        <w:rPr>
          <w:sz w:val="22"/>
          <w:szCs w:val="22"/>
        </w:rPr>
        <w:t xml:space="preserve">tadalafilu </w:t>
      </w:r>
      <w:r w:rsidR="00F109D8">
        <w:rPr>
          <w:sz w:val="22"/>
          <w:szCs w:val="22"/>
        </w:rPr>
        <w:t>podávaného jedenkrát denne</w:t>
      </w:r>
      <w:r w:rsidR="00F109D8" w:rsidRPr="008A545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 dávkach 2,5, 5 a 10 mg boli pôvodne</w:t>
      </w:r>
      <w:r w:rsidR="00A95C17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vykonané 3 klinické </w:t>
      </w:r>
      <w:r w:rsidR="001E15BF">
        <w:rPr>
          <w:sz w:val="22"/>
          <w:szCs w:val="22"/>
        </w:rPr>
        <w:t>skúšania</w:t>
      </w:r>
      <w:r w:rsidR="001E15B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zahŕňajúce 853 pacientov rôzneho veku (</w:t>
      </w:r>
      <w:r w:rsidR="00A95C17" w:rsidRPr="00DE7532">
        <w:rPr>
          <w:sz w:val="22"/>
          <w:szCs w:val="22"/>
        </w:rPr>
        <w:t>od</w:t>
      </w:r>
      <w:r w:rsidRPr="00DE7532">
        <w:rPr>
          <w:sz w:val="22"/>
          <w:szCs w:val="22"/>
        </w:rPr>
        <w:t xml:space="preserve"> 21</w:t>
      </w:r>
      <w:r w:rsidR="00EC497E" w:rsidRPr="00DE7532">
        <w:rPr>
          <w:sz w:val="22"/>
          <w:szCs w:val="22"/>
        </w:rPr>
        <w:t xml:space="preserve"> </w:t>
      </w:r>
      <w:r w:rsidR="00A95C17" w:rsidRPr="00DE7532">
        <w:rPr>
          <w:sz w:val="22"/>
          <w:szCs w:val="22"/>
        </w:rPr>
        <w:t xml:space="preserve">do </w:t>
      </w:r>
      <w:r w:rsidRPr="00DE7532">
        <w:rPr>
          <w:sz w:val="22"/>
          <w:szCs w:val="22"/>
        </w:rPr>
        <w:t>82 rokov)</w:t>
      </w:r>
      <w:r w:rsidR="00A95C17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a </w:t>
      </w:r>
      <w:r w:rsidR="00A95C17" w:rsidRPr="00DE7532">
        <w:rPr>
          <w:sz w:val="22"/>
          <w:szCs w:val="22"/>
        </w:rPr>
        <w:t xml:space="preserve">rôznej </w:t>
      </w:r>
      <w:r w:rsidRPr="00DE7532">
        <w:rPr>
          <w:sz w:val="22"/>
          <w:szCs w:val="22"/>
        </w:rPr>
        <w:t xml:space="preserve">etnickej príslušnosti s erektilnou dysfunkciou rôznej závažnosti (mierna, stredne </w:t>
      </w:r>
      <w:r w:rsidR="00A95C17" w:rsidRPr="00DE7532">
        <w:rPr>
          <w:rStyle w:val="hps"/>
          <w:color w:val="222222"/>
          <w:sz w:val="22"/>
          <w:szCs w:val="22"/>
        </w:rPr>
        <w:t>závažná</w:t>
      </w:r>
      <w:r w:rsidRPr="00DE7532">
        <w:rPr>
          <w:sz w:val="22"/>
          <w:szCs w:val="22"/>
        </w:rPr>
        <w:t xml:space="preserve">, </w:t>
      </w:r>
      <w:r w:rsidR="00A95C17" w:rsidRPr="00DE7532">
        <w:rPr>
          <w:rStyle w:val="hps"/>
          <w:color w:val="222222"/>
          <w:sz w:val="22"/>
          <w:szCs w:val="22"/>
        </w:rPr>
        <w:t>závažná</w:t>
      </w:r>
      <w:r w:rsidRPr="00DE7532">
        <w:rPr>
          <w:sz w:val="22"/>
          <w:szCs w:val="22"/>
        </w:rPr>
        <w:t>)</w:t>
      </w:r>
      <w:r w:rsidR="00A95C17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a </w:t>
      </w:r>
      <w:r w:rsidR="00A95C17" w:rsidRPr="00DE7532">
        <w:rPr>
          <w:sz w:val="22"/>
          <w:szCs w:val="22"/>
        </w:rPr>
        <w:t>etiológie</w:t>
      </w:r>
      <w:r w:rsidRPr="00DE7532">
        <w:rPr>
          <w:sz w:val="22"/>
          <w:szCs w:val="22"/>
        </w:rPr>
        <w:t xml:space="preserve">. V dvoch </w:t>
      </w:r>
      <w:r w:rsidR="001E15BF">
        <w:rPr>
          <w:sz w:val="22"/>
          <w:szCs w:val="22"/>
        </w:rPr>
        <w:t>skúšaniach</w:t>
      </w:r>
      <w:r w:rsidR="001E15B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skúmajúcich primárnu účinnosť na vzorke celkovej populácie bol</w:t>
      </w:r>
      <w:r w:rsidR="00A95C17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priemerný podiel úspešnosti pohlavných stykov 57 a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67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pri </w:t>
      </w:r>
      <w:r w:rsidR="00A95C17" w:rsidRPr="00DE7532">
        <w:rPr>
          <w:sz w:val="22"/>
          <w:szCs w:val="22"/>
        </w:rPr>
        <w:t>tadalafile</w:t>
      </w:r>
      <w:r w:rsidRPr="00DE7532">
        <w:rPr>
          <w:sz w:val="22"/>
          <w:szCs w:val="22"/>
        </w:rPr>
        <w:t xml:space="preserve"> 5 mg, 50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pri </w:t>
      </w:r>
      <w:r w:rsidR="00A95C17" w:rsidRPr="00DE7532">
        <w:rPr>
          <w:sz w:val="22"/>
          <w:szCs w:val="22"/>
        </w:rPr>
        <w:t xml:space="preserve">tadalafile </w:t>
      </w:r>
      <w:r w:rsidRPr="00DE7532">
        <w:rPr>
          <w:sz w:val="22"/>
          <w:szCs w:val="22"/>
        </w:rPr>
        <w:t>2,5 mg v porovnaní s 31 a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37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 pri placebe. V</w:t>
      </w:r>
      <w:r w:rsidR="001E15BF">
        <w:rPr>
          <w:sz w:val="22"/>
          <w:szCs w:val="22"/>
        </w:rPr>
        <w:t xml:space="preserve"> skúšaní</w:t>
      </w:r>
      <w:r w:rsidRPr="00DE7532">
        <w:rPr>
          <w:sz w:val="22"/>
          <w:szCs w:val="22"/>
        </w:rPr>
        <w:t xml:space="preserve"> s pacientmi so sekundárnou erektilnou</w:t>
      </w:r>
      <w:r w:rsidR="00A95C17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dysfunkciou pri diabete bol priemerný podiel úspešn</w:t>
      </w:r>
      <w:r w:rsidR="00EC497E" w:rsidRPr="00DE7532">
        <w:rPr>
          <w:sz w:val="22"/>
          <w:szCs w:val="22"/>
        </w:rPr>
        <w:t>ých pokusov o</w:t>
      </w:r>
      <w:r w:rsidRPr="00DE7532">
        <w:rPr>
          <w:sz w:val="22"/>
          <w:szCs w:val="22"/>
        </w:rPr>
        <w:t xml:space="preserve"> pohlavný styk</w:t>
      </w:r>
      <w:r w:rsidR="0056755B">
        <w:rPr>
          <w:sz w:val="22"/>
          <w:szCs w:val="22"/>
        </w:rPr>
        <w:t xml:space="preserve"> na jedného</w:t>
      </w:r>
      <w:r w:rsidR="00EC497E" w:rsidRPr="00DE7532">
        <w:rPr>
          <w:sz w:val="22"/>
          <w:szCs w:val="22"/>
        </w:rPr>
        <w:t xml:space="preserve"> </w:t>
      </w:r>
      <w:r w:rsidR="0056755B">
        <w:rPr>
          <w:sz w:val="22"/>
          <w:szCs w:val="22"/>
        </w:rPr>
        <w:t xml:space="preserve">účastníka </w:t>
      </w:r>
      <w:r w:rsidRPr="00DE7532">
        <w:rPr>
          <w:sz w:val="22"/>
          <w:szCs w:val="22"/>
        </w:rPr>
        <w:t>41 a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46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pri </w:t>
      </w:r>
      <w:r w:rsidR="00A95C17" w:rsidRPr="00DE7532">
        <w:rPr>
          <w:sz w:val="22"/>
          <w:szCs w:val="22"/>
        </w:rPr>
        <w:t xml:space="preserve">tadalafile </w:t>
      </w:r>
      <w:r w:rsidRPr="00DE7532">
        <w:rPr>
          <w:sz w:val="22"/>
          <w:szCs w:val="22"/>
        </w:rPr>
        <w:t>5 mg</w:t>
      </w:r>
      <w:r w:rsidR="00EC497E" w:rsidRPr="00DE7532">
        <w:rPr>
          <w:sz w:val="22"/>
          <w:szCs w:val="22"/>
        </w:rPr>
        <w:t xml:space="preserve"> a</w:t>
      </w:r>
      <w:r w:rsidRPr="00DE7532">
        <w:rPr>
          <w:sz w:val="22"/>
          <w:szCs w:val="22"/>
        </w:rPr>
        <w:t xml:space="preserve"> pri </w:t>
      </w:r>
      <w:r w:rsidR="00A95C17" w:rsidRPr="00DE7532">
        <w:rPr>
          <w:sz w:val="22"/>
          <w:szCs w:val="22"/>
        </w:rPr>
        <w:t xml:space="preserve">tadalafile </w:t>
      </w:r>
      <w:r w:rsidRPr="00DE7532">
        <w:rPr>
          <w:sz w:val="22"/>
          <w:szCs w:val="22"/>
        </w:rPr>
        <w:t>2,5 mg v porovnaní s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28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 pri placebe. Väčšina pacientov vo všetkých troch</w:t>
      </w:r>
      <w:r w:rsidR="00A95C17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štúdiách reagovala na predchádzajúcu liečbu PDE5 inhibítormi užívanými podľa potreby. V </w:t>
      </w:r>
      <w:r w:rsidR="001E15BF">
        <w:rPr>
          <w:sz w:val="22"/>
          <w:szCs w:val="22"/>
        </w:rPr>
        <w:t>ďalšom skúšaní</w:t>
      </w:r>
      <w:r w:rsidRPr="00DE7532">
        <w:rPr>
          <w:sz w:val="22"/>
          <w:szCs w:val="22"/>
        </w:rPr>
        <w:t xml:space="preserve"> bolo 217 pacientov, ktorí ešte neboli liečení PDE5 inhibítormi, randomizovaných na </w:t>
      </w:r>
      <w:r w:rsidR="00A95C17" w:rsidRPr="00DE7532">
        <w:rPr>
          <w:sz w:val="22"/>
          <w:szCs w:val="22"/>
        </w:rPr>
        <w:t xml:space="preserve">tadalafil </w:t>
      </w:r>
      <w:r w:rsidRPr="00DE7532">
        <w:rPr>
          <w:sz w:val="22"/>
          <w:szCs w:val="22"/>
        </w:rPr>
        <w:t>5 mg jedenkrát denne oproti placebu. Priemerný podiel úspešn</w:t>
      </w:r>
      <w:r w:rsidR="00EC497E" w:rsidRPr="00DE7532">
        <w:rPr>
          <w:sz w:val="22"/>
          <w:szCs w:val="22"/>
        </w:rPr>
        <w:t>ých pokusov o</w:t>
      </w:r>
      <w:r w:rsidRPr="00DE7532">
        <w:rPr>
          <w:sz w:val="22"/>
          <w:szCs w:val="22"/>
        </w:rPr>
        <w:t xml:space="preserve"> pohlavný styk</w:t>
      </w:r>
      <w:r w:rsidR="0056755B">
        <w:rPr>
          <w:sz w:val="22"/>
          <w:szCs w:val="22"/>
        </w:rPr>
        <w:t xml:space="preserve"> na jedného účastníka</w:t>
      </w:r>
      <w:r w:rsidRPr="00DE7532">
        <w:rPr>
          <w:sz w:val="22"/>
          <w:szCs w:val="22"/>
        </w:rPr>
        <w:t xml:space="preserve"> bol 68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</w:t>
      </w:r>
      <w:r w:rsidR="00A95C17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 prospech </w:t>
      </w:r>
      <w:r w:rsidR="00A95C17" w:rsidRPr="00DE7532">
        <w:rPr>
          <w:sz w:val="22"/>
          <w:szCs w:val="22"/>
        </w:rPr>
        <w:t>tadalafilu</w:t>
      </w:r>
      <w:r w:rsidRPr="00DE7532">
        <w:rPr>
          <w:sz w:val="22"/>
          <w:szCs w:val="22"/>
        </w:rPr>
        <w:t xml:space="preserve"> oproti 52 % pacientov užívajúcich placebo.</w:t>
      </w:r>
      <w:r w:rsidR="00A95C17" w:rsidRPr="00DE7532">
        <w:rPr>
          <w:sz w:val="22"/>
          <w:szCs w:val="22"/>
        </w:rPr>
        <w:t xml:space="preserve"> </w:t>
      </w:r>
    </w:p>
    <w:p w:rsidR="00343D2E" w:rsidRPr="00DE7532" w:rsidRDefault="00343D2E" w:rsidP="00882187">
      <w:pPr>
        <w:rPr>
          <w:sz w:val="22"/>
          <w:szCs w:val="22"/>
        </w:rPr>
      </w:pPr>
    </w:p>
    <w:p w:rsidR="00EB43BA" w:rsidRPr="00DE7532" w:rsidRDefault="00EB43BA" w:rsidP="00882187">
      <w:pPr>
        <w:rPr>
          <w:bCs/>
          <w:iCs/>
          <w:sz w:val="22"/>
          <w:szCs w:val="22"/>
          <w:u w:val="single"/>
        </w:rPr>
      </w:pPr>
      <w:r w:rsidRPr="00DE7532">
        <w:rPr>
          <w:bCs/>
          <w:iCs/>
          <w:sz w:val="22"/>
          <w:szCs w:val="22"/>
          <w:u w:val="single"/>
        </w:rPr>
        <w:t>Pediatrická populácia</w:t>
      </w:r>
    </w:p>
    <w:p w:rsidR="00882187" w:rsidRPr="00DE7532" w:rsidRDefault="00EB43BA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Európska agentúra pre lieky udelila výnimku z povinnosti predložiť výsledky štúdií </w:t>
      </w:r>
      <w:r w:rsidR="00EC497E" w:rsidRPr="00DE7532">
        <w:rPr>
          <w:sz w:val="22"/>
          <w:szCs w:val="22"/>
        </w:rPr>
        <w:t>s</w:t>
      </w:r>
      <w:r w:rsidR="00614380" w:rsidRPr="00DE7532">
        <w:rPr>
          <w:sz w:val="22"/>
          <w:szCs w:val="22"/>
        </w:rPr>
        <w:t> </w:t>
      </w:r>
      <w:r w:rsidR="00EC497E" w:rsidRPr="00DE7532">
        <w:rPr>
          <w:sz w:val="22"/>
          <w:szCs w:val="22"/>
        </w:rPr>
        <w:t>tadalafilom</w:t>
      </w:r>
      <w:r w:rsidR="0061438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vo všetkých podskupinách pediatrickej populácie </w:t>
      </w:r>
      <w:r w:rsidR="00EC497E" w:rsidRPr="00DE7532">
        <w:rPr>
          <w:sz w:val="22"/>
          <w:szCs w:val="22"/>
        </w:rPr>
        <w:t>na</w:t>
      </w:r>
      <w:r w:rsidRPr="00DE7532">
        <w:rPr>
          <w:sz w:val="22"/>
          <w:szCs w:val="22"/>
        </w:rPr>
        <w:t xml:space="preserve"> liečb</w:t>
      </w:r>
      <w:r w:rsidR="00EC497E" w:rsidRPr="00DE7532">
        <w:rPr>
          <w:sz w:val="22"/>
          <w:szCs w:val="22"/>
        </w:rPr>
        <w:t>u</w:t>
      </w:r>
      <w:r w:rsidRPr="00DE7532">
        <w:rPr>
          <w:sz w:val="22"/>
          <w:szCs w:val="22"/>
        </w:rPr>
        <w:t xml:space="preserve"> erektilnej dysfunkcie. </w:t>
      </w:r>
      <w:r w:rsidR="00EC497E" w:rsidRPr="00DE7532">
        <w:rPr>
          <w:sz w:val="22"/>
          <w:szCs w:val="22"/>
        </w:rPr>
        <w:t>I</w:t>
      </w:r>
      <w:r w:rsidRPr="00DE7532">
        <w:rPr>
          <w:sz w:val="22"/>
          <w:szCs w:val="22"/>
        </w:rPr>
        <w:t xml:space="preserve">nformácie o použití </w:t>
      </w:r>
      <w:r w:rsidR="00EC497E" w:rsidRPr="00DE7532">
        <w:rPr>
          <w:sz w:val="22"/>
          <w:szCs w:val="22"/>
        </w:rPr>
        <w:t xml:space="preserve">v pediatrickej populácii, </w:t>
      </w:r>
      <w:r w:rsidR="00C2371F" w:rsidRPr="00DE7532">
        <w:rPr>
          <w:sz w:val="22"/>
          <w:szCs w:val="22"/>
        </w:rPr>
        <w:t>pozri časť 4.2</w:t>
      </w:r>
      <w:r w:rsidRPr="00DE7532">
        <w:rPr>
          <w:sz w:val="22"/>
          <w:szCs w:val="22"/>
        </w:rPr>
        <w:t>.</w:t>
      </w:r>
    </w:p>
    <w:p w:rsidR="00EB43BA" w:rsidRPr="00DE7532" w:rsidRDefault="00EB43BA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lastRenderedPageBreak/>
        <w:t xml:space="preserve">5.2 </w:t>
      </w:r>
      <w:r w:rsidR="00EB43BA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Farmakokinetick</w:t>
      </w:r>
      <w:r w:rsidR="00EB43BA" w:rsidRPr="00DE7532">
        <w:rPr>
          <w:b/>
          <w:bCs/>
          <w:sz w:val="22"/>
          <w:szCs w:val="22"/>
        </w:rPr>
        <w:t>é</w:t>
      </w:r>
      <w:r w:rsidRPr="00DE7532">
        <w:rPr>
          <w:b/>
          <w:bCs/>
          <w:sz w:val="22"/>
          <w:szCs w:val="22"/>
        </w:rPr>
        <w:t xml:space="preserve"> vlastnosti</w:t>
      </w:r>
    </w:p>
    <w:p w:rsidR="00EB43BA" w:rsidRPr="00DE7532" w:rsidRDefault="00EB43BA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Absorpcia</w:t>
      </w:r>
    </w:p>
    <w:p w:rsidR="004F35AC" w:rsidRPr="00DE7532" w:rsidRDefault="004F35AC" w:rsidP="00882187">
      <w:pPr>
        <w:rPr>
          <w:sz w:val="22"/>
          <w:szCs w:val="22"/>
        </w:rPr>
      </w:pPr>
    </w:p>
    <w:p w:rsidR="0087146C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Tadalafil sa </w:t>
      </w:r>
      <w:r w:rsidR="00EB43BA" w:rsidRPr="00DE7532">
        <w:rPr>
          <w:sz w:val="22"/>
          <w:szCs w:val="22"/>
        </w:rPr>
        <w:t xml:space="preserve">po perorálnom podaní </w:t>
      </w:r>
      <w:r w:rsidRPr="00DE7532">
        <w:rPr>
          <w:sz w:val="22"/>
          <w:szCs w:val="22"/>
        </w:rPr>
        <w:t xml:space="preserve">rýchlo </w:t>
      </w:r>
      <w:r w:rsidR="00EB43BA" w:rsidRPr="00DE7532">
        <w:rPr>
          <w:sz w:val="22"/>
          <w:szCs w:val="22"/>
        </w:rPr>
        <w:t>absorbuje</w:t>
      </w:r>
      <w:r w:rsidRPr="00DE7532">
        <w:rPr>
          <w:sz w:val="22"/>
          <w:szCs w:val="22"/>
        </w:rPr>
        <w:t xml:space="preserve">, pričom priemerná maximálna </w:t>
      </w:r>
      <w:r w:rsidR="002A7D11" w:rsidRPr="00DE7532">
        <w:rPr>
          <w:sz w:val="22"/>
          <w:szCs w:val="22"/>
        </w:rPr>
        <w:t xml:space="preserve">pozorovaná </w:t>
      </w:r>
      <w:r w:rsidRPr="00DE7532">
        <w:rPr>
          <w:sz w:val="22"/>
          <w:szCs w:val="22"/>
        </w:rPr>
        <w:t>plazmatická</w:t>
      </w:r>
      <w:r w:rsidR="0087146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koncentrácia liečiva (</w:t>
      </w:r>
      <w:r w:rsidR="004F35AC" w:rsidRPr="00DE7532">
        <w:rPr>
          <w:sz w:val="22"/>
          <w:szCs w:val="22"/>
        </w:rPr>
        <w:t>C</w:t>
      </w:r>
      <w:r w:rsidRPr="00DE7532">
        <w:rPr>
          <w:sz w:val="22"/>
          <w:szCs w:val="22"/>
          <w:vertAlign w:val="subscript"/>
        </w:rPr>
        <w:t>max</w:t>
      </w:r>
      <w:r w:rsidRPr="00DE7532">
        <w:rPr>
          <w:sz w:val="22"/>
          <w:szCs w:val="22"/>
        </w:rPr>
        <w:t xml:space="preserve">) sa dosahuje </w:t>
      </w:r>
      <w:r w:rsidR="0010441C">
        <w:rPr>
          <w:sz w:val="22"/>
          <w:szCs w:val="22"/>
        </w:rPr>
        <w:t>za priemerný čas</w:t>
      </w:r>
      <w:r w:rsidR="0010441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2 hodiny po užití. Absolútna biologická</w:t>
      </w:r>
      <w:r w:rsidR="0087146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dostupnosť tadalafilu po perorálnom podaní nebola stanovená.</w:t>
      </w:r>
      <w:r w:rsidR="0087146C" w:rsidRPr="00DE7532">
        <w:rPr>
          <w:sz w:val="22"/>
          <w:szCs w:val="22"/>
        </w:rPr>
        <w:t xml:space="preserve"> </w:t>
      </w:r>
    </w:p>
    <w:p w:rsidR="004F35AC" w:rsidRPr="00DE7532" w:rsidRDefault="004F35AC" w:rsidP="00882187">
      <w:pPr>
        <w:rPr>
          <w:sz w:val="22"/>
          <w:szCs w:val="22"/>
        </w:rPr>
      </w:pPr>
    </w:p>
    <w:p w:rsidR="00882187" w:rsidRPr="00DE7532" w:rsidRDefault="0087146C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Rýchlosť a rozsah absorpcie tadalafilu nezávi</w:t>
      </w:r>
      <w:r w:rsidR="004F35AC" w:rsidRPr="00DE7532">
        <w:rPr>
          <w:sz w:val="22"/>
          <w:szCs w:val="22"/>
        </w:rPr>
        <w:t>sí od príjmu potravy, preto sa T</w:t>
      </w:r>
      <w:r w:rsidRPr="00DE7532">
        <w:rPr>
          <w:sz w:val="22"/>
          <w:szCs w:val="22"/>
        </w:rPr>
        <w:t xml:space="preserve">adalafil </w:t>
      </w:r>
      <w:r w:rsidR="004F35AC" w:rsidRPr="00DE7532">
        <w:rPr>
          <w:sz w:val="22"/>
          <w:szCs w:val="22"/>
        </w:rPr>
        <w:t xml:space="preserve">Accord </w:t>
      </w:r>
      <w:r w:rsidRPr="00DE7532">
        <w:rPr>
          <w:sz w:val="22"/>
          <w:szCs w:val="22"/>
        </w:rPr>
        <w:t>môže užívať s jedlom alebo bez jedla. Čas podania (ráno alebo večer</w:t>
      </w:r>
      <w:r w:rsidR="004F35AC" w:rsidRPr="00DE7532">
        <w:rPr>
          <w:sz w:val="22"/>
          <w:szCs w:val="22"/>
        </w:rPr>
        <w:t xml:space="preserve"> po jednorazovej 10 mg dávke</w:t>
      </w:r>
      <w:r w:rsidRPr="00DE7532">
        <w:rPr>
          <w:sz w:val="22"/>
          <w:szCs w:val="22"/>
        </w:rPr>
        <w:t>) nemal klinicky významný účinok na rýchlosť a rozsah absorpcie.</w:t>
      </w:r>
    </w:p>
    <w:p w:rsidR="0087146C" w:rsidRPr="00DE7532" w:rsidRDefault="0087146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Distribúcia</w:t>
      </w:r>
    </w:p>
    <w:p w:rsidR="007B3C20" w:rsidRPr="00DE7532" w:rsidRDefault="007B3C20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Priemerná hodnota distribučného objemu je približne 63 </w:t>
      </w:r>
      <w:r w:rsidR="0087146C" w:rsidRPr="00DE7532">
        <w:rPr>
          <w:sz w:val="22"/>
          <w:szCs w:val="22"/>
        </w:rPr>
        <w:t>l</w:t>
      </w:r>
      <w:r w:rsidRPr="00DE7532">
        <w:rPr>
          <w:sz w:val="22"/>
          <w:szCs w:val="22"/>
        </w:rPr>
        <w:t xml:space="preserve">, </w:t>
      </w:r>
      <w:r w:rsidR="001E15BF" w:rsidRPr="00A97DFF">
        <w:rPr>
          <w:sz w:val="22"/>
          <w:szCs w:val="22"/>
        </w:rPr>
        <w:t xml:space="preserve">čo </w:t>
      </w:r>
      <w:r w:rsidR="001E15BF">
        <w:rPr>
          <w:sz w:val="22"/>
          <w:szCs w:val="22"/>
        </w:rPr>
        <w:t>ukazuje, že tadalafil je distribuovaný do tkanív</w:t>
      </w:r>
      <w:r w:rsidRPr="00DE7532">
        <w:rPr>
          <w:sz w:val="22"/>
          <w:szCs w:val="22"/>
        </w:rPr>
        <w:t>. Pri</w:t>
      </w:r>
      <w:r w:rsidR="0005487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terapeutických koncentráciách sa 94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 tadalafilu viaže na plazmatické bielkoviny. Porucha renálnej</w:t>
      </w:r>
      <w:r w:rsidR="0005487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funkcie nemá žiadny vplyv na väzbu </w:t>
      </w:r>
      <w:r w:rsidR="001E15BF">
        <w:rPr>
          <w:sz w:val="22"/>
          <w:szCs w:val="22"/>
        </w:rPr>
        <w:t>liečiva</w:t>
      </w:r>
      <w:r w:rsidR="001E15B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na plazmatické bielkoviny.</w:t>
      </w:r>
      <w:r w:rsidR="00054875" w:rsidRPr="00DE7532">
        <w:rPr>
          <w:sz w:val="22"/>
          <w:szCs w:val="22"/>
        </w:rPr>
        <w:t xml:space="preserve"> </w:t>
      </w:r>
      <w:r w:rsidR="001E15BF">
        <w:rPr>
          <w:sz w:val="22"/>
          <w:szCs w:val="22"/>
        </w:rPr>
        <w:t xml:space="preserve">Menej ako </w:t>
      </w:r>
      <w:r w:rsidR="001E15BF" w:rsidRPr="00A97DFF">
        <w:rPr>
          <w:sz w:val="22"/>
          <w:szCs w:val="22"/>
        </w:rPr>
        <w:t>0,0005 % podanej dávky</w:t>
      </w:r>
      <w:r w:rsidR="001E15BF">
        <w:rPr>
          <w:sz w:val="22"/>
          <w:szCs w:val="22"/>
        </w:rPr>
        <w:t xml:space="preserve"> sa prejavilo v semene zdravých osôb.</w:t>
      </w:r>
      <w:r w:rsidR="001E15BF" w:rsidRPr="008A5458" w:rsidDel="00113185">
        <w:rPr>
          <w:sz w:val="22"/>
          <w:szCs w:val="22"/>
        </w:rPr>
        <w:t xml:space="preserve"> </w:t>
      </w:r>
    </w:p>
    <w:p w:rsidR="00CB0737" w:rsidRPr="00DE7532" w:rsidRDefault="00CB0737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Biotransformácia</w:t>
      </w:r>
    </w:p>
    <w:p w:rsidR="007B3C20" w:rsidRPr="00DE7532" w:rsidRDefault="007B3C20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Tadalafil sa metabolizuje najmä prostredníctvom izoformy 3A4 cytochrómu P450 (CYP). Hlavným</w:t>
      </w:r>
      <w:r w:rsidR="00054875" w:rsidRPr="00DE7532">
        <w:rPr>
          <w:sz w:val="22"/>
          <w:szCs w:val="22"/>
        </w:rPr>
        <w:t xml:space="preserve"> </w:t>
      </w:r>
      <w:r w:rsidR="007B3C20" w:rsidRPr="00DE7532">
        <w:rPr>
          <w:sz w:val="22"/>
          <w:szCs w:val="22"/>
        </w:rPr>
        <w:t xml:space="preserve">cirkulujúcim </w:t>
      </w:r>
      <w:r w:rsidRPr="00DE7532">
        <w:rPr>
          <w:sz w:val="22"/>
          <w:szCs w:val="22"/>
        </w:rPr>
        <w:t>metabolitom je metylkatechol glukuronid. Ten</w:t>
      </w:r>
      <w:r w:rsidR="00054875" w:rsidRPr="00DE7532">
        <w:rPr>
          <w:sz w:val="22"/>
          <w:szCs w:val="22"/>
        </w:rPr>
        <w:t>to metabolit má najmenej 13</w:t>
      </w:r>
      <w:r w:rsidR="002A7D11" w:rsidRPr="00DE7532">
        <w:rPr>
          <w:sz w:val="22"/>
          <w:szCs w:val="22"/>
        </w:rPr>
        <w:t> </w:t>
      </w:r>
      <w:r w:rsidR="00054875" w:rsidRPr="00DE7532">
        <w:rPr>
          <w:sz w:val="22"/>
          <w:szCs w:val="22"/>
        </w:rPr>
        <w:t>000</w:t>
      </w:r>
      <w:r w:rsidR="002A7D11" w:rsidRPr="00DE7532">
        <w:rPr>
          <w:sz w:val="22"/>
          <w:szCs w:val="22"/>
        </w:rPr>
        <w:t>-</w:t>
      </w:r>
      <w:r w:rsidRPr="00DE7532">
        <w:rPr>
          <w:sz w:val="22"/>
          <w:szCs w:val="22"/>
        </w:rPr>
        <w:t xml:space="preserve">krát </w:t>
      </w:r>
      <w:r w:rsidR="001E15BF">
        <w:rPr>
          <w:sz w:val="22"/>
          <w:szCs w:val="22"/>
        </w:rPr>
        <w:t>menší</w:t>
      </w:r>
      <w:r w:rsidR="001E15B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účinok na PDE5 ako tadalafil. Z toho dôvodu sa pri pozorovaných koncentráciách</w:t>
      </w:r>
      <w:r w:rsidR="00054875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metabolitu nepredpokladá jeho klinicky významný účinok.</w:t>
      </w:r>
    </w:p>
    <w:p w:rsidR="00054875" w:rsidRPr="00DE7532" w:rsidRDefault="00054875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Eliminácia</w:t>
      </w:r>
    </w:p>
    <w:p w:rsidR="007B3C20" w:rsidRPr="00DE7532" w:rsidRDefault="007B3C20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U zdravých osôb je priemerná hodnota perorálneho klírensu tadalafilu 2,5 l/h a priemerný polčas je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17,5 h. Tadalafil sa vylučuje prevažne vo forme inaktívnych metabolitov najmä stolicou (približne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61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 z podanej dávky) a v menšej miere tiež močom (približne 36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 z podanej dávky).</w:t>
      </w:r>
    </w:p>
    <w:p w:rsidR="00054875" w:rsidRPr="00DE7532" w:rsidRDefault="00054875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Linearita/nelinearita</w:t>
      </w:r>
    </w:p>
    <w:p w:rsidR="007B3C20" w:rsidRPr="00DE7532" w:rsidRDefault="007B3C20" w:rsidP="00882187">
      <w:pPr>
        <w:rPr>
          <w:sz w:val="22"/>
          <w:szCs w:val="22"/>
        </w:rPr>
      </w:pPr>
    </w:p>
    <w:p w:rsidR="007B3C20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Farmakokinetika tadalafilu u zdravých osôb je lineárna </w:t>
      </w:r>
      <w:r w:rsidR="001E15BF">
        <w:rPr>
          <w:sz w:val="22"/>
          <w:szCs w:val="22"/>
        </w:rPr>
        <w:t xml:space="preserve">závislá od </w:t>
      </w:r>
      <w:r w:rsidRPr="00DE7532">
        <w:rPr>
          <w:sz w:val="22"/>
          <w:szCs w:val="22"/>
        </w:rPr>
        <w:t>času a dávky. V dávkovom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rozmedzí 2,5</w:t>
      </w:r>
      <w:r w:rsidR="002C725C" w:rsidRPr="00DE7532">
        <w:rPr>
          <w:sz w:val="22"/>
          <w:szCs w:val="22"/>
        </w:rPr>
        <w:t xml:space="preserve"> až </w:t>
      </w:r>
      <w:r w:rsidRPr="00DE7532">
        <w:rPr>
          <w:sz w:val="22"/>
          <w:szCs w:val="22"/>
        </w:rPr>
        <w:t>20 mg stúpa expozícia (AUC) priamo úmerne s dávk</w:t>
      </w:r>
      <w:r w:rsidR="001E15BF">
        <w:rPr>
          <w:sz w:val="22"/>
          <w:szCs w:val="22"/>
        </w:rPr>
        <w:t>ou</w:t>
      </w:r>
      <w:r w:rsidRPr="00DE7532">
        <w:rPr>
          <w:sz w:val="22"/>
          <w:szCs w:val="22"/>
        </w:rPr>
        <w:t>. Pri dávkovaní raz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denne sa rovnovážne plazmatické koncentrácie dosiahnu v priebehu 5 dní.</w:t>
      </w:r>
      <w:r w:rsidR="002C725C" w:rsidRPr="00DE7532">
        <w:rPr>
          <w:sz w:val="22"/>
          <w:szCs w:val="22"/>
        </w:rPr>
        <w:t xml:space="preserve"> </w:t>
      </w:r>
    </w:p>
    <w:p w:rsidR="007B3C20" w:rsidRPr="00DE7532" w:rsidRDefault="007B3C20" w:rsidP="00882187">
      <w:pPr>
        <w:rPr>
          <w:sz w:val="22"/>
          <w:szCs w:val="22"/>
        </w:rPr>
      </w:pPr>
    </w:p>
    <w:p w:rsidR="0056755B" w:rsidRPr="008A5458" w:rsidRDefault="0056755B" w:rsidP="0056755B">
      <w:pPr>
        <w:rPr>
          <w:sz w:val="22"/>
          <w:szCs w:val="22"/>
        </w:rPr>
      </w:pPr>
      <w:r w:rsidRPr="0056755B">
        <w:rPr>
          <w:sz w:val="22"/>
          <w:szCs w:val="22"/>
        </w:rPr>
        <w:t>Farmakokinetika tadalafilu stanovená v populácii pacientov s erektilnou dysfunkciou je podobná ako u osôb bez erektilnej dysfunkcie.</w:t>
      </w:r>
      <w:r w:rsidRPr="008A5458">
        <w:rPr>
          <w:sz w:val="22"/>
          <w:szCs w:val="22"/>
        </w:rPr>
        <w:t xml:space="preserve"> </w:t>
      </w:r>
    </w:p>
    <w:p w:rsidR="002C725C" w:rsidRPr="00DE7532" w:rsidRDefault="002C725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Osobitné skupiny pacientov</w:t>
      </w:r>
    </w:p>
    <w:p w:rsidR="002C725C" w:rsidRPr="00DE7532" w:rsidRDefault="002C725C" w:rsidP="00882187">
      <w:pPr>
        <w:rPr>
          <w:i/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Staršie osoby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Zdravé staršie osoby (65 rokov a starší) majú nižšiu hodnotu perorálneho klírensu tadalafilu, čo vedie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k zvýšeniu expozície (AUC) o 25% v porovnaní so zdravými osobami vo veku 19-45 rokov. </w:t>
      </w:r>
      <w:r w:rsidR="001E15BF">
        <w:rPr>
          <w:sz w:val="22"/>
          <w:szCs w:val="22"/>
        </w:rPr>
        <w:t>V</w:t>
      </w:r>
      <w:r w:rsidRPr="00DE7532">
        <w:rPr>
          <w:sz w:val="22"/>
          <w:szCs w:val="22"/>
        </w:rPr>
        <w:t>plyv veku nie je klinicky významný a nevyžaduje úpravu dávkovania.</w:t>
      </w:r>
    </w:p>
    <w:p w:rsidR="002C725C" w:rsidRPr="00DE7532" w:rsidRDefault="002C725C" w:rsidP="00882187">
      <w:pPr>
        <w:rPr>
          <w:i/>
          <w:iCs/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Renálna insuficiencia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V klinicko-farmakologických štúdiách s </w:t>
      </w:r>
      <w:r w:rsidR="001E15BF" w:rsidRPr="008A5458">
        <w:rPr>
          <w:sz w:val="22"/>
          <w:szCs w:val="22"/>
        </w:rPr>
        <w:t>jedno</w:t>
      </w:r>
      <w:r w:rsidR="00F942EC">
        <w:rPr>
          <w:sz w:val="22"/>
          <w:szCs w:val="22"/>
        </w:rPr>
        <w:t>razovým</w:t>
      </w:r>
      <w:r w:rsidRPr="00DE7532">
        <w:rPr>
          <w:sz w:val="22"/>
          <w:szCs w:val="22"/>
        </w:rPr>
        <w:t>i dávkami tadalafilu (5 mg</w:t>
      </w:r>
      <w:r w:rsidR="002C725C" w:rsidRPr="00DE7532">
        <w:rPr>
          <w:sz w:val="22"/>
          <w:szCs w:val="22"/>
        </w:rPr>
        <w:t xml:space="preserve"> až </w:t>
      </w:r>
      <w:r w:rsidRPr="00DE7532">
        <w:rPr>
          <w:sz w:val="22"/>
          <w:szCs w:val="22"/>
        </w:rPr>
        <w:t>20 mg) bola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systémová expozícia tadalafilu (AUC) približne dvojnásobná u osôb s </w:t>
      </w:r>
      <w:r w:rsidR="001E15BF">
        <w:rPr>
          <w:sz w:val="22"/>
          <w:szCs w:val="22"/>
        </w:rPr>
        <w:t>miernou</w:t>
      </w:r>
      <w:r w:rsidR="001E15BF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(klírens kreatinínu 51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až 80 ml/min) alebo stredne závažn</w:t>
      </w:r>
      <w:r w:rsidR="002A7D11" w:rsidRPr="00DE7532">
        <w:rPr>
          <w:sz w:val="22"/>
          <w:szCs w:val="22"/>
        </w:rPr>
        <w:t>ou</w:t>
      </w:r>
      <w:r w:rsidRPr="00DE7532">
        <w:rPr>
          <w:sz w:val="22"/>
          <w:szCs w:val="22"/>
        </w:rPr>
        <w:t xml:space="preserve"> (klírens kreatinínu 31 až 50 ml/min) po</w:t>
      </w:r>
      <w:r w:rsidR="002A7D11" w:rsidRPr="00DE7532">
        <w:rPr>
          <w:sz w:val="22"/>
          <w:szCs w:val="22"/>
        </w:rPr>
        <w:t>ruchou</w:t>
      </w:r>
      <w:r w:rsidRPr="00DE7532">
        <w:rPr>
          <w:sz w:val="22"/>
          <w:szCs w:val="22"/>
        </w:rPr>
        <w:t xml:space="preserve"> funkcie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obličiek a tiež u dialyzovaných osôb v konečnom štádiu </w:t>
      </w:r>
      <w:r w:rsidR="001E15BF">
        <w:rPr>
          <w:sz w:val="22"/>
          <w:szCs w:val="22"/>
        </w:rPr>
        <w:t>zlyhávania</w:t>
      </w:r>
      <w:r w:rsidRPr="00DE7532">
        <w:rPr>
          <w:sz w:val="22"/>
          <w:szCs w:val="22"/>
        </w:rPr>
        <w:t xml:space="preserve"> obličiek. U hemodialyzovaných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pacientov bola </w:t>
      </w:r>
      <w:r w:rsidR="007B3C20" w:rsidRPr="00DE7532">
        <w:rPr>
          <w:sz w:val="22"/>
          <w:szCs w:val="22"/>
        </w:rPr>
        <w:t>C</w:t>
      </w:r>
      <w:r w:rsidRPr="00DE7532">
        <w:rPr>
          <w:sz w:val="22"/>
          <w:szCs w:val="22"/>
          <w:vertAlign w:val="subscript"/>
        </w:rPr>
        <w:t>max</w:t>
      </w:r>
      <w:r w:rsidRPr="00DE7532">
        <w:rPr>
          <w:sz w:val="22"/>
          <w:szCs w:val="22"/>
        </w:rPr>
        <w:t xml:space="preserve"> o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41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% vyššia v porovnaní so zdravými </w:t>
      </w:r>
      <w:r w:rsidR="002C725C" w:rsidRPr="00DE7532">
        <w:rPr>
          <w:sz w:val="22"/>
          <w:szCs w:val="22"/>
        </w:rPr>
        <w:t>osobami</w:t>
      </w:r>
      <w:r w:rsidRPr="00DE7532">
        <w:rPr>
          <w:sz w:val="22"/>
          <w:szCs w:val="22"/>
        </w:rPr>
        <w:t>. Hemodialýza prispieva k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eliminácii tadalafilu iba nepatrne.</w:t>
      </w:r>
    </w:p>
    <w:p w:rsidR="002C725C" w:rsidRPr="00DE7532" w:rsidRDefault="002C725C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Hepatálna insuficiencia</w:t>
      </w:r>
    </w:p>
    <w:p w:rsidR="007B3C20" w:rsidRPr="00DE7532" w:rsidRDefault="007B3C20" w:rsidP="0067010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67010D" w:rsidRPr="00DE7532" w:rsidRDefault="00882187" w:rsidP="0067010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E7532">
        <w:rPr>
          <w:sz w:val="22"/>
          <w:szCs w:val="22"/>
        </w:rPr>
        <w:t>U osôb s miern</w:t>
      </w:r>
      <w:r w:rsidR="002A7D11" w:rsidRPr="00DE7532">
        <w:rPr>
          <w:sz w:val="22"/>
          <w:szCs w:val="22"/>
        </w:rPr>
        <w:t>ou</w:t>
      </w:r>
      <w:r w:rsidRPr="00DE7532">
        <w:rPr>
          <w:sz w:val="22"/>
          <w:szCs w:val="22"/>
        </w:rPr>
        <w:t xml:space="preserve"> alebo stredne závažn</w:t>
      </w:r>
      <w:r w:rsidR="002A7D11" w:rsidRPr="00DE7532">
        <w:rPr>
          <w:sz w:val="22"/>
          <w:szCs w:val="22"/>
        </w:rPr>
        <w:t>ou</w:t>
      </w:r>
      <w:r w:rsidRPr="00DE7532">
        <w:rPr>
          <w:sz w:val="22"/>
          <w:szCs w:val="22"/>
        </w:rPr>
        <w:t xml:space="preserve"> po</w:t>
      </w:r>
      <w:r w:rsidR="002A7D11" w:rsidRPr="00DE7532">
        <w:rPr>
          <w:sz w:val="22"/>
          <w:szCs w:val="22"/>
        </w:rPr>
        <w:t>ruchou funkcie</w:t>
      </w:r>
      <w:r w:rsidRPr="00DE7532">
        <w:rPr>
          <w:sz w:val="22"/>
          <w:szCs w:val="22"/>
        </w:rPr>
        <w:t xml:space="preserve"> pečene </w:t>
      </w:r>
      <w:r w:rsidR="007B5471" w:rsidRPr="008A5458">
        <w:rPr>
          <w:sz w:val="22"/>
          <w:szCs w:val="22"/>
        </w:rPr>
        <w:t>(Childov</w:t>
      </w:r>
      <w:r w:rsidR="007B5471">
        <w:rPr>
          <w:sz w:val="22"/>
          <w:szCs w:val="22"/>
        </w:rPr>
        <w:t>o</w:t>
      </w:r>
      <w:r w:rsidR="007B5471" w:rsidRPr="008A5458">
        <w:rPr>
          <w:sz w:val="22"/>
          <w:szCs w:val="22"/>
        </w:rPr>
        <w:t xml:space="preserve"> </w:t>
      </w:r>
      <w:r w:rsidR="007B5471">
        <w:rPr>
          <w:sz w:val="22"/>
          <w:szCs w:val="22"/>
        </w:rPr>
        <w:t>–</w:t>
      </w:r>
      <w:r w:rsidR="00267890">
        <w:rPr>
          <w:sz w:val="22"/>
          <w:szCs w:val="22"/>
        </w:rPr>
        <w:t xml:space="preserve"> </w:t>
      </w:r>
      <w:r w:rsidR="007B5471" w:rsidRPr="008A5458">
        <w:rPr>
          <w:sz w:val="22"/>
          <w:szCs w:val="22"/>
        </w:rPr>
        <w:t>Pughov</w:t>
      </w:r>
      <w:r w:rsidR="007B5471">
        <w:rPr>
          <w:sz w:val="22"/>
          <w:szCs w:val="22"/>
        </w:rPr>
        <w:t>o</w:t>
      </w:r>
      <w:r w:rsidR="00267890">
        <w:rPr>
          <w:sz w:val="22"/>
          <w:szCs w:val="22"/>
        </w:rPr>
        <w:t xml:space="preserve"> </w:t>
      </w:r>
      <w:r w:rsidR="007B5471">
        <w:rPr>
          <w:sz w:val="22"/>
          <w:szCs w:val="22"/>
        </w:rPr>
        <w:t>skóre A a B</w:t>
      </w:r>
      <w:r w:rsidR="007B5471" w:rsidRPr="008A5458">
        <w:rPr>
          <w:sz w:val="22"/>
          <w:szCs w:val="22"/>
        </w:rPr>
        <w:t xml:space="preserve">) </w:t>
      </w:r>
      <w:r w:rsidRPr="00DE7532">
        <w:rPr>
          <w:sz w:val="22"/>
          <w:szCs w:val="22"/>
        </w:rPr>
        <w:t>je expozícia tadalafilu (AUC) pri podaní dávky 10 mg porovnateľná so zdravými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 xml:space="preserve">osobami. O bezpečnosti </w:t>
      </w:r>
      <w:r w:rsidR="00AD1900" w:rsidRPr="00DE7532">
        <w:rPr>
          <w:sz w:val="22"/>
          <w:szCs w:val="22"/>
        </w:rPr>
        <w:t>tadalafilu</w:t>
      </w:r>
      <w:r w:rsidRPr="00DE7532">
        <w:rPr>
          <w:sz w:val="22"/>
          <w:szCs w:val="22"/>
        </w:rPr>
        <w:t xml:space="preserve"> u pacientov so závažnou hepatálnou insuficienciou </w:t>
      </w:r>
      <w:r w:rsidR="007B5471" w:rsidRPr="008A5458">
        <w:rPr>
          <w:sz w:val="22"/>
          <w:szCs w:val="22"/>
        </w:rPr>
        <w:t>(Childov</w:t>
      </w:r>
      <w:r w:rsidR="007B5471">
        <w:rPr>
          <w:sz w:val="22"/>
          <w:szCs w:val="22"/>
        </w:rPr>
        <w:t>o</w:t>
      </w:r>
      <w:r w:rsidR="007B5471" w:rsidRPr="008A5458">
        <w:rPr>
          <w:sz w:val="22"/>
          <w:szCs w:val="22"/>
        </w:rPr>
        <w:t xml:space="preserve"> </w:t>
      </w:r>
      <w:r w:rsidR="007B5471">
        <w:rPr>
          <w:sz w:val="22"/>
          <w:szCs w:val="22"/>
        </w:rPr>
        <w:t>–</w:t>
      </w:r>
      <w:r w:rsidR="007B5471" w:rsidRPr="008A5458">
        <w:rPr>
          <w:sz w:val="22"/>
          <w:szCs w:val="22"/>
        </w:rPr>
        <w:t xml:space="preserve"> Pughov</w:t>
      </w:r>
      <w:r w:rsidR="007B5471">
        <w:rPr>
          <w:sz w:val="22"/>
          <w:szCs w:val="22"/>
        </w:rPr>
        <w:t>o</w:t>
      </w:r>
      <w:r w:rsidR="00267890">
        <w:rPr>
          <w:sz w:val="22"/>
          <w:szCs w:val="22"/>
        </w:rPr>
        <w:t xml:space="preserve"> </w:t>
      </w:r>
      <w:r w:rsidR="007B5471">
        <w:rPr>
          <w:sz w:val="22"/>
          <w:szCs w:val="22"/>
        </w:rPr>
        <w:t>skóre C</w:t>
      </w:r>
      <w:r w:rsidR="007B5471" w:rsidRPr="008A5458">
        <w:rPr>
          <w:sz w:val="22"/>
          <w:szCs w:val="22"/>
        </w:rPr>
        <w:t>)</w:t>
      </w:r>
      <w:r w:rsidRPr="00DE7532">
        <w:rPr>
          <w:sz w:val="22"/>
          <w:szCs w:val="22"/>
        </w:rPr>
        <w:t xml:space="preserve"> sú dostupné iba obmedzené klinické údaje. </w:t>
      </w:r>
      <w:r w:rsidR="007B5471">
        <w:rPr>
          <w:sz w:val="22"/>
          <w:szCs w:val="22"/>
        </w:rPr>
        <w:t xml:space="preserve">Pre pacientov </w:t>
      </w:r>
      <w:r w:rsidR="007B5471" w:rsidRPr="00A97DFF">
        <w:rPr>
          <w:sz w:val="22"/>
          <w:szCs w:val="22"/>
        </w:rPr>
        <w:t xml:space="preserve">s poruchou funkcie </w:t>
      </w:r>
      <w:r w:rsidR="007B5471">
        <w:rPr>
          <w:sz w:val="22"/>
          <w:szCs w:val="22"/>
        </w:rPr>
        <w:t>pečene</w:t>
      </w:r>
      <w:r w:rsidR="00210D88">
        <w:rPr>
          <w:sz w:val="22"/>
          <w:szCs w:val="22"/>
        </w:rPr>
        <w:t xml:space="preserve"> </w:t>
      </w:r>
      <w:r w:rsidR="007B5471" w:rsidRPr="00A97DFF">
        <w:rPr>
          <w:sz w:val="22"/>
          <w:szCs w:val="22"/>
        </w:rPr>
        <w:t>nie sú do</w:t>
      </w:r>
      <w:r w:rsidR="007B5471">
        <w:rPr>
          <w:sz w:val="22"/>
          <w:szCs w:val="22"/>
        </w:rPr>
        <w:t>stupné žiadne</w:t>
      </w:r>
      <w:r w:rsidR="007B5471" w:rsidRPr="00A97DFF">
        <w:rPr>
          <w:sz w:val="22"/>
          <w:szCs w:val="22"/>
        </w:rPr>
        <w:t xml:space="preserve"> údaje</w:t>
      </w:r>
      <w:r w:rsidR="007B5471">
        <w:rPr>
          <w:sz w:val="22"/>
          <w:szCs w:val="22"/>
        </w:rPr>
        <w:t xml:space="preserve"> o</w:t>
      </w:r>
      <w:r w:rsidR="007B5471" w:rsidRPr="00A97DFF">
        <w:rPr>
          <w:sz w:val="22"/>
          <w:szCs w:val="22"/>
        </w:rPr>
        <w:t xml:space="preserve"> užívaní tadalafilu jedenkrát denne. </w:t>
      </w:r>
      <w:r w:rsidRPr="00DE7532">
        <w:rPr>
          <w:sz w:val="22"/>
          <w:szCs w:val="22"/>
        </w:rPr>
        <w:t xml:space="preserve"> Ak je </w:t>
      </w:r>
      <w:r w:rsidR="00AD1900" w:rsidRPr="00DE7532">
        <w:rPr>
          <w:sz w:val="22"/>
          <w:szCs w:val="22"/>
        </w:rPr>
        <w:t>tadalafil</w:t>
      </w:r>
      <w:r w:rsidRPr="00DE7532">
        <w:rPr>
          <w:sz w:val="22"/>
          <w:szCs w:val="22"/>
        </w:rPr>
        <w:t xml:space="preserve"> predpísaný jedenkrát</w:t>
      </w:r>
      <w:r w:rsidR="002C725C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denne, musí lekár individuálne dôsledne zvážiť pomer pr</w:t>
      </w:r>
      <w:r w:rsidR="002A7D11" w:rsidRPr="00DE7532">
        <w:rPr>
          <w:sz w:val="22"/>
          <w:szCs w:val="22"/>
        </w:rPr>
        <w:t>ínosu</w:t>
      </w:r>
      <w:r w:rsidRPr="00DE7532">
        <w:rPr>
          <w:sz w:val="22"/>
          <w:szCs w:val="22"/>
        </w:rPr>
        <w:t xml:space="preserve"> a rizika.</w:t>
      </w:r>
      <w:r w:rsidR="0067010D" w:rsidRPr="00DE7532">
        <w:rPr>
          <w:sz w:val="22"/>
          <w:szCs w:val="22"/>
        </w:rPr>
        <w:t xml:space="preserve"> </w:t>
      </w:r>
    </w:p>
    <w:p w:rsidR="002C725C" w:rsidRPr="00DE7532" w:rsidRDefault="002C725C" w:rsidP="00882187">
      <w:pPr>
        <w:rPr>
          <w:sz w:val="22"/>
          <w:szCs w:val="22"/>
        </w:rPr>
      </w:pPr>
    </w:p>
    <w:p w:rsidR="00882187" w:rsidRPr="00DE7532" w:rsidRDefault="00AD1900" w:rsidP="00882187">
      <w:pPr>
        <w:rPr>
          <w:i/>
          <w:iCs/>
          <w:sz w:val="22"/>
          <w:szCs w:val="22"/>
        </w:rPr>
      </w:pPr>
      <w:r w:rsidRPr="00DE7532">
        <w:rPr>
          <w:i/>
          <w:iCs/>
          <w:sz w:val="22"/>
          <w:szCs w:val="22"/>
        </w:rPr>
        <w:t>Pacienti s diabetom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Expozícia (AUC) tadalafilu u diabetikov je približne o</w:t>
      </w:r>
      <w:r w:rsidR="00F109D8">
        <w:rPr>
          <w:sz w:val="22"/>
          <w:szCs w:val="22"/>
        </w:rPr>
        <w:t> </w:t>
      </w:r>
      <w:r w:rsidRPr="00DE7532">
        <w:rPr>
          <w:sz w:val="22"/>
          <w:szCs w:val="22"/>
        </w:rPr>
        <w:t>19</w:t>
      </w:r>
      <w:r w:rsidR="00F109D8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% nižšia ako hodnota AUC u zdravých osôb</w:t>
      </w:r>
      <w:r w:rsidR="00853F8E" w:rsidRPr="00DE7532">
        <w:rPr>
          <w:sz w:val="22"/>
          <w:szCs w:val="22"/>
        </w:rPr>
        <w:t xml:space="preserve"> po podaní 10 mg dávky</w:t>
      </w:r>
      <w:r w:rsidRPr="00DE7532">
        <w:rPr>
          <w:sz w:val="22"/>
          <w:szCs w:val="22"/>
        </w:rPr>
        <w:t>.</w:t>
      </w:r>
      <w:r w:rsidR="00AD190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Tento rozdiel v expozícii si nevyžaduje úpravu dávkovania.</w:t>
      </w:r>
    </w:p>
    <w:p w:rsidR="00AD1900" w:rsidRPr="00DE7532" w:rsidRDefault="00AD1900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5.3 </w:t>
      </w:r>
      <w:r w:rsidR="00AD1900" w:rsidRPr="00DE7532">
        <w:rPr>
          <w:b/>
          <w:bCs/>
          <w:sz w:val="22"/>
          <w:szCs w:val="22"/>
        </w:rPr>
        <w:tab/>
        <w:t>Predklinické údaje o bezpečnosti</w:t>
      </w:r>
    </w:p>
    <w:p w:rsidR="00AD1900" w:rsidRPr="00DE7532" w:rsidRDefault="00AD1900" w:rsidP="00882187">
      <w:pPr>
        <w:rPr>
          <w:sz w:val="22"/>
          <w:szCs w:val="22"/>
        </w:rPr>
      </w:pPr>
    </w:p>
    <w:p w:rsidR="00DB7D43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Predklinické údaje na základe obvyklých farmakologických štúdií bezpečnosti, toxicity po</w:t>
      </w:r>
      <w:r w:rsidR="00AD190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opakovanom podaní, genotoxicity, karcinogénneho potenciálu, reprodukčnej toxicity a vývinu</w:t>
      </w:r>
      <w:r w:rsidR="00AD190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neodhalili žiadne osobitné riziko pre ľudí.</w:t>
      </w:r>
    </w:p>
    <w:p w:rsidR="00DB7D43" w:rsidRPr="00DE7532" w:rsidRDefault="007B5471" w:rsidP="00882187">
      <w:pPr>
        <w:rPr>
          <w:sz w:val="22"/>
          <w:szCs w:val="22"/>
        </w:rPr>
      </w:pPr>
      <w:r>
        <w:rPr>
          <w:sz w:val="22"/>
          <w:szCs w:val="22"/>
        </w:rPr>
        <w:t>Na</w:t>
      </w:r>
      <w:r w:rsidRPr="008A5458">
        <w:rPr>
          <w:sz w:val="22"/>
          <w:szCs w:val="22"/>
        </w:rPr>
        <w:t xml:space="preserve"> potkano</w:t>
      </w:r>
      <w:r>
        <w:rPr>
          <w:sz w:val="22"/>
          <w:szCs w:val="22"/>
        </w:rPr>
        <w:t>ch</w:t>
      </w:r>
      <w:r w:rsidRPr="008A5458">
        <w:rPr>
          <w:sz w:val="22"/>
          <w:szCs w:val="22"/>
        </w:rPr>
        <w:t xml:space="preserve"> alebo myš</w:t>
      </w:r>
      <w:r>
        <w:rPr>
          <w:sz w:val="22"/>
          <w:szCs w:val="22"/>
        </w:rPr>
        <w:t>iach</w:t>
      </w:r>
      <w:r w:rsidRPr="008A5458">
        <w:rPr>
          <w:sz w:val="22"/>
          <w:szCs w:val="22"/>
        </w:rPr>
        <w:t>,</w:t>
      </w:r>
      <w:r w:rsidR="00882187" w:rsidRPr="00DE7532">
        <w:rPr>
          <w:sz w:val="22"/>
          <w:szCs w:val="22"/>
        </w:rPr>
        <w:t xml:space="preserve">, </w:t>
      </w:r>
      <w:r w:rsidR="00AD1900" w:rsidRPr="00DE7532">
        <w:rPr>
          <w:sz w:val="22"/>
          <w:szCs w:val="22"/>
        </w:rPr>
        <w:t xml:space="preserve">ktorým boli podávané dávky tadalafilu až </w:t>
      </w:r>
      <w:r w:rsidR="0067010D" w:rsidRPr="00DE7532">
        <w:rPr>
          <w:sz w:val="22"/>
          <w:szCs w:val="22"/>
        </w:rPr>
        <w:t xml:space="preserve">do </w:t>
      </w:r>
      <w:r w:rsidR="00AD1900" w:rsidRPr="00DE7532">
        <w:rPr>
          <w:sz w:val="22"/>
          <w:szCs w:val="22"/>
        </w:rPr>
        <w:t>1</w:t>
      </w:r>
      <w:r w:rsidR="00882187" w:rsidRPr="00DE7532">
        <w:rPr>
          <w:sz w:val="22"/>
          <w:szCs w:val="22"/>
        </w:rPr>
        <w:t>000 mg/kg/deň, sa nezistili žiadne</w:t>
      </w:r>
      <w:r w:rsidR="00AD1900" w:rsidRPr="00DE7532">
        <w:rPr>
          <w:sz w:val="22"/>
          <w:szCs w:val="22"/>
        </w:rPr>
        <w:t xml:space="preserve"> </w:t>
      </w:r>
      <w:r>
        <w:rPr>
          <w:sz w:val="22"/>
          <w:szCs w:val="22"/>
        </w:rPr>
        <w:t>náznaky</w:t>
      </w:r>
      <w:r w:rsidRPr="00DE7532" w:rsidDel="007B5471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teratogenity, embryotoxicity a fetotoxicity. V štúdii, ktorá hodnotila prenatálny a postnatálny</w:t>
      </w:r>
      <w:r w:rsidR="00AD1900" w:rsidRPr="00DE7532">
        <w:rPr>
          <w:sz w:val="22"/>
          <w:szCs w:val="22"/>
        </w:rPr>
        <w:t xml:space="preserve"> </w:t>
      </w:r>
      <w:r>
        <w:rPr>
          <w:sz w:val="22"/>
          <w:szCs w:val="22"/>
        </w:rPr>
        <w:t>vývin</w:t>
      </w:r>
      <w:r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u potkanov, bola dávka, pri ktorej sa nezistil žiadny účinok 30 mg/kg/deň. U gravidných</w:t>
      </w:r>
      <w:r w:rsidR="00AD1900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potkanov bola AUC pre vypočítané voľné liečivo pri tejto dávke približne 18-krát vyššia ako bolo</w:t>
      </w:r>
      <w:r w:rsidR="00AD1900" w:rsidRPr="00DE7532">
        <w:rPr>
          <w:sz w:val="22"/>
          <w:szCs w:val="22"/>
        </w:rPr>
        <w:t xml:space="preserve"> </w:t>
      </w:r>
      <w:r w:rsidR="00882187" w:rsidRPr="00DE7532">
        <w:rPr>
          <w:sz w:val="22"/>
          <w:szCs w:val="22"/>
        </w:rPr>
        <w:t>zistené u ľudí po podaní dávky 20 mg.</w:t>
      </w: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U samíc a samcov potkanov sa nezistila žiadna porucha plodnosti. U psov, ktorým sa podával tadalafil</w:t>
      </w:r>
      <w:r w:rsidR="00AD190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v denných dávkach 25 mg/kg/deň počas obdobia 6</w:t>
      </w:r>
      <w:r w:rsidR="00AD1900" w:rsidRPr="00DE7532">
        <w:rPr>
          <w:sz w:val="22"/>
          <w:szCs w:val="22"/>
        </w:rPr>
        <w:t xml:space="preserve"> až</w:t>
      </w:r>
      <w:r w:rsidR="0067010D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12 mesiacov (čo je minimálne trojnásobne vyššia</w:t>
      </w:r>
      <w:r w:rsidR="00AD190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expozícia [rozmedzie 3,7 – 18,6] než u ľudí pri jednotlivej dávke 20 mg) a väčších, sa zistila regresia</w:t>
      </w:r>
      <w:r w:rsidR="00AD190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epitelu semenných kanálikov, ktorá u niektorých psov viedla k zníženiu spermatogenézy. Pozri tiež</w:t>
      </w:r>
      <w:r w:rsidR="00AD1900" w:rsidRPr="00DE7532">
        <w:rPr>
          <w:sz w:val="22"/>
          <w:szCs w:val="22"/>
        </w:rPr>
        <w:t xml:space="preserve"> </w:t>
      </w:r>
      <w:r w:rsidRPr="00DE7532">
        <w:rPr>
          <w:sz w:val="22"/>
          <w:szCs w:val="22"/>
        </w:rPr>
        <w:t>časť 5.1.</w:t>
      </w:r>
      <w:r w:rsidR="00AD1900" w:rsidRPr="00DE7532">
        <w:rPr>
          <w:sz w:val="22"/>
          <w:szCs w:val="22"/>
        </w:rPr>
        <w:t xml:space="preserve"> </w:t>
      </w:r>
    </w:p>
    <w:p w:rsidR="00AD1900" w:rsidRPr="00DE7532" w:rsidRDefault="00AD1900" w:rsidP="00882187">
      <w:pPr>
        <w:rPr>
          <w:sz w:val="22"/>
          <w:szCs w:val="22"/>
        </w:rPr>
      </w:pPr>
    </w:p>
    <w:p w:rsidR="00AD1900" w:rsidRPr="00DE7532" w:rsidRDefault="00AD1900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6. </w:t>
      </w:r>
      <w:r w:rsidR="00AD1900" w:rsidRPr="00DE7532">
        <w:rPr>
          <w:b/>
          <w:bCs/>
          <w:sz w:val="22"/>
          <w:szCs w:val="22"/>
        </w:rPr>
        <w:tab/>
        <w:t>FARMACEUTICKÉ INFORMÁCIE</w:t>
      </w:r>
    </w:p>
    <w:p w:rsidR="00AD1900" w:rsidRPr="00DE7532" w:rsidRDefault="00AD1900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6.1 </w:t>
      </w:r>
      <w:r w:rsidR="00AD1900" w:rsidRPr="00DE7532">
        <w:rPr>
          <w:b/>
          <w:bCs/>
          <w:sz w:val="22"/>
          <w:szCs w:val="22"/>
        </w:rPr>
        <w:tab/>
        <w:t>Zoznam pomocných látok</w:t>
      </w:r>
    </w:p>
    <w:p w:rsidR="00AD1900" w:rsidRPr="00DE7532" w:rsidRDefault="00AD1900" w:rsidP="00882187">
      <w:pPr>
        <w:rPr>
          <w:sz w:val="22"/>
          <w:szCs w:val="22"/>
        </w:rPr>
      </w:pPr>
    </w:p>
    <w:p w:rsidR="00882187" w:rsidRPr="00DE7532" w:rsidRDefault="00AD1900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Jadro tablety:</w:t>
      </w:r>
    </w:p>
    <w:p w:rsidR="00AD1900" w:rsidRPr="00DE7532" w:rsidRDefault="00BA761D" w:rsidP="00AD1900">
      <w:pPr>
        <w:rPr>
          <w:sz w:val="22"/>
          <w:szCs w:val="22"/>
        </w:rPr>
      </w:pPr>
      <w:r w:rsidRPr="00DE7532">
        <w:rPr>
          <w:sz w:val="22"/>
          <w:szCs w:val="22"/>
        </w:rPr>
        <w:t>monohydrát laktózy</w:t>
      </w:r>
    </w:p>
    <w:p w:rsidR="00DB7D43" w:rsidRPr="00DE7532" w:rsidRDefault="00DB7D43" w:rsidP="00DB7D43">
      <w:pPr>
        <w:rPr>
          <w:sz w:val="22"/>
          <w:szCs w:val="22"/>
        </w:rPr>
      </w:pPr>
      <w:r w:rsidRPr="00DE7532">
        <w:rPr>
          <w:sz w:val="22"/>
          <w:szCs w:val="22"/>
        </w:rPr>
        <w:t>sodná soľ kroskarmelózy</w:t>
      </w:r>
    </w:p>
    <w:p w:rsidR="00DB7D43" w:rsidRPr="00DE7532" w:rsidRDefault="00553486" w:rsidP="00553486">
      <w:pPr>
        <w:tabs>
          <w:tab w:val="left" w:pos="1730"/>
        </w:tabs>
        <w:rPr>
          <w:sz w:val="22"/>
          <w:szCs w:val="22"/>
        </w:rPr>
      </w:pPr>
      <w:r w:rsidRPr="00DE7532">
        <w:rPr>
          <w:sz w:val="22"/>
          <w:szCs w:val="22"/>
        </w:rPr>
        <w:t>hypromelóza</w:t>
      </w:r>
    </w:p>
    <w:p w:rsidR="00AD1900" w:rsidRPr="00DE7532" w:rsidRDefault="00BA761D" w:rsidP="00AD1900">
      <w:pPr>
        <w:rPr>
          <w:sz w:val="22"/>
          <w:szCs w:val="22"/>
        </w:rPr>
      </w:pPr>
      <w:r w:rsidRPr="00DE7532">
        <w:rPr>
          <w:sz w:val="22"/>
          <w:szCs w:val="22"/>
        </w:rPr>
        <w:t>mikrokryštalická celulóza</w:t>
      </w:r>
    </w:p>
    <w:p w:rsidR="00553486" w:rsidRPr="00DE7532" w:rsidRDefault="00553486" w:rsidP="00AD1900">
      <w:pPr>
        <w:rPr>
          <w:sz w:val="22"/>
          <w:szCs w:val="22"/>
        </w:rPr>
      </w:pPr>
      <w:r w:rsidRPr="00DE7532">
        <w:rPr>
          <w:sz w:val="22"/>
          <w:szCs w:val="22"/>
        </w:rPr>
        <w:t>sorbitanstearát</w:t>
      </w:r>
    </w:p>
    <w:p w:rsidR="00882187" w:rsidRPr="00DE7532" w:rsidRDefault="00F66C11" w:rsidP="00882187">
      <w:pPr>
        <w:rPr>
          <w:sz w:val="22"/>
          <w:szCs w:val="22"/>
        </w:rPr>
      </w:pPr>
      <w:r>
        <w:rPr>
          <w:sz w:val="22"/>
          <w:szCs w:val="22"/>
        </w:rPr>
        <w:t>stearan horečnatý</w:t>
      </w:r>
    </w:p>
    <w:p w:rsidR="00BA761D" w:rsidRPr="00DE7532" w:rsidRDefault="00BA761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  <w:u w:val="single"/>
        </w:rPr>
      </w:pPr>
      <w:r w:rsidRPr="00DE7532">
        <w:rPr>
          <w:sz w:val="22"/>
          <w:szCs w:val="22"/>
          <w:u w:val="single"/>
        </w:rPr>
        <w:t>Obal tablety:</w:t>
      </w:r>
    </w:p>
    <w:p w:rsidR="00553486" w:rsidRPr="00DE7532" w:rsidRDefault="00553486" w:rsidP="00553486">
      <w:pPr>
        <w:rPr>
          <w:sz w:val="22"/>
          <w:szCs w:val="22"/>
        </w:rPr>
      </w:pPr>
    </w:p>
    <w:p w:rsidR="00553486" w:rsidRPr="00DE7532" w:rsidRDefault="00553486" w:rsidP="00553486">
      <w:pPr>
        <w:rPr>
          <w:sz w:val="22"/>
          <w:szCs w:val="22"/>
        </w:rPr>
      </w:pPr>
      <w:r w:rsidRPr="00DE7532">
        <w:rPr>
          <w:sz w:val="22"/>
          <w:szCs w:val="22"/>
        </w:rPr>
        <w:t>monohydrát laktózy</w:t>
      </w:r>
    </w:p>
    <w:p w:rsidR="00553486" w:rsidRPr="00DE7532" w:rsidRDefault="00553486" w:rsidP="00553486">
      <w:pPr>
        <w:tabs>
          <w:tab w:val="left" w:pos="1730"/>
        </w:tabs>
        <w:rPr>
          <w:sz w:val="22"/>
          <w:szCs w:val="22"/>
        </w:rPr>
      </w:pPr>
      <w:r w:rsidRPr="00DE7532">
        <w:rPr>
          <w:sz w:val="22"/>
          <w:szCs w:val="22"/>
        </w:rPr>
        <w:t>hypromelóza</w:t>
      </w:r>
    </w:p>
    <w:p w:rsidR="00882187" w:rsidRPr="00DE7532" w:rsidRDefault="00BA761D" w:rsidP="00553486">
      <w:pPr>
        <w:rPr>
          <w:sz w:val="22"/>
          <w:szCs w:val="22"/>
        </w:rPr>
      </w:pPr>
      <w:r w:rsidRPr="00DE7532">
        <w:rPr>
          <w:sz w:val="22"/>
          <w:szCs w:val="22"/>
        </w:rPr>
        <w:t>oxid titaničitý (E171)</w:t>
      </w:r>
    </w:p>
    <w:p w:rsidR="00553486" w:rsidRPr="00DE7532" w:rsidRDefault="00553486" w:rsidP="00553486">
      <w:pPr>
        <w:rPr>
          <w:sz w:val="22"/>
          <w:szCs w:val="22"/>
        </w:rPr>
      </w:pPr>
      <w:r w:rsidRPr="00DE7532">
        <w:rPr>
          <w:sz w:val="22"/>
          <w:szCs w:val="22"/>
        </w:rPr>
        <w:t>triacetín</w:t>
      </w:r>
    </w:p>
    <w:p w:rsidR="00BA761D" w:rsidRPr="00DE7532" w:rsidRDefault="00553486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mastenec</w:t>
      </w:r>
    </w:p>
    <w:p w:rsidR="00553486" w:rsidRPr="00DE7532" w:rsidRDefault="00553486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6.2 </w:t>
      </w:r>
      <w:r w:rsidR="00BA761D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Inkompatibility</w:t>
      </w:r>
    </w:p>
    <w:p w:rsidR="00BA761D" w:rsidRPr="00DE7532" w:rsidRDefault="00BA761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Neaplikovateľné.</w:t>
      </w:r>
    </w:p>
    <w:p w:rsidR="00BA761D" w:rsidRPr="00DE7532" w:rsidRDefault="00BA761D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6.3 </w:t>
      </w:r>
      <w:r w:rsidR="00BA761D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Čas použiteľnosti</w:t>
      </w:r>
    </w:p>
    <w:p w:rsidR="00BA761D" w:rsidRPr="00DE7532" w:rsidRDefault="00BA761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3 roky</w:t>
      </w:r>
    </w:p>
    <w:p w:rsidR="00BA761D" w:rsidRPr="00DE7532" w:rsidRDefault="00BA761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lastRenderedPageBreak/>
        <w:t xml:space="preserve">6.4 </w:t>
      </w:r>
      <w:r w:rsidR="00BA761D" w:rsidRPr="00DE7532">
        <w:rPr>
          <w:b/>
          <w:bCs/>
          <w:sz w:val="22"/>
          <w:szCs w:val="22"/>
        </w:rPr>
        <w:tab/>
        <w:t>Špeciálne upozornenia na uchovávanie</w:t>
      </w:r>
    </w:p>
    <w:p w:rsidR="00BA761D" w:rsidRPr="00DE7532" w:rsidRDefault="00BA761D" w:rsidP="00882187">
      <w:pPr>
        <w:rPr>
          <w:sz w:val="22"/>
          <w:szCs w:val="22"/>
        </w:rPr>
      </w:pPr>
    </w:p>
    <w:p w:rsidR="00BA761D" w:rsidRPr="00DE7532" w:rsidRDefault="00BA761D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Tento liek nevyžaduje žiadne zvláštne podmienky na uchovávanie.</w:t>
      </w:r>
    </w:p>
    <w:p w:rsidR="00BA761D" w:rsidRPr="00DE7532" w:rsidRDefault="00BA761D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6.5 </w:t>
      </w:r>
      <w:r w:rsidR="00BA761D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Druh obalu a obsah balenia</w:t>
      </w:r>
    </w:p>
    <w:p w:rsidR="00BA761D" w:rsidRPr="00DE7532" w:rsidRDefault="00BA761D" w:rsidP="00553486">
      <w:pPr>
        <w:tabs>
          <w:tab w:val="left" w:pos="470"/>
        </w:tabs>
        <w:rPr>
          <w:sz w:val="22"/>
          <w:szCs w:val="22"/>
        </w:rPr>
      </w:pPr>
    </w:p>
    <w:p w:rsidR="00553486" w:rsidRPr="00DE7532" w:rsidRDefault="00553486" w:rsidP="00882187">
      <w:pPr>
        <w:rPr>
          <w:sz w:val="22"/>
          <w:szCs w:val="22"/>
        </w:rPr>
      </w:pPr>
      <w:r w:rsidRPr="00DE7532">
        <w:rPr>
          <w:rStyle w:val="hps"/>
          <w:sz w:val="22"/>
          <w:szCs w:val="22"/>
        </w:rPr>
        <w:t>Filmom obalené tablety sú balené v PVC/PE</w:t>
      </w:r>
      <w:r w:rsidR="00BA761D" w:rsidRPr="00DE7532">
        <w:rPr>
          <w:rStyle w:val="hps"/>
          <w:sz w:val="22"/>
          <w:szCs w:val="22"/>
        </w:rPr>
        <w:t>/</w:t>
      </w:r>
      <w:r w:rsidRPr="00DE7532">
        <w:rPr>
          <w:rStyle w:val="hps"/>
          <w:sz w:val="22"/>
          <w:szCs w:val="22"/>
        </w:rPr>
        <w:t xml:space="preserve">PVdC priehľadných </w:t>
      </w:r>
      <w:r w:rsidR="00BA761D" w:rsidRPr="00DE7532">
        <w:rPr>
          <w:rStyle w:val="hps"/>
          <w:sz w:val="22"/>
          <w:szCs w:val="22"/>
        </w:rPr>
        <w:t>Al</w:t>
      </w:r>
      <w:r w:rsidR="00BA761D" w:rsidRPr="00DE7532">
        <w:rPr>
          <w:sz w:val="22"/>
          <w:szCs w:val="22"/>
        </w:rPr>
        <w:t xml:space="preserve"> </w:t>
      </w:r>
      <w:r w:rsidR="00BA761D" w:rsidRPr="00DE7532">
        <w:rPr>
          <w:rStyle w:val="hps"/>
          <w:sz w:val="22"/>
          <w:szCs w:val="22"/>
        </w:rPr>
        <w:t>blistr</w:t>
      </w:r>
      <w:r w:rsidRPr="00DE7532">
        <w:rPr>
          <w:rStyle w:val="hps"/>
          <w:sz w:val="22"/>
          <w:szCs w:val="22"/>
        </w:rPr>
        <w:t>och</w:t>
      </w:r>
      <w:r w:rsidRPr="00DE7532">
        <w:rPr>
          <w:sz w:val="22"/>
          <w:szCs w:val="22"/>
        </w:rPr>
        <w:t>.</w:t>
      </w:r>
    </w:p>
    <w:p w:rsidR="00553486" w:rsidRPr="00DE7532" w:rsidRDefault="00553486" w:rsidP="00882187">
      <w:pPr>
        <w:rPr>
          <w:sz w:val="22"/>
          <w:szCs w:val="22"/>
        </w:rPr>
      </w:pPr>
    </w:p>
    <w:p w:rsidR="00553486" w:rsidRPr="00DE7532" w:rsidRDefault="00BA761D" w:rsidP="00882187">
      <w:pPr>
        <w:rPr>
          <w:sz w:val="22"/>
          <w:szCs w:val="22"/>
        </w:rPr>
      </w:pPr>
      <w:r w:rsidRPr="00DE7532">
        <w:rPr>
          <w:rStyle w:val="hps"/>
          <w:sz w:val="22"/>
          <w:szCs w:val="22"/>
          <w:u w:val="single"/>
        </w:rPr>
        <w:t>Veľkosť</w:t>
      </w:r>
      <w:r w:rsidRPr="00DE7532">
        <w:rPr>
          <w:sz w:val="22"/>
          <w:szCs w:val="22"/>
          <w:u w:val="single"/>
        </w:rPr>
        <w:t xml:space="preserve"> </w:t>
      </w:r>
      <w:r w:rsidRPr="00DE7532">
        <w:rPr>
          <w:rStyle w:val="hps"/>
          <w:sz w:val="22"/>
          <w:szCs w:val="22"/>
          <w:u w:val="single"/>
        </w:rPr>
        <w:t>balenia</w:t>
      </w:r>
      <w:r w:rsidRPr="00DE7532">
        <w:rPr>
          <w:sz w:val="22"/>
          <w:szCs w:val="22"/>
          <w:u w:val="single"/>
        </w:rPr>
        <w:t>:</w:t>
      </w:r>
      <w:r w:rsidRPr="00DE7532">
        <w:rPr>
          <w:sz w:val="22"/>
          <w:szCs w:val="22"/>
        </w:rPr>
        <w:t xml:space="preserve"> </w:t>
      </w:r>
      <w:r w:rsidR="00553486" w:rsidRPr="00DE7532">
        <w:rPr>
          <w:rStyle w:val="hps"/>
          <w:sz w:val="22"/>
          <w:szCs w:val="22"/>
        </w:rPr>
        <w:t>28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filmom obalených</w:t>
      </w:r>
      <w:r w:rsidRPr="00DE7532">
        <w:rPr>
          <w:sz w:val="22"/>
          <w:szCs w:val="22"/>
        </w:rPr>
        <w:t xml:space="preserve"> </w:t>
      </w:r>
      <w:r w:rsidRPr="00DE7532">
        <w:rPr>
          <w:rStyle w:val="hps"/>
          <w:sz w:val="22"/>
          <w:szCs w:val="22"/>
        </w:rPr>
        <w:t>tabliet</w:t>
      </w:r>
      <w:r w:rsidRPr="00DE7532">
        <w:rPr>
          <w:sz w:val="22"/>
          <w:szCs w:val="22"/>
        </w:rPr>
        <w:t xml:space="preserve">. </w:t>
      </w:r>
    </w:p>
    <w:p w:rsidR="00553486" w:rsidRPr="00DE7532" w:rsidRDefault="00553486" w:rsidP="00882187">
      <w:pPr>
        <w:rPr>
          <w:sz w:val="22"/>
          <w:szCs w:val="22"/>
        </w:rPr>
      </w:pPr>
    </w:p>
    <w:p w:rsidR="00882187" w:rsidRPr="00DE7532" w:rsidRDefault="00BA761D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Na trh nemusia byť uvedené všetky veľkosti balenia.</w:t>
      </w:r>
    </w:p>
    <w:p w:rsidR="00BA761D" w:rsidRPr="00DE7532" w:rsidRDefault="00BA761D" w:rsidP="00882187">
      <w:pPr>
        <w:rPr>
          <w:sz w:val="22"/>
          <w:szCs w:val="22"/>
        </w:rPr>
      </w:pPr>
    </w:p>
    <w:p w:rsidR="00992C29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6.6 </w:t>
      </w:r>
      <w:r w:rsidR="00992C29" w:rsidRPr="00DE7532">
        <w:rPr>
          <w:b/>
          <w:bCs/>
          <w:sz w:val="22"/>
          <w:szCs w:val="22"/>
        </w:rPr>
        <w:tab/>
        <w:t xml:space="preserve">Špeciálne opatrenia na likvidáciu </w:t>
      </w:r>
    </w:p>
    <w:p w:rsidR="00992C29" w:rsidRPr="00DE7532" w:rsidRDefault="00992C29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>Žiadne zvláštne požiadavky.</w:t>
      </w:r>
    </w:p>
    <w:p w:rsidR="00DA530E" w:rsidRPr="00DE7532" w:rsidRDefault="00DA530E" w:rsidP="00882187">
      <w:pPr>
        <w:rPr>
          <w:b/>
          <w:bCs/>
          <w:sz w:val="22"/>
          <w:szCs w:val="22"/>
        </w:rPr>
      </w:pPr>
    </w:p>
    <w:p w:rsidR="00DA530E" w:rsidRPr="00DE7532" w:rsidRDefault="00DA530E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7. </w:t>
      </w:r>
      <w:r w:rsidR="00992C29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 xml:space="preserve">DRŽITEĽ ROZHODNUTIA O </w:t>
      </w:r>
      <w:r w:rsidR="00992C29" w:rsidRPr="00DE7532">
        <w:rPr>
          <w:b/>
          <w:bCs/>
          <w:sz w:val="22"/>
          <w:szCs w:val="22"/>
        </w:rPr>
        <w:t>REGISTRÁCII</w:t>
      </w:r>
    </w:p>
    <w:p w:rsidR="00DA530E" w:rsidRPr="00DE7532" w:rsidRDefault="00DA530E" w:rsidP="00DA530E">
      <w:pPr>
        <w:rPr>
          <w:sz w:val="22"/>
          <w:szCs w:val="22"/>
        </w:rPr>
      </w:pPr>
    </w:p>
    <w:p w:rsidR="00030BD9" w:rsidRPr="00030BD9" w:rsidRDefault="00030BD9" w:rsidP="00030BD9">
      <w:pPr>
        <w:rPr>
          <w:sz w:val="22"/>
          <w:szCs w:val="22"/>
        </w:rPr>
      </w:pPr>
      <w:r w:rsidRPr="00CB5C6F">
        <w:rPr>
          <w:sz w:val="22"/>
          <w:szCs w:val="22"/>
        </w:rPr>
        <w:t>Accord Healthcare Polska Sp. z o.o.</w:t>
      </w:r>
    </w:p>
    <w:p w:rsidR="00030BD9" w:rsidRPr="00CB5C6F" w:rsidRDefault="00030BD9" w:rsidP="00030BD9">
      <w:pPr>
        <w:rPr>
          <w:sz w:val="22"/>
          <w:szCs w:val="22"/>
          <w:lang w:val="hu-HU" w:eastAsia="cs-CZ"/>
        </w:rPr>
      </w:pPr>
      <w:r w:rsidRPr="00CB5C6F">
        <w:rPr>
          <w:sz w:val="22"/>
          <w:szCs w:val="22"/>
        </w:rPr>
        <w:t>Taśmowa 7</w:t>
      </w:r>
    </w:p>
    <w:p w:rsidR="00030BD9" w:rsidRPr="00CB5C6F" w:rsidRDefault="00030BD9" w:rsidP="00030BD9">
      <w:pPr>
        <w:rPr>
          <w:sz w:val="22"/>
          <w:szCs w:val="22"/>
          <w:lang w:val="en-US" w:eastAsia="en-US"/>
        </w:rPr>
      </w:pPr>
      <w:r w:rsidRPr="00CB5C6F">
        <w:rPr>
          <w:sz w:val="22"/>
          <w:szCs w:val="22"/>
        </w:rPr>
        <w:t>02-677 Varšava</w:t>
      </w:r>
    </w:p>
    <w:p w:rsidR="00030BD9" w:rsidRPr="00CB5C6F" w:rsidRDefault="00030BD9" w:rsidP="00030BD9">
      <w:pPr>
        <w:tabs>
          <w:tab w:val="num" w:pos="0"/>
        </w:tabs>
        <w:ind w:right="29"/>
        <w:jc w:val="both"/>
        <w:rPr>
          <w:sz w:val="22"/>
          <w:szCs w:val="22"/>
        </w:rPr>
      </w:pPr>
      <w:r w:rsidRPr="00CB5C6F">
        <w:rPr>
          <w:sz w:val="22"/>
          <w:szCs w:val="22"/>
        </w:rPr>
        <w:t>Poľsko</w:t>
      </w:r>
    </w:p>
    <w:p w:rsidR="00030BD9" w:rsidRDefault="00030BD9">
      <w:pPr>
        <w:rPr>
          <w:sz w:val="22"/>
          <w:szCs w:val="22"/>
        </w:rPr>
      </w:pPr>
    </w:p>
    <w:p w:rsidR="00030BD9" w:rsidRPr="00DE7532" w:rsidDel="00030BD9" w:rsidRDefault="00030BD9">
      <w:pPr>
        <w:rPr>
          <w:sz w:val="22"/>
          <w:szCs w:val="22"/>
        </w:rPr>
      </w:pPr>
    </w:p>
    <w:p w:rsidR="00882187" w:rsidRPr="00DE7532" w:rsidRDefault="00882187" w:rsidP="00DA530E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8. </w:t>
      </w:r>
      <w:r w:rsidR="00992C29" w:rsidRPr="00DE7532">
        <w:rPr>
          <w:b/>
          <w:bCs/>
          <w:sz w:val="22"/>
          <w:szCs w:val="22"/>
        </w:rPr>
        <w:tab/>
      </w:r>
      <w:r w:rsidR="00553486" w:rsidRPr="00DE7532">
        <w:rPr>
          <w:b/>
          <w:bCs/>
          <w:sz w:val="22"/>
          <w:szCs w:val="22"/>
        </w:rPr>
        <w:t>REGISTRAČNÉ ČÍSLO</w:t>
      </w:r>
    </w:p>
    <w:p w:rsidR="00992C29" w:rsidRPr="00DE7532" w:rsidRDefault="00992C29" w:rsidP="00882187">
      <w:pPr>
        <w:rPr>
          <w:sz w:val="22"/>
          <w:szCs w:val="22"/>
        </w:rPr>
      </w:pPr>
    </w:p>
    <w:p w:rsidR="00992C29" w:rsidRPr="00ED6620" w:rsidRDefault="00ED6620" w:rsidP="00882187">
      <w:pPr>
        <w:rPr>
          <w:bCs/>
          <w:sz w:val="22"/>
          <w:szCs w:val="22"/>
        </w:rPr>
      </w:pPr>
      <w:r w:rsidRPr="00ED6620">
        <w:rPr>
          <w:bCs/>
          <w:sz w:val="22"/>
          <w:szCs w:val="22"/>
        </w:rPr>
        <w:t>83/0333/16-S</w:t>
      </w:r>
    </w:p>
    <w:p w:rsidR="00ED6620" w:rsidRPr="00DE7532" w:rsidRDefault="00ED6620" w:rsidP="00882187">
      <w:pPr>
        <w:rPr>
          <w:b/>
          <w:bCs/>
          <w:sz w:val="22"/>
          <w:szCs w:val="22"/>
        </w:rPr>
      </w:pPr>
    </w:p>
    <w:p w:rsidR="00992C29" w:rsidRPr="00DE7532" w:rsidRDefault="00992C29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9. </w:t>
      </w:r>
      <w:r w:rsidR="00992C29" w:rsidRPr="00DE7532">
        <w:rPr>
          <w:b/>
          <w:bCs/>
          <w:sz w:val="22"/>
          <w:szCs w:val="22"/>
        </w:rPr>
        <w:tab/>
      </w:r>
      <w:r w:rsidRPr="00DE7532">
        <w:rPr>
          <w:b/>
          <w:bCs/>
          <w:sz w:val="22"/>
          <w:szCs w:val="22"/>
        </w:rPr>
        <w:t>DÁTUM PRVEJ REGISTRÁCIE/ PREDĹŽENIA REGISTRÁCIE</w:t>
      </w:r>
    </w:p>
    <w:p w:rsidR="00992C29" w:rsidRPr="00DE7532" w:rsidRDefault="00992C29" w:rsidP="00882187">
      <w:pPr>
        <w:rPr>
          <w:sz w:val="22"/>
          <w:szCs w:val="22"/>
        </w:rPr>
      </w:pPr>
    </w:p>
    <w:p w:rsidR="00882187" w:rsidRPr="00DE7532" w:rsidRDefault="00882187" w:rsidP="00882187">
      <w:pPr>
        <w:rPr>
          <w:sz w:val="22"/>
          <w:szCs w:val="22"/>
        </w:rPr>
      </w:pPr>
      <w:r w:rsidRPr="00DE7532">
        <w:rPr>
          <w:sz w:val="22"/>
          <w:szCs w:val="22"/>
        </w:rPr>
        <w:t xml:space="preserve">Dátum prvej registrácie: </w:t>
      </w:r>
      <w:r w:rsidR="006F13C6">
        <w:rPr>
          <w:sz w:val="22"/>
          <w:szCs w:val="22"/>
        </w:rPr>
        <w:t>06.</w:t>
      </w:r>
      <w:r w:rsidR="00C96C7F">
        <w:rPr>
          <w:sz w:val="22"/>
          <w:szCs w:val="22"/>
        </w:rPr>
        <w:t xml:space="preserve"> </w:t>
      </w:r>
      <w:r w:rsidR="006F13C6">
        <w:rPr>
          <w:sz w:val="22"/>
          <w:szCs w:val="22"/>
        </w:rPr>
        <w:t>júla 2016</w:t>
      </w:r>
    </w:p>
    <w:p w:rsidR="00992C29" w:rsidRPr="00DE7532" w:rsidRDefault="00992C29" w:rsidP="00882187">
      <w:pPr>
        <w:rPr>
          <w:b/>
          <w:bCs/>
          <w:sz w:val="22"/>
          <w:szCs w:val="22"/>
        </w:rPr>
      </w:pPr>
    </w:p>
    <w:p w:rsidR="00992C29" w:rsidRPr="00DE7532" w:rsidRDefault="00992C29" w:rsidP="00882187">
      <w:pPr>
        <w:rPr>
          <w:b/>
          <w:bCs/>
          <w:sz w:val="22"/>
          <w:szCs w:val="22"/>
        </w:rPr>
      </w:pPr>
    </w:p>
    <w:p w:rsidR="00882187" w:rsidRPr="00DE7532" w:rsidRDefault="00882187" w:rsidP="00882187">
      <w:pPr>
        <w:rPr>
          <w:b/>
          <w:bCs/>
          <w:sz w:val="22"/>
          <w:szCs w:val="22"/>
        </w:rPr>
      </w:pPr>
      <w:r w:rsidRPr="00DE7532">
        <w:rPr>
          <w:b/>
          <w:bCs/>
          <w:sz w:val="22"/>
          <w:szCs w:val="22"/>
        </w:rPr>
        <w:t xml:space="preserve">10. </w:t>
      </w:r>
      <w:r w:rsidR="00992C29" w:rsidRPr="00DE7532">
        <w:rPr>
          <w:b/>
          <w:bCs/>
          <w:sz w:val="22"/>
          <w:szCs w:val="22"/>
        </w:rPr>
        <w:tab/>
        <w:t>DÁTUM REVÍZIE TEXTU</w:t>
      </w:r>
    </w:p>
    <w:p w:rsidR="00992C29" w:rsidRDefault="00992C29" w:rsidP="00882187">
      <w:pPr>
        <w:rPr>
          <w:sz w:val="22"/>
          <w:szCs w:val="22"/>
        </w:rPr>
      </w:pPr>
    </w:p>
    <w:p w:rsidR="00992C29" w:rsidRPr="00DE7532" w:rsidRDefault="00472829" w:rsidP="00882187">
      <w:pPr>
        <w:rPr>
          <w:sz w:val="22"/>
          <w:szCs w:val="22"/>
        </w:rPr>
      </w:pPr>
      <w:r>
        <w:rPr>
          <w:sz w:val="22"/>
          <w:szCs w:val="22"/>
        </w:rPr>
        <w:t>02/2019</w:t>
      </w:r>
    </w:p>
    <w:p w:rsidR="00992C29" w:rsidRPr="00DE7532" w:rsidRDefault="00992C29" w:rsidP="00882187">
      <w:pPr>
        <w:rPr>
          <w:sz w:val="22"/>
          <w:szCs w:val="22"/>
        </w:rPr>
      </w:pPr>
    </w:p>
    <w:sectPr w:rsidR="00992C29" w:rsidRPr="00DE7532" w:rsidSect="00CB5C6F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C94" w:rsidRDefault="00807C94">
      <w:r>
        <w:separator/>
      </w:r>
    </w:p>
  </w:endnote>
  <w:endnote w:type="continuationSeparator" w:id="0">
    <w:p w:rsidR="00807C94" w:rsidRDefault="0080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1C" w:rsidRDefault="005C0784" w:rsidP="00AE7AC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0441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441C" w:rsidRDefault="0010441C" w:rsidP="00A9511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044496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72829" w:rsidRPr="00CB5C6F" w:rsidRDefault="00472829">
        <w:pPr>
          <w:pStyle w:val="Pta"/>
          <w:jc w:val="center"/>
          <w:rPr>
            <w:sz w:val="18"/>
            <w:szCs w:val="18"/>
          </w:rPr>
        </w:pPr>
        <w:r w:rsidRPr="00CB5C6F">
          <w:rPr>
            <w:sz w:val="18"/>
            <w:szCs w:val="18"/>
          </w:rPr>
          <w:fldChar w:fldCharType="begin"/>
        </w:r>
        <w:r w:rsidRPr="00CB5C6F">
          <w:rPr>
            <w:sz w:val="18"/>
            <w:szCs w:val="18"/>
          </w:rPr>
          <w:instrText>PAGE   \* MERGEFORMAT</w:instrText>
        </w:r>
        <w:r w:rsidRPr="00CB5C6F">
          <w:rPr>
            <w:sz w:val="18"/>
            <w:szCs w:val="18"/>
          </w:rPr>
          <w:fldChar w:fldCharType="separate"/>
        </w:r>
        <w:r w:rsidR="00CB5C6F">
          <w:rPr>
            <w:noProof/>
            <w:sz w:val="18"/>
            <w:szCs w:val="18"/>
          </w:rPr>
          <w:t>13</w:t>
        </w:r>
        <w:r w:rsidRPr="00CB5C6F">
          <w:rPr>
            <w:sz w:val="18"/>
            <w:szCs w:val="18"/>
          </w:rPr>
          <w:fldChar w:fldCharType="end"/>
        </w:r>
      </w:p>
    </w:sdtContent>
  </w:sdt>
  <w:p w:rsidR="0010441C" w:rsidRDefault="0010441C" w:rsidP="00A9511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C94" w:rsidRDefault="00807C94">
      <w:r>
        <w:separator/>
      </w:r>
    </w:p>
  </w:footnote>
  <w:footnote w:type="continuationSeparator" w:id="0">
    <w:p w:rsidR="00807C94" w:rsidRDefault="00807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BD9" w:rsidRDefault="00030BD9" w:rsidP="00030BD9">
    <w:pPr>
      <w:pStyle w:val="Hlavika"/>
      <w:rPr>
        <w:sz w:val="18"/>
        <w:szCs w:val="18"/>
        <w:lang w:val="pt-BR" w:eastAsia="hu-HU"/>
      </w:rPr>
    </w:pPr>
    <w:r>
      <w:rPr>
        <w:sz w:val="18"/>
        <w:szCs w:val="18"/>
      </w:rPr>
      <w:t xml:space="preserve">Schválený text k rozhodnutiu o prevode, ev. č.: </w:t>
    </w:r>
    <w:r w:rsidR="00472829">
      <w:rPr>
        <w:sz w:val="18"/>
        <w:szCs w:val="18"/>
      </w:rPr>
      <w:t>2018/08249-TR</w:t>
    </w:r>
  </w:p>
  <w:p w:rsidR="00030BD9" w:rsidRPr="00030BD9" w:rsidRDefault="00030BD9" w:rsidP="00030BD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BD9" w:rsidRDefault="00030BD9" w:rsidP="00030BD9">
    <w:pPr>
      <w:pStyle w:val="Hlavika"/>
      <w:rPr>
        <w:sz w:val="18"/>
        <w:szCs w:val="18"/>
        <w:lang w:val="pt-BR" w:eastAsia="hu-HU"/>
      </w:rPr>
    </w:pPr>
    <w:r>
      <w:rPr>
        <w:sz w:val="18"/>
        <w:szCs w:val="18"/>
      </w:rPr>
      <w:t>Schválený text k rozhodnutiu o prevode registrácie, ev. č.: 8053917574</w:t>
    </w:r>
  </w:p>
  <w:p w:rsidR="00030BD9" w:rsidRDefault="00030BD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941C4"/>
    <w:multiLevelType w:val="multilevel"/>
    <w:tmpl w:val="5204E8A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92E7E"/>
    <w:multiLevelType w:val="hybridMultilevel"/>
    <w:tmpl w:val="A9B4FF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93595"/>
    <w:multiLevelType w:val="hybridMultilevel"/>
    <w:tmpl w:val="5204E8A2"/>
    <w:lvl w:ilvl="0" w:tplc="656C7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D19DE"/>
    <w:multiLevelType w:val="hybridMultilevel"/>
    <w:tmpl w:val="3754F0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187"/>
    <w:rsid w:val="00000462"/>
    <w:rsid w:val="00000B93"/>
    <w:rsid w:val="00002400"/>
    <w:rsid w:val="000075AA"/>
    <w:rsid w:val="00007B41"/>
    <w:rsid w:val="00011342"/>
    <w:rsid w:val="000146D7"/>
    <w:rsid w:val="00016686"/>
    <w:rsid w:val="000223AD"/>
    <w:rsid w:val="000252BA"/>
    <w:rsid w:val="00025F2E"/>
    <w:rsid w:val="00026C85"/>
    <w:rsid w:val="00026C90"/>
    <w:rsid w:val="00027E08"/>
    <w:rsid w:val="00030BD9"/>
    <w:rsid w:val="00030DC2"/>
    <w:rsid w:val="00032B53"/>
    <w:rsid w:val="00033EE6"/>
    <w:rsid w:val="00035160"/>
    <w:rsid w:val="00035944"/>
    <w:rsid w:val="000379EF"/>
    <w:rsid w:val="00042FB7"/>
    <w:rsid w:val="00043C83"/>
    <w:rsid w:val="000446CD"/>
    <w:rsid w:val="00045C02"/>
    <w:rsid w:val="00046884"/>
    <w:rsid w:val="00050B01"/>
    <w:rsid w:val="00052D7C"/>
    <w:rsid w:val="00054875"/>
    <w:rsid w:val="00054D85"/>
    <w:rsid w:val="0005571F"/>
    <w:rsid w:val="00055DD6"/>
    <w:rsid w:val="00056455"/>
    <w:rsid w:val="00061E13"/>
    <w:rsid w:val="000657EC"/>
    <w:rsid w:val="00065F97"/>
    <w:rsid w:val="00067142"/>
    <w:rsid w:val="000704E1"/>
    <w:rsid w:val="0007098A"/>
    <w:rsid w:val="00070ED7"/>
    <w:rsid w:val="000720C1"/>
    <w:rsid w:val="00073A05"/>
    <w:rsid w:val="0007436B"/>
    <w:rsid w:val="000747EA"/>
    <w:rsid w:val="00075BF7"/>
    <w:rsid w:val="00075C2A"/>
    <w:rsid w:val="00075F23"/>
    <w:rsid w:val="00076FAC"/>
    <w:rsid w:val="00077C95"/>
    <w:rsid w:val="00080C3A"/>
    <w:rsid w:val="00081D20"/>
    <w:rsid w:val="0008664C"/>
    <w:rsid w:val="00087401"/>
    <w:rsid w:val="00092B92"/>
    <w:rsid w:val="0009661A"/>
    <w:rsid w:val="0009678A"/>
    <w:rsid w:val="00096AD6"/>
    <w:rsid w:val="00096B70"/>
    <w:rsid w:val="000A62D2"/>
    <w:rsid w:val="000A74D5"/>
    <w:rsid w:val="000B030B"/>
    <w:rsid w:val="000B077F"/>
    <w:rsid w:val="000B0971"/>
    <w:rsid w:val="000B12F2"/>
    <w:rsid w:val="000B168D"/>
    <w:rsid w:val="000B2F86"/>
    <w:rsid w:val="000B4A47"/>
    <w:rsid w:val="000C0E00"/>
    <w:rsid w:val="000C5290"/>
    <w:rsid w:val="000C6748"/>
    <w:rsid w:val="000C6B19"/>
    <w:rsid w:val="000C7527"/>
    <w:rsid w:val="000C781B"/>
    <w:rsid w:val="000D2646"/>
    <w:rsid w:val="000D2883"/>
    <w:rsid w:val="000D38CF"/>
    <w:rsid w:val="000E0F80"/>
    <w:rsid w:val="000E3BF5"/>
    <w:rsid w:val="000E4F8D"/>
    <w:rsid w:val="000E6162"/>
    <w:rsid w:val="000E7FC7"/>
    <w:rsid w:val="000F0A2B"/>
    <w:rsid w:val="000F2291"/>
    <w:rsid w:val="000F3DAD"/>
    <w:rsid w:val="000F4278"/>
    <w:rsid w:val="000F46F0"/>
    <w:rsid w:val="000F5432"/>
    <w:rsid w:val="000F79F4"/>
    <w:rsid w:val="001007B6"/>
    <w:rsid w:val="00101D4D"/>
    <w:rsid w:val="00102FCE"/>
    <w:rsid w:val="0010441C"/>
    <w:rsid w:val="00104FAC"/>
    <w:rsid w:val="00105C0D"/>
    <w:rsid w:val="001065FD"/>
    <w:rsid w:val="001074E1"/>
    <w:rsid w:val="00107736"/>
    <w:rsid w:val="001078ED"/>
    <w:rsid w:val="00110CCE"/>
    <w:rsid w:val="00112FD2"/>
    <w:rsid w:val="00115119"/>
    <w:rsid w:val="001153E8"/>
    <w:rsid w:val="00115A36"/>
    <w:rsid w:val="001164FC"/>
    <w:rsid w:val="0011664B"/>
    <w:rsid w:val="00117205"/>
    <w:rsid w:val="00117694"/>
    <w:rsid w:val="00117EFB"/>
    <w:rsid w:val="001205E7"/>
    <w:rsid w:val="00121828"/>
    <w:rsid w:val="00126419"/>
    <w:rsid w:val="001303A9"/>
    <w:rsid w:val="00135D48"/>
    <w:rsid w:val="001364DE"/>
    <w:rsid w:val="00136A3B"/>
    <w:rsid w:val="00137B06"/>
    <w:rsid w:val="00137EBB"/>
    <w:rsid w:val="0014124F"/>
    <w:rsid w:val="0014444B"/>
    <w:rsid w:val="001458AD"/>
    <w:rsid w:val="001505EC"/>
    <w:rsid w:val="00151731"/>
    <w:rsid w:val="0015202F"/>
    <w:rsid w:val="00152BB9"/>
    <w:rsid w:val="00152E3D"/>
    <w:rsid w:val="0015365A"/>
    <w:rsid w:val="001543DA"/>
    <w:rsid w:val="00154A5B"/>
    <w:rsid w:val="001565F9"/>
    <w:rsid w:val="0016208F"/>
    <w:rsid w:val="00162598"/>
    <w:rsid w:val="00164AC6"/>
    <w:rsid w:val="00164C15"/>
    <w:rsid w:val="00165D3B"/>
    <w:rsid w:val="001662AA"/>
    <w:rsid w:val="0016732B"/>
    <w:rsid w:val="00167DA9"/>
    <w:rsid w:val="00167F29"/>
    <w:rsid w:val="001704A2"/>
    <w:rsid w:val="00170570"/>
    <w:rsid w:val="00171F58"/>
    <w:rsid w:val="0017223A"/>
    <w:rsid w:val="00172983"/>
    <w:rsid w:val="00172A31"/>
    <w:rsid w:val="00172E45"/>
    <w:rsid w:val="00176686"/>
    <w:rsid w:val="00177D78"/>
    <w:rsid w:val="0018095B"/>
    <w:rsid w:val="00193780"/>
    <w:rsid w:val="00194BE0"/>
    <w:rsid w:val="0019788F"/>
    <w:rsid w:val="001A13E2"/>
    <w:rsid w:val="001A1BE8"/>
    <w:rsid w:val="001A2141"/>
    <w:rsid w:val="001A2F51"/>
    <w:rsid w:val="001A3541"/>
    <w:rsid w:val="001A3630"/>
    <w:rsid w:val="001A6B3C"/>
    <w:rsid w:val="001A6C25"/>
    <w:rsid w:val="001B445C"/>
    <w:rsid w:val="001B5CFC"/>
    <w:rsid w:val="001B660B"/>
    <w:rsid w:val="001C2D7F"/>
    <w:rsid w:val="001C3CAA"/>
    <w:rsid w:val="001C6137"/>
    <w:rsid w:val="001C6EDA"/>
    <w:rsid w:val="001C79CB"/>
    <w:rsid w:val="001D0265"/>
    <w:rsid w:val="001D0CA7"/>
    <w:rsid w:val="001D0ED6"/>
    <w:rsid w:val="001D342F"/>
    <w:rsid w:val="001D37DC"/>
    <w:rsid w:val="001E045F"/>
    <w:rsid w:val="001E08A7"/>
    <w:rsid w:val="001E15BF"/>
    <w:rsid w:val="001E1A56"/>
    <w:rsid w:val="001E22AF"/>
    <w:rsid w:val="001E2849"/>
    <w:rsid w:val="001E318E"/>
    <w:rsid w:val="001E386C"/>
    <w:rsid w:val="001E41BE"/>
    <w:rsid w:val="001E49CC"/>
    <w:rsid w:val="001E4A85"/>
    <w:rsid w:val="001E4D04"/>
    <w:rsid w:val="001E6516"/>
    <w:rsid w:val="001F403C"/>
    <w:rsid w:val="001F5181"/>
    <w:rsid w:val="001F5C8D"/>
    <w:rsid w:val="001F7C30"/>
    <w:rsid w:val="00201F3C"/>
    <w:rsid w:val="002037DC"/>
    <w:rsid w:val="00204705"/>
    <w:rsid w:val="00206153"/>
    <w:rsid w:val="00207552"/>
    <w:rsid w:val="0021062F"/>
    <w:rsid w:val="00210A45"/>
    <w:rsid w:val="00210D88"/>
    <w:rsid w:val="00212196"/>
    <w:rsid w:val="00213A4E"/>
    <w:rsid w:val="00213AEE"/>
    <w:rsid w:val="00215432"/>
    <w:rsid w:val="00222E3A"/>
    <w:rsid w:val="002259D2"/>
    <w:rsid w:val="00225CE4"/>
    <w:rsid w:val="00230200"/>
    <w:rsid w:val="00230238"/>
    <w:rsid w:val="00230955"/>
    <w:rsid w:val="00231F22"/>
    <w:rsid w:val="002338A6"/>
    <w:rsid w:val="002339D7"/>
    <w:rsid w:val="002346E1"/>
    <w:rsid w:val="00234849"/>
    <w:rsid w:val="00241FA3"/>
    <w:rsid w:val="00242327"/>
    <w:rsid w:val="00242E26"/>
    <w:rsid w:val="00244460"/>
    <w:rsid w:val="0024560B"/>
    <w:rsid w:val="00246799"/>
    <w:rsid w:val="00247805"/>
    <w:rsid w:val="00247854"/>
    <w:rsid w:val="002478FA"/>
    <w:rsid w:val="00247D67"/>
    <w:rsid w:val="002500CD"/>
    <w:rsid w:val="00252F3E"/>
    <w:rsid w:val="00253301"/>
    <w:rsid w:val="0025381C"/>
    <w:rsid w:val="0025503A"/>
    <w:rsid w:val="002554FF"/>
    <w:rsid w:val="0025797C"/>
    <w:rsid w:val="00261E6D"/>
    <w:rsid w:val="00263F31"/>
    <w:rsid w:val="00264D54"/>
    <w:rsid w:val="00264FE7"/>
    <w:rsid w:val="00265803"/>
    <w:rsid w:val="002663A9"/>
    <w:rsid w:val="00266C1B"/>
    <w:rsid w:val="002674F6"/>
    <w:rsid w:val="00267890"/>
    <w:rsid w:val="0027117F"/>
    <w:rsid w:val="00271704"/>
    <w:rsid w:val="00272474"/>
    <w:rsid w:val="00274151"/>
    <w:rsid w:val="00274215"/>
    <w:rsid w:val="00275958"/>
    <w:rsid w:val="00276AF5"/>
    <w:rsid w:val="0027781A"/>
    <w:rsid w:val="0028017D"/>
    <w:rsid w:val="002825CC"/>
    <w:rsid w:val="002826D1"/>
    <w:rsid w:val="002858E0"/>
    <w:rsid w:val="002864F9"/>
    <w:rsid w:val="00287D20"/>
    <w:rsid w:val="0029107C"/>
    <w:rsid w:val="002912FA"/>
    <w:rsid w:val="002939A4"/>
    <w:rsid w:val="00294715"/>
    <w:rsid w:val="002949F2"/>
    <w:rsid w:val="00294EBD"/>
    <w:rsid w:val="002979C5"/>
    <w:rsid w:val="002A6A1A"/>
    <w:rsid w:val="002A7D11"/>
    <w:rsid w:val="002B1D39"/>
    <w:rsid w:val="002B360E"/>
    <w:rsid w:val="002B4803"/>
    <w:rsid w:val="002B65D5"/>
    <w:rsid w:val="002C32D9"/>
    <w:rsid w:val="002C4180"/>
    <w:rsid w:val="002C4C2F"/>
    <w:rsid w:val="002C632F"/>
    <w:rsid w:val="002C725C"/>
    <w:rsid w:val="002D0D21"/>
    <w:rsid w:val="002D5DA8"/>
    <w:rsid w:val="002D7EEA"/>
    <w:rsid w:val="002E5D85"/>
    <w:rsid w:val="002E5FC8"/>
    <w:rsid w:val="002E6A18"/>
    <w:rsid w:val="002E732C"/>
    <w:rsid w:val="002E77B7"/>
    <w:rsid w:val="002E7EC9"/>
    <w:rsid w:val="002F02DC"/>
    <w:rsid w:val="002F1CBF"/>
    <w:rsid w:val="002F1F79"/>
    <w:rsid w:val="002F3622"/>
    <w:rsid w:val="002F3D84"/>
    <w:rsid w:val="002F5335"/>
    <w:rsid w:val="002F5F96"/>
    <w:rsid w:val="002F63C9"/>
    <w:rsid w:val="002F69EA"/>
    <w:rsid w:val="003026FC"/>
    <w:rsid w:val="00303569"/>
    <w:rsid w:val="0030523E"/>
    <w:rsid w:val="00305C48"/>
    <w:rsid w:val="00305C4B"/>
    <w:rsid w:val="00306D54"/>
    <w:rsid w:val="00312096"/>
    <w:rsid w:val="00312535"/>
    <w:rsid w:val="00312D71"/>
    <w:rsid w:val="00315146"/>
    <w:rsid w:val="00317759"/>
    <w:rsid w:val="003218E5"/>
    <w:rsid w:val="0032245D"/>
    <w:rsid w:val="0032264B"/>
    <w:rsid w:val="00323E07"/>
    <w:rsid w:val="0032499F"/>
    <w:rsid w:val="00324D37"/>
    <w:rsid w:val="00325C16"/>
    <w:rsid w:val="00326130"/>
    <w:rsid w:val="003266A1"/>
    <w:rsid w:val="003276E0"/>
    <w:rsid w:val="003303EE"/>
    <w:rsid w:val="00330A20"/>
    <w:rsid w:val="00330AF1"/>
    <w:rsid w:val="00331646"/>
    <w:rsid w:val="00332309"/>
    <w:rsid w:val="00335F98"/>
    <w:rsid w:val="00336ECF"/>
    <w:rsid w:val="00341B45"/>
    <w:rsid w:val="00343816"/>
    <w:rsid w:val="00343C0D"/>
    <w:rsid w:val="00343D2E"/>
    <w:rsid w:val="003450ED"/>
    <w:rsid w:val="0034672F"/>
    <w:rsid w:val="00352012"/>
    <w:rsid w:val="0035264C"/>
    <w:rsid w:val="00357AAE"/>
    <w:rsid w:val="00357ACE"/>
    <w:rsid w:val="00360506"/>
    <w:rsid w:val="00363323"/>
    <w:rsid w:val="0036349A"/>
    <w:rsid w:val="00363639"/>
    <w:rsid w:val="00363C97"/>
    <w:rsid w:val="003673BF"/>
    <w:rsid w:val="003705B4"/>
    <w:rsid w:val="00373D03"/>
    <w:rsid w:val="0037489F"/>
    <w:rsid w:val="003800FA"/>
    <w:rsid w:val="00380270"/>
    <w:rsid w:val="0038112D"/>
    <w:rsid w:val="00381252"/>
    <w:rsid w:val="003812D6"/>
    <w:rsid w:val="00381BDF"/>
    <w:rsid w:val="00384EEE"/>
    <w:rsid w:val="00392CE2"/>
    <w:rsid w:val="00394580"/>
    <w:rsid w:val="00395052"/>
    <w:rsid w:val="003956E9"/>
    <w:rsid w:val="003A0B65"/>
    <w:rsid w:val="003A177D"/>
    <w:rsid w:val="003A1F00"/>
    <w:rsid w:val="003A2687"/>
    <w:rsid w:val="003A371D"/>
    <w:rsid w:val="003A3A11"/>
    <w:rsid w:val="003A3AEA"/>
    <w:rsid w:val="003A3B1B"/>
    <w:rsid w:val="003A5975"/>
    <w:rsid w:val="003A5AE8"/>
    <w:rsid w:val="003B1F3D"/>
    <w:rsid w:val="003B4B4B"/>
    <w:rsid w:val="003B732D"/>
    <w:rsid w:val="003C0758"/>
    <w:rsid w:val="003C1BA1"/>
    <w:rsid w:val="003C55A5"/>
    <w:rsid w:val="003C627C"/>
    <w:rsid w:val="003C7D7F"/>
    <w:rsid w:val="003D14FE"/>
    <w:rsid w:val="003D16EF"/>
    <w:rsid w:val="003D4C7D"/>
    <w:rsid w:val="003D66FB"/>
    <w:rsid w:val="003D6D22"/>
    <w:rsid w:val="003D7355"/>
    <w:rsid w:val="003D7FE9"/>
    <w:rsid w:val="003E047F"/>
    <w:rsid w:val="003E076E"/>
    <w:rsid w:val="003E2882"/>
    <w:rsid w:val="003E2B12"/>
    <w:rsid w:val="003E4799"/>
    <w:rsid w:val="003E4B24"/>
    <w:rsid w:val="003E4E6D"/>
    <w:rsid w:val="003E4EB2"/>
    <w:rsid w:val="003E7B0C"/>
    <w:rsid w:val="003E7D98"/>
    <w:rsid w:val="003F06AA"/>
    <w:rsid w:val="003F0E19"/>
    <w:rsid w:val="003F12FF"/>
    <w:rsid w:val="003F1904"/>
    <w:rsid w:val="003F245D"/>
    <w:rsid w:val="003F2EF2"/>
    <w:rsid w:val="00400C72"/>
    <w:rsid w:val="00400DCA"/>
    <w:rsid w:val="00403C24"/>
    <w:rsid w:val="004069B1"/>
    <w:rsid w:val="0041327F"/>
    <w:rsid w:val="004137C4"/>
    <w:rsid w:val="00413835"/>
    <w:rsid w:val="004142E0"/>
    <w:rsid w:val="00415DBB"/>
    <w:rsid w:val="0041607A"/>
    <w:rsid w:val="00420593"/>
    <w:rsid w:val="00420957"/>
    <w:rsid w:val="004234C6"/>
    <w:rsid w:val="00424044"/>
    <w:rsid w:val="00425ACD"/>
    <w:rsid w:val="0043768F"/>
    <w:rsid w:val="00440168"/>
    <w:rsid w:val="00441DCC"/>
    <w:rsid w:val="00442D53"/>
    <w:rsid w:val="00443B2C"/>
    <w:rsid w:val="004452A1"/>
    <w:rsid w:val="0044531A"/>
    <w:rsid w:val="00456039"/>
    <w:rsid w:val="00457E64"/>
    <w:rsid w:val="004613A1"/>
    <w:rsid w:val="00461464"/>
    <w:rsid w:val="0046499C"/>
    <w:rsid w:val="00465CA8"/>
    <w:rsid w:val="00466501"/>
    <w:rsid w:val="00470F43"/>
    <w:rsid w:val="00472829"/>
    <w:rsid w:val="00473518"/>
    <w:rsid w:val="00473587"/>
    <w:rsid w:val="004739F0"/>
    <w:rsid w:val="00476047"/>
    <w:rsid w:val="0047610E"/>
    <w:rsid w:val="00477BA6"/>
    <w:rsid w:val="00480F55"/>
    <w:rsid w:val="00483CB5"/>
    <w:rsid w:val="0048466B"/>
    <w:rsid w:val="00493409"/>
    <w:rsid w:val="004953AA"/>
    <w:rsid w:val="00497706"/>
    <w:rsid w:val="004A0929"/>
    <w:rsid w:val="004A24AE"/>
    <w:rsid w:val="004A2524"/>
    <w:rsid w:val="004A2533"/>
    <w:rsid w:val="004A2E20"/>
    <w:rsid w:val="004A77D8"/>
    <w:rsid w:val="004B0223"/>
    <w:rsid w:val="004B0E14"/>
    <w:rsid w:val="004B1596"/>
    <w:rsid w:val="004B1DB4"/>
    <w:rsid w:val="004B511C"/>
    <w:rsid w:val="004B51A2"/>
    <w:rsid w:val="004B7DA3"/>
    <w:rsid w:val="004C0C34"/>
    <w:rsid w:val="004C28F2"/>
    <w:rsid w:val="004C49F1"/>
    <w:rsid w:val="004C4BA7"/>
    <w:rsid w:val="004C6732"/>
    <w:rsid w:val="004C6F48"/>
    <w:rsid w:val="004C70BB"/>
    <w:rsid w:val="004D175C"/>
    <w:rsid w:val="004D23D8"/>
    <w:rsid w:val="004D48B8"/>
    <w:rsid w:val="004D49FE"/>
    <w:rsid w:val="004D5232"/>
    <w:rsid w:val="004D74C1"/>
    <w:rsid w:val="004E094C"/>
    <w:rsid w:val="004E1C94"/>
    <w:rsid w:val="004E2367"/>
    <w:rsid w:val="004E2B57"/>
    <w:rsid w:val="004E4777"/>
    <w:rsid w:val="004E596A"/>
    <w:rsid w:val="004E5ABA"/>
    <w:rsid w:val="004E7C62"/>
    <w:rsid w:val="004F16F9"/>
    <w:rsid w:val="004F2344"/>
    <w:rsid w:val="004F2E09"/>
    <w:rsid w:val="004F320A"/>
    <w:rsid w:val="004F35AC"/>
    <w:rsid w:val="004F4B92"/>
    <w:rsid w:val="004F6036"/>
    <w:rsid w:val="004F71F4"/>
    <w:rsid w:val="005046D8"/>
    <w:rsid w:val="005048F0"/>
    <w:rsid w:val="005073E0"/>
    <w:rsid w:val="00507512"/>
    <w:rsid w:val="00511433"/>
    <w:rsid w:val="005125C2"/>
    <w:rsid w:val="005130DC"/>
    <w:rsid w:val="005140C1"/>
    <w:rsid w:val="0051591C"/>
    <w:rsid w:val="005171F1"/>
    <w:rsid w:val="00521EB7"/>
    <w:rsid w:val="0052315D"/>
    <w:rsid w:val="00531625"/>
    <w:rsid w:val="00531DEA"/>
    <w:rsid w:val="005362AF"/>
    <w:rsid w:val="00540B36"/>
    <w:rsid w:val="00541E5F"/>
    <w:rsid w:val="005421E6"/>
    <w:rsid w:val="00542E10"/>
    <w:rsid w:val="00544E0D"/>
    <w:rsid w:val="00544E50"/>
    <w:rsid w:val="005462E8"/>
    <w:rsid w:val="00546F98"/>
    <w:rsid w:val="00547F19"/>
    <w:rsid w:val="00551B0C"/>
    <w:rsid w:val="00553486"/>
    <w:rsid w:val="00557AB0"/>
    <w:rsid w:val="00563158"/>
    <w:rsid w:val="005646FA"/>
    <w:rsid w:val="0056755B"/>
    <w:rsid w:val="0057064B"/>
    <w:rsid w:val="005742CD"/>
    <w:rsid w:val="00575DF3"/>
    <w:rsid w:val="0057755F"/>
    <w:rsid w:val="00577A61"/>
    <w:rsid w:val="005822BD"/>
    <w:rsid w:val="00582BE7"/>
    <w:rsid w:val="00583A2F"/>
    <w:rsid w:val="00584BE9"/>
    <w:rsid w:val="005851E1"/>
    <w:rsid w:val="00591FE1"/>
    <w:rsid w:val="00592FC4"/>
    <w:rsid w:val="005934EE"/>
    <w:rsid w:val="00593A80"/>
    <w:rsid w:val="005940B2"/>
    <w:rsid w:val="00595C7D"/>
    <w:rsid w:val="005A0A6A"/>
    <w:rsid w:val="005A1E47"/>
    <w:rsid w:val="005A2F3A"/>
    <w:rsid w:val="005A4350"/>
    <w:rsid w:val="005A5966"/>
    <w:rsid w:val="005A5EB6"/>
    <w:rsid w:val="005A6486"/>
    <w:rsid w:val="005A6D85"/>
    <w:rsid w:val="005B27A9"/>
    <w:rsid w:val="005B45A8"/>
    <w:rsid w:val="005B63BC"/>
    <w:rsid w:val="005B75AD"/>
    <w:rsid w:val="005C0784"/>
    <w:rsid w:val="005C3ABA"/>
    <w:rsid w:val="005C47B5"/>
    <w:rsid w:val="005C48CC"/>
    <w:rsid w:val="005C52C8"/>
    <w:rsid w:val="005C5B24"/>
    <w:rsid w:val="005C68F4"/>
    <w:rsid w:val="005D0413"/>
    <w:rsid w:val="005D0486"/>
    <w:rsid w:val="005D245E"/>
    <w:rsid w:val="005D2550"/>
    <w:rsid w:val="005D31D7"/>
    <w:rsid w:val="005D4F1F"/>
    <w:rsid w:val="005D6257"/>
    <w:rsid w:val="005D6953"/>
    <w:rsid w:val="005D718F"/>
    <w:rsid w:val="005E08FD"/>
    <w:rsid w:val="005E5526"/>
    <w:rsid w:val="005E66E2"/>
    <w:rsid w:val="005F1432"/>
    <w:rsid w:val="005F1AA0"/>
    <w:rsid w:val="005F1F9E"/>
    <w:rsid w:val="005F482D"/>
    <w:rsid w:val="005F611C"/>
    <w:rsid w:val="006029B6"/>
    <w:rsid w:val="00603B15"/>
    <w:rsid w:val="00605343"/>
    <w:rsid w:val="00611200"/>
    <w:rsid w:val="00611AED"/>
    <w:rsid w:val="00613065"/>
    <w:rsid w:val="006130B7"/>
    <w:rsid w:val="00614380"/>
    <w:rsid w:val="0062441D"/>
    <w:rsid w:val="00624AC6"/>
    <w:rsid w:val="00624C88"/>
    <w:rsid w:val="00624E6E"/>
    <w:rsid w:val="00625B24"/>
    <w:rsid w:val="00626A28"/>
    <w:rsid w:val="006277AD"/>
    <w:rsid w:val="00632889"/>
    <w:rsid w:val="00637D38"/>
    <w:rsid w:val="00641384"/>
    <w:rsid w:val="0064221F"/>
    <w:rsid w:val="00642221"/>
    <w:rsid w:val="006430A8"/>
    <w:rsid w:val="00646E6C"/>
    <w:rsid w:val="0064725D"/>
    <w:rsid w:val="00650BA4"/>
    <w:rsid w:val="00654277"/>
    <w:rsid w:val="00655C05"/>
    <w:rsid w:val="00656B56"/>
    <w:rsid w:val="00657B3A"/>
    <w:rsid w:val="00663348"/>
    <w:rsid w:val="00664EB8"/>
    <w:rsid w:val="00665691"/>
    <w:rsid w:val="0066656C"/>
    <w:rsid w:val="00667083"/>
    <w:rsid w:val="00667098"/>
    <w:rsid w:val="0067010D"/>
    <w:rsid w:val="0067031C"/>
    <w:rsid w:val="00670DD5"/>
    <w:rsid w:val="006720E9"/>
    <w:rsid w:val="00672A0B"/>
    <w:rsid w:val="00673F8F"/>
    <w:rsid w:val="006750FD"/>
    <w:rsid w:val="00676C1C"/>
    <w:rsid w:val="00683843"/>
    <w:rsid w:val="00685A14"/>
    <w:rsid w:val="0068690D"/>
    <w:rsid w:val="006901AF"/>
    <w:rsid w:val="00692D35"/>
    <w:rsid w:val="00694C82"/>
    <w:rsid w:val="006953C8"/>
    <w:rsid w:val="006977FA"/>
    <w:rsid w:val="00697D7E"/>
    <w:rsid w:val="006A1656"/>
    <w:rsid w:val="006A3A3A"/>
    <w:rsid w:val="006A4184"/>
    <w:rsid w:val="006A4283"/>
    <w:rsid w:val="006B1BBB"/>
    <w:rsid w:val="006B2F25"/>
    <w:rsid w:val="006B30C4"/>
    <w:rsid w:val="006B40BB"/>
    <w:rsid w:val="006B4D48"/>
    <w:rsid w:val="006C3AF1"/>
    <w:rsid w:val="006C4186"/>
    <w:rsid w:val="006C57C1"/>
    <w:rsid w:val="006C7012"/>
    <w:rsid w:val="006C7F19"/>
    <w:rsid w:val="006D0A29"/>
    <w:rsid w:val="006D2230"/>
    <w:rsid w:val="006D291E"/>
    <w:rsid w:val="006D34EC"/>
    <w:rsid w:val="006D5338"/>
    <w:rsid w:val="006D5486"/>
    <w:rsid w:val="006D743C"/>
    <w:rsid w:val="006E13FE"/>
    <w:rsid w:val="006E15A6"/>
    <w:rsid w:val="006E2DD0"/>
    <w:rsid w:val="006E7422"/>
    <w:rsid w:val="006F0215"/>
    <w:rsid w:val="006F13C6"/>
    <w:rsid w:val="006F210F"/>
    <w:rsid w:val="006F27D3"/>
    <w:rsid w:val="006F5C59"/>
    <w:rsid w:val="006F5EF9"/>
    <w:rsid w:val="006F6DBE"/>
    <w:rsid w:val="006F7044"/>
    <w:rsid w:val="006F7150"/>
    <w:rsid w:val="006F79B0"/>
    <w:rsid w:val="00700C79"/>
    <w:rsid w:val="00700F79"/>
    <w:rsid w:val="007010A4"/>
    <w:rsid w:val="00701901"/>
    <w:rsid w:val="007042E0"/>
    <w:rsid w:val="00704B2A"/>
    <w:rsid w:val="00705F66"/>
    <w:rsid w:val="00706548"/>
    <w:rsid w:val="0071140D"/>
    <w:rsid w:val="00711E47"/>
    <w:rsid w:val="00713B8C"/>
    <w:rsid w:val="00714028"/>
    <w:rsid w:val="007177F1"/>
    <w:rsid w:val="00717AB8"/>
    <w:rsid w:val="00720C0B"/>
    <w:rsid w:val="00720CF0"/>
    <w:rsid w:val="0072351B"/>
    <w:rsid w:val="00723C23"/>
    <w:rsid w:val="00726CB4"/>
    <w:rsid w:val="00726CED"/>
    <w:rsid w:val="007315B7"/>
    <w:rsid w:val="007331C7"/>
    <w:rsid w:val="00736E95"/>
    <w:rsid w:val="0073759D"/>
    <w:rsid w:val="00737F90"/>
    <w:rsid w:val="00741CAE"/>
    <w:rsid w:val="007421DD"/>
    <w:rsid w:val="007425B0"/>
    <w:rsid w:val="00743D54"/>
    <w:rsid w:val="00744CE9"/>
    <w:rsid w:val="00745BC5"/>
    <w:rsid w:val="007461A2"/>
    <w:rsid w:val="007462F2"/>
    <w:rsid w:val="00746450"/>
    <w:rsid w:val="0074716A"/>
    <w:rsid w:val="00747E79"/>
    <w:rsid w:val="00750ECA"/>
    <w:rsid w:val="00752670"/>
    <w:rsid w:val="0075388A"/>
    <w:rsid w:val="00754525"/>
    <w:rsid w:val="007555A4"/>
    <w:rsid w:val="0076004F"/>
    <w:rsid w:val="00760218"/>
    <w:rsid w:val="007614CD"/>
    <w:rsid w:val="00764FD6"/>
    <w:rsid w:val="00765044"/>
    <w:rsid w:val="00766390"/>
    <w:rsid w:val="00766E18"/>
    <w:rsid w:val="007676CC"/>
    <w:rsid w:val="00767899"/>
    <w:rsid w:val="007729D3"/>
    <w:rsid w:val="00775235"/>
    <w:rsid w:val="00776F42"/>
    <w:rsid w:val="00786291"/>
    <w:rsid w:val="00786B01"/>
    <w:rsid w:val="0079123A"/>
    <w:rsid w:val="00793728"/>
    <w:rsid w:val="00797466"/>
    <w:rsid w:val="007A10FA"/>
    <w:rsid w:val="007A1CC1"/>
    <w:rsid w:val="007A1FA2"/>
    <w:rsid w:val="007A53F0"/>
    <w:rsid w:val="007A6A88"/>
    <w:rsid w:val="007B18F4"/>
    <w:rsid w:val="007B3C20"/>
    <w:rsid w:val="007B45A3"/>
    <w:rsid w:val="007B5471"/>
    <w:rsid w:val="007C04FB"/>
    <w:rsid w:val="007C0EE2"/>
    <w:rsid w:val="007C316B"/>
    <w:rsid w:val="007C4EB4"/>
    <w:rsid w:val="007C65E5"/>
    <w:rsid w:val="007C6EEC"/>
    <w:rsid w:val="007C7AED"/>
    <w:rsid w:val="007D01AA"/>
    <w:rsid w:val="007D124E"/>
    <w:rsid w:val="007D12CB"/>
    <w:rsid w:val="007D1C13"/>
    <w:rsid w:val="007D1CBC"/>
    <w:rsid w:val="007D20F1"/>
    <w:rsid w:val="007D2A45"/>
    <w:rsid w:val="007D5828"/>
    <w:rsid w:val="007D6695"/>
    <w:rsid w:val="007D782E"/>
    <w:rsid w:val="007E280C"/>
    <w:rsid w:val="007E2AE6"/>
    <w:rsid w:val="007E35B9"/>
    <w:rsid w:val="007E3B3A"/>
    <w:rsid w:val="007E47B7"/>
    <w:rsid w:val="007E5073"/>
    <w:rsid w:val="007E712B"/>
    <w:rsid w:val="007E721D"/>
    <w:rsid w:val="007F01E3"/>
    <w:rsid w:val="007F0DE5"/>
    <w:rsid w:val="007F3EC9"/>
    <w:rsid w:val="007F43A7"/>
    <w:rsid w:val="007F6014"/>
    <w:rsid w:val="0080004C"/>
    <w:rsid w:val="00801B4F"/>
    <w:rsid w:val="00802EDB"/>
    <w:rsid w:val="00803440"/>
    <w:rsid w:val="008044B9"/>
    <w:rsid w:val="00806B9F"/>
    <w:rsid w:val="008079E1"/>
    <w:rsid w:val="00807C94"/>
    <w:rsid w:val="00810141"/>
    <w:rsid w:val="00811B82"/>
    <w:rsid w:val="0081550F"/>
    <w:rsid w:val="00815CA5"/>
    <w:rsid w:val="00817AFE"/>
    <w:rsid w:val="00817CAD"/>
    <w:rsid w:val="008203F1"/>
    <w:rsid w:val="008214E0"/>
    <w:rsid w:val="0082532F"/>
    <w:rsid w:val="008257C6"/>
    <w:rsid w:val="00825932"/>
    <w:rsid w:val="0082593D"/>
    <w:rsid w:val="00833FF8"/>
    <w:rsid w:val="00840661"/>
    <w:rsid w:val="008446FB"/>
    <w:rsid w:val="0084686A"/>
    <w:rsid w:val="008509BC"/>
    <w:rsid w:val="0085145E"/>
    <w:rsid w:val="0085157B"/>
    <w:rsid w:val="00853F8E"/>
    <w:rsid w:val="008629F5"/>
    <w:rsid w:val="00867083"/>
    <w:rsid w:val="008673B5"/>
    <w:rsid w:val="0087146C"/>
    <w:rsid w:val="008744B7"/>
    <w:rsid w:val="00874518"/>
    <w:rsid w:val="00874CAE"/>
    <w:rsid w:val="00877E17"/>
    <w:rsid w:val="0088096F"/>
    <w:rsid w:val="00882187"/>
    <w:rsid w:val="008822B8"/>
    <w:rsid w:val="00882DE3"/>
    <w:rsid w:val="00883801"/>
    <w:rsid w:val="00884CE8"/>
    <w:rsid w:val="0088512A"/>
    <w:rsid w:val="00885D1A"/>
    <w:rsid w:val="008878E3"/>
    <w:rsid w:val="0089022B"/>
    <w:rsid w:val="00891ECA"/>
    <w:rsid w:val="00892DBF"/>
    <w:rsid w:val="008930E6"/>
    <w:rsid w:val="00896B7B"/>
    <w:rsid w:val="00897629"/>
    <w:rsid w:val="008A0332"/>
    <w:rsid w:val="008A0B30"/>
    <w:rsid w:val="008A1AA0"/>
    <w:rsid w:val="008A297F"/>
    <w:rsid w:val="008A300F"/>
    <w:rsid w:val="008A478F"/>
    <w:rsid w:val="008A49AF"/>
    <w:rsid w:val="008A4A2C"/>
    <w:rsid w:val="008A61BC"/>
    <w:rsid w:val="008A7747"/>
    <w:rsid w:val="008A7DD1"/>
    <w:rsid w:val="008A7E84"/>
    <w:rsid w:val="008B1CC3"/>
    <w:rsid w:val="008B1EE6"/>
    <w:rsid w:val="008B50EA"/>
    <w:rsid w:val="008B5830"/>
    <w:rsid w:val="008B5B27"/>
    <w:rsid w:val="008C04CE"/>
    <w:rsid w:val="008C0B58"/>
    <w:rsid w:val="008C100E"/>
    <w:rsid w:val="008C1BF5"/>
    <w:rsid w:val="008C1F9D"/>
    <w:rsid w:val="008C2B2C"/>
    <w:rsid w:val="008C71AC"/>
    <w:rsid w:val="008C7D58"/>
    <w:rsid w:val="008D03C9"/>
    <w:rsid w:val="008D7A21"/>
    <w:rsid w:val="008E0363"/>
    <w:rsid w:val="008E3FAA"/>
    <w:rsid w:val="008F0689"/>
    <w:rsid w:val="008F137D"/>
    <w:rsid w:val="008F3E8E"/>
    <w:rsid w:val="008F406B"/>
    <w:rsid w:val="008F4D13"/>
    <w:rsid w:val="008F7A6D"/>
    <w:rsid w:val="009005D8"/>
    <w:rsid w:val="009025F6"/>
    <w:rsid w:val="009040E6"/>
    <w:rsid w:val="009047C2"/>
    <w:rsid w:val="00906947"/>
    <w:rsid w:val="00907409"/>
    <w:rsid w:val="0091041B"/>
    <w:rsid w:val="00914642"/>
    <w:rsid w:val="00915643"/>
    <w:rsid w:val="00917CC6"/>
    <w:rsid w:val="009207EC"/>
    <w:rsid w:val="00920F77"/>
    <w:rsid w:val="00923BFD"/>
    <w:rsid w:val="00924923"/>
    <w:rsid w:val="00925A62"/>
    <w:rsid w:val="00925C97"/>
    <w:rsid w:val="0093050F"/>
    <w:rsid w:val="009351BF"/>
    <w:rsid w:val="00936D4E"/>
    <w:rsid w:val="00940C34"/>
    <w:rsid w:val="009426DD"/>
    <w:rsid w:val="009443E0"/>
    <w:rsid w:val="009444FA"/>
    <w:rsid w:val="00944F8B"/>
    <w:rsid w:val="00945F31"/>
    <w:rsid w:val="009466FB"/>
    <w:rsid w:val="00950524"/>
    <w:rsid w:val="00950A71"/>
    <w:rsid w:val="0095245C"/>
    <w:rsid w:val="009526A5"/>
    <w:rsid w:val="00952EC7"/>
    <w:rsid w:val="009553E1"/>
    <w:rsid w:val="00955634"/>
    <w:rsid w:val="009568F0"/>
    <w:rsid w:val="0096039A"/>
    <w:rsid w:val="0096063B"/>
    <w:rsid w:val="00961D21"/>
    <w:rsid w:val="009625F8"/>
    <w:rsid w:val="00962D7D"/>
    <w:rsid w:val="00964DC8"/>
    <w:rsid w:val="00965E10"/>
    <w:rsid w:val="00966081"/>
    <w:rsid w:val="0096693C"/>
    <w:rsid w:val="00971775"/>
    <w:rsid w:val="0097564B"/>
    <w:rsid w:val="00975C33"/>
    <w:rsid w:val="00980C6E"/>
    <w:rsid w:val="009821D1"/>
    <w:rsid w:val="00985622"/>
    <w:rsid w:val="00990F84"/>
    <w:rsid w:val="00992C29"/>
    <w:rsid w:val="0099402A"/>
    <w:rsid w:val="00994C84"/>
    <w:rsid w:val="00995475"/>
    <w:rsid w:val="00996C75"/>
    <w:rsid w:val="00997254"/>
    <w:rsid w:val="009A16E3"/>
    <w:rsid w:val="009A1A9C"/>
    <w:rsid w:val="009A4A19"/>
    <w:rsid w:val="009A5246"/>
    <w:rsid w:val="009A6BDE"/>
    <w:rsid w:val="009B1292"/>
    <w:rsid w:val="009B1355"/>
    <w:rsid w:val="009B45A9"/>
    <w:rsid w:val="009B65D3"/>
    <w:rsid w:val="009B6F48"/>
    <w:rsid w:val="009C1CA3"/>
    <w:rsid w:val="009C221F"/>
    <w:rsid w:val="009C4B9F"/>
    <w:rsid w:val="009D3C83"/>
    <w:rsid w:val="009D4804"/>
    <w:rsid w:val="009D4FA4"/>
    <w:rsid w:val="009D5791"/>
    <w:rsid w:val="009D5C51"/>
    <w:rsid w:val="009D76BD"/>
    <w:rsid w:val="009E1543"/>
    <w:rsid w:val="009E1E44"/>
    <w:rsid w:val="009E2F5C"/>
    <w:rsid w:val="009E3454"/>
    <w:rsid w:val="009E4D08"/>
    <w:rsid w:val="009E5E07"/>
    <w:rsid w:val="009F00A3"/>
    <w:rsid w:val="009F3D38"/>
    <w:rsid w:val="009F5718"/>
    <w:rsid w:val="009F5F01"/>
    <w:rsid w:val="00A00222"/>
    <w:rsid w:val="00A0077B"/>
    <w:rsid w:val="00A01008"/>
    <w:rsid w:val="00A0121F"/>
    <w:rsid w:val="00A02FCE"/>
    <w:rsid w:val="00A04D4E"/>
    <w:rsid w:val="00A04E8E"/>
    <w:rsid w:val="00A0669F"/>
    <w:rsid w:val="00A06FB8"/>
    <w:rsid w:val="00A10C62"/>
    <w:rsid w:val="00A11022"/>
    <w:rsid w:val="00A11BC7"/>
    <w:rsid w:val="00A12579"/>
    <w:rsid w:val="00A12EBA"/>
    <w:rsid w:val="00A161FD"/>
    <w:rsid w:val="00A16F0C"/>
    <w:rsid w:val="00A20F4B"/>
    <w:rsid w:val="00A23453"/>
    <w:rsid w:val="00A24E03"/>
    <w:rsid w:val="00A27C42"/>
    <w:rsid w:val="00A30DBE"/>
    <w:rsid w:val="00A36878"/>
    <w:rsid w:val="00A37B7C"/>
    <w:rsid w:val="00A422DD"/>
    <w:rsid w:val="00A42FD4"/>
    <w:rsid w:val="00A43B4D"/>
    <w:rsid w:val="00A44F7A"/>
    <w:rsid w:val="00A46FFC"/>
    <w:rsid w:val="00A505D5"/>
    <w:rsid w:val="00A508CC"/>
    <w:rsid w:val="00A5452F"/>
    <w:rsid w:val="00A54F48"/>
    <w:rsid w:val="00A5527A"/>
    <w:rsid w:val="00A553E2"/>
    <w:rsid w:val="00A570E1"/>
    <w:rsid w:val="00A5725A"/>
    <w:rsid w:val="00A57584"/>
    <w:rsid w:val="00A57946"/>
    <w:rsid w:val="00A60468"/>
    <w:rsid w:val="00A614C8"/>
    <w:rsid w:val="00A615C7"/>
    <w:rsid w:val="00A61948"/>
    <w:rsid w:val="00A65BF4"/>
    <w:rsid w:val="00A664DC"/>
    <w:rsid w:val="00A70E90"/>
    <w:rsid w:val="00A7133E"/>
    <w:rsid w:val="00A73E85"/>
    <w:rsid w:val="00A7563A"/>
    <w:rsid w:val="00A75F50"/>
    <w:rsid w:val="00A808D2"/>
    <w:rsid w:val="00A81E91"/>
    <w:rsid w:val="00A83592"/>
    <w:rsid w:val="00A850F2"/>
    <w:rsid w:val="00A85292"/>
    <w:rsid w:val="00A90124"/>
    <w:rsid w:val="00A903EC"/>
    <w:rsid w:val="00A90B45"/>
    <w:rsid w:val="00A91A8D"/>
    <w:rsid w:val="00A92A0B"/>
    <w:rsid w:val="00A93872"/>
    <w:rsid w:val="00A9511E"/>
    <w:rsid w:val="00A957F0"/>
    <w:rsid w:val="00A95C17"/>
    <w:rsid w:val="00AA0760"/>
    <w:rsid w:val="00AA181F"/>
    <w:rsid w:val="00AA21C1"/>
    <w:rsid w:val="00AA397A"/>
    <w:rsid w:val="00AA4B03"/>
    <w:rsid w:val="00AA55ED"/>
    <w:rsid w:val="00AA5F1D"/>
    <w:rsid w:val="00AA66C3"/>
    <w:rsid w:val="00AB12D7"/>
    <w:rsid w:val="00AB178B"/>
    <w:rsid w:val="00AB54EE"/>
    <w:rsid w:val="00AB5752"/>
    <w:rsid w:val="00AB764D"/>
    <w:rsid w:val="00AC0B0E"/>
    <w:rsid w:val="00AC1C82"/>
    <w:rsid w:val="00AC28ED"/>
    <w:rsid w:val="00AC335A"/>
    <w:rsid w:val="00AC5BCF"/>
    <w:rsid w:val="00AC61D7"/>
    <w:rsid w:val="00AD0DBA"/>
    <w:rsid w:val="00AD1900"/>
    <w:rsid w:val="00AD1E28"/>
    <w:rsid w:val="00AD2423"/>
    <w:rsid w:val="00AE08B2"/>
    <w:rsid w:val="00AE17D7"/>
    <w:rsid w:val="00AE236C"/>
    <w:rsid w:val="00AE39EA"/>
    <w:rsid w:val="00AE4466"/>
    <w:rsid w:val="00AE63D1"/>
    <w:rsid w:val="00AE7ACC"/>
    <w:rsid w:val="00AF0E57"/>
    <w:rsid w:val="00AF3BE2"/>
    <w:rsid w:val="00AF4D21"/>
    <w:rsid w:val="00AF526C"/>
    <w:rsid w:val="00AF74E4"/>
    <w:rsid w:val="00B01422"/>
    <w:rsid w:val="00B0462C"/>
    <w:rsid w:val="00B04728"/>
    <w:rsid w:val="00B04AFF"/>
    <w:rsid w:val="00B05DD0"/>
    <w:rsid w:val="00B06C7E"/>
    <w:rsid w:val="00B102BE"/>
    <w:rsid w:val="00B10450"/>
    <w:rsid w:val="00B108F7"/>
    <w:rsid w:val="00B12AD7"/>
    <w:rsid w:val="00B12BBE"/>
    <w:rsid w:val="00B14D80"/>
    <w:rsid w:val="00B1580D"/>
    <w:rsid w:val="00B1792D"/>
    <w:rsid w:val="00B20651"/>
    <w:rsid w:val="00B2119C"/>
    <w:rsid w:val="00B2183D"/>
    <w:rsid w:val="00B22F75"/>
    <w:rsid w:val="00B245D0"/>
    <w:rsid w:val="00B24733"/>
    <w:rsid w:val="00B27ECA"/>
    <w:rsid w:val="00B30C65"/>
    <w:rsid w:val="00B32185"/>
    <w:rsid w:val="00B35473"/>
    <w:rsid w:val="00B35D4C"/>
    <w:rsid w:val="00B35F63"/>
    <w:rsid w:val="00B37750"/>
    <w:rsid w:val="00B40CF7"/>
    <w:rsid w:val="00B40DF1"/>
    <w:rsid w:val="00B413E2"/>
    <w:rsid w:val="00B43248"/>
    <w:rsid w:val="00B43634"/>
    <w:rsid w:val="00B50870"/>
    <w:rsid w:val="00B547EE"/>
    <w:rsid w:val="00B56A41"/>
    <w:rsid w:val="00B56D2A"/>
    <w:rsid w:val="00B605B9"/>
    <w:rsid w:val="00B61801"/>
    <w:rsid w:val="00B6245F"/>
    <w:rsid w:val="00B64B99"/>
    <w:rsid w:val="00B65F86"/>
    <w:rsid w:val="00B6698B"/>
    <w:rsid w:val="00B70BE2"/>
    <w:rsid w:val="00B7255A"/>
    <w:rsid w:val="00B72D78"/>
    <w:rsid w:val="00B73499"/>
    <w:rsid w:val="00B7372B"/>
    <w:rsid w:val="00B73D1C"/>
    <w:rsid w:val="00B74394"/>
    <w:rsid w:val="00B74635"/>
    <w:rsid w:val="00B800AD"/>
    <w:rsid w:val="00B83A52"/>
    <w:rsid w:val="00B860DC"/>
    <w:rsid w:val="00B90A80"/>
    <w:rsid w:val="00B93D2A"/>
    <w:rsid w:val="00B940B5"/>
    <w:rsid w:val="00B94874"/>
    <w:rsid w:val="00B94919"/>
    <w:rsid w:val="00B9695C"/>
    <w:rsid w:val="00BA13F2"/>
    <w:rsid w:val="00BA220A"/>
    <w:rsid w:val="00BA405C"/>
    <w:rsid w:val="00BA4B17"/>
    <w:rsid w:val="00BA761D"/>
    <w:rsid w:val="00BA7816"/>
    <w:rsid w:val="00BA7C27"/>
    <w:rsid w:val="00BB01E4"/>
    <w:rsid w:val="00BB6531"/>
    <w:rsid w:val="00BC407B"/>
    <w:rsid w:val="00BC49DC"/>
    <w:rsid w:val="00BC508A"/>
    <w:rsid w:val="00BC7474"/>
    <w:rsid w:val="00BD10BA"/>
    <w:rsid w:val="00BD14A3"/>
    <w:rsid w:val="00BD20D5"/>
    <w:rsid w:val="00BD2F0F"/>
    <w:rsid w:val="00BD358F"/>
    <w:rsid w:val="00BD4042"/>
    <w:rsid w:val="00BD5546"/>
    <w:rsid w:val="00BD728B"/>
    <w:rsid w:val="00BD72D5"/>
    <w:rsid w:val="00BE2FA3"/>
    <w:rsid w:val="00BE3550"/>
    <w:rsid w:val="00BE75E2"/>
    <w:rsid w:val="00BE7ED3"/>
    <w:rsid w:val="00BF202C"/>
    <w:rsid w:val="00BF2259"/>
    <w:rsid w:val="00BF4298"/>
    <w:rsid w:val="00BF4E86"/>
    <w:rsid w:val="00BF57D1"/>
    <w:rsid w:val="00BF5AA0"/>
    <w:rsid w:val="00BF6E8D"/>
    <w:rsid w:val="00C000A8"/>
    <w:rsid w:val="00C01279"/>
    <w:rsid w:val="00C065F2"/>
    <w:rsid w:val="00C0690A"/>
    <w:rsid w:val="00C06C3D"/>
    <w:rsid w:val="00C07191"/>
    <w:rsid w:val="00C108A7"/>
    <w:rsid w:val="00C11329"/>
    <w:rsid w:val="00C134B4"/>
    <w:rsid w:val="00C1525E"/>
    <w:rsid w:val="00C173FD"/>
    <w:rsid w:val="00C176A4"/>
    <w:rsid w:val="00C20523"/>
    <w:rsid w:val="00C20A13"/>
    <w:rsid w:val="00C2152D"/>
    <w:rsid w:val="00C2371F"/>
    <w:rsid w:val="00C26991"/>
    <w:rsid w:val="00C27882"/>
    <w:rsid w:val="00C3143C"/>
    <w:rsid w:val="00C358DB"/>
    <w:rsid w:val="00C370D9"/>
    <w:rsid w:val="00C37338"/>
    <w:rsid w:val="00C37702"/>
    <w:rsid w:val="00C40EBE"/>
    <w:rsid w:val="00C4181E"/>
    <w:rsid w:val="00C41AAE"/>
    <w:rsid w:val="00C41DCF"/>
    <w:rsid w:val="00C42328"/>
    <w:rsid w:val="00C4303B"/>
    <w:rsid w:val="00C4402A"/>
    <w:rsid w:val="00C4467E"/>
    <w:rsid w:val="00C447C6"/>
    <w:rsid w:val="00C45871"/>
    <w:rsid w:val="00C47A10"/>
    <w:rsid w:val="00C47C63"/>
    <w:rsid w:val="00C511BB"/>
    <w:rsid w:val="00C5435D"/>
    <w:rsid w:val="00C546A5"/>
    <w:rsid w:val="00C55877"/>
    <w:rsid w:val="00C56C3B"/>
    <w:rsid w:val="00C601F7"/>
    <w:rsid w:val="00C61894"/>
    <w:rsid w:val="00C6313C"/>
    <w:rsid w:val="00C638FF"/>
    <w:rsid w:val="00C67F17"/>
    <w:rsid w:val="00C67FB3"/>
    <w:rsid w:val="00C715A0"/>
    <w:rsid w:val="00C72340"/>
    <w:rsid w:val="00C7630A"/>
    <w:rsid w:val="00C76E8B"/>
    <w:rsid w:val="00C813EB"/>
    <w:rsid w:val="00C81CC2"/>
    <w:rsid w:val="00C8301A"/>
    <w:rsid w:val="00C83884"/>
    <w:rsid w:val="00C85BCB"/>
    <w:rsid w:val="00C86722"/>
    <w:rsid w:val="00C919C1"/>
    <w:rsid w:val="00C9293F"/>
    <w:rsid w:val="00C930B0"/>
    <w:rsid w:val="00C93BE3"/>
    <w:rsid w:val="00C953D6"/>
    <w:rsid w:val="00C955E2"/>
    <w:rsid w:val="00C96767"/>
    <w:rsid w:val="00C96B9A"/>
    <w:rsid w:val="00C96C7F"/>
    <w:rsid w:val="00CA636D"/>
    <w:rsid w:val="00CB0737"/>
    <w:rsid w:val="00CB10F0"/>
    <w:rsid w:val="00CB1F3B"/>
    <w:rsid w:val="00CB296F"/>
    <w:rsid w:val="00CB48CE"/>
    <w:rsid w:val="00CB5596"/>
    <w:rsid w:val="00CB5C6F"/>
    <w:rsid w:val="00CB767F"/>
    <w:rsid w:val="00CC1124"/>
    <w:rsid w:val="00CC44B5"/>
    <w:rsid w:val="00CC468B"/>
    <w:rsid w:val="00CC5139"/>
    <w:rsid w:val="00CC7A78"/>
    <w:rsid w:val="00CD3E70"/>
    <w:rsid w:val="00CD5193"/>
    <w:rsid w:val="00CE2B08"/>
    <w:rsid w:val="00CE3408"/>
    <w:rsid w:val="00CE5DB4"/>
    <w:rsid w:val="00CE7761"/>
    <w:rsid w:val="00CF257F"/>
    <w:rsid w:val="00CF5A69"/>
    <w:rsid w:val="00D005C3"/>
    <w:rsid w:val="00D01A7F"/>
    <w:rsid w:val="00D03C9C"/>
    <w:rsid w:val="00D05076"/>
    <w:rsid w:val="00D10357"/>
    <w:rsid w:val="00D1077F"/>
    <w:rsid w:val="00D12B54"/>
    <w:rsid w:val="00D13CD8"/>
    <w:rsid w:val="00D15F74"/>
    <w:rsid w:val="00D2068C"/>
    <w:rsid w:val="00D21D52"/>
    <w:rsid w:val="00D22F48"/>
    <w:rsid w:val="00D24C5A"/>
    <w:rsid w:val="00D252CB"/>
    <w:rsid w:val="00D26B6F"/>
    <w:rsid w:val="00D32A2D"/>
    <w:rsid w:val="00D32FB4"/>
    <w:rsid w:val="00D33291"/>
    <w:rsid w:val="00D373F6"/>
    <w:rsid w:val="00D37F23"/>
    <w:rsid w:val="00D37F3D"/>
    <w:rsid w:val="00D411A3"/>
    <w:rsid w:val="00D43EAA"/>
    <w:rsid w:val="00D44ABA"/>
    <w:rsid w:val="00D46DFB"/>
    <w:rsid w:val="00D47045"/>
    <w:rsid w:val="00D5003F"/>
    <w:rsid w:val="00D50D3E"/>
    <w:rsid w:val="00D528C2"/>
    <w:rsid w:val="00D53179"/>
    <w:rsid w:val="00D53D74"/>
    <w:rsid w:val="00D5456B"/>
    <w:rsid w:val="00D54907"/>
    <w:rsid w:val="00D54C85"/>
    <w:rsid w:val="00D5584D"/>
    <w:rsid w:val="00D55C1A"/>
    <w:rsid w:val="00D564ED"/>
    <w:rsid w:val="00D6040E"/>
    <w:rsid w:val="00D61423"/>
    <w:rsid w:val="00D6184A"/>
    <w:rsid w:val="00D62288"/>
    <w:rsid w:val="00D6310E"/>
    <w:rsid w:val="00D7110B"/>
    <w:rsid w:val="00D73FDD"/>
    <w:rsid w:val="00D76035"/>
    <w:rsid w:val="00D767F0"/>
    <w:rsid w:val="00D771B6"/>
    <w:rsid w:val="00D81043"/>
    <w:rsid w:val="00D81B80"/>
    <w:rsid w:val="00D836B8"/>
    <w:rsid w:val="00D850BA"/>
    <w:rsid w:val="00D851C0"/>
    <w:rsid w:val="00D856C6"/>
    <w:rsid w:val="00D86511"/>
    <w:rsid w:val="00D875C0"/>
    <w:rsid w:val="00D90017"/>
    <w:rsid w:val="00D91357"/>
    <w:rsid w:val="00D9170C"/>
    <w:rsid w:val="00D92009"/>
    <w:rsid w:val="00D921EC"/>
    <w:rsid w:val="00D93F9B"/>
    <w:rsid w:val="00D943DB"/>
    <w:rsid w:val="00D94935"/>
    <w:rsid w:val="00D9544A"/>
    <w:rsid w:val="00D9591C"/>
    <w:rsid w:val="00D97BE9"/>
    <w:rsid w:val="00DA1B6C"/>
    <w:rsid w:val="00DA2BE8"/>
    <w:rsid w:val="00DA3A65"/>
    <w:rsid w:val="00DA530E"/>
    <w:rsid w:val="00DA7ACE"/>
    <w:rsid w:val="00DB103C"/>
    <w:rsid w:val="00DB158F"/>
    <w:rsid w:val="00DB2A6B"/>
    <w:rsid w:val="00DB646D"/>
    <w:rsid w:val="00DB7D43"/>
    <w:rsid w:val="00DC1258"/>
    <w:rsid w:val="00DC175D"/>
    <w:rsid w:val="00DC4D52"/>
    <w:rsid w:val="00DC52B3"/>
    <w:rsid w:val="00DC59E3"/>
    <w:rsid w:val="00DC5DB1"/>
    <w:rsid w:val="00DD0068"/>
    <w:rsid w:val="00DD1922"/>
    <w:rsid w:val="00DD25F6"/>
    <w:rsid w:val="00DD3A95"/>
    <w:rsid w:val="00DD5D1E"/>
    <w:rsid w:val="00DD7B47"/>
    <w:rsid w:val="00DE0911"/>
    <w:rsid w:val="00DE17C7"/>
    <w:rsid w:val="00DE4571"/>
    <w:rsid w:val="00DE6AB0"/>
    <w:rsid w:val="00DE7532"/>
    <w:rsid w:val="00DE7576"/>
    <w:rsid w:val="00DF1785"/>
    <w:rsid w:val="00DF1A1A"/>
    <w:rsid w:val="00DF2C04"/>
    <w:rsid w:val="00DF6104"/>
    <w:rsid w:val="00DF7E45"/>
    <w:rsid w:val="00E01FA7"/>
    <w:rsid w:val="00E032D2"/>
    <w:rsid w:val="00E03D11"/>
    <w:rsid w:val="00E10150"/>
    <w:rsid w:val="00E1081F"/>
    <w:rsid w:val="00E1123F"/>
    <w:rsid w:val="00E1204F"/>
    <w:rsid w:val="00E15FC9"/>
    <w:rsid w:val="00E162E2"/>
    <w:rsid w:val="00E16C0E"/>
    <w:rsid w:val="00E2263E"/>
    <w:rsid w:val="00E2448B"/>
    <w:rsid w:val="00E25439"/>
    <w:rsid w:val="00E27737"/>
    <w:rsid w:val="00E312D1"/>
    <w:rsid w:val="00E321B6"/>
    <w:rsid w:val="00E35FCB"/>
    <w:rsid w:val="00E363F5"/>
    <w:rsid w:val="00E36BC8"/>
    <w:rsid w:val="00E40BD3"/>
    <w:rsid w:val="00E41EBF"/>
    <w:rsid w:val="00E422C6"/>
    <w:rsid w:val="00E42D0A"/>
    <w:rsid w:val="00E43BEF"/>
    <w:rsid w:val="00E514A4"/>
    <w:rsid w:val="00E51884"/>
    <w:rsid w:val="00E60040"/>
    <w:rsid w:val="00E62AEC"/>
    <w:rsid w:val="00E63A7D"/>
    <w:rsid w:val="00E6543A"/>
    <w:rsid w:val="00E655FA"/>
    <w:rsid w:val="00E668A0"/>
    <w:rsid w:val="00E673AB"/>
    <w:rsid w:val="00E67DD1"/>
    <w:rsid w:val="00E71063"/>
    <w:rsid w:val="00E71217"/>
    <w:rsid w:val="00E72AAE"/>
    <w:rsid w:val="00E72B07"/>
    <w:rsid w:val="00E739AD"/>
    <w:rsid w:val="00E7740D"/>
    <w:rsid w:val="00E77500"/>
    <w:rsid w:val="00E77FA3"/>
    <w:rsid w:val="00E80722"/>
    <w:rsid w:val="00E80881"/>
    <w:rsid w:val="00E855B6"/>
    <w:rsid w:val="00E869E7"/>
    <w:rsid w:val="00E8789E"/>
    <w:rsid w:val="00E91F47"/>
    <w:rsid w:val="00E920E0"/>
    <w:rsid w:val="00E94596"/>
    <w:rsid w:val="00EA114C"/>
    <w:rsid w:val="00EA11F0"/>
    <w:rsid w:val="00EA1545"/>
    <w:rsid w:val="00EA3943"/>
    <w:rsid w:val="00EA39BB"/>
    <w:rsid w:val="00EA464E"/>
    <w:rsid w:val="00EA5D3C"/>
    <w:rsid w:val="00EA5D6C"/>
    <w:rsid w:val="00EA70BD"/>
    <w:rsid w:val="00EA76E7"/>
    <w:rsid w:val="00EB0595"/>
    <w:rsid w:val="00EB1607"/>
    <w:rsid w:val="00EB43BA"/>
    <w:rsid w:val="00EB4C4F"/>
    <w:rsid w:val="00EB564A"/>
    <w:rsid w:val="00EB5831"/>
    <w:rsid w:val="00EB615E"/>
    <w:rsid w:val="00EC42EB"/>
    <w:rsid w:val="00EC497E"/>
    <w:rsid w:val="00EC5159"/>
    <w:rsid w:val="00EC5425"/>
    <w:rsid w:val="00EC6AEE"/>
    <w:rsid w:val="00EC6D7F"/>
    <w:rsid w:val="00ED097F"/>
    <w:rsid w:val="00ED2457"/>
    <w:rsid w:val="00ED6620"/>
    <w:rsid w:val="00ED6B03"/>
    <w:rsid w:val="00ED759F"/>
    <w:rsid w:val="00EE0F3F"/>
    <w:rsid w:val="00EE1AD6"/>
    <w:rsid w:val="00EE1B5D"/>
    <w:rsid w:val="00EE2CD2"/>
    <w:rsid w:val="00EE3E97"/>
    <w:rsid w:val="00EE4645"/>
    <w:rsid w:val="00EE51C4"/>
    <w:rsid w:val="00EE5C5D"/>
    <w:rsid w:val="00EE66E5"/>
    <w:rsid w:val="00EF0255"/>
    <w:rsid w:val="00EF0E13"/>
    <w:rsid w:val="00EF23BE"/>
    <w:rsid w:val="00EF2E83"/>
    <w:rsid w:val="00EF7EB3"/>
    <w:rsid w:val="00F0204E"/>
    <w:rsid w:val="00F0231E"/>
    <w:rsid w:val="00F02387"/>
    <w:rsid w:val="00F03AAD"/>
    <w:rsid w:val="00F049B4"/>
    <w:rsid w:val="00F06EAC"/>
    <w:rsid w:val="00F109D8"/>
    <w:rsid w:val="00F112A8"/>
    <w:rsid w:val="00F11E6D"/>
    <w:rsid w:val="00F132A2"/>
    <w:rsid w:val="00F143DE"/>
    <w:rsid w:val="00F166F6"/>
    <w:rsid w:val="00F17A6C"/>
    <w:rsid w:val="00F20276"/>
    <w:rsid w:val="00F204F4"/>
    <w:rsid w:val="00F20564"/>
    <w:rsid w:val="00F2174C"/>
    <w:rsid w:val="00F24731"/>
    <w:rsid w:val="00F265E3"/>
    <w:rsid w:val="00F26C24"/>
    <w:rsid w:val="00F26CF4"/>
    <w:rsid w:val="00F34A66"/>
    <w:rsid w:val="00F372B9"/>
    <w:rsid w:val="00F3741F"/>
    <w:rsid w:val="00F403A5"/>
    <w:rsid w:val="00F40637"/>
    <w:rsid w:val="00F42454"/>
    <w:rsid w:val="00F4267C"/>
    <w:rsid w:val="00F54540"/>
    <w:rsid w:val="00F55180"/>
    <w:rsid w:val="00F55DD9"/>
    <w:rsid w:val="00F56EAA"/>
    <w:rsid w:val="00F60970"/>
    <w:rsid w:val="00F62F53"/>
    <w:rsid w:val="00F637AE"/>
    <w:rsid w:val="00F63819"/>
    <w:rsid w:val="00F6667B"/>
    <w:rsid w:val="00F66C11"/>
    <w:rsid w:val="00F70824"/>
    <w:rsid w:val="00F70B61"/>
    <w:rsid w:val="00F7228F"/>
    <w:rsid w:val="00F755F5"/>
    <w:rsid w:val="00F768C8"/>
    <w:rsid w:val="00F77194"/>
    <w:rsid w:val="00F810FC"/>
    <w:rsid w:val="00F827B3"/>
    <w:rsid w:val="00F8621E"/>
    <w:rsid w:val="00F90C1E"/>
    <w:rsid w:val="00F90D3C"/>
    <w:rsid w:val="00F91EC6"/>
    <w:rsid w:val="00F9214D"/>
    <w:rsid w:val="00F93D9F"/>
    <w:rsid w:val="00F942EC"/>
    <w:rsid w:val="00F943D8"/>
    <w:rsid w:val="00F97D7E"/>
    <w:rsid w:val="00FA019B"/>
    <w:rsid w:val="00FA1973"/>
    <w:rsid w:val="00FA2ED3"/>
    <w:rsid w:val="00FA562E"/>
    <w:rsid w:val="00FA5D2E"/>
    <w:rsid w:val="00FA6F49"/>
    <w:rsid w:val="00FA7007"/>
    <w:rsid w:val="00FB0E8D"/>
    <w:rsid w:val="00FB17EC"/>
    <w:rsid w:val="00FB2F6F"/>
    <w:rsid w:val="00FB2FC4"/>
    <w:rsid w:val="00FB723C"/>
    <w:rsid w:val="00FC56E1"/>
    <w:rsid w:val="00FC596B"/>
    <w:rsid w:val="00FC6315"/>
    <w:rsid w:val="00FC773D"/>
    <w:rsid w:val="00FD053E"/>
    <w:rsid w:val="00FD115C"/>
    <w:rsid w:val="00FD1852"/>
    <w:rsid w:val="00FD3269"/>
    <w:rsid w:val="00FD37E9"/>
    <w:rsid w:val="00FE0586"/>
    <w:rsid w:val="00FE09A9"/>
    <w:rsid w:val="00FE1B6F"/>
    <w:rsid w:val="00FE1FCC"/>
    <w:rsid w:val="00FE25BC"/>
    <w:rsid w:val="00FE318D"/>
    <w:rsid w:val="00FE4122"/>
    <w:rsid w:val="00FE52A2"/>
    <w:rsid w:val="00FE58BC"/>
    <w:rsid w:val="00FE5C43"/>
    <w:rsid w:val="00FE709C"/>
    <w:rsid w:val="00FF2889"/>
    <w:rsid w:val="00FF3B11"/>
    <w:rsid w:val="00FF5078"/>
    <w:rsid w:val="00FF607C"/>
    <w:rsid w:val="00FF674B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0D24AA-3379-4756-AF39-E52A723B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55F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DA530E"/>
    <w:pPr>
      <w:tabs>
        <w:tab w:val="center" w:pos="4513"/>
        <w:tab w:val="right" w:pos="9026"/>
      </w:tabs>
    </w:pPr>
    <w:rPr>
      <w:sz w:val="22"/>
      <w:szCs w:val="22"/>
      <w:lang w:val="en-GB" w:eastAsia="en-US"/>
    </w:rPr>
  </w:style>
  <w:style w:type="character" w:customStyle="1" w:styleId="HlavikaChar">
    <w:name w:val="Hlavička Char"/>
    <w:link w:val="Hlavika"/>
    <w:locked/>
    <w:rsid w:val="00DA530E"/>
    <w:rPr>
      <w:sz w:val="22"/>
      <w:szCs w:val="22"/>
      <w:lang w:val="en-GB" w:eastAsia="en-US" w:bidi="ar-SA"/>
    </w:rPr>
  </w:style>
  <w:style w:type="table" w:styleId="Mriekatabuky">
    <w:name w:val="Table Grid"/>
    <w:basedOn w:val="Normlnatabuka"/>
    <w:rsid w:val="00D2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632889"/>
    <w:rPr>
      <w:color w:val="0000FF"/>
      <w:u w:val="single"/>
    </w:rPr>
  </w:style>
  <w:style w:type="character" w:customStyle="1" w:styleId="hps">
    <w:name w:val="hps"/>
    <w:basedOn w:val="Predvolenpsmoodseku"/>
    <w:rsid w:val="001505EC"/>
  </w:style>
  <w:style w:type="character" w:customStyle="1" w:styleId="hpsatn">
    <w:name w:val="hps atn"/>
    <w:basedOn w:val="Predvolenpsmoodseku"/>
    <w:rsid w:val="001505EC"/>
  </w:style>
  <w:style w:type="paragraph" w:styleId="Pta">
    <w:name w:val="footer"/>
    <w:basedOn w:val="Normlny"/>
    <w:link w:val="PtaChar"/>
    <w:uiPriority w:val="99"/>
    <w:rsid w:val="00A9511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9511E"/>
  </w:style>
  <w:style w:type="paragraph" w:styleId="Textbubliny">
    <w:name w:val="Balloon Text"/>
    <w:basedOn w:val="Normlny"/>
    <w:link w:val="TextbublinyChar"/>
    <w:rsid w:val="000747E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747EA"/>
    <w:rPr>
      <w:rFonts w:ascii="Tahoma" w:hAnsi="Tahoma" w:cs="Tahoma"/>
      <w:sz w:val="16"/>
      <w:szCs w:val="16"/>
    </w:rPr>
  </w:style>
  <w:style w:type="paragraph" w:customStyle="1" w:styleId="Normlndobloku">
    <w:name w:val="Normální do bloku"/>
    <w:basedOn w:val="Normlny"/>
    <w:link w:val="NormlndoblokuChar"/>
    <w:autoRedefine/>
    <w:rsid w:val="00907409"/>
    <w:pPr>
      <w:suppressAutoHyphens/>
      <w:jc w:val="both"/>
    </w:pPr>
    <w:rPr>
      <w:sz w:val="22"/>
      <w:szCs w:val="22"/>
      <w:lang w:eastAsia="cs-CZ"/>
    </w:rPr>
  </w:style>
  <w:style w:type="character" w:customStyle="1" w:styleId="NormlndoblokuChar">
    <w:name w:val="Normální do bloku Char"/>
    <w:link w:val="Normlndobloku"/>
    <w:rsid w:val="00907409"/>
    <w:rPr>
      <w:sz w:val="22"/>
      <w:szCs w:val="22"/>
      <w:lang w:eastAsia="cs-CZ"/>
    </w:rPr>
  </w:style>
  <w:style w:type="paragraph" w:customStyle="1" w:styleId="Normlndoblokusodrkami">
    <w:name w:val="Normální do bloku s odrážkami"/>
    <w:next w:val="Normlny"/>
    <w:autoRedefine/>
    <w:qFormat/>
    <w:rsid w:val="00415DBB"/>
    <w:pPr>
      <w:spacing w:after="120"/>
      <w:jc w:val="both"/>
    </w:pPr>
    <w:rPr>
      <w:i/>
      <w:noProof/>
      <w:sz w:val="22"/>
      <w:szCs w:val="22"/>
      <w:lang w:eastAsia="cs-CZ"/>
    </w:rPr>
  </w:style>
  <w:style w:type="character" w:styleId="Odkaznakomentr">
    <w:name w:val="annotation reference"/>
    <w:uiPriority w:val="99"/>
    <w:rsid w:val="006B4D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B4D4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B4D48"/>
  </w:style>
  <w:style w:type="paragraph" w:styleId="Revzia">
    <w:name w:val="Revision"/>
    <w:hidden/>
    <w:uiPriority w:val="99"/>
    <w:semiHidden/>
    <w:rsid w:val="00F24731"/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4728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5440</Words>
  <Characters>31009</Characters>
  <Application>Microsoft Office Word</Application>
  <DocSecurity>0</DocSecurity>
  <Lines>258</Lines>
  <Paragraphs>72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</vt:lpstr>
      <vt:lpstr>SPC</vt:lpstr>
      <vt:lpstr>SPC</vt:lpstr>
    </vt:vector>
  </TitlesOfParts>
  <Company/>
  <LinksUpToDate>false</LinksUpToDate>
  <CharactersWithSpaces>36377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Acer</dc:creator>
  <cp:lastModifiedBy>Kuziaková, Marianna</cp:lastModifiedBy>
  <cp:revision>2</cp:revision>
  <cp:lastPrinted>2016-06-27T11:31:00Z</cp:lastPrinted>
  <dcterms:created xsi:type="dcterms:W3CDTF">2019-02-27T12:39:00Z</dcterms:created>
  <dcterms:modified xsi:type="dcterms:W3CDTF">2019-02-27T12:39:00Z</dcterms:modified>
</cp:coreProperties>
</file>