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52F1" w14:textId="77777777" w:rsidR="00A55119" w:rsidRPr="00A17B01" w:rsidRDefault="00A55119" w:rsidP="005C3296">
      <w:pPr>
        <w:pStyle w:val="SPCaPILhlavika"/>
        <w:spacing w:before="0" w:after="0"/>
        <w:outlineLvl w:val="0"/>
        <w:rPr>
          <w:b w:val="0"/>
          <w:lang w:val="sk-SK"/>
        </w:rPr>
      </w:pPr>
      <w:bookmarkStart w:id="0" w:name="_GoBack"/>
      <w:bookmarkEnd w:id="0"/>
    </w:p>
    <w:p w14:paraId="0ED7BE19" w14:textId="77777777" w:rsidR="00E72DE8" w:rsidRPr="009D551B" w:rsidRDefault="003C258C" w:rsidP="005C3296">
      <w:pPr>
        <w:pStyle w:val="SPCaPILhlavika"/>
        <w:spacing w:before="0" w:after="0"/>
        <w:outlineLvl w:val="0"/>
        <w:rPr>
          <w:lang w:val="sk-SK"/>
        </w:rPr>
      </w:pPr>
      <w:r w:rsidRPr="009D551B">
        <w:rPr>
          <w:lang w:val="sk-SK"/>
        </w:rPr>
        <w:t>SÚHRN CHARAKTERISTICK</w:t>
      </w:r>
      <w:r w:rsidR="00D802A2" w:rsidRPr="009D551B">
        <w:rPr>
          <w:lang w:val="sk-SK"/>
        </w:rPr>
        <w:t>Ý</w:t>
      </w:r>
      <w:r w:rsidRPr="009D551B">
        <w:rPr>
          <w:lang w:val="sk-SK"/>
        </w:rPr>
        <w:t>CH VLASTNOSTÍ LIEKU</w:t>
      </w:r>
    </w:p>
    <w:p w14:paraId="05A470B2" w14:textId="77777777" w:rsidR="00CB5A1C" w:rsidRPr="009D551B" w:rsidRDefault="00CB5A1C" w:rsidP="005C3296">
      <w:pPr>
        <w:pStyle w:val="SPCaPILhlavika"/>
        <w:spacing w:before="0" w:after="0"/>
        <w:outlineLvl w:val="0"/>
        <w:rPr>
          <w:b w:val="0"/>
          <w:lang w:val="sk-SK"/>
        </w:rPr>
      </w:pPr>
    </w:p>
    <w:p w14:paraId="10840534" w14:textId="6D262814" w:rsidR="00A55119" w:rsidRPr="009D551B" w:rsidRDefault="00A55119" w:rsidP="005C3296">
      <w:pPr>
        <w:pStyle w:val="SPCaPILhlavika"/>
        <w:spacing w:before="0" w:after="0"/>
        <w:outlineLvl w:val="0"/>
        <w:rPr>
          <w:b w:val="0"/>
          <w:lang w:val="sk-SK"/>
        </w:rPr>
      </w:pPr>
    </w:p>
    <w:p w14:paraId="33C859A2" w14:textId="77777777" w:rsidR="00CB5A1C" w:rsidRPr="009D551B" w:rsidRDefault="00C12001" w:rsidP="001A1E8E">
      <w:pPr>
        <w:pStyle w:val="Normlndobloku"/>
      </w:pPr>
      <w:r w:rsidRPr="00782491">
        <w:t>▼</w:t>
      </w:r>
      <w:r w:rsidRPr="009D551B">
        <w:t xml:space="preserve"> Tento liek je predmetom </w:t>
      </w:r>
      <w:r w:rsidRPr="00782491">
        <w:t>ď</w:t>
      </w:r>
      <w:r w:rsidRPr="009D551B">
        <w:t>al</w:t>
      </w:r>
      <w:r w:rsidRPr="00782491">
        <w:t>š</w:t>
      </w:r>
      <w:r w:rsidRPr="009D551B">
        <w:t>ieho monitorovania. To umo</w:t>
      </w:r>
      <w:r w:rsidRPr="00782491">
        <w:t>ž</w:t>
      </w:r>
      <w:r w:rsidRPr="009D551B">
        <w:t>n</w:t>
      </w:r>
      <w:r w:rsidRPr="00782491">
        <w:t>í</w:t>
      </w:r>
      <w:r w:rsidRPr="009D551B">
        <w:t xml:space="preserve"> r</w:t>
      </w:r>
      <w:r w:rsidRPr="00782491">
        <w:t>ý</w:t>
      </w:r>
      <w:r w:rsidRPr="009D551B">
        <w:t>chle z</w:t>
      </w:r>
      <w:r w:rsidRPr="00782491">
        <w:t>í</w:t>
      </w:r>
      <w:r w:rsidRPr="009D551B">
        <w:t>skanie nov</w:t>
      </w:r>
      <w:r w:rsidRPr="00782491">
        <w:t>ý</w:t>
      </w:r>
      <w:r w:rsidRPr="009D551B">
        <w:t>ch inform</w:t>
      </w:r>
      <w:r w:rsidRPr="00782491">
        <w:t>á</w:t>
      </w:r>
      <w:r w:rsidRPr="009D551B">
        <w:t>ci</w:t>
      </w:r>
      <w:r w:rsidRPr="00782491">
        <w:t>í</w:t>
      </w:r>
      <w:r w:rsidRPr="009D551B">
        <w:t xml:space="preserve"> o</w:t>
      </w:r>
      <w:r w:rsidR="00F168BD" w:rsidRPr="009D551B">
        <w:t> </w:t>
      </w:r>
      <w:r w:rsidRPr="009D551B">
        <w:t>bezpečnosti. Od zdravotníckych pracovníkov sa vyžaduje, aby hlásili akékoľvek podozrenia na nežiaduce reakcie. Informácie o tom, ako hlásiť nežiaduce reakcie, nájdete v časti 4.8</w:t>
      </w:r>
      <w:r w:rsidR="00CB5A1C" w:rsidRPr="009D551B">
        <w:t>.</w:t>
      </w:r>
    </w:p>
    <w:p w14:paraId="2823691B" w14:textId="63355F4C" w:rsidR="00A55119" w:rsidRPr="009D551B" w:rsidRDefault="00A55119" w:rsidP="001A1E8E">
      <w:pPr>
        <w:pStyle w:val="Normlndobloku"/>
      </w:pPr>
    </w:p>
    <w:p w14:paraId="7183EEB2" w14:textId="77777777" w:rsidR="00A55119" w:rsidRPr="009D551B" w:rsidRDefault="00A55119" w:rsidP="001A1E8E">
      <w:pPr>
        <w:pStyle w:val="Normlndobloku"/>
      </w:pPr>
    </w:p>
    <w:p w14:paraId="6D692436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NÁZOV LIEKU</w:t>
      </w:r>
    </w:p>
    <w:p w14:paraId="759F2E10" w14:textId="77777777" w:rsidR="00A55119" w:rsidRPr="009D551B" w:rsidRDefault="00A55119" w:rsidP="001A1E8E">
      <w:pPr>
        <w:pStyle w:val="Normlndobloku"/>
      </w:pPr>
    </w:p>
    <w:p w14:paraId="76B72527" w14:textId="77777777" w:rsidR="00957E6B" w:rsidRPr="009D551B" w:rsidRDefault="00DF5A6A" w:rsidP="001A1E8E">
      <w:pPr>
        <w:pStyle w:val="Normlndobloku"/>
      </w:pPr>
      <w:r w:rsidRPr="009D551B">
        <w:t>COSTI</w:t>
      </w:r>
    </w:p>
    <w:p w14:paraId="6B19476B" w14:textId="0E5D4A29" w:rsidR="00130D03" w:rsidRPr="009D551B" w:rsidRDefault="006F7CE2" w:rsidP="001A1E8E">
      <w:pPr>
        <w:pStyle w:val="Normlndobloku"/>
      </w:pPr>
      <w:r w:rsidRPr="009D551B">
        <w:t>10</w:t>
      </w:r>
      <w:r w:rsidR="00A55119" w:rsidRPr="009D551B">
        <w:t> </w:t>
      </w:r>
      <w:r w:rsidRPr="009D551B">
        <w:t xml:space="preserve">mg </w:t>
      </w:r>
      <w:r w:rsidR="00130D03" w:rsidRPr="009D551B">
        <w:t>tablety</w:t>
      </w:r>
    </w:p>
    <w:p w14:paraId="43D5D69F" w14:textId="77777777" w:rsidR="00A55119" w:rsidRPr="009D551B" w:rsidRDefault="00A55119" w:rsidP="001A1E8E">
      <w:pPr>
        <w:pStyle w:val="Normlndobloku"/>
      </w:pPr>
    </w:p>
    <w:p w14:paraId="7D976A40" w14:textId="77777777" w:rsidR="00A55119" w:rsidRPr="009D551B" w:rsidRDefault="00A55119" w:rsidP="001A1E8E">
      <w:pPr>
        <w:pStyle w:val="Normlndobloku"/>
      </w:pPr>
    </w:p>
    <w:p w14:paraId="34D406F2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KVALITATÍVNE A KVANTITATÍVNE ZLOŽENIE</w:t>
      </w:r>
    </w:p>
    <w:p w14:paraId="451B48C2" w14:textId="77777777" w:rsidR="00A55119" w:rsidRPr="009D551B" w:rsidRDefault="00A55119" w:rsidP="001A1E8E">
      <w:pPr>
        <w:pStyle w:val="Normlndobloku"/>
      </w:pPr>
    </w:p>
    <w:p w14:paraId="42C301F5" w14:textId="17DEBD6E" w:rsidR="00E72DE8" w:rsidRPr="009D551B" w:rsidRDefault="00580B2E" w:rsidP="001A1E8E">
      <w:pPr>
        <w:pStyle w:val="Normlndobloku"/>
      </w:pPr>
      <w:r w:rsidRPr="009D551B">
        <w:t xml:space="preserve">Jedna </w:t>
      </w:r>
      <w:r w:rsidR="00E72DE8" w:rsidRPr="009D551B">
        <w:t>tableta obsahuje 10</w:t>
      </w:r>
      <w:r w:rsidR="00A55119" w:rsidRPr="009D551B">
        <w:t> </w:t>
      </w:r>
      <w:r w:rsidR="00E72DE8" w:rsidRPr="009D551B">
        <w:t>mg</w:t>
      </w:r>
      <w:r w:rsidR="00C142BB" w:rsidRPr="009D551B">
        <w:t xml:space="preserve"> domperidónu</w:t>
      </w:r>
      <w:r w:rsidR="00E72DE8" w:rsidRPr="009D551B">
        <w:t>.</w:t>
      </w:r>
    </w:p>
    <w:p w14:paraId="4E2EF8C8" w14:textId="77777777" w:rsidR="00A55119" w:rsidRPr="009D551B" w:rsidRDefault="00A55119" w:rsidP="001A1E8E">
      <w:pPr>
        <w:pStyle w:val="Normlndobloku"/>
      </w:pPr>
    </w:p>
    <w:p w14:paraId="1AC98FD3" w14:textId="54534A29" w:rsidR="00304286" w:rsidRPr="009D551B" w:rsidRDefault="00304286" w:rsidP="001A1E8E">
      <w:pPr>
        <w:pStyle w:val="Normlndobloku"/>
      </w:pPr>
      <w:r w:rsidRPr="00782491">
        <w:rPr>
          <w:u w:val="single"/>
        </w:rPr>
        <w:t>Pomocná látka so známym účinkom</w:t>
      </w:r>
      <w:r w:rsidRPr="009D551B">
        <w:t xml:space="preserve">: Jedna tableta obsahuje menej ako </w:t>
      </w:r>
      <w:r w:rsidRPr="00782491">
        <w:t>1 mmol (23 mg)</w:t>
      </w:r>
      <w:r w:rsidRPr="009D551B">
        <w:t xml:space="preserve"> sodíka.</w:t>
      </w:r>
    </w:p>
    <w:p w14:paraId="193F713A" w14:textId="77777777" w:rsidR="00304286" w:rsidRPr="009D551B" w:rsidRDefault="00304286" w:rsidP="001A1E8E">
      <w:pPr>
        <w:pStyle w:val="Normlndobloku"/>
      </w:pPr>
    </w:p>
    <w:p w14:paraId="7B0AF641" w14:textId="77777777" w:rsidR="00DF5A6A" w:rsidRPr="009D551B" w:rsidRDefault="00DF5A6A" w:rsidP="001A1E8E">
      <w:pPr>
        <w:pStyle w:val="Normlndobloku"/>
      </w:pPr>
      <w:r w:rsidRPr="009D551B">
        <w:t>Úplný zoznam pomocných látok, pozri časť 6.1.</w:t>
      </w:r>
    </w:p>
    <w:p w14:paraId="6E962780" w14:textId="77777777" w:rsidR="00A55119" w:rsidRPr="009D551B" w:rsidRDefault="00A55119" w:rsidP="001A1E8E">
      <w:pPr>
        <w:pStyle w:val="Normlndobloku"/>
      </w:pPr>
    </w:p>
    <w:p w14:paraId="11765E80" w14:textId="77777777" w:rsidR="00A55119" w:rsidRPr="009D551B" w:rsidRDefault="00A55119" w:rsidP="001A1E8E">
      <w:pPr>
        <w:pStyle w:val="Normlndobloku"/>
      </w:pPr>
    </w:p>
    <w:p w14:paraId="051417DD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LIEKOVÁ</w:t>
      </w:r>
      <w:r w:rsidR="00D802A2" w:rsidRPr="009D551B">
        <w:rPr>
          <w:lang w:val="sk-SK"/>
        </w:rPr>
        <w:t xml:space="preserve"> FORMA</w:t>
      </w:r>
    </w:p>
    <w:p w14:paraId="6EE43813" w14:textId="77777777" w:rsidR="00A55119" w:rsidRPr="009D551B" w:rsidRDefault="00A55119" w:rsidP="001A1E8E">
      <w:pPr>
        <w:pStyle w:val="Normlndobloku"/>
      </w:pPr>
    </w:p>
    <w:p w14:paraId="444812FC" w14:textId="77777777" w:rsidR="00825A15" w:rsidRPr="009D551B" w:rsidRDefault="008D081C" w:rsidP="001A1E8E">
      <w:pPr>
        <w:pStyle w:val="Normlndobloku"/>
      </w:pPr>
      <w:r w:rsidRPr="009D551B">
        <w:t>Tableta</w:t>
      </w:r>
    </w:p>
    <w:p w14:paraId="1C0D1E8C" w14:textId="77777777" w:rsidR="00A55119" w:rsidRPr="009D551B" w:rsidRDefault="00A55119" w:rsidP="001A1E8E">
      <w:pPr>
        <w:pStyle w:val="Normlndobloku"/>
      </w:pPr>
    </w:p>
    <w:p w14:paraId="3EA0609C" w14:textId="498AF622" w:rsidR="00785A65" w:rsidRPr="009D551B" w:rsidRDefault="00E72DE8" w:rsidP="001A1E8E">
      <w:pPr>
        <w:pStyle w:val="Normlndobloku"/>
      </w:pPr>
      <w:r w:rsidRPr="009D551B">
        <w:t>Okrúhle</w:t>
      </w:r>
      <w:r w:rsidR="00C142BB" w:rsidRPr="009D551B">
        <w:t>,</w:t>
      </w:r>
      <w:r w:rsidR="006F7CE2" w:rsidRPr="009D551B">
        <w:t xml:space="preserve"> </w:t>
      </w:r>
      <w:r w:rsidRPr="009D551B">
        <w:t>ploché</w:t>
      </w:r>
      <w:r w:rsidR="00C142BB" w:rsidRPr="009D551B">
        <w:t>,</w:t>
      </w:r>
      <w:r w:rsidR="00F1488E" w:rsidRPr="009D551B">
        <w:t xml:space="preserve"> </w:t>
      </w:r>
      <w:r w:rsidRPr="009D551B">
        <w:t xml:space="preserve">ružové tablety </w:t>
      </w:r>
      <w:r w:rsidR="00C142BB" w:rsidRPr="009D551B">
        <w:t xml:space="preserve">s priemerom 7 mm, </w:t>
      </w:r>
      <w:r w:rsidRPr="009D551B">
        <w:t>s </w:t>
      </w:r>
      <w:r w:rsidR="008D081C" w:rsidRPr="009D551B">
        <w:t xml:space="preserve">deliacou </w:t>
      </w:r>
      <w:r w:rsidRPr="009D551B">
        <w:t>ryhou na jednej strane</w:t>
      </w:r>
      <w:r w:rsidR="00C142BB" w:rsidRPr="009D551B">
        <w:t xml:space="preserve"> a</w:t>
      </w:r>
      <w:r w:rsidRPr="009D551B">
        <w:t xml:space="preserve"> s označením “MC” na </w:t>
      </w:r>
      <w:r w:rsidR="00C142BB" w:rsidRPr="009D551B">
        <w:t xml:space="preserve">druhej </w:t>
      </w:r>
      <w:r w:rsidRPr="009D551B">
        <w:t>strane.</w:t>
      </w:r>
      <w:r w:rsidR="00C142BB" w:rsidRPr="009D551B">
        <w:t xml:space="preserve"> </w:t>
      </w:r>
      <w:r w:rsidR="00785A65" w:rsidRPr="009D551B">
        <w:t>Deliaca ryha nie je určená na rozlomenie tablety.</w:t>
      </w:r>
    </w:p>
    <w:p w14:paraId="29A705FB" w14:textId="77777777" w:rsidR="00A55119" w:rsidRPr="009D551B" w:rsidRDefault="00A55119" w:rsidP="001A1E8E">
      <w:pPr>
        <w:pStyle w:val="Normlndobloku"/>
      </w:pPr>
    </w:p>
    <w:p w14:paraId="079D48B3" w14:textId="77777777" w:rsidR="00A55119" w:rsidRPr="009D551B" w:rsidRDefault="00A55119" w:rsidP="001A1E8E">
      <w:pPr>
        <w:pStyle w:val="Normlndobloku"/>
      </w:pPr>
    </w:p>
    <w:p w14:paraId="37FABEB0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KLINICKÉ ÚDAJE</w:t>
      </w:r>
    </w:p>
    <w:p w14:paraId="2972409A" w14:textId="77777777" w:rsidR="00A55119" w:rsidRPr="00782491" w:rsidRDefault="00A55119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F25258B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Terapeutické indikácie</w:t>
      </w:r>
    </w:p>
    <w:p w14:paraId="6F1E17EA" w14:textId="77777777" w:rsidR="00A55119" w:rsidRPr="009D551B" w:rsidRDefault="00A55119" w:rsidP="001A1E8E">
      <w:pPr>
        <w:pStyle w:val="Normlndobloku"/>
      </w:pPr>
    </w:p>
    <w:p w14:paraId="2DAEA213" w14:textId="1C72EA57" w:rsidR="00C142BB" w:rsidRPr="009D551B" w:rsidRDefault="00C142BB" w:rsidP="001A1E8E">
      <w:pPr>
        <w:pStyle w:val="Normlndobloku"/>
        <w:rPr>
          <w:rStyle w:val="Bacil"/>
        </w:rPr>
      </w:pPr>
      <w:r w:rsidRPr="009D551B">
        <w:rPr>
          <w:rStyle w:val="Bacil"/>
        </w:rPr>
        <w:t xml:space="preserve">Dospelí a dospievajúci vo veku 12 rokov a starší </w:t>
      </w:r>
      <w:r w:rsidR="007C348D" w:rsidRPr="00782491">
        <w:rPr>
          <w:rStyle w:val="Bacil"/>
        </w:rPr>
        <w:t>(</w:t>
      </w:r>
      <w:r w:rsidRPr="009D551B">
        <w:rPr>
          <w:rStyle w:val="Bacil"/>
        </w:rPr>
        <w:t>s telesnou hmotnosťou 35 kg a viac)</w:t>
      </w:r>
    </w:p>
    <w:p w14:paraId="3B8CB24C" w14:textId="1F8C7A63" w:rsidR="00E72DE8" w:rsidRPr="009D551B" w:rsidRDefault="00C12001" w:rsidP="001A1E8E">
      <w:pPr>
        <w:pStyle w:val="Normlndobloku"/>
      </w:pPr>
      <w:r w:rsidRPr="009D551B">
        <w:t>COSTI sa používa na úľavu od príznakov nevoľnosti a vracania.</w:t>
      </w:r>
    </w:p>
    <w:p w14:paraId="1FA0E427" w14:textId="77777777" w:rsidR="00AD724F" w:rsidRPr="009D551B" w:rsidRDefault="00AD724F" w:rsidP="001A1E8E">
      <w:pPr>
        <w:pStyle w:val="Normlndobloku"/>
      </w:pPr>
    </w:p>
    <w:p w14:paraId="7A5D7E23" w14:textId="77777777" w:rsidR="00AD724F" w:rsidRPr="009D551B" w:rsidRDefault="00AD724F" w:rsidP="001A1E8E">
      <w:pPr>
        <w:pStyle w:val="Normlndobloku"/>
      </w:pPr>
    </w:p>
    <w:p w14:paraId="6FBCF9FA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Dávkovanie a spôsob podávania</w:t>
      </w:r>
    </w:p>
    <w:p w14:paraId="3FCED000" w14:textId="77777777" w:rsidR="00AD724F" w:rsidRPr="009D551B" w:rsidRDefault="00AD724F" w:rsidP="009D551B">
      <w:pPr>
        <w:pStyle w:val="Styl3"/>
      </w:pPr>
    </w:p>
    <w:p w14:paraId="7C0E644A" w14:textId="77777777" w:rsidR="00E72DE8" w:rsidRPr="00782491" w:rsidRDefault="00DF5A6A" w:rsidP="005C3296">
      <w:pPr>
        <w:spacing w:after="120" w:line="240" w:lineRule="auto"/>
        <w:rPr>
          <w:lang w:val="sk-SK"/>
        </w:rPr>
      </w:pPr>
      <w:r w:rsidRPr="009D551B">
        <w:rPr>
          <w:rFonts w:ascii="Times New Roman" w:hAnsi="Times New Roman"/>
          <w:u w:val="single"/>
          <w:lang w:val="sk-SK"/>
        </w:rPr>
        <w:t>Dávkovanie</w:t>
      </w:r>
    </w:p>
    <w:p w14:paraId="4F2A7859" w14:textId="73115E93" w:rsidR="00041801" w:rsidRPr="009D551B" w:rsidRDefault="00041801" w:rsidP="001A1E8E">
      <w:pPr>
        <w:pStyle w:val="Normlndobloku"/>
      </w:pPr>
      <w:r w:rsidRPr="009D551B">
        <w:t>COSTI sa má užívať v najnižšej účinnej dávke počas najkratšej možnej dĺžky trvania potrebnej na</w:t>
      </w:r>
      <w:r w:rsidR="005E19C1" w:rsidRPr="009D551B">
        <w:t> </w:t>
      </w:r>
      <w:r w:rsidRPr="009D551B">
        <w:t>kontrolu nevoľnosti a vracania.</w:t>
      </w:r>
    </w:p>
    <w:p w14:paraId="2B57C5C6" w14:textId="77777777" w:rsidR="00AD724F" w:rsidRPr="009D551B" w:rsidRDefault="00AD724F" w:rsidP="001A1E8E">
      <w:pPr>
        <w:pStyle w:val="Normlndobloku"/>
      </w:pPr>
    </w:p>
    <w:p w14:paraId="614B15CB" w14:textId="7C6620A4" w:rsidR="00E72DE8" w:rsidRPr="009D551B" w:rsidRDefault="00E72DE8" w:rsidP="001A1E8E">
      <w:pPr>
        <w:pStyle w:val="Normlndobloku"/>
        <w:rPr>
          <w:rStyle w:val="Bacil"/>
        </w:rPr>
      </w:pPr>
      <w:r w:rsidRPr="009D551B">
        <w:rPr>
          <w:rStyle w:val="Bacil"/>
        </w:rPr>
        <w:t xml:space="preserve">Dospelí a </w:t>
      </w:r>
      <w:r w:rsidR="00D22E64" w:rsidRPr="009D551B">
        <w:rPr>
          <w:rStyle w:val="Bacil"/>
        </w:rPr>
        <w:t>dospievajúci (vo veku 12 rokov a starší a s telesnou hmotnosťou 35</w:t>
      </w:r>
      <w:r w:rsidR="00C1247B" w:rsidRPr="009D551B">
        <w:rPr>
          <w:rStyle w:val="Bacil"/>
        </w:rPr>
        <w:t> </w:t>
      </w:r>
      <w:r w:rsidR="00D22E64" w:rsidRPr="009D551B">
        <w:rPr>
          <w:rStyle w:val="Bacil"/>
        </w:rPr>
        <w:t>kg alebo viac)</w:t>
      </w:r>
    </w:p>
    <w:p w14:paraId="188FF6EC" w14:textId="79CEFB4D" w:rsidR="00AD6C68" w:rsidRPr="009D551B" w:rsidRDefault="00282794" w:rsidP="001A1E8E">
      <w:pPr>
        <w:pStyle w:val="Normlndobloku"/>
      </w:pPr>
      <w:r w:rsidRPr="009D551B">
        <w:t>Jedna 10</w:t>
      </w:r>
      <w:r w:rsidR="00C1247B" w:rsidRPr="009D551B">
        <w:t> </w:t>
      </w:r>
      <w:r w:rsidRPr="009D551B">
        <w:t>mg tableta najviac trikrát denne s</w:t>
      </w:r>
      <w:r w:rsidR="00AD6C68" w:rsidRPr="009D551B">
        <w:t xml:space="preserve"> maximálnou dávkou 30</w:t>
      </w:r>
      <w:r w:rsidR="00C1247B" w:rsidRPr="009D551B">
        <w:t> </w:t>
      </w:r>
      <w:r w:rsidR="00AD6C68" w:rsidRPr="009D551B">
        <w:t>mg denne.</w:t>
      </w:r>
    </w:p>
    <w:p w14:paraId="66007DF8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3BED82D0" w14:textId="148BB847" w:rsidR="00D22E64" w:rsidRPr="009D551B" w:rsidRDefault="00D22E64" w:rsidP="001A1E8E">
      <w:pPr>
        <w:pStyle w:val="Normlndobloku"/>
        <w:rPr>
          <w:rStyle w:val="Bacil"/>
        </w:rPr>
      </w:pPr>
      <w:r w:rsidRPr="009D551B">
        <w:rPr>
          <w:rStyle w:val="Bacil"/>
        </w:rPr>
        <w:t>Novorodenci, dojčatá, deti (mladšie ako 12 rokov) a dospievajúci s telesnou hmotnosťou menej ako</w:t>
      </w:r>
      <w:r w:rsidR="005E19C1" w:rsidRPr="009D551B">
        <w:rPr>
          <w:rStyle w:val="Bacil"/>
        </w:rPr>
        <w:t> </w:t>
      </w:r>
      <w:r w:rsidRPr="009D551B">
        <w:rPr>
          <w:rStyle w:val="Bacil"/>
        </w:rPr>
        <w:t>35</w:t>
      </w:r>
      <w:r w:rsidR="006F660F" w:rsidRPr="009D551B">
        <w:t> </w:t>
      </w:r>
      <w:r w:rsidRPr="009D551B">
        <w:rPr>
          <w:rStyle w:val="Bacil"/>
        </w:rPr>
        <w:t>kg</w:t>
      </w:r>
    </w:p>
    <w:p w14:paraId="21C038BC" w14:textId="4F2946A5" w:rsidR="00D22E64" w:rsidRPr="009D551B" w:rsidRDefault="00D22E64" w:rsidP="001A1E8E">
      <w:pPr>
        <w:pStyle w:val="Normlndobloku"/>
        <w:rPr>
          <w:i/>
        </w:rPr>
      </w:pPr>
      <w:r w:rsidRPr="009D551B">
        <w:t>Tablety nie sú vhodné na použitie u detí a dospievajúcich s telesnou hmotnosťou menej ako 35</w:t>
      </w:r>
      <w:r w:rsidR="00C1247B" w:rsidRPr="009D551B">
        <w:t> </w:t>
      </w:r>
      <w:r w:rsidRPr="009D551B">
        <w:t>kg vzhľadom na potrebu presného dávkovania.</w:t>
      </w:r>
    </w:p>
    <w:p w14:paraId="664D4F99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3EF38F7A" w14:textId="77777777" w:rsidR="00C1247B" w:rsidRPr="009D551B" w:rsidRDefault="00C1247B" w:rsidP="00782491">
      <w:pPr>
        <w:pStyle w:val="Normlndobloku"/>
        <w:keepNext/>
        <w:rPr>
          <w:rStyle w:val="Bacil"/>
        </w:rPr>
      </w:pPr>
      <w:r w:rsidRPr="009D551B">
        <w:rPr>
          <w:rStyle w:val="Bacil"/>
          <w:u w:val="single"/>
        </w:rPr>
        <w:lastRenderedPageBreak/>
        <w:t>Osobitné skupiny pacientov</w:t>
      </w:r>
    </w:p>
    <w:p w14:paraId="20D40E91" w14:textId="77777777" w:rsidR="0064611C" w:rsidRPr="009D551B" w:rsidRDefault="00282794" w:rsidP="00782491">
      <w:pPr>
        <w:pStyle w:val="Normlndobloku"/>
        <w:keepNext/>
        <w:rPr>
          <w:rStyle w:val="Bacil"/>
        </w:rPr>
      </w:pPr>
      <w:r w:rsidRPr="009D551B">
        <w:rPr>
          <w:rStyle w:val="Bacil"/>
        </w:rPr>
        <w:t>Porucha funkcie pečene</w:t>
      </w:r>
    </w:p>
    <w:p w14:paraId="023FA2F3" w14:textId="77777777" w:rsidR="0064611C" w:rsidRPr="009D551B" w:rsidRDefault="00282794" w:rsidP="001A1E8E">
      <w:pPr>
        <w:pStyle w:val="Normlndobloku"/>
      </w:pPr>
      <w:r w:rsidRPr="009D551B">
        <w:t>COSTI je kontraindikovaný pri stredne závažnej až závažnej poruche funkcie pečene (pozri časť 4.3). Pri miernej poruche funkcie pečene však úprava dávky nie je potrebná (pozri časť 5.2).</w:t>
      </w:r>
    </w:p>
    <w:p w14:paraId="5E5B08AF" w14:textId="77777777" w:rsidR="00C1247B" w:rsidRPr="009D551B" w:rsidRDefault="00C1247B" w:rsidP="001A1E8E">
      <w:pPr>
        <w:pStyle w:val="Normlndobloku"/>
        <w:rPr>
          <w:rStyle w:val="Bacil"/>
        </w:rPr>
      </w:pPr>
    </w:p>
    <w:p w14:paraId="65691B8F" w14:textId="77777777" w:rsidR="0064611C" w:rsidRPr="009D551B" w:rsidRDefault="00282794" w:rsidP="001A1E8E">
      <w:pPr>
        <w:pStyle w:val="Normlndobloku"/>
        <w:rPr>
          <w:rStyle w:val="Bacil"/>
        </w:rPr>
      </w:pPr>
      <w:r w:rsidRPr="009D551B">
        <w:rPr>
          <w:rStyle w:val="Bacil"/>
        </w:rPr>
        <w:t>Porucha funkcie obličiek</w:t>
      </w:r>
    </w:p>
    <w:p w14:paraId="0C5322B5" w14:textId="7920588C" w:rsidR="00282794" w:rsidRPr="009D551B" w:rsidRDefault="00282794" w:rsidP="001A1E8E">
      <w:pPr>
        <w:pStyle w:val="Normlndobloku"/>
      </w:pPr>
      <w:r w:rsidRPr="009D551B">
        <w:t xml:space="preserve">Keďže je pri závažnej poruche funkcie obličiek polčas eliminácie domperidónu predĺžený, pri opakovanom podávaní sa má frekvencia dávkovania </w:t>
      </w:r>
      <w:r w:rsidR="00CD7577" w:rsidRPr="009D551B">
        <w:t>COSTI</w:t>
      </w:r>
      <w:r w:rsidR="005C23DD" w:rsidRPr="009D551B">
        <w:t xml:space="preserve"> </w:t>
      </w:r>
      <w:r w:rsidRPr="009D551B">
        <w:t>znížiť na jeden</w:t>
      </w:r>
      <w:r w:rsidR="002C12F5" w:rsidRPr="009D551B">
        <w:t>krát</w:t>
      </w:r>
      <w:r w:rsidRPr="009D551B">
        <w:t xml:space="preserve"> až dvakrát denne</w:t>
      </w:r>
      <w:r w:rsidR="005E19C1" w:rsidRPr="009D551B">
        <w:t>,</w:t>
      </w:r>
      <w:r w:rsidRPr="009D551B">
        <w:t xml:space="preserve"> v</w:t>
      </w:r>
      <w:r w:rsidR="006F660F" w:rsidRPr="009D551B">
        <w:t> </w:t>
      </w:r>
      <w:r w:rsidRPr="009D551B">
        <w:t>závislosti od závažnosti poruchy funkcie a môže byť potrebné zníženie dávky.</w:t>
      </w:r>
    </w:p>
    <w:p w14:paraId="6C67207D" w14:textId="77777777" w:rsidR="00AD724F" w:rsidRPr="00782491" w:rsidRDefault="00AD724F" w:rsidP="00782491">
      <w:pPr>
        <w:spacing w:after="0" w:line="240" w:lineRule="auto"/>
        <w:rPr>
          <w:rFonts w:ascii="Times New Roman" w:hAnsi="Times New Roman"/>
        </w:rPr>
      </w:pPr>
    </w:p>
    <w:p w14:paraId="4B565817" w14:textId="77777777" w:rsidR="00DF5A6A" w:rsidRPr="004359C0" w:rsidRDefault="00DF5A6A" w:rsidP="00782491">
      <w:pPr>
        <w:spacing w:after="120" w:line="240" w:lineRule="auto"/>
      </w:pPr>
      <w:r w:rsidRPr="00782491">
        <w:rPr>
          <w:rFonts w:ascii="Times New Roman" w:hAnsi="Times New Roman"/>
          <w:u w:val="single"/>
          <w:lang w:val="sk-SK"/>
        </w:rPr>
        <w:t>Spôsob pod</w:t>
      </w:r>
      <w:r w:rsidR="00AD724F" w:rsidRPr="00782491">
        <w:rPr>
          <w:rFonts w:ascii="Times New Roman" w:hAnsi="Times New Roman"/>
          <w:u w:val="single"/>
          <w:lang w:val="sk-SK"/>
        </w:rPr>
        <w:t>áv</w:t>
      </w:r>
      <w:r w:rsidRPr="00782491">
        <w:rPr>
          <w:rFonts w:ascii="Times New Roman" w:hAnsi="Times New Roman"/>
          <w:u w:val="single"/>
          <w:lang w:val="sk-SK"/>
        </w:rPr>
        <w:t>ania</w:t>
      </w:r>
    </w:p>
    <w:p w14:paraId="4A7E4DC9" w14:textId="77777777" w:rsidR="00041801" w:rsidRPr="009D551B" w:rsidRDefault="00041801" w:rsidP="001A1E8E">
      <w:pPr>
        <w:pStyle w:val="Normlndoblokusodrkami"/>
      </w:pPr>
      <w:r w:rsidRPr="009D551B">
        <w:t>COSTI sa odporúča užívať pred jedlom. Ak sa užije po jedle, vstrebávanie liečiva sa do istej miery oneskorí.</w:t>
      </w:r>
    </w:p>
    <w:p w14:paraId="6A7AF348" w14:textId="6A220406" w:rsidR="00041801" w:rsidRPr="009D551B" w:rsidRDefault="00041801" w:rsidP="001A1E8E">
      <w:pPr>
        <w:pStyle w:val="Normlndoblokusodrkami"/>
      </w:pPr>
      <w:r w:rsidRPr="009D551B">
        <w:t xml:space="preserve">Pacienti </w:t>
      </w:r>
      <w:r w:rsidR="00663565" w:rsidRPr="009D551B">
        <w:t>m</w:t>
      </w:r>
      <w:r w:rsidR="00C1247B" w:rsidRPr="009D551B">
        <w:t xml:space="preserve">ajú </w:t>
      </w:r>
      <w:r w:rsidRPr="009D551B">
        <w:t>užívať každú dávku v naplánovanom čase. Ak sa dávka v</w:t>
      </w:r>
      <w:r w:rsidR="000A5BCE" w:rsidRPr="009D551B">
        <w:rPr>
          <w:noProof w:val="0"/>
        </w:rPr>
        <w:t> </w:t>
      </w:r>
      <w:r w:rsidRPr="009D551B">
        <w:t>naplánovanom čase vynechá, vynechaná dávka sa má preskočiť a má sa pokračovať vo</w:t>
      </w:r>
      <w:r w:rsidR="00C1247B" w:rsidRPr="009D551B">
        <w:t> </w:t>
      </w:r>
      <w:r w:rsidRPr="009D551B">
        <w:t>zvyčajnom dávkovaní. Dávka sa nemá zdvojnásobiť, aby sa nahradila vynechaná dávka.</w:t>
      </w:r>
    </w:p>
    <w:p w14:paraId="09D3F424" w14:textId="77777777" w:rsidR="00041801" w:rsidRPr="009D551B" w:rsidRDefault="00041801" w:rsidP="001A1E8E">
      <w:pPr>
        <w:pStyle w:val="Normlndoblokusodrkami"/>
      </w:pPr>
      <w:r w:rsidRPr="009D551B">
        <w:t>Maximálna dĺžka trvania liečby zvyčajne nemá presiahnuť jeden týždeň.</w:t>
      </w:r>
    </w:p>
    <w:p w14:paraId="2349BA88" w14:textId="77777777" w:rsidR="00AD724F" w:rsidRPr="009D551B" w:rsidRDefault="00AD724F" w:rsidP="001A1E8E">
      <w:pPr>
        <w:pStyle w:val="Normlndobloku"/>
      </w:pPr>
    </w:p>
    <w:p w14:paraId="5E85C8BF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Kontraindikácie</w:t>
      </w:r>
    </w:p>
    <w:p w14:paraId="4D734351" w14:textId="77777777" w:rsidR="002C12F5" w:rsidRPr="009D551B" w:rsidRDefault="002C12F5" w:rsidP="001A1E8E">
      <w:pPr>
        <w:pStyle w:val="Normlndobloku"/>
      </w:pPr>
    </w:p>
    <w:p w14:paraId="59EA64E6" w14:textId="77777777" w:rsidR="00E72DE8" w:rsidRPr="009D551B" w:rsidRDefault="00282794" w:rsidP="001A1E8E">
      <w:pPr>
        <w:pStyle w:val="Normlndobloku"/>
      </w:pPr>
      <w:r w:rsidRPr="009D551B">
        <w:t>Domperidón</w:t>
      </w:r>
      <w:r w:rsidR="00E72DE8" w:rsidRPr="009D551B">
        <w:t xml:space="preserve"> je kontraindikovaný v nasledujúcich </w:t>
      </w:r>
      <w:r w:rsidRPr="009D551B">
        <w:t>prípadoch</w:t>
      </w:r>
      <w:r w:rsidR="00E72DE8" w:rsidRPr="009D551B">
        <w:t>:</w:t>
      </w:r>
    </w:p>
    <w:p w14:paraId="102DA9AB" w14:textId="6CB03660" w:rsidR="00E72DE8" w:rsidRPr="009D551B" w:rsidRDefault="00E72DE8" w:rsidP="001A1E8E">
      <w:pPr>
        <w:pStyle w:val="Normlndoblokusodrkami"/>
      </w:pPr>
      <w:r w:rsidRPr="009D551B">
        <w:t xml:space="preserve">precitlivenosť na </w:t>
      </w:r>
      <w:r w:rsidR="002C12F5" w:rsidRPr="009D551B">
        <w:t>liečivo</w:t>
      </w:r>
      <w:r w:rsidRPr="009D551B">
        <w:t xml:space="preserve"> </w:t>
      </w:r>
      <w:r w:rsidR="00360AFC" w:rsidRPr="009D551B">
        <w:t>alebo na ktorúkoľvek z pomocných látok uvedených v časti 6.1</w:t>
      </w:r>
    </w:p>
    <w:p w14:paraId="42D2BDFE" w14:textId="131976AA" w:rsidR="00A13E89" w:rsidRPr="009D551B" w:rsidRDefault="00E72DE8" w:rsidP="001A1E8E">
      <w:pPr>
        <w:pStyle w:val="Normlndoblokusodrkami"/>
      </w:pPr>
      <w:r w:rsidRPr="009D551B">
        <w:t>u pacientov s nádorom hypofýzy uvoľňujúcim prolaktín (prolaktinóm)</w:t>
      </w:r>
    </w:p>
    <w:p w14:paraId="29CF8DF2" w14:textId="52EA03D1" w:rsidR="00A13E89" w:rsidRPr="009D551B" w:rsidRDefault="00A13E89" w:rsidP="001A1E8E">
      <w:pPr>
        <w:pStyle w:val="Normlndoblokusodrkami"/>
      </w:pPr>
      <w:r w:rsidRPr="009D551B">
        <w:t>u pacientov so stredne závažnou až závažnou poruchou funkcie pečene (poz</w:t>
      </w:r>
      <w:r w:rsidR="0005632B" w:rsidRPr="009D551B">
        <w:t>ri časť 5.2)</w:t>
      </w:r>
    </w:p>
    <w:p w14:paraId="1A853A22" w14:textId="76A13B45" w:rsidR="00A13E89" w:rsidRPr="009D551B" w:rsidRDefault="00A13E89" w:rsidP="001A1E8E">
      <w:pPr>
        <w:pStyle w:val="Normlndoblokusodrkami"/>
      </w:pPr>
      <w:r w:rsidRPr="009D551B">
        <w:t>u pacientov so známym prítomným predĺžením intervalov srdcového vedenia, najmä QTc, u</w:t>
      </w:r>
      <w:r w:rsidR="00926393" w:rsidRPr="009D551B">
        <w:rPr>
          <w:noProof w:val="0"/>
        </w:rPr>
        <w:t> </w:t>
      </w:r>
      <w:r w:rsidRPr="009D551B">
        <w:t>pacientov s významnými poruchami elektrolytovej rovnováhy alebo so základnými srdcovými ochoreniami, ako je napr. kongestívne srdcové zlyhávanie (pozri časť</w:t>
      </w:r>
      <w:r w:rsidR="0005632B" w:rsidRPr="009D551B">
        <w:t xml:space="preserve"> 4.4)</w:t>
      </w:r>
    </w:p>
    <w:p w14:paraId="0413ED31" w14:textId="19774FDA" w:rsidR="00A13E89" w:rsidRPr="009D551B" w:rsidRDefault="00A13E89" w:rsidP="001A1E8E">
      <w:pPr>
        <w:pStyle w:val="Normlndoblokusodrkami"/>
      </w:pPr>
      <w:r w:rsidRPr="009D551B">
        <w:t>pri súbežnom podávaní s liečivami, ktoré predlžuj</w:t>
      </w:r>
      <w:r w:rsidR="0005632B" w:rsidRPr="009D551B">
        <w:t>ú interval QT</w:t>
      </w:r>
      <w:r w:rsidR="002C12F5" w:rsidRPr="009D551B">
        <w:t>, s výnimkou apomorfínu</w:t>
      </w:r>
      <w:r w:rsidR="0005632B" w:rsidRPr="009D551B">
        <w:t xml:space="preserve"> (pozri časť </w:t>
      </w:r>
      <w:r w:rsidR="002C12F5" w:rsidRPr="009D551B">
        <w:t xml:space="preserve">4.4 a </w:t>
      </w:r>
      <w:r w:rsidR="0005632B" w:rsidRPr="009D551B">
        <w:t>4.5)</w:t>
      </w:r>
    </w:p>
    <w:p w14:paraId="6DB5E755" w14:textId="3C115F99" w:rsidR="00D37B40" w:rsidRPr="009D551B" w:rsidRDefault="00D37B40" w:rsidP="001A1E8E">
      <w:pPr>
        <w:pStyle w:val="Normlndoblokusodrkami"/>
      </w:pPr>
      <w:r w:rsidRPr="009D551B">
        <w:t>pri súbežnom podávaní so silnými inhibítormi CYP3A4 (bez ohľadu na ich účinky na predĺženie intervalu QT) (pozri časť 4.5)</w:t>
      </w:r>
    </w:p>
    <w:p w14:paraId="27C207EA" w14:textId="77777777" w:rsidR="002C12F5" w:rsidRPr="009D551B" w:rsidRDefault="002C12F5" w:rsidP="001A1E8E">
      <w:pPr>
        <w:pStyle w:val="Normlndobloku"/>
      </w:pPr>
    </w:p>
    <w:p w14:paraId="59B66A4E" w14:textId="7DCEE9B7" w:rsidR="00E72DE8" w:rsidRPr="009D551B" w:rsidRDefault="006B5601" w:rsidP="001A1E8E">
      <w:pPr>
        <w:pStyle w:val="Normlndobloku"/>
      </w:pPr>
      <w:r w:rsidRPr="009D551B">
        <w:t xml:space="preserve">COSTI </w:t>
      </w:r>
      <w:r w:rsidR="00E72DE8" w:rsidRPr="009D551B">
        <w:t xml:space="preserve">sa nemá užívať v prípade, </w:t>
      </w:r>
      <w:r w:rsidR="005E19C1" w:rsidRPr="009D551B">
        <w:t>a</w:t>
      </w:r>
      <w:r w:rsidR="003E45C2" w:rsidRPr="009D551B">
        <w:t>k</w:t>
      </w:r>
      <w:r w:rsidR="00E72DE8" w:rsidRPr="009D551B">
        <w:t xml:space="preserve"> stimulácia gastrickej motility </w:t>
      </w:r>
      <w:r w:rsidR="003E45C2" w:rsidRPr="009D551B">
        <w:t xml:space="preserve">môže byť </w:t>
      </w:r>
      <w:r w:rsidR="00E72DE8" w:rsidRPr="009D551B">
        <w:t>nebezpečná</w:t>
      </w:r>
      <w:r w:rsidR="005E19C1" w:rsidRPr="009D551B">
        <w:t>,</w:t>
      </w:r>
      <w:r w:rsidR="00E72DE8" w:rsidRPr="009D551B">
        <w:t xml:space="preserve"> napríklad pri</w:t>
      </w:r>
      <w:r w:rsidR="005E19C1" w:rsidRPr="009D551B">
        <w:t> </w:t>
      </w:r>
      <w:r w:rsidR="00E72DE8" w:rsidRPr="009D551B">
        <w:t>gastrointestinálnom krvácaní, mechanickej obštrukcii alebo perforácii.</w:t>
      </w:r>
    </w:p>
    <w:p w14:paraId="46192B6C" w14:textId="77777777" w:rsidR="002C12F5" w:rsidRPr="009D551B" w:rsidRDefault="002C12F5" w:rsidP="001A1E8E">
      <w:pPr>
        <w:pStyle w:val="Normlndobloku"/>
      </w:pPr>
    </w:p>
    <w:p w14:paraId="4EA39617" w14:textId="77777777" w:rsidR="00E72DE8" w:rsidRPr="009D551B" w:rsidRDefault="008C0D59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Osobitné upozornenia a opatrenia pri používaní</w:t>
      </w:r>
    </w:p>
    <w:p w14:paraId="74C1D19C" w14:textId="77777777" w:rsidR="003E45C2" w:rsidRPr="00782491" w:rsidRDefault="003E45C2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4A934508" w14:textId="77777777" w:rsidR="00E72DE8" w:rsidRPr="00782491" w:rsidRDefault="00AA08D9" w:rsidP="005C3296">
      <w:pPr>
        <w:spacing w:after="0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Stavy v gravidite, v šestonedelí a perinatálnom období</w:t>
      </w:r>
    </w:p>
    <w:p w14:paraId="0ECC2B63" w14:textId="05E904E0" w:rsidR="00E72DE8" w:rsidRPr="009D551B" w:rsidRDefault="00E72DE8" w:rsidP="001A1E8E">
      <w:pPr>
        <w:pStyle w:val="Normlndobloku"/>
      </w:pPr>
      <w:r w:rsidRPr="009D551B">
        <w:t>Predpokladá sa, že celkové množstvo domperidónu, ktoré sa vylúči do ľudského mlieka neprekračuje 7</w:t>
      </w:r>
      <w:r w:rsidR="001A2B2A" w:rsidRPr="009D551B">
        <w:t> </w:t>
      </w:r>
      <w:r w:rsidRPr="009D551B">
        <w:t>μg denne, pri podávaní najvyšších odporučených dávok. Nie je známe, či je táto dávka škodlivá pre</w:t>
      </w:r>
      <w:r w:rsidR="005E19C1" w:rsidRPr="009D551B">
        <w:t> </w:t>
      </w:r>
      <w:r w:rsidRPr="009D551B">
        <w:t xml:space="preserve">novorodencov. Preto sa matkám, ktoré užívajú liek </w:t>
      </w:r>
      <w:r w:rsidR="003B00B2" w:rsidRPr="009D551B">
        <w:t xml:space="preserve">COSTI </w:t>
      </w:r>
      <w:r w:rsidRPr="009D551B">
        <w:t>neodporúča dojčiť.</w:t>
      </w:r>
    </w:p>
    <w:p w14:paraId="49A92285" w14:textId="77777777" w:rsidR="003E45C2" w:rsidRPr="009D551B" w:rsidRDefault="003E45C2" w:rsidP="009D551B">
      <w:pPr>
        <w:pStyle w:val="Styl3"/>
      </w:pPr>
    </w:p>
    <w:p w14:paraId="789E32F0" w14:textId="77777777" w:rsidR="00E72DE8" w:rsidRPr="00782491" w:rsidRDefault="008C0D59" w:rsidP="00782491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Deti a dospievajúci</w:t>
      </w:r>
    </w:p>
    <w:p w14:paraId="68150D3B" w14:textId="576CAE5C" w:rsidR="00E72DE8" w:rsidRPr="009D551B" w:rsidRDefault="00E72DE8" w:rsidP="001A1E8E">
      <w:pPr>
        <w:pStyle w:val="Normlndobloku"/>
      </w:pPr>
      <w:r w:rsidRPr="009D551B">
        <w:t>Neurologické nežiaduce účinky sú zriedkavé (pozri časť 4.8).</w:t>
      </w:r>
    </w:p>
    <w:p w14:paraId="0AA98DF1" w14:textId="77777777" w:rsidR="003E45C2" w:rsidRPr="009D551B" w:rsidRDefault="003E45C2" w:rsidP="001A1E8E">
      <w:pPr>
        <w:pStyle w:val="Normlndobloku"/>
      </w:pPr>
    </w:p>
    <w:p w14:paraId="25B7138B" w14:textId="77777777" w:rsidR="00E72DE8" w:rsidRPr="009D551B" w:rsidRDefault="00E72DE8" w:rsidP="001A1E8E">
      <w:pPr>
        <w:pStyle w:val="Normlndobloku"/>
      </w:pPr>
      <w:r w:rsidRPr="009D551B">
        <w:t>Keďže hematoencefalická bariéra a metabolické funkcie nie sú v prvých mesiacoch života dobre vyvinuté, riziko neurologických nežiaducich účinkov je u malých detí vyššie. Preto sa odporúča veľmi presné stanovenie a sledovanie dávkovania u novorodencov, dojčiat, batoliat a malých detí.</w:t>
      </w:r>
    </w:p>
    <w:p w14:paraId="7B758FCA" w14:textId="77777777" w:rsidR="003E45C2" w:rsidRPr="009D551B" w:rsidRDefault="003E45C2" w:rsidP="001A1E8E">
      <w:pPr>
        <w:pStyle w:val="Normlndobloku"/>
      </w:pPr>
    </w:p>
    <w:p w14:paraId="681A1F7B" w14:textId="1CCEB959" w:rsidR="00E72DE8" w:rsidRPr="009D551B" w:rsidRDefault="00E72DE8" w:rsidP="001A1E8E">
      <w:pPr>
        <w:pStyle w:val="Normlndobloku"/>
      </w:pPr>
      <w:r w:rsidRPr="009D551B">
        <w:t xml:space="preserve">Predávkovanie môže u detí spôsobiť extrapyramídové príznaky, ale </w:t>
      </w:r>
      <w:r w:rsidR="003E45C2" w:rsidRPr="009D551B">
        <w:t>je po</w:t>
      </w:r>
      <w:r w:rsidRPr="009D551B">
        <w:t>treb</w:t>
      </w:r>
      <w:r w:rsidR="003E45C2" w:rsidRPr="009D551B">
        <w:t>né</w:t>
      </w:r>
      <w:r w:rsidRPr="009D551B">
        <w:t xml:space="preserve"> </w:t>
      </w:r>
      <w:r w:rsidR="003E45C2" w:rsidRPr="009D551B">
        <w:t>vziať</w:t>
      </w:r>
      <w:r w:rsidRPr="009D551B">
        <w:t xml:space="preserve"> do úvahy aj iné príčiny vzniku týchto príznakov.</w:t>
      </w:r>
    </w:p>
    <w:p w14:paraId="4D36AF7D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45F72746" w14:textId="41A94B8C" w:rsidR="00E72DE8" w:rsidRPr="00782491" w:rsidRDefault="00AA08D9" w:rsidP="00782491">
      <w:pPr>
        <w:keepNext/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Poruch</w:t>
      </w:r>
      <w:r w:rsidR="003E45C2" w:rsidRPr="00782491">
        <w:rPr>
          <w:rFonts w:ascii="Times New Roman" w:hAnsi="Times New Roman"/>
          <w:i/>
          <w:u w:val="single"/>
          <w:lang w:val="sk-SK"/>
        </w:rPr>
        <w:t>a funkcie</w:t>
      </w:r>
      <w:r w:rsidRPr="00782491">
        <w:rPr>
          <w:rFonts w:ascii="Times New Roman" w:hAnsi="Times New Roman"/>
          <w:i/>
          <w:u w:val="single"/>
          <w:lang w:val="sk-SK"/>
        </w:rPr>
        <w:t xml:space="preserve"> pečene</w:t>
      </w:r>
    </w:p>
    <w:p w14:paraId="35AA929B" w14:textId="77777777" w:rsidR="00E72DE8" w:rsidRPr="009D551B" w:rsidRDefault="00E72DE8" w:rsidP="001A1E8E">
      <w:pPr>
        <w:pStyle w:val="Normlndobloku"/>
      </w:pPr>
      <w:r w:rsidRPr="009D551B">
        <w:t xml:space="preserve">Keďže sa domperidón metabolizuje prevažne v pečeni, </w:t>
      </w:r>
      <w:r w:rsidR="003B00B2" w:rsidRPr="009D551B">
        <w:t xml:space="preserve">COSTI </w:t>
      </w:r>
      <w:r w:rsidRPr="009D551B">
        <w:t>sa nemá podávať pacientom s</w:t>
      </w:r>
      <w:r w:rsidR="000A5BCE" w:rsidRPr="009D551B">
        <w:t> </w:t>
      </w:r>
      <w:r w:rsidRPr="009D551B">
        <w:t>poškodenou pečeňou.</w:t>
      </w:r>
    </w:p>
    <w:p w14:paraId="6BC7068B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4D52F237" w14:textId="77777777" w:rsidR="0064611C" w:rsidRPr="00782491" w:rsidRDefault="00F0431E" w:rsidP="005C3296">
      <w:pPr>
        <w:keepNext/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Porucha funkcie obličiek</w:t>
      </w:r>
    </w:p>
    <w:p w14:paraId="0222FB3B" w14:textId="77777777" w:rsidR="0064611C" w:rsidRPr="009D551B" w:rsidRDefault="00F0431E" w:rsidP="001A1E8E">
      <w:pPr>
        <w:pStyle w:val="Normlndobloku"/>
      </w:pPr>
      <w:r w:rsidRPr="009D551B">
        <w:t>Pri závažnej poruche funkcie obličiek je polčas eliminácie domperidónu predĺžený. Pri opakovanom podávaní sa má frekvencia podávania domperidónu znížiť na jeden</w:t>
      </w:r>
      <w:r w:rsidR="003E45C2" w:rsidRPr="009D551B">
        <w:t>krát</w:t>
      </w:r>
      <w:r w:rsidRPr="009D551B">
        <w:t xml:space="preserve"> až dvakrát denne v závislosti od závažnosti poruchy funkcie. Môže byť potrebné zníženie dávky.</w:t>
      </w:r>
    </w:p>
    <w:p w14:paraId="130CB258" w14:textId="77777777" w:rsidR="003E45C2" w:rsidRPr="00782491" w:rsidRDefault="003E45C2" w:rsidP="00AB63A4">
      <w:pPr>
        <w:spacing w:after="0" w:line="240" w:lineRule="auto"/>
        <w:rPr>
          <w:rFonts w:ascii="Times New Roman" w:hAnsi="Times New Roman"/>
          <w:lang w:val="sk-SK"/>
        </w:rPr>
      </w:pPr>
    </w:p>
    <w:p w14:paraId="69229E61" w14:textId="77777777" w:rsidR="0064611C" w:rsidRPr="00782491" w:rsidRDefault="00F0431E" w:rsidP="005C3296">
      <w:pPr>
        <w:spacing w:after="0" w:line="240" w:lineRule="auto"/>
        <w:rPr>
          <w:rFonts w:ascii="Times New Roman" w:hAnsi="Times New Roman"/>
          <w:i/>
          <w:lang w:val="sk-SK"/>
        </w:rPr>
      </w:pPr>
      <w:r w:rsidRPr="00782491">
        <w:rPr>
          <w:rFonts w:ascii="Times New Roman" w:hAnsi="Times New Roman"/>
          <w:i/>
          <w:u w:val="single"/>
          <w:lang w:val="sk-SK"/>
        </w:rPr>
        <w:t>Účinky na kardiovaskulárny systém</w:t>
      </w:r>
    </w:p>
    <w:p w14:paraId="7022D9DC" w14:textId="63F4E392" w:rsidR="0064611C" w:rsidRPr="009D551B" w:rsidRDefault="00F0431E" w:rsidP="001A1E8E">
      <w:pPr>
        <w:pStyle w:val="Normlndobloku"/>
      </w:pPr>
      <w:r w:rsidRPr="009D551B">
        <w:t>Domperidón s</w:t>
      </w:r>
      <w:r w:rsidR="003E45C2" w:rsidRPr="009D551B">
        <w:t>úvisí</w:t>
      </w:r>
      <w:r w:rsidRPr="009D551B">
        <w:t xml:space="preserve"> s</w:t>
      </w:r>
      <w:r w:rsidR="003E45C2" w:rsidRPr="009D551B">
        <w:t> </w:t>
      </w:r>
      <w:r w:rsidRPr="009D551B">
        <w:t xml:space="preserve">predĺžením intervalu QT na elektrokardiograme. Počas dohľadu po uvedení lieku na trh sa u pacientov užívajúcich domperidón objavili veľmi zriedkavé prípady predĺženia intervalu QT a </w:t>
      </w:r>
      <w:r w:rsidRPr="009D551B">
        <w:rPr>
          <w:i/>
        </w:rPr>
        <w:t>torsades de pointes</w:t>
      </w:r>
      <w:r w:rsidRPr="009D551B">
        <w:t>. Tieto hlásenia zahŕňali pacientov s nejasnými rizikovými faktormi, abnormalitami elektrolytovej rovnováhy a so súbežnou liečbou, ktoré mohli predstavovať faktory prispievajúce k</w:t>
      </w:r>
      <w:r w:rsidR="001425F3" w:rsidRPr="009D551B">
        <w:t> </w:t>
      </w:r>
      <w:r w:rsidRPr="009D551B">
        <w:t>vzniku tohto stavu (pozri časť 4.8).</w:t>
      </w:r>
    </w:p>
    <w:p w14:paraId="040CB8F9" w14:textId="77777777" w:rsidR="003E45C2" w:rsidRPr="009D551B" w:rsidRDefault="003E45C2" w:rsidP="001A1E8E">
      <w:pPr>
        <w:pStyle w:val="Normlndobloku"/>
      </w:pPr>
    </w:p>
    <w:p w14:paraId="7720D93B" w14:textId="666D76EE" w:rsidR="0064611C" w:rsidRPr="009D551B" w:rsidRDefault="00F0431E" w:rsidP="001A1E8E">
      <w:pPr>
        <w:pStyle w:val="Normlndobloku"/>
      </w:pPr>
      <w:r w:rsidRPr="009D551B">
        <w:t>Epidemiologické štúdie preukázali, že domperidón s</w:t>
      </w:r>
      <w:r w:rsidR="003E45C2" w:rsidRPr="009D551B">
        <w:t>úvisí</w:t>
      </w:r>
      <w:r w:rsidRPr="009D551B">
        <w:t xml:space="preserve"> so zvýšeným rizikom závažných ventrikulárnych arytmií alebo s náhlou srdcovou smrťou (pozri časť 4.8). Vyššie riziko sa pozorovalo u</w:t>
      </w:r>
      <w:r w:rsidR="00926393" w:rsidRPr="009D551B">
        <w:t> </w:t>
      </w:r>
      <w:r w:rsidRPr="009D551B">
        <w:t>pacientov starších ako 60 rokov, u pacientov užívajúcich denné dávky vyššie ako 30</w:t>
      </w:r>
      <w:r w:rsidR="0031563A" w:rsidRPr="009D551B">
        <w:t> </w:t>
      </w:r>
      <w:r w:rsidRPr="009D551B">
        <w:t>mg a</w:t>
      </w:r>
      <w:r w:rsidR="006F660F" w:rsidRPr="009D551B">
        <w:t> </w:t>
      </w:r>
      <w:r w:rsidRPr="009D551B">
        <w:t>u</w:t>
      </w:r>
      <w:r w:rsidR="000A5BCE" w:rsidRPr="009D551B">
        <w:t> </w:t>
      </w:r>
      <w:r w:rsidRPr="009D551B">
        <w:t>pacientov, ktorí súbežne užívali liečivá predlžujúce interval QT alebo inhibítory CYP3A4.</w:t>
      </w:r>
    </w:p>
    <w:p w14:paraId="423AB627" w14:textId="77777777" w:rsidR="0031563A" w:rsidRPr="009D551B" w:rsidRDefault="0031563A" w:rsidP="001A1E8E">
      <w:pPr>
        <w:pStyle w:val="Normlndobloku"/>
      </w:pPr>
    </w:p>
    <w:p w14:paraId="616ACA9C" w14:textId="77777777" w:rsidR="0064611C" w:rsidRPr="009D551B" w:rsidRDefault="00F0431E" w:rsidP="001A1E8E">
      <w:pPr>
        <w:pStyle w:val="Normlndobloku"/>
      </w:pPr>
      <w:r w:rsidRPr="009D551B">
        <w:t>Domperidón sa má u dospelých a detí používať v najnižšej účinnej dávke.</w:t>
      </w:r>
    </w:p>
    <w:p w14:paraId="58EBB7B5" w14:textId="77777777" w:rsidR="0031563A" w:rsidRPr="009D551B" w:rsidRDefault="0031563A" w:rsidP="001A1E8E">
      <w:pPr>
        <w:pStyle w:val="Normlndobloku"/>
      </w:pPr>
    </w:p>
    <w:p w14:paraId="65F39050" w14:textId="77777777" w:rsidR="0064611C" w:rsidRPr="009D551B" w:rsidRDefault="00F0431E" w:rsidP="001A1E8E">
      <w:pPr>
        <w:pStyle w:val="Normlndobloku"/>
      </w:pPr>
      <w:r w:rsidRPr="009D551B">
        <w:t>Domperidón je kontraindikovaný u pacientov so známym prítomným predĺžením intervalov srdcového vedenia, najmä QTc, u pacientov s významnými poruchami elektrolytovej rovnováhy (hypokaliémia, hyperkaliémia, hypomagneziémia) alebo s bradykardiou alebo u pacientov so základnými srdcovými ochoreniami, ako je napr. kongestívne srdcové zlyhávanie, z dôvodu rizika ventrikulárnej arytmie (pozri časť 4.3). O poruchách elek</w:t>
      </w:r>
      <w:r w:rsidR="0031563A" w:rsidRPr="009D551B">
        <w:t>t</w:t>
      </w:r>
      <w:r w:rsidRPr="009D551B">
        <w:t>rolytovej rovnováhy (hypokaliémia, hyperkaliémia, hypomagneziémia) alebo o bradykardii je známe, že zvyšujú proarytmické riziko.</w:t>
      </w:r>
    </w:p>
    <w:p w14:paraId="4BF44D0A" w14:textId="77777777" w:rsidR="0031563A" w:rsidRPr="009D551B" w:rsidRDefault="0031563A" w:rsidP="001A1E8E">
      <w:pPr>
        <w:pStyle w:val="Normlndobloku"/>
      </w:pPr>
    </w:p>
    <w:p w14:paraId="763C5BC3" w14:textId="77777777" w:rsidR="0064611C" w:rsidRPr="009D551B" w:rsidRDefault="00F0431E" w:rsidP="001A1E8E">
      <w:pPr>
        <w:pStyle w:val="Normlndobloku"/>
      </w:pPr>
      <w:r w:rsidRPr="009D551B">
        <w:t>Ak sa objavia prejavy alebo príznaky, ktoré môžu súvisieť so srdcovou arytmiou, liečba domperidónom sa má ukončiť a pacienti sa majú poradiť so svojím lekárom.</w:t>
      </w:r>
    </w:p>
    <w:p w14:paraId="04992D99" w14:textId="77777777" w:rsidR="0031563A" w:rsidRPr="009D551B" w:rsidRDefault="0031563A" w:rsidP="001A1E8E">
      <w:pPr>
        <w:pStyle w:val="Normlndobloku"/>
      </w:pPr>
    </w:p>
    <w:p w14:paraId="0376ED79" w14:textId="10787E40" w:rsidR="009E02AA" w:rsidRPr="009D551B" w:rsidRDefault="009E02AA" w:rsidP="001A1E8E">
      <w:pPr>
        <w:pStyle w:val="Normlndobloku"/>
      </w:pPr>
      <w:r w:rsidRPr="009D551B">
        <w:t xml:space="preserve">Pacientov je potrebné poučiť, aby </w:t>
      </w:r>
      <w:r w:rsidR="0031563A" w:rsidRPr="009D551B">
        <w:t>ihneď</w:t>
      </w:r>
      <w:r w:rsidRPr="009D551B">
        <w:t xml:space="preserve"> hlásili akékoľvek kardiálne príznaky.</w:t>
      </w:r>
    </w:p>
    <w:p w14:paraId="0480F8DA" w14:textId="77777777" w:rsidR="003E45C2" w:rsidRPr="009D551B" w:rsidRDefault="003E45C2" w:rsidP="001A1E8E">
      <w:pPr>
        <w:pStyle w:val="Normlndobloku"/>
      </w:pPr>
    </w:p>
    <w:p w14:paraId="62D77805" w14:textId="77777777" w:rsidR="0031563A" w:rsidRPr="009D551B" w:rsidRDefault="0031563A" w:rsidP="005C3296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9D551B">
        <w:rPr>
          <w:rFonts w:ascii="Times New Roman" w:hAnsi="Times New Roman"/>
          <w:i/>
          <w:u w:val="single"/>
          <w:lang w:val="sk-SK"/>
        </w:rPr>
        <w:t>Užívanie s apomorfínom</w:t>
      </w:r>
    </w:p>
    <w:p w14:paraId="7F2433D3" w14:textId="77777777" w:rsidR="0031563A" w:rsidRPr="00782491" w:rsidRDefault="0031563A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9D551B">
        <w:rPr>
          <w:rFonts w:ascii="Times New Roman" w:hAnsi="Times New Roman"/>
          <w:lang w:val="sk-SK"/>
        </w:rPr>
        <w:t xml:space="preserve">Užívanie domperidónu s liečivami predlžujúcimi interval QT vrátane apomorfínu je kontraindikované, s výnimkou prípadov, keď priaznivé účinky súbežného podávania s apomorfínom prevažujú nad rizikami, a to len pri striktnom dodržaní odporúčaných opatrení pre súbežné podávanie obsiahnutých v súhrne charakteristických vlastností lieku </w:t>
      </w:r>
      <w:r w:rsidR="00EF11ED" w:rsidRPr="009D551B">
        <w:rPr>
          <w:rFonts w:ascii="Times New Roman" w:hAnsi="Times New Roman"/>
          <w:lang w:val="sk-SK"/>
        </w:rPr>
        <w:t>obsahujúceho</w:t>
      </w:r>
      <w:r w:rsidRPr="009D551B">
        <w:rPr>
          <w:rFonts w:ascii="Times New Roman" w:hAnsi="Times New Roman"/>
          <w:lang w:val="sk-SK"/>
        </w:rPr>
        <w:t xml:space="preserve"> apomorfín. Ďalšie informácie nájdete v súhrne charakteristických vlastností lieku </w:t>
      </w:r>
      <w:r w:rsidR="00EF11ED" w:rsidRPr="009D551B">
        <w:rPr>
          <w:rFonts w:ascii="Times New Roman" w:hAnsi="Times New Roman"/>
          <w:lang w:val="sk-SK"/>
        </w:rPr>
        <w:t>obsahujúceho</w:t>
      </w:r>
      <w:r w:rsidRPr="009D551B">
        <w:rPr>
          <w:rFonts w:ascii="Times New Roman" w:hAnsi="Times New Roman"/>
          <w:lang w:val="sk-SK"/>
        </w:rPr>
        <w:t xml:space="preserve"> apomorfín.</w:t>
      </w:r>
    </w:p>
    <w:p w14:paraId="2AE527F4" w14:textId="77777777" w:rsidR="0031563A" w:rsidRPr="009D551B" w:rsidRDefault="0031563A" w:rsidP="001A1E8E">
      <w:pPr>
        <w:pStyle w:val="Normlndobloku"/>
      </w:pPr>
    </w:p>
    <w:p w14:paraId="24E9E0B9" w14:textId="122BDCF8" w:rsidR="00310DF2" w:rsidRPr="009D551B" w:rsidRDefault="00310DF2" w:rsidP="001A1E8E">
      <w:pPr>
        <w:pStyle w:val="Normlndobloku"/>
      </w:pPr>
      <w:r w:rsidRPr="009D551B">
        <w:t>Tento liek obsahuje menej ako 1 mmol sodíka (23 mg) v jednej tablete, t. j. v podstate zanedbateľné množstvo sodíka.</w:t>
      </w:r>
    </w:p>
    <w:p w14:paraId="579A059C" w14:textId="77777777" w:rsidR="00310DF2" w:rsidRPr="009D551B" w:rsidRDefault="00310DF2" w:rsidP="001A1E8E">
      <w:pPr>
        <w:pStyle w:val="Normlndobloku"/>
      </w:pPr>
    </w:p>
    <w:p w14:paraId="343A90AF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Liekové a iné interakcie</w:t>
      </w:r>
    </w:p>
    <w:p w14:paraId="45CD69A2" w14:textId="77777777" w:rsidR="003E45C2" w:rsidRPr="009D551B" w:rsidRDefault="003E45C2" w:rsidP="001A1E8E">
      <w:pPr>
        <w:pStyle w:val="Normlndobloku"/>
      </w:pPr>
    </w:p>
    <w:p w14:paraId="745A4071" w14:textId="77777777" w:rsidR="00E72DE8" w:rsidRPr="009D551B" w:rsidRDefault="00E72DE8" w:rsidP="001A1E8E">
      <w:pPr>
        <w:pStyle w:val="Normlndobloku"/>
      </w:pPr>
      <w:r w:rsidRPr="009D551B">
        <w:t xml:space="preserve">Hlavný metabolizmus domperidónu prebieha prostredníctvom CYP3A4. Na základe </w:t>
      </w:r>
      <w:r w:rsidRPr="009D551B">
        <w:rPr>
          <w:rStyle w:val="Bacil"/>
        </w:rPr>
        <w:t>in vitro</w:t>
      </w:r>
      <w:r w:rsidRPr="009D551B">
        <w:t xml:space="preserve"> údajov sa predpokladá, že súbežné podávanie liečiv významne inhibujúcich tento enzým môže spôsobiť zvýšenie plazmatických hladín domperidónu. </w:t>
      </w:r>
      <w:r w:rsidRPr="009D551B">
        <w:rPr>
          <w:rStyle w:val="Bacil"/>
        </w:rPr>
        <w:t>In vivo</w:t>
      </w:r>
      <w:r w:rsidRPr="009D551B">
        <w:t xml:space="preserve"> interakčné štúdie s ketokonazolom odhalili výraznú inhibíciu metabolizmu prvého prechodu domperidónu sprostredkovaného CYP3A4 spôsobenú ketokonazolom.</w:t>
      </w:r>
    </w:p>
    <w:p w14:paraId="45673207" w14:textId="77777777" w:rsidR="0031563A" w:rsidRPr="009D551B" w:rsidRDefault="0031563A" w:rsidP="001A1E8E">
      <w:pPr>
        <w:pStyle w:val="Normlndobloku"/>
      </w:pPr>
    </w:p>
    <w:p w14:paraId="22F6FD81" w14:textId="77777777" w:rsidR="0064611C" w:rsidRPr="009D551B" w:rsidRDefault="00600560" w:rsidP="001A1E8E">
      <w:pPr>
        <w:pStyle w:val="Normlndobloku"/>
      </w:pPr>
      <w:r w:rsidRPr="009D551B">
        <w:t>Z dôvodu farmakodynamických a/alebo farmakokinetických interakcií existuje zvýšené riziko výskytu predĺženia intervalu QT.</w:t>
      </w:r>
    </w:p>
    <w:p w14:paraId="7867F1DC" w14:textId="77777777" w:rsidR="0031563A" w:rsidRPr="00782491" w:rsidRDefault="0031563A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46B6875F" w14:textId="77777777" w:rsidR="0064611C" w:rsidRPr="00782491" w:rsidRDefault="00600560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9D551B">
        <w:rPr>
          <w:rFonts w:ascii="Times New Roman" w:hAnsi="Times New Roman"/>
          <w:b/>
          <w:i/>
          <w:u w:val="single"/>
          <w:lang w:val="sk-SK"/>
        </w:rPr>
        <w:t>Súbežné užívanie nasledujúcich liečiv je kontraindikované</w:t>
      </w:r>
    </w:p>
    <w:p w14:paraId="63742A7D" w14:textId="0CB54EA8" w:rsidR="0064611C" w:rsidRPr="009D551B" w:rsidRDefault="00600560" w:rsidP="001A1E8E">
      <w:pPr>
        <w:pStyle w:val="Normlndobloku"/>
      </w:pPr>
      <w:r w:rsidRPr="009D551B">
        <w:t>Liečivá predlžujúce interval QTc</w:t>
      </w:r>
      <w:r w:rsidR="00E82F1C" w:rsidRPr="009D551B">
        <w:t>:</w:t>
      </w:r>
    </w:p>
    <w:p w14:paraId="7A8EFB96" w14:textId="77777777" w:rsidR="0064611C" w:rsidRPr="009D551B" w:rsidRDefault="00600560" w:rsidP="001A1E8E">
      <w:pPr>
        <w:pStyle w:val="Normlndoblokusodrkami"/>
      </w:pPr>
      <w:r w:rsidRPr="009D551B">
        <w:t>antiarytmiká triedy IA (napr. dizopyramid, hydrochinidín, chinidín)</w:t>
      </w:r>
    </w:p>
    <w:p w14:paraId="5A56A533" w14:textId="77777777" w:rsidR="0064611C" w:rsidRPr="009D551B" w:rsidRDefault="00600560" w:rsidP="001A1E8E">
      <w:pPr>
        <w:pStyle w:val="Normlndoblokusodrkami"/>
      </w:pPr>
      <w:r w:rsidRPr="009D551B">
        <w:lastRenderedPageBreak/>
        <w:t>antiarytmiká triedy III (napr. amiodarón, dofetilid, dronedarón, ibutilid, sotalol)</w:t>
      </w:r>
    </w:p>
    <w:p w14:paraId="490C6B2C" w14:textId="77777777" w:rsidR="00EF11ED" w:rsidRPr="009D551B" w:rsidRDefault="00EF11ED" w:rsidP="001A1E8E">
      <w:pPr>
        <w:pStyle w:val="Normlndoblokusodrkami"/>
      </w:pPr>
      <w:r w:rsidRPr="009D551B">
        <w:t>apomorfín, s výnimkou prípadov, keď priaznivé účinky súbežného podávania prevažujú nad rizikami, a to len pri striktnom dodržaní odporúčaných opatrení pre súbežné podávanie. Ďalšie informácie nájdete v súhrne charakteristických vlastností lieku obsahujúceho apomorfín.</w:t>
      </w:r>
    </w:p>
    <w:p w14:paraId="7C78420F" w14:textId="77777777" w:rsidR="0064611C" w:rsidRPr="009D551B" w:rsidRDefault="00600560" w:rsidP="001A1E8E">
      <w:pPr>
        <w:pStyle w:val="Normlndoblokusodrkami"/>
      </w:pPr>
      <w:r w:rsidRPr="009D551B">
        <w:t>určité antipsychotiká (napr. haloperidol, pimozid, sertindol)</w:t>
      </w:r>
    </w:p>
    <w:p w14:paraId="2C8B39CE" w14:textId="77777777" w:rsidR="0064611C" w:rsidRPr="009D551B" w:rsidRDefault="00600560" w:rsidP="001A1E8E">
      <w:pPr>
        <w:pStyle w:val="Normlndoblokusodrkami"/>
      </w:pPr>
      <w:r w:rsidRPr="009D551B">
        <w:t>určité antidepresíva (napr. citalopram, escitalopram)</w:t>
      </w:r>
    </w:p>
    <w:p w14:paraId="74354D27" w14:textId="77777777" w:rsidR="0064611C" w:rsidRPr="009D551B" w:rsidRDefault="00600560" w:rsidP="001A1E8E">
      <w:pPr>
        <w:pStyle w:val="Normlndoblokusodrkami"/>
      </w:pPr>
      <w:r w:rsidRPr="009D551B">
        <w:t>určité antibiotiká (napr. erytromycín, levofloxacín, moxifloxacín, spiramycín)</w:t>
      </w:r>
    </w:p>
    <w:p w14:paraId="3BDDCFA6" w14:textId="77777777" w:rsidR="0064611C" w:rsidRPr="009D551B" w:rsidRDefault="00600560" w:rsidP="001A1E8E">
      <w:pPr>
        <w:pStyle w:val="Normlndoblokusodrkami"/>
      </w:pPr>
      <w:r w:rsidRPr="009D551B">
        <w:t>určité antimykotiká (napr. pentamidín)</w:t>
      </w:r>
    </w:p>
    <w:p w14:paraId="4773DE28" w14:textId="77777777" w:rsidR="0064611C" w:rsidRPr="009D551B" w:rsidRDefault="00600560" w:rsidP="001A1E8E">
      <w:pPr>
        <w:pStyle w:val="Normlndoblokusodrkami"/>
      </w:pPr>
      <w:r w:rsidRPr="009D551B">
        <w:t>určité antimalariká (najmä halofantrín, lumefantrín)</w:t>
      </w:r>
    </w:p>
    <w:p w14:paraId="431E8FFB" w14:textId="77777777" w:rsidR="0064611C" w:rsidRPr="009D551B" w:rsidRDefault="00600560" w:rsidP="001A1E8E">
      <w:pPr>
        <w:pStyle w:val="Normlndoblokusodrkami"/>
      </w:pPr>
      <w:r w:rsidRPr="009D551B">
        <w:t>určité liečivá na gastrointestinálny trakt (napr. cisaprid, dolasetrón, prukaloprid)</w:t>
      </w:r>
    </w:p>
    <w:p w14:paraId="068655CC" w14:textId="77777777" w:rsidR="0064611C" w:rsidRPr="009D551B" w:rsidRDefault="00600560" w:rsidP="001A1E8E">
      <w:pPr>
        <w:pStyle w:val="Normlndoblokusodrkami"/>
      </w:pPr>
      <w:r w:rsidRPr="009D551B">
        <w:t>určité antihistaminiká (napr. mechitazín, mizolastín)</w:t>
      </w:r>
    </w:p>
    <w:p w14:paraId="6A961CC4" w14:textId="77777777" w:rsidR="0064611C" w:rsidRPr="009D551B" w:rsidRDefault="00600560" w:rsidP="001A1E8E">
      <w:pPr>
        <w:pStyle w:val="Normlndoblokusodrkami"/>
      </w:pPr>
      <w:r w:rsidRPr="009D551B">
        <w:t>určité liečivá používané pri rakovine (napr. toremifén, vandetanib, vinkamín)</w:t>
      </w:r>
    </w:p>
    <w:p w14:paraId="1BDA8B1C" w14:textId="77777777" w:rsidR="0064611C" w:rsidRPr="009D551B" w:rsidRDefault="00600560" w:rsidP="001A1E8E">
      <w:pPr>
        <w:pStyle w:val="Normlndoblokusodrkami"/>
      </w:pPr>
      <w:r w:rsidRPr="009D551B">
        <w:t>určité iné liečivá (napr. bepridil, difemanil, metadón)</w:t>
      </w:r>
    </w:p>
    <w:p w14:paraId="2A1766F9" w14:textId="77777777" w:rsidR="0064611C" w:rsidRPr="009D551B" w:rsidRDefault="00600560" w:rsidP="001A1E8E">
      <w:pPr>
        <w:pStyle w:val="Normlndobloku"/>
      </w:pPr>
      <w:r w:rsidRPr="009D551B">
        <w:t>(pozri časť 4.3).</w:t>
      </w:r>
    </w:p>
    <w:p w14:paraId="5ED621F7" w14:textId="77777777" w:rsidR="00174483" w:rsidRPr="009D551B" w:rsidRDefault="00174483" w:rsidP="001A1E8E">
      <w:pPr>
        <w:pStyle w:val="Normlndobloku"/>
      </w:pPr>
    </w:p>
    <w:p w14:paraId="57E1F3D2" w14:textId="79902567" w:rsidR="0064611C" w:rsidRPr="009D551B" w:rsidRDefault="00600560" w:rsidP="001A1E8E">
      <w:pPr>
        <w:pStyle w:val="Normlndobloku"/>
      </w:pPr>
      <w:r w:rsidRPr="009D551B">
        <w:t>Silné inhibítory CYP3A4 (bez ohľadu na ich účinky na predĺženie intervalu QT), t.j.:</w:t>
      </w:r>
    </w:p>
    <w:p w14:paraId="12539922" w14:textId="77777777" w:rsidR="0064611C" w:rsidRPr="009D551B" w:rsidRDefault="00600560" w:rsidP="001A1E8E">
      <w:pPr>
        <w:pStyle w:val="Normlndoblokusodrkami"/>
      </w:pPr>
      <w:r w:rsidRPr="009D551B">
        <w:t>inhibítory proteázy</w:t>
      </w:r>
    </w:p>
    <w:p w14:paraId="2C2658A9" w14:textId="77777777" w:rsidR="0064611C" w:rsidRPr="009D551B" w:rsidRDefault="00600560" w:rsidP="001A1E8E">
      <w:pPr>
        <w:pStyle w:val="Normlndoblokusodrkami"/>
      </w:pPr>
      <w:r w:rsidRPr="009D551B">
        <w:t>systémové azolové antimykotiká</w:t>
      </w:r>
    </w:p>
    <w:p w14:paraId="562424C8" w14:textId="77777777" w:rsidR="0064611C" w:rsidRPr="009D551B" w:rsidRDefault="00600560" w:rsidP="001A1E8E">
      <w:pPr>
        <w:pStyle w:val="Normlndoblokusodrkami"/>
      </w:pPr>
      <w:r w:rsidRPr="009D551B">
        <w:t>niektoré makrolidy (erytromycín, klaritromycín a telitromycín)</w:t>
      </w:r>
    </w:p>
    <w:p w14:paraId="43A4013F" w14:textId="77777777" w:rsidR="0064611C" w:rsidRPr="009D551B" w:rsidRDefault="00600560" w:rsidP="001A1E8E">
      <w:pPr>
        <w:pStyle w:val="Normlndobloku"/>
      </w:pPr>
      <w:r w:rsidRPr="009D551B">
        <w:t>(pozri časť 4.3).</w:t>
      </w:r>
    </w:p>
    <w:p w14:paraId="05D099A5" w14:textId="77777777" w:rsidR="00174483" w:rsidRPr="00782491" w:rsidRDefault="00174483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2EA2F48F" w14:textId="77777777" w:rsidR="0064611C" w:rsidRPr="00782491" w:rsidRDefault="00600560" w:rsidP="00782491">
      <w:pPr>
        <w:pStyle w:val="Styl3"/>
      </w:pPr>
      <w:r w:rsidRPr="00782491">
        <w:t>Súbežné užívanie nasledujúcich liečiv sa neodporúča</w:t>
      </w:r>
    </w:p>
    <w:p w14:paraId="008CEC1E" w14:textId="52A916F0" w:rsidR="0064611C" w:rsidRPr="009D551B" w:rsidRDefault="00600560" w:rsidP="001A1E8E">
      <w:pPr>
        <w:pStyle w:val="Normlndobloku"/>
      </w:pPr>
      <w:r w:rsidRPr="009D551B">
        <w:t>Stredne silné inhibítory CYP3A4 t.j. diltiazem, verapamil a niektoré makrolidy</w:t>
      </w:r>
      <w:r w:rsidR="00E82F1C" w:rsidRPr="009D551B">
        <w:t xml:space="preserve"> </w:t>
      </w:r>
      <w:r w:rsidRPr="009D551B">
        <w:t>(pozri časť 4.3)</w:t>
      </w:r>
      <w:r w:rsidR="00E82F1C" w:rsidRPr="009D551B">
        <w:t>.</w:t>
      </w:r>
    </w:p>
    <w:p w14:paraId="394AEA2E" w14:textId="77777777" w:rsidR="00174483" w:rsidRPr="00782491" w:rsidRDefault="00174483" w:rsidP="00E82F1C">
      <w:pPr>
        <w:spacing w:after="0" w:line="240" w:lineRule="auto"/>
        <w:rPr>
          <w:rFonts w:ascii="Times New Roman" w:hAnsi="Times New Roman"/>
          <w:lang w:val="sk-SK"/>
        </w:rPr>
      </w:pPr>
    </w:p>
    <w:p w14:paraId="0A06B1CB" w14:textId="77777777" w:rsidR="0064611C" w:rsidRPr="00782491" w:rsidRDefault="00600560" w:rsidP="00782491">
      <w:pPr>
        <w:pStyle w:val="Styl3"/>
      </w:pPr>
      <w:r w:rsidRPr="00782491">
        <w:t>Pri súbežnom užívaní nasledujúcich liečiv sa vyžaduje opatrnosť</w:t>
      </w:r>
    </w:p>
    <w:p w14:paraId="3DDF77D6" w14:textId="77777777" w:rsidR="0064611C" w:rsidRPr="009D551B" w:rsidRDefault="00600560" w:rsidP="001A1E8E">
      <w:pPr>
        <w:pStyle w:val="Normlndobloku"/>
      </w:pPr>
      <w:r w:rsidRPr="009D551B">
        <w:t>Pri liečivách vyvolávajúcich bradykardiu a hypokaliémiu, ako aj pri nasledujúcich makrolidoch podieľajúcich sa na predĺžení intervalu QT: azitromycín a roxitromycín (klaritromycín je kontraindikovaný, pretože je silným inhibítorom CYP3A4), sa má postupovať s opatrnosťou.</w:t>
      </w:r>
    </w:p>
    <w:p w14:paraId="41052455" w14:textId="77777777" w:rsidR="00B851F8" w:rsidRPr="009D551B" w:rsidRDefault="00B851F8" w:rsidP="001A1E8E">
      <w:pPr>
        <w:pStyle w:val="Normlndobloku"/>
      </w:pPr>
    </w:p>
    <w:p w14:paraId="7D4FB7AD" w14:textId="77777777" w:rsidR="00600560" w:rsidRPr="009D551B" w:rsidRDefault="00600560" w:rsidP="001A1E8E">
      <w:pPr>
        <w:pStyle w:val="Normlndobloku"/>
      </w:pPr>
      <w:r w:rsidRPr="009D551B">
        <w:t>Vyššie uvedený zoznam liečiv predstavuje charakteristických zástupcov a nie je úplný.</w:t>
      </w:r>
    </w:p>
    <w:p w14:paraId="76467024" w14:textId="77777777" w:rsidR="00174483" w:rsidRPr="009D551B" w:rsidRDefault="00174483" w:rsidP="001A1E8E">
      <w:pPr>
        <w:pStyle w:val="Normlndobloku"/>
      </w:pPr>
    </w:p>
    <w:p w14:paraId="0748FE82" w14:textId="77777777" w:rsidR="00E72DE8" w:rsidRPr="009D551B" w:rsidRDefault="00F10095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Fertilita</w:t>
      </w:r>
      <w:r w:rsidR="008C0D59" w:rsidRPr="009D551B">
        <w:rPr>
          <w:noProof w:val="0"/>
          <w:lang w:val="sk-SK"/>
        </w:rPr>
        <w:t>, gravidita a laktácia</w:t>
      </w:r>
    </w:p>
    <w:p w14:paraId="16586439" w14:textId="77777777" w:rsidR="00174483" w:rsidRPr="00782491" w:rsidRDefault="00174483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58098B83" w14:textId="77777777" w:rsidR="008C0D59" w:rsidRPr="00782491" w:rsidRDefault="008C0D59" w:rsidP="005C3296">
      <w:pPr>
        <w:spacing w:after="0" w:line="240" w:lineRule="auto"/>
        <w:rPr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Gravidita</w:t>
      </w:r>
    </w:p>
    <w:p w14:paraId="013A1243" w14:textId="3BE1D22D" w:rsidR="00E72DE8" w:rsidRPr="009D551B" w:rsidRDefault="00E72DE8" w:rsidP="001A1E8E">
      <w:pPr>
        <w:pStyle w:val="Normlndobloku"/>
      </w:pPr>
      <w:r w:rsidRPr="009D551B">
        <w:t>Existujú len obmedzené post-marketingové údaje o používaní domperidónu u tehotných žien. Štúdia na potkanoch preukázala reprodukčnú toxicitu po podaní vysokej, v tehotenstve toxickej dávk</w:t>
      </w:r>
      <w:r w:rsidR="00EF11ED" w:rsidRPr="009D551B">
        <w:t>y</w:t>
      </w:r>
      <w:r w:rsidRPr="009D551B">
        <w:t xml:space="preserve">. Potenciálne riziko pre ľudí nie je známe. Preto sa </w:t>
      </w:r>
      <w:r w:rsidR="003B00B2" w:rsidRPr="009D551B">
        <w:t xml:space="preserve">COSTI </w:t>
      </w:r>
      <w:r w:rsidRPr="009D551B">
        <w:t>v tehotenstve môže podávať len po potvrdení očakávaného terapeutického prínosu.</w:t>
      </w:r>
    </w:p>
    <w:p w14:paraId="2BDB3682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13C6EC7A" w14:textId="6148CBC8" w:rsidR="00E72DE8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Dojčenie</w:t>
      </w:r>
    </w:p>
    <w:p w14:paraId="516ABBBB" w14:textId="00BD79EA" w:rsidR="00E72DE8" w:rsidRPr="009D551B" w:rsidRDefault="00BF55F6" w:rsidP="001A1E8E">
      <w:pPr>
        <w:pStyle w:val="Normlndobloku"/>
      </w:pPr>
      <w:r w:rsidRPr="009D551B">
        <w:t>Domperidón sa vylučuje do materského mlieka u ľudí a dojčené deti príjmu menej ako 0,1</w:t>
      </w:r>
      <w:r w:rsidR="00EF11ED" w:rsidRPr="009D551B">
        <w:t> </w:t>
      </w:r>
      <w:r w:rsidRPr="009D551B">
        <w:t xml:space="preserve">% dávky pre matku upravenej podľa telesnej hmotnosti. Výskyt nežiaducich účinkov, najmä kardiálnych účinkov, po expozícii prostredníctvom ľudského materského mlieka nie je možné vylúčiť. </w:t>
      </w:r>
      <w:r w:rsidR="00EF11ED" w:rsidRPr="009D551B">
        <w:t>Je potrebné</w:t>
      </w:r>
      <w:r w:rsidRPr="009D551B">
        <w:t xml:space="preserve"> rozhodnúť či ukončiť dojčenie, alebo ukončiť/prerušiť liečbu domperidónom, pri zohľadnení prínosu dojčenia pre dieťa a prínosu liečby pre ženu. V prípade výskytu rizikových faktorov predĺženia intervalu QTc u</w:t>
      </w:r>
      <w:r w:rsidR="001425F3" w:rsidRPr="009D551B">
        <w:t> </w:t>
      </w:r>
      <w:r w:rsidRPr="009D551B">
        <w:t>dojčeného dieťaťa sa má postupovať s opatrnosťou</w:t>
      </w:r>
      <w:r w:rsidR="00E72DE8" w:rsidRPr="009D551B">
        <w:t>.</w:t>
      </w:r>
    </w:p>
    <w:p w14:paraId="06B0C7FF" w14:textId="77777777" w:rsidR="00EF11ED" w:rsidRPr="009D551B" w:rsidRDefault="00EF11ED" w:rsidP="001A1E8E">
      <w:pPr>
        <w:pStyle w:val="Normlndobloku"/>
      </w:pPr>
    </w:p>
    <w:p w14:paraId="46F52F58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Ovplyvnenie schopnosti viesť vozidlá a obsluhovať stroje</w:t>
      </w:r>
    </w:p>
    <w:p w14:paraId="4726152A" w14:textId="77777777" w:rsidR="00EF11ED" w:rsidRPr="009D551B" w:rsidRDefault="00EF11ED" w:rsidP="001A1E8E">
      <w:pPr>
        <w:pStyle w:val="Normlndobloku"/>
      </w:pPr>
    </w:p>
    <w:p w14:paraId="1B06D011" w14:textId="77777777" w:rsidR="00E72DE8" w:rsidRPr="009D551B" w:rsidRDefault="006B5601" w:rsidP="001A1E8E">
      <w:pPr>
        <w:pStyle w:val="Normlndobloku"/>
      </w:pPr>
      <w:r w:rsidRPr="009D551B">
        <w:t xml:space="preserve">COSTI </w:t>
      </w:r>
      <w:r w:rsidR="00E72DE8" w:rsidRPr="009D551B">
        <w:t xml:space="preserve">nemá žiadny alebo má zanedbateľný vplyv na schopnosť viesť </w:t>
      </w:r>
      <w:r w:rsidR="00360AFC" w:rsidRPr="009D551B">
        <w:t xml:space="preserve">vozidlá </w:t>
      </w:r>
      <w:r w:rsidR="00E72DE8" w:rsidRPr="009D551B">
        <w:t>a obsluhovať stroje.</w:t>
      </w:r>
    </w:p>
    <w:p w14:paraId="6F68CD8D" w14:textId="77777777" w:rsidR="00EF11ED" w:rsidRPr="009D551B" w:rsidRDefault="00EF11ED" w:rsidP="001A1E8E">
      <w:pPr>
        <w:pStyle w:val="Normlndobloku"/>
      </w:pPr>
    </w:p>
    <w:p w14:paraId="22A28EF7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Nežiaduce účinky</w:t>
      </w:r>
    </w:p>
    <w:p w14:paraId="51534D35" w14:textId="77777777" w:rsidR="00EF11ED" w:rsidRPr="009D551B" w:rsidRDefault="00EF11ED" w:rsidP="001A1E8E">
      <w:pPr>
        <w:pStyle w:val="Normlndobloku"/>
      </w:pPr>
    </w:p>
    <w:p w14:paraId="03C5BBEE" w14:textId="77777777" w:rsidR="00C346D3" w:rsidRPr="009D551B" w:rsidRDefault="00C346D3" w:rsidP="001A1E8E">
      <w:pPr>
        <w:pStyle w:val="Normlndobloku"/>
      </w:pPr>
      <w:r w:rsidRPr="009D551B">
        <w:t>Frekvencia nežiaducich účinkov je definovaná nasledovne:</w:t>
      </w:r>
    </w:p>
    <w:p w14:paraId="53C74C7C" w14:textId="77777777" w:rsidR="00C346D3" w:rsidRPr="009D551B" w:rsidRDefault="00C346D3" w:rsidP="001A1E8E">
      <w:pPr>
        <w:pStyle w:val="Normlndobloku"/>
      </w:pPr>
      <w:r w:rsidRPr="009D551B">
        <w:t>Veľmi časté (≥</w:t>
      </w:r>
      <w:r w:rsidR="00EF11ED" w:rsidRPr="009D551B">
        <w:t> </w:t>
      </w:r>
      <w:r w:rsidRPr="009D551B">
        <w:t>1/10)</w:t>
      </w:r>
    </w:p>
    <w:p w14:paraId="1FCE25A3" w14:textId="15CF92F0" w:rsidR="00C346D3" w:rsidRPr="009D551B" w:rsidRDefault="00C346D3" w:rsidP="001A1E8E">
      <w:pPr>
        <w:pStyle w:val="Normlndobloku"/>
      </w:pPr>
      <w:r w:rsidRPr="009D551B">
        <w:lastRenderedPageBreak/>
        <w:t>Časté (≥</w:t>
      </w:r>
      <w:r w:rsidR="00EF11ED" w:rsidRPr="009D551B">
        <w:t> </w:t>
      </w:r>
      <w:r w:rsidRPr="009D551B">
        <w:t>1/100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1/10)</w:t>
      </w:r>
    </w:p>
    <w:p w14:paraId="4286A9F8" w14:textId="5744BC4E" w:rsidR="00C346D3" w:rsidRPr="009D551B" w:rsidRDefault="00C346D3" w:rsidP="001A1E8E">
      <w:pPr>
        <w:pStyle w:val="Normlndobloku"/>
      </w:pPr>
      <w:r w:rsidRPr="009D551B">
        <w:t>Menej časté (≥</w:t>
      </w:r>
      <w:r w:rsidR="00EF11ED" w:rsidRPr="009D551B">
        <w:t> </w:t>
      </w:r>
      <w:r w:rsidRPr="009D551B">
        <w:t>1/1</w:t>
      </w:r>
      <w:r w:rsidR="007A0EE6" w:rsidRPr="009D551B">
        <w:t> </w:t>
      </w:r>
      <w:r w:rsidRPr="009D551B">
        <w:t>000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1/100)</w:t>
      </w:r>
    </w:p>
    <w:p w14:paraId="43335B12" w14:textId="02F8E23E" w:rsidR="00C346D3" w:rsidRPr="009D551B" w:rsidRDefault="00C346D3" w:rsidP="001A1E8E">
      <w:pPr>
        <w:pStyle w:val="Normlndobloku"/>
      </w:pPr>
      <w:r w:rsidRPr="009D551B">
        <w:t>Zriedkavé (≥</w:t>
      </w:r>
      <w:r w:rsidR="00EF11ED" w:rsidRPr="009D551B">
        <w:t> </w:t>
      </w:r>
      <w:r w:rsidRPr="009D551B">
        <w:t>1/10</w:t>
      </w:r>
      <w:r w:rsidR="007A0EE6" w:rsidRPr="009D551B">
        <w:t> </w:t>
      </w:r>
      <w:r w:rsidRPr="009D551B">
        <w:t>000</w:t>
      </w:r>
      <w:r w:rsidR="00782491">
        <w:t xml:space="preserve"> až</w:t>
      </w:r>
      <w:r w:rsidRPr="009D551B">
        <w:t xml:space="preserve"> &lt;</w:t>
      </w:r>
      <w:r w:rsidR="00EF11ED" w:rsidRPr="009D551B">
        <w:t> </w:t>
      </w:r>
      <w:r w:rsidRPr="009D551B">
        <w:t>1/1</w:t>
      </w:r>
      <w:r w:rsidR="007A0EE6" w:rsidRPr="009D551B">
        <w:t> </w:t>
      </w:r>
      <w:r w:rsidRPr="009D551B">
        <w:t>000)</w:t>
      </w:r>
    </w:p>
    <w:p w14:paraId="2439A26C" w14:textId="76E5A997" w:rsidR="00C346D3" w:rsidRPr="009D551B" w:rsidRDefault="00C346D3" w:rsidP="001A1E8E">
      <w:pPr>
        <w:pStyle w:val="Normlndobloku"/>
      </w:pPr>
      <w:r w:rsidRPr="009D551B">
        <w:t>Veľmi zriedkavé (&lt;</w:t>
      </w:r>
      <w:r w:rsidR="00EF11ED" w:rsidRPr="009D551B">
        <w:t> </w:t>
      </w:r>
      <w:r w:rsidRPr="009D551B">
        <w:t>1/10</w:t>
      </w:r>
      <w:r w:rsidR="007A0EE6" w:rsidRPr="009D551B">
        <w:t> </w:t>
      </w:r>
      <w:r w:rsidRPr="009D551B">
        <w:t>000)</w:t>
      </w:r>
    </w:p>
    <w:p w14:paraId="5218DDC1" w14:textId="77777777" w:rsidR="0053523F" w:rsidRPr="009D551B" w:rsidRDefault="0053523F" w:rsidP="001A1E8E">
      <w:pPr>
        <w:pStyle w:val="Normlndobloku"/>
      </w:pPr>
      <w:r w:rsidRPr="009D551B">
        <w:t>Neznáme (</w:t>
      </w:r>
      <w:r w:rsidR="00B2497F" w:rsidRPr="009D551B">
        <w:t>z dostupných údajov)</w:t>
      </w:r>
    </w:p>
    <w:p w14:paraId="1F000AC2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5FA97F8E" w14:textId="77777777" w:rsidR="006066B8" w:rsidRPr="00782491" w:rsidRDefault="00E72DE8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Poruchy imunitného systému</w:t>
      </w:r>
    </w:p>
    <w:p w14:paraId="048F4494" w14:textId="63A7F62C" w:rsidR="00E72DE8" w:rsidRPr="009D551B" w:rsidRDefault="006066B8" w:rsidP="001A1E8E">
      <w:pPr>
        <w:pStyle w:val="Normlndobloku"/>
      </w:pPr>
      <w:r w:rsidRPr="009D551B">
        <w:rPr>
          <w:i/>
        </w:rPr>
        <w:t>V</w:t>
      </w:r>
      <w:r w:rsidR="00E72DE8" w:rsidRPr="009D551B">
        <w:rPr>
          <w:i/>
        </w:rPr>
        <w:t>eľmi zriedkav</w:t>
      </w:r>
      <w:r w:rsidR="00C346D3" w:rsidRPr="009D551B">
        <w:rPr>
          <w:i/>
        </w:rPr>
        <w:t>é</w:t>
      </w:r>
      <w:r w:rsidRPr="009D551B">
        <w:t>:</w:t>
      </w:r>
      <w:r w:rsidR="00E42D90" w:rsidRPr="009D551B">
        <w:tab/>
      </w:r>
      <w:r w:rsidR="00E72DE8" w:rsidRPr="009D551B">
        <w:t>alergická reakcia</w:t>
      </w:r>
    </w:p>
    <w:p w14:paraId="07469B04" w14:textId="77777777" w:rsidR="00EF11ED" w:rsidRPr="00782491" w:rsidRDefault="00EF11ED" w:rsidP="005C3296">
      <w:pPr>
        <w:spacing w:after="0" w:line="240" w:lineRule="auto"/>
        <w:rPr>
          <w:rFonts w:ascii="Times New Roman" w:hAnsi="Times New Roman"/>
          <w:lang w:val="sk-SK"/>
        </w:rPr>
      </w:pPr>
    </w:p>
    <w:p w14:paraId="3AB5933D" w14:textId="77777777" w:rsidR="006066B8" w:rsidRPr="00782491" w:rsidRDefault="00E72DE8" w:rsidP="005C3296">
      <w:pPr>
        <w:spacing w:after="0" w:line="240" w:lineRule="auto"/>
        <w:rPr>
          <w:rFonts w:ascii="Times New Roman" w:hAnsi="Times New Roman"/>
          <w:lang w:val="sk-SK"/>
        </w:rPr>
      </w:pPr>
      <w:r w:rsidRPr="00782491">
        <w:rPr>
          <w:rFonts w:ascii="Times New Roman" w:hAnsi="Times New Roman"/>
          <w:u w:val="single"/>
          <w:lang w:val="sk-SK"/>
        </w:rPr>
        <w:t>Poruchy endokrinného systému</w:t>
      </w:r>
    </w:p>
    <w:p w14:paraId="62DE5A22" w14:textId="3D9BDA9D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E42D90" w:rsidRPr="009D551B">
        <w:tab/>
      </w:r>
      <w:r w:rsidR="00E72DE8" w:rsidRPr="009D551B">
        <w:t>zvýšené hladiny prolaktínu</w:t>
      </w:r>
    </w:p>
    <w:p w14:paraId="0734B56E" w14:textId="77777777" w:rsidR="00E42D90" w:rsidRPr="009D551B" w:rsidRDefault="00E42D90" w:rsidP="001A1E8E">
      <w:pPr>
        <w:pStyle w:val="Normlndobloku"/>
      </w:pPr>
    </w:p>
    <w:p w14:paraId="0C20DFBB" w14:textId="77777777" w:rsidR="006066B8" w:rsidRPr="009D551B" w:rsidRDefault="006066B8" w:rsidP="001A1E8E">
      <w:pPr>
        <w:pStyle w:val="Normlndobloku"/>
      </w:pPr>
      <w:r w:rsidRPr="009D551B">
        <w:t>Keďže sa hypofýza nachádza mimo hematoencefalickej bariéry, domperidón môže spôsobiť zvýšenie hladiny prolaktínu. V zriedkavých prípadoch môže táto hyperprolaktinémia spôsobiť neuro-endokrinologické nežiaduce účinky, ako sú galaktorea, gynekomastia a amenorea.</w:t>
      </w:r>
    </w:p>
    <w:p w14:paraId="6433C732" w14:textId="77777777" w:rsidR="00EF11ED" w:rsidRPr="009D551B" w:rsidRDefault="00EF11ED" w:rsidP="009D551B">
      <w:pPr>
        <w:pStyle w:val="Styl3"/>
      </w:pPr>
    </w:p>
    <w:p w14:paraId="316DC732" w14:textId="77777777" w:rsidR="006066B8" w:rsidRPr="009D551B" w:rsidRDefault="00E72DE8" w:rsidP="009D551B">
      <w:pPr>
        <w:pStyle w:val="Styl3"/>
      </w:pPr>
      <w:r w:rsidRPr="009D551B">
        <w:t>Poruchy nervového systému</w:t>
      </w:r>
    </w:p>
    <w:p w14:paraId="5B7F9092" w14:textId="72A210CB" w:rsidR="00E72DE8" w:rsidRPr="009D551B" w:rsidRDefault="006066B8" w:rsidP="001A1E8E">
      <w:pPr>
        <w:pStyle w:val="Normlndobloku"/>
      </w:pPr>
      <w:r w:rsidRPr="009D551B">
        <w:rPr>
          <w:i/>
        </w:rPr>
        <w:t>V</w:t>
      </w:r>
      <w:r w:rsidR="00E72DE8" w:rsidRPr="009D551B">
        <w:rPr>
          <w:i/>
        </w:rPr>
        <w:t>eľmi zriedkav</w:t>
      </w:r>
      <w:r w:rsidR="00C346D3" w:rsidRPr="009D551B">
        <w:rPr>
          <w:i/>
        </w:rPr>
        <w:t>é</w:t>
      </w:r>
      <w:r w:rsidR="00E42D90" w:rsidRPr="009D551B">
        <w:t>:</w:t>
      </w:r>
      <w:r w:rsidR="00E42D90" w:rsidRPr="009D551B">
        <w:tab/>
      </w:r>
      <w:r w:rsidR="00E72DE8" w:rsidRPr="009D551B">
        <w:t xml:space="preserve">extrapyramídové </w:t>
      </w:r>
      <w:r w:rsidR="00F00E26" w:rsidRPr="009D551B">
        <w:t>nežiaduce</w:t>
      </w:r>
      <w:r w:rsidR="00E72DE8" w:rsidRPr="009D551B">
        <w:t xml:space="preserve"> účinky</w:t>
      </w:r>
    </w:p>
    <w:p w14:paraId="47DA0ED9" w14:textId="77777777" w:rsidR="00E42D90" w:rsidRPr="009D551B" w:rsidRDefault="00E42D90" w:rsidP="001A1E8E">
      <w:pPr>
        <w:pStyle w:val="Normlndobloku"/>
      </w:pPr>
    </w:p>
    <w:p w14:paraId="1378848F" w14:textId="77777777" w:rsidR="006066B8" w:rsidRPr="009D551B" w:rsidRDefault="006066B8" w:rsidP="001A1E8E">
      <w:pPr>
        <w:pStyle w:val="Normlndobloku"/>
      </w:pPr>
      <w:r w:rsidRPr="009D551B">
        <w:t>Extrapyramídové nežiaduce účinky sú veľmi zriedkavé u novorodencov a malých detí a len výnimočne sa vyskytujú u dospelých. Po ukončení liečby tieto nežiaduce účinky spontánne a úplne vymiznú.</w:t>
      </w:r>
    </w:p>
    <w:p w14:paraId="118220BE" w14:textId="77777777" w:rsidR="00EF11ED" w:rsidRPr="009D551B" w:rsidRDefault="00EF11ED" w:rsidP="009D551B">
      <w:pPr>
        <w:pStyle w:val="Styl3"/>
      </w:pPr>
    </w:p>
    <w:p w14:paraId="482ED4BE" w14:textId="77777777" w:rsidR="006066B8" w:rsidRPr="009D551B" w:rsidRDefault="006066B8" w:rsidP="009D551B">
      <w:pPr>
        <w:pStyle w:val="Styl3"/>
      </w:pPr>
      <w:r w:rsidRPr="009D551B">
        <w:t>Poruchy srdca a srdcovej činnosti</w:t>
      </w:r>
    </w:p>
    <w:p w14:paraId="47A44DF2" w14:textId="4E6B3FEB" w:rsidR="006066B8" w:rsidRPr="009D551B" w:rsidRDefault="00C346D3" w:rsidP="00782491">
      <w:pPr>
        <w:pStyle w:val="Normlndobloku"/>
      </w:pPr>
      <w:r w:rsidRPr="009D551B">
        <w:rPr>
          <w:i/>
        </w:rPr>
        <w:t>Neznáme</w:t>
      </w:r>
      <w:r w:rsidR="00E42D90" w:rsidRPr="009D551B">
        <w:t>:</w:t>
      </w:r>
      <w:r w:rsidR="00E42D90" w:rsidRPr="009D551B">
        <w:tab/>
      </w:r>
      <w:r w:rsidR="00BF55F6" w:rsidRPr="009D551B">
        <w:t xml:space="preserve">ventrikulárne arytmie, predĺženie intervalu QTc, </w:t>
      </w:r>
      <w:r w:rsidR="00BF55F6" w:rsidRPr="009D551B">
        <w:rPr>
          <w:i/>
        </w:rPr>
        <w:t>torsades de pointes</w:t>
      </w:r>
      <w:r w:rsidR="00BF55F6" w:rsidRPr="009D551B">
        <w:t>, náhla srdcová smrť (pozri časť 4.4)</w:t>
      </w:r>
    </w:p>
    <w:p w14:paraId="054F1D5A" w14:textId="77777777" w:rsidR="00EF11ED" w:rsidRPr="009D551B" w:rsidRDefault="00EF11ED" w:rsidP="009D551B">
      <w:pPr>
        <w:pStyle w:val="Styl3"/>
      </w:pPr>
    </w:p>
    <w:p w14:paraId="4725B068" w14:textId="77777777" w:rsidR="006066B8" w:rsidRPr="009D551B" w:rsidRDefault="006066B8" w:rsidP="009D551B">
      <w:pPr>
        <w:pStyle w:val="Styl3"/>
      </w:pPr>
      <w:r w:rsidRPr="009D551B">
        <w:t>Poruchy g</w:t>
      </w:r>
      <w:r w:rsidR="00E72DE8" w:rsidRPr="009D551B">
        <w:t>astrointestinálne</w:t>
      </w:r>
      <w:r w:rsidRPr="009D551B">
        <w:t>ho traktu</w:t>
      </w:r>
    </w:p>
    <w:p w14:paraId="0BED4DCA" w14:textId="03800419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E42D90" w:rsidRPr="009D551B">
        <w:tab/>
      </w:r>
      <w:r w:rsidR="00E72DE8" w:rsidRPr="009D551B">
        <w:t>gastrointestinálne poruchy vrátane veľmi zriedkavých prechodných črevných kŕčov</w:t>
      </w:r>
    </w:p>
    <w:p w14:paraId="29CE0737" w14:textId="77777777" w:rsidR="00EF11ED" w:rsidRPr="009D551B" w:rsidRDefault="00EF11ED" w:rsidP="009D551B">
      <w:pPr>
        <w:pStyle w:val="Styl3"/>
      </w:pPr>
    </w:p>
    <w:p w14:paraId="5FF791BC" w14:textId="77777777" w:rsidR="006066B8" w:rsidRPr="009D551B" w:rsidRDefault="00E72DE8" w:rsidP="009D551B">
      <w:pPr>
        <w:pStyle w:val="Styl3"/>
      </w:pPr>
      <w:r w:rsidRPr="009D551B">
        <w:t>Poruchy kože a podkožného tkaniva</w:t>
      </w:r>
    </w:p>
    <w:p w14:paraId="379EC173" w14:textId="2130DA18" w:rsidR="00E72DE8" w:rsidRPr="009D551B" w:rsidRDefault="00C346D3" w:rsidP="001A1E8E">
      <w:pPr>
        <w:pStyle w:val="Normlndobloku"/>
      </w:pPr>
      <w:r w:rsidRPr="009D551B">
        <w:t>V</w:t>
      </w:r>
      <w:r w:rsidR="00E72DE8" w:rsidRPr="009D551B">
        <w:t>eľmi zriedkav</w:t>
      </w:r>
      <w:r w:rsidRPr="009D551B">
        <w:t>é</w:t>
      </w:r>
      <w:r w:rsidR="00E42D90" w:rsidRPr="009D551B">
        <w:t>:</w:t>
      </w:r>
      <w:r w:rsidR="00E42D90" w:rsidRPr="009D551B">
        <w:tab/>
      </w:r>
      <w:r w:rsidR="00E72DE8" w:rsidRPr="009D551B">
        <w:t>urtikária</w:t>
      </w:r>
    </w:p>
    <w:p w14:paraId="60701EAF" w14:textId="77777777" w:rsidR="00EF11ED" w:rsidRPr="009D551B" w:rsidRDefault="00EF11ED" w:rsidP="009D551B">
      <w:pPr>
        <w:pStyle w:val="Styl3"/>
      </w:pPr>
    </w:p>
    <w:p w14:paraId="48560B79" w14:textId="77777777" w:rsidR="006066B8" w:rsidRPr="009D551B" w:rsidRDefault="00E72DE8" w:rsidP="009D551B">
      <w:pPr>
        <w:pStyle w:val="Styl3"/>
      </w:pPr>
      <w:r w:rsidRPr="009D551B">
        <w:t>Poruchy r</w:t>
      </w:r>
      <w:r w:rsidR="006066B8" w:rsidRPr="009D551B">
        <w:t>eprodukčného systému a prsníkov</w:t>
      </w:r>
    </w:p>
    <w:p w14:paraId="2802EA04" w14:textId="25FEC303" w:rsidR="00E72DE8" w:rsidRPr="009D551B" w:rsidRDefault="006066B8" w:rsidP="001A1E8E">
      <w:pPr>
        <w:pStyle w:val="Normlndobloku"/>
      </w:pPr>
      <w:r w:rsidRPr="009D551B">
        <w:rPr>
          <w:i/>
        </w:rPr>
        <w:t>Z</w:t>
      </w:r>
      <w:r w:rsidR="00E72DE8" w:rsidRPr="009D551B">
        <w:rPr>
          <w:i/>
        </w:rPr>
        <w:t>riedkav</w:t>
      </w:r>
      <w:r w:rsidR="00C346D3" w:rsidRPr="009D551B">
        <w:rPr>
          <w:i/>
        </w:rPr>
        <w:t>é</w:t>
      </w:r>
      <w:r w:rsidR="00E42D90" w:rsidRPr="009D551B">
        <w:t>:</w:t>
      </w:r>
      <w:r w:rsidR="00E42D90" w:rsidRPr="009D551B">
        <w:tab/>
      </w:r>
      <w:r w:rsidR="00E72DE8" w:rsidRPr="009D551B">
        <w:t>gala</w:t>
      </w:r>
      <w:r w:rsidRPr="009D551B">
        <w:t>ktorea, gynekomastia a</w:t>
      </w:r>
      <w:r w:rsidR="00BC7823" w:rsidRPr="009D551B">
        <w:t> </w:t>
      </w:r>
      <w:r w:rsidRPr="009D551B">
        <w:t>amenorea</w:t>
      </w:r>
    </w:p>
    <w:p w14:paraId="106EB098" w14:textId="3B6FF7D5" w:rsidR="00EF11ED" w:rsidRPr="009D551B" w:rsidRDefault="00EF11ED" w:rsidP="001A1E8E">
      <w:pPr>
        <w:pStyle w:val="Normlndobloku"/>
      </w:pPr>
    </w:p>
    <w:p w14:paraId="017968D3" w14:textId="77777777" w:rsidR="0064611C" w:rsidRPr="009D551B" w:rsidRDefault="007268AA" w:rsidP="009D551B">
      <w:pPr>
        <w:pStyle w:val="Styl3"/>
      </w:pPr>
      <w:r w:rsidRPr="009D551B">
        <w:t>Hlásenie podozrení na nežiaduce reakcie</w:t>
      </w:r>
    </w:p>
    <w:p w14:paraId="29B72392" w14:textId="1526BC44" w:rsidR="007268AA" w:rsidRPr="009D551B" w:rsidRDefault="007268AA" w:rsidP="001A1E8E">
      <w:pPr>
        <w:pStyle w:val="Normlndobloku"/>
      </w:pPr>
      <w:r w:rsidRPr="009D551B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42D90" w:rsidRPr="009D551B">
        <w:t xml:space="preserve">na </w:t>
      </w:r>
      <w:r w:rsidRPr="009D551B">
        <w:rPr>
          <w:highlight w:val="lightGray"/>
        </w:rPr>
        <w:t xml:space="preserve">národné </w:t>
      </w:r>
      <w:r w:rsidR="00E42D90" w:rsidRPr="009D551B">
        <w:rPr>
          <w:highlight w:val="lightGray"/>
        </w:rPr>
        <w:t>centrum</w:t>
      </w:r>
      <w:r w:rsidRPr="009D551B">
        <w:rPr>
          <w:highlight w:val="lightGray"/>
        </w:rPr>
        <w:t xml:space="preserve"> hlásenia uvedené v</w:t>
      </w:r>
      <w:r w:rsidR="00926393" w:rsidRPr="009D551B">
        <w:rPr>
          <w:highlight w:val="lightGray"/>
        </w:rPr>
        <w:t> </w:t>
      </w:r>
      <w:hyperlink r:id="rId9" w:history="1">
        <w:r w:rsidR="00E42D90" w:rsidRPr="009D551B">
          <w:rPr>
            <w:rStyle w:val="Hypertextovprepojenie"/>
            <w:szCs w:val="22"/>
            <w:highlight w:val="lightGray"/>
          </w:rPr>
          <w:t>Prílohe V</w:t>
        </w:r>
      </w:hyperlink>
      <w:r w:rsidRPr="009D551B">
        <w:t>.</w:t>
      </w:r>
    </w:p>
    <w:p w14:paraId="71DC655D" w14:textId="77777777" w:rsidR="00E42D90" w:rsidRPr="009D551B" w:rsidRDefault="00E42D90" w:rsidP="001A1E8E">
      <w:pPr>
        <w:pStyle w:val="Normlndobloku"/>
      </w:pPr>
    </w:p>
    <w:p w14:paraId="2F299783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Predávkovanie</w:t>
      </w:r>
    </w:p>
    <w:p w14:paraId="69A63C0D" w14:textId="77777777" w:rsidR="00E42D90" w:rsidRPr="009D551B" w:rsidRDefault="00E42D90" w:rsidP="001A1E8E">
      <w:pPr>
        <w:pStyle w:val="Normlndobloku"/>
      </w:pPr>
    </w:p>
    <w:p w14:paraId="1568D6F7" w14:textId="77777777" w:rsidR="00F00E26" w:rsidRPr="00782491" w:rsidRDefault="00F00E26" w:rsidP="00782491">
      <w:pPr>
        <w:spacing w:after="0" w:line="240" w:lineRule="auto"/>
        <w:rPr>
          <w:i/>
        </w:rPr>
      </w:pPr>
      <w:r w:rsidRPr="00782491">
        <w:rPr>
          <w:rFonts w:ascii="Times New Roman" w:hAnsi="Times New Roman"/>
          <w:i/>
          <w:lang w:val="sk-SK"/>
        </w:rPr>
        <w:t>Symptómy</w:t>
      </w:r>
    </w:p>
    <w:p w14:paraId="295AB928" w14:textId="720B86D0" w:rsidR="00E72DE8" w:rsidRPr="009D551B" w:rsidRDefault="00E72DE8" w:rsidP="001A1E8E">
      <w:pPr>
        <w:pStyle w:val="Normlndobloku"/>
      </w:pPr>
      <w:r w:rsidRPr="009D551B">
        <w:t>Symptómy predávkovania môžu zahŕňať ospalosť, dezorientáciu a extrapyramídové reakcie, najmä u detí.</w:t>
      </w:r>
    </w:p>
    <w:p w14:paraId="187E05BB" w14:textId="77777777" w:rsidR="00E42D90" w:rsidRPr="009D551B" w:rsidRDefault="00E42D90" w:rsidP="001A1E8E">
      <w:pPr>
        <w:pStyle w:val="Normlndobloku"/>
      </w:pPr>
    </w:p>
    <w:p w14:paraId="23F01FFC" w14:textId="77777777" w:rsidR="00F00E26" w:rsidRPr="00782491" w:rsidRDefault="00F00E26" w:rsidP="00782491">
      <w:pPr>
        <w:spacing w:after="0" w:line="240" w:lineRule="auto"/>
        <w:rPr>
          <w:i/>
        </w:rPr>
      </w:pPr>
      <w:r w:rsidRPr="00782491">
        <w:rPr>
          <w:rFonts w:ascii="Times New Roman" w:hAnsi="Times New Roman"/>
          <w:i/>
          <w:lang w:val="sk-SK"/>
        </w:rPr>
        <w:t>Liečba</w:t>
      </w:r>
    </w:p>
    <w:p w14:paraId="35AE9460" w14:textId="536064A1" w:rsidR="00B675CA" w:rsidRPr="009D551B" w:rsidRDefault="00B675CA" w:rsidP="001A1E8E">
      <w:pPr>
        <w:pStyle w:val="Normlndobloku"/>
      </w:pPr>
      <w:r w:rsidRPr="009D551B">
        <w:t xml:space="preserve">V prípade predávkovania sa má </w:t>
      </w:r>
      <w:r w:rsidR="00E42D90" w:rsidRPr="009D551B">
        <w:t>ihneď</w:t>
      </w:r>
      <w:r w:rsidRPr="009D551B">
        <w:t xml:space="preserve"> poskytnúť štandardná symptomatická liečba. </w:t>
      </w:r>
      <w:r w:rsidR="00E42D90" w:rsidRPr="009D551B">
        <w:t>Je potrebné</w:t>
      </w:r>
      <w:r w:rsidRPr="009D551B">
        <w:t xml:space="preserve"> vykonať sledovanie EKG z dôvodu možnosti predĺženia intervalu QT.</w:t>
      </w:r>
    </w:p>
    <w:p w14:paraId="057EFE9F" w14:textId="77777777" w:rsidR="00E42D90" w:rsidRPr="009D551B" w:rsidRDefault="00E42D90" w:rsidP="001A1E8E">
      <w:pPr>
        <w:pStyle w:val="Normlndobloku"/>
      </w:pPr>
    </w:p>
    <w:p w14:paraId="73FAC1C5" w14:textId="77777777" w:rsidR="00E42D90" w:rsidRPr="009D551B" w:rsidRDefault="00E42D90" w:rsidP="001A1E8E">
      <w:pPr>
        <w:pStyle w:val="Normlndobloku"/>
      </w:pPr>
    </w:p>
    <w:p w14:paraId="75E8A29E" w14:textId="77777777" w:rsidR="00E72DE8" w:rsidRPr="009D551B" w:rsidRDefault="00E72DE8" w:rsidP="00782491">
      <w:pPr>
        <w:pStyle w:val="Styl1"/>
        <w:rPr>
          <w:lang w:val="sk-SK"/>
        </w:rPr>
      </w:pPr>
      <w:r w:rsidRPr="009D551B">
        <w:rPr>
          <w:lang w:val="sk-SK"/>
        </w:rPr>
        <w:lastRenderedPageBreak/>
        <w:t>FARMAKOLOGICKÉ VLASTNOSTI</w:t>
      </w:r>
    </w:p>
    <w:p w14:paraId="78B37192" w14:textId="77777777" w:rsidR="00E42D90" w:rsidRPr="00782491" w:rsidRDefault="00E42D90" w:rsidP="00782491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718D6B7" w14:textId="77777777" w:rsidR="00E72DE8" w:rsidRPr="009D551B" w:rsidRDefault="00E72DE8" w:rsidP="00782491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Farmakodynamické vlastnosti</w:t>
      </w:r>
    </w:p>
    <w:p w14:paraId="2EF1FAE1" w14:textId="77777777" w:rsidR="00E42D90" w:rsidRPr="009D551B" w:rsidRDefault="00E42D90" w:rsidP="00782491">
      <w:pPr>
        <w:pStyle w:val="Normlndobloku"/>
        <w:keepNext/>
      </w:pPr>
    </w:p>
    <w:p w14:paraId="14325FC2" w14:textId="34014C75" w:rsidR="00E72DE8" w:rsidRPr="009D551B" w:rsidRDefault="00E72DE8" w:rsidP="001A1E8E">
      <w:pPr>
        <w:pStyle w:val="Normlndobloku"/>
      </w:pPr>
      <w:r w:rsidRPr="009D551B">
        <w:t xml:space="preserve">Farmakoterapeutická skupina: </w:t>
      </w:r>
      <w:r w:rsidR="006F7CE2" w:rsidRPr="009D551B">
        <w:t>Antiemetiká</w:t>
      </w:r>
      <w:r w:rsidRPr="009D551B">
        <w:t xml:space="preserve">, </w:t>
      </w:r>
      <w:r w:rsidR="006F7CE2" w:rsidRPr="009D551B">
        <w:t>prokinetiká</w:t>
      </w:r>
    </w:p>
    <w:p w14:paraId="6B905D08" w14:textId="77777777" w:rsidR="00E72DE8" w:rsidRPr="009D551B" w:rsidRDefault="00E72DE8" w:rsidP="001A1E8E">
      <w:pPr>
        <w:pStyle w:val="Normlndobloku"/>
      </w:pPr>
      <w:r w:rsidRPr="009D551B">
        <w:t>ATC kód: A03FA03</w:t>
      </w:r>
    </w:p>
    <w:p w14:paraId="1C4DE7A8" w14:textId="77777777" w:rsidR="00E42D90" w:rsidRPr="009D551B" w:rsidRDefault="00E42D90" w:rsidP="001A1E8E">
      <w:pPr>
        <w:pStyle w:val="Normlndobloku"/>
      </w:pPr>
    </w:p>
    <w:p w14:paraId="73BCD34C" w14:textId="77777777" w:rsidR="00E42D90" w:rsidRPr="009D551B" w:rsidRDefault="00E72DE8" w:rsidP="001A1E8E">
      <w:pPr>
        <w:pStyle w:val="Normlndobloku"/>
      </w:pPr>
      <w:r w:rsidRPr="009D551B">
        <w:t>Domperidón je antagonista dopamínu s antiemetickými účinkami, avšak domperidón neprechádza ľahko cez hematoencefalickú bariéru.</w:t>
      </w:r>
    </w:p>
    <w:p w14:paraId="2E02FE73" w14:textId="77777777" w:rsidR="00E42D90" w:rsidRPr="009D551B" w:rsidRDefault="00E42D90" w:rsidP="001A1E8E">
      <w:pPr>
        <w:pStyle w:val="Normlndobloku"/>
      </w:pPr>
    </w:p>
    <w:p w14:paraId="43E854B9" w14:textId="717AB98F" w:rsidR="00E72DE8" w:rsidRPr="009D551B" w:rsidRDefault="00E72DE8" w:rsidP="001A1E8E">
      <w:pPr>
        <w:pStyle w:val="Normlndobloku"/>
      </w:pPr>
      <w:r w:rsidRPr="009D551B">
        <w:t>U pacientov užívajúcich domperidón, predovšetkým u</w:t>
      </w:r>
      <w:r w:rsidR="000A5BCE" w:rsidRPr="009D551B">
        <w:t> </w:t>
      </w:r>
      <w:r w:rsidRPr="009D551B">
        <w:t>dospelých, sa veľmi zriedkavo vyskytujú extrapyramídové nežiaduce účinky, ale domperidón podporuje uvoľňovanie prolaktínu z hypofýzy. Jeho antiemetický účinok môže byť spôsobený kombináciou periférnych (gastrokinetických) účinkov a</w:t>
      </w:r>
      <w:r w:rsidR="001425F3" w:rsidRPr="009D551B">
        <w:t> </w:t>
      </w:r>
      <w:r w:rsidRPr="009D551B">
        <w:t>antagonizmom dopamínových receptorov v</w:t>
      </w:r>
      <w:r w:rsidR="000A5BCE" w:rsidRPr="009D551B">
        <w:t> </w:t>
      </w:r>
      <w:r w:rsidRPr="009D551B">
        <w:t xml:space="preserve">chemoreceptorovej spúšťacej zóne, ktorá leží mimo hematoencefalickej bariéry v </w:t>
      </w:r>
      <w:r w:rsidRPr="009D551B">
        <w:rPr>
          <w:rStyle w:val="Bacil"/>
        </w:rPr>
        <w:t>area postrema</w:t>
      </w:r>
      <w:r w:rsidRPr="009D551B">
        <w:t>. Štúdie na zvieratách poukazujú spolu s nízkymi koncentráciami zistenými v mozgu na prevažne periférny účinok domperidónu na dopamínové receptory.</w:t>
      </w:r>
    </w:p>
    <w:p w14:paraId="430719F8" w14:textId="77777777" w:rsidR="00F164DB" w:rsidRPr="009D551B" w:rsidRDefault="00F164DB" w:rsidP="001A1E8E">
      <w:pPr>
        <w:pStyle w:val="Normlndobloku"/>
      </w:pPr>
    </w:p>
    <w:p w14:paraId="027C13FE" w14:textId="0C2D8E2D" w:rsidR="00E72DE8" w:rsidRPr="009D551B" w:rsidRDefault="00E72DE8" w:rsidP="001A1E8E">
      <w:pPr>
        <w:pStyle w:val="Normlndobloku"/>
      </w:pPr>
      <w:r w:rsidRPr="009D551B">
        <w:t xml:space="preserve">Klinické štúdie poukazujú na to, že perorálny domperidón zvyšuje nižší tlak ezofageálneho sfinktera, </w:t>
      </w:r>
      <w:r w:rsidR="00F164DB" w:rsidRPr="009D551B">
        <w:t>predlžuje</w:t>
      </w:r>
      <w:r w:rsidRPr="009D551B">
        <w:t xml:space="preserve"> trvanie antroduodenálnej motility a zrýchľuje vyprázdňovanie žalúdka. Neovplyvňuje žalúdočnú sekréciu.</w:t>
      </w:r>
    </w:p>
    <w:p w14:paraId="6D17A307" w14:textId="77777777" w:rsidR="00E42D90" w:rsidRPr="009D551B" w:rsidRDefault="00E42D90" w:rsidP="001A1E8E">
      <w:pPr>
        <w:pStyle w:val="Normlndobloku"/>
      </w:pPr>
    </w:p>
    <w:p w14:paraId="3ED646BF" w14:textId="26C3867F" w:rsidR="0064611C" w:rsidRPr="009D551B" w:rsidRDefault="009C2E53" w:rsidP="001A1E8E">
      <w:pPr>
        <w:pStyle w:val="Normlndobloku"/>
      </w:pPr>
      <w:r w:rsidRPr="009D551B">
        <w:t>V súlade s usmerneniami ICH—E14 sa vykonala podrobná štúdia QT. Táto štúdia zahŕňala placebo, účinný porovnávací liek a pozitívny kontrolný liek a vykonala sa u zdravých jedincov s dávkami až do 80</w:t>
      </w:r>
      <w:r w:rsidR="00F164DB" w:rsidRPr="009D551B">
        <w:t> </w:t>
      </w:r>
      <w:r w:rsidRPr="009D551B">
        <w:t>mg denne, domperidón sa podával v dávke 10 alebo 20</w:t>
      </w:r>
      <w:r w:rsidR="00F164DB" w:rsidRPr="009D551B">
        <w:t> </w:t>
      </w:r>
      <w:r w:rsidRPr="009D551B">
        <w:t>mg 4-krát denne. Maximálny rozdiel QTc v</w:t>
      </w:r>
      <w:r w:rsidR="00926393" w:rsidRPr="009D551B">
        <w:t> </w:t>
      </w:r>
      <w:r w:rsidRPr="009D551B">
        <w:t>priemeroch LS pri zmene od východiskového stavu, ktorý sa v tejto štúdii zistil medzi domperidónom a</w:t>
      </w:r>
      <w:r w:rsidR="00926393" w:rsidRPr="009D551B">
        <w:t> </w:t>
      </w:r>
      <w:r w:rsidRPr="009D551B">
        <w:t>placebom, bol 3,4</w:t>
      </w:r>
      <w:r w:rsidR="00F164DB" w:rsidRPr="009D551B">
        <w:t> </w:t>
      </w:r>
      <w:r w:rsidRPr="009D551B">
        <w:t>milisekundy na 4. deň pri 20</w:t>
      </w:r>
      <w:r w:rsidR="00F164DB" w:rsidRPr="009D551B">
        <w:t> </w:t>
      </w:r>
      <w:r w:rsidRPr="009D551B">
        <w:t>mg domperidónu podávaných 4-krát denne. 2-stranný IS 90</w:t>
      </w:r>
      <w:r w:rsidR="00F164DB" w:rsidRPr="009D551B">
        <w:t> </w:t>
      </w:r>
      <w:r w:rsidRPr="009D551B">
        <w:t>% (1,0 až 5,9</w:t>
      </w:r>
      <w:r w:rsidR="00F164DB" w:rsidRPr="009D551B">
        <w:t> </w:t>
      </w:r>
      <w:r w:rsidRPr="009D551B">
        <w:t>milisekundy) neprekročil 10</w:t>
      </w:r>
      <w:r w:rsidR="00F164DB" w:rsidRPr="009D551B">
        <w:t> </w:t>
      </w:r>
      <w:r w:rsidRPr="009D551B">
        <w:t>milisekúnd. Pri podávaní domperidónu v dávkach až do 80</w:t>
      </w:r>
      <w:r w:rsidR="00926393" w:rsidRPr="009D551B">
        <w:t> mg/deň (t.</w:t>
      </w:r>
      <w:r w:rsidRPr="009D551B">
        <w:t>j. viac ako dvojnásobok maximálneho odporúčaného dávkovania) sa v tejto štúdii nepozorovali žiadne klinicky významné účinky na interval QTc.</w:t>
      </w:r>
    </w:p>
    <w:p w14:paraId="3D64D9E4" w14:textId="77777777" w:rsidR="00F164DB" w:rsidRPr="009D551B" w:rsidRDefault="00F164DB" w:rsidP="001A1E8E">
      <w:pPr>
        <w:pStyle w:val="Normlndobloku"/>
      </w:pPr>
    </w:p>
    <w:p w14:paraId="6107C4C3" w14:textId="7384C417" w:rsidR="009C2E53" w:rsidRPr="009D551B" w:rsidRDefault="009C2E53" w:rsidP="001A1E8E">
      <w:pPr>
        <w:pStyle w:val="Normlndobloku"/>
      </w:pPr>
      <w:r w:rsidRPr="009D551B">
        <w:t>Dve predchádzajúce štúdie liekových interakcií však preukázali určitý dôkaz predĺženia intervalu QTc pri podávaní domperidónu v monoterapii (10</w:t>
      </w:r>
      <w:r w:rsidR="00F164DB" w:rsidRPr="009D551B">
        <w:t> </w:t>
      </w:r>
      <w:r w:rsidRPr="009D551B">
        <w:t>mg 4-krát denne). Najväčší časovo zhodný priemerný rozdiel QTcF medzi domperidónom a placebom bol 5,4</w:t>
      </w:r>
      <w:r w:rsidR="00F164DB" w:rsidRPr="009D551B">
        <w:t> </w:t>
      </w:r>
      <w:r w:rsidRPr="009D551B">
        <w:t>milisekundy (95</w:t>
      </w:r>
      <w:r w:rsidR="00F164DB" w:rsidRPr="009D551B">
        <w:t> </w:t>
      </w:r>
      <w:r w:rsidRPr="009D551B">
        <w:t>% IS: -1,7 až 12,4) pri domperidóne a</w:t>
      </w:r>
      <w:r w:rsidR="00926393" w:rsidRPr="009D551B">
        <w:t> </w:t>
      </w:r>
      <w:r w:rsidRPr="009D551B">
        <w:t>7,5</w:t>
      </w:r>
      <w:r w:rsidR="00F164DB" w:rsidRPr="009D551B">
        <w:t> </w:t>
      </w:r>
      <w:r w:rsidRPr="009D551B">
        <w:t>milisekundy (95</w:t>
      </w:r>
      <w:r w:rsidR="00F164DB" w:rsidRPr="009D551B">
        <w:t> </w:t>
      </w:r>
      <w:r w:rsidRPr="009D551B">
        <w:t>% IS: 0,6 až 14,4) pri placebe.</w:t>
      </w:r>
    </w:p>
    <w:p w14:paraId="02144AE1" w14:textId="77777777" w:rsidR="00F164DB" w:rsidRPr="009D551B" w:rsidRDefault="00F164DB" w:rsidP="001A1E8E">
      <w:pPr>
        <w:pStyle w:val="Normlndobloku"/>
      </w:pPr>
    </w:p>
    <w:p w14:paraId="5F894BA4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Farmakokinetické vlastnosti</w:t>
      </w:r>
    </w:p>
    <w:p w14:paraId="3127AB5F" w14:textId="77777777" w:rsidR="00F164DB" w:rsidRPr="009D551B" w:rsidRDefault="00F164DB" w:rsidP="009D551B">
      <w:pPr>
        <w:pStyle w:val="Styl3"/>
      </w:pPr>
    </w:p>
    <w:p w14:paraId="59E62F5B" w14:textId="77777777" w:rsidR="00E72DE8" w:rsidRPr="009D551B" w:rsidRDefault="00E72DE8" w:rsidP="009D551B">
      <w:pPr>
        <w:pStyle w:val="Styl3"/>
      </w:pPr>
      <w:r w:rsidRPr="009D551B">
        <w:t>Absorpcia</w:t>
      </w:r>
    </w:p>
    <w:p w14:paraId="6EB399B6" w14:textId="4763A535" w:rsidR="0064611C" w:rsidRPr="009D551B" w:rsidRDefault="00ED70DE" w:rsidP="001A1E8E">
      <w:pPr>
        <w:pStyle w:val="Normlndobloku"/>
      </w:pPr>
      <w:r w:rsidRPr="009D551B">
        <w:t>Domperidón sa po perorálnom podaní vstrebáva rýchlo s maximálnymi plazmatickými koncentráciami objavujúcimi sa približne 1 hodinu po podaní dávky. Hodnoty C</w:t>
      </w:r>
      <w:r w:rsidRPr="009D551B">
        <w:rPr>
          <w:vertAlign w:val="subscript"/>
        </w:rPr>
        <w:t>max</w:t>
      </w:r>
      <w:r w:rsidRPr="009D551B">
        <w:t xml:space="preserve"> a AUC domperidónu v rozsahu dávky 10 až 20</w:t>
      </w:r>
      <w:r w:rsidR="003146E0" w:rsidRPr="009D551B">
        <w:t> </w:t>
      </w:r>
      <w:r w:rsidRPr="009D551B">
        <w:t>mg sa zvyšujú priamoúmerne s dávkou. Pri opakovanom podávaní dávky domperidónu štyrikrát denne (každých 5 hodín) počas 4 dní sa pozorovala 2- až 3-násobná akumulácia AUC domperidónu.</w:t>
      </w:r>
    </w:p>
    <w:p w14:paraId="7B1CCB48" w14:textId="77777777" w:rsidR="003146E0" w:rsidRPr="009D551B" w:rsidRDefault="003146E0" w:rsidP="001A1E8E">
      <w:pPr>
        <w:pStyle w:val="Normlndobloku"/>
      </w:pPr>
    </w:p>
    <w:p w14:paraId="1AAF8637" w14:textId="77777777" w:rsidR="00E72DE8" w:rsidRPr="009D551B" w:rsidRDefault="00ED70DE" w:rsidP="001A1E8E">
      <w:pPr>
        <w:pStyle w:val="Normlndobloku"/>
      </w:pPr>
      <w:r w:rsidRPr="009D551B">
        <w:t>Hoci sa u zdravých jedincov biologická dostupnosť domperidónu pri jeho užívaní po jedle zvyšuje, pacienti s gastrointestinálnymi problémami majú domperidón užívať 15 – 30 minút pred jedlom. Znížená acidita žalúdka zhoršuje vstrebávanie domperidónu. Biologická dostupnosť po perorálnom podaní je znížená predchádzajúcim súbežným podávaním cimetidínu a hydrogenuhličitanu sodného.</w:t>
      </w:r>
    </w:p>
    <w:p w14:paraId="5ABCA599" w14:textId="77777777" w:rsidR="003146E0" w:rsidRPr="009D551B" w:rsidRDefault="003146E0" w:rsidP="009D551B">
      <w:pPr>
        <w:pStyle w:val="Styl3"/>
      </w:pPr>
    </w:p>
    <w:p w14:paraId="1229D293" w14:textId="77777777" w:rsidR="00E72DE8" w:rsidRPr="009D551B" w:rsidRDefault="00E72DE8" w:rsidP="009D551B">
      <w:pPr>
        <w:pStyle w:val="Styl3"/>
      </w:pPr>
      <w:r w:rsidRPr="009D551B">
        <w:t>Distribúcia</w:t>
      </w:r>
    </w:p>
    <w:p w14:paraId="69800BC5" w14:textId="31F915BE" w:rsidR="00E72DE8" w:rsidRPr="009D551B" w:rsidRDefault="00E72DE8" w:rsidP="001A1E8E">
      <w:pPr>
        <w:pStyle w:val="Normlndobloku"/>
      </w:pPr>
      <w:r w:rsidRPr="009D551B">
        <w:t>Nezdá sa, že sa perorálny domperidón kumul</w:t>
      </w:r>
      <w:r w:rsidR="003146E0" w:rsidRPr="009D551B">
        <w:t>uje</w:t>
      </w:r>
      <w:r w:rsidRPr="009D551B">
        <w:t xml:space="preserve"> alebo </w:t>
      </w:r>
      <w:r w:rsidR="003146E0" w:rsidRPr="009D551B">
        <w:t xml:space="preserve">že </w:t>
      </w:r>
      <w:r w:rsidRPr="009D551B">
        <w:t>induk</w:t>
      </w:r>
      <w:r w:rsidR="003146E0" w:rsidRPr="009D551B">
        <w:t>uje</w:t>
      </w:r>
      <w:r w:rsidRPr="009D551B">
        <w:t xml:space="preserve"> vlastný metabolizmus, najvyššia plazmatická koncentrácia po 90 minútach (21</w:t>
      </w:r>
      <w:r w:rsidR="003146E0" w:rsidRPr="009D551B">
        <w:t> </w:t>
      </w:r>
      <w:r w:rsidRPr="009D551B">
        <w:t>ng/ml) po dvoch týždňoch perorálneho podávania 30</w:t>
      </w:r>
      <w:r w:rsidR="003146E0" w:rsidRPr="009D551B">
        <w:t> </w:t>
      </w:r>
      <w:r w:rsidRPr="009D551B">
        <w:t>mg denne bola takmer rovnaká (18</w:t>
      </w:r>
      <w:r w:rsidR="003146E0" w:rsidRPr="009D551B">
        <w:t> </w:t>
      </w:r>
      <w:r w:rsidRPr="009D551B">
        <w:t>ng/ml) ako po prvej dávke. 91</w:t>
      </w:r>
      <w:r w:rsidR="003146E0" w:rsidRPr="009D551B">
        <w:t> </w:t>
      </w:r>
      <w:r w:rsidR="003D33A1" w:rsidRPr="009D551B">
        <w:t>–</w:t>
      </w:r>
      <w:r w:rsidR="003146E0" w:rsidRPr="009D551B">
        <w:t> </w:t>
      </w:r>
      <w:r w:rsidRPr="009D551B">
        <w:t>93</w:t>
      </w:r>
      <w:r w:rsidR="007F7004" w:rsidRPr="009D551B">
        <w:t> </w:t>
      </w:r>
      <w:r w:rsidRPr="009D551B">
        <w:t xml:space="preserve">% domperidónu sa viaže na plazmatické bielkoviny. Štúdie na zvieratách, ktoré boli zamerané na distribúciu rádioaktívne </w:t>
      </w:r>
      <w:r w:rsidRPr="009D551B">
        <w:lastRenderedPageBreak/>
        <w:t>označeného lieku, poukazujú na rozsiahlu distribúciu v tkanivách, ale na nízku koncentráciu v mozgu. V štúdii na potkanoch bol</w:t>
      </w:r>
      <w:r w:rsidR="003146E0" w:rsidRPr="009D551B">
        <w:t>o</w:t>
      </w:r>
      <w:r w:rsidRPr="009D551B">
        <w:t xml:space="preserve"> zistené, že malé množstvá liečiva prechádzajú cez placentu.</w:t>
      </w:r>
    </w:p>
    <w:p w14:paraId="70507182" w14:textId="77777777" w:rsidR="003146E0" w:rsidRPr="009D551B" w:rsidRDefault="003146E0" w:rsidP="009D551B">
      <w:pPr>
        <w:pStyle w:val="Styl3"/>
      </w:pPr>
    </w:p>
    <w:p w14:paraId="591F8C79" w14:textId="77777777" w:rsidR="00E72DE8" w:rsidRPr="009D551B" w:rsidRDefault="00D802A2" w:rsidP="009D551B">
      <w:pPr>
        <w:pStyle w:val="Styl3"/>
      </w:pPr>
      <w:r w:rsidRPr="009D551B">
        <w:t>Biotransformácia</w:t>
      </w:r>
    </w:p>
    <w:p w14:paraId="2A5CEEBA" w14:textId="682C4936" w:rsidR="00E72DE8" w:rsidRPr="009D551B" w:rsidRDefault="00E72DE8" w:rsidP="001A1E8E">
      <w:pPr>
        <w:pStyle w:val="Normlndobloku"/>
      </w:pPr>
      <w:r w:rsidRPr="009D551B">
        <w:t>Domperidón podlieha rýchlemu a extenzívnemu metabolizmu v pečeni hydroxyláciou a</w:t>
      </w:r>
      <w:r w:rsidR="00B635E6" w:rsidRPr="009D551B">
        <w:t> </w:t>
      </w:r>
      <w:r w:rsidRPr="009D551B">
        <w:t>N</w:t>
      </w:r>
      <w:r w:rsidR="00B635E6" w:rsidRPr="009D551B">
        <w:noBreakHyphen/>
      </w:r>
      <w:r w:rsidRPr="009D551B">
        <w:t xml:space="preserve">dealkyláciou. </w:t>
      </w:r>
      <w:r w:rsidRPr="009D551B">
        <w:rPr>
          <w:i/>
        </w:rPr>
        <w:t>In vitro</w:t>
      </w:r>
      <w:r w:rsidRPr="009D551B">
        <w:t xml:space="preserve"> štúdie metabolizmu s diagnostickými inhibítormi odhalili, že CYP3A4 je hlavnou izoformou cytochrómu P450, ktorá sa podieľa na N</w:t>
      </w:r>
      <w:r w:rsidR="00B635E6" w:rsidRPr="009D551B">
        <w:noBreakHyphen/>
      </w:r>
      <w:r w:rsidRPr="009D551B">
        <w:t>dealkylácii domperidónu, zatiaľ čo CYP3A4,</w:t>
      </w:r>
      <w:r w:rsidR="001A2B2A" w:rsidRPr="009D551B">
        <w:t xml:space="preserve"> </w:t>
      </w:r>
      <w:r w:rsidRPr="009D551B">
        <w:t>CYP1A2 a</w:t>
      </w:r>
      <w:r w:rsidR="00836AB1" w:rsidRPr="009D551B">
        <w:t> </w:t>
      </w:r>
      <w:r w:rsidRPr="009D551B">
        <w:t>CYP2E1 sa podieľajú na hydroxylácii aromatického jadra domperidónu.</w:t>
      </w:r>
    </w:p>
    <w:p w14:paraId="4A3F1735" w14:textId="77777777" w:rsidR="00B635E6" w:rsidRPr="009D551B" w:rsidRDefault="00B635E6" w:rsidP="009D551B">
      <w:pPr>
        <w:pStyle w:val="Styl3"/>
      </w:pPr>
    </w:p>
    <w:p w14:paraId="716A2A96" w14:textId="77777777" w:rsidR="00E72DE8" w:rsidRPr="009D551B" w:rsidRDefault="00D802A2" w:rsidP="009D551B">
      <w:pPr>
        <w:pStyle w:val="Styl3"/>
      </w:pPr>
      <w:r w:rsidRPr="009D551B">
        <w:t>Eliminácia</w:t>
      </w:r>
    </w:p>
    <w:p w14:paraId="10F0B0A2" w14:textId="77777777" w:rsidR="00E72DE8" w:rsidRPr="009D551B" w:rsidRDefault="00E72DE8" w:rsidP="001A1E8E">
      <w:pPr>
        <w:pStyle w:val="Normlndobloku"/>
      </w:pPr>
      <w:r w:rsidRPr="009D551B">
        <w:t>Vylučovanie močom a stolicou dosahuje 31</w:t>
      </w:r>
      <w:r w:rsidR="001A2B2A" w:rsidRPr="009D551B">
        <w:t> </w:t>
      </w:r>
      <w:r w:rsidRPr="009D551B">
        <w:t>%, resp. 66</w:t>
      </w:r>
      <w:r w:rsidR="001A2B2A" w:rsidRPr="009D551B">
        <w:t> </w:t>
      </w:r>
      <w:r w:rsidRPr="009D551B">
        <w:t>% perorálnej dávky. Podiel liečiva, ktorý sa vylučuje v nezmenenej forme, je malý (10</w:t>
      </w:r>
      <w:r w:rsidR="001A2B2A" w:rsidRPr="009D551B">
        <w:t> </w:t>
      </w:r>
      <w:r w:rsidRPr="009D551B">
        <w:t>% sa vylučuje stolicou a približne 1</w:t>
      </w:r>
      <w:r w:rsidR="001A2B2A" w:rsidRPr="009D551B">
        <w:t> </w:t>
      </w:r>
      <w:r w:rsidRPr="009D551B">
        <w:t>% sa vylučuje močom).</w:t>
      </w:r>
    </w:p>
    <w:p w14:paraId="7CB4FF4E" w14:textId="03ED585E" w:rsidR="00E72DE8" w:rsidRPr="009D551B" w:rsidRDefault="00E72DE8" w:rsidP="001A1E8E">
      <w:pPr>
        <w:pStyle w:val="Normlndobloku"/>
      </w:pPr>
      <w:r w:rsidRPr="009D551B">
        <w:t>U zdravých jedincov je biologický polčas po jednorazovej perorálnej dávke 7</w:t>
      </w:r>
      <w:r w:rsidR="00B635E6" w:rsidRPr="009D551B">
        <w:t> </w:t>
      </w:r>
      <w:r w:rsidRPr="009D551B">
        <w:t>–</w:t>
      </w:r>
      <w:r w:rsidR="00B635E6" w:rsidRPr="009D551B">
        <w:t> </w:t>
      </w:r>
      <w:r w:rsidRPr="009D551B">
        <w:t>9 hodín, ale u</w:t>
      </w:r>
      <w:r w:rsidR="000A5BCE" w:rsidRPr="009D551B">
        <w:t> </w:t>
      </w:r>
      <w:r w:rsidRPr="009D551B">
        <w:t>pacientov so závažnou obličkovou nedostatočnosťou je predĺžený.</w:t>
      </w:r>
    </w:p>
    <w:p w14:paraId="46B345FA" w14:textId="77777777" w:rsidR="00B635E6" w:rsidRPr="009D551B" w:rsidRDefault="00B635E6" w:rsidP="009D551B">
      <w:pPr>
        <w:pStyle w:val="Styl3"/>
      </w:pPr>
    </w:p>
    <w:p w14:paraId="66905E5C" w14:textId="77777777" w:rsidR="00B635E6" w:rsidRPr="00782491" w:rsidRDefault="00B635E6" w:rsidP="00B635E6">
      <w:pPr>
        <w:keepNext/>
        <w:keepLines/>
        <w:rPr>
          <w:rFonts w:ascii="Times New Roman" w:hAnsi="Times New Roman"/>
          <w:bCs/>
          <w:i/>
          <w:iCs/>
          <w:u w:val="single"/>
          <w:lang w:val="sk-SK"/>
        </w:rPr>
      </w:pPr>
      <w:r w:rsidRPr="00782491">
        <w:rPr>
          <w:rFonts w:ascii="Times New Roman" w:hAnsi="Times New Roman"/>
          <w:bCs/>
          <w:i/>
          <w:iCs/>
          <w:u w:val="single"/>
          <w:lang w:val="sk-SK"/>
        </w:rPr>
        <w:t>Osobitné skupiny pacientov</w:t>
      </w:r>
    </w:p>
    <w:p w14:paraId="4B80E7C2" w14:textId="77777777" w:rsidR="0064611C" w:rsidRPr="009D551B" w:rsidRDefault="002C4096" w:rsidP="009D551B">
      <w:pPr>
        <w:pStyle w:val="Styl3"/>
      </w:pPr>
      <w:r w:rsidRPr="009D551B">
        <w:t>Porucha funkcie pečene</w:t>
      </w:r>
    </w:p>
    <w:p w14:paraId="2B47CC61" w14:textId="4363B0D7" w:rsidR="0064611C" w:rsidRPr="009D551B" w:rsidRDefault="002C4096" w:rsidP="001A1E8E">
      <w:pPr>
        <w:pStyle w:val="Normlndobloku"/>
      </w:pPr>
      <w:r w:rsidRPr="009D551B">
        <w:t>U jedincov so stredne závažnou poruchou funkcie pečene (Pughovo skóre 7 až 9, hodnotenie B podľa Childa-Pugha) je hodnota AUC domperidónu 2,9-násobne vyššia a hodnota C</w:t>
      </w:r>
      <w:r w:rsidRPr="009D551B">
        <w:rPr>
          <w:vertAlign w:val="subscript"/>
        </w:rPr>
        <w:t>max</w:t>
      </w:r>
      <w:r w:rsidRPr="009D551B">
        <w:t xml:space="preserve"> domperidónu 1,5</w:t>
      </w:r>
      <w:r w:rsidR="00B635E6" w:rsidRPr="009D551B">
        <w:noBreakHyphen/>
      </w:r>
      <w:r w:rsidRPr="009D551B">
        <w:t>násobne vyššia ako u zdravých jedincov.</w:t>
      </w:r>
    </w:p>
    <w:p w14:paraId="7C7862FA" w14:textId="77777777" w:rsidR="00B635E6" w:rsidRPr="009D551B" w:rsidRDefault="00B635E6" w:rsidP="001A1E8E">
      <w:pPr>
        <w:pStyle w:val="Normlndobloku"/>
      </w:pPr>
    </w:p>
    <w:p w14:paraId="317A0470" w14:textId="4A7ED64E" w:rsidR="0064611C" w:rsidRPr="009D551B" w:rsidRDefault="002C4096" w:rsidP="001A1E8E">
      <w:pPr>
        <w:pStyle w:val="Normlndobloku"/>
      </w:pPr>
      <w:r w:rsidRPr="009D551B">
        <w:t>Nenaviazaná frakcia je zvýšená o</w:t>
      </w:r>
      <w:r w:rsidR="00B635E6" w:rsidRPr="009D551B">
        <w:t> </w:t>
      </w:r>
      <w:r w:rsidRPr="009D551B">
        <w:t>25</w:t>
      </w:r>
      <w:r w:rsidR="00B635E6" w:rsidRPr="009D551B">
        <w:t> </w:t>
      </w:r>
      <w:r w:rsidRPr="009D551B">
        <w:t>% a terminálny polčas eliminácie je predĺžený z 15 na 23 hodín. U</w:t>
      </w:r>
      <w:r w:rsidR="00926393" w:rsidRPr="009D551B">
        <w:t> </w:t>
      </w:r>
      <w:r w:rsidRPr="009D551B">
        <w:t>jedincov so stredne závažnou poruchou funkcie pečene je systémová expozícia trochu nižšia ako u</w:t>
      </w:r>
      <w:r w:rsidR="00926393" w:rsidRPr="009D551B">
        <w:t> </w:t>
      </w:r>
      <w:r w:rsidRPr="009D551B">
        <w:t>zdravých jedincov na základe C</w:t>
      </w:r>
      <w:r w:rsidRPr="009D551B">
        <w:rPr>
          <w:vertAlign w:val="subscript"/>
        </w:rPr>
        <w:t>max</w:t>
      </w:r>
      <w:r w:rsidRPr="009D551B">
        <w:t xml:space="preserve"> a AUC, bez žiadnej zmeny vo väzbe na bielkoviny alebo v</w:t>
      </w:r>
      <w:r w:rsidR="00926393" w:rsidRPr="009D551B">
        <w:t> </w:t>
      </w:r>
      <w:r w:rsidRPr="009D551B">
        <w:t>terminálnom polčase. Jedinci so závažnou poruchou funkcie pečene sa neskúmali. U pacientov so</w:t>
      </w:r>
      <w:r w:rsidR="00B635E6" w:rsidRPr="009D551B">
        <w:t> </w:t>
      </w:r>
      <w:r w:rsidRPr="009D551B">
        <w:t>stredne závažnou až závažnou poruchou funkcie pečene je domperidón kontraindikovaný (pozri časť 4.3).</w:t>
      </w:r>
    </w:p>
    <w:p w14:paraId="3108FAA8" w14:textId="77777777" w:rsidR="00B635E6" w:rsidRPr="009D551B" w:rsidRDefault="00B635E6" w:rsidP="001A1E8E">
      <w:pPr>
        <w:pStyle w:val="Normlndobloku"/>
      </w:pPr>
    </w:p>
    <w:p w14:paraId="4084BAD3" w14:textId="77777777" w:rsidR="0064611C" w:rsidRPr="009D551B" w:rsidRDefault="002C4096" w:rsidP="009D551B">
      <w:pPr>
        <w:pStyle w:val="Styl3"/>
      </w:pPr>
      <w:r w:rsidRPr="009D551B">
        <w:t>Porucha funkcie obličiek</w:t>
      </w:r>
    </w:p>
    <w:p w14:paraId="3F00088B" w14:textId="6C2DE07F" w:rsidR="0064611C" w:rsidRPr="009D551B" w:rsidRDefault="002C4096" w:rsidP="001A1E8E">
      <w:pPr>
        <w:pStyle w:val="Normlndobloku"/>
      </w:pPr>
      <w:r w:rsidRPr="009D551B">
        <w:t>U pacientov so závažnou nedostatočnosťou obličiek (klírens kreatinínu &lt;</w:t>
      </w:r>
      <w:r w:rsidR="00B635E6" w:rsidRPr="009D551B">
        <w:t> </w:t>
      </w:r>
      <w:r w:rsidRPr="009D551B">
        <w:t>30</w:t>
      </w:r>
      <w:r w:rsidR="00B635E6" w:rsidRPr="009D551B">
        <w:t> </w:t>
      </w:r>
      <w:r w:rsidRPr="009D551B">
        <w:t>ml/min/1,73</w:t>
      </w:r>
      <w:r w:rsidR="00B635E6" w:rsidRPr="009D551B">
        <w:t> </w:t>
      </w:r>
      <w:r w:rsidRPr="009D551B">
        <w:t>m</w:t>
      </w:r>
      <w:r w:rsidRPr="009D551B">
        <w:rPr>
          <w:vertAlign w:val="superscript"/>
        </w:rPr>
        <w:t>2</w:t>
      </w:r>
      <w:r w:rsidRPr="009D551B">
        <w:t>) bol polčas eliminácie domperidónu zvýšený zo 7,4 na 20,8</w:t>
      </w:r>
      <w:r w:rsidR="00B635E6" w:rsidRPr="009D551B">
        <w:t> </w:t>
      </w:r>
      <w:r w:rsidRPr="009D551B">
        <w:t>hodín, ale plazmatické hladiny liečiva boli nižšie ako u</w:t>
      </w:r>
      <w:r w:rsidR="00926393" w:rsidRPr="009D551B">
        <w:t> </w:t>
      </w:r>
      <w:r w:rsidRPr="009D551B">
        <w:t>zdravých dobrovoľníkov.</w:t>
      </w:r>
    </w:p>
    <w:p w14:paraId="7F5498CE" w14:textId="77777777" w:rsidR="00B635E6" w:rsidRPr="009D551B" w:rsidRDefault="00B635E6" w:rsidP="001A1E8E">
      <w:pPr>
        <w:pStyle w:val="Normlndobloku"/>
      </w:pPr>
    </w:p>
    <w:p w14:paraId="6B770EA5" w14:textId="77777777" w:rsidR="0064611C" w:rsidRPr="009D551B" w:rsidRDefault="002C4096" w:rsidP="001A1E8E">
      <w:pPr>
        <w:pStyle w:val="Normlndobloku"/>
      </w:pPr>
      <w:r w:rsidRPr="009D551B">
        <w:t>Keďže sa prostredníctvom obličiek vylučuje veľmi malé množstvo nezmeneného liečiva (približne 1</w:t>
      </w:r>
      <w:r w:rsidR="000A5BCE" w:rsidRPr="009D551B">
        <w:t> </w:t>
      </w:r>
      <w:r w:rsidRPr="009D551B">
        <w:t>%), je nepravdepodobné, že pri jednorazovom podávaní bude u pacientov s nedostatočnosťou obličiek potrebné upraviť dávku.</w:t>
      </w:r>
    </w:p>
    <w:p w14:paraId="5179BADD" w14:textId="77777777" w:rsidR="00B635E6" w:rsidRPr="009D551B" w:rsidRDefault="00B635E6" w:rsidP="001A1E8E">
      <w:pPr>
        <w:pStyle w:val="Normlndobloku"/>
      </w:pPr>
    </w:p>
    <w:p w14:paraId="460291EB" w14:textId="77777777" w:rsidR="002C4096" w:rsidRPr="009D551B" w:rsidRDefault="002C4096" w:rsidP="001A1E8E">
      <w:pPr>
        <w:pStyle w:val="Normlndobloku"/>
      </w:pPr>
      <w:r w:rsidRPr="009D551B">
        <w:t>Pri opakovanom podávaní sa však frekvencia podávania má znížiť na jeden</w:t>
      </w:r>
      <w:r w:rsidR="00B635E6" w:rsidRPr="009D551B">
        <w:t>krát</w:t>
      </w:r>
      <w:r w:rsidRPr="009D551B">
        <w:t xml:space="preserve"> až dvakrát denne v</w:t>
      </w:r>
      <w:r w:rsidR="000A5BCE" w:rsidRPr="009D551B">
        <w:t> </w:t>
      </w:r>
      <w:r w:rsidRPr="009D551B">
        <w:t>závislosti od závažnosti poruchy funkcie a môže byť potrebné zníženie dávky.</w:t>
      </w:r>
    </w:p>
    <w:p w14:paraId="6BA4B1D8" w14:textId="77777777" w:rsidR="00B635E6" w:rsidRPr="009D551B" w:rsidRDefault="00B635E6" w:rsidP="001A1E8E">
      <w:pPr>
        <w:pStyle w:val="Normlndobloku"/>
      </w:pPr>
    </w:p>
    <w:p w14:paraId="2847A4A1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Predklinické údaje o bezpečnosti</w:t>
      </w:r>
    </w:p>
    <w:p w14:paraId="5F838363" w14:textId="77777777" w:rsidR="00B635E6" w:rsidRPr="009D551B" w:rsidRDefault="00B635E6" w:rsidP="001A1E8E">
      <w:pPr>
        <w:pStyle w:val="Normlndobloku"/>
      </w:pPr>
    </w:p>
    <w:p w14:paraId="53545111" w14:textId="506862E9" w:rsidR="0064611C" w:rsidRPr="009D551B" w:rsidRDefault="002C4096" w:rsidP="001A1E8E">
      <w:pPr>
        <w:pStyle w:val="Normlndobloku"/>
      </w:pPr>
      <w:r w:rsidRPr="009D551B">
        <w:t xml:space="preserve">Štúdie elektrofyziológie domperidónu </w:t>
      </w:r>
      <w:r w:rsidRPr="009D551B">
        <w:rPr>
          <w:i/>
        </w:rPr>
        <w:t>in vitro</w:t>
      </w:r>
      <w:r w:rsidRPr="009D551B">
        <w:t xml:space="preserve"> a </w:t>
      </w:r>
      <w:r w:rsidRPr="009D551B">
        <w:rPr>
          <w:i/>
        </w:rPr>
        <w:t>in vivo</w:t>
      </w:r>
      <w:r w:rsidRPr="009D551B">
        <w:t xml:space="preserve"> naznačujú celkové stredne závažné riziko predĺženia intervalu QTc u ľudí. Pri experimentoch </w:t>
      </w:r>
      <w:r w:rsidRPr="009D551B">
        <w:rPr>
          <w:i/>
        </w:rPr>
        <w:t>in vitro</w:t>
      </w:r>
      <w:r w:rsidRPr="009D551B">
        <w:t xml:space="preserve"> na izolovaných bunkách transfektovaných hERG a na izolovaných myocytoch morčiat sa miery expozície pohybovali v rozmedzí 26- až 47</w:t>
      </w:r>
      <w:r w:rsidR="00B635E6" w:rsidRPr="009D551B">
        <w:noBreakHyphen/>
      </w:r>
      <w:r w:rsidRPr="009D551B">
        <w:t>násobku, na základe hodnôt IC50 inhibujúcich prúdy cez iónové kanály IKr v porovnaní s voľnými plazmatickými koncentráciami u ľudí po podaní maximálnej dennej dávky 10</w:t>
      </w:r>
      <w:r w:rsidR="00B635E6" w:rsidRPr="009D551B">
        <w:t> </w:t>
      </w:r>
      <w:r w:rsidRPr="009D551B">
        <w:t xml:space="preserve">mg podávaných 3-krát denne. Bezpečnostné limity pre predĺženie trvania akčného potenciálu pri experimentoch </w:t>
      </w:r>
      <w:r w:rsidRPr="009D551B">
        <w:rPr>
          <w:i/>
        </w:rPr>
        <w:t>in vitro</w:t>
      </w:r>
      <w:r w:rsidRPr="009D551B">
        <w:t xml:space="preserve"> na izolovaných tkanivách srdca prekročili voľné plazmatické koncentrácie u ľudí pri maximálnej dennej dávke (10</w:t>
      </w:r>
      <w:r w:rsidR="00B635E6" w:rsidRPr="009D551B">
        <w:t> </w:t>
      </w:r>
      <w:r w:rsidRPr="009D551B">
        <w:t xml:space="preserve">mg podávaných 3-krát denne) o 45-násobok. Bezpečnostné limity pri proarytmogénnych modeloch </w:t>
      </w:r>
      <w:r w:rsidRPr="009D551B">
        <w:rPr>
          <w:i/>
        </w:rPr>
        <w:t>in vitro</w:t>
      </w:r>
      <w:r w:rsidRPr="009D551B">
        <w:t xml:space="preserve"> (izolované Langendorffovo perfundované srdce) prekročili voľné plazmatické koncentrácie u ľudí pri maximálnej dennej dávke (10</w:t>
      </w:r>
      <w:r w:rsidR="00B635E6" w:rsidRPr="009D551B">
        <w:t> </w:t>
      </w:r>
      <w:r w:rsidRPr="009D551B">
        <w:t>mg podávaných 3-krát denne) o 9- až 45</w:t>
      </w:r>
      <w:r w:rsidR="00B635E6" w:rsidRPr="009D551B">
        <w:noBreakHyphen/>
      </w:r>
      <w:r w:rsidRPr="009D551B">
        <w:t>násobok. Hladina so žiadnym účinkom na predĺženie QTc neprekročila voľné plazmatické koncentrácie u ľudí pri maximálnej dennej dávke (10</w:t>
      </w:r>
      <w:r w:rsidR="0060413B" w:rsidRPr="009D551B">
        <w:t> </w:t>
      </w:r>
      <w:r w:rsidRPr="009D551B">
        <w:t>mg podávaných 3-krát denne) o viac ako 22</w:t>
      </w:r>
      <w:r w:rsidR="0060413B" w:rsidRPr="009D551B">
        <w:noBreakHyphen/>
      </w:r>
      <w:r w:rsidRPr="009D551B">
        <w:t xml:space="preserve">násobok pri modeloch </w:t>
      </w:r>
      <w:r w:rsidRPr="009D551B">
        <w:rPr>
          <w:i/>
        </w:rPr>
        <w:t>in vivo</w:t>
      </w:r>
      <w:r w:rsidRPr="009D551B">
        <w:t xml:space="preserve"> u psov a o viac ako 435-násobok pri indukcii arytmií na modeli </w:t>
      </w:r>
      <w:r w:rsidRPr="009D551B">
        <w:lastRenderedPageBreak/>
        <w:t xml:space="preserve">králika so zvýšenou citlivosťou na </w:t>
      </w:r>
      <w:r w:rsidRPr="009D551B">
        <w:rPr>
          <w:i/>
        </w:rPr>
        <w:t>torsades de pointes</w:t>
      </w:r>
      <w:r w:rsidRPr="009D551B">
        <w:t>. Na modeli morčaťa, ktorému bolo pomalými infúziami podané anestetikum, sa neobjavili žiadne účinky na QTc pri celkových plazmatických koncentráciách 45,4</w:t>
      </w:r>
      <w:r w:rsidR="0060413B" w:rsidRPr="009D551B">
        <w:t> </w:t>
      </w:r>
      <w:r w:rsidRPr="009D551B">
        <w:t>ng/ml, ktoré boli 3-násobne vyššie ako celkové plazmatické hladiny u ľudí pri maximálnej dennej dávke (10</w:t>
      </w:r>
      <w:r w:rsidR="0060413B" w:rsidRPr="009D551B">
        <w:t> </w:t>
      </w:r>
      <w:r w:rsidRPr="009D551B">
        <w:t>mg podávaných 3-krát denne). Význam druhej štúdie pre ľudí po expozícii perorálne podanému domperidónu nie je jasný.</w:t>
      </w:r>
    </w:p>
    <w:p w14:paraId="64B6ECCA" w14:textId="77777777" w:rsidR="0060413B" w:rsidRPr="009D551B" w:rsidRDefault="0060413B" w:rsidP="001A1E8E">
      <w:pPr>
        <w:pStyle w:val="Normlndobloku"/>
      </w:pPr>
    </w:p>
    <w:p w14:paraId="58A6E5A3" w14:textId="77777777" w:rsidR="0064611C" w:rsidRPr="009D551B" w:rsidRDefault="002C4096" w:rsidP="001A1E8E">
      <w:pPr>
        <w:pStyle w:val="Normlndobloku"/>
      </w:pPr>
      <w:r w:rsidRPr="009D551B">
        <w:t>Pri inhibícii metabolizmu prostredníctvom CYP3A4 sa voľné plazmatické koncentrácie domperidónu môžu zvýšiť až na 3-násobok.</w:t>
      </w:r>
    </w:p>
    <w:p w14:paraId="15C47968" w14:textId="77777777" w:rsidR="0060413B" w:rsidRPr="009D551B" w:rsidRDefault="0060413B" w:rsidP="001A1E8E">
      <w:pPr>
        <w:pStyle w:val="Normlndobloku"/>
      </w:pPr>
    </w:p>
    <w:p w14:paraId="2D72406E" w14:textId="4FA7538B" w:rsidR="002C4096" w:rsidRPr="009D551B" w:rsidRDefault="002C4096" w:rsidP="001A1E8E">
      <w:pPr>
        <w:pStyle w:val="Normlndobloku"/>
      </w:pPr>
      <w:r w:rsidRPr="009D551B">
        <w:t>Teratogénne účinky sa pozorovali na potkanoch pri vysokej dávke toxickej pre matky (viac ako 40</w:t>
      </w:r>
      <w:r w:rsidR="0060413B" w:rsidRPr="009D551B">
        <w:noBreakHyphen/>
      </w:r>
      <w:r w:rsidRPr="009D551B">
        <w:t>násobok odporúčanej dávky u ľudí). U myší a králikov sa nepozorovala žiadna teratogenita.</w:t>
      </w:r>
    </w:p>
    <w:p w14:paraId="131E97E7" w14:textId="77777777" w:rsidR="0060413B" w:rsidRPr="009D551B" w:rsidRDefault="0060413B" w:rsidP="001A1E8E">
      <w:pPr>
        <w:pStyle w:val="Normlndobloku"/>
      </w:pPr>
    </w:p>
    <w:p w14:paraId="17B62787" w14:textId="77777777" w:rsidR="0060413B" w:rsidRPr="009D551B" w:rsidRDefault="0060413B" w:rsidP="001A1E8E">
      <w:pPr>
        <w:pStyle w:val="Normlndobloku"/>
      </w:pPr>
    </w:p>
    <w:p w14:paraId="421718C5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FARMACEUTICKÉ INFORMÁCIE</w:t>
      </w:r>
    </w:p>
    <w:p w14:paraId="0B1E1649" w14:textId="77777777" w:rsidR="0060413B" w:rsidRPr="00782491" w:rsidRDefault="0060413B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C49A465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Zoznam pomocných látok</w:t>
      </w:r>
    </w:p>
    <w:p w14:paraId="5034812B" w14:textId="77777777" w:rsidR="0060413B" w:rsidRPr="009D551B" w:rsidRDefault="0060413B" w:rsidP="001A1E8E">
      <w:pPr>
        <w:pStyle w:val="Normlndobloku"/>
      </w:pPr>
    </w:p>
    <w:p w14:paraId="094C3D98" w14:textId="775AE431" w:rsidR="006A5F2F" w:rsidRPr="009D551B" w:rsidRDefault="007E5270" w:rsidP="001A1E8E">
      <w:pPr>
        <w:pStyle w:val="Normlndobloku"/>
      </w:pPr>
      <w:r w:rsidRPr="009D551B">
        <w:t>p</w:t>
      </w:r>
      <w:r w:rsidR="006A5F2F" w:rsidRPr="009D551B">
        <w:t>redželatinovaný kukuričný škrob</w:t>
      </w:r>
    </w:p>
    <w:p w14:paraId="4CE3A412" w14:textId="64C18235" w:rsidR="006A5F2F" w:rsidRPr="009D551B" w:rsidRDefault="007E5270" w:rsidP="001A1E8E">
      <w:pPr>
        <w:pStyle w:val="Normlndobloku"/>
      </w:pPr>
      <w:r w:rsidRPr="009D551B">
        <w:t>m</w:t>
      </w:r>
      <w:r w:rsidR="006A5F2F" w:rsidRPr="009D551B">
        <w:t>ikrokryštalická celulóza</w:t>
      </w:r>
    </w:p>
    <w:p w14:paraId="541A14B0" w14:textId="01161F76" w:rsidR="006A5F2F" w:rsidRPr="009D551B" w:rsidRDefault="007E5270" w:rsidP="001A1E8E">
      <w:pPr>
        <w:pStyle w:val="Normlndobloku"/>
      </w:pPr>
      <w:r w:rsidRPr="009D551B">
        <w:t>s</w:t>
      </w:r>
      <w:r w:rsidR="006A5F2F" w:rsidRPr="009D551B">
        <w:t>odná soľ karboxymetylškrobu</w:t>
      </w:r>
    </w:p>
    <w:p w14:paraId="07988F17" w14:textId="46BA809C" w:rsidR="00637E8E" w:rsidRPr="009D551B" w:rsidRDefault="007E5270" w:rsidP="001A1E8E">
      <w:pPr>
        <w:pStyle w:val="Normlndobloku"/>
      </w:pPr>
      <w:r w:rsidRPr="009D551B">
        <w:t>s</w:t>
      </w:r>
      <w:r w:rsidR="00637E8E" w:rsidRPr="009D551B">
        <w:t>odná soľ kroskarmelózy</w:t>
      </w:r>
    </w:p>
    <w:p w14:paraId="02B60F18" w14:textId="10302CA3" w:rsidR="003D33A1" w:rsidRPr="009D551B" w:rsidRDefault="007E5270" w:rsidP="001A1E8E">
      <w:pPr>
        <w:pStyle w:val="Normlndobloku"/>
      </w:pPr>
      <w:r w:rsidRPr="009D551B">
        <w:t>k</w:t>
      </w:r>
      <w:r w:rsidR="006A5F2F" w:rsidRPr="009D551B">
        <w:t>oloidný bezvodý oxid kremičitý</w:t>
      </w:r>
    </w:p>
    <w:p w14:paraId="1D6DC5DE" w14:textId="1B71BE82" w:rsidR="006426B7" w:rsidRPr="009D551B" w:rsidRDefault="007E5270" w:rsidP="001A1E8E">
      <w:pPr>
        <w:pStyle w:val="Normlndobloku"/>
      </w:pPr>
      <w:r w:rsidRPr="009D551B">
        <w:t>s</w:t>
      </w:r>
      <w:r w:rsidR="006426B7" w:rsidRPr="009D551B">
        <w:t>odná soľ erytrozínu (E127)</w:t>
      </w:r>
    </w:p>
    <w:p w14:paraId="174C8755" w14:textId="05C4BD9B" w:rsidR="006A5F2F" w:rsidRPr="009D551B" w:rsidRDefault="007E5270" w:rsidP="001A1E8E">
      <w:pPr>
        <w:pStyle w:val="Normlndobloku"/>
      </w:pPr>
      <w:r w:rsidRPr="009D551B">
        <w:t>m</w:t>
      </w:r>
      <w:r w:rsidR="006A5F2F" w:rsidRPr="009D551B">
        <w:t>agnéziumstearát</w:t>
      </w:r>
    </w:p>
    <w:p w14:paraId="6DF07C67" w14:textId="77777777" w:rsidR="0060413B" w:rsidRPr="009D551B" w:rsidRDefault="0060413B" w:rsidP="001A1E8E">
      <w:pPr>
        <w:pStyle w:val="Normlndobloku"/>
      </w:pPr>
    </w:p>
    <w:p w14:paraId="3DE161EC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Inkompatibility</w:t>
      </w:r>
    </w:p>
    <w:p w14:paraId="0A7660CC" w14:textId="77777777" w:rsidR="0060413B" w:rsidRPr="009D551B" w:rsidRDefault="0060413B" w:rsidP="001A1E8E">
      <w:pPr>
        <w:pStyle w:val="Normlndobloku"/>
      </w:pPr>
    </w:p>
    <w:p w14:paraId="7A6C1F37" w14:textId="77777777" w:rsidR="00E72DE8" w:rsidRPr="009D551B" w:rsidRDefault="00957E6B" w:rsidP="001A1E8E">
      <w:pPr>
        <w:pStyle w:val="Normlndobloku"/>
      </w:pPr>
      <w:r w:rsidRPr="009D551B">
        <w:t>Neaplikovateľné</w:t>
      </w:r>
    </w:p>
    <w:p w14:paraId="20F66829" w14:textId="77777777" w:rsidR="0060413B" w:rsidRPr="009D551B" w:rsidRDefault="0060413B" w:rsidP="001A1E8E">
      <w:pPr>
        <w:pStyle w:val="Normlndobloku"/>
      </w:pPr>
    </w:p>
    <w:p w14:paraId="2806A505" w14:textId="77777777" w:rsidR="00E72DE8" w:rsidRPr="009D551B" w:rsidRDefault="00E72DE8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Čas použiteľnosti</w:t>
      </w:r>
    </w:p>
    <w:p w14:paraId="21F5662B" w14:textId="77777777" w:rsidR="0060413B" w:rsidRPr="009D551B" w:rsidRDefault="0060413B" w:rsidP="001A1E8E">
      <w:pPr>
        <w:pStyle w:val="Normlndobloku"/>
      </w:pPr>
    </w:p>
    <w:p w14:paraId="5E5D3FAF" w14:textId="77777777" w:rsidR="00E72DE8" w:rsidRPr="009D551B" w:rsidRDefault="00D802A2" w:rsidP="001A1E8E">
      <w:pPr>
        <w:pStyle w:val="Normlndobloku"/>
      </w:pPr>
      <w:r w:rsidRPr="009D551B">
        <w:t>5 rokov</w:t>
      </w:r>
    </w:p>
    <w:p w14:paraId="3A610207" w14:textId="77777777" w:rsidR="0060413B" w:rsidRPr="009D551B" w:rsidRDefault="0060413B" w:rsidP="001A1E8E">
      <w:pPr>
        <w:pStyle w:val="Normlndobloku"/>
      </w:pPr>
    </w:p>
    <w:p w14:paraId="36979E23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Špeciálne upozornenia na uchovávanie</w:t>
      </w:r>
    </w:p>
    <w:p w14:paraId="719A6527" w14:textId="77777777" w:rsidR="0060413B" w:rsidRPr="009D551B" w:rsidRDefault="0060413B" w:rsidP="001A1E8E">
      <w:pPr>
        <w:pStyle w:val="Normlndobloku"/>
      </w:pPr>
    </w:p>
    <w:p w14:paraId="4B276B19" w14:textId="67AAA984" w:rsidR="00E72DE8" w:rsidRPr="009D551B" w:rsidRDefault="005E2D3C" w:rsidP="001A1E8E">
      <w:pPr>
        <w:pStyle w:val="Normlndobloku"/>
      </w:pPr>
      <w:r w:rsidRPr="009D551B">
        <w:t>Uchovávajte pri teplote do 25</w:t>
      </w:r>
      <w:r w:rsidR="0060413B" w:rsidRPr="009D551B">
        <w:t> </w:t>
      </w:r>
      <w:r w:rsidR="0063267B" w:rsidRPr="009D551B">
        <w:t>°</w:t>
      </w:r>
      <w:r w:rsidRPr="009D551B">
        <w:t>C v pôvodnom obale na ochranu pred svetlom a vlhkosťou.</w:t>
      </w:r>
    </w:p>
    <w:p w14:paraId="42448782" w14:textId="77777777" w:rsidR="0060413B" w:rsidRPr="009D551B" w:rsidRDefault="0060413B" w:rsidP="001A1E8E">
      <w:pPr>
        <w:pStyle w:val="Normlndobloku"/>
      </w:pPr>
    </w:p>
    <w:p w14:paraId="5A0F4F81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Druh obalu a obsah balenia</w:t>
      </w:r>
    </w:p>
    <w:p w14:paraId="1869FA6E" w14:textId="77777777" w:rsidR="0060413B" w:rsidRPr="009D551B" w:rsidRDefault="0060413B" w:rsidP="001A1E8E">
      <w:pPr>
        <w:pStyle w:val="Normlndobloku"/>
      </w:pPr>
    </w:p>
    <w:p w14:paraId="34B91D63" w14:textId="19360E5D" w:rsidR="00825A15" w:rsidRPr="009D551B" w:rsidRDefault="00982768" w:rsidP="001A1E8E">
      <w:pPr>
        <w:pStyle w:val="Normlndobloku"/>
      </w:pPr>
      <w:r w:rsidRPr="009D551B">
        <w:t>a</w:t>
      </w:r>
      <w:r w:rsidR="0060413B" w:rsidRPr="009D551B">
        <w:t>)</w:t>
      </w:r>
      <w:r w:rsidR="0060413B" w:rsidRPr="009D551B">
        <w:tab/>
      </w:r>
      <w:r w:rsidRPr="009D551B">
        <w:t>PV</w:t>
      </w:r>
      <w:r w:rsidR="00716243" w:rsidRPr="009D551B">
        <w:t>D</w:t>
      </w:r>
      <w:r w:rsidRPr="009D551B">
        <w:t>C/Al blister, papierová škatuľka</w:t>
      </w:r>
    </w:p>
    <w:p w14:paraId="3CA9271F" w14:textId="49D1BE5B" w:rsidR="00825A15" w:rsidRPr="009D551B" w:rsidRDefault="00982768" w:rsidP="001A1E8E">
      <w:pPr>
        <w:pStyle w:val="Normlndobloku"/>
      </w:pPr>
      <w:r w:rsidRPr="009D551B">
        <w:t>b</w:t>
      </w:r>
      <w:r w:rsidR="0060413B" w:rsidRPr="009D551B">
        <w:t>)</w:t>
      </w:r>
      <w:r w:rsidR="0060413B" w:rsidRPr="009D551B">
        <w:tab/>
      </w:r>
      <w:r w:rsidRPr="009D551B">
        <w:t>PP fľaša s PE uzáverom</w:t>
      </w:r>
    </w:p>
    <w:p w14:paraId="404EA707" w14:textId="77777777" w:rsidR="0060413B" w:rsidRPr="009D551B" w:rsidRDefault="0060413B" w:rsidP="009D551B">
      <w:pPr>
        <w:pStyle w:val="Styl3"/>
      </w:pPr>
    </w:p>
    <w:p w14:paraId="246A9E6C" w14:textId="77777777" w:rsidR="00982768" w:rsidRPr="009D551B" w:rsidRDefault="00982768" w:rsidP="009D551B">
      <w:pPr>
        <w:pStyle w:val="Styl3"/>
      </w:pPr>
      <w:r w:rsidRPr="009D551B">
        <w:t>Veľkosť balenia</w:t>
      </w:r>
    </w:p>
    <w:p w14:paraId="294C57C6" w14:textId="0E808839" w:rsidR="00982768" w:rsidRPr="009D551B" w:rsidRDefault="00982768" w:rsidP="001A1E8E">
      <w:pPr>
        <w:pStyle w:val="Normlndobloku"/>
      </w:pPr>
      <w:r w:rsidRPr="009D551B">
        <w:t>a</w:t>
      </w:r>
      <w:r w:rsidR="0060413B" w:rsidRPr="009D551B">
        <w:t>)</w:t>
      </w:r>
      <w:r w:rsidR="0060413B" w:rsidRPr="009D551B">
        <w:tab/>
      </w:r>
      <w:r w:rsidR="00716243" w:rsidRPr="009D551B">
        <w:t>20</w:t>
      </w:r>
      <w:r w:rsidRPr="009D551B">
        <w:t>, 30 tabliet</w:t>
      </w:r>
    </w:p>
    <w:p w14:paraId="70D005CB" w14:textId="73F69A0B" w:rsidR="00982768" w:rsidRPr="009D551B" w:rsidRDefault="00982768" w:rsidP="001A1E8E">
      <w:pPr>
        <w:pStyle w:val="Normlndobloku"/>
      </w:pPr>
      <w:r w:rsidRPr="009D551B">
        <w:t>b</w:t>
      </w:r>
      <w:r w:rsidR="0060413B" w:rsidRPr="009D551B">
        <w:t>)</w:t>
      </w:r>
      <w:r w:rsidR="0060413B" w:rsidRPr="009D551B">
        <w:tab/>
      </w:r>
      <w:r w:rsidR="00716243" w:rsidRPr="009D551B">
        <w:t xml:space="preserve">100, 250, </w:t>
      </w:r>
      <w:smartTag w:uri="urn:schemas-microsoft-com:office:smarttags" w:element="metricconverter">
        <w:smartTagPr>
          <w:attr w:name="ProductID" w:val="500 a"/>
        </w:smartTagPr>
        <w:r w:rsidRPr="009D551B">
          <w:t>500</w:t>
        </w:r>
        <w:r w:rsidR="00716243" w:rsidRPr="009D551B">
          <w:t xml:space="preserve"> a</w:t>
        </w:r>
      </w:smartTag>
      <w:r w:rsidRPr="009D551B">
        <w:t xml:space="preserve"> 1000 tabliet</w:t>
      </w:r>
    </w:p>
    <w:p w14:paraId="777B25CB" w14:textId="77777777" w:rsidR="0060413B" w:rsidRPr="009D551B" w:rsidRDefault="0060413B" w:rsidP="001A1E8E">
      <w:pPr>
        <w:pStyle w:val="Normlndobloku"/>
      </w:pPr>
    </w:p>
    <w:p w14:paraId="4A65D00F" w14:textId="1AAFB87E" w:rsidR="00982768" w:rsidRPr="009D551B" w:rsidRDefault="003D4A40" w:rsidP="001A1E8E">
      <w:pPr>
        <w:pStyle w:val="Normlndobloku"/>
      </w:pPr>
      <w:r w:rsidRPr="009D551B">
        <w:t xml:space="preserve">Na trh nemusia byť uvedené </w:t>
      </w:r>
      <w:r w:rsidR="00666B46" w:rsidRPr="009D551B">
        <w:t>v</w:t>
      </w:r>
      <w:r w:rsidR="00982768" w:rsidRPr="009D551B">
        <w:t>šetky veľkosti balenia.</w:t>
      </w:r>
    </w:p>
    <w:p w14:paraId="3EEBBE45" w14:textId="77777777" w:rsidR="0060413B" w:rsidRPr="009D551B" w:rsidRDefault="0060413B" w:rsidP="001A1E8E">
      <w:pPr>
        <w:pStyle w:val="Normlndobloku"/>
      </w:pPr>
    </w:p>
    <w:p w14:paraId="74EF2957" w14:textId="77777777" w:rsidR="00E72DE8" w:rsidRPr="009D551B" w:rsidRDefault="00957E6B" w:rsidP="005C3296">
      <w:pPr>
        <w:pStyle w:val="Styl2"/>
        <w:spacing w:before="0" w:after="0"/>
        <w:rPr>
          <w:noProof w:val="0"/>
          <w:lang w:val="sk-SK"/>
        </w:rPr>
      </w:pPr>
      <w:r w:rsidRPr="009D551B">
        <w:rPr>
          <w:noProof w:val="0"/>
          <w:lang w:val="sk-SK"/>
        </w:rPr>
        <w:t>Šp</w:t>
      </w:r>
      <w:r w:rsidR="00380FE0" w:rsidRPr="009D551B">
        <w:rPr>
          <w:noProof w:val="0"/>
          <w:lang w:val="sk-SK"/>
        </w:rPr>
        <w:t>eciálne opatrenia na likvidáciu</w:t>
      </w:r>
    </w:p>
    <w:p w14:paraId="1611EB5D" w14:textId="77777777" w:rsidR="0060413B" w:rsidRPr="009D551B" w:rsidRDefault="0060413B" w:rsidP="001A1E8E">
      <w:pPr>
        <w:pStyle w:val="Normlndobloku"/>
      </w:pPr>
    </w:p>
    <w:p w14:paraId="1BFEB6A7" w14:textId="1D269A4B" w:rsidR="009D551B" w:rsidRPr="009D551B" w:rsidRDefault="009D551B" w:rsidP="001A1E8E">
      <w:pPr>
        <w:pStyle w:val="Normlndobloku"/>
      </w:pPr>
      <w:r w:rsidRPr="00782491">
        <w:t>Všetok nepoužitý liek alebo odpad vzniknutý z lieku sa má zlikvidovať v súlade s národnými požiadavkami.</w:t>
      </w:r>
    </w:p>
    <w:p w14:paraId="4E04B94D" w14:textId="77777777" w:rsidR="0060413B" w:rsidRPr="009D551B" w:rsidRDefault="0060413B" w:rsidP="001A1E8E">
      <w:pPr>
        <w:pStyle w:val="Normlndobloku"/>
      </w:pPr>
    </w:p>
    <w:p w14:paraId="26459E35" w14:textId="77777777" w:rsidR="0060413B" w:rsidRPr="009D551B" w:rsidRDefault="0060413B" w:rsidP="001A1E8E">
      <w:pPr>
        <w:pStyle w:val="Normlndobloku"/>
      </w:pPr>
    </w:p>
    <w:p w14:paraId="57D32BEC" w14:textId="77777777" w:rsidR="00E72DE8" w:rsidRPr="009D551B" w:rsidRDefault="00957E6B" w:rsidP="00782491">
      <w:pPr>
        <w:pStyle w:val="Styl1"/>
        <w:rPr>
          <w:lang w:val="sk-SK"/>
        </w:rPr>
      </w:pPr>
      <w:r w:rsidRPr="009D551B">
        <w:rPr>
          <w:lang w:val="sk-SK"/>
        </w:rPr>
        <w:lastRenderedPageBreak/>
        <w:t>D</w:t>
      </w:r>
      <w:r w:rsidR="00E72DE8" w:rsidRPr="009D551B">
        <w:rPr>
          <w:lang w:val="sk-SK"/>
        </w:rPr>
        <w:t>RŽITEĽ ROZHODNUTIA O REGISTRÁCII</w:t>
      </w:r>
    </w:p>
    <w:p w14:paraId="5B48E050" w14:textId="77777777" w:rsidR="0060413B" w:rsidRPr="009D551B" w:rsidRDefault="0060413B" w:rsidP="00782491">
      <w:pPr>
        <w:pStyle w:val="Normlndobloku"/>
        <w:keepNext/>
      </w:pPr>
    </w:p>
    <w:p w14:paraId="15D24644" w14:textId="6CF9FBAC" w:rsidR="0060413B" w:rsidRPr="009D551B" w:rsidRDefault="0063267B" w:rsidP="00782491">
      <w:pPr>
        <w:pStyle w:val="Normlndobloku"/>
      </w:pPr>
      <w:r w:rsidRPr="009D551B">
        <w:t xml:space="preserve">MEDOCHEMIE </w:t>
      </w:r>
      <w:r w:rsidR="00E72DE8" w:rsidRPr="009D551B">
        <w:t>Ltd</w:t>
      </w:r>
      <w:r w:rsidRPr="009D551B">
        <w:t>.</w:t>
      </w:r>
    </w:p>
    <w:p w14:paraId="3EDE5314" w14:textId="1908E2CC" w:rsidR="0060413B" w:rsidRPr="009D551B" w:rsidRDefault="009917A4" w:rsidP="001A1E8E">
      <w:pPr>
        <w:pStyle w:val="Normlndobloku"/>
      </w:pPr>
      <w:r w:rsidRPr="009D551B">
        <w:t xml:space="preserve">1-10 Constantinoupoleos </w:t>
      </w:r>
      <w:r w:rsidR="007872A0" w:rsidRPr="009D551B">
        <w:t>S</w:t>
      </w:r>
      <w:r w:rsidRPr="009D551B">
        <w:t>treet</w:t>
      </w:r>
    </w:p>
    <w:p w14:paraId="7225FED4" w14:textId="04F1649C" w:rsidR="0060413B" w:rsidRPr="009D551B" w:rsidRDefault="009917A4" w:rsidP="001A1E8E">
      <w:pPr>
        <w:pStyle w:val="Normlndobloku"/>
      </w:pPr>
      <w:r w:rsidRPr="009D551B">
        <w:t>3011 Limassol</w:t>
      </w:r>
    </w:p>
    <w:p w14:paraId="36ADFFAE" w14:textId="77777777" w:rsidR="00E72DE8" w:rsidRPr="009D551B" w:rsidRDefault="00E72DE8" w:rsidP="001A1E8E">
      <w:pPr>
        <w:pStyle w:val="Normlndobloku"/>
      </w:pPr>
      <w:r w:rsidRPr="009D551B">
        <w:t>Cyprus</w:t>
      </w:r>
    </w:p>
    <w:p w14:paraId="4C368902" w14:textId="77777777" w:rsidR="0060413B" w:rsidRPr="009D551B" w:rsidRDefault="0060413B" w:rsidP="001A1E8E">
      <w:pPr>
        <w:pStyle w:val="Normlndobloku"/>
      </w:pPr>
    </w:p>
    <w:p w14:paraId="6332E08D" w14:textId="77777777" w:rsidR="0060413B" w:rsidRPr="009D551B" w:rsidRDefault="0060413B" w:rsidP="001A1E8E">
      <w:pPr>
        <w:pStyle w:val="Normlndobloku"/>
      </w:pPr>
    </w:p>
    <w:p w14:paraId="31DD5E5C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REGISTRAČNÉ ČÍSLO</w:t>
      </w:r>
    </w:p>
    <w:p w14:paraId="1479C0CC" w14:textId="77777777" w:rsidR="0060413B" w:rsidRPr="00782491" w:rsidRDefault="0060413B" w:rsidP="00C142BB">
      <w:pPr>
        <w:pStyle w:val="Styl1"/>
        <w:numPr>
          <w:ilvl w:val="0"/>
          <w:numId w:val="0"/>
        </w:numPr>
        <w:rPr>
          <w:b w:val="0"/>
          <w:lang w:val="sk-SK"/>
        </w:rPr>
      </w:pPr>
    </w:p>
    <w:p w14:paraId="1DE60FA1" w14:textId="77777777" w:rsidR="00E72DE8" w:rsidRPr="009D551B" w:rsidRDefault="00E72DE8" w:rsidP="001A1E8E">
      <w:pPr>
        <w:pStyle w:val="Normlndobloku"/>
      </w:pPr>
      <w:r w:rsidRPr="009D551B">
        <w:t>49/0073/93-S</w:t>
      </w:r>
    </w:p>
    <w:p w14:paraId="1DF24BD6" w14:textId="77777777" w:rsidR="0060413B" w:rsidRPr="009D551B" w:rsidRDefault="0060413B" w:rsidP="001A1E8E">
      <w:pPr>
        <w:pStyle w:val="Normlndobloku"/>
      </w:pPr>
    </w:p>
    <w:p w14:paraId="73541AFE" w14:textId="77777777" w:rsidR="0060413B" w:rsidRPr="009D551B" w:rsidRDefault="0060413B" w:rsidP="001A1E8E">
      <w:pPr>
        <w:pStyle w:val="Normlndobloku"/>
      </w:pPr>
    </w:p>
    <w:p w14:paraId="7C9C82B2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 xml:space="preserve">DÁTUM </w:t>
      </w:r>
      <w:r w:rsidR="00380FE0" w:rsidRPr="009D551B">
        <w:rPr>
          <w:lang w:val="sk-SK"/>
        </w:rPr>
        <w:t xml:space="preserve">PRVEJ </w:t>
      </w:r>
      <w:r w:rsidRPr="009D551B">
        <w:rPr>
          <w:lang w:val="sk-SK"/>
        </w:rPr>
        <w:t>REGISTRÁCIE/PREDĹŽENIA REGISTRÁCIE</w:t>
      </w:r>
    </w:p>
    <w:p w14:paraId="1B4EF3C2" w14:textId="77777777" w:rsidR="0060413B" w:rsidRPr="009D551B" w:rsidRDefault="0060413B" w:rsidP="001A1E8E">
      <w:pPr>
        <w:pStyle w:val="Normlndobloku"/>
      </w:pPr>
    </w:p>
    <w:p w14:paraId="3EEA0E27" w14:textId="3BAD6680" w:rsidR="00825A15" w:rsidRPr="009D551B" w:rsidRDefault="008D081C" w:rsidP="001A1E8E">
      <w:pPr>
        <w:pStyle w:val="Normlndobloku"/>
      </w:pPr>
      <w:r w:rsidRPr="009D551B">
        <w:t>Dátum prvej registrácie</w:t>
      </w:r>
      <w:r w:rsidR="007F7004" w:rsidRPr="009D551B">
        <w:t>:</w:t>
      </w:r>
      <w:r w:rsidRPr="009D551B">
        <w:t xml:space="preserve"> </w:t>
      </w:r>
      <w:r w:rsidR="0002105A" w:rsidRPr="009D551B">
        <w:t>28.</w:t>
      </w:r>
      <w:r w:rsidR="003D4A40" w:rsidRPr="009D551B">
        <w:t xml:space="preserve"> jún </w:t>
      </w:r>
      <w:r w:rsidR="0002105A" w:rsidRPr="009D551B">
        <w:t>1993</w:t>
      </w:r>
    </w:p>
    <w:p w14:paraId="342DBC3F" w14:textId="50B10FE1" w:rsidR="00825A15" w:rsidRPr="009D551B" w:rsidRDefault="008D081C" w:rsidP="001A1E8E">
      <w:pPr>
        <w:pStyle w:val="Normlndobloku"/>
      </w:pPr>
      <w:r w:rsidRPr="009D551B">
        <w:t>Dátum posledného predĺženia</w:t>
      </w:r>
      <w:r w:rsidR="0060413B" w:rsidRPr="009D551B">
        <w:t xml:space="preserve"> registrácie</w:t>
      </w:r>
      <w:r w:rsidR="007F7004" w:rsidRPr="009D551B">
        <w:t>:</w:t>
      </w:r>
      <w:r w:rsidRPr="009D551B">
        <w:t xml:space="preserve"> </w:t>
      </w:r>
      <w:r w:rsidR="00360AFC" w:rsidRPr="009D551B">
        <w:t>28.</w:t>
      </w:r>
      <w:r w:rsidR="003D4A40" w:rsidRPr="009D551B">
        <w:t xml:space="preserve"> február </w:t>
      </w:r>
      <w:r w:rsidR="00360AFC" w:rsidRPr="009D551B">
        <w:t>2007</w:t>
      </w:r>
    </w:p>
    <w:p w14:paraId="599B7AB4" w14:textId="77777777" w:rsidR="0060413B" w:rsidRPr="009D551B" w:rsidRDefault="0060413B" w:rsidP="001A1E8E">
      <w:pPr>
        <w:pStyle w:val="Normlndobloku"/>
      </w:pPr>
    </w:p>
    <w:p w14:paraId="3CBF1F9C" w14:textId="77777777" w:rsidR="0060413B" w:rsidRPr="009D551B" w:rsidRDefault="0060413B" w:rsidP="001A1E8E">
      <w:pPr>
        <w:pStyle w:val="Normlndobloku"/>
      </w:pPr>
    </w:p>
    <w:p w14:paraId="0B2C83CF" w14:textId="77777777" w:rsidR="00E72DE8" w:rsidRPr="009D551B" w:rsidRDefault="00E72DE8" w:rsidP="00C142BB">
      <w:pPr>
        <w:pStyle w:val="Styl1"/>
        <w:rPr>
          <w:lang w:val="sk-SK"/>
        </w:rPr>
      </w:pPr>
      <w:r w:rsidRPr="009D551B">
        <w:rPr>
          <w:lang w:val="sk-SK"/>
        </w:rPr>
        <w:t>DÁTUM REVÍZIE TEXTU</w:t>
      </w:r>
    </w:p>
    <w:p w14:paraId="45C95166" w14:textId="33BB1D9B" w:rsidR="00E72DE8" w:rsidRPr="009D551B" w:rsidRDefault="00E72DE8" w:rsidP="001A1E8E">
      <w:pPr>
        <w:pStyle w:val="Normlndobloku"/>
      </w:pPr>
    </w:p>
    <w:p w14:paraId="57448E8B" w14:textId="4964664A" w:rsidR="0060413B" w:rsidRPr="009D551B" w:rsidRDefault="00782491" w:rsidP="001A1E8E">
      <w:pPr>
        <w:pStyle w:val="Normlndobloku"/>
      </w:pPr>
      <w:r w:rsidRPr="009D551B">
        <w:t>0</w:t>
      </w:r>
      <w:r>
        <w:t>3</w:t>
      </w:r>
      <w:r w:rsidR="0060413B" w:rsidRPr="009D551B">
        <w:t>/201</w:t>
      </w:r>
      <w:r w:rsidR="00310DF2" w:rsidRPr="009D551B">
        <w:t>9</w:t>
      </w:r>
    </w:p>
    <w:sectPr w:rsidR="0060413B" w:rsidRPr="009D551B" w:rsidSect="005251B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B3A9F" w15:done="0"/>
  <w15:commentEx w15:paraId="1A50E468" w15:done="0"/>
  <w15:commentEx w15:paraId="783BB8EE" w15:paraIdParent="1A50E468" w15:done="0"/>
  <w15:commentEx w15:paraId="4662C1F9" w15:done="0"/>
  <w15:commentEx w15:paraId="0010CFCB" w15:done="0"/>
  <w15:commentEx w15:paraId="37C8D6E8" w15:done="0"/>
  <w15:commentEx w15:paraId="2000500D" w15:done="0"/>
  <w15:commentEx w15:paraId="470BCA21" w15:done="0"/>
  <w15:commentEx w15:paraId="6B0F1376" w15:paraIdParent="470BCA21" w15:done="0"/>
  <w15:commentEx w15:paraId="0597E17C" w15:done="0"/>
  <w15:commentEx w15:paraId="1576F7AE" w15:done="0"/>
  <w15:commentEx w15:paraId="0CA5FEE0" w15:paraIdParent="1576F7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B3A9F" w16cid:durableId="2014F6BB"/>
  <w16cid:commentId w16cid:paraId="1A50E468" w16cid:durableId="2014F6BC"/>
  <w16cid:commentId w16cid:paraId="783BB8EE" w16cid:durableId="2014F6C5"/>
  <w16cid:commentId w16cid:paraId="4662C1F9" w16cid:durableId="2014F6BD"/>
  <w16cid:commentId w16cid:paraId="0010CFCB" w16cid:durableId="1F045D59"/>
  <w16cid:commentId w16cid:paraId="37C8D6E8" w16cid:durableId="2014F6BF"/>
  <w16cid:commentId w16cid:paraId="2000500D" w16cid:durableId="1F0469CA"/>
  <w16cid:commentId w16cid:paraId="470BCA21" w16cid:durableId="1F046C4F"/>
  <w16cid:commentId w16cid:paraId="6B0F1376" w16cid:durableId="1F27FBFA"/>
  <w16cid:commentId w16cid:paraId="0597E17C" w16cid:durableId="2014F6C3"/>
  <w16cid:commentId w16cid:paraId="1576F7AE" w16cid:durableId="2014F6C4"/>
  <w16cid:commentId w16cid:paraId="0CA5FEE0" w16cid:durableId="2014F7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2A380" w14:textId="77777777" w:rsidR="00D26BA1" w:rsidRDefault="00D26BA1">
      <w:r>
        <w:separator/>
      </w:r>
    </w:p>
  </w:endnote>
  <w:endnote w:type="continuationSeparator" w:id="0">
    <w:p w14:paraId="7CD2FF83" w14:textId="77777777" w:rsidR="00D26BA1" w:rsidRDefault="00D26BA1">
      <w:r>
        <w:continuationSeparator/>
      </w:r>
    </w:p>
  </w:endnote>
  <w:endnote w:type="continuationNotice" w:id="1">
    <w:p w14:paraId="5485EC30" w14:textId="77777777" w:rsidR="00D26BA1" w:rsidRDefault="00D26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7E53F" w14:textId="3EDF2CD9" w:rsidR="00F168BD" w:rsidRPr="00782491" w:rsidRDefault="00F168BD" w:rsidP="005C3296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5C3296">
      <w:rPr>
        <w:rStyle w:val="slostrany"/>
        <w:rFonts w:ascii="Times New Roman" w:hAnsi="Times New Roman"/>
        <w:sz w:val="18"/>
        <w:szCs w:val="18"/>
      </w:rPr>
      <w:fldChar w:fldCharType="begin"/>
    </w:r>
    <w:r w:rsidRPr="005C3296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5C3296">
      <w:rPr>
        <w:rStyle w:val="slostrany"/>
        <w:rFonts w:ascii="Times New Roman" w:hAnsi="Times New Roman"/>
        <w:sz w:val="18"/>
        <w:szCs w:val="18"/>
      </w:rPr>
      <w:fldChar w:fldCharType="separate"/>
    </w:r>
    <w:r w:rsidR="00B43BC8">
      <w:rPr>
        <w:rStyle w:val="slostrany"/>
        <w:rFonts w:ascii="Times New Roman" w:hAnsi="Times New Roman"/>
        <w:noProof/>
        <w:sz w:val="18"/>
        <w:szCs w:val="18"/>
      </w:rPr>
      <w:t>1</w:t>
    </w:r>
    <w:r w:rsidRPr="005C32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5C597" w14:textId="77777777" w:rsidR="00F168BD" w:rsidRPr="000406ED" w:rsidRDefault="00F168BD" w:rsidP="000406ED">
    <w:pPr>
      <w:jc w:val="center"/>
    </w:pPr>
    <w:r w:rsidRPr="000406ED">
      <w:rPr>
        <w:rStyle w:val="slostrany"/>
        <w:rFonts w:ascii="Times New Roman" w:hAnsi="Times New Roman"/>
      </w:rPr>
      <w:fldChar w:fldCharType="begin"/>
    </w:r>
    <w:r w:rsidRPr="000406ED">
      <w:rPr>
        <w:rStyle w:val="slostrany"/>
        <w:rFonts w:ascii="Times New Roman" w:hAnsi="Times New Roman"/>
      </w:rPr>
      <w:instrText xml:space="preserve"> PAGE </w:instrText>
    </w:r>
    <w:r w:rsidRPr="000406ED">
      <w:rPr>
        <w:rStyle w:val="slostrany"/>
        <w:rFonts w:ascii="Times New Roman" w:hAnsi="Times New Roman"/>
      </w:rPr>
      <w:fldChar w:fldCharType="separate"/>
    </w:r>
    <w:r w:rsidR="00A55119">
      <w:rPr>
        <w:rStyle w:val="slostrany"/>
        <w:rFonts w:ascii="Times New Roman" w:hAnsi="Times New Roman"/>
        <w:noProof/>
      </w:rPr>
      <w:t>1</w:t>
    </w:r>
    <w:r w:rsidRPr="000406ED">
      <w:rPr>
        <w:rStyle w:val="slostrany"/>
        <w:rFonts w:ascii="Times New Roman" w:hAnsi="Times New Roman"/>
      </w:rPr>
      <w:fldChar w:fldCharType="end"/>
    </w:r>
    <w:r w:rsidRPr="000406ED">
      <w:rPr>
        <w:rStyle w:val="slostrany"/>
        <w:rFonts w:ascii="Times New Roman" w:hAnsi="Times New Roman"/>
      </w:rPr>
      <w:t>/</w:t>
    </w:r>
    <w:r w:rsidRPr="000406ED">
      <w:rPr>
        <w:rStyle w:val="slostrany"/>
        <w:rFonts w:ascii="Times New Roman" w:hAnsi="Times New Roman"/>
      </w:rPr>
      <w:fldChar w:fldCharType="begin"/>
    </w:r>
    <w:r w:rsidRPr="000406ED">
      <w:rPr>
        <w:rStyle w:val="slostrany"/>
        <w:rFonts w:ascii="Times New Roman" w:hAnsi="Times New Roman"/>
      </w:rPr>
      <w:instrText xml:space="preserve"> NUMPAGES </w:instrText>
    </w:r>
    <w:r w:rsidRPr="000406ED">
      <w:rPr>
        <w:rStyle w:val="slostrany"/>
        <w:rFonts w:ascii="Times New Roman" w:hAnsi="Times New Roman"/>
      </w:rPr>
      <w:fldChar w:fldCharType="separate"/>
    </w:r>
    <w:r w:rsidR="00B43BC8">
      <w:rPr>
        <w:rStyle w:val="slostrany"/>
        <w:rFonts w:ascii="Times New Roman" w:hAnsi="Times New Roman"/>
        <w:noProof/>
      </w:rPr>
      <w:t>9</w:t>
    </w:r>
    <w:r w:rsidRPr="000406ED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5C19B" w14:textId="77777777" w:rsidR="00D26BA1" w:rsidRDefault="00D26BA1">
      <w:r>
        <w:separator/>
      </w:r>
    </w:p>
  </w:footnote>
  <w:footnote w:type="continuationSeparator" w:id="0">
    <w:p w14:paraId="7BABAFE2" w14:textId="77777777" w:rsidR="00D26BA1" w:rsidRDefault="00D26BA1">
      <w:r>
        <w:continuationSeparator/>
      </w:r>
    </w:p>
  </w:footnote>
  <w:footnote w:type="continuationNotice" w:id="1">
    <w:p w14:paraId="5A99D483" w14:textId="77777777" w:rsidR="00D26BA1" w:rsidRDefault="00D26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A939" w14:textId="3EB30770" w:rsidR="002A3CC4" w:rsidRPr="00782491" w:rsidRDefault="00A55119" w:rsidP="005C3296">
    <w:pPr>
      <w:spacing w:after="0" w:line="240" w:lineRule="auto"/>
      <w:rPr>
        <w:rFonts w:ascii="Times New Roman" w:hAnsi="Times New Roman"/>
        <w:sz w:val="18"/>
        <w:szCs w:val="18"/>
      </w:rPr>
    </w:pPr>
    <w:r w:rsidRPr="00A55119">
      <w:rPr>
        <w:rFonts w:ascii="Times New Roman" w:hAnsi="Times New Roman"/>
        <w:sz w:val="18"/>
        <w:szCs w:val="18"/>
        <w:lang w:val="sk-SK"/>
      </w:rPr>
      <w:t xml:space="preserve">Príloha č. 1 k notifikácii o zmene, ev. </w:t>
    </w:r>
    <w:r w:rsidRPr="00E42D90">
      <w:rPr>
        <w:rFonts w:ascii="Times New Roman" w:hAnsi="Times New Roman"/>
        <w:sz w:val="18"/>
        <w:szCs w:val="18"/>
        <w:lang w:val="sk-SK"/>
      </w:rPr>
      <w:t>č.: 2014/04725-ZIA, 2018/00131-ZIA</w:t>
    </w:r>
    <w:r w:rsidR="00C142BB">
      <w:rPr>
        <w:rFonts w:ascii="Times New Roman" w:hAnsi="Times New Roman"/>
        <w:sz w:val="18"/>
        <w:szCs w:val="18"/>
        <w:lang w:val="sk-SK"/>
      </w:rPr>
      <w:t>, 2018/06110-ZIB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1A0C" w14:textId="00C01013" w:rsidR="00F168BD" w:rsidRPr="005C3296" w:rsidRDefault="00A55119" w:rsidP="005C3296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5C3296">
      <w:rPr>
        <w:rFonts w:ascii="Times New Roman" w:hAnsi="Times New Roman"/>
        <w:sz w:val="18"/>
        <w:szCs w:val="18"/>
        <w:lang w:val="sk-SK"/>
      </w:rPr>
      <w:t xml:space="preserve">Príloha </w:t>
    </w:r>
    <w:r w:rsidR="00F168BD" w:rsidRPr="005C3296">
      <w:rPr>
        <w:rFonts w:ascii="Times New Roman" w:hAnsi="Times New Roman"/>
        <w:sz w:val="18"/>
        <w:szCs w:val="18"/>
        <w:lang w:val="sk-SK"/>
      </w:rPr>
      <w:t xml:space="preserve">č. 1 k notifikácii </w:t>
    </w:r>
    <w:r w:rsidRPr="00E42D90">
      <w:rPr>
        <w:rFonts w:ascii="Times New Roman" w:hAnsi="Times New Roman"/>
        <w:sz w:val="18"/>
        <w:szCs w:val="18"/>
        <w:lang w:val="sk-SK"/>
      </w:rPr>
      <w:t xml:space="preserve">o </w:t>
    </w:r>
    <w:r w:rsidR="00F168BD" w:rsidRPr="005C3296">
      <w:rPr>
        <w:rFonts w:ascii="Times New Roman" w:hAnsi="Times New Roman"/>
        <w:sz w:val="18"/>
        <w:szCs w:val="18"/>
        <w:lang w:val="sk-SK"/>
      </w:rPr>
      <w:t>zmen</w:t>
    </w:r>
    <w:r w:rsidRPr="00E42D90">
      <w:rPr>
        <w:rFonts w:ascii="Times New Roman" w:hAnsi="Times New Roman"/>
        <w:sz w:val="18"/>
        <w:szCs w:val="18"/>
        <w:lang w:val="sk-SK"/>
      </w:rPr>
      <w:t>e</w:t>
    </w:r>
    <w:r w:rsidR="00F168BD" w:rsidRPr="005C3296">
      <w:rPr>
        <w:rFonts w:ascii="Times New Roman" w:hAnsi="Times New Roman"/>
        <w:sz w:val="18"/>
        <w:szCs w:val="18"/>
        <w:lang w:val="sk-SK"/>
      </w:rPr>
      <w:t>, ev.</w:t>
    </w:r>
    <w:r w:rsidRPr="00E42D90">
      <w:rPr>
        <w:rFonts w:ascii="Times New Roman" w:hAnsi="Times New Roman"/>
        <w:sz w:val="18"/>
        <w:szCs w:val="18"/>
        <w:lang w:val="sk-SK"/>
      </w:rPr>
      <w:t xml:space="preserve"> </w:t>
    </w:r>
    <w:r w:rsidR="00F168BD" w:rsidRPr="005C3296">
      <w:rPr>
        <w:rFonts w:ascii="Times New Roman" w:hAnsi="Times New Roman"/>
        <w:sz w:val="18"/>
        <w:szCs w:val="18"/>
        <w:lang w:val="sk-SK"/>
      </w:rPr>
      <w:t>č.:</w:t>
    </w:r>
    <w:r w:rsidRPr="00E42D90">
      <w:rPr>
        <w:rFonts w:ascii="Times New Roman" w:hAnsi="Times New Roman"/>
        <w:sz w:val="18"/>
        <w:szCs w:val="18"/>
        <w:lang w:val="sk-SK"/>
      </w:rPr>
      <w:t xml:space="preserve"> 2014/04725-ZIA, 2018/00131-ZIA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A6A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00B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1A0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461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4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F60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68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78D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605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D4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D006A"/>
    <w:multiLevelType w:val="singleLevel"/>
    <w:tmpl w:val="0E540EA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173D28B1"/>
    <w:multiLevelType w:val="hybridMultilevel"/>
    <w:tmpl w:val="888277EA"/>
    <w:lvl w:ilvl="0" w:tplc="ED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4678B8E8"/>
    <w:lvl w:ilvl="0" w:tplc="4216B0E0">
      <w:start w:val="1"/>
      <w:numFmt w:val="bullet"/>
      <w:pStyle w:val="Normlndoblokusodrkami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2149135C"/>
    <w:multiLevelType w:val="hybridMultilevel"/>
    <w:tmpl w:val="E44A7B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D0E5E"/>
    <w:multiLevelType w:val="multilevel"/>
    <w:tmpl w:val="C310D8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96B1817"/>
    <w:multiLevelType w:val="singleLevel"/>
    <w:tmpl w:val="B3764E7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33BC7113"/>
    <w:multiLevelType w:val="singleLevel"/>
    <w:tmpl w:val="79A67A5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8DA1B39"/>
    <w:multiLevelType w:val="singleLevel"/>
    <w:tmpl w:val="102A8B8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5224082E"/>
    <w:multiLevelType w:val="singleLevel"/>
    <w:tmpl w:val="E64CA2A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84D40F8"/>
    <w:multiLevelType w:val="hybridMultilevel"/>
    <w:tmpl w:val="7C52F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CA3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AAD4AA7"/>
    <w:multiLevelType w:val="multilevel"/>
    <w:tmpl w:val="AB08EDC8"/>
    <w:lvl w:ilvl="0">
      <w:start w:val="1"/>
      <w:numFmt w:val="decimal"/>
      <w:pStyle w:val="Styl1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F6F37C8"/>
    <w:multiLevelType w:val="hybridMultilevel"/>
    <w:tmpl w:val="7C52F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23103"/>
    <w:multiLevelType w:val="singleLevel"/>
    <w:tmpl w:val="F4EE0B7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7E55478D"/>
    <w:multiLevelType w:val="singleLevel"/>
    <w:tmpl w:val="70061E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8"/>
  </w:num>
  <w:num w:numId="5">
    <w:abstractNumId w:val="15"/>
  </w:num>
  <w:num w:numId="6">
    <w:abstractNumId w:val="17"/>
  </w:num>
  <w:num w:numId="7">
    <w:abstractNumId w:val="16"/>
  </w:num>
  <w:num w:numId="8">
    <w:abstractNumId w:val="23"/>
  </w:num>
  <w:num w:numId="9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14"/>
  </w:num>
  <w:num w:numId="11">
    <w:abstractNumId w:val="19"/>
  </w:num>
  <w:num w:numId="12">
    <w:abstractNumId w:val="13"/>
  </w:num>
  <w:num w:numId="13">
    <w:abstractNumId w:val="2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1"/>
  </w:num>
  <w:num w:numId="25">
    <w:abstractNumId w:val="21"/>
  </w:num>
  <w:num w:numId="26">
    <w:abstractNumId w:val="12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F1"/>
    <w:rsid w:val="00005AA5"/>
    <w:rsid w:val="0002105A"/>
    <w:rsid w:val="000406ED"/>
    <w:rsid w:val="00041801"/>
    <w:rsid w:val="00042CEC"/>
    <w:rsid w:val="0004620C"/>
    <w:rsid w:val="0005632B"/>
    <w:rsid w:val="0006239F"/>
    <w:rsid w:val="00093C4A"/>
    <w:rsid w:val="000A5BCE"/>
    <w:rsid w:val="000B2DDA"/>
    <w:rsid w:val="000C01E3"/>
    <w:rsid w:val="000D7EDF"/>
    <w:rsid w:val="000E013F"/>
    <w:rsid w:val="00126F12"/>
    <w:rsid w:val="00130D03"/>
    <w:rsid w:val="00136F2E"/>
    <w:rsid w:val="001425F3"/>
    <w:rsid w:val="00142B98"/>
    <w:rsid w:val="001528ED"/>
    <w:rsid w:val="00153128"/>
    <w:rsid w:val="00174483"/>
    <w:rsid w:val="00192B3A"/>
    <w:rsid w:val="001A1E8E"/>
    <w:rsid w:val="001A2B2A"/>
    <w:rsid w:val="001C00D2"/>
    <w:rsid w:val="001F7508"/>
    <w:rsid w:val="002027DA"/>
    <w:rsid w:val="00215FFB"/>
    <w:rsid w:val="00234A94"/>
    <w:rsid w:val="00244403"/>
    <w:rsid w:val="00282794"/>
    <w:rsid w:val="0028463B"/>
    <w:rsid w:val="00291793"/>
    <w:rsid w:val="002A3CC4"/>
    <w:rsid w:val="002C12F5"/>
    <w:rsid w:val="002C1AFD"/>
    <w:rsid w:val="002C25FA"/>
    <w:rsid w:val="002C4096"/>
    <w:rsid w:val="003015C0"/>
    <w:rsid w:val="00301664"/>
    <w:rsid w:val="00304286"/>
    <w:rsid w:val="00310DF2"/>
    <w:rsid w:val="003146E0"/>
    <w:rsid w:val="0031563A"/>
    <w:rsid w:val="0032181B"/>
    <w:rsid w:val="00347631"/>
    <w:rsid w:val="00360AFC"/>
    <w:rsid w:val="003662A3"/>
    <w:rsid w:val="00380FE0"/>
    <w:rsid w:val="00397F47"/>
    <w:rsid w:val="003B00B2"/>
    <w:rsid w:val="003B0DD7"/>
    <w:rsid w:val="003B3D70"/>
    <w:rsid w:val="003C258C"/>
    <w:rsid w:val="003D33A1"/>
    <w:rsid w:val="003D4A40"/>
    <w:rsid w:val="003D5281"/>
    <w:rsid w:val="003E45C2"/>
    <w:rsid w:val="003F3E3D"/>
    <w:rsid w:val="004063F1"/>
    <w:rsid w:val="004223D7"/>
    <w:rsid w:val="004260B7"/>
    <w:rsid w:val="004352A9"/>
    <w:rsid w:val="004359C0"/>
    <w:rsid w:val="00442FF4"/>
    <w:rsid w:val="004502BB"/>
    <w:rsid w:val="00453AFF"/>
    <w:rsid w:val="004A4F11"/>
    <w:rsid w:val="004B3395"/>
    <w:rsid w:val="004B3801"/>
    <w:rsid w:val="004C03A4"/>
    <w:rsid w:val="004C11D1"/>
    <w:rsid w:val="004C45AB"/>
    <w:rsid w:val="004D3B42"/>
    <w:rsid w:val="004E4465"/>
    <w:rsid w:val="005108CE"/>
    <w:rsid w:val="005251B1"/>
    <w:rsid w:val="0053310C"/>
    <w:rsid w:val="0053523F"/>
    <w:rsid w:val="005368FD"/>
    <w:rsid w:val="00552154"/>
    <w:rsid w:val="005753F2"/>
    <w:rsid w:val="00580B2E"/>
    <w:rsid w:val="005B292C"/>
    <w:rsid w:val="005B331C"/>
    <w:rsid w:val="005C0381"/>
    <w:rsid w:val="005C23DD"/>
    <w:rsid w:val="005C3296"/>
    <w:rsid w:val="005C4B01"/>
    <w:rsid w:val="005E19C1"/>
    <w:rsid w:val="005E2D3C"/>
    <w:rsid w:val="00600560"/>
    <w:rsid w:val="0060413B"/>
    <w:rsid w:val="00604D64"/>
    <w:rsid w:val="006066B8"/>
    <w:rsid w:val="00610477"/>
    <w:rsid w:val="0063267B"/>
    <w:rsid w:val="00637E8E"/>
    <w:rsid w:val="006426B7"/>
    <w:rsid w:val="0064611C"/>
    <w:rsid w:val="0066226B"/>
    <w:rsid w:val="00663565"/>
    <w:rsid w:val="00666B46"/>
    <w:rsid w:val="006703E4"/>
    <w:rsid w:val="0069200E"/>
    <w:rsid w:val="006A5F2F"/>
    <w:rsid w:val="006B5601"/>
    <w:rsid w:val="006D57F6"/>
    <w:rsid w:val="006F44A7"/>
    <w:rsid w:val="006F660F"/>
    <w:rsid w:val="006F7CE2"/>
    <w:rsid w:val="00710187"/>
    <w:rsid w:val="00716243"/>
    <w:rsid w:val="007268AA"/>
    <w:rsid w:val="007330A8"/>
    <w:rsid w:val="007341F6"/>
    <w:rsid w:val="0077393A"/>
    <w:rsid w:val="00782491"/>
    <w:rsid w:val="00783E81"/>
    <w:rsid w:val="00785A65"/>
    <w:rsid w:val="007872A0"/>
    <w:rsid w:val="007A0EE6"/>
    <w:rsid w:val="007B4B33"/>
    <w:rsid w:val="007C348D"/>
    <w:rsid w:val="007E5270"/>
    <w:rsid w:val="007F7004"/>
    <w:rsid w:val="00804D64"/>
    <w:rsid w:val="008137FB"/>
    <w:rsid w:val="00825A15"/>
    <w:rsid w:val="008340A3"/>
    <w:rsid w:val="00836AB1"/>
    <w:rsid w:val="00840296"/>
    <w:rsid w:val="00840C7B"/>
    <w:rsid w:val="0084442B"/>
    <w:rsid w:val="008778A9"/>
    <w:rsid w:val="00881441"/>
    <w:rsid w:val="00884C9E"/>
    <w:rsid w:val="008C0D59"/>
    <w:rsid w:val="008C246B"/>
    <w:rsid w:val="008C6D80"/>
    <w:rsid w:val="008C703F"/>
    <w:rsid w:val="008D081C"/>
    <w:rsid w:val="008F5ABA"/>
    <w:rsid w:val="00904FC2"/>
    <w:rsid w:val="009120EA"/>
    <w:rsid w:val="00926393"/>
    <w:rsid w:val="00957E6B"/>
    <w:rsid w:val="00982768"/>
    <w:rsid w:val="009917A4"/>
    <w:rsid w:val="009B742C"/>
    <w:rsid w:val="009C2E53"/>
    <w:rsid w:val="009D551B"/>
    <w:rsid w:val="009D66D9"/>
    <w:rsid w:val="009D70DD"/>
    <w:rsid w:val="009E02AA"/>
    <w:rsid w:val="00A13E89"/>
    <w:rsid w:val="00A32714"/>
    <w:rsid w:val="00A345BC"/>
    <w:rsid w:val="00A52F03"/>
    <w:rsid w:val="00A55119"/>
    <w:rsid w:val="00A60216"/>
    <w:rsid w:val="00A619A9"/>
    <w:rsid w:val="00A70E5E"/>
    <w:rsid w:val="00A77793"/>
    <w:rsid w:val="00A87C99"/>
    <w:rsid w:val="00AA08D9"/>
    <w:rsid w:val="00AB443F"/>
    <w:rsid w:val="00AB63A4"/>
    <w:rsid w:val="00AB6491"/>
    <w:rsid w:val="00AB71F4"/>
    <w:rsid w:val="00AC030E"/>
    <w:rsid w:val="00AC4C04"/>
    <w:rsid w:val="00AD6C68"/>
    <w:rsid w:val="00AD724F"/>
    <w:rsid w:val="00B2497F"/>
    <w:rsid w:val="00B24BD0"/>
    <w:rsid w:val="00B43BC8"/>
    <w:rsid w:val="00B635E6"/>
    <w:rsid w:val="00B675CA"/>
    <w:rsid w:val="00B851F8"/>
    <w:rsid w:val="00B95BED"/>
    <w:rsid w:val="00BC05DA"/>
    <w:rsid w:val="00BC3ACE"/>
    <w:rsid w:val="00BC7823"/>
    <w:rsid w:val="00BE0043"/>
    <w:rsid w:val="00BF0AD5"/>
    <w:rsid w:val="00BF55F6"/>
    <w:rsid w:val="00C12001"/>
    <w:rsid w:val="00C1247B"/>
    <w:rsid w:val="00C142BB"/>
    <w:rsid w:val="00C346D3"/>
    <w:rsid w:val="00C40725"/>
    <w:rsid w:val="00C5109F"/>
    <w:rsid w:val="00C84B43"/>
    <w:rsid w:val="00CB5A1C"/>
    <w:rsid w:val="00CD7577"/>
    <w:rsid w:val="00CF2915"/>
    <w:rsid w:val="00CF5FF6"/>
    <w:rsid w:val="00D22E64"/>
    <w:rsid w:val="00D26BA1"/>
    <w:rsid w:val="00D37B40"/>
    <w:rsid w:val="00D50A73"/>
    <w:rsid w:val="00D539E7"/>
    <w:rsid w:val="00D7161C"/>
    <w:rsid w:val="00D802A2"/>
    <w:rsid w:val="00D81164"/>
    <w:rsid w:val="00D92EB5"/>
    <w:rsid w:val="00DA5C53"/>
    <w:rsid w:val="00DB0EF0"/>
    <w:rsid w:val="00DC5188"/>
    <w:rsid w:val="00DE00AE"/>
    <w:rsid w:val="00DE3372"/>
    <w:rsid w:val="00DF1576"/>
    <w:rsid w:val="00DF5A6A"/>
    <w:rsid w:val="00E315B2"/>
    <w:rsid w:val="00E40793"/>
    <w:rsid w:val="00E42D90"/>
    <w:rsid w:val="00E46D6B"/>
    <w:rsid w:val="00E53510"/>
    <w:rsid w:val="00E72DE8"/>
    <w:rsid w:val="00E82C24"/>
    <w:rsid w:val="00E82F1C"/>
    <w:rsid w:val="00E84E1F"/>
    <w:rsid w:val="00E90919"/>
    <w:rsid w:val="00E91568"/>
    <w:rsid w:val="00E93AF6"/>
    <w:rsid w:val="00EC6454"/>
    <w:rsid w:val="00ED70DE"/>
    <w:rsid w:val="00EE44BA"/>
    <w:rsid w:val="00EE48AD"/>
    <w:rsid w:val="00EE6DEC"/>
    <w:rsid w:val="00EF11ED"/>
    <w:rsid w:val="00F00E26"/>
    <w:rsid w:val="00F03D31"/>
    <w:rsid w:val="00F0431E"/>
    <w:rsid w:val="00F10095"/>
    <w:rsid w:val="00F1488E"/>
    <w:rsid w:val="00F164DB"/>
    <w:rsid w:val="00F1654D"/>
    <w:rsid w:val="00F168BD"/>
    <w:rsid w:val="00F243F3"/>
    <w:rsid w:val="00F43EF5"/>
    <w:rsid w:val="00F62678"/>
    <w:rsid w:val="00F80CF1"/>
    <w:rsid w:val="00FB1C71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8B1E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C9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5B292C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5B292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5B292C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5B292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5B292C"/>
    <w:rPr>
      <w:sz w:val="24"/>
      <w:lang w:val="x-none"/>
    </w:rPr>
  </w:style>
  <w:style w:type="paragraph" w:styleId="Zkladntext2">
    <w:name w:val="Body Text 2"/>
    <w:basedOn w:val="Normlny"/>
    <w:semiHidden/>
    <w:rsid w:val="005B292C"/>
    <w:pPr>
      <w:jc w:val="both"/>
    </w:pPr>
    <w:rPr>
      <w:sz w:val="24"/>
    </w:rPr>
  </w:style>
  <w:style w:type="paragraph" w:styleId="Hlavika">
    <w:name w:val="header"/>
    <w:basedOn w:val="Normlny"/>
    <w:semiHidden/>
    <w:rsid w:val="005B29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5B29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semiHidden/>
    <w:rsid w:val="005B292C"/>
    <w:pPr>
      <w:jc w:val="both"/>
    </w:pPr>
    <w:rPr>
      <w:rFonts w:ascii="Arial" w:hAnsi="Arial" w:cs="Arial"/>
      <w:lang w:val="sk-SK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292C"/>
    <w:rPr>
      <w:lang w:val="x-none"/>
    </w:rPr>
  </w:style>
  <w:style w:type="paragraph" w:customStyle="1" w:styleId="Normlndobloku">
    <w:name w:val="Normální do bloku"/>
    <w:basedOn w:val="Normlny"/>
    <w:link w:val="NormlndoblokuCharChar"/>
    <w:autoRedefine/>
    <w:rsid w:val="001A1E8E"/>
    <w:pPr>
      <w:tabs>
        <w:tab w:val="left" w:pos="284"/>
        <w:tab w:val="left" w:pos="1560"/>
      </w:tabs>
      <w:suppressAutoHyphens/>
      <w:spacing w:after="0" w:line="240" w:lineRule="auto"/>
      <w:jc w:val="both"/>
    </w:pPr>
    <w:rPr>
      <w:rFonts w:ascii="Times New Roman" w:eastAsia="Times New Roman" w:hAnsi="Times New Roman"/>
      <w:bCs/>
      <w:szCs w:val="18"/>
      <w:lang w:val="sk-SK" w:eastAsia="cs-CZ"/>
    </w:rPr>
  </w:style>
  <w:style w:type="character" w:customStyle="1" w:styleId="TextkomentraChar">
    <w:name w:val="Text komentára Char"/>
    <w:link w:val="Textkomentra"/>
    <w:uiPriority w:val="99"/>
    <w:semiHidden/>
    <w:rsid w:val="00552154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semiHidden/>
    <w:rsid w:val="00552154"/>
    <w:rPr>
      <w:rFonts w:ascii="Calibri" w:eastAsia="Calibri" w:hAnsi="Calibri"/>
      <w:sz w:val="24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37B40"/>
    <w:pPr>
      <w:numPr>
        <w:numId w:val="26"/>
      </w:numPr>
      <w:tabs>
        <w:tab w:val="clear" w:pos="284"/>
        <w:tab w:val="clear" w:pos="1560"/>
        <w:tab w:val="left" w:pos="426"/>
      </w:tabs>
      <w:ind w:left="426" w:hanging="284"/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F10095"/>
    <w:pPr>
      <w:spacing w:before="240" w:after="12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C142BB"/>
    <w:pPr>
      <w:keepNext/>
      <w:numPr>
        <w:numId w:val="28"/>
      </w:numPr>
      <w:tabs>
        <w:tab w:val="clear" w:pos="928"/>
        <w:tab w:val="num" w:pos="709"/>
      </w:tabs>
      <w:spacing w:after="0" w:line="240" w:lineRule="auto"/>
      <w:ind w:left="709" w:hanging="709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F10095"/>
    <w:pPr>
      <w:keepNext/>
      <w:numPr>
        <w:ilvl w:val="1"/>
        <w:numId w:val="28"/>
      </w:numPr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9D551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Cs w:val="24"/>
      <w:u w:val="single"/>
      <w:lang w:val="sk-SK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0AD5"/>
    <w:rPr>
      <w:rFonts w:ascii="Tahoma" w:eastAsia="Times New Roman" w:hAnsi="Tahoma"/>
      <w:sz w:val="16"/>
      <w:szCs w:val="16"/>
      <w:lang w:val="en-US" w:eastAsia="sk-SK"/>
    </w:rPr>
  </w:style>
  <w:style w:type="character" w:customStyle="1" w:styleId="TextbublinyChar">
    <w:name w:val="Text bubliny Char"/>
    <w:link w:val="Textbubliny"/>
    <w:uiPriority w:val="99"/>
    <w:semiHidden/>
    <w:rsid w:val="00BF0AD5"/>
    <w:rPr>
      <w:rFonts w:ascii="Tahoma" w:hAnsi="Tahoma" w:cs="Tahoma"/>
      <w:sz w:val="16"/>
      <w:szCs w:val="16"/>
      <w:lang w:val="en-US" w:eastAsia="sk-SK"/>
    </w:rPr>
  </w:style>
  <w:style w:type="character" w:customStyle="1" w:styleId="Bacil">
    <w:name w:val="Bacil"/>
    <w:qFormat/>
    <w:rsid w:val="00F10095"/>
    <w:rPr>
      <w:i/>
    </w:rPr>
  </w:style>
  <w:style w:type="character" w:customStyle="1" w:styleId="NormlndoblokuCharChar">
    <w:name w:val="Normální do bloku Char Char"/>
    <w:link w:val="Normlndobloku"/>
    <w:rsid w:val="001A1E8E"/>
    <w:rPr>
      <w:bCs/>
      <w:sz w:val="22"/>
      <w:szCs w:val="18"/>
      <w:lang w:eastAsia="cs-CZ"/>
    </w:rPr>
  </w:style>
  <w:style w:type="character" w:customStyle="1" w:styleId="NormlndoblokuChar">
    <w:name w:val="Normální do bloku Char"/>
    <w:rsid w:val="006426B7"/>
    <w:rPr>
      <w:rFonts w:cs="Arial"/>
      <w:sz w:val="22"/>
      <w:szCs w:val="24"/>
      <w:lang w:val="sk-SK"/>
    </w:rPr>
  </w:style>
  <w:style w:type="character" w:customStyle="1" w:styleId="Styl3Char">
    <w:name w:val="Styl3 Char"/>
    <w:link w:val="Styl3"/>
    <w:rsid w:val="009D551B"/>
    <w:rPr>
      <w:sz w:val="22"/>
      <w:szCs w:val="24"/>
      <w:u w:val="single"/>
      <w:lang w:eastAsia="x-none"/>
    </w:rPr>
  </w:style>
  <w:style w:type="paragraph" w:styleId="truktradokumentu">
    <w:name w:val="Document Map"/>
    <w:basedOn w:val="Normlny"/>
    <w:semiHidden/>
    <w:rsid w:val="00EC6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418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2F5"/>
    <w:rPr>
      <w:b/>
      <w:bCs/>
      <w:sz w:val="20"/>
      <w:szCs w:val="20"/>
      <w:lang w:val="cs-CZ"/>
    </w:rPr>
  </w:style>
  <w:style w:type="character" w:customStyle="1" w:styleId="PredmetkomentraChar">
    <w:name w:val="Predmet komentára Char"/>
    <w:link w:val="Predmetkomentra"/>
    <w:uiPriority w:val="99"/>
    <w:semiHidden/>
    <w:rsid w:val="002C12F5"/>
    <w:rPr>
      <w:rFonts w:ascii="Calibri" w:eastAsia="Calibri" w:hAnsi="Calibri"/>
      <w:b/>
      <w:bCs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E42D90"/>
    <w:rPr>
      <w:rFonts w:ascii="Calibri" w:eastAsia="Calibri" w:hAnsi="Calibri"/>
      <w:sz w:val="22"/>
      <w:szCs w:val="22"/>
      <w:lang w:val="cs-CZ" w:eastAsia="en-US"/>
    </w:rPr>
  </w:style>
  <w:style w:type="character" w:styleId="Hypertextovprepojenie">
    <w:name w:val="Hyperlink"/>
    <w:uiPriority w:val="99"/>
    <w:rsid w:val="00E42D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C9E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5B292C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5B292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5B292C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5B292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5B292C"/>
    <w:rPr>
      <w:sz w:val="24"/>
      <w:lang w:val="x-none"/>
    </w:rPr>
  </w:style>
  <w:style w:type="paragraph" w:styleId="Zkladntext2">
    <w:name w:val="Body Text 2"/>
    <w:basedOn w:val="Normlny"/>
    <w:semiHidden/>
    <w:rsid w:val="005B292C"/>
    <w:pPr>
      <w:jc w:val="both"/>
    </w:pPr>
    <w:rPr>
      <w:sz w:val="24"/>
    </w:rPr>
  </w:style>
  <w:style w:type="paragraph" w:styleId="Hlavika">
    <w:name w:val="header"/>
    <w:basedOn w:val="Normlny"/>
    <w:semiHidden/>
    <w:rsid w:val="005B29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5B29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semiHidden/>
    <w:rsid w:val="005B292C"/>
    <w:pPr>
      <w:jc w:val="both"/>
    </w:pPr>
    <w:rPr>
      <w:rFonts w:ascii="Arial" w:hAnsi="Arial" w:cs="Arial"/>
      <w:lang w:val="sk-SK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292C"/>
    <w:rPr>
      <w:lang w:val="x-none"/>
    </w:rPr>
  </w:style>
  <w:style w:type="paragraph" w:customStyle="1" w:styleId="Normlndobloku">
    <w:name w:val="Normální do bloku"/>
    <w:basedOn w:val="Normlny"/>
    <w:link w:val="NormlndoblokuCharChar"/>
    <w:autoRedefine/>
    <w:rsid w:val="001A1E8E"/>
    <w:pPr>
      <w:tabs>
        <w:tab w:val="left" w:pos="284"/>
        <w:tab w:val="left" w:pos="1560"/>
      </w:tabs>
      <w:suppressAutoHyphens/>
      <w:spacing w:after="0" w:line="240" w:lineRule="auto"/>
      <w:jc w:val="both"/>
    </w:pPr>
    <w:rPr>
      <w:rFonts w:ascii="Times New Roman" w:eastAsia="Times New Roman" w:hAnsi="Times New Roman"/>
      <w:bCs/>
      <w:szCs w:val="18"/>
      <w:lang w:val="sk-SK" w:eastAsia="cs-CZ"/>
    </w:rPr>
  </w:style>
  <w:style w:type="character" w:customStyle="1" w:styleId="TextkomentraChar">
    <w:name w:val="Text komentára Char"/>
    <w:link w:val="Textkomentra"/>
    <w:uiPriority w:val="99"/>
    <w:semiHidden/>
    <w:rsid w:val="00552154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semiHidden/>
    <w:rsid w:val="00552154"/>
    <w:rPr>
      <w:rFonts w:ascii="Calibri" w:eastAsia="Calibri" w:hAnsi="Calibri"/>
      <w:sz w:val="24"/>
      <w:szCs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37B40"/>
    <w:pPr>
      <w:numPr>
        <w:numId w:val="26"/>
      </w:numPr>
      <w:tabs>
        <w:tab w:val="clear" w:pos="284"/>
        <w:tab w:val="clear" w:pos="1560"/>
        <w:tab w:val="left" w:pos="426"/>
      </w:tabs>
      <w:ind w:left="426" w:hanging="284"/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F10095"/>
    <w:pPr>
      <w:spacing w:before="240" w:after="12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C142BB"/>
    <w:pPr>
      <w:keepNext/>
      <w:numPr>
        <w:numId w:val="28"/>
      </w:numPr>
      <w:tabs>
        <w:tab w:val="clear" w:pos="928"/>
        <w:tab w:val="num" w:pos="709"/>
      </w:tabs>
      <w:spacing w:after="0" w:line="240" w:lineRule="auto"/>
      <w:ind w:left="709" w:hanging="709"/>
    </w:pPr>
    <w:rPr>
      <w:rFonts w:ascii="Times New Roman" w:eastAsia="Times New Roman" w:hAnsi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F10095"/>
    <w:pPr>
      <w:keepNext/>
      <w:numPr>
        <w:ilvl w:val="1"/>
        <w:numId w:val="28"/>
      </w:numPr>
      <w:suppressAutoHyphens/>
      <w:spacing w:before="240" w:after="120" w:line="240" w:lineRule="auto"/>
      <w:ind w:left="0" w:firstLine="0"/>
    </w:pPr>
    <w:rPr>
      <w:rFonts w:ascii="Times New Roman" w:eastAsia="Times New Roman" w:hAnsi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9D551B"/>
    <w:p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Cs w:val="24"/>
      <w:u w:val="single"/>
      <w:lang w:val="sk-SK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0AD5"/>
    <w:rPr>
      <w:rFonts w:ascii="Tahoma" w:eastAsia="Times New Roman" w:hAnsi="Tahoma"/>
      <w:sz w:val="16"/>
      <w:szCs w:val="16"/>
      <w:lang w:val="en-US" w:eastAsia="sk-SK"/>
    </w:rPr>
  </w:style>
  <w:style w:type="character" w:customStyle="1" w:styleId="TextbublinyChar">
    <w:name w:val="Text bubliny Char"/>
    <w:link w:val="Textbubliny"/>
    <w:uiPriority w:val="99"/>
    <w:semiHidden/>
    <w:rsid w:val="00BF0AD5"/>
    <w:rPr>
      <w:rFonts w:ascii="Tahoma" w:hAnsi="Tahoma" w:cs="Tahoma"/>
      <w:sz w:val="16"/>
      <w:szCs w:val="16"/>
      <w:lang w:val="en-US" w:eastAsia="sk-SK"/>
    </w:rPr>
  </w:style>
  <w:style w:type="character" w:customStyle="1" w:styleId="Bacil">
    <w:name w:val="Bacil"/>
    <w:qFormat/>
    <w:rsid w:val="00F10095"/>
    <w:rPr>
      <w:i/>
    </w:rPr>
  </w:style>
  <w:style w:type="character" w:customStyle="1" w:styleId="NormlndoblokuCharChar">
    <w:name w:val="Normální do bloku Char Char"/>
    <w:link w:val="Normlndobloku"/>
    <w:rsid w:val="001A1E8E"/>
    <w:rPr>
      <w:bCs/>
      <w:sz w:val="22"/>
      <w:szCs w:val="18"/>
      <w:lang w:eastAsia="cs-CZ"/>
    </w:rPr>
  </w:style>
  <w:style w:type="character" w:customStyle="1" w:styleId="NormlndoblokuChar">
    <w:name w:val="Normální do bloku Char"/>
    <w:rsid w:val="006426B7"/>
    <w:rPr>
      <w:rFonts w:cs="Arial"/>
      <w:sz w:val="22"/>
      <w:szCs w:val="24"/>
      <w:lang w:val="sk-SK"/>
    </w:rPr>
  </w:style>
  <w:style w:type="character" w:customStyle="1" w:styleId="Styl3Char">
    <w:name w:val="Styl3 Char"/>
    <w:link w:val="Styl3"/>
    <w:rsid w:val="009D551B"/>
    <w:rPr>
      <w:sz w:val="22"/>
      <w:szCs w:val="24"/>
      <w:u w:val="single"/>
      <w:lang w:eastAsia="x-none"/>
    </w:rPr>
  </w:style>
  <w:style w:type="paragraph" w:styleId="truktradokumentu">
    <w:name w:val="Document Map"/>
    <w:basedOn w:val="Normlny"/>
    <w:semiHidden/>
    <w:rsid w:val="00EC6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418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2F5"/>
    <w:rPr>
      <w:b/>
      <w:bCs/>
      <w:sz w:val="20"/>
      <w:szCs w:val="20"/>
      <w:lang w:val="cs-CZ"/>
    </w:rPr>
  </w:style>
  <w:style w:type="character" w:customStyle="1" w:styleId="PredmetkomentraChar">
    <w:name w:val="Predmet komentára Char"/>
    <w:link w:val="Predmetkomentra"/>
    <w:uiPriority w:val="99"/>
    <w:semiHidden/>
    <w:rsid w:val="002C12F5"/>
    <w:rPr>
      <w:rFonts w:ascii="Calibri" w:eastAsia="Calibri" w:hAnsi="Calibri"/>
      <w:b/>
      <w:bCs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E42D90"/>
    <w:rPr>
      <w:rFonts w:ascii="Calibri" w:eastAsia="Calibri" w:hAnsi="Calibri"/>
      <w:sz w:val="22"/>
      <w:szCs w:val="22"/>
      <w:lang w:val="cs-CZ" w:eastAsia="en-US"/>
    </w:rPr>
  </w:style>
  <w:style w:type="character" w:styleId="Hypertextovprepojenie">
    <w:name w:val="Hyperlink"/>
    <w:uiPriority w:val="99"/>
    <w:rsid w:val="00E42D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1C91-8587-45AB-882A-8BC1CA7A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3194</Words>
  <Characters>18207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21359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A satisfied Microsoft Office User</dc:creator>
  <cp:lastModifiedBy>marianna forgacova</cp:lastModifiedBy>
  <cp:revision>3</cp:revision>
  <cp:lastPrinted>2019-03-07T14:25:00Z</cp:lastPrinted>
  <dcterms:created xsi:type="dcterms:W3CDTF">2019-02-27T14:55:00Z</dcterms:created>
  <dcterms:modified xsi:type="dcterms:W3CDTF">2019-03-07T14:25:00Z</dcterms:modified>
</cp:coreProperties>
</file>