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585C9" w14:textId="77777777" w:rsidR="00EA7181" w:rsidRDefault="00EA7181" w:rsidP="000245E3">
      <w:pPr>
        <w:spacing w:after="0" w:line="240" w:lineRule="auto"/>
        <w:rPr>
          <w:rFonts w:ascii="Times New Roman" w:eastAsia="Times New Roman" w:hAnsi="Times New Roman" w:cs="Times New Roman"/>
          <w:b/>
          <w:bCs/>
          <w:lang w:val="en-GB"/>
        </w:rPr>
      </w:pPr>
    </w:p>
    <w:p w14:paraId="4743A7ED" w14:textId="77777777" w:rsidR="000245E3" w:rsidRPr="00B914C4" w:rsidRDefault="000245E3" w:rsidP="000245E3">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b/>
          <w:lang w:bidi="sk-SK"/>
        </w:rPr>
        <w:t>SÚHRN CHARAKTERISTICKÝCH VLASTNOSTÍ LIEKU</w:t>
      </w:r>
    </w:p>
    <w:p w14:paraId="4CB76D14" w14:textId="77777777" w:rsidR="000245E3" w:rsidRDefault="000245E3" w:rsidP="00B858F8">
      <w:pPr>
        <w:tabs>
          <w:tab w:val="left" w:pos="567"/>
        </w:tabs>
        <w:spacing w:after="0" w:line="240" w:lineRule="auto"/>
        <w:ind w:left="567" w:hanging="567"/>
        <w:rPr>
          <w:rFonts w:ascii="Times New Roman" w:eastAsia="Times New Roman" w:hAnsi="Times New Roman" w:cs="Times New Roman"/>
          <w:b/>
          <w:bCs/>
          <w:lang w:val="en-GB"/>
        </w:rPr>
      </w:pPr>
    </w:p>
    <w:p w14:paraId="33E08463" w14:textId="77777777" w:rsidR="000245E3" w:rsidRDefault="000245E3" w:rsidP="00B858F8">
      <w:pPr>
        <w:tabs>
          <w:tab w:val="left" w:pos="567"/>
        </w:tabs>
        <w:spacing w:after="0" w:line="240" w:lineRule="auto"/>
        <w:ind w:left="567" w:hanging="567"/>
        <w:rPr>
          <w:rFonts w:ascii="Times New Roman" w:eastAsia="Times New Roman" w:hAnsi="Times New Roman" w:cs="Times New Roman"/>
          <w:b/>
          <w:bCs/>
          <w:lang w:val="en-GB"/>
        </w:rPr>
      </w:pPr>
    </w:p>
    <w:p w14:paraId="456790CD" w14:textId="0B4A0111"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1.</w:t>
      </w:r>
      <w:r w:rsidRPr="00B914C4">
        <w:rPr>
          <w:rFonts w:ascii="Times New Roman" w:eastAsia="Times New Roman" w:hAnsi="Times New Roman" w:cs="Times New Roman"/>
          <w:b/>
          <w:lang w:bidi="sk-SK"/>
        </w:rPr>
        <w:tab/>
        <w:t>NÁZOV LIEKU</w:t>
      </w:r>
    </w:p>
    <w:p w14:paraId="456790CE" w14:textId="77777777" w:rsidR="0025223D" w:rsidRPr="00B914C4" w:rsidRDefault="0025223D" w:rsidP="00B858F8">
      <w:pPr>
        <w:spacing w:after="0" w:line="240" w:lineRule="auto"/>
        <w:rPr>
          <w:rFonts w:ascii="Times New Roman" w:hAnsi="Times New Roman" w:cs="Times New Roman"/>
          <w:lang w:val="en-GB"/>
        </w:rPr>
      </w:pPr>
    </w:p>
    <w:p w14:paraId="3CA179E0" w14:textId="77777777" w:rsidR="00721937" w:rsidRDefault="00721937" w:rsidP="00721937">
      <w:pPr>
        <w:widowControl/>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Fulvestrant Accord 250 mg injekčný roztok naplnený v injekčnej striekačke</w:t>
      </w:r>
    </w:p>
    <w:p w14:paraId="456790D0" w14:textId="77777777" w:rsidR="0025223D" w:rsidRPr="00B914C4" w:rsidRDefault="0025223D" w:rsidP="00B858F8">
      <w:pPr>
        <w:spacing w:after="0" w:line="240" w:lineRule="auto"/>
        <w:rPr>
          <w:rFonts w:ascii="Times New Roman" w:hAnsi="Times New Roman" w:cs="Times New Roman"/>
          <w:lang w:val="en-GB"/>
        </w:rPr>
      </w:pPr>
    </w:p>
    <w:p w14:paraId="456790D2" w14:textId="77777777" w:rsidR="0025223D" w:rsidRPr="00B914C4" w:rsidRDefault="0025223D" w:rsidP="00B858F8">
      <w:pPr>
        <w:spacing w:after="0" w:line="240" w:lineRule="auto"/>
        <w:rPr>
          <w:rFonts w:ascii="Times New Roman" w:hAnsi="Times New Roman" w:cs="Times New Roman"/>
          <w:lang w:val="en-GB"/>
        </w:rPr>
      </w:pPr>
    </w:p>
    <w:p w14:paraId="456790D3" w14:textId="77777777"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2.</w:t>
      </w:r>
      <w:r w:rsidRPr="00B914C4">
        <w:rPr>
          <w:rFonts w:ascii="Times New Roman" w:eastAsia="Times New Roman" w:hAnsi="Times New Roman" w:cs="Times New Roman"/>
          <w:b/>
          <w:lang w:bidi="sk-SK"/>
        </w:rPr>
        <w:tab/>
        <w:t>KVALITATÍVNE A KVANTITATÍVNE ZLOŽENIE</w:t>
      </w:r>
    </w:p>
    <w:p w14:paraId="3F5BEC45" w14:textId="77777777" w:rsidR="00E87665" w:rsidRPr="00B914C4" w:rsidRDefault="00E87665" w:rsidP="00B858F8">
      <w:pPr>
        <w:tabs>
          <w:tab w:val="left" w:pos="9320"/>
        </w:tabs>
        <w:spacing w:after="0" w:line="240" w:lineRule="auto"/>
        <w:rPr>
          <w:rFonts w:ascii="Times New Roman" w:eastAsia="Times New Roman" w:hAnsi="Times New Roman" w:cs="Times New Roman"/>
          <w:lang w:val="en-GB"/>
        </w:rPr>
      </w:pPr>
    </w:p>
    <w:p w14:paraId="4AC75E1E" w14:textId="6EFEF345" w:rsidR="00E87665" w:rsidRPr="00B914C4" w:rsidRDefault="00F839E2" w:rsidP="00B858F8">
      <w:pPr>
        <w:tabs>
          <w:tab w:val="left" w:pos="9320"/>
        </w:tabs>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Jedna naplnená injekčná striekačka obsahuje 250 mg fulvestrantu v 5 ml roztoku.</w:t>
      </w:r>
    </w:p>
    <w:p w14:paraId="0C6C4AB9" w14:textId="77777777" w:rsidR="00E87665" w:rsidRPr="00B914C4" w:rsidRDefault="00E87665" w:rsidP="00B858F8">
      <w:pPr>
        <w:tabs>
          <w:tab w:val="left" w:pos="9320"/>
        </w:tabs>
        <w:spacing w:after="0" w:line="240" w:lineRule="auto"/>
        <w:rPr>
          <w:rFonts w:ascii="Times New Roman" w:eastAsia="Times New Roman" w:hAnsi="Times New Roman" w:cs="Times New Roman"/>
          <w:lang w:val="en-GB"/>
        </w:rPr>
      </w:pPr>
    </w:p>
    <w:p w14:paraId="456790D4" w14:textId="204AD447" w:rsidR="0025223D" w:rsidRPr="00B914C4" w:rsidRDefault="00F839E2" w:rsidP="00B858F8">
      <w:pPr>
        <w:tabs>
          <w:tab w:val="left" w:pos="9320"/>
        </w:tabs>
        <w:spacing w:after="0" w:line="240" w:lineRule="auto"/>
        <w:rPr>
          <w:rFonts w:ascii="Times New Roman" w:eastAsia="Times New Roman" w:hAnsi="Times New Roman" w:cs="Times New Roman"/>
          <w:lang w:val="en-GB"/>
        </w:rPr>
      </w:pPr>
      <w:r w:rsidRPr="00D80871">
        <w:rPr>
          <w:rFonts w:ascii="Times New Roman" w:eastAsia="Times New Roman" w:hAnsi="Times New Roman" w:cs="Times New Roman"/>
          <w:u w:val="single" w:color="000000"/>
          <w:lang w:bidi="sk-SK"/>
        </w:rPr>
        <w:t>Pomocná látka so známym účinkom</w:t>
      </w:r>
    </w:p>
    <w:p w14:paraId="56094BE4" w14:textId="51B80543" w:rsidR="00E87665" w:rsidRDefault="000E6B8A"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bidi="sk-SK"/>
        </w:rPr>
        <w:t>Jedna naplnená injekčná striekačka s objemom 5 ml obsahuje 500 mg 96% etanolu.</w:t>
      </w:r>
    </w:p>
    <w:p w14:paraId="23D3D40F" w14:textId="3B5A928F" w:rsidR="000405A2" w:rsidRPr="00B914C4" w:rsidRDefault="000405A2" w:rsidP="00B858F8">
      <w:pPr>
        <w:spacing w:after="0" w:line="240" w:lineRule="auto"/>
        <w:rPr>
          <w:rFonts w:ascii="Times New Roman" w:eastAsia="Times New Roman" w:hAnsi="Times New Roman" w:cs="Times New Roman"/>
          <w:lang w:val="en-GB"/>
        </w:rPr>
      </w:pPr>
    </w:p>
    <w:p w14:paraId="456790D5"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Úplný zoznam pomocných látok, pozri časť 6.1.</w:t>
      </w:r>
    </w:p>
    <w:p w14:paraId="456790D6" w14:textId="77777777" w:rsidR="0025223D" w:rsidRPr="00B914C4" w:rsidRDefault="0025223D" w:rsidP="00B858F8">
      <w:pPr>
        <w:spacing w:after="0" w:line="240" w:lineRule="auto"/>
        <w:rPr>
          <w:rFonts w:ascii="Times New Roman" w:hAnsi="Times New Roman" w:cs="Times New Roman"/>
          <w:lang w:val="en-GB"/>
        </w:rPr>
      </w:pPr>
    </w:p>
    <w:p w14:paraId="456790D8" w14:textId="77777777" w:rsidR="0025223D" w:rsidRPr="00B914C4" w:rsidRDefault="0025223D" w:rsidP="00B858F8">
      <w:pPr>
        <w:spacing w:after="0" w:line="240" w:lineRule="auto"/>
        <w:rPr>
          <w:rFonts w:ascii="Times New Roman" w:hAnsi="Times New Roman" w:cs="Times New Roman"/>
          <w:lang w:val="en-GB"/>
        </w:rPr>
      </w:pPr>
    </w:p>
    <w:p w14:paraId="456790D9" w14:textId="77777777"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3.</w:t>
      </w:r>
      <w:r w:rsidRPr="00B914C4">
        <w:rPr>
          <w:rFonts w:ascii="Times New Roman" w:eastAsia="Times New Roman" w:hAnsi="Times New Roman" w:cs="Times New Roman"/>
          <w:b/>
          <w:lang w:bidi="sk-SK"/>
        </w:rPr>
        <w:tab/>
        <w:t>LIEKOVÁ FORMA</w:t>
      </w:r>
    </w:p>
    <w:p w14:paraId="456790DA" w14:textId="77777777" w:rsidR="0025223D" w:rsidRPr="00B914C4" w:rsidRDefault="0025223D" w:rsidP="00B858F8">
      <w:pPr>
        <w:spacing w:after="0" w:line="240" w:lineRule="auto"/>
        <w:rPr>
          <w:rFonts w:ascii="Times New Roman" w:hAnsi="Times New Roman" w:cs="Times New Roman"/>
          <w:lang w:val="en-GB"/>
        </w:rPr>
      </w:pPr>
    </w:p>
    <w:p w14:paraId="456790DB" w14:textId="76CD7005" w:rsidR="0025223D" w:rsidRPr="00B914C4" w:rsidRDefault="00E07CD5" w:rsidP="00B858F8">
      <w:pPr>
        <w:spacing w:after="0" w:line="240" w:lineRule="auto"/>
        <w:rPr>
          <w:rFonts w:ascii="Times New Roman" w:eastAsia="Times New Roman" w:hAnsi="Times New Roman" w:cs="Times New Roman"/>
          <w:lang w:val="en-GB"/>
        </w:rPr>
      </w:pPr>
      <w:r w:rsidRPr="008E2EC2">
        <w:rPr>
          <w:rFonts w:ascii="Times New Roman" w:eastAsia="Times New Roman" w:hAnsi="Times New Roman" w:cs="Times New Roman"/>
          <w:lang w:bidi="sk-SK"/>
        </w:rPr>
        <w:t>Injekčný roztok naplnen</w:t>
      </w:r>
      <w:r w:rsidR="00CD26E5">
        <w:rPr>
          <w:rFonts w:ascii="Times New Roman" w:eastAsia="Times New Roman" w:hAnsi="Times New Roman" w:cs="Times New Roman"/>
          <w:lang w:bidi="sk-SK"/>
        </w:rPr>
        <w:t>ý</w:t>
      </w:r>
      <w:r w:rsidRPr="008E2EC2">
        <w:rPr>
          <w:rFonts w:ascii="Times New Roman" w:eastAsia="Times New Roman" w:hAnsi="Times New Roman" w:cs="Times New Roman"/>
          <w:lang w:bidi="sk-SK"/>
        </w:rPr>
        <w:t xml:space="preserve"> </w:t>
      </w:r>
      <w:r w:rsidR="00CD26E5">
        <w:rPr>
          <w:rFonts w:ascii="Times New Roman" w:eastAsia="Times New Roman" w:hAnsi="Times New Roman" w:cs="Times New Roman"/>
          <w:lang w:bidi="sk-SK"/>
        </w:rPr>
        <w:t xml:space="preserve">v </w:t>
      </w:r>
      <w:r w:rsidRPr="008E2EC2">
        <w:rPr>
          <w:rFonts w:ascii="Times New Roman" w:eastAsia="Times New Roman" w:hAnsi="Times New Roman" w:cs="Times New Roman"/>
          <w:lang w:bidi="sk-SK"/>
        </w:rPr>
        <w:t>injekčnej striekačke (injekčný roztok).</w:t>
      </w:r>
    </w:p>
    <w:p w14:paraId="456790DC" w14:textId="77777777" w:rsidR="0025223D" w:rsidRPr="00B914C4" w:rsidRDefault="0025223D" w:rsidP="00B858F8">
      <w:pPr>
        <w:spacing w:after="0" w:line="240" w:lineRule="auto"/>
        <w:rPr>
          <w:rFonts w:ascii="Times New Roman" w:hAnsi="Times New Roman" w:cs="Times New Roman"/>
          <w:lang w:val="en-GB"/>
        </w:rPr>
      </w:pPr>
    </w:p>
    <w:p w14:paraId="456790DD"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Číry, bezfarebný až žltý viskózny roztok.</w:t>
      </w:r>
    </w:p>
    <w:p w14:paraId="456790DE" w14:textId="77777777" w:rsidR="0025223D" w:rsidRPr="00B914C4" w:rsidRDefault="0025223D" w:rsidP="00B858F8">
      <w:pPr>
        <w:spacing w:after="0" w:line="240" w:lineRule="auto"/>
        <w:rPr>
          <w:rFonts w:ascii="Times New Roman" w:hAnsi="Times New Roman" w:cs="Times New Roman"/>
          <w:lang w:val="en-GB"/>
        </w:rPr>
      </w:pPr>
    </w:p>
    <w:p w14:paraId="456790E0" w14:textId="77777777" w:rsidR="0025223D" w:rsidRPr="00B914C4" w:rsidRDefault="0025223D" w:rsidP="00B858F8">
      <w:pPr>
        <w:spacing w:after="0" w:line="240" w:lineRule="auto"/>
        <w:rPr>
          <w:rFonts w:ascii="Times New Roman" w:hAnsi="Times New Roman" w:cs="Times New Roman"/>
          <w:lang w:val="en-GB"/>
        </w:rPr>
      </w:pPr>
    </w:p>
    <w:p w14:paraId="456790E1" w14:textId="77777777"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4.</w:t>
      </w:r>
      <w:r w:rsidRPr="00B914C4">
        <w:rPr>
          <w:rFonts w:ascii="Times New Roman" w:eastAsia="Times New Roman" w:hAnsi="Times New Roman" w:cs="Times New Roman"/>
          <w:b/>
          <w:lang w:bidi="sk-SK"/>
        </w:rPr>
        <w:tab/>
        <w:t>KLINICKÉ ÚDAJE</w:t>
      </w:r>
    </w:p>
    <w:p w14:paraId="456790E2" w14:textId="77777777" w:rsidR="0025223D" w:rsidRPr="00B914C4" w:rsidRDefault="0025223D" w:rsidP="00B858F8">
      <w:pPr>
        <w:spacing w:after="0" w:line="240" w:lineRule="auto"/>
        <w:rPr>
          <w:rFonts w:ascii="Times New Roman" w:hAnsi="Times New Roman" w:cs="Times New Roman"/>
          <w:lang w:val="en-GB"/>
        </w:rPr>
      </w:pPr>
    </w:p>
    <w:p w14:paraId="456790E3" w14:textId="77777777"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4.1</w:t>
      </w:r>
      <w:r w:rsidRPr="00B914C4">
        <w:rPr>
          <w:rFonts w:ascii="Times New Roman" w:eastAsia="Times New Roman" w:hAnsi="Times New Roman" w:cs="Times New Roman"/>
          <w:b/>
          <w:lang w:bidi="sk-SK"/>
        </w:rPr>
        <w:tab/>
        <w:t>Terapeutické indikácie</w:t>
      </w:r>
    </w:p>
    <w:p w14:paraId="456790E4" w14:textId="77777777" w:rsidR="0025223D" w:rsidRPr="00B914C4" w:rsidRDefault="0025223D" w:rsidP="00B858F8">
      <w:pPr>
        <w:spacing w:after="0" w:line="240" w:lineRule="auto"/>
        <w:rPr>
          <w:rFonts w:ascii="Times New Roman" w:hAnsi="Times New Roman" w:cs="Times New Roman"/>
          <w:lang w:val="en-GB"/>
        </w:rPr>
      </w:pPr>
    </w:p>
    <w:p w14:paraId="456790E5" w14:textId="32C3B3EB" w:rsidR="0025223D" w:rsidRPr="00B914C4" w:rsidRDefault="00242EC6"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noProof/>
          <w:lang w:val="en-GB"/>
        </w:rPr>
        <w:t xml:space="preserve">Fulvestrant Accord  </w:t>
      </w:r>
      <w:r w:rsidR="00F839E2" w:rsidRPr="001A0391">
        <w:rPr>
          <w:rFonts w:ascii="Times New Roman" w:eastAsia="Times New Roman" w:hAnsi="Times New Roman" w:cs="Times New Roman"/>
          <w:lang w:bidi="sk-SK"/>
        </w:rPr>
        <w:t>j</w:t>
      </w:r>
      <w:r w:rsidR="00F839E2" w:rsidRPr="00B914C4">
        <w:rPr>
          <w:rFonts w:ascii="Times New Roman" w:eastAsia="Times New Roman" w:hAnsi="Times New Roman" w:cs="Times New Roman"/>
          <w:lang w:bidi="sk-SK"/>
        </w:rPr>
        <w:t>e indikovaný na liečbu lokálne pokročilého alebo metastatického karcinómu prsníka s pozitivitou estrogénových receptorov u postmenopauzálnych žien s relapsom ochorenia počas alebo po adjuvantnej antiestrogénovej liečbe alebo pri progresii ochorenia počas antiestrogénovej liečby.</w:t>
      </w:r>
    </w:p>
    <w:p w14:paraId="456790E6" w14:textId="77777777" w:rsidR="0025223D" w:rsidRPr="00B914C4" w:rsidRDefault="0025223D" w:rsidP="00B858F8">
      <w:pPr>
        <w:spacing w:after="0" w:line="240" w:lineRule="auto"/>
        <w:rPr>
          <w:rFonts w:ascii="Times New Roman" w:hAnsi="Times New Roman" w:cs="Times New Roman"/>
          <w:lang w:val="en-GB"/>
        </w:rPr>
      </w:pPr>
    </w:p>
    <w:p w14:paraId="456790E7" w14:textId="77777777"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4.2</w:t>
      </w:r>
      <w:r w:rsidRPr="00B914C4">
        <w:rPr>
          <w:rFonts w:ascii="Times New Roman" w:eastAsia="Times New Roman" w:hAnsi="Times New Roman" w:cs="Times New Roman"/>
          <w:b/>
          <w:lang w:bidi="sk-SK"/>
        </w:rPr>
        <w:tab/>
        <w:t>Dávkovanie a spôsob podávania</w:t>
      </w:r>
    </w:p>
    <w:p w14:paraId="456790E8" w14:textId="77777777" w:rsidR="0025223D" w:rsidRPr="00B914C4" w:rsidRDefault="0025223D" w:rsidP="00B858F8">
      <w:pPr>
        <w:spacing w:after="0" w:line="240" w:lineRule="auto"/>
        <w:rPr>
          <w:rFonts w:ascii="Times New Roman" w:hAnsi="Times New Roman" w:cs="Times New Roman"/>
          <w:lang w:val="en-GB"/>
        </w:rPr>
      </w:pPr>
    </w:p>
    <w:p w14:paraId="456790E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u w:val="single" w:color="000000"/>
          <w:lang w:bidi="sk-SK"/>
        </w:rPr>
        <w:t>Dávkovanie</w:t>
      </w:r>
    </w:p>
    <w:p w14:paraId="23D6FBF8" w14:textId="77777777" w:rsidR="00004F58" w:rsidRPr="00B914C4" w:rsidRDefault="00004F58" w:rsidP="00B858F8">
      <w:pPr>
        <w:spacing w:after="0" w:line="240" w:lineRule="auto"/>
        <w:rPr>
          <w:rFonts w:ascii="Times New Roman" w:eastAsia="Times New Roman" w:hAnsi="Times New Roman" w:cs="Times New Roman"/>
          <w:lang w:val="en-GB"/>
        </w:rPr>
      </w:pPr>
    </w:p>
    <w:p w14:paraId="456790EA" w14:textId="51FDF41F"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i/>
          <w:lang w:bidi="sk-SK"/>
        </w:rPr>
        <w:t>Dospelé ženy (vrátane starších žien)</w:t>
      </w:r>
    </w:p>
    <w:p w14:paraId="456790EB" w14:textId="72D70DBA"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Odporúčaná dávka je 500 mg v jednomesačných intervaloch s ďalšou 500 mg dávkou podanou dva týždne po začiatočnej dávke.</w:t>
      </w:r>
    </w:p>
    <w:p w14:paraId="456790EC" w14:textId="77777777" w:rsidR="0025223D" w:rsidRPr="00B914C4" w:rsidRDefault="0025223D" w:rsidP="00B858F8">
      <w:pPr>
        <w:spacing w:after="0" w:line="240" w:lineRule="auto"/>
        <w:rPr>
          <w:rFonts w:ascii="Times New Roman" w:hAnsi="Times New Roman" w:cs="Times New Roman"/>
          <w:lang w:val="en-GB"/>
        </w:rPr>
      </w:pPr>
    </w:p>
    <w:p w14:paraId="456790ED" w14:textId="77777777" w:rsidR="0025223D" w:rsidRPr="00B914C4" w:rsidRDefault="00F839E2" w:rsidP="00B858F8">
      <w:pPr>
        <w:spacing w:after="0" w:line="240" w:lineRule="auto"/>
        <w:rPr>
          <w:rFonts w:ascii="Times New Roman" w:eastAsia="Times New Roman" w:hAnsi="Times New Roman" w:cs="Times New Roman"/>
          <w:i/>
          <w:lang w:val="en-GB"/>
        </w:rPr>
      </w:pPr>
      <w:r w:rsidRPr="00B914C4">
        <w:rPr>
          <w:rFonts w:ascii="Times New Roman" w:eastAsia="Times New Roman" w:hAnsi="Times New Roman" w:cs="Times New Roman"/>
          <w:i/>
          <w:u w:val="single" w:color="000000"/>
          <w:lang w:bidi="sk-SK"/>
        </w:rPr>
        <w:t>Osobitné skupiny pacientov</w:t>
      </w:r>
    </w:p>
    <w:p w14:paraId="28E969DE" w14:textId="77777777" w:rsidR="00004F58" w:rsidRPr="00B914C4" w:rsidRDefault="00004F58" w:rsidP="00B858F8">
      <w:pPr>
        <w:spacing w:after="0" w:line="240" w:lineRule="auto"/>
        <w:rPr>
          <w:rFonts w:ascii="Times New Roman" w:eastAsia="Times New Roman" w:hAnsi="Times New Roman" w:cs="Times New Roman"/>
          <w:lang w:val="en-GB"/>
        </w:rPr>
      </w:pPr>
    </w:p>
    <w:p w14:paraId="456790E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i/>
          <w:lang w:bidi="sk-SK"/>
        </w:rPr>
        <w:t>Porucha funkcie obličiek</w:t>
      </w:r>
    </w:p>
    <w:p w14:paraId="456790F0" w14:textId="38CBAC2D"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U pacientok s miernou až stredne závažnou poruchou funkcie obličiek sa neodporúča žiadna úprava dávky (klírens kreatinínu ≥ 30 ml/min). U pacientok so závažnou poruchou funkcie obličiek sa bezpečnosť a účinnosť nehodnotili (klírens kreatinínu &lt; 30 ml/min), u týchto pacientok je preto potrebná zvýšená opatrnosť (pozri časť 4.4).</w:t>
      </w:r>
    </w:p>
    <w:p w14:paraId="456790F1" w14:textId="77777777" w:rsidR="0025223D" w:rsidRPr="001A0391" w:rsidRDefault="0025223D" w:rsidP="00B858F8">
      <w:pPr>
        <w:spacing w:after="0" w:line="240" w:lineRule="auto"/>
        <w:rPr>
          <w:rFonts w:ascii="Times New Roman" w:hAnsi="Times New Roman" w:cs="Times New Roman"/>
        </w:rPr>
      </w:pPr>
    </w:p>
    <w:p w14:paraId="456790F2"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Porucha funkcie pečene</w:t>
      </w:r>
    </w:p>
    <w:p w14:paraId="456790F4" w14:textId="168C3474"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U pacientok s miernou až stredne závažnou poruchou funkcie pečene nie je potrebná úprava dávky. Nakoľko expozícia fulvestrantu môže byť zvýšená, </w:t>
      </w:r>
      <w:r w:rsidR="005A10B0" w:rsidRPr="001A0391">
        <w:rPr>
          <w:rFonts w:ascii="Times New Roman" w:eastAsia="Times New Roman" w:hAnsi="Times New Roman" w:cs="Times New Roman"/>
          <w:lang w:bidi="sk-SK"/>
        </w:rPr>
        <w:t>Fulvestrant</w:t>
      </w:r>
      <w:r w:rsidR="00E03CD2">
        <w:rPr>
          <w:rFonts w:ascii="Times New Roman" w:eastAsia="Times New Roman" w:hAnsi="Times New Roman" w:cs="Times New Roman"/>
          <w:lang w:bidi="sk-SK"/>
        </w:rPr>
        <w:t xml:space="preserve"> Accord</w:t>
      </w:r>
      <w:r w:rsidR="005A10B0" w:rsidRPr="001A0391">
        <w:rPr>
          <w:rFonts w:ascii="Times New Roman" w:eastAsia="Times New Roman" w:hAnsi="Times New Roman" w:cs="Times New Roman"/>
          <w:lang w:bidi="sk-SK"/>
        </w:rPr>
        <w:t xml:space="preserve"> </w:t>
      </w:r>
      <w:r w:rsidRPr="001A0391">
        <w:rPr>
          <w:rFonts w:ascii="Times New Roman" w:eastAsia="Times New Roman" w:hAnsi="Times New Roman" w:cs="Times New Roman"/>
          <w:lang w:bidi="sk-SK"/>
        </w:rPr>
        <w:t>s</w:t>
      </w:r>
      <w:r w:rsidRPr="00B914C4">
        <w:rPr>
          <w:rFonts w:ascii="Times New Roman" w:eastAsia="Times New Roman" w:hAnsi="Times New Roman" w:cs="Times New Roman"/>
          <w:lang w:bidi="sk-SK"/>
        </w:rPr>
        <w:t>a má u týchto pacientok podávať s opatrnosťou. Nie sú údaje u pacientok so závažnou poruchou funkcie pečene (pozri časti 4.3, 4.4 a 5.2).</w:t>
      </w:r>
    </w:p>
    <w:p w14:paraId="456790F5" w14:textId="77777777" w:rsidR="0025223D" w:rsidRPr="001A0391" w:rsidRDefault="0025223D" w:rsidP="00B858F8">
      <w:pPr>
        <w:spacing w:after="0" w:line="240" w:lineRule="auto"/>
        <w:rPr>
          <w:rFonts w:ascii="Times New Roman" w:hAnsi="Times New Roman" w:cs="Times New Roman"/>
        </w:rPr>
      </w:pPr>
    </w:p>
    <w:p w14:paraId="08B3DB8A" w14:textId="77777777" w:rsidR="00EA7181" w:rsidRPr="001A0391" w:rsidRDefault="00EA7181" w:rsidP="00B858F8">
      <w:pPr>
        <w:spacing w:after="0" w:line="240" w:lineRule="auto"/>
        <w:rPr>
          <w:rFonts w:ascii="Times New Roman" w:hAnsi="Times New Roman" w:cs="Times New Roman"/>
        </w:rPr>
      </w:pPr>
    </w:p>
    <w:p w14:paraId="456790F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lastRenderedPageBreak/>
        <w:t>Pediatrická populácia</w:t>
      </w:r>
    </w:p>
    <w:p w14:paraId="456790F8" w14:textId="64D689D8"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Bezpečnosť a účinnosť fulvestrantu u detí vo veku &lt; 18 rokov neboli stanovené. V súčasnosti dostupné údaje sú opísané v častiach 5.1 a 5.2, ale neumožňujú uviesť odporúčania na dávkovanie.</w:t>
      </w:r>
    </w:p>
    <w:p w14:paraId="456790F9" w14:textId="77777777" w:rsidR="0025223D" w:rsidRPr="001A0391" w:rsidRDefault="0025223D" w:rsidP="00B858F8">
      <w:pPr>
        <w:spacing w:after="0" w:line="240" w:lineRule="auto"/>
        <w:rPr>
          <w:rFonts w:ascii="Times New Roman" w:hAnsi="Times New Roman" w:cs="Times New Roman"/>
        </w:rPr>
      </w:pPr>
    </w:p>
    <w:p w14:paraId="456790FA" w14:textId="77777777" w:rsidR="0025223D" w:rsidRPr="001A0391" w:rsidRDefault="00F839E2" w:rsidP="00CE233D">
      <w:pPr>
        <w:keepNext/>
        <w:spacing w:after="0" w:line="240" w:lineRule="auto"/>
        <w:rPr>
          <w:rFonts w:ascii="Times New Roman" w:eastAsia="Times New Roman" w:hAnsi="Times New Roman" w:cs="Times New Roman"/>
          <w:u w:val="single" w:color="000000"/>
        </w:rPr>
      </w:pPr>
      <w:r w:rsidRPr="00B914C4">
        <w:rPr>
          <w:rFonts w:ascii="Times New Roman" w:eastAsia="Times New Roman" w:hAnsi="Times New Roman" w:cs="Times New Roman"/>
          <w:u w:val="single" w:color="000000"/>
          <w:lang w:bidi="sk-SK"/>
        </w:rPr>
        <w:t>Spôsob podávania</w:t>
      </w:r>
    </w:p>
    <w:p w14:paraId="062A2F7F" w14:textId="77777777" w:rsidR="00A90726" w:rsidRPr="001A0391" w:rsidRDefault="00A90726" w:rsidP="00CE233D">
      <w:pPr>
        <w:keepNext/>
        <w:spacing w:after="0" w:line="240" w:lineRule="auto"/>
        <w:rPr>
          <w:rFonts w:ascii="Times New Roman" w:eastAsia="Times New Roman" w:hAnsi="Times New Roman" w:cs="Times New Roman"/>
        </w:rPr>
      </w:pPr>
    </w:p>
    <w:p w14:paraId="456790FC" w14:textId="424F6C1F" w:rsidR="0025223D" w:rsidRPr="001A0391" w:rsidRDefault="00242EC6" w:rsidP="00B858F8">
      <w:pPr>
        <w:spacing w:after="0" w:line="240" w:lineRule="auto"/>
        <w:rPr>
          <w:rFonts w:ascii="Times New Roman" w:eastAsia="Times New Roman" w:hAnsi="Times New Roman" w:cs="Times New Roman"/>
        </w:rPr>
      </w:pPr>
      <w:r>
        <w:rPr>
          <w:rFonts w:ascii="Times New Roman" w:eastAsia="Times New Roman" w:hAnsi="Times New Roman" w:cs="Times New Roman"/>
          <w:noProof/>
          <w:lang w:val="en-GB"/>
        </w:rPr>
        <w:t xml:space="preserve">Fulvestrant Accord </w:t>
      </w:r>
      <w:r w:rsidR="00F839E2" w:rsidRPr="00B914C4">
        <w:rPr>
          <w:rFonts w:ascii="Times New Roman" w:eastAsia="Times New Roman" w:hAnsi="Times New Roman" w:cs="Times New Roman"/>
          <w:lang w:bidi="sk-SK"/>
        </w:rPr>
        <w:t>sa má podávať formou dvoch následných 5 ml injekcií pomalou vnútrosvalovou injekciou (1</w:t>
      </w:r>
      <w:r w:rsidR="004E08FD" w:rsidRPr="00B914C4">
        <w:rPr>
          <w:rFonts w:ascii="Times New Roman" w:eastAsia="Times New Roman" w:hAnsi="Times New Roman" w:cs="Times New Roman"/>
          <w:lang w:bidi="sk-SK"/>
        </w:rPr>
        <w:noBreakHyphen/>
      </w:r>
      <w:r w:rsidR="00F839E2" w:rsidRPr="00B914C4">
        <w:rPr>
          <w:rFonts w:ascii="Times New Roman" w:eastAsia="Times New Roman" w:hAnsi="Times New Roman" w:cs="Times New Roman"/>
          <w:lang w:bidi="sk-SK"/>
        </w:rPr>
        <w:t>2 minúty/injekcia) do každého sedacieho svalu (gluteálna oblasť).</w:t>
      </w:r>
    </w:p>
    <w:p w14:paraId="0E4BD6E0" w14:textId="77777777" w:rsidR="00EE1B4C" w:rsidRPr="001A0391" w:rsidRDefault="00EE1B4C" w:rsidP="00B858F8">
      <w:pPr>
        <w:spacing w:after="0" w:line="240" w:lineRule="auto"/>
        <w:rPr>
          <w:rFonts w:ascii="Times New Roman" w:eastAsia="Times New Roman" w:hAnsi="Times New Roman" w:cs="Times New Roman"/>
        </w:rPr>
      </w:pPr>
    </w:p>
    <w:p w14:paraId="0B248DC5" w14:textId="5DEA5EA1" w:rsidR="00EE1B4C" w:rsidRPr="001A0391" w:rsidRDefault="00EE1B4C"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Opatrnosť je potrebná pri injekčnom podávaní fulvestrantu do dorzogluteálnej oblasti z dôvodu blízkosti sedacieho nervu.</w:t>
      </w:r>
    </w:p>
    <w:p w14:paraId="0528C7F2" w14:textId="77777777" w:rsidR="00475E0D" w:rsidRPr="001A0391" w:rsidRDefault="00475E0D" w:rsidP="00B858F8">
      <w:pPr>
        <w:spacing w:after="0" w:line="240" w:lineRule="auto"/>
        <w:rPr>
          <w:rFonts w:ascii="Times New Roman" w:eastAsia="Times New Roman" w:hAnsi="Times New Roman" w:cs="Times New Roman"/>
        </w:rPr>
      </w:pPr>
    </w:p>
    <w:p w14:paraId="456790FD" w14:textId="6773A6F6"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Podrobné pokyny na podávanie, pozri časť 6.6.</w:t>
      </w:r>
    </w:p>
    <w:p w14:paraId="1491D02D" w14:textId="77777777" w:rsidR="00475E0D" w:rsidRPr="001A0391" w:rsidRDefault="00475E0D" w:rsidP="00B858F8">
      <w:pPr>
        <w:tabs>
          <w:tab w:val="left" w:pos="660"/>
        </w:tabs>
        <w:spacing w:after="0" w:line="240" w:lineRule="auto"/>
        <w:rPr>
          <w:rFonts w:ascii="Times New Roman" w:eastAsia="Times New Roman" w:hAnsi="Times New Roman" w:cs="Times New Roman"/>
          <w:bCs/>
        </w:rPr>
      </w:pPr>
    </w:p>
    <w:p w14:paraId="456790FF"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4.3</w:t>
      </w:r>
      <w:r w:rsidRPr="00B914C4">
        <w:rPr>
          <w:rFonts w:ascii="Times New Roman" w:eastAsia="Times New Roman" w:hAnsi="Times New Roman" w:cs="Times New Roman"/>
          <w:b/>
          <w:lang w:bidi="sk-SK"/>
        </w:rPr>
        <w:tab/>
        <w:t>Kontraindikácie</w:t>
      </w:r>
    </w:p>
    <w:p w14:paraId="45679100" w14:textId="77777777" w:rsidR="0025223D" w:rsidRPr="001A0391" w:rsidRDefault="0025223D" w:rsidP="00B858F8">
      <w:pPr>
        <w:spacing w:after="0" w:line="240" w:lineRule="auto"/>
        <w:rPr>
          <w:rFonts w:ascii="Times New Roman" w:hAnsi="Times New Roman" w:cs="Times New Roman"/>
        </w:rPr>
      </w:pPr>
    </w:p>
    <w:p w14:paraId="6B10F4A6" w14:textId="16163CB1" w:rsidR="00FE5D24"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Precitlivenosť na liečivo alebo na ktorúkoľvek z pomocných látok uvedených v časti 6.1.</w:t>
      </w:r>
    </w:p>
    <w:p w14:paraId="32663CB9" w14:textId="77777777" w:rsidR="00FE5D24" w:rsidRPr="001A0391" w:rsidRDefault="00FE5D24" w:rsidP="00B858F8">
      <w:pPr>
        <w:spacing w:after="0" w:line="240" w:lineRule="auto"/>
        <w:rPr>
          <w:rFonts w:ascii="Times New Roman" w:eastAsia="Times New Roman" w:hAnsi="Times New Roman" w:cs="Times New Roman"/>
        </w:rPr>
      </w:pPr>
    </w:p>
    <w:p w14:paraId="45679101" w14:textId="19AEBA23"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Gravidita a laktácia (pozri časť 4.6).</w:t>
      </w:r>
    </w:p>
    <w:p w14:paraId="17345755" w14:textId="77777777" w:rsidR="00FE5D24" w:rsidRPr="001A0391" w:rsidRDefault="00FE5D24" w:rsidP="00B858F8">
      <w:pPr>
        <w:spacing w:after="0" w:line="240" w:lineRule="auto"/>
        <w:rPr>
          <w:rFonts w:ascii="Times New Roman" w:eastAsia="Times New Roman" w:hAnsi="Times New Roman" w:cs="Times New Roman"/>
          <w:lang w:val="it-IT"/>
        </w:rPr>
      </w:pPr>
    </w:p>
    <w:p w14:paraId="45679102" w14:textId="4C951F10"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Závažná porucha funkcie pečene (pozri časť 4.4 a 5.2).</w:t>
      </w:r>
    </w:p>
    <w:p w14:paraId="45679103" w14:textId="77777777" w:rsidR="0025223D" w:rsidRPr="001A0391" w:rsidRDefault="0025223D" w:rsidP="00B858F8">
      <w:pPr>
        <w:spacing w:after="0" w:line="240" w:lineRule="auto"/>
        <w:rPr>
          <w:rFonts w:ascii="Times New Roman" w:hAnsi="Times New Roman" w:cs="Times New Roman"/>
          <w:lang w:val="it-IT"/>
        </w:rPr>
      </w:pPr>
    </w:p>
    <w:p w14:paraId="45679104"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B914C4">
        <w:rPr>
          <w:rFonts w:ascii="Times New Roman" w:eastAsia="Times New Roman" w:hAnsi="Times New Roman" w:cs="Times New Roman"/>
          <w:b/>
          <w:lang w:bidi="sk-SK"/>
        </w:rPr>
        <w:t>4.4</w:t>
      </w:r>
      <w:r w:rsidRPr="00B914C4">
        <w:rPr>
          <w:rFonts w:ascii="Times New Roman" w:eastAsia="Times New Roman" w:hAnsi="Times New Roman" w:cs="Times New Roman"/>
          <w:b/>
          <w:lang w:bidi="sk-SK"/>
        </w:rPr>
        <w:tab/>
        <w:t>Osobitné upozornenia a opatrenia pri používaní</w:t>
      </w:r>
    </w:p>
    <w:p w14:paraId="45679105" w14:textId="77777777" w:rsidR="0025223D" w:rsidRPr="001A0391" w:rsidRDefault="0025223D" w:rsidP="00B858F8">
      <w:pPr>
        <w:spacing w:after="0" w:line="240" w:lineRule="auto"/>
        <w:rPr>
          <w:rFonts w:ascii="Times New Roman" w:hAnsi="Times New Roman" w:cs="Times New Roman"/>
          <w:lang w:val="it-IT"/>
        </w:rPr>
      </w:pPr>
    </w:p>
    <w:p w14:paraId="45679106" w14:textId="23C01FF2"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 xml:space="preserve">U pacientok s miernou až stredne závažnou poruchou funkcie pečene sa má </w:t>
      </w:r>
      <w:r w:rsidR="00242EC6">
        <w:rPr>
          <w:rFonts w:ascii="Times New Roman" w:eastAsia="Times New Roman" w:hAnsi="Times New Roman" w:cs="Times New Roman"/>
          <w:noProof/>
          <w:lang w:val="en-GB"/>
        </w:rPr>
        <w:t>Fulvestrant  Accord</w:t>
      </w:r>
      <w:r w:rsidR="00242EC6" w:rsidRPr="00B914C4">
        <w:rPr>
          <w:rFonts w:ascii="Times New Roman" w:eastAsia="Times New Roman" w:hAnsi="Times New Roman" w:cs="Times New Roman"/>
          <w:lang w:bidi="sk-SK"/>
        </w:rPr>
        <w:t xml:space="preserve"> </w:t>
      </w:r>
      <w:r w:rsidR="00242EC6">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podávať so zvýšenou opatrnosťou (pozri časti 4.2, 4.3 a 5.2).</w:t>
      </w:r>
    </w:p>
    <w:p w14:paraId="45679107" w14:textId="77777777" w:rsidR="0025223D" w:rsidRPr="001A0391" w:rsidRDefault="0025223D" w:rsidP="00B858F8">
      <w:pPr>
        <w:spacing w:after="0" w:line="240" w:lineRule="auto"/>
        <w:rPr>
          <w:rFonts w:ascii="Times New Roman" w:hAnsi="Times New Roman" w:cs="Times New Roman"/>
          <w:lang w:val="it-IT"/>
        </w:rPr>
      </w:pPr>
    </w:p>
    <w:p w14:paraId="45679108" w14:textId="638E743C" w:rsidR="0025223D" w:rsidRPr="001A0391" w:rsidRDefault="00242EC6" w:rsidP="00B858F8">
      <w:pPr>
        <w:spacing w:after="0" w:line="240" w:lineRule="auto"/>
        <w:rPr>
          <w:rFonts w:ascii="Times New Roman" w:eastAsia="Times New Roman" w:hAnsi="Times New Roman" w:cs="Times New Roman"/>
          <w:lang w:val="it-IT"/>
        </w:rPr>
      </w:pPr>
      <w:r>
        <w:rPr>
          <w:rFonts w:ascii="Times New Roman" w:eastAsia="Times New Roman" w:hAnsi="Times New Roman" w:cs="Times New Roman"/>
          <w:noProof/>
          <w:lang w:val="en-GB"/>
        </w:rPr>
        <w:t>Fulvestrant  Accord</w:t>
      </w:r>
      <w:r w:rsidRPr="001A0391">
        <w:rPr>
          <w:rFonts w:ascii="Times New Roman" w:eastAsia="Times New Roman" w:hAnsi="Times New Roman" w:cs="Times New Roman"/>
          <w:lang w:bidi="sk-SK"/>
        </w:rPr>
        <w:t xml:space="preserve"> </w:t>
      </w:r>
      <w:r>
        <w:rPr>
          <w:rFonts w:ascii="Times New Roman" w:eastAsia="Times New Roman" w:hAnsi="Times New Roman" w:cs="Times New Roman"/>
          <w:lang w:bidi="sk-SK"/>
        </w:rPr>
        <w:t xml:space="preserve"> </w:t>
      </w:r>
      <w:r w:rsidR="00F839E2" w:rsidRPr="001A0391">
        <w:rPr>
          <w:rFonts w:ascii="Times New Roman" w:eastAsia="Times New Roman" w:hAnsi="Times New Roman" w:cs="Times New Roman"/>
          <w:lang w:bidi="sk-SK"/>
        </w:rPr>
        <w:t>s</w:t>
      </w:r>
      <w:r w:rsidR="00F839E2" w:rsidRPr="00B914C4">
        <w:rPr>
          <w:rFonts w:ascii="Times New Roman" w:eastAsia="Times New Roman" w:hAnsi="Times New Roman" w:cs="Times New Roman"/>
          <w:lang w:bidi="sk-SK"/>
        </w:rPr>
        <w:t>a má podávať so zvýšenou opatrnosťou u pacientok so závažnou poruchou funkcie obličiek (klírens kreatinínu menej ako 30 ml/min).</w:t>
      </w:r>
    </w:p>
    <w:p w14:paraId="45679109" w14:textId="77777777" w:rsidR="0025223D" w:rsidRPr="001A0391" w:rsidRDefault="0025223D" w:rsidP="00B858F8">
      <w:pPr>
        <w:spacing w:after="0" w:line="240" w:lineRule="auto"/>
        <w:rPr>
          <w:rFonts w:ascii="Times New Roman" w:hAnsi="Times New Roman" w:cs="Times New Roman"/>
          <w:lang w:val="it-IT"/>
        </w:rPr>
      </w:pPr>
    </w:p>
    <w:p w14:paraId="4567910A" w14:textId="61981BA0"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 xml:space="preserve">Vzhľadom na intramuskulárny spôsob podania sa </w:t>
      </w:r>
      <w:r w:rsidRPr="001A0391">
        <w:rPr>
          <w:rFonts w:ascii="Times New Roman" w:eastAsia="Times New Roman" w:hAnsi="Times New Roman" w:cs="Times New Roman"/>
          <w:lang w:bidi="sk-SK"/>
        </w:rPr>
        <w:t xml:space="preserve">má </w:t>
      </w:r>
      <w:r w:rsidR="005A10B0" w:rsidRPr="001A0391">
        <w:rPr>
          <w:rFonts w:ascii="Times New Roman" w:eastAsia="Times New Roman" w:hAnsi="Times New Roman" w:cs="Times New Roman"/>
          <w:lang w:bidi="sk-SK"/>
        </w:rPr>
        <w:t xml:space="preserve">Fulvestrant </w:t>
      </w:r>
      <w:r w:rsidRPr="001A0391">
        <w:rPr>
          <w:rFonts w:ascii="Times New Roman" w:eastAsia="Times New Roman" w:hAnsi="Times New Roman" w:cs="Times New Roman"/>
          <w:lang w:bidi="sk-SK"/>
        </w:rPr>
        <w:t>používať</w:t>
      </w:r>
      <w:r w:rsidRPr="00B914C4">
        <w:rPr>
          <w:rFonts w:ascii="Times New Roman" w:eastAsia="Times New Roman" w:hAnsi="Times New Roman" w:cs="Times New Roman"/>
          <w:lang w:bidi="sk-SK"/>
        </w:rPr>
        <w:t xml:space="preserve"> opatrne u pacientok s hemoragickou diatézou, trombocytopéniou alebo u pacientok liečených antikoagulanciami.</w:t>
      </w:r>
    </w:p>
    <w:p w14:paraId="4567910B" w14:textId="77777777" w:rsidR="0025223D" w:rsidRPr="001A0391" w:rsidRDefault="0025223D" w:rsidP="00B858F8">
      <w:pPr>
        <w:spacing w:after="0" w:line="240" w:lineRule="auto"/>
        <w:rPr>
          <w:rFonts w:ascii="Times New Roman" w:hAnsi="Times New Roman" w:cs="Times New Roman"/>
          <w:lang w:val="it-IT"/>
        </w:rPr>
      </w:pPr>
    </w:p>
    <w:p w14:paraId="4567910D" w14:textId="7BF3C84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U žien s pokročilou rakovinou prsníka sa často vyskytli tromboembolické príhody, ktoré boli pozorované v klinických štúdiách s fulvestrantom (pozri časť 4.8). Pri predpisovaní </w:t>
      </w:r>
      <w:r w:rsidR="00242EC6">
        <w:rPr>
          <w:rFonts w:ascii="Times New Roman" w:eastAsia="Times New Roman" w:hAnsi="Times New Roman" w:cs="Times New Roman"/>
          <w:noProof/>
          <w:lang w:val="en-GB"/>
        </w:rPr>
        <w:t>Fulvestrant</w:t>
      </w:r>
      <w:r w:rsidR="00E03CD2">
        <w:rPr>
          <w:rFonts w:ascii="Times New Roman" w:eastAsia="Times New Roman" w:hAnsi="Times New Roman" w:cs="Times New Roman"/>
          <w:noProof/>
          <w:lang w:val="en-GB"/>
        </w:rPr>
        <w:t>u</w:t>
      </w:r>
      <w:r w:rsidR="00242EC6">
        <w:rPr>
          <w:rFonts w:ascii="Times New Roman" w:eastAsia="Times New Roman" w:hAnsi="Times New Roman" w:cs="Times New Roman"/>
          <w:noProof/>
          <w:lang w:val="en-GB"/>
        </w:rPr>
        <w:t xml:space="preserve">  Accord</w:t>
      </w:r>
      <w:r w:rsidR="00242EC6" w:rsidRPr="00B914C4">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rizikovým pacientkam sa má na to brať ohľad.</w:t>
      </w:r>
    </w:p>
    <w:p w14:paraId="54503494" w14:textId="577B56C1" w:rsidR="00AA4E06" w:rsidRPr="001A0391" w:rsidRDefault="00AA4E06" w:rsidP="00B858F8">
      <w:pPr>
        <w:spacing w:after="0" w:line="240" w:lineRule="auto"/>
        <w:rPr>
          <w:rFonts w:ascii="Times New Roman" w:hAnsi="Times New Roman" w:cs="Times New Roman"/>
        </w:rPr>
      </w:pPr>
    </w:p>
    <w:p w14:paraId="4CBD8786" w14:textId="0D1324C6" w:rsidR="00376EAB" w:rsidRDefault="00376EAB" w:rsidP="00376EAB">
      <w:pPr>
        <w:spacing w:after="0" w:line="240" w:lineRule="auto"/>
        <w:ind w:right="42"/>
        <w:rPr>
          <w:rFonts w:ascii="Times New Roman" w:eastAsia="Times New Roman" w:hAnsi="Times New Roman" w:cs="Times New Roman"/>
        </w:rPr>
      </w:pPr>
      <w:r w:rsidRPr="002D7C9E">
        <w:rPr>
          <w:rFonts w:ascii="Times New Roman" w:eastAsia="Times New Roman" w:hAnsi="Times New Roman" w:cs="Times New Roman"/>
          <w:lang w:bidi="sk-SK"/>
        </w:rPr>
        <w:t xml:space="preserve">V súvislosti </w:t>
      </w:r>
      <w:r w:rsidRPr="002D7C9E">
        <w:rPr>
          <w:rFonts w:ascii="Times New Roman" w:eastAsia="Times New Roman" w:hAnsi="Times New Roman" w:cs="Times New Roman"/>
          <w:spacing w:val="-1"/>
          <w:lang w:bidi="sk-SK"/>
        </w:rPr>
        <w:t>s</w:t>
      </w:r>
      <w:r w:rsidRPr="002D7C9E">
        <w:rPr>
          <w:rFonts w:ascii="Times New Roman" w:eastAsia="Times New Roman" w:hAnsi="Times New Roman" w:cs="Times New Roman"/>
          <w:lang w:bidi="sk-SK"/>
        </w:rPr>
        <w:t xml:space="preserve"> injekciou fulvestrantu sa zaznamenali udalosti súvisiace s miestom podania </w:t>
      </w:r>
      <w:r w:rsidRPr="002D7C9E">
        <w:rPr>
          <w:rFonts w:ascii="Times New Roman" w:eastAsia="Times New Roman" w:hAnsi="Times New Roman" w:cs="Times New Roman"/>
          <w:spacing w:val="-2"/>
          <w:lang w:bidi="sk-SK"/>
        </w:rPr>
        <w:t>in</w:t>
      </w:r>
      <w:r w:rsidRPr="002D7C9E">
        <w:rPr>
          <w:rFonts w:ascii="Times New Roman" w:eastAsia="Times New Roman" w:hAnsi="Times New Roman" w:cs="Times New Roman"/>
          <w:spacing w:val="3"/>
          <w:lang w:bidi="sk-SK"/>
        </w:rPr>
        <w:t>j</w:t>
      </w:r>
      <w:r w:rsidRPr="002D7C9E">
        <w:rPr>
          <w:rFonts w:ascii="Times New Roman" w:eastAsia="Times New Roman" w:hAnsi="Times New Roman" w:cs="Times New Roman"/>
          <w:lang w:bidi="sk-SK"/>
        </w:rPr>
        <w:t xml:space="preserve">ekcie ako je ischias, neuralgia, neuropatická bolesť a periférna neuropatia. Opatrnosť je potrebná pri injekčnom </w:t>
      </w:r>
      <w:r w:rsidRPr="001A0391">
        <w:rPr>
          <w:rFonts w:ascii="Times New Roman" w:eastAsia="Times New Roman" w:hAnsi="Times New Roman" w:cs="Times New Roman"/>
          <w:spacing w:val="-1"/>
          <w:lang w:bidi="sk-SK"/>
        </w:rPr>
        <w:t>podávan</w:t>
      </w:r>
      <w:r w:rsidRPr="001A0391">
        <w:rPr>
          <w:rFonts w:ascii="Times New Roman" w:eastAsia="Times New Roman" w:hAnsi="Times New Roman" w:cs="Times New Roman"/>
          <w:lang w:bidi="sk-SK"/>
        </w:rPr>
        <w:t xml:space="preserve">í </w:t>
      </w:r>
      <w:r w:rsidR="005A10B0" w:rsidRPr="001A0391">
        <w:rPr>
          <w:rFonts w:ascii="Times New Roman" w:eastAsia="Times New Roman" w:hAnsi="Times New Roman" w:cs="Times New Roman"/>
          <w:lang w:bidi="sk-SK"/>
        </w:rPr>
        <w:t xml:space="preserve">Fulvestrant </w:t>
      </w:r>
      <w:r w:rsidRPr="001A0391">
        <w:rPr>
          <w:rFonts w:ascii="Times New Roman" w:eastAsia="Times New Roman" w:hAnsi="Times New Roman" w:cs="Times New Roman"/>
          <w:lang w:bidi="sk-SK"/>
        </w:rPr>
        <w:t>do</w:t>
      </w:r>
      <w:r w:rsidRPr="002D7C9E">
        <w:rPr>
          <w:rFonts w:ascii="Times New Roman" w:eastAsia="Times New Roman" w:hAnsi="Times New Roman" w:cs="Times New Roman"/>
          <w:lang w:bidi="sk-SK"/>
        </w:rPr>
        <w:t xml:space="preserve"> dorzogluteálnej oblasti z dôvodu blízkosti sedacieho nervu (pozri časti 4.2 a 4.8).</w:t>
      </w:r>
    </w:p>
    <w:p w14:paraId="2DD66859" w14:textId="77777777" w:rsidR="00376EAB" w:rsidRPr="001A0391" w:rsidRDefault="00376EAB" w:rsidP="00B858F8">
      <w:pPr>
        <w:spacing w:after="0" w:line="240" w:lineRule="auto"/>
        <w:rPr>
          <w:rFonts w:ascii="Times New Roman" w:hAnsi="Times New Roman" w:cs="Times New Roman"/>
        </w:rPr>
      </w:pPr>
    </w:p>
    <w:p w14:paraId="4567910F"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Nie sú k dispozícii dlhodobé údaje o účinku fulvestrantu na kosti. Vzhľadom na mechanizmus účinku fulvestrantu existuje potenciálne riziko vzniku osteoporózy.</w:t>
      </w:r>
    </w:p>
    <w:p w14:paraId="45679110" w14:textId="77777777" w:rsidR="0025223D" w:rsidRPr="001A0391" w:rsidRDefault="0025223D" w:rsidP="00B858F8">
      <w:pPr>
        <w:spacing w:after="0" w:line="240" w:lineRule="auto"/>
        <w:rPr>
          <w:rFonts w:ascii="Times New Roman" w:hAnsi="Times New Roman" w:cs="Times New Roman"/>
        </w:rPr>
      </w:pPr>
    </w:p>
    <w:p w14:paraId="60C3C5FF" w14:textId="77777777" w:rsidR="00AA4E06" w:rsidRPr="002D7C9E" w:rsidRDefault="00AA4E06" w:rsidP="00AA4E06">
      <w:pPr>
        <w:spacing w:after="0" w:line="240" w:lineRule="auto"/>
        <w:ind w:right="-20"/>
        <w:rPr>
          <w:rFonts w:ascii="Times New Roman" w:eastAsia="Times New Roman" w:hAnsi="Times New Roman" w:cs="Times New Roman"/>
        </w:rPr>
      </w:pPr>
      <w:r w:rsidRPr="002D7C9E">
        <w:rPr>
          <w:rFonts w:ascii="Times New Roman" w:eastAsia="Times New Roman" w:hAnsi="Times New Roman" w:cs="Times New Roman"/>
          <w:i/>
          <w:lang w:bidi="sk-SK"/>
        </w:rPr>
        <w:t>Interferencia s hodnotením protilátok proti estradiolu</w:t>
      </w:r>
    </w:p>
    <w:p w14:paraId="518FB94D" w14:textId="52578F5B" w:rsidR="00AA4E06" w:rsidRDefault="00AA4E06" w:rsidP="00AA4E06">
      <w:pPr>
        <w:spacing w:before="5" w:after="0" w:line="252" w:lineRule="exact"/>
        <w:ind w:right="420"/>
        <w:rPr>
          <w:rFonts w:ascii="Times New Roman" w:eastAsia="Times New Roman" w:hAnsi="Times New Roman" w:cs="Times New Roman"/>
        </w:rPr>
      </w:pPr>
      <w:r w:rsidRPr="002D7C9E">
        <w:rPr>
          <w:rFonts w:ascii="Times New Roman" w:eastAsia="Times New Roman" w:hAnsi="Times New Roman" w:cs="Times New Roman"/>
          <w:lang w:bidi="sk-SK"/>
        </w:rPr>
        <w:t xml:space="preserve">Vzhľadom na štrukturálnu podobnosť fulvestrantu a estradiolu, </w:t>
      </w:r>
      <w:r w:rsidRPr="002D7C9E">
        <w:rPr>
          <w:rFonts w:ascii="Times New Roman" w:eastAsia="Times New Roman" w:hAnsi="Times New Roman" w:cs="Times New Roman"/>
          <w:spacing w:val="-1"/>
          <w:lang w:bidi="sk-SK"/>
        </w:rPr>
        <w:t>mô</w:t>
      </w:r>
      <w:r w:rsidRPr="002D7C9E">
        <w:rPr>
          <w:rFonts w:ascii="Times New Roman" w:eastAsia="Times New Roman" w:hAnsi="Times New Roman" w:cs="Times New Roman"/>
          <w:lang w:bidi="sk-SK"/>
        </w:rPr>
        <w:t xml:space="preserve">že </w:t>
      </w:r>
      <w:r w:rsidRPr="002D7C9E">
        <w:rPr>
          <w:rFonts w:ascii="Times New Roman" w:eastAsia="Times New Roman" w:hAnsi="Times New Roman" w:cs="Times New Roman"/>
          <w:spacing w:val="-1"/>
          <w:lang w:bidi="sk-SK"/>
        </w:rPr>
        <w:t>fulvestran</w:t>
      </w:r>
      <w:r w:rsidRPr="002D7C9E">
        <w:rPr>
          <w:rFonts w:ascii="Times New Roman" w:eastAsia="Times New Roman" w:hAnsi="Times New Roman" w:cs="Times New Roman"/>
          <w:lang w:bidi="sk-SK"/>
        </w:rPr>
        <w:t>t interferovať s hodnotením protilátok proti estrad</w:t>
      </w:r>
      <w:r w:rsidRPr="002D7C9E">
        <w:rPr>
          <w:rFonts w:ascii="Times New Roman" w:eastAsia="Times New Roman" w:hAnsi="Times New Roman" w:cs="Times New Roman"/>
          <w:spacing w:val="-1"/>
          <w:lang w:bidi="sk-SK"/>
        </w:rPr>
        <w:t>i</w:t>
      </w:r>
      <w:r w:rsidRPr="002D7C9E">
        <w:rPr>
          <w:rFonts w:ascii="Times New Roman" w:eastAsia="Times New Roman" w:hAnsi="Times New Roman" w:cs="Times New Roman"/>
          <w:lang w:bidi="sk-SK"/>
        </w:rPr>
        <w:t>olu a môže mať za následok falošne zvýšené hladiny estradiolu.</w:t>
      </w:r>
    </w:p>
    <w:p w14:paraId="71AA3570" w14:textId="77777777" w:rsidR="00AA4E06" w:rsidRPr="001A0391" w:rsidRDefault="00AA4E06" w:rsidP="00B858F8">
      <w:pPr>
        <w:spacing w:after="0" w:line="240" w:lineRule="auto"/>
        <w:rPr>
          <w:rFonts w:ascii="Times New Roman" w:hAnsi="Times New Roman" w:cs="Times New Roman"/>
        </w:rPr>
      </w:pPr>
    </w:p>
    <w:p w14:paraId="45679111"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Pediatrická populácia</w:t>
      </w:r>
    </w:p>
    <w:p w14:paraId="45679112" w14:textId="04237333" w:rsidR="0025223D" w:rsidRPr="001A0391" w:rsidRDefault="00242EC6" w:rsidP="00B858F8">
      <w:pPr>
        <w:spacing w:after="0" w:line="240" w:lineRule="auto"/>
        <w:rPr>
          <w:rFonts w:ascii="Times New Roman" w:eastAsia="Times New Roman" w:hAnsi="Times New Roman" w:cs="Times New Roman"/>
        </w:rPr>
      </w:pPr>
      <w:r>
        <w:rPr>
          <w:rFonts w:ascii="Times New Roman" w:eastAsia="Times New Roman" w:hAnsi="Times New Roman" w:cs="Times New Roman"/>
          <w:noProof/>
          <w:lang w:val="en-GB"/>
        </w:rPr>
        <w:t>Fulvestrant Accord</w:t>
      </w:r>
      <w:r w:rsidRPr="001A0391">
        <w:rPr>
          <w:rFonts w:ascii="Times New Roman" w:eastAsia="Times New Roman" w:hAnsi="Times New Roman" w:cs="Times New Roman"/>
          <w:lang w:bidi="sk-SK"/>
        </w:rPr>
        <w:t xml:space="preserve"> </w:t>
      </w:r>
      <w:r>
        <w:rPr>
          <w:rFonts w:ascii="Times New Roman" w:eastAsia="Times New Roman" w:hAnsi="Times New Roman" w:cs="Times New Roman"/>
          <w:lang w:bidi="sk-SK"/>
        </w:rPr>
        <w:t xml:space="preserve"> </w:t>
      </w:r>
      <w:r w:rsidR="00F839E2" w:rsidRPr="001A0391">
        <w:rPr>
          <w:rFonts w:ascii="Times New Roman" w:eastAsia="Times New Roman" w:hAnsi="Times New Roman" w:cs="Times New Roman"/>
          <w:lang w:bidi="sk-SK"/>
        </w:rPr>
        <w:t>sa</w:t>
      </w:r>
      <w:r w:rsidR="00F839E2" w:rsidRPr="00B914C4">
        <w:rPr>
          <w:rFonts w:ascii="Times New Roman" w:eastAsia="Times New Roman" w:hAnsi="Times New Roman" w:cs="Times New Roman"/>
          <w:lang w:bidi="sk-SK"/>
        </w:rPr>
        <w:t xml:space="preserve"> neodporúča používať u detí a dospievajúcich, pretože bezpečnosť a účinnosť v tejto skupine pacientov neboli stanovené (pozri časť 5.1).</w:t>
      </w:r>
    </w:p>
    <w:p w14:paraId="45679113" w14:textId="77777777" w:rsidR="0025223D" w:rsidRPr="001A0391" w:rsidRDefault="0025223D" w:rsidP="00B858F8">
      <w:pPr>
        <w:spacing w:after="0" w:line="240" w:lineRule="auto"/>
        <w:rPr>
          <w:rFonts w:ascii="Times New Roman" w:hAnsi="Times New Roman" w:cs="Times New Roman"/>
        </w:rPr>
      </w:pPr>
    </w:p>
    <w:p w14:paraId="58FD8149" w14:textId="738F6140" w:rsidR="00C941BC" w:rsidRPr="001A0391" w:rsidRDefault="00C941BC" w:rsidP="00B858F8">
      <w:pPr>
        <w:spacing w:after="0" w:line="240" w:lineRule="auto"/>
        <w:rPr>
          <w:rFonts w:ascii="Times New Roman" w:hAnsi="Times New Roman" w:cs="Times New Roman"/>
          <w:u w:val="single"/>
        </w:rPr>
      </w:pPr>
      <w:r w:rsidRPr="00C941BC">
        <w:rPr>
          <w:rFonts w:ascii="Times New Roman" w:eastAsia="Times New Roman" w:hAnsi="Times New Roman" w:cs="Times New Roman"/>
          <w:u w:val="single"/>
          <w:lang w:bidi="sk-SK"/>
        </w:rPr>
        <w:t>Pomocné látky:</w:t>
      </w:r>
    </w:p>
    <w:p w14:paraId="1B7A789D" w14:textId="0420CAE4" w:rsidR="00C941BC" w:rsidRPr="001A0391" w:rsidRDefault="00C941BC" w:rsidP="00C941BC">
      <w:pPr>
        <w:spacing w:after="0" w:line="240" w:lineRule="auto"/>
        <w:rPr>
          <w:rFonts w:ascii="Times New Roman" w:eastAsia="Times New Roman" w:hAnsi="Times New Roman" w:cs="Times New Roman"/>
        </w:rPr>
      </w:pPr>
      <w:r w:rsidRPr="00C941BC">
        <w:rPr>
          <w:rFonts w:ascii="Times New Roman" w:eastAsia="Times New Roman" w:hAnsi="Times New Roman" w:cs="Times New Roman"/>
          <w:lang w:bidi="sk-SK"/>
        </w:rPr>
        <w:t>Tento liek obsahuje 10 obj % etanolu (alkoholu), t.j. až do 1 000 mg na dávku, čo zodpovedá 20 ml piva alebo 8 ml vína na dávku. Škodlivé pre tých, ktorí trpia alkoholizmom. Musí sa vziať do úvahy u vysoko rizikových skupín, ako sú pacientky s poškodenou funkciou pečene alebo epilepsiou.</w:t>
      </w:r>
    </w:p>
    <w:p w14:paraId="0C6653E3" w14:textId="77777777" w:rsidR="00C941BC" w:rsidRPr="001A0391" w:rsidRDefault="00C941BC" w:rsidP="00B858F8">
      <w:pPr>
        <w:spacing w:after="0" w:line="240" w:lineRule="auto"/>
        <w:rPr>
          <w:rFonts w:ascii="Times New Roman" w:hAnsi="Times New Roman" w:cs="Times New Roman"/>
        </w:rPr>
      </w:pPr>
    </w:p>
    <w:p w14:paraId="45679114"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4.5</w:t>
      </w:r>
      <w:r w:rsidRPr="00B914C4">
        <w:rPr>
          <w:rFonts w:ascii="Times New Roman" w:eastAsia="Times New Roman" w:hAnsi="Times New Roman" w:cs="Times New Roman"/>
          <w:b/>
          <w:lang w:bidi="sk-SK"/>
        </w:rPr>
        <w:tab/>
        <w:t>Liekové a iné interakcie</w:t>
      </w:r>
    </w:p>
    <w:p w14:paraId="45679115" w14:textId="77777777" w:rsidR="0025223D" w:rsidRPr="001A0391" w:rsidRDefault="0025223D" w:rsidP="00B858F8">
      <w:pPr>
        <w:spacing w:after="0" w:line="240" w:lineRule="auto"/>
        <w:rPr>
          <w:rFonts w:ascii="Times New Roman" w:hAnsi="Times New Roman" w:cs="Times New Roman"/>
        </w:rPr>
      </w:pPr>
    </w:p>
    <w:p w14:paraId="4567911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Klinická interakčná štúdia s midazolamom (substrátom CYP3A4) preukázala, že fulvestrant neinhibuje CYP3A4. Klinické interakčné štúdie s rifampicínom (induktor CYP3A4) a ketokonazolom (inhibítor CYP3A4) nepreukázali žiadnu klinicky významnú zmenu klírensu fulvestrantu. Pacientkam, ktorým sa podáva fulvestrant súbežne s inhibítormi alebo induktormi CYP3A4, nie je preto potrebné upravovať dávku.</w:t>
      </w:r>
    </w:p>
    <w:p w14:paraId="45679117" w14:textId="77777777" w:rsidR="0025223D" w:rsidRPr="001A0391" w:rsidRDefault="0025223D" w:rsidP="00B858F8">
      <w:pPr>
        <w:spacing w:after="0" w:line="240" w:lineRule="auto"/>
        <w:rPr>
          <w:rFonts w:ascii="Times New Roman" w:hAnsi="Times New Roman" w:cs="Times New Roman"/>
        </w:rPr>
      </w:pPr>
    </w:p>
    <w:p w14:paraId="45679118"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B914C4">
        <w:rPr>
          <w:rFonts w:ascii="Times New Roman" w:eastAsia="Times New Roman" w:hAnsi="Times New Roman" w:cs="Times New Roman"/>
          <w:b/>
          <w:lang w:bidi="sk-SK"/>
        </w:rPr>
        <w:t>4.6</w:t>
      </w:r>
      <w:r w:rsidRPr="00B914C4">
        <w:rPr>
          <w:rFonts w:ascii="Times New Roman" w:eastAsia="Times New Roman" w:hAnsi="Times New Roman" w:cs="Times New Roman"/>
          <w:b/>
          <w:lang w:bidi="sk-SK"/>
        </w:rPr>
        <w:tab/>
        <w:t>Fertilita, gravidita a laktácia</w:t>
      </w:r>
    </w:p>
    <w:p w14:paraId="45679119" w14:textId="77777777" w:rsidR="0025223D" w:rsidRPr="001A0391" w:rsidRDefault="0025223D" w:rsidP="00B858F8">
      <w:pPr>
        <w:spacing w:after="0" w:line="240" w:lineRule="auto"/>
        <w:rPr>
          <w:rFonts w:ascii="Times New Roman" w:hAnsi="Times New Roman" w:cs="Times New Roman"/>
          <w:lang w:val="it-IT"/>
        </w:rPr>
      </w:pPr>
    </w:p>
    <w:p w14:paraId="4567911A" w14:textId="77777777" w:rsidR="0025223D" w:rsidRPr="001A0391" w:rsidRDefault="00F839E2" w:rsidP="00CE233D">
      <w:pPr>
        <w:keepNext/>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u w:val="single" w:color="000000"/>
          <w:lang w:bidi="sk-SK"/>
        </w:rPr>
        <w:t>Ženy vo fertilnom veku</w:t>
      </w:r>
    </w:p>
    <w:p w14:paraId="4567911B" w14:textId="77777777"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Pacientkam vo fertilnom veku sa má odporučiť používanie účinnej antikoncepcie počas liečby.</w:t>
      </w:r>
    </w:p>
    <w:p w14:paraId="4567911C" w14:textId="77777777" w:rsidR="0025223D" w:rsidRPr="001A0391" w:rsidRDefault="0025223D" w:rsidP="00B858F8">
      <w:pPr>
        <w:spacing w:after="0" w:line="240" w:lineRule="auto"/>
        <w:rPr>
          <w:rFonts w:ascii="Times New Roman" w:hAnsi="Times New Roman" w:cs="Times New Roman"/>
          <w:lang w:val="it-IT"/>
        </w:rPr>
      </w:pPr>
    </w:p>
    <w:p w14:paraId="4567911D" w14:textId="77777777" w:rsidR="0025223D" w:rsidRPr="001A0391" w:rsidRDefault="00F839E2" w:rsidP="00CE233D">
      <w:pPr>
        <w:keepNext/>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u w:val="single" w:color="000000"/>
          <w:lang w:bidi="sk-SK"/>
        </w:rPr>
        <w:t>Gravidita</w:t>
      </w:r>
    </w:p>
    <w:p w14:paraId="45679120" w14:textId="5F071689" w:rsidR="0025223D" w:rsidRPr="001A0391" w:rsidRDefault="005A10B0" w:rsidP="00B858F8">
      <w:pPr>
        <w:spacing w:after="0" w:line="240" w:lineRule="auto"/>
        <w:rPr>
          <w:rFonts w:ascii="Times New Roman" w:eastAsia="Times New Roman" w:hAnsi="Times New Roman" w:cs="Times New Roman"/>
        </w:rPr>
      </w:pPr>
      <w:r w:rsidRPr="001A0391">
        <w:rPr>
          <w:rFonts w:ascii="Times New Roman" w:eastAsia="Times New Roman" w:hAnsi="Times New Roman" w:cs="Times New Roman"/>
          <w:lang w:bidi="sk-SK"/>
        </w:rPr>
        <w:t xml:space="preserve">Fulvestrant </w:t>
      </w:r>
      <w:r w:rsidR="00E03CD2">
        <w:rPr>
          <w:rFonts w:ascii="Times New Roman" w:eastAsia="Times New Roman" w:hAnsi="Times New Roman" w:cs="Times New Roman"/>
          <w:lang w:bidi="sk-SK"/>
        </w:rPr>
        <w:t xml:space="preserve">Accord </w:t>
      </w:r>
      <w:r w:rsidR="00F839E2" w:rsidRPr="001A0391">
        <w:rPr>
          <w:rFonts w:ascii="Times New Roman" w:eastAsia="Times New Roman" w:hAnsi="Times New Roman" w:cs="Times New Roman"/>
          <w:lang w:bidi="sk-SK"/>
        </w:rPr>
        <w:t>j</w:t>
      </w:r>
      <w:r w:rsidR="00F839E2" w:rsidRPr="00B914C4">
        <w:rPr>
          <w:rFonts w:ascii="Times New Roman" w:eastAsia="Times New Roman" w:hAnsi="Times New Roman" w:cs="Times New Roman"/>
          <w:lang w:bidi="sk-SK"/>
        </w:rPr>
        <w:t xml:space="preserve">e kontraindikovaný počas gravidity (pozri časť 4.3). Preukázalo sa, že fulvestrant prechádza placentou po jednorazovej vnútrosvalovej dávke u potkanov a králikov. Štúdie na zvieratách preukázali reprodukčnú toxicitu, vrátane zvýšeného výskytu abnormalít a úmrtí plodu (pozri časť 5.3). Ak pacientka počas užívania </w:t>
      </w:r>
      <w:r w:rsidR="00242EC6">
        <w:rPr>
          <w:rFonts w:ascii="Times New Roman" w:eastAsia="Times New Roman" w:hAnsi="Times New Roman" w:cs="Times New Roman"/>
          <w:noProof/>
          <w:lang w:val="en-GB"/>
        </w:rPr>
        <w:t>Fulvestrant Accord</w:t>
      </w:r>
      <w:r w:rsidR="00242EC6" w:rsidRPr="001A0391">
        <w:rPr>
          <w:rFonts w:ascii="Times New Roman" w:eastAsia="Times New Roman" w:hAnsi="Times New Roman" w:cs="Times New Roman"/>
          <w:lang w:bidi="sk-SK"/>
        </w:rPr>
        <w:t xml:space="preserve"> </w:t>
      </w:r>
      <w:r w:rsidR="00242EC6">
        <w:rPr>
          <w:rFonts w:ascii="Times New Roman" w:eastAsia="Times New Roman" w:hAnsi="Times New Roman" w:cs="Times New Roman"/>
          <w:lang w:bidi="sk-SK"/>
        </w:rPr>
        <w:t xml:space="preserve"> </w:t>
      </w:r>
      <w:r w:rsidR="00F839E2" w:rsidRPr="001A0391">
        <w:rPr>
          <w:rFonts w:ascii="Times New Roman" w:eastAsia="Times New Roman" w:hAnsi="Times New Roman" w:cs="Times New Roman"/>
          <w:lang w:bidi="sk-SK"/>
        </w:rPr>
        <w:t>otehotnie</w:t>
      </w:r>
      <w:r w:rsidR="00F839E2" w:rsidRPr="00B914C4">
        <w:rPr>
          <w:rFonts w:ascii="Times New Roman" w:eastAsia="Times New Roman" w:hAnsi="Times New Roman" w:cs="Times New Roman"/>
          <w:lang w:bidi="sk-SK"/>
        </w:rPr>
        <w:t>, musí byť informovaná o potenciálnom riziku pre plod a potenciálnom riziku potratu.</w:t>
      </w:r>
    </w:p>
    <w:p w14:paraId="45679121" w14:textId="77777777" w:rsidR="0025223D" w:rsidRPr="001A0391" w:rsidRDefault="0025223D" w:rsidP="00B858F8">
      <w:pPr>
        <w:spacing w:after="0" w:line="240" w:lineRule="auto"/>
        <w:rPr>
          <w:rFonts w:ascii="Times New Roman" w:hAnsi="Times New Roman" w:cs="Times New Roman"/>
        </w:rPr>
      </w:pPr>
    </w:p>
    <w:p w14:paraId="45679122" w14:textId="4F20C53E" w:rsidR="0025223D" w:rsidRPr="001A0391" w:rsidRDefault="00F839E2" w:rsidP="00B914C4">
      <w:pPr>
        <w:keepNext/>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Dojčenie</w:t>
      </w:r>
    </w:p>
    <w:p w14:paraId="45679124" w14:textId="2DF869A6"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Počas liečby</w:t>
      </w:r>
      <w:r w:rsidR="005A10B0">
        <w:rPr>
          <w:rFonts w:ascii="Times New Roman" w:eastAsia="Times New Roman" w:hAnsi="Times New Roman" w:cs="Times New Roman"/>
          <w:lang w:bidi="sk-SK"/>
        </w:rPr>
        <w:t xml:space="preserve"> </w:t>
      </w:r>
      <w:r w:rsidR="005A10B0" w:rsidRPr="001A0391">
        <w:rPr>
          <w:rFonts w:ascii="Times New Roman" w:eastAsia="Times New Roman" w:hAnsi="Times New Roman" w:cs="Times New Roman"/>
          <w:lang w:bidi="sk-SK"/>
        </w:rPr>
        <w:t>liekom</w:t>
      </w:r>
      <w:r w:rsidRPr="001A0391">
        <w:rPr>
          <w:rFonts w:ascii="Times New Roman" w:eastAsia="Times New Roman" w:hAnsi="Times New Roman" w:cs="Times New Roman"/>
          <w:lang w:bidi="sk-SK"/>
        </w:rPr>
        <w:t xml:space="preserve"> </w:t>
      </w:r>
      <w:r w:rsidR="005A10B0" w:rsidRPr="001A0391">
        <w:rPr>
          <w:rFonts w:ascii="Times New Roman" w:eastAsia="Times New Roman" w:hAnsi="Times New Roman" w:cs="Times New Roman"/>
          <w:lang w:bidi="sk-SK"/>
        </w:rPr>
        <w:t>Fulvestrant</w:t>
      </w:r>
      <w:r w:rsidR="00E03CD2">
        <w:rPr>
          <w:rFonts w:ascii="Times New Roman" w:eastAsia="Times New Roman" w:hAnsi="Times New Roman" w:cs="Times New Roman"/>
          <w:lang w:bidi="sk-SK"/>
        </w:rPr>
        <w:t xml:space="preserve"> Accord</w:t>
      </w:r>
      <w:r w:rsidR="005A10B0" w:rsidRPr="001A0391">
        <w:rPr>
          <w:rFonts w:ascii="Times New Roman" w:eastAsia="Times New Roman" w:hAnsi="Times New Roman" w:cs="Times New Roman"/>
          <w:lang w:bidi="sk-SK"/>
        </w:rPr>
        <w:t xml:space="preserve"> </w:t>
      </w:r>
      <w:r w:rsidRPr="001A0391">
        <w:rPr>
          <w:rFonts w:ascii="Times New Roman" w:eastAsia="Times New Roman" w:hAnsi="Times New Roman" w:cs="Times New Roman"/>
          <w:lang w:bidi="sk-SK"/>
        </w:rPr>
        <w:t>sa musí</w:t>
      </w:r>
      <w:r w:rsidRPr="00B914C4">
        <w:rPr>
          <w:rFonts w:ascii="Times New Roman" w:eastAsia="Times New Roman" w:hAnsi="Times New Roman" w:cs="Times New Roman"/>
          <w:lang w:bidi="sk-SK"/>
        </w:rPr>
        <w:t xml:space="preserve"> dojčenie ukončiť. </w:t>
      </w:r>
      <w:r w:rsidR="00242EC6">
        <w:rPr>
          <w:rFonts w:ascii="Times New Roman" w:eastAsia="Times New Roman" w:hAnsi="Times New Roman" w:cs="Times New Roman"/>
          <w:noProof/>
          <w:lang w:val="en-GB"/>
        </w:rPr>
        <w:t>Fulvestrant Accord</w:t>
      </w:r>
      <w:r w:rsidR="00242EC6" w:rsidRPr="00B914C4">
        <w:rPr>
          <w:rFonts w:ascii="Times New Roman" w:eastAsia="Times New Roman" w:hAnsi="Times New Roman" w:cs="Times New Roman"/>
          <w:lang w:bidi="sk-SK"/>
        </w:rPr>
        <w:t xml:space="preserve"> </w:t>
      </w:r>
      <w:r w:rsidR="00242EC6">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sa u dojčiacich samíc potkanov vylučuje do materského mlieka. Nie je známe, či sa fulvestrant vylučuje do ľudského mlieka. Vzhľadom na možnosť závažných nežiaducich reakcií fulvestrantu u dojčených detí je používanie počas dojčenia kontraindikované (pozri časť 4.3).</w:t>
      </w:r>
    </w:p>
    <w:p w14:paraId="45679125" w14:textId="77777777" w:rsidR="0025223D" w:rsidRPr="001A0391" w:rsidRDefault="0025223D" w:rsidP="00B858F8">
      <w:pPr>
        <w:spacing w:after="0" w:line="240" w:lineRule="auto"/>
        <w:rPr>
          <w:rFonts w:ascii="Times New Roman" w:hAnsi="Times New Roman" w:cs="Times New Roman"/>
        </w:rPr>
      </w:pPr>
    </w:p>
    <w:p w14:paraId="45679126" w14:textId="77777777" w:rsidR="0025223D" w:rsidRPr="001A0391" w:rsidRDefault="00F839E2" w:rsidP="00CE233D">
      <w:pPr>
        <w:keepNext/>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Fertilita</w:t>
      </w:r>
    </w:p>
    <w:p w14:paraId="45679127" w14:textId="2DCA5113"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Účinky fulvestrantu na plodnosť ľudí sa neskúmali.</w:t>
      </w:r>
    </w:p>
    <w:p w14:paraId="24FF293C" w14:textId="77777777" w:rsidR="00123D07" w:rsidRPr="001A0391" w:rsidRDefault="00123D07" w:rsidP="00B858F8">
      <w:pPr>
        <w:tabs>
          <w:tab w:val="left" w:pos="780"/>
        </w:tabs>
        <w:spacing w:after="0" w:line="240" w:lineRule="auto"/>
        <w:rPr>
          <w:rFonts w:ascii="Times New Roman" w:hAnsi="Times New Roman" w:cs="Times New Roman"/>
        </w:rPr>
      </w:pPr>
    </w:p>
    <w:p w14:paraId="45679129" w14:textId="6BDDA7BB"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4.7</w:t>
      </w:r>
      <w:r w:rsidRPr="00B914C4">
        <w:rPr>
          <w:rFonts w:ascii="Times New Roman" w:eastAsia="Times New Roman" w:hAnsi="Times New Roman" w:cs="Times New Roman"/>
          <w:b/>
          <w:lang w:bidi="sk-SK"/>
        </w:rPr>
        <w:tab/>
        <w:t>Ovplyvnenie schopnosti viesť vozidlá a obsluhovať stroje</w:t>
      </w:r>
    </w:p>
    <w:p w14:paraId="4567912A" w14:textId="77777777" w:rsidR="0025223D" w:rsidRPr="001A0391" w:rsidRDefault="0025223D" w:rsidP="00B858F8">
      <w:pPr>
        <w:spacing w:after="0" w:line="240" w:lineRule="auto"/>
        <w:rPr>
          <w:rFonts w:ascii="Times New Roman" w:hAnsi="Times New Roman" w:cs="Times New Roman"/>
        </w:rPr>
      </w:pPr>
    </w:p>
    <w:p w14:paraId="6D9F8AF1" w14:textId="19B65009" w:rsidR="00E71306" w:rsidRPr="001A0391" w:rsidRDefault="00B914C4"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nemá žiadny alebo má zanedbateľný vplyv na schopnosť viesť vozidlá alebo obsluhovať stroje.</w:t>
      </w:r>
    </w:p>
    <w:p w14:paraId="14A32140" w14:textId="429E46C1" w:rsidR="00E71306" w:rsidRPr="001A0391" w:rsidRDefault="00E71306" w:rsidP="00B858F8">
      <w:pPr>
        <w:spacing w:after="0" w:line="240" w:lineRule="auto"/>
        <w:rPr>
          <w:rFonts w:ascii="Times New Roman" w:eastAsia="Times New Roman" w:hAnsi="Times New Roman" w:cs="Times New Roman"/>
        </w:rPr>
      </w:pPr>
    </w:p>
    <w:p w14:paraId="4567912B" w14:textId="2F6C8CA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Vzhľadom na to, že sa počas užívania fulvestrantu veľmi často vyskytli prípady asténie, musí sa venovať zvýšená opatrnosť pacientkam, u ktorých sa vyskytla táto nežiaduca reakcia počas vedenia vozidiel alebo obsluhy strojov.</w:t>
      </w:r>
    </w:p>
    <w:p w14:paraId="4567912C" w14:textId="77777777" w:rsidR="0025223D" w:rsidRPr="001A0391" w:rsidRDefault="0025223D" w:rsidP="00B858F8">
      <w:pPr>
        <w:spacing w:after="0" w:line="240" w:lineRule="auto"/>
        <w:rPr>
          <w:rFonts w:ascii="Times New Roman" w:hAnsi="Times New Roman" w:cs="Times New Roman"/>
        </w:rPr>
      </w:pPr>
    </w:p>
    <w:p w14:paraId="4567912D"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4.8</w:t>
      </w:r>
      <w:r w:rsidRPr="00B914C4">
        <w:rPr>
          <w:rFonts w:ascii="Times New Roman" w:eastAsia="Times New Roman" w:hAnsi="Times New Roman" w:cs="Times New Roman"/>
          <w:b/>
          <w:lang w:bidi="sk-SK"/>
        </w:rPr>
        <w:tab/>
        <w:t>Nežiaduce účinky</w:t>
      </w:r>
    </w:p>
    <w:p w14:paraId="4567912E" w14:textId="77777777" w:rsidR="0025223D" w:rsidRPr="001A0391" w:rsidRDefault="0025223D" w:rsidP="00B858F8">
      <w:pPr>
        <w:spacing w:after="0" w:line="240" w:lineRule="auto"/>
        <w:rPr>
          <w:rFonts w:ascii="Times New Roman" w:hAnsi="Times New Roman" w:cs="Times New Roman"/>
        </w:rPr>
      </w:pPr>
    </w:p>
    <w:p w14:paraId="4567912F"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 tejto časti sa nachádzajú informácie, vychádzajúce zo všetkých nežiaducich reakcií z klinických štúdií, postmarketingových štúdií alebo zo spontánnych hlásení. Najčastejšie hlásenými nežiaducimi reakciami boli reakcie v mieste podania injekcie, asténia, nauzea a zvýšenie hepatálnych enzýmov (ALT, AST, ALP).</w:t>
      </w:r>
    </w:p>
    <w:p w14:paraId="45679130" w14:textId="77777777" w:rsidR="0025223D" w:rsidRPr="001A0391" w:rsidRDefault="0025223D" w:rsidP="00B858F8">
      <w:pPr>
        <w:spacing w:after="0" w:line="240" w:lineRule="auto"/>
        <w:rPr>
          <w:rFonts w:ascii="Times New Roman" w:hAnsi="Times New Roman" w:cs="Times New Roman"/>
        </w:rPr>
      </w:pPr>
    </w:p>
    <w:p w14:paraId="45679131" w14:textId="392D8ED8"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Boli zistené nasledujúce kategórie frekvencie nežiaducich reakcií (adverse drug reactions, ADRs), ktoré sú založené na združených analýzach bezpečnosti v liečebnej skupine užívajúcej fulvestrant 500 mg v štúdiách porovnávajúcich fulvestrant 500 mg s fulvestrantom 250 mg [CONFIRM (Štúdia D6997C00002), FINDER 1 (Štúdia D6997C00004), FINDER 2 (Štúdia D6997C00006) a NEWEST (Štúdia D6997C00003)]. V nasledujúcej tabuľke sú frekvencie založené na všetkých hlásených nežiaducich reakciách bez ohľadu na hodnotenie kauzality skúšajúcim.</w:t>
      </w:r>
    </w:p>
    <w:p w14:paraId="45679132" w14:textId="77777777" w:rsidR="0025223D" w:rsidRPr="001A0391" w:rsidRDefault="0025223D" w:rsidP="00B858F8">
      <w:pPr>
        <w:spacing w:after="0" w:line="240" w:lineRule="auto"/>
        <w:rPr>
          <w:rFonts w:ascii="Times New Roman" w:hAnsi="Times New Roman" w:cs="Times New Roman"/>
        </w:rPr>
      </w:pPr>
    </w:p>
    <w:p w14:paraId="45679133"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Nižšie uvedené nežiaduce reakcie sú klasifikované podľa frekvencie a triedy orgánových systémov (System Organ Class – SOC). Skupiny frekvencií sú definované nasledovne: veľmi časté (≥ 1/10), časté (≥ 1/100 až &lt; 1/10), menej časté (≥ 1/1 000 až &lt; 1/100). V rámci jednotlivých skupín frekvencií sú </w:t>
      </w:r>
      <w:r w:rsidRPr="00B914C4">
        <w:rPr>
          <w:rFonts w:ascii="Times New Roman" w:eastAsia="Times New Roman" w:hAnsi="Times New Roman" w:cs="Times New Roman"/>
          <w:lang w:bidi="sk-SK"/>
        </w:rPr>
        <w:lastRenderedPageBreak/>
        <w:t>nežiaduce reakcie usporiadané v poradí klesajúcej závažnosti.</w:t>
      </w:r>
    </w:p>
    <w:p w14:paraId="45679134" w14:textId="77777777" w:rsidR="0025223D" w:rsidRPr="001A0391" w:rsidRDefault="0025223D" w:rsidP="00B858F8">
      <w:pPr>
        <w:spacing w:after="0" w:line="240" w:lineRule="auto"/>
        <w:rPr>
          <w:rFonts w:ascii="Times New Roman" w:hAnsi="Times New Roman" w:cs="Times New Roman"/>
        </w:rPr>
      </w:pPr>
    </w:p>
    <w:p w14:paraId="45679135" w14:textId="77777777" w:rsidR="0025223D" w:rsidRPr="00B914C4" w:rsidRDefault="00F839E2" w:rsidP="00B914C4">
      <w:pPr>
        <w:tabs>
          <w:tab w:val="left" w:pos="1134"/>
        </w:tabs>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b/>
          <w:lang w:bidi="sk-SK"/>
        </w:rPr>
        <w:t>Tabuľka 1</w:t>
      </w:r>
      <w:r w:rsidRPr="00B914C4">
        <w:rPr>
          <w:rFonts w:ascii="Times New Roman" w:eastAsia="Times New Roman" w:hAnsi="Times New Roman" w:cs="Times New Roman"/>
          <w:b/>
          <w:lang w:bidi="sk-SK"/>
        </w:rPr>
        <w:tab/>
        <w:t>Nežiaduce reakcie na liek</w:t>
      </w:r>
    </w:p>
    <w:p w14:paraId="45679136" w14:textId="77777777" w:rsidR="0025223D" w:rsidRPr="00B914C4" w:rsidRDefault="0025223D" w:rsidP="00B858F8">
      <w:pPr>
        <w:tabs>
          <w:tab w:val="left" w:pos="1134"/>
        </w:tabs>
        <w:spacing w:after="0" w:line="240" w:lineRule="auto"/>
        <w:rPr>
          <w:rFonts w:ascii="Times New Roman" w:hAnsi="Times New Roman" w:cs="Times New Roman"/>
          <w:lang w:val="en-GB"/>
        </w:rPr>
      </w:pPr>
    </w:p>
    <w:tbl>
      <w:tblPr>
        <w:tblW w:w="0" w:type="auto"/>
        <w:tblInd w:w="5" w:type="dxa"/>
        <w:tblLayout w:type="fixed"/>
        <w:tblCellMar>
          <w:left w:w="0" w:type="dxa"/>
          <w:right w:w="0" w:type="dxa"/>
        </w:tblCellMar>
        <w:tblLook w:val="01E0" w:firstRow="1" w:lastRow="1" w:firstColumn="1" w:lastColumn="1" w:noHBand="0" w:noVBand="0"/>
      </w:tblPr>
      <w:tblGrid>
        <w:gridCol w:w="3888"/>
        <w:gridCol w:w="1551"/>
        <w:gridCol w:w="3849"/>
      </w:tblGrid>
      <w:tr w:rsidR="0025223D" w:rsidRPr="00B914C4" w14:paraId="45679138" w14:textId="77777777" w:rsidTr="00436805">
        <w:trPr>
          <w:trHeight w:hRule="exact" w:val="269"/>
          <w:tblHeader/>
        </w:trPr>
        <w:tc>
          <w:tcPr>
            <w:tcW w:w="9288"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b/>
                <w:lang w:bidi="sk-SK"/>
              </w:rPr>
              <w:t>Nežiaduce reakcie podľa tried orgánových systémov a frekvencie</w:t>
            </w:r>
          </w:p>
        </w:tc>
      </w:tr>
      <w:tr w:rsidR="0025223D" w:rsidRPr="00B914C4" w14:paraId="4567913C" w14:textId="77777777" w:rsidTr="00436805">
        <w:trPr>
          <w:trHeight w:hRule="exact" w:val="271"/>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Infekcie a nákazy</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Infekcie močových ciest</w:t>
            </w:r>
          </w:p>
        </w:tc>
      </w:tr>
      <w:tr w:rsidR="0025223D" w:rsidRPr="00B914C4" w14:paraId="45679140" w14:textId="77777777" w:rsidTr="00436805">
        <w:trPr>
          <w:trHeight w:hRule="exact" w:val="269"/>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D"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Poruchy krvi a lymfatického systému</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F"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Znížený počet krvných doštičiek</w:t>
            </w:r>
          </w:p>
        </w:tc>
      </w:tr>
      <w:tr w:rsidR="00C6771E" w:rsidRPr="00B914C4" w14:paraId="45679144" w14:textId="77777777" w:rsidTr="00C6771E">
        <w:trPr>
          <w:trHeight w:val="284"/>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0939797F" w14:textId="77777777" w:rsidR="00C6771E" w:rsidRPr="00B914C4" w:rsidRDefault="00C6771E"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imunitného systému</w:t>
            </w:r>
          </w:p>
          <w:p w14:paraId="45679141" w14:textId="55B7E1D1" w:rsidR="00C6771E" w:rsidRPr="00B914C4" w:rsidRDefault="00C6771E" w:rsidP="00B858F8">
            <w:pPr>
              <w:spacing w:after="0" w:line="240" w:lineRule="auto"/>
              <w:rPr>
                <w:rFonts w:ascii="Times New Roman" w:eastAsia="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2" w14:textId="77777777" w:rsidR="00C6771E" w:rsidRPr="00B914C4" w:rsidRDefault="00C6771E"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3" w14:textId="77777777" w:rsidR="00C6771E" w:rsidRPr="00B914C4" w:rsidRDefault="00C6771E"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Hypersenzitívne reakcie</w:t>
            </w:r>
          </w:p>
        </w:tc>
      </w:tr>
      <w:tr w:rsidR="00C6771E" w:rsidRPr="00B914C4" w14:paraId="2FAE81FF" w14:textId="77777777" w:rsidTr="007645CE">
        <w:trPr>
          <w:trHeight w:val="283"/>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1C3F09E0" w14:textId="11E35AAC" w:rsidR="00C6771E" w:rsidRPr="00B914C4" w:rsidRDefault="00C6771E" w:rsidP="00B858F8">
            <w:pPr>
              <w:spacing w:after="0" w:line="240" w:lineRule="auto"/>
              <w:rPr>
                <w:rFonts w:ascii="Times New Roman" w:eastAsia="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96A916B" w14:textId="53DEA1FB" w:rsidR="00C6771E" w:rsidRPr="00B914C4" w:rsidRDefault="00C6771E"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5994CE" w14:textId="4A2B69A4" w:rsidR="00C6771E" w:rsidRPr="00B914C4" w:rsidRDefault="00C6771E"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bidi="sk-SK"/>
              </w:rPr>
              <w:t>Anafylaktické reakcie</w:t>
            </w:r>
          </w:p>
        </w:tc>
      </w:tr>
      <w:tr w:rsidR="0025223D" w:rsidRPr="00B914C4" w14:paraId="45679148" w14:textId="77777777" w:rsidTr="00436805">
        <w:trPr>
          <w:trHeight w:val="270"/>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5"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metabolizmu a výživy</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Anorexia</w:t>
            </w:r>
            <w:r w:rsidRPr="00B914C4">
              <w:rPr>
                <w:rFonts w:ascii="Times New Roman" w:eastAsia="Times New Roman" w:hAnsi="Times New Roman" w:cs="Times New Roman"/>
                <w:vertAlign w:val="superscript"/>
                <w:lang w:bidi="sk-SK"/>
              </w:rPr>
              <w:t>a</w:t>
            </w:r>
          </w:p>
        </w:tc>
      </w:tr>
      <w:tr w:rsidR="0025223D" w:rsidRPr="00B914C4" w14:paraId="4567914C" w14:textId="77777777" w:rsidTr="00436805">
        <w:trPr>
          <w:trHeight w:hRule="exact" w:val="271"/>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nervového systému</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Bolesť hlavy</w:t>
            </w:r>
          </w:p>
        </w:tc>
      </w:tr>
      <w:tr w:rsidR="0025223D" w:rsidRPr="00B914C4" w14:paraId="45679150" w14:textId="77777777" w:rsidTr="00436805">
        <w:trPr>
          <w:trHeight w:val="272"/>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D"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ciev</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F"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Venózna tromboembólia</w:t>
            </w:r>
            <w:r w:rsidRPr="00B914C4">
              <w:rPr>
                <w:rFonts w:ascii="Times New Roman" w:eastAsia="Times New Roman" w:hAnsi="Times New Roman" w:cs="Times New Roman"/>
                <w:vertAlign w:val="superscript"/>
                <w:lang w:bidi="sk-SK"/>
              </w:rPr>
              <w:t>a</w:t>
            </w:r>
            <w:r w:rsidRPr="00B914C4">
              <w:rPr>
                <w:rFonts w:ascii="Times New Roman" w:eastAsia="Times New Roman" w:hAnsi="Times New Roman" w:cs="Times New Roman"/>
                <w:lang w:bidi="sk-SK"/>
              </w:rPr>
              <w:t>, návaly tepla</w:t>
            </w:r>
          </w:p>
        </w:tc>
      </w:tr>
      <w:tr w:rsidR="0025223D" w:rsidRPr="00B914C4" w14:paraId="45679154" w14:textId="77777777" w:rsidTr="00436805">
        <w:trPr>
          <w:trHeight w:hRule="exact" w:val="271"/>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51"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gastrointestinálneho traktu</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2"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3"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Nauzea</w:t>
            </w:r>
          </w:p>
        </w:tc>
      </w:tr>
      <w:tr w:rsidR="0025223D" w:rsidRPr="00B914C4" w14:paraId="45679158" w14:textId="77777777" w:rsidTr="00436805">
        <w:trPr>
          <w:trHeight w:val="272"/>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45679155"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Vracanie, hnačka</w:t>
            </w:r>
          </w:p>
        </w:tc>
      </w:tr>
      <w:tr w:rsidR="0025223D" w:rsidRPr="00B914C4" w14:paraId="4567915C" w14:textId="77777777" w:rsidTr="00436805">
        <w:trPr>
          <w:trHeight w:val="549"/>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5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pečene a žlčových ciest</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Zvýšené pečeňové enzýmy (ALT, AST, ALP)</w:t>
            </w:r>
            <w:r w:rsidRPr="00B914C4">
              <w:rPr>
                <w:rFonts w:ascii="Times New Roman" w:eastAsia="Times New Roman" w:hAnsi="Times New Roman" w:cs="Times New Roman"/>
                <w:vertAlign w:val="superscript"/>
                <w:lang w:bidi="sk-SK"/>
              </w:rPr>
              <w:t>a</w:t>
            </w:r>
          </w:p>
        </w:tc>
      </w:tr>
      <w:tr w:rsidR="0025223D" w:rsidRPr="00B914C4" w14:paraId="45679160" w14:textId="77777777" w:rsidTr="00436805">
        <w:trPr>
          <w:trHeight w:val="272"/>
        </w:trPr>
        <w:tc>
          <w:tcPr>
            <w:tcW w:w="3888" w:type="dxa"/>
            <w:vMerge/>
            <w:tcBorders>
              <w:left w:val="single" w:sz="4" w:space="0" w:color="000000"/>
              <w:right w:val="single" w:sz="4" w:space="0" w:color="000000"/>
            </w:tcBorders>
            <w:tcMar>
              <w:top w:w="28" w:type="dxa"/>
              <w:left w:w="57" w:type="dxa"/>
              <w:bottom w:w="28" w:type="dxa"/>
              <w:right w:w="28" w:type="dxa"/>
            </w:tcMar>
          </w:tcPr>
          <w:p w14:paraId="4567915D"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F"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Zvýšený bilirubín</w:t>
            </w:r>
            <w:r w:rsidRPr="00B914C4">
              <w:rPr>
                <w:rFonts w:ascii="Times New Roman" w:eastAsia="Times New Roman" w:hAnsi="Times New Roman" w:cs="Times New Roman"/>
                <w:vertAlign w:val="superscript"/>
                <w:lang w:bidi="sk-SK"/>
              </w:rPr>
              <w:t>a</w:t>
            </w:r>
          </w:p>
        </w:tc>
      </w:tr>
      <w:tr w:rsidR="0025223D" w:rsidRPr="00B914C4" w14:paraId="45679164" w14:textId="77777777" w:rsidTr="00436805">
        <w:trPr>
          <w:trHeight w:val="535"/>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45679161"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2"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3"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Zlyhanie pečene</w:t>
            </w:r>
            <w:r w:rsidRPr="00B914C4">
              <w:rPr>
                <w:rFonts w:ascii="Times New Roman" w:eastAsia="Times New Roman" w:hAnsi="Times New Roman" w:cs="Times New Roman"/>
                <w:vertAlign w:val="superscript"/>
                <w:lang w:bidi="sk-SK"/>
              </w:rPr>
              <w:t>c</w:t>
            </w:r>
            <w:r w:rsidRPr="00B914C4">
              <w:rPr>
                <w:rFonts w:ascii="Times New Roman" w:eastAsia="Times New Roman" w:hAnsi="Times New Roman" w:cs="Times New Roman"/>
                <w:lang w:bidi="sk-SK"/>
              </w:rPr>
              <w:t>, hepatitída, zvýšené gama-GT</w:t>
            </w:r>
          </w:p>
        </w:tc>
      </w:tr>
      <w:tr w:rsidR="0025223D" w:rsidRPr="00B914C4" w14:paraId="45679168" w14:textId="77777777" w:rsidTr="00436805">
        <w:trPr>
          <w:trHeight w:hRule="exact" w:val="269"/>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5"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Poruchy kože a podkožného tkaniva</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Kožná vyrážka</w:t>
            </w:r>
          </w:p>
        </w:tc>
      </w:tr>
      <w:tr w:rsidR="0025223D" w:rsidRPr="00B914C4" w14:paraId="4567916C" w14:textId="77777777" w:rsidTr="00436805">
        <w:trPr>
          <w:trHeight w:hRule="exact" w:val="530"/>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9"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Poruchy kostrovej a svalovej sústavy a spojivového tkaniva</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Bolesť chrbta</w:t>
            </w:r>
            <w:r w:rsidRPr="00B914C4">
              <w:rPr>
                <w:rFonts w:ascii="Times New Roman" w:eastAsia="Times New Roman" w:hAnsi="Times New Roman" w:cs="Times New Roman"/>
                <w:vertAlign w:val="superscript"/>
                <w:lang w:bidi="sk-SK"/>
              </w:rPr>
              <w:t>a</w:t>
            </w:r>
          </w:p>
        </w:tc>
      </w:tr>
      <w:tr w:rsidR="0025223D" w:rsidRPr="00B914C4" w14:paraId="45679170" w14:textId="77777777" w:rsidTr="00436805">
        <w:trPr>
          <w:trHeight w:val="549"/>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D"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reprodukčného systému a prsníkov</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F"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Vaginálna moniliáza, leukorea, vaginálne krvácanie</w:t>
            </w:r>
          </w:p>
        </w:tc>
      </w:tr>
      <w:tr w:rsidR="0025223D" w:rsidRPr="00B914C4" w14:paraId="45679174" w14:textId="77777777" w:rsidTr="00436805">
        <w:trPr>
          <w:trHeight w:val="272"/>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71" w14:textId="77777777"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Celkové poruchy a reakcie v mieste podania</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72"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73"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Asténia</w:t>
            </w:r>
            <w:r w:rsidRPr="00B914C4">
              <w:rPr>
                <w:rFonts w:ascii="Times New Roman" w:eastAsia="Times New Roman" w:hAnsi="Times New Roman" w:cs="Times New Roman"/>
                <w:vertAlign w:val="superscript"/>
                <w:lang w:bidi="sk-SK"/>
              </w:rPr>
              <w:t>a</w:t>
            </w:r>
            <w:r w:rsidRPr="00B914C4">
              <w:rPr>
                <w:rFonts w:ascii="Times New Roman" w:eastAsia="Times New Roman" w:hAnsi="Times New Roman" w:cs="Times New Roman"/>
                <w:lang w:bidi="sk-SK"/>
              </w:rPr>
              <w:t>, reakcie v mieste podanie injekcie</w:t>
            </w:r>
            <w:r w:rsidRPr="00B914C4">
              <w:rPr>
                <w:rFonts w:ascii="Times New Roman" w:eastAsia="Times New Roman" w:hAnsi="Times New Roman" w:cs="Times New Roman"/>
                <w:vertAlign w:val="superscript"/>
                <w:lang w:bidi="sk-SK"/>
              </w:rPr>
              <w:t>b</w:t>
            </w:r>
          </w:p>
        </w:tc>
      </w:tr>
      <w:tr w:rsidR="0025223D" w:rsidRPr="00B914C4" w14:paraId="45679178" w14:textId="77777777" w:rsidTr="00436805">
        <w:trPr>
          <w:trHeight w:val="549"/>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45679175"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7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77" w14:textId="03DD2734"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Krvácanie v mieste podania injekcie, hematóm v mieste podania injekcie, ischias, neuralgia</w:t>
            </w:r>
            <w:r w:rsidRPr="00B914C4">
              <w:rPr>
                <w:rFonts w:ascii="Times New Roman" w:eastAsia="Times New Roman" w:hAnsi="Times New Roman" w:cs="Times New Roman"/>
                <w:vertAlign w:val="superscript"/>
                <w:lang w:bidi="sk-SK"/>
              </w:rPr>
              <w:t>c</w:t>
            </w:r>
            <w:r w:rsidRPr="00B914C4">
              <w:rPr>
                <w:rFonts w:ascii="Times New Roman" w:eastAsia="Times New Roman" w:hAnsi="Times New Roman" w:cs="Times New Roman"/>
                <w:lang w:bidi="sk-SK"/>
              </w:rPr>
              <w:t>, periférna neuropatia</w:t>
            </w:r>
          </w:p>
        </w:tc>
      </w:tr>
    </w:tbl>
    <w:p w14:paraId="4567917A" w14:textId="2E4F59FB" w:rsidR="0025223D" w:rsidRPr="001A0391" w:rsidRDefault="00F839E2" w:rsidP="00B858F8">
      <w:pPr>
        <w:tabs>
          <w:tab w:val="left" w:pos="567"/>
        </w:tabs>
        <w:spacing w:after="0" w:line="240" w:lineRule="auto"/>
        <w:ind w:left="567" w:hanging="567"/>
        <w:rPr>
          <w:rFonts w:ascii="Times New Roman" w:eastAsia="Times New Roman" w:hAnsi="Times New Roman" w:cs="Times New Roman"/>
          <w:sz w:val="20"/>
        </w:rPr>
      </w:pPr>
      <w:r w:rsidRPr="00436805">
        <w:rPr>
          <w:rFonts w:ascii="Times New Roman" w:eastAsia="Times New Roman" w:hAnsi="Times New Roman" w:cs="Times New Roman"/>
          <w:sz w:val="20"/>
          <w:vertAlign w:val="superscript"/>
          <w:lang w:bidi="sk-SK"/>
        </w:rPr>
        <w:t>a</w:t>
      </w:r>
      <w:r w:rsidRPr="00436805">
        <w:rPr>
          <w:rFonts w:ascii="Times New Roman" w:eastAsia="Times New Roman" w:hAnsi="Times New Roman" w:cs="Times New Roman"/>
          <w:sz w:val="20"/>
          <w:lang w:bidi="sk-SK"/>
        </w:rPr>
        <w:tab/>
        <w:t>Vrátane nežiaducich reakcií, pre ktoré presný rozsah závažnosti užívania fulvestrantu nemôže byť stanovený vzhľadom na základné ochorenie.</w:t>
      </w:r>
    </w:p>
    <w:p w14:paraId="4567917B" w14:textId="1AAABE77" w:rsidR="0025223D" w:rsidRPr="001A0391" w:rsidRDefault="00F839E2" w:rsidP="00B858F8">
      <w:pPr>
        <w:tabs>
          <w:tab w:val="left" w:pos="567"/>
        </w:tabs>
        <w:spacing w:after="0" w:line="240" w:lineRule="auto"/>
        <w:ind w:left="567" w:hanging="567"/>
        <w:rPr>
          <w:rFonts w:ascii="Times New Roman" w:eastAsia="Times New Roman" w:hAnsi="Times New Roman" w:cs="Times New Roman"/>
          <w:sz w:val="20"/>
        </w:rPr>
      </w:pPr>
      <w:r w:rsidRPr="00436805">
        <w:rPr>
          <w:rFonts w:ascii="Times New Roman" w:eastAsia="Times New Roman" w:hAnsi="Times New Roman" w:cs="Times New Roman"/>
          <w:sz w:val="20"/>
          <w:vertAlign w:val="superscript"/>
          <w:lang w:bidi="sk-SK"/>
        </w:rPr>
        <w:t>b</w:t>
      </w:r>
      <w:r w:rsidRPr="00436805">
        <w:rPr>
          <w:rFonts w:ascii="Times New Roman" w:eastAsia="Times New Roman" w:hAnsi="Times New Roman" w:cs="Times New Roman"/>
          <w:sz w:val="20"/>
          <w:lang w:bidi="sk-SK"/>
        </w:rPr>
        <w:tab/>
        <w:t>Termín reakcie v mieste podania injekcie nezahŕňa termíny krvácanie v mieste podania injekcie, hematóm v mieste podania injekcie, ischias, neuralgia a periférna neuropatia</w:t>
      </w:r>
      <w:r w:rsidR="00AA4E06" w:rsidRPr="002D7C9E">
        <w:rPr>
          <w:rFonts w:ascii="Times New Roman" w:eastAsia="Times New Roman" w:hAnsi="Times New Roman" w:cs="Times New Roman"/>
          <w:spacing w:val="-1"/>
          <w:sz w:val="20"/>
          <w:szCs w:val="20"/>
          <w:lang w:bidi="sk-SK"/>
        </w:rPr>
        <w:t>l</w:t>
      </w:r>
      <w:r w:rsidRPr="00436805">
        <w:rPr>
          <w:rFonts w:ascii="Times New Roman" w:eastAsia="Times New Roman" w:hAnsi="Times New Roman" w:cs="Times New Roman"/>
          <w:sz w:val="20"/>
          <w:lang w:bidi="sk-SK"/>
        </w:rPr>
        <w:t>.</w:t>
      </w:r>
    </w:p>
    <w:p w14:paraId="0D779BEC" w14:textId="492AAB9B" w:rsidR="00314B21" w:rsidRPr="001A0391" w:rsidRDefault="00F839E2" w:rsidP="00B858F8">
      <w:pPr>
        <w:spacing w:after="0" w:line="240" w:lineRule="auto"/>
        <w:ind w:left="567" w:hanging="567"/>
        <w:rPr>
          <w:rFonts w:ascii="Times New Roman" w:eastAsia="Times New Roman" w:hAnsi="Times New Roman" w:cs="Times New Roman"/>
          <w:sz w:val="20"/>
        </w:rPr>
      </w:pPr>
      <w:r w:rsidRPr="00436805">
        <w:rPr>
          <w:rFonts w:ascii="Times New Roman" w:eastAsia="Times New Roman" w:hAnsi="Times New Roman" w:cs="Times New Roman"/>
          <w:sz w:val="20"/>
          <w:vertAlign w:val="superscript"/>
          <w:lang w:bidi="sk-SK"/>
        </w:rPr>
        <w:t>c</w:t>
      </w:r>
      <w:r w:rsidRPr="00436805">
        <w:rPr>
          <w:rFonts w:ascii="Times New Roman" w:eastAsia="Times New Roman" w:hAnsi="Times New Roman" w:cs="Times New Roman"/>
          <w:sz w:val="20"/>
          <w:lang w:bidi="sk-SK"/>
        </w:rPr>
        <w:tab/>
        <w:t xml:space="preserve">Udalosť sa nepozorovala vo veľkých klinických štúdiách (CONFIRM, FINDER 1, FINDER 2. NEWEST). </w:t>
      </w:r>
    </w:p>
    <w:p w14:paraId="4567917F" w14:textId="77C0D0B3" w:rsidR="0025223D" w:rsidRPr="001A0391" w:rsidRDefault="00F839E2" w:rsidP="00B858F8">
      <w:pPr>
        <w:spacing w:after="0" w:line="240" w:lineRule="auto"/>
        <w:ind w:left="567"/>
        <w:rPr>
          <w:rFonts w:ascii="Times New Roman" w:eastAsia="Times New Roman" w:hAnsi="Times New Roman" w:cs="Times New Roman"/>
          <w:sz w:val="20"/>
        </w:rPr>
      </w:pPr>
      <w:r w:rsidRPr="00436805">
        <w:rPr>
          <w:rFonts w:ascii="Times New Roman" w:eastAsia="Times New Roman" w:hAnsi="Times New Roman" w:cs="Times New Roman"/>
          <w:sz w:val="20"/>
          <w:lang w:bidi="sk-SK"/>
        </w:rPr>
        <w:t>Frekvencia sa vypočítala pomocou hornej hranice 95% intervalu spoľahlivosti pre odhad bodu. Počíta sa ako 3/560 (kde 560 je počet pacientov vo veľkých klinických štúdiách), čo zodpovedá kategórii frekvencie „menej časté“.</w:t>
      </w:r>
    </w:p>
    <w:p w14:paraId="45679180" w14:textId="77777777" w:rsidR="0025223D" w:rsidRPr="001A0391" w:rsidRDefault="0025223D" w:rsidP="00B858F8">
      <w:pPr>
        <w:spacing w:after="0" w:line="240" w:lineRule="auto"/>
        <w:rPr>
          <w:rFonts w:ascii="Times New Roman" w:hAnsi="Times New Roman" w:cs="Times New Roman"/>
        </w:rPr>
      </w:pPr>
    </w:p>
    <w:p w14:paraId="2DC1FE47" w14:textId="77777777" w:rsidR="00436805" w:rsidRPr="001A0391" w:rsidRDefault="00436805" w:rsidP="00436805">
      <w:pPr>
        <w:widowControl/>
        <w:tabs>
          <w:tab w:val="left" w:pos="567"/>
        </w:tabs>
        <w:autoSpaceDE w:val="0"/>
        <w:autoSpaceDN w:val="0"/>
        <w:adjustRightInd w:val="0"/>
        <w:spacing w:after="0" w:line="240" w:lineRule="auto"/>
        <w:rPr>
          <w:rFonts w:ascii="Times New Roman" w:eastAsia="Times New Roman" w:hAnsi="Times New Roman" w:cs="Times New Roman"/>
          <w:u w:val="single"/>
        </w:rPr>
      </w:pPr>
      <w:r w:rsidRPr="00436805">
        <w:rPr>
          <w:rFonts w:ascii="Times New Roman" w:eastAsia="Times New Roman" w:hAnsi="Times New Roman" w:cs="Times New Roman"/>
          <w:u w:val="single"/>
          <w:lang w:bidi="sk-SK"/>
        </w:rPr>
        <w:t>Hlásenie podozrení na nežiaduce reakcie</w:t>
      </w:r>
    </w:p>
    <w:p w14:paraId="45679183" w14:textId="1E11D93D" w:rsidR="0025223D" w:rsidRPr="001A0391" w:rsidRDefault="00436805" w:rsidP="00436805">
      <w:pPr>
        <w:spacing w:after="0" w:line="240" w:lineRule="auto"/>
        <w:rPr>
          <w:rFonts w:ascii="Times New Roman" w:eastAsia="Times New Roman" w:hAnsi="Times New Roman" w:cs="Times New Roman"/>
        </w:rPr>
      </w:pPr>
      <w:r w:rsidRPr="00436805">
        <w:rPr>
          <w:rFonts w:ascii="Times New Roman" w:eastAsia="Times New Roman" w:hAnsi="Times New Roman" w:cs="Times New Roman"/>
          <w:lang w:bidi="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36805">
        <w:rPr>
          <w:rFonts w:ascii="Times New Roman" w:eastAsia="Times New Roman" w:hAnsi="Times New Roman" w:cs="Times New Roman"/>
          <w:highlight w:val="lightGray"/>
          <w:lang w:bidi="sk-SK"/>
        </w:rPr>
        <w:t xml:space="preserve">národné centrum hlásenia uvedené v </w:t>
      </w:r>
      <w:hyperlink r:id="rId11" w:history="1">
        <w:r w:rsidRPr="00436805">
          <w:rPr>
            <w:rFonts w:ascii="Times New Roman" w:eastAsia="Times New Roman" w:hAnsi="Times New Roman" w:cs="Times New Roman"/>
            <w:color w:val="0000FF"/>
            <w:highlight w:val="lightGray"/>
            <w:u w:val="single"/>
            <w:lang w:bidi="sk-SK"/>
          </w:rPr>
          <w:t>Prílohe V</w:t>
        </w:r>
      </w:hyperlink>
      <w:r w:rsidRPr="00436805">
        <w:rPr>
          <w:rFonts w:ascii="Times New Roman" w:eastAsia="Times New Roman" w:hAnsi="Times New Roman" w:cs="Times New Roman"/>
          <w:lang w:bidi="sk-SK"/>
        </w:rPr>
        <w:t>.</w:t>
      </w:r>
    </w:p>
    <w:p w14:paraId="2A1FB93B" w14:textId="77777777" w:rsidR="00436805" w:rsidRPr="001A0391" w:rsidRDefault="00436805" w:rsidP="00436805">
      <w:pPr>
        <w:spacing w:after="0" w:line="240" w:lineRule="auto"/>
        <w:rPr>
          <w:rFonts w:ascii="Times New Roman" w:hAnsi="Times New Roman" w:cs="Times New Roman"/>
        </w:rPr>
      </w:pPr>
    </w:p>
    <w:p w14:paraId="45679184"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4.9</w:t>
      </w:r>
      <w:r w:rsidRPr="00B914C4">
        <w:rPr>
          <w:rFonts w:ascii="Times New Roman" w:eastAsia="Times New Roman" w:hAnsi="Times New Roman" w:cs="Times New Roman"/>
          <w:b/>
          <w:lang w:bidi="sk-SK"/>
        </w:rPr>
        <w:tab/>
        <w:t>Predávkovanie</w:t>
      </w:r>
    </w:p>
    <w:p w14:paraId="45679185" w14:textId="77777777" w:rsidR="0025223D" w:rsidRPr="001A0391" w:rsidRDefault="0025223D" w:rsidP="00B858F8">
      <w:pPr>
        <w:spacing w:after="0" w:line="240" w:lineRule="auto"/>
        <w:rPr>
          <w:rFonts w:ascii="Times New Roman" w:hAnsi="Times New Roman" w:cs="Times New Roman"/>
        </w:rPr>
      </w:pPr>
    </w:p>
    <w:p w14:paraId="45679186" w14:textId="6ACC557E"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Nie sú </w:t>
      </w:r>
      <w:r w:rsidRPr="00352372">
        <w:rPr>
          <w:rFonts w:ascii="Times New Roman" w:eastAsia="Times New Roman" w:hAnsi="Times New Roman" w:cs="Times New Roman"/>
          <w:lang w:bidi="sk-SK"/>
        </w:rPr>
        <w:t>známe hlásenia</w:t>
      </w:r>
      <w:r w:rsidRPr="00B914C4">
        <w:rPr>
          <w:rFonts w:ascii="Times New Roman" w:eastAsia="Times New Roman" w:hAnsi="Times New Roman" w:cs="Times New Roman"/>
          <w:lang w:bidi="sk-SK"/>
        </w:rPr>
        <w:t xml:space="preserve"> predávkovania u ľudí. Štúdie na zvieratách udávajú, že okrem účinkov priamo alebo nepriamo spojených s antiestrogénnou aktivitou, sa pri vyšších dávkach fulvestrantu nepreukázali žiadne iné účinky (pozri časť 5.3). V prípade predávkovania sa odporúča symptomatická podporná liečba.</w:t>
      </w:r>
    </w:p>
    <w:p w14:paraId="45679188" w14:textId="77777777" w:rsidR="0025223D" w:rsidRPr="001A0391" w:rsidRDefault="0025223D" w:rsidP="00B858F8">
      <w:pPr>
        <w:spacing w:after="0" w:line="240" w:lineRule="auto"/>
        <w:rPr>
          <w:rFonts w:ascii="Times New Roman" w:hAnsi="Times New Roman" w:cs="Times New Roman"/>
        </w:rPr>
      </w:pPr>
    </w:p>
    <w:p w14:paraId="45679189" w14:textId="77777777" w:rsidR="0025223D" w:rsidRPr="001A0391" w:rsidRDefault="0025223D" w:rsidP="00B858F8">
      <w:pPr>
        <w:spacing w:after="0" w:line="240" w:lineRule="auto"/>
        <w:rPr>
          <w:rFonts w:ascii="Times New Roman" w:hAnsi="Times New Roman" w:cs="Times New Roman"/>
        </w:rPr>
      </w:pPr>
    </w:p>
    <w:p w14:paraId="4567918A"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w:t>
      </w:r>
      <w:r w:rsidRPr="00B914C4">
        <w:rPr>
          <w:rFonts w:ascii="Times New Roman" w:eastAsia="Times New Roman" w:hAnsi="Times New Roman" w:cs="Times New Roman"/>
          <w:b/>
          <w:lang w:bidi="sk-SK"/>
        </w:rPr>
        <w:tab/>
        <w:t>FARMAKOLOGICKÉ VLASTNOSTI</w:t>
      </w:r>
    </w:p>
    <w:p w14:paraId="4567918B" w14:textId="77777777" w:rsidR="0025223D" w:rsidRPr="001A0391" w:rsidRDefault="0025223D" w:rsidP="00B858F8">
      <w:pPr>
        <w:spacing w:after="0" w:line="240" w:lineRule="auto"/>
        <w:rPr>
          <w:rFonts w:ascii="Times New Roman" w:hAnsi="Times New Roman" w:cs="Times New Roman"/>
        </w:rPr>
      </w:pPr>
    </w:p>
    <w:p w14:paraId="4567918C"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lastRenderedPageBreak/>
        <w:t>5.1</w:t>
      </w:r>
      <w:r w:rsidRPr="00B914C4">
        <w:rPr>
          <w:rFonts w:ascii="Times New Roman" w:eastAsia="Times New Roman" w:hAnsi="Times New Roman" w:cs="Times New Roman"/>
          <w:b/>
          <w:lang w:bidi="sk-SK"/>
        </w:rPr>
        <w:tab/>
        <w:t>Farmakodynamické vlastnosti</w:t>
      </w:r>
    </w:p>
    <w:p w14:paraId="4567918D" w14:textId="77777777" w:rsidR="0025223D" w:rsidRPr="001A0391" w:rsidRDefault="0025223D" w:rsidP="00B858F8">
      <w:pPr>
        <w:spacing w:after="0" w:line="240" w:lineRule="auto"/>
        <w:rPr>
          <w:rFonts w:ascii="Times New Roman" w:hAnsi="Times New Roman" w:cs="Times New Roman"/>
        </w:rPr>
      </w:pPr>
    </w:p>
    <w:p w14:paraId="4567918E" w14:textId="13D0D04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Farmakoterapeutická skupina: Endokrinná liečba, Antiestrogény, ATC kód: L02BA03</w:t>
      </w:r>
    </w:p>
    <w:p w14:paraId="4567918F" w14:textId="77777777" w:rsidR="0025223D" w:rsidRPr="001A0391" w:rsidRDefault="0025223D" w:rsidP="00B858F8">
      <w:pPr>
        <w:spacing w:after="0" w:line="240" w:lineRule="auto"/>
        <w:rPr>
          <w:rFonts w:ascii="Times New Roman" w:hAnsi="Times New Roman" w:cs="Times New Roman"/>
        </w:rPr>
      </w:pPr>
    </w:p>
    <w:p w14:paraId="45679190"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Mechanizmus účinku a farmakodynamické účinky</w:t>
      </w:r>
    </w:p>
    <w:p w14:paraId="45679194" w14:textId="5376EFB0"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je kompetitívny antagonista estrogénového receptora (ER) s afinitou porovnateľnou s estradiolom. Fulvestrant blokuje trofický účinok estrogénov bez akejkoľvek čiastočnej agonistickej (estrogénu podobnej) aktivity. Mechanizmus účinku je spojený s potlačením hladín proteínu estrogénového receptora. Klinické štúdie u postmenopauzálnych žien s primárnou rakovinou prsníka preukázali, že fulvestrant významne znižuje ER proteín v ER pozitívnych nádoroch v porovnaní s placebom. Taktiež sa pozorovalo významné zníženie expresie progesterónového receptora bez agonistického účinku na vnútorný estrogén. Tiež sa preukázalo, že fulvestrant 500 mg znižuje ER a proliferáciu markeru Ki67, vo väčšej miere ako fulvestrant 250 mg v nádoroch prsníka v postmenopauzálnej neoadjuvantnej liečbe.</w:t>
      </w:r>
    </w:p>
    <w:p w14:paraId="45679195" w14:textId="77777777" w:rsidR="0025223D" w:rsidRPr="001A0391" w:rsidRDefault="0025223D" w:rsidP="00B858F8">
      <w:pPr>
        <w:spacing w:after="0" w:line="240" w:lineRule="auto"/>
        <w:rPr>
          <w:rFonts w:ascii="Times New Roman" w:hAnsi="Times New Roman" w:cs="Times New Roman"/>
        </w:rPr>
      </w:pPr>
    </w:p>
    <w:p w14:paraId="45679196" w14:textId="650B9F08"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Klinická účinnosť a bezpečnosť pri pokročilom karcinóme prsníka</w:t>
      </w:r>
    </w:p>
    <w:p w14:paraId="45679197" w14:textId="43878CCF"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Klinickú štúdiu fázy 3 ukončilo 736 postmenopauzálnych žien s pokročilým karcinómom prsníka, ktoré mali rekurenciu ochorenia počas alebo po adjuvantnej endokrinnej liečbe alebo progresii následnej endokrinnej liečby pokročilého ochorenia. Štúdia zahŕňala 423 pacientok, ktoré recidivovali alebo mali progresiu počas antiestrogénnej liečby (AE podskupina) a 313 pacientok, ktoré recidivovali alebo mali progresiu počas liečby inhibítorom aromatázy (AI podskupina). Táto štúdia porovnávala účinnosť a bezpečnosť fulvestrantu 500 mg (n=362) s fulvestrantom 250 mg (n=374). Prežívanie bez progresie (progression-free survival, PFS) bolo primárnym cieľom, kľúčové sekundárne ciele účinnosti zahŕňali objektívnu mieru odpovede (objective response rate, ORR), mieru klinického prínosu (clinical benefit rate, CBR) a celkové prežívanie (overall survival, OS). Výsledky účinnosti pre CONFIRM štúdiu sú zhrnuté v tabuľke 2.</w:t>
      </w:r>
    </w:p>
    <w:p w14:paraId="48ECE7DB" w14:textId="77777777" w:rsidR="00436805" w:rsidRPr="001A0391" w:rsidRDefault="00436805" w:rsidP="00B858F8">
      <w:pPr>
        <w:spacing w:after="0" w:line="240" w:lineRule="auto"/>
        <w:rPr>
          <w:rFonts w:ascii="Times New Roman" w:eastAsia="Times New Roman" w:hAnsi="Times New Roman" w:cs="Times New Roman"/>
        </w:rPr>
      </w:pPr>
    </w:p>
    <w:p w14:paraId="45679198" w14:textId="3604A7E8" w:rsidR="0025223D" w:rsidRPr="001A0391" w:rsidRDefault="00B802CF" w:rsidP="00B858F8">
      <w:pPr>
        <w:spacing w:after="0" w:line="240" w:lineRule="auto"/>
        <w:ind w:left="1134" w:hanging="1134"/>
        <w:rPr>
          <w:rFonts w:ascii="Times New Roman" w:hAnsi="Times New Roman" w:cs="Times New Roman"/>
          <w:b/>
        </w:rPr>
      </w:pPr>
      <w:r w:rsidRPr="00B914C4">
        <w:rPr>
          <w:rFonts w:ascii="Times New Roman" w:eastAsia="Times New Roman" w:hAnsi="Times New Roman" w:cs="Times New Roman"/>
          <w:b/>
          <w:lang w:bidi="sk-SK"/>
        </w:rPr>
        <w:t>Tabuľka 2</w:t>
      </w:r>
      <w:r w:rsidRPr="00B914C4">
        <w:rPr>
          <w:rFonts w:ascii="Times New Roman" w:eastAsia="Times New Roman" w:hAnsi="Times New Roman" w:cs="Times New Roman"/>
          <w:b/>
          <w:lang w:bidi="sk-SK"/>
        </w:rPr>
        <w:tab/>
        <w:t>Prehľad výsledkov primárneho cieľa účinnosti (PFS) a kľúčových sekundárnych cieľov účinnosti v štúdii CONFIRM</w:t>
      </w:r>
    </w:p>
    <w:p w14:paraId="757B0DFE" w14:textId="77777777" w:rsidR="00B802CF" w:rsidRPr="001A0391" w:rsidRDefault="00B802CF" w:rsidP="00B858F8">
      <w:pPr>
        <w:spacing w:after="0" w:line="240" w:lineRule="auto"/>
        <w:ind w:left="1134" w:hanging="1134"/>
        <w:rPr>
          <w:rFonts w:ascii="Times New Roman" w:hAnsi="Times New Roman" w:cs="Times New Roman"/>
          <w:b/>
        </w:rPr>
      </w:pPr>
    </w:p>
    <w:tbl>
      <w:tblPr>
        <w:tblStyle w:val="Mriekatabuky"/>
        <w:tblW w:w="9747" w:type="dxa"/>
        <w:tblInd w:w="-34" w:type="dxa"/>
        <w:tblLayout w:type="fixed"/>
        <w:tblLook w:val="04A0" w:firstRow="1" w:lastRow="0" w:firstColumn="1" w:lastColumn="0" w:noHBand="0" w:noVBand="1"/>
      </w:tblPr>
      <w:tblGrid>
        <w:gridCol w:w="1560"/>
        <w:gridCol w:w="1417"/>
        <w:gridCol w:w="1276"/>
        <w:gridCol w:w="1242"/>
        <w:gridCol w:w="1417"/>
        <w:gridCol w:w="1417"/>
        <w:gridCol w:w="1418"/>
      </w:tblGrid>
      <w:tr w:rsidR="00AC4164" w:rsidRPr="00436805" w14:paraId="152358B4" w14:textId="77777777" w:rsidTr="007B5DC9">
        <w:trPr>
          <w:trHeight w:val="515"/>
        </w:trPr>
        <w:tc>
          <w:tcPr>
            <w:tcW w:w="1560" w:type="dxa"/>
            <w:vMerge w:val="restart"/>
            <w:tcBorders>
              <w:top w:val="single" w:sz="12" w:space="0" w:color="auto"/>
              <w:left w:val="nil"/>
              <w:right w:val="nil"/>
            </w:tcBorders>
          </w:tcPr>
          <w:p w14:paraId="5BED149D" w14:textId="1BCE968A" w:rsidR="00AC4164" w:rsidRPr="00436805" w:rsidRDefault="00AC4164"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Premenná</w:t>
            </w:r>
          </w:p>
        </w:tc>
        <w:tc>
          <w:tcPr>
            <w:tcW w:w="1417" w:type="dxa"/>
            <w:vMerge w:val="restart"/>
            <w:tcBorders>
              <w:top w:val="single" w:sz="12" w:space="0" w:color="auto"/>
              <w:left w:val="nil"/>
              <w:right w:val="nil"/>
            </w:tcBorders>
          </w:tcPr>
          <w:p w14:paraId="5DFC8010" w14:textId="19E46CFC" w:rsidR="00AC4164" w:rsidRPr="00436805" w:rsidRDefault="00436805" w:rsidP="00B858F8">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Typ odhadu;</w:t>
            </w:r>
          </w:p>
          <w:p w14:paraId="313CA04E" w14:textId="2A98D2B9" w:rsidR="00AC4164" w:rsidRPr="00436805" w:rsidRDefault="00436805" w:rsidP="00436805">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porovnanie liečby</w:t>
            </w:r>
          </w:p>
        </w:tc>
        <w:tc>
          <w:tcPr>
            <w:tcW w:w="1276" w:type="dxa"/>
            <w:vMerge w:val="restart"/>
            <w:tcBorders>
              <w:top w:val="single" w:sz="12" w:space="0" w:color="auto"/>
              <w:left w:val="nil"/>
              <w:right w:val="nil"/>
            </w:tcBorders>
          </w:tcPr>
          <w:p w14:paraId="27BB521A" w14:textId="7AD15FE4"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Fulvestrant</w:t>
            </w:r>
          </w:p>
          <w:p w14:paraId="58497C8C" w14:textId="4A5BD571"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500 mg</w:t>
            </w:r>
          </w:p>
          <w:p w14:paraId="7DDE9EEF" w14:textId="163BDD2E"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(N = 362)</w:t>
            </w:r>
          </w:p>
        </w:tc>
        <w:tc>
          <w:tcPr>
            <w:tcW w:w="1242" w:type="dxa"/>
            <w:vMerge w:val="restart"/>
            <w:tcBorders>
              <w:top w:val="single" w:sz="12" w:space="0" w:color="auto"/>
              <w:left w:val="nil"/>
              <w:right w:val="nil"/>
            </w:tcBorders>
          </w:tcPr>
          <w:p w14:paraId="425770ED" w14:textId="37F9E5D5"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Fulvestrant</w:t>
            </w:r>
          </w:p>
          <w:p w14:paraId="2F93F98F" w14:textId="624F931E"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250 mg</w:t>
            </w:r>
          </w:p>
          <w:p w14:paraId="6084256B" w14:textId="5AD9A509"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(N = 374)</w:t>
            </w:r>
          </w:p>
        </w:tc>
        <w:tc>
          <w:tcPr>
            <w:tcW w:w="4252" w:type="dxa"/>
            <w:gridSpan w:val="3"/>
            <w:tcBorders>
              <w:top w:val="single" w:sz="12" w:space="0" w:color="auto"/>
              <w:left w:val="nil"/>
              <w:bottom w:val="single" w:sz="12" w:space="0" w:color="auto"/>
              <w:right w:val="nil"/>
            </w:tcBorders>
          </w:tcPr>
          <w:p w14:paraId="34A6A8D1" w14:textId="68D36C8C" w:rsidR="007B5DC9"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Porovnanie medzi skupinami</w:t>
            </w:r>
          </w:p>
          <w:p w14:paraId="2B772717" w14:textId="48A2C624"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(fulvestrant 500 mg / fulvestrant 250 mg)</w:t>
            </w:r>
          </w:p>
        </w:tc>
      </w:tr>
      <w:tr w:rsidR="00AC4164" w:rsidRPr="00436805" w14:paraId="49394C16" w14:textId="27506927" w:rsidTr="007B5DC9">
        <w:trPr>
          <w:trHeight w:val="317"/>
        </w:trPr>
        <w:tc>
          <w:tcPr>
            <w:tcW w:w="1560" w:type="dxa"/>
            <w:vMerge/>
            <w:tcBorders>
              <w:left w:val="nil"/>
              <w:bottom w:val="single" w:sz="4" w:space="0" w:color="auto"/>
              <w:right w:val="nil"/>
            </w:tcBorders>
          </w:tcPr>
          <w:p w14:paraId="00885970" w14:textId="77777777" w:rsidR="00AC4164" w:rsidRPr="00436805" w:rsidRDefault="00AC4164" w:rsidP="00B858F8">
            <w:pPr>
              <w:tabs>
                <w:tab w:val="left" w:pos="680"/>
              </w:tabs>
              <w:rPr>
                <w:rFonts w:ascii="Times New Roman" w:eastAsia="Times New Roman" w:hAnsi="Times New Roman" w:cs="Times New Roman"/>
                <w:b/>
                <w:bCs/>
                <w:sz w:val="20"/>
                <w:szCs w:val="20"/>
                <w:lang w:val="en-GB"/>
              </w:rPr>
            </w:pPr>
          </w:p>
        </w:tc>
        <w:tc>
          <w:tcPr>
            <w:tcW w:w="1417" w:type="dxa"/>
            <w:vMerge/>
            <w:tcBorders>
              <w:left w:val="nil"/>
              <w:bottom w:val="single" w:sz="4" w:space="0" w:color="auto"/>
              <w:right w:val="nil"/>
            </w:tcBorders>
          </w:tcPr>
          <w:p w14:paraId="09DBD80F" w14:textId="77777777" w:rsidR="00AC4164" w:rsidRPr="00436805" w:rsidRDefault="00AC4164" w:rsidP="00B858F8">
            <w:pPr>
              <w:tabs>
                <w:tab w:val="left" w:pos="680"/>
              </w:tabs>
              <w:rPr>
                <w:rFonts w:ascii="Times New Roman" w:eastAsia="Times New Roman" w:hAnsi="Times New Roman" w:cs="Times New Roman"/>
                <w:b/>
                <w:bCs/>
                <w:sz w:val="20"/>
                <w:szCs w:val="20"/>
                <w:lang w:val="en-GB"/>
              </w:rPr>
            </w:pPr>
          </w:p>
        </w:tc>
        <w:tc>
          <w:tcPr>
            <w:tcW w:w="1276" w:type="dxa"/>
            <w:vMerge/>
            <w:tcBorders>
              <w:left w:val="nil"/>
              <w:bottom w:val="single" w:sz="4" w:space="0" w:color="auto"/>
              <w:right w:val="nil"/>
            </w:tcBorders>
          </w:tcPr>
          <w:p w14:paraId="51FC7E08" w14:textId="77777777"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p>
        </w:tc>
        <w:tc>
          <w:tcPr>
            <w:tcW w:w="1242" w:type="dxa"/>
            <w:vMerge/>
            <w:tcBorders>
              <w:left w:val="nil"/>
              <w:bottom w:val="single" w:sz="4" w:space="0" w:color="auto"/>
              <w:right w:val="nil"/>
            </w:tcBorders>
          </w:tcPr>
          <w:p w14:paraId="5E7BE24B" w14:textId="77777777"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12" w:space="0" w:color="auto"/>
              <w:left w:val="nil"/>
              <w:bottom w:val="single" w:sz="4" w:space="0" w:color="auto"/>
              <w:right w:val="nil"/>
            </w:tcBorders>
          </w:tcPr>
          <w:p w14:paraId="51A53043" w14:textId="20D961A1"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Pomer rizika</w:t>
            </w:r>
          </w:p>
        </w:tc>
        <w:tc>
          <w:tcPr>
            <w:tcW w:w="1417" w:type="dxa"/>
            <w:tcBorders>
              <w:top w:val="single" w:sz="12" w:space="0" w:color="auto"/>
              <w:left w:val="nil"/>
              <w:bottom w:val="single" w:sz="4" w:space="0" w:color="auto"/>
              <w:right w:val="nil"/>
            </w:tcBorders>
          </w:tcPr>
          <w:p w14:paraId="52DED3B6" w14:textId="56DFB607"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95% CI</w:t>
            </w:r>
          </w:p>
        </w:tc>
        <w:tc>
          <w:tcPr>
            <w:tcW w:w="1418" w:type="dxa"/>
            <w:tcBorders>
              <w:top w:val="single" w:sz="12" w:space="0" w:color="auto"/>
              <w:left w:val="nil"/>
              <w:bottom w:val="single" w:sz="4" w:space="0" w:color="auto"/>
              <w:right w:val="nil"/>
            </w:tcBorders>
          </w:tcPr>
          <w:p w14:paraId="496CBF17" w14:textId="5D53C51D"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p-hodnota</w:t>
            </w:r>
          </w:p>
        </w:tc>
      </w:tr>
      <w:tr w:rsidR="000521EB" w:rsidRPr="00436805" w14:paraId="689B9327" w14:textId="77777777" w:rsidTr="007B5DC9">
        <w:tc>
          <w:tcPr>
            <w:tcW w:w="1560" w:type="dxa"/>
            <w:tcBorders>
              <w:top w:val="single" w:sz="4" w:space="0" w:color="auto"/>
              <w:left w:val="nil"/>
              <w:bottom w:val="nil"/>
              <w:right w:val="nil"/>
            </w:tcBorders>
          </w:tcPr>
          <w:p w14:paraId="080E9F7A" w14:textId="650DD008" w:rsidR="00B802CF" w:rsidRPr="00436805" w:rsidRDefault="0025780F"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PFS</w:t>
            </w:r>
          </w:p>
        </w:tc>
        <w:tc>
          <w:tcPr>
            <w:tcW w:w="1417" w:type="dxa"/>
            <w:tcBorders>
              <w:top w:val="single" w:sz="4" w:space="0" w:color="auto"/>
              <w:left w:val="nil"/>
              <w:bottom w:val="nil"/>
              <w:right w:val="nil"/>
            </w:tcBorders>
          </w:tcPr>
          <w:p w14:paraId="3240FAB5" w14:textId="77777777" w:rsidR="0025780F" w:rsidRPr="001A0391" w:rsidRDefault="0025780F" w:rsidP="00B858F8">
            <w:pPr>
              <w:tabs>
                <w:tab w:val="left" w:pos="680"/>
              </w:tabs>
              <w:rPr>
                <w:rFonts w:ascii="Times New Roman" w:eastAsia="Times New Roman" w:hAnsi="Times New Roman" w:cs="Times New Roman"/>
                <w:b/>
                <w:bCs/>
                <w:sz w:val="20"/>
                <w:szCs w:val="20"/>
                <w:lang w:val="it-IT"/>
              </w:rPr>
            </w:pPr>
            <w:r w:rsidRPr="00436805">
              <w:rPr>
                <w:rFonts w:ascii="Times New Roman" w:eastAsia="Times New Roman" w:hAnsi="Times New Roman" w:cs="Times New Roman"/>
                <w:b/>
                <w:sz w:val="20"/>
                <w:szCs w:val="20"/>
                <w:lang w:bidi="sk-SK"/>
              </w:rPr>
              <w:t>K-M medián</w:t>
            </w:r>
          </w:p>
          <w:p w14:paraId="01DEB7F7" w14:textId="77777777" w:rsidR="0025780F" w:rsidRPr="001A0391" w:rsidRDefault="0025780F" w:rsidP="00B858F8">
            <w:pPr>
              <w:tabs>
                <w:tab w:val="left" w:pos="680"/>
              </w:tabs>
              <w:rPr>
                <w:rFonts w:ascii="Times New Roman" w:eastAsia="Times New Roman" w:hAnsi="Times New Roman" w:cs="Times New Roman"/>
                <w:b/>
                <w:bCs/>
                <w:sz w:val="20"/>
                <w:szCs w:val="20"/>
                <w:lang w:val="it-IT"/>
              </w:rPr>
            </w:pPr>
            <w:r w:rsidRPr="00436805">
              <w:rPr>
                <w:rFonts w:ascii="Times New Roman" w:eastAsia="Times New Roman" w:hAnsi="Times New Roman" w:cs="Times New Roman"/>
                <w:b/>
                <w:sz w:val="20"/>
                <w:szCs w:val="20"/>
                <w:lang w:bidi="sk-SK"/>
              </w:rPr>
              <w:t>v mesiacoch;</w:t>
            </w:r>
          </w:p>
          <w:p w14:paraId="3408B3A2" w14:textId="584439C6" w:rsidR="00B802CF" w:rsidRPr="00436805" w:rsidRDefault="0025780F"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pomer rizika</w:t>
            </w:r>
          </w:p>
        </w:tc>
        <w:tc>
          <w:tcPr>
            <w:tcW w:w="1276" w:type="dxa"/>
            <w:tcBorders>
              <w:top w:val="single" w:sz="4" w:space="0" w:color="auto"/>
              <w:left w:val="nil"/>
              <w:bottom w:val="nil"/>
              <w:right w:val="nil"/>
            </w:tcBorders>
          </w:tcPr>
          <w:p w14:paraId="4CE01D0D"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4CC75556"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1621A760"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241ECD44"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8" w:type="dxa"/>
            <w:tcBorders>
              <w:top w:val="single" w:sz="4" w:space="0" w:color="auto"/>
              <w:left w:val="nil"/>
              <w:bottom w:val="nil"/>
              <w:right w:val="nil"/>
            </w:tcBorders>
          </w:tcPr>
          <w:p w14:paraId="4CB576CE"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r>
      <w:tr w:rsidR="00B55754" w:rsidRPr="00436805" w14:paraId="5B1D4EBA" w14:textId="77777777" w:rsidTr="007B5DC9">
        <w:tc>
          <w:tcPr>
            <w:tcW w:w="1560" w:type="dxa"/>
            <w:tcBorders>
              <w:top w:val="nil"/>
              <w:left w:val="nil"/>
              <w:bottom w:val="nil"/>
              <w:right w:val="nil"/>
            </w:tcBorders>
          </w:tcPr>
          <w:p w14:paraId="33692299" w14:textId="367CCF0A" w:rsidR="00B802CF" w:rsidRPr="00436805" w:rsidRDefault="00AC2D62"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Všetky pacientky</w:t>
            </w:r>
          </w:p>
        </w:tc>
        <w:tc>
          <w:tcPr>
            <w:tcW w:w="1417" w:type="dxa"/>
            <w:tcBorders>
              <w:top w:val="nil"/>
              <w:left w:val="nil"/>
              <w:bottom w:val="nil"/>
              <w:right w:val="nil"/>
            </w:tcBorders>
          </w:tcPr>
          <w:p w14:paraId="636122D8" w14:textId="77777777" w:rsidR="00B802CF" w:rsidRPr="00436805" w:rsidRDefault="00B802CF" w:rsidP="00B858F8">
            <w:pPr>
              <w:tabs>
                <w:tab w:val="left" w:pos="680"/>
              </w:tabs>
              <w:rPr>
                <w:rFonts w:ascii="Times New Roman" w:eastAsia="Times New Roman" w:hAnsi="Times New Roman" w:cs="Times New Roman"/>
                <w:b/>
                <w:bCs/>
                <w:sz w:val="20"/>
                <w:szCs w:val="20"/>
                <w:lang w:val="en-GB"/>
              </w:rPr>
            </w:pPr>
          </w:p>
        </w:tc>
        <w:tc>
          <w:tcPr>
            <w:tcW w:w="1276" w:type="dxa"/>
            <w:tcBorders>
              <w:top w:val="nil"/>
              <w:left w:val="nil"/>
              <w:bottom w:val="nil"/>
              <w:right w:val="nil"/>
            </w:tcBorders>
          </w:tcPr>
          <w:p w14:paraId="20829B74" w14:textId="0D72EC9B"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6.5</w:t>
            </w:r>
          </w:p>
        </w:tc>
        <w:tc>
          <w:tcPr>
            <w:tcW w:w="1242" w:type="dxa"/>
            <w:tcBorders>
              <w:top w:val="nil"/>
              <w:left w:val="nil"/>
              <w:bottom w:val="nil"/>
              <w:right w:val="nil"/>
            </w:tcBorders>
          </w:tcPr>
          <w:p w14:paraId="4D926298" w14:textId="384B8EDE"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5.5</w:t>
            </w:r>
          </w:p>
        </w:tc>
        <w:tc>
          <w:tcPr>
            <w:tcW w:w="1417" w:type="dxa"/>
            <w:tcBorders>
              <w:top w:val="nil"/>
              <w:left w:val="nil"/>
              <w:bottom w:val="nil"/>
              <w:right w:val="nil"/>
            </w:tcBorders>
          </w:tcPr>
          <w:p w14:paraId="03DD3691" w14:textId="2C4994F9"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0.80</w:t>
            </w:r>
          </w:p>
        </w:tc>
        <w:tc>
          <w:tcPr>
            <w:tcW w:w="1417" w:type="dxa"/>
            <w:tcBorders>
              <w:top w:val="nil"/>
              <w:left w:val="nil"/>
              <w:bottom w:val="nil"/>
              <w:right w:val="nil"/>
            </w:tcBorders>
          </w:tcPr>
          <w:p w14:paraId="588307E1" w14:textId="446DAB95"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0.68, 0.94</w:t>
            </w:r>
          </w:p>
        </w:tc>
        <w:tc>
          <w:tcPr>
            <w:tcW w:w="1418" w:type="dxa"/>
            <w:tcBorders>
              <w:top w:val="nil"/>
              <w:left w:val="nil"/>
              <w:bottom w:val="nil"/>
              <w:right w:val="nil"/>
            </w:tcBorders>
          </w:tcPr>
          <w:p w14:paraId="35D22D36" w14:textId="6BFD2F7C"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0.006</w:t>
            </w:r>
          </w:p>
        </w:tc>
      </w:tr>
      <w:tr w:rsidR="007B5DC9" w:rsidRPr="00436805" w14:paraId="6CA57A7B" w14:textId="77777777" w:rsidTr="00AF51F0">
        <w:tc>
          <w:tcPr>
            <w:tcW w:w="2977" w:type="dxa"/>
            <w:gridSpan w:val="2"/>
            <w:tcBorders>
              <w:top w:val="nil"/>
              <w:left w:val="nil"/>
              <w:bottom w:val="nil"/>
              <w:right w:val="nil"/>
            </w:tcBorders>
          </w:tcPr>
          <w:p w14:paraId="63C4F781" w14:textId="17283BE6" w:rsidR="007B5DC9" w:rsidRPr="00436805" w:rsidRDefault="007171AC" w:rsidP="00B858F8">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 xml:space="preserve"> </w:t>
            </w:r>
            <w:r w:rsidR="007B5DC9" w:rsidRPr="00436805">
              <w:rPr>
                <w:rFonts w:ascii="Times New Roman" w:eastAsia="Times New Roman" w:hAnsi="Times New Roman" w:cs="Times New Roman"/>
                <w:b/>
                <w:sz w:val="20"/>
                <w:szCs w:val="20"/>
                <w:lang w:bidi="sk-SK"/>
              </w:rPr>
              <w:t>-AE podskupina (n=423)</w:t>
            </w:r>
          </w:p>
        </w:tc>
        <w:tc>
          <w:tcPr>
            <w:tcW w:w="1276" w:type="dxa"/>
            <w:tcBorders>
              <w:top w:val="nil"/>
              <w:left w:val="nil"/>
              <w:bottom w:val="nil"/>
              <w:right w:val="nil"/>
            </w:tcBorders>
          </w:tcPr>
          <w:p w14:paraId="1657F372" w14:textId="0D310778"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8.6</w:t>
            </w:r>
          </w:p>
        </w:tc>
        <w:tc>
          <w:tcPr>
            <w:tcW w:w="1242" w:type="dxa"/>
            <w:tcBorders>
              <w:top w:val="nil"/>
              <w:left w:val="nil"/>
              <w:bottom w:val="nil"/>
              <w:right w:val="nil"/>
            </w:tcBorders>
          </w:tcPr>
          <w:p w14:paraId="47231F40" w14:textId="258AA1DD"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5.8</w:t>
            </w:r>
          </w:p>
        </w:tc>
        <w:tc>
          <w:tcPr>
            <w:tcW w:w="1417" w:type="dxa"/>
            <w:tcBorders>
              <w:top w:val="nil"/>
              <w:left w:val="nil"/>
              <w:bottom w:val="nil"/>
              <w:right w:val="nil"/>
            </w:tcBorders>
          </w:tcPr>
          <w:p w14:paraId="2972B4FD" w14:textId="1EE56B33"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0.76</w:t>
            </w:r>
          </w:p>
        </w:tc>
        <w:tc>
          <w:tcPr>
            <w:tcW w:w="1417" w:type="dxa"/>
            <w:tcBorders>
              <w:top w:val="nil"/>
              <w:left w:val="nil"/>
              <w:bottom w:val="nil"/>
              <w:right w:val="nil"/>
            </w:tcBorders>
          </w:tcPr>
          <w:p w14:paraId="3096267A" w14:textId="521EBF3F"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0.62, 0.94</w:t>
            </w:r>
          </w:p>
        </w:tc>
        <w:tc>
          <w:tcPr>
            <w:tcW w:w="1418" w:type="dxa"/>
            <w:tcBorders>
              <w:top w:val="nil"/>
              <w:left w:val="nil"/>
              <w:bottom w:val="nil"/>
              <w:right w:val="nil"/>
            </w:tcBorders>
          </w:tcPr>
          <w:p w14:paraId="0B4EE4A0" w14:textId="65004B24"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0.013</w:t>
            </w:r>
          </w:p>
        </w:tc>
      </w:tr>
      <w:tr w:rsidR="007B5DC9" w:rsidRPr="00436805" w14:paraId="0CA0AFA4" w14:textId="77777777" w:rsidTr="00AF51F0">
        <w:tc>
          <w:tcPr>
            <w:tcW w:w="2977" w:type="dxa"/>
            <w:gridSpan w:val="2"/>
            <w:tcBorders>
              <w:top w:val="nil"/>
              <w:left w:val="nil"/>
              <w:bottom w:val="single" w:sz="4" w:space="0" w:color="auto"/>
              <w:right w:val="nil"/>
            </w:tcBorders>
          </w:tcPr>
          <w:p w14:paraId="1C3AB541" w14:textId="64502436" w:rsidR="007B5DC9" w:rsidRPr="00436805" w:rsidRDefault="007171AC" w:rsidP="00B858F8">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 xml:space="preserve"> </w:t>
            </w:r>
            <w:r w:rsidR="007B5DC9" w:rsidRPr="00436805">
              <w:rPr>
                <w:rFonts w:ascii="Times New Roman" w:eastAsia="Times New Roman" w:hAnsi="Times New Roman" w:cs="Times New Roman"/>
                <w:b/>
                <w:sz w:val="20"/>
                <w:szCs w:val="20"/>
                <w:lang w:bidi="sk-SK"/>
              </w:rPr>
              <w:t>-AI podskupina (n=313)</w:t>
            </w:r>
            <w:r w:rsidR="007B5DC9" w:rsidRPr="00436805">
              <w:rPr>
                <w:rFonts w:ascii="Times New Roman" w:eastAsia="Times New Roman" w:hAnsi="Times New Roman" w:cs="Times New Roman"/>
                <w:b/>
                <w:sz w:val="20"/>
                <w:szCs w:val="20"/>
                <w:vertAlign w:val="superscript"/>
                <w:lang w:bidi="sk-SK"/>
              </w:rPr>
              <w:t>a</w:t>
            </w:r>
          </w:p>
        </w:tc>
        <w:tc>
          <w:tcPr>
            <w:tcW w:w="1276" w:type="dxa"/>
            <w:tcBorders>
              <w:top w:val="nil"/>
              <w:left w:val="nil"/>
              <w:bottom w:val="single" w:sz="4" w:space="0" w:color="auto"/>
              <w:right w:val="nil"/>
            </w:tcBorders>
          </w:tcPr>
          <w:p w14:paraId="13483038" w14:textId="2AC69B21"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5.4</w:t>
            </w:r>
          </w:p>
        </w:tc>
        <w:tc>
          <w:tcPr>
            <w:tcW w:w="1242" w:type="dxa"/>
            <w:tcBorders>
              <w:top w:val="nil"/>
              <w:left w:val="nil"/>
              <w:bottom w:val="single" w:sz="4" w:space="0" w:color="auto"/>
              <w:right w:val="nil"/>
            </w:tcBorders>
          </w:tcPr>
          <w:p w14:paraId="536E9142" w14:textId="4264488B"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4.1</w:t>
            </w:r>
          </w:p>
        </w:tc>
        <w:tc>
          <w:tcPr>
            <w:tcW w:w="1417" w:type="dxa"/>
            <w:tcBorders>
              <w:top w:val="nil"/>
              <w:left w:val="nil"/>
              <w:bottom w:val="single" w:sz="4" w:space="0" w:color="auto"/>
              <w:right w:val="nil"/>
            </w:tcBorders>
          </w:tcPr>
          <w:p w14:paraId="53C784AA" w14:textId="71E0F38E"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0.85</w:t>
            </w:r>
          </w:p>
        </w:tc>
        <w:tc>
          <w:tcPr>
            <w:tcW w:w="1417" w:type="dxa"/>
            <w:tcBorders>
              <w:top w:val="nil"/>
              <w:left w:val="nil"/>
              <w:bottom w:val="single" w:sz="4" w:space="0" w:color="auto"/>
              <w:right w:val="nil"/>
            </w:tcBorders>
          </w:tcPr>
          <w:p w14:paraId="283958FB" w14:textId="01274476"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0.67, 1.08</w:t>
            </w:r>
          </w:p>
        </w:tc>
        <w:tc>
          <w:tcPr>
            <w:tcW w:w="1418" w:type="dxa"/>
            <w:tcBorders>
              <w:top w:val="nil"/>
              <w:left w:val="nil"/>
              <w:bottom w:val="single" w:sz="4" w:space="0" w:color="auto"/>
              <w:right w:val="nil"/>
            </w:tcBorders>
          </w:tcPr>
          <w:p w14:paraId="3B176C40" w14:textId="33C48214"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0.195</w:t>
            </w:r>
          </w:p>
        </w:tc>
      </w:tr>
      <w:tr w:rsidR="00B55754" w:rsidRPr="00436805" w14:paraId="23788D04" w14:textId="77777777" w:rsidTr="007B5DC9">
        <w:tc>
          <w:tcPr>
            <w:tcW w:w="1560" w:type="dxa"/>
            <w:tcBorders>
              <w:top w:val="single" w:sz="4" w:space="0" w:color="auto"/>
              <w:left w:val="nil"/>
              <w:bottom w:val="nil"/>
              <w:right w:val="nil"/>
            </w:tcBorders>
          </w:tcPr>
          <w:p w14:paraId="0B7ED8A2" w14:textId="4268D694" w:rsidR="00B802CF" w:rsidRPr="00436805" w:rsidRDefault="005C56C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OS</w:t>
            </w:r>
            <w:r w:rsidRPr="00436805">
              <w:rPr>
                <w:rFonts w:ascii="Times New Roman" w:eastAsia="Times New Roman" w:hAnsi="Times New Roman" w:cs="Times New Roman"/>
                <w:sz w:val="20"/>
                <w:szCs w:val="20"/>
                <w:vertAlign w:val="superscript"/>
                <w:lang w:bidi="sk-SK"/>
              </w:rPr>
              <w:t>b</w:t>
            </w:r>
          </w:p>
        </w:tc>
        <w:tc>
          <w:tcPr>
            <w:tcW w:w="1417" w:type="dxa"/>
            <w:tcBorders>
              <w:top w:val="single" w:sz="4" w:space="0" w:color="auto"/>
              <w:left w:val="nil"/>
              <w:bottom w:val="nil"/>
              <w:right w:val="nil"/>
            </w:tcBorders>
          </w:tcPr>
          <w:p w14:paraId="26BA6E85" w14:textId="77777777" w:rsidR="005C56C7" w:rsidRPr="001A0391" w:rsidRDefault="005C56C7" w:rsidP="00B858F8">
            <w:pPr>
              <w:tabs>
                <w:tab w:val="left" w:pos="680"/>
              </w:tabs>
              <w:rPr>
                <w:rFonts w:ascii="Times New Roman" w:eastAsia="Times New Roman" w:hAnsi="Times New Roman" w:cs="Times New Roman"/>
                <w:bCs/>
                <w:sz w:val="20"/>
                <w:szCs w:val="20"/>
                <w:lang w:val="it-IT"/>
              </w:rPr>
            </w:pPr>
            <w:r w:rsidRPr="00436805">
              <w:rPr>
                <w:rFonts w:ascii="Times New Roman" w:eastAsia="Times New Roman" w:hAnsi="Times New Roman" w:cs="Times New Roman"/>
                <w:sz w:val="20"/>
                <w:szCs w:val="20"/>
                <w:lang w:bidi="sk-SK"/>
              </w:rPr>
              <w:t>K-M medián</w:t>
            </w:r>
          </w:p>
          <w:p w14:paraId="592E9BFD" w14:textId="77777777" w:rsidR="005C56C7" w:rsidRPr="001A0391" w:rsidRDefault="005C56C7" w:rsidP="00B858F8">
            <w:pPr>
              <w:tabs>
                <w:tab w:val="left" w:pos="680"/>
              </w:tabs>
              <w:rPr>
                <w:rFonts w:ascii="Times New Roman" w:eastAsia="Times New Roman" w:hAnsi="Times New Roman" w:cs="Times New Roman"/>
                <w:bCs/>
                <w:sz w:val="20"/>
                <w:szCs w:val="20"/>
                <w:lang w:val="it-IT"/>
              </w:rPr>
            </w:pPr>
            <w:r w:rsidRPr="00436805">
              <w:rPr>
                <w:rFonts w:ascii="Times New Roman" w:eastAsia="Times New Roman" w:hAnsi="Times New Roman" w:cs="Times New Roman"/>
                <w:sz w:val="20"/>
                <w:szCs w:val="20"/>
                <w:lang w:bidi="sk-SK"/>
              </w:rPr>
              <w:t>v mesiacoch;</w:t>
            </w:r>
          </w:p>
          <w:p w14:paraId="1C497F38" w14:textId="6C23112C" w:rsidR="00B802CF" w:rsidRPr="00436805" w:rsidRDefault="005C56C7"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sz w:val="20"/>
                <w:szCs w:val="20"/>
                <w:lang w:bidi="sk-SK"/>
              </w:rPr>
              <w:t>pomer rizika</w:t>
            </w:r>
          </w:p>
        </w:tc>
        <w:tc>
          <w:tcPr>
            <w:tcW w:w="1276" w:type="dxa"/>
            <w:tcBorders>
              <w:top w:val="single" w:sz="4" w:space="0" w:color="auto"/>
              <w:left w:val="nil"/>
              <w:bottom w:val="nil"/>
              <w:right w:val="nil"/>
            </w:tcBorders>
          </w:tcPr>
          <w:p w14:paraId="4AA23BF1"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4CE27A05"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276FFA1E"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0DDB24BF"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8" w:type="dxa"/>
            <w:tcBorders>
              <w:top w:val="single" w:sz="4" w:space="0" w:color="auto"/>
              <w:left w:val="nil"/>
              <w:bottom w:val="nil"/>
              <w:right w:val="nil"/>
            </w:tcBorders>
          </w:tcPr>
          <w:p w14:paraId="2B1D70AE"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r>
      <w:tr w:rsidR="00F50AB6" w:rsidRPr="00436805" w14:paraId="77949243" w14:textId="77777777" w:rsidTr="007B5DC9">
        <w:tc>
          <w:tcPr>
            <w:tcW w:w="1560" w:type="dxa"/>
            <w:tcBorders>
              <w:top w:val="nil"/>
              <w:left w:val="nil"/>
              <w:bottom w:val="nil"/>
              <w:right w:val="nil"/>
            </w:tcBorders>
          </w:tcPr>
          <w:p w14:paraId="6A8E59F5" w14:textId="487DE9E7" w:rsidR="00F50AB6" w:rsidRPr="00436805" w:rsidRDefault="00F50AB6"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Všetky pacientky</w:t>
            </w:r>
          </w:p>
        </w:tc>
        <w:tc>
          <w:tcPr>
            <w:tcW w:w="1417" w:type="dxa"/>
            <w:tcBorders>
              <w:top w:val="nil"/>
              <w:left w:val="nil"/>
              <w:bottom w:val="nil"/>
              <w:right w:val="nil"/>
            </w:tcBorders>
          </w:tcPr>
          <w:p w14:paraId="721DF32D" w14:textId="77777777" w:rsidR="00F50AB6" w:rsidRPr="00436805" w:rsidRDefault="00F50AB6" w:rsidP="00B858F8">
            <w:pPr>
              <w:tabs>
                <w:tab w:val="left" w:pos="680"/>
              </w:tabs>
              <w:rPr>
                <w:rFonts w:ascii="Times New Roman" w:eastAsia="Times New Roman" w:hAnsi="Times New Roman" w:cs="Times New Roman"/>
                <w:bCs/>
                <w:sz w:val="20"/>
                <w:szCs w:val="20"/>
                <w:lang w:val="en-GB"/>
              </w:rPr>
            </w:pPr>
          </w:p>
        </w:tc>
        <w:tc>
          <w:tcPr>
            <w:tcW w:w="1276" w:type="dxa"/>
            <w:tcBorders>
              <w:top w:val="nil"/>
              <w:left w:val="nil"/>
              <w:bottom w:val="nil"/>
              <w:right w:val="nil"/>
            </w:tcBorders>
          </w:tcPr>
          <w:p w14:paraId="02070A20" w14:textId="6DAFA6ED"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26.4</w:t>
            </w:r>
          </w:p>
        </w:tc>
        <w:tc>
          <w:tcPr>
            <w:tcW w:w="1242" w:type="dxa"/>
            <w:tcBorders>
              <w:top w:val="nil"/>
              <w:left w:val="nil"/>
              <w:bottom w:val="nil"/>
              <w:right w:val="nil"/>
            </w:tcBorders>
          </w:tcPr>
          <w:p w14:paraId="631C1C01" w14:textId="48BF8879" w:rsidR="00F50AB6" w:rsidRPr="00436805" w:rsidRDefault="001631BC"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22.3</w:t>
            </w:r>
          </w:p>
        </w:tc>
        <w:tc>
          <w:tcPr>
            <w:tcW w:w="1417" w:type="dxa"/>
            <w:tcBorders>
              <w:top w:val="nil"/>
              <w:left w:val="nil"/>
              <w:bottom w:val="nil"/>
              <w:right w:val="nil"/>
            </w:tcBorders>
          </w:tcPr>
          <w:p w14:paraId="486B3CEA" w14:textId="51F9317C"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0.81</w:t>
            </w:r>
          </w:p>
        </w:tc>
        <w:tc>
          <w:tcPr>
            <w:tcW w:w="1417" w:type="dxa"/>
            <w:tcBorders>
              <w:top w:val="nil"/>
              <w:left w:val="nil"/>
              <w:bottom w:val="nil"/>
              <w:right w:val="nil"/>
            </w:tcBorders>
          </w:tcPr>
          <w:p w14:paraId="550CB2BA" w14:textId="5FEC4B65"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0.69, 0.96</w:t>
            </w:r>
          </w:p>
        </w:tc>
        <w:tc>
          <w:tcPr>
            <w:tcW w:w="1418" w:type="dxa"/>
            <w:tcBorders>
              <w:top w:val="nil"/>
              <w:left w:val="nil"/>
              <w:bottom w:val="nil"/>
              <w:right w:val="nil"/>
            </w:tcBorders>
          </w:tcPr>
          <w:p w14:paraId="63315B9D" w14:textId="07154A5F"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0,016</w:t>
            </w:r>
            <w:r w:rsidRPr="00436805">
              <w:rPr>
                <w:rFonts w:ascii="Times New Roman" w:eastAsia="Times New Roman" w:hAnsi="Times New Roman" w:cs="Times New Roman"/>
                <w:sz w:val="20"/>
                <w:szCs w:val="20"/>
                <w:vertAlign w:val="superscript"/>
                <w:lang w:bidi="sk-SK"/>
              </w:rPr>
              <w:t>c</w:t>
            </w:r>
          </w:p>
        </w:tc>
      </w:tr>
      <w:tr w:rsidR="007B5DC9" w:rsidRPr="00436805" w14:paraId="62541D1E" w14:textId="77777777" w:rsidTr="00AF51F0">
        <w:tc>
          <w:tcPr>
            <w:tcW w:w="2977" w:type="dxa"/>
            <w:gridSpan w:val="2"/>
            <w:tcBorders>
              <w:top w:val="nil"/>
              <w:left w:val="nil"/>
              <w:bottom w:val="nil"/>
              <w:right w:val="nil"/>
            </w:tcBorders>
          </w:tcPr>
          <w:p w14:paraId="341DF7D4" w14:textId="5B38FA8C" w:rsidR="007B5DC9"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7B5DC9" w:rsidRPr="00436805">
              <w:rPr>
                <w:rFonts w:ascii="Times New Roman" w:eastAsia="Times New Roman" w:hAnsi="Times New Roman" w:cs="Times New Roman"/>
                <w:sz w:val="20"/>
                <w:szCs w:val="20"/>
                <w:lang w:bidi="sk-SK"/>
              </w:rPr>
              <w:t>-AE podskupina (n=423)</w:t>
            </w:r>
          </w:p>
        </w:tc>
        <w:tc>
          <w:tcPr>
            <w:tcW w:w="1276" w:type="dxa"/>
            <w:tcBorders>
              <w:top w:val="nil"/>
              <w:left w:val="nil"/>
              <w:bottom w:val="nil"/>
              <w:right w:val="nil"/>
            </w:tcBorders>
          </w:tcPr>
          <w:p w14:paraId="7CB95176" w14:textId="0E37AD68"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30.6</w:t>
            </w:r>
          </w:p>
        </w:tc>
        <w:tc>
          <w:tcPr>
            <w:tcW w:w="1242" w:type="dxa"/>
            <w:tcBorders>
              <w:top w:val="nil"/>
              <w:left w:val="nil"/>
              <w:bottom w:val="nil"/>
              <w:right w:val="nil"/>
            </w:tcBorders>
          </w:tcPr>
          <w:p w14:paraId="6C7706B6" w14:textId="090433CB"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23.9</w:t>
            </w:r>
          </w:p>
        </w:tc>
        <w:tc>
          <w:tcPr>
            <w:tcW w:w="1417" w:type="dxa"/>
            <w:tcBorders>
              <w:top w:val="nil"/>
              <w:left w:val="nil"/>
              <w:bottom w:val="nil"/>
              <w:right w:val="nil"/>
            </w:tcBorders>
          </w:tcPr>
          <w:p w14:paraId="2D497512" w14:textId="0143B164"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0.79</w:t>
            </w:r>
          </w:p>
        </w:tc>
        <w:tc>
          <w:tcPr>
            <w:tcW w:w="1417" w:type="dxa"/>
            <w:tcBorders>
              <w:top w:val="nil"/>
              <w:left w:val="nil"/>
              <w:bottom w:val="nil"/>
              <w:right w:val="nil"/>
            </w:tcBorders>
          </w:tcPr>
          <w:p w14:paraId="761CFE3D" w14:textId="1CF8F71D"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0.63, 0.99</w:t>
            </w:r>
          </w:p>
        </w:tc>
        <w:tc>
          <w:tcPr>
            <w:tcW w:w="1418" w:type="dxa"/>
            <w:tcBorders>
              <w:top w:val="nil"/>
              <w:left w:val="nil"/>
              <w:bottom w:val="nil"/>
              <w:right w:val="nil"/>
            </w:tcBorders>
          </w:tcPr>
          <w:p w14:paraId="51526E09" w14:textId="162CC657"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0,038</w:t>
            </w:r>
            <w:r w:rsidRPr="00436805">
              <w:rPr>
                <w:rFonts w:ascii="Times New Roman" w:eastAsia="Times New Roman" w:hAnsi="Times New Roman" w:cs="Times New Roman"/>
                <w:sz w:val="20"/>
                <w:szCs w:val="20"/>
                <w:vertAlign w:val="superscript"/>
                <w:lang w:bidi="sk-SK"/>
              </w:rPr>
              <w:t>c</w:t>
            </w:r>
          </w:p>
        </w:tc>
      </w:tr>
      <w:tr w:rsidR="007B5DC9" w:rsidRPr="00436805" w14:paraId="1999D487" w14:textId="77777777" w:rsidTr="00AF51F0">
        <w:tc>
          <w:tcPr>
            <w:tcW w:w="2977" w:type="dxa"/>
            <w:gridSpan w:val="2"/>
            <w:tcBorders>
              <w:top w:val="nil"/>
              <w:left w:val="nil"/>
              <w:bottom w:val="single" w:sz="4" w:space="0" w:color="auto"/>
              <w:right w:val="nil"/>
            </w:tcBorders>
          </w:tcPr>
          <w:p w14:paraId="5DB934A8" w14:textId="35AD4ADE" w:rsidR="007B5DC9"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7B5DC9" w:rsidRPr="00436805">
              <w:rPr>
                <w:rFonts w:ascii="Times New Roman" w:eastAsia="Times New Roman" w:hAnsi="Times New Roman" w:cs="Times New Roman"/>
                <w:sz w:val="20"/>
                <w:szCs w:val="20"/>
                <w:lang w:bidi="sk-SK"/>
              </w:rPr>
              <w:t>-AI podskupina (n=313)</w:t>
            </w:r>
            <w:r w:rsidR="007B5DC9" w:rsidRPr="00436805">
              <w:rPr>
                <w:rFonts w:ascii="Times New Roman" w:eastAsia="Times New Roman" w:hAnsi="Times New Roman" w:cs="Times New Roman"/>
                <w:sz w:val="20"/>
                <w:szCs w:val="20"/>
                <w:vertAlign w:val="superscript"/>
                <w:lang w:bidi="sk-SK"/>
              </w:rPr>
              <w:t>a</w:t>
            </w:r>
          </w:p>
        </w:tc>
        <w:tc>
          <w:tcPr>
            <w:tcW w:w="1276" w:type="dxa"/>
            <w:tcBorders>
              <w:top w:val="nil"/>
              <w:left w:val="nil"/>
              <w:bottom w:val="single" w:sz="4" w:space="0" w:color="auto"/>
              <w:right w:val="nil"/>
            </w:tcBorders>
          </w:tcPr>
          <w:p w14:paraId="2525FAD5" w14:textId="4EC1BC6D"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24.1</w:t>
            </w:r>
          </w:p>
        </w:tc>
        <w:tc>
          <w:tcPr>
            <w:tcW w:w="1242" w:type="dxa"/>
            <w:tcBorders>
              <w:top w:val="nil"/>
              <w:left w:val="nil"/>
              <w:bottom w:val="single" w:sz="4" w:space="0" w:color="auto"/>
              <w:right w:val="nil"/>
            </w:tcBorders>
          </w:tcPr>
          <w:p w14:paraId="3D148323" w14:textId="7966885C"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20.8</w:t>
            </w:r>
          </w:p>
        </w:tc>
        <w:tc>
          <w:tcPr>
            <w:tcW w:w="1417" w:type="dxa"/>
            <w:tcBorders>
              <w:top w:val="nil"/>
              <w:left w:val="nil"/>
              <w:bottom w:val="single" w:sz="4" w:space="0" w:color="auto"/>
              <w:right w:val="nil"/>
            </w:tcBorders>
          </w:tcPr>
          <w:p w14:paraId="56F7B3AD" w14:textId="6D8A2316"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0.86</w:t>
            </w:r>
          </w:p>
        </w:tc>
        <w:tc>
          <w:tcPr>
            <w:tcW w:w="1417" w:type="dxa"/>
            <w:tcBorders>
              <w:top w:val="nil"/>
              <w:left w:val="nil"/>
              <w:bottom w:val="single" w:sz="4" w:space="0" w:color="auto"/>
              <w:right w:val="nil"/>
            </w:tcBorders>
          </w:tcPr>
          <w:p w14:paraId="77B4C524" w14:textId="6770F1F5"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0.67, 1.11</w:t>
            </w:r>
          </w:p>
        </w:tc>
        <w:tc>
          <w:tcPr>
            <w:tcW w:w="1418" w:type="dxa"/>
            <w:tcBorders>
              <w:top w:val="nil"/>
              <w:left w:val="nil"/>
              <w:bottom w:val="single" w:sz="4" w:space="0" w:color="auto"/>
              <w:right w:val="nil"/>
            </w:tcBorders>
          </w:tcPr>
          <w:p w14:paraId="6CFBF95A" w14:textId="72FF44A7"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0,241</w:t>
            </w:r>
            <w:r w:rsidRPr="00436805">
              <w:rPr>
                <w:rFonts w:ascii="Times New Roman" w:eastAsia="Times New Roman" w:hAnsi="Times New Roman" w:cs="Times New Roman"/>
                <w:sz w:val="20"/>
                <w:szCs w:val="20"/>
                <w:vertAlign w:val="superscript"/>
                <w:lang w:bidi="sk-SK"/>
              </w:rPr>
              <w:t>c</w:t>
            </w:r>
          </w:p>
        </w:tc>
      </w:tr>
      <w:tr w:rsidR="00FB3D5B" w:rsidRPr="00436805" w14:paraId="6CBF6DD1" w14:textId="77777777" w:rsidTr="007B5DC9">
        <w:trPr>
          <w:trHeight w:val="521"/>
        </w:trPr>
        <w:tc>
          <w:tcPr>
            <w:tcW w:w="1560" w:type="dxa"/>
            <w:vMerge w:val="restart"/>
            <w:tcBorders>
              <w:top w:val="single" w:sz="4" w:space="0" w:color="auto"/>
              <w:left w:val="nil"/>
              <w:right w:val="nil"/>
            </w:tcBorders>
          </w:tcPr>
          <w:p w14:paraId="2530563E" w14:textId="0B1DD94F"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Premenná</w:t>
            </w:r>
          </w:p>
        </w:tc>
        <w:tc>
          <w:tcPr>
            <w:tcW w:w="1417" w:type="dxa"/>
            <w:vMerge w:val="restart"/>
            <w:tcBorders>
              <w:top w:val="single" w:sz="4" w:space="0" w:color="auto"/>
              <w:left w:val="nil"/>
              <w:right w:val="nil"/>
            </w:tcBorders>
          </w:tcPr>
          <w:p w14:paraId="25C8F0F1" w14:textId="77777777"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Typ</w:t>
            </w:r>
          </w:p>
          <w:p w14:paraId="28D016E8" w14:textId="77777777"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odhadu;</w:t>
            </w:r>
          </w:p>
          <w:p w14:paraId="520B9573" w14:textId="77777777"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porovnanie</w:t>
            </w:r>
          </w:p>
          <w:p w14:paraId="4A69503B" w14:textId="21714E72"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liečby</w:t>
            </w:r>
          </w:p>
        </w:tc>
        <w:tc>
          <w:tcPr>
            <w:tcW w:w="1276" w:type="dxa"/>
            <w:vMerge w:val="restart"/>
            <w:tcBorders>
              <w:top w:val="single" w:sz="4" w:space="0" w:color="auto"/>
              <w:left w:val="nil"/>
              <w:right w:val="nil"/>
            </w:tcBorders>
          </w:tcPr>
          <w:p w14:paraId="574F2561" w14:textId="4A39D084"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Fulvestrant</w:t>
            </w:r>
          </w:p>
          <w:p w14:paraId="1259D820" w14:textId="72CE35F5"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500 mg</w:t>
            </w:r>
          </w:p>
          <w:p w14:paraId="4537BAC1" w14:textId="1BC50DF5"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(N = 362)</w:t>
            </w:r>
          </w:p>
        </w:tc>
        <w:tc>
          <w:tcPr>
            <w:tcW w:w="1242" w:type="dxa"/>
            <w:vMerge w:val="restart"/>
            <w:tcBorders>
              <w:top w:val="single" w:sz="4" w:space="0" w:color="auto"/>
              <w:left w:val="nil"/>
              <w:right w:val="nil"/>
            </w:tcBorders>
          </w:tcPr>
          <w:p w14:paraId="0EAFE397" w14:textId="0CB114A0"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Fulvestrant</w:t>
            </w:r>
          </w:p>
          <w:p w14:paraId="0CBAC9D6" w14:textId="15059821"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250 mg</w:t>
            </w:r>
          </w:p>
          <w:p w14:paraId="0604575B" w14:textId="74DDD022"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(N = 374)</w:t>
            </w:r>
          </w:p>
        </w:tc>
        <w:tc>
          <w:tcPr>
            <w:tcW w:w="4252" w:type="dxa"/>
            <w:gridSpan w:val="3"/>
            <w:tcBorders>
              <w:top w:val="single" w:sz="4" w:space="0" w:color="auto"/>
              <w:left w:val="nil"/>
              <w:bottom w:val="single" w:sz="4" w:space="0" w:color="auto"/>
              <w:right w:val="nil"/>
            </w:tcBorders>
          </w:tcPr>
          <w:p w14:paraId="7606695E" w14:textId="77777777"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Porovnanie medzi skupinami</w:t>
            </w:r>
          </w:p>
          <w:p w14:paraId="2CB311D2" w14:textId="78D1857A"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(fulvestrant 500 mg/fulvestrant 250 mg)</w:t>
            </w:r>
          </w:p>
        </w:tc>
      </w:tr>
      <w:tr w:rsidR="00721D96" w:rsidRPr="00436805" w14:paraId="0BACA8BB" w14:textId="13D2B320" w:rsidTr="000777A3">
        <w:trPr>
          <w:trHeight w:val="465"/>
        </w:trPr>
        <w:tc>
          <w:tcPr>
            <w:tcW w:w="1560" w:type="dxa"/>
            <w:vMerge/>
            <w:tcBorders>
              <w:top w:val="nil"/>
              <w:left w:val="nil"/>
              <w:bottom w:val="single" w:sz="4" w:space="0" w:color="auto"/>
              <w:right w:val="nil"/>
            </w:tcBorders>
          </w:tcPr>
          <w:p w14:paraId="73528F5F"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417" w:type="dxa"/>
            <w:vMerge/>
            <w:tcBorders>
              <w:top w:val="nil"/>
              <w:left w:val="nil"/>
              <w:bottom w:val="single" w:sz="4" w:space="0" w:color="auto"/>
              <w:right w:val="nil"/>
            </w:tcBorders>
          </w:tcPr>
          <w:p w14:paraId="41531497"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276" w:type="dxa"/>
            <w:vMerge/>
            <w:tcBorders>
              <w:top w:val="nil"/>
              <w:left w:val="nil"/>
              <w:bottom w:val="single" w:sz="4" w:space="0" w:color="auto"/>
              <w:right w:val="nil"/>
            </w:tcBorders>
          </w:tcPr>
          <w:p w14:paraId="2B49C00B" w14:textId="77777777" w:rsidR="00721D96" w:rsidRPr="00436805" w:rsidRDefault="00721D96" w:rsidP="007B5DC9">
            <w:pPr>
              <w:tabs>
                <w:tab w:val="left" w:pos="680"/>
              </w:tabs>
              <w:jc w:val="center"/>
              <w:rPr>
                <w:rFonts w:ascii="Times New Roman" w:eastAsia="Times New Roman" w:hAnsi="Times New Roman" w:cs="Times New Roman"/>
                <w:bCs/>
                <w:sz w:val="20"/>
                <w:szCs w:val="20"/>
                <w:lang w:val="en-GB"/>
              </w:rPr>
            </w:pPr>
          </w:p>
        </w:tc>
        <w:tc>
          <w:tcPr>
            <w:tcW w:w="1242" w:type="dxa"/>
            <w:vMerge/>
            <w:tcBorders>
              <w:top w:val="nil"/>
              <w:left w:val="nil"/>
              <w:bottom w:val="single" w:sz="4" w:space="0" w:color="auto"/>
              <w:right w:val="nil"/>
            </w:tcBorders>
          </w:tcPr>
          <w:p w14:paraId="47594202" w14:textId="77777777" w:rsidR="00721D96" w:rsidRPr="00436805" w:rsidRDefault="00721D96" w:rsidP="007B5DC9">
            <w:pPr>
              <w:tabs>
                <w:tab w:val="left" w:pos="680"/>
              </w:tabs>
              <w:jc w:val="center"/>
              <w:rPr>
                <w:rFonts w:ascii="Times New Roman" w:eastAsia="Times New Roman" w:hAnsi="Times New Roman" w:cs="Times New Roman"/>
                <w:bCs/>
                <w:sz w:val="20"/>
                <w:szCs w:val="20"/>
                <w:lang w:val="en-GB"/>
              </w:rPr>
            </w:pPr>
          </w:p>
        </w:tc>
        <w:tc>
          <w:tcPr>
            <w:tcW w:w="1417" w:type="dxa"/>
            <w:tcBorders>
              <w:top w:val="single" w:sz="4" w:space="0" w:color="auto"/>
              <w:left w:val="nil"/>
              <w:bottom w:val="single" w:sz="4" w:space="0" w:color="auto"/>
              <w:right w:val="nil"/>
            </w:tcBorders>
          </w:tcPr>
          <w:p w14:paraId="4CE0C645" w14:textId="69E38D70" w:rsidR="00721D96" w:rsidRPr="00436805" w:rsidRDefault="00721D96" w:rsidP="000777A3">
            <w:pPr>
              <w:ind w:left="-74" w:right="-142"/>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Absolútny rozdiel v %</w:t>
            </w:r>
          </w:p>
        </w:tc>
        <w:tc>
          <w:tcPr>
            <w:tcW w:w="1417" w:type="dxa"/>
            <w:tcBorders>
              <w:top w:val="single" w:sz="4" w:space="0" w:color="auto"/>
              <w:left w:val="nil"/>
              <w:bottom w:val="single" w:sz="4" w:space="0" w:color="auto"/>
              <w:right w:val="nil"/>
            </w:tcBorders>
          </w:tcPr>
          <w:p w14:paraId="468B188C" w14:textId="2EBADAC9" w:rsidR="00721D96" w:rsidRPr="00436805" w:rsidRDefault="000777A3">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95% CI</w:t>
            </w:r>
          </w:p>
        </w:tc>
        <w:tc>
          <w:tcPr>
            <w:tcW w:w="1418" w:type="dxa"/>
            <w:tcBorders>
              <w:top w:val="single" w:sz="4" w:space="0" w:color="auto"/>
              <w:left w:val="nil"/>
              <w:bottom w:val="single" w:sz="4" w:space="0" w:color="auto"/>
              <w:right w:val="nil"/>
            </w:tcBorders>
          </w:tcPr>
          <w:p w14:paraId="152E8D72" w14:textId="7E2E0537" w:rsidR="00721D96" w:rsidRPr="00436805" w:rsidRDefault="00721D96" w:rsidP="007B5DC9">
            <w:pPr>
              <w:tabs>
                <w:tab w:val="left" w:pos="680"/>
              </w:tabs>
              <w:jc w:val="center"/>
              <w:rPr>
                <w:rFonts w:ascii="Times New Roman" w:eastAsia="Times New Roman" w:hAnsi="Times New Roman" w:cs="Times New Roman"/>
                <w:bCs/>
                <w:sz w:val="20"/>
                <w:szCs w:val="20"/>
                <w:lang w:val="en-GB"/>
              </w:rPr>
            </w:pPr>
          </w:p>
        </w:tc>
      </w:tr>
      <w:tr w:rsidR="00721D96" w:rsidRPr="00436805" w14:paraId="572A2B1C" w14:textId="77777777" w:rsidTr="007B5DC9">
        <w:tc>
          <w:tcPr>
            <w:tcW w:w="1560" w:type="dxa"/>
            <w:tcBorders>
              <w:top w:val="single" w:sz="4" w:space="0" w:color="auto"/>
              <w:left w:val="nil"/>
              <w:bottom w:val="nil"/>
              <w:right w:val="nil"/>
            </w:tcBorders>
          </w:tcPr>
          <w:p w14:paraId="57817206" w14:textId="73FA59DD" w:rsidR="00721D96"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ORR</w:t>
            </w:r>
            <w:r w:rsidRPr="00436805">
              <w:rPr>
                <w:rFonts w:ascii="Times New Roman" w:eastAsia="Times New Roman" w:hAnsi="Times New Roman" w:cs="Times New Roman"/>
                <w:sz w:val="20"/>
                <w:szCs w:val="20"/>
                <w:vertAlign w:val="superscript"/>
                <w:lang w:bidi="sk-SK"/>
              </w:rPr>
              <w:t>d</w:t>
            </w:r>
          </w:p>
        </w:tc>
        <w:tc>
          <w:tcPr>
            <w:tcW w:w="1417" w:type="dxa"/>
            <w:tcBorders>
              <w:top w:val="single" w:sz="4" w:space="0" w:color="auto"/>
              <w:left w:val="nil"/>
              <w:bottom w:val="nil"/>
              <w:right w:val="nil"/>
            </w:tcBorders>
          </w:tcPr>
          <w:p w14:paraId="49A0E88D" w14:textId="77777777" w:rsidR="00AB7207"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 pacientok</w:t>
            </w:r>
          </w:p>
          <w:p w14:paraId="3D063EB7" w14:textId="77777777" w:rsidR="00AB7207"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s OR;</w:t>
            </w:r>
          </w:p>
          <w:p w14:paraId="33A0D5FC" w14:textId="77777777" w:rsidR="00AB7207"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absolútny</w:t>
            </w:r>
          </w:p>
          <w:p w14:paraId="1C00455F" w14:textId="3C3E06C7" w:rsidR="00721D96" w:rsidRPr="00436805" w:rsidRDefault="00AB7207" w:rsidP="000777A3">
            <w:pPr>
              <w:tabs>
                <w:tab w:val="left" w:pos="680"/>
              </w:tabs>
              <w:ind w:right="-108"/>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rozdiel v %</w:t>
            </w:r>
          </w:p>
        </w:tc>
        <w:tc>
          <w:tcPr>
            <w:tcW w:w="1276" w:type="dxa"/>
            <w:tcBorders>
              <w:top w:val="single" w:sz="4" w:space="0" w:color="auto"/>
              <w:left w:val="nil"/>
              <w:bottom w:val="nil"/>
              <w:right w:val="nil"/>
            </w:tcBorders>
          </w:tcPr>
          <w:p w14:paraId="51720449"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1E1B35E5"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left w:val="nil"/>
              <w:bottom w:val="nil"/>
              <w:right w:val="nil"/>
            </w:tcBorders>
          </w:tcPr>
          <w:p w14:paraId="22465F4F"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left w:val="nil"/>
              <w:bottom w:val="nil"/>
              <w:right w:val="nil"/>
            </w:tcBorders>
          </w:tcPr>
          <w:p w14:paraId="00C314AC"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8" w:type="dxa"/>
            <w:tcBorders>
              <w:left w:val="nil"/>
              <w:bottom w:val="nil"/>
              <w:right w:val="nil"/>
            </w:tcBorders>
          </w:tcPr>
          <w:p w14:paraId="7691EC7B" w14:textId="2A1928FE"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721D96" w:rsidRPr="00436805" w14:paraId="41F57F52" w14:textId="77777777" w:rsidTr="007B5DC9">
        <w:tc>
          <w:tcPr>
            <w:tcW w:w="1560" w:type="dxa"/>
            <w:tcBorders>
              <w:top w:val="nil"/>
              <w:left w:val="nil"/>
              <w:bottom w:val="nil"/>
              <w:right w:val="nil"/>
            </w:tcBorders>
          </w:tcPr>
          <w:p w14:paraId="47E8AC3E" w14:textId="60C78B21" w:rsidR="00721D96"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Všetky pacientky</w:t>
            </w:r>
          </w:p>
        </w:tc>
        <w:tc>
          <w:tcPr>
            <w:tcW w:w="1417" w:type="dxa"/>
            <w:tcBorders>
              <w:top w:val="nil"/>
              <w:left w:val="nil"/>
              <w:bottom w:val="nil"/>
              <w:right w:val="nil"/>
            </w:tcBorders>
          </w:tcPr>
          <w:p w14:paraId="44249F63"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276" w:type="dxa"/>
            <w:tcBorders>
              <w:top w:val="nil"/>
              <w:left w:val="nil"/>
              <w:bottom w:val="nil"/>
              <w:right w:val="nil"/>
            </w:tcBorders>
          </w:tcPr>
          <w:p w14:paraId="4C038323" w14:textId="1E08D179"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13.8</w:t>
            </w:r>
          </w:p>
        </w:tc>
        <w:tc>
          <w:tcPr>
            <w:tcW w:w="1242" w:type="dxa"/>
            <w:tcBorders>
              <w:top w:val="nil"/>
              <w:left w:val="nil"/>
              <w:bottom w:val="nil"/>
              <w:right w:val="nil"/>
            </w:tcBorders>
          </w:tcPr>
          <w:p w14:paraId="3DCABE51" w14:textId="204F141F"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14.6</w:t>
            </w:r>
          </w:p>
        </w:tc>
        <w:tc>
          <w:tcPr>
            <w:tcW w:w="1417" w:type="dxa"/>
            <w:tcBorders>
              <w:top w:val="nil"/>
              <w:left w:val="nil"/>
              <w:bottom w:val="nil"/>
              <w:right w:val="nil"/>
            </w:tcBorders>
          </w:tcPr>
          <w:p w14:paraId="087F15E4" w14:textId="5D772021"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-0.8</w:t>
            </w:r>
          </w:p>
        </w:tc>
        <w:tc>
          <w:tcPr>
            <w:tcW w:w="1417" w:type="dxa"/>
            <w:tcBorders>
              <w:top w:val="nil"/>
              <w:left w:val="nil"/>
              <w:bottom w:val="nil"/>
              <w:right w:val="nil"/>
            </w:tcBorders>
          </w:tcPr>
          <w:p w14:paraId="0E77915D" w14:textId="1CC17932"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-5.8, 6.3</w:t>
            </w:r>
          </w:p>
        </w:tc>
        <w:tc>
          <w:tcPr>
            <w:tcW w:w="1418" w:type="dxa"/>
            <w:tcBorders>
              <w:top w:val="nil"/>
              <w:left w:val="nil"/>
              <w:bottom w:val="nil"/>
              <w:right w:val="nil"/>
            </w:tcBorders>
          </w:tcPr>
          <w:p w14:paraId="480D5152" w14:textId="1A0D3A3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46A0A2B4" w14:textId="77777777" w:rsidTr="00AF51F0">
        <w:tc>
          <w:tcPr>
            <w:tcW w:w="2977" w:type="dxa"/>
            <w:gridSpan w:val="2"/>
            <w:tcBorders>
              <w:top w:val="nil"/>
              <w:left w:val="nil"/>
              <w:bottom w:val="nil"/>
              <w:right w:val="nil"/>
            </w:tcBorders>
          </w:tcPr>
          <w:p w14:paraId="114C5CC9" w14:textId="1D75D38D"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lastRenderedPageBreak/>
              <w:t xml:space="preserve"> </w:t>
            </w:r>
            <w:r w:rsidR="000777A3" w:rsidRPr="00436805">
              <w:rPr>
                <w:rFonts w:ascii="Times New Roman" w:eastAsia="Times New Roman" w:hAnsi="Times New Roman" w:cs="Times New Roman"/>
                <w:sz w:val="20"/>
                <w:szCs w:val="20"/>
                <w:lang w:bidi="sk-SK"/>
              </w:rPr>
              <w:t>-AE podskupina (n=296)</w:t>
            </w:r>
          </w:p>
        </w:tc>
        <w:tc>
          <w:tcPr>
            <w:tcW w:w="1276" w:type="dxa"/>
            <w:tcBorders>
              <w:top w:val="nil"/>
              <w:left w:val="nil"/>
              <w:bottom w:val="nil"/>
              <w:right w:val="nil"/>
            </w:tcBorders>
          </w:tcPr>
          <w:p w14:paraId="39904A69" w14:textId="07C9E9C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18.1</w:t>
            </w:r>
          </w:p>
        </w:tc>
        <w:tc>
          <w:tcPr>
            <w:tcW w:w="1242" w:type="dxa"/>
            <w:tcBorders>
              <w:top w:val="nil"/>
              <w:left w:val="nil"/>
              <w:bottom w:val="nil"/>
              <w:right w:val="nil"/>
            </w:tcBorders>
          </w:tcPr>
          <w:p w14:paraId="6F836B3E" w14:textId="36708CD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19.1</w:t>
            </w:r>
          </w:p>
        </w:tc>
        <w:tc>
          <w:tcPr>
            <w:tcW w:w="1417" w:type="dxa"/>
            <w:tcBorders>
              <w:top w:val="nil"/>
              <w:left w:val="nil"/>
              <w:bottom w:val="nil"/>
              <w:right w:val="nil"/>
            </w:tcBorders>
          </w:tcPr>
          <w:p w14:paraId="565E2F60" w14:textId="13BF816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-1.0</w:t>
            </w:r>
          </w:p>
        </w:tc>
        <w:tc>
          <w:tcPr>
            <w:tcW w:w="1417" w:type="dxa"/>
            <w:tcBorders>
              <w:top w:val="nil"/>
              <w:left w:val="nil"/>
              <w:bottom w:val="nil"/>
              <w:right w:val="nil"/>
            </w:tcBorders>
          </w:tcPr>
          <w:p w14:paraId="764C6464" w14:textId="6BB724A4"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-8.2, 9.3</w:t>
            </w:r>
          </w:p>
        </w:tc>
        <w:tc>
          <w:tcPr>
            <w:tcW w:w="1418" w:type="dxa"/>
            <w:tcBorders>
              <w:top w:val="nil"/>
              <w:left w:val="nil"/>
              <w:bottom w:val="nil"/>
              <w:right w:val="nil"/>
            </w:tcBorders>
          </w:tcPr>
          <w:p w14:paraId="3D82310D" w14:textId="762A7883"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38BA3863" w14:textId="77777777" w:rsidTr="00AF51F0">
        <w:tc>
          <w:tcPr>
            <w:tcW w:w="2977" w:type="dxa"/>
            <w:gridSpan w:val="2"/>
            <w:tcBorders>
              <w:top w:val="nil"/>
              <w:left w:val="nil"/>
              <w:bottom w:val="single" w:sz="4" w:space="0" w:color="auto"/>
              <w:right w:val="nil"/>
            </w:tcBorders>
          </w:tcPr>
          <w:p w14:paraId="7E34F5F1" w14:textId="09443BE8"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-AI podskupina (n=205)</w:t>
            </w:r>
            <w:r w:rsidR="000777A3" w:rsidRPr="00436805">
              <w:rPr>
                <w:rFonts w:ascii="Times New Roman" w:eastAsia="Times New Roman" w:hAnsi="Times New Roman" w:cs="Times New Roman"/>
                <w:sz w:val="20"/>
                <w:szCs w:val="20"/>
                <w:vertAlign w:val="superscript"/>
                <w:lang w:bidi="sk-SK"/>
              </w:rPr>
              <w:t>a</w:t>
            </w:r>
          </w:p>
        </w:tc>
        <w:tc>
          <w:tcPr>
            <w:tcW w:w="1276" w:type="dxa"/>
            <w:tcBorders>
              <w:top w:val="nil"/>
              <w:left w:val="nil"/>
              <w:bottom w:val="single" w:sz="4" w:space="0" w:color="auto"/>
              <w:right w:val="nil"/>
            </w:tcBorders>
          </w:tcPr>
          <w:p w14:paraId="50CC1A2F" w14:textId="1A624BB0"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7.3</w:t>
            </w:r>
          </w:p>
        </w:tc>
        <w:tc>
          <w:tcPr>
            <w:tcW w:w="1242" w:type="dxa"/>
            <w:tcBorders>
              <w:top w:val="nil"/>
              <w:left w:val="nil"/>
              <w:bottom w:val="single" w:sz="4" w:space="0" w:color="auto"/>
              <w:right w:val="nil"/>
            </w:tcBorders>
          </w:tcPr>
          <w:p w14:paraId="41154BAD" w14:textId="7C8EA141"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8.3</w:t>
            </w:r>
          </w:p>
        </w:tc>
        <w:tc>
          <w:tcPr>
            <w:tcW w:w="1417" w:type="dxa"/>
            <w:tcBorders>
              <w:top w:val="nil"/>
              <w:left w:val="nil"/>
              <w:bottom w:val="single" w:sz="4" w:space="0" w:color="auto"/>
              <w:right w:val="nil"/>
            </w:tcBorders>
          </w:tcPr>
          <w:p w14:paraId="7EC36E4B" w14:textId="1FE5E628"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-1.0</w:t>
            </w:r>
          </w:p>
        </w:tc>
        <w:tc>
          <w:tcPr>
            <w:tcW w:w="1417" w:type="dxa"/>
            <w:tcBorders>
              <w:top w:val="nil"/>
              <w:left w:val="nil"/>
              <w:bottom w:val="single" w:sz="4" w:space="0" w:color="auto"/>
              <w:right w:val="nil"/>
            </w:tcBorders>
          </w:tcPr>
          <w:p w14:paraId="2A6B3AB8" w14:textId="6CC9F0E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-5.5, 9.8</w:t>
            </w:r>
          </w:p>
        </w:tc>
        <w:tc>
          <w:tcPr>
            <w:tcW w:w="1418" w:type="dxa"/>
            <w:tcBorders>
              <w:top w:val="nil"/>
              <w:left w:val="nil"/>
              <w:bottom w:val="single" w:sz="4" w:space="0" w:color="auto"/>
              <w:right w:val="nil"/>
            </w:tcBorders>
          </w:tcPr>
          <w:p w14:paraId="73A5BFC1" w14:textId="4179F547"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r w:rsidR="00721D96" w:rsidRPr="00436805" w14:paraId="10C73522" w14:textId="77777777" w:rsidTr="007B5DC9">
        <w:tc>
          <w:tcPr>
            <w:tcW w:w="1560" w:type="dxa"/>
            <w:tcBorders>
              <w:top w:val="single" w:sz="4" w:space="0" w:color="auto"/>
              <w:left w:val="nil"/>
              <w:bottom w:val="nil"/>
              <w:right w:val="nil"/>
            </w:tcBorders>
          </w:tcPr>
          <w:p w14:paraId="43A2EADE" w14:textId="5C1C3244" w:rsidR="00721D96"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CBR</w:t>
            </w:r>
            <w:r w:rsidRPr="00436805">
              <w:rPr>
                <w:rFonts w:ascii="Times New Roman" w:eastAsia="Times New Roman" w:hAnsi="Times New Roman" w:cs="Times New Roman"/>
                <w:sz w:val="20"/>
                <w:szCs w:val="20"/>
                <w:vertAlign w:val="superscript"/>
                <w:lang w:bidi="sk-SK"/>
              </w:rPr>
              <w:t>e</w:t>
            </w:r>
          </w:p>
        </w:tc>
        <w:tc>
          <w:tcPr>
            <w:tcW w:w="1417" w:type="dxa"/>
            <w:tcBorders>
              <w:top w:val="single" w:sz="4" w:space="0" w:color="auto"/>
              <w:left w:val="nil"/>
              <w:bottom w:val="nil"/>
              <w:right w:val="nil"/>
            </w:tcBorders>
          </w:tcPr>
          <w:p w14:paraId="3483512A" w14:textId="77777777" w:rsidR="00DE0248"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 pacientok</w:t>
            </w:r>
          </w:p>
          <w:p w14:paraId="2CCD9745" w14:textId="77777777" w:rsidR="00DE0248"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s CB;</w:t>
            </w:r>
          </w:p>
          <w:p w14:paraId="6630F1D4" w14:textId="77777777" w:rsidR="00DE0248"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absolútny</w:t>
            </w:r>
          </w:p>
          <w:p w14:paraId="5C192C40" w14:textId="6881645F" w:rsidR="00721D96" w:rsidRPr="00436805" w:rsidRDefault="00DE0248" w:rsidP="000777A3">
            <w:pPr>
              <w:ind w:right="-108"/>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rozdiel v %</w:t>
            </w:r>
          </w:p>
        </w:tc>
        <w:tc>
          <w:tcPr>
            <w:tcW w:w="1276" w:type="dxa"/>
            <w:tcBorders>
              <w:top w:val="single" w:sz="4" w:space="0" w:color="auto"/>
              <w:left w:val="nil"/>
              <w:bottom w:val="nil"/>
              <w:right w:val="nil"/>
            </w:tcBorders>
          </w:tcPr>
          <w:p w14:paraId="4CC378C7"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01FD48DB"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4D14FF98"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399E4901"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8" w:type="dxa"/>
            <w:tcBorders>
              <w:top w:val="single" w:sz="4" w:space="0" w:color="auto"/>
              <w:left w:val="nil"/>
              <w:bottom w:val="nil"/>
              <w:right w:val="nil"/>
            </w:tcBorders>
          </w:tcPr>
          <w:p w14:paraId="4D27F3F7" w14:textId="35B07212"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721D96" w:rsidRPr="00436805" w14:paraId="3D913DD7" w14:textId="77777777" w:rsidTr="007B5DC9">
        <w:tc>
          <w:tcPr>
            <w:tcW w:w="1560" w:type="dxa"/>
            <w:tcBorders>
              <w:top w:val="nil"/>
              <w:left w:val="nil"/>
              <w:bottom w:val="nil"/>
              <w:right w:val="nil"/>
            </w:tcBorders>
          </w:tcPr>
          <w:p w14:paraId="320BB727" w14:textId="579073AF" w:rsidR="00721D96"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Všetky pacientky</w:t>
            </w:r>
          </w:p>
        </w:tc>
        <w:tc>
          <w:tcPr>
            <w:tcW w:w="1417" w:type="dxa"/>
            <w:tcBorders>
              <w:top w:val="nil"/>
              <w:left w:val="nil"/>
              <w:bottom w:val="nil"/>
              <w:right w:val="nil"/>
            </w:tcBorders>
          </w:tcPr>
          <w:p w14:paraId="067E2571"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276" w:type="dxa"/>
            <w:tcBorders>
              <w:top w:val="nil"/>
              <w:left w:val="nil"/>
              <w:bottom w:val="nil"/>
              <w:right w:val="nil"/>
            </w:tcBorders>
          </w:tcPr>
          <w:p w14:paraId="306F2476" w14:textId="08516312"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45.6</w:t>
            </w:r>
          </w:p>
        </w:tc>
        <w:tc>
          <w:tcPr>
            <w:tcW w:w="1242" w:type="dxa"/>
            <w:tcBorders>
              <w:top w:val="nil"/>
              <w:left w:val="nil"/>
              <w:bottom w:val="nil"/>
              <w:right w:val="nil"/>
            </w:tcBorders>
          </w:tcPr>
          <w:p w14:paraId="32D6967D" w14:textId="74D0EB09"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39.6</w:t>
            </w:r>
          </w:p>
        </w:tc>
        <w:tc>
          <w:tcPr>
            <w:tcW w:w="1417" w:type="dxa"/>
            <w:tcBorders>
              <w:top w:val="nil"/>
              <w:left w:val="nil"/>
              <w:bottom w:val="nil"/>
              <w:right w:val="nil"/>
            </w:tcBorders>
          </w:tcPr>
          <w:p w14:paraId="118CD307" w14:textId="183CD8F8"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6.0</w:t>
            </w:r>
          </w:p>
        </w:tc>
        <w:tc>
          <w:tcPr>
            <w:tcW w:w="1417" w:type="dxa"/>
            <w:tcBorders>
              <w:top w:val="nil"/>
              <w:left w:val="nil"/>
              <w:bottom w:val="nil"/>
              <w:right w:val="nil"/>
            </w:tcBorders>
          </w:tcPr>
          <w:p w14:paraId="62887122" w14:textId="030EEDCC"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-1.1, 13.3</w:t>
            </w:r>
          </w:p>
        </w:tc>
        <w:tc>
          <w:tcPr>
            <w:tcW w:w="1418" w:type="dxa"/>
            <w:tcBorders>
              <w:top w:val="nil"/>
              <w:left w:val="nil"/>
              <w:bottom w:val="nil"/>
              <w:right w:val="nil"/>
            </w:tcBorders>
          </w:tcPr>
          <w:p w14:paraId="123CB24F" w14:textId="25DFB0C2"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7290035A" w14:textId="77777777" w:rsidTr="00AF51F0">
        <w:tc>
          <w:tcPr>
            <w:tcW w:w="2977" w:type="dxa"/>
            <w:gridSpan w:val="2"/>
            <w:tcBorders>
              <w:top w:val="nil"/>
              <w:left w:val="nil"/>
              <w:bottom w:val="nil"/>
              <w:right w:val="nil"/>
            </w:tcBorders>
          </w:tcPr>
          <w:p w14:paraId="626A61C3" w14:textId="337B2368"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-AE podskupina (n=423)</w:t>
            </w:r>
          </w:p>
        </w:tc>
        <w:tc>
          <w:tcPr>
            <w:tcW w:w="1276" w:type="dxa"/>
            <w:tcBorders>
              <w:top w:val="nil"/>
              <w:left w:val="nil"/>
              <w:bottom w:val="nil"/>
              <w:right w:val="nil"/>
            </w:tcBorders>
          </w:tcPr>
          <w:p w14:paraId="263561E3" w14:textId="22076743"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52.4</w:t>
            </w:r>
          </w:p>
        </w:tc>
        <w:tc>
          <w:tcPr>
            <w:tcW w:w="1242" w:type="dxa"/>
            <w:tcBorders>
              <w:top w:val="nil"/>
              <w:left w:val="nil"/>
              <w:bottom w:val="nil"/>
              <w:right w:val="nil"/>
            </w:tcBorders>
          </w:tcPr>
          <w:p w14:paraId="68F91874" w14:textId="2441E764"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45.1</w:t>
            </w:r>
          </w:p>
        </w:tc>
        <w:tc>
          <w:tcPr>
            <w:tcW w:w="1417" w:type="dxa"/>
            <w:tcBorders>
              <w:top w:val="nil"/>
              <w:left w:val="nil"/>
              <w:bottom w:val="nil"/>
              <w:right w:val="nil"/>
            </w:tcBorders>
          </w:tcPr>
          <w:p w14:paraId="211CDB95" w14:textId="0F569B42"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7.3</w:t>
            </w:r>
          </w:p>
        </w:tc>
        <w:tc>
          <w:tcPr>
            <w:tcW w:w="1417" w:type="dxa"/>
            <w:tcBorders>
              <w:top w:val="nil"/>
              <w:left w:val="nil"/>
              <w:bottom w:val="nil"/>
              <w:right w:val="nil"/>
            </w:tcBorders>
          </w:tcPr>
          <w:p w14:paraId="6B20B8B2" w14:textId="088EE1BC"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-2.2, 16.6</w:t>
            </w:r>
          </w:p>
        </w:tc>
        <w:tc>
          <w:tcPr>
            <w:tcW w:w="1418" w:type="dxa"/>
            <w:tcBorders>
              <w:top w:val="nil"/>
              <w:left w:val="nil"/>
              <w:bottom w:val="nil"/>
              <w:right w:val="nil"/>
            </w:tcBorders>
          </w:tcPr>
          <w:p w14:paraId="2C55CC6C" w14:textId="6555A160"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5E044442" w14:textId="77777777" w:rsidTr="00AF51F0">
        <w:tc>
          <w:tcPr>
            <w:tcW w:w="2977" w:type="dxa"/>
            <w:gridSpan w:val="2"/>
            <w:tcBorders>
              <w:top w:val="nil"/>
              <w:left w:val="nil"/>
              <w:bottom w:val="single" w:sz="12" w:space="0" w:color="auto"/>
              <w:right w:val="nil"/>
            </w:tcBorders>
          </w:tcPr>
          <w:p w14:paraId="5A7BF753" w14:textId="1CFD0482"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-AI podskupina (n=313)</w:t>
            </w:r>
            <w:r w:rsidR="000777A3" w:rsidRPr="00436805">
              <w:rPr>
                <w:rFonts w:ascii="Times New Roman" w:eastAsia="Times New Roman" w:hAnsi="Times New Roman" w:cs="Times New Roman"/>
                <w:sz w:val="20"/>
                <w:szCs w:val="20"/>
                <w:vertAlign w:val="superscript"/>
                <w:lang w:bidi="sk-SK"/>
              </w:rPr>
              <w:t>a</w:t>
            </w:r>
          </w:p>
        </w:tc>
        <w:tc>
          <w:tcPr>
            <w:tcW w:w="1276" w:type="dxa"/>
            <w:tcBorders>
              <w:top w:val="nil"/>
              <w:left w:val="nil"/>
              <w:bottom w:val="single" w:sz="12" w:space="0" w:color="auto"/>
              <w:right w:val="nil"/>
            </w:tcBorders>
          </w:tcPr>
          <w:p w14:paraId="60CC1686" w14:textId="62A21F27"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36.2</w:t>
            </w:r>
          </w:p>
        </w:tc>
        <w:tc>
          <w:tcPr>
            <w:tcW w:w="1242" w:type="dxa"/>
            <w:tcBorders>
              <w:top w:val="nil"/>
              <w:left w:val="nil"/>
              <w:bottom w:val="single" w:sz="12" w:space="0" w:color="auto"/>
              <w:right w:val="nil"/>
            </w:tcBorders>
          </w:tcPr>
          <w:p w14:paraId="1088F7B0" w14:textId="0DD31195"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32.3</w:t>
            </w:r>
          </w:p>
        </w:tc>
        <w:tc>
          <w:tcPr>
            <w:tcW w:w="1417" w:type="dxa"/>
            <w:tcBorders>
              <w:top w:val="nil"/>
              <w:left w:val="nil"/>
              <w:bottom w:val="single" w:sz="12" w:space="0" w:color="auto"/>
              <w:right w:val="nil"/>
            </w:tcBorders>
          </w:tcPr>
          <w:p w14:paraId="413330A0" w14:textId="47E2BD77"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3.9</w:t>
            </w:r>
          </w:p>
        </w:tc>
        <w:tc>
          <w:tcPr>
            <w:tcW w:w="1417" w:type="dxa"/>
            <w:tcBorders>
              <w:top w:val="nil"/>
              <w:left w:val="nil"/>
              <w:bottom w:val="single" w:sz="12" w:space="0" w:color="auto"/>
              <w:right w:val="nil"/>
            </w:tcBorders>
          </w:tcPr>
          <w:p w14:paraId="63DD4D8E" w14:textId="4F99C80B"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-6.1, 15.2</w:t>
            </w:r>
          </w:p>
        </w:tc>
        <w:tc>
          <w:tcPr>
            <w:tcW w:w="1418" w:type="dxa"/>
            <w:tcBorders>
              <w:top w:val="nil"/>
              <w:left w:val="nil"/>
              <w:bottom w:val="single" w:sz="12" w:space="0" w:color="auto"/>
              <w:right w:val="nil"/>
            </w:tcBorders>
          </w:tcPr>
          <w:p w14:paraId="3AAB7069" w14:textId="77EFAFAB"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bl>
    <w:p w14:paraId="6DE54772" w14:textId="77777777" w:rsidR="00B802CF" w:rsidRPr="00B914C4" w:rsidRDefault="00B802CF" w:rsidP="00B858F8">
      <w:pPr>
        <w:tabs>
          <w:tab w:val="left" w:pos="680"/>
        </w:tabs>
        <w:spacing w:after="0" w:line="240" w:lineRule="auto"/>
        <w:rPr>
          <w:rFonts w:ascii="Times New Roman" w:eastAsia="Times New Roman" w:hAnsi="Times New Roman" w:cs="Times New Roman"/>
          <w:lang w:val="en-GB"/>
        </w:rPr>
      </w:pPr>
    </w:p>
    <w:p w14:paraId="456791C8" w14:textId="75E2E4FC" w:rsidR="0025223D" w:rsidRPr="000777A3" w:rsidRDefault="00F839E2" w:rsidP="00B858F8">
      <w:pPr>
        <w:tabs>
          <w:tab w:val="left" w:pos="567"/>
        </w:tabs>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a</w:t>
      </w:r>
      <w:r w:rsidRPr="000777A3">
        <w:rPr>
          <w:rFonts w:ascii="Times New Roman" w:eastAsia="Times New Roman" w:hAnsi="Times New Roman" w:cs="Times New Roman"/>
          <w:sz w:val="20"/>
          <w:lang w:bidi="sk-SK"/>
        </w:rPr>
        <w:tab/>
        <w:t>Fulvestrant je indikovaný u pacientok, ktoré recidivovali alebo mali progresiu počas antiestrogénnej liečby.</w:t>
      </w:r>
    </w:p>
    <w:p w14:paraId="456791C9" w14:textId="77777777" w:rsidR="0025223D" w:rsidRPr="000777A3" w:rsidRDefault="00F839E2" w:rsidP="00B858F8">
      <w:pPr>
        <w:spacing w:after="0" w:line="240" w:lineRule="auto"/>
        <w:ind w:left="567"/>
        <w:rPr>
          <w:rFonts w:ascii="Times New Roman" w:eastAsia="Times New Roman" w:hAnsi="Times New Roman" w:cs="Times New Roman"/>
          <w:sz w:val="20"/>
          <w:lang w:val="en-GB"/>
        </w:rPr>
      </w:pPr>
      <w:r w:rsidRPr="000777A3">
        <w:rPr>
          <w:rFonts w:ascii="Times New Roman" w:eastAsia="Times New Roman" w:hAnsi="Times New Roman" w:cs="Times New Roman"/>
          <w:sz w:val="20"/>
          <w:lang w:bidi="sk-SK"/>
        </w:rPr>
        <w:t>Výsledky v AI podskupine sú nepresvedčivé.</w:t>
      </w:r>
    </w:p>
    <w:p w14:paraId="456791CA" w14:textId="77777777" w:rsidR="0025223D" w:rsidRPr="000777A3" w:rsidRDefault="00F839E2" w:rsidP="00B858F8">
      <w:pPr>
        <w:tabs>
          <w:tab w:val="left" w:pos="567"/>
        </w:tabs>
        <w:spacing w:after="0" w:line="240" w:lineRule="auto"/>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b</w:t>
      </w:r>
      <w:r w:rsidRPr="000777A3">
        <w:rPr>
          <w:rFonts w:ascii="Times New Roman" w:eastAsia="Times New Roman" w:hAnsi="Times New Roman" w:cs="Times New Roman"/>
          <w:sz w:val="20"/>
          <w:lang w:bidi="sk-SK"/>
        </w:rPr>
        <w:tab/>
        <w:t>OS je uvádzané pre finálnu analýzu celkového prežitia pri 75% úplnosti dát.</w:t>
      </w:r>
    </w:p>
    <w:p w14:paraId="456791CB" w14:textId="55EAFDD1" w:rsidR="0025223D" w:rsidRPr="000777A3" w:rsidRDefault="00F839E2" w:rsidP="00B858F8">
      <w:pPr>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c</w:t>
      </w:r>
      <w:r w:rsidRPr="000777A3">
        <w:rPr>
          <w:rFonts w:ascii="Times New Roman" w:eastAsia="Times New Roman" w:hAnsi="Times New Roman" w:cs="Times New Roman"/>
          <w:sz w:val="20"/>
          <w:lang w:bidi="sk-SK"/>
        </w:rPr>
        <w:tab/>
        <w:t>Nominálna hodnota p bez úpravy na opakované hodnoty medzi pôvodnou analýzou celkového prežitia pri 50% úplnosti dát a aktualizovanou analýzou celkového prežitia pri 75% úplnosti dát.</w:t>
      </w:r>
    </w:p>
    <w:p w14:paraId="456791CD" w14:textId="26D08698" w:rsidR="0025223D" w:rsidRPr="000777A3" w:rsidRDefault="00F839E2" w:rsidP="00B858F8">
      <w:pPr>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d</w:t>
      </w:r>
      <w:r w:rsidRPr="000777A3">
        <w:rPr>
          <w:rFonts w:ascii="Times New Roman" w:eastAsia="Times New Roman" w:hAnsi="Times New Roman" w:cs="Times New Roman"/>
          <w:sz w:val="20"/>
          <w:lang w:bidi="sk-SK"/>
        </w:rPr>
        <w:tab/>
        <w:t>ORR bola stanovená u pacientok, u ktorých bola dostupná základná odpoveď (t.j., u ktorých bolo merateľné základné ochorenie: skupina 240 pacientok na fulvestrante 500 mg a skupina 261 pacientok na fulvestrante 250 mg).</w:t>
      </w:r>
    </w:p>
    <w:p w14:paraId="456791CE" w14:textId="2EC21A4D" w:rsidR="0025223D" w:rsidRPr="000777A3" w:rsidRDefault="00F839E2" w:rsidP="00B858F8">
      <w:pPr>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e</w:t>
      </w:r>
      <w:r w:rsidRPr="000777A3">
        <w:rPr>
          <w:rFonts w:ascii="Times New Roman" w:eastAsia="Times New Roman" w:hAnsi="Times New Roman" w:cs="Times New Roman"/>
          <w:sz w:val="20"/>
          <w:lang w:bidi="sk-SK"/>
        </w:rPr>
        <w:tab/>
        <w:t>Pacientky s najlepšou objektívnou odpoveďou kompletnej odpovede, čiastočnou odpoveďou alebo stabilizovaným ochorením ≥ 24 týždňov.</w:t>
      </w:r>
    </w:p>
    <w:p w14:paraId="456791CF" w14:textId="77777777" w:rsidR="0025223D" w:rsidRPr="000777A3" w:rsidRDefault="00F839E2" w:rsidP="00B858F8">
      <w:pPr>
        <w:spacing w:after="0" w:line="240" w:lineRule="auto"/>
        <w:rPr>
          <w:rFonts w:ascii="Times New Roman" w:eastAsia="Times New Roman" w:hAnsi="Times New Roman" w:cs="Times New Roman"/>
          <w:sz w:val="20"/>
          <w:lang w:val="en-GB"/>
        </w:rPr>
      </w:pPr>
      <w:r w:rsidRPr="000777A3">
        <w:rPr>
          <w:rFonts w:ascii="Times New Roman" w:eastAsia="Times New Roman" w:hAnsi="Times New Roman" w:cs="Times New Roman"/>
          <w:sz w:val="20"/>
          <w:lang w:bidi="sk-SK"/>
        </w:rPr>
        <w:t>PFS: Prežívanie bez progresie; ORR: Objektívna miera odpovede; OR: Objektívna odpoveď; CBR: Miera klinického prínosu; CB: Klinický prínos; OS: Celkové prežívanie; K-M: Kaplan-Meier; CI: Interval spoľahlivosti; AI: Inhibítor aromatázy; AE: Antiestrogén.</w:t>
      </w:r>
    </w:p>
    <w:p w14:paraId="456791D0" w14:textId="77777777" w:rsidR="0025223D" w:rsidRPr="00B914C4" w:rsidRDefault="0025223D" w:rsidP="00B858F8">
      <w:pPr>
        <w:spacing w:after="0" w:line="240" w:lineRule="auto"/>
        <w:rPr>
          <w:rFonts w:ascii="Times New Roman" w:hAnsi="Times New Roman" w:cs="Times New Roman"/>
          <w:lang w:val="en-GB"/>
        </w:rPr>
      </w:pPr>
    </w:p>
    <w:p w14:paraId="456791D4" w14:textId="51682730"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Vykonali sa dve klinické štúdie fázy 3 u celkovo 851 postmenopauzálnych žien s pokročilým karcinómom prsníka, u ktorých došlo k návratu ochorenia počas alebo po adjuvantnej endokrinnej liečbe, alebo k progresii ochorenia po endokrinnej liečbe pokročilého ochorenia. Sedemdesiatsedem percent (77%) populácie v štúdii malo karcinóm prsníka s pozitivitou estrogénových receptorov. V týchto štúdiách sa porovnávala bezpečnosť a účinnosť podávania fulvestrantu 250 mg raz do mesiaca s každodenným podávaním 1 mg anastrozolu (inhibítora aromatázy). Celkovo bol fulvestrant v mesačnej dávke 250 mg minimálne rovnako účinný ako anastrozol z hľadiska prežívania bez progresie, objektívnej reakcie a doby do úmrtia. Medzi oboma liečebnými skupinami neboli v konečných ukazovateľoch zaznamenané žiadne štatisticky významné rozdiely. Primárnym cieľom štúdie bolo prežívanie bez progresie. Kombinovaná analýza oboch štúdií preukázala, že k progresii došlo u 83 % pacientok, ktorým sa podával fulvestrant, oproti 85 % pacientok, ktoré užívali anastrozol. Kombinovaná analýza oboch štúdií poukázala na to, že pomer rizika fulvestrantu 250 mg a anastrozolu z hľadiska prežívania bez progresie predstavoval 0,95 (95% CI 0,82 až 1,10). Objektívna miera odpovede bola pre fulvestrant 250 mg 19,2% v porovnaní so 16,5% pre anastrozol. Medián času do úmrtia bol 27,4 mesiacov u pacientok liečených fulvestrantom a 27,6 mesiacov u pacientok liečených anastrozolom. Pomer rizika pre fulvestrant 250 mg k anastrozolu v čase do úmrtia bol 1,01 (95% CI 0,86 až 1,19).</w:t>
      </w:r>
    </w:p>
    <w:p w14:paraId="456791D5" w14:textId="77777777" w:rsidR="0025223D" w:rsidRPr="001A0391" w:rsidRDefault="0025223D" w:rsidP="00B858F8">
      <w:pPr>
        <w:spacing w:after="0" w:line="240" w:lineRule="auto"/>
        <w:rPr>
          <w:rFonts w:ascii="Times New Roman" w:hAnsi="Times New Roman" w:cs="Times New Roman"/>
          <w:lang w:val="it-IT"/>
        </w:rPr>
      </w:pPr>
    </w:p>
    <w:p w14:paraId="2710323E" w14:textId="30B44800" w:rsidR="00D42742"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i/>
          <w:lang w:bidi="sk-SK"/>
        </w:rPr>
        <w:t>Účinky na endometrium po menopauze</w:t>
      </w:r>
    </w:p>
    <w:p w14:paraId="456791D8" w14:textId="4DA71CC2"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Predklinické údaje nenaznačujú stimulačný účinok fulvestrantu na endometrium po menopauze (pozri časť 5.3). Dvojtýždňová štúdia u zdravých postmenopauzálnych dobrovoľníčok liečených 20 µg etinylestradiolu denne preukázala, že predliečenie fulvestrantom 250 mg malo za následok signifikantne redukovanú stimuláciu postmenopauzálneho endometria v porovnaní s predliečením placebom, hodnotenú na základe ultrasonografického merania hrúbky endometria.</w:t>
      </w:r>
    </w:p>
    <w:p w14:paraId="456791D9" w14:textId="77777777" w:rsidR="0025223D" w:rsidRPr="001A0391" w:rsidRDefault="0025223D" w:rsidP="00B858F8">
      <w:pPr>
        <w:spacing w:after="0" w:line="240" w:lineRule="auto"/>
        <w:rPr>
          <w:rFonts w:ascii="Times New Roman" w:hAnsi="Times New Roman" w:cs="Times New Roman"/>
        </w:rPr>
      </w:pPr>
    </w:p>
    <w:p w14:paraId="456791DB" w14:textId="73A72A4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Neoadjuvantná liečba až 16 týždňov u pacientok s karcinómom prsníka liečených buď fulvestrantom 500 mg alebo fulvestrantom 250 mg neviedla ku klinicky významným zmenám v hrúbke endometria, čo ukazuje na nedostatočný účinok agonistov. Neexistujú žiadne dôkazy o nepriaznivých účinkoch na endometrium u sledovaných pacientok s karcinómom prsníka. Nie sú k dispozícii údaje týkajúce sa endometriálnej morfológie.</w:t>
      </w:r>
    </w:p>
    <w:p w14:paraId="456791DC" w14:textId="77777777" w:rsidR="0025223D" w:rsidRPr="001A0391" w:rsidRDefault="0025223D" w:rsidP="00B858F8">
      <w:pPr>
        <w:spacing w:after="0" w:line="240" w:lineRule="auto"/>
        <w:rPr>
          <w:rFonts w:ascii="Times New Roman" w:hAnsi="Times New Roman" w:cs="Times New Roman"/>
        </w:rPr>
      </w:pPr>
    </w:p>
    <w:p w14:paraId="456791DD" w14:textId="3159A2C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 dvoch krátkodobých štúdiách (1 a 12 týždňov) u premenopauzálnych pacientok s benígnym gynekologickým ochorením sa nepozorovali žiadne signifikantné zmeny v hrúbke endometria ultrazvukovým meraním pri porovnaní skupín, ktorým sa podával fulvestrant a placebo.</w:t>
      </w:r>
    </w:p>
    <w:p w14:paraId="456791DE" w14:textId="77777777" w:rsidR="0025223D" w:rsidRPr="001A0391" w:rsidRDefault="0025223D" w:rsidP="00B858F8">
      <w:pPr>
        <w:spacing w:after="0" w:line="240" w:lineRule="auto"/>
        <w:rPr>
          <w:rFonts w:ascii="Times New Roman" w:hAnsi="Times New Roman" w:cs="Times New Roman"/>
        </w:rPr>
      </w:pPr>
    </w:p>
    <w:p w14:paraId="456791DF"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Účinky na kosti</w:t>
      </w:r>
    </w:p>
    <w:p w14:paraId="456791E1" w14:textId="232B45AA"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Nie sú k dispozícii dlhodobé údaje o účinku fulvestrantu na kosti. Neoadjuvantná liečba až 16 týždňov u pacientok s karcinómom prsníka buď fulvestrantom 500 mg alebo fulvestrantom 250 mg neviedla ku klinicky významným zmenám markerov kostného obratu v sére.</w:t>
      </w:r>
    </w:p>
    <w:p w14:paraId="456791E2" w14:textId="77777777" w:rsidR="0025223D" w:rsidRPr="001A0391" w:rsidRDefault="0025223D" w:rsidP="00B858F8">
      <w:pPr>
        <w:spacing w:after="0" w:line="240" w:lineRule="auto"/>
        <w:rPr>
          <w:rFonts w:ascii="Times New Roman" w:hAnsi="Times New Roman" w:cs="Times New Roman"/>
        </w:rPr>
      </w:pPr>
    </w:p>
    <w:p w14:paraId="456791E3"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Pediatrická populácia</w:t>
      </w:r>
    </w:p>
    <w:p w14:paraId="2691A9B2" w14:textId="2F8D11C7" w:rsidR="001A0965" w:rsidRPr="001A0391" w:rsidRDefault="000777A3"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Fulvestrant nie je indikovaný na použitie u detí.</w:t>
      </w:r>
    </w:p>
    <w:p w14:paraId="6B62BB6E" w14:textId="77777777" w:rsidR="00EA7181" w:rsidRPr="001A0391" w:rsidRDefault="00EA7181" w:rsidP="00B858F8">
      <w:pPr>
        <w:spacing w:after="0" w:line="240" w:lineRule="auto"/>
        <w:rPr>
          <w:rFonts w:ascii="Times New Roman" w:eastAsia="Times New Roman" w:hAnsi="Times New Roman" w:cs="Times New Roman"/>
        </w:rPr>
      </w:pPr>
    </w:p>
    <w:p w14:paraId="456791E4" w14:textId="76E7E5AF"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Európska agentúra pre lieky udelila výnimku z povinnosti predložiť výsledky štúdií s fulvestrantom vo všetkých podskupinách pediatrickej populácie pri karcinóme prsníka (informácie o použití v pediatrickej populácii, pozri časť 4.2).</w:t>
      </w:r>
    </w:p>
    <w:p w14:paraId="456791E5" w14:textId="77777777" w:rsidR="0025223D" w:rsidRPr="001A0391" w:rsidRDefault="0025223D" w:rsidP="00B858F8">
      <w:pPr>
        <w:spacing w:after="0" w:line="240" w:lineRule="auto"/>
        <w:rPr>
          <w:rFonts w:ascii="Times New Roman" w:hAnsi="Times New Roman" w:cs="Times New Roman"/>
        </w:rPr>
      </w:pPr>
    </w:p>
    <w:p w14:paraId="456791E9" w14:textId="23B431EF"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Otvorená štúdia fázy 2 skúmala bezpečnosť, účinnosť a farmakokinetiku fulvestrantu u 30 dievčat vo veku od 1 do 8 rokov s progresívnou predčasnou pubertou spojenou s McCune Albrightovým syndrómom (MAS). Detskí pacienti dostali intramuskulárnu dávku fulvestrantu 4 mg/kg mesačne. Táto 12-mesačná štúdia skúmala škálu cieľov MAS a ukázala zníženie frekvencie vaginálneho krvácania a zníženie rýchlosti vzostupu kostného veku. V tejto štúdii bol u detí rovnovážny stav koncentrácie fulvestrantu v súlade s dospelými (pozri časť 5.2). Z tejto malej štúdie sa nezistili žiadne nové vyplývajúce obavy týkajúce sa bezpečnosti, ale 5-ročné údaje zatiaľ nie sú k dispozícii.</w:t>
      </w:r>
    </w:p>
    <w:p w14:paraId="456791EA" w14:textId="77777777" w:rsidR="0025223D" w:rsidRPr="001A0391" w:rsidRDefault="0025223D" w:rsidP="00B858F8">
      <w:pPr>
        <w:spacing w:after="0" w:line="240" w:lineRule="auto"/>
        <w:rPr>
          <w:rFonts w:ascii="Times New Roman" w:hAnsi="Times New Roman" w:cs="Times New Roman"/>
        </w:rPr>
      </w:pPr>
    </w:p>
    <w:p w14:paraId="456791EB"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5.2</w:t>
      </w:r>
      <w:r w:rsidRPr="00B914C4">
        <w:rPr>
          <w:rFonts w:ascii="Times New Roman" w:eastAsia="Times New Roman" w:hAnsi="Times New Roman" w:cs="Times New Roman"/>
          <w:b/>
          <w:lang w:bidi="sk-SK"/>
        </w:rPr>
        <w:tab/>
        <w:t>Farmakokinetické vlastnosti</w:t>
      </w:r>
    </w:p>
    <w:p w14:paraId="456791EC" w14:textId="77777777" w:rsidR="0025223D" w:rsidRPr="001A0391" w:rsidRDefault="0025223D" w:rsidP="00B858F8">
      <w:pPr>
        <w:spacing w:after="0" w:line="240" w:lineRule="auto"/>
        <w:rPr>
          <w:rFonts w:ascii="Times New Roman" w:hAnsi="Times New Roman" w:cs="Times New Roman"/>
        </w:rPr>
      </w:pPr>
    </w:p>
    <w:p w14:paraId="456791ED"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Absorpcia</w:t>
      </w:r>
    </w:p>
    <w:p w14:paraId="456791F1" w14:textId="38F5374A"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 podaní fulvestrantu vo forme dlhodobo pôsobiacej intramuskulárnej injekcie sa fulvestrant pomaly vstrebáva a maximálne plazmatické koncentrácie (C</w:t>
      </w:r>
      <w:r w:rsidRPr="00B914C4">
        <w:rPr>
          <w:rFonts w:ascii="Times New Roman" w:eastAsia="Times New Roman" w:hAnsi="Times New Roman" w:cs="Times New Roman"/>
          <w:vertAlign w:val="subscript"/>
          <w:lang w:bidi="sk-SK"/>
        </w:rPr>
        <w:t>max</w:t>
      </w:r>
      <w:r w:rsidRPr="00B914C4">
        <w:rPr>
          <w:rFonts w:ascii="Times New Roman" w:eastAsia="Times New Roman" w:hAnsi="Times New Roman" w:cs="Times New Roman"/>
          <w:lang w:bidi="sk-SK"/>
        </w:rPr>
        <w:t>) sa dosiahnu približne po 5 dňoch. Podaním fulvestrantu v režime 500 mg sa dosiahnu hladiny expozície zodpovedajúce alebo blízke rovnovážnemu stavu počas prvého mesiaca dávkovania (priemer [CV]: AUC 475 [33,4%] ng.dní/ml, C</w:t>
      </w:r>
      <w:r w:rsidRPr="00B914C4">
        <w:rPr>
          <w:rFonts w:ascii="Times New Roman" w:eastAsia="Times New Roman" w:hAnsi="Times New Roman" w:cs="Times New Roman"/>
          <w:vertAlign w:val="subscript"/>
          <w:lang w:bidi="sk-SK"/>
        </w:rPr>
        <w:t>max</w:t>
      </w:r>
      <w:r w:rsidRPr="00B914C4">
        <w:rPr>
          <w:rFonts w:ascii="Times New Roman" w:eastAsia="Times New Roman" w:hAnsi="Times New Roman" w:cs="Times New Roman"/>
          <w:lang w:bidi="sk-SK"/>
        </w:rPr>
        <w:t xml:space="preserve"> 25,1 [35,3%] ng/ml, C</w:t>
      </w:r>
      <w:r w:rsidRPr="00B914C4">
        <w:rPr>
          <w:rFonts w:ascii="Times New Roman" w:eastAsia="Times New Roman" w:hAnsi="Times New Roman" w:cs="Times New Roman"/>
          <w:vertAlign w:val="subscript"/>
          <w:lang w:bidi="sk-SK"/>
        </w:rPr>
        <w:t xml:space="preserve">min </w:t>
      </w:r>
      <w:r w:rsidRPr="00B914C4">
        <w:rPr>
          <w:rFonts w:ascii="Times New Roman" w:eastAsia="Times New Roman" w:hAnsi="Times New Roman" w:cs="Times New Roman"/>
          <w:lang w:bidi="sk-SK"/>
        </w:rPr>
        <w:t>16,3 [25,9%] ng/ml). V rovnovážnom stave sa plazmatické koncentrácie fulvestrantu udržiavajú v relatívne úzkom rozmedzí s až približne 3-násobným rozdielom medzi maximálnou a minimálnou koncentráciou. Po intramuskulárnom podaní je expozícia v rozsahu dávok 50 až 500 mg približne úmerná dávke.</w:t>
      </w:r>
    </w:p>
    <w:p w14:paraId="456791F2" w14:textId="77777777" w:rsidR="0025223D" w:rsidRPr="001A0391" w:rsidRDefault="0025223D" w:rsidP="00B858F8">
      <w:pPr>
        <w:spacing w:after="0" w:line="240" w:lineRule="auto"/>
        <w:rPr>
          <w:rFonts w:ascii="Times New Roman" w:hAnsi="Times New Roman" w:cs="Times New Roman"/>
        </w:rPr>
      </w:pPr>
    </w:p>
    <w:p w14:paraId="456791F3" w14:textId="77777777" w:rsidR="0025223D" w:rsidRPr="001A0391" w:rsidRDefault="00F839E2" w:rsidP="000777A3">
      <w:pPr>
        <w:keepNext/>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u w:val="single" w:color="000000"/>
          <w:lang w:bidi="sk-SK"/>
        </w:rPr>
        <w:t>Distribúcia</w:t>
      </w:r>
    </w:p>
    <w:p w14:paraId="456791F4" w14:textId="4F37D08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sa extenzívne a rýchlo distribuuje. Zjavný veľký distribučný objem v rovnovážnom stave (Vd</w:t>
      </w:r>
      <w:r w:rsidRPr="00B914C4">
        <w:rPr>
          <w:rFonts w:ascii="Times New Roman" w:eastAsia="Times New Roman" w:hAnsi="Times New Roman" w:cs="Times New Roman"/>
          <w:vertAlign w:val="subscript"/>
          <w:lang w:bidi="sk-SK"/>
        </w:rPr>
        <w:t>ss</w:t>
      </w:r>
      <w:r w:rsidRPr="00B914C4">
        <w:rPr>
          <w:rFonts w:ascii="Times New Roman" w:eastAsia="Times New Roman" w:hAnsi="Times New Roman" w:cs="Times New Roman"/>
          <w:lang w:bidi="sk-SK"/>
        </w:rPr>
        <w:t>) je približne 3 až 5 l/kg, čo naznačuje, že distribúcia je väčšinou extravaskulárna. Fulvestrant sa vo vysokej miere (99%) viaže na plazmatické bielkoviny. Hlavnými zložkami väzby sú lipoproteínové frakcie veľmi nízkej denzity (VLDL), nízkej denzity (LDL) a vysokej denzity (HDL). Neuskutočnili sa žiadne interakčné štúdie týkajúce sa kompetitívnej väzby na bielkoviny. Úloha globulínu, ktorý viaže sexuálne hormóny (SHBG), nebola stanovená.</w:t>
      </w:r>
    </w:p>
    <w:p w14:paraId="456791F5" w14:textId="77777777" w:rsidR="0025223D" w:rsidRPr="001A0391" w:rsidRDefault="0025223D" w:rsidP="00B858F8">
      <w:pPr>
        <w:spacing w:after="0" w:line="240" w:lineRule="auto"/>
        <w:rPr>
          <w:rFonts w:ascii="Times New Roman" w:hAnsi="Times New Roman" w:cs="Times New Roman"/>
        </w:rPr>
      </w:pPr>
    </w:p>
    <w:p w14:paraId="081F36CC" w14:textId="7AE7D088" w:rsidR="00AF12F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Biotransformácia</w:t>
      </w:r>
    </w:p>
    <w:p w14:paraId="456791F9" w14:textId="1D68BA9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Metabolizmus fulvestrantu nebol plne hodnotený, ale zahŕňa kombinácie celého radu možných biotransformačných ciest, ktoré sú analogické cestám endogénnych steroidov. </w:t>
      </w:r>
      <w:r w:rsidR="008F5A44">
        <w:rPr>
          <w:rFonts w:ascii="Times New Roman" w:eastAsia="Times New Roman" w:hAnsi="Times New Roman" w:cs="Times New Roman"/>
          <w:lang w:bidi="sk-SK"/>
        </w:rPr>
        <w:t>Id</w:t>
      </w:r>
      <w:r w:rsidRPr="00B914C4">
        <w:rPr>
          <w:rFonts w:ascii="Times New Roman" w:eastAsia="Times New Roman" w:hAnsi="Times New Roman" w:cs="Times New Roman"/>
          <w:lang w:bidi="sk-SK"/>
        </w:rPr>
        <w:t xml:space="preserve">entifikované metabolity (vrátane metabolitov typu 17-ketón, sulfón, 3-síran, 3- a 17-glukuronid) sú v antiestrogénových modeloch buď menej účinné, alebo vykazujú podobný účinok ako fulvestrant. Skúšky na preparátoch ľudskej pečene a rekombinantných ľudských enzýmoch udávajú, že na oxidácii fulvestrantu sa podieľa z P-450 izoenzýmov iba CYP3A4, </w:t>
      </w:r>
      <w:r w:rsidRPr="00B914C4">
        <w:rPr>
          <w:rFonts w:ascii="Times New Roman" w:eastAsia="Times New Roman" w:hAnsi="Times New Roman" w:cs="Times New Roman"/>
          <w:i/>
          <w:lang w:bidi="sk-SK"/>
        </w:rPr>
        <w:t>in vivo</w:t>
      </w:r>
      <w:r w:rsidRPr="00B914C4">
        <w:rPr>
          <w:rFonts w:ascii="Times New Roman" w:eastAsia="Times New Roman" w:hAnsi="Times New Roman" w:cs="Times New Roman"/>
          <w:lang w:bidi="sk-SK"/>
        </w:rPr>
        <w:t xml:space="preserve"> sa však zdá, že prevládajú cesty nevyužívajúce P-450. Údaje</w:t>
      </w:r>
      <w:r w:rsidRPr="00B914C4">
        <w:rPr>
          <w:rFonts w:ascii="Times New Roman" w:eastAsia="Times New Roman" w:hAnsi="Times New Roman" w:cs="Times New Roman"/>
          <w:i/>
          <w:lang w:bidi="sk-SK"/>
        </w:rPr>
        <w:t xml:space="preserve"> in vitro</w:t>
      </w:r>
      <w:r w:rsidRPr="00B914C4">
        <w:rPr>
          <w:rFonts w:ascii="Times New Roman" w:eastAsia="Times New Roman" w:hAnsi="Times New Roman" w:cs="Times New Roman"/>
          <w:lang w:bidi="sk-SK"/>
        </w:rPr>
        <w:t xml:space="preserve"> naznačujú, že fulvestrant neinhibuje izoenzýmy CYP450.</w:t>
      </w:r>
    </w:p>
    <w:p w14:paraId="456791FA" w14:textId="77777777" w:rsidR="0025223D" w:rsidRPr="001A0391" w:rsidRDefault="0025223D" w:rsidP="00B858F8">
      <w:pPr>
        <w:spacing w:after="0" w:line="240" w:lineRule="auto"/>
        <w:rPr>
          <w:rFonts w:ascii="Times New Roman" w:hAnsi="Times New Roman" w:cs="Times New Roman"/>
        </w:rPr>
      </w:pPr>
    </w:p>
    <w:p w14:paraId="456791FB"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Eliminácia</w:t>
      </w:r>
    </w:p>
    <w:p w14:paraId="456791FD" w14:textId="52EC5AF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sa eliminuje predovšetkým v metabolizovanej forme. Hlavnou cestou vylučovania je stolica, močom sa vylučuje menej ako 1%. Fulvestrant má vysoký klírens, 11±1,7 ml/min/kg, čo naznačuje vysoký podiel extrakcie pečeňou. Terminálny polčas (t</w:t>
      </w:r>
      <w:r w:rsidRPr="00B914C4">
        <w:rPr>
          <w:rFonts w:ascii="Times New Roman" w:eastAsia="Times New Roman" w:hAnsi="Times New Roman" w:cs="Times New Roman"/>
          <w:vertAlign w:val="subscript"/>
          <w:lang w:bidi="sk-SK"/>
        </w:rPr>
        <w:t>1/2</w:t>
      </w:r>
      <w:r w:rsidRPr="00B914C4">
        <w:rPr>
          <w:rFonts w:ascii="Times New Roman" w:eastAsia="Times New Roman" w:hAnsi="Times New Roman" w:cs="Times New Roman"/>
          <w:lang w:bidi="sk-SK"/>
        </w:rPr>
        <w:t>) po intramuskulárnom podaní sa riadi rýchlosťou absorpcie a odhaduje sa na 50 dní.</w:t>
      </w:r>
    </w:p>
    <w:p w14:paraId="456791FE" w14:textId="77777777" w:rsidR="0025223D" w:rsidRPr="001A0391" w:rsidRDefault="0025223D" w:rsidP="00B858F8">
      <w:pPr>
        <w:spacing w:after="0" w:line="240" w:lineRule="auto"/>
        <w:rPr>
          <w:rFonts w:ascii="Times New Roman" w:hAnsi="Times New Roman" w:cs="Times New Roman"/>
        </w:rPr>
      </w:pPr>
    </w:p>
    <w:p w14:paraId="456791FF" w14:textId="77777777" w:rsidR="0025223D" w:rsidRPr="001A0391" w:rsidRDefault="00F839E2" w:rsidP="00B858F8">
      <w:pPr>
        <w:spacing w:after="0" w:line="240" w:lineRule="auto"/>
        <w:rPr>
          <w:rFonts w:ascii="Times New Roman" w:eastAsia="Times New Roman" w:hAnsi="Times New Roman" w:cs="Times New Roman"/>
          <w:i/>
        </w:rPr>
      </w:pPr>
      <w:r w:rsidRPr="000777A3">
        <w:rPr>
          <w:rFonts w:ascii="Times New Roman" w:eastAsia="Times New Roman" w:hAnsi="Times New Roman" w:cs="Times New Roman"/>
          <w:i/>
          <w:u w:val="single" w:color="000000"/>
          <w:lang w:bidi="sk-SK"/>
        </w:rPr>
        <w:lastRenderedPageBreak/>
        <w:t>Osobitné skupiny pacientov</w:t>
      </w:r>
    </w:p>
    <w:p w14:paraId="45679201" w14:textId="506A97F6"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Farmakokinetická analýza populácie, podľa údajov zo štúdií fázy 3, nezaznamenala pri fulvestrante žiadne rozdiely vo farmakokinetickom profile pokiaľ ide o vek (rozsah 33 až 89 rokov), hmotnosť (40</w:t>
      </w:r>
      <w:r w:rsidR="00986B61" w:rsidRPr="00B914C4">
        <w:rPr>
          <w:rFonts w:ascii="Times New Roman" w:eastAsia="Times New Roman" w:hAnsi="Times New Roman" w:cs="Times New Roman"/>
          <w:lang w:bidi="sk-SK"/>
        </w:rPr>
        <w:noBreakHyphen/>
      </w:r>
      <w:r w:rsidRPr="00B914C4">
        <w:rPr>
          <w:rFonts w:ascii="Times New Roman" w:eastAsia="Times New Roman" w:hAnsi="Times New Roman" w:cs="Times New Roman"/>
          <w:lang w:bidi="sk-SK"/>
        </w:rPr>
        <w:t>127 kg) alebo rasu.</w:t>
      </w:r>
    </w:p>
    <w:p w14:paraId="45679202" w14:textId="77777777" w:rsidR="0025223D" w:rsidRPr="001A0391" w:rsidRDefault="0025223D" w:rsidP="00B858F8">
      <w:pPr>
        <w:spacing w:after="0" w:line="240" w:lineRule="auto"/>
        <w:rPr>
          <w:rFonts w:ascii="Times New Roman" w:hAnsi="Times New Roman" w:cs="Times New Roman"/>
        </w:rPr>
      </w:pPr>
    </w:p>
    <w:p w14:paraId="45679203"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Porucha funkcie obličiek</w:t>
      </w:r>
    </w:p>
    <w:p w14:paraId="45679204"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Mierna až stredne závažná porucha funkcie obličiek neovplyvnila v žiadnom klinicky významnom rozsahu farmakokinetiku fulvestrantu.</w:t>
      </w:r>
    </w:p>
    <w:p w14:paraId="45679205" w14:textId="77777777" w:rsidR="0025223D" w:rsidRPr="001A0391" w:rsidRDefault="0025223D" w:rsidP="00B858F8">
      <w:pPr>
        <w:spacing w:after="0" w:line="240" w:lineRule="auto"/>
        <w:rPr>
          <w:rFonts w:ascii="Times New Roman" w:hAnsi="Times New Roman" w:cs="Times New Roman"/>
        </w:rPr>
      </w:pPr>
    </w:p>
    <w:p w14:paraId="45BD6492" w14:textId="77777777" w:rsidR="00EA7181" w:rsidRPr="001A0391" w:rsidRDefault="00EA7181" w:rsidP="00B858F8">
      <w:pPr>
        <w:spacing w:after="0" w:line="240" w:lineRule="auto"/>
        <w:rPr>
          <w:rFonts w:ascii="Times New Roman" w:hAnsi="Times New Roman" w:cs="Times New Roman"/>
        </w:rPr>
      </w:pPr>
    </w:p>
    <w:p w14:paraId="4567920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Porucha funkcie pečene</w:t>
      </w:r>
    </w:p>
    <w:p w14:paraId="45679207" w14:textId="0E7B4EBC"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Farmakokinetika fulvestrantu bola hodnotená v klinickej štúdii s podaním jednorazovej dávky pacientkam s miernou až stredne závažnou poruchou funkcie pečene (Childovo-Pughove skóre A a B). Bola použitá vysoká dávka lieku v krátkodobo pôsobiacej intramuskulárnej injekcii. U pacientok s poruchou funkcie pečene bolo až 2,5-násobné zvýšenie AUC v porovnaní so zdravými osobami. Predpokladá sa, že u pacientok, ktorým sa podáva fulvestrant, bude takéto zvýšenie expozície dobre tolerované. Pacientky so závažnou poruchou funkcie pečene (Childovo-Pughove skóre C) neboli hodnotené.</w:t>
      </w:r>
    </w:p>
    <w:p w14:paraId="45679208" w14:textId="77777777" w:rsidR="0025223D" w:rsidRPr="001A0391" w:rsidRDefault="0025223D" w:rsidP="00B858F8">
      <w:pPr>
        <w:spacing w:after="0" w:line="240" w:lineRule="auto"/>
        <w:rPr>
          <w:rFonts w:ascii="Times New Roman" w:hAnsi="Times New Roman" w:cs="Times New Roman"/>
        </w:rPr>
      </w:pPr>
    </w:p>
    <w:p w14:paraId="45679209"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Pediatrická populácia</w:t>
      </w:r>
    </w:p>
    <w:p w14:paraId="4567920A" w14:textId="2454973A"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Farmakokinetika fulvestrantu sa hodnotila v klinickej štúdii u 30 dievčat s progresívnou predčasnou pubertou spojenou s McCune Albrightovým syndrómom (pozri časť 5.1). Detské pacientky boli vo veku 1 až 8 rokov a dostali intramuskulárnu dávku fulvestrantu 4 mg/kg mesačne. Geometrický priemer (smerodajná odchýlka) rovnovážneho stavu koncentrácie (C</w:t>
      </w:r>
      <w:r w:rsidRPr="00B914C4">
        <w:rPr>
          <w:rFonts w:ascii="Times New Roman" w:eastAsia="Times New Roman" w:hAnsi="Times New Roman" w:cs="Times New Roman"/>
          <w:vertAlign w:val="subscript"/>
          <w:lang w:bidi="sk-SK"/>
        </w:rPr>
        <w:t>min</w:t>
      </w:r>
      <w:r w:rsidRPr="00B914C4">
        <w:rPr>
          <w:rFonts w:ascii="Times New Roman" w:eastAsia="Times New Roman" w:hAnsi="Times New Roman" w:cs="Times New Roman"/>
          <w:lang w:bidi="sk-SK"/>
        </w:rPr>
        <w:t>,</w:t>
      </w:r>
      <w:r w:rsidRPr="00B914C4">
        <w:rPr>
          <w:rFonts w:ascii="Times New Roman" w:eastAsia="Times New Roman" w:hAnsi="Times New Roman" w:cs="Times New Roman"/>
          <w:vertAlign w:val="subscript"/>
          <w:lang w:bidi="sk-SK"/>
        </w:rPr>
        <w:t>ss</w:t>
      </w:r>
      <w:r w:rsidRPr="00B914C4">
        <w:rPr>
          <w:rFonts w:ascii="Times New Roman" w:eastAsia="Times New Roman" w:hAnsi="Times New Roman" w:cs="Times New Roman"/>
          <w:lang w:bidi="sk-SK"/>
        </w:rPr>
        <w:t>) a AUC</w:t>
      </w:r>
      <w:r w:rsidRPr="00B914C4">
        <w:rPr>
          <w:rFonts w:ascii="Times New Roman" w:eastAsia="Times New Roman" w:hAnsi="Times New Roman" w:cs="Times New Roman"/>
          <w:vertAlign w:val="subscript"/>
          <w:lang w:bidi="sk-SK"/>
        </w:rPr>
        <w:t>ss</w:t>
      </w:r>
      <w:r w:rsidRPr="00B914C4">
        <w:rPr>
          <w:rFonts w:ascii="Times New Roman" w:eastAsia="Times New Roman" w:hAnsi="Times New Roman" w:cs="Times New Roman"/>
          <w:lang w:bidi="sk-SK"/>
        </w:rPr>
        <w:t xml:space="preserve"> bol 4,2 (0,9) ng/ml a 3 680 (1 020) ng*hod/ml, v uvedenom poradí. Hoci sú zozbierané údaje obmedzené, rovnovážny stav koncentrácie fulvestrantu u detí sa zdá byť v súlade s dospelými.</w:t>
      </w:r>
    </w:p>
    <w:p w14:paraId="4567920B" w14:textId="77777777" w:rsidR="0025223D" w:rsidRPr="001A0391" w:rsidRDefault="0025223D" w:rsidP="00B858F8">
      <w:pPr>
        <w:spacing w:after="0" w:line="240" w:lineRule="auto"/>
        <w:rPr>
          <w:rFonts w:ascii="Times New Roman" w:hAnsi="Times New Roman" w:cs="Times New Roman"/>
        </w:rPr>
      </w:pPr>
    </w:p>
    <w:p w14:paraId="4567920C" w14:textId="77777777" w:rsidR="0025223D" w:rsidRPr="001A0391" w:rsidRDefault="00F839E2" w:rsidP="008A54E0">
      <w:pPr>
        <w:keepNext/>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5.3</w:t>
      </w:r>
      <w:r w:rsidRPr="00B914C4">
        <w:rPr>
          <w:rFonts w:ascii="Times New Roman" w:eastAsia="Times New Roman" w:hAnsi="Times New Roman" w:cs="Times New Roman"/>
          <w:b/>
          <w:lang w:bidi="sk-SK"/>
        </w:rPr>
        <w:tab/>
        <w:t>Predklinické údaje o bezpečnosti</w:t>
      </w:r>
    </w:p>
    <w:p w14:paraId="4567920D" w14:textId="77777777" w:rsidR="0025223D" w:rsidRPr="001A0391" w:rsidRDefault="0025223D" w:rsidP="008A54E0">
      <w:pPr>
        <w:keepNext/>
        <w:spacing w:after="0" w:line="240" w:lineRule="auto"/>
        <w:rPr>
          <w:rFonts w:ascii="Times New Roman" w:hAnsi="Times New Roman" w:cs="Times New Roman"/>
        </w:rPr>
      </w:pPr>
    </w:p>
    <w:p w14:paraId="4567920E"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Akútna toxicita fulvestrantu je nízka.</w:t>
      </w:r>
    </w:p>
    <w:p w14:paraId="4567920F" w14:textId="77777777" w:rsidR="0025223D" w:rsidRPr="001A0391" w:rsidRDefault="0025223D" w:rsidP="00B858F8">
      <w:pPr>
        <w:spacing w:after="0" w:line="240" w:lineRule="auto"/>
        <w:rPr>
          <w:rFonts w:ascii="Times New Roman" w:hAnsi="Times New Roman" w:cs="Times New Roman"/>
        </w:rPr>
      </w:pPr>
    </w:p>
    <w:p w14:paraId="45679212" w14:textId="7684E2C0" w:rsidR="0025223D" w:rsidRPr="001A0391" w:rsidRDefault="00EF4915"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Fulvestrant 250 mg injekčný roztok a iné formy fulvestrantu sa dobre znášali u všetkých zvieracích druhov v štúdiách s podávaním opakovaných dávok. Miestne reakcie vrátane myozitídy a tvorby granulómov v mieste podania injekcie sa pripisovali vehikulu, avšak závažnosť myozitídy u králikov sa pri fulvestrante zvyšovala v porovnaní so skupinou, ktorej bol podávaný fyziologický roztok. V štúdiách toxicity s opakovanými intramuskulárnymi dávkami fulvestrantu potkanom a psom bola antiestrogénová aktivita fulvestrantu zodpovedná za väčšinu prejavených účinkov, a to predovšetkým na ženský reprodukčný systém, ale aj na iné orgány citlivé na hormóny u obidvoch pohlaví. U niektorých psov sa pozorovala arteritída v rade rôznych tkanív po chronickom (12-mesačnom) dávkovaní.</w:t>
      </w:r>
    </w:p>
    <w:p w14:paraId="45679213" w14:textId="77777777" w:rsidR="0025223D" w:rsidRPr="001A0391" w:rsidRDefault="0025223D" w:rsidP="00B858F8">
      <w:pPr>
        <w:spacing w:after="0" w:line="240" w:lineRule="auto"/>
        <w:rPr>
          <w:rFonts w:ascii="Times New Roman" w:hAnsi="Times New Roman" w:cs="Times New Roman"/>
        </w:rPr>
      </w:pPr>
    </w:p>
    <w:p w14:paraId="75DE4066" w14:textId="5C3A6442" w:rsidR="00BF1FB2"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 štúdiách na psoch pri perorálnom a intravenóznom podaní boli pozorované účinky na kardiovaskulárny systém (mierne zvýšenie S</w:t>
      </w:r>
      <w:r w:rsidR="00BF1FB2" w:rsidRPr="00B914C4">
        <w:rPr>
          <w:rFonts w:ascii="Times New Roman" w:eastAsia="Times New Roman" w:hAnsi="Times New Roman" w:cs="Times New Roman"/>
          <w:lang w:bidi="sk-SK"/>
        </w:rPr>
        <w:noBreakHyphen/>
      </w:r>
      <w:r w:rsidRPr="00B914C4">
        <w:rPr>
          <w:rFonts w:ascii="Times New Roman" w:eastAsia="Times New Roman" w:hAnsi="Times New Roman" w:cs="Times New Roman"/>
          <w:lang w:bidi="sk-SK"/>
        </w:rPr>
        <w:t>T segmentu EKG pri perorálnom podaní a zastavenie sínusového uzla u jedného psa pri intravenóznom podaní). Tieto účinky sa vyskytli pri koncentrácii fulvestrantu vyššej ako u pacientok (C</w:t>
      </w:r>
      <w:r w:rsidRPr="00B914C4">
        <w:rPr>
          <w:rFonts w:ascii="Times New Roman" w:eastAsia="Times New Roman" w:hAnsi="Times New Roman" w:cs="Times New Roman"/>
          <w:vertAlign w:val="subscript"/>
          <w:lang w:bidi="sk-SK"/>
        </w:rPr>
        <w:t>max</w:t>
      </w:r>
      <w:r w:rsidRPr="00B914C4">
        <w:rPr>
          <w:rFonts w:ascii="Times New Roman" w:eastAsia="Times New Roman" w:hAnsi="Times New Roman" w:cs="Times New Roman"/>
          <w:lang w:bidi="sk-SK"/>
        </w:rPr>
        <w:t xml:space="preserve"> &gt; 15-krát), a pre bezpečnosť u človeka majú pri podaní klinickej dávky pravdepodobne len obmedzený význam.</w:t>
      </w:r>
    </w:p>
    <w:p w14:paraId="6D88495D" w14:textId="77777777" w:rsidR="00BF1FB2" w:rsidRPr="001A0391" w:rsidRDefault="00BF1FB2" w:rsidP="00B858F8">
      <w:pPr>
        <w:spacing w:after="0" w:line="240" w:lineRule="auto"/>
        <w:rPr>
          <w:rFonts w:ascii="Times New Roman" w:eastAsia="Times New Roman" w:hAnsi="Times New Roman" w:cs="Times New Roman"/>
        </w:rPr>
      </w:pPr>
    </w:p>
    <w:p w14:paraId="4567921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nepreukázal žiadny genotoxický potenciál.</w:t>
      </w:r>
    </w:p>
    <w:p w14:paraId="45679217" w14:textId="77777777" w:rsidR="0025223D" w:rsidRPr="001A0391" w:rsidRDefault="0025223D" w:rsidP="00B858F8">
      <w:pPr>
        <w:spacing w:after="0" w:line="240" w:lineRule="auto"/>
        <w:rPr>
          <w:rFonts w:ascii="Times New Roman" w:hAnsi="Times New Roman" w:cs="Times New Roman"/>
        </w:rPr>
      </w:pPr>
    </w:p>
    <w:p w14:paraId="45679218" w14:textId="47CDA7D2"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Účinky fulvestrantu na reprodukciu a vývoj embrya/plodu preukázali pri dávkach podobných dávkam klinickým jeho antiestrogénny účinok. U potkanov sa pozoroval reverzibilný pokles plodnosti samíc a prežití embryí, dystokia a zvýšený výskyt abnormalít plodu vrátane tarzálnej flexúry. Fulvestrant podávaný králikom mal za následok potrat. Bolo pozorované zvýšenie hmotnosti placenty a postimplantačná strata plodov. U králikov došlo k zvýšenému výskytu zmien plodu (dorzálny posun panvového pletenca a 27. presakrálneho stavca).</w:t>
      </w:r>
    </w:p>
    <w:p w14:paraId="45679219" w14:textId="77777777" w:rsidR="0025223D" w:rsidRPr="001A0391" w:rsidRDefault="0025223D" w:rsidP="00B858F8">
      <w:pPr>
        <w:spacing w:after="0" w:line="240" w:lineRule="auto"/>
        <w:rPr>
          <w:rFonts w:ascii="Times New Roman" w:hAnsi="Times New Roman" w:cs="Times New Roman"/>
        </w:rPr>
      </w:pPr>
    </w:p>
    <w:p w14:paraId="4567921C" w14:textId="4725302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Dvojročná štúdia onkogenicity na potkanoch (intramuskulárne podanie fulvestrantu) ukázala zvýšený výskyt benígnych bunkových nádorov granulózy vaječníkov u potkaních samíc pri vysokých dávkach 10 </w:t>
      </w:r>
      <w:r w:rsidRPr="00B914C4">
        <w:rPr>
          <w:rFonts w:ascii="Times New Roman" w:eastAsia="Times New Roman" w:hAnsi="Times New Roman" w:cs="Times New Roman"/>
          <w:lang w:bidi="sk-SK"/>
        </w:rPr>
        <w:lastRenderedPageBreak/>
        <w:t>mg raz za 15 dní a zvýšený výskyt testikulárnych Leydigových bunkových nádorov u samcov. V dvojročnej štúdii onkogenicity na myšiach (perorálne podanie denne) bola zvýšená incidencia zväzkových stromálnych nádorov vaječníkov u samíc (benígnych aj malígnych) v dávkach 150 a 500 mg/kg/deň. S ohľadom na tieto nálezy pre úroveň nulového účinku ('the no-effect level') bola systémová expozícia (AUC) u potkanov približne 1,5-krát vyššia než očakávaná expozícia u žien a 0,8-krát vyššia než expozícia u mužov a u myší približne 0,8-krát vyššia než očakávaná expozícia u mužov či žien. Vyvolanie týchto nádorov zodpovedá farmakologicky vyvolaným endokrinným spätne väzbovým zmenám v hladinách gonadotropínov spôsobených antiestrogénmi u cyklujúcich zvierat. Preto tieto poznatky nie sú považované za dôležité pre použitie fulvestrantu u postmenopauzálnych žien s pokročilým karcinómom prsníka.</w:t>
      </w:r>
    </w:p>
    <w:p w14:paraId="4567921E" w14:textId="77777777" w:rsidR="0025223D" w:rsidRPr="001A0391" w:rsidRDefault="0025223D" w:rsidP="00B858F8">
      <w:pPr>
        <w:spacing w:after="0" w:line="240" w:lineRule="auto"/>
        <w:rPr>
          <w:rFonts w:ascii="Times New Roman" w:hAnsi="Times New Roman" w:cs="Times New Roman"/>
        </w:rPr>
      </w:pPr>
    </w:p>
    <w:p w14:paraId="4567921F" w14:textId="77777777" w:rsidR="0025223D" w:rsidRPr="001A0391" w:rsidRDefault="0025223D" w:rsidP="00B858F8">
      <w:pPr>
        <w:spacing w:after="0" w:line="240" w:lineRule="auto"/>
        <w:rPr>
          <w:rFonts w:ascii="Times New Roman" w:hAnsi="Times New Roman" w:cs="Times New Roman"/>
        </w:rPr>
      </w:pPr>
    </w:p>
    <w:p w14:paraId="45679220"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w:t>
      </w:r>
      <w:r w:rsidRPr="00EF4915">
        <w:rPr>
          <w:rFonts w:ascii="Times New Roman" w:eastAsia="Times New Roman" w:hAnsi="Times New Roman" w:cs="Times New Roman"/>
          <w:b/>
          <w:lang w:bidi="sk-SK"/>
        </w:rPr>
        <w:tab/>
        <w:t>FARMACEUTICKÉ INFORMÁCIE</w:t>
      </w:r>
    </w:p>
    <w:p w14:paraId="45679221" w14:textId="77777777" w:rsidR="0025223D" w:rsidRPr="001A0391" w:rsidRDefault="0025223D" w:rsidP="00B858F8">
      <w:pPr>
        <w:spacing w:after="0" w:line="240" w:lineRule="auto"/>
        <w:rPr>
          <w:rFonts w:ascii="Times New Roman" w:hAnsi="Times New Roman" w:cs="Times New Roman"/>
        </w:rPr>
      </w:pPr>
    </w:p>
    <w:p w14:paraId="45679222"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6.1</w:t>
      </w:r>
      <w:r w:rsidRPr="00EF4915">
        <w:rPr>
          <w:rFonts w:ascii="Times New Roman" w:eastAsia="Times New Roman" w:hAnsi="Times New Roman" w:cs="Times New Roman"/>
          <w:b/>
          <w:lang w:bidi="sk-SK"/>
        </w:rPr>
        <w:tab/>
        <w:t>Zoznam pomocných látok</w:t>
      </w:r>
    </w:p>
    <w:p w14:paraId="45679223" w14:textId="77777777" w:rsidR="0025223D" w:rsidRPr="001A0391" w:rsidRDefault="0025223D" w:rsidP="00B858F8">
      <w:pPr>
        <w:spacing w:after="0" w:line="240" w:lineRule="auto"/>
        <w:rPr>
          <w:rFonts w:ascii="Times New Roman" w:hAnsi="Times New Roman" w:cs="Times New Roman"/>
        </w:rPr>
      </w:pPr>
    </w:p>
    <w:p w14:paraId="2CB7E63A" w14:textId="78B57C38" w:rsidR="00D54AF4"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Etanol (96-percentný)</w:t>
      </w:r>
    </w:p>
    <w:p w14:paraId="1C2F9CAB" w14:textId="6285746A" w:rsidR="00D54AF4"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Benzylalkohol</w:t>
      </w:r>
    </w:p>
    <w:p w14:paraId="56D500E3" w14:textId="34D000B8" w:rsidR="00D54AF4"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Benzylbenzoát</w:t>
      </w:r>
    </w:p>
    <w:p w14:paraId="45679224" w14:textId="2AB85023"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 xml:space="preserve">Ricínový olej </w:t>
      </w:r>
      <w:r w:rsidRPr="00352372">
        <w:rPr>
          <w:rFonts w:ascii="Times New Roman" w:eastAsia="Times New Roman" w:hAnsi="Times New Roman" w:cs="Times New Roman"/>
          <w:lang w:bidi="sk-SK"/>
        </w:rPr>
        <w:t>rafinovaný</w:t>
      </w:r>
    </w:p>
    <w:p w14:paraId="45679225" w14:textId="77777777" w:rsidR="0025223D" w:rsidRPr="001A0391" w:rsidRDefault="0025223D" w:rsidP="00B858F8">
      <w:pPr>
        <w:spacing w:after="0" w:line="240" w:lineRule="auto"/>
        <w:rPr>
          <w:rFonts w:ascii="Times New Roman" w:hAnsi="Times New Roman" w:cs="Times New Roman"/>
        </w:rPr>
      </w:pPr>
    </w:p>
    <w:p w14:paraId="45679226"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6.2</w:t>
      </w:r>
      <w:r w:rsidRPr="00B914C4">
        <w:rPr>
          <w:rFonts w:ascii="Times New Roman" w:eastAsia="Times New Roman" w:hAnsi="Times New Roman" w:cs="Times New Roman"/>
          <w:b/>
          <w:lang w:bidi="sk-SK"/>
        </w:rPr>
        <w:tab/>
        <w:t>Inkompatibility</w:t>
      </w:r>
    </w:p>
    <w:p w14:paraId="45679227" w14:textId="77777777" w:rsidR="0025223D" w:rsidRPr="001A0391" w:rsidRDefault="0025223D" w:rsidP="00B858F8">
      <w:pPr>
        <w:spacing w:after="0" w:line="240" w:lineRule="auto"/>
        <w:rPr>
          <w:rFonts w:ascii="Times New Roman" w:hAnsi="Times New Roman" w:cs="Times New Roman"/>
        </w:rPr>
      </w:pPr>
    </w:p>
    <w:p w14:paraId="45679228"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Nevykonali sa štúdie kompatibility, preto sa tento liek nesmie miešať s inými liekmi.</w:t>
      </w:r>
    </w:p>
    <w:p w14:paraId="45679229" w14:textId="77777777" w:rsidR="0025223D" w:rsidRPr="001A0391" w:rsidRDefault="0025223D" w:rsidP="00B858F8">
      <w:pPr>
        <w:spacing w:after="0" w:line="240" w:lineRule="auto"/>
        <w:rPr>
          <w:rFonts w:ascii="Times New Roman" w:hAnsi="Times New Roman" w:cs="Times New Roman"/>
        </w:rPr>
      </w:pPr>
    </w:p>
    <w:p w14:paraId="4567922A"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6.3</w:t>
      </w:r>
      <w:r w:rsidRPr="00EF4915">
        <w:rPr>
          <w:rFonts w:ascii="Times New Roman" w:eastAsia="Times New Roman" w:hAnsi="Times New Roman" w:cs="Times New Roman"/>
          <w:b/>
          <w:lang w:bidi="sk-SK"/>
        </w:rPr>
        <w:tab/>
        <w:t>Čas použiteľnosti</w:t>
      </w:r>
    </w:p>
    <w:p w14:paraId="4567922B" w14:textId="77777777" w:rsidR="0025223D" w:rsidRPr="001A0391" w:rsidRDefault="0025223D" w:rsidP="00B858F8">
      <w:pPr>
        <w:spacing w:after="0" w:line="240" w:lineRule="auto"/>
        <w:rPr>
          <w:rFonts w:ascii="Times New Roman" w:hAnsi="Times New Roman" w:cs="Times New Roman"/>
        </w:rPr>
      </w:pPr>
    </w:p>
    <w:p w14:paraId="4567922D" w14:textId="3AED6666" w:rsidR="0025223D" w:rsidRPr="001A0391" w:rsidRDefault="009E3ABC"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2 roky</w:t>
      </w:r>
    </w:p>
    <w:p w14:paraId="252123CE" w14:textId="77777777" w:rsidR="00EF4915" w:rsidRPr="001A0391" w:rsidRDefault="00EF4915" w:rsidP="00B858F8">
      <w:pPr>
        <w:spacing w:after="0" w:line="240" w:lineRule="auto"/>
        <w:rPr>
          <w:rFonts w:ascii="Times New Roman" w:hAnsi="Times New Roman" w:cs="Times New Roman"/>
        </w:rPr>
      </w:pPr>
    </w:p>
    <w:p w14:paraId="4567922E"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6.4</w:t>
      </w:r>
      <w:r w:rsidRPr="00EF4915">
        <w:rPr>
          <w:rFonts w:ascii="Times New Roman" w:eastAsia="Times New Roman" w:hAnsi="Times New Roman" w:cs="Times New Roman"/>
          <w:b/>
          <w:lang w:bidi="sk-SK"/>
        </w:rPr>
        <w:tab/>
        <w:t>Špeciálne upozornenia na uchovávanie</w:t>
      </w:r>
    </w:p>
    <w:p w14:paraId="4567922F" w14:textId="77777777" w:rsidR="0025223D" w:rsidRPr="001A0391" w:rsidRDefault="0025223D" w:rsidP="00B858F8">
      <w:pPr>
        <w:spacing w:after="0" w:line="240" w:lineRule="auto"/>
        <w:rPr>
          <w:rFonts w:ascii="Times New Roman" w:hAnsi="Times New Roman" w:cs="Times New Roman"/>
        </w:rPr>
      </w:pPr>
    </w:p>
    <w:p w14:paraId="45679230" w14:textId="2DF9E404"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Uchovávajte a prepravujte v chlad</w:t>
      </w:r>
      <w:r w:rsidR="00352372">
        <w:rPr>
          <w:rFonts w:ascii="Times New Roman" w:eastAsia="Times New Roman" w:hAnsi="Times New Roman" w:cs="Times New Roman"/>
          <w:lang w:bidi="sk-SK"/>
        </w:rPr>
        <w:t>e</w:t>
      </w:r>
      <w:r w:rsidRPr="00EF4915">
        <w:rPr>
          <w:rFonts w:ascii="Times New Roman" w:eastAsia="Times New Roman" w:hAnsi="Times New Roman" w:cs="Times New Roman"/>
          <w:lang w:bidi="sk-SK"/>
        </w:rPr>
        <w:t xml:space="preserve"> (2 °C – 8 °C).</w:t>
      </w:r>
    </w:p>
    <w:p w14:paraId="45679231" w14:textId="77777777" w:rsidR="0025223D" w:rsidRPr="001A0391" w:rsidRDefault="0025223D" w:rsidP="00B858F8">
      <w:pPr>
        <w:spacing w:after="0" w:line="240" w:lineRule="auto"/>
        <w:rPr>
          <w:rFonts w:ascii="Times New Roman" w:hAnsi="Times New Roman" w:cs="Times New Roman"/>
        </w:rPr>
      </w:pPr>
    </w:p>
    <w:p w14:paraId="45679233" w14:textId="7042DC80"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 xml:space="preserve">Má sa zamedziť teplotným odchýlkam mimo rozsah 2 °C – 8 °C. Vyhnite sa uchovávaniu pri teplote prevyšujúcej 30 °C a presahujúcej 28-dňové obdobie, kde priemerná teplota uchovávania pre tento liek je nižšia ako 25 °C (ale nad rozsah 2 °C - 8 °C). Po teplotných odchýlkach sa má liek okamžite vrátiť do odporúčaných podmienok uchovávania (uchovávanie a preprava v chladničke 2 °C – 8 °C). Teplotné odchýlky majú kumulatívny účinok na kvalitu lieku a 28-dňová lehota sa nesmie prekročiť počas trvania 2 rokov času použiteľnosti </w:t>
      </w:r>
      <w:r w:rsidR="008F5A44">
        <w:rPr>
          <w:rFonts w:ascii="Times New Roman" w:eastAsia="Times New Roman" w:hAnsi="Times New Roman" w:cs="Times New Roman"/>
          <w:lang w:bidi="sk-SK"/>
        </w:rPr>
        <w:t xml:space="preserve">lieku </w:t>
      </w:r>
      <w:r w:rsidR="00242EC6">
        <w:rPr>
          <w:rFonts w:ascii="Times New Roman" w:eastAsia="Times New Roman" w:hAnsi="Times New Roman" w:cs="Times New Roman"/>
          <w:noProof/>
          <w:lang w:val="en-GB"/>
        </w:rPr>
        <w:t>Fulvestrant Accor</w:t>
      </w:r>
      <w:r w:rsidR="00242EC6" w:rsidRPr="00242EC6">
        <w:rPr>
          <w:rFonts w:ascii="Times New Roman" w:eastAsia="Times New Roman" w:hAnsi="Times New Roman" w:cs="Times New Roman"/>
          <w:noProof/>
          <w:lang w:val="en-GB"/>
        </w:rPr>
        <w:t>d</w:t>
      </w:r>
      <w:r w:rsidR="00EA7181" w:rsidRPr="00242EC6">
        <w:rPr>
          <w:rFonts w:ascii="Times New Roman" w:eastAsia="Times New Roman" w:hAnsi="Times New Roman" w:cs="Times New Roman"/>
          <w:lang w:bidi="sk-SK"/>
        </w:rPr>
        <w:t xml:space="preserve"> </w:t>
      </w:r>
      <w:r w:rsidRPr="00242EC6">
        <w:rPr>
          <w:rFonts w:ascii="Times New Roman" w:eastAsia="Times New Roman" w:hAnsi="Times New Roman" w:cs="Times New Roman"/>
          <w:lang w:bidi="sk-SK"/>
        </w:rPr>
        <w:t>(pozri</w:t>
      </w:r>
      <w:r w:rsidRPr="00EF4915">
        <w:rPr>
          <w:rFonts w:ascii="Times New Roman" w:eastAsia="Times New Roman" w:hAnsi="Times New Roman" w:cs="Times New Roman"/>
          <w:lang w:bidi="sk-SK"/>
        </w:rPr>
        <w:t xml:space="preserve"> časť 6.3). Vystavením teplotám nižším ako 2 °C nedôjde k poškodeniu lieku za predpokladu, že nie je uchovávaný pod -20 °C.</w:t>
      </w:r>
    </w:p>
    <w:p w14:paraId="25E80E04" w14:textId="77777777" w:rsidR="006D579F" w:rsidRPr="001A0391" w:rsidRDefault="006D579F" w:rsidP="00B858F8">
      <w:pPr>
        <w:spacing w:after="0" w:line="240" w:lineRule="auto"/>
        <w:rPr>
          <w:rFonts w:ascii="Times New Roman" w:eastAsia="Times New Roman" w:hAnsi="Times New Roman" w:cs="Times New Roman"/>
          <w:highlight w:val="yellow"/>
        </w:rPr>
      </w:pPr>
    </w:p>
    <w:p w14:paraId="45679234" w14:textId="77777777"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Naplnenú injekčnú striekačku uchovávajte v pôvodnom obale na ochranu pred svetlom.</w:t>
      </w:r>
    </w:p>
    <w:p w14:paraId="45679235" w14:textId="77777777" w:rsidR="0025223D" w:rsidRPr="001A0391" w:rsidRDefault="0025223D" w:rsidP="00B858F8">
      <w:pPr>
        <w:spacing w:after="0" w:line="240" w:lineRule="auto"/>
        <w:rPr>
          <w:rFonts w:ascii="Times New Roman" w:hAnsi="Times New Roman" w:cs="Times New Roman"/>
        </w:rPr>
      </w:pPr>
    </w:p>
    <w:p w14:paraId="5F9B730E" w14:textId="0D010408" w:rsidR="00114207" w:rsidRPr="001A0391" w:rsidRDefault="00F839E2" w:rsidP="00B858F8">
      <w:pPr>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6.5</w:t>
      </w:r>
      <w:r w:rsidRPr="00EF4915">
        <w:rPr>
          <w:rFonts w:ascii="Times New Roman" w:eastAsia="Times New Roman" w:hAnsi="Times New Roman" w:cs="Times New Roman"/>
          <w:b/>
          <w:lang w:bidi="sk-SK"/>
        </w:rPr>
        <w:tab/>
        <w:t>Druh obalu a obsah balenia</w:t>
      </w:r>
    </w:p>
    <w:p w14:paraId="23916616" w14:textId="77777777" w:rsidR="00114207" w:rsidRPr="001A0391" w:rsidRDefault="00114207" w:rsidP="00B858F8">
      <w:pPr>
        <w:spacing w:after="0" w:line="240" w:lineRule="auto"/>
        <w:rPr>
          <w:rFonts w:ascii="Times New Roman" w:eastAsia="Times New Roman" w:hAnsi="Times New Roman" w:cs="Times New Roman"/>
        </w:rPr>
      </w:pPr>
    </w:p>
    <w:p w14:paraId="54B5B8AE" w14:textId="77777777" w:rsidR="00220348" w:rsidRPr="001A0391" w:rsidRDefault="00220348" w:rsidP="0022034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Balenie s naplnenou injekčnou striekačkou obsahuje:</w:t>
      </w:r>
    </w:p>
    <w:p w14:paraId="516697FB" w14:textId="4CA88D9E" w:rsidR="00220348" w:rsidRDefault="00220348" w:rsidP="00220348">
      <w:pPr>
        <w:autoSpaceDE w:val="0"/>
        <w:autoSpaceDN w:val="0"/>
        <w:adjustRightInd w:val="0"/>
        <w:spacing w:after="0" w:line="240" w:lineRule="auto"/>
        <w:rPr>
          <w:rFonts w:ascii="Times New Roman" w:eastAsia="Times New Roman" w:hAnsi="Times New Roman" w:cs="Times New Roman"/>
        </w:rPr>
      </w:pPr>
      <w:r w:rsidRPr="004D24D0">
        <w:rPr>
          <w:rFonts w:ascii="Times New Roman" w:eastAsia="Times New Roman" w:hAnsi="Times New Roman" w:cs="Times New Roman"/>
          <w:lang w:bidi="sk-SK"/>
        </w:rPr>
        <w:t>Jedna naplnená injekčná striekačka z číreho skla typu I s piestom s uzáverom obsahujúca 250 mg fulvestrantu v 5 ml roztoku.</w:t>
      </w:r>
    </w:p>
    <w:p w14:paraId="491621AA" w14:textId="77777777" w:rsidR="00220348" w:rsidRPr="00220348" w:rsidRDefault="00220348" w:rsidP="00B858F8">
      <w:pPr>
        <w:spacing w:after="0" w:line="240" w:lineRule="auto"/>
        <w:rPr>
          <w:rFonts w:ascii="Times New Roman" w:eastAsia="Times New Roman" w:hAnsi="Times New Roman" w:cs="Times New Roman"/>
        </w:rPr>
      </w:pPr>
    </w:p>
    <w:p w14:paraId="55B6054B" w14:textId="77777777" w:rsidR="00220348" w:rsidRDefault="00220348" w:rsidP="00220348">
      <w:pPr>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lang w:bidi="sk-SK"/>
        </w:rPr>
        <w:t>Priložená je tiež bezpečnostná ihla (BD SafetyGlide) na pripojenie k nádobke injekčnej striekačky.</w:t>
      </w:r>
    </w:p>
    <w:p w14:paraId="41E04CB2" w14:textId="77777777" w:rsidR="00220348" w:rsidRPr="00220348" w:rsidRDefault="00220348" w:rsidP="00B858F8">
      <w:pPr>
        <w:spacing w:after="0" w:line="240" w:lineRule="auto"/>
        <w:rPr>
          <w:rFonts w:ascii="Times New Roman" w:eastAsia="Times New Roman" w:hAnsi="Times New Roman" w:cs="Times New Roman"/>
        </w:rPr>
      </w:pPr>
    </w:p>
    <w:p w14:paraId="4567923C" w14:textId="44EC088C" w:rsidR="0025223D" w:rsidRPr="001A0391" w:rsidRDefault="00242EC6" w:rsidP="00B858F8">
      <w:pPr>
        <w:spacing w:after="0" w:line="240" w:lineRule="auto"/>
        <w:rPr>
          <w:rFonts w:ascii="Times New Roman" w:eastAsia="Times New Roman" w:hAnsi="Times New Roman" w:cs="Times New Roman"/>
        </w:rPr>
      </w:pPr>
      <w:r>
        <w:rPr>
          <w:rFonts w:ascii="Times New Roman" w:eastAsia="Times New Roman" w:hAnsi="Times New Roman" w:cs="Times New Roman"/>
          <w:noProof/>
          <w:lang w:val="en-GB"/>
        </w:rPr>
        <w:t xml:space="preserve">Fulvestrant Accord  </w:t>
      </w:r>
      <w:r w:rsidR="00220348" w:rsidRPr="008A54E0">
        <w:rPr>
          <w:rFonts w:ascii="Times New Roman" w:eastAsia="Times New Roman" w:hAnsi="Times New Roman" w:cs="Times New Roman"/>
          <w:lang w:bidi="sk-SK"/>
        </w:rPr>
        <w:t>sa dodáva v balení dvoch naplnených injekčných striekačiek na jedno použitie.</w:t>
      </w:r>
    </w:p>
    <w:p w14:paraId="4567923E" w14:textId="77777777" w:rsidR="0025223D" w:rsidRPr="001A0391" w:rsidRDefault="0025223D" w:rsidP="00B858F8">
      <w:pPr>
        <w:spacing w:after="0" w:line="240" w:lineRule="auto"/>
        <w:rPr>
          <w:rFonts w:ascii="Times New Roman" w:hAnsi="Times New Roman" w:cs="Times New Roman"/>
        </w:rPr>
      </w:pPr>
    </w:p>
    <w:p w14:paraId="4567923F" w14:textId="4EC23DAD" w:rsidR="0025223D" w:rsidRPr="001A0391" w:rsidRDefault="00F839E2" w:rsidP="00B858F8">
      <w:pPr>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6.6</w:t>
      </w:r>
      <w:r w:rsidRPr="00EF4915">
        <w:rPr>
          <w:rFonts w:ascii="Times New Roman" w:eastAsia="Times New Roman" w:hAnsi="Times New Roman" w:cs="Times New Roman"/>
          <w:b/>
          <w:lang w:bidi="sk-SK"/>
        </w:rPr>
        <w:tab/>
        <w:t>Špeciálne opatrenia na likvidáciu a iné zaobchádzanie s liekom</w:t>
      </w:r>
    </w:p>
    <w:p w14:paraId="45679240" w14:textId="77777777" w:rsidR="0025223D" w:rsidRPr="001A0391" w:rsidRDefault="0025223D" w:rsidP="00B858F8">
      <w:pPr>
        <w:spacing w:after="0" w:line="240" w:lineRule="auto"/>
        <w:rPr>
          <w:rFonts w:ascii="Times New Roman" w:hAnsi="Times New Roman" w:cs="Times New Roman"/>
        </w:rPr>
      </w:pPr>
    </w:p>
    <w:p w14:paraId="45679241"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Pokyny na podávanie</w:t>
      </w:r>
    </w:p>
    <w:p w14:paraId="45679242" w14:textId="7D802431"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lastRenderedPageBreak/>
        <w:t>Upozornenie - Bezpečnostnú ihlu pred použitím neautoklávujte. Počas použitia aj pri likvidácii musia byť ruky stále za ihlou.</w:t>
      </w:r>
    </w:p>
    <w:p w14:paraId="193E1389" w14:textId="77777777" w:rsidR="00220348" w:rsidRPr="001A0391" w:rsidRDefault="00220348" w:rsidP="00B858F8">
      <w:pPr>
        <w:spacing w:after="0" w:line="240" w:lineRule="auto"/>
        <w:rPr>
          <w:rFonts w:ascii="Times New Roman" w:eastAsia="Times New Roman" w:hAnsi="Times New Roman" w:cs="Times New Roman"/>
        </w:rPr>
      </w:pPr>
    </w:p>
    <w:p w14:paraId="4656B8E5" w14:textId="7BB545B4" w:rsidR="00220348" w:rsidRPr="00220348" w:rsidRDefault="00220348" w:rsidP="00220348">
      <w:pPr>
        <w:autoSpaceDE w:val="0"/>
        <w:autoSpaceDN w:val="0"/>
        <w:adjustRightInd w:val="0"/>
        <w:spacing w:after="0" w:line="240" w:lineRule="auto"/>
        <w:rPr>
          <w:rFonts w:ascii="Times New Roman" w:eastAsia="Times New Roman" w:hAnsi="Times New Roman" w:cs="Times New Roman"/>
        </w:rPr>
      </w:pPr>
      <w:r w:rsidRPr="00C83692">
        <w:rPr>
          <w:rFonts w:ascii="Times New Roman" w:eastAsia="Times New Roman" w:hAnsi="Times New Roman" w:cs="Times New Roman"/>
          <w:lang w:bidi="sk-SK"/>
        </w:rPr>
        <w:t>Injekčné striekačky sa dodávajú s bezpečnostnou ihlou BD Safety Glide.</w:t>
      </w:r>
    </w:p>
    <w:p w14:paraId="3014C0C2" w14:textId="2CE74DD1" w:rsidR="00005A31" w:rsidRDefault="00005A31" w:rsidP="00185273">
      <w:pPr>
        <w:spacing w:before="6" w:after="0" w:line="240" w:lineRule="auto"/>
        <w:ind w:right="-20"/>
        <w:rPr>
          <w:rFonts w:ascii="Times New Roman" w:eastAsia="Times New Roman" w:hAnsi="Times New Roman" w:cs="Times New Roman"/>
        </w:rPr>
      </w:pPr>
    </w:p>
    <w:p w14:paraId="7AA81E78" w14:textId="480F16F4" w:rsidR="00005A31" w:rsidRDefault="00005A31" w:rsidP="005A10B0">
      <w:pPr>
        <w:spacing w:after="0" w:line="240" w:lineRule="auto"/>
        <w:ind w:right="-20"/>
        <w:rPr>
          <w:rFonts w:ascii="Times New Roman" w:eastAsia="Times New Roman" w:hAnsi="Times New Roman" w:cs="Times New Roman"/>
        </w:rPr>
      </w:pPr>
      <w:r>
        <w:rPr>
          <w:rFonts w:ascii="Times New Roman" w:eastAsia="Times New Roman" w:hAnsi="Times New Roman" w:cs="Times New Roman"/>
          <w:lang w:bidi="sk-SK"/>
        </w:rPr>
        <w:t>POZNÁMKA: Vzhľadom na blízkosť sedacieho nervu je potrebná opatrnosť pri injekčnom</w:t>
      </w:r>
      <w:r w:rsidR="007171AC">
        <w:rPr>
          <w:rFonts w:ascii="Times New Roman" w:eastAsia="Times New Roman" w:hAnsi="Times New Roman" w:cs="Times New Roman"/>
          <w:lang w:bidi="sk-SK"/>
        </w:rPr>
        <w:t xml:space="preserve"> </w:t>
      </w:r>
      <w:r>
        <w:rPr>
          <w:rFonts w:ascii="Times New Roman" w:eastAsia="Times New Roman" w:hAnsi="Times New Roman" w:cs="Times New Roman"/>
          <w:spacing w:val="-1"/>
          <w:lang w:bidi="sk-SK"/>
        </w:rPr>
        <w:t>podávaní</w:t>
      </w:r>
      <w:r w:rsidR="005A10B0">
        <w:rPr>
          <w:rFonts w:ascii="Times New Roman" w:eastAsia="Times New Roman" w:hAnsi="Times New Roman" w:cs="Times New Roman"/>
          <w:spacing w:val="-1"/>
          <w:lang w:bidi="sk-SK"/>
        </w:rPr>
        <w:t xml:space="preserve"> lieku</w:t>
      </w:r>
      <w:r w:rsidR="005A10B0">
        <w:rPr>
          <w:rFonts w:ascii="Times New Roman" w:eastAsia="Times New Roman" w:hAnsi="Times New Roman" w:cs="Times New Roman"/>
        </w:rPr>
        <w:t xml:space="preserve"> </w:t>
      </w:r>
      <w:r w:rsidR="00242EC6">
        <w:rPr>
          <w:rFonts w:ascii="Times New Roman" w:eastAsia="Times New Roman" w:hAnsi="Times New Roman" w:cs="Times New Roman"/>
          <w:noProof/>
          <w:lang w:val="en-GB"/>
        </w:rPr>
        <w:t>Fulvestrant  Accord</w:t>
      </w:r>
      <w:r w:rsidR="00242EC6">
        <w:rPr>
          <w:rFonts w:ascii="Times New Roman" w:eastAsia="Times New Roman" w:hAnsi="Times New Roman" w:cs="Times New Roman"/>
          <w:lang w:bidi="sk-SK"/>
        </w:rPr>
        <w:t xml:space="preserve">  </w:t>
      </w:r>
      <w:r>
        <w:rPr>
          <w:rFonts w:ascii="Times New Roman" w:eastAsia="Times New Roman" w:hAnsi="Times New Roman" w:cs="Times New Roman"/>
          <w:lang w:bidi="sk-SK"/>
        </w:rPr>
        <w:t>do dorzogluteálnej oblasti (pozri časť 4.4).</w:t>
      </w:r>
    </w:p>
    <w:p w14:paraId="6FC91F09" w14:textId="77777777" w:rsidR="00185273" w:rsidRPr="001A0391" w:rsidRDefault="00185273" w:rsidP="00B858F8">
      <w:pPr>
        <w:spacing w:after="0" w:line="240" w:lineRule="auto"/>
        <w:rPr>
          <w:rFonts w:ascii="Times New Roman" w:hAnsi="Times New Roman" w:cs="Times New Roman"/>
        </w:rPr>
      </w:pPr>
    </w:p>
    <w:p w14:paraId="45679244" w14:textId="77777777" w:rsidR="0025223D" w:rsidRPr="001A0391" w:rsidRDefault="00F839E2" w:rsidP="00B858F8">
      <w:pPr>
        <w:spacing w:after="0" w:line="240" w:lineRule="auto"/>
        <w:rPr>
          <w:rFonts w:ascii="Times New Roman" w:eastAsia="Times New Roman" w:hAnsi="Times New Roman" w:cs="Times New Roman"/>
        </w:rPr>
      </w:pPr>
      <w:r w:rsidRPr="00220348">
        <w:rPr>
          <w:rFonts w:ascii="Times New Roman" w:eastAsia="Times New Roman" w:hAnsi="Times New Roman" w:cs="Times New Roman"/>
          <w:lang w:bidi="sk-SK"/>
        </w:rPr>
        <w:t>Pre každú z oboch injekčných striekačiek:</w:t>
      </w:r>
    </w:p>
    <w:p w14:paraId="2306787F" w14:textId="77777777" w:rsidR="004B10EE" w:rsidRPr="00220348" w:rsidRDefault="004B10EE" w:rsidP="00B858F8">
      <w:pPr>
        <w:spacing w:after="0" w:line="240" w:lineRule="auto"/>
        <w:rPr>
          <w:rFonts w:ascii="Times New Roman" w:eastAsia="Times New Roman" w:hAnsi="Times New Roman" w:cs="Times New Roman"/>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2976"/>
      </w:tblGrid>
      <w:tr w:rsidR="008C0A23" w:rsidRPr="00B914C4" w14:paraId="1B749FF3" w14:textId="77777777" w:rsidTr="00643D5E">
        <w:tc>
          <w:tcPr>
            <w:tcW w:w="6204" w:type="dxa"/>
          </w:tcPr>
          <w:p w14:paraId="155E8DC6" w14:textId="32BF3934" w:rsidR="00220348" w:rsidRPr="001A0391" w:rsidRDefault="00220348" w:rsidP="00B858F8">
            <w:pPr>
              <w:tabs>
                <w:tab w:val="left" w:pos="567"/>
              </w:tabs>
              <w:ind w:left="567" w:hanging="567"/>
              <w:rPr>
                <w:rFonts w:ascii="Times New Roman" w:eastAsia="Symbol" w:hAnsi="Times New Roman" w:cs="Times New Roman"/>
              </w:rPr>
            </w:pPr>
            <w:r>
              <w:rPr>
                <w:rFonts w:ascii="Times New Roman" w:eastAsia="Symbol" w:hAnsi="Times New Roman" w:cs="Times New Roman"/>
                <w:lang w:bidi="sk-SK"/>
              </w:rPr>
              <w:t>-</w:t>
            </w:r>
            <w:r>
              <w:rPr>
                <w:rFonts w:ascii="Times New Roman" w:eastAsia="Symbol" w:hAnsi="Times New Roman" w:cs="Times New Roman"/>
                <w:lang w:bidi="sk-SK"/>
              </w:rPr>
              <w:tab/>
              <w:t>Opatrne vyberte sklenenú injekčnú striekačku z puzdra a skontrolujte, či nie je poškodená.</w:t>
            </w:r>
          </w:p>
          <w:p w14:paraId="72E52912" w14:textId="5FABB32D" w:rsidR="00220348" w:rsidRPr="00EA7181" w:rsidRDefault="00220348" w:rsidP="00EA7181">
            <w:pPr>
              <w:tabs>
                <w:tab w:val="left" w:pos="567"/>
              </w:tabs>
              <w:ind w:left="567" w:hanging="567"/>
              <w:rPr>
                <w:rFonts w:ascii="Times New Roman" w:eastAsia="Symbol" w:hAnsi="Times New Roman" w:cs="Times New Roman"/>
              </w:rPr>
            </w:pPr>
            <w:r>
              <w:rPr>
                <w:rFonts w:ascii="Times New Roman" w:eastAsia="Symbol" w:hAnsi="Times New Roman" w:cs="Times New Roman"/>
                <w:lang w:bidi="sk-SK"/>
              </w:rPr>
              <w:t>-</w:t>
            </w:r>
            <w:r>
              <w:rPr>
                <w:rFonts w:ascii="Times New Roman" w:eastAsia="Symbol" w:hAnsi="Times New Roman" w:cs="Times New Roman"/>
                <w:lang w:bidi="sk-SK"/>
              </w:rPr>
              <w:tab/>
              <w:t>Odstráňte obal s pripojeným gumeným viečkom hrotu tak, že otočíte plombou plastového obalu na luerovej koncovke injekčnej striekačky</w:t>
            </w:r>
            <w:r w:rsidR="008F5A44">
              <w:rPr>
                <w:rFonts w:ascii="Times New Roman" w:eastAsia="Symbol" w:hAnsi="Times New Roman" w:cs="Times New Roman"/>
                <w:lang w:bidi="sk-SK"/>
              </w:rPr>
              <w:t xml:space="preserve"> </w:t>
            </w:r>
            <w:r>
              <w:rPr>
                <w:rFonts w:ascii="Times New Roman" w:eastAsia="Symbol" w:hAnsi="Times New Roman" w:cs="Times New Roman"/>
                <w:lang w:bidi="sk-SK"/>
              </w:rPr>
              <w:t>(pozri Obrázok 1).</w:t>
            </w:r>
          </w:p>
          <w:p w14:paraId="4D73B76F" w14:textId="5BC9BD8F" w:rsidR="00220348" w:rsidRPr="0073626B" w:rsidRDefault="00220348" w:rsidP="0073626B">
            <w:pPr>
              <w:ind w:left="567" w:hanging="567"/>
              <w:rPr>
                <w:rFonts w:ascii="Times New Roman" w:hAnsi="Times New Roman" w:cs="Times New Roman"/>
                <w:lang w:val="en-GB"/>
              </w:rPr>
            </w:pPr>
          </w:p>
        </w:tc>
        <w:tc>
          <w:tcPr>
            <w:tcW w:w="2976" w:type="dxa"/>
          </w:tcPr>
          <w:p w14:paraId="02A97B32" w14:textId="77777777" w:rsidR="00EA7181" w:rsidRDefault="00EA7181" w:rsidP="00B858F8">
            <w:pPr>
              <w:rPr>
                <w:rFonts w:ascii="Times New Roman" w:eastAsia="Times New Roman" w:hAnsi="Times New Roman" w:cs="Times New Roman"/>
                <w:lang w:val="en-GB"/>
              </w:rPr>
            </w:pPr>
          </w:p>
          <w:p w14:paraId="3AE7DBB2" w14:textId="77777777" w:rsidR="00EA7181" w:rsidRDefault="00EA7181" w:rsidP="00B858F8">
            <w:pPr>
              <w:rPr>
                <w:rFonts w:ascii="Times New Roman" w:eastAsia="Times New Roman" w:hAnsi="Times New Roman" w:cs="Times New Roman"/>
                <w:lang w:val="en-GB"/>
              </w:rPr>
            </w:pPr>
          </w:p>
          <w:p w14:paraId="6BE40DC9" w14:textId="77777777" w:rsidR="00EA7181" w:rsidRDefault="00EA7181" w:rsidP="00B858F8">
            <w:pPr>
              <w:rPr>
                <w:rFonts w:ascii="Times New Roman" w:eastAsia="Times New Roman" w:hAnsi="Times New Roman" w:cs="Times New Roman"/>
                <w:lang w:val="en-GB"/>
              </w:rPr>
            </w:pPr>
          </w:p>
          <w:p w14:paraId="26F1CBDC" w14:textId="77777777" w:rsidR="00EA7181" w:rsidRDefault="00EA7181" w:rsidP="00B858F8">
            <w:pPr>
              <w:rPr>
                <w:rFonts w:ascii="Times New Roman" w:eastAsia="Times New Roman" w:hAnsi="Times New Roman" w:cs="Times New Roman"/>
                <w:lang w:val="en-GB"/>
              </w:rPr>
            </w:pPr>
          </w:p>
          <w:p w14:paraId="252689B8" w14:textId="77777777" w:rsidR="00EA7181" w:rsidRDefault="00EA7181" w:rsidP="00B858F8">
            <w:pPr>
              <w:rPr>
                <w:rFonts w:ascii="Times New Roman" w:eastAsia="Times New Roman" w:hAnsi="Times New Roman" w:cs="Times New Roman"/>
                <w:lang w:val="en-GB"/>
              </w:rPr>
            </w:pPr>
          </w:p>
          <w:p w14:paraId="1E797202" w14:textId="6379F6FA" w:rsidR="008C0A23" w:rsidRPr="00EA7181" w:rsidRDefault="0073626B" w:rsidP="00B858F8">
            <w:pPr>
              <w:rPr>
                <w:rFonts w:ascii="Times New Roman" w:eastAsia="Times New Roman" w:hAnsi="Times New Roman" w:cs="Times New Roman"/>
                <w:b/>
                <w:lang w:val="en-GB"/>
              </w:rPr>
            </w:pPr>
            <w:r w:rsidRPr="00EA7181">
              <w:rPr>
                <w:rFonts w:ascii="Times New Roman" w:eastAsia="Times New Roman" w:hAnsi="Times New Roman" w:cs="Times New Roman"/>
                <w:b/>
                <w:lang w:bidi="sk-SK"/>
              </w:rPr>
              <w:t>Obrázok 1</w:t>
            </w:r>
          </w:p>
          <w:p w14:paraId="6B50F284" w14:textId="52997530" w:rsidR="008C0A23" w:rsidRPr="00B914C4" w:rsidRDefault="000E4EFF" w:rsidP="00B858F8">
            <w:pPr>
              <w:rPr>
                <w:rFonts w:ascii="Times New Roman" w:eastAsia="Times New Roman" w:hAnsi="Times New Roman" w:cs="Times New Roman"/>
                <w:lang w:val="en-GB"/>
              </w:rPr>
            </w:pPr>
            <w:r>
              <w:rPr>
                <w:noProof/>
                <w:lang w:eastAsia="sk-SK"/>
              </w:rPr>
              <w:drawing>
                <wp:inline distT="0" distB="0" distL="0" distR="0" wp14:anchorId="64319424" wp14:editId="5D0D23E2">
                  <wp:extent cx="1996469" cy="5779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00896" cy="579251"/>
                          </a:xfrm>
                          <a:prstGeom prst="rect">
                            <a:avLst/>
                          </a:prstGeom>
                        </pic:spPr>
                      </pic:pic>
                    </a:graphicData>
                  </a:graphic>
                </wp:inline>
              </w:drawing>
            </w:r>
          </w:p>
        </w:tc>
      </w:tr>
      <w:tr w:rsidR="008C0A23" w:rsidRPr="00B914C4" w14:paraId="202BD51D" w14:textId="77777777" w:rsidTr="00643D5E">
        <w:tc>
          <w:tcPr>
            <w:tcW w:w="6204" w:type="dxa"/>
          </w:tcPr>
          <w:p w14:paraId="49703277" w14:textId="4A1C13A3" w:rsidR="00E07B79" w:rsidRPr="001A0391" w:rsidRDefault="00E07B79" w:rsidP="00B858F8">
            <w:pPr>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O</w:t>
            </w:r>
            <w:r w:rsidRPr="00352372">
              <w:rPr>
                <w:rFonts w:ascii="Times New Roman" w:eastAsia="Symbol" w:hAnsi="Times New Roman" w:cs="Times New Roman"/>
                <w:lang w:bidi="sk-SK"/>
              </w:rPr>
              <w:t>dlepte</w:t>
            </w:r>
            <w:r w:rsidRPr="00B914C4">
              <w:rPr>
                <w:rFonts w:ascii="Times New Roman" w:eastAsia="Symbol" w:hAnsi="Times New Roman" w:cs="Times New Roman"/>
                <w:lang w:bidi="sk-SK"/>
              </w:rPr>
              <w:t xml:space="preserve"> vonkajší obal bezpečnostnej ihly (BD SafetyGlide). Pripojte bezpečnostnú ihlu k luerovej koncovke injekčnej striekačky (pozri Obrázok 2).</w:t>
            </w:r>
          </w:p>
          <w:p w14:paraId="0D5972B1" w14:textId="45AC137E" w:rsidR="00643D5E" w:rsidRPr="001A0391" w:rsidRDefault="00643D5E" w:rsidP="00643D5E">
            <w:pPr>
              <w:ind w:left="567" w:hanging="567"/>
              <w:rPr>
                <w:rFonts w:ascii="Times New Roman" w:eastAsia="Times New Roman" w:hAnsi="Times New Roman" w:cs="Times New Roman"/>
              </w:rPr>
            </w:pPr>
            <w:r>
              <w:rPr>
                <w:rFonts w:ascii="Times New Roman" w:eastAsia="Times New Roman" w:hAnsi="Times New Roman" w:cs="Times New Roman"/>
                <w:lang w:bidi="sk-SK"/>
              </w:rPr>
              <w:t>-</w:t>
            </w:r>
            <w:r>
              <w:rPr>
                <w:rFonts w:ascii="Times New Roman" w:eastAsia="Times New Roman" w:hAnsi="Times New Roman" w:cs="Times New Roman"/>
                <w:lang w:bidi="sk-SK"/>
              </w:rPr>
              <w:tab/>
              <w:t>Otočte ňou tak, aby sa ihla pevne prichytila o luerovú koncovku. Otáčajte ňou, kým pevne nezapadne.</w:t>
            </w:r>
          </w:p>
          <w:p w14:paraId="2DCBFCB4" w14:textId="77777777" w:rsidR="00E07B79" w:rsidRPr="001A0391" w:rsidRDefault="00E07B79" w:rsidP="00B858F8">
            <w:pPr>
              <w:tabs>
                <w:tab w:val="left" w:pos="567"/>
              </w:tabs>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Priamym pohybom stiahnite z ihly kryt tak, aby sa nepoškodil hrot ihly.</w:t>
            </w:r>
          </w:p>
          <w:p w14:paraId="05AA5305" w14:textId="77777777" w:rsidR="00E07B79" w:rsidRPr="001A0391" w:rsidRDefault="00E07B79" w:rsidP="00B858F8">
            <w:pPr>
              <w:tabs>
                <w:tab w:val="left" w:pos="567"/>
              </w:tabs>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Preneste naplnenú injekčnú striekačku na miesto podania.</w:t>
            </w:r>
          </w:p>
          <w:p w14:paraId="723FA12F" w14:textId="77777777" w:rsidR="00E07B79" w:rsidRPr="001A0391" w:rsidRDefault="00E07B79" w:rsidP="00B858F8">
            <w:pPr>
              <w:tabs>
                <w:tab w:val="left" w:pos="567"/>
              </w:tabs>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Odstráňte kryt z ihly.</w:t>
            </w:r>
          </w:p>
          <w:p w14:paraId="0E177506" w14:textId="77777777" w:rsidR="00E07B79" w:rsidRPr="001A0391" w:rsidRDefault="00E07B79" w:rsidP="00B858F8">
            <w:pPr>
              <w:tabs>
                <w:tab w:val="left" w:pos="-1418"/>
              </w:tabs>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Parenterálne roztoky sa musia pred podávaním vizuálne skontrolovať, či neobsahujú častice a či nedošlo k zmene ich zafarbenia.</w:t>
            </w:r>
          </w:p>
          <w:p w14:paraId="7BBDC41E" w14:textId="77777777" w:rsidR="00C92BCE" w:rsidRPr="001A0391" w:rsidRDefault="00E07B79" w:rsidP="0073626B">
            <w:pPr>
              <w:tabs>
                <w:tab w:val="left" w:pos="567"/>
              </w:tabs>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Vytlačte z injekčnej striekačky prebytočný plyn.</w:t>
            </w:r>
          </w:p>
          <w:p w14:paraId="6428F9A1" w14:textId="70F36B65" w:rsidR="005D5DE4" w:rsidRPr="001A0391" w:rsidRDefault="005D5DE4" w:rsidP="0073626B">
            <w:pPr>
              <w:tabs>
                <w:tab w:val="left" w:pos="567"/>
              </w:tabs>
              <w:rPr>
                <w:rFonts w:ascii="Times New Roman" w:eastAsia="Times New Roman" w:hAnsi="Times New Roman" w:cs="Times New Roman"/>
              </w:rPr>
            </w:pPr>
          </w:p>
        </w:tc>
        <w:tc>
          <w:tcPr>
            <w:tcW w:w="2976" w:type="dxa"/>
          </w:tcPr>
          <w:p w14:paraId="4D913B9E" w14:textId="181CBF9C" w:rsidR="004151EF" w:rsidRPr="00EA7181" w:rsidRDefault="004151EF" w:rsidP="00B858F8">
            <w:pPr>
              <w:rPr>
                <w:rFonts w:ascii="Times New Roman" w:eastAsia="Times New Roman" w:hAnsi="Times New Roman" w:cs="Times New Roman"/>
                <w:b/>
                <w:lang w:val="en-GB"/>
              </w:rPr>
            </w:pPr>
            <w:r w:rsidRPr="00EA7181">
              <w:rPr>
                <w:rFonts w:ascii="Times New Roman" w:eastAsia="Times New Roman" w:hAnsi="Times New Roman" w:cs="Times New Roman"/>
                <w:b/>
                <w:noProof/>
                <w:lang w:eastAsia="sk-SK"/>
              </w:rPr>
              <w:drawing>
                <wp:anchor distT="0" distB="0" distL="114300" distR="114300" simplePos="0" relativeHeight="251660288" behindDoc="1" locked="0" layoutInCell="1" allowOverlap="1" wp14:anchorId="45679536" wp14:editId="038AEF9A">
                  <wp:simplePos x="0" y="0"/>
                  <wp:positionH relativeFrom="page">
                    <wp:posOffset>5205730</wp:posOffset>
                  </wp:positionH>
                  <wp:positionV relativeFrom="paragraph">
                    <wp:posOffset>10123805</wp:posOffset>
                  </wp:positionV>
                  <wp:extent cx="1082040" cy="121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219200"/>
                          </a:xfrm>
                          <a:prstGeom prst="rect">
                            <a:avLst/>
                          </a:prstGeom>
                          <a:noFill/>
                        </pic:spPr>
                      </pic:pic>
                    </a:graphicData>
                  </a:graphic>
                  <wp14:sizeRelH relativeFrom="page">
                    <wp14:pctWidth>0</wp14:pctWidth>
                  </wp14:sizeRelH>
                  <wp14:sizeRelV relativeFrom="page">
                    <wp14:pctHeight>0</wp14:pctHeight>
                  </wp14:sizeRelV>
                </wp:anchor>
              </w:drawing>
            </w:r>
            <w:r w:rsidRPr="00EA7181">
              <w:rPr>
                <w:rFonts w:ascii="Times New Roman" w:eastAsia="Times New Roman" w:hAnsi="Times New Roman" w:cs="Times New Roman"/>
                <w:b/>
                <w:noProof/>
                <w:lang w:eastAsia="sk-SK"/>
              </w:rPr>
              <w:drawing>
                <wp:anchor distT="0" distB="0" distL="114300" distR="114300" simplePos="0" relativeHeight="251652096" behindDoc="1" locked="0" layoutInCell="1" allowOverlap="1" wp14:anchorId="45679536" wp14:editId="04168AEA">
                  <wp:simplePos x="0" y="0"/>
                  <wp:positionH relativeFrom="page">
                    <wp:posOffset>5205730</wp:posOffset>
                  </wp:positionH>
                  <wp:positionV relativeFrom="paragraph">
                    <wp:posOffset>10123805</wp:posOffset>
                  </wp:positionV>
                  <wp:extent cx="1082040" cy="121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219200"/>
                          </a:xfrm>
                          <a:prstGeom prst="rect">
                            <a:avLst/>
                          </a:prstGeom>
                          <a:noFill/>
                        </pic:spPr>
                      </pic:pic>
                    </a:graphicData>
                  </a:graphic>
                  <wp14:sizeRelH relativeFrom="page">
                    <wp14:pctWidth>0</wp14:pctWidth>
                  </wp14:sizeRelH>
                  <wp14:sizeRelV relativeFrom="page">
                    <wp14:pctHeight>0</wp14:pctHeight>
                  </wp14:sizeRelV>
                </wp:anchor>
              </w:drawing>
            </w:r>
            <w:r w:rsidR="0073626B" w:rsidRPr="00EA7181">
              <w:rPr>
                <w:rFonts w:ascii="Times New Roman" w:eastAsia="Times New Roman" w:hAnsi="Times New Roman" w:cs="Times New Roman"/>
                <w:b/>
                <w:lang w:bidi="sk-SK"/>
              </w:rPr>
              <w:t>Obrázok 2</w:t>
            </w:r>
          </w:p>
          <w:p w14:paraId="12FD72DA" w14:textId="4A877D6C" w:rsidR="000E4EFF" w:rsidRDefault="000E4EFF" w:rsidP="00B858F8">
            <w:pPr>
              <w:rPr>
                <w:rFonts w:ascii="Times New Roman" w:eastAsia="Times New Roman" w:hAnsi="Times New Roman" w:cs="Times New Roman"/>
                <w:lang w:val="en-GB"/>
              </w:rPr>
            </w:pPr>
            <w:r>
              <w:rPr>
                <w:noProof/>
                <w:lang w:eastAsia="sk-SK"/>
              </w:rPr>
              <w:drawing>
                <wp:inline distT="0" distB="0" distL="0" distR="0" wp14:anchorId="4AE3811D" wp14:editId="14DD22A2">
                  <wp:extent cx="1811547" cy="5215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56034" cy="534354"/>
                          </a:xfrm>
                          <a:prstGeom prst="rect">
                            <a:avLst/>
                          </a:prstGeom>
                        </pic:spPr>
                      </pic:pic>
                    </a:graphicData>
                  </a:graphic>
                </wp:inline>
              </w:drawing>
            </w:r>
          </w:p>
          <w:p w14:paraId="5D3CCB62" w14:textId="005361EC" w:rsidR="000E4EFF" w:rsidRDefault="000E4EFF" w:rsidP="000E4EFF">
            <w:pPr>
              <w:rPr>
                <w:rFonts w:ascii="Times New Roman" w:eastAsia="Times New Roman" w:hAnsi="Times New Roman" w:cs="Times New Roman"/>
                <w:lang w:val="en-GB"/>
              </w:rPr>
            </w:pPr>
          </w:p>
          <w:p w14:paraId="19E03CC1" w14:textId="77777777" w:rsidR="008C0A23" w:rsidRPr="000E4EFF" w:rsidRDefault="008C0A23" w:rsidP="000E4EFF">
            <w:pPr>
              <w:ind w:firstLine="720"/>
              <w:rPr>
                <w:rFonts w:ascii="Times New Roman" w:eastAsia="Times New Roman" w:hAnsi="Times New Roman" w:cs="Times New Roman"/>
                <w:lang w:val="en-GB"/>
              </w:rPr>
            </w:pPr>
          </w:p>
        </w:tc>
      </w:tr>
      <w:tr w:rsidR="008C0A23" w:rsidRPr="00B914C4" w14:paraId="450E889E" w14:textId="77777777" w:rsidTr="00643D5E">
        <w:tc>
          <w:tcPr>
            <w:tcW w:w="6204" w:type="dxa"/>
          </w:tcPr>
          <w:p w14:paraId="4C9B6AB0" w14:textId="46B0B4BE" w:rsidR="00C92BCE" w:rsidRPr="001A0391" w:rsidRDefault="00F2623F" w:rsidP="0073626B">
            <w:pPr>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Podávajte pomaly, intramuskulárne (1-2 minúty/injekcia) do sedacieho svalu (gluteálna oblasť). Na uľahčenie podávania je skosená strana ihly orientovaná k ramenu páčky (pozri obrázok 3).</w:t>
            </w:r>
          </w:p>
        </w:tc>
        <w:tc>
          <w:tcPr>
            <w:tcW w:w="2976" w:type="dxa"/>
          </w:tcPr>
          <w:p w14:paraId="04E5655D" w14:textId="3CCC306C" w:rsidR="000D2AF1" w:rsidRPr="00EA7181" w:rsidRDefault="0073626B" w:rsidP="00B858F8">
            <w:pPr>
              <w:rPr>
                <w:rFonts w:ascii="Times New Roman" w:eastAsia="Times New Roman" w:hAnsi="Times New Roman" w:cs="Times New Roman"/>
                <w:b/>
                <w:lang w:val="en-GB"/>
              </w:rPr>
            </w:pPr>
            <w:r w:rsidRPr="00EA7181">
              <w:rPr>
                <w:rFonts w:ascii="Times New Roman" w:eastAsia="Times New Roman" w:hAnsi="Times New Roman" w:cs="Times New Roman"/>
                <w:b/>
                <w:lang w:bidi="sk-SK"/>
              </w:rPr>
              <w:t>Obrázok 3</w:t>
            </w:r>
          </w:p>
          <w:p w14:paraId="0158C1C6" w14:textId="093B3062" w:rsidR="008C0A23" w:rsidRPr="00B914C4" w:rsidRDefault="000E4EFF" w:rsidP="00B858F8">
            <w:pPr>
              <w:rPr>
                <w:rFonts w:ascii="Times New Roman" w:eastAsia="Times New Roman" w:hAnsi="Times New Roman" w:cs="Times New Roman"/>
                <w:lang w:val="en-GB"/>
              </w:rPr>
            </w:pPr>
            <w:r>
              <w:rPr>
                <w:noProof/>
                <w:lang w:eastAsia="sk-SK"/>
              </w:rPr>
              <w:drawing>
                <wp:inline distT="0" distB="0" distL="0" distR="0" wp14:anchorId="3EBBC631" wp14:editId="44AF0E2E">
                  <wp:extent cx="1768878" cy="550924"/>
                  <wp:effectExtent l="0" t="0" r="317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6435"/>
                          <a:stretch/>
                        </pic:blipFill>
                        <pic:spPr bwMode="auto">
                          <a:xfrm>
                            <a:off x="0" y="0"/>
                            <a:ext cx="1771868" cy="551855"/>
                          </a:xfrm>
                          <a:prstGeom prst="rect">
                            <a:avLst/>
                          </a:prstGeom>
                          <a:ln>
                            <a:noFill/>
                          </a:ln>
                          <a:extLst>
                            <a:ext uri="{53640926-AAD7-44D8-BBD7-CCE9431645EC}">
                              <a14:shadowObscured xmlns:a14="http://schemas.microsoft.com/office/drawing/2010/main"/>
                            </a:ext>
                          </a:extLst>
                        </pic:spPr>
                      </pic:pic>
                    </a:graphicData>
                  </a:graphic>
                </wp:inline>
              </w:drawing>
            </w:r>
          </w:p>
        </w:tc>
      </w:tr>
      <w:tr w:rsidR="008C0A23" w:rsidRPr="00B914C4" w14:paraId="05ADC6E6" w14:textId="77777777" w:rsidTr="00643D5E">
        <w:trPr>
          <w:trHeight w:val="671"/>
        </w:trPr>
        <w:tc>
          <w:tcPr>
            <w:tcW w:w="6204" w:type="dxa"/>
          </w:tcPr>
          <w:p w14:paraId="3A19B80C" w14:textId="77777777" w:rsidR="005D5DE4" w:rsidRDefault="005D5DE4" w:rsidP="00B858F8">
            <w:pPr>
              <w:tabs>
                <w:tab w:val="left" w:pos="-426"/>
              </w:tabs>
              <w:ind w:left="567" w:hanging="567"/>
              <w:rPr>
                <w:rFonts w:ascii="Times New Roman" w:eastAsia="Symbol" w:hAnsi="Times New Roman" w:cs="Times New Roman"/>
                <w:lang w:val="en-GB"/>
              </w:rPr>
            </w:pPr>
          </w:p>
          <w:p w14:paraId="26EF9187" w14:textId="44856E98" w:rsidR="00643D5E" w:rsidRDefault="00643D5E" w:rsidP="00B858F8">
            <w:pPr>
              <w:tabs>
                <w:tab w:val="left" w:pos="-426"/>
              </w:tabs>
              <w:ind w:left="567" w:hanging="567"/>
              <w:rPr>
                <w:rFonts w:ascii="Times New Roman" w:eastAsia="Symbol" w:hAnsi="Times New Roman" w:cs="Times New Roman"/>
                <w:lang w:val="en-GB"/>
              </w:rPr>
            </w:pPr>
            <w:r>
              <w:rPr>
                <w:rFonts w:ascii="Times New Roman" w:eastAsia="Symbol" w:hAnsi="Times New Roman" w:cs="Times New Roman"/>
                <w:lang w:bidi="sk-SK"/>
              </w:rPr>
              <w:t>-</w:t>
            </w:r>
            <w:r>
              <w:rPr>
                <w:rFonts w:ascii="Times New Roman" w:eastAsia="Symbol" w:hAnsi="Times New Roman" w:cs="Times New Roman"/>
                <w:lang w:bidi="sk-SK"/>
              </w:rPr>
              <w:tab/>
              <w:t>Po podaní injekcie okamžite aktivujte bezpečnostný mechanizmus zatlačením luerového ramena dopredu, až kým hrot ihly nie je úplne zakrytý (pozri obrázok 4).</w:t>
            </w:r>
          </w:p>
          <w:p w14:paraId="6500B9AC" w14:textId="77777777" w:rsidR="00643D5E" w:rsidRDefault="00643D5E" w:rsidP="00B858F8">
            <w:pPr>
              <w:tabs>
                <w:tab w:val="left" w:pos="-426"/>
              </w:tabs>
              <w:ind w:left="567" w:hanging="567"/>
              <w:rPr>
                <w:rFonts w:ascii="Times New Roman" w:eastAsia="Symbol" w:hAnsi="Times New Roman" w:cs="Times New Roman"/>
                <w:lang w:val="en-GB"/>
              </w:rPr>
            </w:pPr>
          </w:p>
          <w:p w14:paraId="599BFE5F" w14:textId="6874EDCF" w:rsidR="008C0A23" w:rsidRPr="00643D5E" w:rsidRDefault="004B10EE" w:rsidP="00643D5E">
            <w:pPr>
              <w:tabs>
                <w:tab w:val="left" w:pos="567"/>
              </w:tabs>
              <w:ind w:left="567"/>
              <w:rPr>
                <w:rFonts w:ascii="Times New Roman" w:eastAsia="Times New Roman" w:hAnsi="Times New Roman" w:cs="Times New Roman"/>
                <w:b/>
                <w:lang w:val="en-GB"/>
              </w:rPr>
            </w:pPr>
            <w:r w:rsidRPr="00643D5E">
              <w:rPr>
                <w:rFonts w:ascii="Times New Roman" w:eastAsia="Times New Roman" w:hAnsi="Times New Roman" w:cs="Times New Roman"/>
                <w:b/>
                <w:lang w:bidi="sk-SK"/>
              </w:rPr>
              <w:t>POZNÁMKA: Aktivujte mechanizmus smerom od seba a iných. Dávajte pozor na cvaknutie a vizuálne sa presvedčte, že hrot ihly je úplne zakrytý.</w:t>
            </w:r>
          </w:p>
        </w:tc>
        <w:tc>
          <w:tcPr>
            <w:tcW w:w="2976" w:type="dxa"/>
          </w:tcPr>
          <w:p w14:paraId="0D5AD325" w14:textId="77777777" w:rsidR="005D5DE4" w:rsidRDefault="005D5DE4" w:rsidP="00B858F8">
            <w:pPr>
              <w:rPr>
                <w:rFonts w:ascii="Times New Roman" w:eastAsia="Times New Roman" w:hAnsi="Times New Roman" w:cs="Times New Roman"/>
                <w:lang w:val="en-GB"/>
              </w:rPr>
            </w:pPr>
          </w:p>
          <w:p w14:paraId="61A00669" w14:textId="70998BC5" w:rsidR="000D2AF1" w:rsidRPr="00EA7181" w:rsidRDefault="0073626B" w:rsidP="00B858F8">
            <w:pPr>
              <w:rPr>
                <w:rFonts w:ascii="Times New Roman" w:eastAsia="Times New Roman" w:hAnsi="Times New Roman" w:cs="Times New Roman"/>
                <w:b/>
                <w:lang w:val="en-GB"/>
              </w:rPr>
            </w:pPr>
            <w:r w:rsidRPr="00EA7181">
              <w:rPr>
                <w:rFonts w:ascii="Times New Roman" w:eastAsia="Times New Roman" w:hAnsi="Times New Roman" w:cs="Times New Roman"/>
                <w:b/>
                <w:lang w:bidi="sk-SK"/>
              </w:rPr>
              <w:t>Obrázok 4</w:t>
            </w:r>
          </w:p>
          <w:p w14:paraId="507A7A2C" w14:textId="72CF4FE3" w:rsidR="008C0A23" w:rsidRPr="00B914C4" w:rsidRDefault="000E4EFF" w:rsidP="00B858F8">
            <w:pPr>
              <w:rPr>
                <w:rFonts w:ascii="Times New Roman" w:eastAsia="Times New Roman" w:hAnsi="Times New Roman" w:cs="Times New Roman"/>
                <w:lang w:val="en-GB"/>
              </w:rPr>
            </w:pPr>
            <w:r>
              <w:rPr>
                <w:noProof/>
                <w:lang w:eastAsia="sk-SK"/>
              </w:rPr>
              <w:drawing>
                <wp:inline distT="0" distB="0" distL="0" distR="0" wp14:anchorId="1638AED4" wp14:editId="1797BC22">
                  <wp:extent cx="1906438" cy="5733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06438" cy="573391"/>
                          </a:xfrm>
                          <a:prstGeom prst="rect">
                            <a:avLst/>
                          </a:prstGeom>
                        </pic:spPr>
                      </pic:pic>
                    </a:graphicData>
                  </a:graphic>
                </wp:inline>
              </w:drawing>
            </w:r>
          </w:p>
        </w:tc>
      </w:tr>
    </w:tbl>
    <w:p w14:paraId="53241DF5" w14:textId="5322CF4C" w:rsidR="00DC60DB" w:rsidRPr="00B914C4" w:rsidRDefault="00DC60DB" w:rsidP="00B858F8">
      <w:pPr>
        <w:spacing w:after="0" w:line="240" w:lineRule="auto"/>
        <w:rPr>
          <w:rFonts w:ascii="Times New Roman" w:eastAsia="Times New Roman" w:hAnsi="Times New Roman" w:cs="Times New Roman"/>
          <w:lang w:val="en-GB"/>
        </w:rPr>
      </w:pPr>
    </w:p>
    <w:p w14:paraId="45679273"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u w:val="single" w:color="000000"/>
          <w:lang w:bidi="sk-SK"/>
        </w:rPr>
        <w:t>Likvidácia</w:t>
      </w:r>
    </w:p>
    <w:p w14:paraId="45679274"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 xml:space="preserve">Naplnené injekčné striekačky sú určené </w:t>
      </w:r>
      <w:r w:rsidRPr="00B914C4">
        <w:rPr>
          <w:rFonts w:ascii="Times New Roman" w:eastAsia="Times New Roman" w:hAnsi="Times New Roman" w:cs="Times New Roman"/>
          <w:b/>
          <w:lang w:bidi="sk-SK"/>
        </w:rPr>
        <w:t xml:space="preserve">len </w:t>
      </w:r>
      <w:r w:rsidRPr="00B914C4">
        <w:rPr>
          <w:rFonts w:ascii="Times New Roman" w:eastAsia="Times New Roman" w:hAnsi="Times New Roman" w:cs="Times New Roman"/>
          <w:lang w:bidi="sk-SK"/>
        </w:rPr>
        <w:t>na jednorazové použitie.</w:t>
      </w:r>
    </w:p>
    <w:p w14:paraId="4B79B6C0" w14:textId="77777777" w:rsidR="00693D45" w:rsidRPr="00B914C4" w:rsidRDefault="00693D45" w:rsidP="00B858F8">
      <w:pPr>
        <w:spacing w:after="0" w:line="240" w:lineRule="auto"/>
        <w:rPr>
          <w:rFonts w:ascii="Times New Roman" w:eastAsia="Times New Roman" w:hAnsi="Times New Roman" w:cs="Times New Roman"/>
          <w:lang w:val="en-GB"/>
        </w:rPr>
      </w:pPr>
    </w:p>
    <w:p w14:paraId="45679275"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Všetok nepoužitý liek alebo odpad vzniknutý z lieku sa má zlikvidovať v súlade s národnými požiadavkami.</w:t>
      </w:r>
    </w:p>
    <w:p w14:paraId="45679276" w14:textId="77777777" w:rsidR="0025223D" w:rsidRDefault="0025223D" w:rsidP="00B858F8">
      <w:pPr>
        <w:spacing w:after="0" w:line="240" w:lineRule="auto"/>
        <w:rPr>
          <w:rFonts w:ascii="Times New Roman" w:hAnsi="Times New Roman" w:cs="Times New Roman"/>
          <w:lang w:val="en-GB"/>
        </w:rPr>
      </w:pPr>
    </w:p>
    <w:p w14:paraId="73F8313C" w14:textId="77777777" w:rsidR="00EA7181" w:rsidRPr="00B914C4" w:rsidRDefault="00EA7181" w:rsidP="00B858F8">
      <w:pPr>
        <w:spacing w:after="0" w:line="240" w:lineRule="auto"/>
        <w:rPr>
          <w:rFonts w:ascii="Times New Roman" w:hAnsi="Times New Roman" w:cs="Times New Roman"/>
          <w:lang w:val="en-GB"/>
        </w:rPr>
      </w:pPr>
    </w:p>
    <w:p w14:paraId="45679278" w14:textId="77777777" w:rsidR="0025223D" w:rsidRPr="00B914C4" w:rsidRDefault="0025223D" w:rsidP="00B858F8">
      <w:pPr>
        <w:spacing w:after="0" w:line="240" w:lineRule="auto"/>
        <w:rPr>
          <w:rFonts w:ascii="Times New Roman" w:hAnsi="Times New Roman" w:cs="Times New Roman"/>
          <w:lang w:val="en-GB"/>
        </w:rPr>
      </w:pPr>
    </w:p>
    <w:p w14:paraId="45679279"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7.</w:t>
      </w:r>
      <w:r w:rsidRPr="00EF4915">
        <w:rPr>
          <w:rFonts w:ascii="Times New Roman" w:eastAsia="Times New Roman" w:hAnsi="Times New Roman" w:cs="Times New Roman"/>
          <w:b/>
          <w:lang w:bidi="sk-SK"/>
        </w:rPr>
        <w:tab/>
        <w:t>DRŽITEĽ ROZHODNUTIA O REGISTRÁCII</w:t>
      </w:r>
    </w:p>
    <w:p w14:paraId="4567927A" w14:textId="77777777" w:rsidR="0025223D" w:rsidRPr="001A0391" w:rsidRDefault="0025223D" w:rsidP="00B858F8">
      <w:pPr>
        <w:spacing w:after="0" w:line="240" w:lineRule="auto"/>
        <w:rPr>
          <w:rFonts w:ascii="Times New Roman" w:hAnsi="Times New Roman" w:cs="Times New Roman"/>
          <w:lang w:val="it-IT"/>
        </w:rPr>
      </w:pPr>
    </w:p>
    <w:p w14:paraId="45679280" w14:textId="77777777" w:rsidR="0025223D" w:rsidRPr="001A0391" w:rsidRDefault="0025223D" w:rsidP="00B858F8">
      <w:pPr>
        <w:spacing w:after="0" w:line="240" w:lineRule="auto"/>
        <w:rPr>
          <w:rFonts w:ascii="Times New Roman" w:hAnsi="Times New Roman" w:cs="Times New Roman"/>
          <w:lang w:val="it-IT"/>
        </w:rPr>
      </w:pPr>
    </w:p>
    <w:p w14:paraId="2B1592B8" w14:textId="77777777" w:rsidR="00C83AD1" w:rsidRDefault="00C83AD1" w:rsidP="00C83AD1">
      <w:pPr>
        <w:widowControl/>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Accord Healthcare Polska Sp. z o.o.</w:t>
      </w:r>
    </w:p>
    <w:p w14:paraId="75AA55DC" w14:textId="77777777" w:rsidR="00C83AD1" w:rsidRDefault="00C83AD1" w:rsidP="00C83AD1">
      <w:pPr>
        <w:widowControl/>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ul. Taśmowa 7</w:t>
      </w:r>
    </w:p>
    <w:p w14:paraId="22ACE1E5" w14:textId="77777777" w:rsidR="00C83AD1" w:rsidRDefault="00C83AD1" w:rsidP="00C83AD1">
      <w:pPr>
        <w:widowControl/>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02-677 Warszawa</w:t>
      </w:r>
    </w:p>
    <w:p w14:paraId="5D62C32A" w14:textId="77777777" w:rsidR="00C83AD1" w:rsidRDefault="00C83AD1" w:rsidP="00C83AD1">
      <w:pPr>
        <w:keepNext/>
        <w:autoSpaceDE w:val="0"/>
        <w:autoSpaceDN w:val="0"/>
        <w:adjustRightInd w:val="0"/>
        <w:spacing w:after="0" w:line="240" w:lineRule="auto"/>
        <w:rPr>
          <w:rFonts w:ascii="Times New Roman" w:eastAsia="Times New Roman" w:hAnsi="Times New Roman" w:cs="Times New Roman"/>
          <w:bCs/>
          <w:lang w:val="en-GB"/>
        </w:rPr>
      </w:pPr>
      <w:r>
        <w:rPr>
          <w:rFonts w:ascii="Times New Roman" w:eastAsia="Times New Roman" w:hAnsi="Times New Roman" w:cs="Times New Roman"/>
          <w:lang w:bidi="sk-SK"/>
        </w:rPr>
        <w:t>Poľsko</w:t>
      </w:r>
    </w:p>
    <w:p w14:paraId="30AE655C" w14:textId="77777777" w:rsidR="00BC7C6F" w:rsidRPr="001A0391" w:rsidRDefault="00BC7C6F" w:rsidP="00B858F8">
      <w:pPr>
        <w:spacing w:after="0" w:line="240" w:lineRule="auto"/>
        <w:rPr>
          <w:rFonts w:ascii="Times New Roman" w:hAnsi="Times New Roman" w:cs="Times New Roman"/>
          <w:lang w:val="it-IT"/>
        </w:rPr>
      </w:pPr>
    </w:p>
    <w:p w14:paraId="45679281" w14:textId="5B878F2E"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8.</w:t>
      </w:r>
      <w:r w:rsidRPr="00EF4915">
        <w:rPr>
          <w:rFonts w:ascii="Times New Roman" w:eastAsia="Times New Roman" w:hAnsi="Times New Roman" w:cs="Times New Roman"/>
          <w:b/>
          <w:lang w:bidi="sk-SK"/>
        </w:rPr>
        <w:tab/>
        <w:t>REGISTRAČNÉ ČÍSLA</w:t>
      </w:r>
    </w:p>
    <w:p w14:paraId="19D146E6" w14:textId="77777777" w:rsidR="002F7741" w:rsidRPr="001A0391" w:rsidRDefault="002F7741" w:rsidP="00B858F8">
      <w:pPr>
        <w:spacing w:after="0" w:line="240" w:lineRule="auto"/>
        <w:rPr>
          <w:rFonts w:ascii="Times New Roman" w:hAnsi="Times New Roman" w:cs="Times New Roman"/>
          <w:lang w:val="it-IT"/>
        </w:rPr>
      </w:pPr>
    </w:p>
    <w:p w14:paraId="536A49F4" w14:textId="4BF1897C" w:rsidR="007244F8" w:rsidRPr="001A0391" w:rsidRDefault="007244F8" w:rsidP="00B858F8">
      <w:pPr>
        <w:spacing w:after="0" w:line="240" w:lineRule="auto"/>
        <w:rPr>
          <w:rFonts w:ascii="Times New Roman" w:hAnsi="Times New Roman" w:cs="Times New Roman"/>
          <w:lang w:val="it-IT"/>
        </w:rPr>
      </w:pPr>
      <w:r w:rsidRPr="007244F8">
        <w:rPr>
          <w:rFonts w:ascii="Times New Roman" w:hAnsi="Times New Roman" w:cs="Times New Roman"/>
          <w:lang w:val="it-IT"/>
        </w:rPr>
        <w:t>34/0069/19-S</w:t>
      </w:r>
      <w:bookmarkStart w:id="0" w:name="_GoBack"/>
      <w:bookmarkEnd w:id="0"/>
    </w:p>
    <w:p w14:paraId="1A444AF3" w14:textId="77777777" w:rsidR="00BC7C6F" w:rsidRPr="001A0391" w:rsidRDefault="00BC7C6F" w:rsidP="00B858F8">
      <w:pPr>
        <w:spacing w:after="0" w:line="240" w:lineRule="auto"/>
        <w:rPr>
          <w:rFonts w:ascii="Times New Roman" w:hAnsi="Times New Roman" w:cs="Times New Roman"/>
          <w:lang w:val="it-IT"/>
        </w:rPr>
      </w:pPr>
    </w:p>
    <w:p w14:paraId="45679288"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9.</w:t>
      </w:r>
      <w:r w:rsidRPr="00EF4915">
        <w:rPr>
          <w:rFonts w:ascii="Times New Roman" w:eastAsia="Times New Roman" w:hAnsi="Times New Roman" w:cs="Times New Roman"/>
          <w:b/>
          <w:lang w:bidi="sk-SK"/>
        </w:rPr>
        <w:tab/>
        <w:t>DÁTUM PRVEJ REGISTRÁCIE/PREDĹŽENIA REGISTRÁCIE</w:t>
      </w:r>
    </w:p>
    <w:p w14:paraId="3BC029E0" w14:textId="77777777" w:rsidR="00BC7C6F" w:rsidRPr="001A0391" w:rsidRDefault="00BC7C6F" w:rsidP="00B858F8">
      <w:pPr>
        <w:spacing w:after="0" w:line="240" w:lineRule="auto"/>
        <w:rPr>
          <w:rFonts w:ascii="Times New Roman" w:hAnsi="Times New Roman" w:cs="Times New Roman"/>
          <w:lang w:val="it-IT"/>
        </w:rPr>
      </w:pPr>
    </w:p>
    <w:p w14:paraId="2F892ED1" w14:textId="77777777" w:rsidR="00EA7181" w:rsidRPr="001A0391" w:rsidRDefault="00EA7181" w:rsidP="00B858F8">
      <w:pPr>
        <w:spacing w:after="0" w:line="240" w:lineRule="auto"/>
        <w:rPr>
          <w:rFonts w:ascii="Times New Roman" w:hAnsi="Times New Roman" w:cs="Times New Roman"/>
          <w:lang w:val="it-IT"/>
        </w:rPr>
      </w:pPr>
    </w:p>
    <w:p w14:paraId="4567928F"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10.</w:t>
      </w:r>
      <w:r w:rsidRPr="00EF4915">
        <w:rPr>
          <w:rFonts w:ascii="Times New Roman" w:eastAsia="Times New Roman" w:hAnsi="Times New Roman" w:cs="Times New Roman"/>
          <w:b/>
          <w:lang w:bidi="sk-SK"/>
        </w:rPr>
        <w:tab/>
        <w:t>DÁTUM REVÍZIE TEXTU</w:t>
      </w:r>
    </w:p>
    <w:p w14:paraId="45679290" w14:textId="77777777" w:rsidR="0025223D" w:rsidRPr="001A0391" w:rsidRDefault="0025223D" w:rsidP="00B858F8">
      <w:pPr>
        <w:spacing w:after="0" w:line="240" w:lineRule="auto"/>
        <w:rPr>
          <w:rFonts w:ascii="Times New Roman" w:hAnsi="Times New Roman" w:cs="Times New Roman"/>
          <w:lang w:val="it-IT"/>
        </w:rPr>
      </w:pPr>
    </w:p>
    <w:p w14:paraId="55DF1D8B" w14:textId="28E424F3" w:rsidR="009472EA" w:rsidRPr="001A0391" w:rsidRDefault="007244F8" w:rsidP="00B858F8">
      <w:pPr>
        <w:spacing w:after="0" w:line="240" w:lineRule="auto"/>
        <w:rPr>
          <w:rFonts w:ascii="Times New Roman" w:hAnsi="Times New Roman" w:cs="Times New Roman"/>
          <w:lang w:val="it-IT"/>
        </w:rPr>
      </w:pPr>
      <w:r>
        <w:rPr>
          <w:rFonts w:ascii="Times New Roman" w:hAnsi="Times New Roman" w:cs="Times New Roman"/>
          <w:lang w:val="it-IT"/>
        </w:rPr>
        <w:t>03/2019</w:t>
      </w:r>
    </w:p>
    <w:p w14:paraId="3CD5DFD1" w14:textId="77777777" w:rsidR="00EA7181" w:rsidRPr="001A0391" w:rsidRDefault="00EA7181" w:rsidP="00B858F8">
      <w:pPr>
        <w:spacing w:after="0" w:line="240" w:lineRule="auto"/>
        <w:rPr>
          <w:rFonts w:ascii="Times New Roman" w:hAnsi="Times New Roman" w:cs="Times New Roman"/>
          <w:lang w:val="it-IT"/>
        </w:rPr>
      </w:pPr>
    </w:p>
    <w:p w14:paraId="02C5788C" w14:textId="77777777" w:rsidR="00BC7C6F" w:rsidRPr="001A0391" w:rsidRDefault="00BC7C6F" w:rsidP="00B858F8">
      <w:pPr>
        <w:spacing w:after="0" w:line="240" w:lineRule="auto"/>
        <w:rPr>
          <w:rFonts w:ascii="Times New Roman" w:hAnsi="Times New Roman" w:cs="Times New Roman"/>
          <w:lang w:val="it-IT"/>
        </w:rPr>
      </w:pPr>
    </w:p>
    <w:p w14:paraId="456792F8" w14:textId="77777777" w:rsidR="0025223D" w:rsidRPr="001A0391" w:rsidRDefault="0025223D" w:rsidP="00B858F8">
      <w:pPr>
        <w:spacing w:after="0" w:line="240" w:lineRule="auto"/>
        <w:rPr>
          <w:rFonts w:ascii="Times New Roman" w:hAnsi="Times New Roman" w:cs="Times New Roman"/>
          <w:lang w:val="it-IT"/>
        </w:rPr>
      </w:pPr>
    </w:p>
    <w:p w14:paraId="456792F9" w14:textId="77777777" w:rsidR="0025223D" w:rsidRPr="001A0391" w:rsidRDefault="0025223D" w:rsidP="00B858F8">
      <w:pPr>
        <w:spacing w:after="0" w:line="240" w:lineRule="auto"/>
        <w:rPr>
          <w:rFonts w:ascii="Times New Roman" w:hAnsi="Times New Roman" w:cs="Times New Roman"/>
          <w:lang w:val="it-IT"/>
        </w:rPr>
      </w:pPr>
    </w:p>
    <w:p w14:paraId="456792FA" w14:textId="77777777" w:rsidR="0025223D" w:rsidRPr="001A0391" w:rsidRDefault="0025223D" w:rsidP="00B858F8">
      <w:pPr>
        <w:spacing w:after="0" w:line="240" w:lineRule="auto"/>
        <w:rPr>
          <w:rFonts w:ascii="Times New Roman" w:hAnsi="Times New Roman" w:cs="Times New Roman"/>
          <w:lang w:val="it-IT"/>
        </w:rPr>
      </w:pPr>
    </w:p>
    <w:p w14:paraId="456792FB" w14:textId="77777777" w:rsidR="0025223D" w:rsidRPr="001A0391" w:rsidRDefault="0025223D" w:rsidP="00B858F8">
      <w:pPr>
        <w:spacing w:after="0" w:line="240" w:lineRule="auto"/>
        <w:rPr>
          <w:rFonts w:ascii="Times New Roman" w:hAnsi="Times New Roman" w:cs="Times New Roman"/>
          <w:lang w:val="it-IT"/>
        </w:rPr>
      </w:pPr>
    </w:p>
    <w:p w14:paraId="456792FC" w14:textId="77777777" w:rsidR="0025223D" w:rsidRPr="001A0391" w:rsidRDefault="0025223D" w:rsidP="00B858F8">
      <w:pPr>
        <w:spacing w:after="0" w:line="240" w:lineRule="auto"/>
        <w:rPr>
          <w:rFonts w:ascii="Times New Roman" w:hAnsi="Times New Roman" w:cs="Times New Roman"/>
          <w:lang w:val="it-IT"/>
        </w:rPr>
      </w:pPr>
    </w:p>
    <w:p w14:paraId="456792FD" w14:textId="77777777" w:rsidR="0025223D" w:rsidRPr="001A0391" w:rsidRDefault="0025223D" w:rsidP="00B858F8">
      <w:pPr>
        <w:spacing w:after="0" w:line="240" w:lineRule="auto"/>
        <w:rPr>
          <w:rFonts w:ascii="Times New Roman" w:hAnsi="Times New Roman" w:cs="Times New Roman"/>
          <w:lang w:val="it-IT"/>
        </w:rPr>
      </w:pPr>
    </w:p>
    <w:p w14:paraId="456792FE" w14:textId="77777777" w:rsidR="0025223D" w:rsidRPr="001A0391" w:rsidRDefault="0025223D" w:rsidP="00B858F8">
      <w:pPr>
        <w:spacing w:after="0" w:line="240" w:lineRule="auto"/>
        <w:rPr>
          <w:rFonts w:ascii="Times New Roman" w:hAnsi="Times New Roman" w:cs="Times New Roman"/>
          <w:lang w:val="it-IT"/>
        </w:rPr>
      </w:pPr>
    </w:p>
    <w:p w14:paraId="456792FF" w14:textId="77777777" w:rsidR="0025223D" w:rsidRPr="001A0391" w:rsidRDefault="0025223D" w:rsidP="00B858F8">
      <w:pPr>
        <w:spacing w:after="0" w:line="240" w:lineRule="auto"/>
        <w:rPr>
          <w:rFonts w:ascii="Times New Roman" w:hAnsi="Times New Roman" w:cs="Times New Roman"/>
          <w:lang w:val="it-IT"/>
        </w:rPr>
      </w:pPr>
    </w:p>
    <w:p w14:paraId="45679300" w14:textId="77777777" w:rsidR="0025223D" w:rsidRPr="001A0391" w:rsidRDefault="0025223D" w:rsidP="00B858F8">
      <w:pPr>
        <w:spacing w:after="0" w:line="240" w:lineRule="auto"/>
        <w:rPr>
          <w:rFonts w:ascii="Times New Roman" w:hAnsi="Times New Roman" w:cs="Times New Roman"/>
          <w:lang w:val="it-IT"/>
        </w:rPr>
      </w:pPr>
    </w:p>
    <w:p w14:paraId="45679301" w14:textId="77777777" w:rsidR="0025223D" w:rsidRPr="001A0391" w:rsidRDefault="0025223D" w:rsidP="00B858F8">
      <w:pPr>
        <w:spacing w:after="0" w:line="240" w:lineRule="auto"/>
        <w:rPr>
          <w:rFonts w:ascii="Times New Roman" w:hAnsi="Times New Roman" w:cs="Times New Roman"/>
          <w:lang w:val="it-IT"/>
        </w:rPr>
      </w:pPr>
    </w:p>
    <w:p w14:paraId="45679302" w14:textId="77777777" w:rsidR="0025223D" w:rsidRPr="001A0391" w:rsidRDefault="0025223D" w:rsidP="00B858F8">
      <w:pPr>
        <w:spacing w:after="0" w:line="240" w:lineRule="auto"/>
        <w:rPr>
          <w:rFonts w:ascii="Times New Roman" w:hAnsi="Times New Roman" w:cs="Times New Roman"/>
          <w:lang w:val="it-IT"/>
        </w:rPr>
      </w:pPr>
    </w:p>
    <w:p w14:paraId="45679303" w14:textId="77777777" w:rsidR="0025223D" w:rsidRPr="001A0391" w:rsidRDefault="0025223D" w:rsidP="00B858F8">
      <w:pPr>
        <w:spacing w:after="0" w:line="240" w:lineRule="auto"/>
        <w:rPr>
          <w:rFonts w:ascii="Times New Roman" w:hAnsi="Times New Roman" w:cs="Times New Roman"/>
          <w:lang w:val="it-IT"/>
        </w:rPr>
      </w:pPr>
    </w:p>
    <w:p w14:paraId="45679304" w14:textId="77777777" w:rsidR="0025223D" w:rsidRPr="001A0391" w:rsidRDefault="0025223D" w:rsidP="00B858F8">
      <w:pPr>
        <w:spacing w:after="0" w:line="240" w:lineRule="auto"/>
        <w:rPr>
          <w:rFonts w:ascii="Times New Roman" w:hAnsi="Times New Roman" w:cs="Times New Roman"/>
          <w:lang w:val="it-IT"/>
        </w:rPr>
      </w:pPr>
    </w:p>
    <w:sectPr w:rsidR="0025223D" w:rsidRPr="001A0391" w:rsidSect="00352372">
      <w:headerReference w:type="default" r:id="rId17"/>
      <w:footerReference w:type="default" r:id="rId18"/>
      <w:type w:val="nextColumn"/>
      <w:pgSz w:w="11920" w:h="16840"/>
      <w:pgMar w:top="1418" w:right="1134"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637B4" w14:textId="77777777" w:rsidR="003E51B0" w:rsidRDefault="003E51B0">
      <w:pPr>
        <w:spacing w:after="0" w:line="240" w:lineRule="auto"/>
      </w:pPr>
      <w:r>
        <w:separator/>
      </w:r>
    </w:p>
  </w:endnote>
  <w:endnote w:type="continuationSeparator" w:id="0">
    <w:p w14:paraId="36F4BC34" w14:textId="77777777" w:rsidR="003E51B0" w:rsidRDefault="003E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79557" w14:textId="74878EF8" w:rsidR="007645CE" w:rsidRDefault="007645CE">
    <w:pPr>
      <w:spacing w:after="0" w:line="200" w:lineRule="exact"/>
      <w:rPr>
        <w:sz w:val="20"/>
        <w:szCs w:val="20"/>
      </w:rPr>
    </w:pPr>
    <w:r>
      <w:rPr>
        <w:noProof/>
        <w:lang w:eastAsia="sk-SK"/>
      </w:rPr>
      <mc:AlternateContent>
        <mc:Choice Requires="wps">
          <w:drawing>
            <wp:anchor distT="0" distB="0" distL="114300" distR="114300" simplePos="0" relativeHeight="251657728" behindDoc="1" locked="0" layoutInCell="1" allowOverlap="1" wp14:anchorId="45679558" wp14:editId="0657E20C">
              <wp:simplePos x="0" y="0"/>
              <wp:positionH relativeFrom="page">
                <wp:posOffset>3667125</wp:posOffset>
              </wp:positionH>
              <wp:positionV relativeFrom="page">
                <wp:posOffset>10107295</wp:posOffset>
              </wp:positionV>
              <wp:extent cx="163830" cy="127635"/>
              <wp:effectExtent l="0" t="1270" r="0" b="4445"/>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795D4" w14:textId="77777777" w:rsidR="007645CE" w:rsidRDefault="007645CE">
                          <w:pPr>
                            <w:spacing w:after="0" w:line="240" w:lineRule="auto"/>
                            <w:ind w:left="40" w:right="-20"/>
                            <w:rPr>
                              <w:rFonts w:ascii="Arial" w:eastAsia="Arial" w:hAnsi="Arial" w:cs="Arial"/>
                              <w:sz w:val="16"/>
                              <w:szCs w:val="16"/>
                            </w:rPr>
                          </w:pPr>
                          <w:r>
                            <w:rPr>
                              <w:lang w:bidi="sk-SK"/>
                            </w:rPr>
                            <w:fldChar w:fldCharType="begin"/>
                          </w:r>
                          <w:r>
                            <w:rPr>
                              <w:rFonts w:ascii="Arial" w:eastAsia="Arial" w:hAnsi="Arial" w:cs="Arial"/>
                              <w:sz w:val="16"/>
                              <w:szCs w:val="16"/>
                              <w:lang w:bidi="sk-SK"/>
                            </w:rPr>
                            <w:instrText xml:space="preserve"> PAGE </w:instrText>
                          </w:r>
                          <w:r>
                            <w:rPr>
                              <w:lang w:bidi="sk-SK"/>
                            </w:rPr>
                            <w:fldChar w:fldCharType="separate"/>
                          </w:r>
                          <w:r w:rsidR="006B5A90">
                            <w:rPr>
                              <w:rFonts w:ascii="Arial" w:eastAsia="Arial" w:hAnsi="Arial" w:cs="Arial"/>
                              <w:noProof/>
                              <w:sz w:val="16"/>
                              <w:szCs w:val="16"/>
                              <w:lang w:bidi="sk-SK"/>
                            </w:rPr>
                            <w:t>2</w:t>
                          </w:r>
                          <w:r>
                            <w:rPr>
                              <w:lang w:bidi="sk-S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79558" id="_x0000_t202" coordsize="21600,21600" o:spt="202" path="m,l,21600r21600,l21600,xe">
              <v:stroke joinstyle="miter"/>
              <v:path gradientshapeok="t" o:connecttype="rect"/>
            </v:shapetype>
            <v:shape id="Text Box 1" o:spid="_x0000_s1026" type="#_x0000_t202" style="position:absolute;margin-left:288.75pt;margin-top:795.8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" filled="f" stroked="f">
              <v:textbox inset="0,0,0,0">
                <w:txbxContent>
                  <w:p w14:paraId="456795D4" w14:textId="77777777" w:rsidR="007645CE" w:rsidRDefault="007645CE">
                    <w:pPr>
                      <w:spacing w:after="0" w:line="240" w:lineRule="auto"/>
                      <w:ind w:left="40" w:right="-20"/>
                      <w:rPr>
                        <w:rFonts w:ascii="Arial" w:eastAsia="Arial" w:hAnsi="Arial" w:cs="Arial"/>
                        <w:sz w:val="16"/>
                        <w:szCs w:val="16"/>
                      </w:rPr>
                    </w:pPr>
                    <w:r>
                      <w:rPr>
                        <w:lang w:bidi="sk-SK"/>
                      </w:rPr>
                      <w:fldChar w:fldCharType="begin"/>
                    </w:r>
                    <w:r>
                      <w:rPr>
                        <w:rFonts w:ascii="Arial" w:eastAsia="Arial" w:hAnsi="Arial" w:cs="Arial"/>
                        <w:sz w:val="16"/>
                        <w:szCs w:val="16"/>
                        <w:lang w:bidi="sk-SK"/>
                      </w:rPr>
                      <w:instrText xml:space="preserve"> PAGE </w:instrText>
                    </w:r>
                    <w:r>
                      <w:rPr>
                        <w:lang w:bidi="sk-SK"/>
                      </w:rPr>
                      <w:fldChar w:fldCharType="separate"/>
                    </w:r>
                    <w:r w:rsidR="006B5A90">
                      <w:rPr>
                        <w:rFonts w:ascii="Arial" w:eastAsia="Arial" w:hAnsi="Arial" w:cs="Arial"/>
                        <w:noProof/>
                        <w:sz w:val="16"/>
                        <w:szCs w:val="16"/>
                        <w:lang w:bidi="sk-SK"/>
                      </w:rPr>
                      <w:t>2</w:t>
                    </w:r>
                    <w:r>
                      <w:rPr>
                        <w:lang w:bidi="sk-SK"/>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786F7" w14:textId="77777777" w:rsidR="003E51B0" w:rsidRDefault="003E51B0">
      <w:pPr>
        <w:spacing w:after="0" w:line="240" w:lineRule="auto"/>
      </w:pPr>
      <w:r>
        <w:separator/>
      </w:r>
    </w:p>
  </w:footnote>
  <w:footnote w:type="continuationSeparator" w:id="0">
    <w:p w14:paraId="7B3A8EEF" w14:textId="77777777" w:rsidR="003E51B0" w:rsidRDefault="003E5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6661A" w14:textId="05106689" w:rsidR="00CD26E5" w:rsidRPr="00CD26E5" w:rsidRDefault="00CD26E5" w:rsidP="00CD26E5">
    <w:pPr>
      <w:widowControl/>
      <w:spacing w:after="0" w:line="240" w:lineRule="auto"/>
      <w:rPr>
        <w:rFonts w:ascii="Times New Roman" w:eastAsia="Times New Roman" w:hAnsi="Times New Roman" w:cs="Times New Roman"/>
        <w:sz w:val="18"/>
        <w:szCs w:val="18"/>
        <w:lang w:val="en-AU"/>
      </w:rPr>
    </w:pPr>
    <w:bookmarkStart w:id="1" w:name="_Hlk513112080"/>
    <w:r w:rsidRPr="00CD26E5">
      <w:rPr>
        <w:rFonts w:ascii="Times New Roman" w:eastAsia="Times New Roman" w:hAnsi="Times New Roman" w:cs="Times New Roman"/>
        <w:sz w:val="18"/>
        <w:szCs w:val="18"/>
        <w:lang w:val="en-AU"/>
      </w:rPr>
      <w:t>Schválený text k rozhodnutiu o regis</w:t>
    </w:r>
    <w:r>
      <w:rPr>
        <w:rFonts w:ascii="Times New Roman" w:eastAsia="Times New Roman" w:hAnsi="Times New Roman" w:cs="Times New Roman"/>
        <w:sz w:val="18"/>
        <w:szCs w:val="18"/>
        <w:lang w:val="en-AU"/>
      </w:rPr>
      <w:t>trácii lieku, ev. č.: 2018/04004-REG</w:t>
    </w:r>
  </w:p>
  <w:bookmarkEnd w:id="1"/>
  <w:p w14:paraId="4C052B1C" w14:textId="77777777" w:rsidR="00CD26E5" w:rsidRDefault="00CD26E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26FAB"/>
    <w:multiLevelType w:val="hybridMultilevel"/>
    <w:tmpl w:val="4E04510A"/>
    <w:lvl w:ilvl="0" w:tplc="464A15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B59FF"/>
    <w:multiLevelType w:val="hybridMultilevel"/>
    <w:tmpl w:val="FFAC2274"/>
    <w:lvl w:ilvl="0" w:tplc="B49C4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41F15"/>
    <w:multiLevelType w:val="hybridMultilevel"/>
    <w:tmpl w:val="63AE889A"/>
    <w:lvl w:ilvl="0" w:tplc="27D2261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301DB"/>
    <w:multiLevelType w:val="hybridMultilevel"/>
    <w:tmpl w:val="5E7E6546"/>
    <w:lvl w:ilvl="0" w:tplc="E480BD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2267D"/>
    <w:multiLevelType w:val="hybridMultilevel"/>
    <w:tmpl w:val="3C922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0F90"/>
    <w:multiLevelType w:val="hybridMultilevel"/>
    <w:tmpl w:val="D074AA30"/>
    <w:lvl w:ilvl="0" w:tplc="AA1A56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3D"/>
    <w:rsid w:val="00002E2D"/>
    <w:rsid w:val="00003E20"/>
    <w:rsid w:val="00004F58"/>
    <w:rsid w:val="00005A31"/>
    <w:rsid w:val="0000691A"/>
    <w:rsid w:val="000075A9"/>
    <w:rsid w:val="00014B07"/>
    <w:rsid w:val="00017FAB"/>
    <w:rsid w:val="00022FE4"/>
    <w:rsid w:val="000240E4"/>
    <w:rsid w:val="000245E3"/>
    <w:rsid w:val="00026AAC"/>
    <w:rsid w:val="00026BF3"/>
    <w:rsid w:val="000301CA"/>
    <w:rsid w:val="00031461"/>
    <w:rsid w:val="00032487"/>
    <w:rsid w:val="000366CD"/>
    <w:rsid w:val="000375BE"/>
    <w:rsid w:val="000405A2"/>
    <w:rsid w:val="00041AB4"/>
    <w:rsid w:val="0004368E"/>
    <w:rsid w:val="00047B31"/>
    <w:rsid w:val="00050725"/>
    <w:rsid w:val="00051382"/>
    <w:rsid w:val="000521EB"/>
    <w:rsid w:val="00055114"/>
    <w:rsid w:val="00055966"/>
    <w:rsid w:val="00061273"/>
    <w:rsid w:val="000757F3"/>
    <w:rsid w:val="000777A3"/>
    <w:rsid w:val="00092037"/>
    <w:rsid w:val="00094355"/>
    <w:rsid w:val="00094D9F"/>
    <w:rsid w:val="000963B7"/>
    <w:rsid w:val="00096FE7"/>
    <w:rsid w:val="000A4D09"/>
    <w:rsid w:val="000A7482"/>
    <w:rsid w:val="000B22A8"/>
    <w:rsid w:val="000B3BC7"/>
    <w:rsid w:val="000D2AF1"/>
    <w:rsid w:val="000D3F78"/>
    <w:rsid w:val="000D5AF3"/>
    <w:rsid w:val="000D6598"/>
    <w:rsid w:val="000E0438"/>
    <w:rsid w:val="000E1276"/>
    <w:rsid w:val="000E1BFA"/>
    <w:rsid w:val="000E4EFF"/>
    <w:rsid w:val="000E6B8A"/>
    <w:rsid w:val="000F3D0A"/>
    <w:rsid w:val="000F5099"/>
    <w:rsid w:val="000F5C09"/>
    <w:rsid w:val="000F5EFD"/>
    <w:rsid w:val="00100186"/>
    <w:rsid w:val="00110E16"/>
    <w:rsid w:val="001121D5"/>
    <w:rsid w:val="001129E3"/>
    <w:rsid w:val="00114207"/>
    <w:rsid w:val="00114290"/>
    <w:rsid w:val="00117411"/>
    <w:rsid w:val="0012086B"/>
    <w:rsid w:val="00120A4D"/>
    <w:rsid w:val="00123D07"/>
    <w:rsid w:val="001302BA"/>
    <w:rsid w:val="0013447D"/>
    <w:rsid w:val="001362E3"/>
    <w:rsid w:val="0014012D"/>
    <w:rsid w:val="00141409"/>
    <w:rsid w:val="00143F7B"/>
    <w:rsid w:val="0014578C"/>
    <w:rsid w:val="00145E58"/>
    <w:rsid w:val="00145EB4"/>
    <w:rsid w:val="00146B7A"/>
    <w:rsid w:val="00147F57"/>
    <w:rsid w:val="001508CB"/>
    <w:rsid w:val="0015200B"/>
    <w:rsid w:val="00154120"/>
    <w:rsid w:val="0015537D"/>
    <w:rsid w:val="001631BC"/>
    <w:rsid w:val="00163AC3"/>
    <w:rsid w:val="00165943"/>
    <w:rsid w:val="00165D3E"/>
    <w:rsid w:val="001671E2"/>
    <w:rsid w:val="0016729C"/>
    <w:rsid w:val="001672F2"/>
    <w:rsid w:val="00172FF8"/>
    <w:rsid w:val="00173B4D"/>
    <w:rsid w:val="00174123"/>
    <w:rsid w:val="00183444"/>
    <w:rsid w:val="00185273"/>
    <w:rsid w:val="001916AB"/>
    <w:rsid w:val="001968CD"/>
    <w:rsid w:val="001A0391"/>
    <w:rsid w:val="001A0965"/>
    <w:rsid w:val="001A0E1E"/>
    <w:rsid w:val="001A670A"/>
    <w:rsid w:val="001A6F05"/>
    <w:rsid w:val="001C2F1C"/>
    <w:rsid w:val="001C49A2"/>
    <w:rsid w:val="001C6872"/>
    <w:rsid w:val="001D4A80"/>
    <w:rsid w:val="001D51E7"/>
    <w:rsid w:val="001D79CC"/>
    <w:rsid w:val="001E0EB6"/>
    <w:rsid w:val="001E2725"/>
    <w:rsid w:val="001E2F77"/>
    <w:rsid w:val="001E61D5"/>
    <w:rsid w:val="001F2CE7"/>
    <w:rsid w:val="001F347E"/>
    <w:rsid w:val="001F3EE5"/>
    <w:rsid w:val="001F424F"/>
    <w:rsid w:val="001F6AB4"/>
    <w:rsid w:val="00203510"/>
    <w:rsid w:val="002048FA"/>
    <w:rsid w:val="0020736F"/>
    <w:rsid w:val="00213628"/>
    <w:rsid w:val="00217206"/>
    <w:rsid w:val="0021764B"/>
    <w:rsid w:val="00220348"/>
    <w:rsid w:val="002212F4"/>
    <w:rsid w:val="002259CC"/>
    <w:rsid w:val="00230F42"/>
    <w:rsid w:val="002315AD"/>
    <w:rsid w:val="0023188F"/>
    <w:rsid w:val="002344A3"/>
    <w:rsid w:val="00241D83"/>
    <w:rsid w:val="00242EC6"/>
    <w:rsid w:val="0024444E"/>
    <w:rsid w:val="00245783"/>
    <w:rsid w:val="0025223D"/>
    <w:rsid w:val="00254455"/>
    <w:rsid w:val="00255B17"/>
    <w:rsid w:val="002563F3"/>
    <w:rsid w:val="0025780F"/>
    <w:rsid w:val="00261646"/>
    <w:rsid w:val="002623F3"/>
    <w:rsid w:val="0026722C"/>
    <w:rsid w:val="002674BE"/>
    <w:rsid w:val="00272DCC"/>
    <w:rsid w:val="002763EC"/>
    <w:rsid w:val="00276D48"/>
    <w:rsid w:val="00282E72"/>
    <w:rsid w:val="00286CE6"/>
    <w:rsid w:val="002938D9"/>
    <w:rsid w:val="00293CA3"/>
    <w:rsid w:val="00295B3A"/>
    <w:rsid w:val="00296926"/>
    <w:rsid w:val="002A099A"/>
    <w:rsid w:val="002A3193"/>
    <w:rsid w:val="002A4AA0"/>
    <w:rsid w:val="002A723C"/>
    <w:rsid w:val="002A79E6"/>
    <w:rsid w:val="002A7EFD"/>
    <w:rsid w:val="002C091A"/>
    <w:rsid w:val="002C46EF"/>
    <w:rsid w:val="002D0CB6"/>
    <w:rsid w:val="002D1EB2"/>
    <w:rsid w:val="002D1F82"/>
    <w:rsid w:val="002E2F95"/>
    <w:rsid w:val="002E3EC4"/>
    <w:rsid w:val="002F18FA"/>
    <w:rsid w:val="002F4AE2"/>
    <w:rsid w:val="002F7741"/>
    <w:rsid w:val="00307188"/>
    <w:rsid w:val="003078A3"/>
    <w:rsid w:val="003127E6"/>
    <w:rsid w:val="00314B21"/>
    <w:rsid w:val="00315C63"/>
    <w:rsid w:val="00316D1C"/>
    <w:rsid w:val="00323834"/>
    <w:rsid w:val="00325AD7"/>
    <w:rsid w:val="00325C9B"/>
    <w:rsid w:val="00330574"/>
    <w:rsid w:val="00330791"/>
    <w:rsid w:val="00332907"/>
    <w:rsid w:val="00334BD7"/>
    <w:rsid w:val="003473A7"/>
    <w:rsid w:val="0035073E"/>
    <w:rsid w:val="0035170A"/>
    <w:rsid w:val="00352372"/>
    <w:rsid w:val="00355295"/>
    <w:rsid w:val="00361F81"/>
    <w:rsid w:val="00363207"/>
    <w:rsid w:val="00376EAB"/>
    <w:rsid w:val="003837CD"/>
    <w:rsid w:val="00383A34"/>
    <w:rsid w:val="00384799"/>
    <w:rsid w:val="00390748"/>
    <w:rsid w:val="00391052"/>
    <w:rsid w:val="003A0462"/>
    <w:rsid w:val="003A12B8"/>
    <w:rsid w:val="003A4EE5"/>
    <w:rsid w:val="003A79A3"/>
    <w:rsid w:val="003B18BA"/>
    <w:rsid w:val="003B6DE2"/>
    <w:rsid w:val="003B71B5"/>
    <w:rsid w:val="003C2BB2"/>
    <w:rsid w:val="003D21CA"/>
    <w:rsid w:val="003D27EF"/>
    <w:rsid w:val="003D4CA3"/>
    <w:rsid w:val="003D6487"/>
    <w:rsid w:val="003D7E0A"/>
    <w:rsid w:val="003E51B0"/>
    <w:rsid w:val="003E5436"/>
    <w:rsid w:val="00404070"/>
    <w:rsid w:val="004044C5"/>
    <w:rsid w:val="00405EC5"/>
    <w:rsid w:val="00406C54"/>
    <w:rsid w:val="00407E11"/>
    <w:rsid w:val="00412011"/>
    <w:rsid w:val="00413CEB"/>
    <w:rsid w:val="00415110"/>
    <w:rsid w:val="004151EF"/>
    <w:rsid w:val="00416C7C"/>
    <w:rsid w:val="004179FD"/>
    <w:rsid w:val="00420663"/>
    <w:rsid w:val="004208D8"/>
    <w:rsid w:val="0042121A"/>
    <w:rsid w:val="00424865"/>
    <w:rsid w:val="00426220"/>
    <w:rsid w:val="00427FEE"/>
    <w:rsid w:val="00434D3C"/>
    <w:rsid w:val="00436805"/>
    <w:rsid w:val="0043739B"/>
    <w:rsid w:val="004431B8"/>
    <w:rsid w:val="004463A1"/>
    <w:rsid w:val="004554DF"/>
    <w:rsid w:val="004618B9"/>
    <w:rsid w:val="0046274E"/>
    <w:rsid w:val="00464BA3"/>
    <w:rsid w:val="004650FA"/>
    <w:rsid w:val="00467404"/>
    <w:rsid w:val="00467EF5"/>
    <w:rsid w:val="0047338B"/>
    <w:rsid w:val="00475E0D"/>
    <w:rsid w:val="00477382"/>
    <w:rsid w:val="00480344"/>
    <w:rsid w:val="00481002"/>
    <w:rsid w:val="00481BEC"/>
    <w:rsid w:val="0048318F"/>
    <w:rsid w:val="00484AD5"/>
    <w:rsid w:val="00491D71"/>
    <w:rsid w:val="00493091"/>
    <w:rsid w:val="00493CD4"/>
    <w:rsid w:val="004A23B3"/>
    <w:rsid w:val="004A2C1A"/>
    <w:rsid w:val="004A3E65"/>
    <w:rsid w:val="004A4085"/>
    <w:rsid w:val="004B10EE"/>
    <w:rsid w:val="004B246A"/>
    <w:rsid w:val="004B2535"/>
    <w:rsid w:val="004B25C3"/>
    <w:rsid w:val="004B3100"/>
    <w:rsid w:val="004B540A"/>
    <w:rsid w:val="004C1DF1"/>
    <w:rsid w:val="004D13A2"/>
    <w:rsid w:val="004D48CC"/>
    <w:rsid w:val="004E08FD"/>
    <w:rsid w:val="004E2559"/>
    <w:rsid w:val="004E5EC3"/>
    <w:rsid w:val="004E7EFD"/>
    <w:rsid w:val="004F2FBC"/>
    <w:rsid w:val="004F3ADD"/>
    <w:rsid w:val="004F559D"/>
    <w:rsid w:val="004F6FA0"/>
    <w:rsid w:val="004F760A"/>
    <w:rsid w:val="00500606"/>
    <w:rsid w:val="00502BEF"/>
    <w:rsid w:val="00507624"/>
    <w:rsid w:val="0051066F"/>
    <w:rsid w:val="005107EF"/>
    <w:rsid w:val="0052190F"/>
    <w:rsid w:val="0052401A"/>
    <w:rsid w:val="00525DDA"/>
    <w:rsid w:val="00526EF9"/>
    <w:rsid w:val="00532A48"/>
    <w:rsid w:val="00533304"/>
    <w:rsid w:val="00537ED8"/>
    <w:rsid w:val="005408B9"/>
    <w:rsid w:val="00547249"/>
    <w:rsid w:val="00550798"/>
    <w:rsid w:val="00557982"/>
    <w:rsid w:val="00557CB1"/>
    <w:rsid w:val="005602F0"/>
    <w:rsid w:val="00561304"/>
    <w:rsid w:val="005615C0"/>
    <w:rsid w:val="0056191D"/>
    <w:rsid w:val="005646BD"/>
    <w:rsid w:val="005658AE"/>
    <w:rsid w:val="00567BDD"/>
    <w:rsid w:val="00567D64"/>
    <w:rsid w:val="00567EE3"/>
    <w:rsid w:val="005708C7"/>
    <w:rsid w:val="00570E5C"/>
    <w:rsid w:val="00571AA8"/>
    <w:rsid w:val="005723FD"/>
    <w:rsid w:val="00574BFB"/>
    <w:rsid w:val="00577B65"/>
    <w:rsid w:val="005836F1"/>
    <w:rsid w:val="00583A22"/>
    <w:rsid w:val="00584D24"/>
    <w:rsid w:val="0059563F"/>
    <w:rsid w:val="005A0DEB"/>
    <w:rsid w:val="005A10B0"/>
    <w:rsid w:val="005A22A2"/>
    <w:rsid w:val="005A7CEB"/>
    <w:rsid w:val="005B07DE"/>
    <w:rsid w:val="005B35DD"/>
    <w:rsid w:val="005C4D7B"/>
    <w:rsid w:val="005C4DEF"/>
    <w:rsid w:val="005C56C7"/>
    <w:rsid w:val="005D2A69"/>
    <w:rsid w:val="005D4568"/>
    <w:rsid w:val="005D5DE4"/>
    <w:rsid w:val="005D604C"/>
    <w:rsid w:val="005E0041"/>
    <w:rsid w:val="005E6D1A"/>
    <w:rsid w:val="005F5094"/>
    <w:rsid w:val="006035FA"/>
    <w:rsid w:val="00604B9C"/>
    <w:rsid w:val="0060614A"/>
    <w:rsid w:val="006104CE"/>
    <w:rsid w:val="006174BC"/>
    <w:rsid w:val="00622931"/>
    <w:rsid w:val="00622A6A"/>
    <w:rsid w:val="00622F63"/>
    <w:rsid w:val="00623B1A"/>
    <w:rsid w:val="0062601D"/>
    <w:rsid w:val="00632693"/>
    <w:rsid w:val="0064119D"/>
    <w:rsid w:val="006419D9"/>
    <w:rsid w:val="00643D5E"/>
    <w:rsid w:val="006530AA"/>
    <w:rsid w:val="00655AA1"/>
    <w:rsid w:val="00657F04"/>
    <w:rsid w:val="00661D99"/>
    <w:rsid w:val="00661F02"/>
    <w:rsid w:val="00662432"/>
    <w:rsid w:val="0066340D"/>
    <w:rsid w:val="00664EAC"/>
    <w:rsid w:val="00666F28"/>
    <w:rsid w:val="00671065"/>
    <w:rsid w:val="006744AC"/>
    <w:rsid w:val="0067666B"/>
    <w:rsid w:val="00684DB3"/>
    <w:rsid w:val="00687EAF"/>
    <w:rsid w:val="00693D45"/>
    <w:rsid w:val="006A41CA"/>
    <w:rsid w:val="006B5A90"/>
    <w:rsid w:val="006C2629"/>
    <w:rsid w:val="006C28E3"/>
    <w:rsid w:val="006C42A8"/>
    <w:rsid w:val="006C5D79"/>
    <w:rsid w:val="006D579F"/>
    <w:rsid w:val="006D6239"/>
    <w:rsid w:val="006D7492"/>
    <w:rsid w:val="006E3CEB"/>
    <w:rsid w:val="006E4BA4"/>
    <w:rsid w:val="006E4DB4"/>
    <w:rsid w:val="006E68DC"/>
    <w:rsid w:val="006E7F81"/>
    <w:rsid w:val="006F6930"/>
    <w:rsid w:val="006F7A39"/>
    <w:rsid w:val="0070007A"/>
    <w:rsid w:val="00700133"/>
    <w:rsid w:val="00703BD0"/>
    <w:rsid w:val="00706656"/>
    <w:rsid w:val="00710773"/>
    <w:rsid w:val="00712E63"/>
    <w:rsid w:val="00713069"/>
    <w:rsid w:val="007130EF"/>
    <w:rsid w:val="007171AC"/>
    <w:rsid w:val="0071785E"/>
    <w:rsid w:val="00721937"/>
    <w:rsid w:val="00721D96"/>
    <w:rsid w:val="00722294"/>
    <w:rsid w:val="007244F8"/>
    <w:rsid w:val="0072788E"/>
    <w:rsid w:val="00727CB1"/>
    <w:rsid w:val="007320B7"/>
    <w:rsid w:val="00734A3D"/>
    <w:rsid w:val="007353A7"/>
    <w:rsid w:val="0073626B"/>
    <w:rsid w:val="00742561"/>
    <w:rsid w:val="00746560"/>
    <w:rsid w:val="00751498"/>
    <w:rsid w:val="0075155B"/>
    <w:rsid w:val="00753AB1"/>
    <w:rsid w:val="00756E80"/>
    <w:rsid w:val="00762FD8"/>
    <w:rsid w:val="007645CE"/>
    <w:rsid w:val="00770EA4"/>
    <w:rsid w:val="00771EF2"/>
    <w:rsid w:val="00773692"/>
    <w:rsid w:val="00786647"/>
    <w:rsid w:val="00787137"/>
    <w:rsid w:val="00792B98"/>
    <w:rsid w:val="00796561"/>
    <w:rsid w:val="00796D2F"/>
    <w:rsid w:val="007A0143"/>
    <w:rsid w:val="007A0401"/>
    <w:rsid w:val="007A3976"/>
    <w:rsid w:val="007B04B6"/>
    <w:rsid w:val="007B0D56"/>
    <w:rsid w:val="007B1C2A"/>
    <w:rsid w:val="007B2AFA"/>
    <w:rsid w:val="007B2CA6"/>
    <w:rsid w:val="007B42D6"/>
    <w:rsid w:val="007B5DC9"/>
    <w:rsid w:val="007C3105"/>
    <w:rsid w:val="007C4907"/>
    <w:rsid w:val="007C5CFC"/>
    <w:rsid w:val="007C7668"/>
    <w:rsid w:val="007C76EB"/>
    <w:rsid w:val="007C7A2B"/>
    <w:rsid w:val="007C7E68"/>
    <w:rsid w:val="007D0B38"/>
    <w:rsid w:val="007D11B2"/>
    <w:rsid w:val="007D37A2"/>
    <w:rsid w:val="007D4683"/>
    <w:rsid w:val="007D4DBD"/>
    <w:rsid w:val="007D6AE7"/>
    <w:rsid w:val="007D7E05"/>
    <w:rsid w:val="007F02D6"/>
    <w:rsid w:val="007F10D0"/>
    <w:rsid w:val="007F28E4"/>
    <w:rsid w:val="007F4975"/>
    <w:rsid w:val="008043CB"/>
    <w:rsid w:val="00820406"/>
    <w:rsid w:val="00820903"/>
    <w:rsid w:val="008328AF"/>
    <w:rsid w:val="00833967"/>
    <w:rsid w:val="008405BA"/>
    <w:rsid w:val="0084112B"/>
    <w:rsid w:val="008414F4"/>
    <w:rsid w:val="008430D6"/>
    <w:rsid w:val="00846A2E"/>
    <w:rsid w:val="00846D86"/>
    <w:rsid w:val="00850335"/>
    <w:rsid w:val="00852A54"/>
    <w:rsid w:val="008538B9"/>
    <w:rsid w:val="00861FAD"/>
    <w:rsid w:val="0086458E"/>
    <w:rsid w:val="00864B21"/>
    <w:rsid w:val="00864B2C"/>
    <w:rsid w:val="00867064"/>
    <w:rsid w:val="0087094B"/>
    <w:rsid w:val="008740F5"/>
    <w:rsid w:val="008825B7"/>
    <w:rsid w:val="008835A0"/>
    <w:rsid w:val="00883A3A"/>
    <w:rsid w:val="00885288"/>
    <w:rsid w:val="00885EB4"/>
    <w:rsid w:val="008959DF"/>
    <w:rsid w:val="008A2629"/>
    <w:rsid w:val="008A54E0"/>
    <w:rsid w:val="008B539A"/>
    <w:rsid w:val="008C0274"/>
    <w:rsid w:val="008C070F"/>
    <w:rsid w:val="008C072F"/>
    <w:rsid w:val="008C0A23"/>
    <w:rsid w:val="008C451E"/>
    <w:rsid w:val="008C7840"/>
    <w:rsid w:val="008D1DA0"/>
    <w:rsid w:val="008D2009"/>
    <w:rsid w:val="008D630E"/>
    <w:rsid w:val="008E02D1"/>
    <w:rsid w:val="008E0E13"/>
    <w:rsid w:val="008E2EC2"/>
    <w:rsid w:val="008E4DB2"/>
    <w:rsid w:val="008E63AD"/>
    <w:rsid w:val="008E7A2F"/>
    <w:rsid w:val="008F1950"/>
    <w:rsid w:val="008F3DC9"/>
    <w:rsid w:val="008F5A44"/>
    <w:rsid w:val="008F6737"/>
    <w:rsid w:val="008F7AF8"/>
    <w:rsid w:val="00905692"/>
    <w:rsid w:val="00905F75"/>
    <w:rsid w:val="00906CEB"/>
    <w:rsid w:val="009100DD"/>
    <w:rsid w:val="00910C7B"/>
    <w:rsid w:val="00912AC6"/>
    <w:rsid w:val="0091371A"/>
    <w:rsid w:val="00915731"/>
    <w:rsid w:val="00925EF1"/>
    <w:rsid w:val="00926E0C"/>
    <w:rsid w:val="009308F9"/>
    <w:rsid w:val="00940A04"/>
    <w:rsid w:val="009447DE"/>
    <w:rsid w:val="009472EA"/>
    <w:rsid w:val="00961005"/>
    <w:rsid w:val="00961FE3"/>
    <w:rsid w:val="009718AF"/>
    <w:rsid w:val="00972591"/>
    <w:rsid w:val="00980B04"/>
    <w:rsid w:val="0098200C"/>
    <w:rsid w:val="00982042"/>
    <w:rsid w:val="00982E80"/>
    <w:rsid w:val="00984BD7"/>
    <w:rsid w:val="009856B1"/>
    <w:rsid w:val="00985AB7"/>
    <w:rsid w:val="00986B61"/>
    <w:rsid w:val="009870B6"/>
    <w:rsid w:val="009875C7"/>
    <w:rsid w:val="009943D9"/>
    <w:rsid w:val="00996FA1"/>
    <w:rsid w:val="009A0A5F"/>
    <w:rsid w:val="009A0D32"/>
    <w:rsid w:val="009A3960"/>
    <w:rsid w:val="009A6E7E"/>
    <w:rsid w:val="009B2BF1"/>
    <w:rsid w:val="009B42E2"/>
    <w:rsid w:val="009B53D6"/>
    <w:rsid w:val="009B66CF"/>
    <w:rsid w:val="009C13A8"/>
    <w:rsid w:val="009C4DC8"/>
    <w:rsid w:val="009C54F6"/>
    <w:rsid w:val="009C67D0"/>
    <w:rsid w:val="009D04A6"/>
    <w:rsid w:val="009D69C6"/>
    <w:rsid w:val="009E047F"/>
    <w:rsid w:val="009E0DD3"/>
    <w:rsid w:val="009E3ABC"/>
    <w:rsid w:val="009E4539"/>
    <w:rsid w:val="009E57B8"/>
    <w:rsid w:val="009F3637"/>
    <w:rsid w:val="009F7593"/>
    <w:rsid w:val="009F7CF6"/>
    <w:rsid w:val="00A060BC"/>
    <w:rsid w:val="00A07671"/>
    <w:rsid w:val="00A1201D"/>
    <w:rsid w:val="00A21E37"/>
    <w:rsid w:val="00A36E46"/>
    <w:rsid w:val="00A37717"/>
    <w:rsid w:val="00A451BB"/>
    <w:rsid w:val="00A46226"/>
    <w:rsid w:val="00A5283B"/>
    <w:rsid w:val="00A52E42"/>
    <w:rsid w:val="00A56063"/>
    <w:rsid w:val="00A57B2D"/>
    <w:rsid w:val="00A57EFD"/>
    <w:rsid w:val="00A614BD"/>
    <w:rsid w:val="00A6306E"/>
    <w:rsid w:val="00A63A8C"/>
    <w:rsid w:val="00A63F4D"/>
    <w:rsid w:val="00A65DA5"/>
    <w:rsid w:val="00A734BB"/>
    <w:rsid w:val="00A744F8"/>
    <w:rsid w:val="00A763D4"/>
    <w:rsid w:val="00A77A97"/>
    <w:rsid w:val="00A83ECE"/>
    <w:rsid w:val="00A85BC1"/>
    <w:rsid w:val="00A87291"/>
    <w:rsid w:val="00A90726"/>
    <w:rsid w:val="00A95540"/>
    <w:rsid w:val="00AA15A7"/>
    <w:rsid w:val="00AA4E06"/>
    <w:rsid w:val="00AA5503"/>
    <w:rsid w:val="00AA5752"/>
    <w:rsid w:val="00AA5881"/>
    <w:rsid w:val="00AA5D41"/>
    <w:rsid w:val="00AA5E71"/>
    <w:rsid w:val="00AA7F01"/>
    <w:rsid w:val="00AB4B3C"/>
    <w:rsid w:val="00AB5020"/>
    <w:rsid w:val="00AB67C5"/>
    <w:rsid w:val="00AB7207"/>
    <w:rsid w:val="00AC11A9"/>
    <w:rsid w:val="00AC292E"/>
    <w:rsid w:val="00AC2D62"/>
    <w:rsid w:val="00AC4164"/>
    <w:rsid w:val="00AC434F"/>
    <w:rsid w:val="00AD0962"/>
    <w:rsid w:val="00AD1B4C"/>
    <w:rsid w:val="00AD4389"/>
    <w:rsid w:val="00AD5926"/>
    <w:rsid w:val="00AE1BC1"/>
    <w:rsid w:val="00AE1F80"/>
    <w:rsid w:val="00AE2CDB"/>
    <w:rsid w:val="00AE444D"/>
    <w:rsid w:val="00AE456B"/>
    <w:rsid w:val="00AE5CEF"/>
    <w:rsid w:val="00AF0E8D"/>
    <w:rsid w:val="00AF12FD"/>
    <w:rsid w:val="00AF301D"/>
    <w:rsid w:val="00AF47FE"/>
    <w:rsid w:val="00AF487D"/>
    <w:rsid w:val="00AF51F0"/>
    <w:rsid w:val="00AF5F7B"/>
    <w:rsid w:val="00AF6494"/>
    <w:rsid w:val="00B02155"/>
    <w:rsid w:val="00B05BA1"/>
    <w:rsid w:val="00B06F83"/>
    <w:rsid w:val="00B1141E"/>
    <w:rsid w:val="00B11CBA"/>
    <w:rsid w:val="00B12508"/>
    <w:rsid w:val="00B21A61"/>
    <w:rsid w:val="00B21E2F"/>
    <w:rsid w:val="00B22B71"/>
    <w:rsid w:val="00B24FE0"/>
    <w:rsid w:val="00B30D6B"/>
    <w:rsid w:val="00B365AC"/>
    <w:rsid w:val="00B41D45"/>
    <w:rsid w:val="00B41DC3"/>
    <w:rsid w:val="00B44AA0"/>
    <w:rsid w:val="00B52792"/>
    <w:rsid w:val="00B54769"/>
    <w:rsid w:val="00B55754"/>
    <w:rsid w:val="00B55EEE"/>
    <w:rsid w:val="00B60CB2"/>
    <w:rsid w:val="00B616EF"/>
    <w:rsid w:val="00B63E1F"/>
    <w:rsid w:val="00B63FAD"/>
    <w:rsid w:val="00B646A7"/>
    <w:rsid w:val="00B6548E"/>
    <w:rsid w:val="00B65BA1"/>
    <w:rsid w:val="00B677CE"/>
    <w:rsid w:val="00B7111F"/>
    <w:rsid w:val="00B802CF"/>
    <w:rsid w:val="00B8210F"/>
    <w:rsid w:val="00B82A07"/>
    <w:rsid w:val="00B82F9B"/>
    <w:rsid w:val="00B8541B"/>
    <w:rsid w:val="00B854BD"/>
    <w:rsid w:val="00B858F8"/>
    <w:rsid w:val="00B90C6E"/>
    <w:rsid w:val="00B914C4"/>
    <w:rsid w:val="00B91FDB"/>
    <w:rsid w:val="00B92E56"/>
    <w:rsid w:val="00B93CC6"/>
    <w:rsid w:val="00B96BB1"/>
    <w:rsid w:val="00B97564"/>
    <w:rsid w:val="00B97A08"/>
    <w:rsid w:val="00BA0225"/>
    <w:rsid w:val="00BB1457"/>
    <w:rsid w:val="00BB279F"/>
    <w:rsid w:val="00BB3541"/>
    <w:rsid w:val="00BB5C46"/>
    <w:rsid w:val="00BB69A8"/>
    <w:rsid w:val="00BB6F3F"/>
    <w:rsid w:val="00BC7C6F"/>
    <w:rsid w:val="00BD1A70"/>
    <w:rsid w:val="00BD1B6B"/>
    <w:rsid w:val="00BD7433"/>
    <w:rsid w:val="00BD7FCE"/>
    <w:rsid w:val="00BE018C"/>
    <w:rsid w:val="00BE51F8"/>
    <w:rsid w:val="00BF1FB2"/>
    <w:rsid w:val="00BF4403"/>
    <w:rsid w:val="00BF58E6"/>
    <w:rsid w:val="00BF6375"/>
    <w:rsid w:val="00BF7125"/>
    <w:rsid w:val="00C0114B"/>
    <w:rsid w:val="00C01378"/>
    <w:rsid w:val="00C05BA4"/>
    <w:rsid w:val="00C0709F"/>
    <w:rsid w:val="00C07717"/>
    <w:rsid w:val="00C12B30"/>
    <w:rsid w:val="00C14D75"/>
    <w:rsid w:val="00C17E96"/>
    <w:rsid w:val="00C26E0A"/>
    <w:rsid w:val="00C30C0D"/>
    <w:rsid w:val="00C311F5"/>
    <w:rsid w:val="00C338D3"/>
    <w:rsid w:val="00C4317D"/>
    <w:rsid w:val="00C47069"/>
    <w:rsid w:val="00C47E20"/>
    <w:rsid w:val="00C507B2"/>
    <w:rsid w:val="00C57782"/>
    <w:rsid w:val="00C6771E"/>
    <w:rsid w:val="00C700CE"/>
    <w:rsid w:val="00C70EAE"/>
    <w:rsid w:val="00C77C03"/>
    <w:rsid w:val="00C8114D"/>
    <w:rsid w:val="00C817FB"/>
    <w:rsid w:val="00C8273C"/>
    <w:rsid w:val="00C83AD1"/>
    <w:rsid w:val="00C85246"/>
    <w:rsid w:val="00C85648"/>
    <w:rsid w:val="00C8710B"/>
    <w:rsid w:val="00C91EB3"/>
    <w:rsid w:val="00C92BCE"/>
    <w:rsid w:val="00C941BC"/>
    <w:rsid w:val="00CA1586"/>
    <w:rsid w:val="00CA6D32"/>
    <w:rsid w:val="00CC2108"/>
    <w:rsid w:val="00CC73CF"/>
    <w:rsid w:val="00CD1109"/>
    <w:rsid w:val="00CD26E5"/>
    <w:rsid w:val="00CD2AE7"/>
    <w:rsid w:val="00CD3F0F"/>
    <w:rsid w:val="00CD629C"/>
    <w:rsid w:val="00CE233D"/>
    <w:rsid w:val="00CE2571"/>
    <w:rsid w:val="00CE4E60"/>
    <w:rsid w:val="00CF56FB"/>
    <w:rsid w:val="00D00B60"/>
    <w:rsid w:val="00D0103B"/>
    <w:rsid w:val="00D07BBE"/>
    <w:rsid w:val="00D102ED"/>
    <w:rsid w:val="00D31B07"/>
    <w:rsid w:val="00D36766"/>
    <w:rsid w:val="00D42650"/>
    <w:rsid w:val="00D42742"/>
    <w:rsid w:val="00D4300E"/>
    <w:rsid w:val="00D43684"/>
    <w:rsid w:val="00D466D0"/>
    <w:rsid w:val="00D50271"/>
    <w:rsid w:val="00D52875"/>
    <w:rsid w:val="00D54AF4"/>
    <w:rsid w:val="00D55FB3"/>
    <w:rsid w:val="00D56274"/>
    <w:rsid w:val="00D71C75"/>
    <w:rsid w:val="00D75939"/>
    <w:rsid w:val="00D75BC6"/>
    <w:rsid w:val="00D75D6A"/>
    <w:rsid w:val="00D8047B"/>
    <w:rsid w:val="00D80871"/>
    <w:rsid w:val="00D80A14"/>
    <w:rsid w:val="00D80FEA"/>
    <w:rsid w:val="00D83685"/>
    <w:rsid w:val="00D8393E"/>
    <w:rsid w:val="00D847E0"/>
    <w:rsid w:val="00D869B6"/>
    <w:rsid w:val="00D91C1B"/>
    <w:rsid w:val="00D93308"/>
    <w:rsid w:val="00DA175B"/>
    <w:rsid w:val="00DA5BA9"/>
    <w:rsid w:val="00DA6362"/>
    <w:rsid w:val="00DB2A00"/>
    <w:rsid w:val="00DB57EC"/>
    <w:rsid w:val="00DB64EA"/>
    <w:rsid w:val="00DC4DCB"/>
    <w:rsid w:val="00DC60DB"/>
    <w:rsid w:val="00DC7680"/>
    <w:rsid w:val="00DD0AA0"/>
    <w:rsid w:val="00DD0CE5"/>
    <w:rsid w:val="00DD1472"/>
    <w:rsid w:val="00DD275F"/>
    <w:rsid w:val="00DD5E84"/>
    <w:rsid w:val="00DD6C9A"/>
    <w:rsid w:val="00DE0248"/>
    <w:rsid w:val="00DE11CA"/>
    <w:rsid w:val="00DE1469"/>
    <w:rsid w:val="00DE7842"/>
    <w:rsid w:val="00DF1435"/>
    <w:rsid w:val="00DF7636"/>
    <w:rsid w:val="00E00965"/>
    <w:rsid w:val="00E03590"/>
    <w:rsid w:val="00E03CD2"/>
    <w:rsid w:val="00E050CB"/>
    <w:rsid w:val="00E059AD"/>
    <w:rsid w:val="00E07B79"/>
    <w:rsid w:val="00E07CD5"/>
    <w:rsid w:val="00E1267F"/>
    <w:rsid w:val="00E129AB"/>
    <w:rsid w:val="00E172CA"/>
    <w:rsid w:val="00E23DD7"/>
    <w:rsid w:val="00E255FF"/>
    <w:rsid w:val="00E3051B"/>
    <w:rsid w:val="00E325B3"/>
    <w:rsid w:val="00E426E1"/>
    <w:rsid w:val="00E45252"/>
    <w:rsid w:val="00E55009"/>
    <w:rsid w:val="00E61AD8"/>
    <w:rsid w:val="00E6529F"/>
    <w:rsid w:val="00E65D1F"/>
    <w:rsid w:val="00E667E9"/>
    <w:rsid w:val="00E679FC"/>
    <w:rsid w:val="00E70E0B"/>
    <w:rsid w:val="00E712D4"/>
    <w:rsid w:val="00E71306"/>
    <w:rsid w:val="00E722AC"/>
    <w:rsid w:val="00E72E57"/>
    <w:rsid w:val="00E73A48"/>
    <w:rsid w:val="00E75CB0"/>
    <w:rsid w:val="00E771C3"/>
    <w:rsid w:val="00E77260"/>
    <w:rsid w:val="00E8162E"/>
    <w:rsid w:val="00E87665"/>
    <w:rsid w:val="00E87F88"/>
    <w:rsid w:val="00E92CB8"/>
    <w:rsid w:val="00E93D3E"/>
    <w:rsid w:val="00EA5850"/>
    <w:rsid w:val="00EA7181"/>
    <w:rsid w:val="00EB12B9"/>
    <w:rsid w:val="00EB1EDE"/>
    <w:rsid w:val="00EC06C2"/>
    <w:rsid w:val="00EC3CD0"/>
    <w:rsid w:val="00EC4826"/>
    <w:rsid w:val="00EC5133"/>
    <w:rsid w:val="00EC57D5"/>
    <w:rsid w:val="00EE1B4C"/>
    <w:rsid w:val="00EE1F7F"/>
    <w:rsid w:val="00EE486D"/>
    <w:rsid w:val="00EF1C33"/>
    <w:rsid w:val="00EF4915"/>
    <w:rsid w:val="00EF634F"/>
    <w:rsid w:val="00EF6EA2"/>
    <w:rsid w:val="00EF7997"/>
    <w:rsid w:val="00F074C9"/>
    <w:rsid w:val="00F113D5"/>
    <w:rsid w:val="00F150CD"/>
    <w:rsid w:val="00F17FAE"/>
    <w:rsid w:val="00F20789"/>
    <w:rsid w:val="00F2388D"/>
    <w:rsid w:val="00F25743"/>
    <w:rsid w:val="00F2623F"/>
    <w:rsid w:val="00F30518"/>
    <w:rsid w:val="00F36A14"/>
    <w:rsid w:val="00F46389"/>
    <w:rsid w:val="00F47254"/>
    <w:rsid w:val="00F50AB6"/>
    <w:rsid w:val="00F51C71"/>
    <w:rsid w:val="00F53370"/>
    <w:rsid w:val="00F53B25"/>
    <w:rsid w:val="00F579BD"/>
    <w:rsid w:val="00F61BDC"/>
    <w:rsid w:val="00F648C9"/>
    <w:rsid w:val="00F75BA1"/>
    <w:rsid w:val="00F8105A"/>
    <w:rsid w:val="00F839E2"/>
    <w:rsid w:val="00F866B8"/>
    <w:rsid w:val="00F86C31"/>
    <w:rsid w:val="00F87945"/>
    <w:rsid w:val="00F92A0A"/>
    <w:rsid w:val="00F9380A"/>
    <w:rsid w:val="00FA003B"/>
    <w:rsid w:val="00FA148C"/>
    <w:rsid w:val="00FA4631"/>
    <w:rsid w:val="00FA5A52"/>
    <w:rsid w:val="00FB0876"/>
    <w:rsid w:val="00FB0A75"/>
    <w:rsid w:val="00FB1658"/>
    <w:rsid w:val="00FB3002"/>
    <w:rsid w:val="00FB3D5B"/>
    <w:rsid w:val="00FB44BC"/>
    <w:rsid w:val="00FB6471"/>
    <w:rsid w:val="00FB6FBE"/>
    <w:rsid w:val="00FD5F8F"/>
    <w:rsid w:val="00FD77A4"/>
    <w:rsid w:val="00FE17C4"/>
    <w:rsid w:val="00FE18BB"/>
    <w:rsid w:val="00FE5D24"/>
    <w:rsid w:val="00FF2F6C"/>
    <w:rsid w:val="00FF384A"/>
    <w:rsid w:val="00FF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6790AE"/>
  <w15:docId w15:val="{7DA0B229-1EA1-4F40-89BC-52BF3C78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B8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E4DB4"/>
    <w:pPr>
      <w:ind w:left="720"/>
      <w:contextualSpacing/>
    </w:pPr>
  </w:style>
  <w:style w:type="character" w:styleId="Hypertextovprepojenie">
    <w:name w:val="Hyperlink"/>
    <w:rsid w:val="00C01378"/>
    <w:rPr>
      <w:color w:val="0000FF"/>
      <w:u w:val="single"/>
    </w:rPr>
  </w:style>
  <w:style w:type="paragraph" w:customStyle="1" w:styleId="BodytextAgency">
    <w:name w:val="Body text (Agency)"/>
    <w:basedOn w:val="Normlny"/>
    <w:link w:val="BodytextAgencyChar"/>
    <w:rsid w:val="00C01378"/>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01378"/>
    <w:rPr>
      <w:rFonts w:ascii="Verdana" w:eastAsia="Verdana" w:hAnsi="Verdana" w:cs="Verdana"/>
      <w:sz w:val="18"/>
      <w:szCs w:val="18"/>
      <w:lang w:val="en-GB" w:eastAsia="en-GB"/>
    </w:rPr>
  </w:style>
  <w:style w:type="character" w:styleId="Odkaznakomentr">
    <w:name w:val="annotation reference"/>
    <w:basedOn w:val="Predvolenpsmoodseku"/>
    <w:uiPriority w:val="99"/>
    <w:semiHidden/>
    <w:unhideWhenUsed/>
    <w:rsid w:val="00664EAC"/>
    <w:rPr>
      <w:sz w:val="16"/>
      <w:szCs w:val="16"/>
    </w:rPr>
  </w:style>
  <w:style w:type="paragraph" w:styleId="Textkomentra">
    <w:name w:val="annotation text"/>
    <w:basedOn w:val="Normlny"/>
    <w:link w:val="TextkomentraChar"/>
    <w:uiPriority w:val="99"/>
    <w:semiHidden/>
    <w:unhideWhenUsed/>
    <w:rsid w:val="00664EAC"/>
    <w:pPr>
      <w:spacing w:line="240" w:lineRule="auto"/>
    </w:pPr>
    <w:rPr>
      <w:sz w:val="20"/>
      <w:szCs w:val="20"/>
    </w:rPr>
  </w:style>
  <w:style w:type="character" w:customStyle="1" w:styleId="TextkomentraChar">
    <w:name w:val="Text komentára Char"/>
    <w:basedOn w:val="Predvolenpsmoodseku"/>
    <w:link w:val="Textkomentra"/>
    <w:uiPriority w:val="99"/>
    <w:semiHidden/>
    <w:rsid w:val="00664EAC"/>
    <w:rPr>
      <w:sz w:val="20"/>
      <w:szCs w:val="20"/>
    </w:rPr>
  </w:style>
  <w:style w:type="paragraph" w:styleId="Predmetkomentra">
    <w:name w:val="annotation subject"/>
    <w:basedOn w:val="Textkomentra"/>
    <w:next w:val="Textkomentra"/>
    <w:link w:val="PredmetkomentraChar"/>
    <w:uiPriority w:val="99"/>
    <w:semiHidden/>
    <w:unhideWhenUsed/>
    <w:rsid w:val="00664EAC"/>
    <w:rPr>
      <w:b/>
      <w:bCs/>
    </w:rPr>
  </w:style>
  <w:style w:type="character" w:customStyle="1" w:styleId="PredmetkomentraChar">
    <w:name w:val="Predmet komentára Char"/>
    <w:basedOn w:val="TextkomentraChar"/>
    <w:link w:val="Predmetkomentra"/>
    <w:uiPriority w:val="99"/>
    <w:semiHidden/>
    <w:rsid w:val="00664EAC"/>
    <w:rPr>
      <w:b/>
      <w:bCs/>
      <w:sz w:val="20"/>
      <w:szCs w:val="20"/>
    </w:rPr>
  </w:style>
  <w:style w:type="paragraph" w:styleId="Revzia">
    <w:name w:val="Revision"/>
    <w:hidden/>
    <w:uiPriority w:val="99"/>
    <w:semiHidden/>
    <w:rsid w:val="00664EAC"/>
    <w:pPr>
      <w:widowControl/>
      <w:spacing w:after="0" w:line="240" w:lineRule="auto"/>
    </w:pPr>
  </w:style>
  <w:style w:type="paragraph" w:styleId="Textbubliny">
    <w:name w:val="Balloon Text"/>
    <w:basedOn w:val="Normlny"/>
    <w:link w:val="TextbublinyChar"/>
    <w:uiPriority w:val="99"/>
    <w:semiHidden/>
    <w:unhideWhenUsed/>
    <w:rsid w:val="00664EA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64EAC"/>
    <w:rPr>
      <w:rFonts w:ascii="Tahoma" w:hAnsi="Tahoma" w:cs="Tahoma"/>
      <w:sz w:val="16"/>
      <w:szCs w:val="16"/>
    </w:rPr>
  </w:style>
  <w:style w:type="paragraph" w:styleId="Hlavika">
    <w:name w:val="header"/>
    <w:basedOn w:val="Normlny"/>
    <w:link w:val="HlavikaChar"/>
    <w:uiPriority w:val="99"/>
    <w:unhideWhenUsed/>
    <w:rsid w:val="00CD26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D26E5"/>
  </w:style>
  <w:style w:type="paragraph" w:styleId="Pta">
    <w:name w:val="footer"/>
    <w:basedOn w:val="Normlny"/>
    <w:link w:val="PtaChar"/>
    <w:uiPriority w:val="99"/>
    <w:unhideWhenUsed/>
    <w:rsid w:val="00CD26E5"/>
    <w:pPr>
      <w:tabs>
        <w:tab w:val="center" w:pos="4536"/>
        <w:tab w:val="right" w:pos="9072"/>
      </w:tabs>
      <w:spacing w:after="0" w:line="240" w:lineRule="auto"/>
    </w:pPr>
  </w:style>
  <w:style w:type="character" w:customStyle="1" w:styleId="PtaChar">
    <w:name w:val="Päta Char"/>
    <w:basedOn w:val="Predvolenpsmoodseku"/>
    <w:link w:val="Pta"/>
    <w:uiPriority w:val="99"/>
    <w:rsid w:val="00CD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4324">
      <w:bodyDiv w:val="1"/>
      <w:marLeft w:val="0"/>
      <w:marRight w:val="0"/>
      <w:marTop w:val="0"/>
      <w:marBottom w:val="0"/>
      <w:divBdr>
        <w:top w:val="none" w:sz="0" w:space="0" w:color="auto"/>
        <w:left w:val="none" w:sz="0" w:space="0" w:color="auto"/>
        <w:bottom w:val="none" w:sz="0" w:space="0" w:color="auto"/>
        <w:right w:val="none" w:sz="0" w:space="0" w:color="auto"/>
      </w:divBdr>
    </w:div>
    <w:div w:id="800222525">
      <w:bodyDiv w:val="1"/>
      <w:marLeft w:val="0"/>
      <w:marRight w:val="0"/>
      <w:marTop w:val="0"/>
      <w:marBottom w:val="0"/>
      <w:divBdr>
        <w:top w:val="none" w:sz="0" w:space="0" w:color="auto"/>
        <w:left w:val="none" w:sz="0" w:space="0" w:color="auto"/>
        <w:bottom w:val="none" w:sz="0" w:space="0" w:color="auto"/>
        <w:right w:val="none" w:sz="0" w:space="0" w:color="auto"/>
      </w:divBdr>
    </w:div>
    <w:div w:id="109486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F4675B3FDF34BB4C2014C66CACC6C" ma:contentTypeVersion="1" ma:contentTypeDescription="Create a new document." ma:contentTypeScope="" ma:versionID="4e8b44a434769692a56447343f23e6f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F6E24-1048-41C1-82DF-34B64AB5BAA3}">
  <ds:schemaRefs>
    <ds:schemaRef ds:uri="http://schemas.microsoft.com/sharepoint/v3/contenttype/forms"/>
  </ds:schemaRefs>
</ds:datastoreItem>
</file>

<file path=customXml/itemProps2.xml><?xml version="1.0" encoding="utf-8"?>
<ds:datastoreItem xmlns:ds="http://schemas.openxmlformats.org/officeDocument/2006/customXml" ds:itemID="{E150CB81-7869-472B-9F07-9F09E6204708}">
  <ds:schemaRefs>
    <ds:schemaRef ds:uri="http://purl.org/dc/elements/1.1/"/>
    <ds:schemaRef ds:uri="http://schemas.microsoft.com/office/2006/metadata/properties"/>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68063C8-F247-4C4F-B7DC-035AE2CB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E2015-DCD8-46D0-A596-187239EA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4365</Words>
  <Characters>24881</Characters>
  <Application>Microsoft Office Word</Application>
  <DocSecurity>0</DocSecurity>
  <Lines>207</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Faslodex, INN-fulvestrant</vt:lpstr>
      <vt:lpstr>Faslodex, INN-fulvestrant</vt:lpstr>
    </vt:vector>
  </TitlesOfParts>
  <Company>Watson Pharmaceuticals, Inc</Company>
  <LinksUpToDate>false</LinksUpToDate>
  <CharactersWithSpaces>29188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Faslodex, INN-fulvestrant</dc:title>
  <dc:subject>EPAR</dc:subject>
  <dc:creator>CHMP</dc:creator>
  <cp:keywords>Faslodex, INN-fulvestrant</cp:keywords>
  <cp:lastModifiedBy>Drgoňová, Hana</cp:lastModifiedBy>
  <cp:revision>2</cp:revision>
  <cp:lastPrinted>2018-01-10T10:16:00Z</cp:lastPrinted>
  <dcterms:created xsi:type="dcterms:W3CDTF">2019-03-08T09:20:00Z</dcterms:created>
  <dcterms:modified xsi:type="dcterms:W3CDTF">2019-03-08T09:20:00Z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2015-10-21T00:00:00Z</vt:filetime>
  </property>
  <property fmtid="{D5CDD505-2E9C-101B-9397-08002B2CF9AE}" pid="4" name="ContentTypeId">
    <vt:lpwstr>0x01010079AF4675B3FDF34BB4C2014C66CACC6C</vt:lpwstr>
  </property>
</Properties>
</file>