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61915" w14:textId="77777777" w:rsidR="00C627EB" w:rsidRPr="000F7489" w:rsidRDefault="00C627EB" w:rsidP="000C1AEE">
      <w:pPr>
        <w:pStyle w:val="Nadpis1"/>
        <w:keepNext w:val="0"/>
        <w:adjustRightInd w:val="0"/>
        <w:snapToGrid w:val="0"/>
        <w:jc w:val="center"/>
        <w:rPr>
          <w:rFonts w:ascii="Times New Roman" w:hAnsi="Times New Roman"/>
          <w:sz w:val="22"/>
          <w:szCs w:val="22"/>
        </w:rPr>
      </w:pPr>
      <w:bookmarkStart w:id="0" w:name="_GoBack"/>
      <w:bookmarkEnd w:id="0"/>
      <w:r w:rsidRPr="000F7489">
        <w:rPr>
          <w:rFonts w:ascii="Times New Roman" w:hAnsi="Times New Roman"/>
          <w:sz w:val="22"/>
          <w:szCs w:val="22"/>
        </w:rPr>
        <w:t>SÚHRN CHARAKTERISTICKÝCH VLASTNOSTÍ LIEKU</w:t>
      </w:r>
    </w:p>
    <w:p w14:paraId="07BD210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DA9FB89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D23B4B8" w14:textId="77777777"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1.</w:t>
      </w:r>
      <w:r w:rsidRPr="000F7489">
        <w:rPr>
          <w:rFonts w:ascii="Times New Roman" w:hAnsi="Times New Roman"/>
          <w:b/>
          <w:sz w:val="22"/>
          <w:szCs w:val="22"/>
        </w:rPr>
        <w:tab/>
        <w:t>NÁZOV LIEKU</w:t>
      </w:r>
    </w:p>
    <w:p w14:paraId="5DD9041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97E829A" w14:textId="77777777" w:rsidR="00C627EB" w:rsidRPr="00C85012" w:rsidRDefault="006D2EAF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A31146">
        <w:rPr>
          <w:rFonts w:ascii="Times New Roman" w:hAnsi="Times New Roman"/>
          <w:sz w:val="22"/>
          <w:szCs w:val="22"/>
        </w:rPr>
        <w:t>Perlinring</w:t>
      </w:r>
      <w:r w:rsidRPr="006D2EAF">
        <w:rPr>
          <w:rFonts w:ascii="Times New Roman" w:hAnsi="Times New Roman"/>
          <w:sz w:val="22"/>
          <w:szCs w:val="22"/>
        </w:rPr>
        <w:t xml:space="preserve"> </w:t>
      </w:r>
    </w:p>
    <w:p w14:paraId="35653A25" w14:textId="77777777" w:rsidR="00C85FD4" w:rsidRPr="000F7489" w:rsidRDefault="00C85FD4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7745C03" w14:textId="24646B4C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0,120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mg/0,015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 za 24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hodín vaginálny inzert</w:t>
      </w:r>
    </w:p>
    <w:p w14:paraId="15FA85E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6EFCC3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879C63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2.</w:t>
      </w:r>
      <w:r w:rsidRPr="000F7489">
        <w:rPr>
          <w:rFonts w:ascii="Times New Roman" w:hAnsi="Times New Roman"/>
          <w:b/>
          <w:sz w:val="22"/>
          <w:szCs w:val="22"/>
        </w:rPr>
        <w:tab/>
        <w:t>KVALITATÍVNE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KVANTITATÍVNE ZLOŽENIE</w:t>
      </w:r>
    </w:p>
    <w:p w14:paraId="72B56E2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355020CB" w14:textId="77777777" w:rsidR="00C627EB" w:rsidRPr="000F7489" w:rsidRDefault="00C85012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r w:rsidRPr="00A31146">
        <w:rPr>
          <w:rFonts w:ascii="Times New Roman" w:hAnsi="Times New Roman" w:cs="Times New Roman"/>
          <w:sz w:val="22"/>
          <w:szCs w:val="22"/>
        </w:rPr>
        <w:t>Perlinring</w:t>
      </w:r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obsahuje 11,7 mg etonogestrelu a 2,7 mg etinylestradiolu. Krúžok uvoľňuje v priemere 0,120 mg etonogestrelu a 0,015 mg etinylestradiolu </w:t>
      </w:r>
      <w:r w:rsidR="00443E4F" w:rsidRPr="000F7489">
        <w:rPr>
          <w:rFonts w:ascii="Times New Roman" w:hAnsi="Times New Roman" w:cs="Times New Roman"/>
          <w:bCs/>
          <w:sz w:val="22"/>
          <w:szCs w:val="22"/>
        </w:rPr>
        <w:t xml:space="preserve">za 24 hodín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počas obdobia 3 týždňov.</w:t>
      </w:r>
    </w:p>
    <w:p w14:paraId="5E06D60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74C981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bookmarkStart w:id="1" w:name="OLE_LINK1"/>
      <w:r w:rsidRPr="000F7489">
        <w:rPr>
          <w:rFonts w:ascii="Times New Roman" w:hAnsi="Times New Roman"/>
          <w:sz w:val="22"/>
          <w:szCs w:val="22"/>
        </w:rPr>
        <w:t>Úplný zoznam pomocných látok, pozri časť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6.1.</w:t>
      </w:r>
      <w:bookmarkEnd w:id="1"/>
    </w:p>
    <w:p w14:paraId="6072846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4DBD5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5661B6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3.</w:t>
      </w:r>
      <w:r w:rsidRPr="000F7489">
        <w:rPr>
          <w:rFonts w:ascii="Times New Roman" w:hAnsi="Times New Roman"/>
          <w:b/>
          <w:sz w:val="22"/>
          <w:szCs w:val="22"/>
        </w:rPr>
        <w:tab/>
        <w:t>LIEKOVÁ FORMA</w:t>
      </w:r>
    </w:p>
    <w:p w14:paraId="49364C5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31B33C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</w:t>
      </w:r>
      <w:r w:rsidR="00213B4B">
        <w:rPr>
          <w:rFonts w:ascii="Times New Roman" w:hAnsi="Times New Roman"/>
          <w:sz w:val="22"/>
          <w:szCs w:val="22"/>
        </w:rPr>
        <w:t>aginálny inzert</w:t>
      </w:r>
    </w:p>
    <w:p w14:paraId="059DCCB5" w14:textId="77777777" w:rsidR="00C627EB" w:rsidRPr="000F7489" w:rsidRDefault="00C627EB" w:rsidP="003271C0">
      <w:pPr>
        <w:pStyle w:val="Zarkazkladnhotextu3"/>
        <w:adjustRightInd w:val="0"/>
        <w:snapToGrid w:val="0"/>
        <w:ind w:left="0"/>
        <w:jc w:val="center"/>
        <w:rPr>
          <w:rFonts w:ascii="Times New Roman" w:hAnsi="Times New Roman" w:cs="Times New Roman"/>
          <w:bCs/>
          <w:sz w:val="22"/>
          <w:szCs w:val="22"/>
        </w:rPr>
      </w:pPr>
    </w:p>
    <w:p w14:paraId="11C301D1" w14:textId="77777777" w:rsidR="00C627EB" w:rsidRPr="000F7489" w:rsidRDefault="00540CA2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r w:rsidRPr="003817FE">
        <w:rPr>
          <w:rFonts w:ascii="Times New Roman" w:hAnsi="Times New Roman" w:cs="Times New Roman"/>
          <w:sz w:val="22"/>
          <w:szCs w:val="22"/>
        </w:rPr>
        <w:t>Perlinring</w:t>
      </w:r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je flexibilný, priehľadný a bezfarebný až takmer bezfarebný krúžok s vonkajším priemerom </w:t>
      </w:r>
      <w:smartTag w:uri="urn:schemas-microsoft-com:office:smarttags" w:element="metricconverter">
        <w:smartTagPr>
          <w:attr w:name="ProductID" w:val="54 mm"/>
        </w:smartTagPr>
        <w:r w:rsidR="00C627EB" w:rsidRPr="000F7489">
          <w:rPr>
            <w:rFonts w:ascii="Times New Roman" w:hAnsi="Times New Roman" w:cs="Times New Roman"/>
            <w:bCs/>
            <w:sz w:val="22"/>
            <w:szCs w:val="22"/>
          </w:rPr>
          <w:t>54 mm</w:t>
        </w:r>
      </w:smartTag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a priemerom v priereze </w:t>
      </w:r>
      <w:smartTag w:uri="urn:schemas-microsoft-com:office:smarttags" w:element="metricconverter">
        <w:smartTagPr>
          <w:attr w:name="ProductID" w:val="4 mm"/>
        </w:smartTagPr>
        <w:r w:rsidR="00C627EB" w:rsidRPr="000F7489">
          <w:rPr>
            <w:rFonts w:ascii="Times New Roman" w:hAnsi="Times New Roman" w:cs="Times New Roman"/>
            <w:bCs/>
            <w:sz w:val="22"/>
            <w:szCs w:val="22"/>
          </w:rPr>
          <w:t>4 mm</w:t>
        </w:r>
      </w:smartTag>
      <w:r w:rsidR="00C627EB" w:rsidRPr="000F7489">
        <w:rPr>
          <w:rFonts w:ascii="Times New Roman" w:hAnsi="Times New Roman" w:cs="Times New Roman"/>
          <w:bCs/>
          <w:sz w:val="22"/>
          <w:szCs w:val="22"/>
        </w:rPr>
        <w:t>.</w:t>
      </w:r>
    </w:p>
    <w:p w14:paraId="01295C0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ABC861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1D70B20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</w:t>
      </w:r>
      <w:r w:rsidRPr="000F7489">
        <w:rPr>
          <w:rFonts w:ascii="Times New Roman" w:hAnsi="Times New Roman"/>
          <w:b/>
          <w:sz w:val="22"/>
          <w:szCs w:val="22"/>
        </w:rPr>
        <w:tab/>
        <w:t>KLINICKÉ ÚDAJE</w:t>
      </w:r>
    </w:p>
    <w:p w14:paraId="076B09E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066CF9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4.1</w:t>
      </w:r>
      <w:r w:rsidRPr="000F7489">
        <w:rPr>
          <w:rFonts w:ascii="Times New Roman" w:hAnsi="Times New Roman"/>
          <w:b/>
          <w:sz w:val="22"/>
          <w:szCs w:val="22"/>
        </w:rPr>
        <w:tab/>
        <w:t>Terapeutické indikácie</w:t>
      </w:r>
    </w:p>
    <w:p w14:paraId="7335F98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8B29E4C" w14:textId="77777777" w:rsidR="00C627EB" w:rsidRPr="000F7489" w:rsidRDefault="00C627EB" w:rsidP="00600D60">
      <w:pPr>
        <w:tabs>
          <w:tab w:val="left" w:pos="6390"/>
        </w:tabs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Kontraceptívum.</w:t>
      </w:r>
      <w:r w:rsidR="00072267">
        <w:rPr>
          <w:rFonts w:ascii="Times New Roman" w:hAnsi="Times New Roman"/>
          <w:bCs/>
          <w:sz w:val="22"/>
          <w:szCs w:val="22"/>
        </w:rPr>
        <w:tab/>
      </w:r>
    </w:p>
    <w:p w14:paraId="776FC1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561D08A" w14:textId="77777777" w:rsidR="00C627EB" w:rsidRPr="000F7489" w:rsidRDefault="00711A52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bCs/>
          <w:sz w:val="22"/>
          <w:szCs w:val="22"/>
        </w:rPr>
        <w:t xml:space="preserve"> je určený pre ženy vo fertilnom veku. Bezpečnosť a účinnosť bola preukázaná u žien vo veku 18 až 40 rokov.</w:t>
      </w:r>
    </w:p>
    <w:p w14:paraId="6489F128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AF5801F" w14:textId="77777777" w:rsidR="00C627EB" w:rsidRPr="00FC1043" w:rsidRDefault="00C627EB" w:rsidP="00FC1043">
      <w:pPr>
        <w:spacing w:line="280" w:lineRule="atLeast"/>
        <w:rPr>
          <w:rFonts w:ascii="Times New Roman" w:hAnsi="Times New Roman"/>
          <w:sz w:val="22"/>
          <w:szCs w:val="22"/>
        </w:rPr>
      </w:pPr>
      <w:r w:rsidRPr="00FC1043">
        <w:rPr>
          <w:rFonts w:ascii="Times New Roman" w:hAnsi="Times New Roman"/>
          <w:sz w:val="22"/>
          <w:szCs w:val="22"/>
        </w:rPr>
        <w:t xml:space="preserve">Pri rozhodovaní o predpísaní </w:t>
      </w:r>
      <w:r w:rsidR="00B72899" w:rsidRPr="003817FE">
        <w:rPr>
          <w:rFonts w:ascii="Times New Roman" w:hAnsi="Times New Roman"/>
          <w:sz w:val="22"/>
          <w:szCs w:val="22"/>
        </w:rPr>
        <w:t>Perlinring</w:t>
      </w:r>
      <w:r w:rsidR="00B72899">
        <w:rPr>
          <w:rFonts w:ascii="Times New Roman" w:hAnsi="Times New Roman"/>
          <w:sz w:val="22"/>
          <w:szCs w:val="22"/>
        </w:rPr>
        <w:t>u</w:t>
      </w:r>
      <w:r w:rsidRPr="00FC1043">
        <w:rPr>
          <w:rFonts w:ascii="Times New Roman" w:hAnsi="Times New Roman"/>
          <w:sz w:val="22"/>
          <w:szCs w:val="22"/>
        </w:rPr>
        <w:t xml:space="preserve"> sa majú zvážiť aktuálne rizikové faktory </w:t>
      </w:r>
      <w:r>
        <w:rPr>
          <w:rFonts w:ascii="Times New Roman" w:hAnsi="Times New Roman"/>
          <w:sz w:val="22"/>
          <w:szCs w:val="22"/>
        </w:rPr>
        <w:t>u danej</w:t>
      </w:r>
      <w:r w:rsidRPr="00FC1043">
        <w:rPr>
          <w:rFonts w:ascii="Times New Roman" w:hAnsi="Times New Roman"/>
          <w:sz w:val="22"/>
          <w:szCs w:val="22"/>
        </w:rPr>
        <w:t xml:space="preserve"> ženy, najmä tie, ktoré sú spojené s</w:t>
      </w:r>
      <w:r>
        <w:rPr>
          <w:rFonts w:ascii="Times New Roman" w:hAnsi="Times New Roman"/>
          <w:sz w:val="22"/>
          <w:szCs w:val="22"/>
        </w:rPr>
        <w:t> </w:t>
      </w:r>
      <w:r w:rsidRPr="00FC1043">
        <w:rPr>
          <w:rFonts w:ascii="Times New Roman" w:hAnsi="Times New Roman"/>
          <w:sz w:val="22"/>
          <w:szCs w:val="22"/>
        </w:rPr>
        <w:t>venózn</w:t>
      </w:r>
      <w:r>
        <w:rPr>
          <w:rFonts w:ascii="Times New Roman" w:hAnsi="Times New Roman"/>
          <w:sz w:val="22"/>
          <w:szCs w:val="22"/>
        </w:rPr>
        <w:t xml:space="preserve">ou tromboembóliou </w:t>
      </w:r>
      <w:r w:rsidR="006726E0">
        <w:rPr>
          <w:rFonts w:ascii="Times New Roman" w:hAnsi="Times New Roman"/>
          <w:sz w:val="22"/>
          <w:szCs w:val="22"/>
        </w:rPr>
        <w:t>(VTE) a aké</w:t>
      </w:r>
      <w:r w:rsidRPr="00FC1043">
        <w:rPr>
          <w:rFonts w:ascii="Times New Roman" w:hAnsi="Times New Roman"/>
          <w:sz w:val="22"/>
          <w:szCs w:val="22"/>
        </w:rPr>
        <w:t xml:space="preserve"> je riziko vzniku VTE pri používaní </w:t>
      </w:r>
      <w:r w:rsidR="00B72899" w:rsidRPr="003817FE">
        <w:rPr>
          <w:rFonts w:ascii="Times New Roman" w:hAnsi="Times New Roman"/>
          <w:sz w:val="22"/>
          <w:szCs w:val="22"/>
        </w:rPr>
        <w:t>Perlinring</w:t>
      </w:r>
      <w:r w:rsidR="006726E0">
        <w:rPr>
          <w:rFonts w:ascii="Times New Roman" w:hAnsi="Times New Roman"/>
          <w:sz w:val="22"/>
          <w:szCs w:val="22"/>
        </w:rPr>
        <w:t xml:space="preserve">u v porovnaní </w:t>
      </w:r>
      <w:r>
        <w:rPr>
          <w:rFonts w:ascii="Times New Roman" w:hAnsi="Times New Roman"/>
          <w:sz w:val="22"/>
          <w:szCs w:val="22"/>
        </w:rPr>
        <w:t>s iným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kombinovaným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hormonálnym</w:t>
      </w:r>
      <w:r w:rsidR="00BC14E5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kontraceptív</w:t>
      </w:r>
      <w:r w:rsidR="00BC14E5">
        <w:rPr>
          <w:rFonts w:ascii="Times New Roman" w:hAnsi="Times New Roman"/>
          <w:sz w:val="22"/>
          <w:szCs w:val="22"/>
        </w:rPr>
        <w:t>ami</w:t>
      </w:r>
      <w:r>
        <w:rPr>
          <w:rFonts w:ascii="Times New Roman" w:hAnsi="Times New Roman"/>
          <w:sz w:val="22"/>
          <w:szCs w:val="22"/>
        </w:rPr>
        <w:t xml:space="preserve"> (Combined Hormonal Contraceptives, CHC)</w:t>
      </w:r>
      <w:r w:rsidRPr="00FC1043">
        <w:rPr>
          <w:rFonts w:ascii="Times New Roman" w:hAnsi="Times New Roman"/>
          <w:sz w:val="22"/>
          <w:szCs w:val="22"/>
        </w:rPr>
        <w:t xml:space="preserve"> (pozri časti 4.3 a 4.4).</w:t>
      </w:r>
    </w:p>
    <w:p w14:paraId="5740F10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16AF26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4.2</w:t>
      </w:r>
      <w:r w:rsidRPr="000F7489">
        <w:rPr>
          <w:rFonts w:ascii="Times New Roman" w:hAnsi="Times New Roman"/>
          <w:b/>
          <w:sz w:val="22"/>
          <w:szCs w:val="22"/>
        </w:rPr>
        <w:tab/>
        <w:t>Dávkovanie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 xml:space="preserve">spôsob </w:t>
      </w:r>
      <w:r>
        <w:rPr>
          <w:rFonts w:ascii="Times New Roman" w:hAnsi="Times New Roman"/>
          <w:b/>
          <w:sz w:val="22"/>
          <w:szCs w:val="22"/>
        </w:rPr>
        <w:t>podávania</w:t>
      </w:r>
    </w:p>
    <w:p w14:paraId="2EE346D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6021A11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0F7489">
        <w:rPr>
          <w:rFonts w:ascii="Times New Roman" w:hAnsi="Times New Roman"/>
          <w:bCs/>
          <w:sz w:val="22"/>
          <w:szCs w:val="22"/>
          <w:u w:val="single"/>
        </w:rPr>
        <w:t>Dávkovanie</w:t>
      </w:r>
    </w:p>
    <w:p w14:paraId="052CBF6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0B87F8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Na dosiahnutie antikoncepčnej účinnosti sa musí </w:t>
      </w:r>
      <w:r w:rsidR="00592896" w:rsidRPr="003817FE">
        <w:rPr>
          <w:rFonts w:ascii="Times New Roman" w:hAnsi="Times New Roman"/>
          <w:sz w:val="22"/>
          <w:szCs w:val="22"/>
        </w:rPr>
        <w:t>Perlinring</w:t>
      </w:r>
      <w:r w:rsidR="0059289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používať podľa pokynov (pozri „A</w:t>
      </w:r>
      <w:r w:rsidR="00A45D12">
        <w:rPr>
          <w:rFonts w:ascii="Times New Roman" w:hAnsi="Times New Roman"/>
          <w:bCs/>
          <w:sz w:val="22"/>
          <w:szCs w:val="22"/>
        </w:rPr>
        <w:t>ko používať</w:t>
      </w:r>
      <w:r w:rsidR="00F63EEF">
        <w:rPr>
          <w:rFonts w:ascii="Times New Roman" w:hAnsi="Times New Roman"/>
          <w:bCs/>
          <w:sz w:val="22"/>
          <w:szCs w:val="22"/>
        </w:rPr>
        <w:t xml:space="preserve"> </w:t>
      </w:r>
      <w:r w:rsidR="00592896" w:rsidRPr="003817FE">
        <w:rPr>
          <w:rFonts w:ascii="Times New Roman" w:hAnsi="Times New Roman"/>
          <w:sz w:val="22"/>
          <w:szCs w:val="22"/>
        </w:rPr>
        <w:t>Perlinring</w:t>
      </w:r>
      <w:r w:rsidR="003234F7">
        <w:rPr>
          <w:rFonts w:ascii="Times New Roman" w:hAnsi="Times New Roman"/>
          <w:sz w:val="22"/>
          <w:szCs w:val="22"/>
        </w:rPr>
        <w:t>“</w:t>
      </w:r>
      <w:r w:rsidR="007F61D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a </w:t>
      </w:r>
      <w:r w:rsidRPr="000F7489">
        <w:rPr>
          <w:rFonts w:ascii="Times New Roman" w:hAnsi="Times New Roman"/>
          <w:bCs/>
          <w:sz w:val="22"/>
          <w:szCs w:val="22"/>
        </w:rPr>
        <w:t>„A</w:t>
      </w:r>
      <w:r w:rsidR="00A45D12">
        <w:rPr>
          <w:rFonts w:ascii="Times New Roman" w:hAnsi="Times New Roman"/>
          <w:bCs/>
          <w:sz w:val="22"/>
          <w:szCs w:val="22"/>
        </w:rPr>
        <w:t>ko začať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9F75D8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“).</w:t>
      </w:r>
    </w:p>
    <w:p w14:paraId="610244F3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1BFA5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>
        <w:rPr>
          <w:rFonts w:ascii="Times New Roman" w:hAnsi="Times New Roman"/>
          <w:bCs/>
          <w:i/>
          <w:sz w:val="22"/>
          <w:szCs w:val="22"/>
        </w:rPr>
        <w:t>Pediatrická populácia</w:t>
      </w:r>
    </w:p>
    <w:p w14:paraId="5F60A4B0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r w:rsidR="0059289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 xml:space="preserve">u </w:t>
      </w:r>
      <w:r w:rsidR="00A45D12">
        <w:rPr>
          <w:rFonts w:ascii="Times New Roman" w:hAnsi="Times New Roman"/>
          <w:bCs/>
          <w:sz w:val="22"/>
          <w:szCs w:val="22"/>
        </w:rPr>
        <w:t xml:space="preserve">sa </w:t>
      </w:r>
      <w:r w:rsidRPr="000F7489">
        <w:rPr>
          <w:rFonts w:ascii="Times New Roman" w:hAnsi="Times New Roman"/>
          <w:bCs/>
          <w:sz w:val="22"/>
          <w:szCs w:val="22"/>
        </w:rPr>
        <w:t xml:space="preserve">u dospievajúcich mladších ako 18 rokov </w:t>
      </w:r>
      <w:r w:rsidR="00C50EF5">
        <w:rPr>
          <w:rFonts w:ascii="Times New Roman" w:hAnsi="Times New Roman"/>
          <w:bCs/>
          <w:sz w:val="22"/>
          <w:szCs w:val="22"/>
        </w:rPr>
        <w:t>ne</w:t>
      </w:r>
      <w:r w:rsidRPr="000F7489">
        <w:rPr>
          <w:rFonts w:ascii="Times New Roman" w:hAnsi="Times New Roman"/>
          <w:bCs/>
          <w:sz w:val="22"/>
          <w:szCs w:val="22"/>
        </w:rPr>
        <w:t>skúma</w:t>
      </w:r>
      <w:r w:rsidR="00C50EF5">
        <w:rPr>
          <w:rFonts w:ascii="Times New Roman" w:hAnsi="Times New Roman"/>
          <w:bCs/>
          <w:sz w:val="22"/>
          <w:szCs w:val="22"/>
        </w:rPr>
        <w:t>la</w:t>
      </w:r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199AEB27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73BEA44" w14:textId="77777777" w:rsidR="00C627EB" w:rsidRPr="00226C8F" w:rsidRDefault="00C627EB" w:rsidP="00AD481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Spôsob podávania</w:t>
      </w:r>
    </w:p>
    <w:p w14:paraId="00972E44" w14:textId="77777777"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2D687F9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POUŽÍVAŤ </w:t>
      </w:r>
      <w:r w:rsidR="002F3854" w:rsidRPr="003817FE">
        <w:rPr>
          <w:rFonts w:ascii="Times New Roman" w:hAnsi="Times New Roman"/>
          <w:sz w:val="22"/>
          <w:szCs w:val="22"/>
        </w:rPr>
        <w:t>Perlinring</w:t>
      </w:r>
      <w:r w:rsidR="002F3854" w:rsidRPr="00C85012">
        <w:rPr>
          <w:rFonts w:ascii="Times New Roman" w:hAnsi="Times New Roman"/>
          <w:bCs/>
          <w:sz w:val="22"/>
          <w:szCs w:val="22"/>
        </w:rPr>
        <w:t xml:space="preserve"> </w:t>
      </w:r>
    </w:p>
    <w:p w14:paraId="3B2B27D0" w14:textId="77777777" w:rsidR="00C627EB" w:rsidRPr="000F7489" w:rsidRDefault="002F3854" w:rsidP="000C1AEE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3817FE">
        <w:rPr>
          <w:rFonts w:ascii="Times New Roman" w:hAnsi="Times New Roman" w:cs="Times New Roman"/>
          <w:sz w:val="22"/>
          <w:szCs w:val="22"/>
        </w:rPr>
        <w:t>Perlinring</w:t>
      </w:r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si môže do pošvy zaviesť žena sama. Lekár </w:t>
      </w:r>
      <w:r w:rsidR="00C627EB">
        <w:rPr>
          <w:rFonts w:ascii="Times New Roman" w:hAnsi="Times New Roman" w:cs="Times New Roman"/>
          <w:sz w:val="22"/>
          <w:szCs w:val="22"/>
        </w:rPr>
        <w:t>má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ženu poučiť ako </w:t>
      </w:r>
      <w:r w:rsidRPr="003817FE">
        <w:rPr>
          <w:rFonts w:ascii="Times New Roman" w:hAnsi="Times New Roman" w:cs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zaviesť a ako ho vybrať. Na zavedenie si má žena zvoliť polohu, ktorá je pre ňu najpohodlnejšia, napr. v stoji s</w:t>
      </w:r>
      <w:r w:rsidR="008B7549">
        <w:rPr>
          <w:rFonts w:ascii="Times New Roman" w:hAnsi="Times New Roman" w:cs="Times New Roman"/>
          <w:sz w:val="22"/>
          <w:szCs w:val="22"/>
        </w:rPr>
        <w:t xml:space="preserve"> podopretou</w:t>
      </w:r>
      <w:r w:rsidR="002A2336">
        <w:rPr>
          <w:rFonts w:ascii="Times New Roman" w:hAnsi="Times New Roman" w:cs="Times New Roman"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jednou nohou, v podrepe alebo v ľahu. </w:t>
      </w:r>
      <w:r w:rsidR="004B3D58" w:rsidRPr="003817FE">
        <w:rPr>
          <w:rFonts w:ascii="Times New Roman" w:hAnsi="Times New Roman" w:cs="Times New Roman"/>
          <w:sz w:val="22"/>
          <w:szCs w:val="22"/>
        </w:rPr>
        <w:t>Perlinring</w:t>
      </w:r>
      <w:r w:rsidR="004B3D58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sa musí stlačiť a zaviesť do pošvy tak, </w:t>
      </w:r>
      <w:r w:rsidR="00C627EB" w:rsidRPr="000F7489">
        <w:rPr>
          <w:rFonts w:ascii="Times New Roman" w:hAnsi="Times New Roman" w:cs="Times New Roman"/>
          <w:sz w:val="22"/>
          <w:szCs w:val="22"/>
        </w:rPr>
        <w:lastRenderedPageBreak/>
        <w:t>aby sa po jeho zavedení cítila žena pohodlne. Pre kontraceptívny účinok</w:t>
      </w:r>
      <w:r w:rsidR="004B3D58">
        <w:rPr>
          <w:rFonts w:ascii="Times New Roman" w:hAnsi="Times New Roman" w:cs="Times New Roman"/>
          <w:sz w:val="22"/>
          <w:szCs w:val="22"/>
        </w:rPr>
        <w:t xml:space="preserve"> </w:t>
      </w:r>
      <w:r w:rsidR="004B3D58" w:rsidRPr="003817FE">
        <w:rPr>
          <w:rFonts w:ascii="Times New Roman" w:hAnsi="Times New Roman" w:cs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u nie je dôležitá jeho presná poloha v pošve </w:t>
      </w:r>
      <w:r w:rsidR="00C627EB" w:rsidRPr="000F7489">
        <w:rPr>
          <w:rFonts w:ascii="Times New Roman" w:hAnsi="Times New Roman" w:cs="Times New Roman"/>
          <w:i/>
          <w:iCs/>
          <w:sz w:val="22"/>
          <w:szCs w:val="22"/>
        </w:rPr>
        <w:t>(</w:t>
      </w:r>
      <w:r w:rsidR="00C627EB" w:rsidRPr="00A31146">
        <w:rPr>
          <w:rFonts w:ascii="Times New Roman" w:hAnsi="Times New Roman" w:cs="Times New Roman"/>
          <w:iCs/>
          <w:sz w:val="22"/>
          <w:szCs w:val="22"/>
        </w:rPr>
        <w:t>pozri obrázky</w:t>
      </w:r>
      <w:r w:rsidR="00C627EB" w:rsidRPr="004B3D58">
        <w:rPr>
          <w:rFonts w:ascii="Times New Roman" w:hAnsi="Times New Roman" w:cs="Times New Roman"/>
          <w:sz w:val="22"/>
          <w:szCs w:val="22"/>
        </w:rPr>
        <w:t> </w:t>
      </w:r>
      <w:r w:rsidR="00C627EB" w:rsidRPr="00A31146">
        <w:rPr>
          <w:rFonts w:ascii="Times New Roman" w:hAnsi="Times New Roman" w:cs="Times New Roman"/>
          <w:iCs/>
          <w:sz w:val="22"/>
          <w:szCs w:val="22"/>
        </w:rPr>
        <w:t>1-4</w:t>
      </w:r>
      <w:r w:rsidR="00C627EB" w:rsidRPr="000F7489">
        <w:rPr>
          <w:rFonts w:ascii="Times New Roman" w:hAnsi="Times New Roman" w:cs="Times New Roman"/>
          <w:i/>
          <w:iCs/>
          <w:sz w:val="22"/>
          <w:szCs w:val="22"/>
        </w:rPr>
        <w:t>)</w:t>
      </w:r>
      <w:r w:rsidR="00C627EB" w:rsidRPr="000F7489">
        <w:rPr>
          <w:rFonts w:ascii="Times New Roman" w:hAnsi="Times New Roman" w:cs="Times New Roman"/>
          <w:sz w:val="22"/>
          <w:szCs w:val="22"/>
        </w:rPr>
        <w:t>.</w:t>
      </w:r>
    </w:p>
    <w:p w14:paraId="01A31907" w14:textId="77777777" w:rsidR="00C627EB" w:rsidRPr="000F7489" w:rsidRDefault="00C627EB" w:rsidP="000C1AEE">
      <w:pPr>
        <w:pStyle w:val="Zarkazkladnhotextu"/>
        <w:adjustRightInd w:val="0"/>
        <w:snapToGrid w:val="0"/>
        <w:ind w:left="0"/>
        <w:jc w:val="left"/>
      </w:pPr>
    </w:p>
    <w:p w14:paraId="6903D970" w14:textId="77777777" w:rsidR="00C627EB" w:rsidRDefault="002A2336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 zaved</w:t>
      </w:r>
      <w:r w:rsidR="00213B4B">
        <w:rPr>
          <w:rFonts w:ascii="Times New Roman" w:hAnsi="Times New Roman"/>
          <w:sz w:val="22"/>
          <w:szCs w:val="22"/>
        </w:rPr>
        <w:t>e</w:t>
      </w:r>
      <w:r>
        <w:rPr>
          <w:rFonts w:ascii="Times New Roman" w:hAnsi="Times New Roman"/>
          <w:sz w:val="22"/>
          <w:szCs w:val="22"/>
        </w:rPr>
        <w:t>ní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 w:rsidR="003234F7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 (pozri „Ako začať používať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 w:rsidR="00975C3A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“)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ponechá</w:t>
      </w:r>
      <w:r w:rsidR="00C627EB" w:rsidRPr="000F7489">
        <w:rPr>
          <w:rFonts w:ascii="Times New Roman" w:hAnsi="Times New Roman"/>
          <w:sz w:val="22"/>
          <w:szCs w:val="22"/>
        </w:rPr>
        <w:t xml:space="preserve"> v pošve nepretržite počas 3 týždňov. </w:t>
      </w:r>
      <w:r w:rsidR="001D3920">
        <w:rPr>
          <w:rFonts w:ascii="Times New Roman" w:hAnsi="Times New Roman"/>
          <w:sz w:val="22"/>
          <w:szCs w:val="22"/>
        </w:rPr>
        <w:t>Ž</w:t>
      </w:r>
      <w:r w:rsidR="00C627EB" w:rsidRPr="000F7489">
        <w:rPr>
          <w:rFonts w:ascii="Times New Roman" w:hAnsi="Times New Roman"/>
          <w:sz w:val="22"/>
          <w:szCs w:val="22"/>
        </w:rPr>
        <w:t>en</w:t>
      </w:r>
      <w:r w:rsidR="001D3920">
        <w:rPr>
          <w:rFonts w:ascii="Times New Roman" w:hAnsi="Times New Roman"/>
          <w:sz w:val="22"/>
          <w:szCs w:val="22"/>
        </w:rPr>
        <w:t>ám treba odporučiť, aby si</w:t>
      </w:r>
      <w:r w:rsidR="00C627EB" w:rsidRPr="000F7489">
        <w:rPr>
          <w:rFonts w:ascii="Times New Roman" w:hAnsi="Times New Roman"/>
          <w:sz w:val="22"/>
          <w:szCs w:val="22"/>
        </w:rPr>
        <w:t xml:space="preserve"> pravidelne </w:t>
      </w:r>
      <w:r w:rsidR="00C85FD4" w:rsidRPr="000F7489">
        <w:rPr>
          <w:rFonts w:ascii="Times New Roman" w:hAnsi="Times New Roman"/>
          <w:sz w:val="22"/>
          <w:szCs w:val="22"/>
        </w:rPr>
        <w:t>kontrolova</w:t>
      </w:r>
      <w:r w:rsidR="00C85FD4">
        <w:rPr>
          <w:rFonts w:ascii="Times New Roman" w:hAnsi="Times New Roman"/>
          <w:sz w:val="22"/>
          <w:szCs w:val="22"/>
        </w:rPr>
        <w:t xml:space="preserve">li </w:t>
      </w:r>
      <w:r w:rsidR="00C627EB" w:rsidRPr="000F7489">
        <w:rPr>
          <w:rFonts w:ascii="Times New Roman" w:hAnsi="Times New Roman"/>
          <w:sz w:val="22"/>
          <w:szCs w:val="22"/>
        </w:rPr>
        <w:t xml:space="preserve">prítomnosť </w:t>
      </w:r>
      <w:r w:rsidR="003F6176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</w:t>
      </w:r>
      <w:r w:rsidR="001D3920">
        <w:rPr>
          <w:rFonts w:ascii="Times New Roman" w:hAnsi="Times New Roman"/>
          <w:sz w:val="22"/>
          <w:szCs w:val="22"/>
        </w:rPr>
        <w:t xml:space="preserve"> v pošve (napríklad pred a po pohlavnom styku)</w:t>
      </w:r>
      <w:r w:rsidR="00C627EB" w:rsidRPr="000F7489">
        <w:rPr>
          <w:rFonts w:ascii="Times New Roman" w:hAnsi="Times New Roman"/>
          <w:sz w:val="22"/>
          <w:szCs w:val="22"/>
        </w:rPr>
        <w:t xml:space="preserve">. Ak dôjde k náhodnému vypudeniu </w:t>
      </w:r>
      <w:r w:rsidR="003F6176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u, žena má postupovať podľa pokynov uvedených v časti 4.2 „Čo robiť, ak je krúžok dočasne mimo pošvy“ (viac informácií p</w:t>
      </w:r>
      <w:r>
        <w:rPr>
          <w:rFonts w:ascii="Times New Roman" w:hAnsi="Times New Roman"/>
          <w:sz w:val="22"/>
          <w:szCs w:val="22"/>
        </w:rPr>
        <w:t>ozri tiež v časti 4.4 „Vypudenie</w:t>
      </w:r>
      <w:r w:rsidR="00C627EB" w:rsidRPr="000F7489">
        <w:rPr>
          <w:rFonts w:ascii="Times New Roman" w:hAnsi="Times New Roman"/>
          <w:sz w:val="22"/>
          <w:szCs w:val="22"/>
        </w:rPr>
        <w:t xml:space="preserve">“). </w:t>
      </w:r>
      <w:r w:rsidR="003F6176" w:rsidRPr="003817FE">
        <w:rPr>
          <w:rFonts w:ascii="Times New Roman" w:hAnsi="Times New Roman"/>
          <w:sz w:val="22"/>
          <w:szCs w:val="22"/>
        </w:rPr>
        <w:t>Perlinring</w:t>
      </w:r>
      <w:r w:rsidR="003F617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>sa musí vybrať po 3 týždňoch používania</w:t>
      </w:r>
      <w:r w:rsidR="0089218C">
        <w:rPr>
          <w:rFonts w:ascii="Times New Roman" w:hAnsi="Times New Roman"/>
          <w:sz w:val="22"/>
          <w:szCs w:val="22"/>
        </w:rPr>
        <w:t>,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 rovnaký</w:t>
      </w:r>
      <w:r w:rsidR="00C627EB" w:rsidRPr="000F7489">
        <w:rPr>
          <w:rFonts w:ascii="Times New Roman" w:hAnsi="Times New Roman"/>
          <w:sz w:val="22"/>
          <w:szCs w:val="22"/>
        </w:rPr>
        <w:t xml:space="preserve"> d</w:t>
      </w:r>
      <w:r>
        <w:rPr>
          <w:rFonts w:ascii="Times New Roman" w:hAnsi="Times New Roman"/>
          <w:sz w:val="22"/>
          <w:szCs w:val="22"/>
        </w:rPr>
        <w:t>eň</w:t>
      </w:r>
      <w:r w:rsidR="0089218C">
        <w:rPr>
          <w:rFonts w:ascii="Times New Roman" w:hAnsi="Times New Roman"/>
          <w:sz w:val="22"/>
          <w:szCs w:val="22"/>
        </w:rPr>
        <w:t xml:space="preserve"> v týždni</w:t>
      </w:r>
      <w:r w:rsidR="00C627EB" w:rsidRPr="000F7489">
        <w:rPr>
          <w:rFonts w:ascii="Times New Roman" w:hAnsi="Times New Roman"/>
          <w:sz w:val="22"/>
          <w:szCs w:val="22"/>
        </w:rPr>
        <w:t xml:space="preserve"> </w:t>
      </w:r>
      <w:r w:rsidR="0089218C">
        <w:rPr>
          <w:rFonts w:ascii="Times New Roman" w:hAnsi="Times New Roman"/>
          <w:sz w:val="22"/>
          <w:szCs w:val="22"/>
        </w:rPr>
        <w:t>ako bol zavedený</w:t>
      </w:r>
      <w:r w:rsidR="00C627EB" w:rsidRPr="000F7489">
        <w:rPr>
          <w:rFonts w:ascii="Times New Roman" w:hAnsi="Times New Roman"/>
          <w:sz w:val="22"/>
          <w:szCs w:val="22"/>
        </w:rPr>
        <w:t xml:space="preserve">. Po </w:t>
      </w:r>
      <w:r w:rsidR="0089218C">
        <w:rPr>
          <w:rFonts w:ascii="Times New Roman" w:hAnsi="Times New Roman"/>
          <w:sz w:val="22"/>
          <w:szCs w:val="22"/>
        </w:rPr>
        <w:t xml:space="preserve">jednom týždni </w:t>
      </w:r>
      <w:r w:rsidR="0089218C" w:rsidRPr="000F7489">
        <w:rPr>
          <w:rFonts w:ascii="Times New Roman" w:hAnsi="Times New Roman"/>
          <w:sz w:val="22"/>
          <w:szCs w:val="22"/>
        </w:rPr>
        <w:t>bez krúžku</w:t>
      </w:r>
      <w:r w:rsidR="00C627EB" w:rsidRPr="000F7489">
        <w:rPr>
          <w:rFonts w:ascii="Times New Roman" w:hAnsi="Times New Roman"/>
          <w:sz w:val="22"/>
          <w:szCs w:val="22"/>
        </w:rPr>
        <w:t xml:space="preserve"> sa zavedie nový krúžok (napr. </w:t>
      </w:r>
      <w:r w:rsidR="00C627EB" w:rsidRPr="00A31146">
        <w:rPr>
          <w:rFonts w:ascii="Times New Roman" w:hAnsi="Times New Roman"/>
          <w:iCs/>
          <w:sz w:val="22"/>
          <w:szCs w:val="22"/>
        </w:rPr>
        <w:t xml:space="preserve">ak sa </w:t>
      </w:r>
      <w:r w:rsidR="005F45A3" w:rsidRPr="005F45A3">
        <w:rPr>
          <w:rFonts w:ascii="Times New Roman" w:hAnsi="Times New Roman"/>
          <w:sz w:val="22"/>
          <w:szCs w:val="22"/>
        </w:rPr>
        <w:t>Perlinring</w:t>
      </w:r>
      <w:r w:rsidR="005F45A3" w:rsidRPr="005F45A3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A31146">
        <w:rPr>
          <w:rFonts w:ascii="Times New Roman" w:hAnsi="Times New Roman"/>
          <w:iCs/>
          <w:sz w:val="22"/>
          <w:szCs w:val="22"/>
        </w:rPr>
        <w:t>zaviedol v stredu približne o 22:00 hod., krúžok sa má vybrať v stredu o 3</w:t>
      </w:r>
      <w:r w:rsidR="00C627EB" w:rsidRPr="005F45A3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iCs/>
          <w:sz w:val="22"/>
          <w:szCs w:val="22"/>
        </w:rPr>
        <w:t>týždne neskôr približne o 22:00</w:t>
      </w:r>
      <w:r w:rsidR="00C627EB" w:rsidRPr="005F45A3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iCs/>
          <w:sz w:val="22"/>
          <w:szCs w:val="22"/>
        </w:rPr>
        <w:t>hod. Nasledujúcu stredu sa má zaviesť nový krúžok)</w:t>
      </w:r>
      <w:r w:rsidR="00C627EB" w:rsidRPr="000F7489">
        <w:rPr>
          <w:rFonts w:ascii="Times New Roman" w:hAnsi="Times New Roman"/>
          <w:sz w:val="22"/>
          <w:szCs w:val="22"/>
        </w:rPr>
        <w:t xml:space="preserve">. </w:t>
      </w:r>
      <w:r w:rsidR="005F45A3" w:rsidRPr="003817FE">
        <w:rPr>
          <w:rFonts w:ascii="Times New Roman" w:hAnsi="Times New Roman"/>
          <w:sz w:val="22"/>
          <w:szCs w:val="22"/>
        </w:rPr>
        <w:t>Perlinring</w:t>
      </w:r>
      <w:r w:rsidR="005F45A3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>sa môže vybrať pomocou ukazováka, ktorým sa krúžok podoberie alebo sa krúžok uchopí medzi ukazovák a prostredník a vytiahne sa (</w:t>
      </w:r>
      <w:r w:rsidR="00C627EB" w:rsidRPr="00A31146">
        <w:rPr>
          <w:rFonts w:ascii="Times New Roman" w:hAnsi="Times New Roman"/>
          <w:sz w:val="22"/>
          <w:szCs w:val="22"/>
        </w:rPr>
        <w:t>obrázok</w:t>
      </w:r>
      <w:r w:rsidR="00C627EB" w:rsidRPr="002C3ED8">
        <w:rPr>
          <w:rFonts w:ascii="Times New Roman" w:hAnsi="Times New Roman"/>
          <w:sz w:val="22"/>
          <w:szCs w:val="22"/>
        </w:rPr>
        <w:t> </w:t>
      </w:r>
      <w:r w:rsidR="00C627EB" w:rsidRPr="00A31146">
        <w:rPr>
          <w:rFonts w:ascii="Times New Roman" w:hAnsi="Times New Roman"/>
          <w:sz w:val="22"/>
          <w:szCs w:val="22"/>
        </w:rPr>
        <w:t>5</w:t>
      </w:r>
      <w:r w:rsidR="00C627EB" w:rsidRPr="000F7489">
        <w:rPr>
          <w:rFonts w:ascii="Times New Roman" w:hAnsi="Times New Roman"/>
          <w:sz w:val="22"/>
          <w:szCs w:val="22"/>
        </w:rPr>
        <w:t>). Použitý krúžok sa má vložiť do vrecka (má sa uchovať mimo dosahu detí a domácich zvierat) a zlikvidovať, ako je opís</w:t>
      </w:r>
      <w:r w:rsidR="0089218C">
        <w:rPr>
          <w:rFonts w:ascii="Times New Roman" w:hAnsi="Times New Roman"/>
          <w:sz w:val="22"/>
          <w:szCs w:val="22"/>
        </w:rPr>
        <w:t>ané v časti 6.6. Krvácanie zvyčajne začína</w:t>
      </w:r>
      <w:r w:rsidR="00C627EB" w:rsidRPr="000F7489">
        <w:rPr>
          <w:rFonts w:ascii="Times New Roman" w:hAnsi="Times New Roman"/>
          <w:sz w:val="22"/>
          <w:szCs w:val="22"/>
        </w:rPr>
        <w:t xml:space="preserve"> 2</w:t>
      </w:r>
      <w:r w:rsidR="00C627EB">
        <w:rPr>
          <w:rFonts w:ascii="Times New Roman" w:hAnsi="Times New Roman"/>
          <w:sz w:val="22"/>
          <w:szCs w:val="22"/>
        </w:rPr>
        <w:t> </w:t>
      </w:r>
      <w:r w:rsidR="00C627EB" w:rsidRPr="000F7489">
        <w:rPr>
          <w:rFonts w:ascii="Times New Roman" w:hAnsi="Times New Roman"/>
          <w:sz w:val="22"/>
          <w:szCs w:val="22"/>
        </w:rPr>
        <w:t>–</w:t>
      </w:r>
      <w:r w:rsidR="00C627EB">
        <w:rPr>
          <w:rFonts w:ascii="Times New Roman" w:hAnsi="Times New Roman"/>
          <w:sz w:val="22"/>
          <w:szCs w:val="22"/>
        </w:rPr>
        <w:t> </w:t>
      </w:r>
      <w:r w:rsidR="00C627EB" w:rsidRPr="000F7489">
        <w:rPr>
          <w:rFonts w:ascii="Times New Roman" w:hAnsi="Times New Roman"/>
          <w:sz w:val="22"/>
          <w:szCs w:val="22"/>
        </w:rPr>
        <w:t xml:space="preserve">3 dni po vybratí </w:t>
      </w:r>
      <w:r w:rsidR="002C3ED8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 a pred ďalším zavedením nového krúžku sa krvácanie nemusí úplne zastaviť.</w:t>
      </w:r>
    </w:p>
    <w:p w14:paraId="53B98ADC" w14:textId="77777777" w:rsidR="00E903FD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010F1D1" w14:textId="77777777" w:rsidR="00E903FD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Používanie s ďalšími vaginálnymi bariérovými metódami</w:t>
      </w:r>
    </w:p>
    <w:p w14:paraId="751994DF" w14:textId="3B751A20" w:rsidR="00E903FD" w:rsidRPr="000F7489" w:rsidRDefault="00E903FD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 xml:space="preserve"> môže ovplyvniť umiestnenie a polohu </w:t>
      </w:r>
      <w:r w:rsidR="00C84296">
        <w:rPr>
          <w:rFonts w:ascii="Times New Roman" w:hAnsi="Times New Roman"/>
          <w:sz w:val="22"/>
          <w:szCs w:val="22"/>
        </w:rPr>
        <w:t xml:space="preserve">niektorých </w:t>
      </w:r>
      <w:r w:rsidR="00982684">
        <w:rPr>
          <w:rFonts w:ascii="Times New Roman" w:hAnsi="Times New Roman"/>
          <w:sz w:val="22"/>
          <w:szCs w:val="22"/>
        </w:rPr>
        <w:t xml:space="preserve">foriem bariérovej antikoncepcie u žien </w:t>
      </w:r>
      <w:r>
        <w:rPr>
          <w:rFonts w:ascii="Times New Roman" w:hAnsi="Times New Roman"/>
          <w:sz w:val="22"/>
          <w:szCs w:val="22"/>
        </w:rPr>
        <w:t xml:space="preserve">ako je diafragma, </w:t>
      </w:r>
      <w:r w:rsidR="00982684">
        <w:rPr>
          <w:rFonts w:ascii="Times New Roman" w:hAnsi="Times New Roman"/>
          <w:sz w:val="22"/>
          <w:szCs w:val="22"/>
        </w:rPr>
        <w:t xml:space="preserve">cervikálna čiapočka </w:t>
      </w:r>
      <w:r w:rsidR="005D2E05">
        <w:rPr>
          <w:rFonts w:ascii="Times New Roman" w:hAnsi="Times New Roman"/>
          <w:sz w:val="22"/>
          <w:szCs w:val="22"/>
        </w:rPr>
        <w:t>alebo ženský kondóm</w:t>
      </w:r>
      <w:r>
        <w:rPr>
          <w:rFonts w:ascii="Times New Roman" w:hAnsi="Times New Roman"/>
          <w:sz w:val="22"/>
          <w:szCs w:val="22"/>
        </w:rPr>
        <w:t>.</w:t>
      </w:r>
      <w:r w:rsidR="002169D6">
        <w:rPr>
          <w:rFonts w:ascii="Times New Roman" w:hAnsi="Times New Roman"/>
          <w:sz w:val="22"/>
          <w:szCs w:val="22"/>
        </w:rPr>
        <w:t xml:space="preserve"> Tieto formy antikoncepcie sa nemajú používať s</w:t>
      </w:r>
      <w:r w:rsidR="00D11653">
        <w:rPr>
          <w:rFonts w:ascii="Times New Roman" w:hAnsi="Times New Roman"/>
          <w:sz w:val="22"/>
          <w:szCs w:val="22"/>
        </w:rPr>
        <w:t> </w:t>
      </w:r>
      <w:r w:rsidR="002169D6" w:rsidRPr="003817FE">
        <w:rPr>
          <w:rFonts w:ascii="Times New Roman" w:hAnsi="Times New Roman"/>
          <w:sz w:val="22"/>
          <w:szCs w:val="22"/>
        </w:rPr>
        <w:t>Perlinring</w:t>
      </w:r>
      <w:r w:rsidR="002169D6">
        <w:rPr>
          <w:rFonts w:ascii="Times New Roman" w:hAnsi="Times New Roman"/>
          <w:sz w:val="22"/>
          <w:szCs w:val="22"/>
        </w:rPr>
        <w:t>om</w:t>
      </w:r>
      <w:r w:rsidR="00D11653">
        <w:rPr>
          <w:rFonts w:ascii="Times New Roman" w:hAnsi="Times New Roman"/>
          <w:sz w:val="22"/>
          <w:szCs w:val="22"/>
        </w:rPr>
        <w:t xml:space="preserve"> ako záložné metódy</w:t>
      </w:r>
      <w:r w:rsidR="002169D6">
        <w:rPr>
          <w:rFonts w:ascii="Times New Roman" w:hAnsi="Times New Roman"/>
          <w:sz w:val="22"/>
          <w:szCs w:val="22"/>
        </w:rPr>
        <w:t>.</w:t>
      </w:r>
    </w:p>
    <w:p w14:paraId="717126D2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tbl>
      <w:tblPr>
        <w:tblW w:w="8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8"/>
        <w:gridCol w:w="4968"/>
      </w:tblGrid>
      <w:tr w:rsidR="00C627EB" w:rsidRPr="000F7489" w14:paraId="217EB979" w14:textId="77777777" w:rsidTr="00084F5B">
        <w:trPr>
          <w:cantSplit/>
          <w:trHeight w:val="3331"/>
          <w:jc w:val="center"/>
        </w:trPr>
        <w:tc>
          <w:tcPr>
            <w:tcW w:w="3057" w:type="dxa"/>
          </w:tcPr>
          <w:p w14:paraId="1CEB3137" w14:textId="77777777" w:rsidR="00C627EB" w:rsidRPr="000F7489" w:rsidRDefault="007E330A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noProof/>
                <w:szCs w:val="22"/>
                <w:lang w:val="en-US"/>
              </w:rPr>
              <w:drawing>
                <wp:inline distT="0" distB="0" distL="0" distR="0" wp14:anchorId="437D98FC" wp14:editId="4462E100">
                  <wp:extent cx="1781175" cy="1219200"/>
                  <wp:effectExtent l="0" t="0" r="9525" b="0"/>
                  <wp:docPr id="13" name="Obrázo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BC641" w14:textId="77777777" w:rsidR="00C627EB" w:rsidRPr="000F7489" w:rsidRDefault="00C627EB" w:rsidP="00226C8F">
            <w:pPr>
              <w:adjustRightInd w:val="0"/>
              <w:snapToGrid w:val="0"/>
              <w:rPr>
                <w:rFonts w:ascii="Times New Roman" w:hAnsi="Times New Roman"/>
                <w:i/>
                <w:iCs/>
              </w:rPr>
            </w:pP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obrázok 1</w:t>
            </w:r>
          </w:p>
          <w:p w14:paraId="758152B9" w14:textId="77777777" w:rsidR="00C627EB" w:rsidRPr="00F04C6B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szCs w:val="22"/>
              </w:rPr>
            </w:pPr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Vyberte </w:t>
            </w:r>
            <w:r w:rsidR="00F04C6B" w:rsidRPr="00F04C6B">
              <w:rPr>
                <w:rFonts w:ascii="Times New Roman" w:hAnsi="Times New Roman"/>
                <w:b w:val="0"/>
                <w:sz w:val="22"/>
                <w:szCs w:val="22"/>
              </w:rPr>
              <w:t>Perlinring</w:t>
            </w:r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z</w:t>
            </w:r>
            <w:r w:rsidRPr="00F04C6B">
              <w:rPr>
                <w:rFonts w:ascii="Times New Roman" w:hAnsi="Times New Roman"/>
                <w:b w:val="0"/>
                <w:iCs/>
                <w:sz w:val="22"/>
                <w:szCs w:val="22"/>
              </w:rPr>
              <w:t> </w:t>
            </w:r>
            <w:r w:rsidRPr="00F04C6B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vrecka</w:t>
            </w:r>
          </w:p>
          <w:p w14:paraId="7D4F7C5D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 w:val="restart"/>
          </w:tcPr>
          <w:p w14:paraId="6D62F10C" w14:textId="77777777" w:rsidR="00E903FD" w:rsidRPr="000F7489" w:rsidRDefault="00E903FD" w:rsidP="00E903FD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3</w:t>
            </w:r>
          </w:p>
          <w:p w14:paraId="07C63D8B" w14:textId="77777777" w:rsidR="00C627EB" w:rsidRPr="000F7489" w:rsidRDefault="00AA26A8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b w:val="0"/>
                <w:i/>
                <w:noProof/>
                <w:szCs w:val="22"/>
                <w:lang w:val="en-US"/>
              </w:rPr>
              <w:drawing>
                <wp:inline distT="0" distB="0" distL="0" distR="0" wp14:anchorId="205E9498" wp14:editId="67774BA8">
                  <wp:extent cx="2886075" cy="3505200"/>
                  <wp:effectExtent l="0" t="0" r="9525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3AB6D" w14:textId="77777777" w:rsidR="00C627EB" w:rsidRPr="00F04C6B" w:rsidRDefault="00C627EB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 w:rsidRPr="00F04C6B">
              <w:rPr>
                <w:rFonts w:ascii="Times New Roman" w:hAnsi="Times New Roman"/>
                <w:b w:val="0"/>
                <w:bCs/>
                <w:sz w:val="22"/>
                <w:szCs w:val="22"/>
              </w:rPr>
              <w:t>Zvoľte si pohodlnú polohu na zavedenie krúžku</w:t>
            </w:r>
          </w:p>
          <w:p w14:paraId="68445BB2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14:paraId="0995BBFC" w14:textId="77777777" w:rsidTr="00226A14">
        <w:trPr>
          <w:cantSplit/>
          <w:jc w:val="center"/>
        </w:trPr>
        <w:tc>
          <w:tcPr>
            <w:tcW w:w="3057" w:type="dxa"/>
          </w:tcPr>
          <w:p w14:paraId="159E0976" w14:textId="77777777" w:rsidR="00C627EB" w:rsidRPr="000F7489" w:rsidRDefault="007E330A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 wp14:anchorId="669E4DF6" wp14:editId="6221BFB7">
                  <wp:extent cx="1781175" cy="1219200"/>
                  <wp:effectExtent l="0" t="0" r="9525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DDB7AD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2</w:t>
            </w:r>
          </w:p>
          <w:p w14:paraId="56DC5072" w14:textId="77777777" w:rsidR="00C627EB" w:rsidRPr="003B6A8A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 w:rsidRPr="003B6A8A">
              <w:rPr>
                <w:rFonts w:ascii="Times New Roman" w:hAnsi="Times New Roman"/>
                <w:b w:val="0"/>
                <w:bCs/>
                <w:sz w:val="22"/>
                <w:szCs w:val="22"/>
              </w:rPr>
              <w:t>Stlačte krúžok</w:t>
            </w:r>
          </w:p>
          <w:p w14:paraId="5D071521" w14:textId="77777777" w:rsidR="00C627EB" w:rsidRPr="000F7489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/>
          </w:tcPr>
          <w:p w14:paraId="73C28C85" w14:textId="77777777" w:rsidR="00C627EB" w:rsidRPr="000F7489" w:rsidRDefault="00C627EB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C627EB" w:rsidRPr="000F7489" w14:paraId="6CC4212F" w14:textId="77777777" w:rsidTr="00226A14">
        <w:trPr>
          <w:jc w:val="center"/>
        </w:trPr>
        <w:tc>
          <w:tcPr>
            <w:tcW w:w="8703" w:type="dxa"/>
            <w:gridSpan w:val="2"/>
          </w:tcPr>
          <w:p w14:paraId="50597B27" w14:textId="77777777" w:rsidR="00C627EB" w:rsidRPr="000F7489" w:rsidRDefault="00D11653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object w:dxaOrig="13155" w:dyaOrig="9105" w14:anchorId="43C4B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9.5pt;height:179.25pt" o:ole="">
                  <v:imagedata r:id="rId12" o:title=""/>
                </v:shape>
                <o:OLEObject Type="Embed" ProgID="PBrush" ShapeID="_x0000_i1025" DrawAspect="Content" ObjectID="_1613888673" r:id="rId13"/>
              </w:object>
            </w:r>
          </w:p>
          <w:p w14:paraId="13D66162" w14:textId="77777777" w:rsidR="003B6A8A" w:rsidRDefault="00C627EB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4A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</w:r>
          </w:p>
          <w:p w14:paraId="2262BAC1" w14:textId="77777777" w:rsidR="003B6A8A" w:rsidRDefault="003B6A8A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</w:p>
          <w:p w14:paraId="40A342E6" w14:textId="77777777" w:rsidR="00D74695" w:rsidRDefault="003B6A8A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CD9A6DA" wp14:editId="74E2EE9B">
                  <wp:extent cx="2419350" cy="1676400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40E8A26D" wp14:editId="37ABFBA7">
                  <wp:extent cx="2438400" cy="1676400"/>
                  <wp:effectExtent l="0" t="0" r="0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A41A7" w14:textId="77777777" w:rsidR="00C627EB" w:rsidRPr="000F7489" w:rsidRDefault="00C627EB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4B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</w:r>
            <w:r w:rsidR="00213B4B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 xml:space="preserve">                                                    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sz w:val="22"/>
                  <w:szCs w:val="22"/>
                </w:rPr>
                <w:t>4C</w:t>
              </w:r>
            </w:smartTag>
          </w:p>
          <w:p w14:paraId="05C5842E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</w:p>
          <w:p w14:paraId="056C8A64" w14:textId="77777777" w:rsidR="00C627EB" w:rsidRPr="00B73896" w:rsidRDefault="00C627EB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Cs/>
                <w:szCs w:val="22"/>
              </w:rPr>
            </w:pP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Krúžok zaveďte do pošvy jednou rukou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4A), ak je to potrebné, druhou rukou roztvorte pysky ohanbia. Zatlačte krúžok do pošvy tak, aby ste sa po jeho zavedení cítili pohodlne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4B). Ponechajte krúžok na tomto mieste počas 3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týždňov (obrázok</w:t>
            </w:r>
            <w:r w:rsidRPr="00B73896">
              <w:rPr>
                <w:rFonts w:ascii="Times New Roman" w:hAnsi="Times New Roman"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B73896">
                <w:rPr>
                  <w:rFonts w:ascii="Times New Roman" w:hAnsi="Times New Roman"/>
                  <w:b w:val="0"/>
                  <w:bCs/>
                  <w:iCs/>
                  <w:sz w:val="22"/>
                  <w:szCs w:val="22"/>
                </w:rPr>
                <w:t>4C</w:t>
              </w:r>
            </w:smartTag>
            <w:r w:rsidRPr="00B73896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).</w:t>
            </w:r>
          </w:p>
          <w:p w14:paraId="3005E237" w14:textId="77777777" w:rsidR="00C627EB" w:rsidRPr="000F7489" w:rsidRDefault="00C627EB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</w:tc>
      </w:tr>
      <w:tr w:rsidR="00C627EB" w:rsidRPr="000F7489" w14:paraId="09A24731" w14:textId="77777777" w:rsidTr="00226A14">
        <w:trPr>
          <w:jc w:val="center"/>
        </w:trPr>
        <w:tc>
          <w:tcPr>
            <w:tcW w:w="3057" w:type="dxa"/>
          </w:tcPr>
          <w:p w14:paraId="3B39F3AC" w14:textId="77777777" w:rsidR="00C627EB" w:rsidRPr="000F7489" w:rsidRDefault="003B6A8A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b w:val="0"/>
                <w:i/>
                <w:noProof/>
                <w:szCs w:val="22"/>
                <w:lang w:val="en-US"/>
              </w:rPr>
              <w:drawing>
                <wp:inline distT="0" distB="0" distL="0" distR="0" wp14:anchorId="5BE1F727" wp14:editId="06D389EF">
                  <wp:extent cx="2628900" cy="1819275"/>
                  <wp:effectExtent l="0" t="0" r="0" b="9525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14:paraId="3945E108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  <w:p w14:paraId="48D6B7B0" w14:textId="77777777" w:rsidR="00C627EB" w:rsidRPr="000F7489" w:rsidRDefault="00C627EB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5</w:t>
            </w:r>
          </w:p>
          <w:p w14:paraId="7051B539" w14:textId="77777777" w:rsidR="00C627EB" w:rsidRPr="009F75D8" w:rsidRDefault="003B6A8A" w:rsidP="003B6A8A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Cs/>
                <w:szCs w:val="22"/>
              </w:rPr>
            </w:pPr>
            <w:r w:rsidRPr="003B6A8A">
              <w:rPr>
                <w:rFonts w:ascii="Times New Roman" w:hAnsi="Times New Roman"/>
                <w:b w:val="0"/>
                <w:sz w:val="22"/>
                <w:szCs w:val="22"/>
              </w:rPr>
              <w:t>Perlinring</w:t>
            </w:r>
            <w:r w:rsidRPr="003B6A8A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 xml:space="preserve"> </w:t>
            </w:r>
            <w:r w:rsidR="00C627EB" w:rsidRPr="003B6A8A">
              <w:rPr>
                <w:rFonts w:ascii="Times New Roman" w:hAnsi="Times New Roman"/>
                <w:b w:val="0"/>
                <w:bCs/>
                <w:iCs/>
                <w:sz w:val="22"/>
                <w:szCs w:val="22"/>
              </w:rPr>
              <w:t>sa môže vybrať podobratím ukazovákom pod predný okraj krúžku alebo uchopením krúžku medzi ukazovák a prostredník a vytiahnutím.</w:t>
            </w:r>
          </w:p>
        </w:tc>
      </w:tr>
    </w:tbl>
    <w:p w14:paraId="3191E37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4D01CB4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ZAČAŤ POUŽÍVAŤ </w:t>
      </w:r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="003B6A8A">
        <w:rPr>
          <w:rFonts w:ascii="Times New Roman" w:hAnsi="Times New Roman"/>
          <w:sz w:val="22"/>
          <w:szCs w:val="22"/>
        </w:rPr>
        <w:t xml:space="preserve"> </w:t>
      </w:r>
    </w:p>
    <w:p w14:paraId="7EEA0260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bCs/>
          <w:i/>
          <w:iCs/>
          <w:sz w:val="22"/>
          <w:szCs w:val="22"/>
        </w:rPr>
      </w:pPr>
    </w:p>
    <w:p w14:paraId="726A06AC" w14:textId="77777777" w:rsidR="00C627EB" w:rsidRPr="000F7489" w:rsidRDefault="00C627EB" w:rsidP="000C1AEE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Bez použitia hormonálneho kontraceptíva v predchádzajúcom cykle</w:t>
      </w:r>
    </w:p>
    <w:p w14:paraId="688EE09B" w14:textId="77777777" w:rsidR="00C627EB" w:rsidRPr="000F7489" w:rsidRDefault="003B6A8A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 xml:space="preserve"> </w:t>
      </w:r>
      <w:r w:rsidR="00C627EB" w:rsidRPr="000F7489">
        <w:rPr>
          <w:rFonts w:ascii="Times New Roman" w:hAnsi="Times New Roman"/>
          <w:sz w:val="22"/>
          <w:szCs w:val="22"/>
        </w:rPr>
        <w:t xml:space="preserve">sa má zaviesť v prvý deň prirodzeného cyklu ženy (t.j. prvý deň menštruačného krvácania ženy). S používaním sa môže začať aj na 2. – 5. deň, ale počas prvého cyklu sa odporúča používať doplnkovú bariérovú metódu počas prvých 7 dní používania </w:t>
      </w:r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/>
          <w:sz w:val="22"/>
          <w:szCs w:val="22"/>
        </w:rPr>
        <w:t>u.</w:t>
      </w:r>
    </w:p>
    <w:p w14:paraId="4C4B7858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654A03D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Prechod z kombinovaného hormonálneho kontraceptíva</w:t>
      </w:r>
    </w:p>
    <w:p w14:paraId="7793F695" w14:textId="190EF78F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si musí zaviesť </w:t>
      </w:r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="003B6A8A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najneskôr v </w:t>
      </w:r>
      <w:r w:rsidR="002337ED" w:rsidRPr="000F7489">
        <w:rPr>
          <w:rFonts w:ascii="Times New Roman" w:hAnsi="Times New Roman"/>
          <w:sz w:val="22"/>
          <w:szCs w:val="22"/>
        </w:rPr>
        <w:t>d</w:t>
      </w:r>
      <w:r w:rsidR="002337ED">
        <w:rPr>
          <w:rFonts w:ascii="Times New Roman" w:hAnsi="Times New Roman"/>
          <w:sz w:val="22"/>
          <w:szCs w:val="22"/>
        </w:rPr>
        <w:t>eň</w:t>
      </w:r>
      <w:r w:rsidR="002337ED" w:rsidRPr="000F7489">
        <w:rPr>
          <w:rFonts w:ascii="Times New Roman" w:hAnsi="Times New Roman"/>
          <w:sz w:val="22"/>
          <w:szCs w:val="22"/>
        </w:rPr>
        <w:t xml:space="preserve"> nasledujúc</w:t>
      </w:r>
      <w:r w:rsidR="002337ED">
        <w:rPr>
          <w:rFonts w:ascii="Times New Roman" w:hAnsi="Times New Roman"/>
          <w:sz w:val="22"/>
          <w:szCs w:val="22"/>
        </w:rPr>
        <w:t>i</w:t>
      </w:r>
      <w:r w:rsidR="002337ED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po zvyčajnom období bez tabliet, bez náplasti alebo po období s tabletami obsahujúcimi placebo jej predchádzajúceho kombinovaného hormonálneho kontraceptíva.</w:t>
      </w:r>
    </w:p>
    <w:p w14:paraId="0267BBB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0988862" w14:textId="0BC8B926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 žena používala svoju predchádzajúcu metódu dôsledne a správne a ak je dost</w:t>
      </w:r>
      <w:r w:rsidR="003047D4">
        <w:rPr>
          <w:rFonts w:ascii="Times New Roman" w:hAnsi="Times New Roman"/>
          <w:sz w:val="22"/>
          <w:szCs w:val="22"/>
        </w:rPr>
        <w:t>atočne jasné, že nie je tehotná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r w:rsidR="003047D4">
        <w:rPr>
          <w:rFonts w:ascii="Times New Roman" w:hAnsi="Times New Roman"/>
          <w:sz w:val="22"/>
          <w:szCs w:val="22"/>
        </w:rPr>
        <w:t xml:space="preserve">môže prejsť </w:t>
      </w:r>
      <w:r w:rsidRPr="000F7489">
        <w:rPr>
          <w:rFonts w:ascii="Times New Roman" w:hAnsi="Times New Roman"/>
          <w:sz w:val="22"/>
          <w:szCs w:val="22"/>
        </w:rPr>
        <w:t>zo svojho predchádzajúceho kombinovaného hormonálneho kontraceptíva v </w:t>
      </w:r>
      <w:r w:rsidR="002337ED" w:rsidRPr="000F7489">
        <w:rPr>
          <w:rFonts w:ascii="Times New Roman" w:hAnsi="Times New Roman"/>
          <w:sz w:val="22"/>
          <w:szCs w:val="22"/>
        </w:rPr>
        <w:t>ktor</w:t>
      </w:r>
      <w:r w:rsidR="002337ED">
        <w:rPr>
          <w:rFonts w:ascii="Times New Roman" w:hAnsi="Times New Roman"/>
          <w:sz w:val="22"/>
          <w:szCs w:val="22"/>
        </w:rPr>
        <w:t>ýkoľvek</w:t>
      </w:r>
      <w:r w:rsidR="002337ED" w:rsidRPr="000F7489">
        <w:rPr>
          <w:rFonts w:ascii="Times New Roman" w:hAnsi="Times New Roman"/>
          <w:sz w:val="22"/>
          <w:szCs w:val="22"/>
        </w:rPr>
        <w:t xml:space="preserve"> d</w:t>
      </w:r>
      <w:r w:rsidR="002337ED">
        <w:rPr>
          <w:rFonts w:ascii="Times New Roman" w:hAnsi="Times New Roman"/>
          <w:sz w:val="22"/>
          <w:szCs w:val="22"/>
        </w:rPr>
        <w:t>eň</w:t>
      </w:r>
      <w:r w:rsidR="002337ED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cyklu.</w:t>
      </w:r>
    </w:p>
    <w:p w14:paraId="56B506F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D85F9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Obdobie bez hormónov pri predchádzajúcej metóde nesmie nikdy presiahnuť odporúčanú dĺžku trvania.</w:t>
      </w:r>
    </w:p>
    <w:p w14:paraId="7CD8BA8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21782183" w14:textId="77777777" w:rsidR="00C627EB" w:rsidRPr="000F7489" w:rsidRDefault="00C627EB" w:rsidP="00226C8F">
      <w:pPr>
        <w:pStyle w:val="Zarkazkladnhotextu2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Prechod z metódy obsahujúcej len gestagén (minitableta, implantát alebo injekcia) alebo z intrauterinného systému uvoľňujúceho gestagén (IUS)</w:t>
      </w:r>
    </w:p>
    <w:p w14:paraId="18AA640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môže prejsť z minitablety v hociktorý deň (z implantátu alebo IUS v deň jeho odstránenia, z injekcie v čase, kedy by sa mala podať ďalšia injekcia), ale vo všetkých týchto prípadoch musí použiť doplnkovú bariérovú metódu počas prvých 7 dní používania </w:t>
      </w:r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u.</w:t>
      </w:r>
    </w:p>
    <w:p w14:paraId="5BCD08C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63D7CEFB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Po potrate v prvom trimestri</w:t>
      </w:r>
    </w:p>
    <w:p w14:paraId="692C4E9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Žena môže začať ihneď. V prípade, že tak uro</w:t>
      </w:r>
      <w:r w:rsidR="003047D4">
        <w:rPr>
          <w:rFonts w:ascii="Times New Roman" w:hAnsi="Times New Roman"/>
          <w:sz w:val="22"/>
          <w:szCs w:val="22"/>
        </w:rPr>
        <w:t>bí, nie je potrebné, aby používala</w:t>
      </w:r>
      <w:r w:rsidRPr="000F7489">
        <w:rPr>
          <w:rFonts w:ascii="Times New Roman" w:hAnsi="Times New Roman"/>
          <w:sz w:val="22"/>
          <w:szCs w:val="22"/>
        </w:rPr>
        <w:t xml:space="preserve"> doplnkové antikoncepčné opatrenia. Ak sa okamžitý prechod považuje za nevhodný, žena musí postupovať podľ</w:t>
      </w:r>
      <w:r w:rsidR="003047D4">
        <w:rPr>
          <w:rFonts w:ascii="Times New Roman" w:hAnsi="Times New Roman"/>
          <w:sz w:val="22"/>
          <w:szCs w:val="22"/>
        </w:rPr>
        <w:t xml:space="preserve">a odporúčania </w:t>
      </w:r>
      <w:r w:rsidR="003047D4" w:rsidRPr="003047D4">
        <w:rPr>
          <w:rFonts w:ascii="Times New Roman" w:hAnsi="Times New Roman"/>
          <w:sz w:val="22"/>
          <w:szCs w:val="22"/>
        </w:rPr>
        <w:t>uvedeného v časti</w:t>
      </w:r>
      <w:r w:rsidRPr="003047D4">
        <w:rPr>
          <w:rFonts w:ascii="Times New Roman" w:hAnsi="Times New Roman"/>
          <w:sz w:val="22"/>
          <w:szCs w:val="22"/>
        </w:rPr>
        <w:t xml:space="preserve"> </w:t>
      </w:r>
      <w:r w:rsidRPr="003047D4">
        <w:rPr>
          <w:rFonts w:ascii="Times New Roman" w:hAnsi="Times New Roman"/>
          <w:iCs/>
          <w:sz w:val="22"/>
          <w:szCs w:val="22"/>
        </w:rPr>
        <w:t>„</w:t>
      </w:r>
      <w:r w:rsidRPr="003047D4">
        <w:rPr>
          <w:rFonts w:ascii="Times New Roman" w:hAnsi="Times New Roman"/>
          <w:sz w:val="22"/>
          <w:szCs w:val="22"/>
        </w:rPr>
        <w:t xml:space="preserve">Bez použitia </w:t>
      </w:r>
      <w:r w:rsidRPr="003047D4">
        <w:rPr>
          <w:rFonts w:ascii="Times New Roman" w:hAnsi="Times New Roman"/>
          <w:iCs/>
          <w:sz w:val="22"/>
          <w:szCs w:val="22"/>
        </w:rPr>
        <w:t>hormonálneho kontraceptíva v</w:t>
      </w:r>
      <w:r w:rsidRPr="003047D4">
        <w:rPr>
          <w:rFonts w:ascii="Times New Roman" w:hAnsi="Times New Roman"/>
          <w:sz w:val="22"/>
          <w:szCs w:val="22"/>
        </w:rPr>
        <w:t> </w:t>
      </w:r>
      <w:r w:rsidRPr="003047D4">
        <w:rPr>
          <w:rFonts w:ascii="Times New Roman" w:hAnsi="Times New Roman"/>
          <w:iCs/>
          <w:sz w:val="22"/>
          <w:szCs w:val="22"/>
        </w:rPr>
        <w:t xml:space="preserve">predchádzajúcom cykle“. </w:t>
      </w:r>
      <w:r w:rsidRPr="003047D4">
        <w:rPr>
          <w:rFonts w:ascii="Times New Roman" w:hAnsi="Times New Roman"/>
          <w:sz w:val="22"/>
          <w:szCs w:val="22"/>
        </w:rPr>
        <w:t>Medzitým</w:t>
      </w:r>
      <w:r w:rsidRPr="000F7489">
        <w:rPr>
          <w:rFonts w:ascii="Times New Roman" w:hAnsi="Times New Roman"/>
          <w:sz w:val="22"/>
          <w:szCs w:val="22"/>
        </w:rPr>
        <w:t xml:space="preserve"> má byť žena poučená, aby používala alternatívnu metódu antikoncepcie.</w:t>
      </w:r>
    </w:p>
    <w:p w14:paraId="63D00E2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FBB244A" w14:textId="77777777" w:rsidR="00C627EB" w:rsidRPr="000F7489" w:rsidRDefault="00C627EB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Po pôrode alebo potrate v druhom trimestri</w:t>
      </w:r>
    </w:p>
    <w:p w14:paraId="096C00F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Dojčiace ženy, pozri časť 4.6.</w:t>
      </w:r>
    </w:p>
    <w:p w14:paraId="0F6E455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467289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3047D4">
        <w:rPr>
          <w:rFonts w:ascii="Times New Roman" w:hAnsi="Times New Roman"/>
          <w:sz w:val="22"/>
          <w:szCs w:val="22"/>
        </w:rPr>
        <w:t>Ženy m</w:t>
      </w:r>
      <w:r w:rsidR="003047D4">
        <w:rPr>
          <w:rFonts w:ascii="Times New Roman" w:hAnsi="Times New Roman"/>
          <w:sz w:val="22"/>
          <w:szCs w:val="22"/>
        </w:rPr>
        <w:t>ajú</w:t>
      </w:r>
      <w:r w:rsidRPr="003047D4">
        <w:rPr>
          <w:rFonts w:ascii="Times New Roman" w:hAnsi="Times New Roman"/>
          <w:sz w:val="22"/>
          <w:szCs w:val="22"/>
        </w:rPr>
        <w:t xml:space="preserve"> byť</w:t>
      </w:r>
      <w:r w:rsidRPr="000F7489">
        <w:rPr>
          <w:rFonts w:ascii="Times New Roman" w:hAnsi="Times New Roman"/>
          <w:sz w:val="22"/>
          <w:szCs w:val="22"/>
        </w:rPr>
        <w:t xml:space="preserve"> poučené, aby s používaním začali počas štvrtého týždňa po pôrode alebo po potrate v druhom trimestri. Ak sa s používaním začína neskôr, žena má byť poučená, aby používala doplnkovú bariérovú metódu počas prvých 7 dní používania </w:t>
      </w:r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u. Ak už však došlo k pohlavnému styku, má sa vylúčiť gravidita alebo pred začiatkom používania </w:t>
      </w:r>
      <w:r w:rsidR="003B6A8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musí žena počkať na svoju prvú menštruáciu.</w:t>
      </w:r>
    </w:p>
    <w:p w14:paraId="548D311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47A0884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ODCHÝLKY OD ODPORÚČANÉHO REŽIMU</w:t>
      </w:r>
    </w:p>
    <w:p w14:paraId="74991EF3" w14:textId="77777777" w:rsidR="00C627EB" w:rsidRPr="000F7489" w:rsidRDefault="004B69C6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Ú</w:t>
      </w:r>
      <w:r w:rsidR="00C627EB" w:rsidRPr="000F7489">
        <w:rPr>
          <w:rFonts w:ascii="Times New Roman" w:hAnsi="Times New Roman"/>
          <w:sz w:val="22"/>
          <w:szCs w:val="22"/>
        </w:rPr>
        <w:t>činnosť</w:t>
      </w:r>
      <w:r>
        <w:rPr>
          <w:rFonts w:ascii="Times New Roman" w:hAnsi="Times New Roman"/>
          <w:sz w:val="22"/>
          <w:szCs w:val="22"/>
        </w:rPr>
        <w:t xml:space="preserve"> kontraceptíva</w:t>
      </w:r>
      <w:r w:rsidR="00C627EB" w:rsidRPr="000F7489">
        <w:rPr>
          <w:rFonts w:ascii="Times New Roman" w:hAnsi="Times New Roman"/>
          <w:sz w:val="22"/>
          <w:szCs w:val="22"/>
        </w:rPr>
        <w:t xml:space="preserve"> a kontrola cyklu</w:t>
      </w:r>
      <w:r>
        <w:rPr>
          <w:rFonts w:ascii="Times New Roman" w:hAnsi="Times New Roman"/>
          <w:sz w:val="22"/>
          <w:szCs w:val="22"/>
        </w:rPr>
        <w:t xml:space="preserve"> môžu byť </w:t>
      </w:r>
      <w:r w:rsidRPr="004B69C6">
        <w:rPr>
          <w:rFonts w:ascii="Times New Roman" w:hAnsi="Times New Roman"/>
          <w:sz w:val="22"/>
          <w:szCs w:val="22"/>
        </w:rPr>
        <w:t>znížené, a</w:t>
      </w:r>
      <w:r>
        <w:rPr>
          <w:rFonts w:ascii="Times New Roman" w:hAnsi="Times New Roman"/>
          <w:sz w:val="22"/>
          <w:szCs w:val="22"/>
        </w:rPr>
        <w:t xml:space="preserve">k </w:t>
      </w:r>
      <w:r w:rsidRPr="004B69C6">
        <w:rPr>
          <w:rFonts w:ascii="Times New Roman" w:hAnsi="Times New Roman"/>
          <w:sz w:val="22"/>
          <w:szCs w:val="22"/>
        </w:rPr>
        <w:t xml:space="preserve">žena </w:t>
      </w:r>
      <w:r>
        <w:rPr>
          <w:rFonts w:ascii="Times New Roman" w:hAnsi="Times New Roman"/>
          <w:sz w:val="22"/>
          <w:szCs w:val="22"/>
        </w:rPr>
        <w:t>nedodrží odporúčaný režim</w:t>
      </w:r>
      <w:r w:rsidR="00C627EB" w:rsidRPr="000F7489">
        <w:rPr>
          <w:rFonts w:ascii="Times New Roman" w:hAnsi="Times New Roman"/>
          <w:sz w:val="22"/>
          <w:szCs w:val="22"/>
        </w:rPr>
        <w:t>. Aby sa v prípade odchýlky predišlo strate kontraceptívnej účinnosti, môže sa poradiť nasledovné:</w:t>
      </w:r>
    </w:p>
    <w:p w14:paraId="3145469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49B1E180" w14:textId="77777777" w:rsidR="00C627EB" w:rsidRPr="001B18FD" w:rsidRDefault="00C627EB" w:rsidP="00FD500A">
      <w:pPr>
        <w:keepNext/>
        <w:numPr>
          <w:ilvl w:val="0"/>
          <w:numId w:val="10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B18FD">
        <w:rPr>
          <w:rFonts w:ascii="Times New Roman" w:hAnsi="Times New Roman"/>
          <w:bCs/>
          <w:sz w:val="22"/>
          <w:szCs w:val="22"/>
        </w:rPr>
        <w:t>Čo robiť v prípade predĺženého obdobia bez krúžku</w:t>
      </w:r>
    </w:p>
    <w:p w14:paraId="4824D2C0" w14:textId="77777777" w:rsidR="0095408A" w:rsidRDefault="0095408A" w:rsidP="0095408A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47B5F521" w14:textId="77777777" w:rsidR="00C627EB" w:rsidRPr="000F7489" w:rsidRDefault="00C627EB" w:rsidP="0095408A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Žena si musí zaviesť do pošvy nový krúžok hneď, ako si spomenie. </w:t>
      </w:r>
      <w:r w:rsidR="004B69C6">
        <w:rPr>
          <w:rFonts w:ascii="Times New Roman" w:hAnsi="Times New Roman" w:cs="Times New Roman"/>
          <w:sz w:val="22"/>
          <w:szCs w:val="22"/>
        </w:rPr>
        <w:t>P</w:t>
      </w:r>
      <w:r w:rsidR="004B69C6" w:rsidRPr="000F7489">
        <w:rPr>
          <w:rFonts w:ascii="Times New Roman" w:hAnsi="Times New Roman" w:cs="Times New Roman"/>
          <w:sz w:val="22"/>
          <w:szCs w:val="22"/>
        </w:rPr>
        <w:t xml:space="preserve">očas nasledujúcich 7 dní </w:t>
      </w:r>
      <w:r w:rsidRPr="000F7489">
        <w:rPr>
          <w:rFonts w:ascii="Times New Roman" w:hAnsi="Times New Roman" w:cs="Times New Roman"/>
          <w:sz w:val="22"/>
          <w:szCs w:val="22"/>
        </w:rPr>
        <w:t xml:space="preserve">sa </w:t>
      </w:r>
      <w:r w:rsidR="004B69C6">
        <w:rPr>
          <w:rFonts w:ascii="Times New Roman" w:hAnsi="Times New Roman" w:cs="Times New Roman"/>
          <w:sz w:val="22"/>
          <w:szCs w:val="22"/>
        </w:rPr>
        <w:t xml:space="preserve">navyše </w:t>
      </w:r>
      <w:r w:rsidRPr="000F7489">
        <w:rPr>
          <w:rFonts w:ascii="Times New Roman" w:hAnsi="Times New Roman" w:cs="Times New Roman"/>
          <w:sz w:val="22"/>
          <w:szCs w:val="22"/>
        </w:rPr>
        <w:t>musí po</w:t>
      </w:r>
      <w:r w:rsidR="004B69C6">
        <w:rPr>
          <w:rFonts w:ascii="Times New Roman" w:hAnsi="Times New Roman" w:cs="Times New Roman"/>
          <w:sz w:val="22"/>
          <w:szCs w:val="22"/>
        </w:rPr>
        <w:t>užívať</w:t>
      </w:r>
      <w:r w:rsidRPr="000F7489">
        <w:rPr>
          <w:rFonts w:ascii="Times New Roman" w:hAnsi="Times New Roman" w:cs="Times New Roman"/>
          <w:sz w:val="22"/>
          <w:szCs w:val="22"/>
        </w:rPr>
        <w:t xml:space="preserve"> bariérová metóda, napr. prezer</w:t>
      </w:r>
      <w:r w:rsidR="004B69C6">
        <w:rPr>
          <w:rFonts w:ascii="Times New Roman" w:hAnsi="Times New Roman" w:cs="Times New Roman"/>
          <w:sz w:val="22"/>
          <w:szCs w:val="22"/>
        </w:rPr>
        <w:t>vatív</w:t>
      </w:r>
      <w:r w:rsidRPr="000F7489">
        <w:rPr>
          <w:rFonts w:ascii="Times New Roman" w:hAnsi="Times New Roman" w:cs="Times New Roman"/>
          <w:sz w:val="22"/>
          <w:szCs w:val="22"/>
        </w:rPr>
        <w:t>. Ak počas obdobia bez krúžku došlo k pohlavnému styku, musí sa vziať do úvahy možnosť gravidity. Čím dlhšie je obdobie bez krúžku, tým väčšie je riziko gravidity.</w:t>
      </w:r>
    </w:p>
    <w:p w14:paraId="2A89C39D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222299" w14:textId="77777777" w:rsidR="00C627EB" w:rsidRPr="00CA096E" w:rsidRDefault="00C627EB" w:rsidP="00FD500A">
      <w:pPr>
        <w:keepNext/>
        <w:numPr>
          <w:ilvl w:val="0"/>
          <w:numId w:val="11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CA096E">
        <w:rPr>
          <w:rFonts w:ascii="Times New Roman" w:hAnsi="Times New Roman"/>
          <w:bCs/>
          <w:sz w:val="22"/>
          <w:szCs w:val="22"/>
        </w:rPr>
        <w:t>Čo robiť, ak bol krúžok dočasne mimo pošvy</w:t>
      </w:r>
    </w:p>
    <w:p w14:paraId="729602C6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7FF552CD" w14:textId="77777777" w:rsidR="00C627EB" w:rsidRPr="000F7489" w:rsidRDefault="00CA096E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3817FE">
        <w:rPr>
          <w:rFonts w:ascii="Times New Roman" w:hAnsi="Times New Roman" w:cs="Times New Roman"/>
          <w:sz w:val="22"/>
          <w:szCs w:val="22"/>
        </w:rPr>
        <w:t>Perlinring</w:t>
      </w:r>
      <w:r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sa musí nechať v pošve počas nepretržitého obdobia 3 týždňov. </w:t>
      </w:r>
      <w:r w:rsidR="00C627EB" w:rsidRPr="000F7489">
        <w:rPr>
          <w:rFonts w:ascii="Times New Roman" w:hAnsi="Times New Roman"/>
          <w:sz w:val="22"/>
          <w:szCs w:val="22"/>
        </w:rPr>
        <w:t xml:space="preserve">Ak dôjde k náhodnému vypudeniu </w:t>
      </w:r>
      <w:r>
        <w:rPr>
          <w:rFonts w:ascii="Times New Roman" w:hAnsi="Times New Roman"/>
          <w:sz w:val="22"/>
          <w:szCs w:val="22"/>
        </w:rPr>
        <w:t>krúžk</w:t>
      </w:r>
      <w:r w:rsidR="00C627EB" w:rsidRPr="000F7489">
        <w:rPr>
          <w:rFonts w:ascii="Times New Roman" w:hAnsi="Times New Roman"/>
          <w:sz w:val="22"/>
          <w:szCs w:val="22"/>
        </w:rPr>
        <w:t>u,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</w:t>
      </w:r>
      <w:r w:rsidR="004B69C6">
        <w:rPr>
          <w:rFonts w:ascii="Times New Roman" w:hAnsi="Times New Roman" w:cs="Times New Roman"/>
          <w:sz w:val="22"/>
          <w:szCs w:val="22"/>
        </w:rPr>
        <w:t>má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sa opláchnuť studenou a</w:t>
      </w:r>
      <w:r w:rsidR="00C627EB">
        <w:rPr>
          <w:rFonts w:ascii="Times New Roman" w:hAnsi="Times New Roman" w:cs="Times New Roman"/>
          <w:sz w:val="22"/>
          <w:szCs w:val="22"/>
        </w:rPr>
        <w:t>ž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vlažnou (nie horúcou) vodou a musí sa okamžite opätovne zaviesť.</w:t>
      </w:r>
    </w:p>
    <w:p w14:paraId="01767066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37C29827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r w:rsidR="00CA096E" w:rsidRPr="003817FE">
        <w:rPr>
          <w:rFonts w:ascii="Times New Roman" w:hAnsi="Times New Roman" w:cs="Times New Roman"/>
          <w:sz w:val="22"/>
          <w:szCs w:val="22"/>
        </w:rPr>
        <w:t>Perlinring</w:t>
      </w:r>
      <w:r w:rsidR="00CA096E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mimo pošvy </w:t>
      </w:r>
      <w:r w:rsidRPr="00982402">
        <w:rPr>
          <w:rFonts w:ascii="Times New Roman" w:hAnsi="Times New Roman" w:cs="Times New Roman"/>
          <w:bCs/>
          <w:sz w:val="22"/>
          <w:szCs w:val="22"/>
        </w:rPr>
        <w:t>menej ako 3</w:t>
      </w:r>
      <w:r w:rsidRPr="00CA096E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bCs/>
          <w:sz w:val="22"/>
          <w:szCs w:val="22"/>
        </w:rPr>
        <w:t>hodiny</w:t>
      </w:r>
      <w:r w:rsidRPr="000F7489">
        <w:rPr>
          <w:rFonts w:ascii="Times New Roman" w:hAnsi="Times New Roman" w:cs="Times New Roman"/>
          <w:sz w:val="22"/>
          <w:szCs w:val="22"/>
        </w:rPr>
        <w:t>, kont</w:t>
      </w:r>
      <w:r w:rsidR="004B69C6">
        <w:rPr>
          <w:rFonts w:ascii="Times New Roman" w:hAnsi="Times New Roman" w:cs="Times New Roman"/>
          <w:sz w:val="22"/>
          <w:szCs w:val="22"/>
        </w:rPr>
        <w:t>raceptívna účinnosť sa neznížila</w:t>
      </w:r>
      <w:r w:rsidRPr="000F7489">
        <w:rPr>
          <w:rFonts w:ascii="Times New Roman" w:hAnsi="Times New Roman" w:cs="Times New Roman"/>
          <w:sz w:val="22"/>
          <w:szCs w:val="22"/>
        </w:rPr>
        <w:t>. Žena si musí opätovne zaviesť krúžok hneď, ako to bude možné, ale najneskôr do 3 hodín.</w:t>
      </w:r>
    </w:p>
    <w:p w14:paraId="3F53D242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0DB5F4DD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 xml:space="preserve"> mimo pošvy alebo existuje podozrenie, že bol mimo pošvy viac ako 3 hodiny počas 1. alebo 2. týždňa používania, účinnosť </w:t>
      </w:r>
      <w:r w:rsidR="0095408A">
        <w:rPr>
          <w:rFonts w:ascii="Times New Roman" w:hAnsi="Times New Roman" w:cs="Times New Roman"/>
          <w:sz w:val="22"/>
          <w:szCs w:val="22"/>
        </w:rPr>
        <w:t xml:space="preserve">kontraceptíva </w:t>
      </w:r>
      <w:r w:rsidRPr="000F7489">
        <w:rPr>
          <w:rFonts w:ascii="Times New Roman" w:hAnsi="Times New Roman" w:cs="Times New Roman"/>
          <w:sz w:val="22"/>
          <w:szCs w:val="22"/>
        </w:rPr>
        <w:t xml:space="preserve">môže </w:t>
      </w:r>
      <w:r w:rsidR="0095408A">
        <w:rPr>
          <w:rFonts w:ascii="Times New Roman" w:hAnsi="Times New Roman" w:cs="Times New Roman"/>
          <w:sz w:val="22"/>
          <w:szCs w:val="22"/>
        </w:rPr>
        <w:t>byť znížená</w:t>
      </w:r>
      <w:r w:rsidRPr="000F7489">
        <w:rPr>
          <w:rFonts w:ascii="Times New Roman" w:hAnsi="Times New Roman" w:cs="Times New Roman"/>
          <w:sz w:val="22"/>
          <w:szCs w:val="22"/>
        </w:rPr>
        <w:t xml:space="preserve">. Žena si musí opätovne zaviesť krúžok </w:t>
      </w:r>
      <w:r w:rsidR="00AB1AC6"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hneď, ako si spomenie. Kým </w:t>
      </w:r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r w:rsidR="00AB1AC6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nebude v pošve nepretržite 7 dní, musí sa používať bariérová metóda, ako napr. prezervatív. Čím dlhší čas bol </w:t>
      </w:r>
      <w:r w:rsidR="00AB1AC6" w:rsidRPr="003817FE">
        <w:rPr>
          <w:rFonts w:ascii="Times New Roman" w:hAnsi="Times New Roman" w:cs="Times New Roman"/>
          <w:sz w:val="22"/>
          <w:szCs w:val="22"/>
        </w:rPr>
        <w:t>Perlinring</w:t>
      </w:r>
      <w:r w:rsidR="00AB1AC6" w:rsidRPr="00C85012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>mimo pošvy a čím bližšie je to k obdobiu bez krúžku, tým vyššie je riziko gravidity.</w:t>
      </w:r>
    </w:p>
    <w:p w14:paraId="187F6F52" w14:textId="77777777" w:rsidR="0095408A" w:rsidRDefault="0095408A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6BDE56A2" w14:textId="77777777" w:rsidR="00C627EB" w:rsidRPr="000F7489" w:rsidRDefault="00C627EB" w:rsidP="0095408A">
      <w:pPr>
        <w:pStyle w:val="Zarkazkladnhotextu"/>
        <w:tabs>
          <w:tab w:val="left" w:pos="567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r w:rsidR="001F078B" w:rsidRPr="003817FE">
        <w:rPr>
          <w:rFonts w:ascii="Times New Roman" w:hAnsi="Times New Roman" w:cs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="004B69C6" w:rsidRPr="000F7489">
        <w:rPr>
          <w:rFonts w:ascii="Times New Roman" w:hAnsi="Times New Roman" w:cs="Times New Roman"/>
          <w:sz w:val="22"/>
          <w:szCs w:val="22"/>
        </w:rPr>
        <w:t>alebo existuje podozrenie, že bol mimo pošvy viac ako</w:t>
      </w:r>
      <w:r w:rsidRPr="00982402">
        <w:rPr>
          <w:rFonts w:ascii="Times New Roman" w:hAnsi="Times New Roman" w:cs="Times New Roman"/>
          <w:sz w:val="22"/>
          <w:szCs w:val="22"/>
        </w:rPr>
        <w:t xml:space="preserve"> 3</w:t>
      </w:r>
      <w:r w:rsidRPr="001F078B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sz w:val="22"/>
          <w:szCs w:val="22"/>
        </w:rPr>
        <w:t>hodiny počas 3.</w:t>
      </w:r>
      <w:r w:rsidRPr="001F078B">
        <w:rPr>
          <w:rFonts w:ascii="Times New Roman" w:hAnsi="Times New Roman" w:cs="Times New Roman"/>
          <w:sz w:val="22"/>
          <w:szCs w:val="22"/>
        </w:rPr>
        <w:t> </w:t>
      </w:r>
      <w:r w:rsidRPr="00982402">
        <w:rPr>
          <w:rFonts w:ascii="Times New Roman" w:hAnsi="Times New Roman" w:cs="Times New Roman"/>
          <w:sz w:val="22"/>
          <w:szCs w:val="22"/>
        </w:rPr>
        <w:t>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v období trojtýždňového používania</w:t>
      </w:r>
      <w:r w:rsidR="0095408A">
        <w:rPr>
          <w:rFonts w:ascii="Times New Roman" w:hAnsi="Times New Roman" w:cs="Times New Roman"/>
          <w:sz w:val="22"/>
          <w:szCs w:val="22"/>
        </w:rPr>
        <w:t>,</w:t>
      </w:r>
      <w:r w:rsidRPr="000F7489">
        <w:rPr>
          <w:rFonts w:ascii="Times New Roman" w:hAnsi="Times New Roman" w:cs="Times New Roman"/>
          <w:sz w:val="22"/>
          <w:szCs w:val="22"/>
        </w:rPr>
        <w:t xml:space="preserve"> účinnosť </w:t>
      </w:r>
      <w:r w:rsidR="0095408A">
        <w:rPr>
          <w:rFonts w:ascii="Times New Roman" w:hAnsi="Times New Roman" w:cs="Times New Roman"/>
          <w:sz w:val="22"/>
          <w:szCs w:val="22"/>
        </w:rPr>
        <w:t>kontraceptív</w:t>
      </w:r>
      <w:r w:rsidR="0095408A" w:rsidRPr="000F7489">
        <w:rPr>
          <w:rFonts w:ascii="Times New Roman" w:hAnsi="Times New Roman" w:cs="Times New Roman"/>
          <w:sz w:val="22"/>
          <w:szCs w:val="22"/>
        </w:rPr>
        <w:t xml:space="preserve">a </w:t>
      </w:r>
      <w:r w:rsidRPr="000F7489">
        <w:rPr>
          <w:rFonts w:ascii="Times New Roman" w:hAnsi="Times New Roman" w:cs="Times New Roman"/>
          <w:sz w:val="22"/>
          <w:szCs w:val="22"/>
        </w:rPr>
        <w:t xml:space="preserve">môže </w:t>
      </w:r>
      <w:r w:rsidR="0095408A">
        <w:rPr>
          <w:rFonts w:ascii="Times New Roman" w:hAnsi="Times New Roman" w:cs="Times New Roman"/>
          <w:sz w:val="22"/>
          <w:szCs w:val="22"/>
        </w:rPr>
        <w:t>byť znížená</w:t>
      </w:r>
      <w:r w:rsidRPr="000F7489">
        <w:rPr>
          <w:rFonts w:ascii="Times New Roman" w:hAnsi="Times New Roman" w:cs="Times New Roman"/>
          <w:sz w:val="22"/>
          <w:szCs w:val="22"/>
        </w:rPr>
        <w:t>. Žena musí tento krúžok zlikvidovať a musí sa zvoliť jedna z nasled</w:t>
      </w:r>
      <w:r>
        <w:rPr>
          <w:rFonts w:ascii="Times New Roman" w:hAnsi="Times New Roman" w:cs="Times New Roman"/>
          <w:sz w:val="22"/>
          <w:szCs w:val="22"/>
        </w:rPr>
        <w:t>ujúcich</w:t>
      </w:r>
      <w:r w:rsidRPr="000F7489">
        <w:rPr>
          <w:rFonts w:ascii="Times New Roman" w:hAnsi="Times New Roman" w:cs="Times New Roman"/>
          <w:sz w:val="22"/>
          <w:szCs w:val="22"/>
        </w:rPr>
        <w:t xml:space="preserve"> dvoch možností:</w:t>
      </w:r>
    </w:p>
    <w:p w14:paraId="4BAE6762" w14:textId="77777777" w:rsidR="00C627EB" w:rsidRPr="000F7489" w:rsidRDefault="00C627EB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14:paraId="7CC0EF0B" w14:textId="77777777" w:rsidR="00C627EB" w:rsidRPr="000F7489" w:rsidRDefault="00C627EB" w:rsidP="00FD500A">
      <w:pPr>
        <w:pStyle w:val="Zarkazkladnhotextu"/>
        <w:keepNext/>
        <w:numPr>
          <w:ilvl w:val="0"/>
          <w:numId w:val="12"/>
        </w:numPr>
        <w:tabs>
          <w:tab w:val="left" w:pos="567"/>
        </w:tabs>
        <w:adjustRightInd w:val="0"/>
        <w:snapToGrid w:val="0"/>
        <w:ind w:left="567" w:hanging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Okamžite zaviesť nový krúžok</w:t>
      </w:r>
    </w:p>
    <w:p w14:paraId="109F6E0A" w14:textId="77777777" w:rsidR="0095408A" w:rsidRDefault="0095408A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i/>
          <w:sz w:val="22"/>
          <w:szCs w:val="22"/>
        </w:rPr>
      </w:pPr>
    </w:p>
    <w:p w14:paraId="4F4D1E9E" w14:textId="77777777" w:rsidR="00C627EB" w:rsidRDefault="00C627EB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982402">
        <w:rPr>
          <w:rFonts w:ascii="Times New Roman" w:hAnsi="Times New Roman" w:cs="Times New Roman"/>
          <w:i/>
          <w:sz w:val="22"/>
          <w:szCs w:val="22"/>
        </w:rPr>
        <w:t>Poznámka:</w:t>
      </w:r>
      <w:r w:rsidRPr="000F7489">
        <w:rPr>
          <w:rFonts w:ascii="Times New Roman" w:hAnsi="Times New Roman" w:cs="Times New Roman"/>
          <w:sz w:val="22"/>
          <w:szCs w:val="22"/>
        </w:rPr>
        <w:t xml:space="preserve"> Zavedením nového krúžku sa začne nové obdobie trojtýždňového používania. U ženy sa nemusí o</w:t>
      </w:r>
      <w:r w:rsidR="00213B4B">
        <w:rPr>
          <w:rFonts w:ascii="Times New Roman" w:hAnsi="Times New Roman" w:cs="Times New Roman"/>
          <w:sz w:val="22"/>
          <w:szCs w:val="22"/>
        </w:rPr>
        <w:t>bjaviť krvácanie z vysadenia z </w:t>
      </w:r>
      <w:r w:rsidRPr="000F7489">
        <w:rPr>
          <w:rFonts w:ascii="Times New Roman" w:hAnsi="Times New Roman" w:cs="Times New Roman"/>
          <w:sz w:val="22"/>
          <w:szCs w:val="22"/>
        </w:rPr>
        <w:t>predchádzajúceho cyklu. Môže sa však objaviť medzimenštruačné špinenie alebo krvácanie.</w:t>
      </w:r>
    </w:p>
    <w:p w14:paraId="5C9C7AF3" w14:textId="77777777" w:rsidR="0095408A" w:rsidRPr="000F7489" w:rsidRDefault="0095408A" w:rsidP="0095408A">
      <w:pPr>
        <w:pStyle w:val="Zarkazkladnhotextu"/>
        <w:tabs>
          <w:tab w:val="left" w:pos="1134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7A25972A" w14:textId="77777777" w:rsidR="0095408A" w:rsidRPr="0095408A" w:rsidRDefault="0095408A" w:rsidP="0095408A">
      <w:pPr>
        <w:pStyle w:val="Zarkazkladnhotextu"/>
        <w:keepNext/>
        <w:numPr>
          <w:ilvl w:val="0"/>
          <w:numId w:val="12"/>
        </w:numPr>
        <w:tabs>
          <w:tab w:val="left" w:pos="1134"/>
        </w:tabs>
        <w:adjustRightInd w:val="0"/>
        <w:snapToGrid w:val="0"/>
        <w:ind w:left="567" w:hanging="567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Počkať na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krvácanie z vysadenia a zaviesť nový krúžok najneskôr 7 dní (7 x 24 hodín) od času vybratia alebo vypudenia predchádzajúceho krúžku.</w:t>
      </w:r>
    </w:p>
    <w:p w14:paraId="0F250CC3" w14:textId="77777777" w:rsidR="0095408A" w:rsidRDefault="0095408A" w:rsidP="00880416">
      <w:pPr>
        <w:pStyle w:val="Zarkazkladnhotextu"/>
        <w:tabs>
          <w:tab w:val="left" w:pos="1134"/>
        </w:tabs>
        <w:adjustRightInd w:val="0"/>
        <w:snapToGrid w:val="0"/>
        <w:ind w:left="1134" w:hanging="1134"/>
        <w:jc w:val="left"/>
        <w:rPr>
          <w:rFonts w:ascii="Times New Roman" w:hAnsi="Times New Roman" w:cs="Times New Roman"/>
          <w:i/>
          <w:sz w:val="22"/>
          <w:szCs w:val="22"/>
        </w:rPr>
      </w:pPr>
    </w:p>
    <w:p w14:paraId="1B675AE6" w14:textId="77777777" w:rsidR="00C627EB" w:rsidRPr="000F7489" w:rsidRDefault="00C627EB" w:rsidP="00880416">
      <w:pPr>
        <w:pStyle w:val="Zarkazkladnhotextu"/>
        <w:tabs>
          <w:tab w:val="left" w:pos="1134"/>
        </w:tabs>
        <w:adjustRightInd w:val="0"/>
        <w:snapToGrid w:val="0"/>
        <w:ind w:left="1134" w:hanging="1134"/>
        <w:jc w:val="left"/>
        <w:rPr>
          <w:rFonts w:ascii="Times New Roman" w:hAnsi="Times New Roman" w:cs="Times New Roman"/>
          <w:sz w:val="22"/>
          <w:szCs w:val="22"/>
        </w:rPr>
      </w:pPr>
      <w:r w:rsidRPr="00982402">
        <w:rPr>
          <w:rFonts w:ascii="Times New Roman" w:hAnsi="Times New Roman" w:cs="Times New Roman"/>
          <w:i/>
          <w:sz w:val="22"/>
          <w:szCs w:val="22"/>
        </w:rPr>
        <w:t>Poznámka</w:t>
      </w:r>
      <w:r w:rsidRPr="000F7489">
        <w:rPr>
          <w:rFonts w:ascii="Times New Roman" w:hAnsi="Times New Roman" w:cs="Times New Roman"/>
          <w:sz w:val="22"/>
          <w:szCs w:val="22"/>
        </w:rPr>
        <w:t>: Táto možnosť sa má zvoliť len vtedy, ak sa krúžok používal nepretržite počas posledných 7 dní.</w:t>
      </w:r>
    </w:p>
    <w:p w14:paraId="6716FD06" w14:textId="77777777"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7F5B65A" w14:textId="77777777" w:rsidR="001D3920" w:rsidRDefault="001D3920" w:rsidP="0088041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Ak nie je známe</w:t>
      </w:r>
      <w:r w:rsidR="00502DC3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ako dlho bol </w:t>
      </w:r>
      <w:r w:rsidR="006F0C1C" w:rsidRPr="003817FE">
        <w:rPr>
          <w:rFonts w:ascii="Times New Roman" w:hAnsi="Times New Roman"/>
          <w:sz w:val="22"/>
          <w:szCs w:val="22"/>
        </w:rPr>
        <w:t>Perlinring</w:t>
      </w:r>
      <w:r w:rsidR="006F0C1C" w:rsidRPr="00C8501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mimo pošvy, </w:t>
      </w:r>
      <w:r w:rsidRPr="00984978">
        <w:rPr>
          <w:rFonts w:ascii="Times New Roman" w:hAnsi="Times New Roman"/>
          <w:sz w:val="22"/>
          <w:szCs w:val="22"/>
        </w:rPr>
        <w:t>musí sa vziať do úvahy možnosť gravidity</w:t>
      </w:r>
      <w:r>
        <w:rPr>
          <w:rFonts w:ascii="Times New Roman" w:hAnsi="Times New Roman"/>
          <w:sz w:val="22"/>
          <w:szCs w:val="22"/>
        </w:rPr>
        <w:t>. Pred zavedením nového krúžku sa má vykonať tehotenský test.</w:t>
      </w:r>
    </w:p>
    <w:p w14:paraId="28619F78" w14:textId="77777777" w:rsidR="001D3920" w:rsidRPr="000F7489" w:rsidRDefault="001D3920" w:rsidP="0088041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42F9356" w14:textId="77777777" w:rsidR="00C627EB" w:rsidRPr="00982402" w:rsidRDefault="00C627EB" w:rsidP="00FD500A">
      <w:pPr>
        <w:keepNext/>
        <w:numPr>
          <w:ilvl w:val="0"/>
          <w:numId w:val="13"/>
        </w:numPr>
        <w:tabs>
          <w:tab w:val="clear" w:pos="144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982402">
        <w:rPr>
          <w:rFonts w:ascii="Times New Roman" w:hAnsi="Times New Roman"/>
          <w:bCs/>
          <w:sz w:val="22"/>
          <w:szCs w:val="22"/>
        </w:rPr>
        <w:t>Čo robiť v prípade predĺženého používania krúžku</w:t>
      </w:r>
    </w:p>
    <w:p w14:paraId="703434CA" w14:textId="77777777" w:rsidR="0095408A" w:rsidRDefault="0095408A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DDA0E77" w14:textId="77777777" w:rsidR="00C627EB" w:rsidRPr="000F7489" w:rsidRDefault="0095408A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Pokiaľ sa Perlinring používal maximálne 4 týždne, účinnosť kontraceptíva je stále </w:t>
      </w:r>
      <w:r w:rsidR="00213B4B">
        <w:rPr>
          <w:rFonts w:ascii="Times New Roman" w:hAnsi="Times New Roman"/>
          <w:sz w:val="22"/>
          <w:szCs w:val="22"/>
        </w:rPr>
        <w:t>dostatočná</w:t>
      </w:r>
      <w:r>
        <w:rPr>
          <w:rFonts w:ascii="Times New Roman" w:hAnsi="Times New Roman"/>
          <w:sz w:val="22"/>
          <w:szCs w:val="22"/>
        </w:rPr>
        <w:t xml:space="preserve">, hoci to nie je </w:t>
      </w:r>
      <w:r w:rsidRPr="002C05F4">
        <w:rPr>
          <w:rFonts w:ascii="Times New Roman" w:hAnsi="Times New Roman"/>
          <w:sz w:val="22"/>
          <w:szCs w:val="22"/>
        </w:rPr>
        <w:t>odporúčaný režim používania.</w:t>
      </w:r>
      <w:r w:rsidR="002C05F4" w:rsidRPr="002C05F4">
        <w:rPr>
          <w:rFonts w:ascii="Times New Roman" w:hAnsi="Times New Roman"/>
          <w:sz w:val="22"/>
          <w:szCs w:val="22"/>
        </w:rPr>
        <w:t xml:space="preserve"> Žena môže udržať týždňový interval bez krúžku a následne vložiť nový krúžok.</w:t>
      </w:r>
      <w:r w:rsidRPr="002C05F4">
        <w:rPr>
          <w:rFonts w:ascii="Times New Roman" w:hAnsi="Times New Roman"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Ak bol </w:t>
      </w:r>
      <w:r w:rsidR="007931AB" w:rsidRPr="002C05F4">
        <w:rPr>
          <w:rFonts w:ascii="Times New Roman" w:hAnsi="Times New Roman"/>
          <w:sz w:val="22"/>
          <w:szCs w:val="22"/>
        </w:rPr>
        <w:t>Perlinring</w:t>
      </w:r>
      <w:r w:rsidR="007931AB" w:rsidRPr="002C05F4">
        <w:rPr>
          <w:rFonts w:ascii="Times New Roman" w:hAnsi="Times New Roman"/>
          <w:bCs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v pošve </w:t>
      </w:r>
      <w:r w:rsidR="00C627EB" w:rsidRPr="002C05F4">
        <w:rPr>
          <w:rFonts w:ascii="Times New Roman" w:hAnsi="Times New Roman"/>
          <w:bCs/>
          <w:sz w:val="22"/>
          <w:szCs w:val="22"/>
        </w:rPr>
        <w:t xml:space="preserve">viac ako </w:t>
      </w:r>
      <w:r w:rsidR="002C05F4" w:rsidRPr="002C05F4">
        <w:rPr>
          <w:rFonts w:ascii="Times New Roman" w:hAnsi="Times New Roman"/>
          <w:bCs/>
          <w:sz w:val="22"/>
          <w:szCs w:val="22"/>
        </w:rPr>
        <w:t>4</w:t>
      </w:r>
      <w:r w:rsidR="00C627EB" w:rsidRPr="002C05F4">
        <w:rPr>
          <w:rFonts w:ascii="Times New Roman" w:hAnsi="Times New Roman"/>
          <w:sz w:val="22"/>
          <w:szCs w:val="22"/>
        </w:rPr>
        <w:t> </w:t>
      </w:r>
      <w:r w:rsidR="00C627EB" w:rsidRPr="002C05F4">
        <w:rPr>
          <w:rFonts w:ascii="Times New Roman" w:hAnsi="Times New Roman"/>
          <w:bCs/>
          <w:sz w:val="22"/>
          <w:szCs w:val="22"/>
        </w:rPr>
        <w:t>týždne</w:t>
      </w:r>
      <w:r w:rsidR="00C627EB" w:rsidRPr="002C05F4">
        <w:rPr>
          <w:rFonts w:ascii="Times New Roman" w:hAnsi="Times New Roman"/>
          <w:sz w:val="22"/>
          <w:szCs w:val="22"/>
        </w:rPr>
        <w:t>,</w:t>
      </w:r>
      <w:r w:rsidR="002C05F4" w:rsidRPr="002C05F4">
        <w:rPr>
          <w:rFonts w:ascii="Times New Roman" w:hAnsi="Times New Roman"/>
          <w:sz w:val="22"/>
          <w:szCs w:val="22"/>
        </w:rPr>
        <w:t xml:space="preserve"> </w:t>
      </w:r>
      <w:r w:rsidR="00C627EB" w:rsidRPr="002C05F4">
        <w:rPr>
          <w:rFonts w:ascii="Times New Roman" w:hAnsi="Times New Roman"/>
          <w:sz w:val="22"/>
          <w:szCs w:val="22"/>
        </w:rPr>
        <w:t xml:space="preserve">účinnosť </w:t>
      </w:r>
      <w:r w:rsidR="002C05F4" w:rsidRPr="002C05F4">
        <w:rPr>
          <w:rFonts w:ascii="Times New Roman" w:hAnsi="Times New Roman"/>
          <w:sz w:val="22"/>
          <w:szCs w:val="22"/>
        </w:rPr>
        <w:t xml:space="preserve">kontraceptíva </w:t>
      </w:r>
      <w:r w:rsidR="00C627EB" w:rsidRPr="002C05F4">
        <w:rPr>
          <w:rFonts w:ascii="Times New Roman" w:hAnsi="Times New Roman"/>
          <w:sz w:val="22"/>
          <w:szCs w:val="22"/>
        </w:rPr>
        <w:t xml:space="preserve">môže </w:t>
      </w:r>
      <w:r w:rsidR="002C05F4" w:rsidRPr="002C05F4">
        <w:rPr>
          <w:rFonts w:ascii="Times New Roman" w:hAnsi="Times New Roman"/>
          <w:sz w:val="22"/>
          <w:szCs w:val="22"/>
        </w:rPr>
        <w:t>byť znížená</w:t>
      </w:r>
      <w:r w:rsidR="00C627EB" w:rsidRPr="002C05F4">
        <w:rPr>
          <w:rFonts w:ascii="Times New Roman" w:hAnsi="Times New Roman"/>
          <w:sz w:val="22"/>
          <w:szCs w:val="22"/>
        </w:rPr>
        <w:t xml:space="preserve"> a pred zavedením nového </w:t>
      </w:r>
      <w:r w:rsidR="007931AB" w:rsidRPr="002C05F4">
        <w:rPr>
          <w:rFonts w:ascii="Times New Roman" w:hAnsi="Times New Roman"/>
          <w:sz w:val="22"/>
          <w:szCs w:val="22"/>
        </w:rPr>
        <w:t>Perlinring</w:t>
      </w:r>
      <w:r w:rsidR="00C627EB" w:rsidRPr="002C05F4">
        <w:rPr>
          <w:rFonts w:ascii="Times New Roman" w:hAnsi="Times New Roman"/>
          <w:sz w:val="22"/>
          <w:szCs w:val="22"/>
        </w:rPr>
        <w:t>u sa musí vylúčiť gravidita.</w:t>
      </w:r>
    </w:p>
    <w:p w14:paraId="5169A00E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C2E1519" w14:textId="77777777" w:rsidR="00C627EB" w:rsidRPr="000F7489" w:rsidRDefault="00C627EB" w:rsidP="009A2E5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nedodržala odporúčaný režim a následne sa u nej </w:t>
      </w:r>
      <w:r w:rsidR="002C05F4" w:rsidRPr="000F7489">
        <w:rPr>
          <w:rFonts w:ascii="Times New Roman" w:hAnsi="Times New Roman"/>
          <w:sz w:val="22"/>
          <w:szCs w:val="22"/>
        </w:rPr>
        <w:t xml:space="preserve">v nasledujúcom období bez krúžku </w:t>
      </w:r>
      <w:r w:rsidRPr="000F7489">
        <w:rPr>
          <w:rFonts w:ascii="Times New Roman" w:hAnsi="Times New Roman"/>
          <w:sz w:val="22"/>
          <w:szCs w:val="22"/>
        </w:rPr>
        <w:t xml:space="preserve">neobjavilo krvácanie z vysadenia, pred zavedením nového </w:t>
      </w:r>
      <w:r w:rsidR="003E1C04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sa musí vylúčiť</w:t>
      </w:r>
      <w:r w:rsidR="002C05F4" w:rsidRPr="002C05F4">
        <w:rPr>
          <w:rFonts w:ascii="Times New Roman" w:hAnsi="Times New Roman"/>
          <w:sz w:val="22"/>
          <w:szCs w:val="22"/>
        </w:rPr>
        <w:t xml:space="preserve"> </w:t>
      </w:r>
      <w:r w:rsidR="002C05F4" w:rsidRPr="000F7489">
        <w:rPr>
          <w:rFonts w:ascii="Times New Roman" w:hAnsi="Times New Roman"/>
          <w:sz w:val="22"/>
          <w:szCs w:val="22"/>
        </w:rPr>
        <w:t>gravidita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6EEC3C04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7C760C8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AKO POSUNÚŤ ALEBO ODDIALIŤ MENŠTRUÁCIU</w:t>
      </w:r>
    </w:p>
    <w:p w14:paraId="36D8D843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výnimočných prípadoch, ak je potrebné </w:t>
      </w:r>
      <w:r w:rsidRPr="00982402">
        <w:rPr>
          <w:rFonts w:ascii="Times New Roman" w:hAnsi="Times New Roman"/>
          <w:bCs/>
          <w:sz w:val="22"/>
          <w:szCs w:val="22"/>
        </w:rPr>
        <w:t xml:space="preserve">oddialiť </w:t>
      </w:r>
      <w:r w:rsidRPr="000207FD"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 xml:space="preserve">enštruáciu, si žena môže zaviesť nový krúžok bez obdobia bez krúžku. Ďalší krúžok sa môže opäť používať počas 3 týždňov. U ženy sa môže objaviť krvácanie alebo špinenie. V pravidelnom používaní </w:t>
      </w:r>
      <w:r w:rsidR="000207FD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 sa </w:t>
      </w:r>
      <w:r w:rsidR="004061DA">
        <w:rPr>
          <w:rFonts w:ascii="Times New Roman" w:hAnsi="Times New Roman"/>
          <w:sz w:val="22"/>
          <w:szCs w:val="22"/>
        </w:rPr>
        <w:t xml:space="preserve">potom </w:t>
      </w:r>
      <w:r w:rsidRPr="000F7489">
        <w:rPr>
          <w:rFonts w:ascii="Times New Roman" w:hAnsi="Times New Roman"/>
          <w:sz w:val="22"/>
          <w:szCs w:val="22"/>
        </w:rPr>
        <w:t>pokračuje po zvyčajnom týždňovom období bez krúžku.</w:t>
      </w:r>
    </w:p>
    <w:p w14:paraId="37ED42B4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24CE5B" w14:textId="77777777" w:rsidR="00C627EB" w:rsidRPr="000F7489" w:rsidRDefault="004061DA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Ak chce žena posunúť</w:t>
      </w:r>
      <w:r w:rsidR="00C627EB" w:rsidRPr="000F7489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menštruáciu</w:t>
      </w:r>
      <w:r w:rsidR="00C627EB" w:rsidRPr="000F7489">
        <w:rPr>
          <w:rFonts w:ascii="Times New Roman" w:hAnsi="Times New Roman"/>
          <w:sz w:val="22"/>
          <w:szCs w:val="22"/>
        </w:rPr>
        <w:t xml:space="preserve"> na iný deň v týždni, ako </w:t>
      </w:r>
      <w:r>
        <w:rPr>
          <w:rFonts w:ascii="Times New Roman" w:hAnsi="Times New Roman"/>
          <w:sz w:val="22"/>
          <w:szCs w:val="22"/>
        </w:rPr>
        <w:t xml:space="preserve">je </w:t>
      </w:r>
      <w:r w:rsidR="00C627EB" w:rsidRPr="000F7489">
        <w:rPr>
          <w:rFonts w:ascii="Times New Roman" w:hAnsi="Times New Roman"/>
          <w:sz w:val="22"/>
          <w:szCs w:val="22"/>
        </w:rPr>
        <w:t xml:space="preserve">ten, na ktorý je žena zvyknutá </w:t>
      </w:r>
      <w:r>
        <w:rPr>
          <w:rFonts w:ascii="Times New Roman" w:hAnsi="Times New Roman"/>
          <w:sz w:val="22"/>
          <w:szCs w:val="22"/>
        </w:rPr>
        <w:t xml:space="preserve">pri súčasnej schéme používania, </w:t>
      </w:r>
      <w:r w:rsidR="00C627EB" w:rsidRPr="000F7489">
        <w:rPr>
          <w:rFonts w:ascii="Times New Roman" w:hAnsi="Times New Roman"/>
          <w:sz w:val="22"/>
          <w:szCs w:val="22"/>
        </w:rPr>
        <w:t xml:space="preserve">žene </w:t>
      </w:r>
      <w:r>
        <w:rPr>
          <w:rFonts w:ascii="Times New Roman" w:hAnsi="Times New Roman"/>
          <w:sz w:val="22"/>
          <w:szCs w:val="22"/>
        </w:rPr>
        <w:t xml:space="preserve">sa </w:t>
      </w:r>
      <w:r w:rsidR="00C627EB" w:rsidRPr="000F7489">
        <w:rPr>
          <w:rFonts w:ascii="Times New Roman" w:hAnsi="Times New Roman"/>
          <w:sz w:val="22"/>
          <w:szCs w:val="22"/>
        </w:rPr>
        <w:t xml:space="preserve">môže </w:t>
      </w:r>
      <w:r>
        <w:rPr>
          <w:rFonts w:ascii="Times New Roman" w:hAnsi="Times New Roman"/>
          <w:sz w:val="22"/>
          <w:szCs w:val="22"/>
        </w:rPr>
        <w:t>odporučiť</w:t>
      </w:r>
      <w:r w:rsidR="00C627EB" w:rsidRPr="000F7489">
        <w:rPr>
          <w:rFonts w:ascii="Times New Roman" w:hAnsi="Times New Roman"/>
          <w:sz w:val="22"/>
          <w:szCs w:val="22"/>
        </w:rPr>
        <w:t>, aby skrátila nasledujúce obdobie bez krúžku o toľko dní, o koľk</w:t>
      </w:r>
      <w:r>
        <w:rPr>
          <w:rFonts w:ascii="Times New Roman" w:hAnsi="Times New Roman"/>
          <w:sz w:val="22"/>
          <w:szCs w:val="22"/>
        </w:rPr>
        <w:t>o si praje</w:t>
      </w:r>
      <w:r w:rsidR="00C627EB" w:rsidRPr="000F7489">
        <w:rPr>
          <w:rFonts w:ascii="Times New Roman" w:hAnsi="Times New Roman"/>
          <w:sz w:val="22"/>
          <w:szCs w:val="22"/>
        </w:rPr>
        <w:t>. Čím kratšie je obdobie bez krúžku, tým vyššie je riziko, že nedôjde ku krvácaniu z vysadenia a objaví sa u nej medzimenštruačné krvácanie a špinenie počas používania ďalšieho krúžku.</w:t>
      </w:r>
    </w:p>
    <w:p w14:paraId="330D402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E63738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4.3</w:t>
      </w:r>
      <w:r w:rsidRPr="000F7489">
        <w:rPr>
          <w:rFonts w:ascii="Times New Roman" w:hAnsi="Times New Roman"/>
          <w:b/>
          <w:sz w:val="22"/>
          <w:szCs w:val="22"/>
        </w:rPr>
        <w:tab/>
        <w:t>Kontraindikácie</w:t>
      </w:r>
    </w:p>
    <w:p w14:paraId="685508C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13F3767" w14:textId="77777777" w:rsidR="00C627EB" w:rsidRDefault="004061DA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Kombinované hormonálne kontraceptíva (</w:t>
      </w:r>
      <w:r w:rsidR="00E35DBD">
        <w:rPr>
          <w:rFonts w:ascii="Times New Roman" w:hAnsi="Times New Roman" w:cs="Times New Roman"/>
          <w:sz w:val="22"/>
          <w:szCs w:val="22"/>
        </w:rPr>
        <w:t xml:space="preserve">z angl. combined hormonal contraceptives </w:t>
      </w:r>
      <w:r w:rsidR="00C627EB" w:rsidRPr="00AA0D75">
        <w:rPr>
          <w:rFonts w:ascii="Times New Roman" w:hAnsi="Times New Roman" w:cs="Times New Roman"/>
          <w:sz w:val="22"/>
          <w:szCs w:val="22"/>
        </w:rPr>
        <w:t>CHC</w:t>
      </w:r>
      <w:r>
        <w:rPr>
          <w:rFonts w:ascii="Times New Roman" w:hAnsi="Times New Roman" w:cs="Times New Roman"/>
          <w:sz w:val="22"/>
          <w:szCs w:val="22"/>
        </w:rPr>
        <w:t>)</w:t>
      </w:r>
      <w:r w:rsidR="00C627EB" w:rsidRPr="00AA0D75">
        <w:rPr>
          <w:rFonts w:ascii="Times New Roman" w:hAnsi="Times New Roman" w:cs="Times New Roman"/>
          <w:sz w:val="22"/>
          <w:szCs w:val="22"/>
        </w:rPr>
        <w:t xml:space="preserve"> sa nemajú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používať</w:t>
      </w:r>
      <w:r w:rsidR="00C627EB">
        <w:rPr>
          <w:rFonts w:ascii="Times New Roman" w:hAnsi="Times New Roman" w:cs="Times New Roman"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Cs/>
          <w:sz w:val="22"/>
          <w:szCs w:val="22"/>
        </w:rPr>
        <w:t>v nasledujúcich stavoch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. Ak sa objaví niektorý z týchto stavov po prvýkrát</w:t>
      </w:r>
      <w:r w:rsidR="00C627EB" w:rsidRPr="000F7489" w:rsidDel="00062A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počas používania </w:t>
      </w:r>
      <w:r w:rsidR="00C4490A" w:rsidRPr="003817FE">
        <w:rPr>
          <w:rFonts w:ascii="Times New Roman" w:hAnsi="Times New Roman" w:cs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u, krúžok sa musí okamžite vybrať.</w:t>
      </w:r>
    </w:p>
    <w:p w14:paraId="113D343A" w14:textId="77777777" w:rsidR="001D3920" w:rsidRDefault="001D3920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14:paraId="74094552" w14:textId="77777777" w:rsidR="00C627EB" w:rsidRPr="00B95AD2" w:rsidRDefault="00C627EB" w:rsidP="00FD500A">
      <w:pPr>
        <w:pStyle w:val="Zarkazkladnhotextu"/>
        <w:numPr>
          <w:ilvl w:val="0"/>
          <w:numId w:val="14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B95AD2">
        <w:rPr>
          <w:rFonts w:ascii="Times New Roman" w:hAnsi="Times New Roman"/>
          <w:bCs/>
          <w:sz w:val="22"/>
          <w:szCs w:val="22"/>
        </w:rPr>
        <w:t xml:space="preserve">Prítomnosť alebo riziko vzniku venóznej tromboembólie (VTE) </w:t>
      </w:r>
    </w:p>
    <w:p w14:paraId="22B55A18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Venózna tromboembólia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 xml:space="preserve">VTE (liečená antikoagulanciami) alebo v anamnéze (napr. </w:t>
      </w:r>
      <w:r>
        <w:rPr>
          <w:rFonts w:ascii="Times New Roman" w:hAnsi="Times New Roman"/>
          <w:bCs/>
          <w:sz w:val="22"/>
          <w:szCs w:val="22"/>
        </w:rPr>
        <w:t>trombóza hĺbkových žíl</w:t>
      </w:r>
      <w:r w:rsidRPr="0014296E">
        <w:rPr>
          <w:rFonts w:ascii="Times New Roman" w:hAnsi="Times New Roman"/>
          <w:bCs/>
          <w:sz w:val="22"/>
          <w:szCs w:val="22"/>
        </w:rPr>
        <w:t xml:space="preserve"> [DVT] alebo pľúcna embólia [PE]).</w:t>
      </w:r>
    </w:p>
    <w:p w14:paraId="224E1593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dedičná alebo získaná predispozícia na </w:t>
      </w:r>
      <w:r>
        <w:rPr>
          <w:rFonts w:ascii="Times New Roman" w:hAnsi="Times New Roman"/>
          <w:bCs/>
          <w:sz w:val="22"/>
          <w:szCs w:val="22"/>
        </w:rPr>
        <w:t>vznik venóznej tromboembólie</w:t>
      </w:r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rezistencia voči APC (vrátane faktora V Leiden), deficiencia antitrombínu</w:t>
      </w:r>
      <w:r>
        <w:rPr>
          <w:rFonts w:ascii="Times New Roman" w:hAnsi="Times New Roman"/>
          <w:bCs/>
          <w:sz w:val="22"/>
          <w:szCs w:val="22"/>
        </w:rPr>
        <w:t>-</w:t>
      </w:r>
      <w:r w:rsidRPr="0014296E">
        <w:rPr>
          <w:rFonts w:ascii="Times New Roman" w:hAnsi="Times New Roman"/>
          <w:bCs/>
          <w:sz w:val="22"/>
          <w:szCs w:val="22"/>
        </w:rPr>
        <w:t>III, deficiencia proteínu C, deficiencia proteínu S.</w:t>
      </w:r>
    </w:p>
    <w:p w14:paraId="289E6D7D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Závažný chirurgický zákrok s dlhodobou imobilizáciou (pozri časť 4.4).</w:t>
      </w:r>
    </w:p>
    <w:p w14:paraId="60DB1A04" w14:textId="77777777" w:rsidR="00C627EB" w:rsidRPr="0014296E" w:rsidRDefault="00C627EB" w:rsidP="00FD500A">
      <w:pPr>
        <w:pStyle w:val="Zarkazkladnhotextu"/>
        <w:numPr>
          <w:ilvl w:val="1"/>
          <w:numId w:val="15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r w:rsidRPr="0014296E">
        <w:rPr>
          <w:rFonts w:ascii="Times New Roman" w:hAnsi="Times New Roman"/>
          <w:bCs/>
          <w:sz w:val="22"/>
          <w:szCs w:val="22"/>
        </w:rPr>
        <w:t>venóznej tromboembólie z dôvodu prítomnosti viacerých rizikových faktorov (pozri časť 4.4).</w:t>
      </w:r>
    </w:p>
    <w:p w14:paraId="508201D7" w14:textId="77777777" w:rsidR="00C627EB" w:rsidRPr="0014296E" w:rsidRDefault="00C627EB" w:rsidP="00FD500A">
      <w:pPr>
        <w:pStyle w:val="Zarkazkladnhotextu"/>
        <w:numPr>
          <w:ilvl w:val="0"/>
          <w:numId w:val="14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Prítomnosť alebo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r w:rsidRPr="0014296E">
        <w:rPr>
          <w:rFonts w:ascii="Times New Roman" w:hAnsi="Times New Roman"/>
          <w:bCs/>
          <w:sz w:val="22"/>
          <w:szCs w:val="22"/>
        </w:rPr>
        <w:t>arteriálnej tromboembólie (ATE)</w:t>
      </w:r>
    </w:p>
    <w:p w14:paraId="268D6EA6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Arteriálna tromboembólia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>arteriálna tromboembólia, arteriálna tromboembólia</w:t>
      </w:r>
      <w:r>
        <w:rPr>
          <w:rFonts w:ascii="Times New Roman" w:hAnsi="Times New Roman"/>
          <w:bCs/>
          <w:sz w:val="22"/>
          <w:szCs w:val="22"/>
        </w:rPr>
        <w:t xml:space="preserve"> v anamnéze (napr.</w:t>
      </w:r>
      <w:r w:rsidRPr="0014296E">
        <w:rPr>
          <w:rFonts w:ascii="Times New Roman" w:hAnsi="Times New Roman"/>
          <w:bCs/>
          <w:sz w:val="22"/>
          <w:szCs w:val="22"/>
        </w:rPr>
        <w:t xml:space="preserve"> infarkt myokardu) alebo </w:t>
      </w:r>
      <w:r w:rsidR="00674C0E">
        <w:rPr>
          <w:rFonts w:ascii="Times New Roman" w:hAnsi="Times New Roman"/>
          <w:bCs/>
          <w:sz w:val="22"/>
          <w:szCs w:val="22"/>
        </w:rPr>
        <w:t>prodromálny stav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(napr. </w:t>
      </w:r>
      <w:r w:rsidRPr="00046E41">
        <w:rPr>
          <w:rFonts w:ascii="Times New Roman" w:hAnsi="Times New Roman"/>
          <w:bCs/>
          <w:i/>
          <w:sz w:val="22"/>
          <w:szCs w:val="22"/>
        </w:rPr>
        <w:t>angina pectoris</w:t>
      </w:r>
      <w:r w:rsidRPr="0014296E">
        <w:rPr>
          <w:rFonts w:ascii="Times New Roman" w:hAnsi="Times New Roman"/>
          <w:bCs/>
          <w:sz w:val="22"/>
          <w:szCs w:val="22"/>
        </w:rPr>
        <w:t>).</w:t>
      </w:r>
    </w:p>
    <w:p w14:paraId="1ADA8C1B" w14:textId="77777777" w:rsidR="00C627EB" w:rsidRPr="0014296E" w:rsidRDefault="00674C0E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sz w:val="22"/>
          <w:szCs w:val="22"/>
          <w:lang w:eastAsia="sk-SK"/>
        </w:rPr>
        <w:t xml:space="preserve">Cerebrovaskulárne </w:t>
      </w:r>
      <w:r w:rsidR="00C627EB">
        <w:rPr>
          <w:rFonts w:ascii="Times New Roman" w:hAnsi="Times New Roman"/>
          <w:bCs/>
          <w:sz w:val="22"/>
          <w:szCs w:val="22"/>
        </w:rPr>
        <w:t>ochorenie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 – </w:t>
      </w:r>
      <w:r w:rsidR="00C627EB">
        <w:rPr>
          <w:rFonts w:ascii="Times New Roman" w:hAnsi="Times New Roman"/>
          <w:bCs/>
          <w:sz w:val="22"/>
          <w:szCs w:val="22"/>
        </w:rPr>
        <w:t xml:space="preserve">prítomná </w:t>
      </w:r>
      <w:r w:rsidR="00C627EB" w:rsidRPr="0014296E">
        <w:rPr>
          <w:rFonts w:ascii="Times New Roman" w:hAnsi="Times New Roman"/>
          <w:bCs/>
          <w:sz w:val="22"/>
          <w:szCs w:val="22"/>
        </w:rPr>
        <w:t>cievna mozgová príhoda, cievna mozgová príhoda v</w:t>
      </w:r>
      <w:r w:rsidR="00C627EB">
        <w:rPr>
          <w:rFonts w:ascii="Times New Roman" w:hAnsi="Times New Roman"/>
          <w:bCs/>
          <w:sz w:val="22"/>
          <w:szCs w:val="22"/>
        </w:rPr>
        <w:t> 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anamnéze alebo </w:t>
      </w:r>
      <w:r w:rsidR="001B1BE7">
        <w:rPr>
          <w:rFonts w:ascii="Times New Roman" w:hAnsi="Times New Roman"/>
          <w:bCs/>
          <w:sz w:val="22"/>
          <w:szCs w:val="22"/>
        </w:rPr>
        <w:t xml:space="preserve">prodromálny </w:t>
      </w:r>
      <w:r w:rsidR="00C627EB" w:rsidRPr="0014296E">
        <w:rPr>
          <w:rFonts w:ascii="Times New Roman" w:hAnsi="Times New Roman"/>
          <w:bCs/>
          <w:sz w:val="22"/>
          <w:szCs w:val="22"/>
        </w:rPr>
        <w:t>stav</w:t>
      </w:r>
      <w:r w:rsidR="00C627EB">
        <w:rPr>
          <w:rFonts w:ascii="Times New Roman" w:hAnsi="Times New Roman"/>
          <w:bCs/>
          <w:sz w:val="22"/>
          <w:szCs w:val="22"/>
        </w:rPr>
        <w:t xml:space="preserve"> (napríklad</w:t>
      </w:r>
      <w:r w:rsidR="00C627EB" w:rsidRPr="0014296E">
        <w:rPr>
          <w:rFonts w:ascii="Times New Roman" w:hAnsi="Times New Roman"/>
          <w:bCs/>
          <w:sz w:val="22"/>
          <w:szCs w:val="22"/>
        </w:rPr>
        <w:t xml:space="preserve"> prechodný ischemický záchvat, TIA).</w:t>
      </w:r>
    </w:p>
    <w:p w14:paraId="4D3DAB52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</w:t>
      </w:r>
      <w:r>
        <w:rPr>
          <w:rFonts w:ascii="Times New Roman" w:hAnsi="Times New Roman"/>
          <w:bCs/>
          <w:sz w:val="22"/>
          <w:szCs w:val="22"/>
        </w:rPr>
        <w:t>dedičná</w:t>
      </w:r>
      <w:r w:rsidRPr="0014296E">
        <w:rPr>
          <w:rFonts w:ascii="Times New Roman" w:hAnsi="Times New Roman"/>
          <w:bCs/>
          <w:sz w:val="22"/>
          <w:szCs w:val="22"/>
        </w:rPr>
        <w:t xml:space="preserve"> alebo získaná predispozícia na </w:t>
      </w:r>
      <w:r>
        <w:rPr>
          <w:rFonts w:ascii="Times New Roman" w:hAnsi="Times New Roman"/>
          <w:bCs/>
          <w:sz w:val="22"/>
          <w:szCs w:val="22"/>
        </w:rPr>
        <w:t>vznik arteriálnej tromboembólie</w:t>
      </w:r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hyperhomocysteinémia a antifosfolipidové protilátky (</w:t>
      </w:r>
      <w:r>
        <w:rPr>
          <w:rFonts w:ascii="Times New Roman" w:hAnsi="Times New Roman"/>
          <w:bCs/>
          <w:sz w:val="22"/>
          <w:szCs w:val="22"/>
        </w:rPr>
        <w:t>antikardiolipínové protilátky</w:t>
      </w:r>
      <w:r w:rsidRPr="0014296E">
        <w:rPr>
          <w:rFonts w:ascii="Times New Roman" w:hAnsi="Times New Roman"/>
          <w:bCs/>
          <w:sz w:val="22"/>
          <w:szCs w:val="22"/>
        </w:rPr>
        <w:t>, lupus</w:t>
      </w:r>
      <w:r>
        <w:rPr>
          <w:rFonts w:ascii="Times New Roman" w:hAnsi="Times New Roman"/>
          <w:bCs/>
          <w:sz w:val="22"/>
          <w:szCs w:val="22"/>
        </w:rPr>
        <w:t>ové antikoagulancium</w:t>
      </w:r>
      <w:r w:rsidRPr="0014296E">
        <w:rPr>
          <w:rFonts w:ascii="Times New Roman" w:hAnsi="Times New Roman"/>
          <w:bCs/>
          <w:sz w:val="22"/>
          <w:szCs w:val="22"/>
        </w:rPr>
        <w:t>).</w:t>
      </w:r>
    </w:p>
    <w:p w14:paraId="51E23584" w14:textId="77777777" w:rsidR="00C627EB" w:rsidRPr="0014296E" w:rsidRDefault="00C627EB" w:rsidP="00FD500A">
      <w:pPr>
        <w:pStyle w:val="Zarkazkladnhotextu"/>
        <w:numPr>
          <w:ilvl w:val="1"/>
          <w:numId w:val="16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Migrén</w:t>
      </w:r>
      <w:r>
        <w:rPr>
          <w:rFonts w:ascii="Times New Roman" w:hAnsi="Times New Roman"/>
          <w:bCs/>
          <w:sz w:val="22"/>
          <w:szCs w:val="22"/>
        </w:rPr>
        <w:t>a</w:t>
      </w:r>
      <w:r w:rsidRPr="0014296E">
        <w:rPr>
          <w:rFonts w:ascii="Times New Roman" w:hAnsi="Times New Roman"/>
          <w:bCs/>
          <w:sz w:val="22"/>
          <w:szCs w:val="22"/>
        </w:rPr>
        <w:t xml:space="preserve"> s</w:t>
      </w:r>
      <w:r>
        <w:rPr>
          <w:rFonts w:ascii="Times New Roman" w:hAnsi="Times New Roman"/>
          <w:bCs/>
          <w:sz w:val="22"/>
          <w:szCs w:val="22"/>
        </w:rPr>
        <w:t xml:space="preserve"> ložiskovými </w:t>
      </w:r>
      <w:r w:rsidRPr="0014296E">
        <w:rPr>
          <w:rFonts w:ascii="Times New Roman" w:hAnsi="Times New Roman"/>
          <w:bCs/>
          <w:sz w:val="22"/>
          <w:szCs w:val="22"/>
        </w:rPr>
        <w:t xml:space="preserve">neurologickými </w:t>
      </w:r>
      <w:r>
        <w:rPr>
          <w:rFonts w:ascii="Times New Roman" w:hAnsi="Times New Roman"/>
          <w:bCs/>
          <w:sz w:val="22"/>
          <w:szCs w:val="22"/>
        </w:rPr>
        <w:t>príznakmi</w:t>
      </w:r>
      <w:r w:rsidRPr="0014296E">
        <w:rPr>
          <w:rFonts w:ascii="Times New Roman" w:hAnsi="Times New Roman"/>
          <w:bCs/>
          <w:sz w:val="22"/>
          <w:szCs w:val="22"/>
        </w:rPr>
        <w:t xml:space="preserve"> 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anamnéze.</w:t>
      </w:r>
    </w:p>
    <w:p w14:paraId="6E2BE2CA" w14:textId="77777777" w:rsidR="00C627EB" w:rsidRPr="00B95AD2" w:rsidRDefault="00C627EB" w:rsidP="00FD500A">
      <w:pPr>
        <w:pStyle w:val="Zarkazkladnhotextu"/>
        <w:numPr>
          <w:ilvl w:val="1"/>
          <w:numId w:val="14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r w:rsidRPr="0014296E">
        <w:rPr>
          <w:rFonts w:ascii="Times New Roman" w:hAnsi="Times New Roman"/>
          <w:bCs/>
          <w:sz w:val="22"/>
          <w:szCs w:val="22"/>
        </w:rPr>
        <w:t>arteriálnej tromboembólie z dôvodu viacerých rizikových faktorov (p</w:t>
      </w:r>
      <w:r w:rsidR="001B1BE7">
        <w:rPr>
          <w:rFonts w:ascii="Times New Roman" w:hAnsi="Times New Roman"/>
          <w:bCs/>
          <w:sz w:val="22"/>
          <w:szCs w:val="22"/>
        </w:rPr>
        <w:t>ozri časť 4.4) alebo prítomnosť</w:t>
      </w:r>
      <w:r w:rsidRPr="0014296E">
        <w:rPr>
          <w:rFonts w:ascii="Times New Roman" w:hAnsi="Times New Roman"/>
          <w:bCs/>
          <w:sz w:val="22"/>
          <w:szCs w:val="22"/>
        </w:rPr>
        <w:t xml:space="preserve"> jedného záva</w:t>
      </w:r>
      <w:r>
        <w:rPr>
          <w:rFonts w:ascii="Times New Roman" w:hAnsi="Times New Roman"/>
          <w:bCs/>
          <w:sz w:val="22"/>
          <w:szCs w:val="22"/>
        </w:rPr>
        <w:t>žného rizikového faktora, ako napríklad:</w:t>
      </w:r>
    </w:p>
    <w:p w14:paraId="24A8576C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diabetes mellitus s</w:t>
      </w:r>
      <w:r>
        <w:rPr>
          <w:rFonts w:ascii="Times New Roman" w:hAnsi="Times New Roman"/>
          <w:sz w:val="22"/>
          <w:szCs w:val="22"/>
        </w:rPr>
        <w:t> cievnymi príznakmi</w:t>
      </w:r>
      <w:r w:rsidRPr="00501BA2">
        <w:rPr>
          <w:rFonts w:ascii="Times New Roman" w:hAnsi="Times New Roman"/>
          <w:sz w:val="22"/>
          <w:szCs w:val="22"/>
        </w:rPr>
        <w:t>,</w:t>
      </w:r>
    </w:p>
    <w:p w14:paraId="692E7D69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závažná hypertenzia,</w:t>
      </w:r>
    </w:p>
    <w:p w14:paraId="378E014F" w14:textId="77777777" w:rsidR="00C627EB" w:rsidRPr="00501BA2" w:rsidRDefault="00C627EB" w:rsidP="00FD500A">
      <w:pPr>
        <w:numPr>
          <w:ilvl w:val="0"/>
          <w:numId w:val="14"/>
        </w:numPr>
        <w:tabs>
          <w:tab w:val="left" w:pos="1701"/>
        </w:tabs>
        <w:ind w:left="567" w:firstLine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závažná dyslipoproteinémia.</w:t>
      </w:r>
    </w:p>
    <w:p w14:paraId="5DD4F735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Pankreatitída alebo pankreatitída v anamnéze, ak súvisela so závažnou hypertriglyceridémiou.</w:t>
      </w:r>
    </w:p>
    <w:p w14:paraId="4E1C9F58" w14:textId="77777777" w:rsidR="00C627EB" w:rsidRPr="000F7489" w:rsidRDefault="001B1BE7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Prítomné závažné ochorenie pečene </w:t>
      </w:r>
      <w:r w:rsidR="00C627EB" w:rsidRPr="000F7489">
        <w:rPr>
          <w:rFonts w:ascii="Times New Roman" w:hAnsi="Times New Roman"/>
          <w:bCs/>
          <w:sz w:val="22"/>
          <w:szCs w:val="22"/>
        </w:rPr>
        <w:t xml:space="preserve">alebo </w:t>
      </w:r>
      <w:r>
        <w:rPr>
          <w:rFonts w:ascii="Times New Roman" w:hAnsi="Times New Roman"/>
          <w:bCs/>
          <w:sz w:val="22"/>
          <w:szCs w:val="22"/>
        </w:rPr>
        <w:t xml:space="preserve">závažné ochorenie pečene </w:t>
      </w:r>
      <w:r w:rsidR="00C627EB" w:rsidRPr="000F7489">
        <w:rPr>
          <w:rFonts w:ascii="Times New Roman" w:hAnsi="Times New Roman"/>
          <w:bCs/>
          <w:sz w:val="22"/>
          <w:szCs w:val="22"/>
        </w:rPr>
        <w:t>v anamnéze, kým sa hodnoty funkcie pečene nevrátia do normálu.</w:t>
      </w:r>
    </w:p>
    <w:p w14:paraId="3B19CCCF" w14:textId="77777777" w:rsidR="00C627EB" w:rsidRPr="000F7489" w:rsidRDefault="001B1BE7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Prítomnosť nádorov</w:t>
      </w:r>
      <w:r w:rsidR="00C627EB" w:rsidRPr="000F7489">
        <w:rPr>
          <w:rFonts w:ascii="Times New Roman" w:hAnsi="Times New Roman"/>
          <w:bCs/>
          <w:sz w:val="22"/>
          <w:szCs w:val="22"/>
        </w:rPr>
        <w:t xml:space="preserve"> pečene</w:t>
      </w:r>
      <w:r>
        <w:rPr>
          <w:rFonts w:ascii="Times New Roman" w:hAnsi="Times New Roman"/>
          <w:bCs/>
          <w:sz w:val="22"/>
          <w:szCs w:val="22"/>
        </w:rPr>
        <w:t xml:space="preserve"> alebo nádory pečene v anamnéze (benígne alebo malígne)</w:t>
      </w:r>
      <w:r w:rsidR="00C627EB" w:rsidRPr="000F7489">
        <w:rPr>
          <w:rFonts w:ascii="Times New Roman" w:hAnsi="Times New Roman"/>
          <w:bCs/>
          <w:sz w:val="22"/>
          <w:szCs w:val="22"/>
        </w:rPr>
        <w:t>.</w:t>
      </w:r>
    </w:p>
    <w:p w14:paraId="67D2F2DE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Diagnostikované zhubné ochorenia po</w:t>
      </w:r>
      <w:r w:rsidR="001B1BE7">
        <w:rPr>
          <w:rFonts w:ascii="Times New Roman" w:hAnsi="Times New Roman"/>
          <w:bCs/>
          <w:sz w:val="22"/>
          <w:szCs w:val="22"/>
        </w:rPr>
        <w:t xml:space="preserve">hlavných orgánov alebo prsníkov </w:t>
      </w:r>
      <w:r w:rsidR="001B1BE7" w:rsidRPr="000F7489">
        <w:rPr>
          <w:rFonts w:ascii="Times New Roman" w:hAnsi="Times New Roman"/>
          <w:bCs/>
          <w:sz w:val="22"/>
          <w:szCs w:val="22"/>
        </w:rPr>
        <w:t>alebo podozrenie na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1B1BE7" w:rsidRPr="000F7489">
        <w:rPr>
          <w:rFonts w:ascii="Times New Roman" w:hAnsi="Times New Roman"/>
          <w:bCs/>
          <w:sz w:val="22"/>
          <w:szCs w:val="22"/>
        </w:rPr>
        <w:t>zhubné ochorenia po</w:t>
      </w:r>
      <w:r w:rsidR="001B1BE7">
        <w:rPr>
          <w:rFonts w:ascii="Times New Roman" w:hAnsi="Times New Roman"/>
          <w:bCs/>
          <w:sz w:val="22"/>
          <w:szCs w:val="22"/>
        </w:rPr>
        <w:t xml:space="preserve">hlavných orgánov alebo prsníkov, </w:t>
      </w:r>
      <w:r w:rsidRPr="000F7489">
        <w:rPr>
          <w:rFonts w:ascii="Times New Roman" w:hAnsi="Times New Roman"/>
          <w:bCs/>
          <w:sz w:val="22"/>
          <w:szCs w:val="22"/>
        </w:rPr>
        <w:t>ak sú ovplyvnené pohlavnými steroidmi.</w:t>
      </w:r>
    </w:p>
    <w:p w14:paraId="22BC2E67" w14:textId="77777777" w:rsidR="00C627EB" w:rsidRPr="000F7489" w:rsidRDefault="00C627EB" w:rsidP="00FD500A">
      <w:pPr>
        <w:numPr>
          <w:ilvl w:val="0"/>
          <w:numId w:val="14"/>
        </w:numPr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Nediagnostikované vaginálne krvácanie.</w:t>
      </w:r>
    </w:p>
    <w:p w14:paraId="284CF3A5" w14:textId="77777777" w:rsidR="00C627EB" w:rsidRPr="000F7489" w:rsidRDefault="00C627EB" w:rsidP="00FD500A">
      <w:pPr>
        <w:numPr>
          <w:ilvl w:val="0"/>
          <w:numId w:val="1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Precitlivenosť na liečivá alebo n</w:t>
      </w:r>
      <w:r w:rsidR="00CB7D17">
        <w:rPr>
          <w:rFonts w:ascii="Times New Roman" w:hAnsi="Times New Roman"/>
          <w:bCs/>
          <w:sz w:val="22"/>
          <w:szCs w:val="22"/>
        </w:rPr>
        <w:t>a ktorúkoľvek z pomocných látok</w:t>
      </w:r>
      <w:r w:rsidRPr="000F7489">
        <w:rPr>
          <w:rFonts w:ascii="Times New Roman" w:hAnsi="Times New Roman"/>
          <w:bCs/>
          <w:sz w:val="22"/>
          <w:szCs w:val="22"/>
        </w:rPr>
        <w:t xml:space="preserve"> uvedených v časti 6.1.</w:t>
      </w:r>
    </w:p>
    <w:p w14:paraId="2B2BCCB2" w14:textId="77777777" w:rsidR="00C627EB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A5894A4" w14:textId="77777777" w:rsidR="001D3920" w:rsidRDefault="00F24815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="001D3920">
        <w:rPr>
          <w:rFonts w:ascii="Times New Roman" w:hAnsi="Times New Roman"/>
          <w:sz w:val="22"/>
          <w:szCs w:val="22"/>
        </w:rPr>
        <w:t>je kontraindikovaný na súbežné používanie s liekmi obsahujúcimi ombitasvir/paritaprevir/</w:t>
      </w:r>
      <w:r w:rsidR="00E35DBD">
        <w:rPr>
          <w:rFonts w:ascii="Times New Roman" w:hAnsi="Times New Roman"/>
          <w:sz w:val="22"/>
          <w:szCs w:val="22"/>
        </w:rPr>
        <w:t xml:space="preserve"> </w:t>
      </w:r>
      <w:r w:rsidR="001D3920">
        <w:rPr>
          <w:rFonts w:ascii="Times New Roman" w:hAnsi="Times New Roman"/>
          <w:sz w:val="22"/>
          <w:szCs w:val="22"/>
        </w:rPr>
        <w:t>ritonavir a dasabuvir (pozri časti 4.4 a 4.5).</w:t>
      </w:r>
    </w:p>
    <w:p w14:paraId="434B3876" w14:textId="77777777" w:rsidR="001D3920" w:rsidRPr="000F7489" w:rsidRDefault="001D3920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7C1DB6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4.4</w:t>
      </w:r>
      <w:r w:rsidRPr="000F7489">
        <w:rPr>
          <w:rFonts w:ascii="Times New Roman" w:hAnsi="Times New Roman"/>
          <w:b/>
          <w:sz w:val="22"/>
          <w:szCs w:val="22"/>
        </w:rPr>
        <w:tab/>
        <w:t>Osobitné upozornenia a opatrenia pri používaní</w:t>
      </w:r>
    </w:p>
    <w:p w14:paraId="230A3A9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5A773DC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UPOZORNENIA</w:t>
      </w:r>
    </w:p>
    <w:p w14:paraId="2B88C8B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>je prítomný</w:t>
      </w:r>
      <w:r w:rsidRPr="000F7489">
        <w:rPr>
          <w:rFonts w:ascii="Times New Roman" w:hAnsi="Times New Roman"/>
          <w:sz w:val="22"/>
          <w:szCs w:val="22"/>
        </w:rPr>
        <w:t xml:space="preserve"> ktorýkoľvek zo stavov</w:t>
      </w:r>
      <w:r>
        <w:rPr>
          <w:rFonts w:ascii="Times New Roman" w:hAnsi="Times New Roman"/>
          <w:sz w:val="22"/>
          <w:szCs w:val="22"/>
        </w:rPr>
        <w:t xml:space="preserve"> alebo </w:t>
      </w:r>
      <w:r w:rsidRPr="000F7489">
        <w:rPr>
          <w:rFonts w:ascii="Times New Roman" w:hAnsi="Times New Roman"/>
          <w:sz w:val="22"/>
          <w:szCs w:val="22"/>
        </w:rPr>
        <w:t xml:space="preserve">rizikových faktorov uvedených nižšie, </w:t>
      </w:r>
      <w:r>
        <w:rPr>
          <w:rFonts w:ascii="Times New Roman" w:hAnsi="Times New Roman"/>
          <w:sz w:val="22"/>
          <w:szCs w:val="22"/>
        </w:rPr>
        <w:t xml:space="preserve">vhodnosť </w:t>
      </w:r>
      <w:r w:rsidRPr="000F7489">
        <w:rPr>
          <w:rFonts w:ascii="Times New Roman" w:hAnsi="Times New Roman"/>
          <w:sz w:val="22"/>
          <w:szCs w:val="22"/>
        </w:rPr>
        <w:t xml:space="preserve">používania </w:t>
      </w:r>
      <w:r w:rsidR="00462B91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r w:rsidR="000B6FFE">
        <w:rPr>
          <w:rFonts w:ascii="Times New Roman" w:hAnsi="Times New Roman"/>
          <w:sz w:val="22"/>
          <w:szCs w:val="22"/>
        </w:rPr>
        <w:t xml:space="preserve"> sa má so </w:t>
      </w:r>
      <w:r>
        <w:rPr>
          <w:rFonts w:ascii="Times New Roman" w:hAnsi="Times New Roman"/>
          <w:sz w:val="22"/>
          <w:szCs w:val="22"/>
        </w:rPr>
        <w:t>ženou prekonzultovať</w:t>
      </w:r>
      <w:r w:rsidR="000B6FFE">
        <w:rPr>
          <w:rFonts w:ascii="Times New Roman" w:hAnsi="Times New Roman"/>
          <w:sz w:val="22"/>
          <w:szCs w:val="22"/>
        </w:rPr>
        <w:t>.</w:t>
      </w:r>
    </w:p>
    <w:p w14:paraId="3989DA45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8875A3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Ženu treba upozorniť, že ak dôjde k </w:t>
      </w:r>
      <w:r w:rsidRPr="000F7489">
        <w:rPr>
          <w:rFonts w:ascii="Times New Roman" w:hAnsi="Times New Roman"/>
          <w:sz w:val="22"/>
          <w:szCs w:val="22"/>
        </w:rPr>
        <w:t>zhoršeni</w:t>
      </w:r>
      <w:r>
        <w:rPr>
          <w:rFonts w:ascii="Times New Roman" w:hAnsi="Times New Roman"/>
          <w:sz w:val="22"/>
          <w:szCs w:val="22"/>
        </w:rPr>
        <w:t xml:space="preserve">u </w:t>
      </w:r>
      <w:r w:rsidRPr="000F7489">
        <w:rPr>
          <w:rFonts w:ascii="Times New Roman" w:hAnsi="Times New Roman"/>
          <w:sz w:val="22"/>
          <w:szCs w:val="22"/>
        </w:rPr>
        <w:t xml:space="preserve">alebo </w:t>
      </w:r>
      <w:r>
        <w:rPr>
          <w:rFonts w:ascii="Times New Roman" w:hAnsi="Times New Roman"/>
          <w:sz w:val="22"/>
          <w:szCs w:val="22"/>
        </w:rPr>
        <w:t>prvému prejavu</w:t>
      </w:r>
      <w:r w:rsidRPr="000F7489">
        <w:rPr>
          <w:rFonts w:ascii="Times New Roman" w:hAnsi="Times New Roman"/>
          <w:sz w:val="22"/>
          <w:szCs w:val="22"/>
        </w:rPr>
        <w:t xml:space="preserve"> ktoréhokoľvek z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týchto stavov alebo rizikových faktorov</w:t>
      </w:r>
      <w:r>
        <w:rPr>
          <w:rFonts w:ascii="Times New Roman" w:hAnsi="Times New Roman"/>
          <w:sz w:val="22"/>
          <w:szCs w:val="22"/>
        </w:rPr>
        <w:t xml:space="preserve">, má sa obrátiť na </w:t>
      </w:r>
      <w:r w:rsidRPr="000F7489">
        <w:rPr>
          <w:rFonts w:ascii="Times New Roman" w:hAnsi="Times New Roman"/>
          <w:sz w:val="22"/>
          <w:szCs w:val="22"/>
        </w:rPr>
        <w:t>svojho lekára</w:t>
      </w:r>
      <w:r>
        <w:rPr>
          <w:rFonts w:ascii="Times New Roman" w:hAnsi="Times New Roman"/>
          <w:sz w:val="22"/>
          <w:szCs w:val="22"/>
        </w:rPr>
        <w:t xml:space="preserve">, ktorý určí, či má ukončiť používanie </w:t>
      </w:r>
      <w:r w:rsidR="00462B91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7B9CBEF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5681DD" w14:textId="77777777" w:rsidR="000B6FFE" w:rsidRPr="000B6FFE" w:rsidRDefault="00C627EB" w:rsidP="000B6FFE">
      <w:pPr>
        <w:pStyle w:val="Odsekzoznamu"/>
        <w:keepNext/>
        <w:numPr>
          <w:ilvl w:val="0"/>
          <w:numId w:val="19"/>
        </w:numPr>
        <w:tabs>
          <w:tab w:val="left" w:pos="567"/>
        </w:tabs>
        <w:adjustRightInd w:val="0"/>
        <w:snapToGrid w:val="0"/>
        <w:ind w:hanging="720"/>
        <w:rPr>
          <w:rFonts w:ascii="Times New Roman" w:hAnsi="Times New Roman"/>
          <w:i/>
          <w:iCs/>
          <w:sz w:val="22"/>
          <w:szCs w:val="22"/>
        </w:rPr>
      </w:pPr>
      <w:r w:rsidRPr="00FD500A">
        <w:rPr>
          <w:rFonts w:ascii="Times New Roman" w:hAnsi="Times New Roman"/>
          <w:iCs/>
          <w:sz w:val="22"/>
          <w:szCs w:val="22"/>
        </w:rPr>
        <w:t>Poruchy obehovej sústavy</w:t>
      </w:r>
    </w:p>
    <w:p w14:paraId="5CC0D26D" w14:textId="77777777" w:rsidR="000B6FFE" w:rsidRDefault="000B6FFE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14:paraId="6C5582F3" w14:textId="77777777" w:rsidR="00C627EB" w:rsidRPr="000B6FFE" w:rsidRDefault="00C627EB">
      <w:pPr>
        <w:keepNext/>
        <w:rPr>
          <w:rFonts w:ascii="Times New Roman" w:hAnsi="Times New Roman"/>
          <w:sz w:val="22"/>
          <w:szCs w:val="22"/>
          <w:lang w:eastAsia="sk-SK"/>
        </w:rPr>
      </w:pPr>
      <w:r w:rsidRPr="000B6FFE">
        <w:rPr>
          <w:rFonts w:ascii="Times New Roman" w:hAnsi="Times New Roman"/>
          <w:sz w:val="22"/>
          <w:szCs w:val="22"/>
          <w:lang w:eastAsia="sk-SK"/>
        </w:rPr>
        <w:t>Riziko vzniku venóznej tromboembólie (VTE)</w:t>
      </w:r>
    </w:p>
    <w:p w14:paraId="278D9EF0" w14:textId="77777777" w:rsidR="00C627EB" w:rsidRPr="00F361A1" w:rsidRDefault="00C627EB" w:rsidP="00AF1126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14:paraId="7F171DFF" w14:textId="77777777" w:rsidR="00C627EB" w:rsidRDefault="00C627EB" w:rsidP="00FD500A">
      <w:pPr>
        <w:numPr>
          <w:ilvl w:val="0"/>
          <w:numId w:val="20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Pou</w:t>
      </w:r>
      <w:r w:rsidRPr="000F7489">
        <w:rPr>
          <w:rFonts w:ascii="Times New Roman" w:hAnsi="Times New Roman"/>
          <w:sz w:val="22"/>
          <w:szCs w:val="22"/>
        </w:rPr>
        <w:t>žívanie ktoréhokoľvek kombinovaného hormonálneho kontraceptíva (CHC)</w:t>
      </w:r>
      <w:r>
        <w:rPr>
          <w:rFonts w:ascii="Times New Roman" w:hAnsi="Times New Roman"/>
          <w:sz w:val="22"/>
          <w:szCs w:val="22"/>
        </w:rPr>
        <w:t xml:space="preserve"> zvyšuje riziko</w:t>
      </w:r>
      <w:r w:rsidRPr="000F7489">
        <w:rPr>
          <w:rFonts w:ascii="Times New Roman" w:hAnsi="Times New Roman"/>
          <w:sz w:val="22"/>
          <w:szCs w:val="22"/>
        </w:rPr>
        <w:t xml:space="preserve"> venóznej tromboembólie (</w:t>
      </w:r>
      <w:r>
        <w:rPr>
          <w:rFonts w:ascii="Times New Roman" w:hAnsi="Times New Roman"/>
          <w:sz w:val="22"/>
          <w:szCs w:val="22"/>
        </w:rPr>
        <w:t>VTE</w:t>
      </w:r>
      <w:r w:rsidRPr="000F7489">
        <w:rPr>
          <w:rFonts w:ascii="Times New Roman" w:hAnsi="Times New Roman"/>
          <w:sz w:val="22"/>
          <w:szCs w:val="22"/>
        </w:rPr>
        <w:t xml:space="preserve">) v porovnaní </w:t>
      </w:r>
      <w:r>
        <w:rPr>
          <w:rFonts w:ascii="Times New Roman" w:hAnsi="Times New Roman"/>
          <w:sz w:val="22"/>
          <w:szCs w:val="22"/>
        </w:rPr>
        <w:t>s jeho nepoužívaním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r w:rsidRPr="00FD500A">
        <w:rPr>
          <w:rFonts w:ascii="Times New Roman" w:hAnsi="Times New Roman"/>
          <w:sz w:val="22"/>
          <w:szCs w:val="22"/>
        </w:rPr>
        <w:t xml:space="preserve">Lieky, ktoré obsahujú levonorgestrel, norgestimát alebo noretisterón, sú spojené s najnižším rizikom vzniku VTE. Ostatné lieky, ako je </w:t>
      </w:r>
      <w:r w:rsidR="000A6D55" w:rsidRPr="003817FE">
        <w:rPr>
          <w:rFonts w:ascii="Times New Roman" w:hAnsi="Times New Roman"/>
          <w:sz w:val="22"/>
          <w:szCs w:val="22"/>
        </w:rPr>
        <w:t>Perlinring</w:t>
      </w:r>
      <w:r w:rsidRPr="00FD500A">
        <w:rPr>
          <w:rFonts w:ascii="Times New Roman" w:hAnsi="Times New Roman"/>
          <w:sz w:val="22"/>
          <w:szCs w:val="22"/>
        </w:rPr>
        <w:t xml:space="preserve">, môžu toto riziko zvyšovať dvojnásobne. Rozhodnutie používať ktorýkoľvek iný liek, ako liek s najnižším rizikom výskytu VTE, sa má urobiť len po konzultácii s danou ženou, aby sa zaručilo, že rozumie riziku výskytu VTE pri používaní </w:t>
      </w:r>
      <w:r w:rsidR="000A6D55" w:rsidRPr="003817FE">
        <w:rPr>
          <w:rFonts w:ascii="Times New Roman" w:hAnsi="Times New Roman"/>
          <w:sz w:val="22"/>
          <w:szCs w:val="22"/>
        </w:rPr>
        <w:t>Perlinring</w:t>
      </w:r>
      <w:r w:rsidRPr="00FD500A">
        <w:rPr>
          <w:rFonts w:ascii="Times New Roman" w:hAnsi="Times New Roman"/>
          <w:sz w:val="22"/>
          <w:szCs w:val="22"/>
        </w:rPr>
        <w:t>u, ako jej aktuálne rizikové faktory ovplyvňujú toto riziko, a že jej riziko vzniku VTE je najvyššie v prvom roku používania CHC. Sú taktiež aj určité dôkazy o tom, že sa toto riziko zvyšuje pri opätovnom začatí používania CHC po prerušení používania trvajúcom 4 týždne alebo dlhšie</w:t>
      </w:r>
      <w:r w:rsidRPr="000F652D">
        <w:rPr>
          <w:rFonts w:ascii="Times New Roman" w:hAnsi="Times New Roman"/>
          <w:sz w:val="22"/>
          <w:szCs w:val="22"/>
        </w:rPr>
        <w:t>.</w:t>
      </w:r>
    </w:p>
    <w:p w14:paraId="34E6C469" w14:textId="77777777" w:rsidR="000F652D" w:rsidRPr="002637C2" w:rsidRDefault="000F652D" w:rsidP="000F652D">
      <w:pPr>
        <w:autoSpaceDE w:val="0"/>
        <w:autoSpaceDN w:val="0"/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1409C4E4" w14:textId="77777777" w:rsidR="00C627EB" w:rsidRDefault="00C627EB" w:rsidP="00FD500A">
      <w:pPr>
        <w:numPr>
          <w:ilvl w:val="0"/>
          <w:numId w:val="20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U približne 2 z 10 000 žien, ktoré nepoužívajú CHC a nie sú gravidné, vznikne VTE v priebehu jedného roka</w:t>
      </w:r>
      <w:r w:rsidRPr="009362F7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Avšak u každej jednej ženy môže </w:t>
      </w:r>
      <w:r w:rsidRPr="003717E1">
        <w:rPr>
          <w:rFonts w:ascii="Times New Roman" w:hAnsi="Times New Roman"/>
          <w:sz w:val="22"/>
          <w:szCs w:val="22"/>
        </w:rPr>
        <w:t xml:space="preserve">byť </w:t>
      </w:r>
      <w:r w:rsidRPr="00F361A1">
        <w:rPr>
          <w:rFonts w:ascii="Times New Roman" w:hAnsi="Times New Roman"/>
          <w:sz w:val="22"/>
          <w:szCs w:val="22"/>
        </w:rPr>
        <w:t xml:space="preserve">toto </w:t>
      </w:r>
      <w:r w:rsidRPr="003717E1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oveľa vyššie v závislosti od prítomných rizikových faktorov (pozri nižšie).</w:t>
      </w:r>
    </w:p>
    <w:p w14:paraId="55D32303" w14:textId="77777777" w:rsidR="00C627EB" w:rsidRPr="000F652D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sz w:val="22"/>
          <w:szCs w:val="22"/>
        </w:rPr>
        <w:t xml:space="preserve">Odhaduje sa, že </w:t>
      </w:r>
      <w:r w:rsidRPr="00F361A1">
        <w:rPr>
          <w:rFonts w:ascii="Times New Roman" w:hAnsi="Times New Roman"/>
          <w:sz w:val="22"/>
          <w:szCs w:val="22"/>
        </w:rPr>
        <w:t>VTE sa vyskytne v priebehu jedného roka u</w:t>
      </w:r>
      <w:r>
        <w:rPr>
          <w:rFonts w:ascii="Times New Roman" w:hAnsi="Times New Roman"/>
          <w:sz w:val="22"/>
          <w:szCs w:val="22"/>
        </w:rPr>
        <w:t> </w:t>
      </w:r>
      <w:r w:rsidRPr="00F361A1">
        <w:rPr>
          <w:rFonts w:ascii="Times New Roman" w:hAnsi="Times New Roman"/>
          <w:sz w:val="22"/>
          <w:szCs w:val="22"/>
        </w:rPr>
        <w:t>približne</w:t>
      </w:r>
      <w:r w:rsidRPr="003717E1">
        <w:rPr>
          <w:rFonts w:ascii="Times New Roman" w:hAnsi="Times New Roman"/>
          <w:iCs/>
          <w:sz w:val="22"/>
          <w:szCs w:val="22"/>
        </w:rPr>
        <w:t xml:space="preserve"> 6</w:t>
      </w:r>
      <w:r w:rsidRPr="003717E1">
        <w:rPr>
          <w:rStyle w:val="Odkaznapoznmkupodiarou"/>
          <w:rFonts w:ascii="Times New Roman" w:hAnsi="Times New Roman"/>
          <w:sz w:val="22"/>
          <w:szCs w:val="22"/>
        </w:rPr>
        <w:footnoteReference w:id="2"/>
      </w:r>
      <w:r w:rsidRPr="003717E1">
        <w:rPr>
          <w:rFonts w:ascii="Times New Roman" w:hAnsi="Times New Roman"/>
          <w:iCs/>
          <w:sz w:val="22"/>
          <w:szCs w:val="22"/>
        </w:rPr>
        <w:t xml:space="preserve"> žien</w:t>
      </w:r>
      <w:r w:rsidRPr="00F361A1">
        <w:rPr>
          <w:rFonts w:ascii="Times New Roman" w:hAnsi="Times New Roman"/>
          <w:iCs/>
          <w:sz w:val="22"/>
          <w:szCs w:val="22"/>
        </w:rPr>
        <w:t xml:space="preserve"> z 10 000 žien, ktoré používajú </w:t>
      </w:r>
      <w:r>
        <w:rPr>
          <w:rFonts w:ascii="Times New Roman" w:hAnsi="Times New Roman"/>
          <w:iCs/>
          <w:sz w:val="22"/>
          <w:szCs w:val="22"/>
        </w:rPr>
        <w:t>nízkodávkové CHC obsahujúce levonorgestrel</w:t>
      </w:r>
      <w:r w:rsidRPr="003717E1">
        <w:rPr>
          <w:rFonts w:ascii="Times New Roman" w:hAnsi="Times New Roman"/>
          <w:iCs/>
          <w:sz w:val="22"/>
          <w:szCs w:val="22"/>
        </w:rPr>
        <w:t>.</w:t>
      </w:r>
      <w:r w:rsidR="000F652D">
        <w:rPr>
          <w:rFonts w:ascii="Times New Roman" w:hAnsi="Times New Roman"/>
          <w:iCs/>
          <w:sz w:val="22"/>
          <w:szCs w:val="22"/>
        </w:rPr>
        <w:t xml:space="preserve"> Boli zistené</w:t>
      </w:r>
      <w:r>
        <w:rPr>
          <w:rFonts w:ascii="Times New Roman" w:hAnsi="Times New Roman"/>
          <w:iCs/>
          <w:sz w:val="22"/>
          <w:szCs w:val="22"/>
        </w:rPr>
        <w:t xml:space="preserve"> nekonzistentné výsledky týkajúce sa rizika vzniku VTE pri používaní </w:t>
      </w:r>
      <w:r w:rsidR="008C2E13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iCs/>
          <w:sz w:val="22"/>
          <w:szCs w:val="22"/>
        </w:rPr>
        <w:t>u v porovnaní s CHC obsahujúcimi levonorgestrel (s odhadmi relatívneho rizika v rozsahu od žiadneho zvýšenia s hodnotou RR = 0,96 až po takmer dvojnásobné zvýšenie s hodnotou RR = 1,90). To zodpovedá približ</w:t>
      </w:r>
      <w:r w:rsidR="000F652D">
        <w:rPr>
          <w:rFonts w:ascii="Times New Roman" w:hAnsi="Times New Roman"/>
          <w:iCs/>
          <w:sz w:val="22"/>
          <w:szCs w:val="22"/>
        </w:rPr>
        <w:t>ne 6 až 12 výskytom VTE za rok z</w:t>
      </w:r>
      <w:r>
        <w:rPr>
          <w:rFonts w:ascii="Times New Roman" w:hAnsi="Times New Roman"/>
          <w:iCs/>
          <w:sz w:val="22"/>
          <w:szCs w:val="22"/>
        </w:rPr>
        <w:t xml:space="preserve"> 10 000 žien používajúcich </w:t>
      </w:r>
      <w:r w:rsidR="00A75669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iCs/>
          <w:sz w:val="22"/>
          <w:szCs w:val="22"/>
        </w:rPr>
        <w:t>.</w:t>
      </w:r>
    </w:p>
    <w:p w14:paraId="1FF30F2C" w14:textId="77777777" w:rsidR="000F652D" w:rsidRPr="007630D9" w:rsidRDefault="000F652D" w:rsidP="000F652D">
      <w:pPr>
        <w:autoSpaceDE w:val="0"/>
        <w:autoSpaceDN w:val="0"/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4A99BFBC" w14:textId="77777777" w:rsidR="00C627EB" w:rsidRPr="000F652D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iCs/>
          <w:sz w:val="22"/>
          <w:szCs w:val="22"/>
        </w:rPr>
        <w:t>V oboch prípadoch je počet výskytov VTE za rok nižší než počet očakávaný u žien počas gravidity alebo v období po pôrode.</w:t>
      </w:r>
    </w:p>
    <w:p w14:paraId="075D6458" w14:textId="77777777" w:rsidR="000F652D" w:rsidRPr="00F037D3" w:rsidRDefault="000F652D" w:rsidP="000F652D">
      <w:pPr>
        <w:autoSpaceDE w:val="0"/>
        <w:autoSpaceDN w:val="0"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4DF3DAA" w14:textId="77777777" w:rsidR="00C627EB" w:rsidRPr="002637C2" w:rsidRDefault="00C627EB" w:rsidP="00FD500A">
      <w:pPr>
        <w:numPr>
          <w:ilvl w:val="0"/>
          <w:numId w:val="21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VTE sa môže v 1 až 2 % prípadov skončiť smrťou.</w:t>
      </w:r>
    </w:p>
    <w:p w14:paraId="234D775B" w14:textId="77777777" w:rsidR="00C627EB" w:rsidRPr="00ED2DD4" w:rsidRDefault="00C627EB" w:rsidP="002637C2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6DE8944E" w14:textId="77777777" w:rsidR="00C627EB" w:rsidRPr="00ED2DD4" w:rsidRDefault="00C627EB" w:rsidP="002637C2">
      <w:pPr>
        <w:keepNext/>
        <w:spacing w:before="120" w:line="28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ED2DD4">
        <w:rPr>
          <w:rFonts w:ascii="Times New Roman" w:hAnsi="Times New Roman"/>
          <w:b/>
          <w:sz w:val="22"/>
          <w:szCs w:val="22"/>
        </w:rPr>
        <w:t>Počet prípadov VTE na 10 000 žien v priebehu jedného roka</w:t>
      </w:r>
    </w:p>
    <w:p w14:paraId="0E8E61A9" w14:textId="77777777" w:rsidR="00C627EB" w:rsidRPr="00ED2DD4" w:rsidRDefault="00C627EB" w:rsidP="002637C2">
      <w:pPr>
        <w:keepNext/>
        <w:spacing w:line="280" w:lineRule="atLeast"/>
        <w:outlineLvl w:val="0"/>
        <w:rPr>
          <w:u w:val="single"/>
        </w:rPr>
      </w:pPr>
    </w:p>
    <w:p w14:paraId="07454479" w14:textId="77777777" w:rsidR="00C627EB" w:rsidRPr="00ED2DD4" w:rsidRDefault="00ED2DD4" w:rsidP="00ED2DD4">
      <w:pPr>
        <w:spacing w:line="280" w:lineRule="atLeast"/>
        <w:outlineLvl w:val="0"/>
        <w:rPr>
          <w:rFonts w:ascii="Times New Roman" w:hAnsi="Times New Roman"/>
          <w:sz w:val="22"/>
          <w:szCs w:val="22"/>
        </w:rPr>
      </w:pPr>
      <w:r w:rsidRPr="00ED2DD4">
        <w:rPr>
          <w:noProof/>
          <w:u w:val="single"/>
          <w:lang w:val="en-US"/>
        </w:rPr>
        <w:drawing>
          <wp:inline distT="0" distB="0" distL="0" distR="0" wp14:anchorId="7C5F457A" wp14:editId="6DF9473D">
            <wp:extent cx="6115050" cy="3752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92A7" w14:textId="77777777" w:rsidR="00ED2DD4" w:rsidRPr="00ED2DD4" w:rsidRDefault="00ED2DD4" w:rsidP="00ED2DD4">
      <w:pPr>
        <w:spacing w:line="280" w:lineRule="atLeast"/>
        <w:outlineLvl w:val="0"/>
        <w:rPr>
          <w:rFonts w:ascii="Times New Roman" w:hAnsi="Times New Roman"/>
          <w:sz w:val="22"/>
          <w:szCs w:val="22"/>
        </w:rPr>
      </w:pPr>
    </w:p>
    <w:p w14:paraId="1EE6C917" w14:textId="77777777" w:rsidR="00C627EB" w:rsidRPr="00ED2DD4" w:rsidRDefault="00C627EB" w:rsidP="00FD500A">
      <w:pPr>
        <w:keepNext/>
        <w:numPr>
          <w:ilvl w:val="0"/>
          <w:numId w:val="22"/>
        </w:numPr>
        <w:tabs>
          <w:tab w:val="clear" w:pos="720"/>
          <w:tab w:val="num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ED2DD4">
        <w:rPr>
          <w:rFonts w:ascii="Times New Roman" w:hAnsi="Times New Roman"/>
          <w:iCs/>
          <w:sz w:val="22"/>
          <w:szCs w:val="22"/>
        </w:rPr>
        <w:t xml:space="preserve">U používateliek CHC bol mimoriadne zriedkavo hlásený výskyt trombózy v iných krvných cievach, napr. v pečeňových, mezenterických, obličkových alebo sietnicových žilách a tepnách. </w:t>
      </w:r>
    </w:p>
    <w:p w14:paraId="16BD4895" w14:textId="77777777" w:rsidR="00C627EB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6962BB5" w14:textId="77777777" w:rsidR="00C627EB" w:rsidRDefault="00C627EB" w:rsidP="0077783A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D2DD4">
        <w:rPr>
          <w:rFonts w:ascii="Times New Roman" w:hAnsi="Times New Roman"/>
          <w:sz w:val="22"/>
          <w:szCs w:val="22"/>
          <w:u w:val="single"/>
        </w:rPr>
        <w:t>Rizikové faktory pre vznik VTE</w:t>
      </w:r>
    </w:p>
    <w:p w14:paraId="7A17A5B4" w14:textId="77777777" w:rsidR="00ED2DD4" w:rsidRPr="00ED2DD4" w:rsidRDefault="00ED2DD4" w:rsidP="0077783A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783CDA68" w14:textId="77777777" w:rsidR="00C627EB" w:rsidRPr="00933EEF" w:rsidRDefault="00C627EB" w:rsidP="00766F8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vzniku </w:t>
      </w:r>
      <w:r w:rsidRPr="00933EEF">
        <w:rPr>
          <w:rFonts w:ascii="Times New Roman" w:hAnsi="Times New Roman"/>
          <w:sz w:val="22"/>
          <w:szCs w:val="22"/>
        </w:rPr>
        <w:t xml:space="preserve">venóznych tromboembolických komplikácií u používateliek CHC sa môže </w:t>
      </w:r>
      <w:r>
        <w:rPr>
          <w:rFonts w:ascii="Times New Roman" w:hAnsi="Times New Roman"/>
          <w:sz w:val="22"/>
          <w:szCs w:val="22"/>
        </w:rPr>
        <w:t>značne</w:t>
      </w:r>
      <w:r w:rsidRPr="00933EEF">
        <w:rPr>
          <w:rFonts w:ascii="Times New Roman" w:hAnsi="Times New Roman"/>
          <w:sz w:val="22"/>
          <w:szCs w:val="22"/>
        </w:rPr>
        <w:t xml:space="preserve"> zvýšiť u ženy s ďalšími rizikovými faktormi, najmä ak </w:t>
      </w:r>
      <w:r>
        <w:rPr>
          <w:rFonts w:ascii="Times New Roman" w:hAnsi="Times New Roman"/>
          <w:sz w:val="22"/>
          <w:szCs w:val="22"/>
        </w:rPr>
        <w:t>má viacero rizikových faktorov</w:t>
      </w:r>
      <w:r w:rsidRPr="00933EEF">
        <w:rPr>
          <w:rFonts w:ascii="Times New Roman" w:hAnsi="Times New Roman"/>
          <w:sz w:val="22"/>
          <w:szCs w:val="22"/>
        </w:rPr>
        <w:t xml:space="preserve"> (pozri tabuľku).</w:t>
      </w:r>
    </w:p>
    <w:p w14:paraId="5193B6E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ADC7DC8" w14:textId="77777777" w:rsidR="00C627EB" w:rsidRPr="00933EEF" w:rsidRDefault="00537170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933EEF">
        <w:rPr>
          <w:rFonts w:ascii="Times New Roman" w:hAnsi="Times New Roman"/>
          <w:sz w:val="22"/>
          <w:szCs w:val="22"/>
        </w:rPr>
        <w:t xml:space="preserve"> je kontraindikovaný, ak má žena viacero rizikových faktorov, ktoré ju vystavujú vysokému riziku</w:t>
      </w:r>
      <w:r w:rsidR="00C627EB">
        <w:rPr>
          <w:rFonts w:ascii="Times New Roman" w:hAnsi="Times New Roman"/>
          <w:sz w:val="22"/>
          <w:szCs w:val="22"/>
        </w:rPr>
        <w:t xml:space="preserve"> vzniku</w:t>
      </w:r>
      <w:r w:rsidR="00C627EB" w:rsidRPr="00933EEF">
        <w:rPr>
          <w:rFonts w:ascii="Times New Roman" w:hAnsi="Times New Roman"/>
          <w:sz w:val="22"/>
          <w:szCs w:val="22"/>
        </w:rPr>
        <w:t xml:space="preserve"> venóznej trombózy (pozri časť 4.3). Ak </w:t>
      </w:r>
      <w:r w:rsidR="00C627EB">
        <w:rPr>
          <w:rFonts w:ascii="Times New Roman" w:hAnsi="Times New Roman"/>
          <w:sz w:val="22"/>
          <w:szCs w:val="22"/>
        </w:rPr>
        <w:t>má žena</w:t>
      </w:r>
      <w:r w:rsidR="00C627EB" w:rsidRPr="00933EEF">
        <w:rPr>
          <w:rFonts w:ascii="Times New Roman" w:hAnsi="Times New Roman"/>
          <w:sz w:val="22"/>
          <w:szCs w:val="22"/>
        </w:rPr>
        <w:t xml:space="preserve"> viac ako jeden rizikový faktor, </w:t>
      </w:r>
      <w:r w:rsidR="00C627EB" w:rsidRPr="00F037D3">
        <w:rPr>
          <w:rFonts w:ascii="Times New Roman" w:hAnsi="Times New Roman"/>
          <w:sz w:val="22"/>
          <w:szCs w:val="22"/>
        </w:rPr>
        <w:t xml:space="preserve">zvýšenie rizika </w:t>
      </w:r>
      <w:r w:rsidR="00C627EB" w:rsidRPr="0077783A">
        <w:rPr>
          <w:rFonts w:ascii="Times New Roman" w:hAnsi="Times New Roman"/>
          <w:sz w:val="22"/>
          <w:szCs w:val="22"/>
        </w:rPr>
        <w:t xml:space="preserve">môže byť </w:t>
      </w:r>
      <w:r w:rsidR="00C627EB">
        <w:rPr>
          <w:rFonts w:ascii="Times New Roman" w:hAnsi="Times New Roman"/>
          <w:sz w:val="22"/>
          <w:szCs w:val="22"/>
        </w:rPr>
        <w:t>väčšie než</w:t>
      </w:r>
      <w:r w:rsidR="00C627EB" w:rsidRPr="00F037D3">
        <w:rPr>
          <w:rFonts w:ascii="Times New Roman" w:hAnsi="Times New Roman"/>
          <w:sz w:val="22"/>
          <w:szCs w:val="22"/>
        </w:rPr>
        <w:t xml:space="preserve"> súčet jednotlivých faktorov</w:t>
      </w:r>
      <w:r w:rsidR="00C627EB" w:rsidRPr="00933EEF">
        <w:rPr>
          <w:rFonts w:ascii="Times New Roman" w:hAnsi="Times New Roman"/>
          <w:sz w:val="22"/>
          <w:szCs w:val="22"/>
        </w:rPr>
        <w:t xml:space="preserve"> – v </w:t>
      </w:r>
      <w:r w:rsidR="00C627EB">
        <w:rPr>
          <w:rFonts w:ascii="Times New Roman" w:hAnsi="Times New Roman"/>
          <w:sz w:val="22"/>
          <w:szCs w:val="22"/>
        </w:rPr>
        <w:t>takomto</w:t>
      </w:r>
      <w:r w:rsidR="00ED2DD4">
        <w:rPr>
          <w:rFonts w:ascii="Times New Roman" w:hAnsi="Times New Roman"/>
          <w:sz w:val="22"/>
          <w:szCs w:val="22"/>
        </w:rPr>
        <w:t xml:space="preserve"> prípade sa má zvážiť </w:t>
      </w:r>
      <w:r w:rsidR="00C627EB" w:rsidRPr="00933EEF">
        <w:rPr>
          <w:rFonts w:ascii="Times New Roman" w:hAnsi="Times New Roman"/>
          <w:sz w:val="22"/>
          <w:szCs w:val="22"/>
        </w:rPr>
        <w:t xml:space="preserve">celkové </w:t>
      </w:r>
      <w:r w:rsidR="00C627EB" w:rsidRPr="00F037D3">
        <w:rPr>
          <w:rFonts w:ascii="Times New Roman" w:hAnsi="Times New Roman"/>
          <w:sz w:val="22"/>
          <w:szCs w:val="22"/>
        </w:rPr>
        <w:t xml:space="preserve">riziko </w:t>
      </w:r>
      <w:r w:rsidR="00C627EB" w:rsidRPr="0077783A">
        <w:rPr>
          <w:rFonts w:ascii="Times New Roman" w:hAnsi="Times New Roman"/>
          <w:sz w:val="22"/>
          <w:szCs w:val="22"/>
        </w:rPr>
        <w:t>výskytu</w:t>
      </w:r>
      <w:r w:rsidR="00C627EB" w:rsidRPr="00F037D3">
        <w:rPr>
          <w:rFonts w:ascii="Times New Roman" w:hAnsi="Times New Roman"/>
          <w:sz w:val="22"/>
          <w:szCs w:val="22"/>
        </w:rPr>
        <w:t xml:space="preserve"> VTE</w:t>
      </w:r>
      <w:r w:rsidR="00C627EB" w:rsidRPr="00933EEF">
        <w:rPr>
          <w:rFonts w:ascii="Times New Roman" w:hAnsi="Times New Roman"/>
          <w:sz w:val="22"/>
          <w:szCs w:val="22"/>
        </w:rPr>
        <w:t>. Ak sa pomer prínosov a rizík považuje za negatívny, CHC sa nemá predpisovať (pozri časť 4.3).</w:t>
      </w:r>
    </w:p>
    <w:p w14:paraId="67D22E88" w14:textId="77777777" w:rsidR="00C627EB" w:rsidRDefault="00C627EB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054FFF30" w14:textId="77777777" w:rsidR="00C627EB" w:rsidRPr="00ED2DD4" w:rsidRDefault="00C627EB" w:rsidP="00933EE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ED2DD4">
        <w:rPr>
          <w:rFonts w:ascii="Times New Roman" w:hAnsi="Times New Roman"/>
          <w:bCs/>
          <w:sz w:val="22"/>
          <w:szCs w:val="22"/>
        </w:rPr>
        <w:t>Tabuľka: Rizikové faktory pre vznik VTE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2"/>
        <w:gridCol w:w="4644"/>
      </w:tblGrid>
      <w:tr w:rsidR="00C627EB" w:rsidRPr="00ED2DD4" w14:paraId="15956F8C" w14:textId="77777777" w:rsidTr="00313EF1">
        <w:trPr>
          <w:cantSplit/>
        </w:trPr>
        <w:tc>
          <w:tcPr>
            <w:tcW w:w="4643" w:type="dxa"/>
          </w:tcPr>
          <w:p w14:paraId="68FD7780" w14:textId="77777777" w:rsidR="00C627EB" w:rsidRPr="00ED2DD4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ED2DD4">
              <w:rPr>
                <w:rFonts w:ascii="Times New Roman" w:hAnsi="Times New Roman"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14:paraId="5EDE6A00" w14:textId="77777777" w:rsidR="00C627EB" w:rsidRPr="00ED2DD4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ED2DD4">
              <w:rPr>
                <w:rFonts w:ascii="Times New Roman" w:hAnsi="Times New Roman"/>
                <w:bCs/>
                <w:sz w:val="22"/>
                <w:szCs w:val="22"/>
              </w:rPr>
              <w:t>Komentár</w:t>
            </w:r>
          </w:p>
        </w:tc>
      </w:tr>
      <w:tr w:rsidR="00C627EB" w:rsidRPr="00933EEF" w14:paraId="6C449B70" w14:textId="77777777" w:rsidTr="00313EF1">
        <w:trPr>
          <w:cantSplit/>
        </w:trPr>
        <w:tc>
          <w:tcPr>
            <w:tcW w:w="4643" w:type="dxa"/>
          </w:tcPr>
          <w:p w14:paraId="20E516C4" w14:textId="77777777" w:rsidR="00C627EB" w:rsidRPr="00933EEF" w:rsidRDefault="00C627EB" w:rsidP="00F037D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Obezita (index telesnej hmotnosti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(BMI) 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14:paraId="0FA72CE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Riziko sa </w:t>
            </w:r>
            <w:r>
              <w:rPr>
                <w:rFonts w:ascii="Times New Roman" w:hAnsi="Times New Roman"/>
                <w:sz w:val="22"/>
                <w:szCs w:val="22"/>
              </w:rPr>
              <w:t>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14:paraId="1B736421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34D50C46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Obzvlášť dôležité je zvážiť, ak sú prítomné aj </w:t>
            </w:r>
            <w:r>
              <w:rPr>
                <w:rFonts w:ascii="Times New Roman" w:hAnsi="Times New Roman"/>
                <w:sz w:val="22"/>
                <w:szCs w:val="22"/>
              </w:rPr>
              <w:t>ďalšie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rizikové faktory.</w:t>
            </w:r>
          </w:p>
        </w:tc>
      </w:tr>
      <w:tr w:rsidR="00C627EB" w:rsidRPr="00933EEF" w14:paraId="14B09756" w14:textId="77777777" w:rsidTr="00313EF1">
        <w:trPr>
          <w:cantSplit/>
        </w:trPr>
        <w:tc>
          <w:tcPr>
            <w:tcW w:w="4643" w:type="dxa"/>
          </w:tcPr>
          <w:p w14:paraId="1F0C18D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Dlhodobá imobilizácia, závažný chirurgický zákrok, akýkoľvek chirurgický zákrok na nohách alebo panve, neurochirurgický zákrok alebo závažný úraz</w:t>
            </w:r>
          </w:p>
          <w:p w14:paraId="2E22B5D2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04A60379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6FDFE5B0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7B7B7BA2" w14:textId="77777777" w:rsidR="002D25B3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4B42E8DE" w14:textId="77777777" w:rsidR="002D25B3" w:rsidRPr="00933EEF" w:rsidRDefault="002D25B3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60EC5F98" w14:textId="77777777" w:rsidR="00C627EB" w:rsidRPr="00933EEF" w:rsidRDefault="00C627EB" w:rsidP="0055784B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Poznámka: dočasná imobilizácia vrátane cestovania leteckou dopravou </w:t>
            </w:r>
            <w:r>
              <w:rPr>
                <w:rFonts w:ascii="Times New Roman" w:hAnsi="Times New Roman"/>
                <w:sz w:val="22"/>
                <w:szCs w:val="22"/>
              </w:rPr>
              <w:t>trvajúcou &gt; 4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hodiny môže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byť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tiež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rizikovým faktorom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pre vznik VTE, najmä u žien s ďalšími rizikovými faktormi.</w:t>
            </w:r>
          </w:p>
        </w:tc>
        <w:tc>
          <w:tcPr>
            <w:tcW w:w="4644" w:type="dxa"/>
          </w:tcPr>
          <w:p w14:paraId="671C26FA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  <w:sz w:val="22"/>
                <w:szCs w:val="22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V týchto prípadoch sa odporúča prerušiť používanie </w:t>
            </w:r>
            <w:r>
              <w:rPr>
                <w:rFonts w:ascii="Times New Roman" w:hAnsi="Times New Roman"/>
                <w:sz w:val="22"/>
                <w:szCs w:val="22"/>
              </w:rPr>
              <w:t>náplasti/tablety/krúžku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(v prípade plánovaného chirurgického zákroku </w:t>
            </w:r>
            <w:r>
              <w:rPr>
                <w:rFonts w:ascii="Times New Roman" w:hAnsi="Times New Roman"/>
                <w:sz w:val="22"/>
                <w:szCs w:val="22"/>
              </w:rPr>
              <w:t>najmenej štyri týždne pred zákrokom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a pokračovať v</w:t>
            </w:r>
            <w:r>
              <w:rPr>
                <w:rFonts w:ascii="Times New Roman" w:hAnsi="Times New Roman"/>
                <w:sz w:val="22"/>
                <w:szCs w:val="22"/>
              </w:rPr>
              <w:t> ňom najskôr dva týždne po úplnom obnovení pohyblivosti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z w:val="22"/>
                <w:szCs w:val="22"/>
              </w:rPr>
              <w:t>Má sa používať in</w:t>
            </w:r>
            <w:r w:rsidR="001D3920">
              <w:rPr>
                <w:rFonts w:ascii="Times New Roman" w:hAnsi="Times New Roman"/>
                <w:sz w:val="22"/>
                <w:szCs w:val="22"/>
              </w:rPr>
              <w:t>á metóda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ntikoncepcie</w:t>
            </w:r>
            <w:r>
              <w:rPr>
                <w:rFonts w:ascii="Times New Roman" w:hAnsi="Times New Roman"/>
                <w:sz w:val="22"/>
                <w:szCs w:val="22"/>
              </w:rPr>
              <w:t>, aby sa zabránilo neželanej gravidite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3E104014" w14:textId="77777777" w:rsidR="00841812" w:rsidRPr="00933EEF" w:rsidRDefault="00841812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1077116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Ak sa používanie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41812">
              <w:rPr>
                <w:rFonts w:ascii="Times New Roman" w:hAnsi="Times New Roman"/>
                <w:sz w:val="22"/>
                <w:szCs w:val="22"/>
              </w:rPr>
              <w:t>Perlinringu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nepreruší včas, má sa zvážiť antitrombotická liečba.</w:t>
            </w:r>
          </w:p>
          <w:p w14:paraId="42E2DFCD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14:paraId="5C431BA3" w14:textId="77777777" w:rsidTr="00313EF1">
        <w:trPr>
          <w:cantSplit/>
        </w:trPr>
        <w:tc>
          <w:tcPr>
            <w:tcW w:w="4643" w:type="dxa"/>
          </w:tcPr>
          <w:p w14:paraId="55AA8C3E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venóznej tromboembólie u súrodenca alebo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rodiča</w:t>
            </w:r>
            <w:r>
              <w:rPr>
                <w:rFonts w:ascii="Times New Roman" w:hAnsi="Times New Roman"/>
                <w:sz w:val="22"/>
                <w:szCs w:val="22"/>
              </w:rPr>
              <w:t>, 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 relatívne skorom veku, napr. do 50 rokov).</w:t>
            </w:r>
          </w:p>
        </w:tc>
        <w:tc>
          <w:tcPr>
            <w:tcW w:w="4644" w:type="dxa"/>
          </w:tcPr>
          <w:p w14:paraId="0AD303BD" w14:textId="77777777" w:rsidR="00C627EB" w:rsidRPr="00933EEF" w:rsidRDefault="00C627EB" w:rsidP="00412E1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55784B">
              <w:rPr>
                <w:rFonts w:ascii="Times New Roman" w:hAnsi="Times New Roman"/>
                <w:sz w:val="22"/>
                <w:szCs w:val="22"/>
              </w:rPr>
              <w:t>Ak existuje podozrenie na dedičnú predispozíciu, žena sa má pred rozh</w:t>
            </w:r>
            <w:r>
              <w:rPr>
                <w:rFonts w:ascii="Times New Roman" w:hAnsi="Times New Roman"/>
                <w:sz w:val="22"/>
                <w:szCs w:val="22"/>
              </w:rPr>
              <w:t>odnutím o používaní ktoréhokoľvek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 xml:space="preserve"> CHC poradiť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>odborným lekárom.</w:t>
            </w:r>
          </w:p>
        </w:tc>
      </w:tr>
      <w:tr w:rsidR="00C627EB" w:rsidRPr="00933EEF" w14:paraId="7822E13A" w14:textId="77777777" w:rsidTr="00313EF1">
        <w:trPr>
          <w:cantSplit/>
        </w:trPr>
        <w:tc>
          <w:tcPr>
            <w:tcW w:w="4643" w:type="dxa"/>
          </w:tcPr>
          <w:p w14:paraId="15881BFA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Iné zdravotné stavy spojené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VTE</w:t>
            </w:r>
          </w:p>
        </w:tc>
        <w:tc>
          <w:tcPr>
            <w:tcW w:w="4644" w:type="dxa"/>
          </w:tcPr>
          <w:p w14:paraId="21A5FE8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Rakovina, systémový lupus erythematosus, hemolyticko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uremický syndróm, chronické zápalové ochorenie čriev (Crohnova choroba alebo ulcerózna kolitída) a kosáčikovitá anémia.</w:t>
            </w:r>
          </w:p>
        </w:tc>
      </w:tr>
      <w:tr w:rsidR="00C627EB" w:rsidRPr="00933EEF" w14:paraId="5EFF2593" w14:textId="77777777" w:rsidTr="00313EF1">
        <w:trPr>
          <w:cantSplit/>
        </w:trPr>
        <w:tc>
          <w:tcPr>
            <w:tcW w:w="4643" w:type="dxa"/>
          </w:tcPr>
          <w:p w14:paraId="6D2759E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14:paraId="19B0685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  <w:p w14:paraId="1FA02D86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14:paraId="7D516592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36B284D5" w14:textId="77777777" w:rsidR="00C627EB" w:rsidRDefault="00C627EB" w:rsidP="00EC31B1">
      <w:pPr>
        <w:numPr>
          <w:ilvl w:val="0"/>
          <w:numId w:val="23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8C2DD8">
        <w:rPr>
          <w:rFonts w:ascii="Times New Roman" w:hAnsi="Times New Roman"/>
          <w:sz w:val="22"/>
          <w:szCs w:val="22"/>
        </w:rPr>
        <w:t>Neexistuje žiadna</w:t>
      </w:r>
      <w:r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>zhoda o</w:t>
      </w:r>
      <w:r>
        <w:rPr>
          <w:rFonts w:ascii="Times New Roman" w:hAnsi="Times New Roman"/>
          <w:sz w:val="22"/>
          <w:szCs w:val="22"/>
        </w:rPr>
        <w:t>hľadom možnej úlohy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kŕčových </w:t>
      </w:r>
      <w:r w:rsidRPr="00933EEF">
        <w:rPr>
          <w:rFonts w:ascii="Times New Roman" w:hAnsi="Times New Roman"/>
          <w:sz w:val="22"/>
          <w:szCs w:val="22"/>
        </w:rPr>
        <w:t>žíl a povrchovej tromboflebitídy pri vzniku a</w:t>
      </w:r>
      <w:r>
        <w:rPr>
          <w:rFonts w:ascii="Times New Roman" w:hAnsi="Times New Roman"/>
          <w:sz w:val="22"/>
          <w:szCs w:val="22"/>
        </w:rPr>
        <w:t>lebo</w:t>
      </w:r>
      <w:r w:rsidRPr="00933EEF">
        <w:rPr>
          <w:rFonts w:ascii="Times New Roman" w:hAnsi="Times New Roman"/>
          <w:sz w:val="22"/>
          <w:szCs w:val="22"/>
        </w:rPr>
        <w:t xml:space="preserve"> progresii venóznej trombózy.</w:t>
      </w:r>
    </w:p>
    <w:p w14:paraId="799E9D57" w14:textId="77777777" w:rsidR="00841812" w:rsidRPr="00933EEF" w:rsidRDefault="00841812" w:rsidP="00841812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55071B20" w14:textId="77777777" w:rsidR="00C627EB" w:rsidRPr="00933EEF" w:rsidRDefault="00C627EB" w:rsidP="00EC31B1">
      <w:pPr>
        <w:numPr>
          <w:ilvl w:val="0"/>
          <w:numId w:val="23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Musí sa zvážiť</w:t>
      </w:r>
      <w:r w:rsidRPr="00933EEF">
        <w:rPr>
          <w:rFonts w:ascii="Times New Roman" w:hAnsi="Times New Roman"/>
          <w:sz w:val="22"/>
          <w:szCs w:val="22"/>
        </w:rPr>
        <w:t xml:space="preserve"> zvýšené riziko </w:t>
      </w:r>
      <w:r>
        <w:rPr>
          <w:rFonts w:ascii="Times New Roman" w:hAnsi="Times New Roman"/>
          <w:sz w:val="22"/>
          <w:szCs w:val="22"/>
        </w:rPr>
        <w:t xml:space="preserve">vzniku </w:t>
      </w:r>
      <w:r w:rsidRPr="00933EEF">
        <w:rPr>
          <w:rFonts w:ascii="Times New Roman" w:hAnsi="Times New Roman"/>
          <w:sz w:val="22"/>
          <w:szCs w:val="22"/>
        </w:rPr>
        <w:t>tromboembólie počas gravidity a najmä počas 6</w:t>
      </w:r>
      <w:r w:rsidRPr="00933EEF">
        <w:rPr>
          <w:rFonts w:ascii="Times New Roman" w:hAnsi="Times New Roman"/>
          <w:sz w:val="22"/>
          <w:szCs w:val="22"/>
        </w:rPr>
        <w:noBreakHyphen/>
        <w:t>týždňového obdob</w:t>
      </w:r>
      <w:r w:rsidR="00841812">
        <w:rPr>
          <w:rFonts w:ascii="Times New Roman" w:hAnsi="Times New Roman"/>
          <w:sz w:val="22"/>
          <w:szCs w:val="22"/>
        </w:rPr>
        <w:t>ia šestonedelia (pozri časť</w:t>
      </w:r>
      <w:r w:rsidRPr="00933EEF">
        <w:rPr>
          <w:rFonts w:ascii="Times New Roman" w:hAnsi="Times New Roman"/>
          <w:sz w:val="22"/>
          <w:szCs w:val="22"/>
        </w:rPr>
        <w:t xml:space="preserve"> 4.6).</w:t>
      </w:r>
    </w:p>
    <w:p w14:paraId="0CA872AB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543CE02" w14:textId="77777777" w:rsidR="00C627EB" w:rsidRPr="00841812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41812">
        <w:rPr>
          <w:rFonts w:ascii="Times New Roman" w:hAnsi="Times New Roman"/>
          <w:sz w:val="22"/>
          <w:szCs w:val="22"/>
          <w:u w:val="single"/>
        </w:rPr>
        <w:t>Príznaky VTE (trombóza hĺbkových žíl a pľúcna embólia)</w:t>
      </w:r>
    </w:p>
    <w:p w14:paraId="0542EBEF" w14:textId="77777777" w:rsidR="00841812" w:rsidRDefault="0084181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361F50E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Žena má byť poučená, aby v prípade príznakov vyhľadala okamžitú lekársku pomoc a informovala zdravotníck</w:t>
      </w:r>
      <w:r>
        <w:rPr>
          <w:rFonts w:ascii="Times New Roman" w:hAnsi="Times New Roman"/>
          <w:sz w:val="22"/>
          <w:szCs w:val="22"/>
        </w:rPr>
        <w:t>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14:paraId="100313FF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122E57E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trombózy hĺbkových žíl</w:t>
      </w:r>
      <w:r w:rsidRPr="00933EEF">
        <w:rPr>
          <w:rFonts w:ascii="Times New Roman" w:hAnsi="Times New Roman"/>
          <w:sz w:val="22"/>
          <w:szCs w:val="22"/>
        </w:rPr>
        <w:t xml:space="preserve"> (</w:t>
      </w:r>
      <w:r w:rsidR="000E0EF1">
        <w:rPr>
          <w:rFonts w:ascii="Times New Roman" w:hAnsi="Times New Roman"/>
          <w:sz w:val="22"/>
          <w:szCs w:val="22"/>
        </w:rPr>
        <w:t xml:space="preserve">z angl deep vein trombosis </w:t>
      </w:r>
      <w:r w:rsidRPr="00933EEF">
        <w:rPr>
          <w:rFonts w:ascii="Times New Roman" w:hAnsi="Times New Roman"/>
          <w:sz w:val="22"/>
          <w:szCs w:val="22"/>
        </w:rPr>
        <w:t>DVT) môžu zahŕňať:</w:t>
      </w:r>
    </w:p>
    <w:p w14:paraId="12CAF409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jednostranný</w:t>
      </w:r>
      <w:r w:rsidRPr="00933EEF">
        <w:rPr>
          <w:rFonts w:ascii="Times New Roman" w:hAnsi="Times New Roman"/>
          <w:sz w:val="22"/>
          <w:szCs w:val="22"/>
        </w:rPr>
        <w:t xml:space="preserve"> opuch nohy a/alebo chodidla alebo pozdĺž žily v nohe;</w:t>
      </w:r>
    </w:p>
    <w:p w14:paraId="0F00A7E8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bolesť alebo citlivosť v no</w:t>
      </w:r>
      <w:r>
        <w:rPr>
          <w:rFonts w:ascii="Times New Roman" w:hAnsi="Times New Roman"/>
          <w:sz w:val="22"/>
          <w:szCs w:val="22"/>
        </w:rPr>
        <w:t>he, ktorú možno pociťovať iba v </w:t>
      </w:r>
      <w:r w:rsidRPr="00933EEF">
        <w:rPr>
          <w:rFonts w:ascii="Times New Roman" w:hAnsi="Times New Roman"/>
          <w:sz w:val="22"/>
          <w:szCs w:val="22"/>
        </w:rPr>
        <w:t>stoji alebo pri chôdzi;</w:t>
      </w:r>
    </w:p>
    <w:p w14:paraId="27363052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zvýšené teplo v postihnutej nohe; sčervenanie alebo zmena sfarbenia pokožky na nohe.</w:t>
      </w:r>
    </w:p>
    <w:p w14:paraId="64E886BD" w14:textId="77777777" w:rsidR="00C627EB" w:rsidRPr="00933EEF" w:rsidRDefault="00C627EB" w:rsidP="00DC55B2">
      <w:p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</w:p>
    <w:p w14:paraId="4785EF67" w14:textId="77777777" w:rsidR="00C627EB" w:rsidRPr="00933EEF" w:rsidRDefault="00C627EB" w:rsidP="00DC55B2">
      <w:p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Príznaky pľúcnej embólie (PE) môžu zahŕňať:</w:t>
      </w:r>
    </w:p>
    <w:p w14:paraId="783E2E16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</w:t>
      </w:r>
      <w:r>
        <w:rPr>
          <w:rFonts w:ascii="Times New Roman" w:hAnsi="Times New Roman"/>
          <w:sz w:val="22"/>
          <w:szCs w:val="22"/>
        </w:rPr>
        <w:t>nástup</w:t>
      </w:r>
      <w:r w:rsidRPr="00933EEF">
        <w:rPr>
          <w:rFonts w:ascii="Times New Roman" w:hAnsi="Times New Roman"/>
          <w:sz w:val="22"/>
          <w:szCs w:val="22"/>
        </w:rPr>
        <w:t xml:space="preserve"> nevysvetliteľnej dýchavičnosti alebo rýchleho dýchania;</w:t>
      </w:r>
    </w:p>
    <w:p w14:paraId="047B02DF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kašeľ, ktorý môže </w:t>
      </w:r>
      <w:r>
        <w:rPr>
          <w:rFonts w:ascii="Times New Roman" w:hAnsi="Times New Roman"/>
          <w:sz w:val="22"/>
          <w:szCs w:val="22"/>
        </w:rPr>
        <w:t>súvisieť</w:t>
      </w:r>
      <w:r w:rsidRPr="00933EEF">
        <w:rPr>
          <w:rFonts w:ascii="Times New Roman" w:hAnsi="Times New Roman"/>
          <w:sz w:val="22"/>
          <w:szCs w:val="22"/>
        </w:rPr>
        <w:t xml:space="preserve"> s hemoptýzou;</w:t>
      </w:r>
    </w:p>
    <w:p w14:paraId="7E29E8AB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ostrú bolesť v hrudníku;</w:t>
      </w:r>
    </w:p>
    <w:p w14:paraId="28CFE926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závažný pocit </w:t>
      </w:r>
      <w:r>
        <w:rPr>
          <w:rFonts w:ascii="Times New Roman" w:hAnsi="Times New Roman"/>
          <w:sz w:val="22"/>
          <w:szCs w:val="22"/>
        </w:rPr>
        <w:t>točenia hlavy</w:t>
      </w:r>
      <w:r w:rsidRPr="00933EEF">
        <w:rPr>
          <w:rFonts w:ascii="Times New Roman" w:hAnsi="Times New Roman"/>
          <w:sz w:val="22"/>
          <w:szCs w:val="22"/>
        </w:rPr>
        <w:t xml:space="preserve"> alebo závrat;</w:t>
      </w:r>
    </w:p>
    <w:p w14:paraId="4B30288D" w14:textId="77777777" w:rsidR="00C627EB" w:rsidRDefault="00C627EB" w:rsidP="00DC55B2">
      <w:pPr>
        <w:numPr>
          <w:ilvl w:val="0"/>
          <w:numId w:val="8"/>
        </w:numPr>
        <w:tabs>
          <w:tab w:val="left" w:pos="851"/>
        </w:tabs>
        <w:adjustRightInd w:val="0"/>
        <w:snapToGrid w:val="0"/>
        <w:ind w:left="851" w:hanging="568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14:paraId="11908995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FAE33B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Ni</w:t>
      </w:r>
      <w:r>
        <w:rPr>
          <w:rFonts w:ascii="Times New Roman" w:hAnsi="Times New Roman"/>
          <w:sz w:val="22"/>
          <w:szCs w:val="22"/>
        </w:rPr>
        <w:t>ektoré z týchto príznakov (napríklad</w:t>
      </w:r>
      <w:r w:rsidRPr="00933EEF">
        <w:rPr>
          <w:rFonts w:ascii="Times New Roman" w:hAnsi="Times New Roman"/>
          <w:sz w:val="22"/>
          <w:szCs w:val="22"/>
        </w:rPr>
        <w:t xml:space="preserve"> „dýchavičnosť“, „kašeľ“) sú nešpecifické a môžu </w:t>
      </w:r>
      <w:r>
        <w:rPr>
          <w:rFonts w:ascii="Times New Roman" w:hAnsi="Times New Roman"/>
          <w:sz w:val="22"/>
          <w:szCs w:val="22"/>
        </w:rPr>
        <w:t>byť</w:t>
      </w:r>
      <w:r w:rsidRPr="00933EEF">
        <w:rPr>
          <w:rFonts w:ascii="Times New Roman" w:hAnsi="Times New Roman"/>
          <w:sz w:val="22"/>
          <w:szCs w:val="22"/>
        </w:rPr>
        <w:t xml:space="preserve"> n</w:t>
      </w:r>
      <w:r>
        <w:rPr>
          <w:rFonts w:ascii="Times New Roman" w:hAnsi="Times New Roman"/>
          <w:sz w:val="22"/>
          <w:szCs w:val="22"/>
        </w:rPr>
        <w:t>esprávne interpretované</w:t>
      </w:r>
      <w:r w:rsidRPr="00933EEF">
        <w:rPr>
          <w:rFonts w:ascii="Times New Roman" w:hAnsi="Times New Roman"/>
          <w:sz w:val="22"/>
          <w:szCs w:val="22"/>
        </w:rPr>
        <w:t xml:space="preserve"> ako častejšie alebo menej závažné </w:t>
      </w:r>
      <w:r>
        <w:rPr>
          <w:rFonts w:ascii="Times New Roman" w:hAnsi="Times New Roman"/>
          <w:sz w:val="22"/>
          <w:szCs w:val="22"/>
        </w:rPr>
        <w:t>udalosti (napríklad</w:t>
      </w:r>
      <w:r w:rsidRPr="00933EEF">
        <w:rPr>
          <w:rFonts w:ascii="Times New Roman" w:hAnsi="Times New Roman"/>
          <w:sz w:val="22"/>
          <w:szCs w:val="22"/>
        </w:rPr>
        <w:t xml:space="preserve"> infekcie dýchacích ciest).</w:t>
      </w:r>
    </w:p>
    <w:p w14:paraId="63EC40EC" w14:textId="77777777" w:rsidR="00DC55B2" w:rsidRPr="00933EEF" w:rsidRDefault="00DC55B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838C8D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Medzi ď</w:t>
      </w:r>
      <w:r w:rsidRPr="00933EEF">
        <w:rPr>
          <w:rFonts w:ascii="Times New Roman" w:hAnsi="Times New Roman"/>
          <w:sz w:val="22"/>
          <w:szCs w:val="22"/>
        </w:rPr>
        <w:t>alšie prejavy vaskulárnej oklúzie môžu</w:t>
      </w:r>
      <w:r>
        <w:rPr>
          <w:rFonts w:ascii="Times New Roman" w:hAnsi="Times New Roman"/>
          <w:sz w:val="22"/>
          <w:szCs w:val="22"/>
        </w:rPr>
        <w:t xml:space="preserve"> patriť: náhla bolesť, opuch a </w:t>
      </w:r>
      <w:r w:rsidRPr="00933EEF">
        <w:rPr>
          <w:rFonts w:ascii="Times New Roman" w:hAnsi="Times New Roman"/>
          <w:sz w:val="22"/>
          <w:szCs w:val="22"/>
        </w:rPr>
        <w:t xml:space="preserve">mierne zmodranie </w:t>
      </w:r>
      <w:r>
        <w:rPr>
          <w:rFonts w:ascii="Times New Roman" w:hAnsi="Times New Roman"/>
          <w:sz w:val="22"/>
          <w:szCs w:val="22"/>
        </w:rPr>
        <w:t xml:space="preserve">niektorej </w:t>
      </w:r>
      <w:r w:rsidRPr="00933EEF">
        <w:rPr>
          <w:rFonts w:ascii="Times New Roman" w:hAnsi="Times New Roman"/>
          <w:sz w:val="22"/>
          <w:szCs w:val="22"/>
        </w:rPr>
        <w:t>končatiny.</w:t>
      </w:r>
    </w:p>
    <w:p w14:paraId="46B3EFDD" w14:textId="77777777" w:rsidR="00DC55B2" w:rsidRPr="00933EEF" w:rsidRDefault="00DC55B2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005C7D5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>dôjde k oklúzii</w:t>
      </w:r>
      <w:r w:rsidRPr="00933EEF">
        <w:rPr>
          <w:rFonts w:ascii="Times New Roman" w:hAnsi="Times New Roman"/>
          <w:sz w:val="22"/>
          <w:szCs w:val="22"/>
        </w:rPr>
        <w:t xml:space="preserve"> v oku, medzi </w:t>
      </w:r>
      <w:r>
        <w:rPr>
          <w:rFonts w:ascii="Times New Roman" w:hAnsi="Times New Roman"/>
          <w:sz w:val="22"/>
          <w:szCs w:val="22"/>
        </w:rPr>
        <w:t>príznaky môžu</w:t>
      </w:r>
      <w:r w:rsidRPr="00933EEF">
        <w:rPr>
          <w:rFonts w:ascii="Times New Roman" w:hAnsi="Times New Roman"/>
          <w:sz w:val="22"/>
          <w:szCs w:val="22"/>
        </w:rPr>
        <w:t xml:space="preserve"> patriť bezbolestné rozmazané videnie, ktoré môže postupne prechádzať až do straty zraku. </w:t>
      </w:r>
      <w:r>
        <w:rPr>
          <w:rFonts w:ascii="Times New Roman" w:hAnsi="Times New Roman"/>
          <w:sz w:val="22"/>
          <w:szCs w:val="22"/>
        </w:rPr>
        <w:t xml:space="preserve">Niekedy </w:t>
      </w:r>
      <w:r w:rsidRPr="00933EEF">
        <w:rPr>
          <w:rFonts w:ascii="Times New Roman" w:hAnsi="Times New Roman"/>
          <w:sz w:val="22"/>
          <w:szCs w:val="22"/>
        </w:rPr>
        <w:t xml:space="preserve">môže dôjsť </w:t>
      </w:r>
      <w:r>
        <w:rPr>
          <w:rFonts w:ascii="Times New Roman" w:hAnsi="Times New Roman"/>
          <w:sz w:val="22"/>
          <w:szCs w:val="22"/>
        </w:rPr>
        <w:t xml:space="preserve">k strate zraku </w:t>
      </w:r>
      <w:r w:rsidRPr="00933EEF">
        <w:rPr>
          <w:rFonts w:ascii="Times New Roman" w:hAnsi="Times New Roman"/>
          <w:sz w:val="22"/>
          <w:szCs w:val="22"/>
        </w:rPr>
        <w:t>takmer okamžite.</w:t>
      </w:r>
    </w:p>
    <w:p w14:paraId="78CFE1FC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1D75CF" w14:textId="77777777" w:rsidR="00C627EB" w:rsidRPr="008C2DD8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8C2DD8">
        <w:rPr>
          <w:rFonts w:ascii="Times New Roman" w:hAnsi="Times New Roman"/>
          <w:sz w:val="22"/>
          <w:szCs w:val="22"/>
        </w:rPr>
        <w:t>Riziko vzniku arteriálnej tromboembólie (ATE)</w:t>
      </w:r>
    </w:p>
    <w:p w14:paraId="373D782A" w14:textId="77777777" w:rsidR="00C627EB" w:rsidRPr="008C2DD8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4C37C7A9" w14:textId="77777777" w:rsidR="00C627EB" w:rsidRPr="00933EEF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Epidemiologické štúdie spájajú používanie CHC so zvýšeným rizikom </w:t>
      </w:r>
      <w:r>
        <w:rPr>
          <w:rFonts w:ascii="Times New Roman" w:hAnsi="Times New Roman"/>
          <w:sz w:val="22"/>
          <w:szCs w:val="22"/>
        </w:rPr>
        <w:t xml:space="preserve">vzniku </w:t>
      </w:r>
      <w:r w:rsidRPr="00933EEF">
        <w:rPr>
          <w:rFonts w:ascii="Times New Roman" w:hAnsi="Times New Roman"/>
          <w:sz w:val="22"/>
          <w:szCs w:val="22"/>
        </w:rPr>
        <w:t xml:space="preserve">arteriálnej tromboembólie (infarkt myokardu) alebo </w:t>
      </w:r>
      <w:r w:rsidR="00E2416B">
        <w:rPr>
          <w:rFonts w:ascii="Times New Roman" w:hAnsi="Times New Roman"/>
          <w:sz w:val="22"/>
          <w:szCs w:val="22"/>
        </w:rPr>
        <w:t>cerebrovaskulárnej</w:t>
      </w:r>
      <w:r>
        <w:rPr>
          <w:rFonts w:ascii="Times New Roman" w:hAnsi="Times New Roman"/>
          <w:sz w:val="22"/>
          <w:szCs w:val="22"/>
        </w:rPr>
        <w:t xml:space="preserve"> udalosti</w:t>
      </w:r>
      <w:r w:rsidRPr="00933EEF">
        <w:rPr>
          <w:rFonts w:ascii="Times New Roman" w:hAnsi="Times New Roman"/>
          <w:sz w:val="22"/>
          <w:szCs w:val="22"/>
        </w:rPr>
        <w:t xml:space="preserve"> (napr. prechodný ischemický záchvat, cievna mozgová príhoda). Arteriálne tromboembolické </w:t>
      </w:r>
      <w:r>
        <w:rPr>
          <w:rFonts w:ascii="Times New Roman" w:hAnsi="Times New Roman"/>
          <w:sz w:val="22"/>
          <w:szCs w:val="22"/>
        </w:rPr>
        <w:t>udalosti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</w:t>
      </w:r>
      <w:r w:rsidRPr="00933EEF">
        <w:rPr>
          <w:rFonts w:ascii="Times New Roman" w:hAnsi="Times New Roman"/>
          <w:sz w:val="22"/>
          <w:szCs w:val="22"/>
        </w:rPr>
        <w:t xml:space="preserve">môžu </w:t>
      </w:r>
      <w:r>
        <w:rPr>
          <w:rFonts w:ascii="Times New Roman" w:hAnsi="Times New Roman"/>
          <w:sz w:val="22"/>
          <w:szCs w:val="22"/>
        </w:rPr>
        <w:t>končiť smrťou</w:t>
      </w:r>
      <w:r w:rsidRPr="00933EEF">
        <w:rPr>
          <w:rFonts w:ascii="Times New Roman" w:hAnsi="Times New Roman"/>
          <w:sz w:val="22"/>
          <w:szCs w:val="22"/>
        </w:rPr>
        <w:t>.</w:t>
      </w:r>
    </w:p>
    <w:p w14:paraId="12F3878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3A2CD17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2416B">
        <w:rPr>
          <w:rFonts w:ascii="Times New Roman" w:hAnsi="Times New Roman"/>
          <w:sz w:val="22"/>
          <w:szCs w:val="22"/>
          <w:u w:val="single"/>
        </w:rPr>
        <w:t>Rizikové faktory vzniku ATE</w:t>
      </w:r>
    </w:p>
    <w:p w14:paraId="37A2A1AE" w14:textId="77777777" w:rsidR="00E2416B" w:rsidRPr="00E2416B" w:rsidRDefault="00E2416B" w:rsidP="00933EE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75215E22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Riziko </w:t>
      </w:r>
      <w:r>
        <w:rPr>
          <w:rFonts w:ascii="Times New Roman" w:hAnsi="Times New Roman"/>
          <w:sz w:val="22"/>
          <w:szCs w:val="22"/>
        </w:rPr>
        <w:t xml:space="preserve">vzniku </w:t>
      </w:r>
      <w:r w:rsidRPr="00933EEF">
        <w:rPr>
          <w:rFonts w:ascii="Times New Roman" w:hAnsi="Times New Roman"/>
          <w:sz w:val="22"/>
          <w:szCs w:val="22"/>
        </w:rPr>
        <w:t>arteriálnych tromboembolických komp</w:t>
      </w:r>
      <w:r>
        <w:rPr>
          <w:rFonts w:ascii="Times New Roman" w:hAnsi="Times New Roman"/>
          <w:sz w:val="22"/>
          <w:szCs w:val="22"/>
        </w:rPr>
        <w:t>likácií alebo 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u používateliek CHC sa zvyšuje u žien s rizikovými faktormi (pozri tabuľku).</w:t>
      </w:r>
      <w:r>
        <w:rPr>
          <w:rFonts w:ascii="Times New Roman" w:hAnsi="Times New Roman"/>
          <w:sz w:val="22"/>
          <w:szCs w:val="22"/>
        </w:rPr>
        <w:t xml:space="preserve"> </w:t>
      </w:r>
      <w:r w:rsidR="00DC55B2" w:rsidRPr="003817FE">
        <w:rPr>
          <w:rFonts w:ascii="Times New Roman" w:hAnsi="Times New Roman"/>
          <w:sz w:val="22"/>
          <w:szCs w:val="22"/>
        </w:rPr>
        <w:t>Perlinring</w:t>
      </w:r>
      <w:r w:rsidR="00DC55B2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 xml:space="preserve">je kontraindikovaný,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jeden závažný alebo</w:t>
      </w:r>
      <w:r>
        <w:rPr>
          <w:rFonts w:ascii="Times New Roman" w:hAnsi="Times New Roman"/>
          <w:sz w:val="22"/>
          <w:szCs w:val="22"/>
        </w:rPr>
        <w:t xml:space="preserve"> viacero rizikových faktorov vzniku</w:t>
      </w:r>
      <w:r w:rsidRPr="00933EEF">
        <w:rPr>
          <w:rFonts w:ascii="Times New Roman" w:hAnsi="Times New Roman"/>
          <w:sz w:val="22"/>
          <w:szCs w:val="22"/>
        </w:rPr>
        <w:t xml:space="preserve"> ATE, ktoré ju vystavujú vysokému riziku </w:t>
      </w:r>
      <w:r>
        <w:rPr>
          <w:rFonts w:ascii="Times New Roman" w:hAnsi="Times New Roman"/>
          <w:sz w:val="22"/>
          <w:szCs w:val="22"/>
        </w:rPr>
        <w:t xml:space="preserve">vzniku </w:t>
      </w:r>
      <w:r w:rsidRPr="00933EEF">
        <w:rPr>
          <w:rFonts w:ascii="Times New Roman" w:hAnsi="Times New Roman"/>
          <w:sz w:val="22"/>
          <w:szCs w:val="22"/>
        </w:rPr>
        <w:t>arteriálnej trombóz</w:t>
      </w:r>
      <w:r>
        <w:rPr>
          <w:rFonts w:ascii="Times New Roman" w:hAnsi="Times New Roman"/>
          <w:sz w:val="22"/>
          <w:szCs w:val="22"/>
        </w:rPr>
        <w:t>y (pozri časť 4.3). Ak má žena</w:t>
      </w:r>
      <w:r w:rsidRPr="00933EEF">
        <w:rPr>
          <w:rFonts w:ascii="Times New Roman" w:hAnsi="Times New Roman"/>
          <w:sz w:val="22"/>
          <w:szCs w:val="22"/>
        </w:rPr>
        <w:t xml:space="preserve"> viac </w:t>
      </w:r>
      <w:r w:rsidR="00E2416B">
        <w:rPr>
          <w:rFonts w:ascii="Times New Roman" w:hAnsi="Times New Roman"/>
          <w:sz w:val="22"/>
          <w:szCs w:val="22"/>
        </w:rPr>
        <w:t xml:space="preserve">ako jeden rizikový faktor, </w:t>
      </w:r>
      <w:r w:rsidRPr="00933EEF">
        <w:rPr>
          <w:rFonts w:ascii="Times New Roman" w:hAnsi="Times New Roman"/>
          <w:sz w:val="22"/>
          <w:szCs w:val="22"/>
        </w:rPr>
        <w:t xml:space="preserve">zvýšenie rizika </w:t>
      </w:r>
      <w:r>
        <w:rPr>
          <w:rFonts w:ascii="Times New Roman" w:hAnsi="Times New Roman"/>
          <w:sz w:val="22"/>
          <w:szCs w:val="22"/>
        </w:rPr>
        <w:t>môže byť väčšie než</w:t>
      </w:r>
      <w:r w:rsidRPr="00933EEF">
        <w:rPr>
          <w:rFonts w:ascii="Times New Roman" w:hAnsi="Times New Roman"/>
          <w:sz w:val="22"/>
          <w:szCs w:val="22"/>
        </w:rPr>
        <w:t xml:space="preserve"> súčet jednotlivých faktorov – v t</w:t>
      </w:r>
      <w:r>
        <w:rPr>
          <w:rFonts w:ascii="Times New Roman" w:hAnsi="Times New Roman"/>
          <w:sz w:val="22"/>
          <w:szCs w:val="22"/>
        </w:rPr>
        <w:t>ak</w:t>
      </w:r>
      <w:r w:rsidR="00E2416B">
        <w:rPr>
          <w:rFonts w:ascii="Times New Roman" w:hAnsi="Times New Roman"/>
          <w:sz w:val="22"/>
          <w:szCs w:val="22"/>
        </w:rPr>
        <w:t xml:space="preserve">omto prípade sa má zvážiť </w:t>
      </w:r>
      <w:r w:rsidRPr="00933EEF">
        <w:rPr>
          <w:rFonts w:ascii="Times New Roman" w:hAnsi="Times New Roman"/>
          <w:sz w:val="22"/>
          <w:szCs w:val="22"/>
        </w:rPr>
        <w:t>celkové riziko. Ak sa pomer prínosov a rizík považuje za negatívny, CHC sa nemá predpisovať (pozri časť 4.3).</w:t>
      </w:r>
    </w:p>
    <w:p w14:paraId="1C253AF6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B53A58A" w14:textId="77777777" w:rsidR="00C627EB" w:rsidRPr="00E2416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2416B">
        <w:rPr>
          <w:rFonts w:ascii="Times New Roman" w:hAnsi="Times New Roman"/>
          <w:bCs/>
          <w:sz w:val="22"/>
          <w:szCs w:val="22"/>
        </w:rPr>
        <w:t>Tabuľka: Rizikové faktory pre vznik 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2"/>
        <w:gridCol w:w="4644"/>
      </w:tblGrid>
      <w:tr w:rsidR="00C627EB" w:rsidRPr="00933EEF" w14:paraId="44CB711E" w14:textId="77777777" w:rsidTr="00313EF1">
        <w:trPr>
          <w:cantSplit/>
        </w:trPr>
        <w:tc>
          <w:tcPr>
            <w:tcW w:w="4643" w:type="dxa"/>
          </w:tcPr>
          <w:p w14:paraId="3302857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14:paraId="02C7C489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C627EB" w:rsidRPr="00933EEF" w14:paraId="17E2ED33" w14:textId="77777777" w:rsidTr="00313EF1">
        <w:trPr>
          <w:cantSplit/>
        </w:trPr>
        <w:tc>
          <w:tcPr>
            <w:tcW w:w="4643" w:type="dxa"/>
          </w:tcPr>
          <w:p w14:paraId="4BBF725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14:paraId="0A91D69D" w14:textId="77777777" w:rsidR="00C627EB" w:rsidRPr="00933EEF" w:rsidRDefault="00C627EB" w:rsidP="00E6095C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</w:tc>
      </w:tr>
      <w:tr w:rsidR="00C627EB" w:rsidRPr="00933EEF" w14:paraId="25B81FB1" w14:textId="77777777" w:rsidTr="00313EF1">
        <w:trPr>
          <w:cantSplit/>
        </w:trPr>
        <w:tc>
          <w:tcPr>
            <w:tcW w:w="4643" w:type="dxa"/>
          </w:tcPr>
          <w:p w14:paraId="77B27EC9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Fajčenie</w:t>
            </w:r>
          </w:p>
        </w:tc>
        <w:tc>
          <w:tcPr>
            <w:tcW w:w="4644" w:type="dxa"/>
          </w:tcPr>
          <w:p w14:paraId="15B6ED3E" w14:textId="77777777" w:rsidR="00C627EB" w:rsidRPr="00933EEF" w:rsidRDefault="00C627EB" w:rsidP="004F5F1C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Ženám sa má odporučiť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aby nefajčili, ak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chcú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používať CHC. Ženám vo veku nad 35 rokov, ktoré </w:t>
            </w:r>
            <w:r>
              <w:rPr>
                <w:rFonts w:ascii="Times New Roman" w:hAnsi="Times New Roman"/>
                <w:sz w:val="22"/>
                <w:szCs w:val="22"/>
              </w:rPr>
              <w:t>pokračujú vo fajčení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, sa má dôrazne odporučiť, aby používali in</w:t>
            </w:r>
            <w:r w:rsidR="00E2416B">
              <w:rPr>
                <w:rFonts w:ascii="Times New Roman" w:hAnsi="Times New Roman"/>
                <w:sz w:val="22"/>
                <w:szCs w:val="22"/>
              </w:rPr>
              <w:t>ú metódu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antikoncepcie.</w:t>
            </w:r>
          </w:p>
        </w:tc>
      </w:tr>
      <w:tr w:rsidR="00C627EB" w:rsidRPr="00933EEF" w14:paraId="5DC1AC80" w14:textId="77777777" w:rsidTr="00313EF1">
        <w:trPr>
          <w:cantSplit/>
        </w:trPr>
        <w:tc>
          <w:tcPr>
            <w:tcW w:w="4643" w:type="dxa"/>
          </w:tcPr>
          <w:p w14:paraId="23A49DAC" w14:textId="77777777" w:rsidR="00C627EB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Hypertenzia</w:t>
            </w:r>
          </w:p>
          <w:p w14:paraId="7D419730" w14:textId="77777777"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5852061F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933EEF" w14:paraId="634236D2" w14:textId="77777777" w:rsidTr="00313EF1">
        <w:trPr>
          <w:cantSplit/>
        </w:trPr>
        <w:tc>
          <w:tcPr>
            <w:tcW w:w="4643" w:type="dxa"/>
          </w:tcPr>
          <w:p w14:paraId="6A039126" w14:textId="77777777" w:rsidR="00C627EB" w:rsidRPr="00933EEF" w:rsidRDefault="00C627EB" w:rsidP="001434ED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Obezita (index telesnej hmotnosti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nad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14:paraId="25E4592A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Riziko sa 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14:paraId="443D6B7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14:paraId="03515BFA" w14:textId="77777777" w:rsidR="00C627EB" w:rsidRPr="00933EEF" w:rsidRDefault="00C627EB" w:rsidP="00DA20D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 je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dôležité </w:t>
            </w:r>
            <w:r>
              <w:rPr>
                <w:rFonts w:ascii="Times New Roman" w:hAnsi="Times New Roman"/>
                <w:sz w:val="22"/>
                <w:szCs w:val="22"/>
              </w:rPr>
              <w:t>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u žien s ďalšími rizikovými faktormi.</w:t>
            </w:r>
          </w:p>
        </w:tc>
      </w:tr>
      <w:tr w:rsidR="00C627EB" w:rsidRPr="00933EEF" w14:paraId="637BDBC3" w14:textId="77777777" w:rsidTr="00313EF1">
        <w:trPr>
          <w:cantSplit/>
        </w:trPr>
        <w:tc>
          <w:tcPr>
            <w:tcW w:w="4643" w:type="dxa"/>
          </w:tcPr>
          <w:p w14:paraId="7E3E0E8C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>akýkoľvek výskyt arteriálnej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tr</w:t>
            </w:r>
            <w:r>
              <w:rPr>
                <w:rFonts w:ascii="Times New Roman" w:hAnsi="Times New Roman"/>
                <w:sz w:val="22"/>
                <w:szCs w:val="22"/>
              </w:rPr>
              <w:t>omboembólie u súrodenca alebo rodiča, najmä v relatívne mladom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veku, napr. do 50 rokov)</w:t>
            </w:r>
          </w:p>
        </w:tc>
        <w:tc>
          <w:tcPr>
            <w:tcW w:w="4644" w:type="dxa"/>
          </w:tcPr>
          <w:p w14:paraId="2DC11629" w14:textId="77777777" w:rsidR="00C627EB" w:rsidRPr="00933EEF" w:rsidRDefault="00C627EB" w:rsidP="006C6D3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A67E25">
              <w:rPr>
                <w:rFonts w:ascii="Times New Roman" w:hAnsi="Times New Roman"/>
                <w:sz w:val="22"/>
                <w:szCs w:val="22"/>
              </w:rPr>
              <w:t>Ak existuje podozrenie na dedičnú predispozíciu, ženu musí pred rozhodnutím o používaní ľubovoľnej CHC vyšetriť odborný lekár.</w:t>
            </w:r>
          </w:p>
        </w:tc>
      </w:tr>
      <w:tr w:rsidR="00C627EB" w:rsidRPr="00933EEF" w14:paraId="6C4B1DD2" w14:textId="77777777" w:rsidTr="00313EF1">
        <w:trPr>
          <w:cantSplit/>
        </w:trPr>
        <w:tc>
          <w:tcPr>
            <w:tcW w:w="4643" w:type="dxa"/>
          </w:tcPr>
          <w:p w14:paraId="21AAC2E0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Migréna</w:t>
            </w:r>
          </w:p>
          <w:p w14:paraId="2F02C898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18D6320F" w14:textId="77777777" w:rsidR="00C627EB" w:rsidRPr="00933EEF" w:rsidRDefault="00C627EB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Zvýšenie frekvencie alebo závažnosti migrény </w:t>
            </w:r>
            <w:r>
              <w:rPr>
                <w:rFonts w:ascii="Times New Roman" w:hAnsi="Times New Roman"/>
                <w:sz w:val="22"/>
                <w:szCs w:val="22"/>
              </w:rPr>
              <w:t>v priebehu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používania CHC (</w:t>
            </w:r>
            <w:r>
              <w:rPr>
                <w:rFonts w:ascii="Times New Roman" w:hAnsi="Times New Roman"/>
                <w:sz w:val="22"/>
                <w:szCs w:val="22"/>
              </w:rPr>
              <w:t>čo môžu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r>
              <w:rPr>
                <w:rFonts w:ascii="Times New Roman" w:hAnsi="Times New Roman"/>
                <w:sz w:val="22"/>
                <w:szCs w:val="22"/>
              </w:rPr>
              <w:t>skoré príznaky cievnej mozgovej príhody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môže byť dôvodom na okamžité prerušenie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používania lieku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C627EB" w:rsidRPr="00933EEF" w14:paraId="6B0F50BC" w14:textId="77777777" w:rsidTr="00313EF1">
        <w:trPr>
          <w:cantSplit/>
        </w:trPr>
        <w:tc>
          <w:tcPr>
            <w:tcW w:w="4643" w:type="dxa"/>
          </w:tcPr>
          <w:p w14:paraId="18C40038" w14:textId="77777777" w:rsidR="00C627EB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Ďalšie zdravotné stavy spojené s ne</w:t>
            </w:r>
            <w:r>
              <w:rPr>
                <w:rFonts w:ascii="Times New Roman" w:hAnsi="Times New Roman"/>
                <w:sz w:val="22"/>
                <w:szCs w:val="22"/>
              </w:rPr>
              <w:t>žiaducimi vaskulárnymi udalosťami</w:t>
            </w:r>
          </w:p>
          <w:p w14:paraId="324932CB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14:paraId="3D2E7667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Diabetes mellitus, hyperhomocysteinémia,</w:t>
            </w:r>
          </w:p>
          <w:p w14:paraId="3A813365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ochorenie srdcových chlopní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atriálna fibrilácia,</w:t>
            </w:r>
          </w:p>
          <w:p w14:paraId="099D8BB4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dyslipoproteinémia a systémový lupus</w:t>
            </w:r>
          </w:p>
          <w:p w14:paraId="7C051BFA" w14:textId="77777777" w:rsidR="00C627EB" w:rsidRPr="00933EEF" w:rsidRDefault="00C627EB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14:paraId="45993382" w14:textId="77777777" w:rsidR="00C627EB" w:rsidRDefault="00C627EB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E71175">
        <w:rPr>
          <w:rFonts w:ascii="Times New Roman" w:hAnsi="Times New Roman"/>
          <w:sz w:val="22"/>
          <w:szCs w:val="22"/>
          <w:u w:val="single"/>
        </w:rPr>
        <w:t>Príznaky ATE</w:t>
      </w:r>
    </w:p>
    <w:p w14:paraId="2159DBC5" w14:textId="77777777" w:rsidR="00E71175" w:rsidRPr="00E71175" w:rsidRDefault="00E71175" w:rsidP="009E3052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</w:p>
    <w:p w14:paraId="0F50CA5E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 prípade</w:t>
      </w:r>
      <w:r w:rsidRPr="00933EEF">
        <w:rPr>
          <w:rFonts w:ascii="Times New Roman" w:hAnsi="Times New Roman"/>
          <w:sz w:val="22"/>
          <w:szCs w:val="22"/>
        </w:rPr>
        <w:t xml:space="preserve"> príznakov </w:t>
      </w:r>
      <w:r>
        <w:rPr>
          <w:rFonts w:ascii="Times New Roman" w:hAnsi="Times New Roman"/>
          <w:sz w:val="22"/>
          <w:szCs w:val="22"/>
        </w:rPr>
        <w:t xml:space="preserve">sa má žene odporučiť, aby bezodkladne </w:t>
      </w:r>
      <w:r w:rsidRPr="00933EEF">
        <w:rPr>
          <w:rFonts w:ascii="Times New Roman" w:hAnsi="Times New Roman"/>
          <w:sz w:val="22"/>
          <w:szCs w:val="22"/>
        </w:rPr>
        <w:t xml:space="preserve">vyhľadala lekársku pomoc a informovala </w:t>
      </w:r>
      <w:r>
        <w:rPr>
          <w:rFonts w:ascii="Times New Roman" w:hAnsi="Times New Roman"/>
          <w:sz w:val="22"/>
          <w:szCs w:val="22"/>
        </w:rPr>
        <w:t>zdravotníckeho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14:paraId="29703BA9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1AD8F1F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 w:rsidR="00951EED">
        <w:rPr>
          <w:rFonts w:ascii="Times New Roman" w:hAnsi="Times New Roman"/>
          <w:sz w:val="22"/>
          <w:szCs w:val="22"/>
        </w:rPr>
        <w:t>cerebrovaskulárnej</w:t>
      </w:r>
      <w:r>
        <w:rPr>
          <w:rFonts w:ascii="Times New Roman" w:hAnsi="Times New Roman"/>
          <w:sz w:val="22"/>
          <w:szCs w:val="22"/>
        </w:rPr>
        <w:t xml:space="preserve"> príhody</w:t>
      </w:r>
      <w:r w:rsidRPr="00933EEF">
        <w:rPr>
          <w:rFonts w:ascii="Times New Roman" w:hAnsi="Times New Roman"/>
          <w:sz w:val="22"/>
          <w:szCs w:val="22"/>
        </w:rPr>
        <w:t xml:space="preserve"> môžu zahŕňať:</w:t>
      </w:r>
    </w:p>
    <w:p w14:paraId="0A58721B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E1E211D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náhl</w:t>
      </w:r>
      <w:r>
        <w:rPr>
          <w:rFonts w:ascii="Times New Roman" w:hAnsi="Times New Roman"/>
          <w:sz w:val="22"/>
          <w:szCs w:val="22"/>
        </w:rPr>
        <w:t>a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strata </w:t>
      </w:r>
      <w:r w:rsidRPr="00933EEF">
        <w:rPr>
          <w:rFonts w:ascii="Times New Roman" w:hAnsi="Times New Roman"/>
          <w:sz w:val="22"/>
          <w:szCs w:val="22"/>
        </w:rPr>
        <w:t>citliv</w:t>
      </w:r>
      <w:r>
        <w:rPr>
          <w:rFonts w:ascii="Times New Roman" w:hAnsi="Times New Roman"/>
          <w:sz w:val="22"/>
          <w:szCs w:val="22"/>
        </w:rPr>
        <w:t>osti</w:t>
      </w:r>
      <w:r w:rsidRPr="00933EEF">
        <w:rPr>
          <w:rFonts w:ascii="Times New Roman" w:hAnsi="Times New Roman"/>
          <w:sz w:val="22"/>
          <w:szCs w:val="22"/>
        </w:rPr>
        <w:t xml:space="preserve"> alebo slabosť tváre, ruky alebo nohy, najmä na jednej strane tela;</w:t>
      </w:r>
    </w:p>
    <w:p w14:paraId="64E95549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 s chôdzou, závrat, strata</w:t>
      </w:r>
      <w:r w:rsidRPr="00933EEF">
        <w:rPr>
          <w:rFonts w:ascii="Times New Roman" w:hAnsi="Times New Roman"/>
          <w:sz w:val="22"/>
          <w:szCs w:val="22"/>
        </w:rPr>
        <w:t xml:space="preserve"> rovnováhy alebo koordinácie;</w:t>
      </w:r>
    </w:p>
    <w:p w14:paraId="6679C62E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</w:t>
      </w:r>
      <w:r w:rsidRPr="00933EEF">
        <w:rPr>
          <w:rFonts w:ascii="Times New Roman" w:hAnsi="Times New Roman"/>
          <w:sz w:val="22"/>
          <w:szCs w:val="22"/>
        </w:rPr>
        <w:t xml:space="preserve"> zmätenosť,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 rečou alebo </w:t>
      </w:r>
      <w:r>
        <w:rPr>
          <w:rFonts w:ascii="Times New Roman" w:hAnsi="Times New Roman"/>
          <w:sz w:val="22"/>
          <w:szCs w:val="22"/>
        </w:rPr>
        <w:t xml:space="preserve">jej </w:t>
      </w:r>
      <w:r w:rsidRPr="00933EEF">
        <w:rPr>
          <w:rFonts w:ascii="Times New Roman" w:hAnsi="Times New Roman"/>
          <w:sz w:val="22"/>
          <w:szCs w:val="22"/>
        </w:rPr>
        <w:t>porozumením;</w:t>
      </w:r>
    </w:p>
    <w:p w14:paraId="68B4CBCB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 w:rsidR="00951EED">
        <w:rPr>
          <w:rFonts w:ascii="Times New Roman" w:hAnsi="Times New Roman"/>
          <w:sz w:val="22"/>
          <w:szCs w:val="22"/>
        </w:rPr>
        <w:t>videnia</w:t>
      </w:r>
      <w:r w:rsidRPr="00933EE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v jednom alebo oboch očiach</w:t>
      </w:r>
      <w:r w:rsidRPr="00933EEF">
        <w:rPr>
          <w:rFonts w:ascii="Times New Roman" w:hAnsi="Times New Roman"/>
          <w:sz w:val="22"/>
          <w:szCs w:val="22"/>
        </w:rPr>
        <w:t>;</w:t>
      </w:r>
    </w:p>
    <w:p w14:paraId="7AFB18F6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náhla, závažná alebo dlhodobá</w:t>
      </w:r>
      <w:r w:rsidRPr="00933EEF">
        <w:rPr>
          <w:rFonts w:ascii="Times New Roman" w:hAnsi="Times New Roman"/>
          <w:sz w:val="22"/>
          <w:szCs w:val="22"/>
        </w:rPr>
        <w:t xml:space="preserve"> bolesť hlavy bez známej príčiny;</w:t>
      </w:r>
    </w:p>
    <w:p w14:paraId="0DF99CFE" w14:textId="77777777" w:rsidR="00C627EB" w:rsidRPr="00933EEF" w:rsidRDefault="00C627EB" w:rsidP="00C06F8A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strata vedomia alebo mdloba</w:t>
      </w:r>
      <w:r w:rsidRPr="00933EEF">
        <w:rPr>
          <w:rFonts w:ascii="Times New Roman" w:hAnsi="Times New Roman"/>
          <w:sz w:val="22"/>
          <w:szCs w:val="22"/>
        </w:rPr>
        <w:t xml:space="preserve"> so záchvatom alebo bez neho.</w:t>
      </w:r>
    </w:p>
    <w:p w14:paraId="3C08670F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966796D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Dočasn</w:t>
      </w:r>
      <w:r>
        <w:rPr>
          <w:rFonts w:ascii="Times New Roman" w:hAnsi="Times New Roman"/>
          <w:sz w:val="22"/>
          <w:szCs w:val="22"/>
        </w:rPr>
        <w:t>é príznaky naznačujú, že udalosťou je prechodný ischemický záchvat</w:t>
      </w:r>
      <w:r w:rsidRPr="00933EEF">
        <w:rPr>
          <w:rFonts w:ascii="Times New Roman" w:hAnsi="Times New Roman"/>
          <w:sz w:val="22"/>
          <w:szCs w:val="22"/>
        </w:rPr>
        <w:t xml:space="preserve"> (</w:t>
      </w:r>
      <w:r w:rsidR="00231652">
        <w:rPr>
          <w:rFonts w:ascii="Times New Roman" w:hAnsi="Times New Roman"/>
          <w:sz w:val="22"/>
          <w:szCs w:val="22"/>
        </w:rPr>
        <w:t xml:space="preserve">z angl. transient ischaemic attack </w:t>
      </w:r>
      <w:r w:rsidRPr="00933EEF">
        <w:rPr>
          <w:rFonts w:ascii="Times New Roman" w:hAnsi="Times New Roman"/>
          <w:sz w:val="22"/>
          <w:szCs w:val="22"/>
        </w:rPr>
        <w:t>TIA).</w:t>
      </w:r>
    </w:p>
    <w:p w14:paraId="5B4D0F4E" w14:textId="77777777" w:rsidR="00C627EB" w:rsidRPr="00933EEF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65112D5" w14:textId="77777777" w:rsidR="00C627EB" w:rsidRDefault="00C627EB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Príznaky infarktu myokardu (</w:t>
      </w:r>
      <w:r w:rsidRPr="00933EEF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I</w:t>
      </w:r>
      <w:r w:rsidRPr="00933EEF">
        <w:rPr>
          <w:rFonts w:ascii="Times New Roman" w:hAnsi="Times New Roman"/>
          <w:sz w:val="22"/>
          <w:szCs w:val="22"/>
        </w:rPr>
        <w:t>) môžu zahŕňať:</w:t>
      </w:r>
    </w:p>
    <w:p w14:paraId="5F4C33A5" w14:textId="77777777" w:rsidR="00951EED" w:rsidRPr="00933EEF" w:rsidRDefault="00951EED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966189C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bolesť, nepohodlie, tlak, ťažoba</w:t>
      </w:r>
      <w:r w:rsidRPr="00933EEF">
        <w:rPr>
          <w:rFonts w:ascii="Times New Roman" w:hAnsi="Times New Roman"/>
          <w:sz w:val="22"/>
          <w:szCs w:val="22"/>
        </w:rPr>
        <w:t xml:space="preserve">, pocit </w:t>
      </w:r>
      <w:r>
        <w:rPr>
          <w:rFonts w:ascii="Times New Roman" w:hAnsi="Times New Roman"/>
          <w:sz w:val="22"/>
          <w:szCs w:val="22"/>
        </w:rPr>
        <w:t>stláčania alebo plnosti v hrudi</w:t>
      </w:r>
      <w:r w:rsidRPr="00933EEF">
        <w:rPr>
          <w:rFonts w:ascii="Times New Roman" w:hAnsi="Times New Roman"/>
          <w:sz w:val="22"/>
          <w:szCs w:val="22"/>
        </w:rPr>
        <w:t>, ruke alebo pod hrudnou kosťou;</w:t>
      </w:r>
    </w:p>
    <w:p w14:paraId="2CCAE014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nepohodlie vyžarujúce do chrbta, čeľuste, hrdla, ruky, žalúdka;</w:t>
      </w:r>
    </w:p>
    <w:p w14:paraId="7E033D13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pocit plnosti, </w:t>
      </w:r>
      <w:r>
        <w:rPr>
          <w:rFonts w:ascii="Times New Roman" w:hAnsi="Times New Roman"/>
          <w:sz w:val="22"/>
          <w:szCs w:val="22"/>
        </w:rPr>
        <w:t>zažívacích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problémov</w:t>
      </w:r>
      <w:r w:rsidRPr="00933EEF">
        <w:rPr>
          <w:rFonts w:ascii="Times New Roman" w:hAnsi="Times New Roman"/>
          <w:sz w:val="22"/>
          <w:szCs w:val="22"/>
        </w:rPr>
        <w:t xml:space="preserve"> alebo dusenia sa;</w:t>
      </w:r>
    </w:p>
    <w:p w14:paraId="5D4AEBA0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potenie, nevoľnosť, vracanie alebo závrat;</w:t>
      </w:r>
    </w:p>
    <w:p w14:paraId="1E3E3E5B" w14:textId="77777777" w:rsidR="00C627EB" w:rsidRPr="00933EEF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extrémna</w:t>
      </w:r>
      <w:r w:rsidRPr="00933EEF">
        <w:rPr>
          <w:rFonts w:ascii="Times New Roman" w:hAnsi="Times New Roman"/>
          <w:sz w:val="22"/>
          <w:szCs w:val="22"/>
        </w:rPr>
        <w:t xml:space="preserve"> slabosť, úzkosť alebo dýchavičnosť;</w:t>
      </w:r>
    </w:p>
    <w:p w14:paraId="54EAEBBE" w14:textId="77777777" w:rsidR="00C627EB" w:rsidRDefault="00C627EB" w:rsidP="00704402">
      <w:pPr>
        <w:numPr>
          <w:ilvl w:val="0"/>
          <w:numId w:val="8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14:paraId="5362CB30" w14:textId="77777777" w:rsidR="00650E1A" w:rsidRPr="00933EEF" w:rsidRDefault="00650E1A" w:rsidP="00650E1A">
      <w:pPr>
        <w:tabs>
          <w:tab w:val="left" w:pos="1134"/>
        </w:tabs>
        <w:adjustRightInd w:val="0"/>
        <w:snapToGrid w:val="0"/>
        <w:ind w:left="1134"/>
        <w:rPr>
          <w:rFonts w:ascii="Times New Roman" w:hAnsi="Times New Roman"/>
          <w:sz w:val="22"/>
          <w:szCs w:val="22"/>
        </w:rPr>
      </w:pPr>
    </w:p>
    <w:p w14:paraId="1019D140" w14:textId="77777777" w:rsidR="00C627EB" w:rsidRPr="000F7489" w:rsidRDefault="00C627EB" w:rsidP="00650E1A">
      <w:pPr>
        <w:tabs>
          <w:tab w:val="left" w:pos="0"/>
        </w:tabs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 prípade podozrenia alebo potvrdenia </w:t>
      </w:r>
      <w:r>
        <w:rPr>
          <w:rFonts w:ascii="Times New Roman" w:hAnsi="Times New Roman"/>
          <w:sz w:val="22"/>
          <w:szCs w:val="22"/>
        </w:rPr>
        <w:t>VTE alebo ATE</w:t>
      </w:r>
      <w:r w:rsidRPr="000F7489">
        <w:rPr>
          <w:rFonts w:ascii="Times New Roman" w:hAnsi="Times New Roman"/>
          <w:sz w:val="22"/>
          <w:szCs w:val="22"/>
        </w:rPr>
        <w:t xml:space="preserve"> sa musí </w:t>
      </w:r>
      <w:r>
        <w:rPr>
          <w:rFonts w:ascii="Times New Roman" w:hAnsi="Times New Roman"/>
          <w:sz w:val="22"/>
          <w:szCs w:val="22"/>
        </w:rPr>
        <w:t>po</w:t>
      </w:r>
      <w:r w:rsidRPr="000F7489">
        <w:rPr>
          <w:rFonts w:ascii="Times New Roman" w:hAnsi="Times New Roman"/>
          <w:sz w:val="22"/>
          <w:szCs w:val="22"/>
        </w:rPr>
        <w:t xml:space="preserve">užívanie CHC ukončiť. Pre teratogénne účinky liečby antikoagulanciami (kumaríny) sa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začať s používaním vhodnej kontracepcie.</w:t>
      </w:r>
    </w:p>
    <w:p w14:paraId="497D2B70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1F84173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3E2A10">
        <w:rPr>
          <w:rFonts w:ascii="Times New Roman" w:hAnsi="Times New Roman"/>
          <w:sz w:val="22"/>
          <w:szCs w:val="22"/>
        </w:rPr>
        <w:t>2.</w:t>
      </w:r>
      <w:r w:rsidRPr="000F7489">
        <w:rPr>
          <w:rFonts w:ascii="Times New Roman" w:hAnsi="Times New Roman"/>
          <w:i/>
          <w:sz w:val="22"/>
          <w:szCs w:val="22"/>
        </w:rPr>
        <w:tab/>
      </w:r>
      <w:r w:rsidRPr="00650E1A">
        <w:rPr>
          <w:rFonts w:ascii="Times New Roman" w:hAnsi="Times New Roman"/>
          <w:sz w:val="22"/>
          <w:szCs w:val="22"/>
        </w:rPr>
        <w:t>Nádory</w:t>
      </w:r>
    </w:p>
    <w:p w14:paraId="0BF3C9D9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</w:p>
    <w:p w14:paraId="229340FB" w14:textId="77777777" w:rsidR="00C627EB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Epidemiologické</w:t>
      </w:r>
      <w:r w:rsidRPr="002D13C6">
        <w:rPr>
          <w:rFonts w:ascii="Times New Roman" w:hAnsi="Times New Roman"/>
          <w:sz w:val="22"/>
          <w:szCs w:val="22"/>
        </w:rPr>
        <w:t xml:space="preserve"> štúdie naznačujú, že dlhodobé užívanie peroráln</w:t>
      </w:r>
      <w:r w:rsidRPr="00FC4918">
        <w:rPr>
          <w:rFonts w:ascii="Times New Roman" w:hAnsi="Times New Roman"/>
          <w:sz w:val="22"/>
          <w:szCs w:val="22"/>
        </w:rPr>
        <w:t>ych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r w:rsidRPr="00972BE7">
        <w:rPr>
          <w:rFonts w:ascii="Times New Roman" w:hAnsi="Times New Roman"/>
          <w:sz w:val="22"/>
          <w:szCs w:val="22"/>
        </w:rPr>
        <w:t>kon</w:t>
      </w:r>
      <w:r w:rsidRPr="005830EC">
        <w:rPr>
          <w:rFonts w:ascii="Times New Roman" w:hAnsi="Times New Roman"/>
          <w:sz w:val="22"/>
          <w:szCs w:val="22"/>
        </w:rPr>
        <w:t xml:space="preserve">traceptív predstavuje rizikový faktor pre vznik rakoviny krčka maternice u žien infikovaných ľudským papilomavírusom (HPV). Stále však pretrváva </w:t>
      </w:r>
      <w:r w:rsidRPr="00EC5AC4">
        <w:rPr>
          <w:rFonts w:ascii="Times New Roman" w:hAnsi="Times New Roman"/>
          <w:sz w:val="22"/>
          <w:szCs w:val="22"/>
        </w:rPr>
        <w:t>neistota</w:t>
      </w:r>
      <w:r w:rsidRPr="00226C8F">
        <w:rPr>
          <w:rFonts w:ascii="Times New Roman" w:hAnsi="Times New Roman"/>
          <w:sz w:val="22"/>
          <w:szCs w:val="22"/>
        </w:rPr>
        <w:t xml:space="preserve"> o rozsahu, v akom sú tieto nálezy ovplyvnené sprievodnými účinkami (napr. rozdiely v počte sexuálnych partnerov alebo v používaní bariérových kontraceptív). K dispozícii nie sú žiadne epidemiologické údaje o riziku pre vznik rakoviny krčka maternice u žien, ktoré používajú </w:t>
      </w:r>
      <w:r w:rsidR="00EA7F01" w:rsidRPr="003817FE">
        <w:rPr>
          <w:rFonts w:ascii="Times New Roman" w:hAnsi="Times New Roman"/>
          <w:sz w:val="22"/>
          <w:szCs w:val="22"/>
        </w:rPr>
        <w:t>Perlinring</w:t>
      </w:r>
      <w:r w:rsidR="00EA7F01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226C8F">
        <w:rPr>
          <w:rFonts w:ascii="Times New Roman" w:hAnsi="Times New Roman"/>
          <w:sz w:val="22"/>
          <w:szCs w:val="22"/>
        </w:rPr>
        <w:t>(pozri „</w:t>
      </w:r>
      <w:r w:rsidR="003E2A10">
        <w:rPr>
          <w:rFonts w:ascii="Times New Roman" w:hAnsi="Times New Roman"/>
          <w:sz w:val="22"/>
          <w:szCs w:val="22"/>
        </w:rPr>
        <w:t>lekárske vyšetrenie</w:t>
      </w:r>
      <w:r w:rsidRPr="00226C8F">
        <w:rPr>
          <w:rFonts w:ascii="Times New Roman" w:hAnsi="Times New Roman"/>
          <w:sz w:val="22"/>
          <w:szCs w:val="22"/>
        </w:rPr>
        <w:t>/</w:t>
      </w:r>
      <w:r w:rsidR="003E2A10">
        <w:rPr>
          <w:rFonts w:ascii="Times New Roman" w:hAnsi="Times New Roman"/>
          <w:sz w:val="22"/>
          <w:szCs w:val="22"/>
        </w:rPr>
        <w:t>konzultácia</w:t>
      </w:r>
      <w:r w:rsidRPr="00226C8F">
        <w:rPr>
          <w:rFonts w:ascii="Times New Roman" w:hAnsi="Times New Roman"/>
          <w:sz w:val="22"/>
          <w:szCs w:val="22"/>
        </w:rPr>
        <w:t>“).</w:t>
      </w:r>
    </w:p>
    <w:p w14:paraId="0630AB0A" w14:textId="77777777" w:rsidR="003E2A10" w:rsidRPr="004D56DF" w:rsidRDefault="003E2A10" w:rsidP="003E2A10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141E478C" w14:textId="77777777" w:rsidR="00C627EB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V metaanalýz</w:t>
      </w:r>
      <w:r w:rsidRPr="00FC4918">
        <w:rPr>
          <w:rFonts w:ascii="Times New Roman" w:hAnsi="Times New Roman"/>
          <w:sz w:val="22"/>
          <w:szCs w:val="22"/>
        </w:rPr>
        <w:t>e</w:t>
      </w:r>
      <w:r w:rsidRPr="000C1AEE">
        <w:rPr>
          <w:rFonts w:ascii="Times New Roman" w:hAnsi="Times New Roman"/>
          <w:sz w:val="22"/>
          <w:szCs w:val="22"/>
        </w:rPr>
        <w:t xml:space="preserve"> 54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epidemiologických štúdií sa hlásilo, že existuje mierne zvýšené relatívne riziko (RR = 1,24) diagnostikovania rakoviny prsníka u </w:t>
      </w:r>
      <w:r w:rsidRPr="00EC5AC4">
        <w:rPr>
          <w:rFonts w:ascii="Times New Roman" w:hAnsi="Times New Roman"/>
          <w:sz w:val="22"/>
          <w:szCs w:val="22"/>
        </w:rPr>
        <w:t>žien</w:t>
      </w:r>
      <w:r w:rsidRPr="00226C8F">
        <w:rPr>
          <w:rFonts w:ascii="Times New Roman" w:hAnsi="Times New Roman"/>
          <w:sz w:val="22"/>
          <w:szCs w:val="22"/>
        </w:rPr>
        <w:t xml:space="preserve">, ktoré v súčasnosti užívajú </w:t>
      </w:r>
      <w:r w:rsidR="00C84296">
        <w:rPr>
          <w:rFonts w:ascii="Times New Roman" w:hAnsi="Times New Roman"/>
          <w:sz w:val="22"/>
          <w:szCs w:val="22"/>
        </w:rPr>
        <w:t xml:space="preserve">kombinované perorálne kontraceptíva (z angl combined oral contraceptive </w:t>
      </w:r>
      <w:r w:rsidRPr="00226C8F">
        <w:rPr>
          <w:rFonts w:ascii="Times New Roman" w:hAnsi="Times New Roman"/>
          <w:sz w:val="22"/>
          <w:szCs w:val="22"/>
        </w:rPr>
        <w:t>COC</w:t>
      </w:r>
      <w:r w:rsidR="00C84296">
        <w:rPr>
          <w:rFonts w:ascii="Times New Roman" w:hAnsi="Times New Roman"/>
          <w:sz w:val="22"/>
          <w:szCs w:val="22"/>
        </w:rPr>
        <w:t>)</w:t>
      </w:r>
      <w:r w:rsidRPr="00226C8F">
        <w:rPr>
          <w:rFonts w:ascii="Times New Roman" w:hAnsi="Times New Roman"/>
          <w:sz w:val="22"/>
          <w:szCs w:val="22"/>
        </w:rPr>
        <w:t>. Zvýšené riziko sa postupne v priebehu 10 rokov po ukončení užívania COC stráca. Vzhľadom na to, že rakovina prsníka je u žien mladších ako 40 rokov zriedkavá, je zvýšený počet diagnóz rakoviny prsníka u žien, ktoré v súčasnosti užívajú alebo v nedávnej minulosti užívali COC, malý v porovnaní s celkovým rizikom pre vznik rakoviny prsníka. Rakoviny prsníka diagnostikované u žien, ktoré niekedy užívali COC, majú tendenciu byť menej klinicky pokročilé ako u žien, ktoré nikdy neužívali COC. Príčinou pozorovaného modelu zvýšeného rizika môže byť diagnóza rakoviny prsníka v skorom štádiu u žien užívajúcich COC, biologické účinky COC alebo kombinácia oboch.</w:t>
      </w:r>
    </w:p>
    <w:p w14:paraId="68AB8014" w14:textId="77777777" w:rsidR="003E2A10" w:rsidRPr="004D56DF" w:rsidRDefault="003E2A10" w:rsidP="003E2A10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65D5E47" w14:textId="77777777" w:rsidR="00C627EB" w:rsidRPr="000F7489" w:rsidRDefault="00C627EB" w:rsidP="00650E1A">
      <w:pPr>
        <w:numPr>
          <w:ilvl w:val="0"/>
          <w:numId w:val="24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žien užívajúcich COC sa v zriedkavých prípadoch hlásili benígne nádory pečene a ešte zriedkavejšie malígne nádory pečene. V ojedinelých prípadoch viedli tieto nádory k život ohrozujúcim krvácaniam do brucha. Preto sa má pri silnej bolesti v hornej časti brucha, zväčšení pečene alebo pri objavení sa znakov krvácania do brucha u žien používajúcich </w:t>
      </w:r>
      <w:r w:rsidR="007C79D5" w:rsidRPr="003817FE">
        <w:rPr>
          <w:rFonts w:ascii="Times New Roman" w:hAnsi="Times New Roman"/>
          <w:sz w:val="22"/>
          <w:szCs w:val="22"/>
        </w:rPr>
        <w:t>Perlinring</w:t>
      </w:r>
      <w:r w:rsidR="007C79D5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vziať v rámci diferenciálnej diagnózy do úvahy nádor pečene.</w:t>
      </w:r>
    </w:p>
    <w:p w14:paraId="16F6898F" w14:textId="77777777" w:rsidR="00C627EB" w:rsidRDefault="00C627EB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0B07FC88" w14:textId="77777777" w:rsidR="001D3920" w:rsidRPr="003E2A10" w:rsidRDefault="001D3920" w:rsidP="003E2A10">
      <w:pPr>
        <w:pStyle w:val="Odsekzoznamu"/>
        <w:keepNext/>
        <w:numPr>
          <w:ilvl w:val="0"/>
          <w:numId w:val="12"/>
        </w:numPr>
        <w:adjustRightInd w:val="0"/>
        <w:snapToGrid w:val="0"/>
        <w:ind w:hanging="720"/>
        <w:rPr>
          <w:rFonts w:ascii="Times New Roman" w:hAnsi="Times New Roman"/>
          <w:iCs/>
          <w:sz w:val="22"/>
          <w:szCs w:val="22"/>
        </w:rPr>
      </w:pPr>
      <w:r w:rsidRPr="003E2A10">
        <w:rPr>
          <w:rFonts w:ascii="Times New Roman" w:hAnsi="Times New Roman"/>
          <w:iCs/>
          <w:sz w:val="22"/>
          <w:szCs w:val="22"/>
        </w:rPr>
        <w:t>Zvýšenia ALT</w:t>
      </w:r>
      <w:r w:rsidR="001A7A27" w:rsidRPr="003E2A10">
        <w:rPr>
          <w:rFonts w:ascii="Times New Roman" w:hAnsi="Times New Roman"/>
          <w:iCs/>
          <w:sz w:val="22"/>
          <w:szCs w:val="22"/>
        </w:rPr>
        <w:t xml:space="preserve"> (alanínaminotransferázy)</w:t>
      </w:r>
    </w:p>
    <w:p w14:paraId="4C6FAF1E" w14:textId="77777777" w:rsidR="001D3920" w:rsidRDefault="001D3920" w:rsidP="00600D60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739DF733" w14:textId="77777777" w:rsidR="001D3920" w:rsidRDefault="001D3920" w:rsidP="00FD500A">
      <w:pPr>
        <w:numPr>
          <w:ilvl w:val="0"/>
          <w:numId w:val="9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 w:rsidRPr="00694DF2">
        <w:rPr>
          <w:rFonts w:ascii="Times New Roman" w:hAnsi="Times New Roman"/>
          <w:iCs/>
          <w:sz w:val="22"/>
          <w:szCs w:val="22"/>
        </w:rPr>
        <w:t xml:space="preserve">Počas klinických skúšaní </w:t>
      </w:r>
      <w:r>
        <w:rPr>
          <w:rFonts w:ascii="Times New Roman" w:hAnsi="Times New Roman"/>
          <w:iCs/>
          <w:sz w:val="22"/>
          <w:szCs w:val="22"/>
        </w:rPr>
        <w:t xml:space="preserve">s pacientmi liečenými na infekcie </w:t>
      </w:r>
      <w:r w:rsidR="00C85FD4">
        <w:rPr>
          <w:rFonts w:ascii="Times New Roman" w:hAnsi="Times New Roman"/>
          <w:iCs/>
          <w:sz w:val="22"/>
          <w:szCs w:val="22"/>
        </w:rPr>
        <w:t>spôsobené</w:t>
      </w:r>
      <w:r w:rsidRPr="00694DF2">
        <w:rPr>
          <w:rFonts w:ascii="Times New Roman" w:hAnsi="Times New Roman"/>
          <w:iCs/>
          <w:sz w:val="22"/>
          <w:szCs w:val="22"/>
        </w:rPr>
        <w:t xml:space="preserve"> vírus</w:t>
      </w:r>
      <w:r w:rsidR="00C85FD4">
        <w:rPr>
          <w:rFonts w:ascii="Times New Roman" w:hAnsi="Times New Roman"/>
          <w:iCs/>
          <w:sz w:val="22"/>
          <w:szCs w:val="22"/>
        </w:rPr>
        <w:t>om</w:t>
      </w:r>
      <w:r w:rsidRPr="00694DF2">
        <w:rPr>
          <w:rFonts w:ascii="Times New Roman" w:hAnsi="Times New Roman"/>
          <w:iCs/>
          <w:sz w:val="22"/>
          <w:szCs w:val="22"/>
        </w:rPr>
        <w:t xml:space="preserve"> hepatitídy C (HCV) </w:t>
      </w:r>
      <w:r>
        <w:rPr>
          <w:rFonts w:ascii="Times New Roman" w:hAnsi="Times New Roman"/>
          <w:iCs/>
          <w:sz w:val="22"/>
          <w:szCs w:val="22"/>
        </w:rPr>
        <w:t xml:space="preserve">liekmi obsahujúcimi </w:t>
      </w:r>
      <w:r w:rsidRPr="00694DF2">
        <w:rPr>
          <w:rFonts w:ascii="Times New Roman" w:hAnsi="Times New Roman"/>
          <w:iCs/>
          <w:sz w:val="22"/>
          <w:szCs w:val="22"/>
        </w:rPr>
        <w:t xml:space="preserve">ombitasvir/paritaprevir/ritonavir </w:t>
      </w:r>
      <w:r>
        <w:rPr>
          <w:rFonts w:ascii="Times New Roman" w:hAnsi="Times New Roman"/>
          <w:iCs/>
          <w:sz w:val="22"/>
          <w:szCs w:val="22"/>
        </w:rPr>
        <w:t>a </w:t>
      </w:r>
      <w:r w:rsidRPr="00694DF2">
        <w:rPr>
          <w:rFonts w:ascii="Times New Roman" w:hAnsi="Times New Roman"/>
          <w:iCs/>
          <w:sz w:val="22"/>
          <w:szCs w:val="22"/>
        </w:rPr>
        <w:t xml:space="preserve">dasabuvir </w:t>
      </w:r>
      <w:r>
        <w:rPr>
          <w:rFonts w:ascii="Times New Roman" w:hAnsi="Times New Roman"/>
          <w:iCs/>
          <w:sz w:val="22"/>
          <w:szCs w:val="22"/>
        </w:rPr>
        <w:t>s ribavirínom alebo bez neho, sa u </w:t>
      </w:r>
      <w:r w:rsidRPr="00694DF2">
        <w:rPr>
          <w:rFonts w:ascii="Times New Roman" w:hAnsi="Times New Roman"/>
          <w:iCs/>
          <w:sz w:val="22"/>
          <w:szCs w:val="22"/>
        </w:rPr>
        <w:t xml:space="preserve">žien používajúcich lieky obsahujúce etinylestradiol, ako </w:t>
      </w:r>
      <w:r>
        <w:rPr>
          <w:rFonts w:ascii="Times New Roman" w:hAnsi="Times New Roman"/>
          <w:iCs/>
          <w:sz w:val="22"/>
          <w:szCs w:val="22"/>
        </w:rPr>
        <w:t>sú kombinované hormonálne kontraceptíva (</w:t>
      </w:r>
      <w:r w:rsidRPr="00694DF2">
        <w:rPr>
          <w:rFonts w:ascii="Times New Roman" w:hAnsi="Times New Roman"/>
          <w:iCs/>
          <w:sz w:val="22"/>
          <w:szCs w:val="22"/>
        </w:rPr>
        <w:t>CHC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, významne častejšie vyskytli zvýšenia </w:t>
      </w:r>
      <w:r>
        <w:rPr>
          <w:rFonts w:ascii="Times New Roman" w:hAnsi="Times New Roman"/>
          <w:iCs/>
          <w:sz w:val="22"/>
          <w:szCs w:val="22"/>
        </w:rPr>
        <w:t>transamináz (</w:t>
      </w:r>
      <w:r w:rsidRPr="00694DF2">
        <w:rPr>
          <w:rFonts w:ascii="Times New Roman" w:hAnsi="Times New Roman"/>
          <w:iCs/>
          <w:sz w:val="22"/>
          <w:szCs w:val="22"/>
        </w:rPr>
        <w:t>ALT</w:t>
      </w:r>
      <w:r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 na viac ako 5-násobok hornej hranice normálu (upper limit of normal, ULN)</w:t>
      </w:r>
      <w:r>
        <w:rPr>
          <w:rFonts w:ascii="Times New Roman" w:hAnsi="Times New Roman"/>
          <w:iCs/>
          <w:sz w:val="22"/>
          <w:szCs w:val="22"/>
        </w:rPr>
        <w:t xml:space="preserve"> (pozri časti 4.3 a 4.5.) </w:t>
      </w:r>
    </w:p>
    <w:p w14:paraId="0E214F8C" w14:textId="77777777" w:rsidR="001D3920" w:rsidRPr="00A23963" w:rsidRDefault="001D3920" w:rsidP="002D13C6">
      <w:pPr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14:paraId="2EF5769E" w14:textId="77777777" w:rsidR="00C627EB" w:rsidRPr="00F77415" w:rsidRDefault="001D3920" w:rsidP="00FC4918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  <w:r w:rsidRPr="003E2A10">
        <w:rPr>
          <w:rFonts w:ascii="Times New Roman" w:hAnsi="Times New Roman"/>
          <w:iCs/>
          <w:sz w:val="22"/>
          <w:szCs w:val="22"/>
        </w:rPr>
        <w:t>4</w:t>
      </w:r>
      <w:r w:rsidR="00C627EB" w:rsidRPr="003E2A10">
        <w:rPr>
          <w:rFonts w:ascii="Times New Roman" w:hAnsi="Times New Roman"/>
          <w:iCs/>
          <w:sz w:val="22"/>
          <w:szCs w:val="22"/>
        </w:rPr>
        <w:t>.</w:t>
      </w:r>
      <w:r w:rsidR="00C627EB" w:rsidRPr="000F7489">
        <w:rPr>
          <w:rFonts w:ascii="Times New Roman" w:hAnsi="Times New Roman"/>
          <w:i/>
          <w:iCs/>
          <w:sz w:val="22"/>
          <w:szCs w:val="22"/>
        </w:rPr>
        <w:tab/>
      </w:r>
      <w:r w:rsidR="00C627EB" w:rsidRPr="00F77415">
        <w:rPr>
          <w:rFonts w:ascii="Times New Roman" w:hAnsi="Times New Roman"/>
          <w:iCs/>
          <w:sz w:val="22"/>
          <w:szCs w:val="22"/>
        </w:rPr>
        <w:t>Iné stavy</w:t>
      </w:r>
    </w:p>
    <w:p w14:paraId="19D44D30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00A1F05A" w14:textId="77777777" w:rsidR="00C627EB" w:rsidRDefault="00C627EB" w:rsidP="00F77415">
      <w:pPr>
        <w:numPr>
          <w:ilvl w:val="0"/>
          <w:numId w:val="25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U</w:t>
      </w:r>
      <w:r w:rsidRPr="002D13C6">
        <w:rPr>
          <w:rFonts w:ascii="Times New Roman" w:hAnsi="Times New Roman"/>
          <w:sz w:val="22"/>
          <w:szCs w:val="22"/>
        </w:rPr>
        <w:t> žien s </w:t>
      </w:r>
      <w:r w:rsidRPr="00FC4918">
        <w:rPr>
          <w:rFonts w:ascii="Times New Roman" w:hAnsi="Times New Roman"/>
          <w:sz w:val="22"/>
          <w:szCs w:val="22"/>
        </w:rPr>
        <w:t>hypertriglyceridémiou alebo jej výskytom v</w:t>
      </w:r>
      <w:r w:rsidRPr="000C1AEE">
        <w:rPr>
          <w:rFonts w:ascii="Times New Roman" w:hAnsi="Times New Roman"/>
          <w:sz w:val="22"/>
          <w:szCs w:val="22"/>
        </w:rPr>
        <w:t> </w:t>
      </w:r>
      <w:r w:rsidRPr="00972BE7">
        <w:rPr>
          <w:rFonts w:ascii="Times New Roman" w:hAnsi="Times New Roman"/>
          <w:sz w:val="22"/>
          <w:szCs w:val="22"/>
        </w:rPr>
        <w:t xml:space="preserve">rodinnej anamnéze </w:t>
      </w:r>
      <w:r w:rsidRPr="005830EC">
        <w:rPr>
          <w:rFonts w:ascii="Times New Roman" w:hAnsi="Times New Roman"/>
          <w:sz w:val="22"/>
          <w:szCs w:val="22"/>
        </w:rPr>
        <w:t>sa môže vyskytovať zvýšené riziko pankreatitídy, ak užíva</w:t>
      </w:r>
      <w:r w:rsidRPr="00EC5AC4">
        <w:rPr>
          <w:rFonts w:ascii="Times New Roman" w:hAnsi="Times New Roman"/>
          <w:sz w:val="22"/>
          <w:szCs w:val="22"/>
        </w:rPr>
        <w:t>jú</w:t>
      </w:r>
      <w:r w:rsidRPr="00226C8F">
        <w:rPr>
          <w:rFonts w:ascii="Times New Roman" w:hAnsi="Times New Roman"/>
          <w:sz w:val="22"/>
          <w:szCs w:val="22"/>
        </w:rPr>
        <w:t xml:space="preserve"> hormonálne kontraceptíva.</w:t>
      </w:r>
    </w:p>
    <w:p w14:paraId="5F8E4BDD" w14:textId="77777777" w:rsidR="0036788B" w:rsidRPr="004D56DF" w:rsidRDefault="0036788B" w:rsidP="0036788B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71014CB4" w14:textId="77777777" w:rsidR="00C627EB" w:rsidRDefault="00C627EB" w:rsidP="00F77415">
      <w:pPr>
        <w:numPr>
          <w:ilvl w:val="0"/>
          <w:numId w:val="25"/>
        </w:numPr>
        <w:tabs>
          <w:tab w:val="clear" w:pos="720"/>
          <w:tab w:val="num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Hoci sa u mnohých žien užívajúcich hormonálne kontraceptíva hlásili malé zvýšenia krvného tlaku</w:t>
      </w:r>
      <w:r w:rsidRPr="00FC4918">
        <w:rPr>
          <w:rFonts w:ascii="Times New Roman" w:hAnsi="Times New Roman"/>
          <w:sz w:val="22"/>
          <w:szCs w:val="22"/>
        </w:rPr>
        <w:t xml:space="preserve">, </w:t>
      </w:r>
      <w:r w:rsidRPr="000C1AEE">
        <w:rPr>
          <w:rFonts w:ascii="Times New Roman" w:hAnsi="Times New Roman"/>
          <w:sz w:val="22"/>
          <w:szCs w:val="22"/>
        </w:rPr>
        <w:t xml:space="preserve">klinicky </w:t>
      </w:r>
      <w:r w:rsidRPr="00972BE7">
        <w:rPr>
          <w:rFonts w:ascii="Times New Roman" w:hAnsi="Times New Roman"/>
          <w:sz w:val="22"/>
          <w:szCs w:val="22"/>
        </w:rPr>
        <w:t>významné</w:t>
      </w:r>
      <w:r w:rsidRPr="005830EC">
        <w:rPr>
          <w:rFonts w:ascii="Times New Roman" w:hAnsi="Times New Roman"/>
          <w:sz w:val="22"/>
          <w:szCs w:val="22"/>
        </w:rPr>
        <w:t xml:space="preserve"> zvýšenia sú zriedkavé. Definitívny vzťah medzi užívaním hormonálneho kon</w:t>
      </w:r>
      <w:r w:rsidRPr="00EC5AC4">
        <w:rPr>
          <w:rFonts w:ascii="Times New Roman" w:hAnsi="Times New Roman"/>
          <w:sz w:val="22"/>
          <w:szCs w:val="22"/>
        </w:rPr>
        <w:t>traceptíva</w:t>
      </w:r>
      <w:r w:rsidRPr="00226C8F">
        <w:rPr>
          <w:rFonts w:ascii="Times New Roman" w:hAnsi="Times New Roman"/>
          <w:sz w:val="22"/>
          <w:szCs w:val="22"/>
        </w:rPr>
        <w:t xml:space="preserve"> a klinickou hypertenziou sa nestanovil. Ak sa však počas používania </w:t>
      </w:r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 xml:space="preserve">u objaví klinicky významná hypertenzia, </w:t>
      </w:r>
      <w:r w:rsidR="0036788B">
        <w:rPr>
          <w:rFonts w:ascii="Times New Roman" w:hAnsi="Times New Roman"/>
          <w:sz w:val="22"/>
          <w:szCs w:val="22"/>
        </w:rPr>
        <w:t xml:space="preserve">je </w:t>
      </w:r>
      <w:r w:rsidRPr="00226C8F">
        <w:rPr>
          <w:rFonts w:ascii="Times New Roman" w:hAnsi="Times New Roman"/>
          <w:sz w:val="22"/>
          <w:szCs w:val="22"/>
        </w:rPr>
        <w:t>rozu</w:t>
      </w:r>
      <w:r w:rsidR="0036788B">
        <w:rPr>
          <w:rFonts w:ascii="Times New Roman" w:hAnsi="Times New Roman"/>
          <w:sz w:val="22"/>
          <w:szCs w:val="22"/>
        </w:rPr>
        <w:t>mné, aby lekár pozastavil</w:t>
      </w:r>
      <w:r w:rsidRPr="00226C8F">
        <w:rPr>
          <w:rFonts w:ascii="Times New Roman" w:hAnsi="Times New Roman"/>
          <w:sz w:val="22"/>
          <w:szCs w:val="22"/>
        </w:rPr>
        <w:t xml:space="preserve"> používanie krúžku a liečil hypertenziu. Ak sa to bude považovať za vhodné, používanie </w:t>
      </w:r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 sa môže opäť obnoviť, ak je liečbou antihypertenzívami možné dosiahnuť normálne hodnoty krvného tlaku.</w:t>
      </w:r>
    </w:p>
    <w:p w14:paraId="59E87E84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4A61CC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Počas gravidity a aj počas </w:t>
      </w:r>
      <w:r>
        <w:rPr>
          <w:rFonts w:ascii="Times New Roman" w:hAnsi="Times New Roman"/>
          <w:sz w:val="22"/>
          <w:szCs w:val="22"/>
        </w:rPr>
        <w:t>po</w:t>
      </w:r>
      <w:r w:rsidRPr="002D13C6">
        <w:rPr>
          <w:rFonts w:ascii="Times New Roman" w:hAnsi="Times New Roman"/>
          <w:sz w:val="22"/>
          <w:szCs w:val="22"/>
        </w:rPr>
        <w:t>užívania hormonálnych kontraceptív sa h</w:t>
      </w:r>
      <w:r w:rsidRPr="00FC4918">
        <w:rPr>
          <w:rFonts w:ascii="Times New Roman" w:hAnsi="Times New Roman"/>
          <w:sz w:val="22"/>
          <w:szCs w:val="22"/>
        </w:rPr>
        <w:t xml:space="preserve">lásil </w:t>
      </w:r>
      <w:r w:rsidRPr="000C1AEE">
        <w:rPr>
          <w:rFonts w:ascii="Times New Roman" w:hAnsi="Times New Roman"/>
          <w:sz w:val="22"/>
          <w:szCs w:val="22"/>
        </w:rPr>
        <w:t>v</w:t>
      </w:r>
      <w:r w:rsidRPr="00972BE7">
        <w:rPr>
          <w:rFonts w:ascii="Times New Roman" w:hAnsi="Times New Roman"/>
          <w:sz w:val="22"/>
          <w:szCs w:val="22"/>
        </w:rPr>
        <w:t>ýskyt alebo zhorš</w:t>
      </w:r>
      <w:r w:rsidRPr="005830EC">
        <w:rPr>
          <w:rFonts w:ascii="Times New Roman" w:hAnsi="Times New Roman"/>
          <w:sz w:val="22"/>
          <w:szCs w:val="22"/>
        </w:rPr>
        <w:t>enie nasled</w:t>
      </w:r>
      <w:r>
        <w:rPr>
          <w:rFonts w:ascii="Times New Roman" w:hAnsi="Times New Roman"/>
          <w:sz w:val="22"/>
          <w:szCs w:val="22"/>
        </w:rPr>
        <w:t>ujúcich</w:t>
      </w:r>
      <w:r w:rsidRPr="005830EC">
        <w:rPr>
          <w:rFonts w:ascii="Times New Roman" w:hAnsi="Times New Roman"/>
          <w:sz w:val="22"/>
          <w:szCs w:val="22"/>
        </w:rPr>
        <w:t xml:space="preserve"> stavov, ale dôkaz o súvise </w:t>
      </w:r>
      <w:r w:rsidRPr="00EC5AC4">
        <w:rPr>
          <w:rFonts w:ascii="Times New Roman" w:hAnsi="Times New Roman"/>
          <w:sz w:val="22"/>
          <w:szCs w:val="22"/>
        </w:rPr>
        <w:t>s</w:t>
      </w:r>
      <w:r w:rsidRPr="00226C8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>užívaním hormonálnych kontraceptív nie je dostatočný pre vyvodenie záveru: žltačka a/alebo pruritus súvisiaci s cholestázou; tvorba žlčových kameňov; porfýria; systémový lupus erythematosus; hemolyticko-uremický syndróm; Sydenhamova chorea; herpes gestationis; strata sluchu súvisiaca s otosklerózou, (</w:t>
      </w:r>
      <w:r>
        <w:rPr>
          <w:rFonts w:ascii="Times New Roman" w:hAnsi="Times New Roman"/>
          <w:sz w:val="22"/>
          <w:szCs w:val="22"/>
        </w:rPr>
        <w:t>dedičný</w:t>
      </w:r>
      <w:r w:rsidRPr="00226C8F">
        <w:rPr>
          <w:rFonts w:ascii="Times New Roman" w:hAnsi="Times New Roman"/>
          <w:sz w:val="22"/>
          <w:szCs w:val="22"/>
        </w:rPr>
        <w:t>) angioedém.</w:t>
      </w:r>
    </w:p>
    <w:p w14:paraId="0B96B2C4" w14:textId="77777777" w:rsidR="0036788B" w:rsidRPr="004D56DF" w:rsidRDefault="0036788B" w:rsidP="0036788B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14:paraId="2F54D302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Akútne alebo chronické poruchy funkcie pečene môžu vyžadovať prerušenie používania </w:t>
      </w:r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D13C6">
        <w:rPr>
          <w:rFonts w:ascii="Times New Roman" w:hAnsi="Times New Roman"/>
          <w:sz w:val="22"/>
          <w:szCs w:val="22"/>
        </w:rPr>
        <w:t>u</w:t>
      </w:r>
      <w:r w:rsidRPr="00FC4918">
        <w:rPr>
          <w:rFonts w:ascii="Times New Roman" w:hAnsi="Times New Roman"/>
          <w:sz w:val="22"/>
          <w:szCs w:val="22"/>
        </w:rPr>
        <w:t xml:space="preserve"> dovtedy</w:t>
      </w:r>
      <w:r w:rsidRPr="000C1AEE">
        <w:rPr>
          <w:rFonts w:ascii="Times New Roman" w:hAnsi="Times New Roman"/>
          <w:sz w:val="22"/>
          <w:szCs w:val="22"/>
        </w:rPr>
        <w:t xml:space="preserve">, kým sa </w:t>
      </w:r>
      <w:r w:rsidRPr="00972BE7">
        <w:rPr>
          <w:rFonts w:ascii="Times New Roman" w:hAnsi="Times New Roman"/>
          <w:sz w:val="22"/>
          <w:szCs w:val="22"/>
        </w:rPr>
        <w:t xml:space="preserve">hodnoty funkcie </w:t>
      </w:r>
      <w:r w:rsidRPr="005830EC">
        <w:rPr>
          <w:rFonts w:ascii="Times New Roman" w:hAnsi="Times New Roman"/>
          <w:sz w:val="22"/>
          <w:szCs w:val="22"/>
        </w:rPr>
        <w:t>pečene nevrátia do normálu. Opätovný výskyt cholestatickej žltačky a/alebo pruritu súvisiaceho s </w:t>
      </w:r>
      <w:r w:rsidRPr="00EC5AC4">
        <w:rPr>
          <w:rFonts w:ascii="Times New Roman" w:hAnsi="Times New Roman"/>
          <w:sz w:val="22"/>
          <w:szCs w:val="22"/>
        </w:rPr>
        <w:t xml:space="preserve">cholestázou, ktorý sa </w:t>
      </w:r>
      <w:r w:rsidRPr="00226C8F">
        <w:rPr>
          <w:rFonts w:ascii="Times New Roman" w:hAnsi="Times New Roman"/>
          <w:sz w:val="22"/>
          <w:szCs w:val="22"/>
        </w:rPr>
        <w:t>po prvýkrát objavil počas gravidity alebo pri predchádzajúcom užívaní pohlavných steroidov, si vyžaduje prerušenie používania krúžku.</w:t>
      </w:r>
    </w:p>
    <w:p w14:paraId="642FCA57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8726AE9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F701D">
        <w:rPr>
          <w:rFonts w:ascii="Times New Roman" w:hAnsi="Times New Roman"/>
          <w:sz w:val="22"/>
          <w:szCs w:val="22"/>
        </w:rPr>
        <w:t>Hoci môžu estrogény</w:t>
      </w:r>
      <w:r w:rsidRPr="002D13C6">
        <w:rPr>
          <w:rFonts w:ascii="Times New Roman" w:hAnsi="Times New Roman"/>
          <w:sz w:val="22"/>
          <w:szCs w:val="22"/>
        </w:rPr>
        <w:t xml:space="preserve"> a </w:t>
      </w:r>
      <w:r w:rsidRPr="00FC4918">
        <w:rPr>
          <w:rFonts w:ascii="Times New Roman" w:hAnsi="Times New Roman"/>
          <w:sz w:val="22"/>
          <w:szCs w:val="22"/>
        </w:rPr>
        <w:t xml:space="preserve">gestagény </w:t>
      </w:r>
      <w:r w:rsidRPr="000C1AEE">
        <w:rPr>
          <w:rFonts w:ascii="Times New Roman" w:hAnsi="Times New Roman"/>
          <w:sz w:val="22"/>
          <w:szCs w:val="22"/>
        </w:rPr>
        <w:t>ov</w:t>
      </w:r>
      <w:r w:rsidRPr="00972BE7">
        <w:rPr>
          <w:rFonts w:ascii="Times New Roman" w:hAnsi="Times New Roman"/>
          <w:sz w:val="22"/>
          <w:szCs w:val="22"/>
        </w:rPr>
        <w:t>p</w:t>
      </w:r>
      <w:r w:rsidRPr="005830EC">
        <w:rPr>
          <w:rFonts w:ascii="Times New Roman" w:hAnsi="Times New Roman"/>
          <w:sz w:val="22"/>
          <w:szCs w:val="22"/>
        </w:rPr>
        <w:t xml:space="preserve">lyvňovať periférnu inzulínovú rezistenciu a glukózovú toleranciu, neexistuje dôkaz </w:t>
      </w:r>
      <w:r w:rsidRPr="00EC5AC4">
        <w:rPr>
          <w:rFonts w:ascii="Times New Roman" w:hAnsi="Times New Roman"/>
          <w:sz w:val="22"/>
          <w:szCs w:val="22"/>
        </w:rPr>
        <w:t>o</w:t>
      </w:r>
      <w:r w:rsidRPr="00226C8F">
        <w:rPr>
          <w:rFonts w:ascii="Times New Roman" w:hAnsi="Times New Roman"/>
          <w:sz w:val="22"/>
          <w:szCs w:val="22"/>
        </w:rPr>
        <w:t xml:space="preserve"> potrebe zmeny terapeutického režimu u diabetičiek 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užívajúcich hormonálne kontraceptívum. Počas používania </w:t>
      </w:r>
      <w:r w:rsidR="00D626BC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u, najmä počas prvých mesiacov používania, sa však ženy s diabetes mellitus majú starostlivo sledovať.</w:t>
      </w:r>
    </w:p>
    <w:p w14:paraId="787C376B" w14:textId="77777777" w:rsidR="0036788B" w:rsidRPr="004D56DF" w:rsidRDefault="0036788B" w:rsidP="0036788B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0670EB6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Pri po</w:t>
      </w:r>
      <w:r w:rsidRPr="002D13C6">
        <w:rPr>
          <w:rFonts w:ascii="Times New Roman" w:hAnsi="Times New Roman"/>
          <w:sz w:val="22"/>
          <w:szCs w:val="22"/>
        </w:rPr>
        <w:t>užívaní hormonáln</w:t>
      </w:r>
      <w:r w:rsidRPr="00FC4918">
        <w:rPr>
          <w:rFonts w:ascii="Times New Roman" w:hAnsi="Times New Roman"/>
          <w:sz w:val="22"/>
          <w:szCs w:val="22"/>
        </w:rPr>
        <w:t xml:space="preserve">ych </w:t>
      </w:r>
      <w:r w:rsidRPr="000C1AEE">
        <w:rPr>
          <w:rFonts w:ascii="Times New Roman" w:hAnsi="Times New Roman"/>
          <w:sz w:val="22"/>
          <w:szCs w:val="22"/>
        </w:rPr>
        <w:t>kon</w:t>
      </w:r>
      <w:r w:rsidRPr="00972BE7">
        <w:rPr>
          <w:rFonts w:ascii="Times New Roman" w:hAnsi="Times New Roman"/>
          <w:sz w:val="22"/>
          <w:szCs w:val="22"/>
        </w:rPr>
        <w:t>tra</w:t>
      </w:r>
      <w:r w:rsidRPr="005830EC">
        <w:rPr>
          <w:rFonts w:ascii="Times New Roman" w:hAnsi="Times New Roman"/>
          <w:sz w:val="22"/>
          <w:szCs w:val="22"/>
        </w:rPr>
        <w:t xml:space="preserve">ceptív </w:t>
      </w:r>
      <w:r>
        <w:rPr>
          <w:rFonts w:ascii="Times New Roman" w:hAnsi="Times New Roman"/>
          <w:sz w:val="22"/>
          <w:szCs w:val="22"/>
        </w:rPr>
        <w:t>bol hlásený nový nástup alebo</w:t>
      </w:r>
      <w:r w:rsidRPr="005830EC">
        <w:rPr>
          <w:rFonts w:ascii="Times New Roman" w:hAnsi="Times New Roman"/>
          <w:sz w:val="22"/>
          <w:szCs w:val="22"/>
        </w:rPr>
        <w:t xml:space="preserve"> zhoršenie Crohnovej choroby a ulceróznej kolitídy</w:t>
      </w:r>
      <w:r>
        <w:rPr>
          <w:rFonts w:ascii="Times New Roman" w:hAnsi="Times New Roman"/>
          <w:sz w:val="22"/>
          <w:szCs w:val="22"/>
        </w:rPr>
        <w:t>, ale dôkaz o súvislosti s ich používaním nie je presvedčivý</w:t>
      </w:r>
      <w:r w:rsidRPr="005830EC">
        <w:rPr>
          <w:rFonts w:ascii="Times New Roman" w:hAnsi="Times New Roman"/>
          <w:sz w:val="22"/>
          <w:szCs w:val="22"/>
        </w:rPr>
        <w:t>.</w:t>
      </w:r>
    </w:p>
    <w:p w14:paraId="1CAC4C4A" w14:textId="77777777" w:rsidR="003F701D" w:rsidRPr="004D56DF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8F76324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Príležitostne</w:t>
      </w:r>
      <w:r w:rsidRPr="002D13C6">
        <w:rPr>
          <w:rFonts w:ascii="Times New Roman" w:hAnsi="Times New Roman"/>
          <w:sz w:val="22"/>
          <w:szCs w:val="22"/>
        </w:rPr>
        <w:t xml:space="preserve"> sa môže </w:t>
      </w:r>
      <w:r w:rsidRPr="00FC4918">
        <w:rPr>
          <w:rFonts w:ascii="Times New Roman" w:hAnsi="Times New Roman"/>
          <w:sz w:val="22"/>
          <w:szCs w:val="22"/>
        </w:rPr>
        <w:t>objaviť</w:t>
      </w:r>
      <w:r w:rsidRPr="000C1AEE">
        <w:rPr>
          <w:rFonts w:ascii="Times New Roman" w:hAnsi="Times New Roman"/>
          <w:sz w:val="22"/>
          <w:szCs w:val="22"/>
        </w:rPr>
        <w:t xml:space="preserve"> chloazma, najmä u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žien s chloazma gravidarum v</w:t>
      </w:r>
      <w:r w:rsidRPr="00EC5AC4">
        <w:rPr>
          <w:rFonts w:ascii="Times New Roman" w:hAnsi="Times New Roman"/>
          <w:sz w:val="22"/>
          <w:szCs w:val="22"/>
        </w:rPr>
        <w:t> </w:t>
      </w:r>
      <w:r w:rsidRPr="00226C8F">
        <w:rPr>
          <w:rFonts w:ascii="Times New Roman" w:hAnsi="Times New Roman"/>
          <w:sz w:val="22"/>
          <w:szCs w:val="22"/>
        </w:rPr>
        <w:t xml:space="preserve">anamnéze. Počas používania </w:t>
      </w:r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 sa ženy so sklonom ku chloazme majú vyhýbať expozícii slnku alebo ultrafialovému žiareniu.</w:t>
      </w:r>
    </w:p>
    <w:p w14:paraId="65A30EA7" w14:textId="77777777" w:rsidR="003F701D" w:rsidRPr="004D56DF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760DCF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 sa u ženy vyskytuje ktorýkoľvek z nasled</w:t>
      </w:r>
      <w:r>
        <w:rPr>
          <w:rFonts w:ascii="Times New Roman" w:hAnsi="Times New Roman"/>
          <w:sz w:val="22"/>
          <w:szCs w:val="22"/>
        </w:rPr>
        <w:t>ujúcich</w:t>
      </w:r>
      <w:r w:rsidRPr="000F7489">
        <w:rPr>
          <w:rFonts w:ascii="Times New Roman" w:hAnsi="Times New Roman"/>
          <w:sz w:val="22"/>
          <w:szCs w:val="22"/>
        </w:rPr>
        <w:t xml:space="preserve"> stavov, môže sa stať, že nebude schopná správne si zaviesť </w:t>
      </w:r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 alebo môže krúžok stratiť: prolaps krčka maternice, cystokéla a/alebo rektokéla, závažná alebo chronická zápcha.</w:t>
      </w:r>
    </w:p>
    <w:p w14:paraId="3AFCA2AE" w14:textId="77777777" w:rsidR="003F701D" w:rsidRPr="000F7489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8F9B6F2" w14:textId="77777777" w:rsidR="00C627EB" w:rsidRDefault="00C627EB" w:rsidP="00D626BC">
      <w:pPr>
        <w:pStyle w:val="Odsekzoznamu"/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D626BC">
        <w:rPr>
          <w:rFonts w:ascii="Times New Roman" w:hAnsi="Times New Roman"/>
          <w:sz w:val="22"/>
          <w:szCs w:val="22"/>
        </w:rPr>
        <w:t xml:space="preserve">Veľmi zriedkavo sa hlásilo, že </w:t>
      </w:r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="002D33E6" w:rsidRPr="00C85012">
        <w:rPr>
          <w:rFonts w:ascii="Times New Roman" w:hAnsi="Times New Roman"/>
          <w:bCs/>
          <w:sz w:val="22"/>
          <w:szCs w:val="22"/>
        </w:rPr>
        <w:t xml:space="preserve"> </w:t>
      </w:r>
      <w:r w:rsidRPr="00D626BC">
        <w:rPr>
          <w:rFonts w:ascii="Times New Roman" w:hAnsi="Times New Roman"/>
          <w:sz w:val="22"/>
          <w:szCs w:val="22"/>
        </w:rPr>
        <w:t>bol neúmyselne zavedený do močovej rúry a pravdepodobne uviazol v močovom mechúre. Preto sa v rámci diferenciálnej diagnózy v prípade príznakov cystitídy má vziať do úvahy nesprávne umiestnenie.</w:t>
      </w:r>
    </w:p>
    <w:p w14:paraId="6EEC0B32" w14:textId="77777777" w:rsidR="003F701D" w:rsidRPr="003F701D" w:rsidRDefault="003F701D" w:rsidP="003F701D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768096" w14:textId="77777777" w:rsidR="00C627EB" w:rsidRDefault="00C627EB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 xml:space="preserve">Počas používania </w:t>
      </w:r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2D13C6">
        <w:rPr>
          <w:rFonts w:ascii="Times New Roman" w:hAnsi="Times New Roman"/>
          <w:sz w:val="22"/>
          <w:szCs w:val="22"/>
        </w:rPr>
        <w:t xml:space="preserve">u sa u ženy </w:t>
      </w:r>
      <w:r w:rsidRPr="00FC4918">
        <w:rPr>
          <w:rFonts w:ascii="Times New Roman" w:hAnsi="Times New Roman"/>
          <w:sz w:val="22"/>
          <w:szCs w:val="22"/>
        </w:rPr>
        <w:t xml:space="preserve">môže </w:t>
      </w:r>
      <w:r w:rsidRPr="000C1AEE">
        <w:rPr>
          <w:rFonts w:ascii="Times New Roman" w:hAnsi="Times New Roman"/>
          <w:sz w:val="22"/>
          <w:szCs w:val="22"/>
        </w:rPr>
        <w:t xml:space="preserve">príležitostne </w:t>
      </w:r>
      <w:r w:rsidRPr="00972BE7">
        <w:rPr>
          <w:rFonts w:ascii="Times New Roman" w:hAnsi="Times New Roman"/>
          <w:sz w:val="22"/>
          <w:szCs w:val="22"/>
        </w:rPr>
        <w:t>objav</w:t>
      </w:r>
      <w:r w:rsidRPr="00B8304E">
        <w:rPr>
          <w:rFonts w:ascii="Times New Roman" w:hAnsi="Times New Roman"/>
          <w:sz w:val="22"/>
          <w:szCs w:val="22"/>
        </w:rPr>
        <w:t xml:space="preserve">iť vaginitída. Neexistujú žiadne náznaky, že účinnosť </w:t>
      </w:r>
      <w:r w:rsidR="003F701D">
        <w:rPr>
          <w:rFonts w:ascii="Times New Roman" w:hAnsi="Times New Roman"/>
          <w:sz w:val="22"/>
          <w:szCs w:val="22"/>
        </w:rPr>
        <w:t>Perlinringu</w:t>
      </w:r>
      <w:r w:rsidRPr="00226C8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je</w:t>
      </w:r>
      <w:r w:rsidRPr="00226C8F">
        <w:rPr>
          <w:rFonts w:ascii="Times New Roman" w:hAnsi="Times New Roman"/>
          <w:sz w:val="22"/>
          <w:szCs w:val="22"/>
        </w:rPr>
        <w:t xml:space="preserve"> ovplyvnená liečbou vaginitídy, a</w:t>
      </w:r>
      <w:r>
        <w:rPr>
          <w:rFonts w:ascii="Times New Roman" w:hAnsi="Times New Roman"/>
          <w:sz w:val="22"/>
          <w:szCs w:val="22"/>
        </w:rPr>
        <w:t>lebo</w:t>
      </w:r>
      <w:r w:rsidRPr="00226C8F">
        <w:rPr>
          <w:rFonts w:ascii="Times New Roman" w:hAnsi="Times New Roman"/>
          <w:sz w:val="22"/>
          <w:szCs w:val="22"/>
        </w:rPr>
        <w:t xml:space="preserve"> že používanie </w:t>
      </w:r>
      <w:r w:rsidR="002D33E6" w:rsidRPr="003817FE">
        <w:rPr>
          <w:rFonts w:ascii="Times New Roman" w:hAnsi="Times New Roman"/>
          <w:sz w:val="22"/>
          <w:szCs w:val="22"/>
        </w:rPr>
        <w:t>Perlinring</w:t>
      </w:r>
      <w:r w:rsidRPr="00226C8F">
        <w:rPr>
          <w:rFonts w:ascii="Times New Roman" w:hAnsi="Times New Roman"/>
          <w:sz w:val="22"/>
          <w:szCs w:val="22"/>
        </w:rPr>
        <w:t>u ovplyvň</w:t>
      </w:r>
      <w:r>
        <w:rPr>
          <w:rFonts w:ascii="Times New Roman" w:hAnsi="Times New Roman"/>
          <w:sz w:val="22"/>
          <w:szCs w:val="22"/>
        </w:rPr>
        <w:t>uje</w:t>
      </w:r>
      <w:r w:rsidRPr="00226C8F">
        <w:rPr>
          <w:rFonts w:ascii="Times New Roman" w:hAnsi="Times New Roman"/>
          <w:sz w:val="22"/>
          <w:szCs w:val="22"/>
        </w:rPr>
        <w:t xml:space="preserve"> liečbu vaginitídy (pozri časť 4.5).</w:t>
      </w:r>
    </w:p>
    <w:p w14:paraId="0D2FEB6A" w14:textId="77777777" w:rsidR="00CD4C85" w:rsidRPr="004D56DF" w:rsidRDefault="00CD4C85" w:rsidP="00341DBA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66EACC" w14:textId="77777777" w:rsidR="00C627EB" w:rsidRPr="000F7489" w:rsidRDefault="003F701D" w:rsidP="00D626BC">
      <w:pPr>
        <w:numPr>
          <w:ilvl w:val="0"/>
          <w:numId w:val="26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Veľmi zriedkavo bolo hlásené</w:t>
      </w:r>
      <w:r w:rsidR="00C627EB" w:rsidRPr="000F7489">
        <w:rPr>
          <w:rFonts w:ascii="Times New Roman" w:hAnsi="Times New Roman"/>
          <w:sz w:val="22"/>
          <w:szCs w:val="22"/>
        </w:rPr>
        <w:t xml:space="preserve"> priľnutie krúžku na tkanivo pošvy, ktoré si vyžaduje odstránenie zdravotníckym pracovníkom.</w:t>
      </w:r>
      <w:r w:rsidR="00420253">
        <w:rPr>
          <w:rFonts w:ascii="Times New Roman" w:hAnsi="Times New Roman"/>
          <w:sz w:val="22"/>
          <w:szCs w:val="22"/>
        </w:rPr>
        <w:t xml:space="preserve"> V niektorých prípadoch, keď tkanivo </w:t>
      </w:r>
      <w:r w:rsidR="00D23B29">
        <w:rPr>
          <w:rFonts w:ascii="Times New Roman" w:hAnsi="Times New Roman"/>
          <w:sz w:val="22"/>
          <w:szCs w:val="22"/>
        </w:rPr>
        <w:t>prerástlo cez</w:t>
      </w:r>
      <w:r w:rsidR="00420253">
        <w:rPr>
          <w:rFonts w:ascii="Times New Roman" w:hAnsi="Times New Roman"/>
          <w:sz w:val="22"/>
          <w:szCs w:val="22"/>
        </w:rPr>
        <w:t xml:space="preserve"> krúžok, </w:t>
      </w:r>
      <w:r w:rsidR="00062FA8">
        <w:rPr>
          <w:rFonts w:ascii="Times New Roman" w:hAnsi="Times New Roman"/>
          <w:sz w:val="22"/>
          <w:szCs w:val="22"/>
        </w:rPr>
        <w:t>jeho odstránenie</w:t>
      </w:r>
      <w:r w:rsidR="00304E85">
        <w:rPr>
          <w:rFonts w:ascii="Times New Roman" w:hAnsi="Times New Roman"/>
          <w:sz w:val="22"/>
          <w:szCs w:val="22"/>
        </w:rPr>
        <w:t xml:space="preserve"> sa dosiahlo vyrezaním krúžku </w:t>
      </w:r>
      <w:r w:rsidR="00062FA8">
        <w:rPr>
          <w:rFonts w:ascii="Times New Roman" w:hAnsi="Times New Roman"/>
          <w:sz w:val="22"/>
          <w:szCs w:val="22"/>
        </w:rPr>
        <w:t>z</w:t>
      </w:r>
      <w:r w:rsidR="00420253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prekrývajúceho vaginálneho tkaniva.</w:t>
      </w:r>
    </w:p>
    <w:p w14:paraId="414A4ACF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24B19B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LEKÁRSKE VYŠETRENIE/KONZULTÁCIA</w:t>
      </w:r>
    </w:p>
    <w:p w14:paraId="4CBE5FF3" w14:textId="77777777" w:rsidR="00C627EB" w:rsidRPr="00232A33" w:rsidRDefault="00C627EB" w:rsidP="00232A3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Pred </w:t>
      </w:r>
      <w:r>
        <w:rPr>
          <w:rFonts w:ascii="Times New Roman" w:hAnsi="Times New Roman"/>
          <w:sz w:val="22"/>
          <w:szCs w:val="22"/>
        </w:rPr>
        <w:t>začatím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používania </w:t>
      </w:r>
      <w:r w:rsidRPr="000F7489">
        <w:rPr>
          <w:rFonts w:ascii="Times New Roman" w:hAnsi="Times New Roman"/>
          <w:sz w:val="22"/>
          <w:szCs w:val="22"/>
        </w:rPr>
        <w:t xml:space="preserve">alebo opätovným </w:t>
      </w:r>
      <w:r>
        <w:rPr>
          <w:rFonts w:ascii="Times New Roman" w:hAnsi="Times New Roman"/>
          <w:sz w:val="22"/>
          <w:szCs w:val="22"/>
        </w:rPr>
        <w:t>nasadením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 sa má </w:t>
      </w:r>
      <w:r>
        <w:rPr>
          <w:rFonts w:ascii="Times New Roman" w:hAnsi="Times New Roman"/>
          <w:sz w:val="22"/>
          <w:szCs w:val="22"/>
        </w:rPr>
        <w:t>vyšetriť</w:t>
      </w:r>
      <w:r w:rsidRPr="000F7489">
        <w:rPr>
          <w:rFonts w:ascii="Times New Roman" w:hAnsi="Times New Roman"/>
          <w:sz w:val="22"/>
          <w:szCs w:val="22"/>
        </w:rPr>
        <w:t xml:space="preserve"> kompletná </w:t>
      </w:r>
      <w:r>
        <w:rPr>
          <w:rFonts w:ascii="Times New Roman" w:hAnsi="Times New Roman"/>
          <w:sz w:val="22"/>
          <w:szCs w:val="22"/>
        </w:rPr>
        <w:t xml:space="preserve">zdravotná </w:t>
      </w:r>
      <w:r w:rsidRPr="000F7489">
        <w:rPr>
          <w:rFonts w:ascii="Times New Roman" w:hAnsi="Times New Roman"/>
          <w:sz w:val="22"/>
          <w:szCs w:val="22"/>
        </w:rPr>
        <w:t xml:space="preserve">anamnéza (vrátane </w:t>
      </w:r>
      <w:r>
        <w:rPr>
          <w:rFonts w:ascii="Times New Roman" w:hAnsi="Times New Roman"/>
          <w:sz w:val="22"/>
          <w:szCs w:val="22"/>
        </w:rPr>
        <w:t xml:space="preserve">rodinnej </w:t>
      </w:r>
      <w:r w:rsidRPr="000F7489">
        <w:rPr>
          <w:rFonts w:ascii="Times New Roman" w:hAnsi="Times New Roman"/>
          <w:sz w:val="22"/>
          <w:szCs w:val="22"/>
        </w:rPr>
        <w:t>anamnézy) a </w:t>
      </w:r>
      <w:r>
        <w:rPr>
          <w:rFonts w:ascii="Times New Roman" w:hAnsi="Times New Roman"/>
          <w:sz w:val="22"/>
          <w:szCs w:val="22"/>
        </w:rPr>
        <w:t>musí</w:t>
      </w:r>
      <w:r w:rsidRPr="000F7489">
        <w:rPr>
          <w:rFonts w:ascii="Times New Roman" w:hAnsi="Times New Roman"/>
          <w:sz w:val="22"/>
          <w:szCs w:val="22"/>
        </w:rPr>
        <w:t xml:space="preserve"> sa vylúčiť gravidita.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sa </w:t>
      </w:r>
      <w:r>
        <w:rPr>
          <w:rFonts w:ascii="Times New Roman" w:hAnsi="Times New Roman"/>
          <w:sz w:val="22"/>
          <w:szCs w:val="22"/>
        </w:rPr>
        <w:t>zmerať krvný tlak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vykonať zdravotná prehliadka na základe kontraindikácií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>časť 4.3) a </w:t>
      </w:r>
      <w:r>
        <w:rPr>
          <w:rFonts w:ascii="Times New Roman" w:hAnsi="Times New Roman"/>
          <w:sz w:val="22"/>
          <w:szCs w:val="22"/>
        </w:rPr>
        <w:t>upozornení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 xml:space="preserve">časť 4.4). </w:t>
      </w:r>
      <w:r w:rsidRPr="00232A33">
        <w:rPr>
          <w:rFonts w:ascii="Times New Roman" w:hAnsi="Times New Roman"/>
          <w:sz w:val="22"/>
          <w:szCs w:val="22"/>
        </w:rPr>
        <w:t>Je dôležité</w:t>
      </w:r>
      <w:r>
        <w:rPr>
          <w:rFonts w:ascii="Times New Roman" w:hAnsi="Times New Roman"/>
          <w:sz w:val="22"/>
          <w:szCs w:val="22"/>
        </w:rPr>
        <w:t xml:space="preserve"> ženu</w:t>
      </w:r>
      <w:r w:rsidRPr="00232A33">
        <w:rPr>
          <w:rFonts w:ascii="Times New Roman" w:hAnsi="Times New Roman"/>
          <w:sz w:val="22"/>
          <w:szCs w:val="22"/>
        </w:rPr>
        <w:t xml:space="preserve"> upozorniť na informácie </w:t>
      </w:r>
      <w:r>
        <w:rPr>
          <w:rFonts w:ascii="Times New Roman" w:hAnsi="Times New Roman"/>
          <w:sz w:val="22"/>
          <w:szCs w:val="22"/>
        </w:rPr>
        <w:t xml:space="preserve">o venóznej a arteriálnej trombóze vrátane rizika používania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r w:rsidRPr="00232A33">
        <w:rPr>
          <w:rFonts w:ascii="Times New Roman" w:hAnsi="Times New Roman"/>
          <w:sz w:val="22"/>
          <w:szCs w:val="22"/>
        </w:rPr>
        <w:t xml:space="preserve"> v porovnaní s inými CHC, </w:t>
      </w:r>
      <w:r>
        <w:rPr>
          <w:rFonts w:ascii="Times New Roman" w:hAnsi="Times New Roman"/>
          <w:sz w:val="22"/>
          <w:szCs w:val="22"/>
        </w:rPr>
        <w:t>o príznakoch</w:t>
      </w:r>
      <w:r w:rsidRPr="00232A33">
        <w:rPr>
          <w:rFonts w:ascii="Times New Roman" w:hAnsi="Times New Roman"/>
          <w:sz w:val="22"/>
          <w:szCs w:val="22"/>
        </w:rPr>
        <w:t xml:space="preserve"> VTE a ATE, </w:t>
      </w:r>
      <w:r>
        <w:rPr>
          <w:rFonts w:ascii="Times New Roman" w:hAnsi="Times New Roman"/>
          <w:sz w:val="22"/>
          <w:szCs w:val="22"/>
        </w:rPr>
        <w:t>o známych rizikových faktoroch a o tom</w:t>
      </w:r>
      <w:r w:rsidRPr="00232A33">
        <w:rPr>
          <w:rFonts w:ascii="Times New Roman" w:hAnsi="Times New Roman"/>
          <w:sz w:val="22"/>
          <w:szCs w:val="22"/>
        </w:rPr>
        <w:t>, čo robiť v prípade podozrenia na trombózu.</w:t>
      </w:r>
    </w:p>
    <w:p w14:paraId="3E73C28C" w14:textId="77777777" w:rsidR="00C627EB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FB4375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byť poučená, aby si pozorne prečítala písomnú informáciu pre používateľk</w:t>
      </w:r>
      <w:r>
        <w:rPr>
          <w:rFonts w:ascii="Times New Roman" w:hAnsi="Times New Roman"/>
          <w:sz w:val="22"/>
          <w:szCs w:val="22"/>
        </w:rPr>
        <w:t>u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dodržiavala odporúčania uvedené v nej</w:t>
      </w:r>
      <w:r w:rsidRPr="000F7489">
        <w:rPr>
          <w:rFonts w:ascii="Times New Roman" w:hAnsi="Times New Roman"/>
          <w:sz w:val="22"/>
          <w:szCs w:val="22"/>
        </w:rPr>
        <w:t>. Frekvencia a </w:t>
      </w:r>
      <w:r>
        <w:rPr>
          <w:rFonts w:ascii="Times New Roman" w:hAnsi="Times New Roman"/>
          <w:sz w:val="22"/>
          <w:szCs w:val="22"/>
        </w:rPr>
        <w:t>druh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vyšetrení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majú robiť na základe stanovených postupov a majú sa prispôsobiť individuálnym potrebám ženy.</w:t>
      </w:r>
    </w:p>
    <w:p w14:paraId="3757CE19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E8A72D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</w:t>
      </w:r>
      <w:r>
        <w:rPr>
          <w:rFonts w:ascii="Times New Roman" w:hAnsi="Times New Roman"/>
          <w:sz w:val="22"/>
          <w:szCs w:val="22"/>
        </w:rPr>
        <w:t>majú byť upozornené</w:t>
      </w:r>
      <w:r w:rsidRPr="000F7489">
        <w:rPr>
          <w:rFonts w:ascii="Times New Roman" w:hAnsi="Times New Roman"/>
          <w:sz w:val="22"/>
          <w:szCs w:val="22"/>
        </w:rPr>
        <w:t xml:space="preserve">, že </w:t>
      </w:r>
      <w:r>
        <w:rPr>
          <w:rFonts w:ascii="Times New Roman" w:hAnsi="Times New Roman"/>
          <w:sz w:val="22"/>
          <w:szCs w:val="22"/>
        </w:rPr>
        <w:t>hormonálne kontraceptíva</w:t>
      </w:r>
      <w:r w:rsidRPr="000F7489">
        <w:rPr>
          <w:rFonts w:ascii="Times New Roman" w:hAnsi="Times New Roman"/>
          <w:sz w:val="22"/>
          <w:szCs w:val="22"/>
        </w:rPr>
        <w:t xml:space="preserve"> nechráni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pred infekciami </w:t>
      </w:r>
      <w:r>
        <w:rPr>
          <w:rFonts w:ascii="Times New Roman" w:hAnsi="Times New Roman"/>
          <w:sz w:val="22"/>
          <w:szCs w:val="22"/>
        </w:rPr>
        <w:t xml:space="preserve">vírusom </w:t>
      </w:r>
      <w:r w:rsidRPr="000F7489">
        <w:rPr>
          <w:rFonts w:ascii="Times New Roman" w:hAnsi="Times New Roman"/>
          <w:sz w:val="22"/>
          <w:szCs w:val="22"/>
        </w:rPr>
        <w:t xml:space="preserve">HIV (AIDS) </w:t>
      </w:r>
      <w:r>
        <w:rPr>
          <w:rFonts w:ascii="Times New Roman" w:hAnsi="Times New Roman"/>
          <w:sz w:val="22"/>
          <w:szCs w:val="22"/>
        </w:rPr>
        <w:t>ani</w:t>
      </w:r>
      <w:r w:rsidRPr="000F7489">
        <w:rPr>
          <w:rFonts w:ascii="Times New Roman" w:hAnsi="Times New Roman"/>
          <w:sz w:val="22"/>
          <w:szCs w:val="22"/>
        </w:rPr>
        <w:t xml:space="preserve"> inými </w:t>
      </w:r>
      <w:r>
        <w:rPr>
          <w:rFonts w:ascii="Times New Roman" w:hAnsi="Times New Roman"/>
          <w:sz w:val="22"/>
          <w:szCs w:val="22"/>
        </w:rPr>
        <w:t>ochoreniami prenášanými pohlavným stykom.</w:t>
      </w:r>
    </w:p>
    <w:p w14:paraId="60639EA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8CB627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ÚČINNOSŤ</w:t>
      </w:r>
    </w:p>
    <w:p w14:paraId="5D8E10C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Účinnosť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 sa môže znížiť </w:t>
      </w:r>
      <w:r>
        <w:rPr>
          <w:rFonts w:ascii="Times New Roman" w:hAnsi="Times New Roman"/>
          <w:sz w:val="22"/>
          <w:szCs w:val="22"/>
        </w:rPr>
        <w:t>v prípade</w:t>
      </w:r>
      <w:r w:rsidRPr="000F7489">
        <w:rPr>
          <w:rFonts w:ascii="Times New Roman" w:hAnsi="Times New Roman"/>
          <w:sz w:val="22"/>
          <w:szCs w:val="22"/>
        </w:rPr>
        <w:t xml:space="preserve"> nesprávneho používania (časť 4.2) alebo súbežn</w:t>
      </w:r>
      <w:r>
        <w:rPr>
          <w:rFonts w:ascii="Times New Roman" w:hAnsi="Times New Roman"/>
          <w:sz w:val="22"/>
          <w:szCs w:val="22"/>
        </w:rPr>
        <w:t>ým používaním liekov, ktoré znižujú plazmatické koncentrácie etinylestradiolu a/alebo etonogestrelu</w:t>
      </w:r>
      <w:r w:rsidRPr="000F7489">
        <w:rPr>
          <w:rFonts w:ascii="Times New Roman" w:hAnsi="Times New Roman"/>
          <w:sz w:val="22"/>
          <w:szCs w:val="22"/>
        </w:rPr>
        <w:t xml:space="preserve"> (časť 4.5).</w:t>
      </w:r>
    </w:p>
    <w:p w14:paraId="2E25908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2278C9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KONTROLA CYKLU</w:t>
      </w:r>
    </w:p>
    <w:p w14:paraId="724AA55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Pri používaní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 sa môže objaviť nepravidelné krvácanie (špinenie alebo medzimenštruačné krvácanie). Ak sa nepravidelnosti v krvácaní objavia po predchádzajúcich pravidelných cykloch, pričom sa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používal podľa odporúčaného režimu, je potrebné zvážiť nehormonálne príčiny a sú indikované vhodné diagnostické opatrenia na vylúčenie zhubného ochorenia alebo gravidity. Tieto opatrenia môžu zahŕňať kyretáž.</w:t>
      </w:r>
    </w:p>
    <w:p w14:paraId="34B53AD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79F344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niektorých žien sa počas obdobia bez krúžku nemusí objaviť krvácanie z vysadenia. Ak sa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 používal podľa pokynov opísaných v časti 4.2, je nepravdepodobné, že je žena gravidná. Ak sa však </w:t>
      </w:r>
      <w:r w:rsidR="008E30F4" w:rsidRPr="003817FE">
        <w:rPr>
          <w:rFonts w:ascii="Times New Roman" w:hAnsi="Times New Roman"/>
          <w:sz w:val="22"/>
          <w:szCs w:val="22"/>
        </w:rPr>
        <w:t>Perlinring</w:t>
      </w:r>
      <w:r w:rsidR="008E30F4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nepoužíval podľa týchto pokynov pred prvým vynechaním krvácania z vysadenia alebo ak došlo k vynechaniu dvoch krvácaní z vysadenia, pred pokračovaním v používaní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je potrebné vylúčiť graviditu.</w:t>
      </w:r>
    </w:p>
    <w:p w14:paraId="21A5706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2D59C0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</w:rPr>
      </w:pPr>
      <w:r w:rsidRPr="000F7489">
        <w:rPr>
          <w:rFonts w:ascii="Times New Roman" w:hAnsi="Times New Roman"/>
          <w:bCs/>
          <w:caps/>
          <w:sz w:val="22"/>
          <w:szCs w:val="22"/>
        </w:rPr>
        <w:t>EXPOZÍCIA ETINYLestradiolu a etonogestrelu U MUŽA</w:t>
      </w:r>
    </w:p>
    <w:p w14:paraId="37D04B8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Rozsah a možná farmakologická úloha expozície etinylestradiolu a etonogestrelu u sexuálnych partnerov mužského pohlavia prostredníctvom absorpcie penisom sa neskúmali.</w:t>
      </w:r>
    </w:p>
    <w:p w14:paraId="4CEE6BB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1A6EDA5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POŠKODENÉ KRÚŽKY</w:t>
      </w:r>
    </w:p>
    <w:p w14:paraId="2BF7CC8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Vo veľmi zriedkavých</w:t>
      </w:r>
      <w:r w:rsidR="00581D44">
        <w:rPr>
          <w:rFonts w:ascii="Times New Roman" w:hAnsi="Times New Roman"/>
          <w:sz w:val="22"/>
          <w:szCs w:val="22"/>
        </w:rPr>
        <w:t xml:space="preserve"> prípadoch sa hlásilo rozlomenie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 počas používania (pozri časť 4.5). Ženu je potrebné poučiť, aby si hneď ako to bude možné, </w:t>
      </w:r>
      <w:r>
        <w:rPr>
          <w:rFonts w:ascii="Times New Roman" w:hAnsi="Times New Roman"/>
          <w:sz w:val="22"/>
          <w:szCs w:val="22"/>
        </w:rPr>
        <w:t xml:space="preserve">vybrala </w:t>
      </w:r>
      <w:r w:rsidRPr="000F7489">
        <w:rPr>
          <w:rFonts w:ascii="Times New Roman" w:hAnsi="Times New Roman"/>
          <w:sz w:val="22"/>
          <w:szCs w:val="22"/>
        </w:rPr>
        <w:t>poškodený krúžok a opätovne zaviedla nový krúžok a aby počas ďalších 7 dní používala doplnkovú bariérovú metódu, ako napr. prezervatív. Musí sa zvážiť možnosť gravidity a žena má kontaktovať svojho lekára.</w:t>
      </w:r>
    </w:p>
    <w:p w14:paraId="5C6F0F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BB51F6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VYPUDENIE</w:t>
      </w:r>
    </w:p>
    <w:p w14:paraId="5E831B5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Zaznamenali sa prípady vypudenia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u, napríklad ak sa krúžok nezaviedol správne, počas vyberania menštruačného tampónu, počas pohlavného styku alebo pri silnej alebo chronickej zápche. Dlhodobé vypudenie môže viesť k zlyhaniu kontraceptívneho účinku a/alebo ku krvácaniu z vysadenia. Na zabezpečenie účinnosti </w:t>
      </w:r>
      <w:r w:rsidR="00F66EEC">
        <w:rPr>
          <w:rFonts w:ascii="Times New Roman" w:hAnsi="Times New Roman"/>
          <w:sz w:val="22"/>
          <w:szCs w:val="22"/>
        </w:rPr>
        <w:t>treba</w:t>
      </w:r>
      <w:r w:rsidRPr="000F7489">
        <w:rPr>
          <w:rFonts w:ascii="Times New Roman" w:hAnsi="Times New Roman"/>
          <w:sz w:val="22"/>
          <w:szCs w:val="22"/>
        </w:rPr>
        <w:t xml:space="preserve"> žen</w:t>
      </w:r>
      <w:r w:rsidR="00F66EEC">
        <w:rPr>
          <w:rFonts w:ascii="Times New Roman" w:hAnsi="Times New Roman"/>
          <w:sz w:val="22"/>
          <w:szCs w:val="22"/>
        </w:rPr>
        <w:t xml:space="preserve">e odporučiť, aby si </w:t>
      </w:r>
      <w:r w:rsidRPr="000F7489">
        <w:rPr>
          <w:rFonts w:ascii="Times New Roman" w:hAnsi="Times New Roman"/>
          <w:sz w:val="22"/>
          <w:szCs w:val="22"/>
        </w:rPr>
        <w:t>pravidelne kontrolova</w:t>
      </w:r>
      <w:r w:rsidR="00F04521">
        <w:rPr>
          <w:rFonts w:ascii="Times New Roman" w:hAnsi="Times New Roman"/>
          <w:sz w:val="22"/>
          <w:szCs w:val="22"/>
        </w:rPr>
        <w:t>la</w:t>
      </w:r>
      <w:r w:rsidRPr="000F7489">
        <w:rPr>
          <w:rFonts w:ascii="Times New Roman" w:hAnsi="Times New Roman"/>
          <w:sz w:val="22"/>
          <w:szCs w:val="22"/>
        </w:rPr>
        <w:t xml:space="preserve"> prítomnosť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</w:t>
      </w:r>
      <w:r w:rsidR="001D3920">
        <w:rPr>
          <w:rFonts w:ascii="Times New Roman" w:hAnsi="Times New Roman"/>
          <w:sz w:val="22"/>
          <w:szCs w:val="22"/>
        </w:rPr>
        <w:t xml:space="preserve"> (napríklad pred a </w:t>
      </w:r>
      <w:r w:rsidR="001D3920" w:rsidRPr="001D3920">
        <w:rPr>
          <w:rFonts w:ascii="Times New Roman" w:hAnsi="Times New Roman"/>
          <w:sz w:val="22"/>
          <w:szCs w:val="22"/>
        </w:rPr>
        <w:t>po pohlavnom styku)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66BDDAA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C7971D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náhodne vypudený a bol mimo pošvy </w:t>
      </w:r>
      <w:r w:rsidRPr="00284D30">
        <w:rPr>
          <w:rFonts w:ascii="Times New Roman" w:hAnsi="Times New Roman"/>
          <w:sz w:val="22"/>
          <w:szCs w:val="22"/>
        </w:rPr>
        <w:t>menej ako 3</w:t>
      </w:r>
      <w:r w:rsidRPr="00D05F3C">
        <w:rPr>
          <w:rFonts w:ascii="Times New Roman" w:hAnsi="Times New Roman"/>
          <w:sz w:val="22"/>
          <w:szCs w:val="22"/>
        </w:rPr>
        <w:t> </w:t>
      </w:r>
      <w:r w:rsidRPr="00284D30">
        <w:rPr>
          <w:rFonts w:ascii="Times New Roman" w:hAnsi="Times New Roman"/>
          <w:sz w:val="22"/>
          <w:szCs w:val="22"/>
        </w:rPr>
        <w:t>hodiny</w:t>
      </w:r>
      <w:r w:rsidRPr="000F7489">
        <w:rPr>
          <w:rFonts w:ascii="Times New Roman" w:hAnsi="Times New Roman"/>
          <w:sz w:val="22"/>
          <w:szCs w:val="22"/>
        </w:rPr>
        <w:t>, kontraceptívny účinok sa neznížil. Žena musí vypudený krúžok opláchnuť studenou a</w:t>
      </w:r>
      <w:r>
        <w:rPr>
          <w:rFonts w:ascii="Times New Roman" w:hAnsi="Times New Roman"/>
          <w:sz w:val="22"/>
          <w:szCs w:val="22"/>
        </w:rPr>
        <w:t xml:space="preserve">ž </w:t>
      </w:r>
      <w:r w:rsidRPr="000F7489">
        <w:rPr>
          <w:rFonts w:ascii="Times New Roman" w:hAnsi="Times New Roman"/>
          <w:sz w:val="22"/>
          <w:szCs w:val="22"/>
        </w:rPr>
        <w:t>vlažnou vodou (nie horúcou) a čo najskôr si krúžok opäť zaviesť, ale najneskôr do 3 hodín.</w:t>
      </w:r>
    </w:p>
    <w:p w14:paraId="7A11EC2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C9E395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r w:rsidR="00E33AC3" w:rsidRPr="003817FE">
        <w:rPr>
          <w:rFonts w:ascii="Times New Roman" w:hAnsi="Times New Roman"/>
          <w:sz w:val="22"/>
          <w:szCs w:val="22"/>
        </w:rPr>
        <w:t>Perlinring</w:t>
      </w:r>
      <w:r w:rsidR="00E33AC3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mimo pošvy </w:t>
      </w:r>
      <w:r w:rsidRPr="00284D30">
        <w:rPr>
          <w:rFonts w:ascii="Times New Roman" w:hAnsi="Times New Roman"/>
          <w:sz w:val="22"/>
          <w:szCs w:val="22"/>
        </w:rPr>
        <w:t>dlhšie ako 3</w:t>
      </w:r>
      <w:r w:rsidRPr="00592681">
        <w:rPr>
          <w:rFonts w:ascii="Times New Roman" w:hAnsi="Times New Roman"/>
          <w:sz w:val="22"/>
          <w:szCs w:val="22"/>
        </w:rPr>
        <w:t> </w:t>
      </w:r>
      <w:r w:rsidRPr="00284D30">
        <w:rPr>
          <w:rFonts w:ascii="Times New Roman" w:hAnsi="Times New Roman"/>
          <w:sz w:val="22"/>
          <w:szCs w:val="22"/>
        </w:rPr>
        <w:t xml:space="preserve">hodiny </w:t>
      </w:r>
      <w:r w:rsidRPr="00592681">
        <w:rPr>
          <w:rFonts w:ascii="Times New Roman" w:hAnsi="Times New Roman"/>
          <w:sz w:val="22"/>
          <w:szCs w:val="22"/>
        </w:rPr>
        <w:t>alebo</w:t>
      </w:r>
      <w:r w:rsidRPr="000F7489">
        <w:rPr>
          <w:rFonts w:ascii="Times New Roman" w:hAnsi="Times New Roman"/>
          <w:sz w:val="22"/>
          <w:szCs w:val="22"/>
        </w:rPr>
        <w:t xml:space="preserve"> existuje podozrenie, že bol mimo pošvy dlhšie ako 3 hodiny, kontraceptívny účinok sa môže znížiť. V takom prípade je potrebné postupovať podľa príslušnej rady uvedenej v časti 4.2 „Čo robiť, ak bol krúžok dočasne mimo pošvy“.</w:t>
      </w:r>
    </w:p>
    <w:p w14:paraId="7D0B757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A6E193" w14:textId="77777777"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4.5</w:t>
      </w:r>
      <w:r w:rsidRPr="000F7489">
        <w:rPr>
          <w:rFonts w:ascii="Times New Roman" w:hAnsi="Times New Roman"/>
          <w:sz w:val="22"/>
          <w:szCs w:val="22"/>
        </w:rPr>
        <w:tab/>
        <w:t>Liekové a iné interakcie</w:t>
      </w:r>
    </w:p>
    <w:p w14:paraId="0C28A1D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DD57BF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INTERAKCIE S INÝMI LIEKMI</w:t>
      </w:r>
    </w:p>
    <w:p w14:paraId="52026C4E" w14:textId="77777777" w:rsidR="00C627EB" w:rsidRDefault="00C627EB" w:rsidP="00C8521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Poznámka: na určenie potenciálnych interakcií</w:t>
      </w:r>
      <w:r w:rsidRPr="000F7489">
        <w:rPr>
          <w:rFonts w:ascii="Times New Roman" w:hAnsi="Times New Roman"/>
          <w:sz w:val="22"/>
          <w:szCs w:val="22"/>
        </w:rPr>
        <w:t xml:space="preserve"> je potrebné </w:t>
      </w:r>
      <w:r>
        <w:rPr>
          <w:rFonts w:ascii="Times New Roman" w:hAnsi="Times New Roman"/>
          <w:sz w:val="22"/>
          <w:szCs w:val="22"/>
        </w:rPr>
        <w:t>sa oboznámiť s odbornými informáciami o súbežne používaných liekoch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4201CC8B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A10D307" w14:textId="77777777" w:rsidR="00C627EB" w:rsidRDefault="00C627EB" w:rsidP="00226C8F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Účinky iných liekov na </w:t>
      </w:r>
      <w:r w:rsidR="00CE189C" w:rsidRPr="003817FE">
        <w:rPr>
          <w:rFonts w:ascii="Times New Roman" w:hAnsi="Times New Roman"/>
          <w:sz w:val="22"/>
          <w:szCs w:val="22"/>
        </w:rPr>
        <w:t>Perlinring</w:t>
      </w:r>
      <w:r w:rsidR="00CE189C" w:rsidRPr="00CE189C">
        <w:rPr>
          <w:rFonts w:ascii="Times New Roman" w:hAnsi="Times New Roman"/>
          <w:i/>
          <w:sz w:val="22"/>
          <w:szCs w:val="22"/>
        </w:rPr>
        <w:t xml:space="preserve"> </w:t>
      </w:r>
    </w:p>
    <w:p w14:paraId="527C87E9" w14:textId="77777777" w:rsidR="00304E85" w:rsidRDefault="00304E85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E76E3B8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Môžu sa objaviť i</w:t>
      </w:r>
      <w:r w:rsidRPr="000F7489">
        <w:rPr>
          <w:rFonts w:ascii="Times New Roman" w:hAnsi="Times New Roman"/>
          <w:sz w:val="22"/>
          <w:szCs w:val="22"/>
        </w:rPr>
        <w:t xml:space="preserve">nterakcie </w:t>
      </w:r>
      <w:r>
        <w:rPr>
          <w:rFonts w:ascii="Times New Roman" w:hAnsi="Times New Roman"/>
          <w:sz w:val="22"/>
          <w:szCs w:val="22"/>
        </w:rPr>
        <w:t>s </w:t>
      </w:r>
      <w:r w:rsidRPr="000F7489">
        <w:rPr>
          <w:rFonts w:ascii="Times New Roman" w:hAnsi="Times New Roman"/>
          <w:sz w:val="22"/>
          <w:szCs w:val="22"/>
        </w:rPr>
        <w:t xml:space="preserve">liekmi </w:t>
      </w:r>
      <w:r>
        <w:rPr>
          <w:rFonts w:ascii="Times New Roman" w:hAnsi="Times New Roman"/>
          <w:sz w:val="22"/>
          <w:szCs w:val="22"/>
        </w:rPr>
        <w:t>alebo rastlinnými prípravkami, ktoré indukujú mikrozomálne enzýmy, čo môže mať za následok zvýšený klírens pohlavných hormónov a </w:t>
      </w:r>
      <w:r w:rsidRPr="000F7489">
        <w:rPr>
          <w:rFonts w:ascii="Times New Roman" w:hAnsi="Times New Roman"/>
          <w:sz w:val="22"/>
          <w:szCs w:val="22"/>
        </w:rPr>
        <w:t>môž</w:t>
      </w:r>
      <w:r>
        <w:rPr>
          <w:rFonts w:ascii="Times New Roman" w:hAnsi="Times New Roman"/>
          <w:sz w:val="22"/>
          <w:szCs w:val="22"/>
        </w:rPr>
        <w:t>e to</w:t>
      </w:r>
      <w:r w:rsidRPr="000F7489">
        <w:rPr>
          <w:rFonts w:ascii="Times New Roman" w:hAnsi="Times New Roman"/>
          <w:sz w:val="22"/>
          <w:szCs w:val="22"/>
        </w:rPr>
        <w:t xml:space="preserve"> viesť k medzimenštruačnému krvácaniu a/alebo k zlyhaniu kontraceptíva.</w:t>
      </w:r>
    </w:p>
    <w:p w14:paraId="020AB6C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13AFB6" w14:textId="77777777" w:rsidR="00C627EB" w:rsidRPr="00915E31" w:rsidRDefault="00C627EB" w:rsidP="00600D60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t>Manažment</w:t>
      </w:r>
    </w:p>
    <w:p w14:paraId="3E48BFC6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6E57D5">
        <w:rPr>
          <w:rFonts w:ascii="Times New Roman" w:hAnsi="Times New Roman"/>
          <w:sz w:val="22"/>
          <w:szCs w:val="22"/>
        </w:rPr>
        <w:t xml:space="preserve">Indukcia enzýmov sa môže objaviť </w:t>
      </w:r>
      <w:r>
        <w:rPr>
          <w:rFonts w:ascii="Times New Roman" w:hAnsi="Times New Roman"/>
          <w:sz w:val="22"/>
          <w:szCs w:val="22"/>
        </w:rPr>
        <w:t xml:space="preserve">už </w:t>
      </w:r>
      <w:r w:rsidRPr="006E57D5">
        <w:rPr>
          <w:rFonts w:ascii="Times New Roman" w:hAnsi="Times New Roman"/>
          <w:sz w:val="22"/>
          <w:szCs w:val="22"/>
        </w:rPr>
        <w:t>po niekoľkých dňoch li</w:t>
      </w:r>
      <w:r>
        <w:rPr>
          <w:rFonts w:ascii="Times New Roman" w:hAnsi="Times New Roman"/>
          <w:sz w:val="22"/>
          <w:szCs w:val="22"/>
        </w:rPr>
        <w:t>ečby. Maximálna indukcia enzýmov</w:t>
      </w:r>
      <w:r w:rsidRPr="006E57D5">
        <w:rPr>
          <w:rFonts w:ascii="Times New Roman" w:hAnsi="Times New Roman"/>
          <w:sz w:val="22"/>
          <w:szCs w:val="22"/>
        </w:rPr>
        <w:t xml:space="preserve"> je zvyčajne sledovaná počas niekoľkých týždňov. Po </w:t>
      </w:r>
      <w:r>
        <w:rPr>
          <w:rFonts w:ascii="Times New Roman" w:hAnsi="Times New Roman"/>
          <w:sz w:val="22"/>
          <w:szCs w:val="22"/>
        </w:rPr>
        <w:t>prerušení</w:t>
      </w:r>
      <w:r w:rsidRPr="006E57D5">
        <w:rPr>
          <w:rFonts w:ascii="Times New Roman" w:hAnsi="Times New Roman"/>
          <w:sz w:val="22"/>
          <w:szCs w:val="22"/>
        </w:rPr>
        <w:t xml:space="preserve"> liečby môže indukcia enzýmov pretrvávať približne 4 týždne.</w:t>
      </w:r>
    </w:p>
    <w:p w14:paraId="07F1D3A5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35103B5" w14:textId="77777777" w:rsidR="00C627EB" w:rsidRPr="00915E31" w:rsidRDefault="00C627EB" w:rsidP="00855313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915E31">
        <w:rPr>
          <w:rFonts w:ascii="Times New Roman" w:hAnsi="Times New Roman"/>
          <w:sz w:val="22"/>
          <w:szCs w:val="22"/>
          <w:u w:val="single"/>
        </w:rPr>
        <w:t>Krátkodobá liečba</w:t>
      </w:r>
    </w:p>
    <w:p w14:paraId="36081B62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A7842">
        <w:rPr>
          <w:rFonts w:ascii="Times New Roman" w:hAnsi="Times New Roman"/>
          <w:sz w:val="22"/>
          <w:szCs w:val="22"/>
        </w:rPr>
        <w:t xml:space="preserve">Ženy liečené liekmi indukujúcimi enzýmy alebo rastlinnými prípravkami, majú </w:t>
      </w:r>
      <w:r>
        <w:rPr>
          <w:rFonts w:ascii="Times New Roman" w:hAnsi="Times New Roman"/>
          <w:sz w:val="22"/>
          <w:szCs w:val="22"/>
        </w:rPr>
        <w:t>ako doplnok k </w:t>
      </w:r>
      <w:r w:rsidR="00105FAE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 xml:space="preserve">u dočasne používať bariérovú metódu alebo inú metódu antikoncepcie. Poznámka: </w:t>
      </w:r>
      <w:r w:rsidR="00105FAE" w:rsidRPr="003817FE">
        <w:rPr>
          <w:rFonts w:ascii="Times New Roman" w:hAnsi="Times New Roman"/>
          <w:sz w:val="22"/>
          <w:szCs w:val="22"/>
        </w:rPr>
        <w:t>Perlinring</w:t>
      </w:r>
      <w:r w:rsidR="00105FAE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nemá </w:t>
      </w:r>
      <w:r w:rsidRPr="00175583">
        <w:rPr>
          <w:rFonts w:ascii="Times New Roman" w:hAnsi="Times New Roman"/>
          <w:sz w:val="22"/>
          <w:szCs w:val="22"/>
        </w:rPr>
        <w:t>používať s</w:t>
      </w:r>
      <w:r w:rsidR="00175583">
        <w:rPr>
          <w:rFonts w:ascii="Times New Roman" w:hAnsi="Times New Roman"/>
          <w:sz w:val="22"/>
          <w:szCs w:val="22"/>
        </w:rPr>
        <w:t xml:space="preserve"> diafragmou, </w:t>
      </w:r>
      <w:r w:rsidR="00175583" w:rsidRPr="00175583">
        <w:rPr>
          <w:rFonts w:ascii="Times New Roman" w:hAnsi="Times New Roman"/>
          <w:sz w:val="22"/>
          <w:szCs w:val="22"/>
        </w:rPr>
        <w:t>cervikálnou</w:t>
      </w:r>
      <w:r w:rsidR="00175583">
        <w:rPr>
          <w:rFonts w:ascii="Times New Roman" w:hAnsi="Times New Roman"/>
          <w:sz w:val="22"/>
          <w:szCs w:val="22"/>
        </w:rPr>
        <w:t xml:space="preserve"> čiapočkou</w:t>
      </w:r>
      <w:r w:rsidR="00175583" w:rsidRPr="00175583">
        <w:rPr>
          <w:rFonts w:ascii="Times New Roman" w:hAnsi="Times New Roman"/>
          <w:sz w:val="22"/>
          <w:szCs w:val="22"/>
        </w:rPr>
        <w:t xml:space="preserve"> </w:t>
      </w:r>
      <w:r w:rsidR="00175583">
        <w:rPr>
          <w:rFonts w:ascii="Times New Roman" w:hAnsi="Times New Roman"/>
          <w:sz w:val="22"/>
          <w:szCs w:val="22"/>
        </w:rPr>
        <w:t>alebo</w:t>
      </w:r>
      <w:r w:rsidRPr="00175583">
        <w:rPr>
          <w:rFonts w:ascii="Times New Roman" w:hAnsi="Times New Roman"/>
          <w:sz w:val="22"/>
          <w:szCs w:val="22"/>
        </w:rPr>
        <w:t xml:space="preserve"> ženským kondómom</w:t>
      </w:r>
      <w:r w:rsidRPr="00EA7842">
        <w:rPr>
          <w:rFonts w:ascii="Times New Roman" w:hAnsi="Times New Roman"/>
          <w:sz w:val="22"/>
          <w:szCs w:val="22"/>
        </w:rPr>
        <w:t>. Bariérová metóda sa musí používa</w:t>
      </w:r>
      <w:r>
        <w:rPr>
          <w:rFonts w:ascii="Times New Roman" w:hAnsi="Times New Roman"/>
          <w:sz w:val="22"/>
          <w:szCs w:val="22"/>
        </w:rPr>
        <w:t>ť počas celého obdobia súbežnej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liečby a </w:t>
      </w:r>
      <w:r w:rsidRPr="00EA7842">
        <w:rPr>
          <w:rFonts w:ascii="Times New Roman" w:hAnsi="Times New Roman"/>
          <w:sz w:val="22"/>
          <w:szCs w:val="22"/>
        </w:rPr>
        <w:t>počas 28 dní po</w:t>
      </w:r>
      <w:r>
        <w:rPr>
          <w:rFonts w:ascii="Times New Roman" w:hAnsi="Times New Roman"/>
          <w:sz w:val="22"/>
          <w:szCs w:val="22"/>
        </w:rPr>
        <w:t xml:space="preserve"> jej ukončení.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 w:rsidRPr="00B14397">
        <w:rPr>
          <w:rFonts w:ascii="Times New Roman" w:hAnsi="Times New Roman"/>
          <w:sz w:val="22"/>
          <w:szCs w:val="22"/>
        </w:rPr>
        <w:t>Ak súbežné podávanie lieku presiahne 3-týždňový cyklus krúžku, ďalší krúžok sa má zaviesť okamžite, bez zvyčajného obdobia bez krúžku.</w:t>
      </w:r>
    </w:p>
    <w:p w14:paraId="700F5644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76D5C7A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Dlhodobá liečba</w:t>
      </w:r>
    </w:p>
    <w:p w14:paraId="59816BD7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 </w:t>
      </w:r>
      <w:r w:rsidRPr="002A16F1">
        <w:rPr>
          <w:rFonts w:ascii="Times New Roman" w:hAnsi="Times New Roman"/>
          <w:sz w:val="22"/>
          <w:szCs w:val="22"/>
        </w:rPr>
        <w:t>žien,</w:t>
      </w:r>
      <w:r>
        <w:rPr>
          <w:rFonts w:ascii="Times New Roman" w:hAnsi="Times New Roman"/>
          <w:sz w:val="22"/>
          <w:szCs w:val="22"/>
        </w:rPr>
        <w:t xml:space="preserve"> ktoré sa dlhodobo liečia liečivami</w:t>
      </w:r>
      <w:r w:rsidRPr="002A16F1">
        <w:rPr>
          <w:rFonts w:ascii="Times New Roman" w:hAnsi="Times New Roman"/>
          <w:sz w:val="22"/>
          <w:szCs w:val="22"/>
        </w:rPr>
        <w:t xml:space="preserve"> indukujúcimi pečeňové enzýmy sa </w:t>
      </w:r>
      <w:r>
        <w:rPr>
          <w:rFonts w:ascii="Times New Roman" w:hAnsi="Times New Roman"/>
          <w:sz w:val="22"/>
          <w:szCs w:val="22"/>
        </w:rPr>
        <w:t>odporúča iná spoľahlivá nehormonálna</w:t>
      </w:r>
      <w:r w:rsidRPr="002A16F1">
        <w:rPr>
          <w:rFonts w:ascii="Times New Roman" w:hAnsi="Times New Roman"/>
          <w:sz w:val="22"/>
          <w:szCs w:val="22"/>
        </w:rPr>
        <w:t xml:space="preserve"> metóda antikoncepcie</w:t>
      </w:r>
      <w:r>
        <w:rPr>
          <w:rFonts w:ascii="Times New Roman" w:hAnsi="Times New Roman"/>
          <w:sz w:val="22"/>
          <w:szCs w:val="22"/>
        </w:rPr>
        <w:t>.</w:t>
      </w:r>
    </w:p>
    <w:p w14:paraId="551307CC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1EFE24" w14:textId="77777777" w:rsidR="00C627EB" w:rsidRDefault="00175583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175583">
        <w:rPr>
          <w:rFonts w:ascii="Times New Roman" w:hAnsi="Times New Roman"/>
          <w:sz w:val="22"/>
          <w:szCs w:val="22"/>
        </w:rPr>
        <w:t>V literatúre boli hlásené</w:t>
      </w:r>
      <w:r w:rsidR="00C627EB" w:rsidRPr="00175583">
        <w:rPr>
          <w:rFonts w:ascii="Times New Roman" w:hAnsi="Times New Roman"/>
          <w:sz w:val="22"/>
          <w:szCs w:val="22"/>
        </w:rPr>
        <w:t xml:space="preserve"> nasledujúce</w:t>
      </w:r>
      <w:r w:rsidR="00C627EB">
        <w:rPr>
          <w:rFonts w:ascii="Times New Roman" w:hAnsi="Times New Roman"/>
          <w:sz w:val="22"/>
          <w:szCs w:val="22"/>
        </w:rPr>
        <w:t xml:space="preserve"> interakcie.</w:t>
      </w:r>
    </w:p>
    <w:p w14:paraId="7E088D88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292A8E2C" w14:textId="77777777"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915E31">
        <w:rPr>
          <w:rFonts w:ascii="Times New Roman" w:hAnsi="Times New Roman"/>
          <w:i/>
          <w:sz w:val="22"/>
          <w:szCs w:val="22"/>
        </w:rPr>
        <w:t xml:space="preserve">Látky zvyšujúce klírens </w:t>
      </w:r>
      <w:r>
        <w:rPr>
          <w:rFonts w:ascii="Times New Roman" w:hAnsi="Times New Roman"/>
          <w:i/>
          <w:sz w:val="22"/>
          <w:szCs w:val="22"/>
        </w:rPr>
        <w:t>kombinovaných hormonálnych kontraceptív</w:t>
      </w:r>
    </w:p>
    <w:p w14:paraId="609CF9E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>ôžu sa objaviť interakcie s liekmi</w:t>
      </w:r>
      <w:r w:rsidRPr="00C8521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alebo rastlinnými prípravkami</w:t>
      </w:r>
      <w:r w:rsidRPr="000F7489">
        <w:rPr>
          <w:rFonts w:ascii="Times New Roman" w:hAnsi="Times New Roman"/>
          <w:sz w:val="22"/>
          <w:szCs w:val="22"/>
        </w:rPr>
        <w:t xml:space="preserve">, ktoré indukujú mikrozomálne enzýmy, </w:t>
      </w:r>
      <w:r>
        <w:rPr>
          <w:rFonts w:ascii="Times New Roman" w:hAnsi="Times New Roman"/>
          <w:sz w:val="22"/>
          <w:szCs w:val="22"/>
        </w:rPr>
        <w:t xml:space="preserve">konkrétne enzýmy cytochrómu P450 (CYP), </w:t>
      </w:r>
      <w:r w:rsidRPr="000F7489">
        <w:rPr>
          <w:rFonts w:ascii="Times New Roman" w:hAnsi="Times New Roman"/>
          <w:sz w:val="22"/>
          <w:szCs w:val="22"/>
        </w:rPr>
        <w:t xml:space="preserve">čo môže viesť k zvýšenému klírensu </w:t>
      </w:r>
      <w:r>
        <w:rPr>
          <w:rFonts w:ascii="Times New Roman" w:hAnsi="Times New Roman"/>
          <w:sz w:val="22"/>
          <w:szCs w:val="22"/>
        </w:rPr>
        <w:t>a tým k zníženiu plazmatických koncentrácií</w:t>
      </w:r>
      <w:r w:rsidRPr="000F7489">
        <w:rPr>
          <w:rFonts w:ascii="Times New Roman" w:hAnsi="Times New Roman"/>
          <w:sz w:val="22"/>
          <w:szCs w:val="22"/>
        </w:rPr>
        <w:t xml:space="preserve"> pohlavných hormónov </w:t>
      </w:r>
      <w:r>
        <w:rPr>
          <w:rFonts w:ascii="Times New Roman" w:hAnsi="Times New Roman"/>
          <w:sz w:val="22"/>
          <w:szCs w:val="22"/>
        </w:rPr>
        <w:t>a </w:t>
      </w:r>
      <w:r w:rsidRPr="00C85212">
        <w:rPr>
          <w:rFonts w:ascii="Times New Roman" w:hAnsi="Times New Roman"/>
          <w:sz w:val="22"/>
          <w:szCs w:val="22"/>
        </w:rPr>
        <w:t xml:space="preserve">účinnosť kombinovaných hormonálnych kontraceptív, vrátane </w:t>
      </w:r>
      <w:r w:rsidR="00403C0D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>u</w:t>
      </w:r>
      <w:r w:rsidRPr="00C85212">
        <w:rPr>
          <w:rFonts w:ascii="Times New Roman" w:hAnsi="Times New Roman"/>
          <w:sz w:val="22"/>
          <w:szCs w:val="22"/>
        </w:rPr>
        <w:t>, s</w:t>
      </w:r>
      <w:r>
        <w:rPr>
          <w:rFonts w:ascii="Times New Roman" w:hAnsi="Times New Roman"/>
          <w:sz w:val="22"/>
          <w:szCs w:val="22"/>
        </w:rPr>
        <w:t>a môže znížiť. Medzi tieto lieky</w:t>
      </w:r>
      <w:r w:rsidRPr="00C85212">
        <w:rPr>
          <w:rFonts w:ascii="Times New Roman" w:hAnsi="Times New Roman"/>
          <w:sz w:val="22"/>
          <w:szCs w:val="22"/>
        </w:rPr>
        <w:t xml:space="preserve"> patria</w:t>
      </w:r>
      <w:r w:rsidRPr="000F7489">
        <w:rPr>
          <w:rFonts w:ascii="Times New Roman" w:hAnsi="Times New Roman"/>
          <w:sz w:val="22"/>
          <w:szCs w:val="22"/>
        </w:rPr>
        <w:t xml:space="preserve"> fenytoín, fenobarbital, primidón, </w:t>
      </w:r>
      <w:r>
        <w:rPr>
          <w:rFonts w:ascii="Times New Roman" w:hAnsi="Times New Roman"/>
          <w:sz w:val="22"/>
          <w:szCs w:val="22"/>
        </w:rPr>
        <w:t xml:space="preserve">bosentan, </w:t>
      </w:r>
      <w:r w:rsidRPr="000F7489">
        <w:rPr>
          <w:rFonts w:ascii="Times New Roman" w:hAnsi="Times New Roman"/>
          <w:sz w:val="22"/>
          <w:szCs w:val="22"/>
        </w:rPr>
        <w:t>karbamazepín, rifampicín a prípadne tiež oxkarbazepín, topiramát, felbamát, gri</w:t>
      </w:r>
      <w:r>
        <w:rPr>
          <w:rFonts w:ascii="Times New Roman" w:hAnsi="Times New Roman"/>
          <w:sz w:val="22"/>
          <w:szCs w:val="22"/>
        </w:rPr>
        <w:t>z</w:t>
      </w:r>
      <w:r w:rsidRPr="000F7489">
        <w:rPr>
          <w:rFonts w:ascii="Times New Roman" w:hAnsi="Times New Roman"/>
          <w:sz w:val="22"/>
          <w:szCs w:val="22"/>
        </w:rPr>
        <w:t>eofulvín</w:t>
      </w:r>
      <w:r>
        <w:rPr>
          <w:rFonts w:ascii="Times New Roman" w:hAnsi="Times New Roman"/>
          <w:sz w:val="22"/>
          <w:szCs w:val="22"/>
        </w:rPr>
        <w:t xml:space="preserve">, niektoré inhibítory HIV proteázy </w:t>
      </w:r>
      <w:r w:rsidRPr="00CC51AB">
        <w:rPr>
          <w:rFonts w:ascii="Times New Roman" w:hAnsi="Times New Roman"/>
          <w:sz w:val="22"/>
          <w:szCs w:val="22"/>
        </w:rPr>
        <w:t>(napr. ritonavir</w:t>
      </w:r>
      <w:r>
        <w:rPr>
          <w:rFonts w:ascii="Times New Roman" w:hAnsi="Times New Roman"/>
          <w:sz w:val="22"/>
          <w:szCs w:val="22"/>
        </w:rPr>
        <w:t>) a </w:t>
      </w:r>
      <w:r w:rsidRPr="00CC51AB">
        <w:rPr>
          <w:rFonts w:ascii="Times New Roman" w:hAnsi="Times New Roman"/>
          <w:sz w:val="22"/>
          <w:szCs w:val="22"/>
        </w:rPr>
        <w:t>nenukleozidové inhibítory reverznej transkriptázy (napr. efavirenz)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 xml:space="preserve"> rastlinné </w:t>
      </w:r>
      <w:r w:rsidRPr="000F7489">
        <w:rPr>
          <w:rFonts w:ascii="Times New Roman" w:hAnsi="Times New Roman"/>
          <w:sz w:val="22"/>
          <w:szCs w:val="22"/>
        </w:rPr>
        <w:t>prípravky obsahujúce ľubovník bodkovaný.</w:t>
      </w:r>
    </w:p>
    <w:p w14:paraId="012B5362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62A88E0" w14:textId="77777777" w:rsidR="00C627EB" w:rsidRPr="00915E31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Látky s premenlivými účinkami na klírens kombinovaných hormonálnych kontraceptív</w:t>
      </w:r>
    </w:p>
    <w:p w14:paraId="58D1F502" w14:textId="77777777" w:rsidR="00C627EB" w:rsidRPr="003C7A79" w:rsidRDefault="00C627EB" w:rsidP="001E4D8A">
      <w:pPr>
        <w:tabs>
          <w:tab w:val="left" w:pos="964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3C7A79">
        <w:rPr>
          <w:rFonts w:ascii="Times New Roman" w:hAnsi="Times New Roman"/>
          <w:sz w:val="22"/>
          <w:szCs w:val="22"/>
        </w:rPr>
        <w:t>nohé kombinácie inhibítorov HIV proteázy (napr. nelfinavir) a</w:t>
      </w:r>
      <w:r w:rsidRPr="003C7A79">
        <w:rPr>
          <w:rFonts w:ascii="Times New Roman" w:hAnsi="Times New Roman"/>
        </w:rPr>
        <w:t> </w:t>
      </w:r>
      <w:r w:rsidRPr="003C7A79">
        <w:rPr>
          <w:rFonts w:ascii="Times New Roman" w:hAnsi="Times New Roman"/>
          <w:sz w:val="22"/>
          <w:szCs w:val="22"/>
        </w:rPr>
        <w:t>nenukleozidov</w:t>
      </w:r>
      <w:r>
        <w:rPr>
          <w:rFonts w:ascii="Times New Roman" w:hAnsi="Times New Roman"/>
          <w:sz w:val="22"/>
          <w:szCs w:val="22"/>
        </w:rPr>
        <w:t>ých</w:t>
      </w:r>
      <w:r w:rsidRPr="003C7A79">
        <w:rPr>
          <w:rFonts w:ascii="Times New Roman" w:hAnsi="Times New Roman"/>
          <w:sz w:val="22"/>
          <w:szCs w:val="22"/>
        </w:rPr>
        <w:t xml:space="preserve"> inhibítor</w:t>
      </w:r>
      <w:r>
        <w:rPr>
          <w:rFonts w:ascii="Times New Roman" w:hAnsi="Times New Roman"/>
          <w:sz w:val="22"/>
          <w:szCs w:val="22"/>
        </w:rPr>
        <w:t>ov</w:t>
      </w:r>
      <w:r w:rsidRPr="003C7A79">
        <w:rPr>
          <w:rFonts w:ascii="Times New Roman" w:hAnsi="Times New Roman"/>
          <w:sz w:val="22"/>
          <w:szCs w:val="22"/>
        </w:rPr>
        <w:t xml:space="preserve"> reverznej transkriptázy (napr. nevirapín) a/alebo kombinácie</w:t>
      </w:r>
      <w:r>
        <w:rPr>
          <w:rFonts w:ascii="Times New Roman" w:hAnsi="Times New Roman"/>
          <w:sz w:val="22"/>
          <w:szCs w:val="22"/>
        </w:rPr>
        <w:t xml:space="preserve"> s </w:t>
      </w:r>
      <w:r w:rsidRPr="003C7A79">
        <w:rPr>
          <w:rFonts w:ascii="Times New Roman" w:hAnsi="Times New Roman"/>
          <w:sz w:val="22"/>
          <w:szCs w:val="22"/>
        </w:rPr>
        <w:t>liek</w:t>
      </w:r>
      <w:r>
        <w:rPr>
          <w:rFonts w:ascii="Times New Roman" w:hAnsi="Times New Roman"/>
          <w:sz w:val="22"/>
          <w:szCs w:val="22"/>
        </w:rPr>
        <w:t>mi</w:t>
      </w:r>
      <w:r w:rsidRPr="003C7A79">
        <w:rPr>
          <w:rFonts w:ascii="Times New Roman" w:hAnsi="Times New Roman"/>
          <w:sz w:val="22"/>
          <w:szCs w:val="22"/>
        </w:rPr>
        <w:t xml:space="preserve"> proti HCV (napr. boceprevir, telaprevir) môžu </w:t>
      </w:r>
      <w:r>
        <w:rPr>
          <w:rFonts w:ascii="Times New Roman" w:hAnsi="Times New Roman"/>
          <w:sz w:val="22"/>
          <w:szCs w:val="22"/>
        </w:rPr>
        <w:t>p</w:t>
      </w:r>
      <w:r w:rsidRPr="003C7A79">
        <w:rPr>
          <w:rFonts w:ascii="Times New Roman" w:hAnsi="Times New Roman"/>
          <w:sz w:val="22"/>
          <w:szCs w:val="22"/>
        </w:rPr>
        <w:t>ri súbežnom podávaní s hormonáln</w:t>
      </w:r>
      <w:r>
        <w:rPr>
          <w:rFonts w:ascii="Times New Roman" w:hAnsi="Times New Roman"/>
          <w:sz w:val="22"/>
          <w:szCs w:val="22"/>
        </w:rPr>
        <w:t>ymi</w:t>
      </w:r>
      <w:r w:rsidRPr="003C7A7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kontraceptívami</w:t>
      </w:r>
      <w:r w:rsidRPr="003C7A79">
        <w:rPr>
          <w:rFonts w:ascii="Times New Roman" w:hAnsi="Times New Roman"/>
          <w:sz w:val="22"/>
          <w:szCs w:val="22"/>
        </w:rPr>
        <w:t xml:space="preserve"> zvýšiť alebo znížiť plazmatické koncentrácie </w:t>
      </w:r>
      <w:r>
        <w:rPr>
          <w:rFonts w:ascii="Times New Roman" w:hAnsi="Times New Roman"/>
          <w:sz w:val="22"/>
          <w:szCs w:val="22"/>
        </w:rPr>
        <w:t>gestagénov</w:t>
      </w:r>
      <w:r w:rsidRPr="003C7A79">
        <w:rPr>
          <w:rFonts w:ascii="Times New Roman" w:hAnsi="Times New Roman"/>
          <w:sz w:val="22"/>
          <w:szCs w:val="22"/>
        </w:rPr>
        <w:t>, vrátane etonogestrelu</w:t>
      </w:r>
      <w:r>
        <w:rPr>
          <w:rFonts w:ascii="Times New Roman" w:hAnsi="Times New Roman"/>
          <w:sz w:val="22"/>
          <w:szCs w:val="22"/>
        </w:rPr>
        <w:t>, alebo estrogénu</w:t>
      </w:r>
      <w:r w:rsidRPr="003C7A79">
        <w:rPr>
          <w:rFonts w:ascii="Times New Roman" w:hAnsi="Times New Roman"/>
          <w:sz w:val="22"/>
          <w:szCs w:val="22"/>
        </w:rPr>
        <w:t xml:space="preserve">. V niektorých prípadoch môže byť čistý </w:t>
      </w:r>
      <w:r>
        <w:rPr>
          <w:rFonts w:ascii="Times New Roman" w:hAnsi="Times New Roman"/>
          <w:sz w:val="22"/>
          <w:szCs w:val="22"/>
        </w:rPr>
        <w:t>účinok</w:t>
      </w:r>
      <w:r w:rsidRPr="003C7A79">
        <w:rPr>
          <w:rFonts w:ascii="Times New Roman" w:hAnsi="Times New Roman"/>
          <w:sz w:val="22"/>
          <w:szCs w:val="22"/>
        </w:rPr>
        <w:t xml:space="preserve"> týchto zmien klinicky relevantný.</w:t>
      </w:r>
    </w:p>
    <w:p w14:paraId="09B127DE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C5336D4" w14:textId="77777777" w:rsidR="00C627EB" w:rsidRDefault="00C627EB" w:rsidP="00855313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znižujúce klírens </w:t>
      </w:r>
      <w:r w:rsidRPr="00303000">
        <w:rPr>
          <w:rFonts w:ascii="Times New Roman" w:hAnsi="Times New Roman"/>
          <w:i/>
          <w:sz w:val="22"/>
          <w:szCs w:val="22"/>
        </w:rPr>
        <w:t>kombinovaných hormonálnych kontraceptív</w:t>
      </w:r>
    </w:p>
    <w:p w14:paraId="4F6B5249" w14:textId="77777777" w:rsidR="00C627EB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Klinická významnosť potenciálnych interakcií s inhibítormi enzýmov zostáva neznáma.</w:t>
      </w:r>
    </w:p>
    <w:p w14:paraId="63408A51" w14:textId="77777777" w:rsidR="00C627EB" w:rsidRPr="00303000" w:rsidRDefault="00C627EB" w:rsidP="0085531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>Súbežné podáv</w:t>
      </w:r>
      <w:r>
        <w:rPr>
          <w:rFonts w:ascii="Times New Roman" w:hAnsi="Times New Roman"/>
          <w:sz w:val="22"/>
          <w:szCs w:val="22"/>
        </w:rPr>
        <w:t>anie silných (napr. ketokonazol</w:t>
      </w:r>
      <w:r w:rsidRPr="00B26F7C">
        <w:rPr>
          <w:rFonts w:ascii="Times New Roman" w:hAnsi="Times New Roman"/>
          <w:sz w:val="22"/>
          <w:szCs w:val="22"/>
        </w:rPr>
        <w:t>, it</w:t>
      </w:r>
      <w:r>
        <w:rPr>
          <w:rFonts w:ascii="Times New Roman" w:hAnsi="Times New Roman"/>
          <w:sz w:val="22"/>
          <w:szCs w:val="22"/>
        </w:rPr>
        <w:t>rakonazol, klaritromycín</w:t>
      </w:r>
      <w:r w:rsidRPr="00B26F7C">
        <w:rPr>
          <w:rFonts w:ascii="Times New Roman" w:hAnsi="Times New Roman"/>
          <w:sz w:val="22"/>
          <w:szCs w:val="22"/>
        </w:rPr>
        <w:t>) alebo st</w:t>
      </w:r>
      <w:r>
        <w:rPr>
          <w:rFonts w:ascii="Times New Roman" w:hAnsi="Times New Roman"/>
          <w:sz w:val="22"/>
          <w:szCs w:val="22"/>
        </w:rPr>
        <w:t>redne silných (napr. flukonazol, diltiazem, erytromycín) inhibítorov CYP3A4 môže zvyšovať</w:t>
      </w:r>
      <w:r w:rsidRPr="00B26F7C">
        <w:rPr>
          <w:rFonts w:ascii="Times New Roman" w:hAnsi="Times New Roman"/>
          <w:sz w:val="22"/>
          <w:szCs w:val="22"/>
        </w:rPr>
        <w:t xml:space="preserve"> sérové koncentrácie estrogénov alebo gestagénov, vrátane etonogestrelu.</w:t>
      </w:r>
    </w:p>
    <w:p w14:paraId="3E07306C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4D987C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farmakokinetických údajov nie je pravdepodobné, že by vaginálne podávané antimykotiká a spermicídy ovplyvňovali kontraceptívnu účinnosť a bezpečnosť </w:t>
      </w:r>
      <w:r w:rsidR="00094382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u. Počas súbežného používania </w:t>
      </w:r>
      <w:r w:rsidRPr="0089443D">
        <w:rPr>
          <w:rFonts w:ascii="Times New Roman" w:hAnsi="Times New Roman"/>
          <w:sz w:val="22"/>
          <w:szCs w:val="22"/>
        </w:rPr>
        <w:t>vaginálnych guľôčok s obsahom antimykotika sa možnosť rozpojenia krúžku mierne zvyšuje (pozri časť 4.4 „</w:t>
      </w:r>
      <w:r w:rsidR="0089443D" w:rsidRPr="0089443D">
        <w:rPr>
          <w:rFonts w:ascii="Times New Roman" w:hAnsi="Times New Roman"/>
          <w:sz w:val="22"/>
          <w:szCs w:val="22"/>
        </w:rPr>
        <w:t>Poškodené krúžky</w:t>
      </w:r>
      <w:r w:rsidRPr="000F7489">
        <w:rPr>
          <w:rFonts w:ascii="Times New Roman" w:hAnsi="Times New Roman"/>
          <w:sz w:val="22"/>
          <w:szCs w:val="22"/>
        </w:rPr>
        <w:t>“).</w:t>
      </w:r>
    </w:p>
    <w:p w14:paraId="183A063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50DB65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Hormonálne kontraceptíva môžu interferovať s metabolizmom iných liekov. Na základe toho sa môžu plazmatické a tkanivové koncentrácie mierne zvýšiť (napr. cyklosporín) alebo znížiť (napr. lamotrigín).</w:t>
      </w:r>
    </w:p>
    <w:p w14:paraId="7A19D8B6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C9BB088" w14:textId="77777777"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Farmakodynamické interakcie</w:t>
      </w:r>
    </w:p>
    <w:p w14:paraId="0BD03956" w14:textId="77777777" w:rsidR="001D3920" w:rsidRDefault="001D3920" w:rsidP="001D3920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Súbežn</w:t>
      </w:r>
      <w:r w:rsidR="00F813CF">
        <w:rPr>
          <w:rFonts w:ascii="Times New Roman" w:hAnsi="Times New Roman"/>
          <w:sz w:val="22"/>
          <w:szCs w:val="22"/>
        </w:rPr>
        <w:t>ým</w:t>
      </w:r>
      <w:r>
        <w:rPr>
          <w:rFonts w:ascii="Times New Roman" w:hAnsi="Times New Roman"/>
          <w:sz w:val="22"/>
          <w:szCs w:val="22"/>
        </w:rPr>
        <w:t xml:space="preserve"> používan</w:t>
      </w:r>
      <w:r w:rsidR="00F813CF">
        <w:rPr>
          <w:rFonts w:ascii="Times New Roman" w:hAnsi="Times New Roman"/>
          <w:sz w:val="22"/>
          <w:szCs w:val="22"/>
        </w:rPr>
        <w:t>ím</w:t>
      </w:r>
      <w:r>
        <w:rPr>
          <w:rFonts w:ascii="Times New Roman" w:hAnsi="Times New Roman"/>
          <w:sz w:val="22"/>
          <w:szCs w:val="22"/>
        </w:rPr>
        <w:t xml:space="preserve"> s liekmi obsahujúcimi ombitasvir/paritaprevir/ritonavir a dasabuvir s ribavirínom alebo bez neho, môže </w:t>
      </w:r>
      <w:r w:rsidR="00F813CF">
        <w:rPr>
          <w:rFonts w:ascii="Times New Roman" w:hAnsi="Times New Roman"/>
          <w:sz w:val="22"/>
          <w:szCs w:val="22"/>
        </w:rPr>
        <w:t>vzrásť</w:t>
      </w:r>
      <w:r>
        <w:rPr>
          <w:rFonts w:ascii="Times New Roman" w:hAnsi="Times New Roman"/>
          <w:sz w:val="22"/>
          <w:szCs w:val="22"/>
        </w:rPr>
        <w:t xml:space="preserve"> riziko zvýšen</w:t>
      </w:r>
      <w:r w:rsidR="001A7A27">
        <w:rPr>
          <w:rFonts w:ascii="Times New Roman" w:hAnsi="Times New Roman"/>
          <w:sz w:val="22"/>
          <w:szCs w:val="22"/>
        </w:rPr>
        <w:t>ia</w:t>
      </w:r>
      <w:r>
        <w:rPr>
          <w:rFonts w:ascii="Times New Roman" w:hAnsi="Times New Roman"/>
          <w:sz w:val="22"/>
          <w:szCs w:val="22"/>
        </w:rPr>
        <w:t xml:space="preserve"> ALT (pozri časti 4.3 a 4.4). Používateľky </w:t>
      </w:r>
      <w:r w:rsidR="00161BF7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 xml:space="preserve">u preto musia pred začatím liečby s týmto kombinovaným liečebným režimom, prejsť na alternatívnu metódu antikoncepcie (napr. antikoncepcia obsahujúca len gestagén alebo nehormonálne metódy). </w:t>
      </w:r>
      <w:r w:rsidR="00015870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sz w:val="22"/>
          <w:szCs w:val="22"/>
        </w:rPr>
        <w:t xml:space="preserve"> sa môže opätovne zaviesť 2 týždne po ukonč</w:t>
      </w:r>
      <w:r w:rsidR="00F66EEC">
        <w:rPr>
          <w:rFonts w:ascii="Times New Roman" w:hAnsi="Times New Roman"/>
          <w:sz w:val="22"/>
          <w:szCs w:val="22"/>
        </w:rPr>
        <w:t>ení liečby s týmto kombinovaným</w:t>
      </w:r>
      <w:r>
        <w:rPr>
          <w:rFonts w:ascii="Times New Roman" w:hAnsi="Times New Roman"/>
          <w:sz w:val="22"/>
          <w:szCs w:val="22"/>
        </w:rPr>
        <w:t xml:space="preserve"> liečebným režimom.</w:t>
      </w:r>
    </w:p>
    <w:p w14:paraId="4E34493F" w14:textId="77777777" w:rsidR="001D3920" w:rsidRPr="000F7489" w:rsidRDefault="001D3920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6EAC7C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LABORATÓRNE VYŠETRENIA</w:t>
      </w:r>
    </w:p>
    <w:p w14:paraId="37FF31F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Používanie steroidov s kontraceptívnym účinkom môže ovplyvniť výsledky niektorých laboratórnych vyšetrení vrátane biochemických parametrov funkcie pečene, štítnej žľazy, nadobličiek a obličiek, plazmatických hladín transportných proteínov (napr. globulín viažuci kortikosteroidy a globulín viažuci pohlavné hormóny), frakcií lipidov/lipoproteínov,</w:t>
      </w:r>
      <w:r w:rsidR="0089443D">
        <w:rPr>
          <w:rFonts w:ascii="Times New Roman" w:hAnsi="Times New Roman"/>
          <w:sz w:val="22"/>
          <w:szCs w:val="22"/>
        </w:rPr>
        <w:t xml:space="preserve"> ukazovateľov metabolizmu sacharidov</w:t>
      </w:r>
      <w:r w:rsidRPr="000F7489">
        <w:rPr>
          <w:rFonts w:ascii="Times New Roman" w:hAnsi="Times New Roman"/>
          <w:sz w:val="22"/>
          <w:szCs w:val="22"/>
        </w:rPr>
        <w:t xml:space="preserve"> a parametrov koagulácie a fibrinolýzy. Zmeny vo všeobecnosti zostávajú v rámci normálnych rozmedzí laboratórnych hodnôt.</w:t>
      </w:r>
    </w:p>
    <w:p w14:paraId="542C1F8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BC164B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INTERAKCIA S MENŠTRUAČNÝMI TAMPÓNMI</w:t>
      </w:r>
    </w:p>
    <w:p w14:paraId="05428E7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Farmakokinetické údaje ukazujú, že používanie menštruačných tampónov nemá účinok na systémovú absorpciu hormónov uvoľňovaných </w:t>
      </w:r>
      <w:r w:rsidR="003E3B2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om. V zriedkavých prípadoch sa pri vyberaní menštruačného tampónu môže uvoľniť </w:t>
      </w:r>
      <w:r w:rsidR="003E3B26" w:rsidRPr="003817FE">
        <w:rPr>
          <w:rFonts w:ascii="Times New Roman" w:hAnsi="Times New Roman"/>
          <w:sz w:val="22"/>
          <w:szCs w:val="22"/>
        </w:rPr>
        <w:t>Perlinring</w:t>
      </w:r>
      <w:r w:rsidR="0089443D">
        <w:rPr>
          <w:rFonts w:ascii="Times New Roman" w:hAnsi="Times New Roman"/>
          <w:sz w:val="22"/>
          <w:szCs w:val="22"/>
        </w:rPr>
        <w:t xml:space="preserve"> (pozri časť 4.2</w:t>
      </w:r>
      <w:r w:rsidRPr="000F7489">
        <w:rPr>
          <w:rFonts w:ascii="Times New Roman" w:hAnsi="Times New Roman"/>
          <w:sz w:val="22"/>
          <w:szCs w:val="22"/>
        </w:rPr>
        <w:t xml:space="preserve"> „Čo robiť, ak bol krúžok dočasne mimo pošvy“).</w:t>
      </w:r>
    </w:p>
    <w:p w14:paraId="655F281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E92E10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8720F">
        <w:rPr>
          <w:rFonts w:ascii="Times New Roman" w:hAnsi="Times New Roman"/>
          <w:b/>
          <w:sz w:val="22"/>
          <w:szCs w:val="22"/>
        </w:rPr>
        <w:t>4.6</w:t>
      </w:r>
      <w:r w:rsidRPr="0008720F">
        <w:rPr>
          <w:rFonts w:ascii="Times New Roman" w:hAnsi="Times New Roman"/>
          <w:b/>
          <w:sz w:val="22"/>
          <w:szCs w:val="22"/>
        </w:rPr>
        <w:tab/>
        <w:t>Fertilita, gravidita a laktácia</w:t>
      </w:r>
    </w:p>
    <w:p w14:paraId="33D003D1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E2F31D5" w14:textId="77777777" w:rsidR="00C627EB" w:rsidRPr="00226C8F" w:rsidRDefault="00C627EB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Gravidita</w:t>
      </w:r>
    </w:p>
    <w:p w14:paraId="0397881B" w14:textId="77777777" w:rsidR="00C627EB" w:rsidRPr="000F7489" w:rsidRDefault="00AE1455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="007C0C4F">
        <w:rPr>
          <w:rFonts w:ascii="Times New Roman" w:hAnsi="Times New Roman"/>
          <w:bCs/>
          <w:sz w:val="22"/>
          <w:szCs w:val="22"/>
        </w:rPr>
        <w:t>nie je určený na používanie</w:t>
      </w:r>
      <w:r w:rsidR="00F03190">
        <w:rPr>
          <w:rFonts w:ascii="Times New Roman" w:hAnsi="Times New Roman"/>
          <w:bCs/>
          <w:sz w:val="22"/>
          <w:szCs w:val="22"/>
        </w:rPr>
        <w:t xml:space="preserve"> počas </w:t>
      </w:r>
      <w:r w:rsidR="00C627EB" w:rsidRPr="000F7489">
        <w:rPr>
          <w:rFonts w:ascii="Times New Roman" w:hAnsi="Times New Roman"/>
          <w:bCs/>
          <w:sz w:val="22"/>
          <w:szCs w:val="22"/>
        </w:rPr>
        <w:t>gravidity. Ak dôjde k</w:t>
      </w:r>
      <w:r w:rsidR="00F03190">
        <w:rPr>
          <w:rFonts w:ascii="Times New Roman" w:hAnsi="Times New Roman"/>
          <w:bCs/>
          <w:sz w:val="22"/>
          <w:szCs w:val="22"/>
        </w:rPr>
        <w:t xml:space="preserve">u gravidite počas používania </w:t>
      </w:r>
      <w:r w:rsidR="00F03190">
        <w:rPr>
          <w:rFonts w:ascii="Times New Roman" w:hAnsi="Times New Roman"/>
          <w:sz w:val="22"/>
          <w:szCs w:val="22"/>
        </w:rPr>
        <w:t>Perlinringu</w:t>
      </w:r>
      <w:r w:rsidR="00C627EB" w:rsidRPr="000F7489">
        <w:rPr>
          <w:rFonts w:ascii="Times New Roman" w:hAnsi="Times New Roman"/>
          <w:bCs/>
          <w:sz w:val="22"/>
          <w:szCs w:val="22"/>
        </w:rPr>
        <w:t>, krúžok sa má vybrať. Rozsiahle epidemiologické štúdie neodhalili ani zvýšené riziko vrodených chýb u detí narodených ženám, ktoré užívali COC pred graviditou, ani teratogénny účinok, ak sa COC užívala nechtiac počas skorého štádia gravidity.</w:t>
      </w:r>
    </w:p>
    <w:p w14:paraId="674D3179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76FDB9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Klinická štúdia s malým počtom žien ukázala, že napriek intravaginálnemu spôsobu podávania sú intrauterinné koncentrácie antikoncepčných steroidov </w:t>
      </w:r>
      <w:r>
        <w:rPr>
          <w:rFonts w:ascii="Times New Roman" w:hAnsi="Times New Roman"/>
          <w:bCs/>
          <w:sz w:val="22"/>
          <w:szCs w:val="22"/>
        </w:rPr>
        <w:t xml:space="preserve">pri </w:t>
      </w:r>
      <w:r w:rsidR="00AE1455" w:rsidRPr="003817FE">
        <w:rPr>
          <w:rFonts w:ascii="Times New Roman" w:hAnsi="Times New Roman"/>
          <w:sz w:val="22"/>
          <w:szCs w:val="22"/>
        </w:rPr>
        <w:t>Perlinring</w:t>
      </w:r>
      <w:r w:rsidR="00AE1455">
        <w:rPr>
          <w:rFonts w:ascii="Times New Roman" w:hAnsi="Times New Roman"/>
          <w:bCs/>
          <w:sz w:val="22"/>
          <w:szCs w:val="22"/>
        </w:rPr>
        <w:t>u</w:t>
      </w:r>
      <w:r w:rsidRPr="000F7489">
        <w:rPr>
          <w:rFonts w:ascii="Times New Roman" w:hAnsi="Times New Roman"/>
          <w:bCs/>
          <w:sz w:val="22"/>
          <w:szCs w:val="22"/>
        </w:rPr>
        <w:t xml:space="preserve"> podobné hladinám pozorovaným u žien užívajúcich COC (pozri časť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 xml:space="preserve">5.2). </w:t>
      </w:r>
      <w:r w:rsidR="007C0C4F">
        <w:rPr>
          <w:rFonts w:ascii="Times New Roman" w:hAnsi="Times New Roman"/>
          <w:bCs/>
          <w:sz w:val="22"/>
          <w:szCs w:val="22"/>
        </w:rPr>
        <w:t>Dosiaľ nebola hlásená</w:t>
      </w:r>
      <w:r w:rsidRPr="000F7489">
        <w:rPr>
          <w:rFonts w:ascii="Times New Roman" w:hAnsi="Times New Roman"/>
          <w:bCs/>
          <w:sz w:val="22"/>
          <w:szCs w:val="22"/>
        </w:rPr>
        <w:t xml:space="preserve"> klinická skúsenosť s výsledkami gravidít, ktoré boli vystavené účinku </w:t>
      </w:r>
      <w:r w:rsidR="00AE1455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u.</w:t>
      </w:r>
    </w:p>
    <w:p w14:paraId="39488B52" w14:textId="77777777" w:rsidR="00C627EB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15A39A" w14:textId="77777777" w:rsidR="00C627EB" w:rsidRPr="000F60FB" w:rsidRDefault="00C627EB" w:rsidP="000F60FB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60FB">
        <w:rPr>
          <w:rFonts w:ascii="Times New Roman" w:hAnsi="Times New Roman"/>
          <w:bCs/>
          <w:sz w:val="22"/>
          <w:szCs w:val="22"/>
        </w:rPr>
        <w:t>Pri opätovnom začatí používania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="00AE1455"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bCs/>
          <w:sz w:val="22"/>
          <w:szCs w:val="22"/>
        </w:rPr>
        <w:t>u</w:t>
      </w:r>
      <w:r w:rsidRPr="000F60FB">
        <w:rPr>
          <w:rFonts w:ascii="Times New Roman" w:hAnsi="Times New Roman"/>
          <w:bCs/>
          <w:sz w:val="22"/>
          <w:szCs w:val="22"/>
        </w:rPr>
        <w:t xml:space="preserve"> treba vziať do úvahy zvýšen</w:t>
      </w:r>
      <w:r>
        <w:rPr>
          <w:rFonts w:ascii="Times New Roman" w:hAnsi="Times New Roman"/>
          <w:bCs/>
          <w:sz w:val="22"/>
          <w:szCs w:val="22"/>
        </w:rPr>
        <w:t>é riziko VTE v období po pôrode (pozri časti 4.2 a 4.4</w:t>
      </w:r>
      <w:r w:rsidRPr="000F60FB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.</w:t>
      </w:r>
    </w:p>
    <w:p w14:paraId="6C322A7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B947ADC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>
        <w:rPr>
          <w:rFonts w:ascii="Times New Roman" w:hAnsi="Times New Roman"/>
          <w:bCs/>
          <w:sz w:val="22"/>
          <w:szCs w:val="22"/>
          <w:u w:val="single"/>
        </w:rPr>
        <w:t>Dojčenie</w:t>
      </w:r>
    </w:p>
    <w:p w14:paraId="6A3A4387" w14:textId="77777777" w:rsidR="00284D30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Estrogény môžu ovplyvniť </w:t>
      </w:r>
      <w:r>
        <w:rPr>
          <w:rFonts w:ascii="Times New Roman" w:hAnsi="Times New Roman"/>
          <w:bCs/>
          <w:sz w:val="22"/>
          <w:szCs w:val="22"/>
        </w:rPr>
        <w:t>laktáciu</w:t>
      </w:r>
      <w:r w:rsidRPr="000F7489">
        <w:rPr>
          <w:rFonts w:ascii="Times New Roman" w:hAnsi="Times New Roman"/>
          <w:bCs/>
          <w:sz w:val="22"/>
          <w:szCs w:val="22"/>
        </w:rPr>
        <w:t xml:space="preserve">, keďže môžu znížiť množstvo materského mlieka a zmeniť jeho zloženie. Preto sa používanie </w:t>
      </w:r>
      <w:r w:rsidR="003F44E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 vo všeobecnosti neodporúča, pokiaľ dojčiaca matka úplne neprestane dojčiť svoje dieťa. Do mlieka sa môžu vylučovať malé množstvá kontraceptívnych steroidov a/alebo ich metabolitov, ale neexistuje dôkaz o tom, že to nepriaznivo ovplyvňuje zdravie dieťaťa.</w:t>
      </w:r>
    </w:p>
    <w:p w14:paraId="583D8AAD" w14:textId="77777777" w:rsidR="007C0C4F" w:rsidRDefault="007C0C4F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BFDF99F" w14:textId="77777777" w:rsidR="00284D30" w:rsidRPr="00226C8F" w:rsidRDefault="00284D30" w:rsidP="00284D30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Fertilita</w:t>
      </w:r>
    </w:p>
    <w:p w14:paraId="695E1C61" w14:textId="77777777" w:rsidR="00284D30" w:rsidRPr="000F7489" w:rsidRDefault="00284D30" w:rsidP="00284D30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je určený na predchádzanie gravidite. Ak si žena želá ukončiť používanie </w:t>
      </w:r>
      <w:r w:rsidR="003F44E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u</w:t>
      </w:r>
      <w:r w:rsidR="007C0C4F">
        <w:rPr>
          <w:rFonts w:ascii="Times New Roman" w:hAnsi="Times New Roman"/>
          <w:bCs/>
          <w:sz w:val="22"/>
          <w:szCs w:val="22"/>
        </w:rPr>
        <w:t>,</w:t>
      </w:r>
      <w:r w:rsidRPr="000F7489">
        <w:rPr>
          <w:rFonts w:ascii="Times New Roman" w:hAnsi="Times New Roman"/>
          <w:bCs/>
          <w:sz w:val="22"/>
          <w:szCs w:val="22"/>
        </w:rPr>
        <w:t xml:space="preserve"> pretože si želá otehotnieť, odporúča sa, aby mala prirodzenú menštruáciu predtým, ako sa bude snažiť </w:t>
      </w:r>
      <w:r w:rsidR="007C0C4F">
        <w:rPr>
          <w:rFonts w:ascii="Times New Roman" w:hAnsi="Times New Roman"/>
          <w:bCs/>
          <w:sz w:val="22"/>
          <w:szCs w:val="22"/>
        </w:rPr>
        <w:t>o počatie</w:t>
      </w:r>
      <w:r w:rsidRPr="000F7489">
        <w:rPr>
          <w:rFonts w:ascii="Times New Roman" w:hAnsi="Times New Roman"/>
          <w:bCs/>
          <w:sz w:val="22"/>
          <w:szCs w:val="22"/>
        </w:rPr>
        <w:t xml:space="preserve"> dieťa, pretože jej to pomôže vypočítať si dátum pôrodu dieťaťa.</w:t>
      </w:r>
    </w:p>
    <w:p w14:paraId="5A73AA5A" w14:textId="77777777" w:rsidR="00284D30" w:rsidRPr="000F7489" w:rsidRDefault="00284D30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25B14D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4.7</w:t>
      </w:r>
      <w:r w:rsidRPr="000F7489">
        <w:rPr>
          <w:rFonts w:ascii="Times New Roman" w:hAnsi="Times New Roman"/>
          <w:b/>
          <w:sz w:val="22"/>
          <w:szCs w:val="22"/>
        </w:rPr>
        <w:tab/>
        <w:t>Ovplyvnenie schopnosti viesť vozidlá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obsluhovať stroje</w:t>
      </w:r>
    </w:p>
    <w:p w14:paraId="1B3C37C8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034B0CC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farmakodynamického profilu </w:t>
      </w:r>
      <w:r w:rsidR="003F44EA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 xml:space="preserve"> nemá žiadny alebo má zanedbateľný vplyv na schopnosť viesť vozidlá a obsluhovať stroje.</w:t>
      </w:r>
    </w:p>
    <w:p w14:paraId="306F6457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C693C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4.8</w:t>
      </w:r>
      <w:r w:rsidRPr="000F7489">
        <w:rPr>
          <w:rFonts w:ascii="Times New Roman" w:hAnsi="Times New Roman"/>
          <w:b/>
          <w:sz w:val="22"/>
          <w:szCs w:val="22"/>
        </w:rPr>
        <w:tab/>
        <w:t>Nežiaduce účinky</w:t>
      </w:r>
    </w:p>
    <w:p w14:paraId="2C44594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5225FF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Najčastejšie hlásené nežiaduce účinky v klinických skúšaniach s</w:t>
      </w:r>
      <w:r w:rsidR="00F73EF6">
        <w:rPr>
          <w:rFonts w:ascii="Times New Roman" w:hAnsi="Times New Roman"/>
          <w:bCs/>
          <w:sz w:val="22"/>
          <w:szCs w:val="22"/>
        </w:rPr>
        <w:t> etonorgestrolom/etinylestradiolom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BA6FA0">
        <w:rPr>
          <w:rFonts w:ascii="Times New Roman" w:hAnsi="Times New Roman"/>
          <w:bCs/>
          <w:sz w:val="22"/>
          <w:szCs w:val="22"/>
        </w:rPr>
        <w:t>vaginálnym krúžkom</w:t>
      </w:r>
      <w:r w:rsidR="007C0C4F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boli bolesť hlavy, vaginálne infekcie a vaginálny výtok, každý z nich bol hlásený u 5-6 % žien.</w:t>
      </w:r>
    </w:p>
    <w:p w14:paraId="22C7AE9E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182A5DC" w14:textId="77777777" w:rsidR="00C627EB" w:rsidRPr="008A4CC4" w:rsidRDefault="00C627EB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8A4CC4">
        <w:rPr>
          <w:rFonts w:ascii="Times New Roman" w:hAnsi="Times New Roman"/>
          <w:bCs/>
          <w:sz w:val="22"/>
          <w:szCs w:val="22"/>
          <w:u w:val="single"/>
        </w:rPr>
        <w:t>Popis vybraných nežiaducich reakcií</w:t>
      </w:r>
    </w:p>
    <w:p w14:paraId="6C21C72E" w14:textId="77777777" w:rsidR="00C627EB" w:rsidRPr="005915F2" w:rsidRDefault="00C627EB" w:rsidP="005915F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5915F2">
        <w:rPr>
          <w:rFonts w:ascii="Times New Roman" w:hAnsi="Times New Roman"/>
          <w:bCs/>
          <w:sz w:val="22"/>
          <w:szCs w:val="22"/>
        </w:rPr>
        <w:t xml:space="preserve">U žien používajúcich CHC sa pozorovalo zvýšené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r w:rsidRPr="005915F2">
        <w:rPr>
          <w:rFonts w:ascii="Times New Roman" w:hAnsi="Times New Roman"/>
          <w:bCs/>
          <w:sz w:val="22"/>
          <w:szCs w:val="22"/>
        </w:rPr>
        <w:t xml:space="preserve">arteriálnych a venóznych trombotických a tromboembolických </w:t>
      </w:r>
      <w:r>
        <w:rPr>
          <w:rFonts w:ascii="Times New Roman" w:hAnsi="Times New Roman"/>
          <w:bCs/>
          <w:sz w:val="22"/>
          <w:szCs w:val="22"/>
        </w:rPr>
        <w:t>udalostí</w:t>
      </w:r>
      <w:r w:rsidRPr="005915F2">
        <w:rPr>
          <w:rFonts w:ascii="Times New Roman" w:hAnsi="Times New Roman"/>
          <w:bCs/>
          <w:sz w:val="22"/>
          <w:szCs w:val="22"/>
        </w:rPr>
        <w:t xml:space="preserve"> vrátane infarktu myokardu, cievnej mozgovej príhody, prechodných ischemických záchvatov, venóznej trombózy a pľúcnej embólie, ktoré sú podrobnejšie uvedené v časti 4.4.</w:t>
      </w:r>
    </w:p>
    <w:p w14:paraId="66E31CE1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31D7D69B" w14:textId="77777777" w:rsidR="00C627EB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Aj ďalšie nežiaduce účinky boli hlásené u žien používajúcich CHC: tieto sú podrobnejšie uvedené v časti 4.4.</w:t>
      </w:r>
    </w:p>
    <w:p w14:paraId="4050BD3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478D18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Nežiaduce liekové reakcie, ktoré boli hlásené v klinických skúšaniach</w:t>
      </w:r>
      <w:r>
        <w:rPr>
          <w:rFonts w:ascii="Times New Roman" w:hAnsi="Times New Roman"/>
          <w:bCs/>
          <w:sz w:val="22"/>
          <w:szCs w:val="22"/>
        </w:rPr>
        <w:t xml:space="preserve"> a observačných štúdiách s </w:t>
      </w:r>
      <w:r w:rsidR="009E06F9">
        <w:rPr>
          <w:rFonts w:ascii="Times New Roman" w:hAnsi="Times New Roman"/>
          <w:bCs/>
          <w:sz w:val="22"/>
          <w:szCs w:val="22"/>
        </w:rPr>
        <w:t>etonorgestrolom/etinylestradiolom</w:t>
      </w:r>
      <w:r>
        <w:rPr>
          <w:rFonts w:ascii="Times New Roman" w:hAnsi="Times New Roman"/>
          <w:bCs/>
          <w:sz w:val="22"/>
          <w:szCs w:val="22"/>
        </w:rPr>
        <w:t xml:space="preserve"> alebo počas jeho používania po uvedení na trh</w:t>
      </w:r>
      <w:r w:rsidRPr="000F7489">
        <w:rPr>
          <w:rFonts w:ascii="Times New Roman" w:hAnsi="Times New Roman"/>
          <w:bCs/>
          <w:sz w:val="22"/>
          <w:szCs w:val="22"/>
        </w:rPr>
        <w:t>, sú uvedené v tabuľke nižšie. Na popis určitých nežiaducich udalostí sa uvádzajú najvhodnejšie termíny podľa MedDRA</w:t>
      </w:r>
      <w:r>
        <w:rPr>
          <w:rFonts w:ascii="Times New Roman" w:hAnsi="Times New Roman"/>
          <w:bCs/>
          <w:sz w:val="22"/>
          <w:szCs w:val="22"/>
        </w:rPr>
        <w:t>.</w:t>
      </w:r>
    </w:p>
    <w:p w14:paraId="5A0C3337" w14:textId="77777777" w:rsidR="00C627EB" w:rsidRDefault="00C627EB" w:rsidP="0051081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1159DEC" w14:textId="77777777" w:rsidR="00C627EB" w:rsidRPr="00781B56" w:rsidRDefault="00C627EB" w:rsidP="0051081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781B56">
        <w:rPr>
          <w:rFonts w:ascii="Times New Roman" w:hAnsi="Times New Roman"/>
          <w:sz w:val="22"/>
          <w:szCs w:val="22"/>
        </w:rPr>
        <w:t>Všetky nežiaduce reakcie sú uvedené podľa triedy orgánových systémov a frekvencie; časté (≥ 1/100 až &lt; 1/10), menej časté (≥ 1/1 000 až &lt; </w:t>
      </w:r>
      <w:r w:rsidRPr="0051081F">
        <w:rPr>
          <w:rFonts w:ascii="Times New Roman" w:hAnsi="Times New Roman"/>
          <w:sz w:val="22"/>
          <w:szCs w:val="22"/>
        </w:rPr>
        <w:t>1/100)</w:t>
      </w:r>
      <w:r>
        <w:rPr>
          <w:rFonts w:ascii="Times New Roman" w:hAnsi="Times New Roman"/>
          <w:sz w:val="22"/>
          <w:szCs w:val="22"/>
        </w:rPr>
        <w:t xml:space="preserve">, </w:t>
      </w:r>
      <w:r w:rsidRPr="00781B56">
        <w:rPr>
          <w:rFonts w:ascii="Times New Roman" w:hAnsi="Times New Roman"/>
          <w:sz w:val="22"/>
          <w:szCs w:val="22"/>
        </w:rPr>
        <w:t>zriedkavé (≥ 1/10 000 až &lt; 1/1 000)</w:t>
      </w:r>
      <w:r>
        <w:rPr>
          <w:rFonts w:ascii="Times New Roman" w:hAnsi="Times New Roman"/>
          <w:sz w:val="22"/>
          <w:szCs w:val="22"/>
        </w:rPr>
        <w:t xml:space="preserve"> a neznáme (nedá sa odhadnúť z dostupných údajov)</w:t>
      </w:r>
      <w:r w:rsidRPr="00781B56">
        <w:rPr>
          <w:rFonts w:ascii="Times New Roman" w:hAnsi="Times New Roman"/>
          <w:sz w:val="22"/>
          <w:szCs w:val="22"/>
        </w:rPr>
        <w:t>.</w:t>
      </w:r>
    </w:p>
    <w:p w14:paraId="55583183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8"/>
        <w:gridCol w:w="1750"/>
        <w:gridCol w:w="1701"/>
        <w:gridCol w:w="1559"/>
        <w:gridCol w:w="1559"/>
      </w:tblGrid>
      <w:tr w:rsidR="00C627EB" w:rsidRPr="000F7489" w14:paraId="5791B32C" w14:textId="77777777" w:rsidTr="00226C8F">
        <w:trPr>
          <w:cantSplit/>
          <w:tblHeader/>
        </w:trPr>
        <w:tc>
          <w:tcPr>
            <w:tcW w:w="2148" w:type="dxa"/>
          </w:tcPr>
          <w:p w14:paraId="33705312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Trieda orgánových systémov</w:t>
            </w:r>
          </w:p>
        </w:tc>
        <w:tc>
          <w:tcPr>
            <w:tcW w:w="1750" w:type="dxa"/>
          </w:tcPr>
          <w:p w14:paraId="772FA344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Časté</w:t>
            </w:r>
          </w:p>
          <w:p w14:paraId="79975DB6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14:paraId="3EF3129E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Menej časté</w:t>
            </w:r>
          </w:p>
          <w:p w14:paraId="0E1E08D9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31463151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Zriedkavé</w:t>
            </w:r>
          </w:p>
          <w:p w14:paraId="6CDECB03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3A1F2315" w14:textId="77777777" w:rsidR="00C627EB" w:rsidRPr="008A4CC4" w:rsidRDefault="00C627EB" w:rsidP="00226C8F">
            <w:pPr>
              <w:adjustRightInd w:val="0"/>
              <w:snapToGrid w:val="0"/>
              <w:rPr>
                <w:rFonts w:ascii="Times New Roman" w:hAnsi="Times New Roman"/>
                <w:b/>
                <w:vertAlign w:val="superscript"/>
              </w:rPr>
            </w:pPr>
            <w:r w:rsidRPr="008A4CC4">
              <w:rPr>
                <w:rFonts w:ascii="Times New Roman" w:hAnsi="Times New Roman"/>
                <w:b/>
                <w:sz w:val="22"/>
                <w:szCs w:val="22"/>
              </w:rPr>
              <w:t>Neznáme</w:t>
            </w:r>
            <w:r w:rsidRPr="008A4CC4"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C627EB" w:rsidRPr="000F7489" w14:paraId="6216532B" w14:textId="77777777" w:rsidTr="00226C8F">
        <w:trPr>
          <w:cantSplit/>
        </w:trPr>
        <w:tc>
          <w:tcPr>
            <w:tcW w:w="2148" w:type="dxa"/>
          </w:tcPr>
          <w:p w14:paraId="0B9370F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Infekcie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nákazy</w:t>
            </w:r>
          </w:p>
        </w:tc>
        <w:tc>
          <w:tcPr>
            <w:tcW w:w="1750" w:type="dxa"/>
          </w:tcPr>
          <w:p w14:paraId="326135E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vaginálna infekcia</w:t>
            </w:r>
          </w:p>
        </w:tc>
        <w:tc>
          <w:tcPr>
            <w:tcW w:w="1701" w:type="dxa"/>
          </w:tcPr>
          <w:p w14:paraId="565DC305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cervicitída, cystitída, infekcia močových ciest</w:t>
            </w:r>
          </w:p>
        </w:tc>
        <w:tc>
          <w:tcPr>
            <w:tcW w:w="1559" w:type="dxa"/>
          </w:tcPr>
          <w:p w14:paraId="660F8A6E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D3E823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C716B84" w14:textId="77777777" w:rsidTr="00226C8F">
        <w:trPr>
          <w:cantSplit/>
        </w:trPr>
        <w:tc>
          <w:tcPr>
            <w:tcW w:w="2148" w:type="dxa"/>
          </w:tcPr>
          <w:p w14:paraId="0D8174B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imunitného systému</w:t>
            </w:r>
          </w:p>
        </w:tc>
        <w:tc>
          <w:tcPr>
            <w:tcW w:w="1750" w:type="dxa"/>
          </w:tcPr>
          <w:p w14:paraId="3A6726A9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242F23F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D540DF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1CA9781B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precitlivenosť</w:t>
            </w:r>
          </w:p>
        </w:tc>
      </w:tr>
      <w:tr w:rsidR="00C627EB" w:rsidRPr="000F7489" w14:paraId="6E9F8813" w14:textId="77777777" w:rsidTr="00226C8F">
        <w:trPr>
          <w:cantSplit/>
        </w:trPr>
        <w:tc>
          <w:tcPr>
            <w:tcW w:w="2148" w:type="dxa"/>
          </w:tcPr>
          <w:p w14:paraId="16367A4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metabolizmu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výživy</w:t>
            </w:r>
          </w:p>
        </w:tc>
        <w:tc>
          <w:tcPr>
            <w:tcW w:w="1750" w:type="dxa"/>
          </w:tcPr>
          <w:p w14:paraId="42FDA8AB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83C8EC7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zvýšená chuť do jedla</w:t>
            </w:r>
          </w:p>
        </w:tc>
        <w:tc>
          <w:tcPr>
            <w:tcW w:w="1559" w:type="dxa"/>
          </w:tcPr>
          <w:p w14:paraId="663E15E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6DBF053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B0AD9A5" w14:textId="77777777" w:rsidTr="00226C8F">
        <w:trPr>
          <w:cantSplit/>
        </w:trPr>
        <w:tc>
          <w:tcPr>
            <w:tcW w:w="2148" w:type="dxa"/>
          </w:tcPr>
          <w:p w14:paraId="79343EB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Psychické poruchy </w:t>
            </w:r>
          </w:p>
        </w:tc>
        <w:tc>
          <w:tcPr>
            <w:tcW w:w="1750" w:type="dxa"/>
          </w:tcPr>
          <w:p w14:paraId="64567EB1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depresia, znížené libido</w:t>
            </w:r>
          </w:p>
        </w:tc>
        <w:tc>
          <w:tcPr>
            <w:tcW w:w="1701" w:type="dxa"/>
          </w:tcPr>
          <w:p w14:paraId="65473D84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afektívna labilita, zmena nálady, výkyvy nálady</w:t>
            </w:r>
          </w:p>
        </w:tc>
        <w:tc>
          <w:tcPr>
            <w:tcW w:w="1559" w:type="dxa"/>
          </w:tcPr>
          <w:p w14:paraId="790FDC6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087210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1A698BB8" w14:textId="77777777" w:rsidTr="00226C8F">
        <w:trPr>
          <w:cantSplit/>
        </w:trPr>
        <w:tc>
          <w:tcPr>
            <w:tcW w:w="2148" w:type="dxa"/>
          </w:tcPr>
          <w:p w14:paraId="3A4C4929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nervového systému</w:t>
            </w:r>
          </w:p>
        </w:tc>
        <w:tc>
          <w:tcPr>
            <w:tcW w:w="1750" w:type="dxa"/>
          </w:tcPr>
          <w:p w14:paraId="1B9F88E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bolesť hlavy, migréna</w:t>
            </w:r>
          </w:p>
        </w:tc>
        <w:tc>
          <w:tcPr>
            <w:tcW w:w="1701" w:type="dxa"/>
          </w:tcPr>
          <w:p w14:paraId="5253EC0B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závrat, hypestézia</w:t>
            </w:r>
          </w:p>
        </w:tc>
        <w:tc>
          <w:tcPr>
            <w:tcW w:w="1559" w:type="dxa"/>
          </w:tcPr>
          <w:p w14:paraId="789351F0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6BB4C43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42A78486" w14:textId="77777777" w:rsidTr="00226C8F">
        <w:trPr>
          <w:cantSplit/>
        </w:trPr>
        <w:tc>
          <w:tcPr>
            <w:tcW w:w="2148" w:type="dxa"/>
          </w:tcPr>
          <w:p w14:paraId="5E21E27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oka</w:t>
            </w:r>
          </w:p>
        </w:tc>
        <w:tc>
          <w:tcPr>
            <w:tcW w:w="1750" w:type="dxa"/>
          </w:tcPr>
          <w:p w14:paraId="54F9DA2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1032EBBA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porucha zraku</w:t>
            </w:r>
          </w:p>
        </w:tc>
        <w:tc>
          <w:tcPr>
            <w:tcW w:w="1559" w:type="dxa"/>
          </w:tcPr>
          <w:p w14:paraId="0C8A0515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5F1A72F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20B4552" w14:textId="77777777" w:rsidTr="00226C8F">
        <w:trPr>
          <w:cantSplit/>
        </w:trPr>
        <w:tc>
          <w:tcPr>
            <w:tcW w:w="2148" w:type="dxa"/>
          </w:tcPr>
          <w:p w14:paraId="2F93E95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ciev</w:t>
            </w:r>
          </w:p>
        </w:tc>
        <w:tc>
          <w:tcPr>
            <w:tcW w:w="1750" w:type="dxa"/>
          </w:tcPr>
          <w:p w14:paraId="586B6E38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C703C5A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nával horúčavy</w:t>
            </w:r>
          </w:p>
        </w:tc>
        <w:tc>
          <w:tcPr>
            <w:tcW w:w="1559" w:type="dxa"/>
          </w:tcPr>
          <w:p w14:paraId="68C812A6" w14:textId="77777777" w:rsidR="00C627EB" w:rsidRPr="00F21768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venózna tromboembólia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</w:p>
          <w:p w14:paraId="5E804EDB" w14:textId="77777777" w:rsidR="00C627EB" w:rsidRPr="00A1473C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arteriálna tromboembólia</w:t>
            </w:r>
          </w:p>
          <w:p w14:paraId="7B5E1E9E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64C9854A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4953CABA" w14:textId="77777777" w:rsidTr="00226C8F">
        <w:trPr>
          <w:cantSplit/>
        </w:trPr>
        <w:tc>
          <w:tcPr>
            <w:tcW w:w="2148" w:type="dxa"/>
          </w:tcPr>
          <w:p w14:paraId="256F21A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gastrointestinálneho traktu</w:t>
            </w:r>
          </w:p>
        </w:tc>
        <w:tc>
          <w:tcPr>
            <w:tcW w:w="1750" w:type="dxa"/>
          </w:tcPr>
          <w:p w14:paraId="336B96E1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bolesť brucha, nauzea</w:t>
            </w:r>
          </w:p>
        </w:tc>
        <w:tc>
          <w:tcPr>
            <w:tcW w:w="1701" w:type="dxa"/>
          </w:tcPr>
          <w:p w14:paraId="418815F2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abdominálna distenzia, hnačka, vracanie, zápcha</w:t>
            </w:r>
          </w:p>
        </w:tc>
        <w:tc>
          <w:tcPr>
            <w:tcW w:w="1559" w:type="dxa"/>
          </w:tcPr>
          <w:p w14:paraId="1CBEC772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5DF634C8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2D24B45A" w14:textId="77777777" w:rsidTr="00226C8F">
        <w:trPr>
          <w:cantSplit/>
        </w:trPr>
        <w:tc>
          <w:tcPr>
            <w:tcW w:w="2148" w:type="dxa"/>
          </w:tcPr>
          <w:p w14:paraId="2E9514E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kože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podkožného tkaniva</w:t>
            </w:r>
          </w:p>
        </w:tc>
        <w:tc>
          <w:tcPr>
            <w:tcW w:w="1750" w:type="dxa"/>
          </w:tcPr>
          <w:p w14:paraId="284F4812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akné</w:t>
            </w:r>
          </w:p>
        </w:tc>
        <w:tc>
          <w:tcPr>
            <w:tcW w:w="1701" w:type="dxa"/>
          </w:tcPr>
          <w:p w14:paraId="048C9AD5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alopécia, ekzém, pruritus, vyrážka</w:t>
            </w:r>
          </w:p>
        </w:tc>
        <w:tc>
          <w:tcPr>
            <w:tcW w:w="1559" w:type="dxa"/>
          </w:tcPr>
          <w:p w14:paraId="211C8B03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5F0DBD51" w14:textId="77777777" w:rsidR="00C627EB" w:rsidRPr="000F7489" w:rsidRDefault="00C627EB" w:rsidP="00862528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chloazma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 žihľavka</w:t>
            </w:r>
          </w:p>
        </w:tc>
      </w:tr>
      <w:tr w:rsidR="00C627EB" w:rsidRPr="000F7489" w14:paraId="535BF220" w14:textId="77777777" w:rsidTr="00226C8F">
        <w:trPr>
          <w:cantSplit/>
        </w:trPr>
        <w:tc>
          <w:tcPr>
            <w:tcW w:w="2148" w:type="dxa"/>
          </w:tcPr>
          <w:p w14:paraId="7427B80F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kostrovej a svalovej sústavy a spojivového tkaniva</w:t>
            </w:r>
          </w:p>
        </w:tc>
        <w:tc>
          <w:tcPr>
            <w:tcW w:w="1750" w:type="dxa"/>
          </w:tcPr>
          <w:p w14:paraId="32CD0FB6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14:paraId="7FE0811F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bolesť chrbta, svalové spazmy, bolesť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končatine</w:t>
            </w:r>
          </w:p>
        </w:tc>
        <w:tc>
          <w:tcPr>
            <w:tcW w:w="1559" w:type="dxa"/>
          </w:tcPr>
          <w:p w14:paraId="62C67174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14:paraId="71FB5E42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</w:tr>
      <w:tr w:rsidR="00C627EB" w:rsidRPr="000F7489" w14:paraId="340964DD" w14:textId="77777777" w:rsidTr="00226C8F">
        <w:trPr>
          <w:cantSplit/>
        </w:trPr>
        <w:tc>
          <w:tcPr>
            <w:tcW w:w="2148" w:type="dxa"/>
          </w:tcPr>
          <w:p w14:paraId="0964A20D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obličiek a močových ciest</w:t>
            </w:r>
          </w:p>
        </w:tc>
        <w:tc>
          <w:tcPr>
            <w:tcW w:w="1750" w:type="dxa"/>
          </w:tcPr>
          <w:p w14:paraId="74A979D4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24B3A132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dyzúria, nutkanie na močenie, polakizúria</w:t>
            </w:r>
          </w:p>
        </w:tc>
        <w:tc>
          <w:tcPr>
            <w:tcW w:w="1559" w:type="dxa"/>
          </w:tcPr>
          <w:p w14:paraId="1A3BB34A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F59D33A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AD7E404" w14:textId="77777777" w:rsidTr="00226C8F">
        <w:trPr>
          <w:cantSplit/>
        </w:trPr>
        <w:tc>
          <w:tcPr>
            <w:tcW w:w="2148" w:type="dxa"/>
          </w:tcPr>
          <w:p w14:paraId="676F3173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reprodukčného systému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prsníkov</w:t>
            </w:r>
          </w:p>
        </w:tc>
        <w:tc>
          <w:tcPr>
            <w:tcW w:w="1750" w:type="dxa"/>
          </w:tcPr>
          <w:p w14:paraId="2FC8E75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citlivosť prsníkov, pruritus na ženských pohlavných orgánoch,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dysmenorea, 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panvy,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vaginálny výtok</w:t>
            </w:r>
          </w:p>
        </w:tc>
        <w:tc>
          <w:tcPr>
            <w:tcW w:w="1701" w:type="dxa"/>
          </w:tcPr>
          <w:p w14:paraId="495FB0EC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amenorea, 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 prsní</w:t>
            </w:r>
            <w:r w:rsidR="00691382">
              <w:rPr>
                <w:rFonts w:ascii="Times New Roman" w:hAnsi="Times New Roman"/>
                <w:sz w:val="22"/>
                <w:szCs w:val="22"/>
              </w:rPr>
              <w:t>-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kov, zväčšenie prsníkov, zväčšenie objemu prsníkov, cervikálny polyp, koitálne krvácanie, dyspareunia, ektrópium cervixu, fibrocystické ochorenie prsníkov, menorágia, metrorágia, 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 panvy, predmenštruačný syndróm, uterinný spazmus, pocit pálenia v pošve, vaginálny zápach, vaginálna bolesť, vulvovaginálny 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skomfort, vulvovaginálna suchosť</w:t>
            </w:r>
          </w:p>
        </w:tc>
        <w:tc>
          <w:tcPr>
            <w:tcW w:w="1559" w:type="dxa"/>
          </w:tcPr>
          <w:p w14:paraId="7713300A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galaktorea</w:t>
            </w:r>
          </w:p>
        </w:tc>
        <w:tc>
          <w:tcPr>
            <w:tcW w:w="1559" w:type="dxa"/>
          </w:tcPr>
          <w:p w14:paraId="3626D576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poruchy penisu</w:t>
            </w:r>
          </w:p>
        </w:tc>
      </w:tr>
      <w:tr w:rsidR="00C627EB" w:rsidRPr="000F7489" w14:paraId="45ABDF55" w14:textId="77777777" w:rsidTr="00226C8F">
        <w:trPr>
          <w:cantSplit/>
        </w:trPr>
        <w:tc>
          <w:tcPr>
            <w:tcW w:w="2148" w:type="dxa"/>
          </w:tcPr>
          <w:p w14:paraId="17532042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Celkové poruchy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reakcie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mieste podania</w:t>
            </w:r>
          </w:p>
        </w:tc>
        <w:tc>
          <w:tcPr>
            <w:tcW w:w="1750" w:type="dxa"/>
          </w:tcPr>
          <w:p w14:paraId="6B093D4B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5C8164B9" w14:textId="77777777" w:rsidR="00C627EB" w:rsidRPr="000F7489" w:rsidRDefault="00C627EB" w:rsidP="00DB2B0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únava, podráždenosť, </w:t>
            </w:r>
            <w:r w:rsidR="00DB2B0F">
              <w:rPr>
                <w:rFonts w:ascii="Times New Roman" w:hAnsi="Times New Roman"/>
                <w:sz w:val="22"/>
                <w:szCs w:val="22"/>
              </w:rPr>
              <w:t>nevoľnosť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edém,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pocit cudzieho telesa</w:t>
            </w:r>
          </w:p>
        </w:tc>
        <w:tc>
          <w:tcPr>
            <w:tcW w:w="1559" w:type="dxa"/>
          </w:tcPr>
          <w:p w14:paraId="6B01FE6C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468A60AE" w14:textId="77777777" w:rsidR="00C627EB" w:rsidRPr="000F7489" w:rsidRDefault="00691382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prerastanie okolitého tkaniva cez krúžok</w:t>
            </w:r>
          </w:p>
        </w:tc>
      </w:tr>
      <w:tr w:rsidR="00C627EB" w:rsidRPr="000F7489" w14:paraId="47091468" w14:textId="77777777" w:rsidTr="00226C8F">
        <w:trPr>
          <w:cantSplit/>
        </w:trPr>
        <w:tc>
          <w:tcPr>
            <w:tcW w:w="2148" w:type="dxa"/>
          </w:tcPr>
          <w:p w14:paraId="6DA39DD6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Laboratórne a funkčné vyšetrenia</w:t>
            </w:r>
          </w:p>
        </w:tc>
        <w:tc>
          <w:tcPr>
            <w:tcW w:w="1750" w:type="dxa"/>
          </w:tcPr>
          <w:p w14:paraId="38EB1267" w14:textId="77777777" w:rsidR="00C627EB" w:rsidRPr="000F7489" w:rsidRDefault="00C627EB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zvýšenie telesnej hmotnosti</w:t>
            </w:r>
          </w:p>
        </w:tc>
        <w:tc>
          <w:tcPr>
            <w:tcW w:w="1701" w:type="dxa"/>
          </w:tcPr>
          <w:p w14:paraId="2D2DD668" w14:textId="77777777" w:rsidR="00C627EB" w:rsidRPr="000F7489" w:rsidRDefault="00C627EB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zvýšený krvný tlak</w:t>
            </w:r>
          </w:p>
        </w:tc>
        <w:tc>
          <w:tcPr>
            <w:tcW w:w="1559" w:type="dxa"/>
          </w:tcPr>
          <w:p w14:paraId="52871737" w14:textId="77777777" w:rsidR="00C627EB" w:rsidRPr="000F7489" w:rsidRDefault="00C627EB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2392851B" w14:textId="77777777" w:rsidR="00C627EB" w:rsidRPr="000F7489" w:rsidRDefault="00C627EB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C627EB" w:rsidRPr="000F7489" w14:paraId="0C5337E0" w14:textId="77777777" w:rsidTr="00226C8F">
        <w:trPr>
          <w:cantSplit/>
        </w:trPr>
        <w:tc>
          <w:tcPr>
            <w:tcW w:w="2148" w:type="dxa"/>
          </w:tcPr>
          <w:p w14:paraId="4260AB14" w14:textId="77777777"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Úrazy, otravy a komplikácie liečebného postupu</w:t>
            </w:r>
          </w:p>
        </w:tc>
        <w:tc>
          <w:tcPr>
            <w:tcW w:w="1750" w:type="dxa"/>
          </w:tcPr>
          <w:p w14:paraId="118FFB2E" w14:textId="77777777" w:rsidR="00C627EB" w:rsidRPr="000F7489" w:rsidRDefault="00C627EB" w:rsidP="00FC4918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nepríjemný pocit zo zavedenej zdravotníckej pomôcky, vypudenie vaginálnej antikoncepčnej pomôcky</w:t>
            </w:r>
          </w:p>
        </w:tc>
        <w:tc>
          <w:tcPr>
            <w:tcW w:w="1701" w:type="dxa"/>
          </w:tcPr>
          <w:p w14:paraId="5BA3D02D" w14:textId="77777777" w:rsidR="00C627EB" w:rsidRPr="000F7489" w:rsidRDefault="00C627EB" w:rsidP="000C1AEE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ťažkosti s antikoncepčnou pomôckou, zlomenie pomôcky</w:t>
            </w:r>
          </w:p>
        </w:tc>
        <w:tc>
          <w:tcPr>
            <w:tcW w:w="1559" w:type="dxa"/>
          </w:tcPr>
          <w:p w14:paraId="36763E97" w14:textId="77777777" w:rsidR="00C627EB" w:rsidRPr="000F7489" w:rsidRDefault="00C627EB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714C0470" w14:textId="77777777" w:rsidR="00C627EB" w:rsidRPr="000F7489" w:rsidRDefault="00C627EB" w:rsidP="00EC5AC4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14:paraId="6F93312A" w14:textId="77777777" w:rsidR="00C627EB" w:rsidRDefault="00C627EB">
      <w:pPr>
        <w:tabs>
          <w:tab w:val="left" w:pos="284"/>
        </w:tabs>
        <w:adjustRightInd w:val="0"/>
        <w:snapToGrid w:val="0"/>
        <w:rPr>
          <w:rFonts w:ascii="Times New Roman" w:hAnsi="Times New Roman"/>
          <w:bCs/>
          <w:sz w:val="18"/>
          <w:szCs w:val="18"/>
        </w:rPr>
      </w:pPr>
      <w:r w:rsidRPr="00A84F92">
        <w:rPr>
          <w:rStyle w:val="Odkaznapoznmkupodiarou"/>
          <w:rFonts w:ascii="Times New Roman" w:hAnsi="Times New Roman"/>
          <w:sz w:val="20"/>
        </w:rPr>
        <w:footnoteRef/>
      </w:r>
      <w:r w:rsidRPr="00A84F92">
        <w:rPr>
          <w:rFonts w:ascii="Times New Roman" w:hAnsi="Times New Roman"/>
          <w:sz w:val="20"/>
        </w:rPr>
        <w:t xml:space="preserve">) </w:t>
      </w:r>
      <w:r w:rsidRPr="000F7489">
        <w:rPr>
          <w:rFonts w:ascii="Times New Roman" w:hAnsi="Times New Roman"/>
          <w:bCs/>
          <w:sz w:val="18"/>
          <w:szCs w:val="18"/>
        </w:rPr>
        <w:t xml:space="preserve">Uvádzanie nežiaducich udalostí vychádza zo spontánneho hlásenia. </w:t>
      </w:r>
    </w:p>
    <w:p w14:paraId="7CD1F936" w14:textId="77777777" w:rsidR="00C627EB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E528E9F" w14:textId="77777777" w:rsidR="00C627EB" w:rsidRDefault="00C627EB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V súvislosti s používaním CHC sa hlásili nádory závislé od hormónov (napr. nádory pečene, rakovina prsníka). Pre ďalšie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informácie pozri časť </w:t>
      </w:r>
      <w:r w:rsidRPr="000F7489">
        <w:rPr>
          <w:rFonts w:ascii="Times New Roman" w:hAnsi="Times New Roman"/>
          <w:bCs/>
          <w:sz w:val="22"/>
          <w:szCs w:val="22"/>
        </w:rPr>
        <w:t>4.4.</w:t>
      </w:r>
    </w:p>
    <w:p w14:paraId="603622EE" w14:textId="77777777" w:rsidR="00C627EB" w:rsidRDefault="00C627EB" w:rsidP="00A84F9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17E6F502" w14:textId="77777777" w:rsidR="00C627EB" w:rsidRPr="008A4CC4" w:rsidRDefault="00C627EB" w:rsidP="00BE7351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u w:val="single"/>
        </w:rPr>
        <w:t>Interakcie</w:t>
      </w:r>
    </w:p>
    <w:p w14:paraId="1251FA76" w14:textId="77777777" w:rsidR="00C627EB" w:rsidRDefault="00C627EB" w:rsidP="00BE7351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 xml:space="preserve">Interakcie </w:t>
      </w:r>
      <w:r>
        <w:rPr>
          <w:rFonts w:ascii="Times New Roman" w:hAnsi="Times New Roman"/>
          <w:sz w:val="22"/>
          <w:szCs w:val="22"/>
        </w:rPr>
        <w:t>iných liekov (induktorov</w:t>
      </w:r>
      <w:r w:rsidRPr="00B26F7C">
        <w:rPr>
          <w:rFonts w:ascii="Times New Roman" w:hAnsi="Times New Roman"/>
          <w:sz w:val="22"/>
          <w:szCs w:val="22"/>
        </w:rPr>
        <w:t xml:space="preserve"> enzýmov) </w:t>
      </w:r>
      <w:r>
        <w:rPr>
          <w:rFonts w:ascii="Times New Roman" w:hAnsi="Times New Roman"/>
          <w:sz w:val="22"/>
          <w:szCs w:val="22"/>
        </w:rPr>
        <w:t>s </w:t>
      </w:r>
      <w:r w:rsidRPr="00B26F7C">
        <w:rPr>
          <w:rFonts w:ascii="Times New Roman" w:hAnsi="Times New Roman"/>
          <w:sz w:val="22"/>
          <w:szCs w:val="22"/>
        </w:rPr>
        <w:t>hormonál</w:t>
      </w:r>
      <w:r>
        <w:rPr>
          <w:rFonts w:ascii="Times New Roman" w:hAnsi="Times New Roman"/>
          <w:sz w:val="22"/>
          <w:szCs w:val="22"/>
        </w:rPr>
        <w:t>nymi kontraceptívami môžu viesť k </w:t>
      </w:r>
      <w:r w:rsidRPr="00B26F7C">
        <w:rPr>
          <w:rFonts w:ascii="Times New Roman" w:hAnsi="Times New Roman"/>
          <w:sz w:val="22"/>
          <w:szCs w:val="22"/>
        </w:rPr>
        <w:t>medzime</w:t>
      </w:r>
      <w:r>
        <w:rPr>
          <w:rFonts w:ascii="Times New Roman" w:hAnsi="Times New Roman"/>
          <w:sz w:val="22"/>
          <w:szCs w:val="22"/>
        </w:rPr>
        <w:t>nštruačnému krvácaniu a/alebo k </w:t>
      </w:r>
      <w:r w:rsidRPr="00B26F7C">
        <w:rPr>
          <w:rFonts w:ascii="Times New Roman" w:hAnsi="Times New Roman"/>
          <w:sz w:val="22"/>
          <w:szCs w:val="22"/>
        </w:rPr>
        <w:t xml:space="preserve">zlyhaniu </w:t>
      </w:r>
      <w:r>
        <w:rPr>
          <w:rFonts w:ascii="Times New Roman" w:hAnsi="Times New Roman"/>
          <w:sz w:val="22"/>
          <w:szCs w:val="22"/>
        </w:rPr>
        <w:t>kontraceptív</w:t>
      </w:r>
      <w:r w:rsidRPr="00B26F7C">
        <w:rPr>
          <w:rFonts w:ascii="Times New Roman" w:hAnsi="Times New Roman"/>
          <w:sz w:val="22"/>
          <w:szCs w:val="22"/>
        </w:rPr>
        <w:t xml:space="preserve"> (pozri časť 4.5).</w:t>
      </w:r>
    </w:p>
    <w:p w14:paraId="6E024533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825A88A" w14:textId="77777777" w:rsidR="00C627EB" w:rsidRDefault="00C627EB">
      <w:pPr>
        <w:pStyle w:val="Zkladntext"/>
        <w:keepNext/>
        <w:rPr>
          <w:rFonts w:ascii="Times New Roman" w:hAnsi="Times New Roman"/>
          <w:b w:val="0"/>
          <w:sz w:val="22"/>
          <w:szCs w:val="22"/>
          <w:u w:val="single"/>
        </w:rPr>
      </w:pPr>
      <w:r w:rsidRPr="00F6224F">
        <w:rPr>
          <w:rFonts w:ascii="Times New Roman" w:hAnsi="Times New Roman"/>
          <w:b w:val="0"/>
          <w:sz w:val="22"/>
          <w:szCs w:val="22"/>
          <w:u w:val="single"/>
        </w:rPr>
        <w:t>Hlásenie podozrení na nežiaduce reakcie</w:t>
      </w:r>
    </w:p>
    <w:p w14:paraId="07BFAF72" w14:textId="77777777" w:rsidR="00C627EB" w:rsidRDefault="00C627EB">
      <w:pPr>
        <w:pStyle w:val="Zkladntext"/>
        <w:keepNext/>
        <w:rPr>
          <w:rFonts w:ascii="Times New Roman" w:hAnsi="Times New Roman"/>
          <w:b w:val="0"/>
          <w:noProof/>
          <w:sz w:val="22"/>
          <w:szCs w:val="22"/>
        </w:rPr>
      </w:pPr>
      <w:r w:rsidRPr="00F6224F">
        <w:rPr>
          <w:rFonts w:ascii="Times New Roman" w:hAnsi="Times New Roman"/>
          <w:b w:val="0"/>
          <w:sz w:val="22"/>
          <w:szCs w:val="22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>
        <w:rPr>
          <w:rFonts w:ascii="Times New Roman" w:hAnsi="Times New Roman"/>
          <w:b w:val="0"/>
          <w:sz w:val="22"/>
          <w:szCs w:val="22"/>
        </w:rPr>
        <w:t>na</w:t>
      </w:r>
      <w:r w:rsidRPr="00686E35">
        <w:rPr>
          <w:rFonts w:ascii="Times New Roman" w:hAnsi="Times New Roman"/>
          <w:b w:val="0"/>
          <w:noProof/>
          <w:sz w:val="22"/>
          <w:szCs w:val="22"/>
        </w:rPr>
        <w:t xml:space="preserve"> </w:t>
      </w:r>
      <w:r w:rsidR="001D3920" w:rsidRPr="00F23AEC">
        <w:rPr>
          <w:rFonts w:ascii="Times New Roman" w:hAnsi="Times New Roman"/>
          <w:b w:val="0"/>
          <w:noProof/>
          <w:sz w:val="22"/>
          <w:szCs w:val="22"/>
          <w:shd w:val="clear" w:color="auto" w:fill="BFBFBF"/>
          <w:lang w:eastAsia="cs-CZ"/>
        </w:rPr>
        <w:t>národné centrum hlásenia uvedené v </w:t>
      </w:r>
      <w:hyperlink r:id="rId18" w:history="1">
        <w:r w:rsidR="001D3920" w:rsidRPr="00135C09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P</w:t>
        </w:r>
        <w:r w:rsidR="001D3920" w:rsidRPr="00B95AD2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eastAsia="cs-CZ"/>
          </w:rPr>
          <w:t xml:space="preserve">rílohe </w:t>
        </w:r>
        <w:r w:rsidR="001D3920" w:rsidRPr="00135C09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V</w:t>
        </w:r>
      </w:hyperlink>
      <w:r w:rsidR="001D3920" w:rsidRPr="00F23AEC">
        <w:rPr>
          <w:rFonts w:ascii="Times New Roman" w:hAnsi="Times New Roman"/>
          <w:b w:val="0"/>
          <w:noProof/>
          <w:sz w:val="22"/>
          <w:szCs w:val="22"/>
          <w:lang w:eastAsia="cs-CZ"/>
        </w:rPr>
        <w:t>.</w:t>
      </w:r>
    </w:p>
    <w:p w14:paraId="5FBA5ECF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BD42676" w14:textId="77777777" w:rsidR="00C627EB" w:rsidRPr="000F7489" w:rsidRDefault="00C627EB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4.9</w:t>
      </w:r>
      <w:r w:rsidRPr="000F7489">
        <w:rPr>
          <w:rFonts w:ascii="Times New Roman" w:hAnsi="Times New Roman"/>
          <w:b/>
          <w:sz w:val="22"/>
          <w:szCs w:val="22"/>
        </w:rPr>
        <w:tab/>
        <w:t>Predávkovanie</w:t>
      </w:r>
    </w:p>
    <w:p w14:paraId="64D428A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A275EF6" w14:textId="77777777"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Nezaznamenali sa žiadne závažné škodlivé účinky z predávkovania hormonálnymi kontraceptívami. Príznaky, ktoré sa v tomto prípade môžu objaviť, sú: nauzea, vracanie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mladých dievčat slabé vaginálne krvácanie. Neexistujú žiadne antidotá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ďalšia liečba má byť symptomatická.</w:t>
      </w:r>
    </w:p>
    <w:p w14:paraId="1372DF3B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8EAA86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1D4C87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</w:t>
      </w:r>
      <w:r w:rsidRPr="000F7489">
        <w:rPr>
          <w:rFonts w:ascii="Times New Roman" w:hAnsi="Times New Roman"/>
          <w:b/>
          <w:sz w:val="22"/>
          <w:szCs w:val="22"/>
        </w:rPr>
        <w:tab/>
        <w:t>FARMAKOLOGICKÉ VLASTNOSTI</w:t>
      </w:r>
    </w:p>
    <w:p w14:paraId="1BF86B1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431F0EF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5.1</w:t>
      </w:r>
      <w:r w:rsidRPr="000F7489">
        <w:rPr>
          <w:rFonts w:ascii="Times New Roman" w:hAnsi="Times New Roman"/>
          <w:b/>
          <w:sz w:val="22"/>
          <w:szCs w:val="22"/>
        </w:rPr>
        <w:tab/>
        <w:t>Farmakodynamické vlastnosti</w:t>
      </w:r>
    </w:p>
    <w:p w14:paraId="2AF4B98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97EF698" w14:textId="77777777" w:rsidR="00C627EB" w:rsidRPr="00135C0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Farmakoterapeutická skupina: Iné gynekologiká, </w:t>
      </w:r>
      <w:r w:rsidRPr="00135C09">
        <w:rPr>
          <w:rFonts w:ascii="Times New Roman" w:hAnsi="Times New Roman"/>
          <w:sz w:val="22"/>
          <w:szCs w:val="22"/>
        </w:rPr>
        <w:t xml:space="preserve">intravaginálne kontraceptíva, </w:t>
      </w:r>
      <w:r w:rsidR="00401EB4" w:rsidRPr="00135C09">
        <w:rPr>
          <w:rFonts w:ascii="Times New Roman" w:hAnsi="Times New Roman"/>
          <w:sz w:val="22"/>
          <w:szCs w:val="22"/>
        </w:rPr>
        <w:t xml:space="preserve">vaginálne krúžky s progestínom a estrogénom, </w:t>
      </w:r>
      <w:r w:rsidRPr="00135C09">
        <w:rPr>
          <w:rFonts w:ascii="Times New Roman" w:hAnsi="Times New Roman"/>
          <w:sz w:val="22"/>
          <w:szCs w:val="22"/>
        </w:rPr>
        <w:t>ATC kód: G02BB01.</w:t>
      </w:r>
    </w:p>
    <w:p w14:paraId="66C6EAA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7825D74B" w14:textId="77777777" w:rsidR="00C627EB" w:rsidRPr="00226C8F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Cs/>
          <w:sz w:val="22"/>
          <w:szCs w:val="22"/>
          <w:u w:val="single"/>
        </w:rPr>
        <w:t>Mechanizmus</w:t>
      </w:r>
      <w:r w:rsidRPr="00226C8F">
        <w:rPr>
          <w:rFonts w:ascii="Times New Roman" w:hAnsi="Times New Roman" w:cs="Times New Roman"/>
          <w:bCs/>
          <w:sz w:val="22"/>
          <w:szCs w:val="22"/>
          <w:u w:val="single"/>
        </w:rPr>
        <w:t xml:space="preserve"> účinku</w:t>
      </w:r>
    </w:p>
    <w:p w14:paraId="5EC16064" w14:textId="77777777" w:rsidR="00C627EB" w:rsidRPr="000F7489" w:rsidRDefault="00401EB4" w:rsidP="002D13C6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 xml:space="preserve"> obsahuje etonogestrel a etinylestradiol. Etonogestrel je gestagén odvodený od 19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noBreakHyphen/>
        <w:t xml:space="preserve">nortestosterónu a v cieľových orgánoch sa viaže vysokou afinitou na progesterónové receptory. Etinylestradiol je estrogén, ktorý sa vo veľkej miere používa v kontraceptívnych liekoch. Kontraceptívny účinok </w:t>
      </w:r>
      <w:r w:rsidR="008E37FC"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bCs/>
          <w:sz w:val="22"/>
          <w:szCs w:val="22"/>
        </w:rPr>
        <w:t>u je založený na rôznych mechanizmoch, z ktorých najdôležitejší je inhibícia ovulácie.</w:t>
      </w:r>
    </w:p>
    <w:p w14:paraId="3B9BB7D1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FE79E72" w14:textId="77777777" w:rsidR="00C627EB" w:rsidRPr="00226C8F" w:rsidRDefault="00C627EB" w:rsidP="00FC4918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Klinická účinnosť a</w:t>
      </w:r>
      <w:r>
        <w:rPr>
          <w:rFonts w:ascii="Times New Roman" w:hAnsi="Times New Roman"/>
          <w:bCs/>
          <w:sz w:val="22"/>
          <w:szCs w:val="22"/>
          <w:u w:val="single"/>
        </w:rPr>
        <w:t> </w:t>
      </w:r>
      <w:r w:rsidRPr="00226C8F">
        <w:rPr>
          <w:rFonts w:ascii="Times New Roman" w:hAnsi="Times New Roman"/>
          <w:bCs/>
          <w:sz w:val="22"/>
          <w:szCs w:val="22"/>
          <w:u w:val="single"/>
        </w:rPr>
        <w:t>bezpečnosť</w:t>
      </w:r>
    </w:p>
    <w:p w14:paraId="53B66D3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Klinické štúdie sa vykonali na celom svete (Spojené štáty americké, štáty Európskej únie a Brazília) u žien vo veku od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18 do 40 rokov. Zdá sa, že kontraceptívna účinnosť je prinajmenšom porovnateľná s kontraceptívnou účinnosťou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kombinovaných perorálnych kontraceptívach. Nasledovná tabuľka uvádza Pearlove indexy (počet gravidít na 100 paciento</w:t>
      </w:r>
      <w:r w:rsidR="00135C09">
        <w:rPr>
          <w:rFonts w:ascii="Times New Roman" w:hAnsi="Times New Roman"/>
          <w:bCs/>
          <w:sz w:val="22"/>
          <w:szCs w:val="22"/>
        </w:rPr>
        <w:t xml:space="preserve">k za </w:t>
      </w:r>
      <w:r w:rsidRPr="000F7489">
        <w:rPr>
          <w:rFonts w:ascii="Times New Roman" w:hAnsi="Times New Roman"/>
          <w:bCs/>
          <w:sz w:val="22"/>
          <w:szCs w:val="22"/>
        </w:rPr>
        <w:t xml:space="preserve">rokov používania), ktoré sa zistili počas klinických </w:t>
      </w:r>
      <w:r w:rsidRPr="00487174">
        <w:rPr>
          <w:rFonts w:ascii="Times New Roman" w:hAnsi="Times New Roman"/>
          <w:bCs/>
          <w:sz w:val="22"/>
          <w:szCs w:val="22"/>
        </w:rPr>
        <w:t>štúdií s</w:t>
      </w:r>
      <w:r w:rsidR="00213B4B">
        <w:rPr>
          <w:rFonts w:ascii="Times New Roman" w:hAnsi="Times New Roman"/>
          <w:bCs/>
          <w:sz w:val="22"/>
          <w:szCs w:val="22"/>
        </w:rPr>
        <w:t> </w:t>
      </w:r>
      <w:r w:rsidR="00135C09" w:rsidRPr="00487174">
        <w:rPr>
          <w:rFonts w:ascii="Times New Roman" w:hAnsi="Times New Roman"/>
          <w:bCs/>
          <w:sz w:val="22"/>
          <w:szCs w:val="22"/>
        </w:rPr>
        <w:t>etonogestrelom/etinylestradiolom</w:t>
      </w:r>
      <w:r w:rsidR="00487174" w:rsidRPr="00487174">
        <w:rPr>
          <w:rFonts w:ascii="Times New Roman" w:hAnsi="Times New Roman"/>
          <w:bCs/>
          <w:sz w:val="22"/>
          <w:szCs w:val="22"/>
        </w:rPr>
        <w:t xml:space="preserve"> vaginálnym</w:t>
      </w:r>
      <w:r w:rsidR="00487174">
        <w:rPr>
          <w:rFonts w:ascii="Times New Roman" w:hAnsi="Times New Roman"/>
          <w:bCs/>
          <w:sz w:val="22"/>
          <w:szCs w:val="22"/>
        </w:rPr>
        <w:t xml:space="preserve"> krúžkom</w:t>
      </w:r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188946E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8"/>
        <w:gridCol w:w="1620"/>
        <w:gridCol w:w="1620"/>
        <w:gridCol w:w="2132"/>
      </w:tblGrid>
      <w:tr w:rsidR="00C627EB" w:rsidRPr="000F7489" w14:paraId="6E9B5D2B" w14:textId="77777777" w:rsidTr="00D0705D">
        <w:tc>
          <w:tcPr>
            <w:tcW w:w="3708" w:type="dxa"/>
          </w:tcPr>
          <w:p w14:paraId="6571D6EB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8A4CC4">
              <w:rPr>
                <w:rFonts w:ascii="Times New Roman" w:hAnsi="Times New Roman"/>
                <w:sz w:val="22"/>
                <w:szCs w:val="22"/>
              </w:rPr>
              <w:t>Analytická metóda</w:t>
            </w:r>
          </w:p>
        </w:tc>
        <w:tc>
          <w:tcPr>
            <w:tcW w:w="1620" w:type="dxa"/>
          </w:tcPr>
          <w:p w14:paraId="5B4EEEC1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8A4CC4">
              <w:rPr>
                <w:rFonts w:ascii="Times New Roman" w:hAnsi="Times New Roman"/>
                <w:sz w:val="22"/>
                <w:szCs w:val="22"/>
              </w:rPr>
              <w:t>Pearlov index</w:t>
            </w:r>
          </w:p>
        </w:tc>
        <w:tc>
          <w:tcPr>
            <w:tcW w:w="1620" w:type="dxa"/>
          </w:tcPr>
          <w:p w14:paraId="7E2A45D7" w14:textId="77777777" w:rsidR="00C627EB" w:rsidRPr="008A4CC4" w:rsidRDefault="00DD508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95 % I</w:t>
            </w:r>
            <w:r w:rsidR="00C627EB" w:rsidRPr="008A4CC4">
              <w:rPr>
                <w:rFonts w:ascii="Times New Roman" w:hAnsi="Times New Roman"/>
                <w:sz w:val="22"/>
                <w:szCs w:val="22"/>
              </w:rPr>
              <w:t>S</w:t>
            </w:r>
          </w:p>
        </w:tc>
        <w:tc>
          <w:tcPr>
            <w:tcW w:w="2132" w:type="dxa"/>
          </w:tcPr>
          <w:p w14:paraId="36C6403E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8A4CC4">
              <w:rPr>
                <w:rFonts w:ascii="Times New Roman" w:hAnsi="Times New Roman"/>
                <w:sz w:val="22"/>
                <w:szCs w:val="22"/>
              </w:rPr>
              <w:t>Počet cyklov</w:t>
            </w:r>
          </w:p>
        </w:tc>
      </w:tr>
      <w:tr w:rsidR="00C627EB" w:rsidRPr="000F7489" w14:paraId="1561B47E" w14:textId="77777777" w:rsidTr="00D0705D">
        <w:tc>
          <w:tcPr>
            <w:tcW w:w="3708" w:type="dxa"/>
          </w:tcPr>
          <w:p w14:paraId="595221DF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ITT (používateľka + zlyhanie metódy)</w:t>
            </w:r>
          </w:p>
        </w:tc>
        <w:tc>
          <w:tcPr>
            <w:tcW w:w="1620" w:type="dxa"/>
          </w:tcPr>
          <w:p w14:paraId="3EEA4D8A" w14:textId="77777777" w:rsidR="00C627EB" w:rsidRPr="00F92CCC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23154F">
              <w:rPr>
                <w:rFonts w:ascii="Times New Roman" w:hAnsi="Times New Roman"/>
                <w:bCs/>
                <w:sz w:val="22"/>
                <w:szCs w:val="22"/>
              </w:rPr>
              <w:t>0,96</w:t>
            </w:r>
          </w:p>
        </w:tc>
        <w:tc>
          <w:tcPr>
            <w:tcW w:w="1620" w:type="dxa"/>
          </w:tcPr>
          <w:p w14:paraId="3DAD85B1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0,64 – 1,39</w:t>
            </w:r>
          </w:p>
        </w:tc>
        <w:tc>
          <w:tcPr>
            <w:tcW w:w="2132" w:type="dxa"/>
          </w:tcPr>
          <w:p w14:paraId="44EEB9FB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37 977</w:t>
            </w:r>
          </w:p>
        </w:tc>
      </w:tr>
      <w:tr w:rsidR="00C627EB" w:rsidRPr="000F7489" w14:paraId="4A5426FD" w14:textId="77777777" w:rsidTr="00D0705D">
        <w:tc>
          <w:tcPr>
            <w:tcW w:w="3708" w:type="dxa"/>
          </w:tcPr>
          <w:p w14:paraId="6056053C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PP (zlyhanie metódy)</w:t>
            </w:r>
          </w:p>
        </w:tc>
        <w:tc>
          <w:tcPr>
            <w:tcW w:w="1620" w:type="dxa"/>
          </w:tcPr>
          <w:p w14:paraId="5F13C93A" w14:textId="77777777" w:rsidR="00C627EB" w:rsidRPr="00F92CCC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23154F">
              <w:rPr>
                <w:rFonts w:ascii="Times New Roman" w:hAnsi="Times New Roman"/>
                <w:bCs/>
                <w:sz w:val="22"/>
                <w:szCs w:val="22"/>
              </w:rPr>
              <w:t>0,64</w:t>
            </w:r>
          </w:p>
        </w:tc>
        <w:tc>
          <w:tcPr>
            <w:tcW w:w="1620" w:type="dxa"/>
          </w:tcPr>
          <w:p w14:paraId="151BAEA2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0,35 – 1,07</w:t>
            </w:r>
          </w:p>
        </w:tc>
        <w:tc>
          <w:tcPr>
            <w:tcW w:w="2132" w:type="dxa"/>
          </w:tcPr>
          <w:p w14:paraId="62073A4A" w14:textId="77777777" w:rsidR="00C627EB" w:rsidRPr="008A4CC4" w:rsidRDefault="00C627EB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8A4CC4">
              <w:rPr>
                <w:rFonts w:ascii="Times New Roman" w:hAnsi="Times New Roman"/>
                <w:bCs/>
                <w:sz w:val="22"/>
                <w:szCs w:val="22"/>
              </w:rPr>
              <w:t>28 723</w:t>
            </w:r>
          </w:p>
        </w:tc>
      </w:tr>
    </w:tbl>
    <w:p w14:paraId="1968864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9F47835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Užívaním COC vo vyšších dávkach (0,05 mg etinylestradiolu) sa riziko karcinómu endometria a ovárií znižuje. Či sa to týka aj kontraceptíva v nízkej dávke, ako je </w:t>
      </w:r>
      <w:r w:rsidR="00F92CCC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bCs/>
          <w:sz w:val="22"/>
          <w:szCs w:val="22"/>
        </w:rPr>
        <w:t>, je potrebné ešte potvrdiť.</w:t>
      </w:r>
    </w:p>
    <w:p w14:paraId="12B4735B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2FBA2554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CYKLUS KRVÁCANIA</w:t>
      </w:r>
    </w:p>
    <w:p w14:paraId="1336D4FF" w14:textId="11C4BE18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Veľká porovnávacia štúdia s</w:t>
      </w:r>
      <w:r w:rsidR="00482236">
        <w:rPr>
          <w:rFonts w:ascii="Times New Roman" w:hAnsi="Times New Roman"/>
          <w:bCs/>
          <w:sz w:val="22"/>
          <w:szCs w:val="22"/>
        </w:rPr>
        <w:t xml:space="preserve"> perorálnym kontraceptívom </w:t>
      </w:r>
      <w:r w:rsidR="00482236" w:rsidRPr="000F7489">
        <w:rPr>
          <w:rFonts w:ascii="Times New Roman" w:hAnsi="Times New Roman"/>
          <w:bCs/>
          <w:sz w:val="22"/>
          <w:szCs w:val="22"/>
        </w:rPr>
        <w:t xml:space="preserve">obsahujúcim </w:t>
      </w:r>
      <w:r w:rsidRPr="000F7489">
        <w:rPr>
          <w:rFonts w:ascii="Times New Roman" w:hAnsi="Times New Roman"/>
          <w:bCs/>
          <w:sz w:val="22"/>
          <w:szCs w:val="22"/>
        </w:rPr>
        <w:t>150/30 μg levonorgestrel/etinylestradiol (n = 512 oproti n = 518) hodnotiaca charakteristiky vaginálneho krvácania počas 13 cyklov preukázala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="00006618">
        <w:rPr>
          <w:rFonts w:ascii="Times New Roman" w:hAnsi="Times New Roman"/>
          <w:bCs/>
          <w:sz w:val="22"/>
          <w:szCs w:val="22"/>
        </w:rPr>
        <w:t>etonorgestrele/etinylestradiole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DD508B">
        <w:rPr>
          <w:rFonts w:ascii="Times New Roman" w:hAnsi="Times New Roman"/>
          <w:bCs/>
          <w:sz w:val="22"/>
          <w:szCs w:val="22"/>
        </w:rPr>
        <w:t xml:space="preserve">vaginálnom </w:t>
      </w:r>
      <w:r w:rsidR="00BA6FA0">
        <w:rPr>
          <w:rFonts w:ascii="Times New Roman" w:hAnsi="Times New Roman"/>
          <w:bCs/>
          <w:sz w:val="22"/>
          <w:szCs w:val="22"/>
        </w:rPr>
        <w:t>krúžku</w:t>
      </w:r>
      <w:r w:rsidR="00DD508B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nízke výskyty medzimenštruačného špinenia alebo krvácania (2,0 – 6,4 %). Navyše, </w:t>
      </w:r>
      <w:r w:rsidR="008D2F5E">
        <w:rPr>
          <w:rFonts w:ascii="Times New Roman" w:hAnsi="Times New Roman"/>
          <w:bCs/>
          <w:sz w:val="22"/>
          <w:szCs w:val="22"/>
        </w:rPr>
        <w:t xml:space="preserve">u </w:t>
      </w:r>
      <w:r w:rsidR="008D2F5E" w:rsidRPr="000F7489">
        <w:rPr>
          <w:rFonts w:ascii="Times New Roman" w:hAnsi="Times New Roman"/>
          <w:bCs/>
          <w:sz w:val="22"/>
          <w:szCs w:val="22"/>
        </w:rPr>
        <w:t>väčšin</w:t>
      </w:r>
      <w:r w:rsidR="008D2F5E">
        <w:rPr>
          <w:rFonts w:ascii="Times New Roman" w:hAnsi="Times New Roman"/>
          <w:bCs/>
          <w:sz w:val="22"/>
          <w:szCs w:val="22"/>
        </w:rPr>
        <w:t>y</w:t>
      </w:r>
      <w:r w:rsidR="008D2F5E"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žien bolo vaginálne krvácanie výlučne obmedzené na obdobie bez krúžku (58,8 – 72,8 %).</w:t>
      </w:r>
    </w:p>
    <w:p w14:paraId="3995E71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46CE6C5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BA6FA0">
        <w:rPr>
          <w:rFonts w:ascii="Times New Roman" w:hAnsi="Times New Roman"/>
          <w:bCs/>
          <w:sz w:val="22"/>
          <w:szCs w:val="22"/>
        </w:rPr>
        <w:t>ÚČINKY NA MINERÁLNU</w:t>
      </w:r>
      <w:r w:rsidRPr="000F7489">
        <w:rPr>
          <w:rFonts w:ascii="Times New Roman" w:hAnsi="Times New Roman"/>
          <w:bCs/>
          <w:sz w:val="22"/>
          <w:szCs w:val="22"/>
        </w:rPr>
        <w:t xml:space="preserve"> DENZITU</w:t>
      </w:r>
      <w:r w:rsidR="00BA6FA0">
        <w:rPr>
          <w:rFonts w:ascii="Times New Roman" w:hAnsi="Times New Roman"/>
          <w:bCs/>
          <w:sz w:val="22"/>
          <w:szCs w:val="22"/>
        </w:rPr>
        <w:t xml:space="preserve"> KOSTÍ</w:t>
      </w:r>
    </w:p>
    <w:p w14:paraId="782008EB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003171C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 žien sa počas dvoch rokov skúmali účinky </w:t>
      </w:r>
      <w:r w:rsidR="0089737F">
        <w:rPr>
          <w:rFonts w:ascii="Times New Roman" w:hAnsi="Times New Roman"/>
          <w:bCs/>
          <w:sz w:val="22"/>
          <w:szCs w:val="22"/>
        </w:rPr>
        <w:t>etonorgestrelu/etinylestradiolu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="00BA6FA0">
        <w:rPr>
          <w:rFonts w:ascii="Times New Roman" w:hAnsi="Times New Roman"/>
          <w:bCs/>
          <w:sz w:val="22"/>
          <w:szCs w:val="22"/>
        </w:rPr>
        <w:t xml:space="preserve">vaginálneho krúžku </w:t>
      </w:r>
      <w:r w:rsidRPr="000F7489">
        <w:rPr>
          <w:rFonts w:ascii="Times New Roman" w:hAnsi="Times New Roman"/>
          <w:bCs/>
          <w:sz w:val="22"/>
          <w:szCs w:val="22"/>
        </w:rPr>
        <w:t xml:space="preserve">(n = 76) na minerálnu denzitu </w:t>
      </w:r>
      <w:r w:rsidR="00A03612">
        <w:rPr>
          <w:rFonts w:ascii="Times New Roman" w:hAnsi="Times New Roman"/>
          <w:bCs/>
          <w:sz w:val="22"/>
          <w:szCs w:val="22"/>
        </w:rPr>
        <w:t xml:space="preserve">kostí </w:t>
      </w:r>
      <w:r w:rsidRPr="000F7489">
        <w:rPr>
          <w:rFonts w:ascii="Times New Roman" w:hAnsi="Times New Roman"/>
          <w:bCs/>
          <w:sz w:val="22"/>
          <w:szCs w:val="22"/>
        </w:rPr>
        <w:t>(</w:t>
      </w:r>
      <w:r w:rsidR="008D2F5E">
        <w:rPr>
          <w:rFonts w:ascii="Times New Roman" w:hAnsi="Times New Roman"/>
          <w:bCs/>
          <w:sz w:val="22"/>
          <w:szCs w:val="22"/>
        </w:rPr>
        <w:t xml:space="preserve">z angl. bone mineral density </w:t>
      </w:r>
      <w:r w:rsidRPr="000F7489">
        <w:rPr>
          <w:rFonts w:ascii="Times New Roman" w:hAnsi="Times New Roman"/>
          <w:bCs/>
          <w:sz w:val="22"/>
          <w:szCs w:val="22"/>
        </w:rPr>
        <w:t>BMD) v porovnaní s nehormonálnym vnútromaternicovým telieskom (</w:t>
      </w:r>
      <w:r w:rsidR="008D2F5E">
        <w:rPr>
          <w:rFonts w:ascii="Times New Roman" w:hAnsi="Times New Roman"/>
          <w:bCs/>
          <w:sz w:val="22"/>
          <w:szCs w:val="22"/>
        </w:rPr>
        <w:t xml:space="preserve"> z angl intrauterine device </w:t>
      </w:r>
      <w:r w:rsidRPr="000F7489">
        <w:rPr>
          <w:rFonts w:ascii="Times New Roman" w:hAnsi="Times New Roman"/>
          <w:bCs/>
          <w:sz w:val="22"/>
          <w:szCs w:val="22"/>
        </w:rPr>
        <w:t>IUD) (n = 31). Nepozorovali sa žiadne nežiaduce účinky na kostnú hmotu.</w:t>
      </w:r>
    </w:p>
    <w:p w14:paraId="119A4AD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6735E063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Pediatrická populácia</w:t>
      </w:r>
    </w:p>
    <w:p w14:paraId="18EE2C2B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r w:rsidR="00B735AC" w:rsidRPr="003817FE">
        <w:rPr>
          <w:rFonts w:ascii="Times New Roman" w:hAnsi="Times New Roman"/>
          <w:sz w:val="22"/>
          <w:szCs w:val="22"/>
        </w:rPr>
        <w:t>Perlinring</w:t>
      </w:r>
      <w:r w:rsidR="00B735AC">
        <w:rPr>
          <w:rFonts w:ascii="Times New Roman" w:hAnsi="Times New Roman"/>
          <w:bCs/>
          <w:sz w:val="22"/>
          <w:szCs w:val="22"/>
        </w:rPr>
        <w:t>u</w:t>
      </w:r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sa neskúmali.</w:t>
      </w:r>
    </w:p>
    <w:p w14:paraId="04212286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6362B4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5.2</w:t>
      </w:r>
      <w:r w:rsidRPr="000F7489">
        <w:rPr>
          <w:rFonts w:ascii="Times New Roman" w:hAnsi="Times New Roman"/>
          <w:b/>
          <w:sz w:val="22"/>
          <w:szCs w:val="22"/>
        </w:rPr>
        <w:tab/>
        <w:t>Farmakokinetické vlastnosti</w:t>
      </w:r>
    </w:p>
    <w:p w14:paraId="6727DA6C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7EF35CF0" w14:textId="77777777" w:rsidR="00C627EB" w:rsidRPr="008A4CC4" w:rsidRDefault="00C627EB" w:rsidP="00EC5AC4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 w:rsidRPr="008A4CC4">
        <w:rPr>
          <w:rFonts w:ascii="Times New Roman" w:hAnsi="Times New Roman"/>
          <w:bCs/>
          <w:i/>
          <w:sz w:val="22"/>
          <w:szCs w:val="22"/>
        </w:rPr>
        <w:t>Etonogestrel</w:t>
      </w:r>
    </w:p>
    <w:p w14:paraId="59415F1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3BEAEC86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sz w:val="22"/>
          <w:szCs w:val="22"/>
          <w:u w:val="single"/>
        </w:rPr>
        <w:t>bsorpcia</w:t>
      </w:r>
    </w:p>
    <w:p w14:paraId="3E80965D" w14:textId="77777777" w:rsidR="00C627EB" w:rsidRPr="000F7489" w:rsidRDefault="00C627EB" w:rsidP="00972BE7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Etonogestrel, ktorý sa uvoľňuje z </w:t>
      </w:r>
      <w:r w:rsidR="00D31C1F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u, sa rýchlo absorbuje vaginálnou sliznicou. Maximálne sérové koncentrácie etonogestrelu približne 1 700 pg/ml sa dosahujú približne za 1 týždeň po zavedení. Sérové koncentrácie vykazujú malé fluktuácie a pomaly klesajú na približne 1 600 pg/ml po 1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týždni, 1 500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pg/ml po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týždňoch a na 1 400 pg/ml po 3 týždňoch používania. Absolútna biologická dostupnosť je približne 100 % a je vyššia ako po perorálnom podaní. Cervikáln</w:t>
      </w:r>
      <w:r>
        <w:rPr>
          <w:rFonts w:ascii="Times New Roman" w:hAnsi="Times New Roman"/>
          <w:sz w:val="22"/>
          <w:szCs w:val="22"/>
        </w:rPr>
        <w:t>e</w:t>
      </w:r>
      <w:r w:rsidRPr="000F7489">
        <w:rPr>
          <w:rFonts w:ascii="Times New Roman" w:hAnsi="Times New Roman"/>
          <w:sz w:val="22"/>
          <w:szCs w:val="22"/>
        </w:rPr>
        <w:t xml:space="preserve"> a intrauterinn</w:t>
      </w:r>
      <w:r>
        <w:rPr>
          <w:rFonts w:ascii="Times New Roman" w:hAnsi="Times New Roman"/>
          <w:sz w:val="22"/>
          <w:szCs w:val="22"/>
        </w:rPr>
        <w:t>é</w:t>
      </w:r>
      <w:r w:rsidRPr="000F7489">
        <w:rPr>
          <w:rFonts w:ascii="Times New Roman" w:hAnsi="Times New Roman"/>
          <w:sz w:val="22"/>
          <w:szCs w:val="22"/>
        </w:rPr>
        <w:t xml:space="preserve"> hladin</w:t>
      </w:r>
      <w:r>
        <w:rPr>
          <w:rFonts w:ascii="Times New Roman" w:hAnsi="Times New Roman"/>
          <w:sz w:val="22"/>
          <w:szCs w:val="22"/>
        </w:rPr>
        <w:t>y</w:t>
      </w:r>
      <w:r w:rsidRPr="000F7489">
        <w:rPr>
          <w:rFonts w:ascii="Times New Roman" w:hAnsi="Times New Roman"/>
          <w:sz w:val="22"/>
          <w:szCs w:val="22"/>
        </w:rPr>
        <w:t xml:space="preserve"> etonogestrelu sa meral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pri</w:t>
      </w:r>
      <w:r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malom počte žien, ktoré používali </w:t>
      </w:r>
      <w:r w:rsidR="00A03612">
        <w:rPr>
          <w:rFonts w:ascii="Times New Roman" w:hAnsi="Times New Roman"/>
          <w:sz w:val="22"/>
          <w:szCs w:val="22"/>
          <w:lang w:eastAsia="sk-SK"/>
        </w:rPr>
        <w:t>etonogestrel/etinylestradiol vaginálny krúžok</w:t>
      </w:r>
      <w:r w:rsidR="00A03612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>alebo perorálne kontraceptívum obsahujúce 0,150 mg dezogestrelu a 0,020 mg etinylestradiolu. Zistené hladiny boli porovnateľné.</w:t>
      </w:r>
    </w:p>
    <w:p w14:paraId="661544C6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8FC5BB6" w14:textId="77777777" w:rsidR="00C627EB" w:rsidRPr="00226C8F" w:rsidRDefault="00C627EB" w:rsidP="002D13C6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14:paraId="645731A7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Etonogestrel sa viaže na sérový albumín a na globulín viažuci pohlavné hormóny (SHBG). Zdanlivý objem distribúcie etonogestrelu je 2,3 l/kg.</w:t>
      </w:r>
    </w:p>
    <w:p w14:paraId="0018BA0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4FA5304D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</w:p>
    <w:p w14:paraId="0F3AD5B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Etonogestrel sa metabolizuje známymi cestami metabolizmu steroidov. Zdanlivý klírens zo séra je asi 3,5 l/hod. Nebola zistená žiadna interakcia so súbežne podávaným etinylestradiolom.</w:t>
      </w:r>
    </w:p>
    <w:p w14:paraId="5F248EA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1880EAEB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14:paraId="24C0FBD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Sérové hladiny etonogestrelu klesajú v dvoch fázach. Terminálna fáza eliminácie je charakterizovaná polčasom približne 29 hodín. Etonogestrel a jeho metabolity sa vylučujú močom a žlčou v pomere približne 1,7:1. Polčas vylučovania metabolitu je približne 6 dní.</w:t>
      </w:r>
    </w:p>
    <w:p w14:paraId="1A89F8A4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A147263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 w:rsidRPr="008A4CC4">
        <w:rPr>
          <w:rFonts w:ascii="Times New Roman" w:hAnsi="Times New Roman"/>
          <w:bCs/>
          <w:i/>
          <w:sz w:val="22"/>
          <w:szCs w:val="22"/>
        </w:rPr>
        <w:t>Etinylestradiol</w:t>
      </w:r>
    </w:p>
    <w:p w14:paraId="3D750C64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</w:p>
    <w:p w14:paraId="4E693CA8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iCs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iCs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iCs/>
          <w:sz w:val="22"/>
          <w:szCs w:val="22"/>
          <w:u w:val="single"/>
        </w:rPr>
        <w:t>bsorpcia</w:t>
      </w:r>
    </w:p>
    <w:p w14:paraId="3648DB30" w14:textId="77777777" w:rsidR="00C627EB" w:rsidRPr="000F7489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Etinylestradiol, ktorý sa uvoľňuje z </w:t>
      </w:r>
      <w:r w:rsidR="00A80ED0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 xml:space="preserve">u, sa rýchlo absorbuje vaginálnou sliznicou. 3 dni po zavedení sa dosiahnu maximálne sérové koncentrácie približne 35 pg/ml a klesajú na 19 pg/ml po 1 týždni, </w:t>
      </w:r>
      <w:r w:rsidR="00A03612">
        <w:rPr>
          <w:rFonts w:ascii="Times New Roman" w:hAnsi="Times New Roman" w:cs="Times New Roman"/>
          <w:sz w:val="22"/>
          <w:szCs w:val="22"/>
        </w:rPr>
        <w:t xml:space="preserve">na </w:t>
      </w:r>
      <w:r w:rsidRPr="000F7489">
        <w:rPr>
          <w:rFonts w:ascii="Times New Roman" w:hAnsi="Times New Roman" w:cs="Times New Roman"/>
          <w:sz w:val="22"/>
          <w:szCs w:val="22"/>
        </w:rPr>
        <w:t>18 pg/ml po 2 týždňoch a na 18 pg/ml po 3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týždňoch používania. Mesačná systémová expozícia etinylestradiolu (AUC</w:t>
      </w:r>
      <w:r w:rsidRPr="000F7489">
        <w:rPr>
          <w:rFonts w:ascii="Times New Roman" w:hAnsi="Times New Roman" w:cs="Times New Roman"/>
          <w:sz w:val="22"/>
          <w:szCs w:val="22"/>
          <w:vertAlign w:val="subscript"/>
        </w:rPr>
        <w:t>0-ω</w:t>
      </w:r>
      <w:r w:rsidRPr="000F7489">
        <w:rPr>
          <w:rFonts w:ascii="Times New Roman" w:hAnsi="Times New Roman" w:cs="Times New Roman"/>
          <w:sz w:val="22"/>
          <w:szCs w:val="22"/>
        </w:rPr>
        <w:t>) s </w:t>
      </w:r>
      <w:r w:rsidR="00B31B98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 w:cs="Times New Roman"/>
          <w:sz w:val="22"/>
          <w:szCs w:val="22"/>
        </w:rPr>
        <w:t>om je 10,9 ng.hod/ml. Absolútna biologická dostupnosť je približne 56 %, čo je porovnateľné s perorálnym podávaním etinylestradiolu. Cervikáln</w:t>
      </w:r>
      <w:r>
        <w:rPr>
          <w:rFonts w:ascii="Times New Roman" w:hAnsi="Times New Roman" w:cs="Times New Roman"/>
          <w:sz w:val="22"/>
          <w:szCs w:val="22"/>
        </w:rPr>
        <w:t>e</w:t>
      </w:r>
      <w:r w:rsidRPr="000F7489">
        <w:rPr>
          <w:rFonts w:ascii="Times New Roman" w:hAnsi="Times New Roman" w:cs="Times New Roman"/>
          <w:sz w:val="22"/>
          <w:szCs w:val="22"/>
        </w:rPr>
        <w:t xml:space="preserve"> a intrauterinn</w:t>
      </w:r>
      <w:r>
        <w:rPr>
          <w:rFonts w:ascii="Times New Roman" w:hAnsi="Times New Roman" w:cs="Times New Roman"/>
          <w:sz w:val="22"/>
          <w:szCs w:val="22"/>
        </w:rPr>
        <w:t>é</w:t>
      </w:r>
      <w:r w:rsidRPr="000F7489">
        <w:rPr>
          <w:rFonts w:ascii="Times New Roman" w:hAnsi="Times New Roman" w:cs="Times New Roman"/>
          <w:sz w:val="22"/>
          <w:szCs w:val="22"/>
        </w:rPr>
        <w:t xml:space="preserve"> hladin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0F7489">
        <w:rPr>
          <w:rFonts w:ascii="Times New Roman" w:hAnsi="Times New Roman" w:cs="Times New Roman"/>
          <w:sz w:val="22"/>
          <w:szCs w:val="22"/>
        </w:rPr>
        <w:t xml:space="preserve"> etinylestradiolu sa meral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 iba pri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malom počte žien, ktoré používali </w:t>
      </w:r>
      <w:r w:rsidR="00A03612">
        <w:rPr>
          <w:rFonts w:ascii="Times New Roman" w:hAnsi="Times New Roman"/>
          <w:sz w:val="22"/>
          <w:szCs w:val="22"/>
          <w:lang w:eastAsia="sk-SK"/>
        </w:rPr>
        <w:t>etonogestrel/etinylestradiol vaginálny krúžok</w:t>
      </w:r>
      <w:r w:rsidR="00A03612" w:rsidRPr="000F7489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>alebo perorálne kontraceptívum obsahujúce 0,15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> mg dezogestrelu a 0,02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> mg etinylestradiolu. Zistené hladiny boli porovnateľné.</w:t>
      </w:r>
    </w:p>
    <w:p w14:paraId="240D985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3899AAD4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14:paraId="7A3B587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Etinylestradiol sa silne, ale nie špecificky, viaže na sérový albumín. Zdanlivý objem distribúcie bol určený na približne 15 l/kg.</w:t>
      </w:r>
    </w:p>
    <w:p w14:paraId="51BD91B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708BF437" w14:textId="77777777" w:rsidR="00C627EB" w:rsidRPr="00226C8F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</w:p>
    <w:p w14:paraId="4424E0E9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Etinylestradiol sa primárne metabolizuje aromatickou hydroxyláciou, ale tvorí sa široké spektrum hydroxylovaných a metylovaných metabolitov. Sú prítomné ako voľné metabolity a ako sulfátové a glukuronidové konjugáty. Zdanlivý klírens je približne 35 l/hod.</w:t>
      </w:r>
    </w:p>
    <w:p w14:paraId="55D51918" w14:textId="77777777" w:rsidR="00C627EB" w:rsidRPr="000F7489" w:rsidRDefault="00C627EB" w:rsidP="000C1AEE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14:paraId="6B308E60" w14:textId="77777777" w:rsidR="00C627EB" w:rsidRPr="00226C8F" w:rsidRDefault="00C627EB" w:rsidP="00972BE7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14:paraId="40D2DEDA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Hladiny etinylestradiolu v sére sa znižujú v dvoch fázach. Konečná fáza je charakterizovaná veľkou individuálnou rozličnosťou polčasu, čo vedie k strednému polčasu približne 34 hodín. Nezmenený etinylestradiol sa nevylučuje; metabolity etinylestradiolu sa vylučujú močom a žlčou v pomere 1,3:1. Polčas vylučovania metabolitov je okolo 1,5 dňa.</w:t>
      </w:r>
    </w:p>
    <w:p w14:paraId="74BC3346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307FBB6" w14:textId="43BD57D1" w:rsidR="00C627EB" w:rsidRPr="008A4CC4" w:rsidRDefault="00C627EB" w:rsidP="006B1BE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8A4CC4">
        <w:rPr>
          <w:rFonts w:ascii="Times New Roman" w:hAnsi="Times New Roman"/>
          <w:i/>
          <w:sz w:val="22"/>
          <w:szCs w:val="22"/>
        </w:rPr>
        <w:t>Osobitn</w:t>
      </w:r>
      <w:r w:rsidR="00A03612">
        <w:rPr>
          <w:rFonts w:ascii="Times New Roman" w:hAnsi="Times New Roman"/>
          <w:i/>
          <w:sz w:val="22"/>
          <w:szCs w:val="22"/>
        </w:rPr>
        <w:t>é skupiny</w:t>
      </w:r>
      <w:r w:rsidRPr="008A4CC4">
        <w:rPr>
          <w:rFonts w:ascii="Times New Roman" w:hAnsi="Times New Roman"/>
          <w:i/>
          <w:sz w:val="22"/>
          <w:szCs w:val="22"/>
        </w:rPr>
        <w:t xml:space="preserve"> </w:t>
      </w:r>
    </w:p>
    <w:p w14:paraId="14507BEB" w14:textId="77777777" w:rsidR="00C627EB" w:rsidRPr="000F7489" w:rsidRDefault="00C627EB" w:rsidP="00046E41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EAE9127" w14:textId="77777777" w:rsidR="00C627EB" w:rsidRPr="008A4CC4" w:rsidRDefault="00C627EB" w:rsidP="006B1BE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Pediatrická populácia</w:t>
      </w:r>
    </w:p>
    <w:p w14:paraId="3A037A82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Farmakokinetika </w:t>
      </w:r>
      <w:r w:rsidR="00BC45F6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u zdravých dospievajúcich dievčat mladších ako 18 rokov p</w:t>
      </w:r>
      <w:r>
        <w:rPr>
          <w:rFonts w:ascii="Times New Roman" w:hAnsi="Times New Roman"/>
          <w:sz w:val="22"/>
          <w:szCs w:val="22"/>
        </w:rPr>
        <w:t>o</w:t>
      </w:r>
      <w:r w:rsidRPr="000F7489">
        <w:rPr>
          <w:rFonts w:ascii="Times New Roman" w:hAnsi="Times New Roman"/>
          <w:sz w:val="22"/>
          <w:szCs w:val="22"/>
        </w:rPr>
        <w:t xml:space="preserve"> prv</w:t>
      </w:r>
      <w:r>
        <w:rPr>
          <w:rFonts w:ascii="Times New Roman" w:hAnsi="Times New Roman"/>
          <w:sz w:val="22"/>
          <w:szCs w:val="22"/>
        </w:rPr>
        <w:t>ej</w:t>
      </w:r>
      <w:r w:rsidRPr="000F7489">
        <w:rPr>
          <w:rFonts w:ascii="Times New Roman" w:hAnsi="Times New Roman"/>
          <w:sz w:val="22"/>
          <w:szCs w:val="22"/>
        </w:rPr>
        <w:t xml:space="preserve"> menštruáci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sa neskúmala.</w:t>
      </w:r>
    </w:p>
    <w:p w14:paraId="327F9216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3142D0F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Vplyv poruchy funkcie obličiek</w:t>
      </w:r>
    </w:p>
    <w:p w14:paraId="181174D7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obličiek na farmakokinetiku </w:t>
      </w:r>
      <w:r w:rsidR="009C20E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sa nevykonali žiadne štúdie.</w:t>
      </w:r>
    </w:p>
    <w:p w14:paraId="70BC0E28" w14:textId="77777777" w:rsidR="00C627EB" w:rsidRPr="000F7489" w:rsidRDefault="00C627E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77FB41" w14:textId="77777777" w:rsidR="00C627EB" w:rsidRPr="008A4CC4" w:rsidRDefault="00C627EB" w:rsidP="000C1AEE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Vplyv poruchy funkcie pečene</w:t>
      </w:r>
    </w:p>
    <w:p w14:paraId="0AEEEE05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pečene na farmakokinetiku </w:t>
      </w:r>
      <w:r w:rsidR="009C20E3" w:rsidRPr="003817FE">
        <w:rPr>
          <w:rFonts w:ascii="Times New Roman" w:hAnsi="Times New Roman"/>
          <w:sz w:val="22"/>
          <w:szCs w:val="22"/>
        </w:rPr>
        <w:t>Perlinring</w:t>
      </w:r>
      <w:r w:rsidRPr="000F7489">
        <w:rPr>
          <w:rFonts w:ascii="Times New Roman" w:hAnsi="Times New Roman"/>
          <w:sz w:val="22"/>
          <w:szCs w:val="22"/>
        </w:rPr>
        <w:t>u sa nevykonali žiadne štúdie. U žien s poruchou funkcie pečene sa však steroidné hormóny môžu slabo metabolizovať.</w:t>
      </w:r>
    </w:p>
    <w:p w14:paraId="0B2DDD9B" w14:textId="77777777" w:rsidR="00C627EB" w:rsidRPr="000F7489" w:rsidRDefault="00C627EB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799B4817" w14:textId="77777777" w:rsidR="00C627EB" w:rsidRPr="008A4CC4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8A4CC4">
        <w:rPr>
          <w:rFonts w:ascii="Times New Roman" w:hAnsi="Times New Roman"/>
          <w:sz w:val="22"/>
          <w:szCs w:val="22"/>
          <w:u w:val="single"/>
        </w:rPr>
        <w:t>Etnické skupiny</w:t>
      </w:r>
    </w:p>
    <w:p w14:paraId="552990D1" w14:textId="77777777" w:rsidR="00C627EB" w:rsidRPr="000F7489" w:rsidRDefault="00C627EB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Nevykonali sa žiadne formálne štúdie na zhodnotenie farmakokinetiky v etnických skupinách.</w:t>
      </w:r>
    </w:p>
    <w:p w14:paraId="36A58282" w14:textId="77777777" w:rsidR="00C627EB" w:rsidRPr="000F7489" w:rsidRDefault="00C627EB" w:rsidP="00FC4918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68C943D" w14:textId="77777777" w:rsidR="00C627EB" w:rsidRPr="000F7489" w:rsidRDefault="00C627EB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5.3</w:t>
      </w:r>
      <w:r w:rsidRPr="000F7489">
        <w:rPr>
          <w:rFonts w:ascii="Times New Roman" w:hAnsi="Times New Roman"/>
          <w:b/>
          <w:sz w:val="22"/>
          <w:szCs w:val="22"/>
        </w:rPr>
        <w:tab/>
        <w:t>Predklinické údaje o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bezpečnosti</w:t>
      </w:r>
    </w:p>
    <w:p w14:paraId="5A1FA7EC" w14:textId="77777777" w:rsidR="00C627EB" w:rsidRPr="000F7489" w:rsidRDefault="00C627EB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B79F8AE" w14:textId="77777777" w:rsidR="00C627EB" w:rsidRPr="000F7489" w:rsidRDefault="00C627EB" w:rsidP="00EC5AC4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Predklinické údaje s etinylestradiolom a etonogestrelom získané na základe obvyklých farmakologických štúdií bezpečnosti, toxicity po opakovanom podávaní, genotoxicity, karcinogénneho potenciálu a reprodukčnej toxicity neodhalili žiadne osobitné riziko pre ľudí.</w:t>
      </w:r>
    </w:p>
    <w:p w14:paraId="6145ECEC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29EFF09" w14:textId="77777777" w:rsidR="00C627EB" w:rsidRPr="005536A6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5536A6">
        <w:rPr>
          <w:rFonts w:ascii="Times New Roman" w:hAnsi="Times New Roman"/>
          <w:sz w:val="22"/>
          <w:szCs w:val="22"/>
        </w:rPr>
        <w:t>Hodnotenie environmentálneho rizika (ERA, Environmental Risk Assessment)</w:t>
      </w:r>
    </w:p>
    <w:p w14:paraId="38AAEC4A" w14:textId="77777777" w:rsidR="00C627EB" w:rsidRDefault="00C627EB" w:rsidP="001143CB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Štúdie na hodnotenie environmentálneho rizika preukázali, že 17α</w:t>
      </w:r>
      <w:r>
        <w:rPr>
          <w:rFonts w:ascii="Times New Roman" w:hAnsi="Times New Roman"/>
          <w:sz w:val="22"/>
          <w:szCs w:val="22"/>
        </w:rPr>
        <w:noBreakHyphen/>
        <w:t>et</w:t>
      </w:r>
      <w:r w:rsidRPr="001561CD">
        <w:rPr>
          <w:rFonts w:ascii="Times New Roman" w:hAnsi="Times New Roman"/>
          <w:sz w:val="22"/>
          <w:szCs w:val="22"/>
        </w:rPr>
        <w:t>inylestradiol</w:t>
      </w:r>
      <w:r>
        <w:rPr>
          <w:rFonts w:ascii="Times New Roman" w:hAnsi="Times New Roman"/>
          <w:sz w:val="22"/>
          <w:szCs w:val="22"/>
        </w:rPr>
        <w:t xml:space="preserve"> a etonogestrel predstavujú riziko pre organizmy povrchových vôd (pozri časť 6.6).</w:t>
      </w:r>
    </w:p>
    <w:p w14:paraId="10379B9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057C47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021A062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</w:t>
      </w:r>
      <w:r w:rsidRPr="000F7489">
        <w:rPr>
          <w:rFonts w:ascii="Times New Roman" w:hAnsi="Times New Roman"/>
          <w:b/>
          <w:sz w:val="22"/>
          <w:szCs w:val="22"/>
        </w:rPr>
        <w:tab/>
        <w:t xml:space="preserve">FARMACEUTICKÉ </w:t>
      </w:r>
      <w:r>
        <w:rPr>
          <w:rFonts w:ascii="Times New Roman" w:hAnsi="Times New Roman"/>
          <w:b/>
          <w:sz w:val="22"/>
          <w:szCs w:val="22"/>
        </w:rPr>
        <w:t>INFORMÁCIE</w:t>
      </w:r>
    </w:p>
    <w:p w14:paraId="3B6B64C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206193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6.1</w:t>
      </w:r>
      <w:r w:rsidRPr="000F7489">
        <w:rPr>
          <w:rFonts w:ascii="Times New Roman" w:hAnsi="Times New Roman"/>
          <w:b/>
          <w:sz w:val="22"/>
          <w:szCs w:val="22"/>
        </w:rPr>
        <w:tab/>
        <w:t>Zoznam pomocných látok</w:t>
      </w:r>
    </w:p>
    <w:p w14:paraId="5F02F5B3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0F98CB3E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k</w:t>
      </w:r>
      <w:r w:rsidRPr="000F7489">
        <w:rPr>
          <w:rFonts w:ascii="Times New Roman" w:hAnsi="Times New Roman"/>
          <w:bCs/>
          <w:sz w:val="22"/>
          <w:szCs w:val="22"/>
        </w:rPr>
        <w:t>op</w:t>
      </w:r>
      <w:r w:rsidR="005536A6">
        <w:rPr>
          <w:rFonts w:ascii="Times New Roman" w:hAnsi="Times New Roman"/>
          <w:bCs/>
          <w:sz w:val="22"/>
          <w:szCs w:val="22"/>
        </w:rPr>
        <w:t>olymér etylénu s vinylacetátom, 28 % vinylacetát;</w:t>
      </w:r>
    </w:p>
    <w:p w14:paraId="73B9BC9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kopolymér</w:t>
      </w:r>
      <w:r w:rsidR="005536A6">
        <w:rPr>
          <w:rFonts w:ascii="Times New Roman" w:hAnsi="Times New Roman"/>
          <w:bCs/>
          <w:sz w:val="22"/>
          <w:szCs w:val="22"/>
        </w:rPr>
        <w:t xml:space="preserve"> etylénu s vinylacetátom, 9 % vinylacetát;</w:t>
      </w:r>
    </w:p>
    <w:p w14:paraId="37861B52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s</w:t>
      </w:r>
      <w:r w:rsidRPr="00B07908">
        <w:rPr>
          <w:rFonts w:ascii="Times New Roman" w:hAnsi="Times New Roman"/>
          <w:bCs/>
          <w:sz w:val="22"/>
          <w:szCs w:val="22"/>
        </w:rPr>
        <w:t>tearan horečnatý</w:t>
      </w:r>
      <w:r w:rsidRPr="000F7489">
        <w:rPr>
          <w:rFonts w:ascii="Times New Roman" w:hAnsi="Times New Roman"/>
          <w:bCs/>
          <w:sz w:val="22"/>
          <w:szCs w:val="22"/>
        </w:rPr>
        <w:t>.</w:t>
      </w:r>
    </w:p>
    <w:p w14:paraId="2ED2E07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6AFB3B74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6.2</w:t>
      </w:r>
      <w:r w:rsidRPr="000F7489">
        <w:rPr>
          <w:rFonts w:ascii="Times New Roman" w:hAnsi="Times New Roman"/>
          <w:b/>
          <w:sz w:val="22"/>
          <w:szCs w:val="22"/>
        </w:rPr>
        <w:tab/>
        <w:t>Inkompatibility</w:t>
      </w:r>
    </w:p>
    <w:p w14:paraId="4324D0B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7668EFB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Neaplikovateľné.</w:t>
      </w:r>
    </w:p>
    <w:p w14:paraId="32C273B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8DDFAB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6.3</w:t>
      </w:r>
      <w:r w:rsidRPr="000F7489">
        <w:rPr>
          <w:rFonts w:ascii="Times New Roman" w:hAnsi="Times New Roman"/>
          <w:b/>
          <w:sz w:val="22"/>
          <w:szCs w:val="22"/>
        </w:rPr>
        <w:tab/>
        <w:t>Čas použiteľnosti</w:t>
      </w:r>
    </w:p>
    <w:p w14:paraId="26E8F489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14:paraId="51F9F75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40</w:t>
      </w:r>
      <w:r w:rsidRPr="000F7489">
        <w:rPr>
          <w:rFonts w:ascii="Times New Roman" w:hAnsi="Times New Roman"/>
          <w:sz w:val="22"/>
          <w:szCs w:val="22"/>
        </w:rPr>
        <w:t> </w:t>
      </w:r>
      <w:r w:rsidR="005536A6">
        <w:rPr>
          <w:rFonts w:ascii="Times New Roman" w:hAnsi="Times New Roman"/>
          <w:bCs/>
          <w:sz w:val="22"/>
          <w:szCs w:val="22"/>
        </w:rPr>
        <w:t>mesiacov</w:t>
      </w:r>
    </w:p>
    <w:p w14:paraId="7D93DBE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2C68892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6.4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Špeciálne upozornenia na uchovávanie</w:t>
      </w:r>
    </w:p>
    <w:p w14:paraId="4161B13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5BD7AED1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Pred výdajom:</w:t>
      </w:r>
    </w:p>
    <w:p w14:paraId="7C5A781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3 roky, uchovávajte v chladničke (2 °C – 8 °C).</w:t>
      </w:r>
    </w:p>
    <w:p w14:paraId="35BE075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2C472E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čase výdaja:</w:t>
      </w:r>
    </w:p>
    <w:p w14:paraId="7BB3A0D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Vydávajúci lekárnik uvedie na obale dátum výdaja. Liek sa nemá zavádzať neskôr ako 4 mesiace po dátume výdaja alebo po uplynutí dátumu exspirácie podľa toho, ktorý nastane skôr.</w:t>
      </w:r>
    </w:p>
    <w:p w14:paraId="352EAFAD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14:paraId="5B1649A7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Po výdaji:</w:t>
      </w:r>
    </w:p>
    <w:p w14:paraId="0114624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4 mesiace, uchovávajte pri teplote </w:t>
      </w:r>
      <w:r>
        <w:rPr>
          <w:rFonts w:ascii="Times New Roman" w:hAnsi="Times New Roman"/>
          <w:sz w:val="22"/>
          <w:szCs w:val="22"/>
        </w:rPr>
        <w:t>do </w:t>
      </w:r>
      <w:r w:rsidRPr="000F7489">
        <w:rPr>
          <w:rFonts w:ascii="Times New Roman" w:hAnsi="Times New Roman"/>
          <w:sz w:val="22"/>
          <w:szCs w:val="22"/>
        </w:rPr>
        <w:t>30 °C.</w:t>
      </w:r>
    </w:p>
    <w:p w14:paraId="060B6377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14:paraId="7DF370A5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Uchovávajte v pôvodnom obale na ochranu pred svetlom a vlhkosťou.</w:t>
      </w:r>
    </w:p>
    <w:p w14:paraId="7F3559EA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CC75D38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6.5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Druh obalu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obsah balenia</w:t>
      </w:r>
    </w:p>
    <w:p w14:paraId="475006E2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424E843" w14:textId="77777777" w:rsidR="005536A6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Vrecko obsahujúce jeden </w:t>
      </w:r>
      <w:r w:rsidR="000F4665">
        <w:rPr>
          <w:rFonts w:ascii="Times New Roman" w:hAnsi="Times New Roman"/>
          <w:sz w:val="22"/>
          <w:szCs w:val="22"/>
        </w:rPr>
        <w:t>krúžok</w:t>
      </w:r>
      <w:r w:rsidRPr="000F7489">
        <w:rPr>
          <w:rFonts w:ascii="Times New Roman" w:hAnsi="Times New Roman"/>
          <w:sz w:val="22"/>
          <w:szCs w:val="22"/>
        </w:rPr>
        <w:t>. Vrecko je vyrobené z hliníkovej fólie s vnútornou vrstvou z polyetylénu nízkej hustoty a vonkajšou vrstv</w:t>
      </w:r>
      <w:r w:rsidR="005536A6">
        <w:rPr>
          <w:rFonts w:ascii="Times New Roman" w:hAnsi="Times New Roman"/>
          <w:sz w:val="22"/>
          <w:szCs w:val="22"/>
        </w:rPr>
        <w:t>ou z polyetyléntereftalátu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</w:p>
    <w:p w14:paraId="76EF3C36" w14:textId="77777777" w:rsidR="00C627EB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Každ</w:t>
      </w:r>
      <w:r w:rsidR="00FF2251">
        <w:rPr>
          <w:rFonts w:ascii="Times New Roman" w:hAnsi="Times New Roman"/>
          <w:sz w:val="22"/>
          <w:szCs w:val="22"/>
        </w:rPr>
        <w:t>é balenie</w:t>
      </w:r>
      <w:r w:rsidRPr="000F7489">
        <w:rPr>
          <w:rFonts w:ascii="Times New Roman" w:hAnsi="Times New Roman"/>
          <w:sz w:val="22"/>
          <w:szCs w:val="22"/>
        </w:rPr>
        <w:t xml:space="preserve"> obsahuje 1 alebo 3 </w:t>
      </w:r>
      <w:r w:rsidR="00FF2251">
        <w:rPr>
          <w:rFonts w:ascii="Times New Roman" w:hAnsi="Times New Roman"/>
          <w:sz w:val="22"/>
          <w:szCs w:val="22"/>
        </w:rPr>
        <w:t>vrecká s vaginálnymi krúžkami</w:t>
      </w:r>
      <w:r w:rsidRPr="000F7489">
        <w:rPr>
          <w:rFonts w:ascii="Times New Roman" w:hAnsi="Times New Roman"/>
          <w:sz w:val="22"/>
          <w:szCs w:val="22"/>
        </w:rPr>
        <w:t>.</w:t>
      </w:r>
    </w:p>
    <w:p w14:paraId="52E5D6B5" w14:textId="77777777" w:rsidR="00FF2251" w:rsidRPr="000F7489" w:rsidRDefault="00FF2251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566AB798" w14:textId="77777777" w:rsidR="00C627EB" w:rsidRPr="002B2BC2" w:rsidRDefault="00C627EB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226C8F">
        <w:rPr>
          <w:rFonts w:ascii="Times New Roman" w:hAnsi="Times New Roman" w:cs="Times New Roman"/>
          <w:sz w:val="22"/>
          <w:szCs w:val="22"/>
        </w:rPr>
        <w:t>Na trh nemusia byť uvedené</w:t>
      </w:r>
      <w:r w:rsidRPr="00226C8F">
        <w:rPr>
          <w:rFonts w:ascii="Times New Roman" w:hAnsi="Times New Roman" w:cs="Times New Roman"/>
          <w:noProof/>
          <w:sz w:val="22"/>
          <w:szCs w:val="22"/>
        </w:rPr>
        <w:t xml:space="preserve"> všetky veľkosti balenia</w:t>
      </w:r>
      <w:r>
        <w:rPr>
          <w:rFonts w:ascii="Times New Roman" w:hAnsi="Times New Roman" w:cs="Times New Roman"/>
          <w:noProof/>
          <w:sz w:val="22"/>
          <w:szCs w:val="22"/>
        </w:rPr>
        <w:t>.</w:t>
      </w:r>
    </w:p>
    <w:p w14:paraId="571213E4" w14:textId="77777777" w:rsidR="00C627EB" w:rsidRPr="000F7489" w:rsidRDefault="00C627EB" w:rsidP="0068194C">
      <w:pPr>
        <w:pStyle w:val="Zarkazkladnhotextu"/>
        <w:tabs>
          <w:tab w:val="left" w:pos="709"/>
        </w:tabs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14:paraId="6B91EB37" w14:textId="77777777" w:rsidR="00C627EB" w:rsidRPr="000F7489" w:rsidRDefault="00C627EB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6.6</w:t>
      </w:r>
      <w:r w:rsidRPr="000F7489">
        <w:rPr>
          <w:rFonts w:ascii="Times New Roman" w:hAnsi="Times New Roman"/>
          <w:sz w:val="22"/>
          <w:szCs w:val="22"/>
        </w:rPr>
        <w:tab/>
      </w:r>
      <w:r w:rsidRPr="000F7489">
        <w:rPr>
          <w:rFonts w:ascii="Times New Roman" w:hAnsi="Times New Roman"/>
          <w:bCs/>
          <w:sz w:val="22"/>
          <w:szCs w:val="22"/>
        </w:rPr>
        <w:t>Špeciálne opatrenia na likvidáciu a iné zaobchádzanie s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liekom</w:t>
      </w:r>
    </w:p>
    <w:p w14:paraId="57F99191" w14:textId="77777777" w:rsidR="00C627EB" w:rsidRPr="000F7489" w:rsidRDefault="00C627EB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14:paraId="1C5259CB" w14:textId="77777777" w:rsidR="00C627EB" w:rsidRPr="000F7489" w:rsidRDefault="00C627EB" w:rsidP="00226C8F">
      <w:pPr>
        <w:pStyle w:val="Textvysvtlivky"/>
        <w:adjustRightInd w:val="0"/>
        <w:snapToGrid w:val="0"/>
        <w:rPr>
          <w:sz w:val="22"/>
          <w:szCs w:val="22"/>
        </w:rPr>
      </w:pPr>
      <w:r w:rsidRPr="000F7489">
        <w:rPr>
          <w:sz w:val="22"/>
          <w:szCs w:val="22"/>
        </w:rPr>
        <w:t xml:space="preserve">Pozri časť 4.2. Vydávajúci lekárnik musí vyznačiť na obale dátum vydania. Pre balenie s 3 krúžkami sa odporúča vyznačiť tento dátum na </w:t>
      </w:r>
      <w:r w:rsidR="0073543E">
        <w:rPr>
          <w:sz w:val="22"/>
          <w:szCs w:val="22"/>
        </w:rPr>
        <w:t>vonkajšom obale</w:t>
      </w:r>
      <w:r w:rsidR="005536A6">
        <w:rPr>
          <w:sz w:val="22"/>
          <w:szCs w:val="22"/>
        </w:rPr>
        <w:t>, ako aj na vrecká</w:t>
      </w:r>
      <w:r w:rsidRPr="000F7489">
        <w:rPr>
          <w:sz w:val="22"/>
          <w:szCs w:val="22"/>
        </w:rPr>
        <w:t>.</w:t>
      </w:r>
    </w:p>
    <w:p w14:paraId="1E4B8CBA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3817FE">
        <w:rPr>
          <w:rFonts w:ascii="Times New Roman" w:hAnsi="Times New Roman"/>
          <w:sz w:val="22"/>
          <w:szCs w:val="22"/>
        </w:rPr>
        <w:t>Perlinring</w:t>
      </w:r>
      <w:r w:rsidR="00C627EB" w:rsidRPr="000F7489">
        <w:rPr>
          <w:rFonts w:ascii="Times New Roman" w:hAnsi="Times New Roman" w:cs="Times New Roman"/>
          <w:sz w:val="22"/>
          <w:szCs w:val="22"/>
        </w:rPr>
        <w:t xml:space="preserve"> sa nemá zaviesť neskôr ako 4 mesiace od dátumu výdaja, ale vo všetkých prípadoch pred uplynutím dátumu exspirácie, podľa toho, ktorý nastane skôr</w:t>
      </w:r>
      <w:r w:rsidR="00C627EB"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. </w:t>
      </w:r>
    </w:p>
    <w:p w14:paraId="53627617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</w:p>
    <w:p w14:paraId="035924E1" w14:textId="77777777" w:rsidR="0073543E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Po vybratí sa </w:t>
      </w:r>
      <w:r w:rsidR="0073543E" w:rsidRPr="003817FE">
        <w:rPr>
          <w:rFonts w:ascii="Times New Roman" w:hAnsi="Times New Roman"/>
          <w:sz w:val="22"/>
          <w:szCs w:val="22"/>
        </w:rPr>
        <w:t>Perlinring</w:t>
      </w:r>
      <w:r w:rsidR="0068194C">
        <w:rPr>
          <w:rFonts w:ascii="Times New Roman" w:hAnsi="Times New Roman"/>
          <w:sz w:val="22"/>
          <w:szCs w:val="22"/>
        </w:rPr>
        <w:t xml:space="preserve"> </w:t>
      </w:r>
      <w:r w:rsidR="00213B4B">
        <w:rPr>
          <w:rFonts w:ascii="Times New Roman" w:hAnsi="Times New Roman" w:cs="Times New Roman"/>
          <w:sz w:val="22"/>
          <w:szCs w:val="22"/>
          <w:lang w:eastAsia="de-DE"/>
        </w:rPr>
        <w:t xml:space="preserve"> musí vložiť späť do </w:t>
      </w:r>
      <w:r w:rsidRPr="000F7489">
        <w:rPr>
          <w:rFonts w:ascii="Times New Roman" w:hAnsi="Times New Roman" w:cs="Times New Roman"/>
          <w:sz w:val="22"/>
          <w:szCs w:val="22"/>
          <w:lang w:eastAsia="de-DE"/>
        </w:rPr>
        <w:t>vrecka a</w:t>
      </w:r>
      <w:r w:rsidR="0073543E">
        <w:rPr>
          <w:rFonts w:ascii="Times New Roman" w:hAnsi="Times New Roman" w:cs="Times New Roman"/>
          <w:sz w:val="22"/>
          <w:szCs w:val="22"/>
          <w:lang w:eastAsia="de-DE"/>
        </w:rPr>
        <w:t> zav</w:t>
      </w:r>
      <w:r w:rsidR="005536A6">
        <w:rPr>
          <w:rFonts w:ascii="Times New Roman" w:hAnsi="Times New Roman" w:cs="Times New Roman"/>
          <w:sz w:val="22"/>
          <w:szCs w:val="22"/>
          <w:lang w:eastAsia="de-DE"/>
        </w:rPr>
        <w:t xml:space="preserve">rieť nálepkou nachádzajúcou sa </w:t>
      </w:r>
      <w:r w:rsidR="0073543E">
        <w:rPr>
          <w:rFonts w:ascii="Times New Roman" w:hAnsi="Times New Roman" w:cs="Times New Roman"/>
          <w:sz w:val="22"/>
          <w:szCs w:val="22"/>
          <w:lang w:eastAsia="de-DE"/>
        </w:rPr>
        <w:t xml:space="preserve">vo vnútri balenia. Uzavreté vrecko sa má </w:t>
      </w:r>
      <w:r w:rsidR="005536A6">
        <w:rPr>
          <w:rFonts w:ascii="Times New Roman" w:hAnsi="Times New Roman" w:cs="Times New Roman"/>
          <w:sz w:val="22"/>
          <w:szCs w:val="22"/>
          <w:lang w:eastAsia="de-DE"/>
        </w:rPr>
        <w:t>zlikvidovať</w:t>
      </w:r>
      <w:r w:rsidRPr="000F7489">
        <w:rPr>
          <w:rFonts w:ascii="Times New Roman" w:hAnsi="Times New Roman" w:cs="Times New Roman"/>
          <w:sz w:val="22"/>
          <w:szCs w:val="22"/>
          <w:lang w:eastAsia="de-DE"/>
        </w:rPr>
        <w:t xml:space="preserve"> spolu s normálnym domácim odpadom tak, aby sa vylúčil náhodný kontakt s </w:t>
      </w:r>
      <w:r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inými osobami. </w:t>
      </w:r>
      <w:r w:rsidR="005536A6" w:rsidRPr="003817FE">
        <w:rPr>
          <w:rFonts w:ascii="Times New Roman" w:hAnsi="Times New Roman"/>
          <w:sz w:val="22"/>
          <w:szCs w:val="22"/>
        </w:rPr>
        <w:t>Perlinring</w:t>
      </w:r>
      <w:r w:rsidR="005536A6" w:rsidRPr="00C945D4">
        <w:rPr>
          <w:rFonts w:ascii="Times New Roman" w:hAnsi="Times New Roman" w:cs="Times New Roman"/>
          <w:sz w:val="22"/>
          <w:szCs w:val="22"/>
          <w:lang w:eastAsia="de-DE"/>
        </w:rPr>
        <w:t xml:space="preserve"> sa ne</w:t>
      </w:r>
      <w:r w:rsidR="005536A6" w:rsidRPr="00723F82">
        <w:rPr>
          <w:rFonts w:ascii="Times New Roman" w:hAnsi="Times New Roman" w:cs="Times New Roman"/>
          <w:sz w:val="22"/>
          <w:szCs w:val="22"/>
          <w:lang w:eastAsia="de-DE"/>
        </w:rPr>
        <w:t>smie</w:t>
      </w:r>
      <w:r w:rsidR="005536A6" w:rsidRPr="001567B0">
        <w:rPr>
          <w:rFonts w:ascii="Times New Roman" w:hAnsi="Times New Roman" w:cs="Times New Roman"/>
          <w:sz w:val="22"/>
          <w:szCs w:val="22"/>
          <w:lang w:eastAsia="de-DE"/>
        </w:rPr>
        <w:t xml:space="preserve"> splachovať do toalety.</w:t>
      </w:r>
      <w:r w:rsidR="005536A6" w:rsidRPr="00E917D4"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  <w:r w:rsidRPr="001143CB">
        <w:rPr>
          <w:rFonts w:ascii="Times New Roman" w:hAnsi="Times New Roman" w:cs="Times New Roman"/>
          <w:sz w:val="22"/>
          <w:szCs w:val="22"/>
          <w:lang w:eastAsia="de-DE"/>
        </w:rPr>
        <w:t>Tento liek môže predstavovať riziko pre životné prostredie (pozri časť 5.3).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</w:t>
      </w:r>
    </w:p>
    <w:p w14:paraId="0DE87B05" w14:textId="77777777" w:rsidR="0073543E" w:rsidRDefault="0073543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</w:p>
    <w:p w14:paraId="2AC439E5" w14:textId="77777777" w:rsidR="00C627EB" w:rsidRPr="000F7489" w:rsidRDefault="00C627EB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912647">
        <w:rPr>
          <w:rFonts w:ascii="Times New Roman" w:hAnsi="Times New Roman" w:cs="Times New Roman"/>
          <w:sz w:val="22"/>
          <w:szCs w:val="22"/>
          <w:lang w:eastAsia="de-DE"/>
        </w:rPr>
        <w:t>Všet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ok nepoužitý liek alebo odpad </w:t>
      </w:r>
      <w:r w:rsidRPr="001C2AB9">
        <w:rPr>
          <w:rFonts w:ascii="Times New Roman" w:hAnsi="Times New Roman" w:cs="Times New Roman"/>
          <w:sz w:val="22"/>
          <w:szCs w:val="22"/>
          <w:lang w:eastAsia="de-DE"/>
        </w:rPr>
        <w:t>vzniknutý</w:t>
      </w:r>
      <w:r>
        <w:rPr>
          <w:rFonts w:ascii="Times New Roman" w:hAnsi="Times New Roman" w:cs="Times New Roman"/>
          <w:sz w:val="22"/>
          <w:szCs w:val="22"/>
          <w:lang w:eastAsia="de-DE"/>
        </w:rPr>
        <w:t xml:space="preserve"> z lieku sa má zlikvidovať v súlade s </w:t>
      </w:r>
      <w:r w:rsidRPr="00912647">
        <w:rPr>
          <w:rFonts w:ascii="Times New Roman" w:hAnsi="Times New Roman" w:cs="Times New Roman"/>
          <w:sz w:val="22"/>
          <w:szCs w:val="22"/>
          <w:lang w:eastAsia="de-DE"/>
        </w:rPr>
        <w:t>národnými požiadavkami</w:t>
      </w:r>
      <w:r w:rsidRPr="00226C8F">
        <w:rPr>
          <w:rFonts w:ascii="Times New Roman" w:hAnsi="Times New Roman" w:cs="Times New Roman"/>
          <w:noProof/>
          <w:snapToGrid w:val="0"/>
          <w:sz w:val="22"/>
          <w:szCs w:val="22"/>
        </w:rPr>
        <w:t>.</w:t>
      </w:r>
    </w:p>
    <w:p w14:paraId="44EDE02E" w14:textId="77777777" w:rsidR="00C627EB" w:rsidRPr="000F7489" w:rsidRDefault="00C627EB" w:rsidP="00226C8F">
      <w:pPr>
        <w:pStyle w:val="Zkladntext2"/>
        <w:adjustRightInd w:val="0"/>
        <w:snapToGrid w:val="0"/>
        <w:jc w:val="left"/>
        <w:rPr>
          <w:rFonts w:ascii="Times New Roman" w:hAnsi="Times New Roman" w:cs="Times New Roman"/>
          <w:sz w:val="22"/>
          <w:szCs w:val="22"/>
        </w:rPr>
      </w:pPr>
    </w:p>
    <w:p w14:paraId="74BE2451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D842EF0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7.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Držiteľ rozhodnutia o</w:t>
      </w:r>
      <w:r>
        <w:rPr>
          <w:rFonts w:ascii="Times New Roman" w:hAnsi="Times New Roman"/>
          <w:b/>
          <w:caps/>
          <w:sz w:val="22"/>
          <w:szCs w:val="22"/>
        </w:rPr>
        <w:t> </w:t>
      </w:r>
      <w:r w:rsidRPr="000F7489">
        <w:rPr>
          <w:rFonts w:ascii="Times New Roman" w:hAnsi="Times New Roman"/>
          <w:b/>
          <w:caps/>
          <w:sz w:val="22"/>
          <w:szCs w:val="22"/>
        </w:rPr>
        <w:t>registrácii</w:t>
      </w:r>
    </w:p>
    <w:p w14:paraId="13097C3D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6DEFFBD6" w14:textId="77777777" w:rsidR="00CA71A8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CA71A8">
        <w:rPr>
          <w:rFonts w:ascii="Times New Roman" w:hAnsi="Times New Roman" w:cs="Times New Roman"/>
          <w:sz w:val="22"/>
          <w:szCs w:val="22"/>
          <w:lang w:eastAsia="de-DE"/>
        </w:rPr>
        <w:t>Actavis Group PTC ehf</w:t>
      </w:r>
    </w:p>
    <w:p w14:paraId="2A9D2C1E" w14:textId="77777777" w:rsidR="00CA71A8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 w:rsidRPr="00CA71A8">
        <w:rPr>
          <w:rFonts w:ascii="Times New Roman" w:hAnsi="Times New Roman" w:cs="Times New Roman"/>
          <w:sz w:val="22"/>
          <w:szCs w:val="22"/>
          <w:lang w:eastAsia="de-DE"/>
        </w:rPr>
        <w:t>Reykjavikurvegi 76-78</w:t>
      </w:r>
    </w:p>
    <w:p w14:paraId="6AB2399C" w14:textId="77777777" w:rsidR="00C627EB" w:rsidRPr="00CA71A8" w:rsidRDefault="00CA71A8" w:rsidP="00CA71A8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sz w:val="22"/>
          <w:szCs w:val="22"/>
          <w:lang w:eastAsia="de-DE"/>
        </w:rPr>
      </w:pPr>
      <w:r>
        <w:rPr>
          <w:rFonts w:ascii="Times New Roman" w:hAnsi="Times New Roman" w:cs="Times New Roman"/>
          <w:sz w:val="22"/>
          <w:szCs w:val="22"/>
          <w:lang w:eastAsia="de-DE"/>
        </w:rPr>
        <w:t>220 Hafnarfjördur, Island</w:t>
      </w:r>
    </w:p>
    <w:p w14:paraId="52591726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3ED9E1D9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14:paraId="47BA21E4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8.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Registračné číslo</w:t>
      </w:r>
    </w:p>
    <w:p w14:paraId="4AB2FC6C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F8A97D8" w14:textId="46FA7552" w:rsidR="00C627EB" w:rsidRPr="00341DBA" w:rsidRDefault="002F5E71" w:rsidP="00226C8F">
      <w:pPr>
        <w:adjustRightInd w:val="0"/>
        <w:snapToGrid w:val="0"/>
        <w:outlineLvl w:val="0"/>
        <w:rPr>
          <w:rFonts w:ascii="Times New Roman" w:hAnsi="Times New Roman"/>
          <w:sz w:val="22"/>
          <w:szCs w:val="22"/>
        </w:rPr>
      </w:pPr>
      <w:r w:rsidRPr="00341DBA">
        <w:rPr>
          <w:rFonts w:ascii="Times New Roman" w:hAnsi="Times New Roman"/>
          <w:sz w:val="22"/>
          <w:szCs w:val="22"/>
        </w:rPr>
        <w:t>17/0074/19-S</w:t>
      </w:r>
    </w:p>
    <w:p w14:paraId="1173951F" w14:textId="77777777" w:rsidR="002F5E71" w:rsidRPr="00341DBA" w:rsidRDefault="002F5E71" w:rsidP="00226C8F">
      <w:pPr>
        <w:adjustRightInd w:val="0"/>
        <w:snapToGrid w:val="0"/>
        <w:outlineLvl w:val="0"/>
        <w:rPr>
          <w:rFonts w:ascii="Times New Roman" w:hAnsi="Times New Roman"/>
          <w:sz w:val="22"/>
          <w:szCs w:val="22"/>
        </w:rPr>
      </w:pPr>
    </w:p>
    <w:p w14:paraId="12F026CB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14:paraId="220CEDC0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caps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9.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PRVEJ registrácie</w:t>
      </w:r>
      <w:r w:rsidRPr="00226C8F">
        <w:rPr>
          <w:rFonts w:ascii="Times New Roman" w:hAnsi="Times New Roman"/>
          <w:b/>
          <w:caps/>
          <w:sz w:val="22"/>
          <w:szCs w:val="22"/>
        </w:rPr>
        <w:t>/PREDĹŽENIA REGISTRÁCIE</w:t>
      </w:r>
    </w:p>
    <w:p w14:paraId="65099479" w14:textId="77777777" w:rsidR="00C627EB" w:rsidRPr="000F7489" w:rsidRDefault="00C627EB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14:paraId="3B91C8DD" w14:textId="77777777" w:rsidR="00C627EB" w:rsidRDefault="00C627EB" w:rsidP="00FB4772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F83772">
        <w:rPr>
          <w:rFonts w:ascii="Times New Roman" w:hAnsi="Times New Roman"/>
          <w:sz w:val="22"/>
          <w:szCs w:val="22"/>
        </w:rPr>
        <w:t xml:space="preserve">Dátum prvej registrácie: </w:t>
      </w:r>
    </w:p>
    <w:p w14:paraId="6A59CCD0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1213431F" w14:textId="77777777" w:rsidR="00C627EB" w:rsidRPr="000F7489" w:rsidRDefault="00C627EB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0802C3E6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10.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revízie textu</w:t>
      </w:r>
    </w:p>
    <w:p w14:paraId="6D21F48A" w14:textId="77777777" w:rsidR="00C627EB" w:rsidRPr="000F7489" w:rsidRDefault="00C627EB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14:paraId="4AAF55DB" w14:textId="77777777" w:rsidR="00C627EB" w:rsidRPr="000F7489" w:rsidRDefault="0068194C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03/2019</w:t>
      </w:r>
    </w:p>
    <w:sectPr w:rsidR="00C627EB" w:rsidRPr="000F7489" w:rsidSect="00341DBA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134" w:right="1418" w:bottom="1134" w:left="1418" w:header="737" w:footer="73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DF9DD" w14:textId="77777777" w:rsidR="00C84296" w:rsidRDefault="00C84296">
      <w:r>
        <w:separator/>
      </w:r>
    </w:p>
  </w:endnote>
  <w:endnote w:type="continuationSeparator" w:id="0">
    <w:p w14:paraId="00E5DF2B" w14:textId="77777777" w:rsidR="00C84296" w:rsidRDefault="00C84296">
      <w:r>
        <w:continuationSeparator/>
      </w:r>
    </w:p>
  </w:endnote>
  <w:endnote w:type="continuationNotice" w:id="1">
    <w:p w14:paraId="13405D28" w14:textId="77777777" w:rsidR="00C84296" w:rsidRDefault="00C842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05083" w14:textId="77777777" w:rsidR="00C84296" w:rsidRDefault="00C84296" w:rsidP="00D0705D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3C8D8A28" w14:textId="77777777" w:rsidR="00C84296" w:rsidRDefault="00C84296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C341A" w14:textId="77777777" w:rsidR="00C84296" w:rsidRPr="00600D60" w:rsidRDefault="00C84296" w:rsidP="00C5664C">
    <w:pPr>
      <w:pStyle w:val="Pta"/>
      <w:framePr w:wrap="around" w:vAnchor="text" w:hAnchor="margin" w:xAlign="center" w:y="1"/>
      <w:rPr>
        <w:rStyle w:val="slostrany"/>
        <w:rFonts w:ascii="Times New Roman" w:hAnsi="Times New Roman"/>
        <w:sz w:val="18"/>
        <w:szCs w:val="18"/>
      </w:rPr>
    </w:pPr>
    <w:r w:rsidRPr="00600D60">
      <w:rPr>
        <w:rStyle w:val="slostrany"/>
        <w:rFonts w:ascii="Times New Roman" w:hAnsi="Times New Roman"/>
        <w:sz w:val="18"/>
        <w:szCs w:val="18"/>
      </w:rPr>
      <w:fldChar w:fldCharType="begin"/>
    </w:r>
    <w:r w:rsidRPr="00600D60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600D60">
      <w:rPr>
        <w:rStyle w:val="slostrany"/>
        <w:rFonts w:ascii="Times New Roman" w:hAnsi="Times New Roman"/>
        <w:sz w:val="18"/>
        <w:szCs w:val="18"/>
      </w:rPr>
      <w:fldChar w:fldCharType="separate"/>
    </w:r>
    <w:r w:rsidR="00341DBA">
      <w:rPr>
        <w:rStyle w:val="slostrany"/>
        <w:rFonts w:ascii="Times New Roman" w:hAnsi="Times New Roman"/>
        <w:noProof/>
        <w:sz w:val="18"/>
        <w:szCs w:val="18"/>
      </w:rPr>
      <w:t>21</w:t>
    </w:r>
    <w:r w:rsidRPr="00600D60">
      <w:rPr>
        <w:rStyle w:val="slostrany"/>
        <w:rFonts w:ascii="Times New Roman" w:hAnsi="Times New Roman"/>
        <w:sz w:val="18"/>
        <w:szCs w:val="18"/>
      </w:rPr>
      <w:fldChar w:fldCharType="end"/>
    </w:r>
  </w:p>
  <w:p w14:paraId="7577914C" w14:textId="77777777" w:rsidR="00C84296" w:rsidRDefault="00C84296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646708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  <w:szCs w:val="18"/>
      </w:rPr>
    </w:sdtEndPr>
    <w:sdtContent>
      <w:p w14:paraId="3515E785" w14:textId="77777777" w:rsidR="00C84296" w:rsidRPr="00600D60" w:rsidRDefault="00C84296">
        <w:pPr>
          <w:pStyle w:val="Pta"/>
          <w:jc w:val="center"/>
          <w:rPr>
            <w:rFonts w:ascii="Times New Roman" w:hAnsi="Times New Roman"/>
            <w:sz w:val="18"/>
            <w:szCs w:val="18"/>
          </w:rPr>
        </w:pPr>
        <w:r w:rsidRPr="00600D60">
          <w:rPr>
            <w:rFonts w:ascii="Times New Roman" w:hAnsi="Times New Roman"/>
            <w:sz w:val="18"/>
            <w:szCs w:val="18"/>
          </w:rPr>
          <w:fldChar w:fldCharType="begin"/>
        </w:r>
        <w:r w:rsidRPr="00600D60">
          <w:rPr>
            <w:rFonts w:ascii="Times New Roman" w:hAnsi="Times New Roman"/>
            <w:sz w:val="18"/>
            <w:szCs w:val="18"/>
          </w:rPr>
          <w:instrText>PAGE   \* MERGEFORMAT</w:instrText>
        </w:r>
        <w:r w:rsidRPr="00600D60">
          <w:rPr>
            <w:rFonts w:ascii="Times New Roman" w:hAnsi="Times New Roman"/>
            <w:sz w:val="18"/>
            <w:szCs w:val="18"/>
          </w:rPr>
          <w:fldChar w:fldCharType="separate"/>
        </w:r>
        <w:r>
          <w:rPr>
            <w:rFonts w:ascii="Times New Roman" w:hAnsi="Times New Roman"/>
            <w:noProof/>
            <w:sz w:val="18"/>
            <w:szCs w:val="18"/>
          </w:rPr>
          <w:t>1</w:t>
        </w:r>
        <w:r w:rsidRPr="00600D60">
          <w:rPr>
            <w:rFonts w:ascii="Times New Roman" w:hAnsi="Times New Roman"/>
            <w:sz w:val="18"/>
            <w:szCs w:val="18"/>
          </w:rPr>
          <w:fldChar w:fldCharType="end"/>
        </w:r>
      </w:p>
    </w:sdtContent>
  </w:sdt>
  <w:p w14:paraId="245FA273" w14:textId="77777777" w:rsidR="00C84296" w:rsidRDefault="00C8429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BA076" w14:textId="77777777" w:rsidR="00C84296" w:rsidRDefault="00C84296">
      <w:r>
        <w:separator/>
      </w:r>
    </w:p>
  </w:footnote>
  <w:footnote w:type="continuationSeparator" w:id="0">
    <w:p w14:paraId="438F1139" w14:textId="77777777" w:rsidR="00C84296" w:rsidRDefault="00C84296">
      <w:r>
        <w:continuationSeparator/>
      </w:r>
    </w:p>
  </w:footnote>
  <w:footnote w:type="continuationNotice" w:id="1">
    <w:p w14:paraId="773649D3" w14:textId="77777777" w:rsidR="00C84296" w:rsidRDefault="00C84296"/>
  </w:footnote>
  <w:footnote w:id="2">
    <w:p w14:paraId="38F21A99" w14:textId="77777777" w:rsidR="00C84296" w:rsidRPr="00FD500A" w:rsidRDefault="00C84296" w:rsidP="0091401F">
      <w:pPr>
        <w:autoSpaceDE w:val="0"/>
        <w:autoSpaceDN w:val="0"/>
        <w:adjustRightInd w:val="0"/>
        <w:ind w:left="142" w:hanging="142"/>
        <w:rPr>
          <w:rFonts w:ascii="Times New Roman" w:hAnsi="Times New Roman"/>
          <w:sz w:val="18"/>
          <w:szCs w:val="18"/>
        </w:rPr>
      </w:pPr>
      <w:r w:rsidRPr="00FD500A">
        <w:rPr>
          <w:rStyle w:val="Odkaznapoznmkupodiarou"/>
          <w:rFonts w:ascii="Times New Roman" w:hAnsi="Times New Roman"/>
          <w:sz w:val="18"/>
          <w:szCs w:val="18"/>
        </w:rPr>
        <w:footnoteRef/>
      </w:r>
      <w:r w:rsidRPr="00FD500A">
        <w:rPr>
          <w:rFonts w:ascii="Times New Roman" w:hAnsi="Times New Roman"/>
          <w:sz w:val="18"/>
          <w:szCs w:val="18"/>
        </w:rPr>
        <w:t xml:space="preserve"> Stredný bod rozpätia 5 – 7 (prípadov) na 10 000 ženských rokov (ŽR), založený na relatívnom riziku kombinovaného hormonálneho kontraceptíva (CHC) obsahujúceho levonorgestrel oproti 2,3 až 3,6 u neužívateliek.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E2158" w14:textId="77777777" w:rsidR="00C84296" w:rsidRPr="00341DBA" w:rsidRDefault="00C84296" w:rsidP="00443E4F">
    <w:pPr>
      <w:pStyle w:val="Normlnywebov"/>
      <w:jc w:val="both"/>
      <w:rPr>
        <w:sz w:val="18"/>
        <w:szCs w:val="18"/>
      </w:rPr>
    </w:pPr>
    <w:r w:rsidRPr="00341DBA">
      <w:rPr>
        <w:sz w:val="18"/>
        <w:szCs w:val="18"/>
      </w:rPr>
      <w:t>Schválený text k rozhodnutiu o registrácii, ev. č.: 2016/01899-REG</w:t>
    </w:r>
  </w:p>
  <w:p w14:paraId="6AF1FDC7" w14:textId="77777777" w:rsidR="00C84296" w:rsidRDefault="00C84296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46095" w14:textId="77777777" w:rsidR="00C84296" w:rsidRPr="008B26D0" w:rsidRDefault="00C84296" w:rsidP="00EE212F">
    <w:pPr>
      <w:pStyle w:val="Hlavika"/>
    </w:pPr>
    <w:r w:rsidRPr="008A1DCE">
      <w:rPr>
        <w:rFonts w:ascii="Times New Roman" w:hAnsi="Times New Roman"/>
        <w:sz w:val="18"/>
        <w:szCs w:val="18"/>
      </w:rPr>
      <w:t>Schválený text k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>rozhodnutiu o</w:t>
    </w:r>
    <w:r>
      <w:rPr>
        <w:rFonts w:ascii="Times New Roman" w:hAnsi="Times New Roman"/>
        <w:sz w:val="18"/>
        <w:szCs w:val="18"/>
      </w:rPr>
      <w:t> </w:t>
    </w:r>
    <w:r w:rsidRPr="008A1DCE">
      <w:rPr>
        <w:rFonts w:ascii="Times New Roman" w:hAnsi="Times New Roman"/>
        <w:sz w:val="18"/>
        <w:szCs w:val="18"/>
      </w:rPr>
      <w:t xml:space="preserve">zmene, ev. č.: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15E53"/>
    <w:multiLevelType w:val="hybridMultilevel"/>
    <w:tmpl w:val="B0D441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9421B"/>
    <w:multiLevelType w:val="hybridMultilevel"/>
    <w:tmpl w:val="9E08221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302F4"/>
    <w:multiLevelType w:val="hybridMultilevel"/>
    <w:tmpl w:val="2A94E8B8"/>
    <w:lvl w:ilvl="0" w:tplc="C310F6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36771"/>
    <w:multiLevelType w:val="hybridMultilevel"/>
    <w:tmpl w:val="2A2E928C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A3559"/>
    <w:multiLevelType w:val="hybridMultilevel"/>
    <w:tmpl w:val="8680472C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70214"/>
    <w:multiLevelType w:val="hybridMultilevel"/>
    <w:tmpl w:val="D898C8CE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927A1"/>
    <w:multiLevelType w:val="hybridMultilevel"/>
    <w:tmpl w:val="F56CFBF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8D2"/>
    <w:multiLevelType w:val="hybridMultilevel"/>
    <w:tmpl w:val="75D28D24"/>
    <w:lvl w:ilvl="0" w:tplc="3C6EBD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9C147E0"/>
    <w:multiLevelType w:val="hybridMultilevel"/>
    <w:tmpl w:val="C794032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D39BE"/>
    <w:multiLevelType w:val="hybridMultilevel"/>
    <w:tmpl w:val="6322A0C0"/>
    <w:lvl w:ilvl="0" w:tplc="B066DD1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85012B"/>
    <w:multiLevelType w:val="hybridMultilevel"/>
    <w:tmpl w:val="FC921AC8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922E1"/>
    <w:multiLevelType w:val="hybridMultilevel"/>
    <w:tmpl w:val="E84EA8E2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32F66"/>
    <w:multiLevelType w:val="hybridMultilevel"/>
    <w:tmpl w:val="0F10365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2047F"/>
    <w:multiLevelType w:val="hybridMultilevel"/>
    <w:tmpl w:val="780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D4DE3"/>
    <w:multiLevelType w:val="hybridMultilevel"/>
    <w:tmpl w:val="A8368F9C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E602686"/>
    <w:multiLevelType w:val="hybridMultilevel"/>
    <w:tmpl w:val="1B9A3F5A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A5879"/>
    <w:multiLevelType w:val="hybridMultilevel"/>
    <w:tmpl w:val="E3222C28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3809"/>
    <w:multiLevelType w:val="hybridMultilevel"/>
    <w:tmpl w:val="928CA94C"/>
    <w:lvl w:ilvl="0" w:tplc="BB5C6DC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D6875"/>
    <w:multiLevelType w:val="hybridMultilevel"/>
    <w:tmpl w:val="DBB8D41A"/>
    <w:lvl w:ilvl="0" w:tplc="90FED3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EB1EFB"/>
    <w:multiLevelType w:val="hybridMultilevel"/>
    <w:tmpl w:val="61CC28F0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B066DD1A">
      <w:start w:val="2"/>
      <w:numFmt w:val="bullet"/>
      <w:lvlText w:val="-"/>
      <w:lvlJc w:val="left"/>
      <w:pPr>
        <w:ind w:left="1440" w:hanging="360"/>
      </w:pPr>
      <w:rPr>
        <w:rFonts w:ascii="TimesNewRoman" w:eastAsia="Times New Roman" w:hAnsi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9A4F59"/>
    <w:multiLevelType w:val="hybridMultilevel"/>
    <w:tmpl w:val="A6B4D2E4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80F67"/>
    <w:multiLevelType w:val="hybridMultilevel"/>
    <w:tmpl w:val="44700B24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C764356"/>
    <w:multiLevelType w:val="hybridMultilevel"/>
    <w:tmpl w:val="972AA7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3A3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62345"/>
    <w:multiLevelType w:val="hybridMultilevel"/>
    <w:tmpl w:val="889E9AB6"/>
    <w:lvl w:ilvl="0" w:tplc="09C64BF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E9492F"/>
    <w:multiLevelType w:val="hybridMultilevel"/>
    <w:tmpl w:val="98043722"/>
    <w:lvl w:ilvl="0" w:tplc="B066DD1A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F16CE4"/>
    <w:multiLevelType w:val="hybridMultilevel"/>
    <w:tmpl w:val="86701390"/>
    <w:lvl w:ilvl="0" w:tplc="B066DD1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eastAsia="Times New Roman" w:hAnsi="TimesNew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13"/>
  </w:num>
  <w:num w:numId="8">
    <w:abstractNumId w:val="2"/>
  </w:num>
  <w:num w:numId="9">
    <w:abstractNumId w:val="3"/>
  </w:num>
  <w:num w:numId="10">
    <w:abstractNumId w:val="23"/>
  </w:num>
  <w:num w:numId="11">
    <w:abstractNumId w:val="14"/>
  </w:num>
  <w:num w:numId="12">
    <w:abstractNumId w:val="1"/>
  </w:num>
  <w:num w:numId="13">
    <w:abstractNumId w:val="21"/>
  </w:num>
  <w:num w:numId="14">
    <w:abstractNumId w:val="11"/>
  </w:num>
  <w:num w:numId="15">
    <w:abstractNumId w:val="10"/>
  </w:num>
  <w:num w:numId="16">
    <w:abstractNumId w:val="19"/>
  </w:num>
  <w:num w:numId="17">
    <w:abstractNumId w:val="12"/>
  </w:num>
  <w:num w:numId="18">
    <w:abstractNumId w:val="17"/>
  </w:num>
  <w:num w:numId="19">
    <w:abstractNumId w:val="18"/>
  </w:num>
  <w:num w:numId="20">
    <w:abstractNumId w:val="5"/>
  </w:num>
  <w:num w:numId="21">
    <w:abstractNumId w:val="20"/>
  </w:num>
  <w:num w:numId="22">
    <w:abstractNumId w:val="4"/>
  </w:num>
  <w:num w:numId="23">
    <w:abstractNumId w:val="15"/>
  </w:num>
  <w:num w:numId="24">
    <w:abstractNumId w:val="25"/>
  </w:num>
  <w:num w:numId="25">
    <w:abstractNumId w:val="16"/>
  </w:num>
  <w:num w:numId="26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93"/>
    <w:rsid w:val="00002D3B"/>
    <w:rsid w:val="00006618"/>
    <w:rsid w:val="00007C21"/>
    <w:rsid w:val="00011233"/>
    <w:rsid w:val="00015870"/>
    <w:rsid w:val="000207FD"/>
    <w:rsid w:val="0002362E"/>
    <w:rsid w:val="00030A2C"/>
    <w:rsid w:val="0003498B"/>
    <w:rsid w:val="00036B67"/>
    <w:rsid w:val="00042419"/>
    <w:rsid w:val="00044B8D"/>
    <w:rsid w:val="00046E41"/>
    <w:rsid w:val="0005271D"/>
    <w:rsid w:val="00062A13"/>
    <w:rsid w:val="00062FA8"/>
    <w:rsid w:val="00071252"/>
    <w:rsid w:val="00072267"/>
    <w:rsid w:val="000778E8"/>
    <w:rsid w:val="000828DF"/>
    <w:rsid w:val="00084040"/>
    <w:rsid w:val="00084F5B"/>
    <w:rsid w:val="000858D4"/>
    <w:rsid w:val="0008720F"/>
    <w:rsid w:val="00087DC4"/>
    <w:rsid w:val="00090014"/>
    <w:rsid w:val="00090A88"/>
    <w:rsid w:val="000935C5"/>
    <w:rsid w:val="00094382"/>
    <w:rsid w:val="00094EE3"/>
    <w:rsid w:val="00096476"/>
    <w:rsid w:val="00097D84"/>
    <w:rsid w:val="000A6D55"/>
    <w:rsid w:val="000B1F84"/>
    <w:rsid w:val="000B6FFE"/>
    <w:rsid w:val="000C02BD"/>
    <w:rsid w:val="000C043F"/>
    <w:rsid w:val="000C1AEE"/>
    <w:rsid w:val="000E0300"/>
    <w:rsid w:val="000E0EF1"/>
    <w:rsid w:val="000E3987"/>
    <w:rsid w:val="000E7FAC"/>
    <w:rsid w:val="000F4665"/>
    <w:rsid w:val="000F53D7"/>
    <w:rsid w:val="000F60FB"/>
    <w:rsid w:val="000F652D"/>
    <w:rsid w:val="000F7489"/>
    <w:rsid w:val="00102A07"/>
    <w:rsid w:val="00103F3C"/>
    <w:rsid w:val="00105789"/>
    <w:rsid w:val="00105FAE"/>
    <w:rsid w:val="00110B3F"/>
    <w:rsid w:val="001121C0"/>
    <w:rsid w:val="00113B98"/>
    <w:rsid w:val="001143CB"/>
    <w:rsid w:val="00115982"/>
    <w:rsid w:val="00120689"/>
    <w:rsid w:val="001213B2"/>
    <w:rsid w:val="00124AC5"/>
    <w:rsid w:val="001265D1"/>
    <w:rsid w:val="00133D0C"/>
    <w:rsid w:val="00135C09"/>
    <w:rsid w:val="00137A6A"/>
    <w:rsid w:val="0014296E"/>
    <w:rsid w:val="001434ED"/>
    <w:rsid w:val="001479A8"/>
    <w:rsid w:val="00151A1C"/>
    <w:rsid w:val="0015387D"/>
    <w:rsid w:val="0015400F"/>
    <w:rsid w:val="00155933"/>
    <w:rsid w:val="001561CD"/>
    <w:rsid w:val="001567B0"/>
    <w:rsid w:val="001613C9"/>
    <w:rsid w:val="00161A29"/>
    <w:rsid w:val="00161BF7"/>
    <w:rsid w:val="00161D09"/>
    <w:rsid w:val="00165D6B"/>
    <w:rsid w:val="001701D8"/>
    <w:rsid w:val="0017483C"/>
    <w:rsid w:val="00175583"/>
    <w:rsid w:val="001768C8"/>
    <w:rsid w:val="00181F3B"/>
    <w:rsid w:val="0018394D"/>
    <w:rsid w:val="001845E4"/>
    <w:rsid w:val="001858A6"/>
    <w:rsid w:val="00191E3C"/>
    <w:rsid w:val="00195374"/>
    <w:rsid w:val="001969C6"/>
    <w:rsid w:val="00197A02"/>
    <w:rsid w:val="001A0015"/>
    <w:rsid w:val="001A7A27"/>
    <w:rsid w:val="001B11DB"/>
    <w:rsid w:val="001B1471"/>
    <w:rsid w:val="001B18FD"/>
    <w:rsid w:val="001B1BE7"/>
    <w:rsid w:val="001C2028"/>
    <w:rsid w:val="001C2AB9"/>
    <w:rsid w:val="001C38A7"/>
    <w:rsid w:val="001D3920"/>
    <w:rsid w:val="001D43FC"/>
    <w:rsid w:val="001E1E6B"/>
    <w:rsid w:val="001E4D8A"/>
    <w:rsid w:val="001F078B"/>
    <w:rsid w:val="001F484A"/>
    <w:rsid w:val="00202C2E"/>
    <w:rsid w:val="002052F8"/>
    <w:rsid w:val="00207350"/>
    <w:rsid w:val="00213B4B"/>
    <w:rsid w:val="002169D6"/>
    <w:rsid w:val="00226A14"/>
    <w:rsid w:val="00226C8F"/>
    <w:rsid w:val="0023146C"/>
    <w:rsid w:val="0023154F"/>
    <w:rsid w:val="00231652"/>
    <w:rsid w:val="00232A33"/>
    <w:rsid w:val="00232DBA"/>
    <w:rsid w:val="002337ED"/>
    <w:rsid w:val="00236940"/>
    <w:rsid w:val="0023715B"/>
    <w:rsid w:val="00243F62"/>
    <w:rsid w:val="002453F9"/>
    <w:rsid w:val="00245F45"/>
    <w:rsid w:val="002501D6"/>
    <w:rsid w:val="00250528"/>
    <w:rsid w:val="00252C0A"/>
    <w:rsid w:val="00256D03"/>
    <w:rsid w:val="00257BA5"/>
    <w:rsid w:val="00260358"/>
    <w:rsid w:val="00263005"/>
    <w:rsid w:val="002637C2"/>
    <w:rsid w:val="00271B5D"/>
    <w:rsid w:val="0027576D"/>
    <w:rsid w:val="00284D30"/>
    <w:rsid w:val="002862B8"/>
    <w:rsid w:val="002A04E6"/>
    <w:rsid w:val="002A16F1"/>
    <w:rsid w:val="002A2336"/>
    <w:rsid w:val="002A2971"/>
    <w:rsid w:val="002B2BC2"/>
    <w:rsid w:val="002C05F4"/>
    <w:rsid w:val="002C33EB"/>
    <w:rsid w:val="002C3ED8"/>
    <w:rsid w:val="002C5888"/>
    <w:rsid w:val="002C5AB6"/>
    <w:rsid w:val="002D0B9C"/>
    <w:rsid w:val="002D13C6"/>
    <w:rsid w:val="002D25B3"/>
    <w:rsid w:val="002D33E6"/>
    <w:rsid w:val="002E27BA"/>
    <w:rsid w:val="002E507B"/>
    <w:rsid w:val="002E53C1"/>
    <w:rsid w:val="002F1D38"/>
    <w:rsid w:val="002F3854"/>
    <w:rsid w:val="002F5E71"/>
    <w:rsid w:val="00303000"/>
    <w:rsid w:val="003047D4"/>
    <w:rsid w:val="00304E85"/>
    <w:rsid w:val="00313BD1"/>
    <w:rsid w:val="00313EF1"/>
    <w:rsid w:val="003234F7"/>
    <w:rsid w:val="003254BB"/>
    <w:rsid w:val="003271C0"/>
    <w:rsid w:val="00331704"/>
    <w:rsid w:val="00336264"/>
    <w:rsid w:val="00341DBA"/>
    <w:rsid w:val="0034362A"/>
    <w:rsid w:val="003442E9"/>
    <w:rsid w:val="0034614E"/>
    <w:rsid w:val="003526E3"/>
    <w:rsid w:val="0036057F"/>
    <w:rsid w:val="0036788B"/>
    <w:rsid w:val="00367B4E"/>
    <w:rsid w:val="003717E1"/>
    <w:rsid w:val="003738BC"/>
    <w:rsid w:val="0037775A"/>
    <w:rsid w:val="00380845"/>
    <w:rsid w:val="00381CDB"/>
    <w:rsid w:val="00385E7F"/>
    <w:rsid w:val="00392786"/>
    <w:rsid w:val="00397FF3"/>
    <w:rsid w:val="003A1125"/>
    <w:rsid w:val="003B10A1"/>
    <w:rsid w:val="003B4348"/>
    <w:rsid w:val="003B4BB0"/>
    <w:rsid w:val="003B5916"/>
    <w:rsid w:val="003B6878"/>
    <w:rsid w:val="003B6A8A"/>
    <w:rsid w:val="003C0BFC"/>
    <w:rsid w:val="003C7A79"/>
    <w:rsid w:val="003D2663"/>
    <w:rsid w:val="003D2E4B"/>
    <w:rsid w:val="003E1C04"/>
    <w:rsid w:val="003E2A10"/>
    <w:rsid w:val="003E2A18"/>
    <w:rsid w:val="003E3B26"/>
    <w:rsid w:val="003E44C3"/>
    <w:rsid w:val="003F44EA"/>
    <w:rsid w:val="003F4DFA"/>
    <w:rsid w:val="003F6176"/>
    <w:rsid w:val="003F701D"/>
    <w:rsid w:val="004008F5"/>
    <w:rsid w:val="004009A6"/>
    <w:rsid w:val="00401EB4"/>
    <w:rsid w:val="00403C0D"/>
    <w:rsid w:val="00404DED"/>
    <w:rsid w:val="004061DA"/>
    <w:rsid w:val="00411EEB"/>
    <w:rsid w:val="0041245A"/>
    <w:rsid w:val="00412E14"/>
    <w:rsid w:val="00420253"/>
    <w:rsid w:val="00420CE8"/>
    <w:rsid w:val="004214CA"/>
    <w:rsid w:val="0042580E"/>
    <w:rsid w:val="00433F8A"/>
    <w:rsid w:val="0043407E"/>
    <w:rsid w:val="004349DC"/>
    <w:rsid w:val="00434C40"/>
    <w:rsid w:val="00443E4F"/>
    <w:rsid w:val="0045124D"/>
    <w:rsid w:val="00451E91"/>
    <w:rsid w:val="00451FB3"/>
    <w:rsid w:val="004523A8"/>
    <w:rsid w:val="00462B91"/>
    <w:rsid w:val="004662A1"/>
    <w:rsid w:val="0046754E"/>
    <w:rsid w:val="00472136"/>
    <w:rsid w:val="0047476F"/>
    <w:rsid w:val="00476053"/>
    <w:rsid w:val="004820C8"/>
    <w:rsid w:val="00482236"/>
    <w:rsid w:val="00483B79"/>
    <w:rsid w:val="00484275"/>
    <w:rsid w:val="00484B29"/>
    <w:rsid w:val="00487174"/>
    <w:rsid w:val="00490287"/>
    <w:rsid w:val="00491E8C"/>
    <w:rsid w:val="004A129C"/>
    <w:rsid w:val="004A2477"/>
    <w:rsid w:val="004A45F0"/>
    <w:rsid w:val="004A6221"/>
    <w:rsid w:val="004A7F3F"/>
    <w:rsid w:val="004B3D58"/>
    <w:rsid w:val="004B48AA"/>
    <w:rsid w:val="004B69C6"/>
    <w:rsid w:val="004C0E1E"/>
    <w:rsid w:val="004C1CBB"/>
    <w:rsid w:val="004C3A7D"/>
    <w:rsid w:val="004C4EC3"/>
    <w:rsid w:val="004D0117"/>
    <w:rsid w:val="004D504A"/>
    <w:rsid w:val="004D56DF"/>
    <w:rsid w:val="004D636D"/>
    <w:rsid w:val="004D6EA8"/>
    <w:rsid w:val="004E1354"/>
    <w:rsid w:val="004E3D78"/>
    <w:rsid w:val="004E4A01"/>
    <w:rsid w:val="004E4CAF"/>
    <w:rsid w:val="004F5F1C"/>
    <w:rsid w:val="004F7B8F"/>
    <w:rsid w:val="00501A7B"/>
    <w:rsid w:val="00501BA2"/>
    <w:rsid w:val="00502DC3"/>
    <w:rsid w:val="0051081F"/>
    <w:rsid w:val="00510BC5"/>
    <w:rsid w:val="005151E3"/>
    <w:rsid w:val="00524B2E"/>
    <w:rsid w:val="00531339"/>
    <w:rsid w:val="005317D6"/>
    <w:rsid w:val="005340CE"/>
    <w:rsid w:val="00534771"/>
    <w:rsid w:val="005352AD"/>
    <w:rsid w:val="00537170"/>
    <w:rsid w:val="00537E73"/>
    <w:rsid w:val="00540CA2"/>
    <w:rsid w:val="00543C94"/>
    <w:rsid w:val="00545EB2"/>
    <w:rsid w:val="005462BF"/>
    <w:rsid w:val="00550DF4"/>
    <w:rsid w:val="005536A6"/>
    <w:rsid w:val="00553AE2"/>
    <w:rsid w:val="00554AC8"/>
    <w:rsid w:val="0055784B"/>
    <w:rsid w:val="005607DA"/>
    <w:rsid w:val="00561E65"/>
    <w:rsid w:val="00564221"/>
    <w:rsid w:val="0056438E"/>
    <w:rsid w:val="00566C3F"/>
    <w:rsid w:val="00570584"/>
    <w:rsid w:val="00574442"/>
    <w:rsid w:val="005760FD"/>
    <w:rsid w:val="00581D44"/>
    <w:rsid w:val="005830EC"/>
    <w:rsid w:val="00587722"/>
    <w:rsid w:val="005901E3"/>
    <w:rsid w:val="005915F2"/>
    <w:rsid w:val="00592681"/>
    <w:rsid w:val="00592896"/>
    <w:rsid w:val="00596DEF"/>
    <w:rsid w:val="005A4CB8"/>
    <w:rsid w:val="005A51EE"/>
    <w:rsid w:val="005A5233"/>
    <w:rsid w:val="005B301C"/>
    <w:rsid w:val="005B3487"/>
    <w:rsid w:val="005B5856"/>
    <w:rsid w:val="005B76D2"/>
    <w:rsid w:val="005C0E08"/>
    <w:rsid w:val="005C2780"/>
    <w:rsid w:val="005C787C"/>
    <w:rsid w:val="005D0CC2"/>
    <w:rsid w:val="005D15E6"/>
    <w:rsid w:val="005D2E05"/>
    <w:rsid w:val="005D6CA7"/>
    <w:rsid w:val="005D779F"/>
    <w:rsid w:val="005E1A4E"/>
    <w:rsid w:val="005E2668"/>
    <w:rsid w:val="005F1726"/>
    <w:rsid w:val="005F45A3"/>
    <w:rsid w:val="00600D60"/>
    <w:rsid w:val="00602FC3"/>
    <w:rsid w:val="006045D9"/>
    <w:rsid w:val="00604AC2"/>
    <w:rsid w:val="00604FDB"/>
    <w:rsid w:val="00605EAD"/>
    <w:rsid w:val="00606D3F"/>
    <w:rsid w:val="00620C80"/>
    <w:rsid w:val="0062386F"/>
    <w:rsid w:val="0062567D"/>
    <w:rsid w:val="00627657"/>
    <w:rsid w:val="00630D73"/>
    <w:rsid w:val="00635208"/>
    <w:rsid w:val="00635584"/>
    <w:rsid w:val="00637588"/>
    <w:rsid w:val="0064498C"/>
    <w:rsid w:val="00644BA0"/>
    <w:rsid w:val="006453CC"/>
    <w:rsid w:val="00647F0C"/>
    <w:rsid w:val="00650247"/>
    <w:rsid w:val="00650E1A"/>
    <w:rsid w:val="006642F3"/>
    <w:rsid w:val="00670893"/>
    <w:rsid w:val="00670FCC"/>
    <w:rsid w:val="006724FC"/>
    <w:rsid w:val="006726E0"/>
    <w:rsid w:val="00674C0E"/>
    <w:rsid w:val="0067696A"/>
    <w:rsid w:val="006771FA"/>
    <w:rsid w:val="00677284"/>
    <w:rsid w:val="0068194C"/>
    <w:rsid w:val="006839A1"/>
    <w:rsid w:val="00686ACB"/>
    <w:rsid w:val="00686E35"/>
    <w:rsid w:val="00691382"/>
    <w:rsid w:val="00691F68"/>
    <w:rsid w:val="006956D7"/>
    <w:rsid w:val="00697A06"/>
    <w:rsid w:val="006A0371"/>
    <w:rsid w:val="006A31FC"/>
    <w:rsid w:val="006A36D0"/>
    <w:rsid w:val="006A3A2D"/>
    <w:rsid w:val="006A6DD6"/>
    <w:rsid w:val="006B160B"/>
    <w:rsid w:val="006B1BEF"/>
    <w:rsid w:val="006C2EE5"/>
    <w:rsid w:val="006C6D33"/>
    <w:rsid w:val="006C7B85"/>
    <w:rsid w:val="006D084F"/>
    <w:rsid w:val="006D16D6"/>
    <w:rsid w:val="006D24BA"/>
    <w:rsid w:val="006D2EAF"/>
    <w:rsid w:val="006D7A2C"/>
    <w:rsid w:val="006E4FA6"/>
    <w:rsid w:val="006E57D5"/>
    <w:rsid w:val="006E6982"/>
    <w:rsid w:val="006F0C1C"/>
    <w:rsid w:val="006F33A7"/>
    <w:rsid w:val="006F781C"/>
    <w:rsid w:val="00704402"/>
    <w:rsid w:val="00711175"/>
    <w:rsid w:val="00711A52"/>
    <w:rsid w:val="007134C9"/>
    <w:rsid w:val="007214F5"/>
    <w:rsid w:val="00723F82"/>
    <w:rsid w:val="007276AB"/>
    <w:rsid w:val="00730693"/>
    <w:rsid w:val="00730E23"/>
    <w:rsid w:val="00732779"/>
    <w:rsid w:val="00734AF8"/>
    <w:rsid w:val="0073543E"/>
    <w:rsid w:val="00735B22"/>
    <w:rsid w:val="00741A90"/>
    <w:rsid w:val="00743FC3"/>
    <w:rsid w:val="00745807"/>
    <w:rsid w:val="00755031"/>
    <w:rsid w:val="007630D9"/>
    <w:rsid w:val="00763375"/>
    <w:rsid w:val="00764057"/>
    <w:rsid w:val="00765C9B"/>
    <w:rsid w:val="00766F8E"/>
    <w:rsid w:val="00767372"/>
    <w:rsid w:val="00771B1D"/>
    <w:rsid w:val="007721C5"/>
    <w:rsid w:val="00775E05"/>
    <w:rsid w:val="0077783A"/>
    <w:rsid w:val="00780026"/>
    <w:rsid w:val="00781B56"/>
    <w:rsid w:val="0078288B"/>
    <w:rsid w:val="00784B36"/>
    <w:rsid w:val="0078626D"/>
    <w:rsid w:val="007931AB"/>
    <w:rsid w:val="007A1745"/>
    <w:rsid w:val="007A5FEC"/>
    <w:rsid w:val="007B5A46"/>
    <w:rsid w:val="007B6E96"/>
    <w:rsid w:val="007C00A7"/>
    <w:rsid w:val="007C0C4F"/>
    <w:rsid w:val="007C443A"/>
    <w:rsid w:val="007C7808"/>
    <w:rsid w:val="007C79D5"/>
    <w:rsid w:val="007E2B63"/>
    <w:rsid w:val="007E330A"/>
    <w:rsid w:val="007F1655"/>
    <w:rsid w:val="007F21C3"/>
    <w:rsid w:val="007F5073"/>
    <w:rsid w:val="007F61D2"/>
    <w:rsid w:val="007F7F51"/>
    <w:rsid w:val="008026E2"/>
    <w:rsid w:val="00810133"/>
    <w:rsid w:val="00810A15"/>
    <w:rsid w:val="00815F06"/>
    <w:rsid w:val="00817F8A"/>
    <w:rsid w:val="00820ADD"/>
    <w:rsid w:val="00821301"/>
    <w:rsid w:val="008245E4"/>
    <w:rsid w:val="008301EB"/>
    <w:rsid w:val="008372D9"/>
    <w:rsid w:val="00840260"/>
    <w:rsid w:val="00840C9B"/>
    <w:rsid w:val="00841812"/>
    <w:rsid w:val="008439CA"/>
    <w:rsid w:val="00847D02"/>
    <w:rsid w:val="008526DC"/>
    <w:rsid w:val="00855313"/>
    <w:rsid w:val="0085569A"/>
    <w:rsid w:val="00857D3E"/>
    <w:rsid w:val="00862528"/>
    <w:rsid w:val="008638DF"/>
    <w:rsid w:val="00871A95"/>
    <w:rsid w:val="00873BBD"/>
    <w:rsid w:val="00874CCD"/>
    <w:rsid w:val="00876957"/>
    <w:rsid w:val="00880416"/>
    <w:rsid w:val="00885FE6"/>
    <w:rsid w:val="0089063A"/>
    <w:rsid w:val="0089218C"/>
    <w:rsid w:val="0089443D"/>
    <w:rsid w:val="0089737F"/>
    <w:rsid w:val="00897654"/>
    <w:rsid w:val="008A1DCE"/>
    <w:rsid w:val="008A4CC4"/>
    <w:rsid w:val="008A5178"/>
    <w:rsid w:val="008A5694"/>
    <w:rsid w:val="008A6656"/>
    <w:rsid w:val="008B26D0"/>
    <w:rsid w:val="008B4AA3"/>
    <w:rsid w:val="008B71F5"/>
    <w:rsid w:val="008B7549"/>
    <w:rsid w:val="008C191E"/>
    <w:rsid w:val="008C2DD8"/>
    <w:rsid w:val="008C2E13"/>
    <w:rsid w:val="008C602E"/>
    <w:rsid w:val="008C7509"/>
    <w:rsid w:val="008C7C48"/>
    <w:rsid w:val="008D01B1"/>
    <w:rsid w:val="008D2F5E"/>
    <w:rsid w:val="008D61BE"/>
    <w:rsid w:val="008D7303"/>
    <w:rsid w:val="008E30F4"/>
    <w:rsid w:val="008E327D"/>
    <w:rsid w:val="008E37FC"/>
    <w:rsid w:val="008E5562"/>
    <w:rsid w:val="008F61F5"/>
    <w:rsid w:val="008F6F7A"/>
    <w:rsid w:val="00910345"/>
    <w:rsid w:val="00912647"/>
    <w:rsid w:val="0091401F"/>
    <w:rsid w:val="00915E31"/>
    <w:rsid w:val="009200AC"/>
    <w:rsid w:val="00920D61"/>
    <w:rsid w:val="00920DB5"/>
    <w:rsid w:val="00924FF0"/>
    <w:rsid w:val="00933EEF"/>
    <w:rsid w:val="00935318"/>
    <w:rsid w:val="009362F7"/>
    <w:rsid w:val="00940CDA"/>
    <w:rsid w:val="009410E4"/>
    <w:rsid w:val="00951EED"/>
    <w:rsid w:val="0095408A"/>
    <w:rsid w:val="0095408F"/>
    <w:rsid w:val="00955D53"/>
    <w:rsid w:val="00965855"/>
    <w:rsid w:val="00972BE7"/>
    <w:rsid w:val="00974879"/>
    <w:rsid w:val="00975A18"/>
    <w:rsid w:val="00975C3A"/>
    <w:rsid w:val="009779D5"/>
    <w:rsid w:val="00981719"/>
    <w:rsid w:val="00982402"/>
    <w:rsid w:val="00982684"/>
    <w:rsid w:val="00983BFB"/>
    <w:rsid w:val="00983FBD"/>
    <w:rsid w:val="00992847"/>
    <w:rsid w:val="0099708A"/>
    <w:rsid w:val="009A2E54"/>
    <w:rsid w:val="009A446A"/>
    <w:rsid w:val="009A5318"/>
    <w:rsid w:val="009B05CA"/>
    <w:rsid w:val="009B26EB"/>
    <w:rsid w:val="009C0727"/>
    <w:rsid w:val="009C12F3"/>
    <w:rsid w:val="009C20E3"/>
    <w:rsid w:val="009C2449"/>
    <w:rsid w:val="009C24B3"/>
    <w:rsid w:val="009C28F4"/>
    <w:rsid w:val="009C3F11"/>
    <w:rsid w:val="009C49AC"/>
    <w:rsid w:val="009C5459"/>
    <w:rsid w:val="009C7703"/>
    <w:rsid w:val="009D5E03"/>
    <w:rsid w:val="009E06F9"/>
    <w:rsid w:val="009E0F89"/>
    <w:rsid w:val="009E15CB"/>
    <w:rsid w:val="009E3052"/>
    <w:rsid w:val="009E6E1E"/>
    <w:rsid w:val="009F0958"/>
    <w:rsid w:val="009F157D"/>
    <w:rsid w:val="009F75D8"/>
    <w:rsid w:val="009F79EA"/>
    <w:rsid w:val="00A03612"/>
    <w:rsid w:val="00A05941"/>
    <w:rsid w:val="00A05A35"/>
    <w:rsid w:val="00A10122"/>
    <w:rsid w:val="00A114AE"/>
    <w:rsid w:val="00A1473C"/>
    <w:rsid w:val="00A17DD7"/>
    <w:rsid w:val="00A23963"/>
    <w:rsid w:val="00A25A5D"/>
    <w:rsid w:val="00A31146"/>
    <w:rsid w:val="00A43B4B"/>
    <w:rsid w:val="00A45D12"/>
    <w:rsid w:val="00A45F28"/>
    <w:rsid w:val="00A504E8"/>
    <w:rsid w:val="00A54281"/>
    <w:rsid w:val="00A60D1D"/>
    <w:rsid w:val="00A64677"/>
    <w:rsid w:val="00A67184"/>
    <w:rsid w:val="00A67E25"/>
    <w:rsid w:val="00A74313"/>
    <w:rsid w:val="00A75669"/>
    <w:rsid w:val="00A80ED0"/>
    <w:rsid w:val="00A80EF2"/>
    <w:rsid w:val="00A84F92"/>
    <w:rsid w:val="00A94164"/>
    <w:rsid w:val="00A9614D"/>
    <w:rsid w:val="00A96E33"/>
    <w:rsid w:val="00AA0D75"/>
    <w:rsid w:val="00AA26A8"/>
    <w:rsid w:val="00AA6406"/>
    <w:rsid w:val="00AB1AC6"/>
    <w:rsid w:val="00AC0159"/>
    <w:rsid w:val="00AC07D2"/>
    <w:rsid w:val="00AC48B0"/>
    <w:rsid w:val="00AC694D"/>
    <w:rsid w:val="00AD4816"/>
    <w:rsid w:val="00AD5032"/>
    <w:rsid w:val="00AE1455"/>
    <w:rsid w:val="00AE1D39"/>
    <w:rsid w:val="00AE46CA"/>
    <w:rsid w:val="00AE482C"/>
    <w:rsid w:val="00AE734C"/>
    <w:rsid w:val="00AF1126"/>
    <w:rsid w:val="00B0728F"/>
    <w:rsid w:val="00B07908"/>
    <w:rsid w:val="00B14397"/>
    <w:rsid w:val="00B23596"/>
    <w:rsid w:val="00B25A0F"/>
    <w:rsid w:val="00B26F1C"/>
    <w:rsid w:val="00B26F7C"/>
    <w:rsid w:val="00B27C19"/>
    <w:rsid w:val="00B31B98"/>
    <w:rsid w:val="00B32C58"/>
    <w:rsid w:val="00B42D69"/>
    <w:rsid w:val="00B43F42"/>
    <w:rsid w:val="00B44161"/>
    <w:rsid w:val="00B550D4"/>
    <w:rsid w:val="00B55AE5"/>
    <w:rsid w:val="00B60B2D"/>
    <w:rsid w:val="00B6496D"/>
    <w:rsid w:val="00B71681"/>
    <w:rsid w:val="00B72899"/>
    <w:rsid w:val="00B735AC"/>
    <w:rsid w:val="00B73896"/>
    <w:rsid w:val="00B81D2A"/>
    <w:rsid w:val="00B8304E"/>
    <w:rsid w:val="00B87E67"/>
    <w:rsid w:val="00B913C5"/>
    <w:rsid w:val="00B915BD"/>
    <w:rsid w:val="00B9291D"/>
    <w:rsid w:val="00B940B2"/>
    <w:rsid w:val="00B95AD2"/>
    <w:rsid w:val="00BA05D2"/>
    <w:rsid w:val="00BA597D"/>
    <w:rsid w:val="00BA6FA0"/>
    <w:rsid w:val="00BA72EC"/>
    <w:rsid w:val="00BB08B1"/>
    <w:rsid w:val="00BC14E5"/>
    <w:rsid w:val="00BC45F6"/>
    <w:rsid w:val="00BD3DDF"/>
    <w:rsid w:val="00BD69DF"/>
    <w:rsid w:val="00BD71CE"/>
    <w:rsid w:val="00BD7497"/>
    <w:rsid w:val="00BE0D80"/>
    <w:rsid w:val="00BE1E6E"/>
    <w:rsid w:val="00BE2E43"/>
    <w:rsid w:val="00BE7351"/>
    <w:rsid w:val="00BF3E13"/>
    <w:rsid w:val="00BF5513"/>
    <w:rsid w:val="00BF632E"/>
    <w:rsid w:val="00C01BC1"/>
    <w:rsid w:val="00C029A5"/>
    <w:rsid w:val="00C04DF9"/>
    <w:rsid w:val="00C06F8A"/>
    <w:rsid w:val="00C1087F"/>
    <w:rsid w:val="00C12483"/>
    <w:rsid w:val="00C13FB4"/>
    <w:rsid w:val="00C16AEA"/>
    <w:rsid w:val="00C255AF"/>
    <w:rsid w:val="00C26692"/>
    <w:rsid w:val="00C412FD"/>
    <w:rsid w:val="00C4490A"/>
    <w:rsid w:val="00C463EC"/>
    <w:rsid w:val="00C500EA"/>
    <w:rsid w:val="00C50EF5"/>
    <w:rsid w:val="00C53B3C"/>
    <w:rsid w:val="00C5664C"/>
    <w:rsid w:val="00C627EB"/>
    <w:rsid w:val="00C708E9"/>
    <w:rsid w:val="00C80957"/>
    <w:rsid w:val="00C8106E"/>
    <w:rsid w:val="00C818F2"/>
    <w:rsid w:val="00C82183"/>
    <w:rsid w:val="00C83271"/>
    <w:rsid w:val="00C84296"/>
    <w:rsid w:val="00C85012"/>
    <w:rsid w:val="00C85212"/>
    <w:rsid w:val="00C85422"/>
    <w:rsid w:val="00C85FD4"/>
    <w:rsid w:val="00C86250"/>
    <w:rsid w:val="00C9080F"/>
    <w:rsid w:val="00C945D4"/>
    <w:rsid w:val="00C96D67"/>
    <w:rsid w:val="00CA096E"/>
    <w:rsid w:val="00CA71A8"/>
    <w:rsid w:val="00CB1745"/>
    <w:rsid w:val="00CB244F"/>
    <w:rsid w:val="00CB7D17"/>
    <w:rsid w:val="00CC51AB"/>
    <w:rsid w:val="00CC7342"/>
    <w:rsid w:val="00CD0ADC"/>
    <w:rsid w:val="00CD13D7"/>
    <w:rsid w:val="00CD1828"/>
    <w:rsid w:val="00CD4C85"/>
    <w:rsid w:val="00CE0621"/>
    <w:rsid w:val="00CE189C"/>
    <w:rsid w:val="00CE4DF9"/>
    <w:rsid w:val="00CF5F8B"/>
    <w:rsid w:val="00D05F3C"/>
    <w:rsid w:val="00D0705D"/>
    <w:rsid w:val="00D11653"/>
    <w:rsid w:val="00D1206F"/>
    <w:rsid w:val="00D127D1"/>
    <w:rsid w:val="00D148FC"/>
    <w:rsid w:val="00D1582C"/>
    <w:rsid w:val="00D21508"/>
    <w:rsid w:val="00D22633"/>
    <w:rsid w:val="00D239ED"/>
    <w:rsid w:val="00D23AD2"/>
    <w:rsid w:val="00D23B29"/>
    <w:rsid w:val="00D24BA5"/>
    <w:rsid w:val="00D31C1F"/>
    <w:rsid w:val="00D32E0B"/>
    <w:rsid w:val="00D343D3"/>
    <w:rsid w:val="00D43E4E"/>
    <w:rsid w:val="00D464BD"/>
    <w:rsid w:val="00D4663F"/>
    <w:rsid w:val="00D47145"/>
    <w:rsid w:val="00D52620"/>
    <w:rsid w:val="00D626BC"/>
    <w:rsid w:val="00D63476"/>
    <w:rsid w:val="00D6405D"/>
    <w:rsid w:val="00D74695"/>
    <w:rsid w:val="00D76E5C"/>
    <w:rsid w:val="00D771F0"/>
    <w:rsid w:val="00D83FF0"/>
    <w:rsid w:val="00D86D13"/>
    <w:rsid w:val="00D87A99"/>
    <w:rsid w:val="00D9690D"/>
    <w:rsid w:val="00DA073C"/>
    <w:rsid w:val="00DA20DF"/>
    <w:rsid w:val="00DA3402"/>
    <w:rsid w:val="00DA3AF2"/>
    <w:rsid w:val="00DA3CC0"/>
    <w:rsid w:val="00DB0BFB"/>
    <w:rsid w:val="00DB2B0F"/>
    <w:rsid w:val="00DB3AEF"/>
    <w:rsid w:val="00DB4F37"/>
    <w:rsid w:val="00DB67AC"/>
    <w:rsid w:val="00DB7A16"/>
    <w:rsid w:val="00DC177B"/>
    <w:rsid w:val="00DC3383"/>
    <w:rsid w:val="00DC55B2"/>
    <w:rsid w:val="00DD3548"/>
    <w:rsid w:val="00DD508B"/>
    <w:rsid w:val="00DE204A"/>
    <w:rsid w:val="00DE277A"/>
    <w:rsid w:val="00DE4C43"/>
    <w:rsid w:val="00DE6329"/>
    <w:rsid w:val="00E03284"/>
    <w:rsid w:val="00E16D31"/>
    <w:rsid w:val="00E2416B"/>
    <w:rsid w:val="00E329B4"/>
    <w:rsid w:val="00E32C0F"/>
    <w:rsid w:val="00E33AC3"/>
    <w:rsid w:val="00E35DBD"/>
    <w:rsid w:val="00E37BB8"/>
    <w:rsid w:val="00E417B1"/>
    <w:rsid w:val="00E530F9"/>
    <w:rsid w:val="00E6095C"/>
    <w:rsid w:val="00E651C7"/>
    <w:rsid w:val="00E700C5"/>
    <w:rsid w:val="00E71175"/>
    <w:rsid w:val="00E762E9"/>
    <w:rsid w:val="00E84E04"/>
    <w:rsid w:val="00E87A6F"/>
    <w:rsid w:val="00E903FD"/>
    <w:rsid w:val="00E90D4F"/>
    <w:rsid w:val="00E917D4"/>
    <w:rsid w:val="00E941A9"/>
    <w:rsid w:val="00E9758F"/>
    <w:rsid w:val="00EA0927"/>
    <w:rsid w:val="00EA7842"/>
    <w:rsid w:val="00EA7F01"/>
    <w:rsid w:val="00EB12FB"/>
    <w:rsid w:val="00EB5B41"/>
    <w:rsid w:val="00EB5B4E"/>
    <w:rsid w:val="00EC31B1"/>
    <w:rsid w:val="00EC42A4"/>
    <w:rsid w:val="00EC5201"/>
    <w:rsid w:val="00EC5AC4"/>
    <w:rsid w:val="00EC5D73"/>
    <w:rsid w:val="00ED2DD4"/>
    <w:rsid w:val="00ED64BC"/>
    <w:rsid w:val="00EE212F"/>
    <w:rsid w:val="00EE3DC2"/>
    <w:rsid w:val="00EE6293"/>
    <w:rsid w:val="00EF2326"/>
    <w:rsid w:val="00F00384"/>
    <w:rsid w:val="00F03190"/>
    <w:rsid w:val="00F037D3"/>
    <w:rsid w:val="00F04492"/>
    <w:rsid w:val="00F044B0"/>
    <w:rsid w:val="00F04521"/>
    <w:rsid w:val="00F04C6B"/>
    <w:rsid w:val="00F15AC3"/>
    <w:rsid w:val="00F17B3E"/>
    <w:rsid w:val="00F21768"/>
    <w:rsid w:val="00F23450"/>
    <w:rsid w:val="00F24815"/>
    <w:rsid w:val="00F263BE"/>
    <w:rsid w:val="00F269F5"/>
    <w:rsid w:val="00F35722"/>
    <w:rsid w:val="00F361A1"/>
    <w:rsid w:val="00F40107"/>
    <w:rsid w:val="00F42DFB"/>
    <w:rsid w:val="00F50FC8"/>
    <w:rsid w:val="00F512F5"/>
    <w:rsid w:val="00F53822"/>
    <w:rsid w:val="00F53DC9"/>
    <w:rsid w:val="00F54CFB"/>
    <w:rsid w:val="00F6224F"/>
    <w:rsid w:val="00F62643"/>
    <w:rsid w:val="00F63EEF"/>
    <w:rsid w:val="00F66EEC"/>
    <w:rsid w:val="00F73EF6"/>
    <w:rsid w:val="00F73FBE"/>
    <w:rsid w:val="00F74A57"/>
    <w:rsid w:val="00F766F8"/>
    <w:rsid w:val="00F77415"/>
    <w:rsid w:val="00F813CF"/>
    <w:rsid w:val="00F83772"/>
    <w:rsid w:val="00F92C8C"/>
    <w:rsid w:val="00F92CCC"/>
    <w:rsid w:val="00F9528E"/>
    <w:rsid w:val="00F96CCA"/>
    <w:rsid w:val="00FB0523"/>
    <w:rsid w:val="00FB25B3"/>
    <w:rsid w:val="00FB4772"/>
    <w:rsid w:val="00FB688A"/>
    <w:rsid w:val="00FC0507"/>
    <w:rsid w:val="00FC1043"/>
    <w:rsid w:val="00FC4918"/>
    <w:rsid w:val="00FD050B"/>
    <w:rsid w:val="00FD500A"/>
    <w:rsid w:val="00FE0FC4"/>
    <w:rsid w:val="00FE16F6"/>
    <w:rsid w:val="00FE6328"/>
    <w:rsid w:val="00FF1515"/>
    <w:rsid w:val="00FF2251"/>
    <w:rsid w:val="00FF253B"/>
    <w:rsid w:val="00FF435E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7105"/>
    <o:shapelayout v:ext="edit">
      <o:idmap v:ext="edit" data="1"/>
    </o:shapelayout>
  </w:shapeDefaults>
  <w:decimalSymbol w:val=","/>
  <w:listSeparator w:val=";"/>
  <w14:docId w14:val="0A12E0FD"/>
  <w15:docId w15:val="{BD0B0EB5-DA9B-4345-AFC9-77EBF899B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8394D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18394D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18394D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18394D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CE4DF9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CE4DF9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CE4DF9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1839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E4DF9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18394D"/>
    <w:rPr>
      <w:b/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18394D"/>
    <w:pPr>
      <w:tabs>
        <w:tab w:val="center" w:pos="4703"/>
        <w:tab w:val="right" w:pos="9406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CE4DF9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basedOn w:val="Predvolenpsmoodseku"/>
    <w:uiPriority w:val="99"/>
    <w:rsid w:val="0018394D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18394D"/>
    <w:pPr>
      <w:jc w:val="both"/>
    </w:pPr>
    <w:rPr>
      <w:rFonts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18394D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18394D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18394D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18394D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18394D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E4DF9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basedOn w:val="Predvolenpsmoodseku"/>
    <w:uiPriority w:val="99"/>
    <w:semiHidden/>
    <w:rsid w:val="0018394D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8394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CE4DF9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8394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CE4DF9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E4DF9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basedOn w:val="Predvolenpsmoodseku"/>
    <w:uiPriority w:val="99"/>
    <w:rsid w:val="0091401F"/>
    <w:rPr>
      <w:rFonts w:cs="Times New Roman"/>
      <w:vertAlign w:val="superscript"/>
    </w:rPr>
  </w:style>
  <w:style w:type="character" w:styleId="Zstupntext">
    <w:name w:val="Placeholder Text"/>
    <w:basedOn w:val="Predvolenpsmoodseku"/>
    <w:uiPriority w:val="99"/>
    <w:semiHidden/>
    <w:rsid w:val="00F04521"/>
    <w:rPr>
      <w:color w:val="808080"/>
    </w:rPr>
  </w:style>
  <w:style w:type="paragraph" w:styleId="Odsekzoznamu">
    <w:name w:val="List Paragraph"/>
    <w:basedOn w:val="Normlny"/>
    <w:uiPriority w:val="34"/>
    <w:qFormat/>
    <w:rsid w:val="00462B91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443E4F"/>
    <w:pPr>
      <w:spacing w:before="180"/>
    </w:pPr>
    <w:rPr>
      <w:rFonts w:ascii="Times New Roman" w:hAnsi="Times New Roman"/>
      <w:lang w:eastAsia="sk-SK"/>
    </w:rPr>
  </w:style>
  <w:style w:type="paragraph" w:customStyle="1" w:styleId="TabletextrowsAgency">
    <w:name w:val="Table text rows (Agency)"/>
    <w:basedOn w:val="Normlny"/>
    <w:rsid w:val="00CA71A8"/>
    <w:pPr>
      <w:spacing w:line="280" w:lineRule="exact"/>
    </w:pPr>
    <w:rPr>
      <w:rFonts w:ascii="Verdana" w:hAnsi="Verdana" w:cs="Verdana"/>
      <w:sz w:val="18"/>
      <w:szCs w:val="18"/>
      <w:lang w:eastAsia="sk-SK" w:bidi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ema.europa.eu/docs/en_GB/document_library/Template_or_form/2013/03/WC500139752.doc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C0B16-536E-4534-B9FA-D3A39A49ED9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90512E6-836C-43B7-8C00-CE197598A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21</Pages>
  <Words>7616</Words>
  <Characters>43416</Characters>
  <Application>Microsoft Office Word</Application>
  <DocSecurity>0</DocSecurity>
  <Lines>361</Lines>
  <Paragraphs>101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Organon Standard SmPc</vt:lpstr>
      <vt:lpstr>Organon Standard SmPc</vt:lpstr>
    </vt:vector>
  </TitlesOfParts>
  <Company>Hewlett-Packard</Company>
  <LinksUpToDate>false</LinksUpToDate>
  <CharactersWithSpaces>50931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Organon Standard SmPc</dc:title>
  <dc:creator>Dana Ťažká</dc:creator>
  <cp:lastModifiedBy>Kristína Ráczová</cp:lastModifiedBy>
  <cp:revision>170</cp:revision>
  <cp:lastPrinted>2013-03-01T07:40:00Z</cp:lastPrinted>
  <dcterms:created xsi:type="dcterms:W3CDTF">2018-04-04T05:37:00Z</dcterms:created>
  <dcterms:modified xsi:type="dcterms:W3CDTF">2019-03-12T08:38:00Z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2972c370-11e5-4f4e-a1ab-1e57e72c28f9</vt:lpwstr>
  </property>
  <property fmtid="{D5CDD505-2E9C-101B-9397-08002B2CF9AE}" pid="4" name="bjSaver">
    <vt:lpwstr>KTEuNHwiosozlakBEZdpqYGfkG05MS+t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</Properties>
</file>