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38C303" w14:textId="77777777" w:rsidR="001F08FE" w:rsidRPr="00EE5FF7" w:rsidRDefault="001F08FE" w:rsidP="001F4ACA">
      <w:pPr>
        <w:jc w:val="center"/>
      </w:pPr>
      <w:bookmarkStart w:id="0" w:name="_GoBack"/>
      <w:bookmarkEnd w:id="0"/>
      <w:r w:rsidRPr="001F4ACA">
        <w:rPr>
          <w:b/>
        </w:rPr>
        <w:t>SÚHRN CHARAKTERISTICKÝCH VLASTNOSTÍ LIEKU</w:t>
      </w:r>
    </w:p>
    <w:p w14:paraId="039DF6E7" w14:textId="77777777" w:rsidR="001F08FE" w:rsidRPr="000059C9" w:rsidRDefault="001F08FE">
      <w:pPr>
        <w:adjustRightInd w:val="0"/>
        <w:snapToGrid w:val="0"/>
        <w:rPr>
          <w:szCs w:val="22"/>
        </w:rPr>
      </w:pPr>
    </w:p>
    <w:p w14:paraId="5E15A0DB" w14:textId="77777777" w:rsidR="001F08FE" w:rsidRPr="000059C9" w:rsidRDefault="001F08FE">
      <w:pPr>
        <w:adjustRightInd w:val="0"/>
        <w:snapToGrid w:val="0"/>
        <w:rPr>
          <w:szCs w:val="22"/>
        </w:rPr>
      </w:pPr>
    </w:p>
    <w:p w14:paraId="7EC8E073" w14:textId="77777777" w:rsidR="001F08FE" w:rsidRPr="001F4ACA" w:rsidRDefault="001F08FE" w:rsidP="001F4ACA">
      <w:pPr>
        <w:rPr>
          <w:b/>
          <w:szCs w:val="22"/>
        </w:rPr>
      </w:pPr>
      <w:r w:rsidRPr="001F4ACA">
        <w:rPr>
          <w:b/>
          <w:szCs w:val="22"/>
        </w:rPr>
        <w:t>1.</w:t>
      </w:r>
      <w:r w:rsidRPr="001F4ACA">
        <w:rPr>
          <w:b/>
          <w:szCs w:val="22"/>
        </w:rPr>
        <w:tab/>
        <w:t>NÁZOV LIEKU</w:t>
      </w:r>
    </w:p>
    <w:p w14:paraId="7B579562" w14:textId="77777777" w:rsidR="001F08FE" w:rsidRPr="00EE5FF7" w:rsidRDefault="001F08FE" w:rsidP="001F4ACA"/>
    <w:p w14:paraId="6A0AC94F" w14:textId="19388CD0" w:rsidR="001F08FE" w:rsidRPr="000059C9" w:rsidRDefault="007D1058">
      <w:pPr>
        <w:adjustRightInd w:val="0"/>
        <w:snapToGrid w:val="0"/>
        <w:rPr>
          <w:szCs w:val="22"/>
        </w:rPr>
      </w:pPr>
      <w:r w:rsidRPr="000059C9">
        <w:rPr>
          <w:szCs w:val="22"/>
        </w:rPr>
        <w:t>Etonogestrel/Ethinylestradiol Mithra</w:t>
      </w:r>
      <w:r w:rsidR="000059C9">
        <w:rPr>
          <w:szCs w:val="22"/>
        </w:rPr>
        <w:t xml:space="preserve"> </w:t>
      </w:r>
      <w:r w:rsidR="001F08FE" w:rsidRPr="000059C9">
        <w:rPr>
          <w:szCs w:val="22"/>
        </w:rPr>
        <w:t>0,120</w:t>
      </w:r>
      <w:r w:rsidR="001F08FE" w:rsidRPr="000059C9">
        <w:rPr>
          <w:bCs/>
          <w:szCs w:val="22"/>
        </w:rPr>
        <w:t> </w:t>
      </w:r>
      <w:r w:rsidR="001F08FE" w:rsidRPr="000059C9">
        <w:rPr>
          <w:szCs w:val="22"/>
        </w:rPr>
        <w:t>mg/0,015</w:t>
      </w:r>
      <w:r w:rsidR="001F08FE" w:rsidRPr="000059C9">
        <w:rPr>
          <w:bCs/>
          <w:szCs w:val="22"/>
        </w:rPr>
        <w:t> </w:t>
      </w:r>
      <w:r w:rsidR="001F08FE" w:rsidRPr="000059C9">
        <w:rPr>
          <w:szCs w:val="22"/>
        </w:rPr>
        <w:t>mg za 24</w:t>
      </w:r>
      <w:r w:rsidR="001F08FE" w:rsidRPr="000059C9">
        <w:rPr>
          <w:bCs/>
          <w:szCs w:val="22"/>
        </w:rPr>
        <w:t> </w:t>
      </w:r>
      <w:r w:rsidR="001F08FE" w:rsidRPr="000059C9">
        <w:rPr>
          <w:szCs w:val="22"/>
        </w:rPr>
        <w:t>hodín vaginálny inzert</w:t>
      </w:r>
    </w:p>
    <w:p w14:paraId="3AD9CD84" w14:textId="77777777" w:rsidR="001F08FE" w:rsidRPr="000059C9" w:rsidRDefault="001F08FE">
      <w:pPr>
        <w:adjustRightInd w:val="0"/>
        <w:snapToGrid w:val="0"/>
        <w:rPr>
          <w:szCs w:val="22"/>
        </w:rPr>
      </w:pPr>
    </w:p>
    <w:p w14:paraId="50AE176B" w14:textId="77777777" w:rsidR="001F08FE" w:rsidRPr="000059C9" w:rsidRDefault="001F08FE">
      <w:pPr>
        <w:adjustRightInd w:val="0"/>
        <w:snapToGrid w:val="0"/>
        <w:rPr>
          <w:szCs w:val="22"/>
        </w:rPr>
      </w:pPr>
    </w:p>
    <w:p w14:paraId="41C5553D" w14:textId="77777777" w:rsidR="001F08FE" w:rsidRPr="00EE5FF7" w:rsidRDefault="001F08FE" w:rsidP="001F4ACA">
      <w:pPr>
        <w:rPr>
          <w:b/>
        </w:rPr>
      </w:pPr>
      <w:r w:rsidRPr="00EE5FF7">
        <w:rPr>
          <w:b/>
        </w:rPr>
        <w:t>2.</w:t>
      </w:r>
      <w:r w:rsidRPr="00EE5FF7">
        <w:rPr>
          <w:b/>
        </w:rPr>
        <w:tab/>
        <w:t>KVALITATÍVNE A KVANTITATÍVNE ZLOŽENIE</w:t>
      </w:r>
    </w:p>
    <w:p w14:paraId="4A63D82E" w14:textId="77777777" w:rsidR="001F08FE" w:rsidRPr="001F4ACA" w:rsidRDefault="001F08FE" w:rsidP="001F4ACA"/>
    <w:p w14:paraId="73694070" w14:textId="77777777" w:rsidR="001F08FE" w:rsidRPr="000059C9" w:rsidRDefault="007D1058">
      <w:pPr>
        <w:pStyle w:val="Zarkazkladnhotextu3"/>
        <w:adjustRightInd w:val="0"/>
        <w:snapToGrid w:val="0"/>
        <w:ind w:left="0"/>
        <w:rPr>
          <w:rFonts w:cs="Times New Roman"/>
          <w:bCs/>
          <w:sz w:val="22"/>
          <w:szCs w:val="22"/>
        </w:rPr>
      </w:pPr>
      <w:r w:rsidRPr="000059C9">
        <w:rPr>
          <w:rFonts w:cs="Times New Roman"/>
          <w:bCs/>
          <w:sz w:val="22"/>
          <w:szCs w:val="22"/>
        </w:rPr>
        <w:t>Etonogestrel/Ethinylestradiol Mithra</w:t>
      </w:r>
      <w:r w:rsidR="001F08FE" w:rsidRPr="000059C9">
        <w:rPr>
          <w:rFonts w:cs="Times New Roman"/>
          <w:bCs/>
          <w:sz w:val="22"/>
          <w:szCs w:val="22"/>
        </w:rPr>
        <w:t xml:space="preserve"> obsahuje 11,7 mg etonogestrelu a 2,7 mg etinylestradiolu. Krúžok uvoľňuje za 24 hodín v priemere 0,120 mg etonogestrelu a 0,015 mg etinylestradiolu počas obdobia 3 týždňov.</w:t>
      </w:r>
    </w:p>
    <w:p w14:paraId="27D9FFD3" w14:textId="77777777" w:rsidR="001F08FE" w:rsidRPr="000059C9" w:rsidRDefault="001F08FE">
      <w:pPr>
        <w:adjustRightInd w:val="0"/>
        <w:snapToGrid w:val="0"/>
        <w:rPr>
          <w:bCs/>
          <w:szCs w:val="22"/>
        </w:rPr>
      </w:pPr>
    </w:p>
    <w:p w14:paraId="7138144C" w14:textId="77777777" w:rsidR="001F08FE" w:rsidRPr="000059C9" w:rsidRDefault="001F08FE">
      <w:pPr>
        <w:adjustRightInd w:val="0"/>
        <w:snapToGrid w:val="0"/>
        <w:rPr>
          <w:bCs/>
          <w:szCs w:val="22"/>
        </w:rPr>
      </w:pPr>
      <w:bookmarkStart w:id="1" w:name="OLE_LINK1"/>
      <w:r w:rsidRPr="000059C9">
        <w:rPr>
          <w:szCs w:val="22"/>
        </w:rPr>
        <w:t>Úplný zoznam pomocných látok, pozri časť</w:t>
      </w:r>
      <w:r w:rsidRPr="000059C9">
        <w:rPr>
          <w:bCs/>
          <w:szCs w:val="22"/>
        </w:rPr>
        <w:t> </w:t>
      </w:r>
      <w:r w:rsidRPr="000059C9">
        <w:rPr>
          <w:szCs w:val="22"/>
        </w:rPr>
        <w:t>6.1.</w:t>
      </w:r>
      <w:bookmarkEnd w:id="1"/>
    </w:p>
    <w:p w14:paraId="0F6F8EDD" w14:textId="77777777" w:rsidR="001F08FE" w:rsidRPr="000059C9" w:rsidRDefault="001F08FE">
      <w:pPr>
        <w:adjustRightInd w:val="0"/>
        <w:snapToGrid w:val="0"/>
        <w:rPr>
          <w:szCs w:val="22"/>
        </w:rPr>
      </w:pPr>
    </w:p>
    <w:p w14:paraId="45C87373" w14:textId="77777777" w:rsidR="001F08FE" w:rsidRPr="000059C9" w:rsidRDefault="001F08FE">
      <w:pPr>
        <w:adjustRightInd w:val="0"/>
        <w:snapToGrid w:val="0"/>
        <w:rPr>
          <w:szCs w:val="22"/>
        </w:rPr>
      </w:pPr>
    </w:p>
    <w:p w14:paraId="3601E156" w14:textId="77777777" w:rsidR="001F08FE" w:rsidRPr="00EE5FF7" w:rsidRDefault="001F08FE" w:rsidP="001F4ACA">
      <w:pPr>
        <w:rPr>
          <w:b/>
        </w:rPr>
      </w:pPr>
      <w:r w:rsidRPr="00EE5FF7">
        <w:rPr>
          <w:b/>
        </w:rPr>
        <w:t>3.</w:t>
      </w:r>
      <w:r w:rsidRPr="00EE5FF7">
        <w:rPr>
          <w:b/>
        </w:rPr>
        <w:tab/>
        <w:t>LIEKOVÁ FORMA</w:t>
      </w:r>
    </w:p>
    <w:p w14:paraId="012E82ED" w14:textId="77777777" w:rsidR="001F08FE" w:rsidRPr="001F4ACA" w:rsidRDefault="001F08FE" w:rsidP="001F4ACA"/>
    <w:p w14:paraId="70617A0A" w14:textId="77777777" w:rsidR="001F08FE" w:rsidRPr="000059C9" w:rsidRDefault="001F08FE">
      <w:pPr>
        <w:adjustRightInd w:val="0"/>
        <w:snapToGrid w:val="0"/>
        <w:rPr>
          <w:bCs/>
          <w:szCs w:val="22"/>
        </w:rPr>
      </w:pPr>
      <w:r w:rsidRPr="000059C9">
        <w:rPr>
          <w:bCs/>
          <w:szCs w:val="22"/>
        </w:rPr>
        <w:t>V</w:t>
      </w:r>
      <w:r w:rsidRPr="000059C9">
        <w:rPr>
          <w:szCs w:val="22"/>
        </w:rPr>
        <w:t>aginálny inzert.</w:t>
      </w:r>
    </w:p>
    <w:p w14:paraId="6693B776" w14:textId="77777777" w:rsidR="001F08FE" w:rsidRPr="000059C9" w:rsidRDefault="001F08FE">
      <w:pPr>
        <w:pStyle w:val="Zarkazkladnhotextu3"/>
        <w:adjustRightInd w:val="0"/>
        <w:snapToGrid w:val="0"/>
        <w:ind w:left="0"/>
        <w:rPr>
          <w:rFonts w:cs="Times New Roman"/>
          <w:bCs/>
          <w:sz w:val="22"/>
          <w:szCs w:val="22"/>
        </w:rPr>
      </w:pPr>
    </w:p>
    <w:p w14:paraId="4BF2098D" w14:textId="77777777" w:rsidR="001F08FE" w:rsidRPr="000059C9" w:rsidRDefault="007D1058">
      <w:pPr>
        <w:pStyle w:val="Zarkazkladnhotextu3"/>
        <w:adjustRightInd w:val="0"/>
        <w:snapToGrid w:val="0"/>
        <w:ind w:left="0"/>
        <w:rPr>
          <w:rFonts w:cs="Times New Roman"/>
          <w:bCs/>
          <w:sz w:val="22"/>
          <w:szCs w:val="22"/>
        </w:rPr>
      </w:pPr>
      <w:r w:rsidRPr="000059C9">
        <w:rPr>
          <w:rFonts w:cs="Times New Roman"/>
          <w:bCs/>
          <w:sz w:val="22"/>
          <w:szCs w:val="22"/>
        </w:rPr>
        <w:t>Etonogestrel/Ethinylestradiol Mithra</w:t>
      </w:r>
      <w:r w:rsidR="001F08FE" w:rsidRPr="000059C9">
        <w:rPr>
          <w:rFonts w:cs="Times New Roman"/>
          <w:bCs/>
          <w:sz w:val="22"/>
          <w:szCs w:val="22"/>
        </w:rPr>
        <w:t xml:space="preserve"> je flexibilný, priehľadný a bezfarebný až takmer bezfarebný krúžok s vonkajším priemerom </w:t>
      </w:r>
      <w:smartTag w:uri="urn:schemas-microsoft-com:office:smarttags" w:element="metricconverter">
        <w:smartTagPr>
          <w:attr w:name="ProductID" w:val="54 mm"/>
        </w:smartTagPr>
        <w:r w:rsidR="001F08FE" w:rsidRPr="000059C9">
          <w:rPr>
            <w:rFonts w:cs="Times New Roman"/>
            <w:bCs/>
            <w:sz w:val="22"/>
            <w:szCs w:val="22"/>
          </w:rPr>
          <w:t>54 mm</w:t>
        </w:r>
      </w:smartTag>
      <w:r w:rsidR="001F08FE" w:rsidRPr="000059C9">
        <w:rPr>
          <w:rFonts w:cs="Times New Roman"/>
          <w:bCs/>
          <w:sz w:val="22"/>
          <w:szCs w:val="22"/>
        </w:rPr>
        <w:t xml:space="preserve"> a priemerom v priereze </w:t>
      </w:r>
      <w:smartTag w:uri="urn:schemas-microsoft-com:office:smarttags" w:element="metricconverter">
        <w:smartTagPr>
          <w:attr w:name="ProductID" w:val="4 mm"/>
        </w:smartTagPr>
        <w:r w:rsidR="001F08FE" w:rsidRPr="000059C9">
          <w:rPr>
            <w:rFonts w:cs="Times New Roman"/>
            <w:bCs/>
            <w:sz w:val="22"/>
            <w:szCs w:val="22"/>
          </w:rPr>
          <w:t>4 mm</w:t>
        </w:r>
      </w:smartTag>
      <w:r w:rsidR="001F08FE" w:rsidRPr="000059C9">
        <w:rPr>
          <w:rFonts w:cs="Times New Roman"/>
          <w:bCs/>
          <w:sz w:val="22"/>
          <w:szCs w:val="22"/>
        </w:rPr>
        <w:t>.</w:t>
      </w:r>
    </w:p>
    <w:p w14:paraId="1F653E57" w14:textId="77777777" w:rsidR="001F08FE" w:rsidRPr="000059C9" w:rsidRDefault="001F08FE">
      <w:pPr>
        <w:adjustRightInd w:val="0"/>
        <w:snapToGrid w:val="0"/>
        <w:rPr>
          <w:b/>
          <w:szCs w:val="22"/>
        </w:rPr>
      </w:pPr>
    </w:p>
    <w:p w14:paraId="0A155A76" w14:textId="77777777" w:rsidR="001F08FE" w:rsidRPr="000059C9" w:rsidRDefault="001F08FE">
      <w:pPr>
        <w:adjustRightInd w:val="0"/>
        <w:snapToGrid w:val="0"/>
        <w:rPr>
          <w:b/>
          <w:szCs w:val="22"/>
        </w:rPr>
      </w:pPr>
    </w:p>
    <w:p w14:paraId="703C25F3" w14:textId="77777777" w:rsidR="001F08FE" w:rsidRPr="00EE5FF7" w:rsidRDefault="001F08FE" w:rsidP="001F4ACA">
      <w:pPr>
        <w:rPr>
          <w:b/>
        </w:rPr>
      </w:pPr>
      <w:r w:rsidRPr="00EE5FF7">
        <w:rPr>
          <w:b/>
        </w:rPr>
        <w:t>4.</w:t>
      </w:r>
      <w:r w:rsidRPr="00EE5FF7">
        <w:rPr>
          <w:b/>
        </w:rPr>
        <w:tab/>
        <w:t>KLINICKÉ ÚDAJE</w:t>
      </w:r>
    </w:p>
    <w:p w14:paraId="4E88C740" w14:textId="77777777" w:rsidR="001F08FE" w:rsidRPr="001F4ACA" w:rsidRDefault="001F08FE" w:rsidP="001F4ACA"/>
    <w:p w14:paraId="7050B259" w14:textId="77777777" w:rsidR="001F08FE" w:rsidRPr="00EE5FF7" w:rsidRDefault="001F08FE" w:rsidP="001F4ACA">
      <w:pPr>
        <w:rPr>
          <w:b/>
        </w:rPr>
      </w:pPr>
      <w:r w:rsidRPr="00EE5FF7">
        <w:rPr>
          <w:b/>
        </w:rPr>
        <w:t>4.1</w:t>
      </w:r>
      <w:r w:rsidRPr="00EE5FF7">
        <w:rPr>
          <w:b/>
        </w:rPr>
        <w:tab/>
        <w:t>Terapeutické indikácie</w:t>
      </w:r>
    </w:p>
    <w:p w14:paraId="62D6E0D6" w14:textId="77777777" w:rsidR="001F08FE" w:rsidRPr="001F4ACA" w:rsidRDefault="001F08FE" w:rsidP="001F4ACA">
      <w:pPr>
        <w:rPr>
          <w:bCs/>
        </w:rPr>
      </w:pPr>
    </w:p>
    <w:p w14:paraId="687C7025" w14:textId="77777777" w:rsidR="001F08FE" w:rsidRPr="000059C9" w:rsidRDefault="001F08FE">
      <w:pPr>
        <w:adjustRightInd w:val="0"/>
        <w:snapToGrid w:val="0"/>
        <w:rPr>
          <w:bCs/>
          <w:szCs w:val="22"/>
        </w:rPr>
      </w:pPr>
      <w:r w:rsidRPr="000059C9">
        <w:rPr>
          <w:bCs/>
          <w:szCs w:val="22"/>
        </w:rPr>
        <w:t>Kontraceptívum.</w:t>
      </w:r>
    </w:p>
    <w:p w14:paraId="08E725B2" w14:textId="77777777" w:rsidR="001F08FE" w:rsidRPr="000059C9" w:rsidRDefault="001F08FE">
      <w:pPr>
        <w:adjustRightInd w:val="0"/>
        <w:snapToGrid w:val="0"/>
        <w:rPr>
          <w:bCs/>
          <w:szCs w:val="22"/>
        </w:rPr>
      </w:pPr>
    </w:p>
    <w:p w14:paraId="269DC082" w14:textId="77777777" w:rsidR="001F08FE" w:rsidRPr="000059C9" w:rsidRDefault="007D1058">
      <w:pPr>
        <w:adjustRightInd w:val="0"/>
        <w:snapToGrid w:val="0"/>
        <w:rPr>
          <w:bCs/>
          <w:szCs w:val="22"/>
        </w:rPr>
      </w:pPr>
      <w:r w:rsidRPr="000059C9">
        <w:rPr>
          <w:bCs/>
          <w:szCs w:val="22"/>
        </w:rPr>
        <w:t>Etonogestrel/Ethinylestradiol Mithra</w:t>
      </w:r>
      <w:r w:rsidR="001F08FE" w:rsidRPr="000059C9">
        <w:rPr>
          <w:bCs/>
          <w:szCs w:val="22"/>
        </w:rPr>
        <w:t xml:space="preserve"> je určený pre ženy vo fertilnom veku. Bezpečnosť a účinnosť bola preukázaná u žien vo veku 18 až 40 rokov.</w:t>
      </w:r>
    </w:p>
    <w:p w14:paraId="0CEF0077" w14:textId="77777777" w:rsidR="001F08FE" w:rsidRPr="000059C9" w:rsidRDefault="001F08FE">
      <w:pPr>
        <w:adjustRightInd w:val="0"/>
        <w:snapToGrid w:val="0"/>
        <w:rPr>
          <w:szCs w:val="22"/>
        </w:rPr>
      </w:pPr>
    </w:p>
    <w:p w14:paraId="47F18269" w14:textId="297EC634" w:rsidR="001F08FE" w:rsidRPr="000059C9" w:rsidRDefault="001F08FE">
      <w:pPr>
        <w:spacing w:line="280" w:lineRule="atLeast"/>
        <w:rPr>
          <w:szCs w:val="22"/>
        </w:rPr>
      </w:pPr>
      <w:r w:rsidRPr="000059C9">
        <w:rPr>
          <w:szCs w:val="22"/>
        </w:rPr>
        <w:t xml:space="preserve">Pri rozhodovaní o predpísaní lieku </w:t>
      </w:r>
      <w:r w:rsidR="007D1058" w:rsidRPr="000059C9">
        <w:rPr>
          <w:szCs w:val="22"/>
        </w:rPr>
        <w:t>Etonogestrel/Ethinylestradiol Mithra</w:t>
      </w:r>
      <w:r w:rsidRPr="000059C9">
        <w:rPr>
          <w:szCs w:val="22"/>
        </w:rPr>
        <w:t xml:space="preserve"> sa majú zvážiť aktuálne rizikové faktory u danej ženy, najmä tie, ktoré sú spojené s venóznou tromboembóliou (VTE), a ako je riziko vzniku VTE pri používaní </w:t>
      </w:r>
      <w:r w:rsidR="007D1058" w:rsidRPr="000059C9">
        <w:rPr>
          <w:szCs w:val="22"/>
        </w:rPr>
        <w:t>Etonogestrel/Ethinylestradiol</w:t>
      </w:r>
      <w:r w:rsidR="00CC3B7A">
        <w:rPr>
          <w:szCs w:val="22"/>
        </w:rPr>
        <w:t>u</w:t>
      </w:r>
      <w:r w:rsidR="007D1058" w:rsidRPr="000059C9">
        <w:rPr>
          <w:szCs w:val="22"/>
        </w:rPr>
        <w:t xml:space="preserve"> Mithra</w:t>
      </w:r>
      <w:r w:rsidRPr="000059C9">
        <w:rPr>
          <w:szCs w:val="22"/>
        </w:rPr>
        <w:t xml:space="preserve"> porovnateľné s iným</w:t>
      </w:r>
      <w:r w:rsidR="00BE7BBC" w:rsidRPr="000059C9">
        <w:rPr>
          <w:szCs w:val="22"/>
        </w:rPr>
        <w:t>i</w:t>
      </w:r>
      <w:r w:rsidRPr="000059C9">
        <w:rPr>
          <w:szCs w:val="22"/>
        </w:rPr>
        <w:t xml:space="preserve"> kombinovaným</w:t>
      </w:r>
      <w:r w:rsidR="00BE7BBC" w:rsidRPr="000059C9">
        <w:rPr>
          <w:szCs w:val="22"/>
        </w:rPr>
        <w:t>i</w:t>
      </w:r>
      <w:r w:rsidRPr="000059C9">
        <w:rPr>
          <w:szCs w:val="22"/>
        </w:rPr>
        <w:t xml:space="preserve"> hormonálnym</w:t>
      </w:r>
      <w:r w:rsidR="00BE7BBC" w:rsidRPr="000059C9">
        <w:rPr>
          <w:szCs w:val="22"/>
        </w:rPr>
        <w:t>i</w:t>
      </w:r>
      <w:r w:rsidRPr="000059C9">
        <w:rPr>
          <w:szCs w:val="22"/>
        </w:rPr>
        <w:t xml:space="preserve"> kontraceptív</w:t>
      </w:r>
      <w:r w:rsidR="00BE7BBC" w:rsidRPr="000059C9">
        <w:rPr>
          <w:szCs w:val="22"/>
        </w:rPr>
        <w:t>ami</w:t>
      </w:r>
      <w:r w:rsidRPr="000059C9">
        <w:rPr>
          <w:szCs w:val="22"/>
        </w:rPr>
        <w:t xml:space="preserve"> (Combined Hormonal Contraceptives, CHC) (pozri časti 4.3 a 4.4).</w:t>
      </w:r>
    </w:p>
    <w:p w14:paraId="1724E44B" w14:textId="77777777" w:rsidR="001F08FE" w:rsidRPr="000059C9" w:rsidRDefault="001F08FE">
      <w:pPr>
        <w:adjustRightInd w:val="0"/>
        <w:snapToGrid w:val="0"/>
        <w:rPr>
          <w:szCs w:val="22"/>
        </w:rPr>
      </w:pPr>
    </w:p>
    <w:p w14:paraId="7D56C52B" w14:textId="77777777" w:rsidR="001F08FE" w:rsidRPr="00EE5FF7" w:rsidRDefault="001F08FE" w:rsidP="001F4ACA">
      <w:pPr>
        <w:rPr>
          <w:b/>
        </w:rPr>
      </w:pPr>
      <w:r w:rsidRPr="00EE5FF7">
        <w:rPr>
          <w:b/>
        </w:rPr>
        <w:t>4.2</w:t>
      </w:r>
      <w:r w:rsidRPr="00EE5FF7">
        <w:rPr>
          <w:b/>
        </w:rPr>
        <w:tab/>
        <w:t>Dávkovanie a spôsob podávania</w:t>
      </w:r>
    </w:p>
    <w:p w14:paraId="04D6FE1B" w14:textId="77777777" w:rsidR="001F08FE" w:rsidRPr="001F4ACA" w:rsidRDefault="001F08FE" w:rsidP="001F4ACA">
      <w:pPr>
        <w:rPr>
          <w:bCs/>
        </w:rPr>
      </w:pPr>
    </w:p>
    <w:p w14:paraId="46DF1279" w14:textId="77777777" w:rsidR="001F08FE" w:rsidRPr="00EE5FF7" w:rsidRDefault="001F08FE" w:rsidP="001F4ACA">
      <w:pPr>
        <w:rPr>
          <w:bCs/>
          <w:u w:val="single"/>
        </w:rPr>
      </w:pPr>
      <w:r w:rsidRPr="00EE5FF7">
        <w:rPr>
          <w:bCs/>
          <w:u w:val="single"/>
        </w:rPr>
        <w:t>Dávkovanie</w:t>
      </w:r>
    </w:p>
    <w:p w14:paraId="76D47C6D" w14:textId="77777777" w:rsidR="001F08FE" w:rsidRPr="001F4ACA" w:rsidRDefault="001F08FE" w:rsidP="001F4ACA">
      <w:pPr>
        <w:rPr>
          <w:bCs/>
        </w:rPr>
      </w:pPr>
    </w:p>
    <w:p w14:paraId="50B664F2" w14:textId="77777777" w:rsidR="001F08FE" w:rsidRPr="000059C9" w:rsidRDefault="001F08FE" w:rsidP="00AD127D">
      <w:pPr>
        <w:adjustRightInd w:val="0"/>
        <w:snapToGrid w:val="0"/>
        <w:rPr>
          <w:bCs/>
          <w:szCs w:val="22"/>
        </w:rPr>
      </w:pPr>
      <w:r w:rsidRPr="000059C9">
        <w:rPr>
          <w:bCs/>
          <w:szCs w:val="22"/>
        </w:rPr>
        <w:t xml:space="preserve">Na dosiahnutie antikoncepčnej účinnosti sa musí </w:t>
      </w:r>
      <w:r w:rsidR="007D1058" w:rsidRPr="000059C9">
        <w:rPr>
          <w:bCs/>
          <w:szCs w:val="22"/>
        </w:rPr>
        <w:t>Etonogestrel/Ethinylestradiol Mithra</w:t>
      </w:r>
      <w:r w:rsidRPr="000059C9">
        <w:rPr>
          <w:bCs/>
          <w:szCs w:val="22"/>
        </w:rPr>
        <w:t xml:space="preserve"> používať podľa pokynov (pozri „</w:t>
      </w:r>
      <w:r w:rsidR="00AD127D" w:rsidRPr="001F4ACA">
        <w:rPr>
          <w:bCs/>
          <w:i/>
          <w:szCs w:val="22"/>
        </w:rPr>
        <w:t xml:space="preserve">Ako používať </w:t>
      </w:r>
      <w:r w:rsidR="007D1058" w:rsidRPr="001F4ACA">
        <w:rPr>
          <w:bCs/>
          <w:i/>
          <w:szCs w:val="22"/>
        </w:rPr>
        <w:t>Etonogestrel/Ethinylestradiol Mithra</w:t>
      </w:r>
      <w:r w:rsidRPr="000059C9">
        <w:rPr>
          <w:bCs/>
          <w:szCs w:val="22"/>
        </w:rPr>
        <w:t>“ a „</w:t>
      </w:r>
      <w:r w:rsidR="00AD127D" w:rsidRPr="001F4ACA">
        <w:rPr>
          <w:bCs/>
          <w:i/>
          <w:szCs w:val="22"/>
        </w:rPr>
        <w:t>Ako začať používať</w:t>
      </w:r>
      <w:r w:rsidRPr="001F4ACA">
        <w:rPr>
          <w:bCs/>
          <w:i/>
          <w:szCs w:val="22"/>
        </w:rPr>
        <w:t xml:space="preserve"> </w:t>
      </w:r>
      <w:r w:rsidR="007D1058" w:rsidRPr="001F4ACA">
        <w:rPr>
          <w:bCs/>
          <w:i/>
          <w:szCs w:val="22"/>
        </w:rPr>
        <w:t>Etonogestrel/Ethinylestradiol Mithra</w:t>
      </w:r>
      <w:r w:rsidRPr="000059C9">
        <w:rPr>
          <w:bCs/>
          <w:szCs w:val="22"/>
        </w:rPr>
        <w:t>“).</w:t>
      </w:r>
    </w:p>
    <w:p w14:paraId="004B81CB" w14:textId="77777777" w:rsidR="001F08FE" w:rsidRPr="000059C9" w:rsidRDefault="001F08FE">
      <w:pPr>
        <w:adjustRightInd w:val="0"/>
        <w:snapToGrid w:val="0"/>
        <w:rPr>
          <w:bCs/>
          <w:szCs w:val="22"/>
        </w:rPr>
      </w:pPr>
    </w:p>
    <w:p w14:paraId="6BBEEF1B" w14:textId="77777777" w:rsidR="000946C5" w:rsidRPr="00EE5FF7" w:rsidRDefault="000946C5" w:rsidP="001F4ACA">
      <w:pPr>
        <w:shd w:val="clear" w:color="auto" w:fill="FFFFFF"/>
        <w:rPr>
          <w:color w:val="000000"/>
          <w:szCs w:val="22"/>
          <w:lang w:eastAsia="sk-SK" w:bidi="sk-SK"/>
        </w:rPr>
      </w:pPr>
      <w:r w:rsidRPr="000059C9">
        <w:rPr>
          <w:rFonts w:eastAsia="Calibri"/>
          <w:i/>
          <w:color w:val="000000"/>
          <w:szCs w:val="22"/>
          <w:lang w:eastAsia="sk-SK" w:bidi="sk-SK"/>
        </w:rPr>
        <w:t xml:space="preserve">Pediatrická populácia </w:t>
      </w:r>
    </w:p>
    <w:p w14:paraId="16E7DF04" w14:textId="56A923FC" w:rsidR="000946C5" w:rsidRPr="00EE5FF7" w:rsidRDefault="000946C5" w:rsidP="001F4ACA">
      <w:pPr>
        <w:shd w:val="clear" w:color="auto" w:fill="FFFFFF"/>
        <w:rPr>
          <w:color w:val="000000"/>
          <w:szCs w:val="22"/>
          <w:lang w:eastAsia="sk-SK" w:bidi="sk-SK"/>
        </w:rPr>
      </w:pPr>
      <w:r w:rsidRPr="000059C9">
        <w:rPr>
          <w:rFonts w:eastAsia="Calibri"/>
          <w:color w:val="000000"/>
          <w:szCs w:val="22"/>
          <w:lang w:eastAsia="sk-SK" w:bidi="sk-SK"/>
        </w:rPr>
        <w:t xml:space="preserve">Bezpečnosť a účinnosť </w:t>
      </w:r>
      <w:r w:rsidRPr="000059C9">
        <w:rPr>
          <w:bCs/>
          <w:szCs w:val="22"/>
        </w:rPr>
        <w:t>Etonogestrel/Ethinylestradiol</w:t>
      </w:r>
      <w:r w:rsidR="00CC3B7A">
        <w:rPr>
          <w:bCs/>
          <w:szCs w:val="22"/>
        </w:rPr>
        <w:t>u</w:t>
      </w:r>
      <w:r w:rsidRPr="000059C9">
        <w:rPr>
          <w:bCs/>
          <w:szCs w:val="22"/>
        </w:rPr>
        <w:t xml:space="preserve"> Mithra</w:t>
      </w:r>
      <w:r w:rsidRPr="000059C9">
        <w:rPr>
          <w:rFonts w:eastAsia="Calibri"/>
          <w:color w:val="000000"/>
          <w:szCs w:val="22"/>
          <w:lang w:eastAsia="sk-SK" w:bidi="sk-SK"/>
        </w:rPr>
        <w:t xml:space="preserve"> u adolescentov mladších ako 18 rokov nebola stanovená. K dispozícii nie sú žiadne údaje. </w:t>
      </w:r>
    </w:p>
    <w:p w14:paraId="58635639" w14:textId="77777777" w:rsidR="001F08FE" w:rsidRPr="000059C9" w:rsidRDefault="001F08FE">
      <w:pPr>
        <w:adjustRightInd w:val="0"/>
        <w:snapToGrid w:val="0"/>
        <w:rPr>
          <w:bCs/>
          <w:szCs w:val="22"/>
        </w:rPr>
      </w:pPr>
    </w:p>
    <w:p w14:paraId="75EFA444" w14:textId="77777777" w:rsidR="001F08FE" w:rsidRPr="00EE5FF7" w:rsidRDefault="001F08FE" w:rsidP="001F4ACA">
      <w:pPr>
        <w:rPr>
          <w:u w:val="single"/>
        </w:rPr>
      </w:pPr>
      <w:r w:rsidRPr="00EE5FF7">
        <w:rPr>
          <w:u w:val="single"/>
        </w:rPr>
        <w:t>Spôsob podávania</w:t>
      </w:r>
    </w:p>
    <w:p w14:paraId="057DC390" w14:textId="77777777" w:rsidR="001F08FE" w:rsidRPr="001F4ACA" w:rsidRDefault="001F08FE" w:rsidP="001F4ACA"/>
    <w:p w14:paraId="44C40C5B" w14:textId="77777777" w:rsidR="001F08FE" w:rsidRPr="001F4ACA" w:rsidRDefault="001F08FE" w:rsidP="001F4ACA">
      <w:pPr>
        <w:rPr>
          <w:caps/>
        </w:rPr>
      </w:pPr>
      <w:r w:rsidRPr="001F4ACA">
        <w:t xml:space="preserve">AKO POUŽÍVAŤ </w:t>
      </w:r>
      <w:r w:rsidR="007D1058" w:rsidRPr="001F4ACA">
        <w:rPr>
          <w:caps/>
        </w:rPr>
        <w:t>Etonogestrel/Ethinylestradiol Mithra</w:t>
      </w:r>
    </w:p>
    <w:p w14:paraId="301ADCDF" w14:textId="77777777" w:rsidR="001F08FE" w:rsidRPr="00EE5FF7" w:rsidRDefault="001F08FE" w:rsidP="001F4ACA"/>
    <w:p w14:paraId="11981A60" w14:textId="7F868D08" w:rsidR="001F08FE" w:rsidRPr="000059C9" w:rsidRDefault="007D1058" w:rsidP="001F4ACA">
      <w:pPr>
        <w:pStyle w:val="Zarkazkladnhotextu"/>
        <w:adjustRightInd w:val="0"/>
        <w:snapToGrid w:val="0"/>
        <w:ind w:left="0"/>
        <w:rPr>
          <w:rFonts w:cs="Times New Roman"/>
          <w:sz w:val="22"/>
          <w:szCs w:val="22"/>
        </w:rPr>
      </w:pPr>
      <w:r w:rsidRPr="000059C9">
        <w:rPr>
          <w:rFonts w:cs="Times New Roman"/>
          <w:sz w:val="22"/>
          <w:szCs w:val="22"/>
        </w:rPr>
        <w:t>Etonogestrel/Ethinylestradiol Mithra</w:t>
      </w:r>
      <w:r w:rsidR="001F08FE" w:rsidRPr="000059C9">
        <w:rPr>
          <w:rFonts w:cs="Times New Roman"/>
          <w:sz w:val="22"/>
          <w:szCs w:val="22"/>
        </w:rPr>
        <w:t xml:space="preserve"> si môže do pošvy zaviesť žena sama. Lekár má ženu poučiť ako </w:t>
      </w:r>
      <w:r w:rsidRPr="000059C9">
        <w:rPr>
          <w:rFonts w:cs="Times New Roman"/>
          <w:sz w:val="22"/>
          <w:szCs w:val="22"/>
        </w:rPr>
        <w:t>Etonogestrel/Ethinylestradiol Mithra</w:t>
      </w:r>
      <w:r w:rsidR="001F08FE" w:rsidRPr="000059C9">
        <w:rPr>
          <w:rFonts w:cs="Times New Roman"/>
          <w:sz w:val="22"/>
          <w:szCs w:val="22"/>
        </w:rPr>
        <w:t xml:space="preserve"> zaviesť a ako ho vybrať. Na zavedenie si má žena zvoliť polohu, ktorá je pre ňu najpohodlnejšia, napr. v stoji s podopretou jednou nohou, v podrepe alebo v ľahu. </w:t>
      </w:r>
      <w:r w:rsidRPr="000059C9">
        <w:rPr>
          <w:rFonts w:cs="Times New Roman"/>
          <w:sz w:val="22"/>
          <w:szCs w:val="22"/>
        </w:rPr>
        <w:t>Etonogestrel/Ethinylestradiol Mithra</w:t>
      </w:r>
      <w:r w:rsidR="001F08FE" w:rsidRPr="000059C9">
        <w:rPr>
          <w:rFonts w:cs="Times New Roman"/>
          <w:sz w:val="22"/>
          <w:szCs w:val="22"/>
        </w:rPr>
        <w:t xml:space="preserve"> sa musí stlačiť a zaviesť do pošvy tak, aby sa po jeho zavedení cítila žena pohodlne. Pre kontraceptívny účinok </w:t>
      </w:r>
      <w:r w:rsidRPr="000059C9">
        <w:rPr>
          <w:rFonts w:cs="Times New Roman"/>
          <w:sz w:val="22"/>
          <w:szCs w:val="22"/>
        </w:rPr>
        <w:t>Etonogestrel/Ethinylestradiol</w:t>
      </w:r>
      <w:r w:rsidR="004B2B62">
        <w:rPr>
          <w:rFonts w:cs="Times New Roman"/>
          <w:sz w:val="22"/>
          <w:szCs w:val="22"/>
        </w:rPr>
        <w:t>u</w:t>
      </w:r>
      <w:r w:rsidRPr="000059C9">
        <w:rPr>
          <w:rFonts w:cs="Times New Roman"/>
          <w:sz w:val="22"/>
          <w:szCs w:val="22"/>
        </w:rPr>
        <w:t xml:space="preserve"> Mithra</w:t>
      </w:r>
      <w:r w:rsidR="001F08FE" w:rsidRPr="000059C9">
        <w:rPr>
          <w:rFonts w:cs="Times New Roman"/>
          <w:sz w:val="22"/>
          <w:szCs w:val="22"/>
        </w:rPr>
        <w:t xml:space="preserve"> nie je dôležitá jeho presná poloha v </w:t>
      </w:r>
      <w:r w:rsidR="001F08FE" w:rsidRPr="001E3A57">
        <w:rPr>
          <w:rFonts w:cs="Times New Roman"/>
          <w:sz w:val="22"/>
          <w:szCs w:val="22"/>
        </w:rPr>
        <w:t xml:space="preserve">pošve </w:t>
      </w:r>
      <w:r w:rsidR="001F08FE" w:rsidRPr="001F4ACA">
        <w:rPr>
          <w:rFonts w:cs="Times New Roman"/>
          <w:iCs/>
          <w:sz w:val="22"/>
          <w:szCs w:val="22"/>
        </w:rPr>
        <w:t>(pozri obrázky</w:t>
      </w:r>
      <w:r w:rsidR="001F08FE" w:rsidRPr="001E3A57">
        <w:rPr>
          <w:rFonts w:cs="Times New Roman"/>
          <w:sz w:val="22"/>
          <w:szCs w:val="22"/>
        </w:rPr>
        <w:t> </w:t>
      </w:r>
      <w:r w:rsidR="001F08FE" w:rsidRPr="001F4ACA">
        <w:rPr>
          <w:rFonts w:cs="Times New Roman"/>
          <w:iCs/>
          <w:sz w:val="22"/>
          <w:szCs w:val="22"/>
        </w:rPr>
        <w:t>1-4)</w:t>
      </w:r>
      <w:r w:rsidR="001F08FE" w:rsidRPr="001E3A57">
        <w:rPr>
          <w:rFonts w:cs="Times New Roman"/>
          <w:sz w:val="22"/>
          <w:szCs w:val="22"/>
        </w:rPr>
        <w:t>.</w:t>
      </w:r>
    </w:p>
    <w:p w14:paraId="133893AB" w14:textId="77777777" w:rsidR="001F08FE" w:rsidRPr="001F4ACA" w:rsidRDefault="001F08FE" w:rsidP="001F4ACA">
      <w:pPr>
        <w:pStyle w:val="Zarkazkladnhotextu"/>
        <w:adjustRightInd w:val="0"/>
        <w:snapToGrid w:val="0"/>
        <w:ind w:left="0"/>
        <w:rPr>
          <w:rFonts w:cs="Times New Roman"/>
          <w:sz w:val="22"/>
          <w:szCs w:val="22"/>
        </w:rPr>
      </w:pPr>
    </w:p>
    <w:p w14:paraId="7C85C2D6" w14:textId="2FEF2196" w:rsidR="001F08FE" w:rsidRPr="000059C9" w:rsidRDefault="001F08FE">
      <w:pPr>
        <w:adjustRightInd w:val="0"/>
        <w:snapToGrid w:val="0"/>
        <w:rPr>
          <w:szCs w:val="22"/>
        </w:rPr>
      </w:pPr>
      <w:r w:rsidRPr="000059C9">
        <w:rPr>
          <w:szCs w:val="22"/>
        </w:rPr>
        <w:t xml:space="preserve">Akonáhle sa </w:t>
      </w:r>
      <w:r w:rsidR="007D1058" w:rsidRPr="000059C9">
        <w:rPr>
          <w:szCs w:val="22"/>
        </w:rPr>
        <w:t>Etonogestrel/Ethinylestradiol Mithra</w:t>
      </w:r>
      <w:r w:rsidRPr="000059C9">
        <w:rPr>
          <w:szCs w:val="22"/>
        </w:rPr>
        <w:t xml:space="preserve"> zavedie (pozri „</w:t>
      </w:r>
      <w:r w:rsidR="001E3A57" w:rsidRPr="00115116">
        <w:rPr>
          <w:bCs/>
          <w:i/>
          <w:szCs w:val="22"/>
        </w:rPr>
        <w:t>Ako začať používať Etonogestrel/Ethinylestradiol Mithra</w:t>
      </w:r>
      <w:r w:rsidRPr="000059C9">
        <w:rPr>
          <w:szCs w:val="22"/>
        </w:rPr>
        <w:t xml:space="preserve">“), ponechá sa v pošve nepretržite počas 3 týždňov. </w:t>
      </w:r>
      <w:r w:rsidR="003153FB" w:rsidRPr="000059C9">
        <w:rPr>
          <w:szCs w:val="22"/>
        </w:rPr>
        <w:t>Ž</w:t>
      </w:r>
      <w:r w:rsidRPr="000059C9">
        <w:rPr>
          <w:szCs w:val="22"/>
        </w:rPr>
        <w:t>en</w:t>
      </w:r>
      <w:r w:rsidR="003153FB" w:rsidRPr="000059C9">
        <w:rPr>
          <w:szCs w:val="22"/>
        </w:rPr>
        <w:t>ám treba</w:t>
      </w:r>
      <w:r w:rsidRPr="000059C9">
        <w:rPr>
          <w:szCs w:val="22"/>
        </w:rPr>
        <w:t xml:space="preserve"> </w:t>
      </w:r>
      <w:r w:rsidR="003153FB" w:rsidRPr="000059C9">
        <w:rPr>
          <w:szCs w:val="22"/>
        </w:rPr>
        <w:t xml:space="preserve">odporučiť, aby si </w:t>
      </w:r>
      <w:r w:rsidRPr="000059C9">
        <w:rPr>
          <w:szCs w:val="22"/>
        </w:rPr>
        <w:t>pravidelne kontrolova</w:t>
      </w:r>
      <w:r w:rsidR="00743748" w:rsidRPr="000059C9">
        <w:rPr>
          <w:szCs w:val="22"/>
        </w:rPr>
        <w:t>li</w:t>
      </w:r>
      <w:r w:rsidRPr="000059C9">
        <w:rPr>
          <w:szCs w:val="22"/>
        </w:rPr>
        <w:t xml:space="preserve"> prítomnosť </w:t>
      </w:r>
      <w:r w:rsidR="007D1058" w:rsidRPr="000059C9">
        <w:rPr>
          <w:szCs w:val="22"/>
        </w:rPr>
        <w:t>Etonogestrel/Ethinylestradiol</w:t>
      </w:r>
      <w:r w:rsidR="004B2B62">
        <w:rPr>
          <w:szCs w:val="22"/>
        </w:rPr>
        <w:t>u</w:t>
      </w:r>
      <w:r w:rsidR="007D1058" w:rsidRPr="000059C9">
        <w:rPr>
          <w:szCs w:val="22"/>
        </w:rPr>
        <w:t xml:space="preserve"> Mithra</w:t>
      </w:r>
      <w:r w:rsidR="003153FB" w:rsidRPr="000059C9">
        <w:rPr>
          <w:szCs w:val="22"/>
        </w:rPr>
        <w:t xml:space="preserve"> v pošve (napríklad pred a po pohlavnom styku)</w:t>
      </w:r>
      <w:r w:rsidRPr="000059C9">
        <w:rPr>
          <w:szCs w:val="22"/>
        </w:rPr>
        <w:t xml:space="preserve">. Ak dôjde k náhodnému vypudeniu </w:t>
      </w:r>
      <w:r w:rsidR="007D1058" w:rsidRPr="000059C9">
        <w:rPr>
          <w:szCs w:val="22"/>
        </w:rPr>
        <w:t>Etonogestrel/Ethinylestradiol Mithra</w:t>
      </w:r>
      <w:r w:rsidRPr="000059C9">
        <w:rPr>
          <w:szCs w:val="22"/>
        </w:rPr>
        <w:t>, žena má postupovať podľa pokynov uvedených v časti 4.2 „</w:t>
      </w:r>
      <w:r w:rsidRPr="001F4ACA">
        <w:rPr>
          <w:i/>
          <w:szCs w:val="22"/>
        </w:rPr>
        <w:t>Čo</w:t>
      </w:r>
      <w:r w:rsidR="003153FB" w:rsidRPr="001F4ACA">
        <w:rPr>
          <w:i/>
          <w:szCs w:val="22"/>
        </w:rPr>
        <w:t xml:space="preserve"> </w:t>
      </w:r>
      <w:r w:rsidRPr="001F4ACA">
        <w:rPr>
          <w:i/>
          <w:szCs w:val="22"/>
        </w:rPr>
        <w:t>robiť, ak je krúžok dočasne mimo pošvy</w:t>
      </w:r>
      <w:r w:rsidRPr="000059C9">
        <w:rPr>
          <w:szCs w:val="22"/>
        </w:rPr>
        <w:t>“ (viac informácií pozri tiež v časti 4.4 „</w:t>
      </w:r>
      <w:r w:rsidR="001E3A57" w:rsidRPr="001F4ACA">
        <w:rPr>
          <w:i/>
          <w:szCs w:val="22"/>
        </w:rPr>
        <w:t>Vypudenie</w:t>
      </w:r>
      <w:r w:rsidRPr="000059C9">
        <w:rPr>
          <w:szCs w:val="22"/>
        </w:rPr>
        <w:t xml:space="preserve">“). </w:t>
      </w:r>
      <w:r w:rsidR="007D1058" w:rsidRPr="000059C9">
        <w:rPr>
          <w:szCs w:val="22"/>
        </w:rPr>
        <w:t>Etonogestrel/Ethinylestradiol Mithra</w:t>
      </w:r>
      <w:r w:rsidRPr="000059C9">
        <w:rPr>
          <w:szCs w:val="22"/>
        </w:rPr>
        <w:t xml:space="preserve"> sa musí vybrať po 3 týždňoch používania počas toho istého dňa v týždni, kedy sa zaviedol. Po období bez krúžku počas jedného týždňa sa zavedie nový krúžok (napr. </w:t>
      </w:r>
      <w:r w:rsidRPr="001F4ACA">
        <w:rPr>
          <w:iCs/>
          <w:szCs w:val="22"/>
        </w:rPr>
        <w:t xml:space="preserve">ak sa </w:t>
      </w:r>
      <w:r w:rsidR="007D1058" w:rsidRPr="001F4ACA">
        <w:rPr>
          <w:iCs/>
          <w:szCs w:val="22"/>
        </w:rPr>
        <w:t>Etonogestrel/Ethinylestradiol Mithra</w:t>
      </w:r>
      <w:r w:rsidRPr="001F4ACA">
        <w:rPr>
          <w:iCs/>
          <w:szCs w:val="22"/>
        </w:rPr>
        <w:t xml:space="preserve"> zaviedol v stredu približne o 22:00 hod., krúžok sa má vybrať v stredu o 3</w:t>
      </w:r>
      <w:r w:rsidRPr="00561295">
        <w:rPr>
          <w:szCs w:val="22"/>
        </w:rPr>
        <w:t> </w:t>
      </w:r>
      <w:r w:rsidRPr="001F4ACA">
        <w:rPr>
          <w:iCs/>
          <w:szCs w:val="22"/>
        </w:rPr>
        <w:t>týždne neskôr približne o 22:00</w:t>
      </w:r>
      <w:r w:rsidRPr="00561295">
        <w:rPr>
          <w:szCs w:val="22"/>
        </w:rPr>
        <w:t> </w:t>
      </w:r>
      <w:r w:rsidRPr="001F4ACA">
        <w:rPr>
          <w:iCs/>
          <w:szCs w:val="22"/>
        </w:rPr>
        <w:t>hod. Nasledujúcu stredu sa má zaviesť nový krúžok)</w:t>
      </w:r>
      <w:r w:rsidRPr="00561295">
        <w:rPr>
          <w:szCs w:val="22"/>
        </w:rPr>
        <w:t xml:space="preserve">. </w:t>
      </w:r>
      <w:r w:rsidR="007D1058" w:rsidRPr="000059C9">
        <w:rPr>
          <w:szCs w:val="22"/>
        </w:rPr>
        <w:t>Etonogestrel/Ethinylestradiol Mithra</w:t>
      </w:r>
      <w:r w:rsidRPr="000059C9">
        <w:rPr>
          <w:szCs w:val="22"/>
        </w:rPr>
        <w:t xml:space="preserve"> sa môže vybrať pomocou ukazováka, ktorým sa krúžok podoberie alebo sa krúžok uchopí medzi ukazovák a prostredník a vytiahne sa (</w:t>
      </w:r>
      <w:r w:rsidRPr="001F4ACA">
        <w:rPr>
          <w:szCs w:val="22"/>
        </w:rPr>
        <w:t>obrázok</w:t>
      </w:r>
      <w:r w:rsidRPr="001E3A57">
        <w:rPr>
          <w:szCs w:val="22"/>
        </w:rPr>
        <w:t> </w:t>
      </w:r>
      <w:r w:rsidRPr="001F4ACA">
        <w:rPr>
          <w:szCs w:val="22"/>
        </w:rPr>
        <w:t>5</w:t>
      </w:r>
      <w:r w:rsidRPr="000059C9">
        <w:rPr>
          <w:szCs w:val="22"/>
        </w:rPr>
        <w:t>). Použitý krúžok sa má vložiť do vrecka (má sa uchovať mimo dosahu detí a domácich zvierat) a zlikvidovať, ako je opísané v časti 6.6. Ku krvácaniu z vysadenia zvyčajne dochádza 2 – 3 dni po vybratí</w:t>
      </w:r>
      <w:r w:rsidR="00A5663D">
        <w:rPr>
          <w:szCs w:val="22"/>
        </w:rPr>
        <w:t xml:space="preserve"> lieku</w:t>
      </w:r>
      <w:r w:rsidRPr="000059C9">
        <w:rPr>
          <w:szCs w:val="22"/>
        </w:rPr>
        <w:t xml:space="preserve"> </w:t>
      </w:r>
      <w:r w:rsidR="007D1058" w:rsidRPr="000059C9">
        <w:rPr>
          <w:szCs w:val="22"/>
        </w:rPr>
        <w:t>Etonogestrel/Ethinylestradiol Mithra</w:t>
      </w:r>
      <w:r w:rsidRPr="000059C9">
        <w:rPr>
          <w:szCs w:val="22"/>
        </w:rPr>
        <w:t xml:space="preserve"> a pred ďalším zavedením nového krúžku sa krvácanie nemusí úplne zastaviť.</w:t>
      </w:r>
    </w:p>
    <w:p w14:paraId="32908307" w14:textId="77777777" w:rsidR="00A87206" w:rsidRPr="000059C9" w:rsidRDefault="00A87206">
      <w:pPr>
        <w:adjustRightInd w:val="0"/>
        <w:snapToGrid w:val="0"/>
        <w:rPr>
          <w:szCs w:val="22"/>
        </w:rPr>
      </w:pPr>
    </w:p>
    <w:p w14:paraId="6CFF83F9" w14:textId="77777777" w:rsidR="003F5B4B" w:rsidRPr="009F3CD3" w:rsidRDefault="003F5B4B" w:rsidP="003F5B4B">
      <w:pPr>
        <w:adjustRightInd w:val="0"/>
        <w:snapToGrid w:val="0"/>
        <w:rPr>
          <w:szCs w:val="22"/>
          <w:u w:val="single"/>
        </w:rPr>
      </w:pPr>
      <w:r w:rsidRPr="009F3CD3">
        <w:rPr>
          <w:szCs w:val="22"/>
          <w:u w:val="single"/>
        </w:rPr>
        <w:t>Používanie s ďalšími vaginálnymi bariérovými metódami</w:t>
      </w:r>
    </w:p>
    <w:p w14:paraId="6851BF58" w14:textId="22CA595E" w:rsidR="00652547" w:rsidRPr="001F4ACA" w:rsidRDefault="00C52DC8" w:rsidP="001F4ACA">
      <w:pPr>
        <w:rPr>
          <w:color w:val="000000"/>
          <w:szCs w:val="22"/>
          <w:lang w:eastAsia="fr-BE"/>
        </w:rPr>
      </w:pPr>
      <w:r w:rsidRPr="00A5663D">
        <w:rPr>
          <w:szCs w:val="22"/>
        </w:rPr>
        <w:t xml:space="preserve">Etonogestrel/Ethinylestradiol Mithra môže </w:t>
      </w:r>
      <w:r w:rsidR="00C053F8">
        <w:rPr>
          <w:szCs w:val="22"/>
        </w:rPr>
        <w:t>ovplyvniť umiestnenie a polohu niektorých foriem bariérovej antikoncepcie u žien</w:t>
      </w:r>
      <w:r w:rsidRPr="00A5663D">
        <w:rPr>
          <w:szCs w:val="22"/>
        </w:rPr>
        <w:t xml:space="preserve"> ako sú diafragma, </w:t>
      </w:r>
      <w:r w:rsidR="00C053F8" w:rsidRPr="00A5663D">
        <w:rPr>
          <w:szCs w:val="22"/>
        </w:rPr>
        <w:t>cervikáln</w:t>
      </w:r>
      <w:r w:rsidR="00C053F8">
        <w:rPr>
          <w:szCs w:val="22"/>
        </w:rPr>
        <w:t>a</w:t>
      </w:r>
      <w:r w:rsidR="00C053F8" w:rsidRPr="00A5663D">
        <w:rPr>
          <w:szCs w:val="22"/>
        </w:rPr>
        <w:t xml:space="preserve"> </w:t>
      </w:r>
      <w:r w:rsidR="00C053F8">
        <w:rPr>
          <w:szCs w:val="22"/>
        </w:rPr>
        <w:t>čiapočka</w:t>
      </w:r>
      <w:r w:rsidR="00C053F8" w:rsidRPr="00A5663D">
        <w:rPr>
          <w:szCs w:val="22"/>
        </w:rPr>
        <w:t xml:space="preserve"> </w:t>
      </w:r>
      <w:r w:rsidRPr="00A5663D">
        <w:rPr>
          <w:szCs w:val="22"/>
        </w:rPr>
        <w:t xml:space="preserve">alebo ženský kondóm. Tieto antikoncepčné metódy </w:t>
      </w:r>
      <w:r w:rsidR="00C053F8">
        <w:rPr>
          <w:szCs w:val="22"/>
        </w:rPr>
        <w:t xml:space="preserve">sa nemajú </w:t>
      </w:r>
      <w:r w:rsidRPr="00A5663D">
        <w:rPr>
          <w:szCs w:val="22"/>
        </w:rPr>
        <w:t>používať ako záložné metódy s</w:t>
      </w:r>
      <w:r w:rsidR="00B45FE3" w:rsidRPr="00A5663D">
        <w:rPr>
          <w:szCs w:val="22"/>
        </w:rPr>
        <w:t> </w:t>
      </w:r>
      <w:r w:rsidRPr="00A5663D">
        <w:rPr>
          <w:szCs w:val="22"/>
        </w:rPr>
        <w:t>liekom</w:t>
      </w:r>
      <w:r w:rsidR="00B45FE3" w:rsidRPr="00A5663D">
        <w:rPr>
          <w:szCs w:val="22"/>
        </w:rPr>
        <w:t xml:space="preserve"> Etonogestrel/Ethinylestradiol Mithra</w:t>
      </w:r>
      <w:r w:rsidRPr="00A5663D">
        <w:rPr>
          <w:szCs w:val="22"/>
        </w:rPr>
        <w:t>.</w:t>
      </w:r>
    </w:p>
    <w:p w14:paraId="2326901A" w14:textId="77777777" w:rsidR="001F08FE" w:rsidRPr="000059C9" w:rsidRDefault="00652547" w:rsidP="001F4ACA">
      <w:pPr>
        <w:shd w:val="clear" w:color="auto" w:fill="FFFFFF"/>
        <w:spacing w:after="150" w:line="276" w:lineRule="auto"/>
        <w:jc w:val="center"/>
        <w:rPr>
          <w:szCs w:val="22"/>
        </w:rPr>
      </w:pPr>
      <w:r w:rsidRPr="00EE5FF7">
        <w:rPr>
          <w:noProof/>
          <w:color w:val="000000"/>
          <w:szCs w:val="22"/>
          <w:lang w:val="en-US"/>
        </w:rPr>
        <w:lastRenderedPageBreak/>
        <w:drawing>
          <wp:inline distT="0" distB="0" distL="0" distR="0" wp14:anchorId="4FE91F35" wp14:editId="3D5F1044">
            <wp:extent cx="5400675" cy="5400675"/>
            <wp:effectExtent l="0" t="0" r="9525" b="9525"/>
            <wp:docPr id="13" name="Picture 13" descr="I:\Drugs\Etonogestrel-EE (Novalon)\Enregistrement\National closing\SK\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rugs\Etonogestrel-EE (Novalon)\Enregistrement\National closing\SK\image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r w:rsidRPr="00EE5FF7">
        <w:rPr>
          <w:noProof/>
          <w:color w:val="000000"/>
          <w:szCs w:val="22"/>
          <w:lang w:val="en-US"/>
        </w:rPr>
        <w:drawing>
          <wp:inline distT="0" distB="0" distL="0" distR="0" wp14:anchorId="02FFDCA5" wp14:editId="2CC0548C">
            <wp:extent cx="5400675" cy="6838950"/>
            <wp:effectExtent l="0" t="0" r="9525" b="0"/>
            <wp:docPr id="14" name="Picture 14" descr="I:\Drugs\Etonogestrel-EE (Novalon)\Enregistrement\National closing\SK\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rugs\Etonogestrel-EE (Novalon)\Enregistrement\National closing\SK\imag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675" cy="6838950"/>
                    </a:xfrm>
                    <a:prstGeom prst="rect">
                      <a:avLst/>
                    </a:prstGeom>
                    <a:noFill/>
                    <a:ln>
                      <a:noFill/>
                    </a:ln>
                  </pic:spPr>
                </pic:pic>
              </a:graphicData>
            </a:graphic>
          </wp:inline>
        </w:drawing>
      </w:r>
    </w:p>
    <w:p w14:paraId="1972F5F6" w14:textId="77777777" w:rsidR="001F08FE" w:rsidRPr="000059C9" w:rsidRDefault="001F08FE" w:rsidP="001F4ACA"/>
    <w:p w14:paraId="6A52A0E7" w14:textId="77777777" w:rsidR="001F08FE" w:rsidRPr="000059C9" w:rsidRDefault="001F08FE" w:rsidP="001F4ACA">
      <w:r w:rsidRPr="000059C9">
        <w:t xml:space="preserve">AKO ZAČAŤ POUŽÍVAŤ </w:t>
      </w:r>
      <w:r w:rsidR="007D1058" w:rsidRPr="001F4ACA">
        <w:rPr>
          <w:caps/>
        </w:rPr>
        <w:t>Etonogestrel/Ethinylestradiol Mithra</w:t>
      </w:r>
    </w:p>
    <w:p w14:paraId="7EF3A324" w14:textId="77777777" w:rsidR="001F08FE" w:rsidRPr="000059C9" w:rsidRDefault="001F08FE" w:rsidP="001F4ACA">
      <w:pPr>
        <w:rPr>
          <w:b/>
          <w:bCs/>
          <w:i/>
          <w:iCs/>
        </w:rPr>
      </w:pPr>
    </w:p>
    <w:p w14:paraId="63C6AB7D" w14:textId="77777777" w:rsidR="001F08FE" w:rsidRPr="00EE5FF7" w:rsidRDefault="001F08FE" w:rsidP="001F4ACA">
      <w:r w:rsidRPr="001F4ACA">
        <w:rPr>
          <w:i/>
        </w:rPr>
        <w:t>Bez použitia hormonálneho kontraceptíva v predchádzajúcom cykle</w:t>
      </w:r>
    </w:p>
    <w:p w14:paraId="57ADCDB9" w14:textId="47D340DE" w:rsidR="001F08FE" w:rsidRPr="000059C9" w:rsidRDefault="007D1058">
      <w:pPr>
        <w:adjustRightInd w:val="0"/>
        <w:snapToGrid w:val="0"/>
        <w:rPr>
          <w:i/>
          <w:iCs/>
          <w:szCs w:val="22"/>
        </w:rPr>
      </w:pPr>
      <w:r w:rsidRPr="000059C9">
        <w:rPr>
          <w:szCs w:val="22"/>
        </w:rPr>
        <w:t>Etonogestrel/Ethinylestradiol Mithra</w:t>
      </w:r>
      <w:r w:rsidR="001F08FE" w:rsidRPr="000059C9">
        <w:rPr>
          <w:szCs w:val="22"/>
        </w:rPr>
        <w:t xml:space="preserve"> sa má zaviesť v prvý deň prirodzeného cyklu ženy (t.j. prvý deň menštruačného krvácania ženy). S používaním sa môže začať aj na 2. – 5. deň, ale počas prvého cyklu sa odporúča používať doplnkovú bariérovú metódu počas prvých 7 dní používania </w:t>
      </w:r>
      <w:r w:rsidRPr="000059C9">
        <w:rPr>
          <w:szCs w:val="22"/>
        </w:rPr>
        <w:t>Etonogestrel/Ethinylestradiol</w:t>
      </w:r>
      <w:r w:rsidR="00CC3B7A">
        <w:rPr>
          <w:szCs w:val="22"/>
        </w:rPr>
        <w:t>u</w:t>
      </w:r>
      <w:r w:rsidRPr="000059C9">
        <w:rPr>
          <w:szCs w:val="22"/>
        </w:rPr>
        <w:t xml:space="preserve"> Mithra</w:t>
      </w:r>
      <w:r w:rsidR="001F08FE" w:rsidRPr="000059C9">
        <w:rPr>
          <w:szCs w:val="22"/>
        </w:rPr>
        <w:t>.</w:t>
      </w:r>
    </w:p>
    <w:p w14:paraId="41BA20F4" w14:textId="77777777" w:rsidR="001F08FE" w:rsidRPr="000059C9" w:rsidRDefault="001F08FE">
      <w:pPr>
        <w:adjustRightInd w:val="0"/>
        <w:snapToGrid w:val="0"/>
        <w:rPr>
          <w:szCs w:val="22"/>
        </w:rPr>
      </w:pPr>
    </w:p>
    <w:p w14:paraId="1C8EF5F4" w14:textId="77777777" w:rsidR="001F08FE" w:rsidRPr="00EE5FF7" w:rsidRDefault="001F08FE" w:rsidP="001F4ACA">
      <w:r w:rsidRPr="001F4ACA">
        <w:rPr>
          <w:i/>
        </w:rPr>
        <w:t>Prechod z kombinovaného hormonálneho kontraceptíva</w:t>
      </w:r>
    </w:p>
    <w:p w14:paraId="337E45CB" w14:textId="77777777" w:rsidR="001F08FE" w:rsidRPr="000059C9" w:rsidRDefault="001F08FE">
      <w:pPr>
        <w:adjustRightInd w:val="0"/>
        <w:snapToGrid w:val="0"/>
        <w:rPr>
          <w:szCs w:val="22"/>
        </w:rPr>
      </w:pPr>
      <w:r w:rsidRPr="000059C9">
        <w:rPr>
          <w:szCs w:val="22"/>
        </w:rPr>
        <w:t xml:space="preserve">Žena si musí zaviesť </w:t>
      </w:r>
      <w:r w:rsidR="007D1058" w:rsidRPr="000059C9">
        <w:rPr>
          <w:szCs w:val="22"/>
        </w:rPr>
        <w:t>Etonogestrel/Ethinylestradiol Mithra</w:t>
      </w:r>
      <w:r w:rsidRPr="000059C9">
        <w:rPr>
          <w:szCs w:val="22"/>
        </w:rPr>
        <w:t xml:space="preserve"> najneskôr v dni nasledujúcom po zvyčajnom období bez tabliet, bez náplasti alebo po období s tabletami obsahujúcimi placebo jej predchádzajúceho kombinovaného hormonálneho kontraceptíva.</w:t>
      </w:r>
    </w:p>
    <w:p w14:paraId="0E484069" w14:textId="77777777" w:rsidR="001F08FE" w:rsidRPr="000059C9" w:rsidRDefault="001F08FE">
      <w:pPr>
        <w:adjustRightInd w:val="0"/>
        <w:snapToGrid w:val="0"/>
        <w:rPr>
          <w:szCs w:val="22"/>
        </w:rPr>
      </w:pPr>
    </w:p>
    <w:p w14:paraId="04DBB073" w14:textId="77777777" w:rsidR="001F08FE" w:rsidRPr="000059C9" w:rsidRDefault="001F08FE">
      <w:pPr>
        <w:adjustRightInd w:val="0"/>
        <w:snapToGrid w:val="0"/>
        <w:rPr>
          <w:szCs w:val="22"/>
        </w:rPr>
      </w:pPr>
      <w:r w:rsidRPr="000059C9">
        <w:rPr>
          <w:szCs w:val="22"/>
        </w:rPr>
        <w:t>Ak žena používala svoju predchádzajúcu metódu dôsledne a správne a ak je dostatočne jasné, že nie je gravidná, zo svojho predchádzajúceho kombinovaného hormonálneho kontraceptíva môže tiež prejsť v ktoromkoľvek dni cyklu.</w:t>
      </w:r>
    </w:p>
    <w:p w14:paraId="7B0CD702" w14:textId="77777777" w:rsidR="001F08FE" w:rsidRPr="000059C9" w:rsidRDefault="001F08FE">
      <w:pPr>
        <w:adjustRightInd w:val="0"/>
        <w:snapToGrid w:val="0"/>
        <w:rPr>
          <w:szCs w:val="22"/>
        </w:rPr>
      </w:pPr>
    </w:p>
    <w:p w14:paraId="36A16083" w14:textId="77777777" w:rsidR="001F08FE" w:rsidRPr="000059C9" w:rsidRDefault="001F08FE">
      <w:pPr>
        <w:adjustRightInd w:val="0"/>
        <w:snapToGrid w:val="0"/>
        <w:rPr>
          <w:szCs w:val="22"/>
        </w:rPr>
      </w:pPr>
      <w:r w:rsidRPr="000059C9">
        <w:rPr>
          <w:szCs w:val="22"/>
        </w:rPr>
        <w:t>Obdobie bez hormónov pri predchádzajúcej metóde nesmie nikdy presiahnuť odporúčanú dĺžku trvania.</w:t>
      </w:r>
    </w:p>
    <w:p w14:paraId="680053EF" w14:textId="77777777" w:rsidR="001F08FE" w:rsidRPr="000059C9" w:rsidRDefault="001F08FE">
      <w:pPr>
        <w:adjustRightInd w:val="0"/>
        <w:snapToGrid w:val="0"/>
        <w:rPr>
          <w:i/>
          <w:iCs/>
          <w:szCs w:val="22"/>
        </w:rPr>
      </w:pPr>
    </w:p>
    <w:p w14:paraId="6FA0E990" w14:textId="77777777" w:rsidR="001F08FE" w:rsidRPr="00EE5FF7" w:rsidRDefault="001F08FE" w:rsidP="001F4ACA">
      <w:r w:rsidRPr="001F4ACA">
        <w:rPr>
          <w:i/>
        </w:rPr>
        <w:t>Prechod z metódy obsahujúcej len gestagén (minitableta, implantát alebo injekcia) alebo z intrauterinného systému uvoľňujúceho gestagén (IUS)</w:t>
      </w:r>
    </w:p>
    <w:p w14:paraId="0B2D2F2E" w14:textId="0E6C56B3" w:rsidR="001F08FE" w:rsidRPr="000059C9" w:rsidRDefault="001F08FE">
      <w:pPr>
        <w:adjustRightInd w:val="0"/>
        <w:snapToGrid w:val="0"/>
        <w:rPr>
          <w:szCs w:val="22"/>
        </w:rPr>
      </w:pPr>
      <w:r w:rsidRPr="000059C9">
        <w:rPr>
          <w:szCs w:val="22"/>
        </w:rPr>
        <w:t xml:space="preserve">Žena môže prejsť z minitablety v hociktorý deň (z implantátu alebo IUS v deň jeho odstránenia, z injekcie v čase, kedy by sa mala podať ďalšia injekcia), ale vo všetkých týchto prípadoch musí použiť doplnkovú bariérovú metódu počas prvých 7 dní používania </w:t>
      </w:r>
      <w:r w:rsidR="007D1058" w:rsidRPr="000059C9">
        <w:rPr>
          <w:szCs w:val="22"/>
        </w:rPr>
        <w:t>Etonogestrel/Ethinylestradiol</w:t>
      </w:r>
      <w:r w:rsidR="00CC3B7A">
        <w:rPr>
          <w:szCs w:val="22"/>
        </w:rPr>
        <w:t>u</w:t>
      </w:r>
      <w:r w:rsidR="007D1058" w:rsidRPr="000059C9">
        <w:rPr>
          <w:szCs w:val="22"/>
        </w:rPr>
        <w:t xml:space="preserve"> Mithra</w:t>
      </w:r>
      <w:r w:rsidRPr="000059C9">
        <w:rPr>
          <w:szCs w:val="22"/>
        </w:rPr>
        <w:t>.</w:t>
      </w:r>
    </w:p>
    <w:p w14:paraId="5F77A08C" w14:textId="77777777" w:rsidR="001F08FE" w:rsidRPr="000059C9" w:rsidRDefault="001F08FE">
      <w:pPr>
        <w:adjustRightInd w:val="0"/>
        <w:snapToGrid w:val="0"/>
        <w:rPr>
          <w:i/>
          <w:iCs/>
          <w:szCs w:val="22"/>
        </w:rPr>
      </w:pPr>
    </w:p>
    <w:p w14:paraId="0B56F47A" w14:textId="77777777" w:rsidR="001F08FE" w:rsidRPr="00EE5FF7" w:rsidRDefault="001F08FE" w:rsidP="001F4ACA">
      <w:r w:rsidRPr="001F4ACA">
        <w:rPr>
          <w:i/>
        </w:rPr>
        <w:t>Po potrate v prvom trimestri</w:t>
      </w:r>
    </w:p>
    <w:p w14:paraId="21EDA917" w14:textId="77777777" w:rsidR="001F08FE" w:rsidRPr="000059C9" w:rsidRDefault="001F08FE">
      <w:pPr>
        <w:adjustRightInd w:val="0"/>
        <w:snapToGrid w:val="0"/>
        <w:rPr>
          <w:szCs w:val="22"/>
        </w:rPr>
      </w:pPr>
      <w:r w:rsidRPr="000059C9">
        <w:rPr>
          <w:szCs w:val="22"/>
        </w:rPr>
        <w:t xml:space="preserve">Žena môže začať ihneď. V prípade, že tak urobí, nie je potrebné, aby prijala doplnkové antikoncepčné opatrenia. Ak sa okamžitý prechod považuje za nevhodný, žena musí postupovať podľa odporúčania uvedeného pri </w:t>
      </w:r>
      <w:r w:rsidRPr="000059C9">
        <w:rPr>
          <w:i/>
          <w:iCs/>
          <w:szCs w:val="22"/>
        </w:rPr>
        <w:t>„</w:t>
      </w:r>
      <w:r w:rsidRPr="000059C9">
        <w:rPr>
          <w:i/>
          <w:szCs w:val="22"/>
        </w:rPr>
        <w:t xml:space="preserve">Bez použitia </w:t>
      </w:r>
      <w:r w:rsidRPr="000059C9">
        <w:rPr>
          <w:i/>
          <w:iCs/>
          <w:szCs w:val="22"/>
        </w:rPr>
        <w:t>hormonálneho kontraceptíva v</w:t>
      </w:r>
      <w:r w:rsidRPr="000059C9">
        <w:rPr>
          <w:szCs w:val="22"/>
        </w:rPr>
        <w:t> </w:t>
      </w:r>
      <w:r w:rsidRPr="000059C9">
        <w:rPr>
          <w:i/>
          <w:iCs/>
          <w:szCs w:val="22"/>
        </w:rPr>
        <w:t xml:space="preserve">predchádzajúcom cykle“. </w:t>
      </w:r>
      <w:r w:rsidRPr="000059C9">
        <w:rPr>
          <w:szCs w:val="22"/>
        </w:rPr>
        <w:t>Medzitým má byť žena poučená, aby používala alternatívnu metódu antikoncepcie.</w:t>
      </w:r>
    </w:p>
    <w:p w14:paraId="357C96BF" w14:textId="77777777" w:rsidR="001F08FE" w:rsidRPr="000059C9" w:rsidRDefault="001F08FE">
      <w:pPr>
        <w:adjustRightInd w:val="0"/>
        <w:snapToGrid w:val="0"/>
        <w:rPr>
          <w:szCs w:val="22"/>
        </w:rPr>
      </w:pPr>
    </w:p>
    <w:p w14:paraId="07AFEA7E" w14:textId="77777777" w:rsidR="001F08FE" w:rsidRPr="00EE5FF7" w:rsidRDefault="001F08FE" w:rsidP="001F4ACA">
      <w:r w:rsidRPr="001F4ACA">
        <w:rPr>
          <w:i/>
        </w:rPr>
        <w:t>Po pôrode alebo potrate v druhom trimestri</w:t>
      </w:r>
    </w:p>
    <w:p w14:paraId="02C393BB" w14:textId="77777777" w:rsidR="001F08FE" w:rsidRPr="000059C9" w:rsidRDefault="001F08FE">
      <w:pPr>
        <w:adjustRightInd w:val="0"/>
        <w:snapToGrid w:val="0"/>
        <w:rPr>
          <w:szCs w:val="22"/>
        </w:rPr>
      </w:pPr>
      <w:r w:rsidRPr="000059C9">
        <w:rPr>
          <w:szCs w:val="22"/>
        </w:rPr>
        <w:t>Dojčiace ženy, pozri časť 4.6.</w:t>
      </w:r>
    </w:p>
    <w:p w14:paraId="24072A01" w14:textId="77777777" w:rsidR="001F08FE" w:rsidRPr="000059C9" w:rsidRDefault="001F08FE">
      <w:pPr>
        <w:adjustRightInd w:val="0"/>
        <w:snapToGrid w:val="0"/>
        <w:rPr>
          <w:szCs w:val="22"/>
        </w:rPr>
      </w:pPr>
    </w:p>
    <w:p w14:paraId="41E31D44" w14:textId="2E232708" w:rsidR="001F08FE" w:rsidRPr="000059C9" w:rsidRDefault="001F08FE">
      <w:pPr>
        <w:adjustRightInd w:val="0"/>
        <w:snapToGrid w:val="0"/>
        <w:rPr>
          <w:szCs w:val="22"/>
        </w:rPr>
      </w:pPr>
      <w:r w:rsidRPr="000059C9">
        <w:rPr>
          <w:szCs w:val="22"/>
        </w:rPr>
        <w:t xml:space="preserve">Ženy musia byť poučené, aby s používaním začali počas štvrtého týždňa po pôrode alebo po potrate v druhom trimestri. Ak sa s používaním začína neskôr, žena má byť poučená, aby používala doplnkovú bariérovú metódu počas prvých 7 dní používania </w:t>
      </w:r>
      <w:r w:rsidR="007D1058" w:rsidRPr="000059C9">
        <w:rPr>
          <w:szCs w:val="22"/>
        </w:rPr>
        <w:t>Etonogestrel/Ethinylestradiol</w:t>
      </w:r>
      <w:r w:rsidR="00CC3B7A">
        <w:rPr>
          <w:szCs w:val="22"/>
        </w:rPr>
        <w:t>u</w:t>
      </w:r>
      <w:r w:rsidR="007D1058" w:rsidRPr="000059C9">
        <w:rPr>
          <w:szCs w:val="22"/>
        </w:rPr>
        <w:t xml:space="preserve"> Mithra</w:t>
      </w:r>
      <w:r w:rsidRPr="000059C9">
        <w:rPr>
          <w:szCs w:val="22"/>
        </w:rPr>
        <w:t xml:space="preserve">. Ak už však došlo k pohlavnému styku, má sa vylúčiť gravidita alebo </w:t>
      </w:r>
      <w:r w:rsidR="00C053F8" w:rsidRPr="000059C9">
        <w:rPr>
          <w:szCs w:val="22"/>
        </w:rPr>
        <w:t xml:space="preserve">musí žena </w:t>
      </w:r>
      <w:r w:rsidRPr="000059C9">
        <w:rPr>
          <w:szCs w:val="22"/>
        </w:rPr>
        <w:t xml:space="preserve">pred začiatkom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počkať na svoju prvú menštruáciu.</w:t>
      </w:r>
    </w:p>
    <w:p w14:paraId="40E68D53" w14:textId="77777777" w:rsidR="001F08FE" w:rsidRPr="000059C9" w:rsidRDefault="001F08FE">
      <w:pPr>
        <w:adjustRightInd w:val="0"/>
        <w:snapToGrid w:val="0"/>
        <w:rPr>
          <w:b/>
          <w:bCs/>
          <w:szCs w:val="22"/>
        </w:rPr>
      </w:pPr>
    </w:p>
    <w:p w14:paraId="67C877E6" w14:textId="77777777" w:rsidR="001F08FE" w:rsidRPr="000059C9" w:rsidRDefault="001F08FE" w:rsidP="001F4ACA">
      <w:r w:rsidRPr="000059C9">
        <w:t>ODCHÝLKY OD ODPORÚČANÉHO REŽIMU</w:t>
      </w:r>
    </w:p>
    <w:p w14:paraId="10ACAF17" w14:textId="77777777" w:rsidR="001F08FE" w:rsidRPr="000059C9" w:rsidRDefault="001F08FE" w:rsidP="001F4ACA"/>
    <w:p w14:paraId="4BC5B47C" w14:textId="77777777" w:rsidR="001F08FE" w:rsidRPr="000059C9" w:rsidRDefault="001F08FE">
      <w:pPr>
        <w:adjustRightInd w:val="0"/>
        <w:snapToGrid w:val="0"/>
        <w:rPr>
          <w:szCs w:val="22"/>
        </w:rPr>
      </w:pPr>
      <w:r w:rsidRPr="000059C9">
        <w:rPr>
          <w:szCs w:val="22"/>
        </w:rPr>
        <w:t>Ak sa žena odchýli od odporúčaného režimu, môže sa znížiť kontraceptívna účinnosť a kontrola cyklu. Aby sa v prípade odchýlky predišlo strate kontraceptívnej účinnosti, môže sa poradiť nasledovné:</w:t>
      </w:r>
    </w:p>
    <w:p w14:paraId="7AA9DC8C" w14:textId="77777777" w:rsidR="001F08FE" w:rsidRPr="000059C9" w:rsidRDefault="001F08FE">
      <w:pPr>
        <w:adjustRightInd w:val="0"/>
        <w:snapToGrid w:val="0"/>
        <w:rPr>
          <w:b/>
          <w:bCs/>
          <w:szCs w:val="22"/>
        </w:rPr>
      </w:pPr>
    </w:p>
    <w:p w14:paraId="617EEF74" w14:textId="77777777" w:rsidR="001F08FE" w:rsidRPr="001F4ACA" w:rsidRDefault="001F08FE" w:rsidP="001F4ACA">
      <w:pPr>
        <w:pStyle w:val="Odsekzoznamu"/>
        <w:numPr>
          <w:ilvl w:val="0"/>
          <w:numId w:val="45"/>
        </w:numPr>
        <w:ind w:left="567" w:hanging="567"/>
        <w:rPr>
          <w:b/>
        </w:rPr>
      </w:pPr>
      <w:r w:rsidRPr="001F4ACA">
        <w:rPr>
          <w:b/>
        </w:rPr>
        <w:t>Čo robiť v prípade predĺženého obdobia bez krúžku</w:t>
      </w:r>
    </w:p>
    <w:p w14:paraId="5DB51413" w14:textId="77777777" w:rsidR="001F08FE" w:rsidRPr="000059C9" w:rsidRDefault="001F08FE" w:rsidP="001F4ACA"/>
    <w:p w14:paraId="06CFFC11" w14:textId="47C47659" w:rsidR="001F08FE" w:rsidRPr="000059C9" w:rsidRDefault="001F08FE" w:rsidP="001F4ACA">
      <w:pPr>
        <w:pStyle w:val="Zarkazkladnhotextu"/>
        <w:adjustRightInd w:val="0"/>
        <w:snapToGrid w:val="0"/>
        <w:ind w:left="567"/>
        <w:rPr>
          <w:rFonts w:cs="Times New Roman"/>
          <w:sz w:val="22"/>
          <w:szCs w:val="22"/>
        </w:rPr>
      </w:pPr>
      <w:r w:rsidRPr="000059C9">
        <w:rPr>
          <w:rFonts w:cs="Times New Roman"/>
          <w:sz w:val="22"/>
          <w:szCs w:val="22"/>
        </w:rPr>
        <w:t xml:space="preserve">Žena si musí zaviesť do pošvy nový krúžok hneď, ako si spomenie. Ako doplnok sa musí použiť bariérová metóda, napr. </w:t>
      </w:r>
      <w:r w:rsidR="00887013">
        <w:rPr>
          <w:rFonts w:cs="Times New Roman"/>
          <w:sz w:val="22"/>
          <w:szCs w:val="22"/>
        </w:rPr>
        <w:t>mužský</w:t>
      </w:r>
      <w:r w:rsidR="00887013" w:rsidRPr="001F4ACA">
        <w:rPr>
          <w:rFonts w:cs="Times New Roman"/>
          <w:sz w:val="22"/>
          <w:szCs w:val="22"/>
        </w:rPr>
        <w:t xml:space="preserve"> </w:t>
      </w:r>
      <w:r w:rsidRPr="000059C9">
        <w:rPr>
          <w:rFonts w:cs="Times New Roman"/>
          <w:sz w:val="22"/>
          <w:szCs w:val="22"/>
        </w:rPr>
        <w:t>prezervatív, počas nasledujúcich 7 dní. Ak počas obdobia bez krúžku došlo k pohlavnému styku, musí sa vziať do úvahy možnosť gravidity. Čím dlhšie je obdobie bez krúžku, tým väčšie je riziko gravidity.</w:t>
      </w:r>
    </w:p>
    <w:p w14:paraId="7405BF83" w14:textId="77777777" w:rsidR="001F08FE" w:rsidRPr="000059C9" w:rsidRDefault="001F08FE">
      <w:pPr>
        <w:adjustRightInd w:val="0"/>
        <w:snapToGrid w:val="0"/>
        <w:rPr>
          <w:szCs w:val="22"/>
        </w:rPr>
      </w:pPr>
    </w:p>
    <w:p w14:paraId="1B90EC4B" w14:textId="77777777" w:rsidR="001F08FE" w:rsidRPr="000059C9" w:rsidRDefault="001F08FE" w:rsidP="001F4ACA">
      <w:pPr>
        <w:pStyle w:val="Odsekzoznamu"/>
        <w:numPr>
          <w:ilvl w:val="0"/>
          <w:numId w:val="45"/>
        </w:numPr>
        <w:ind w:left="567" w:hanging="567"/>
        <w:rPr>
          <w:b/>
          <w:bCs/>
          <w:szCs w:val="22"/>
        </w:rPr>
      </w:pPr>
      <w:r w:rsidRPr="00EE5FF7">
        <w:rPr>
          <w:b/>
        </w:rPr>
        <w:t>Čo robiť, ak bol krúžok dočasne mimo pošvy</w:t>
      </w:r>
    </w:p>
    <w:p w14:paraId="21C5BBB6" w14:textId="77777777" w:rsidR="001F08FE" w:rsidRPr="000059C9" w:rsidRDefault="001F08FE" w:rsidP="001F4ACA"/>
    <w:p w14:paraId="39BEED04" w14:textId="4F0990F8" w:rsidR="001F08FE" w:rsidRPr="000059C9" w:rsidRDefault="007D1058" w:rsidP="001F4ACA">
      <w:pPr>
        <w:pStyle w:val="Zarkazkladnhotextu"/>
        <w:tabs>
          <w:tab w:val="left" w:pos="567"/>
        </w:tabs>
        <w:adjustRightInd w:val="0"/>
        <w:snapToGrid w:val="0"/>
        <w:ind w:left="567"/>
        <w:rPr>
          <w:rFonts w:cs="Times New Roman"/>
          <w:sz w:val="22"/>
          <w:szCs w:val="22"/>
        </w:rPr>
      </w:pPr>
      <w:r w:rsidRPr="000059C9">
        <w:rPr>
          <w:rFonts w:cs="Times New Roman"/>
          <w:sz w:val="22"/>
          <w:szCs w:val="22"/>
        </w:rPr>
        <w:t>Etonogestrel/Ethinylestradiol Mithra</w:t>
      </w:r>
      <w:r w:rsidR="001F08FE" w:rsidRPr="000059C9">
        <w:rPr>
          <w:rFonts w:cs="Times New Roman"/>
          <w:sz w:val="22"/>
          <w:szCs w:val="22"/>
        </w:rPr>
        <w:t xml:space="preserve"> sa musí nechať v pošve počas nepretržitého obdobia 3 týždňov. </w:t>
      </w:r>
      <w:r w:rsidR="001F08FE" w:rsidRPr="00EE5FF7">
        <w:rPr>
          <w:rFonts w:cs="Times New Roman"/>
          <w:sz w:val="22"/>
          <w:szCs w:val="22"/>
        </w:rPr>
        <w:t xml:space="preserve">Ak dôjde k náhodnému vypudeniu </w:t>
      </w:r>
      <w:r w:rsidR="00A60063">
        <w:rPr>
          <w:rFonts w:cs="Times New Roman"/>
          <w:sz w:val="22"/>
          <w:szCs w:val="22"/>
        </w:rPr>
        <w:t>krúžku</w:t>
      </w:r>
      <w:r w:rsidR="001F08FE" w:rsidRPr="001F4ACA">
        <w:rPr>
          <w:rFonts w:cs="Times New Roman"/>
          <w:sz w:val="22"/>
          <w:szCs w:val="22"/>
        </w:rPr>
        <w:t>,</w:t>
      </w:r>
      <w:r w:rsidR="001F08FE" w:rsidRPr="000059C9">
        <w:rPr>
          <w:rFonts w:cs="Times New Roman"/>
          <w:sz w:val="22"/>
          <w:szCs w:val="22"/>
        </w:rPr>
        <w:t xml:space="preserve"> </w:t>
      </w:r>
      <w:r w:rsidR="00A60063">
        <w:rPr>
          <w:rFonts w:cs="Times New Roman"/>
          <w:sz w:val="22"/>
          <w:szCs w:val="22"/>
        </w:rPr>
        <w:t>má</w:t>
      </w:r>
      <w:r w:rsidR="00A60063" w:rsidRPr="000059C9">
        <w:rPr>
          <w:rFonts w:cs="Times New Roman"/>
          <w:sz w:val="22"/>
          <w:szCs w:val="22"/>
        </w:rPr>
        <w:t xml:space="preserve"> </w:t>
      </w:r>
      <w:r w:rsidR="001F08FE" w:rsidRPr="000059C9">
        <w:rPr>
          <w:rFonts w:cs="Times New Roman"/>
          <w:sz w:val="22"/>
          <w:szCs w:val="22"/>
        </w:rPr>
        <w:t>sa opláchnuť studenou až vlažnou (nie horúcou) vodou a musí sa okamžite opätovne zaviesť.</w:t>
      </w:r>
    </w:p>
    <w:p w14:paraId="6C977942" w14:textId="77777777" w:rsidR="001F08FE" w:rsidRPr="000059C9" w:rsidRDefault="001F08FE" w:rsidP="001F4ACA">
      <w:pPr>
        <w:pStyle w:val="Zarkazkladnhotextu"/>
        <w:tabs>
          <w:tab w:val="left" w:pos="567"/>
        </w:tabs>
        <w:adjustRightInd w:val="0"/>
        <w:snapToGrid w:val="0"/>
        <w:ind w:left="567"/>
        <w:rPr>
          <w:rFonts w:cs="Times New Roman"/>
          <w:sz w:val="22"/>
          <w:szCs w:val="22"/>
        </w:rPr>
      </w:pPr>
    </w:p>
    <w:p w14:paraId="0A13CBC5" w14:textId="77777777" w:rsidR="001F08FE" w:rsidRPr="000059C9" w:rsidRDefault="001F08FE" w:rsidP="001F4ACA">
      <w:pPr>
        <w:pStyle w:val="Zarkazkladnhotextu"/>
        <w:tabs>
          <w:tab w:val="left" w:pos="567"/>
        </w:tabs>
        <w:adjustRightInd w:val="0"/>
        <w:snapToGrid w:val="0"/>
        <w:ind w:left="567"/>
        <w:rPr>
          <w:rFonts w:cs="Times New Roman"/>
          <w:sz w:val="22"/>
          <w:szCs w:val="22"/>
        </w:rPr>
      </w:pPr>
      <w:r w:rsidRPr="000059C9">
        <w:rPr>
          <w:rFonts w:cs="Times New Roman"/>
          <w:sz w:val="22"/>
          <w:szCs w:val="22"/>
        </w:rPr>
        <w:t xml:space="preserve">Ak bol </w:t>
      </w:r>
      <w:r w:rsidR="007D1058" w:rsidRPr="000059C9">
        <w:rPr>
          <w:rFonts w:cs="Times New Roman"/>
          <w:sz w:val="22"/>
          <w:szCs w:val="22"/>
        </w:rPr>
        <w:t>Etonogestrel/Ethinylestradiol Mithra</w:t>
      </w:r>
      <w:r w:rsidRPr="000059C9">
        <w:rPr>
          <w:rFonts w:cs="Times New Roman"/>
          <w:sz w:val="22"/>
          <w:szCs w:val="22"/>
        </w:rPr>
        <w:t xml:space="preserve"> mimo pošvy </w:t>
      </w:r>
      <w:r w:rsidRPr="000059C9">
        <w:rPr>
          <w:rFonts w:cs="Times New Roman"/>
          <w:b/>
          <w:bCs/>
          <w:sz w:val="22"/>
          <w:szCs w:val="22"/>
        </w:rPr>
        <w:t>menej ako 3</w:t>
      </w:r>
      <w:r w:rsidRPr="000059C9">
        <w:rPr>
          <w:rFonts w:cs="Times New Roman"/>
          <w:sz w:val="22"/>
          <w:szCs w:val="22"/>
        </w:rPr>
        <w:t> </w:t>
      </w:r>
      <w:r w:rsidRPr="000059C9">
        <w:rPr>
          <w:rFonts w:cs="Times New Roman"/>
          <w:b/>
          <w:bCs/>
          <w:sz w:val="22"/>
          <w:szCs w:val="22"/>
        </w:rPr>
        <w:t>hodiny</w:t>
      </w:r>
      <w:r w:rsidRPr="000059C9">
        <w:rPr>
          <w:rFonts w:cs="Times New Roman"/>
          <w:sz w:val="22"/>
          <w:szCs w:val="22"/>
        </w:rPr>
        <w:t>, kontraceptívna účinnosť sa neznížila. Žena si musí opätovne zaviesť krúžok hneď, ako to bude možné, ale najneskôr do 3 hodín.</w:t>
      </w:r>
    </w:p>
    <w:p w14:paraId="347D0288" w14:textId="77777777" w:rsidR="001F08FE" w:rsidRPr="000059C9" w:rsidRDefault="001F08FE" w:rsidP="001F4ACA">
      <w:pPr>
        <w:pStyle w:val="Zarkazkladnhotextu"/>
        <w:tabs>
          <w:tab w:val="left" w:pos="567"/>
        </w:tabs>
        <w:adjustRightInd w:val="0"/>
        <w:snapToGrid w:val="0"/>
        <w:ind w:left="567"/>
        <w:rPr>
          <w:rFonts w:cs="Times New Roman"/>
          <w:sz w:val="22"/>
          <w:szCs w:val="22"/>
        </w:rPr>
      </w:pPr>
    </w:p>
    <w:p w14:paraId="3AD6FD90" w14:textId="02B1A55A" w:rsidR="001F08FE" w:rsidRPr="000059C9" w:rsidRDefault="001F08FE" w:rsidP="001F4ACA">
      <w:pPr>
        <w:pStyle w:val="Zarkazkladnhotextu"/>
        <w:tabs>
          <w:tab w:val="left" w:pos="567"/>
        </w:tabs>
        <w:adjustRightInd w:val="0"/>
        <w:snapToGrid w:val="0"/>
        <w:ind w:left="567"/>
        <w:rPr>
          <w:rFonts w:cs="Times New Roman"/>
          <w:sz w:val="22"/>
          <w:szCs w:val="22"/>
        </w:rPr>
      </w:pPr>
      <w:r w:rsidRPr="000059C9">
        <w:rPr>
          <w:rFonts w:cs="Times New Roman"/>
          <w:sz w:val="22"/>
          <w:szCs w:val="22"/>
        </w:rPr>
        <w:t xml:space="preserve">Ak bol </w:t>
      </w:r>
      <w:r w:rsidR="007D1058" w:rsidRPr="000059C9">
        <w:rPr>
          <w:rFonts w:cs="Times New Roman"/>
          <w:sz w:val="22"/>
          <w:szCs w:val="22"/>
        </w:rPr>
        <w:t>Etonogestrel/Ethinylestradiol Mithra</w:t>
      </w:r>
      <w:r w:rsidRPr="000059C9">
        <w:rPr>
          <w:rFonts w:cs="Times New Roman"/>
          <w:sz w:val="22"/>
          <w:szCs w:val="22"/>
        </w:rPr>
        <w:t xml:space="preserve"> mimo pošvy</w:t>
      </w:r>
      <w:r w:rsidR="00A60063">
        <w:rPr>
          <w:rFonts w:cs="Times New Roman"/>
          <w:sz w:val="22"/>
          <w:szCs w:val="22"/>
        </w:rPr>
        <w:t xml:space="preserve"> alebo existuje podozrenie, že bol mimo posšvy</w:t>
      </w:r>
      <w:r w:rsidRPr="000059C9">
        <w:rPr>
          <w:rFonts w:cs="Times New Roman"/>
          <w:sz w:val="22"/>
          <w:szCs w:val="22"/>
        </w:rPr>
        <w:t xml:space="preserve"> </w:t>
      </w:r>
      <w:r w:rsidRPr="000059C9">
        <w:rPr>
          <w:rFonts w:cs="Times New Roman"/>
          <w:b/>
          <w:sz w:val="22"/>
          <w:szCs w:val="22"/>
        </w:rPr>
        <w:t>viac ako 3 hodiny počas 1. alebo 2. týždňa</w:t>
      </w:r>
      <w:r w:rsidRPr="000059C9">
        <w:rPr>
          <w:rFonts w:cs="Times New Roman"/>
          <w:sz w:val="22"/>
          <w:szCs w:val="22"/>
        </w:rPr>
        <w:t xml:space="preserve"> používania, kontraceptívna účinnosť </w:t>
      </w:r>
      <w:r w:rsidR="00A60063">
        <w:rPr>
          <w:rFonts w:cs="Times New Roman"/>
          <w:sz w:val="22"/>
          <w:szCs w:val="22"/>
        </w:rPr>
        <w:t>môže byť</w:t>
      </w:r>
      <w:r w:rsidRPr="000059C9">
        <w:rPr>
          <w:rFonts w:cs="Times New Roman"/>
          <w:sz w:val="22"/>
          <w:szCs w:val="22"/>
        </w:rPr>
        <w:t xml:space="preserve"> zníž</w:t>
      </w:r>
      <w:r w:rsidR="00A60063">
        <w:rPr>
          <w:rFonts w:cs="Times New Roman"/>
          <w:sz w:val="22"/>
          <w:szCs w:val="22"/>
        </w:rPr>
        <w:t>ená</w:t>
      </w:r>
      <w:r w:rsidRPr="000059C9">
        <w:rPr>
          <w:rFonts w:cs="Times New Roman"/>
          <w:sz w:val="22"/>
          <w:szCs w:val="22"/>
        </w:rPr>
        <w:t xml:space="preserve">. Žena si musí opätovne zaviesť krúžok hneď, ako si spomenie. Kým </w:t>
      </w:r>
      <w:r w:rsidR="007D1058" w:rsidRPr="000059C9">
        <w:rPr>
          <w:rFonts w:cs="Times New Roman"/>
          <w:sz w:val="22"/>
          <w:szCs w:val="22"/>
        </w:rPr>
        <w:t>Etonogestrel/Ethinylestradiol Mithra</w:t>
      </w:r>
      <w:r w:rsidRPr="000059C9">
        <w:rPr>
          <w:rFonts w:cs="Times New Roman"/>
          <w:sz w:val="22"/>
          <w:szCs w:val="22"/>
        </w:rPr>
        <w:t xml:space="preserve"> nebude v pošve nepretržite 7 dní, musí sa používať bariérová metóda, ako napr.</w:t>
      </w:r>
      <w:r w:rsidR="00CB3C4B" w:rsidRPr="001F4ACA">
        <w:rPr>
          <w:rFonts w:cs="Times New Roman"/>
          <w:sz w:val="22"/>
          <w:szCs w:val="22"/>
        </w:rPr>
        <w:t xml:space="preserve"> </w:t>
      </w:r>
      <w:r w:rsidR="00887013">
        <w:rPr>
          <w:rFonts w:cs="Times New Roman"/>
          <w:sz w:val="22"/>
          <w:szCs w:val="22"/>
        </w:rPr>
        <w:t xml:space="preserve">mužský </w:t>
      </w:r>
      <w:r w:rsidRPr="000059C9">
        <w:rPr>
          <w:rFonts w:cs="Times New Roman"/>
          <w:sz w:val="22"/>
          <w:szCs w:val="22"/>
        </w:rPr>
        <w:t xml:space="preserve">prezervatív. Čím dlhší čas bol </w:t>
      </w:r>
      <w:r w:rsidR="007D1058" w:rsidRPr="000059C9">
        <w:rPr>
          <w:rFonts w:cs="Times New Roman"/>
          <w:sz w:val="22"/>
          <w:szCs w:val="22"/>
        </w:rPr>
        <w:t>Etonogestrel/Ethinylestradiol Mithra</w:t>
      </w:r>
      <w:r w:rsidRPr="000059C9">
        <w:rPr>
          <w:rFonts w:cs="Times New Roman"/>
          <w:sz w:val="22"/>
          <w:szCs w:val="22"/>
        </w:rPr>
        <w:t xml:space="preserve"> mimo pošvy a čím bližšie je to k obdobiu bez krúžku, tým vyššie je riziko gravidity.</w:t>
      </w:r>
    </w:p>
    <w:p w14:paraId="64CA5534" w14:textId="77777777" w:rsidR="001F08FE" w:rsidRPr="000059C9" w:rsidRDefault="001F08FE" w:rsidP="001F4ACA">
      <w:pPr>
        <w:pStyle w:val="Zarkazkladnhotextu"/>
        <w:tabs>
          <w:tab w:val="left" w:pos="567"/>
        </w:tabs>
        <w:adjustRightInd w:val="0"/>
        <w:snapToGrid w:val="0"/>
        <w:ind w:left="567"/>
        <w:rPr>
          <w:rFonts w:cs="Times New Roman"/>
          <w:sz w:val="22"/>
          <w:szCs w:val="22"/>
        </w:rPr>
      </w:pPr>
    </w:p>
    <w:p w14:paraId="41338834" w14:textId="37F0D06A" w:rsidR="001F08FE" w:rsidRPr="000059C9" w:rsidRDefault="001F08FE" w:rsidP="001F4ACA">
      <w:pPr>
        <w:pStyle w:val="Zarkazkladnhotextu"/>
        <w:tabs>
          <w:tab w:val="left" w:pos="567"/>
        </w:tabs>
        <w:adjustRightInd w:val="0"/>
        <w:snapToGrid w:val="0"/>
        <w:ind w:left="567"/>
        <w:rPr>
          <w:rFonts w:cs="Times New Roman"/>
          <w:sz w:val="22"/>
          <w:szCs w:val="22"/>
        </w:rPr>
      </w:pPr>
      <w:r w:rsidRPr="000059C9">
        <w:rPr>
          <w:rFonts w:cs="Times New Roman"/>
          <w:sz w:val="22"/>
          <w:szCs w:val="22"/>
        </w:rPr>
        <w:t xml:space="preserve">Ak bol </w:t>
      </w:r>
      <w:r w:rsidR="007D1058" w:rsidRPr="000059C9">
        <w:rPr>
          <w:rFonts w:cs="Times New Roman"/>
          <w:sz w:val="22"/>
          <w:szCs w:val="22"/>
        </w:rPr>
        <w:t>Etonogestrel/Ethinylestradiol Mithra</w:t>
      </w:r>
      <w:r w:rsidRPr="000059C9">
        <w:rPr>
          <w:rFonts w:cs="Times New Roman"/>
          <w:sz w:val="22"/>
          <w:szCs w:val="22"/>
        </w:rPr>
        <w:t xml:space="preserve"> mimo pošvy</w:t>
      </w:r>
      <w:r w:rsidR="00A60063">
        <w:rPr>
          <w:rFonts w:cs="Times New Roman"/>
          <w:sz w:val="22"/>
          <w:szCs w:val="22"/>
        </w:rPr>
        <w:t xml:space="preserve"> </w:t>
      </w:r>
      <w:r w:rsidR="00A60063" w:rsidRPr="000059C9">
        <w:rPr>
          <w:rFonts w:cs="Times New Roman"/>
          <w:sz w:val="22"/>
          <w:szCs w:val="22"/>
        </w:rPr>
        <w:t>alebo existuje podozrenie, že bol mimo pošvy</w:t>
      </w:r>
      <w:r w:rsidRPr="000059C9">
        <w:rPr>
          <w:rFonts w:cs="Times New Roman"/>
          <w:sz w:val="22"/>
          <w:szCs w:val="22"/>
        </w:rPr>
        <w:t xml:space="preserve"> </w:t>
      </w:r>
      <w:r w:rsidRPr="000059C9">
        <w:rPr>
          <w:rFonts w:cs="Times New Roman"/>
          <w:b/>
          <w:sz w:val="22"/>
          <w:szCs w:val="22"/>
        </w:rPr>
        <w:t>viac ako 3</w:t>
      </w:r>
      <w:r w:rsidRPr="000059C9">
        <w:rPr>
          <w:rFonts w:cs="Times New Roman"/>
          <w:sz w:val="22"/>
          <w:szCs w:val="22"/>
        </w:rPr>
        <w:t> </w:t>
      </w:r>
      <w:r w:rsidRPr="000059C9">
        <w:rPr>
          <w:rFonts w:cs="Times New Roman"/>
          <w:b/>
          <w:sz w:val="22"/>
          <w:szCs w:val="22"/>
        </w:rPr>
        <w:t>hodiny počas 3.</w:t>
      </w:r>
      <w:r w:rsidRPr="000059C9">
        <w:rPr>
          <w:rFonts w:cs="Times New Roman"/>
          <w:sz w:val="22"/>
          <w:szCs w:val="22"/>
        </w:rPr>
        <w:t> </w:t>
      </w:r>
      <w:r w:rsidRPr="000059C9">
        <w:rPr>
          <w:rFonts w:cs="Times New Roman"/>
          <w:b/>
          <w:sz w:val="22"/>
          <w:szCs w:val="22"/>
        </w:rPr>
        <w:t>týždňa</w:t>
      </w:r>
      <w:r w:rsidRPr="000059C9">
        <w:rPr>
          <w:rFonts w:cs="Times New Roman"/>
          <w:sz w:val="22"/>
          <w:szCs w:val="22"/>
        </w:rPr>
        <w:t xml:space="preserve"> v období trojtýždňového používania , kontraceptívna účinnosť sa môže znížiť. Žena musí tento krúžok zlikvidovať a musí sa zvoliť jedna z nasledujúcich dvoch možností:</w:t>
      </w:r>
    </w:p>
    <w:p w14:paraId="70FD0456" w14:textId="77777777" w:rsidR="001F08FE" w:rsidRPr="000059C9" w:rsidRDefault="001F08FE" w:rsidP="001F4ACA">
      <w:pPr>
        <w:pStyle w:val="Zarkazkladnhotextu"/>
        <w:tabs>
          <w:tab w:val="left" w:pos="567"/>
        </w:tabs>
        <w:adjustRightInd w:val="0"/>
        <w:snapToGrid w:val="0"/>
        <w:ind w:left="567"/>
        <w:rPr>
          <w:rFonts w:cs="Times New Roman"/>
          <w:sz w:val="22"/>
          <w:szCs w:val="22"/>
        </w:rPr>
      </w:pPr>
    </w:p>
    <w:p w14:paraId="359C4217" w14:textId="77777777" w:rsidR="001F08FE" w:rsidRPr="000059C9" w:rsidRDefault="001F08FE" w:rsidP="001F4ACA">
      <w:pPr>
        <w:pStyle w:val="Odsekzoznamu"/>
        <w:numPr>
          <w:ilvl w:val="0"/>
          <w:numId w:val="46"/>
        </w:numPr>
      </w:pPr>
      <w:r w:rsidRPr="000059C9">
        <w:t>Okamžite zaviesť nový krúžok</w:t>
      </w:r>
      <w:r w:rsidR="009A5DDF">
        <w:t>.</w:t>
      </w:r>
    </w:p>
    <w:p w14:paraId="46A04718" w14:textId="77777777" w:rsidR="001F08FE" w:rsidRPr="000059C9" w:rsidRDefault="001F08FE" w:rsidP="001F4ACA">
      <w:pPr>
        <w:pStyle w:val="Odsekzoznamu"/>
        <w:ind w:left="927"/>
      </w:pPr>
      <w:r w:rsidRPr="000059C9">
        <w:t>Poznámka: Zavedením nového krúžku sa začne nové obdobie trojtýždňového používania. U ženy sa nemusí objaviť krvácanie z vysadenia z jej predchádzajúceho cyklu. Môže sa však objaviť medzimenštruačné špinenie alebo krvácanie.</w:t>
      </w:r>
    </w:p>
    <w:p w14:paraId="0DD43C4A" w14:textId="77777777" w:rsidR="001F08FE" w:rsidRPr="000059C9" w:rsidRDefault="001F08FE" w:rsidP="001F4ACA">
      <w:pPr>
        <w:pStyle w:val="Odsekzoznamu"/>
        <w:numPr>
          <w:ilvl w:val="0"/>
          <w:numId w:val="46"/>
        </w:numPr>
      </w:pPr>
      <w:r w:rsidRPr="000059C9">
        <w:t>Umožniť krvácanie z vysadenia a zaviesť nový krúžok najneskôr 7 dní (7 x 24 hodín) od času vybratia alebo vypudenia predchádzajúceho krúžku.</w:t>
      </w:r>
    </w:p>
    <w:p w14:paraId="22198AD2" w14:textId="77777777" w:rsidR="001F08FE" w:rsidRPr="000059C9" w:rsidRDefault="001F08FE" w:rsidP="001F4ACA">
      <w:pPr>
        <w:pStyle w:val="Odsekzoznamu"/>
        <w:ind w:left="927"/>
      </w:pPr>
      <w:r w:rsidRPr="000059C9">
        <w:t>Poznámka: Táto možnosť sa má zvoliť len vtedy, ak sa krúžok používal nepretržite počas posledných 7 dní.</w:t>
      </w:r>
    </w:p>
    <w:p w14:paraId="48EF6D02" w14:textId="77777777" w:rsidR="001F08FE" w:rsidRPr="000059C9" w:rsidRDefault="001F08FE">
      <w:pPr>
        <w:adjustRightInd w:val="0"/>
        <w:snapToGrid w:val="0"/>
        <w:rPr>
          <w:szCs w:val="22"/>
        </w:rPr>
      </w:pPr>
    </w:p>
    <w:p w14:paraId="2435D3F3" w14:textId="77777777" w:rsidR="002B09C7" w:rsidRPr="000059C9" w:rsidRDefault="003153FB">
      <w:pPr>
        <w:adjustRightInd w:val="0"/>
        <w:snapToGrid w:val="0"/>
        <w:ind w:left="567" w:firstLine="3"/>
        <w:rPr>
          <w:szCs w:val="22"/>
        </w:rPr>
      </w:pPr>
      <w:r w:rsidRPr="000059C9">
        <w:rPr>
          <w:szCs w:val="22"/>
        </w:rPr>
        <w:t xml:space="preserve">Ak </w:t>
      </w:r>
      <w:r w:rsidR="002B09C7" w:rsidRPr="000059C9">
        <w:rPr>
          <w:szCs w:val="22"/>
        </w:rPr>
        <w:t>nie je známe</w:t>
      </w:r>
      <w:r w:rsidR="001F75A3" w:rsidRPr="000059C9">
        <w:rPr>
          <w:szCs w:val="22"/>
        </w:rPr>
        <w:t>,</w:t>
      </w:r>
      <w:r w:rsidR="002B09C7" w:rsidRPr="000059C9">
        <w:rPr>
          <w:szCs w:val="22"/>
        </w:rPr>
        <w:t xml:space="preserve"> ako dlho </w:t>
      </w:r>
      <w:r w:rsidRPr="000059C9">
        <w:rPr>
          <w:szCs w:val="22"/>
        </w:rPr>
        <w:t xml:space="preserve">bol </w:t>
      </w:r>
      <w:r w:rsidR="007D1058" w:rsidRPr="000059C9">
        <w:rPr>
          <w:szCs w:val="22"/>
        </w:rPr>
        <w:t>Etonogestrel/Ethinylestradiol Mithra</w:t>
      </w:r>
      <w:r w:rsidRPr="000059C9">
        <w:rPr>
          <w:szCs w:val="22"/>
        </w:rPr>
        <w:t xml:space="preserve"> mimo pošv</w:t>
      </w:r>
      <w:r w:rsidR="00984978" w:rsidRPr="000059C9">
        <w:rPr>
          <w:szCs w:val="22"/>
        </w:rPr>
        <w:t>y</w:t>
      </w:r>
      <w:r w:rsidR="002B09C7" w:rsidRPr="000059C9">
        <w:rPr>
          <w:szCs w:val="22"/>
        </w:rPr>
        <w:t xml:space="preserve">, </w:t>
      </w:r>
      <w:r w:rsidR="00984978" w:rsidRPr="000059C9">
        <w:rPr>
          <w:szCs w:val="22"/>
        </w:rPr>
        <w:t>musí sa vziať do úvahy možnosť gravidity</w:t>
      </w:r>
      <w:r w:rsidR="002B09C7" w:rsidRPr="000059C9">
        <w:rPr>
          <w:szCs w:val="22"/>
        </w:rPr>
        <w:t>. Pred zavedením nového krúžku sa má vykonať tehotenský test.</w:t>
      </w:r>
    </w:p>
    <w:p w14:paraId="4010CC2C" w14:textId="77777777" w:rsidR="003153FB" w:rsidRPr="000059C9" w:rsidRDefault="003153FB">
      <w:pPr>
        <w:adjustRightInd w:val="0"/>
        <w:snapToGrid w:val="0"/>
        <w:rPr>
          <w:szCs w:val="22"/>
        </w:rPr>
      </w:pPr>
    </w:p>
    <w:p w14:paraId="5F7584FB" w14:textId="77777777" w:rsidR="001F08FE" w:rsidRPr="000059C9" w:rsidRDefault="001F08FE" w:rsidP="001F4ACA">
      <w:pPr>
        <w:pStyle w:val="Odsekzoznamu"/>
        <w:numPr>
          <w:ilvl w:val="0"/>
          <w:numId w:val="45"/>
        </w:numPr>
        <w:ind w:left="567" w:hanging="567"/>
        <w:rPr>
          <w:b/>
          <w:bCs/>
          <w:szCs w:val="22"/>
        </w:rPr>
      </w:pPr>
      <w:r w:rsidRPr="00EE5FF7">
        <w:rPr>
          <w:b/>
        </w:rPr>
        <w:t>Čo robiť v prípade predĺženého používania krúžku</w:t>
      </w:r>
    </w:p>
    <w:p w14:paraId="3A7B7896" w14:textId="77777777" w:rsidR="001F08FE" w:rsidRPr="000059C9" w:rsidRDefault="001F08FE" w:rsidP="001F4ACA"/>
    <w:p w14:paraId="2DCDDF72" w14:textId="2C7850B2" w:rsidR="001F08FE" w:rsidRPr="000059C9" w:rsidRDefault="001F08FE">
      <w:pPr>
        <w:adjustRightInd w:val="0"/>
        <w:snapToGrid w:val="0"/>
        <w:ind w:left="567"/>
        <w:rPr>
          <w:szCs w:val="22"/>
        </w:rPr>
      </w:pPr>
      <w:r w:rsidRPr="000059C9">
        <w:rPr>
          <w:szCs w:val="22"/>
        </w:rPr>
        <w:t xml:space="preserve">Hoci to nie je odporúčaný režim, pokiaľ sa </w:t>
      </w:r>
      <w:r w:rsidR="007D1058" w:rsidRPr="000059C9">
        <w:rPr>
          <w:szCs w:val="22"/>
        </w:rPr>
        <w:t>Etonogestrel/Ethinylestradiol Mithra</w:t>
      </w:r>
      <w:r w:rsidRPr="000059C9">
        <w:rPr>
          <w:szCs w:val="22"/>
        </w:rPr>
        <w:t xml:space="preserve"> používal počas </w:t>
      </w:r>
      <w:r w:rsidRPr="000059C9">
        <w:rPr>
          <w:b/>
          <w:bCs/>
          <w:szCs w:val="22"/>
        </w:rPr>
        <w:t>maximálne 4</w:t>
      </w:r>
      <w:r w:rsidRPr="000059C9">
        <w:rPr>
          <w:szCs w:val="22"/>
        </w:rPr>
        <w:t> </w:t>
      </w:r>
      <w:r w:rsidRPr="000059C9">
        <w:rPr>
          <w:b/>
          <w:bCs/>
          <w:szCs w:val="22"/>
        </w:rPr>
        <w:t>týždňov</w:t>
      </w:r>
      <w:r w:rsidRPr="000059C9">
        <w:rPr>
          <w:szCs w:val="22"/>
        </w:rPr>
        <w:t xml:space="preserve">, kontraceptívna účinnosť je ešte stále dostatočná. Žena môže dodržať týždňové obdobie bez krúžku a následne si zaviesť nový krúžok. Ak bol </w:t>
      </w:r>
      <w:r w:rsidR="007D1058" w:rsidRPr="000059C9">
        <w:rPr>
          <w:szCs w:val="22"/>
        </w:rPr>
        <w:t>Etonogestrel/Ethinylestradiol Mithra</w:t>
      </w:r>
      <w:r w:rsidRPr="000059C9">
        <w:rPr>
          <w:szCs w:val="22"/>
        </w:rPr>
        <w:t xml:space="preserve"> ponechaný v pošve </w:t>
      </w:r>
      <w:r w:rsidRPr="000059C9">
        <w:rPr>
          <w:b/>
          <w:bCs/>
          <w:szCs w:val="22"/>
        </w:rPr>
        <w:t>viac ako 4</w:t>
      </w:r>
      <w:r w:rsidRPr="000059C9">
        <w:rPr>
          <w:szCs w:val="22"/>
        </w:rPr>
        <w:t> </w:t>
      </w:r>
      <w:r w:rsidRPr="000059C9">
        <w:rPr>
          <w:b/>
          <w:bCs/>
          <w:szCs w:val="22"/>
        </w:rPr>
        <w:t>týždne</w:t>
      </w:r>
      <w:r w:rsidRPr="000059C9">
        <w:rPr>
          <w:szCs w:val="22"/>
        </w:rPr>
        <w:t xml:space="preserve">, kontraceptívna účinnosť sa môže znížiť a pred zavedením nového </w:t>
      </w:r>
      <w:r w:rsidR="00A60063">
        <w:rPr>
          <w:szCs w:val="22"/>
        </w:rPr>
        <w:t xml:space="preserve">krúžku </w:t>
      </w:r>
      <w:r w:rsidR="007D1058" w:rsidRPr="000059C9">
        <w:rPr>
          <w:szCs w:val="22"/>
        </w:rPr>
        <w:t>Etonogestrel/Ethinylestradiol Mithra</w:t>
      </w:r>
      <w:r w:rsidRPr="000059C9">
        <w:rPr>
          <w:szCs w:val="22"/>
        </w:rPr>
        <w:t xml:space="preserve"> sa musí vylúčiť gravidita.</w:t>
      </w:r>
    </w:p>
    <w:p w14:paraId="4E01E0CB" w14:textId="77777777" w:rsidR="001F08FE" w:rsidRPr="000059C9" w:rsidRDefault="001F08FE">
      <w:pPr>
        <w:adjustRightInd w:val="0"/>
        <w:snapToGrid w:val="0"/>
        <w:rPr>
          <w:szCs w:val="22"/>
        </w:rPr>
      </w:pPr>
    </w:p>
    <w:p w14:paraId="3919B76B" w14:textId="1EBC7C81" w:rsidR="001F08FE" w:rsidRPr="000059C9" w:rsidRDefault="001F08FE">
      <w:pPr>
        <w:adjustRightInd w:val="0"/>
        <w:snapToGrid w:val="0"/>
        <w:ind w:left="567"/>
        <w:rPr>
          <w:szCs w:val="22"/>
        </w:rPr>
      </w:pPr>
      <w:r w:rsidRPr="000059C9">
        <w:rPr>
          <w:szCs w:val="22"/>
        </w:rPr>
        <w:t>Ak žena nedodržala odporúčaný režim a následne sa u nej neobjavilo krvácanie z vysadenia v nasledujúcom období bez krúžku, pred zavedením nového</w:t>
      </w:r>
      <w:r w:rsidR="00A60063">
        <w:rPr>
          <w:szCs w:val="22"/>
        </w:rPr>
        <w:t xml:space="preserve"> krúžku</w:t>
      </w:r>
      <w:r w:rsidRPr="000059C9">
        <w:rPr>
          <w:szCs w:val="22"/>
        </w:rPr>
        <w:t xml:space="preserve"> </w:t>
      </w:r>
      <w:r w:rsidR="007D1058" w:rsidRPr="000059C9">
        <w:rPr>
          <w:szCs w:val="22"/>
        </w:rPr>
        <w:t>Etonogestrel/Ethinylestradiol Mithra</w:t>
      </w:r>
      <w:r w:rsidRPr="000059C9">
        <w:rPr>
          <w:szCs w:val="22"/>
        </w:rPr>
        <w:t xml:space="preserve"> sa musí vylúčiť gravidita.</w:t>
      </w:r>
    </w:p>
    <w:p w14:paraId="2A9E5E63" w14:textId="77777777" w:rsidR="001F08FE" w:rsidRPr="000059C9" w:rsidRDefault="001F08FE">
      <w:pPr>
        <w:adjustRightInd w:val="0"/>
        <w:snapToGrid w:val="0"/>
        <w:rPr>
          <w:szCs w:val="22"/>
        </w:rPr>
      </w:pPr>
    </w:p>
    <w:p w14:paraId="1897BFA1" w14:textId="77777777" w:rsidR="001F08FE" w:rsidRPr="000059C9" w:rsidRDefault="001F08FE" w:rsidP="001F4ACA">
      <w:r w:rsidRPr="000059C9">
        <w:t>AKO POSUNÚŤ ALEBO ODDIALIŤ MENŠTRUÁCIU</w:t>
      </w:r>
    </w:p>
    <w:p w14:paraId="109F37CB" w14:textId="77777777" w:rsidR="001F08FE" w:rsidRPr="000059C9" w:rsidRDefault="001F08FE" w:rsidP="001F4ACA"/>
    <w:p w14:paraId="472C11FB" w14:textId="40013169" w:rsidR="001F08FE" w:rsidRPr="000059C9" w:rsidRDefault="001F08FE">
      <w:pPr>
        <w:adjustRightInd w:val="0"/>
        <w:snapToGrid w:val="0"/>
        <w:rPr>
          <w:szCs w:val="22"/>
        </w:rPr>
      </w:pPr>
      <w:r w:rsidRPr="000059C9">
        <w:rPr>
          <w:szCs w:val="22"/>
        </w:rPr>
        <w:t xml:space="preserve">Vo výnimočných prípadoch, ak je potrebné </w:t>
      </w:r>
      <w:r w:rsidRPr="000059C9">
        <w:rPr>
          <w:b/>
          <w:bCs/>
          <w:szCs w:val="22"/>
        </w:rPr>
        <w:t xml:space="preserve">oddialiť </w:t>
      </w:r>
      <w:r w:rsidRPr="000059C9">
        <w:rPr>
          <w:szCs w:val="22"/>
        </w:rPr>
        <w:t xml:space="preserve">menštruáciu, si žena môže zaviesť nový krúžok bez obdobia bez krúžku. Ďalší krúžok sa môže opäť používať počas 3 týždňov. U ženy sa môže objaviť krvácanie alebo špinenie. V pravidelnom používaní </w:t>
      </w:r>
      <w:r w:rsidR="007D1058" w:rsidRPr="000059C9">
        <w:rPr>
          <w:szCs w:val="22"/>
        </w:rPr>
        <w:t>Etonogestrel/Ethinylestradiol</w:t>
      </w:r>
      <w:r w:rsidR="00CC3B7A">
        <w:rPr>
          <w:szCs w:val="22"/>
        </w:rPr>
        <w:t>u</w:t>
      </w:r>
      <w:r w:rsidR="007D1058" w:rsidRPr="000059C9">
        <w:rPr>
          <w:szCs w:val="22"/>
        </w:rPr>
        <w:t xml:space="preserve"> Mithra</w:t>
      </w:r>
      <w:r w:rsidRPr="000059C9">
        <w:rPr>
          <w:szCs w:val="22"/>
        </w:rPr>
        <w:t xml:space="preserve"> sa pokračuje po zvyčajnom týždňovom období bez krúžku.</w:t>
      </w:r>
    </w:p>
    <w:p w14:paraId="00BA9C9C" w14:textId="77777777" w:rsidR="001F08FE" w:rsidRPr="000059C9" w:rsidRDefault="001F08FE">
      <w:pPr>
        <w:adjustRightInd w:val="0"/>
        <w:snapToGrid w:val="0"/>
        <w:rPr>
          <w:szCs w:val="22"/>
        </w:rPr>
      </w:pPr>
    </w:p>
    <w:p w14:paraId="1216B8A8" w14:textId="77777777" w:rsidR="001F08FE" w:rsidRPr="000059C9" w:rsidRDefault="001F08FE">
      <w:pPr>
        <w:adjustRightInd w:val="0"/>
        <w:snapToGrid w:val="0"/>
        <w:rPr>
          <w:szCs w:val="22"/>
        </w:rPr>
      </w:pPr>
      <w:r w:rsidRPr="000059C9">
        <w:rPr>
          <w:szCs w:val="22"/>
        </w:rPr>
        <w:t xml:space="preserve">Na </w:t>
      </w:r>
      <w:r w:rsidRPr="000059C9">
        <w:rPr>
          <w:b/>
          <w:bCs/>
          <w:szCs w:val="22"/>
        </w:rPr>
        <w:t xml:space="preserve">posun </w:t>
      </w:r>
      <w:r w:rsidRPr="000059C9">
        <w:rPr>
          <w:szCs w:val="22"/>
        </w:rPr>
        <w:t>menštruácie na iný deň v týždni, ako ten, na ktorý je žena zvyknutá s jej doterajším rozvrhom, sa žene môže poradiť, aby skrátila nasledujúce obdobie bez krúžku o toľko dní, o koľko si želá. Čím kratšie je obdobie bez krúžku, tým vyššie je riziko, že nedôjde ku krvácaniu z vysadenia a objaví sa u nej medzimenštruačné krvácanie a špinenie počas používania ďalšieho krúžku.</w:t>
      </w:r>
    </w:p>
    <w:p w14:paraId="0CB6D06A" w14:textId="77777777" w:rsidR="001F08FE" w:rsidRPr="000059C9" w:rsidRDefault="001F08FE">
      <w:pPr>
        <w:adjustRightInd w:val="0"/>
        <w:snapToGrid w:val="0"/>
        <w:rPr>
          <w:szCs w:val="22"/>
        </w:rPr>
      </w:pPr>
    </w:p>
    <w:p w14:paraId="5C662725" w14:textId="77777777" w:rsidR="001F08FE" w:rsidRPr="001F4ACA" w:rsidRDefault="001F08FE" w:rsidP="001F4ACA">
      <w:pPr>
        <w:rPr>
          <w:b/>
        </w:rPr>
      </w:pPr>
      <w:r w:rsidRPr="001F4ACA">
        <w:rPr>
          <w:b/>
        </w:rPr>
        <w:t>4.3</w:t>
      </w:r>
      <w:r w:rsidRPr="001F4ACA">
        <w:rPr>
          <w:b/>
        </w:rPr>
        <w:tab/>
        <w:t>Kontraindikácie</w:t>
      </w:r>
    </w:p>
    <w:p w14:paraId="55F89437" w14:textId="77777777" w:rsidR="001F08FE" w:rsidRPr="000059C9" w:rsidRDefault="001F08FE" w:rsidP="001F4ACA"/>
    <w:p w14:paraId="3C5AD500" w14:textId="08D16D1A" w:rsidR="001F08FE" w:rsidRPr="000059C9" w:rsidRDefault="001F08FE" w:rsidP="001F4ACA">
      <w:pPr>
        <w:pStyle w:val="Zarkazkladnhotextu"/>
        <w:adjustRightInd w:val="0"/>
        <w:snapToGrid w:val="0"/>
        <w:ind w:left="0"/>
        <w:rPr>
          <w:rFonts w:cs="Times New Roman"/>
          <w:bCs/>
          <w:sz w:val="22"/>
          <w:szCs w:val="22"/>
        </w:rPr>
      </w:pPr>
      <w:r w:rsidRPr="000059C9">
        <w:rPr>
          <w:rFonts w:cs="Times New Roman"/>
          <w:sz w:val="22"/>
          <w:szCs w:val="22"/>
        </w:rPr>
        <w:t>CHC sa nemajú</w:t>
      </w:r>
      <w:r w:rsidRPr="000059C9">
        <w:rPr>
          <w:rFonts w:cs="Times New Roman"/>
          <w:bCs/>
          <w:sz w:val="22"/>
          <w:szCs w:val="22"/>
        </w:rPr>
        <w:t xml:space="preserve"> používať v nasledujúcich podmienkach. Ak sa objaví niektorý z týchto stavov po prvýkrát</w:t>
      </w:r>
      <w:r w:rsidRPr="000059C9" w:rsidDel="00062A13">
        <w:rPr>
          <w:rFonts w:cs="Times New Roman"/>
          <w:bCs/>
          <w:sz w:val="22"/>
          <w:szCs w:val="22"/>
        </w:rPr>
        <w:t xml:space="preserve"> </w:t>
      </w:r>
      <w:r w:rsidRPr="000059C9">
        <w:rPr>
          <w:rFonts w:cs="Times New Roman"/>
          <w:bCs/>
          <w:sz w:val="22"/>
          <w:szCs w:val="22"/>
        </w:rPr>
        <w:t xml:space="preserve">počas používania </w:t>
      </w:r>
      <w:r w:rsidR="007D1058" w:rsidRPr="000059C9">
        <w:rPr>
          <w:rFonts w:cs="Times New Roman"/>
          <w:bCs/>
          <w:sz w:val="22"/>
          <w:szCs w:val="22"/>
        </w:rPr>
        <w:t>Etonogestrel/Ethinylestradiol</w:t>
      </w:r>
      <w:r w:rsidR="00CC3B7A">
        <w:rPr>
          <w:rFonts w:cs="Times New Roman"/>
          <w:bCs/>
          <w:sz w:val="22"/>
          <w:szCs w:val="22"/>
        </w:rPr>
        <w:t>u</w:t>
      </w:r>
      <w:r w:rsidR="007D1058" w:rsidRPr="000059C9">
        <w:rPr>
          <w:rFonts w:cs="Times New Roman"/>
          <w:bCs/>
          <w:sz w:val="22"/>
          <w:szCs w:val="22"/>
        </w:rPr>
        <w:t xml:space="preserve"> Mithra</w:t>
      </w:r>
      <w:r w:rsidRPr="000059C9">
        <w:rPr>
          <w:rFonts w:cs="Times New Roman"/>
          <w:bCs/>
          <w:sz w:val="22"/>
          <w:szCs w:val="22"/>
        </w:rPr>
        <w:t>, krúžok sa musí okamžite vybrať.</w:t>
      </w:r>
    </w:p>
    <w:p w14:paraId="03AA44BC" w14:textId="77777777" w:rsidR="002B09C7" w:rsidRPr="000059C9" w:rsidRDefault="002B09C7" w:rsidP="001F4ACA">
      <w:pPr>
        <w:pStyle w:val="Zarkazkladnhotextu"/>
        <w:adjustRightInd w:val="0"/>
        <w:snapToGrid w:val="0"/>
        <w:ind w:left="0"/>
        <w:rPr>
          <w:rFonts w:cs="Times New Roman"/>
          <w:bCs/>
          <w:sz w:val="22"/>
          <w:szCs w:val="22"/>
        </w:rPr>
      </w:pPr>
    </w:p>
    <w:p w14:paraId="361B8AB5" w14:textId="77777777" w:rsidR="001F08FE" w:rsidRPr="001F4ACA" w:rsidRDefault="001F08FE" w:rsidP="001F4ACA">
      <w:pPr>
        <w:pStyle w:val="Zarkazkladnhotextu"/>
        <w:numPr>
          <w:ilvl w:val="0"/>
          <w:numId w:val="36"/>
        </w:numPr>
        <w:tabs>
          <w:tab w:val="clear" w:pos="1080"/>
          <w:tab w:val="left" w:pos="567"/>
        </w:tabs>
        <w:adjustRightInd w:val="0"/>
        <w:snapToGrid w:val="0"/>
        <w:ind w:left="567" w:hanging="567"/>
        <w:rPr>
          <w:rFonts w:cs="Times New Roman"/>
          <w:bCs/>
          <w:sz w:val="22"/>
          <w:szCs w:val="22"/>
        </w:rPr>
      </w:pPr>
      <w:r w:rsidRPr="001F4ACA">
        <w:rPr>
          <w:rFonts w:cs="Times New Roman"/>
          <w:bCs/>
          <w:sz w:val="22"/>
          <w:szCs w:val="22"/>
        </w:rPr>
        <w:t xml:space="preserve">Prítomnosť alebo riziko vzniku venóznej tromboembólie (VTE) </w:t>
      </w:r>
    </w:p>
    <w:p w14:paraId="59A51440"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EE5FF7">
        <w:rPr>
          <w:rFonts w:cs="Times New Roman"/>
          <w:bCs/>
          <w:sz w:val="22"/>
          <w:szCs w:val="22"/>
        </w:rPr>
        <w:t>Venózna tromboembólia – prítomná VTE (liečená antikoagulanciami) alebo v anamnéze (napr. trombóza hĺbkových žíl [</w:t>
      </w:r>
      <w:r w:rsidR="00A60063">
        <w:rPr>
          <w:rFonts w:cs="Times New Roman"/>
          <w:bCs/>
          <w:sz w:val="22"/>
          <w:szCs w:val="22"/>
        </w:rPr>
        <w:t xml:space="preserve">deep vein thrombosis </w:t>
      </w:r>
      <w:r w:rsidRPr="00EE5FF7">
        <w:rPr>
          <w:rFonts w:cs="Times New Roman"/>
          <w:bCs/>
          <w:sz w:val="22"/>
          <w:szCs w:val="22"/>
        </w:rPr>
        <w:t>DVT] alebo pľúcna embólia [PE]).</w:t>
      </w:r>
    </w:p>
    <w:p w14:paraId="2D06B491"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Známa dedičná alebo získaná predispozícia na vznik venóznej tromboembólie, ako napríklad rezistencia voči APC (vrátane faktora V Leiden), deficiencia antitrombínu-III, deficiencia proteínu C, deficiencia proteínu S.</w:t>
      </w:r>
    </w:p>
    <w:p w14:paraId="7549E5EE"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Závažný chirurgický zákrok s dlhodobou imobilizáciou (pozri časť 4.4).</w:t>
      </w:r>
    </w:p>
    <w:p w14:paraId="2F06D1B3"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Vysoké riziko vzniku venóznej tromboembólie z dôvodu prítomnosti viacerých rizikových faktorov (pozri časť 4.4).</w:t>
      </w:r>
    </w:p>
    <w:p w14:paraId="33A78BC8" w14:textId="77777777" w:rsidR="001F08FE" w:rsidRPr="001F4ACA" w:rsidRDefault="001F08FE">
      <w:pPr>
        <w:pStyle w:val="Zarkazkladnhotextu"/>
        <w:numPr>
          <w:ilvl w:val="0"/>
          <w:numId w:val="40"/>
        </w:numPr>
        <w:tabs>
          <w:tab w:val="left" w:pos="567"/>
        </w:tabs>
        <w:adjustRightInd w:val="0"/>
        <w:snapToGrid w:val="0"/>
        <w:ind w:left="567" w:hanging="567"/>
        <w:rPr>
          <w:rFonts w:cs="Times New Roman"/>
          <w:bCs/>
          <w:sz w:val="22"/>
          <w:szCs w:val="22"/>
        </w:rPr>
      </w:pPr>
      <w:r w:rsidRPr="001F4ACA">
        <w:rPr>
          <w:rFonts w:cs="Times New Roman"/>
          <w:bCs/>
          <w:sz w:val="22"/>
          <w:szCs w:val="22"/>
        </w:rPr>
        <w:t>Prítomnosť alebo riziko vzniku arteriálnej tromboembólie (ATE)</w:t>
      </w:r>
    </w:p>
    <w:p w14:paraId="3DAA43A2" w14:textId="77777777" w:rsidR="001F08FE" w:rsidRPr="00EE5FF7"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Arteriálna tromboembólia – prítomná arteriálna tromboembólia, arteriálna tromboembólia v anamnéze (napr. infarkt myokardu) alebo stav, ktorý je jej skorým príznakom (napr. angina pectoris</w:t>
      </w:r>
      <w:r w:rsidRPr="00EE5FF7">
        <w:rPr>
          <w:rFonts w:cs="Times New Roman"/>
          <w:bCs/>
          <w:sz w:val="22"/>
          <w:szCs w:val="22"/>
        </w:rPr>
        <w:t>).</w:t>
      </w:r>
    </w:p>
    <w:p w14:paraId="47F17EBC" w14:textId="65533DC2" w:rsidR="001F08FE" w:rsidRPr="001F4ACA" w:rsidRDefault="00A60063">
      <w:pPr>
        <w:pStyle w:val="Zarkazkladnhotextu"/>
        <w:numPr>
          <w:ilvl w:val="1"/>
          <w:numId w:val="37"/>
        </w:numPr>
        <w:tabs>
          <w:tab w:val="left" w:pos="1134"/>
        </w:tabs>
        <w:adjustRightInd w:val="0"/>
        <w:snapToGrid w:val="0"/>
        <w:ind w:left="1134" w:hanging="567"/>
        <w:rPr>
          <w:rFonts w:cs="Times New Roman"/>
          <w:bCs/>
          <w:sz w:val="22"/>
          <w:szCs w:val="22"/>
        </w:rPr>
      </w:pPr>
      <w:r>
        <w:rPr>
          <w:rFonts w:cs="Times New Roman"/>
          <w:bCs/>
          <w:sz w:val="22"/>
          <w:szCs w:val="22"/>
        </w:rPr>
        <w:t>Cerebrovaskulárne</w:t>
      </w:r>
      <w:r w:rsidR="001F08FE" w:rsidRPr="001F4ACA">
        <w:rPr>
          <w:rFonts w:cs="Times New Roman"/>
          <w:bCs/>
          <w:sz w:val="22"/>
          <w:szCs w:val="22"/>
        </w:rPr>
        <w:t xml:space="preserve"> ochorenie – prítomná cievna mozgová príhoda, cievna mozgová príhoda v anamnéze alebo stav, ktorý je jej skorým príznakom (napríklad prechodný ischemický záchvat, TIA).</w:t>
      </w:r>
    </w:p>
    <w:p w14:paraId="1697C6D2"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Známa dedičná alebo získaná predispozícia na vznik arteriálnej tromboembólie, ako napríklad hyperhomocysteinémia a antifosfolipidové protilátky (antikardiolipínové protilátky, lupusové antikoagulancium).</w:t>
      </w:r>
    </w:p>
    <w:p w14:paraId="57B31591"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Migréna s ložiskovými neurologickými príznakmi v anamnéze.</w:t>
      </w:r>
    </w:p>
    <w:p w14:paraId="0C4F4D1F" w14:textId="77777777" w:rsidR="001F08FE" w:rsidRPr="001F4ACA" w:rsidRDefault="001F08FE">
      <w:pPr>
        <w:pStyle w:val="Zarkazkladnhotextu"/>
        <w:numPr>
          <w:ilvl w:val="1"/>
          <w:numId w:val="37"/>
        </w:numPr>
        <w:tabs>
          <w:tab w:val="left" w:pos="1134"/>
        </w:tabs>
        <w:adjustRightInd w:val="0"/>
        <w:snapToGrid w:val="0"/>
        <w:ind w:left="1134" w:hanging="567"/>
        <w:rPr>
          <w:rFonts w:cs="Times New Roman"/>
          <w:bCs/>
          <w:sz w:val="22"/>
          <w:szCs w:val="22"/>
        </w:rPr>
      </w:pPr>
      <w:r w:rsidRPr="001F4ACA">
        <w:rPr>
          <w:rFonts w:cs="Times New Roman"/>
          <w:bCs/>
          <w:sz w:val="22"/>
          <w:szCs w:val="22"/>
        </w:rPr>
        <w:t>Vysoké riziko vzniku arteriálnej tromboembólie z dôvodu viacerých rizikových faktorov (pozri časť 4.4) alebo prítomnosti jedného závažného rizikového faktora, ako napríklad:</w:t>
      </w:r>
    </w:p>
    <w:p w14:paraId="594E51E3" w14:textId="77777777" w:rsidR="001F08FE" w:rsidRPr="000059C9" w:rsidRDefault="001F08FE">
      <w:pPr>
        <w:numPr>
          <w:ilvl w:val="0"/>
          <w:numId w:val="38"/>
        </w:numPr>
        <w:tabs>
          <w:tab w:val="left" w:pos="1701"/>
        </w:tabs>
        <w:ind w:left="1701" w:hanging="567"/>
        <w:rPr>
          <w:szCs w:val="22"/>
        </w:rPr>
      </w:pPr>
      <w:r w:rsidRPr="000059C9">
        <w:rPr>
          <w:szCs w:val="22"/>
        </w:rPr>
        <w:t>diabetes mellitus s cievnymi príznakmi</w:t>
      </w:r>
    </w:p>
    <w:p w14:paraId="2CA85113" w14:textId="77777777" w:rsidR="001F08FE" w:rsidRPr="000059C9" w:rsidRDefault="001F08FE">
      <w:pPr>
        <w:numPr>
          <w:ilvl w:val="0"/>
          <w:numId w:val="38"/>
        </w:numPr>
        <w:tabs>
          <w:tab w:val="left" w:pos="1701"/>
        </w:tabs>
        <w:ind w:left="1701" w:hanging="567"/>
        <w:rPr>
          <w:szCs w:val="22"/>
        </w:rPr>
      </w:pPr>
      <w:r w:rsidRPr="000059C9">
        <w:rPr>
          <w:szCs w:val="22"/>
        </w:rPr>
        <w:t>závažná hypertenzia</w:t>
      </w:r>
    </w:p>
    <w:p w14:paraId="503B170D" w14:textId="77777777" w:rsidR="001F08FE" w:rsidRPr="000059C9" w:rsidRDefault="001F08FE">
      <w:pPr>
        <w:numPr>
          <w:ilvl w:val="0"/>
          <w:numId w:val="38"/>
        </w:numPr>
        <w:tabs>
          <w:tab w:val="left" w:pos="1701"/>
        </w:tabs>
        <w:ind w:left="1701" w:hanging="567"/>
        <w:rPr>
          <w:szCs w:val="22"/>
        </w:rPr>
      </w:pPr>
      <w:r w:rsidRPr="000059C9">
        <w:rPr>
          <w:szCs w:val="22"/>
        </w:rPr>
        <w:t>závažná dyslipoproteinémia.</w:t>
      </w:r>
    </w:p>
    <w:p w14:paraId="05F01CB3" w14:textId="77777777"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Pankreatitída alebo pankreatitída v anamnéze, ak súvisela so závažnou hypertriglyceridémiou.</w:t>
      </w:r>
    </w:p>
    <w:p w14:paraId="6789C3BC" w14:textId="77777777"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Závažné ochorenie pečene v prítomnosti alebo v anamnéze, kým sa hodnoty funkcie pečene nevrátia do normálu.</w:t>
      </w:r>
    </w:p>
    <w:p w14:paraId="2B26F2CB" w14:textId="77777777"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Nádory pečene (benígne alebo malígne) v prítomnosti alebo v anamnéze.</w:t>
      </w:r>
    </w:p>
    <w:p w14:paraId="103D1404" w14:textId="77777777"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Diagnostikované alebo podozrenie na zhubné ochorenia pohlavných orgánov alebo prsníkov, ak sú ovplyvnené pohlavnými steroidmi.</w:t>
      </w:r>
    </w:p>
    <w:p w14:paraId="12358EC2" w14:textId="77777777"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Nediagnostikované vaginálne krvácanie.</w:t>
      </w:r>
    </w:p>
    <w:p w14:paraId="2BB26FE3" w14:textId="457527F9" w:rsidR="001F08FE" w:rsidRPr="000059C9" w:rsidRDefault="001F08FE" w:rsidP="001F4ACA">
      <w:pPr>
        <w:numPr>
          <w:ilvl w:val="0"/>
          <w:numId w:val="26"/>
        </w:numPr>
        <w:tabs>
          <w:tab w:val="clear" w:pos="1440"/>
        </w:tabs>
        <w:adjustRightInd w:val="0"/>
        <w:snapToGrid w:val="0"/>
        <w:ind w:left="567" w:hanging="567"/>
        <w:rPr>
          <w:bCs/>
          <w:szCs w:val="22"/>
        </w:rPr>
      </w:pPr>
      <w:r w:rsidRPr="000059C9">
        <w:rPr>
          <w:bCs/>
          <w:szCs w:val="22"/>
        </w:rPr>
        <w:t xml:space="preserve">Precitlivenosť na liečivá alebo na ktorúkoľvek z pomocných látok </w:t>
      </w:r>
      <w:r w:rsidR="007D1058" w:rsidRPr="000059C9">
        <w:rPr>
          <w:bCs/>
          <w:szCs w:val="22"/>
        </w:rPr>
        <w:t>Etonogestrel/Ethinylestradiol</w:t>
      </w:r>
      <w:r w:rsidR="004B2B62">
        <w:rPr>
          <w:bCs/>
          <w:szCs w:val="22"/>
        </w:rPr>
        <w:t>u</w:t>
      </w:r>
      <w:r w:rsidR="007D1058" w:rsidRPr="000059C9">
        <w:rPr>
          <w:bCs/>
          <w:szCs w:val="22"/>
        </w:rPr>
        <w:t xml:space="preserve"> Mithra</w:t>
      </w:r>
      <w:r w:rsidRPr="000059C9">
        <w:rPr>
          <w:bCs/>
          <w:szCs w:val="22"/>
        </w:rPr>
        <w:t xml:space="preserve"> uvedených v časti 6.1.</w:t>
      </w:r>
    </w:p>
    <w:p w14:paraId="777B0EE9" w14:textId="77777777" w:rsidR="001F08FE" w:rsidRPr="000059C9" w:rsidRDefault="001F08FE">
      <w:pPr>
        <w:adjustRightInd w:val="0"/>
        <w:snapToGrid w:val="0"/>
        <w:rPr>
          <w:b/>
          <w:szCs w:val="22"/>
        </w:rPr>
      </w:pPr>
    </w:p>
    <w:p w14:paraId="46F7EA5E" w14:textId="77777777" w:rsidR="002B09C7" w:rsidRPr="000059C9" w:rsidRDefault="007D1058">
      <w:pPr>
        <w:adjustRightInd w:val="0"/>
        <w:snapToGrid w:val="0"/>
        <w:rPr>
          <w:szCs w:val="22"/>
        </w:rPr>
      </w:pPr>
      <w:r w:rsidRPr="000059C9">
        <w:rPr>
          <w:szCs w:val="22"/>
        </w:rPr>
        <w:t>Etonogestrel/Ethinylestradiol Mithra</w:t>
      </w:r>
      <w:r w:rsidR="002B09C7" w:rsidRPr="000059C9">
        <w:rPr>
          <w:szCs w:val="22"/>
        </w:rPr>
        <w:t xml:space="preserve"> je kontraindikovaný na súbežné používanie s liekmi obsahujúcimi ombitasvir/paritaprevir/ritonavir a dasabuvir (pozri časti 4.4 a 4.5).</w:t>
      </w:r>
    </w:p>
    <w:p w14:paraId="2FE6FD61" w14:textId="77777777" w:rsidR="002B09C7" w:rsidRPr="000059C9" w:rsidRDefault="002B09C7">
      <w:pPr>
        <w:adjustRightInd w:val="0"/>
        <w:snapToGrid w:val="0"/>
        <w:rPr>
          <w:szCs w:val="22"/>
        </w:rPr>
      </w:pPr>
    </w:p>
    <w:p w14:paraId="4B9334ED" w14:textId="77777777" w:rsidR="001F08FE" w:rsidRPr="001F4ACA" w:rsidRDefault="001F08FE" w:rsidP="001F4ACA">
      <w:pPr>
        <w:rPr>
          <w:b/>
        </w:rPr>
      </w:pPr>
      <w:r w:rsidRPr="001F4ACA">
        <w:rPr>
          <w:b/>
        </w:rPr>
        <w:t>4.4</w:t>
      </w:r>
      <w:r w:rsidRPr="001F4ACA">
        <w:rPr>
          <w:b/>
        </w:rPr>
        <w:tab/>
        <w:t>Osobitné upozornenia a opatrenia pri používaní</w:t>
      </w:r>
    </w:p>
    <w:p w14:paraId="696234E6" w14:textId="77777777" w:rsidR="001F08FE" w:rsidRPr="000059C9" w:rsidRDefault="001F08FE" w:rsidP="001F4ACA">
      <w:pPr>
        <w:rPr>
          <w:bCs/>
        </w:rPr>
      </w:pPr>
    </w:p>
    <w:p w14:paraId="77943C5C" w14:textId="77777777" w:rsidR="001F08FE" w:rsidRPr="000059C9" w:rsidRDefault="001F08FE" w:rsidP="001F4ACA">
      <w:r w:rsidRPr="000059C9">
        <w:t>UPOZORNENIA</w:t>
      </w:r>
    </w:p>
    <w:p w14:paraId="0CDC8957" w14:textId="77777777" w:rsidR="001F08FE" w:rsidRPr="000059C9" w:rsidRDefault="001F08FE" w:rsidP="001F4ACA"/>
    <w:p w14:paraId="038D8216" w14:textId="3A8B55E5" w:rsidR="001F08FE" w:rsidRPr="000059C9" w:rsidRDefault="001F08FE">
      <w:pPr>
        <w:adjustRightInd w:val="0"/>
        <w:snapToGrid w:val="0"/>
        <w:rPr>
          <w:szCs w:val="22"/>
        </w:rPr>
      </w:pPr>
      <w:r w:rsidRPr="000059C9">
        <w:rPr>
          <w:szCs w:val="22"/>
        </w:rPr>
        <w:t xml:space="preserve">Ak je prítomný ktorýkoľvek zo stavov alebo rizikových faktorov uvedených nižšie, vhodnosť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sa má s danou ženou prekonzultovať. </w:t>
      </w:r>
    </w:p>
    <w:p w14:paraId="66C4314C" w14:textId="77777777" w:rsidR="001F08FE" w:rsidRPr="000059C9" w:rsidRDefault="001F08FE">
      <w:pPr>
        <w:adjustRightInd w:val="0"/>
        <w:snapToGrid w:val="0"/>
        <w:rPr>
          <w:szCs w:val="22"/>
        </w:rPr>
      </w:pPr>
    </w:p>
    <w:p w14:paraId="0FA4305E" w14:textId="0E6B1540" w:rsidR="001F08FE" w:rsidRPr="000059C9" w:rsidRDefault="001F08FE">
      <w:pPr>
        <w:adjustRightInd w:val="0"/>
        <w:snapToGrid w:val="0"/>
        <w:rPr>
          <w:szCs w:val="22"/>
        </w:rPr>
      </w:pPr>
      <w:r w:rsidRPr="000059C9">
        <w:rPr>
          <w:szCs w:val="22"/>
        </w:rPr>
        <w:t xml:space="preserve">Ženu treba upozorniť, že ak dôjde k zhoršeniu alebo prvému prejavu ktoréhokoľvek z týchto stavov alebo rizikových faktorov, má sa obrátiť na svojho lekára, ktorý určí, či má ukončiť používanie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w:t>
      </w:r>
    </w:p>
    <w:p w14:paraId="28E02E03" w14:textId="77777777" w:rsidR="001F08FE" w:rsidRPr="000059C9" w:rsidRDefault="001F08FE">
      <w:pPr>
        <w:adjustRightInd w:val="0"/>
        <w:snapToGrid w:val="0"/>
        <w:rPr>
          <w:szCs w:val="22"/>
        </w:rPr>
      </w:pPr>
    </w:p>
    <w:p w14:paraId="3B51F4D8" w14:textId="77777777" w:rsidR="001F08FE" w:rsidRPr="001F4ACA" w:rsidRDefault="001F08FE" w:rsidP="001F4ACA">
      <w:pPr>
        <w:rPr>
          <w:i/>
        </w:rPr>
      </w:pPr>
      <w:r w:rsidRPr="001F4ACA">
        <w:rPr>
          <w:i/>
        </w:rPr>
        <w:t>1.</w:t>
      </w:r>
      <w:r w:rsidRPr="001F4ACA">
        <w:rPr>
          <w:i/>
        </w:rPr>
        <w:tab/>
        <w:t>Poruchy obehovej sústavy</w:t>
      </w:r>
    </w:p>
    <w:p w14:paraId="522ACE72" w14:textId="77777777" w:rsidR="001C59F9" w:rsidRPr="001F4ACA" w:rsidRDefault="001C59F9" w:rsidP="001F4ACA">
      <w:pPr>
        <w:rPr>
          <w:lang w:eastAsia="sk-SK"/>
        </w:rPr>
      </w:pPr>
    </w:p>
    <w:p w14:paraId="4F3ECC4C" w14:textId="77777777" w:rsidR="001F08FE" w:rsidRPr="000059C9" w:rsidRDefault="001F08FE" w:rsidP="001F4ACA">
      <w:pPr>
        <w:rPr>
          <w:b/>
          <w:lang w:eastAsia="sk-SK"/>
        </w:rPr>
      </w:pPr>
      <w:r w:rsidRPr="000059C9">
        <w:rPr>
          <w:b/>
          <w:lang w:eastAsia="sk-SK"/>
        </w:rPr>
        <w:t>Riziko vzniku venóznej tromboembólie (VTE)</w:t>
      </w:r>
    </w:p>
    <w:p w14:paraId="37305421" w14:textId="77777777" w:rsidR="001F08FE" w:rsidRPr="000059C9" w:rsidRDefault="001F08FE" w:rsidP="001F4ACA">
      <w:pPr>
        <w:rPr>
          <w:b/>
          <w:lang w:eastAsia="sk-SK"/>
        </w:rPr>
      </w:pPr>
    </w:p>
    <w:p w14:paraId="54184BA1" w14:textId="3D1AF0AC" w:rsidR="001F08FE" w:rsidRPr="000059C9" w:rsidRDefault="001F08FE" w:rsidP="001F4ACA">
      <w:pPr>
        <w:numPr>
          <w:ilvl w:val="0"/>
          <w:numId w:val="30"/>
        </w:numPr>
        <w:tabs>
          <w:tab w:val="clear" w:pos="720"/>
          <w:tab w:val="left" w:pos="567"/>
        </w:tabs>
        <w:autoSpaceDE w:val="0"/>
        <w:autoSpaceDN w:val="0"/>
        <w:adjustRightInd w:val="0"/>
        <w:snapToGrid w:val="0"/>
        <w:ind w:left="567" w:hanging="567"/>
        <w:rPr>
          <w:szCs w:val="22"/>
        </w:rPr>
      </w:pPr>
      <w:r w:rsidRPr="000059C9">
        <w:rPr>
          <w:iCs/>
          <w:szCs w:val="22"/>
        </w:rPr>
        <w:t>Pou</w:t>
      </w:r>
      <w:r w:rsidRPr="000059C9">
        <w:rPr>
          <w:szCs w:val="22"/>
        </w:rPr>
        <w:t xml:space="preserve">žívanie ktoréhokoľvek kombinovaného hormonálneho kontraceptíva (CHC) zvyšuje riziko venóznej tromboembólie (VTE) v porovnaní s jeho nepoužívaním. </w:t>
      </w:r>
      <w:r w:rsidRPr="000059C9">
        <w:rPr>
          <w:b/>
          <w:szCs w:val="22"/>
        </w:rPr>
        <w:t xml:space="preserve">Lieky, ktoré obsahujú levonorgestrel, norgestimát alebo noretisterón, sú spojené s najnižším rizikom vzniku VTE. Ostatné lieky, ako je </w:t>
      </w:r>
      <w:r w:rsidR="007D1058" w:rsidRPr="000059C9">
        <w:rPr>
          <w:b/>
          <w:szCs w:val="22"/>
        </w:rPr>
        <w:t>Etonogestrel/Ethinylestradiol Mithra</w:t>
      </w:r>
      <w:r w:rsidRPr="000059C9">
        <w:rPr>
          <w:b/>
          <w:szCs w:val="22"/>
        </w:rPr>
        <w:t xml:space="preserve">, môžu toto riziko zvyšovať dvojnásobne. Rozhodnutie používať ktorýkoľvek iný liek, ako liek s najnižším rizikom výskytu VTE, sa má urobiť len po konzultácii s danou ženou, aby sa zaručilo, že rozumie riziku výskytu VTE pri používaní </w:t>
      </w:r>
      <w:r w:rsidR="007D1058" w:rsidRPr="000059C9">
        <w:rPr>
          <w:b/>
          <w:szCs w:val="22"/>
        </w:rPr>
        <w:t>Etonogestrel/Ethinylestradiol</w:t>
      </w:r>
      <w:r w:rsidR="004B2B62">
        <w:rPr>
          <w:b/>
          <w:szCs w:val="22"/>
        </w:rPr>
        <w:t>u</w:t>
      </w:r>
      <w:r w:rsidR="007D1058" w:rsidRPr="000059C9">
        <w:rPr>
          <w:b/>
          <w:szCs w:val="22"/>
        </w:rPr>
        <w:t xml:space="preserve"> Mithra</w:t>
      </w:r>
      <w:r w:rsidRPr="000059C9">
        <w:rPr>
          <w:b/>
          <w:szCs w:val="22"/>
        </w:rPr>
        <w:t>, ako jej aktuálne rizikové faktory ovplyvňujú toto riziko, a že jej riziko vzniku VTE je najvyššie v prvom roku používania CHC. Sú taktiež aj určité dôkazy o tom, že sa toto riziko zvyšuje pri opätovnom začatí používania CHC po prerušení používania trvajúcom 4 týždne alebo dlhšie.</w:t>
      </w:r>
    </w:p>
    <w:p w14:paraId="431A50EE" w14:textId="77777777" w:rsidR="001F08FE" w:rsidRPr="000059C9" w:rsidRDefault="001F08FE" w:rsidP="001F4ACA">
      <w:pPr>
        <w:numPr>
          <w:ilvl w:val="0"/>
          <w:numId w:val="30"/>
        </w:numPr>
        <w:tabs>
          <w:tab w:val="clear" w:pos="720"/>
          <w:tab w:val="left" w:pos="567"/>
        </w:tabs>
        <w:autoSpaceDE w:val="0"/>
        <w:autoSpaceDN w:val="0"/>
        <w:adjustRightInd w:val="0"/>
        <w:snapToGrid w:val="0"/>
        <w:ind w:left="567" w:hanging="567"/>
        <w:rPr>
          <w:szCs w:val="22"/>
        </w:rPr>
      </w:pPr>
      <w:r w:rsidRPr="000059C9">
        <w:rPr>
          <w:iCs/>
          <w:szCs w:val="22"/>
        </w:rPr>
        <w:t>U približne 2 z 10 000 žien, ktoré nepoužívajú CHC a nie sú gravidné, vznikne VTE v priebehu jedného roka</w:t>
      </w:r>
      <w:r w:rsidRPr="000059C9">
        <w:rPr>
          <w:szCs w:val="22"/>
        </w:rPr>
        <w:t>. Avšak u každej jednej ženy môže byť toto riziko oveľa vyššie v závislosti od prítomných rizikových faktorov (pozri nižšie).</w:t>
      </w:r>
    </w:p>
    <w:p w14:paraId="639F9473" w14:textId="4D8FC7B5" w:rsidR="001F08FE" w:rsidRPr="000059C9" w:rsidRDefault="001F08FE" w:rsidP="001F4ACA">
      <w:pPr>
        <w:numPr>
          <w:ilvl w:val="0"/>
          <w:numId w:val="30"/>
        </w:numPr>
        <w:tabs>
          <w:tab w:val="clear" w:pos="720"/>
          <w:tab w:val="left" w:pos="567"/>
        </w:tabs>
        <w:autoSpaceDE w:val="0"/>
        <w:autoSpaceDN w:val="0"/>
        <w:adjustRightInd w:val="0"/>
        <w:snapToGrid w:val="0"/>
        <w:ind w:left="567" w:hanging="567"/>
        <w:rPr>
          <w:szCs w:val="22"/>
        </w:rPr>
      </w:pPr>
      <w:r w:rsidRPr="000059C9">
        <w:rPr>
          <w:szCs w:val="22"/>
        </w:rPr>
        <w:t>Odhaduje sa, že VTE sa vyskytne v priebehu jedného roka u približne</w:t>
      </w:r>
      <w:r w:rsidRPr="000059C9">
        <w:rPr>
          <w:iCs/>
          <w:szCs w:val="22"/>
        </w:rPr>
        <w:t xml:space="preserve"> 6</w:t>
      </w:r>
      <w:r w:rsidRPr="000059C9">
        <w:rPr>
          <w:rStyle w:val="Odkaznapoznmkupodiarou"/>
          <w:szCs w:val="22"/>
        </w:rPr>
        <w:footnoteReference w:id="2"/>
      </w:r>
      <w:r w:rsidRPr="000059C9">
        <w:rPr>
          <w:iCs/>
          <w:szCs w:val="22"/>
        </w:rPr>
        <w:t xml:space="preserve"> žien z 10 000 žien, ktoré používajú nízkodávkové CHC obsahujúce levonorgestrel. Zistili sa nekonzistentné výsledky týkajúce sa rizika vzniku VTE pri používaní </w:t>
      </w:r>
      <w:r w:rsidR="007D1058" w:rsidRPr="000059C9">
        <w:rPr>
          <w:iCs/>
          <w:szCs w:val="22"/>
        </w:rPr>
        <w:t>Etonogestrel/Ethinylestradiol Mithra</w:t>
      </w:r>
      <w:r w:rsidRPr="000059C9">
        <w:rPr>
          <w:iCs/>
          <w:szCs w:val="22"/>
        </w:rPr>
        <w:t xml:space="preserve"> v porovnaní s CHC obsahujúcimi levonorgestrel (s odhadmi relatívneho rizika v rozsahu od žiadneho zvýšenia s hodnotou RR = 0,96 až po takmer dvojnásobné zvýšenie s hodnotou RR = 1,90). To zodpovedá približne 6 až 12 výskytom VTE za rok z 10 000 žien používajúcich </w:t>
      </w:r>
      <w:r w:rsidR="007D1058" w:rsidRPr="000059C9">
        <w:rPr>
          <w:iCs/>
          <w:szCs w:val="22"/>
        </w:rPr>
        <w:t>Etonogestrel/Ethinylestradiol Mithra</w:t>
      </w:r>
      <w:r w:rsidRPr="000059C9">
        <w:rPr>
          <w:iCs/>
          <w:szCs w:val="22"/>
        </w:rPr>
        <w:t>.</w:t>
      </w:r>
    </w:p>
    <w:p w14:paraId="7C0EDF62" w14:textId="77777777" w:rsidR="001F08FE" w:rsidRPr="000059C9" w:rsidRDefault="001F08FE" w:rsidP="001F4ACA">
      <w:pPr>
        <w:numPr>
          <w:ilvl w:val="0"/>
          <w:numId w:val="30"/>
        </w:numPr>
        <w:tabs>
          <w:tab w:val="clear" w:pos="720"/>
          <w:tab w:val="left" w:pos="567"/>
        </w:tabs>
        <w:autoSpaceDE w:val="0"/>
        <w:autoSpaceDN w:val="0"/>
        <w:adjustRightInd w:val="0"/>
        <w:snapToGrid w:val="0"/>
        <w:ind w:left="567" w:hanging="567"/>
        <w:rPr>
          <w:szCs w:val="22"/>
        </w:rPr>
      </w:pPr>
      <w:r w:rsidRPr="000059C9">
        <w:rPr>
          <w:iCs/>
          <w:szCs w:val="22"/>
        </w:rPr>
        <w:t>V oboch prípadoch je počet výskytov VTE za rok nižší než počet očakávaný u žien počas gravidity alebo v období po pôrode.</w:t>
      </w:r>
    </w:p>
    <w:p w14:paraId="619CAA1C" w14:textId="77777777" w:rsidR="001F08FE" w:rsidRPr="000059C9" w:rsidRDefault="001F08FE" w:rsidP="001F4ACA">
      <w:pPr>
        <w:numPr>
          <w:ilvl w:val="0"/>
          <w:numId w:val="30"/>
        </w:numPr>
        <w:tabs>
          <w:tab w:val="clear" w:pos="720"/>
          <w:tab w:val="left" w:pos="567"/>
        </w:tabs>
        <w:autoSpaceDE w:val="0"/>
        <w:autoSpaceDN w:val="0"/>
        <w:adjustRightInd w:val="0"/>
        <w:snapToGrid w:val="0"/>
        <w:ind w:left="567" w:hanging="567"/>
        <w:rPr>
          <w:szCs w:val="22"/>
        </w:rPr>
      </w:pPr>
      <w:r w:rsidRPr="000059C9">
        <w:rPr>
          <w:iCs/>
          <w:szCs w:val="22"/>
        </w:rPr>
        <w:t>VTE sa môže v 1 až 2 % prípadov skončiť smrťou.</w:t>
      </w:r>
    </w:p>
    <w:p w14:paraId="5236E995" w14:textId="77777777" w:rsidR="001F08FE" w:rsidRPr="000059C9" w:rsidRDefault="001F08FE" w:rsidP="001F4ACA"/>
    <w:p w14:paraId="1FABEB2C" w14:textId="77777777" w:rsidR="001F08FE" w:rsidRDefault="001F08FE" w:rsidP="001F4ACA">
      <w:pPr>
        <w:rPr>
          <w:b/>
        </w:rPr>
      </w:pPr>
      <w:r w:rsidRPr="000059C9">
        <w:rPr>
          <w:b/>
        </w:rPr>
        <w:t>Počet prípadov VTE na 10 000 žien v priebehu jedného roka</w:t>
      </w:r>
    </w:p>
    <w:p w14:paraId="2169BBFF" w14:textId="77777777" w:rsidR="00A060C6" w:rsidRPr="000059C9" w:rsidRDefault="00A060C6" w:rsidP="001F4ACA">
      <w:pPr>
        <w:rPr>
          <w:b/>
        </w:rPr>
      </w:pPr>
      <w:r w:rsidRPr="00EE5FF7">
        <w:rPr>
          <w:noProof/>
          <w:lang w:val="en-US"/>
        </w:rPr>
        <mc:AlternateContent>
          <mc:Choice Requires="wps">
            <w:drawing>
              <wp:anchor distT="0" distB="0" distL="114300" distR="114300" simplePos="0" relativeHeight="251659776" behindDoc="0" locked="0" layoutInCell="1" allowOverlap="1" wp14:anchorId="697857F3" wp14:editId="48D2F4FF">
                <wp:simplePos x="0" y="0"/>
                <wp:positionH relativeFrom="column">
                  <wp:posOffset>471171</wp:posOffset>
                </wp:positionH>
                <wp:positionV relativeFrom="paragraph">
                  <wp:posOffset>154305</wp:posOffset>
                </wp:positionV>
                <wp:extent cx="838200" cy="307074"/>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DA56BF" w14:textId="201AF10F" w:rsidR="0055316E" w:rsidRPr="00191E3C" w:rsidRDefault="0055316E" w:rsidP="002637C2">
                            <w:pPr>
                              <w:rPr>
                                <w:b/>
                                <w:sz w:val="16"/>
                                <w:lang w:val="de-DE"/>
                              </w:rPr>
                            </w:pPr>
                            <w:r w:rsidRPr="00191E3C">
                              <w:rPr>
                                <w:b/>
                                <w:sz w:val="16"/>
                              </w:rPr>
                              <w:t>Počet</w:t>
                            </w:r>
                            <w:r>
                              <w:rPr>
                                <w:b/>
                                <w:sz w:val="16"/>
                              </w:rPr>
                              <w:t xml:space="preserve"> </w:t>
                            </w:r>
                            <w:r w:rsidRPr="00191E3C">
                              <w:rPr>
                                <w:b/>
                                <w:sz w:val="16"/>
                              </w:rPr>
                              <w:t>prípadov VTE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857F3" id="_x0000_t202" coordsize="21600,21600" o:spt="202" path="m,l,21600r21600,l21600,xe">
                <v:stroke joinstyle="miter"/>
                <v:path gradientshapeok="t" o:connecttype="rect"/>
              </v:shapetype>
              <v:shape id="Text Box 2" o:spid="_x0000_s1026" type="#_x0000_t202" style="position:absolute;left:0;text-align:left;margin-left:37.1pt;margin-top:12.15pt;width:66pt;height:2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5FgQIAAA8FAAAOAAAAZHJzL2Uyb0RvYy54bWysVNmO2yAUfa/Uf0C8Z7yMM4mtOKNZmqrS&#10;dJFm+gEEcIyKgQKJPR3133vBSSbTRaqq+gGzXM5dzrksLodOoh23TmhV4+wsxYgrqplQmxp/flhN&#10;5hg5TxQjUite40fu8OXy9atFbyqe61ZLxi0CEOWq3tS49d5USeJoyzvizrThCg4bbTviYWk3CbOk&#10;B/ROJnmaXiS9tsxYTblzsHs7HuJlxG8aTv3HpnHcI1ljiM3H0cZxHcZkuSDVxhLTCroPg/xDFB0R&#10;CpweoW6JJ2hrxS9QnaBWO934M6q7RDeNoDzmANlk6U/Z3LfE8JgLFMeZY5nc/4OlH3afLBIMuMsx&#10;UqQDjh744NG1HlAeytMbV4HVvQE7P8A2mMZUnbnT9ItDSt+0RG34lbW6bzlhEF4WbiYnV0ccF0DW&#10;/XvNwA3Zeh2BhsZ2oXZQDQToQNPjkZoQCoXN+fkc6MaIwtF5OktnRfRAqsNlY51/y3WHwqTGFpiP&#10;4GR353wIhlQHk+DLaSnYSkgZF3azvpEW7QioZBW/PfoLM6mCsdLh2og47kCM4COchWgj609llhfp&#10;dV5OVhfz2aRYFdNJOUvnkzQrr8uLtCiL29X3EGBWVK1gjKs7ofhBgVnxdwzve2HUTtQg6mtcTvPp&#10;yNAfk0zj97skO+GhIaXooOZHI1IFXt8oBmmTyhMhx3nyMvxYZajB4R+rElUQiB8l4If1AChBGmvN&#10;HkEPVgNfQC28IjBptf2GUQ8dWWP3dUssx0i+U6CpMiuK0MJxUUxnOSzs6cn69IQoClA19hiN0xs/&#10;tv3WWLFpwdOoYqWvQIeNiBp5jmqvXui6mMz+hQhtfbqOVs/v2PIHAAAA//8DAFBLAwQUAAYACAAA&#10;ACEAWTcY6twAAAAIAQAADwAAAGRycy9kb3ducmV2LnhtbEyPwU7DMAyG70i8Q2QkLoilhNJupekE&#10;SCCuG3uAtPHaisapmmzt3h5zgqP9/fr9udwubhBnnELvScPDKgGB1HjbU6vh8PV+vwYRoiFrBk+o&#10;4YIBttX1VWkK62fa4XkfW8ElFAqjoYtxLKQMTYfOhJUfkZgd/eRM5HFqpZ3MzOVukCpJMulMT3yh&#10;MyO+ddh8709Ow/FzvnvazPVHPOS7NHs1fV77i9a3N8vLM4iIS/wLw68+q0PFTrU/kQ1i0JCnipMa&#10;VPoIgrlKMl7UDFQOsirl/weqHwAAAP//AwBQSwECLQAUAAYACAAAACEAtoM4kv4AAADhAQAAEwAA&#10;AAAAAAAAAAAAAAAAAAAAW0NvbnRlbnRfVHlwZXNdLnhtbFBLAQItABQABgAIAAAAIQA4/SH/1gAA&#10;AJQBAAALAAAAAAAAAAAAAAAAAC8BAABfcmVscy8ucmVsc1BLAQItABQABgAIAAAAIQBusa5FgQIA&#10;AA8FAAAOAAAAAAAAAAAAAAAAAC4CAABkcnMvZTJvRG9jLnhtbFBLAQItABQABgAIAAAAIQBZNxjq&#10;3AAAAAgBAAAPAAAAAAAAAAAAAAAAANsEAABkcnMvZG93bnJldi54bWxQSwUGAAAAAAQABADzAAAA&#10;5AUAAAAA&#10;" stroked="f">
                <v:textbox>
                  <w:txbxContent>
                    <w:p w14:paraId="3BDA56BF" w14:textId="201AF10F" w:rsidR="0055316E" w:rsidRPr="00191E3C" w:rsidRDefault="0055316E" w:rsidP="002637C2">
                      <w:pPr>
                        <w:rPr>
                          <w:b/>
                          <w:sz w:val="16"/>
                          <w:lang w:val="de-DE"/>
                        </w:rPr>
                      </w:pPr>
                      <w:r w:rsidRPr="00191E3C">
                        <w:rPr>
                          <w:b/>
                          <w:sz w:val="16"/>
                        </w:rPr>
                        <w:t>Počet</w:t>
                      </w:r>
                      <w:r>
                        <w:rPr>
                          <w:b/>
                          <w:sz w:val="16"/>
                        </w:rPr>
                        <w:t xml:space="preserve"> </w:t>
                      </w:r>
                      <w:r w:rsidRPr="00191E3C">
                        <w:rPr>
                          <w:b/>
                          <w:sz w:val="16"/>
                        </w:rPr>
                        <w:t>prípadov VTE</w:t>
                      </w:r>
                    </w:p>
                  </w:txbxContent>
                </v:textbox>
              </v:shape>
            </w:pict>
          </mc:Fallback>
        </mc:AlternateContent>
      </w:r>
    </w:p>
    <w:p w14:paraId="705DE446" w14:textId="77777777" w:rsidR="001F08FE" w:rsidRPr="001F4ACA" w:rsidRDefault="00A060C6" w:rsidP="001F4ACA">
      <w:pPr>
        <w:jc w:val="center"/>
        <w:rPr>
          <w:szCs w:val="22"/>
          <w:u w:val="single"/>
        </w:rPr>
      </w:pPr>
      <w:r w:rsidRPr="00EE5FF7">
        <w:rPr>
          <w:noProof/>
          <w:szCs w:val="22"/>
          <w:lang w:val="en-US"/>
        </w:rPr>
        <mc:AlternateContent>
          <mc:Choice Requires="wps">
            <w:drawing>
              <wp:anchor distT="0" distB="0" distL="114300" distR="114300" simplePos="0" relativeHeight="251656704" behindDoc="0" locked="0" layoutInCell="1" allowOverlap="1" wp14:anchorId="600DADCE" wp14:editId="07D1A982">
                <wp:simplePos x="0" y="0"/>
                <wp:positionH relativeFrom="column">
                  <wp:posOffset>1020028</wp:posOffset>
                </wp:positionH>
                <wp:positionV relativeFrom="paragraph">
                  <wp:posOffset>2978425</wp:posOffset>
                </wp:positionV>
                <wp:extent cx="1257300" cy="318770"/>
                <wp:effectExtent l="0" t="0" r="0" b="508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193CF7" w14:textId="77777777" w:rsidR="0055316E" w:rsidRPr="00191E3C" w:rsidRDefault="0055316E" w:rsidP="00922865">
                            <w:pPr>
                              <w:jc w:val="center"/>
                              <w:rPr>
                                <w:sz w:val="15"/>
                                <w:lang w:val="de-DE"/>
                              </w:rPr>
                            </w:pPr>
                            <w:r w:rsidRPr="00191E3C">
                              <w:rPr>
                                <w:sz w:val="15"/>
                              </w:rPr>
                              <w:t xml:space="preserve">Nepoužívanie </w:t>
                            </w:r>
                            <w:r>
                              <w:rPr>
                                <w:sz w:val="15"/>
                              </w:rPr>
                              <w:t xml:space="preserve">CHC </w:t>
                            </w:r>
                            <w:r w:rsidRPr="00191E3C">
                              <w:rPr>
                                <w:sz w:val="15"/>
                              </w:rPr>
                              <w:t>(2</w:t>
                            </w:r>
                            <w:r>
                              <w:rPr>
                                <w:sz w:val="15"/>
                              </w:rPr>
                              <w:t> </w:t>
                            </w:r>
                            <w:r w:rsidRPr="00191E3C">
                              <w:rPr>
                                <w:sz w:val="15"/>
                              </w:rPr>
                              <w:t>prípady)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DADCE" id="Text Box 5" o:spid="_x0000_s1027" type="#_x0000_t202" style="position:absolute;left:0;text-align:left;margin-left:80.3pt;margin-top:234.5pt;width:99pt;height:2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iPfAIAAAYFAAAOAAAAZHJzL2Uyb0RvYy54bWysVG1v2yAQ/j5p/wHxPbWdOk1sxamadpkm&#10;dS9Sux9AAMdoGBiQ2F21/74Dx2nXbdI0zR/wAcfD3T3PsbzsW4kO3DqhVYWzsxQjrqhmQu0q/Pl+&#10;M1lg5DxRjEiteIUfuMOXq9evlp0p+VQ3WjJuEYAoV3amwo33pkwSRxveEnemDVewWWvbEg9Tu0uY&#10;JR2gtzKZpulF0mnLjNWUOwerN8MmXkX8uubUf6xrxz2SFYbYfBxtHLdhTFZLUu4sMY2gxzDIP0TR&#10;EqHg0hPUDfEE7a34BaoV1Gqna39GdZvouhaUxxwgmyx9kc1dQwyPuUBxnDmVyf0/WPrh8MkiwSpc&#10;YKRICxTd896jte7RLFSnM64EpzsDbr6HZWA5ZurMraZfHFL6uiFqx6+s1V3DCYPosnAyeXZ0wHEB&#10;ZNu91wyuIXuvI1Bf2zaUDoqBAB1YejgxE0Kh4crpbH6ewhaFvfNsMZ9H6hJSjqeNdf4t1y0KRoUt&#10;MB/RyeHW+RANKUeXcJnTUrCNkDJO7G57LS06EFDJJn4xgRduUgVnpcOxAXFYgSDhjrAXwo2sPxbZ&#10;NE/X02KyuVjMJ/kmn02KebqYpFmxLi7SvMhvNt9DgFleNoIxrm6F4qMCs/zvGD72wqCdqEHUAZOz&#10;6Wyg6I9JpvH7XZKt8NCQUrQVXpycSBmIfaMYpE1KT4Qc7OTn8GOVoQbjP1YlyiAwP2jA99s+6i1q&#10;JEhkq9kD6MJqoA0YhscEjEbbbxh10JgVdl/3xHKM5DsF2gpdPBp2NLajQRSFoxX2GA3mtR+6fW+s&#10;2DWAPKhX6SvQXy2iNJ6iOKoWmi3mcHwYQjc/n0evp+dr9QMAAP//AwBQSwMEFAAGAAgAAAAhAGQ4&#10;52bgAAAACwEAAA8AAABkcnMvZG93bnJldi54bWxMj8FOwzAQRO9I/IO1SFwQdRqo1YY4FbRwg0NL&#10;1fM2NklEvI5ip0n/nuUEx5l9mp3J15Nrxdn2ofGkYT5LQFgqvWmo0nD4fLtfgggRyWDryWq42ADr&#10;4voqx8z4kXb2vI+V4BAKGWqoY+wyKUNZW4dh5jtLfPvyvcPIsq+k6XHkcNfKNEmUdNgQf6ixs5va&#10;lt/7wWlQ234Yd7S52x5e3/Gjq9Ljy+Wo9e3N9PwEItop/sHwW5+rQ8GdTn4gE0TLWiWKUQ2PasWj&#10;mHhYLNk5aVjMVynIIpf/NxQ/AAAA//8DAFBLAQItABQABgAIAAAAIQC2gziS/gAAAOEBAAATAAAA&#10;AAAAAAAAAAAAAAAAAABbQ29udGVudF9UeXBlc10ueG1sUEsBAi0AFAAGAAgAAAAhADj9If/WAAAA&#10;lAEAAAsAAAAAAAAAAAAAAAAALwEAAF9yZWxzLy5yZWxzUEsBAi0AFAAGAAgAAAAhAEMiGI98AgAA&#10;BgUAAA4AAAAAAAAAAAAAAAAALgIAAGRycy9lMm9Eb2MueG1sUEsBAi0AFAAGAAgAAAAhAGQ452bg&#10;AAAACwEAAA8AAAAAAAAAAAAAAAAA1gQAAGRycy9kb3ducmV2LnhtbFBLBQYAAAAABAAEAPMAAADj&#10;BQAAAAA=&#10;" stroked="f">
                <v:textbox inset="0,0,0,0">
                  <w:txbxContent>
                    <w:p w14:paraId="7B193CF7" w14:textId="77777777" w:rsidR="0055316E" w:rsidRPr="00191E3C" w:rsidRDefault="0055316E" w:rsidP="00922865">
                      <w:pPr>
                        <w:jc w:val="center"/>
                        <w:rPr>
                          <w:sz w:val="15"/>
                          <w:lang w:val="de-DE"/>
                        </w:rPr>
                      </w:pPr>
                      <w:r w:rsidRPr="00191E3C">
                        <w:rPr>
                          <w:sz w:val="15"/>
                        </w:rPr>
                        <w:t xml:space="preserve">Nepoužívanie </w:t>
                      </w:r>
                      <w:r>
                        <w:rPr>
                          <w:sz w:val="15"/>
                        </w:rPr>
                        <w:t xml:space="preserve">CHC </w:t>
                      </w:r>
                      <w:r w:rsidRPr="00191E3C">
                        <w:rPr>
                          <w:sz w:val="15"/>
                        </w:rPr>
                        <w:t>(2</w:t>
                      </w:r>
                      <w:r>
                        <w:rPr>
                          <w:sz w:val="15"/>
                        </w:rPr>
                        <w:t> </w:t>
                      </w:r>
                      <w:r w:rsidRPr="00191E3C">
                        <w:rPr>
                          <w:sz w:val="15"/>
                        </w:rPr>
                        <w:t>prípady)</w:t>
                      </w:r>
                    </w:p>
                  </w:txbxContent>
                </v:textbox>
              </v:shape>
            </w:pict>
          </mc:Fallback>
        </mc:AlternateContent>
      </w:r>
      <w:r w:rsidRPr="001F4ACA">
        <w:rPr>
          <w:noProof/>
          <w:szCs w:val="22"/>
          <w:lang w:val="en-US"/>
        </w:rPr>
        <mc:AlternateContent>
          <mc:Choice Requires="wps">
            <w:drawing>
              <wp:anchor distT="0" distB="0" distL="114300" distR="114300" simplePos="0" relativeHeight="251657728" behindDoc="0" locked="0" layoutInCell="1" allowOverlap="1" wp14:anchorId="11608266" wp14:editId="3E772FF0">
                <wp:simplePos x="0" y="0"/>
                <wp:positionH relativeFrom="column">
                  <wp:posOffset>2265462</wp:posOffset>
                </wp:positionH>
                <wp:positionV relativeFrom="paragraph">
                  <wp:posOffset>2998896</wp:posOffset>
                </wp:positionV>
                <wp:extent cx="1696720" cy="44640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46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0106" w14:textId="77777777" w:rsidR="0055316E" w:rsidRPr="00191E3C" w:rsidRDefault="0055316E" w:rsidP="002637C2">
                            <w:pPr>
                              <w:jc w:val="center"/>
                              <w:rPr>
                                <w:sz w:val="15"/>
                                <w:lang w:val="de-DE"/>
                              </w:rPr>
                            </w:pPr>
                            <w:r>
                              <w:rPr>
                                <w:sz w:val="15"/>
                              </w:rPr>
                              <w:t>CHC</w:t>
                            </w:r>
                            <w:r w:rsidRPr="00191E3C">
                              <w:rPr>
                                <w:sz w:val="15"/>
                              </w:rPr>
                              <w:t xml:space="preserve"> obsahujúce levonorgestrel</w:t>
                            </w:r>
                          </w:p>
                          <w:p w14:paraId="0D482723" w14:textId="77777777" w:rsidR="0055316E" w:rsidRPr="00191E3C" w:rsidRDefault="0055316E" w:rsidP="002637C2">
                            <w:pPr>
                              <w:jc w:val="center"/>
                              <w:rPr>
                                <w:sz w:val="15"/>
                                <w:lang w:val="de-DE"/>
                              </w:rPr>
                            </w:pPr>
                            <w:r w:rsidRPr="00191E3C">
                              <w:rPr>
                                <w:sz w:val="15"/>
                              </w:rPr>
                              <w:t>(5</w:t>
                            </w:r>
                            <w:r>
                              <w:rPr>
                                <w:sz w:val="15"/>
                              </w:rPr>
                              <w:t> </w:t>
                            </w:r>
                            <w:r>
                              <w:rPr>
                                <w:sz w:val="15"/>
                              </w:rPr>
                              <w:noBreakHyphen/>
                            </w:r>
                            <w:r w:rsidRPr="00191E3C">
                              <w:rPr>
                                <w:sz w:val="15"/>
                              </w:rPr>
                              <w:t> 7</w:t>
                            </w:r>
                            <w:r>
                              <w:rPr>
                                <w:sz w:val="15"/>
                              </w:rPr>
                              <w:t> </w:t>
                            </w:r>
                            <w:r w:rsidRPr="00191E3C">
                              <w:rPr>
                                <w:sz w:val="15"/>
                              </w:rPr>
                              <w:t>prípadov)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08266" id="Text Box 4" o:spid="_x0000_s1028" type="#_x0000_t202" style="position:absolute;left:0;text-align:left;margin-left:178.4pt;margin-top:236.15pt;width:133.6pt;height:35.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cPfAIAAAcFAAAOAAAAZHJzL2Uyb0RvYy54bWysVNuO2yAQfa/Uf0C8Z32Rk42tOKu9NFWl&#10;7UXa7QcQwDEqBgok9rbaf++A4+xuL1JV1Q94gOHMmZkDq4uhk+jArRNa1Tg7SzHiimom1K7Gn+83&#10;syVGzhPFiNSK1/iBO3yxfv1q1ZuK57rVknGLAES5qjc1br03VZI42vKOuDNtuILNRtuOeJjaXcIs&#10;6QG9k0mepouk15YZqyl3DlZvxk28jvhNw6n/2DSOeyRrDNx8HG0ct2FM1itS7SwxraBHGuQfWHRE&#10;KAh6grohnqC9Fb9AdYJa7XTjz6juEt00gvKYA2STpT9lc9cSw2MuUBxnTmVy/w+Wfjh8skgw6B2U&#10;R5EOenTPB4+u9ICKUJ7euAq87gz4+QGWwTWm6sytpl8cUvq6JWrHL63VfcsJA3pZOJk8OzriuACy&#10;7d9rBmHI3usINDS2C7WDaiBABx4Pp9YEKjSEXJSL8xy2KOwVxaJI5zEEqabTxjr/lusOBaPGFlof&#10;0cnh1vnAhlSTSwjmtBRsI6SME7vbXkuLDgRksonfEf2Fm1TBWelwbEQcV4AkxAh7gW5s+/cyy4v0&#10;Ki9nm8XyfFZsivmsPE+XszQrr8pFWpTFzeYxEMyKqhWMcXUrFJ8kmBV/1+LjZRjFE0WI+hqX83w+&#10;tuiPSabx+12SnfBwI6Xoarw8OZEqNPaNYpA2qTwRcrSTl/RjlaEG0z9WJcogdH7UgB+2QxRcHqIH&#10;iWw1ewBdWA1tgw7DawJGq+03jHq4mTV2X/fEcozkOwXaAhc/GXYytpNBFIWjNfYYjea1H6/73lix&#10;awF5VK/Sl6C/RkRpPLE4qhZuW8zh+DKE6/x8Hr2e3q/1DwAAAP//AwBQSwMEFAAGAAgAAAAhAF5z&#10;9R7hAAAACwEAAA8AAABkcnMvZG93bnJldi54bWxMjzFPwzAUhHck/oP1kFgQdXBTtwpxKmhhK0NL&#10;1dmNH0lE/BzFTpP+e8wE4+lOd9/l68m27IK9bxwpeJolwJBKZxqqFBw/3x9XwHzQZHTrCBVc0cO6&#10;uL3JdWbcSHu8HELFYgn5TCuoQ+gyzn1Zo9V+5jqk6H253uoQZV9x0+sxltuWiySR3OqG4kKtO9zU&#10;WH4fBqtAbvth3NPmYXt82+mPrhKn1+tJqfu76eUZWMAp/IXhFz+iQxGZzm4g41mrYL6QET0oSJdi&#10;DiwmpEjju7OCRSok8CLn/z8UPwAAAP//AwBQSwECLQAUAAYACAAAACEAtoM4kv4AAADhAQAAEwAA&#10;AAAAAAAAAAAAAAAAAAAAW0NvbnRlbnRfVHlwZXNdLnhtbFBLAQItABQABgAIAAAAIQA4/SH/1gAA&#10;AJQBAAALAAAAAAAAAAAAAAAAAC8BAABfcmVscy8ucmVsc1BLAQItABQABgAIAAAAIQDvtPcPfAIA&#10;AAcFAAAOAAAAAAAAAAAAAAAAAC4CAABkcnMvZTJvRG9jLnhtbFBLAQItABQABgAIAAAAIQBec/Ue&#10;4QAAAAsBAAAPAAAAAAAAAAAAAAAAANYEAABkcnMvZG93bnJldi54bWxQSwUGAAAAAAQABADzAAAA&#10;5AUAAAAA&#10;" stroked="f">
                <v:textbox inset="0,0,0,0">
                  <w:txbxContent>
                    <w:p w14:paraId="71240106" w14:textId="77777777" w:rsidR="0055316E" w:rsidRPr="00191E3C" w:rsidRDefault="0055316E" w:rsidP="002637C2">
                      <w:pPr>
                        <w:jc w:val="center"/>
                        <w:rPr>
                          <w:sz w:val="15"/>
                          <w:lang w:val="de-DE"/>
                        </w:rPr>
                      </w:pPr>
                      <w:r>
                        <w:rPr>
                          <w:sz w:val="15"/>
                        </w:rPr>
                        <w:t>CHC</w:t>
                      </w:r>
                      <w:r w:rsidRPr="00191E3C">
                        <w:rPr>
                          <w:sz w:val="15"/>
                        </w:rPr>
                        <w:t xml:space="preserve"> obsahujúce levonorgestrel</w:t>
                      </w:r>
                    </w:p>
                    <w:p w14:paraId="0D482723" w14:textId="77777777" w:rsidR="0055316E" w:rsidRPr="00191E3C" w:rsidRDefault="0055316E" w:rsidP="002637C2">
                      <w:pPr>
                        <w:jc w:val="center"/>
                        <w:rPr>
                          <w:sz w:val="15"/>
                          <w:lang w:val="de-DE"/>
                        </w:rPr>
                      </w:pPr>
                      <w:r w:rsidRPr="00191E3C">
                        <w:rPr>
                          <w:sz w:val="15"/>
                        </w:rPr>
                        <w:t>(5</w:t>
                      </w:r>
                      <w:r>
                        <w:rPr>
                          <w:sz w:val="15"/>
                        </w:rPr>
                        <w:t> </w:t>
                      </w:r>
                      <w:r>
                        <w:rPr>
                          <w:sz w:val="15"/>
                        </w:rPr>
                        <w:noBreakHyphen/>
                      </w:r>
                      <w:r w:rsidRPr="00191E3C">
                        <w:rPr>
                          <w:sz w:val="15"/>
                        </w:rPr>
                        <w:t> 7</w:t>
                      </w:r>
                      <w:r>
                        <w:rPr>
                          <w:sz w:val="15"/>
                        </w:rPr>
                        <w:t> </w:t>
                      </w:r>
                      <w:r w:rsidRPr="00191E3C">
                        <w:rPr>
                          <w:sz w:val="15"/>
                        </w:rPr>
                        <w:t>prípadov)</w:t>
                      </w:r>
                    </w:p>
                  </w:txbxContent>
                </v:textbox>
              </v:shape>
            </w:pict>
          </mc:Fallback>
        </mc:AlternateContent>
      </w:r>
      <w:r w:rsidRPr="001F4ACA">
        <w:rPr>
          <w:noProof/>
          <w:szCs w:val="22"/>
          <w:lang w:val="en-US"/>
        </w:rPr>
        <mc:AlternateContent>
          <mc:Choice Requires="wps">
            <w:drawing>
              <wp:anchor distT="0" distB="0" distL="114300" distR="114300" simplePos="0" relativeHeight="251658752" behindDoc="0" locked="0" layoutInCell="1" allowOverlap="1" wp14:anchorId="7D76DC75" wp14:editId="53F45F47">
                <wp:simplePos x="0" y="0"/>
                <wp:positionH relativeFrom="column">
                  <wp:posOffset>3986103</wp:posOffset>
                </wp:positionH>
                <wp:positionV relativeFrom="paragraph">
                  <wp:posOffset>2985248</wp:posOffset>
                </wp:positionV>
                <wp:extent cx="1600200" cy="510540"/>
                <wp:effectExtent l="0" t="0" r="0" b="381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1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9DC7" w14:textId="77777777" w:rsidR="0055316E" w:rsidRPr="00191E3C" w:rsidRDefault="0055316E" w:rsidP="002637C2">
                            <w:pPr>
                              <w:jc w:val="center"/>
                              <w:rPr>
                                <w:sz w:val="15"/>
                                <w:lang w:val="de-DE"/>
                              </w:rPr>
                            </w:pPr>
                            <w:r>
                              <w:rPr>
                                <w:sz w:val="15"/>
                              </w:rPr>
                              <w:t>CHC</w:t>
                            </w:r>
                            <w:r w:rsidRPr="00191E3C">
                              <w:rPr>
                                <w:sz w:val="15"/>
                              </w:rPr>
                              <w:t xml:space="preserve"> obsahujúce </w:t>
                            </w:r>
                            <w:r>
                              <w:rPr>
                                <w:sz w:val="15"/>
                              </w:rPr>
                              <w:t>etonogestrel</w:t>
                            </w:r>
                          </w:p>
                          <w:p w14:paraId="302BD3DB" w14:textId="77777777" w:rsidR="0055316E" w:rsidRPr="00191E3C" w:rsidRDefault="0055316E" w:rsidP="002637C2">
                            <w:pPr>
                              <w:jc w:val="center"/>
                              <w:rPr>
                                <w:sz w:val="15"/>
                                <w:lang w:val="de-DE"/>
                              </w:rPr>
                            </w:pPr>
                            <w:r w:rsidRPr="00191E3C">
                              <w:rPr>
                                <w:sz w:val="15"/>
                              </w:rPr>
                              <w:t>(</w:t>
                            </w:r>
                            <w:r>
                              <w:rPr>
                                <w:sz w:val="15"/>
                              </w:rPr>
                              <w:t>6 </w:t>
                            </w:r>
                            <w:r>
                              <w:rPr>
                                <w:sz w:val="15"/>
                              </w:rPr>
                              <w:noBreakHyphen/>
                              <w:t> 12 </w:t>
                            </w:r>
                            <w:r w:rsidRPr="00191E3C">
                              <w:rPr>
                                <w:sz w:val="15"/>
                              </w:rPr>
                              <w:t>prípadov)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DC75" id="Text Box 3" o:spid="_x0000_s1029" type="#_x0000_t202" style="position:absolute;left:0;text-align:left;margin-left:313.85pt;margin-top:235.05pt;width:126pt;height:40.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86yfAIAAAcFAAAOAAAAZHJzL2Uyb0RvYy54bWysVNuO0zAQfUfiHyy/d5OUtDTRpqu9UIS0&#10;XKRdPsCNncbC8RjbbbIg/p2x05RlAQkh8uCM7fHxzJwzPr8YOkUOwjoJuqLZWUqJ0DVwqXcV/Xi/&#10;ma0ocZ5pzhRoUdEH4ejF+vmz896UYg4tKC4sQRDtyt5UtPXelEni6lZ0zJ2BERo3G7Ad8zi1u4Rb&#10;1iN6p5J5mi6THiw3FmrhHK7ejJt0HfGbRtT+fdM44YmqKMbm42jjuA1jsj5n5c4y08r6GAb7hyg6&#10;JjVeeoK6YZ6RvZW/QHWytuCg8Wc1dAk0jaxFzAGzydIn2dy1zIiYCxbHmVOZ3P+Drd8dPlgiOXKX&#10;UaJZhxzdi8GTKxjIi1Ce3rgSve4M+vkBl9E1purMLdSfHNFw3TK9E5fWQt8KxjG8LJxMHh0dcVwA&#10;2fZvgeM1bO8hAg2N7ULtsBoE0ZGmhxM1IZQ6XLlMU+Sbkhr3Flm6yCN3CSun08Y6/1pAR4JRUYvU&#10;R3R2uHU+RMPKySVc5kBJvpFKxYndba+VJQeGMtnELybwxE3p4KwhHBsRxxUMEu8IeyHcSPvXIpvn&#10;6dW8mG2Wq5ezfJMvZsXLdDVLs+KqWKZ5kd9svoUAs7xsJedC30otJglm+d9RfGyGUTxRhKSvaLGY&#10;L0aK/phkGr/fJdlJjx2pZFfR1cmJlYHYV5pj2qz0TKrRTn4OP1YZazD9Y1WiDALzowb8sB2i4E7q&#10;2gJ/QF1YQNqQYXxN0GjBfqGkx86sqPu8Z1ZQot5o1FZo48mwk7GdDKZrPFpRT8loXvux3ffGyl2L&#10;yKN6NVyi/hoZpRGEOkZxVC12W8zh+DKEdn48j14/3q/1dwAAAP//AwBQSwMEFAAGAAgAAAAhABID&#10;EhrhAAAACwEAAA8AAABkcnMvZG93bnJldi54bWxMj8FOwzAMhu9IvENkJC6IJavoOkrTCTZ2g8PG&#10;tHPWhLaicaokXbu3x5zG0favz99frCbbsbPxoXUoYT4TwAxWTrdYSzh8bR+XwEJUqFXn0Ei4mACr&#10;8vamULl2I+7MeR9rRhAMuZLQxNjnnIeqMVaFmesN0u3beasijb7m2quR4LbjiRALblWL9KFRvVk3&#10;pvrZD1bCYuOHcYfrh83h/UN99nVyfLscpby/m15fgEUzxWsY/vRJHUpyOrkBdWAdMZIso6iEp0zM&#10;gVFimT3T5iQhTUUKvCz4/w7lLwAAAP//AwBQSwECLQAUAAYACAAAACEAtoM4kv4AAADhAQAAEwAA&#10;AAAAAAAAAAAAAAAAAAAAW0NvbnRlbnRfVHlwZXNdLnhtbFBLAQItABQABgAIAAAAIQA4/SH/1gAA&#10;AJQBAAALAAAAAAAAAAAAAAAAAC8BAABfcmVscy8ucmVsc1BLAQItABQABgAIAAAAIQAyP86yfAIA&#10;AAcFAAAOAAAAAAAAAAAAAAAAAC4CAABkcnMvZTJvRG9jLnhtbFBLAQItABQABgAIAAAAIQASAxIa&#10;4QAAAAsBAAAPAAAAAAAAAAAAAAAAANYEAABkcnMvZG93bnJldi54bWxQSwUGAAAAAAQABADzAAAA&#10;5AUAAAAA&#10;" stroked="f">
                <v:textbox inset="0,0,0,0">
                  <w:txbxContent>
                    <w:p w14:paraId="67C29DC7" w14:textId="77777777" w:rsidR="0055316E" w:rsidRPr="00191E3C" w:rsidRDefault="0055316E" w:rsidP="002637C2">
                      <w:pPr>
                        <w:jc w:val="center"/>
                        <w:rPr>
                          <w:sz w:val="15"/>
                          <w:lang w:val="de-DE"/>
                        </w:rPr>
                      </w:pPr>
                      <w:r>
                        <w:rPr>
                          <w:sz w:val="15"/>
                        </w:rPr>
                        <w:t>CHC</w:t>
                      </w:r>
                      <w:r w:rsidRPr="00191E3C">
                        <w:rPr>
                          <w:sz w:val="15"/>
                        </w:rPr>
                        <w:t xml:space="preserve"> obsahujúce </w:t>
                      </w:r>
                      <w:r>
                        <w:rPr>
                          <w:sz w:val="15"/>
                        </w:rPr>
                        <w:t>etonogestrel</w:t>
                      </w:r>
                    </w:p>
                    <w:p w14:paraId="302BD3DB" w14:textId="77777777" w:rsidR="0055316E" w:rsidRPr="00191E3C" w:rsidRDefault="0055316E" w:rsidP="002637C2">
                      <w:pPr>
                        <w:jc w:val="center"/>
                        <w:rPr>
                          <w:sz w:val="15"/>
                          <w:lang w:val="de-DE"/>
                        </w:rPr>
                      </w:pPr>
                      <w:r w:rsidRPr="00191E3C">
                        <w:rPr>
                          <w:sz w:val="15"/>
                        </w:rPr>
                        <w:t>(</w:t>
                      </w:r>
                      <w:r>
                        <w:rPr>
                          <w:sz w:val="15"/>
                        </w:rPr>
                        <w:t>6 </w:t>
                      </w:r>
                      <w:r>
                        <w:rPr>
                          <w:sz w:val="15"/>
                        </w:rPr>
                        <w:noBreakHyphen/>
                        <w:t> 12 </w:t>
                      </w:r>
                      <w:r w:rsidRPr="00191E3C">
                        <w:rPr>
                          <w:sz w:val="15"/>
                        </w:rPr>
                        <w:t>prípadov)</w:t>
                      </w:r>
                    </w:p>
                  </w:txbxContent>
                </v:textbox>
              </v:shape>
            </w:pict>
          </mc:Fallback>
        </mc:AlternateContent>
      </w:r>
      <w:r w:rsidR="00696EA7" w:rsidRPr="001F4ACA">
        <w:rPr>
          <w:noProof/>
          <w:szCs w:val="22"/>
          <w:lang w:val="en-US"/>
        </w:rPr>
        <w:drawing>
          <wp:inline distT="0" distB="0" distL="0" distR="0" wp14:anchorId="60F7FA7C" wp14:editId="24516321">
            <wp:extent cx="4972050" cy="36576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2050" cy="3657600"/>
                    </a:xfrm>
                    <a:prstGeom prst="rect">
                      <a:avLst/>
                    </a:prstGeom>
                    <a:noFill/>
                    <a:ln>
                      <a:noFill/>
                    </a:ln>
                  </pic:spPr>
                </pic:pic>
              </a:graphicData>
            </a:graphic>
          </wp:inline>
        </w:drawing>
      </w:r>
    </w:p>
    <w:p w14:paraId="5D0B4BF0" w14:textId="77777777" w:rsidR="001F08FE" w:rsidRPr="000059C9" w:rsidRDefault="001F08FE" w:rsidP="001F4ACA">
      <w:pPr>
        <w:keepNext/>
        <w:numPr>
          <w:ilvl w:val="0"/>
          <w:numId w:val="30"/>
        </w:numPr>
        <w:tabs>
          <w:tab w:val="clear" w:pos="720"/>
          <w:tab w:val="left" w:pos="567"/>
        </w:tabs>
        <w:autoSpaceDE w:val="0"/>
        <w:autoSpaceDN w:val="0"/>
        <w:adjustRightInd w:val="0"/>
        <w:snapToGrid w:val="0"/>
        <w:ind w:left="567" w:hanging="567"/>
        <w:rPr>
          <w:szCs w:val="22"/>
        </w:rPr>
      </w:pPr>
      <w:r w:rsidRPr="000059C9">
        <w:rPr>
          <w:iCs/>
          <w:szCs w:val="22"/>
        </w:rPr>
        <w:t xml:space="preserve">U používateliek CHC bol mimoriadne zriedkavo hlásený výskyt trombózy v iných krvných cievach, napr. v pečeňových, mezenterických, obličkových alebo sietnicových žilách a tepnách. </w:t>
      </w:r>
    </w:p>
    <w:p w14:paraId="156D0F6E" w14:textId="77777777" w:rsidR="001F08FE" w:rsidRPr="000059C9" w:rsidRDefault="001F08FE">
      <w:pPr>
        <w:adjustRightInd w:val="0"/>
        <w:snapToGrid w:val="0"/>
        <w:rPr>
          <w:szCs w:val="22"/>
        </w:rPr>
      </w:pPr>
    </w:p>
    <w:p w14:paraId="13F5AF41" w14:textId="77777777" w:rsidR="001F08FE" w:rsidRPr="001F4ACA" w:rsidRDefault="001F08FE" w:rsidP="001F4ACA">
      <w:pPr>
        <w:rPr>
          <w:b/>
          <w:u w:val="single"/>
        </w:rPr>
      </w:pPr>
      <w:r w:rsidRPr="001F4ACA">
        <w:rPr>
          <w:b/>
          <w:u w:val="single"/>
        </w:rPr>
        <w:t>Rizikové faktory pre vznik VTE</w:t>
      </w:r>
    </w:p>
    <w:p w14:paraId="5350FE3E" w14:textId="77777777" w:rsidR="001F08FE" w:rsidRPr="000059C9" w:rsidRDefault="001F08FE">
      <w:pPr>
        <w:adjustRightInd w:val="0"/>
        <w:snapToGrid w:val="0"/>
        <w:rPr>
          <w:szCs w:val="22"/>
        </w:rPr>
      </w:pPr>
      <w:r w:rsidRPr="000059C9">
        <w:rPr>
          <w:szCs w:val="22"/>
        </w:rPr>
        <w:t>Riziko vzniku venóznych tromboembolických komplikácií u používateliek CHC sa môže značne zvýšiť u ženy s ďalšími rizikovými faktormi, najmä ak má viacero rizikových faktorov (pozri tabuľku).</w:t>
      </w:r>
    </w:p>
    <w:p w14:paraId="6536821D" w14:textId="77777777" w:rsidR="001F08FE" w:rsidRPr="000059C9" w:rsidRDefault="001F08FE">
      <w:pPr>
        <w:adjustRightInd w:val="0"/>
        <w:snapToGrid w:val="0"/>
        <w:rPr>
          <w:szCs w:val="22"/>
        </w:rPr>
      </w:pPr>
    </w:p>
    <w:p w14:paraId="772A7A75" w14:textId="77777777" w:rsidR="001F08FE" w:rsidRPr="000059C9" w:rsidRDefault="007D1058">
      <w:pPr>
        <w:adjustRightInd w:val="0"/>
        <w:snapToGrid w:val="0"/>
        <w:rPr>
          <w:szCs w:val="22"/>
        </w:rPr>
      </w:pPr>
      <w:r w:rsidRPr="000059C9">
        <w:rPr>
          <w:szCs w:val="22"/>
        </w:rPr>
        <w:t>Etonogestrel/Ethinylestradiol Mithra</w:t>
      </w:r>
      <w:r w:rsidR="001F08FE" w:rsidRPr="000059C9">
        <w:rPr>
          <w:szCs w:val="22"/>
        </w:rPr>
        <w:t xml:space="preserve"> je kontraindikovaný, ak má žena viacero rizikových faktorov, ktoré ju vystavujú vysokému riziku vzniku venóznej trombózy (pozri časť 4.3). Ak má žena viac ako jeden rizikový faktor, zvýšenie rizika môže byť väčšie než súčet jednotlivých faktorov – v takomto prípade sa má zvážiť jej celkové riziko výskytu VTE. Ak sa pomer prínosov a rizík považuje za negatívny, CHC sa nemá predpisovať (pozri časť 4.3).</w:t>
      </w:r>
    </w:p>
    <w:p w14:paraId="33A8D83C" w14:textId="77777777" w:rsidR="001F08FE" w:rsidRPr="000059C9" w:rsidRDefault="001F08FE">
      <w:pPr>
        <w:adjustRightInd w:val="0"/>
        <w:snapToGrid w:val="0"/>
        <w:rPr>
          <w:b/>
          <w:bCs/>
          <w:szCs w:val="22"/>
        </w:rPr>
      </w:pPr>
    </w:p>
    <w:p w14:paraId="6F7C47D7" w14:textId="77777777" w:rsidR="001F08FE" w:rsidRPr="000059C9" w:rsidRDefault="001F08FE">
      <w:pPr>
        <w:adjustRightInd w:val="0"/>
        <w:snapToGrid w:val="0"/>
        <w:rPr>
          <w:b/>
          <w:bCs/>
          <w:szCs w:val="22"/>
        </w:rPr>
      </w:pPr>
      <w:r w:rsidRPr="000059C9">
        <w:rPr>
          <w:b/>
          <w:bCs/>
          <w:szCs w:val="22"/>
        </w:rPr>
        <w:t>Tabuľka: Rizikové faktory pre vznik VTE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44"/>
      </w:tblGrid>
      <w:tr w:rsidR="001F08FE" w:rsidRPr="000059C9" w14:paraId="12304C71" w14:textId="77777777" w:rsidTr="00313EF1">
        <w:trPr>
          <w:cantSplit/>
        </w:trPr>
        <w:tc>
          <w:tcPr>
            <w:tcW w:w="4643" w:type="dxa"/>
          </w:tcPr>
          <w:p w14:paraId="0DDCFF57" w14:textId="77777777" w:rsidR="001F08FE" w:rsidRPr="00EE5FF7" w:rsidRDefault="001F08FE">
            <w:pPr>
              <w:adjustRightInd w:val="0"/>
              <w:snapToGrid w:val="0"/>
              <w:rPr>
                <w:szCs w:val="22"/>
              </w:rPr>
            </w:pPr>
            <w:r w:rsidRPr="000059C9">
              <w:rPr>
                <w:b/>
                <w:bCs/>
                <w:szCs w:val="22"/>
              </w:rPr>
              <w:t>Rizikový faktor</w:t>
            </w:r>
          </w:p>
        </w:tc>
        <w:tc>
          <w:tcPr>
            <w:tcW w:w="4644" w:type="dxa"/>
          </w:tcPr>
          <w:p w14:paraId="723C665F" w14:textId="77777777" w:rsidR="001F08FE" w:rsidRPr="00EE5FF7" w:rsidRDefault="001F08FE">
            <w:pPr>
              <w:adjustRightInd w:val="0"/>
              <w:snapToGrid w:val="0"/>
              <w:rPr>
                <w:szCs w:val="22"/>
              </w:rPr>
            </w:pPr>
            <w:r w:rsidRPr="000059C9">
              <w:rPr>
                <w:b/>
                <w:bCs/>
                <w:szCs w:val="22"/>
              </w:rPr>
              <w:t>Komentár</w:t>
            </w:r>
          </w:p>
        </w:tc>
      </w:tr>
      <w:tr w:rsidR="001F08FE" w:rsidRPr="000059C9" w14:paraId="78C615E0" w14:textId="77777777" w:rsidTr="00313EF1">
        <w:trPr>
          <w:cantSplit/>
        </w:trPr>
        <w:tc>
          <w:tcPr>
            <w:tcW w:w="4643" w:type="dxa"/>
          </w:tcPr>
          <w:p w14:paraId="61F13D53" w14:textId="77777777" w:rsidR="001F08FE" w:rsidRPr="00EE5FF7" w:rsidRDefault="001F08FE">
            <w:pPr>
              <w:adjustRightInd w:val="0"/>
              <w:snapToGrid w:val="0"/>
              <w:rPr>
                <w:szCs w:val="22"/>
              </w:rPr>
            </w:pPr>
            <w:r w:rsidRPr="000059C9">
              <w:rPr>
                <w:szCs w:val="22"/>
              </w:rPr>
              <w:t>Obezita (index telesnej hmotnosti (BMI) nad 30 kg/m</w:t>
            </w:r>
            <w:r w:rsidRPr="000059C9">
              <w:rPr>
                <w:szCs w:val="22"/>
                <w:vertAlign w:val="superscript"/>
              </w:rPr>
              <w:t>2</w:t>
            </w:r>
            <w:r w:rsidRPr="000059C9">
              <w:rPr>
                <w:szCs w:val="22"/>
              </w:rPr>
              <w:t>)</w:t>
            </w:r>
          </w:p>
        </w:tc>
        <w:tc>
          <w:tcPr>
            <w:tcW w:w="4644" w:type="dxa"/>
          </w:tcPr>
          <w:p w14:paraId="7ECA94C8" w14:textId="77777777" w:rsidR="001F08FE" w:rsidRPr="00EE5FF7" w:rsidRDefault="001F08FE">
            <w:pPr>
              <w:adjustRightInd w:val="0"/>
              <w:snapToGrid w:val="0"/>
              <w:rPr>
                <w:szCs w:val="22"/>
              </w:rPr>
            </w:pPr>
            <w:r w:rsidRPr="000059C9">
              <w:rPr>
                <w:szCs w:val="22"/>
              </w:rPr>
              <w:t>Riziko sa výrazne zvyšuje so zvyšovaním BMI.</w:t>
            </w:r>
          </w:p>
          <w:p w14:paraId="3CBAB19F" w14:textId="77777777" w:rsidR="001F08FE" w:rsidRPr="001F4ACA" w:rsidRDefault="001F08FE">
            <w:pPr>
              <w:adjustRightInd w:val="0"/>
              <w:snapToGrid w:val="0"/>
              <w:rPr>
                <w:szCs w:val="22"/>
              </w:rPr>
            </w:pPr>
          </w:p>
          <w:p w14:paraId="613CE911" w14:textId="77777777" w:rsidR="001F08FE" w:rsidRPr="001F4ACA" w:rsidRDefault="001F08FE">
            <w:pPr>
              <w:adjustRightInd w:val="0"/>
              <w:snapToGrid w:val="0"/>
              <w:rPr>
                <w:szCs w:val="22"/>
              </w:rPr>
            </w:pPr>
            <w:r w:rsidRPr="000059C9">
              <w:rPr>
                <w:szCs w:val="22"/>
              </w:rPr>
              <w:t>Obzvlášť dôležité je zvážiť, ak sú prítomné aj ďalšie rizikové faktory.</w:t>
            </w:r>
          </w:p>
        </w:tc>
      </w:tr>
      <w:tr w:rsidR="001F08FE" w:rsidRPr="000059C9" w14:paraId="22BB4D59" w14:textId="77777777" w:rsidTr="00313EF1">
        <w:trPr>
          <w:cantSplit/>
        </w:trPr>
        <w:tc>
          <w:tcPr>
            <w:tcW w:w="4643" w:type="dxa"/>
          </w:tcPr>
          <w:p w14:paraId="6242375F" w14:textId="77777777" w:rsidR="001F08FE" w:rsidRPr="00EE5FF7" w:rsidRDefault="001F08FE">
            <w:pPr>
              <w:adjustRightInd w:val="0"/>
              <w:snapToGrid w:val="0"/>
              <w:rPr>
                <w:szCs w:val="22"/>
              </w:rPr>
            </w:pPr>
            <w:r w:rsidRPr="000059C9">
              <w:rPr>
                <w:szCs w:val="22"/>
              </w:rPr>
              <w:t>Dlhodobá imobilizácia, závažný chirurgický zákrok, akýkoľvek chirurgický zákrok na nohách alebo panve, neurochirurgický zákrok alebo závažný úraz</w:t>
            </w:r>
          </w:p>
          <w:p w14:paraId="2153213D" w14:textId="77777777" w:rsidR="001F08FE" w:rsidRPr="00EE5FF7" w:rsidRDefault="001F08FE">
            <w:pPr>
              <w:adjustRightInd w:val="0"/>
              <w:snapToGrid w:val="0"/>
              <w:rPr>
                <w:szCs w:val="22"/>
              </w:rPr>
            </w:pPr>
            <w:r w:rsidRPr="000059C9">
              <w:rPr>
                <w:szCs w:val="22"/>
              </w:rPr>
              <w:t>Poznámka: dočasná imobilizácia vrátane cestovania leteckou dopravou trvajúcou &gt; 4 hodiny môže byť tiež rizikovým faktorom pre vznik VTE, najmä u žien s ďalšími rizikovými faktormi.</w:t>
            </w:r>
          </w:p>
        </w:tc>
        <w:tc>
          <w:tcPr>
            <w:tcW w:w="4644" w:type="dxa"/>
          </w:tcPr>
          <w:p w14:paraId="0D2EDFF4" w14:textId="77777777" w:rsidR="001F08FE" w:rsidRPr="00EE5FF7" w:rsidRDefault="001F08FE">
            <w:pPr>
              <w:adjustRightInd w:val="0"/>
              <w:snapToGrid w:val="0"/>
              <w:rPr>
                <w:szCs w:val="22"/>
              </w:rPr>
            </w:pPr>
            <w:r w:rsidRPr="000059C9">
              <w:rPr>
                <w:szCs w:val="22"/>
              </w:rPr>
              <w:t>V týchto prípadoch sa odporúča prerušiť používanie náplasti/tablety/krúžku (v prípade plánovaného chirurgického zákroku najmenej štyri týždne pred zákrokom) a pokračovať v ňom najskôr dva týždne po úplnom obnovení pohyblivosti. Má sa používať in</w:t>
            </w:r>
            <w:r w:rsidR="00F23AEC" w:rsidRPr="000059C9">
              <w:rPr>
                <w:szCs w:val="22"/>
              </w:rPr>
              <w:t>á metóda</w:t>
            </w:r>
            <w:r w:rsidRPr="000059C9">
              <w:rPr>
                <w:szCs w:val="22"/>
              </w:rPr>
              <w:t xml:space="preserve"> antikoncepcie, aby sa zabránilo neželanej gravidite.</w:t>
            </w:r>
          </w:p>
          <w:p w14:paraId="5A524F5B" w14:textId="1FED40B3" w:rsidR="001F08FE" w:rsidRPr="001F4ACA" w:rsidRDefault="001F08FE" w:rsidP="00A5663D">
            <w:pPr>
              <w:adjustRightInd w:val="0"/>
              <w:snapToGrid w:val="0"/>
              <w:rPr>
                <w:szCs w:val="22"/>
              </w:rPr>
            </w:pPr>
            <w:r w:rsidRPr="000059C9">
              <w:rPr>
                <w:szCs w:val="22"/>
              </w:rPr>
              <w:t xml:space="preserve">Ak sa používanie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nepreruší včas, má sa zvážiť antitrombotická liečba.</w:t>
            </w:r>
          </w:p>
        </w:tc>
      </w:tr>
      <w:tr w:rsidR="001F08FE" w:rsidRPr="000059C9" w14:paraId="13F9FAC8" w14:textId="77777777" w:rsidTr="00313EF1">
        <w:trPr>
          <w:cantSplit/>
        </w:trPr>
        <w:tc>
          <w:tcPr>
            <w:tcW w:w="4643" w:type="dxa"/>
          </w:tcPr>
          <w:p w14:paraId="06930968" w14:textId="77777777" w:rsidR="001F08FE" w:rsidRPr="00EE5FF7" w:rsidRDefault="001F08FE">
            <w:pPr>
              <w:adjustRightInd w:val="0"/>
              <w:snapToGrid w:val="0"/>
              <w:rPr>
                <w:szCs w:val="22"/>
              </w:rPr>
            </w:pPr>
            <w:r w:rsidRPr="000059C9">
              <w:rPr>
                <w:szCs w:val="22"/>
              </w:rPr>
              <w:t>Pozitívna rodinná anamnéza (akýkoľvek výskyt venóznej tromboembólie u súrodenca alebo rodiča, najmä v relatívne skorom veku, napr. do 50 rokov)</w:t>
            </w:r>
          </w:p>
        </w:tc>
        <w:tc>
          <w:tcPr>
            <w:tcW w:w="4644" w:type="dxa"/>
          </w:tcPr>
          <w:p w14:paraId="51DC857D" w14:textId="77777777" w:rsidR="001F08FE" w:rsidRPr="00EE5FF7" w:rsidRDefault="001F08FE">
            <w:pPr>
              <w:adjustRightInd w:val="0"/>
              <w:snapToGrid w:val="0"/>
              <w:rPr>
                <w:szCs w:val="22"/>
              </w:rPr>
            </w:pPr>
            <w:r w:rsidRPr="000059C9">
              <w:rPr>
                <w:szCs w:val="22"/>
              </w:rPr>
              <w:t>Ak existuje podozrenie na dedičnú predispozíciu, žena sa má pred rozhodnutím o používaní ktoréhokoľvek CHC poradiť s odborným lekárom.</w:t>
            </w:r>
          </w:p>
        </w:tc>
      </w:tr>
      <w:tr w:rsidR="001F08FE" w:rsidRPr="000059C9" w14:paraId="445E927C" w14:textId="77777777" w:rsidTr="00313EF1">
        <w:trPr>
          <w:cantSplit/>
        </w:trPr>
        <w:tc>
          <w:tcPr>
            <w:tcW w:w="4643" w:type="dxa"/>
          </w:tcPr>
          <w:p w14:paraId="7816937C" w14:textId="77777777" w:rsidR="001F08FE" w:rsidRPr="00EE5FF7" w:rsidRDefault="001F08FE">
            <w:pPr>
              <w:adjustRightInd w:val="0"/>
              <w:snapToGrid w:val="0"/>
              <w:rPr>
                <w:szCs w:val="22"/>
              </w:rPr>
            </w:pPr>
            <w:r w:rsidRPr="000059C9">
              <w:rPr>
                <w:szCs w:val="22"/>
              </w:rPr>
              <w:t>Iné zdravotné stavy spojené s VTE</w:t>
            </w:r>
          </w:p>
        </w:tc>
        <w:tc>
          <w:tcPr>
            <w:tcW w:w="4644" w:type="dxa"/>
          </w:tcPr>
          <w:p w14:paraId="1524EB2B" w14:textId="77777777" w:rsidR="001F08FE" w:rsidRPr="001F4ACA" w:rsidRDefault="001F08FE">
            <w:pPr>
              <w:adjustRightInd w:val="0"/>
              <w:snapToGrid w:val="0"/>
              <w:rPr>
                <w:szCs w:val="22"/>
              </w:rPr>
            </w:pPr>
            <w:r w:rsidRPr="000059C9">
              <w:rPr>
                <w:szCs w:val="22"/>
              </w:rPr>
              <w:t>Rakovina, systémový lupus erythematosus, hemolyticko-uremický syndróm, chronické zápalové ochorenie čriev (Crohnova choroba alebo ulcerózna kolitída) a kosáčikovitá anémia.</w:t>
            </w:r>
          </w:p>
        </w:tc>
      </w:tr>
      <w:tr w:rsidR="001F08FE" w:rsidRPr="000059C9" w14:paraId="09107F19" w14:textId="77777777" w:rsidTr="00313EF1">
        <w:trPr>
          <w:cantSplit/>
        </w:trPr>
        <w:tc>
          <w:tcPr>
            <w:tcW w:w="4643" w:type="dxa"/>
          </w:tcPr>
          <w:p w14:paraId="7B266BEC" w14:textId="77777777" w:rsidR="001F08FE" w:rsidRPr="00EE5FF7" w:rsidRDefault="001F08FE">
            <w:pPr>
              <w:adjustRightInd w:val="0"/>
              <w:snapToGrid w:val="0"/>
              <w:rPr>
                <w:szCs w:val="22"/>
              </w:rPr>
            </w:pPr>
            <w:r w:rsidRPr="000059C9">
              <w:rPr>
                <w:szCs w:val="22"/>
              </w:rPr>
              <w:t>Zvyšujúci sa vek</w:t>
            </w:r>
          </w:p>
        </w:tc>
        <w:tc>
          <w:tcPr>
            <w:tcW w:w="4644" w:type="dxa"/>
          </w:tcPr>
          <w:p w14:paraId="0C072483" w14:textId="77777777" w:rsidR="001F08FE" w:rsidRPr="001F4ACA" w:rsidRDefault="001F08FE">
            <w:pPr>
              <w:adjustRightInd w:val="0"/>
              <w:snapToGrid w:val="0"/>
              <w:rPr>
                <w:szCs w:val="22"/>
              </w:rPr>
            </w:pPr>
            <w:r w:rsidRPr="000059C9">
              <w:rPr>
                <w:szCs w:val="22"/>
              </w:rPr>
              <w:t>Najmä nad 35 rokov</w:t>
            </w:r>
            <w:r w:rsidR="00A060C6">
              <w:rPr>
                <w:szCs w:val="22"/>
              </w:rPr>
              <w:t>.</w:t>
            </w:r>
          </w:p>
        </w:tc>
      </w:tr>
    </w:tbl>
    <w:p w14:paraId="58E89CD3" w14:textId="77777777" w:rsidR="001F08FE" w:rsidRPr="000059C9" w:rsidRDefault="001F08FE">
      <w:pPr>
        <w:adjustRightInd w:val="0"/>
        <w:snapToGrid w:val="0"/>
        <w:rPr>
          <w:b/>
          <w:szCs w:val="22"/>
        </w:rPr>
      </w:pPr>
    </w:p>
    <w:p w14:paraId="6ED53413" w14:textId="77777777" w:rsidR="001F08FE" w:rsidRPr="000059C9" w:rsidRDefault="001F08FE">
      <w:pPr>
        <w:numPr>
          <w:ilvl w:val="0"/>
          <w:numId w:val="35"/>
        </w:numPr>
        <w:adjustRightInd w:val="0"/>
        <w:snapToGrid w:val="0"/>
        <w:ind w:left="567" w:hanging="567"/>
        <w:rPr>
          <w:szCs w:val="22"/>
        </w:rPr>
      </w:pPr>
      <w:r w:rsidRPr="000059C9">
        <w:rPr>
          <w:szCs w:val="22"/>
        </w:rPr>
        <w:t>Neexistuje žiadna zhoda ohľadom možnej úlohy kŕčových žíl a povrchovej tromboflebitídy pri vzniku alebo progresii venóznej trombózy.</w:t>
      </w:r>
    </w:p>
    <w:p w14:paraId="043BAC8D" w14:textId="77777777" w:rsidR="001F08FE" w:rsidRPr="000059C9" w:rsidRDefault="001F08FE">
      <w:pPr>
        <w:numPr>
          <w:ilvl w:val="0"/>
          <w:numId w:val="35"/>
        </w:numPr>
        <w:adjustRightInd w:val="0"/>
        <w:snapToGrid w:val="0"/>
        <w:ind w:left="567" w:hanging="567"/>
        <w:rPr>
          <w:szCs w:val="22"/>
        </w:rPr>
      </w:pPr>
      <w:r w:rsidRPr="000059C9">
        <w:rPr>
          <w:szCs w:val="22"/>
        </w:rPr>
        <w:t>Musí sa zvážiť zvýšené riziko vzniku tromboembólie počas gravidity a najmä počas 6</w:t>
      </w:r>
      <w:r w:rsidRPr="000059C9">
        <w:rPr>
          <w:szCs w:val="22"/>
        </w:rPr>
        <w:noBreakHyphen/>
        <w:t>týždňového obdobia šestonedelia (informácie o „gravidite a laktácii“ pozri v časti 4.6).</w:t>
      </w:r>
    </w:p>
    <w:p w14:paraId="00574337" w14:textId="77777777" w:rsidR="001F08FE" w:rsidRPr="000059C9" w:rsidRDefault="001F08FE">
      <w:pPr>
        <w:adjustRightInd w:val="0"/>
        <w:snapToGrid w:val="0"/>
        <w:rPr>
          <w:szCs w:val="22"/>
        </w:rPr>
      </w:pPr>
    </w:p>
    <w:p w14:paraId="2EBA4BFB" w14:textId="77777777" w:rsidR="001F08FE" w:rsidRPr="000059C9" w:rsidRDefault="001F08FE">
      <w:pPr>
        <w:adjustRightInd w:val="0"/>
        <w:snapToGrid w:val="0"/>
        <w:rPr>
          <w:b/>
          <w:szCs w:val="22"/>
          <w:u w:val="single"/>
        </w:rPr>
      </w:pPr>
      <w:r w:rsidRPr="000059C9">
        <w:rPr>
          <w:b/>
          <w:szCs w:val="22"/>
          <w:u w:val="single"/>
        </w:rPr>
        <w:t>Príznaky VTE (trombóza hĺbkových žíl a pľúcna embólia)</w:t>
      </w:r>
    </w:p>
    <w:p w14:paraId="3C019C19" w14:textId="77777777" w:rsidR="001F08FE" w:rsidRPr="000059C9" w:rsidRDefault="001F08FE">
      <w:pPr>
        <w:adjustRightInd w:val="0"/>
        <w:snapToGrid w:val="0"/>
        <w:rPr>
          <w:szCs w:val="22"/>
        </w:rPr>
      </w:pPr>
      <w:r w:rsidRPr="000059C9">
        <w:rPr>
          <w:szCs w:val="22"/>
        </w:rPr>
        <w:t>Žena má byť poučená, aby v prípade príznakov vyhľadala okamžitú lekársku pomoc a informovala zdravotníckeho pracovníka, že používa CHC.</w:t>
      </w:r>
    </w:p>
    <w:p w14:paraId="24CE50FD" w14:textId="77777777" w:rsidR="001F08FE" w:rsidRPr="000059C9" w:rsidRDefault="001F08FE">
      <w:pPr>
        <w:adjustRightInd w:val="0"/>
        <w:snapToGrid w:val="0"/>
        <w:rPr>
          <w:szCs w:val="22"/>
        </w:rPr>
      </w:pPr>
    </w:p>
    <w:p w14:paraId="1A05AE96" w14:textId="77777777" w:rsidR="001F08FE" w:rsidRPr="000059C9" w:rsidRDefault="001F08FE">
      <w:pPr>
        <w:adjustRightInd w:val="0"/>
        <w:snapToGrid w:val="0"/>
        <w:rPr>
          <w:szCs w:val="22"/>
        </w:rPr>
      </w:pPr>
      <w:r w:rsidRPr="000059C9">
        <w:rPr>
          <w:szCs w:val="22"/>
        </w:rPr>
        <w:t>Príznaky trombózy hĺbkových žíl (DVT) môžu zahŕňať:</w:t>
      </w:r>
    </w:p>
    <w:p w14:paraId="67077E91"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jednostranný opuch nohy a/alebo chodidla alebo pozdĺž žily v nohe;</w:t>
      </w:r>
    </w:p>
    <w:p w14:paraId="258F64DB"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bolesť alebo citlivosť v nohe, ktorú možno pociťovať iba v stoji alebo pri chôdzi;</w:t>
      </w:r>
    </w:p>
    <w:p w14:paraId="091CF9C8"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zvýšené teplo v postihnutej nohe; sčervenanie alebo zmena sfarbenia pokožky na nohe.</w:t>
      </w:r>
    </w:p>
    <w:p w14:paraId="37A7276D" w14:textId="77777777" w:rsidR="001F08FE" w:rsidRPr="000059C9" w:rsidRDefault="001F08FE">
      <w:pPr>
        <w:adjustRightInd w:val="0"/>
        <w:snapToGrid w:val="0"/>
        <w:rPr>
          <w:szCs w:val="22"/>
        </w:rPr>
      </w:pPr>
    </w:p>
    <w:p w14:paraId="22A05C2A" w14:textId="77777777" w:rsidR="001F08FE" w:rsidRPr="000059C9" w:rsidRDefault="001F08FE">
      <w:pPr>
        <w:adjustRightInd w:val="0"/>
        <w:snapToGrid w:val="0"/>
        <w:rPr>
          <w:szCs w:val="22"/>
        </w:rPr>
      </w:pPr>
      <w:r w:rsidRPr="000059C9">
        <w:rPr>
          <w:szCs w:val="22"/>
        </w:rPr>
        <w:t>Príznaky pľúcnej embólie (PE) môžu zahŕňať:</w:t>
      </w:r>
    </w:p>
    <w:p w14:paraId="7CFC6962"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náhly nástup nevysvetliteľnej dýchavičnosti alebo rýchleho dýchania;</w:t>
      </w:r>
    </w:p>
    <w:p w14:paraId="7A63C24B"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náhly kašeľ, ktorý môže súvisieť s hemoptýzou;</w:t>
      </w:r>
    </w:p>
    <w:p w14:paraId="6021B473"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ostrú bolesť v hrudníku;</w:t>
      </w:r>
    </w:p>
    <w:p w14:paraId="08148DB3"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závažný pocit točenia hlavy alebo závrat;</w:t>
      </w:r>
    </w:p>
    <w:p w14:paraId="178CD16A" w14:textId="77777777" w:rsidR="001F08FE" w:rsidRPr="000059C9" w:rsidRDefault="001F08FE">
      <w:pPr>
        <w:numPr>
          <w:ilvl w:val="0"/>
          <w:numId w:val="41"/>
        </w:numPr>
        <w:tabs>
          <w:tab w:val="left" w:pos="567"/>
        </w:tabs>
        <w:adjustRightInd w:val="0"/>
        <w:snapToGrid w:val="0"/>
        <w:ind w:left="567" w:hanging="284"/>
        <w:rPr>
          <w:szCs w:val="22"/>
        </w:rPr>
      </w:pPr>
      <w:r w:rsidRPr="000059C9">
        <w:rPr>
          <w:szCs w:val="22"/>
        </w:rPr>
        <w:t>rýchly alebo nepravidelný srdcový rytmus.</w:t>
      </w:r>
    </w:p>
    <w:p w14:paraId="104A8AA1" w14:textId="77777777" w:rsidR="001F08FE" w:rsidRPr="000059C9" w:rsidRDefault="001F08FE">
      <w:pPr>
        <w:adjustRightInd w:val="0"/>
        <w:snapToGrid w:val="0"/>
        <w:rPr>
          <w:szCs w:val="22"/>
        </w:rPr>
      </w:pPr>
    </w:p>
    <w:p w14:paraId="16B50208" w14:textId="77777777" w:rsidR="001F08FE" w:rsidRPr="000059C9" w:rsidRDefault="001F08FE">
      <w:pPr>
        <w:adjustRightInd w:val="0"/>
        <w:snapToGrid w:val="0"/>
        <w:rPr>
          <w:szCs w:val="22"/>
        </w:rPr>
      </w:pPr>
      <w:r w:rsidRPr="000059C9">
        <w:rPr>
          <w:szCs w:val="22"/>
        </w:rPr>
        <w:t>Niektoré z týchto príznakov (napríklad „dýchavičnosť“, „kašeľ“) sú nešpecifické a môžu byť nesprávne interpretované ako častejšie alebo menej závažné udalosti (napríklad infekcie dýchacích ciest).</w:t>
      </w:r>
    </w:p>
    <w:p w14:paraId="391BA195" w14:textId="77777777" w:rsidR="001F08FE" w:rsidRPr="000059C9" w:rsidRDefault="001F08FE">
      <w:pPr>
        <w:adjustRightInd w:val="0"/>
        <w:snapToGrid w:val="0"/>
        <w:rPr>
          <w:szCs w:val="22"/>
        </w:rPr>
      </w:pPr>
      <w:r w:rsidRPr="000059C9">
        <w:rPr>
          <w:szCs w:val="22"/>
        </w:rPr>
        <w:t>Medzi ďalšie prejavy vaskulárnej oklúzie môžu patriť: náhla bolesť, opuch a mierne zmodranie niektorej končatiny.</w:t>
      </w:r>
    </w:p>
    <w:p w14:paraId="74129F34" w14:textId="77777777" w:rsidR="001F08FE" w:rsidRPr="000059C9" w:rsidRDefault="001F08FE">
      <w:pPr>
        <w:adjustRightInd w:val="0"/>
        <w:snapToGrid w:val="0"/>
        <w:rPr>
          <w:szCs w:val="22"/>
        </w:rPr>
      </w:pPr>
      <w:r w:rsidRPr="000059C9">
        <w:rPr>
          <w:szCs w:val="22"/>
        </w:rPr>
        <w:t>Ak dôjde k oklúzii v oku, medzi príznaky môžu patriť bezbolestné rozmazané videnie, ktoré môže postupne prechádzať až do straty zraku. Niekedy môže dôjsť k strate zraku takmer okamžite.</w:t>
      </w:r>
    </w:p>
    <w:p w14:paraId="09727213" w14:textId="77777777" w:rsidR="001F08FE" w:rsidRPr="000059C9" w:rsidRDefault="001F08FE">
      <w:pPr>
        <w:adjustRightInd w:val="0"/>
        <w:snapToGrid w:val="0"/>
        <w:rPr>
          <w:szCs w:val="22"/>
        </w:rPr>
      </w:pPr>
    </w:p>
    <w:p w14:paraId="068EF0D6" w14:textId="77777777" w:rsidR="001F08FE" w:rsidRPr="001F4ACA" w:rsidRDefault="001F08FE" w:rsidP="001F4ACA">
      <w:pPr>
        <w:rPr>
          <w:b/>
        </w:rPr>
      </w:pPr>
      <w:r w:rsidRPr="001F4ACA">
        <w:rPr>
          <w:b/>
        </w:rPr>
        <w:t>Riziko vzniku arteriálnej tromboembólie (ATE)</w:t>
      </w:r>
    </w:p>
    <w:p w14:paraId="34BA027B" w14:textId="77777777" w:rsidR="001F08FE" w:rsidRPr="000059C9" w:rsidRDefault="001F08FE" w:rsidP="001F4ACA">
      <w:pPr>
        <w:rPr>
          <w:u w:val="single"/>
        </w:rPr>
      </w:pPr>
    </w:p>
    <w:p w14:paraId="5EFE0020" w14:textId="77777777" w:rsidR="001F08FE" w:rsidRPr="000059C9" w:rsidRDefault="001F08FE" w:rsidP="001F4ACA">
      <w:r w:rsidRPr="000059C9">
        <w:t>Epidemiologické štúdie spájajú používanie CHC so zvýšeným rizikom vzniku arteriálnej tromboembólie (infarkt myokardu) alebo cievnej mozgovej udalosti (napr. prechodný ischemický záchvat, cievna mozgová príhoda). Arteriálne tromboembolické udalosti sa môžu končiť smrťou.</w:t>
      </w:r>
    </w:p>
    <w:p w14:paraId="5157A47D" w14:textId="77777777" w:rsidR="001F08FE" w:rsidRPr="000059C9" w:rsidRDefault="001F08FE">
      <w:pPr>
        <w:adjustRightInd w:val="0"/>
        <w:snapToGrid w:val="0"/>
        <w:rPr>
          <w:szCs w:val="22"/>
        </w:rPr>
      </w:pPr>
    </w:p>
    <w:p w14:paraId="2A4E3996" w14:textId="77777777" w:rsidR="001F08FE" w:rsidRPr="000059C9" w:rsidRDefault="001F08FE">
      <w:pPr>
        <w:adjustRightInd w:val="0"/>
        <w:snapToGrid w:val="0"/>
        <w:rPr>
          <w:b/>
          <w:szCs w:val="22"/>
          <w:u w:val="single"/>
        </w:rPr>
      </w:pPr>
      <w:r w:rsidRPr="000059C9">
        <w:rPr>
          <w:b/>
          <w:szCs w:val="22"/>
          <w:u w:val="single"/>
        </w:rPr>
        <w:t>Rizikové faktory vzniku ATE</w:t>
      </w:r>
    </w:p>
    <w:p w14:paraId="1603F1BB" w14:textId="77777777" w:rsidR="001F08FE" w:rsidRPr="000059C9" w:rsidRDefault="001F08FE">
      <w:pPr>
        <w:adjustRightInd w:val="0"/>
        <w:snapToGrid w:val="0"/>
        <w:rPr>
          <w:szCs w:val="22"/>
        </w:rPr>
      </w:pPr>
      <w:r w:rsidRPr="000059C9">
        <w:rPr>
          <w:szCs w:val="22"/>
        </w:rPr>
        <w:t xml:space="preserve">Riziko vzniku arteriálnych tromboembolických komplikácií alebo cievnej mozgovej príhody u používateliek CHC sa zvyšuje u žien s rizikovými faktormi (pozri tabuľku). </w:t>
      </w:r>
      <w:r w:rsidR="007D1058" w:rsidRPr="000059C9">
        <w:rPr>
          <w:szCs w:val="22"/>
        </w:rPr>
        <w:t>Etonogestrel/Ethinylestradiol Mithra</w:t>
      </w:r>
      <w:r w:rsidRPr="000059C9">
        <w:rPr>
          <w:szCs w:val="22"/>
        </w:rPr>
        <w:t xml:space="preserve"> je kontraindikovaný, ak má žena jeden závažný alebo viacero rizikových faktorov vzniku ATE, ktoré ju vystavujú vysokému riziku vzniku arteriálnej trombózy (pozri časť 4.3). Ak má žena viac než jeden rizikový faktor,  zvýšenie rizika môže byť väčšie než súčet jednotlivých faktorov – v takomto prípade sa má zvážiť jej celkové riziko. Ak sa pomer prínosov a rizík považuje za negatívny, CHC sa nemá predpisovať (pozri časť 4.3).</w:t>
      </w:r>
    </w:p>
    <w:p w14:paraId="305D5C4A" w14:textId="77777777" w:rsidR="001F08FE" w:rsidRPr="000059C9" w:rsidRDefault="001F08FE">
      <w:pPr>
        <w:adjustRightInd w:val="0"/>
        <w:snapToGrid w:val="0"/>
        <w:rPr>
          <w:szCs w:val="22"/>
        </w:rPr>
      </w:pPr>
    </w:p>
    <w:p w14:paraId="08AA560F" w14:textId="77777777" w:rsidR="001F08FE" w:rsidRPr="000059C9" w:rsidRDefault="001F08FE">
      <w:pPr>
        <w:adjustRightInd w:val="0"/>
        <w:snapToGrid w:val="0"/>
        <w:rPr>
          <w:szCs w:val="22"/>
        </w:rPr>
      </w:pPr>
      <w:r w:rsidRPr="000059C9">
        <w:rPr>
          <w:b/>
          <w:bCs/>
          <w:szCs w:val="22"/>
        </w:rPr>
        <w:t>Tabuľka: Rizikové faktory pre vznik 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2"/>
        <w:gridCol w:w="4644"/>
      </w:tblGrid>
      <w:tr w:rsidR="001F08FE" w:rsidRPr="000059C9" w14:paraId="0CE4B12C" w14:textId="77777777" w:rsidTr="00313EF1">
        <w:trPr>
          <w:cantSplit/>
        </w:trPr>
        <w:tc>
          <w:tcPr>
            <w:tcW w:w="4643" w:type="dxa"/>
          </w:tcPr>
          <w:p w14:paraId="09B42264" w14:textId="77777777" w:rsidR="001F08FE" w:rsidRPr="00EE5FF7" w:rsidRDefault="001F08FE">
            <w:pPr>
              <w:adjustRightInd w:val="0"/>
              <w:snapToGrid w:val="0"/>
              <w:rPr>
                <w:szCs w:val="22"/>
              </w:rPr>
            </w:pPr>
            <w:r w:rsidRPr="000059C9">
              <w:rPr>
                <w:b/>
                <w:bCs/>
                <w:szCs w:val="22"/>
              </w:rPr>
              <w:t>Rizikový faktor</w:t>
            </w:r>
          </w:p>
        </w:tc>
        <w:tc>
          <w:tcPr>
            <w:tcW w:w="4644" w:type="dxa"/>
          </w:tcPr>
          <w:p w14:paraId="5E981EDB" w14:textId="77777777" w:rsidR="001F08FE" w:rsidRPr="00EE5FF7" w:rsidRDefault="001F08FE">
            <w:pPr>
              <w:adjustRightInd w:val="0"/>
              <w:snapToGrid w:val="0"/>
              <w:rPr>
                <w:szCs w:val="22"/>
              </w:rPr>
            </w:pPr>
            <w:r w:rsidRPr="000059C9">
              <w:rPr>
                <w:b/>
                <w:bCs/>
                <w:szCs w:val="22"/>
              </w:rPr>
              <w:t>Komentár</w:t>
            </w:r>
          </w:p>
        </w:tc>
      </w:tr>
      <w:tr w:rsidR="001F08FE" w:rsidRPr="000059C9" w14:paraId="3DB29891" w14:textId="77777777" w:rsidTr="00313EF1">
        <w:trPr>
          <w:cantSplit/>
        </w:trPr>
        <w:tc>
          <w:tcPr>
            <w:tcW w:w="4643" w:type="dxa"/>
          </w:tcPr>
          <w:p w14:paraId="3C6D90E5" w14:textId="77777777" w:rsidR="001F08FE" w:rsidRPr="001F4ACA" w:rsidRDefault="001F08FE">
            <w:pPr>
              <w:adjustRightInd w:val="0"/>
              <w:snapToGrid w:val="0"/>
              <w:rPr>
                <w:szCs w:val="22"/>
              </w:rPr>
            </w:pPr>
            <w:r w:rsidRPr="000059C9">
              <w:rPr>
                <w:szCs w:val="22"/>
              </w:rPr>
              <w:t>Zvyšujúci sa vek</w:t>
            </w:r>
          </w:p>
        </w:tc>
        <w:tc>
          <w:tcPr>
            <w:tcW w:w="4644" w:type="dxa"/>
          </w:tcPr>
          <w:p w14:paraId="525C659A" w14:textId="77777777" w:rsidR="001F08FE" w:rsidRPr="00EE5FF7" w:rsidRDefault="001F08FE">
            <w:pPr>
              <w:adjustRightInd w:val="0"/>
              <w:snapToGrid w:val="0"/>
              <w:rPr>
                <w:szCs w:val="22"/>
              </w:rPr>
            </w:pPr>
            <w:r w:rsidRPr="000059C9">
              <w:rPr>
                <w:szCs w:val="22"/>
              </w:rPr>
              <w:t>Najmä nad 35 rokov</w:t>
            </w:r>
            <w:r w:rsidR="00111A4F">
              <w:rPr>
                <w:szCs w:val="22"/>
              </w:rPr>
              <w:t>.</w:t>
            </w:r>
          </w:p>
        </w:tc>
      </w:tr>
      <w:tr w:rsidR="001F08FE" w:rsidRPr="000059C9" w14:paraId="50A45CB2" w14:textId="77777777" w:rsidTr="00313EF1">
        <w:trPr>
          <w:cantSplit/>
        </w:trPr>
        <w:tc>
          <w:tcPr>
            <w:tcW w:w="4643" w:type="dxa"/>
          </w:tcPr>
          <w:p w14:paraId="0793C16E" w14:textId="77777777" w:rsidR="001F08FE" w:rsidRPr="00EE5FF7" w:rsidRDefault="001F08FE">
            <w:pPr>
              <w:adjustRightInd w:val="0"/>
              <w:snapToGrid w:val="0"/>
              <w:rPr>
                <w:szCs w:val="22"/>
              </w:rPr>
            </w:pPr>
            <w:r w:rsidRPr="000059C9">
              <w:rPr>
                <w:szCs w:val="22"/>
              </w:rPr>
              <w:t>Fajčenie</w:t>
            </w:r>
          </w:p>
        </w:tc>
        <w:tc>
          <w:tcPr>
            <w:tcW w:w="4644" w:type="dxa"/>
          </w:tcPr>
          <w:p w14:paraId="4A7048C4" w14:textId="77777777" w:rsidR="001F08FE" w:rsidRPr="00EE5FF7" w:rsidRDefault="001F08FE">
            <w:pPr>
              <w:adjustRightInd w:val="0"/>
              <w:snapToGrid w:val="0"/>
              <w:rPr>
                <w:szCs w:val="22"/>
              </w:rPr>
            </w:pPr>
            <w:r w:rsidRPr="000059C9">
              <w:rPr>
                <w:szCs w:val="22"/>
              </w:rPr>
              <w:t>Ženám sa má odporučiť, aby nefajčili, ak chcú používať CHC. Ženám vo veku nad 35 rokov, ktoré pokračujú vo fajčení, sa má dôrazne odporučiť, aby používali in</w:t>
            </w:r>
            <w:r w:rsidR="00F23AEC" w:rsidRPr="000059C9">
              <w:rPr>
                <w:szCs w:val="22"/>
              </w:rPr>
              <w:t>á metóda</w:t>
            </w:r>
            <w:r w:rsidRPr="000059C9">
              <w:rPr>
                <w:szCs w:val="22"/>
              </w:rPr>
              <w:t xml:space="preserve"> antikoncepcie.</w:t>
            </w:r>
          </w:p>
        </w:tc>
      </w:tr>
      <w:tr w:rsidR="001F08FE" w:rsidRPr="000059C9" w14:paraId="15FA8D0F" w14:textId="77777777" w:rsidTr="00313EF1">
        <w:trPr>
          <w:cantSplit/>
        </w:trPr>
        <w:tc>
          <w:tcPr>
            <w:tcW w:w="4643" w:type="dxa"/>
          </w:tcPr>
          <w:p w14:paraId="4C84FC2B" w14:textId="77777777" w:rsidR="001F08FE" w:rsidRPr="001F4ACA" w:rsidRDefault="001F08FE">
            <w:pPr>
              <w:adjustRightInd w:val="0"/>
              <w:snapToGrid w:val="0"/>
              <w:rPr>
                <w:szCs w:val="22"/>
              </w:rPr>
            </w:pPr>
            <w:r w:rsidRPr="000059C9">
              <w:rPr>
                <w:szCs w:val="22"/>
              </w:rPr>
              <w:t>Hypertenzia</w:t>
            </w:r>
          </w:p>
        </w:tc>
        <w:tc>
          <w:tcPr>
            <w:tcW w:w="4644" w:type="dxa"/>
          </w:tcPr>
          <w:p w14:paraId="24CADFDB" w14:textId="77777777" w:rsidR="001F08FE" w:rsidRPr="001F4ACA" w:rsidRDefault="001F08FE">
            <w:pPr>
              <w:adjustRightInd w:val="0"/>
              <w:snapToGrid w:val="0"/>
              <w:rPr>
                <w:szCs w:val="22"/>
              </w:rPr>
            </w:pPr>
          </w:p>
        </w:tc>
      </w:tr>
      <w:tr w:rsidR="001F08FE" w:rsidRPr="000059C9" w14:paraId="78515AC4" w14:textId="77777777" w:rsidTr="00313EF1">
        <w:trPr>
          <w:cantSplit/>
        </w:trPr>
        <w:tc>
          <w:tcPr>
            <w:tcW w:w="4643" w:type="dxa"/>
          </w:tcPr>
          <w:p w14:paraId="48022A47" w14:textId="77777777" w:rsidR="001F08FE" w:rsidRPr="00EE5FF7" w:rsidRDefault="001F08FE">
            <w:pPr>
              <w:adjustRightInd w:val="0"/>
              <w:snapToGrid w:val="0"/>
              <w:rPr>
                <w:szCs w:val="22"/>
              </w:rPr>
            </w:pPr>
            <w:r w:rsidRPr="000059C9">
              <w:rPr>
                <w:szCs w:val="22"/>
              </w:rPr>
              <w:t>Obezita (index telesnej hmotnosti nad 30 kg/m</w:t>
            </w:r>
            <w:r w:rsidRPr="000059C9">
              <w:rPr>
                <w:szCs w:val="22"/>
                <w:vertAlign w:val="superscript"/>
              </w:rPr>
              <w:t>2</w:t>
            </w:r>
            <w:r w:rsidRPr="000059C9">
              <w:rPr>
                <w:szCs w:val="22"/>
              </w:rPr>
              <w:t>)</w:t>
            </w:r>
          </w:p>
        </w:tc>
        <w:tc>
          <w:tcPr>
            <w:tcW w:w="4644" w:type="dxa"/>
          </w:tcPr>
          <w:p w14:paraId="161CB79E" w14:textId="77777777" w:rsidR="001F08FE" w:rsidRPr="00EE5FF7" w:rsidRDefault="001F08FE">
            <w:pPr>
              <w:adjustRightInd w:val="0"/>
              <w:snapToGrid w:val="0"/>
              <w:rPr>
                <w:szCs w:val="22"/>
              </w:rPr>
            </w:pPr>
            <w:r w:rsidRPr="000059C9">
              <w:rPr>
                <w:szCs w:val="22"/>
              </w:rPr>
              <w:t>Riziko sa výrazne zvyšuje so zvyšovaním BMI.</w:t>
            </w:r>
          </w:p>
          <w:p w14:paraId="66BCE95C" w14:textId="77777777" w:rsidR="001F08FE" w:rsidRPr="00EE5FF7" w:rsidRDefault="001F08FE">
            <w:pPr>
              <w:adjustRightInd w:val="0"/>
              <w:snapToGrid w:val="0"/>
              <w:rPr>
                <w:szCs w:val="22"/>
              </w:rPr>
            </w:pPr>
            <w:r w:rsidRPr="000059C9">
              <w:rPr>
                <w:szCs w:val="22"/>
              </w:rPr>
              <w:t>To je dôležité najmä u žien s ďalšími rizikovými faktormi.</w:t>
            </w:r>
          </w:p>
        </w:tc>
      </w:tr>
      <w:tr w:rsidR="001F08FE" w:rsidRPr="000059C9" w14:paraId="12153EDE" w14:textId="77777777" w:rsidTr="00313EF1">
        <w:trPr>
          <w:cantSplit/>
        </w:trPr>
        <w:tc>
          <w:tcPr>
            <w:tcW w:w="4643" w:type="dxa"/>
          </w:tcPr>
          <w:p w14:paraId="64140411" w14:textId="77777777" w:rsidR="001F08FE" w:rsidRPr="001F4ACA" w:rsidRDefault="001F08FE">
            <w:pPr>
              <w:adjustRightInd w:val="0"/>
              <w:snapToGrid w:val="0"/>
              <w:rPr>
                <w:szCs w:val="22"/>
              </w:rPr>
            </w:pPr>
            <w:r w:rsidRPr="000059C9">
              <w:rPr>
                <w:szCs w:val="22"/>
              </w:rPr>
              <w:t>Pozitívna rodinná anamnéza (akýkoľvek výskyt arteriálnej tromboembólie u súrodenca alebo rodiča, najmä v relatívne mladom veku, napr. do 50 rokov)</w:t>
            </w:r>
          </w:p>
        </w:tc>
        <w:tc>
          <w:tcPr>
            <w:tcW w:w="4644" w:type="dxa"/>
          </w:tcPr>
          <w:p w14:paraId="6EECEB8C" w14:textId="77777777" w:rsidR="001F08FE" w:rsidRPr="00EE5FF7" w:rsidRDefault="001F08FE">
            <w:pPr>
              <w:adjustRightInd w:val="0"/>
              <w:snapToGrid w:val="0"/>
              <w:rPr>
                <w:szCs w:val="22"/>
              </w:rPr>
            </w:pPr>
            <w:r w:rsidRPr="000059C9">
              <w:rPr>
                <w:szCs w:val="22"/>
              </w:rPr>
              <w:t>Ak existuje podozrenie na dedičnú predispozíciu, ženu musí pred rozhodnutím o používaní ľubovoľnej CHC vyšetriť odborný lekár.</w:t>
            </w:r>
          </w:p>
        </w:tc>
      </w:tr>
      <w:tr w:rsidR="001F08FE" w:rsidRPr="000059C9" w14:paraId="2CEEC44F" w14:textId="77777777" w:rsidTr="00313EF1">
        <w:trPr>
          <w:cantSplit/>
        </w:trPr>
        <w:tc>
          <w:tcPr>
            <w:tcW w:w="4643" w:type="dxa"/>
          </w:tcPr>
          <w:p w14:paraId="5419786E" w14:textId="77777777" w:rsidR="001F08FE" w:rsidRPr="001F4ACA" w:rsidRDefault="001F08FE">
            <w:pPr>
              <w:adjustRightInd w:val="0"/>
              <w:snapToGrid w:val="0"/>
              <w:rPr>
                <w:szCs w:val="22"/>
              </w:rPr>
            </w:pPr>
            <w:r w:rsidRPr="000059C9">
              <w:rPr>
                <w:szCs w:val="22"/>
              </w:rPr>
              <w:t>Migréna</w:t>
            </w:r>
          </w:p>
        </w:tc>
        <w:tc>
          <w:tcPr>
            <w:tcW w:w="4644" w:type="dxa"/>
          </w:tcPr>
          <w:p w14:paraId="702DED1F" w14:textId="77777777" w:rsidR="001F08FE" w:rsidRPr="00EE5FF7" w:rsidRDefault="001F08FE">
            <w:pPr>
              <w:adjustRightInd w:val="0"/>
              <w:snapToGrid w:val="0"/>
              <w:rPr>
                <w:szCs w:val="22"/>
              </w:rPr>
            </w:pPr>
            <w:r w:rsidRPr="000059C9">
              <w:rPr>
                <w:szCs w:val="22"/>
              </w:rPr>
              <w:t>Zvýšenie frekvencie alebo závažnosti migrény v priebehu používania CHC (čo môžu byť skoré príznaky cievnej mozgovej príhody) môže byť dôvodom na okamžité prerušenie používania lieku.</w:t>
            </w:r>
          </w:p>
        </w:tc>
      </w:tr>
      <w:tr w:rsidR="001F08FE" w:rsidRPr="000059C9" w14:paraId="3B3FC5A2" w14:textId="77777777" w:rsidTr="00313EF1">
        <w:trPr>
          <w:cantSplit/>
        </w:trPr>
        <w:tc>
          <w:tcPr>
            <w:tcW w:w="4643" w:type="dxa"/>
          </w:tcPr>
          <w:p w14:paraId="5EEDE2E3" w14:textId="77777777" w:rsidR="001F08FE" w:rsidRPr="001F4ACA" w:rsidRDefault="001F08FE">
            <w:pPr>
              <w:adjustRightInd w:val="0"/>
              <w:snapToGrid w:val="0"/>
              <w:rPr>
                <w:szCs w:val="22"/>
              </w:rPr>
            </w:pPr>
            <w:r w:rsidRPr="000059C9">
              <w:rPr>
                <w:szCs w:val="22"/>
              </w:rPr>
              <w:t>Ďalšie zdravotné stavy spojené s nežiaducimi vaskulárnymi udalosťami</w:t>
            </w:r>
          </w:p>
        </w:tc>
        <w:tc>
          <w:tcPr>
            <w:tcW w:w="4644" w:type="dxa"/>
          </w:tcPr>
          <w:p w14:paraId="672616A6" w14:textId="77777777" w:rsidR="001F08FE" w:rsidRPr="00EE5FF7" w:rsidRDefault="001F08FE">
            <w:pPr>
              <w:adjustRightInd w:val="0"/>
              <w:snapToGrid w:val="0"/>
              <w:rPr>
                <w:szCs w:val="22"/>
              </w:rPr>
            </w:pPr>
            <w:r w:rsidRPr="000059C9">
              <w:rPr>
                <w:szCs w:val="22"/>
              </w:rPr>
              <w:t>Diabetes mellitus, hyperhomocysteinémia,</w:t>
            </w:r>
            <w:r w:rsidR="00111A4F">
              <w:rPr>
                <w:szCs w:val="22"/>
              </w:rPr>
              <w:t xml:space="preserve"> </w:t>
            </w:r>
            <w:r w:rsidRPr="000059C9">
              <w:rPr>
                <w:szCs w:val="22"/>
              </w:rPr>
              <w:t>ochorenie srdcových chlopní a atriálna fibrilácia,</w:t>
            </w:r>
            <w:r w:rsidR="00111A4F">
              <w:rPr>
                <w:szCs w:val="22"/>
              </w:rPr>
              <w:t xml:space="preserve"> </w:t>
            </w:r>
            <w:r w:rsidRPr="000059C9">
              <w:rPr>
                <w:szCs w:val="22"/>
              </w:rPr>
              <w:t>dyslipoproteinémia a systémový lupus</w:t>
            </w:r>
            <w:r w:rsidR="00111A4F">
              <w:rPr>
                <w:szCs w:val="22"/>
              </w:rPr>
              <w:t xml:space="preserve"> </w:t>
            </w:r>
            <w:r w:rsidRPr="000059C9">
              <w:rPr>
                <w:szCs w:val="22"/>
              </w:rPr>
              <w:t>erythematosus.</w:t>
            </w:r>
          </w:p>
        </w:tc>
      </w:tr>
    </w:tbl>
    <w:p w14:paraId="188D9DD6" w14:textId="77777777" w:rsidR="001F08FE" w:rsidRPr="000059C9" w:rsidRDefault="001F08FE">
      <w:pPr>
        <w:adjustRightInd w:val="0"/>
        <w:snapToGrid w:val="0"/>
        <w:rPr>
          <w:szCs w:val="22"/>
        </w:rPr>
      </w:pPr>
    </w:p>
    <w:p w14:paraId="0BECE73F" w14:textId="77777777" w:rsidR="001F08FE" w:rsidRPr="001F4ACA" w:rsidRDefault="001F08FE" w:rsidP="001F4ACA">
      <w:pPr>
        <w:rPr>
          <w:b/>
          <w:u w:val="single"/>
        </w:rPr>
      </w:pPr>
      <w:r w:rsidRPr="001F4ACA">
        <w:rPr>
          <w:b/>
          <w:u w:val="single"/>
        </w:rPr>
        <w:t>Príznaky ATE</w:t>
      </w:r>
    </w:p>
    <w:p w14:paraId="1A7020D3" w14:textId="77777777" w:rsidR="001F08FE" w:rsidRDefault="001F08FE">
      <w:pPr>
        <w:adjustRightInd w:val="0"/>
        <w:snapToGrid w:val="0"/>
        <w:rPr>
          <w:szCs w:val="22"/>
        </w:rPr>
      </w:pPr>
      <w:r w:rsidRPr="000059C9">
        <w:rPr>
          <w:szCs w:val="22"/>
        </w:rPr>
        <w:t>V prípade príznakov sa má žene odporučiť, aby bezodkladne vyhľadala lekársku pomoc a informovala zdravotníckeho pracovníka, že používa CHC.</w:t>
      </w:r>
    </w:p>
    <w:p w14:paraId="5AA7F653" w14:textId="77777777" w:rsidR="00911238" w:rsidRPr="000059C9" w:rsidRDefault="00911238">
      <w:pPr>
        <w:adjustRightInd w:val="0"/>
        <w:snapToGrid w:val="0"/>
        <w:rPr>
          <w:szCs w:val="22"/>
        </w:rPr>
      </w:pPr>
    </w:p>
    <w:p w14:paraId="78A1A66A" w14:textId="77777777" w:rsidR="001F08FE" w:rsidRPr="000059C9" w:rsidRDefault="001F08FE">
      <w:pPr>
        <w:adjustRightInd w:val="0"/>
        <w:snapToGrid w:val="0"/>
        <w:rPr>
          <w:szCs w:val="22"/>
        </w:rPr>
      </w:pPr>
      <w:r w:rsidRPr="000059C9">
        <w:rPr>
          <w:szCs w:val="22"/>
        </w:rPr>
        <w:t>Príznaky cievnej mozgovej príhody môžu zahŕňať:</w:t>
      </w:r>
    </w:p>
    <w:p w14:paraId="6C7A2FA9"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náhla strata citlivosti alebo slabosť tváre, ruky alebo nohy, najmä na jednej strane tela;</w:t>
      </w:r>
    </w:p>
    <w:p w14:paraId="268349AD"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náhle problémy s chôdzou, závrat, strata rovnováhy alebo koordinácie;</w:t>
      </w:r>
    </w:p>
    <w:p w14:paraId="15AE3F40"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náhla zmätenosť, problémy s rečou alebo jej porozumením;</w:t>
      </w:r>
    </w:p>
    <w:p w14:paraId="58BD4614"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náhle problémy so zrakom v jednom alebo oboch očiach;</w:t>
      </w:r>
    </w:p>
    <w:p w14:paraId="70364035"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náhla, závažná alebo dlhodobá bolesť hlavy bez známej príčiny;</w:t>
      </w:r>
    </w:p>
    <w:p w14:paraId="6C4A3460"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strata vedomia alebo mdloba so záchvatom alebo bez neho.</w:t>
      </w:r>
    </w:p>
    <w:p w14:paraId="75C84247" w14:textId="77777777" w:rsidR="001F08FE" w:rsidRPr="000059C9" w:rsidRDefault="001F08FE">
      <w:pPr>
        <w:adjustRightInd w:val="0"/>
        <w:snapToGrid w:val="0"/>
        <w:rPr>
          <w:szCs w:val="22"/>
        </w:rPr>
      </w:pPr>
    </w:p>
    <w:p w14:paraId="1EA3A44B" w14:textId="77777777" w:rsidR="001F08FE" w:rsidRPr="000059C9" w:rsidRDefault="001F08FE">
      <w:pPr>
        <w:adjustRightInd w:val="0"/>
        <w:snapToGrid w:val="0"/>
        <w:rPr>
          <w:szCs w:val="22"/>
        </w:rPr>
      </w:pPr>
      <w:r w:rsidRPr="000059C9">
        <w:rPr>
          <w:szCs w:val="22"/>
        </w:rPr>
        <w:t>Dočasné príznaky naznačujú, že udalosťou je prechodný ischemický záchvat (</w:t>
      </w:r>
      <w:r w:rsidR="00CE06DD">
        <w:rPr>
          <w:szCs w:val="22"/>
        </w:rPr>
        <w:t xml:space="preserve">transient ischaemic attack </w:t>
      </w:r>
      <w:r w:rsidRPr="000059C9">
        <w:rPr>
          <w:szCs w:val="22"/>
        </w:rPr>
        <w:t>TIA).</w:t>
      </w:r>
    </w:p>
    <w:p w14:paraId="06E28686" w14:textId="77777777" w:rsidR="001F08FE" w:rsidRPr="000059C9" w:rsidRDefault="001F08FE">
      <w:pPr>
        <w:adjustRightInd w:val="0"/>
        <w:snapToGrid w:val="0"/>
        <w:rPr>
          <w:szCs w:val="22"/>
        </w:rPr>
      </w:pPr>
    </w:p>
    <w:p w14:paraId="3B4F7BC7" w14:textId="77777777" w:rsidR="001F08FE" w:rsidRPr="000059C9" w:rsidRDefault="001F08FE">
      <w:pPr>
        <w:adjustRightInd w:val="0"/>
        <w:snapToGrid w:val="0"/>
        <w:rPr>
          <w:szCs w:val="22"/>
        </w:rPr>
      </w:pPr>
      <w:r w:rsidRPr="000059C9">
        <w:rPr>
          <w:szCs w:val="22"/>
        </w:rPr>
        <w:t>Príznaky infarktu myokardu (MI) môžu zahŕňať:</w:t>
      </w:r>
    </w:p>
    <w:p w14:paraId="734C4480"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bolesť, nepohodlie, tlak, ťažoba, pocit stláčania alebo plnosti v hrudi, ruke alebo pod hrudnou kosťou;</w:t>
      </w:r>
    </w:p>
    <w:p w14:paraId="4FECE014"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nepohodlie vyžarujúce do chrbta, čeľuste, hrdla, ruky, žalúdka;</w:t>
      </w:r>
    </w:p>
    <w:p w14:paraId="4D5D4997"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pocit plnosti, zažívacích problémov alebo dusenia sa;</w:t>
      </w:r>
    </w:p>
    <w:p w14:paraId="0EDCF608"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potenie, nevoľnosť, vracanie alebo závrat;</w:t>
      </w:r>
    </w:p>
    <w:p w14:paraId="4DD75205"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extrémna slabosť, úzkosť alebo dýchavičnosť;</w:t>
      </w:r>
    </w:p>
    <w:p w14:paraId="58725DBC" w14:textId="77777777" w:rsidR="001F08FE" w:rsidRPr="000059C9" w:rsidRDefault="001F08FE">
      <w:pPr>
        <w:numPr>
          <w:ilvl w:val="0"/>
          <w:numId w:val="41"/>
        </w:numPr>
        <w:tabs>
          <w:tab w:val="left" w:pos="851"/>
        </w:tabs>
        <w:adjustRightInd w:val="0"/>
        <w:snapToGrid w:val="0"/>
        <w:ind w:left="851" w:hanging="284"/>
        <w:rPr>
          <w:szCs w:val="22"/>
        </w:rPr>
      </w:pPr>
      <w:r w:rsidRPr="000059C9">
        <w:rPr>
          <w:szCs w:val="22"/>
        </w:rPr>
        <w:t>rýchly alebo nepravidelný srdcový rytmus.</w:t>
      </w:r>
    </w:p>
    <w:p w14:paraId="3682DFEC" w14:textId="77777777" w:rsidR="001F08FE" w:rsidRPr="000059C9" w:rsidRDefault="001F08FE">
      <w:pPr>
        <w:tabs>
          <w:tab w:val="left" w:pos="567"/>
        </w:tabs>
        <w:adjustRightInd w:val="0"/>
        <w:snapToGrid w:val="0"/>
        <w:ind w:left="567"/>
        <w:rPr>
          <w:szCs w:val="22"/>
        </w:rPr>
      </w:pPr>
    </w:p>
    <w:p w14:paraId="55D5266B" w14:textId="77777777" w:rsidR="001F08FE" w:rsidRPr="000059C9" w:rsidRDefault="001F08FE" w:rsidP="001F4ACA">
      <w:pPr>
        <w:numPr>
          <w:ilvl w:val="2"/>
          <w:numId w:val="29"/>
        </w:numPr>
        <w:tabs>
          <w:tab w:val="clear" w:pos="2160"/>
          <w:tab w:val="left" w:pos="567"/>
        </w:tabs>
        <w:adjustRightInd w:val="0"/>
        <w:snapToGrid w:val="0"/>
        <w:ind w:left="567" w:hanging="567"/>
        <w:rPr>
          <w:szCs w:val="22"/>
        </w:rPr>
      </w:pPr>
      <w:r w:rsidRPr="000059C9">
        <w:rPr>
          <w:szCs w:val="22"/>
        </w:rPr>
        <w:t>V prípade podozrenia alebo potvrdenia VTE alebo ATE sa musí používanie CHC ukončiť. Pre teratogénne účinky liečby antikoagulanciami (kumaríny) sa má začať s používaním vhodnej kontracepcie.</w:t>
      </w:r>
    </w:p>
    <w:p w14:paraId="6D2FADDC" w14:textId="77777777" w:rsidR="001F08FE" w:rsidRPr="000059C9" w:rsidRDefault="001F08FE" w:rsidP="001F4ACA"/>
    <w:p w14:paraId="592DCCB4" w14:textId="77777777" w:rsidR="001F08FE" w:rsidRPr="000059C9" w:rsidRDefault="001F08FE" w:rsidP="001F4ACA">
      <w:pPr>
        <w:rPr>
          <w:i/>
        </w:rPr>
      </w:pPr>
      <w:r w:rsidRPr="000059C9">
        <w:rPr>
          <w:i/>
        </w:rPr>
        <w:t>2.</w:t>
      </w:r>
      <w:r w:rsidRPr="000059C9">
        <w:rPr>
          <w:i/>
        </w:rPr>
        <w:tab/>
        <w:t>Nádory</w:t>
      </w:r>
    </w:p>
    <w:p w14:paraId="4D12F1ED" w14:textId="77777777" w:rsidR="001F08FE" w:rsidRPr="000059C9" w:rsidRDefault="001F08FE" w:rsidP="001F4ACA">
      <w:pPr>
        <w:rPr>
          <w:i/>
        </w:rPr>
      </w:pPr>
    </w:p>
    <w:p w14:paraId="6AD7F773" w14:textId="77777777" w:rsidR="00911238" w:rsidRPr="00E927D1" w:rsidRDefault="001F08FE" w:rsidP="001F4ACA">
      <w:pPr>
        <w:numPr>
          <w:ilvl w:val="0"/>
          <w:numId w:val="31"/>
        </w:numPr>
        <w:tabs>
          <w:tab w:val="clear" w:pos="720"/>
        </w:tabs>
        <w:adjustRightInd w:val="0"/>
        <w:snapToGrid w:val="0"/>
        <w:ind w:left="567" w:hanging="567"/>
        <w:rPr>
          <w:szCs w:val="22"/>
        </w:rPr>
      </w:pPr>
      <w:r w:rsidRPr="000059C9">
        <w:rPr>
          <w:szCs w:val="22"/>
        </w:rPr>
        <w:t xml:space="preserve">Epidemiologické štúdie naznačujú, že dlhodobé užívanie perorálnych kontraceptív predstavuje rizikový faktor pre vznik rakoviny krčka maternice u žien infikovaných ľudským papilomavírusom (HPV). Stále však pretrváva neistota o rozsahu, v akom sú tieto nálezy ovplyvnené sprievodnými účinkami (napr. rozdiely v počte sexuálnych partnerov alebo v používaní bariérových kontraceptív). K dispozícii nie sú žiadne epidemiologické údaje o riziku pre vznik rakoviny krčka maternice u žien, ktoré používajú </w:t>
      </w:r>
      <w:r w:rsidR="007D1058" w:rsidRPr="000059C9">
        <w:rPr>
          <w:szCs w:val="22"/>
        </w:rPr>
        <w:t>Etonogestrel/Ethinylestradiol Mithra</w:t>
      </w:r>
      <w:r w:rsidRPr="000059C9">
        <w:rPr>
          <w:szCs w:val="22"/>
        </w:rPr>
        <w:t xml:space="preserve"> (pozri „</w:t>
      </w:r>
      <w:r w:rsidR="00E927D1">
        <w:rPr>
          <w:i/>
          <w:szCs w:val="22"/>
        </w:rPr>
        <w:t>Lekárske</w:t>
      </w:r>
      <w:r w:rsidR="00E927D1" w:rsidRPr="001F4ACA">
        <w:rPr>
          <w:i/>
          <w:szCs w:val="22"/>
        </w:rPr>
        <w:t xml:space="preserve"> </w:t>
      </w:r>
      <w:r w:rsidR="00E927D1">
        <w:rPr>
          <w:i/>
          <w:szCs w:val="22"/>
        </w:rPr>
        <w:t>vyšetrenie</w:t>
      </w:r>
      <w:r w:rsidRPr="001F4ACA">
        <w:rPr>
          <w:i/>
          <w:szCs w:val="22"/>
        </w:rPr>
        <w:t>/</w:t>
      </w:r>
      <w:r w:rsidR="00E927D1">
        <w:rPr>
          <w:i/>
          <w:szCs w:val="22"/>
        </w:rPr>
        <w:t>konsultácia</w:t>
      </w:r>
      <w:r w:rsidRPr="000059C9">
        <w:rPr>
          <w:szCs w:val="22"/>
        </w:rPr>
        <w:t>“).</w:t>
      </w:r>
    </w:p>
    <w:p w14:paraId="7A3CD542" w14:textId="77777777" w:rsidR="00911238" w:rsidRPr="00E927D1" w:rsidRDefault="001F08FE" w:rsidP="001F4ACA">
      <w:pPr>
        <w:numPr>
          <w:ilvl w:val="0"/>
          <w:numId w:val="31"/>
        </w:numPr>
        <w:tabs>
          <w:tab w:val="clear" w:pos="720"/>
        </w:tabs>
        <w:adjustRightInd w:val="0"/>
        <w:snapToGrid w:val="0"/>
        <w:ind w:left="567" w:hanging="567"/>
        <w:rPr>
          <w:szCs w:val="22"/>
        </w:rPr>
      </w:pPr>
      <w:r w:rsidRPr="000059C9">
        <w:rPr>
          <w:szCs w:val="22"/>
        </w:rPr>
        <w:t>V metaanalýze 54 epidemiologických štúdií sa hlásilo, že existuje mierne zvýšené relatívne riziko (RR = 1,24) diagnostikovania rakoviny prsníka u žien, ktoré v súčasnosti užívajú COC</w:t>
      </w:r>
      <w:r w:rsidR="00A12CE5">
        <w:rPr>
          <w:szCs w:val="22"/>
        </w:rPr>
        <w:t xml:space="preserve"> (z angl. combined oral contraceptive)</w:t>
      </w:r>
      <w:r w:rsidRPr="000059C9">
        <w:rPr>
          <w:szCs w:val="22"/>
        </w:rPr>
        <w:t>. Zvýšené riziko sa postupne v priebehu 10 rokov po ukončení užívania COC stráca. Vzhľadom na to, že rakovina prsníka je u žien mladších ako 40 rokov zriedkavá, je zvýšený počet diagnóz rakoviny prsníka u žien, ktoré v súčasnosti užívajú alebo v nedávnej minulosti užívali COC, malý v porovnaní s celkovým rizikom pre vznik rakoviny prsníka. Rakoviny prsníka diagnostikované u žien, ktoré niekedy užívali COC, majú tendenciu byť menej klinicky pokročilé ako u žien, ktoré nikdy neužívali COC. Príčinou pozorovaného modelu zvýšeného rizika môže byť diagnóza rakoviny prsníka v skorom štádiu u žien užívajúcich COC, biologické účinky COC alebo kombinácia oboch.</w:t>
      </w:r>
    </w:p>
    <w:p w14:paraId="0ACE4721" w14:textId="6BD7D39D" w:rsidR="001F08FE" w:rsidRPr="000059C9" w:rsidRDefault="001F08FE" w:rsidP="001F4ACA">
      <w:pPr>
        <w:numPr>
          <w:ilvl w:val="0"/>
          <w:numId w:val="31"/>
        </w:numPr>
        <w:tabs>
          <w:tab w:val="clear" w:pos="720"/>
        </w:tabs>
        <w:adjustRightInd w:val="0"/>
        <w:snapToGrid w:val="0"/>
        <w:ind w:left="567" w:hanging="567"/>
        <w:rPr>
          <w:szCs w:val="22"/>
        </w:rPr>
      </w:pPr>
      <w:r w:rsidRPr="000059C9">
        <w:rPr>
          <w:szCs w:val="22"/>
        </w:rPr>
        <w:t xml:space="preserve">U žien užívajúcich COC sa v zriedkavých prípadoch hlásili benígne nádory pečene a ešte zriedkavejšie malígne nádory pečene. V ojedinelých prípadoch viedli tieto nádory k život ohrozujúcim krvácaniam do brucha. Preto sa má pri silnej bolesti v hornej časti brucha, zväčšení pečene alebo pri objavení sa </w:t>
      </w:r>
      <w:r w:rsidR="00A12CE5">
        <w:rPr>
          <w:szCs w:val="22"/>
        </w:rPr>
        <w:t>prejavov</w:t>
      </w:r>
      <w:r w:rsidR="00A12CE5" w:rsidRPr="000059C9">
        <w:rPr>
          <w:szCs w:val="22"/>
        </w:rPr>
        <w:t xml:space="preserve"> </w:t>
      </w:r>
      <w:r w:rsidRPr="000059C9">
        <w:rPr>
          <w:szCs w:val="22"/>
        </w:rPr>
        <w:t xml:space="preserve">krvácania do brucha u žien používajúcich </w:t>
      </w:r>
      <w:r w:rsidR="007D1058" w:rsidRPr="000059C9">
        <w:rPr>
          <w:szCs w:val="22"/>
        </w:rPr>
        <w:t>Etonogestrel/Ethinylestradiol Mithra</w:t>
      </w:r>
      <w:r w:rsidRPr="000059C9">
        <w:rPr>
          <w:szCs w:val="22"/>
        </w:rPr>
        <w:t xml:space="preserve"> vziať v rámci diferenciálnej diagnózy do úvahy nádor pečene.</w:t>
      </w:r>
    </w:p>
    <w:p w14:paraId="268B8419" w14:textId="77777777" w:rsidR="001F08FE" w:rsidRPr="000059C9" w:rsidRDefault="001F08FE">
      <w:pPr>
        <w:adjustRightInd w:val="0"/>
        <w:snapToGrid w:val="0"/>
        <w:rPr>
          <w:i/>
          <w:iCs/>
          <w:szCs w:val="22"/>
        </w:rPr>
      </w:pPr>
    </w:p>
    <w:p w14:paraId="51577505" w14:textId="77777777" w:rsidR="00694DF2" w:rsidRPr="001F4ACA" w:rsidRDefault="00694DF2" w:rsidP="001F4ACA">
      <w:pPr>
        <w:pStyle w:val="Odsekzoznamu"/>
        <w:numPr>
          <w:ilvl w:val="0"/>
          <w:numId w:val="46"/>
        </w:numPr>
        <w:ind w:left="567" w:hanging="567"/>
        <w:rPr>
          <w:i/>
        </w:rPr>
      </w:pPr>
      <w:r w:rsidRPr="001F4ACA">
        <w:rPr>
          <w:i/>
        </w:rPr>
        <w:t>Zvýšenia ALT</w:t>
      </w:r>
      <w:r w:rsidR="006109E2" w:rsidRPr="001F4ACA">
        <w:rPr>
          <w:i/>
        </w:rPr>
        <w:t xml:space="preserve"> (alanínaminotransferázy)</w:t>
      </w:r>
    </w:p>
    <w:p w14:paraId="233114AA" w14:textId="77777777" w:rsidR="00694DF2" w:rsidRPr="000059C9" w:rsidRDefault="00694DF2" w:rsidP="001F4ACA"/>
    <w:p w14:paraId="2CF27B0D" w14:textId="77777777" w:rsidR="00694DF2" w:rsidRPr="000059C9" w:rsidRDefault="00694DF2">
      <w:pPr>
        <w:numPr>
          <w:ilvl w:val="0"/>
          <w:numId w:val="44"/>
        </w:numPr>
        <w:adjustRightInd w:val="0"/>
        <w:snapToGrid w:val="0"/>
        <w:ind w:left="567" w:hanging="567"/>
        <w:rPr>
          <w:iCs/>
          <w:szCs w:val="22"/>
        </w:rPr>
      </w:pPr>
      <w:r w:rsidRPr="000059C9">
        <w:rPr>
          <w:iCs/>
          <w:szCs w:val="22"/>
        </w:rPr>
        <w:t xml:space="preserve">Počas klinických skúšaní s pacientmi </w:t>
      </w:r>
      <w:r w:rsidR="00BD03CD" w:rsidRPr="000059C9">
        <w:rPr>
          <w:iCs/>
          <w:szCs w:val="22"/>
        </w:rPr>
        <w:t xml:space="preserve">liečenými na infekcie </w:t>
      </w:r>
      <w:r w:rsidR="00743748" w:rsidRPr="000059C9">
        <w:rPr>
          <w:iCs/>
          <w:szCs w:val="22"/>
        </w:rPr>
        <w:t>spôsobené</w:t>
      </w:r>
      <w:r w:rsidRPr="000059C9">
        <w:rPr>
          <w:iCs/>
          <w:szCs w:val="22"/>
        </w:rPr>
        <w:t xml:space="preserve"> vírus</w:t>
      </w:r>
      <w:r w:rsidR="00743748" w:rsidRPr="000059C9">
        <w:rPr>
          <w:iCs/>
          <w:szCs w:val="22"/>
        </w:rPr>
        <w:t>om</w:t>
      </w:r>
      <w:r w:rsidRPr="000059C9">
        <w:rPr>
          <w:iCs/>
          <w:szCs w:val="22"/>
        </w:rPr>
        <w:t xml:space="preserve"> hepatitídy C (HCV) </w:t>
      </w:r>
      <w:r w:rsidR="00BD03CD" w:rsidRPr="000059C9">
        <w:rPr>
          <w:iCs/>
          <w:szCs w:val="22"/>
        </w:rPr>
        <w:t xml:space="preserve">liekmi obsahujúcimi </w:t>
      </w:r>
      <w:r w:rsidRPr="000059C9">
        <w:rPr>
          <w:iCs/>
          <w:szCs w:val="22"/>
        </w:rPr>
        <w:t xml:space="preserve">ombitasvir/paritaprevir/ritonavir </w:t>
      </w:r>
      <w:r w:rsidR="00BD03CD" w:rsidRPr="000059C9">
        <w:rPr>
          <w:iCs/>
          <w:szCs w:val="22"/>
        </w:rPr>
        <w:t>a </w:t>
      </w:r>
      <w:r w:rsidRPr="000059C9">
        <w:rPr>
          <w:iCs/>
          <w:szCs w:val="22"/>
        </w:rPr>
        <w:t xml:space="preserve">dasabuvir </w:t>
      </w:r>
      <w:r w:rsidR="00BD03CD" w:rsidRPr="000059C9">
        <w:rPr>
          <w:iCs/>
          <w:szCs w:val="22"/>
        </w:rPr>
        <w:t>s ribavir</w:t>
      </w:r>
      <w:r w:rsidR="002F065C" w:rsidRPr="000059C9">
        <w:rPr>
          <w:iCs/>
          <w:szCs w:val="22"/>
        </w:rPr>
        <w:t>í</w:t>
      </w:r>
      <w:r w:rsidR="00BD03CD" w:rsidRPr="000059C9">
        <w:rPr>
          <w:iCs/>
          <w:szCs w:val="22"/>
        </w:rPr>
        <w:t>nom alebo bez neho, sa u </w:t>
      </w:r>
      <w:r w:rsidRPr="000059C9">
        <w:rPr>
          <w:iCs/>
          <w:szCs w:val="22"/>
        </w:rPr>
        <w:t xml:space="preserve">žien používajúcich lieky obsahujúce etinylestradiol, ako </w:t>
      </w:r>
      <w:r w:rsidR="002F065C" w:rsidRPr="000059C9">
        <w:rPr>
          <w:iCs/>
          <w:szCs w:val="22"/>
        </w:rPr>
        <w:t>sú</w:t>
      </w:r>
      <w:r w:rsidR="00BD03CD" w:rsidRPr="000059C9">
        <w:rPr>
          <w:iCs/>
          <w:szCs w:val="22"/>
        </w:rPr>
        <w:t xml:space="preserve"> kombinovan</w:t>
      </w:r>
      <w:r w:rsidR="00D65EE0" w:rsidRPr="000059C9">
        <w:rPr>
          <w:iCs/>
          <w:szCs w:val="22"/>
        </w:rPr>
        <w:t>é</w:t>
      </w:r>
      <w:r w:rsidR="00BD03CD" w:rsidRPr="000059C9">
        <w:rPr>
          <w:iCs/>
          <w:szCs w:val="22"/>
        </w:rPr>
        <w:t xml:space="preserve"> hormonáln</w:t>
      </w:r>
      <w:r w:rsidR="00D65EE0" w:rsidRPr="000059C9">
        <w:rPr>
          <w:iCs/>
          <w:szCs w:val="22"/>
        </w:rPr>
        <w:t>e kontraceptíva</w:t>
      </w:r>
      <w:r w:rsidR="00BD03CD" w:rsidRPr="000059C9">
        <w:rPr>
          <w:iCs/>
          <w:szCs w:val="22"/>
        </w:rPr>
        <w:t xml:space="preserve"> (</w:t>
      </w:r>
      <w:r w:rsidRPr="000059C9">
        <w:rPr>
          <w:iCs/>
          <w:szCs w:val="22"/>
        </w:rPr>
        <w:t>CHC</w:t>
      </w:r>
      <w:r w:rsidR="00BD03CD" w:rsidRPr="000059C9">
        <w:rPr>
          <w:iCs/>
          <w:szCs w:val="22"/>
        </w:rPr>
        <w:t>)</w:t>
      </w:r>
      <w:r w:rsidRPr="000059C9">
        <w:rPr>
          <w:iCs/>
          <w:szCs w:val="22"/>
        </w:rPr>
        <w:t xml:space="preserve">, významne častejšie vyskytli zvýšenia </w:t>
      </w:r>
      <w:r w:rsidR="00BD03CD" w:rsidRPr="000059C9">
        <w:rPr>
          <w:iCs/>
          <w:szCs w:val="22"/>
        </w:rPr>
        <w:t>transamináz (</w:t>
      </w:r>
      <w:r w:rsidRPr="000059C9">
        <w:rPr>
          <w:iCs/>
          <w:szCs w:val="22"/>
        </w:rPr>
        <w:t>ALT</w:t>
      </w:r>
      <w:r w:rsidR="00BD03CD" w:rsidRPr="000059C9">
        <w:rPr>
          <w:iCs/>
          <w:szCs w:val="22"/>
        </w:rPr>
        <w:t>)</w:t>
      </w:r>
      <w:r w:rsidRPr="000059C9">
        <w:rPr>
          <w:iCs/>
          <w:szCs w:val="22"/>
        </w:rPr>
        <w:t xml:space="preserve"> na viac ako 5-násobok hornej hranice normálu (upper limit of normal, ULN) </w:t>
      </w:r>
      <w:r w:rsidR="00BD03CD" w:rsidRPr="000059C9">
        <w:rPr>
          <w:iCs/>
          <w:szCs w:val="22"/>
        </w:rPr>
        <w:t xml:space="preserve">(pozri časti 4.3 a 4.5.) </w:t>
      </w:r>
    </w:p>
    <w:p w14:paraId="6D676B86" w14:textId="77777777" w:rsidR="00BD03CD" w:rsidRPr="000059C9" w:rsidRDefault="00BD03CD">
      <w:pPr>
        <w:adjustRightInd w:val="0"/>
        <w:snapToGrid w:val="0"/>
        <w:ind w:left="567"/>
        <w:rPr>
          <w:iCs/>
          <w:szCs w:val="22"/>
        </w:rPr>
      </w:pPr>
    </w:p>
    <w:p w14:paraId="3394F0A9" w14:textId="77777777" w:rsidR="001F08FE" w:rsidRPr="001F4ACA" w:rsidRDefault="00BD03CD" w:rsidP="001F4ACA">
      <w:pPr>
        <w:rPr>
          <w:i/>
        </w:rPr>
      </w:pPr>
      <w:r w:rsidRPr="001F4ACA">
        <w:rPr>
          <w:i/>
        </w:rPr>
        <w:t>4</w:t>
      </w:r>
      <w:r w:rsidR="001F08FE" w:rsidRPr="001F4ACA">
        <w:rPr>
          <w:i/>
        </w:rPr>
        <w:t>.</w:t>
      </w:r>
      <w:r w:rsidR="001F08FE" w:rsidRPr="001F4ACA">
        <w:rPr>
          <w:i/>
        </w:rPr>
        <w:tab/>
        <w:t>Iné stavy</w:t>
      </w:r>
    </w:p>
    <w:p w14:paraId="73E15C55" w14:textId="77777777" w:rsidR="001F08FE" w:rsidRPr="001F4ACA" w:rsidRDefault="001F08FE" w:rsidP="001F4ACA">
      <w:pPr>
        <w:rPr>
          <w:i/>
        </w:rPr>
      </w:pPr>
    </w:p>
    <w:p w14:paraId="27A01A06" w14:textId="77777777" w:rsidR="00E927D1" w:rsidRPr="00E927D1" w:rsidRDefault="001F08FE" w:rsidP="001F4ACA">
      <w:pPr>
        <w:numPr>
          <w:ilvl w:val="0"/>
          <w:numId w:val="32"/>
        </w:numPr>
        <w:tabs>
          <w:tab w:val="clear" w:pos="720"/>
        </w:tabs>
        <w:adjustRightInd w:val="0"/>
        <w:snapToGrid w:val="0"/>
        <w:ind w:left="567" w:hanging="567"/>
        <w:rPr>
          <w:szCs w:val="22"/>
        </w:rPr>
      </w:pPr>
      <w:r w:rsidRPr="000059C9">
        <w:rPr>
          <w:szCs w:val="22"/>
        </w:rPr>
        <w:t>U žien s hypertriglyceridémiou alebo jej výskytom v rodinnej anamnéze sa môže vyskytovať zvýšené riziko pankreatitídy, ak užívajú hormonálne kontraceptíva.</w:t>
      </w:r>
    </w:p>
    <w:p w14:paraId="44131672" w14:textId="512E0819" w:rsidR="00E927D1" w:rsidRPr="00E927D1" w:rsidRDefault="001F08FE" w:rsidP="001F4ACA">
      <w:pPr>
        <w:numPr>
          <w:ilvl w:val="0"/>
          <w:numId w:val="32"/>
        </w:numPr>
        <w:tabs>
          <w:tab w:val="clear" w:pos="720"/>
        </w:tabs>
        <w:adjustRightInd w:val="0"/>
        <w:snapToGrid w:val="0"/>
        <w:ind w:left="567" w:hanging="567"/>
        <w:rPr>
          <w:szCs w:val="22"/>
        </w:rPr>
      </w:pPr>
      <w:r w:rsidRPr="000059C9">
        <w:rPr>
          <w:szCs w:val="22"/>
        </w:rPr>
        <w:t xml:space="preserve">Hoci sa u mnohých žien užívajúcich hormonálne kontraceptíva hlásili malé zvýšenia krvného tlaku, klinicky významné zvýšenia sú zriedkavé. Definitívny vzťah medzi užívaním hormonálneho kontraceptíva a klinickou hypertenziou sa nestanovil. Ak sa však počas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objaví klinicky významná hypertenzia, rozumné je, aby lekár prerušil používanie krúžku a liečil hypertenziu. Ak sa to bude považovať za vhodné, používanie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sa môže opäť obnoviť, ak je liečbou antihypertenzívami možné dosiahnuť normálne hodnoty krvného tlaku.</w:t>
      </w:r>
    </w:p>
    <w:p w14:paraId="2B50EB15" w14:textId="77777777" w:rsidR="00E927D1" w:rsidRPr="00E927D1" w:rsidRDefault="001F08FE" w:rsidP="001F4ACA">
      <w:pPr>
        <w:numPr>
          <w:ilvl w:val="0"/>
          <w:numId w:val="32"/>
        </w:numPr>
        <w:tabs>
          <w:tab w:val="clear" w:pos="720"/>
        </w:tabs>
        <w:adjustRightInd w:val="0"/>
        <w:snapToGrid w:val="0"/>
        <w:ind w:left="567" w:hanging="567"/>
        <w:rPr>
          <w:szCs w:val="22"/>
        </w:rPr>
      </w:pPr>
      <w:r w:rsidRPr="000059C9">
        <w:rPr>
          <w:szCs w:val="22"/>
        </w:rPr>
        <w:t>Počas gravidity a aj počas používania hormonálnych kontraceptív sa hlásil výskyt alebo zhoršenie nasledujúcich stavov, ale dôkaz o súvise s používaním hormonálnych kontraceptív nie je dostatočný pre vyvodenie záveru: žltačka a/alebo pruritus súvisiaci s cholestázou; tvorba žlčových kameňov; porfýria; systémový lupus erythematosus; hemolyticko-uremický syndróm; Sydenhamova chorea; herpes gestationis; strata sluchu súvisiaca s otosklerózou, (dedičný) angioedém.</w:t>
      </w:r>
    </w:p>
    <w:p w14:paraId="5A574C09" w14:textId="6DF99779"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 xml:space="preserve">Akútne alebo chronické poruchy funkcie pečene môžu vyžadovať prerušenie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dovtedy, kým sa hodnoty funkcie pečene nevrátia do normálu. Opätovný výskyt cholestatickej žltačky a/alebo pruritu súvisiaceho s cholestázou, ktorý sa po prvýkrát objavil počas gravidity alebo pri predchádzajúcom užívaní pohlavných steroidov, si vyžaduje prerušenie používania krúžku.</w:t>
      </w:r>
    </w:p>
    <w:p w14:paraId="620CD314" w14:textId="1B34E87B"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 xml:space="preserve">Hoci môžu estrogény a gestagény ovplyvňovať periférnu inzulínovú rezistenciu a glukózovú toleranciu, neexistuje dôkaz o potrebe zmeny terapeutického režimu u diabetičiek používajúcich hormonálne kontraceptívum. Počas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najmä počas prvých mesiacov používania, sa však ženy s diabetes mellitus majú starostlivo sledovať.</w:t>
      </w:r>
    </w:p>
    <w:p w14:paraId="210A8FFE" w14:textId="77777777"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Pri používaní hormonálnych kontraceptív bol hlásený nový nástup alebo zhoršenie Crohnovej choroby a ulceróznej kolitídy, ale dôkaz o súvislosti s ich používaním nie je presvedčivý.</w:t>
      </w:r>
    </w:p>
    <w:p w14:paraId="2D42C211" w14:textId="57C78356"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 xml:space="preserve">Príležitostne sa môže objaviť chloazma, najmä u žien s chloazma gravidarum v anamnéze. Počas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sa ženy so sklonom ku chloazme majú vyhýbať expozícii slnku alebo ultrafialovému žiareniu.</w:t>
      </w:r>
    </w:p>
    <w:p w14:paraId="751BC1E4" w14:textId="77777777"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 xml:space="preserve">Ak sa u ženy vyskytuje ktorýkoľvek z nasledujúcich stavov, môže sa stať, že nebude schopná správne si zaviesť </w:t>
      </w:r>
      <w:r w:rsidR="007D1058" w:rsidRPr="000059C9">
        <w:rPr>
          <w:szCs w:val="22"/>
        </w:rPr>
        <w:t>Etonogestrel/Ethinylestradiol Mithra</w:t>
      </w:r>
      <w:r w:rsidRPr="000059C9">
        <w:rPr>
          <w:szCs w:val="22"/>
        </w:rPr>
        <w:t xml:space="preserve"> alebo môže krúžok stratiť: prolaps krčka maternice, cystokéla a/alebo rektokéla, závažná alebo chronická zápcha.</w:t>
      </w:r>
    </w:p>
    <w:p w14:paraId="44EA3F1D" w14:textId="77777777" w:rsidR="001F08FE" w:rsidRPr="000059C9" w:rsidRDefault="001F08FE">
      <w:pPr>
        <w:adjustRightInd w:val="0"/>
        <w:snapToGrid w:val="0"/>
        <w:ind w:left="567"/>
        <w:rPr>
          <w:szCs w:val="22"/>
        </w:rPr>
      </w:pPr>
      <w:r w:rsidRPr="000059C9">
        <w:rPr>
          <w:szCs w:val="22"/>
        </w:rPr>
        <w:t xml:space="preserve">Veľmi zriedkavo sa hlásilo, že </w:t>
      </w:r>
      <w:r w:rsidR="007D1058" w:rsidRPr="000059C9">
        <w:rPr>
          <w:szCs w:val="22"/>
        </w:rPr>
        <w:t>Etonogestrel/Ethinylestradiol Mithra</w:t>
      </w:r>
      <w:r w:rsidRPr="000059C9">
        <w:rPr>
          <w:szCs w:val="22"/>
        </w:rPr>
        <w:t xml:space="preserve"> bol neúmyselne zavedený do močovej rúry a pravdepodobne uviazol v močovom mechúre. Preto sa v rámci diferenciálnej diagnózy v prípade príznakov cystitídy má vziať do úvahy nesprávne umiestnenie.</w:t>
      </w:r>
    </w:p>
    <w:p w14:paraId="69841BF7" w14:textId="17F69A89" w:rsidR="001F08FE" w:rsidRPr="000059C9" w:rsidRDefault="001F08FE" w:rsidP="001F4ACA">
      <w:pPr>
        <w:numPr>
          <w:ilvl w:val="0"/>
          <w:numId w:val="32"/>
        </w:numPr>
        <w:tabs>
          <w:tab w:val="clear" w:pos="720"/>
        </w:tabs>
        <w:adjustRightInd w:val="0"/>
        <w:snapToGrid w:val="0"/>
        <w:ind w:left="567" w:hanging="567"/>
        <w:rPr>
          <w:szCs w:val="22"/>
        </w:rPr>
      </w:pPr>
      <w:r w:rsidRPr="000059C9">
        <w:rPr>
          <w:szCs w:val="22"/>
        </w:rPr>
        <w:t xml:space="preserve">Počas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sa u ženy môže príležitostne objaviť vaginitída. Neexistujú žiadne náznaky, že účinnosť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je</w:t>
      </w:r>
      <w:r w:rsidRPr="000059C9" w:rsidDel="003653F4">
        <w:rPr>
          <w:szCs w:val="22"/>
        </w:rPr>
        <w:t xml:space="preserve"> </w:t>
      </w:r>
      <w:r w:rsidRPr="000059C9">
        <w:rPr>
          <w:szCs w:val="22"/>
        </w:rPr>
        <w:t xml:space="preserve">ovplyvnená liečbou vaginitídy, alebo že používanie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ovplyvňuje liečbu vaginitídy (pozri časť 4.5).</w:t>
      </w:r>
    </w:p>
    <w:p w14:paraId="0C31CA2B" w14:textId="2A052987" w:rsidR="001D303E" w:rsidRPr="0051374E" w:rsidRDefault="001F08FE" w:rsidP="001F4ACA">
      <w:pPr>
        <w:numPr>
          <w:ilvl w:val="0"/>
          <w:numId w:val="32"/>
        </w:numPr>
        <w:tabs>
          <w:tab w:val="clear" w:pos="720"/>
        </w:tabs>
        <w:adjustRightInd w:val="0"/>
        <w:snapToGrid w:val="0"/>
        <w:ind w:left="567" w:hanging="567"/>
        <w:rPr>
          <w:szCs w:val="22"/>
        </w:rPr>
      </w:pPr>
      <w:r w:rsidRPr="000059C9">
        <w:rPr>
          <w:szCs w:val="22"/>
        </w:rPr>
        <w:t>Veľmi zriedkavo sa hlásilo priľnutie krúžku na tkanivo pošvy, ktoré si vyžaduje odstránenie zdravotníckym pracovníkom.</w:t>
      </w:r>
      <w:r w:rsidR="001D303E" w:rsidRPr="000059C9">
        <w:rPr>
          <w:szCs w:val="22"/>
        </w:rPr>
        <w:t xml:space="preserve"> </w:t>
      </w:r>
      <w:r w:rsidR="00A129AE" w:rsidRPr="0051374E">
        <w:rPr>
          <w:szCs w:val="22"/>
          <w:lang w:bidi="sk-SK"/>
        </w:rPr>
        <w:t xml:space="preserve">V niektorých prípadoch, keď tkanivo </w:t>
      </w:r>
      <w:r w:rsidR="0051374E" w:rsidRPr="0051374E">
        <w:rPr>
          <w:szCs w:val="22"/>
          <w:lang w:bidi="sk-SK"/>
        </w:rPr>
        <w:t>prer</w:t>
      </w:r>
      <w:r w:rsidR="0051374E">
        <w:rPr>
          <w:szCs w:val="22"/>
          <w:lang w:bidi="sk-SK"/>
        </w:rPr>
        <w:t>ástlo</w:t>
      </w:r>
      <w:r w:rsidR="0051374E" w:rsidRPr="0051374E">
        <w:rPr>
          <w:szCs w:val="22"/>
          <w:lang w:bidi="sk-SK"/>
        </w:rPr>
        <w:t xml:space="preserve"> </w:t>
      </w:r>
      <w:r w:rsidR="00A129AE" w:rsidRPr="0051374E">
        <w:rPr>
          <w:szCs w:val="22"/>
          <w:lang w:bidi="sk-SK"/>
        </w:rPr>
        <w:t xml:space="preserve">cez krúžok, </w:t>
      </w:r>
      <w:r w:rsidR="0051374E" w:rsidRPr="009F3CD3">
        <w:rPr>
          <w:szCs w:val="22"/>
          <w:lang w:bidi="sk-SK"/>
        </w:rPr>
        <w:t xml:space="preserve">bolo </w:t>
      </w:r>
      <w:r w:rsidR="00A129AE" w:rsidRPr="0051374E">
        <w:rPr>
          <w:szCs w:val="22"/>
          <w:lang w:bidi="sk-SK"/>
        </w:rPr>
        <w:t xml:space="preserve">odstránenie </w:t>
      </w:r>
      <w:r w:rsidR="0051374E">
        <w:rPr>
          <w:szCs w:val="22"/>
        </w:rPr>
        <w:t>krúžku</w:t>
      </w:r>
      <w:r w:rsidR="00A129AE" w:rsidRPr="0051374E">
        <w:rPr>
          <w:szCs w:val="22"/>
          <w:lang w:bidi="sk-SK"/>
        </w:rPr>
        <w:t xml:space="preserve"> vykonané vyrezaním krúžku bez narezania prekrývajúceho vaginálneho tkaniva.</w:t>
      </w:r>
    </w:p>
    <w:p w14:paraId="2AD668A3" w14:textId="77777777" w:rsidR="00B54013" w:rsidRPr="001F4ACA" w:rsidRDefault="00B54013" w:rsidP="00B54013">
      <w:pPr>
        <w:numPr>
          <w:ilvl w:val="0"/>
          <w:numId w:val="32"/>
        </w:numPr>
        <w:tabs>
          <w:tab w:val="clear" w:pos="720"/>
        </w:tabs>
        <w:adjustRightInd w:val="0"/>
        <w:snapToGrid w:val="0"/>
        <w:ind w:left="567" w:hanging="567"/>
        <w:rPr>
          <w:szCs w:val="22"/>
        </w:rPr>
      </w:pPr>
      <w:r w:rsidRPr="00903CA4">
        <w:rPr>
          <w:szCs w:val="22"/>
        </w:rPr>
        <w:t>Depresívna nálada a depresia sú známe nežiaduce účinky, ktoré sa vyskytujú pri používaní hormonálnej antikoncepcie (pozri časť 4.8). Depresia môže byť závažná a je všeobecne známym rizikovým faktorom pre samovražedné správanie a samovraždu. Ženám je potrebné odporučiť, aby v prípade výskytu zmien nálady a príznakov depresie kontaktovali svojho lekára, vrátane prípadov, kedy sa tieto príznaky objavia krátko po začatí liečby.</w:t>
      </w:r>
    </w:p>
    <w:p w14:paraId="56D03851" w14:textId="77777777" w:rsidR="001F08FE" w:rsidRPr="000059C9" w:rsidRDefault="001F08FE">
      <w:pPr>
        <w:adjustRightInd w:val="0"/>
        <w:snapToGrid w:val="0"/>
        <w:rPr>
          <w:szCs w:val="22"/>
        </w:rPr>
      </w:pPr>
    </w:p>
    <w:p w14:paraId="0D0D6A8C" w14:textId="77777777" w:rsidR="001F08FE" w:rsidRPr="000059C9" w:rsidRDefault="001F08FE" w:rsidP="001F4ACA">
      <w:r w:rsidRPr="000059C9">
        <w:t>LEKÁRSKE VYŠETRENIE/KONZULTÁCIA</w:t>
      </w:r>
    </w:p>
    <w:p w14:paraId="56BD3EA5" w14:textId="77777777" w:rsidR="001F08FE" w:rsidRPr="000059C9" w:rsidRDefault="001F08FE" w:rsidP="001F4ACA"/>
    <w:p w14:paraId="35192C37" w14:textId="41217FEF" w:rsidR="001F08FE" w:rsidRPr="000059C9" w:rsidRDefault="001F08FE">
      <w:pPr>
        <w:adjustRightInd w:val="0"/>
        <w:snapToGrid w:val="0"/>
        <w:rPr>
          <w:szCs w:val="22"/>
        </w:rPr>
      </w:pPr>
      <w:r w:rsidRPr="000059C9">
        <w:rPr>
          <w:szCs w:val="22"/>
        </w:rPr>
        <w:t xml:space="preserve">Pred začatím používania alebo opätovným nasadením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sa má vyšetriť kompletná zdravotná anamnéza (vrátane rodinnej anamnézy) a musí sa vylúčiť gravidita. Má sa zmerať krvný tlak a vykonať zdravotná prehliadka na základe kontraindikácií (pozri časť 4.3) a upozornení (pozri časť 4.4). Je dôležité ženu upozorniť na informácie o venóznej a arteriálnej trombóze vrátane rizika používania </w:t>
      </w:r>
      <w:r w:rsidR="007D1058" w:rsidRPr="000059C9">
        <w:rPr>
          <w:szCs w:val="22"/>
        </w:rPr>
        <w:t>Etonogestrel/Ethinylestradiol</w:t>
      </w:r>
      <w:r w:rsidR="004B2B62">
        <w:rPr>
          <w:szCs w:val="22"/>
        </w:rPr>
        <w:t>u</w:t>
      </w:r>
      <w:r w:rsidR="007D1058" w:rsidRPr="000059C9">
        <w:rPr>
          <w:szCs w:val="22"/>
        </w:rPr>
        <w:t xml:space="preserve"> Mithra</w:t>
      </w:r>
      <w:r w:rsidRPr="000059C9">
        <w:rPr>
          <w:szCs w:val="22"/>
        </w:rPr>
        <w:t xml:space="preserve"> v porovnaní s inými CHC, o príznakoch VTE a ATE, o známych rizikových faktoroch a o tom, čo robiť v prípade podozrenia na trombózu.</w:t>
      </w:r>
    </w:p>
    <w:p w14:paraId="21C1FF84" w14:textId="77777777" w:rsidR="001F08FE" w:rsidRPr="000059C9" w:rsidRDefault="001F08FE">
      <w:pPr>
        <w:adjustRightInd w:val="0"/>
        <w:snapToGrid w:val="0"/>
        <w:rPr>
          <w:szCs w:val="22"/>
        </w:rPr>
      </w:pPr>
    </w:p>
    <w:p w14:paraId="2A743403" w14:textId="77777777" w:rsidR="001F08FE" w:rsidRPr="000059C9" w:rsidRDefault="001F08FE">
      <w:pPr>
        <w:adjustRightInd w:val="0"/>
        <w:snapToGrid w:val="0"/>
        <w:rPr>
          <w:szCs w:val="22"/>
        </w:rPr>
      </w:pPr>
      <w:r w:rsidRPr="000059C9">
        <w:rPr>
          <w:szCs w:val="22"/>
        </w:rPr>
        <w:t>Žena má byť poučená, aby si pozorne prečítala písomnú informáciu pre používateľku a dodržiavala odporúčania uvedené v nej. Frekvencia a druh vyšetrení sa majú robiť na základe stanovených postupov a majú sa prispôsobiť individuálnym potrebám ženy.</w:t>
      </w:r>
    </w:p>
    <w:p w14:paraId="46FC0E63" w14:textId="77777777" w:rsidR="001F08FE" w:rsidRPr="000059C9" w:rsidRDefault="001F08FE">
      <w:pPr>
        <w:adjustRightInd w:val="0"/>
        <w:snapToGrid w:val="0"/>
        <w:rPr>
          <w:szCs w:val="22"/>
        </w:rPr>
      </w:pPr>
    </w:p>
    <w:p w14:paraId="4EC0C7C0" w14:textId="77777777" w:rsidR="001F08FE" w:rsidRPr="000059C9" w:rsidRDefault="001F08FE">
      <w:pPr>
        <w:adjustRightInd w:val="0"/>
        <w:snapToGrid w:val="0"/>
        <w:rPr>
          <w:szCs w:val="22"/>
        </w:rPr>
      </w:pPr>
      <w:r w:rsidRPr="000059C9">
        <w:rPr>
          <w:szCs w:val="22"/>
        </w:rPr>
        <w:t>Ženy majú byť upozornené, že hormonálne kontraceptíva nechránia pred infekciami vírusom HIV (AIDS) ani inými ochoreniami prenášanými pohlavným stykom.</w:t>
      </w:r>
    </w:p>
    <w:p w14:paraId="54BBFE25" w14:textId="77777777" w:rsidR="001F08FE" w:rsidRPr="000059C9" w:rsidRDefault="001F08FE">
      <w:pPr>
        <w:adjustRightInd w:val="0"/>
        <w:snapToGrid w:val="0"/>
        <w:rPr>
          <w:szCs w:val="22"/>
        </w:rPr>
      </w:pPr>
    </w:p>
    <w:p w14:paraId="4B11B2C6" w14:textId="77777777" w:rsidR="001F08FE" w:rsidRPr="000059C9" w:rsidRDefault="001F08FE" w:rsidP="001F4ACA">
      <w:r w:rsidRPr="000059C9">
        <w:t>ZNÍŽENÁ ÚČINNOSŤ</w:t>
      </w:r>
    </w:p>
    <w:p w14:paraId="01042DE6" w14:textId="77777777" w:rsidR="001F08FE" w:rsidRPr="000059C9" w:rsidRDefault="001F08FE" w:rsidP="001F4ACA">
      <w:pPr>
        <w:rPr>
          <w:bCs/>
        </w:rPr>
      </w:pPr>
    </w:p>
    <w:p w14:paraId="18618D79" w14:textId="3D35BC48" w:rsidR="001F08FE" w:rsidRPr="000059C9" w:rsidRDefault="001F08FE" w:rsidP="001F4ACA">
      <w:r w:rsidRPr="000059C9">
        <w:t xml:space="preserve">Účinnosť </w:t>
      </w:r>
      <w:r w:rsidR="007D1058" w:rsidRPr="000059C9">
        <w:t>Etonogestrel/Ethinylestradiol</w:t>
      </w:r>
      <w:r w:rsidR="0051374E">
        <w:t>u</w:t>
      </w:r>
      <w:r w:rsidR="007D1058" w:rsidRPr="000059C9">
        <w:t xml:space="preserve"> Mithra</w:t>
      </w:r>
      <w:r w:rsidRPr="000059C9">
        <w:t xml:space="preserve"> sa môže znížiť v prípade nesprávneho používania (časť 4.2) alebo súbežným používaním liekov, ktoré znižujú plazmatické koncentrácie etinylestradiolu a/alebo etonogestrelu (časť 4.5).</w:t>
      </w:r>
    </w:p>
    <w:p w14:paraId="717D2848" w14:textId="77777777" w:rsidR="001F08FE" w:rsidRPr="000059C9" w:rsidRDefault="001F08FE" w:rsidP="001F4ACA"/>
    <w:p w14:paraId="697F48E1" w14:textId="77777777" w:rsidR="001F08FE" w:rsidRPr="000059C9" w:rsidRDefault="001F08FE" w:rsidP="001F4ACA">
      <w:pPr>
        <w:rPr>
          <w:b/>
          <w:bCs/>
        </w:rPr>
      </w:pPr>
      <w:r w:rsidRPr="000059C9">
        <w:t>ZNÍŽENÁ KONTROLA CYKLU</w:t>
      </w:r>
    </w:p>
    <w:p w14:paraId="531BC591" w14:textId="77777777" w:rsidR="001F08FE" w:rsidRPr="000059C9" w:rsidRDefault="001F08FE" w:rsidP="001F4ACA"/>
    <w:p w14:paraId="6B771FBE" w14:textId="71EF92B7" w:rsidR="001F08FE" w:rsidRPr="000059C9" w:rsidRDefault="001F08FE">
      <w:pPr>
        <w:adjustRightInd w:val="0"/>
        <w:snapToGrid w:val="0"/>
        <w:rPr>
          <w:szCs w:val="22"/>
        </w:rPr>
      </w:pPr>
      <w:r w:rsidRPr="000059C9">
        <w:rPr>
          <w:szCs w:val="22"/>
        </w:rPr>
        <w:t xml:space="preserve">Pri používaní </w:t>
      </w:r>
      <w:r w:rsidR="007D1058" w:rsidRPr="000059C9">
        <w:rPr>
          <w:szCs w:val="22"/>
        </w:rPr>
        <w:t>Etonogestrel/</w:t>
      </w:r>
      <w:r w:rsidR="0051374E" w:rsidRPr="000059C9">
        <w:rPr>
          <w:szCs w:val="22"/>
        </w:rPr>
        <w:t>Ethinylestradiol</w:t>
      </w:r>
      <w:r w:rsidR="0051374E">
        <w:rPr>
          <w:szCs w:val="22"/>
        </w:rPr>
        <w:t>u</w:t>
      </w:r>
      <w:r w:rsidR="004B2B62">
        <w:rPr>
          <w:szCs w:val="22"/>
        </w:rPr>
        <w:t xml:space="preserve"> </w:t>
      </w:r>
      <w:r w:rsidR="007D1058" w:rsidRPr="000059C9">
        <w:rPr>
          <w:szCs w:val="22"/>
        </w:rPr>
        <w:t>Mithra</w:t>
      </w:r>
      <w:r w:rsidRPr="000059C9">
        <w:rPr>
          <w:szCs w:val="22"/>
        </w:rPr>
        <w:t xml:space="preserve"> sa môže objaviť nepravidelné krvácanie (špinenie alebo medzimenštruačné krvácanie). Ak sa nepravidelnosti v krvácaní objavia po predchádzajúcich pravidelných cykloch, pričom sa </w:t>
      </w:r>
      <w:r w:rsidR="007D1058" w:rsidRPr="000059C9">
        <w:rPr>
          <w:szCs w:val="22"/>
        </w:rPr>
        <w:t>Etonogestrel/Ethinylestradiol Mithra</w:t>
      </w:r>
      <w:r w:rsidRPr="000059C9">
        <w:rPr>
          <w:szCs w:val="22"/>
        </w:rPr>
        <w:t xml:space="preserve"> používal podľa odporúčaného režimu, je potrebné zvážiť nehormonálne príčiny a sú indikované vhodné diagnostické opatrenia na vylúčenie zhubného ochorenia alebo gravidity. Tieto opatrenia môžu zahŕňať kyretáž.</w:t>
      </w:r>
    </w:p>
    <w:p w14:paraId="5409B495" w14:textId="77777777" w:rsidR="001F08FE" w:rsidRPr="000059C9" w:rsidRDefault="001F08FE">
      <w:pPr>
        <w:adjustRightInd w:val="0"/>
        <w:snapToGrid w:val="0"/>
        <w:rPr>
          <w:szCs w:val="22"/>
        </w:rPr>
      </w:pPr>
    </w:p>
    <w:p w14:paraId="13619C03" w14:textId="0EDC60E2" w:rsidR="001F08FE" w:rsidRPr="000059C9" w:rsidRDefault="001F08FE">
      <w:pPr>
        <w:adjustRightInd w:val="0"/>
        <w:snapToGrid w:val="0"/>
        <w:rPr>
          <w:szCs w:val="22"/>
        </w:rPr>
      </w:pPr>
      <w:r w:rsidRPr="000059C9">
        <w:rPr>
          <w:szCs w:val="22"/>
        </w:rPr>
        <w:t xml:space="preserve">U niektorých žien sa počas obdobia bez krúžku nemusí objaviť krvácanie z vysadenia. Ak sa </w:t>
      </w:r>
      <w:r w:rsidR="007D1058" w:rsidRPr="000059C9">
        <w:rPr>
          <w:szCs w:val="22"/>
        </w:rPr>
        <w:t>Etonogestrel/Ethinylestradiol Mithra</w:t>
      </w:r>
      <w:r w:rsidRPr="000059C9">
        <w:rPr>
          <w:szCs w:val="22"/>
        </w:rPr>
        <w:t xml:space="preserve"> používal podľa pokynov opísaných v časti 4.2, je nepravdepodobné, že je žena gravidná. Ak sa však </w:t>
      </w:r>
      <w:r w:rsidR="007D1058" w:rsidRPr="000059C9">
        <w:rPr>
          <w:szCs w:val="22"/>
        </w:rPr>
        <w:t>Etonogestrel/Ethinylestradiol Mithra</w:t>
      </w:r>
      <w:r w:rsidRPr="000059C9">
        <w:rPr>
          <w:szCs w:val="22"/>
        </w:rPr>
        <w:t xml:space="preserve"> nepoužíval podľa týchto pokynov pred prvým vynechaním krvácania z vysadenia alebo ak došlo k vynechaniu dvoch krvácaní z vysadenia, pred pokračovaním v používaní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xml:space="preserve"> je potrebné vylúčiť graviditu.</w:t>
      </w:r>
    </w:p>
    <w:p w14:paraId="22AAD770" w14:textId="77777777" w:rsidR="001F08FE" w:rsidRPr="000059C9" w:rsidRDefault="001F08FE">
      <w:pPr>
        <w:adjustRightInd w:val="0"/>
        <w:snapToGrid w:val="0"/>
        <w:rPr>
          <w:szCs w:val="22"/>
        </w:rPr>
      </w:pPr>
    </w:p>
    <w:p w14:paraId="0F17ADF2" w14:textId="77777777" w:rsidR="001F08FE" w:rsidRPr="000059C9" w:rsidRDefault="001F08FE" w:rsidP="001F4ACA">
      <w:r w:rsidRPr="000059C9">
        <w:t xml:space="preserve">EXPOZÍCIA </w:t>
      </w:r>
      <w:r w:rsidRPr="001F4ACA">
        <w:rPr>
          <w:caps/>
        </w:rPr>
        <w:t>ETINYLestradiolu a etonogestrelu</w:t>
      </w:r>
      <w:r w:rsidRPr="000059C9">
        <w:t xml:space="preserve"> U MUŽA</w:t>
      </w:r>
    </w:p>
    <w:p w14:paraId="1A78D09E" w14:textId="77777777" w:rsidR="001F08FE" w:rsidRPr="000059C9" w:rsidRDefault="001F08FE" w:rsidP="001F4ACA"/>
    <w:p w14:paraId="27E7FD9D" w14:textId="77777777" w:rsidR="001F08FE" w:rsidRPr="000059C9" w:rsidRDefault="001F08FE" w:rsidP="001F4ACA">
      <w:r w:rsidRPr="000059C9">
        <w:t>Rozsah a možná farmakologická úloha expozície etinylestradiolu a etonogestrelu u sexuálnych partnerov mužského pohlavia prostredníctvom absorpcie penisom sa neskúmali.</w:t>
      </w:r>
    </w:p>
    <w:p w14:paraId="09F93D11" w14:textId="77777777" w:rsidR="001F08FE" w:rsidRPr="000059C9" w:rsidRDefault="001F08FE" w:rsidP="001F4ACA"/>
    <w:p w14:paraId="39A85E2A" w14:textId="77777777" w:rsidR="001F08FE" w:rsidRPr="000059C9" w:rsidRDefault="001F08FE" w:rsidP="001F4ACA">
      <w:r w:rsidRPr="000059C9">
        <w:t>POŠKODENÉ KRÚŽKY</w:t>
      </w:r>
    </w:p>
    <w:p w14:paraId="0B313273" w14:textId="77777777" w:rsidR="001F08FE" w:rsidRPr="000059C9" w:rsidRDefault="001F08FE" w:rsidP="001F4ACA"/>
    <w:p w14:paraId="79691A4D" w14:textId="23B21A04" w:rsidR="001F08FE" w:rsidRPr="000059C9" w:rsidRDefault="001F08FE" w:rsidP="001F4ACA">
      <w:r w:rsidRPr="000059C9">
        <w:t xml:space="preserve">Vo veľmi zriedkavých prípadoch sa hlásilo rozpojenie </w:t>
      </w:r>
      <w:r w:rsidR="00794768">
        <w:t xml:space="preserve">krúžku </w:t>
      </w:r>
      <w:r w:rsidR="007D1058" w:rsidRPr="000059C9">
        <w:t>Etonogestrel/Ethinylestradiol Mithra</w:t>
      </w:r>
      <w:r w:rsidRPr="000059C9">
        <w:t xml:space="preserve"> počas používania (pozri časť 4.5). Ženu je potrebné poučiť, aby si hneď ako to bude možné, vybrala poškodený krúžok a opätovne zaviedla nový krúžok a aby počas ďalších 7 dní používala doplnkovú bariérovú metódu, ako napr. </w:t>
      </w:r>
      <w:r w:rsidR="00887013">
        <w:t>mužský</w:t>
      </w:r>
      <w:r w:rsidR="00887013" w:rsidRPr="001F4ACA">
        <w:t xml:space="preserve"> </w:t>
      </w:r>
      <w:r w:rsidRPr="000059C9">
        <w:t>prezervatív. Musí sa zvážiť možnosť gravidity a žena má kontaktovať svojho lekára.</w:t>
      </w:r>
    </w:p>
    <w:p w14:paraId="5022E279" w14:textId="77777777" w:rsidR="001F08FE" w:rsidRPr="000059C9" w:rsidRDefault="001F08FE" w:rsidP="001F4ACA"/>
    <w:p w14:paraId="65572860" w14:textId="77777777" w:rsidR="001F08FE" w:rsidRPr="000059C9" w:rsidRDefault="001F08FE" w:rsidP="001F4ACA">
      <w:r w:rsidRPr="000059C9">
        <w:t>VYPUDENIE</w:t>
      </w:r>
    </w:p>
    <w:p w14:paraId="5BB4E4B5" w14:textId="77777777" w:rsidR="001F08FE" w:rsidRPr="000059C9" w:rsidRDefault="001F08FE" w:rsidP="001F4ACA"/>
    <w:p w14:paraId="45B6DAEE" w14:textId="54524B3E" w:rsidR="001F08FE" w:rsidRPr="000059C9" w:rsidRDefault="001F08FE">
      <w:pPr>
        <w:adjustRightInd w:val="0"/>
        <w:snapToGrid w:val="0"/>
        <w:rPr>
          <w:szCs w:val="22"/>
        </w:rPr>
      </w:pPr>
      <w:r w:rsidRPr="000059C9">
        <w:rPr>
          <w:szCs w:val="22"/>
        </w:rPr>
        <w:t xml:space="preserve">Zaznamenali sa prípady vypudenia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xml:space="preserve">, napríklad ak sa krúžok nezaviedol správne, počas vyberania menštruačného tampónu, počas pohlavného styku alebo pri silnej alebo chronickej zápche. Dlhodobé vypudenie môže viesť k zlyhaniu kontraceptívneho účinku a/alebo ku krvácaniu z vysadenia. Na zabezpečenie účinnosti </w:t>
      </w:r>
      <w:r w:rsidR="0026445B" w:rsidRPr="000059C9">
        <w:rPr>
          <w:szCs w:val="22"/>
        </w:rPr>
        <w:t>treba</w:t>
      </w:r>
      <w:r w:rsidRPr="000059C9">
        <w:rPr>
          <w:szCs w:val="22"/>
        </w:rPr>
        <w:t xml:space="preserve"> žen</w:t>
      </w:r>
      <w:r w:rsidR="0026445B" w:rsidRPr="000059C9">
        <w:rPr>
          <w:szCs w:val="22"/>
        </w:rPr>
        <w:t xml:space="preserve">e odporučiť, aby si </w:t>
      </w:r>
      <w:r w:rsidRPr="000059C9">
        <w:rPr>
          <w:szCs w:val="22"/>
        </w:rPr>
        <w:t>pravidelne kontrolova</w:t>
      </w:r>
      <w:r w:rsidR="00743748" w:rsidRPr="000059C9">
        <w:rPr>
          <w:szCs w:val="22"/>
        </w:rPr>
        <w:t>la</w:t>
      </w:r>
      <w:r w:rsidRPr="000059C9">
        <w:rPr>
          <w:szCs w:val="22"/>
        </w:rPr>
        <w:t xml:space="preserve"> prítomnosť </w:t>
      </w:r>
      <w:r w:rsidR="007D1058" w:rsidRPr="000059C9">
        <w:rPr>
          <w:szCs w:val="22"/>
        </w:rPr>
        <w:t>Etonogestrel/Ethinylestradiol</w:t>
      </w:r>
      <w:r w:rsidR="00794768">
        <w:rPr>
          <w:szCs w:val="22"/>
        </w:rPr>
        <w:t>u</w:t>
      </w:r>
      <w:r w:rsidR="007D1058" w:rsidRPr="000059C9">
        <w:rPr>
          <w:szCs w:val="22"/>
        </w:rPr>
        <w:t xml:space="preserve"> Mithra</w:t>
      </w:r>
      <w:r w:rsidR="007D608E" w:rsidRPr="000059C9">
        <w:rPr>
          <w:szCs w:val="22"/>
        </w:rPr>
        <w:t xml:space="preserve"> (napríklad pred a po pohlavnom styku)</w:t>
      </w:r>
      <w:r w:rsidRPr="000059C9">
        <w:rPr>
          <w:szCs w:val="22"/>
        </w:rPr>
        <w:t>.</w:t>
      </w:r>
    </w:p>
    <w:p w14:paraId="12F9BAE0" w14:textId="77777777" w:rsidR="001F08FE" w:rsidRPr="000059C9" w:rsidRDefault="001F08FE">
      <w:pPr>
        <w:adjustRightInd w:val="0"/>
        <w:snapToGrid w:val="0"/>
        <w:rPr>
          <w:szCs w:val="22"/>
        </w:rPr>
      </w:pPr>
    </w:p>
    <w:p w14:paraId="1182D1C2" w14:textId="77777777" w:rsidR="001F08FE" w:rsidRPr="000059C9" w:rsidRDefault="001F08FE">
      <w:pPr>
        <w:adjustRightInd w:val="0"/>
        <w:snapToGrid w:val="0"/>
        <w:rPr>
          <w:szCs w:val="22"/>
        </w:rPr>
      </w:pPr>
      <w:r w:rsidRPr="000059C9">
        <w:rPr>
          <w:szCs w:val="22"/>
        </w:rPr>
        <w:t xml:space="preserve">Ak bol </w:t>
      </w:r>
      <w:r w:rsidR="007D1058" w:rsidRPr="000059C9">
        <w:rPr>
          <w:szCs w:val="22"/>
        </w:rPr>
        <w:t>Etonogestrel/Ethinylestradiol Mithra</w:t>
      </w:r>
      <w:r w:rsidRPr="000059C9">
        <w:rPr>
          <w:szCs w:val="22"/>
        </w:rPr>
        <w:t xml:space="preserve"> náhodne vypudený a bol mimo pošvy </w:t>
      </w:r>
      <w:r w:rsidRPr="000059C9">
        <w:rPr>
          <w:b/>
          <w:szCs w:val="22"/>
        </w:rPr>
        <w:t>menej ako 3</w:t>
      </w:r>
      <w:r w:rsidRPr="000059C9">
        <w:rPr>
          <w:szCs w:val="22"/>
        </w:rPr>
        <w:t> </w:t>
      </w:r>
      <w:r w:rsidRPr="000059C9">
        <w:rPr>
          <w:b/>
          <w:szCs w:val="22"/>
        </w:rPr>
        <w:t>hodiny</w:t>
      </w:r>
      <w:r w:rsidRPr="000059C9">
        <w:rPr>
          <w:szCs w:val="22"/>
        </w:rPr>
        <w:t>, kontraceptívny účinok sa neznížil. Žena musí vypudený krúžok opláchnuť studenou až vlažnou vodou (nie horúcou) a čo najskôr si krúžok opäť zaviesť, ale najneskôr do 3 hodín.</w:t>
      </w:r>
    </w:p>
    <w:p w14:paraId="62B5C3A9" w14:textId="77777777" w:rsidR="001F08FE" w:rsidRPr="000059C9" w:rsidRDefault="001F08FE">
      <w:pPr>
        <w:adjustRightInd w:val="0"/>
        <w:snapToGrid w:val="0"/>
        <w:rPr>
          <w:szCs w:val="22"/>
        </w:rPr>
      </w:pPr>
    </w:p>
    <w:p w14:paraId="72200F78" w14:textId="77777777" w:rsidR="001F08FE" w:rsidRPr="000059C9" w:rsidRDefault="001F08FE">
      <w:pPr>
        <w:adjustRightInd w:val="0"/>
        <w:snapToGrid w:val="0"/>
        <w:rPr>
          <w:szCs w:val="22"/>
        </w:rPr>
      </w:pPr>
      <w:r w:rsidRPr="000059C9">
        <w:rPr>
          <w:szCs w:val="22"/>
        </w:rPr>
        <w:t xml:space="preserve">Ak bol </w:t>
      </w:r>
      <w:r w:rsidR="007D1058" w:rsidRPr="000059C9">
        <w:rPr>
          <w:szCs w:val="22"/>
        </w:rPr>
        <w:t>Etonogestrel/Ethinylestradiol Mithra</w:t>
      </w:r>
      <w:r w:rsidRPr="000059C9">
        <w:rPr>
          <w:szCs w:val="22"/>
        </w:rPr>
        <w:t xml:space="preserve"> mimo pošvy </w:t>
      </w:r>
      <w:r w:rsidRPr="000059C9">
        <w:rPr>
          <w:b/>
          <w:szCs w:val="22"/>
        </w:rPr>
        <w:t>dlhšie ako 3</w:t>
      </w:r>
      <w:r w:rsidRPr="000059C9">
        <w:rPr>
          <w:szCs w:val="22"/>
        </w:rPr>
        <w:t> </w:t>
      </w:r>
      <w:r w:rsidRPr="000059C9">
        <w:rPr>
          <w:b/>
          <w:szCs w:val="22"/>
        </w:rPr>
        <w:t xml:space="preserve">hodiny </w:t>
      </w:r>
      <w:r w:rsidRPr="000059C9">
        <w:rPr>
          <w:szCs w:val="22"/>
        </w:rPr>
        <w:t>alebo existuje podozrenie, že bol mimo pošvy dlhšie ako 3 hodiny, kontraceptívny účinok sa môže znížiť. V takom prípade je potrebné postupovať podľa príslušnej rady uvedenej v časti 4.2 „</w:t>
      </w:r>
      <w:r w:rsidRPr="001F4ACA">
        <w:rPr>
          <w:i/>
          <w:szCs w:val="22"/>
        </w:rPr>
        <w:t>Čo robiť, ak bol krúžok dočasne mimo pošvy</w:t>
      </w:r>
      <w:r w:rsidRPr="000059C9">
        <w:rPr>
          <w:szCs w:val="22"/>
        </w:rPr>
        <w:t>“.</w:t>
      </w:r>
    </w:p>
    <w:p w14:paraId="52FE7012" w14:textId="77777777" w:rsidR="001F08FE" w:rsidRPr="000059C9" w:rsidRDefault="001F08FE">
      <w:pPr>
        <w:adjustRightInd w:val="0"/>
        <w:snapToGrid w:val="0"/>
        <w:rPr>
          <w:szCs w:val="22"/>
        </w:rPr>
      </w:pPr>
    </w:p>
    <w:p w14:paraId="061E3796" w14:textId="77777777" w:rsidR="001F08FE" w:rsidRPr="00EE5FF7" w:rsidRDefault="001F08FE" w:rsidP="001F4ACA">
      <w:r w:rsidRPr="001F4ACA">
        <w:rPr>
          <w:b/>
        </w:rPr>
        <w:t>4.5</w:t>
      </w:r>
      <w:r w:rsidRPr="001F4ACA">
        <w:rPr>
          <w:b/>
        </w:rPr>
        <w:tab/>
        <w:t>Liekové a iné interakcie</w:t>
      </w:r>
    </w:p>
    <w:p w14:paraId="50472F30" w14:textId="77777777" w:rsidR="001F08FE" w:rsidRPr="000059C9" w:rsidRDefault="001F08FE" w:rsidP="001F4ACA"/>
    <w:p w14:paraId="55EA1908" w14:textId="77777777" w:rsidR="001F08FE" w:rsidRPr="000059C9" w:rsidRDefault="001F08FE" w:rsidP="001F4ACA">
      <w:pPr>
        <w:rPr>
          <w:b/>
          <w:bCs/>
        </w:rPr>
      </w:pPr>
      <w:r w:rsidRPr="000059C9">
        <w:t>INTERAKCIE S INÝMI LIEKMI</w:t>
      </w:r>
    </w:p>
    <w:p w14:paraId="10CF2485" w14:textId="77777777" w:rsidR="001F08FE" w:rsidRPr="000059C9" w:rsidRDefault="001F08FE" w:rsidP="001F4ACA"/>
    <w:p w14:paraId="75B8C945" w14:textId="77777777" w:rsidR="001F08FE" w:rsidRPr="000059C9" w:rsidRDefault="001F08FE">
      <w:pPr>
        <w:adjustRightInd w:val="0"/>
        <w:snapToGrid w:val="0"/>
        <w:rPr>
          <w:szCs w:val="22"/>
        </w:rPr>
      </w:pPr>
      <w:r w:rsidRPr="000059C9">
        <w:rPr>
          <w:szCs w:val="22"/>
        </w:rPr>
        <w:t>Poznámka: na určenie potenciálnych interakcií je potrebné sa oboznámiť s odbornými informáciami o súbežne používaných liekoch.</w:t>
      </w:r>
    </w:p>
    <w:p w14:paraId="4D0E5CCB" w14:textId="77777777" w:rsidR="001F08FE" w:rsidRPr="000059C9" w:rsidRDefault="001F08FE">
      <w:pPr>
        <w:adjustRightInd w:val="0"/>
        <w:snapToGrid w:val="0"/>
        <w:rPr>
          <w:szCs w:val="22"/>
        </w:rPr>
      </w:pPr>
    </w:p>
    <w:p w14:paraId="3B0AB3FC" w14:textId="77777777" w:rsidR="001F08FE" w:rsidRPr="000059C9" w:rsidRDefault="001F08FE">
      <w:pPr>
        <w:adjustRightInd w:val="0"/>
        <w:snapToGrid w:val="0"/>
        <w:rPr>
          <w:i/>
          <w:szCs w:val="22"/>
        </w:rPr>
      </w:pPr>
      <w:r w:rsidRPr="000059C9">
        <w:rPr>
          <w:i/>
          <w:szCs w:val="22"/>
        </w:rPr>
        <w:t xml:space="preserve">Účinky iných liekov na </w:t>
      </w:r>
      <w:r w:rsidR="007D1058" w:rsidRPr="000059C9">
        <w:rPr>
          <w:i/>
          <w:szCs w:val="22"/>
        </w:rPr>
        <w:t>Etonogestrel/Ethinylestradiol Mithra</w:t>
      </w:r>
    </w:p>
    <w:p w14:paraId="24A79507" w14:textId="77777777" w:rsidR="001F08FE" w:rsidRPr="000059C9" w:rsidRDefault="001F08FE">
      <w:pPr>
        <w:adjustRightInd w:val="0"/>
        <w:snapToGrid w:val="0"/>
        <w:rPr>
          <w:szCs w:val="22"/>
        </w:rPr>
      </w:pPr>
      <w:r w:rsidRPr="000059C9">
        <w:rPr>
          <w:szCs w:val="22"/>
        </w:rPr>
        <w:t>Môžu sa objaviť interakcie s liekmi alebo rastlinnými prípravkami, ktoré indukujú mikrozomálne enzýmy, čo môže mať za následok zvýšený klírens pohlavných hormónov a môže to viesť k medzimenštruačnému krvácaniu a/alebo k zlyhaniu kontraceptíva.</w:t>
      </w:r>
    </w:p>
    <w:p w14:paraId="4C0CF626" w14:textId="77777777" w:rsidR="001F08FE" w:rsidRPr="000059C9" w:rsidRDefault="001F08FE">
      <w:pPr>
        <w:adjustRightInd w:val="0"/>
        <w:snapToGrid w:val="0"/>
        <w:rPr>
          <w:szCs w:val="22"/>
        </w:rPr>
      </w:pPr>
    </w:p>
    <w:p w14:paraId="284BEA05" w14:textId="77777777" w:rsidR="001F08FE" w:rsidRPr="001F4ACA" w:rsidRDefault="001F08FE" w:rsidP="001F4ACA">
      <w:pPr>
        <w:rPr>
          <w:u w:val="single"/>
        </w:rPr>
      </w:pPr>
      <w:r w:rsidRPr="001F4ACA">
        <w:rPr>
          <w:u w:val="single"/>
        </w:rPr>
        <w:t>Manažment</w:t>
      </w:r>
    </w:p>
    <w:p w14:paraId="035D8FF8" w14:textId="77777777" w:rsidR="001F08FE" w:rsidRPr="000059C9" w:rsidRDefault="001F08FE">
      <w:pPr>
        <w:adjustRightInd w:val="0"/>
        <w:snapToGrid w:val="0"/>
        <w:rPr>
          <w:szCs w:val="22"/>
        </w:rPr>
      </w:pPr>
      <w:r w:rsidRPr="000059C9">
        <w:rPr>
          <w:szCs w:val="22"/>
        </w:rPr>
        <w:t>Indukcia enzýmov sa môže objaviť už po niekoľkých dňoch liečby. Maximálna indukcia enzýmov je zvyčajne sledovaná počas niekoľkých týždňov. Po prerušení liečby môže indukcia enzýmov pretrvávať približne 4 týždne.</w:t>
      </w:r>
    </w:p>
    <w:p w14:paraId="3768E1E1" w14:textId="77777777" w:rsidR="001F08FE" w:rsidRPr="000059C9" w:rsidRDefault="001F08FE">
      <w:pPr>
        <w:adjustRightInd w:val="0"/>
        <w:snapToGrid w:val="0"/>
        <w:rPr>
          <w:szCs w:val="22"/>
        </w:rPr>
      </w:pPr>
    </w:p>
    <w:p w14:paraId="4DAE44D6" w14:textId="77777777" w:rsidR="001F08FE" w:rsidRPr="001F4ACA" w:rsidRDefault="001F08FE" w:rsidP="001F4ACA">
      <w:pPr>
        <w:rPr>
          <w:u w:val="single"/>
        </w:rPr>
      </w:pPr>
      <w:r w:rsidRPr="001F4ACA">
        <w:rPr>
          <w:u w:val="single"/>
        </w:rPr>
        <w:t>Krátkodobá liečba</w:t>
      </w:r>
    </w:p>
    <w:p w14:paraId="3193A640" w14:textId="741D6263" w:rsidR="000851C7" w:rsidRPr="000059C9" w:rsidRDefault="001F08FE">
      <w:pPr>
        <w:adjustRightInd w:val="0"/>
        <w:snapToGrid w:val="0"/>
        <w:rPr>
          <w:szCs w:val="22"/>
          <w:highlight w:val="yellow"/>
          <w:lang w:bidi="sk-SK"/>
        </w:rPr>
      </w:pPr>
      <w:r w:rsidRPr="000059C9">
        <w:rPr>
          <w:szCs w:val="22"/>
        </w:rPr>
        <w:t>Ženy liečené liekmi indukujúcimi enzýmy alebo rastlinnými prípravkami majú ako doplnok k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xml:space="preserve"> dočasne používať bariérovú metódu alebo inú metódu antikoncepcie. </w:t>
      </w:r>
    </w:p>
    <w:p w14:paraId="085DBD4B" w14:textId="6598BE36" w:rsidR="001F08FE" w:rsidRPr="000059C9" w:rsidRDefault="000851C7">
      <w:pPr>
        <w:adjustRightInd w:val="0"/>
        <w:snapToGrid w:val="0"/>
        <w:rPr>
          <w:szCs w:val="22"/>
        </w:rPr>
      </w:pPr>
      <w:r w:rsidRPr="001F4ACA">
        <w:rPr>
          <w:szCs w:val="22"/>
          <w:lang w:bidi="sk-SK"/>
        </w:rPr>
        <w:t xml:space="preserve">Poznámka: </w:t>
      </w:r>
      <w:r w:rsidRPr="000059C9">
        <w:rPr>
          <w:szCs w:val="22"/>
        </w:rPr>
        <w:t>Etonogestrel/Ethinylestradiol Mithra</w:t>
      </w:r>
      <w:r w:rsidRPr="001F4ACA">
        <w:rPr>
          <w:szCs w:val="22"/>
          <w:lang w:bidi="sk-SK"/>
        </w:rPr>
        <w:t xml:space="preserve"> </w:t>
      </w:r>
      <w:r w:rsidR="00794768">
        <w:rPr>
          <w:szCs w:val="22"/>
          <w:lang w:bidi="sk-SK"/>
        </w:rPr>
        <w:t>sa nemá</w:t>
      </w:r>
      <w:r w:rsidRPr="001F4ACA">
        <w:rPr>
          <w:szCs w:val="22"/>
          <w:lang w:bidi="sk-SK"/>
        </w:rPr>
        <w:t xml:space="preserve"> používať s diafragmou, </w:t>
      </w:r>
      <w:r w:rsidR="00794768" w:rsidRPr="001F4ACA">
        <w:rPr>
          <w:szCs w:val="22"/>
          <w:lang w:bidi="sk-SK"/>
        </w:rPr>
        <w:t>cervikáln</w:t>
      </w:r>
      <w:r w:rsidR="00794768">
        <w:rPr>
          <w:szCs w:val="22"/>
          <w:lang w:bidi="sk-SK"/>
        </w:rPr>
        <w:t>ou</w:t>
      </w:r>
      <w:r w:rsidR="00794768" w:rsidRPr="001F4ACA">
        <w:rPr>
          <w:szCs w:val="22"/>
          <w:lang w:bidi="sk-SK"/>
        </w:rPr>
        <w:t xml:space="preserve"> </w:t>
      </w:r>
      <w:r w:rsidR="00794768">
        <w:rPr>
          <w:szCs w:val="22"/>
          <w:lang w:bidi="sk-SK"/>
        </w:rPr>
        <w:t xml:space="preserve">čiapočkou </w:t>
      </w:r>
      <w:r w:rsidRPr="001F4ACA">
        <w:rPr>
          <w:szCs w:val="22"/>
          <w:lang w:bidi="sk-SK"/>
        </w:rPr>
        <w:t>alebo ženským kondómom.</w:t>
      </w:r>
      <w:r w:rsidR="00AF65F0">
        <w:rPr>
          <w:szCs w:val="22"/>
          <w:lang w:bidi="sk-SK"/>
        </w:rPr>
        <w:t xml:space="preserve"> </w:t>
      </w:r>
      <w:r w:rsidR="001F08FE" w:rsidRPr="000059C9">
        <w:rPr>
          <w:szCs w:val="22"/>
        </w:rPr>
        <w:t>Bariérová metóda sa musí používať počas celého obdobia súbežnej liečby a počas 28 dní po jej ukončení. Ak súbežné podávanie lieku presiahne 3-týždňový cyklus krúžku, ďalší krúžok sa má zaviesť okamžite, bez zvyčajného obdobia bez krúžku.</w:t>
      </w:r>
    </w:p>
    <w:p w14:paraId="0F33AA22" w14:textId="77777777" w:rsidR="001F08FE" w:rsidRPr="000059C9" w:rsidRDefault="001F08FE">
      <w:pPr>
        <w:adjustRightInd w:val="0"/>
        <w:snapToGrid w:val="0"/>
        <w:rPr>
          <w:szCs w:val="22"/>
        </w:rPr>
      </w:pPr>
    </w:p>
    <w:p w14:paraId="4C12A38E" w14:textId="77777777" w:rsidR="001F08FE" w:rsidRPr="000059C9" w:rsidRDefault="001F08FE">
      <w:pPr>
        <w:adjustRightInd w:val="0"/>
        <w:snapToGrid w:val="0"/>
        <w:rPr>
          <w:szCs w:val="22"/>
          <w:u w:val="single"/>
        </w:rPr>
      </w:pPr>
      <w:r w:rsidRPr="000059C9">
        <w:rPr>
          <w:szCs w:val="22"/>
          <w:u w:val="single"/>
        </w:rPr>
        <w:t>Dlhodobá liečba</w:t>
      </w:r>
    </w:p>
    <w:p w14:paraId="02196A30" w14:textId="77777777" w:rsidR="001F08FE" w:rsidRPr="000059C9" w:rsidRDefault="001F08FE">
      <w:pPr>
        <w:adjustRightInd w:val="0"/>
        <w:snapToGrid w:val="0"/>
        <w:rPr>
          <w:szCs w:val="22"/>
        </w:rPr>
      </w:pPr>
      <w:r w:rsidRPr="000059C9">
        <w:rPr>
          <w:szCs w:val="22"/>
        </w:rPr>
        <w:t>U žien, ktoré sa dlhodobo liečia liečivami indukujúcimi pečeňové enzýmy, sa odporúča iná spoľahlivá nehormonálna metóda antikoncepcie.</w:t>
      </w:r>
    </w:p>
    <w:p w14:paraId="240B609F" w14:textId="77777777" w:rsidR="001F08FE" w:rsidRPr="000059C9" w:rsidRDefault="001F08FE">
      <w:pPr>
        <w:adjustRightInd w:val="0"/>
        <w:snapToGrid w:val="0"/>
        <w:rPr>
          <w:szCs w:val="22"/>
        </w:rPr>
      </w:pPr>
    </w:p>
    <w:p w14:paraId="63867B8B" w14:textId="77777777" w:rsidR="001F08FE" w:rsidRPr="000059C9" w:rsidRDefault="001F08FE">
      <w:pPr>
        <w:adjustRightInd w:val="0"/>
        <w:snapToGrid w:val="0"/>
        <w:rPr>
          <w:szCs w:val="22"/>
        </w:rPr>
      </w:pPr>
      <w:r w:rsidRPr="000059C9">
        <w:rPr>
          <w:szCs w:val="22"/>
        </w:rPr>
        <w:t>V literatúre sa hlásili nasledujúce interakcie.</w:t>
      </w:r>
    </w:p>
    <w:p w14:paraId="393E74CA" w14:textId="77777777" w:rsidR="001F08FE" w:rsidRPr="000059C9" w:rsidRDefault="001F08FE">
      <w:pPr>
        <w:adjustRightInd w:val="0"/>
        <w:snapToGrid w:val="0"/>
        <w:rPr>
          <w:szCs w:val="22"/>
        </w:rPr>
      </w:pPr>
    </w:p>
    <w:p w14:paraId="2C133570" w14:textId="77777777" w:rsidR="001F08FE" w:rsidRPr="000059C9" w:rsidRDefault="001F08FE">
      <w:pPr>
        <w:adjustRightInd w:val="0"/>
        <w:snapToGrid w:val="0"/>
        <w:rPr>
          <w:i/>
          <w:szCs w:val="22"/>
        </w:rPr>
      </w:pPr>
      <w:r w:rsidRPr="000059C9">
        <w:rPr>
          <w:i/>
          <w:szCs w:val="22"/>
        </w:rPr>
        <w:t>Látky zvyšujúce klírens kombinovaných hormonálnych kontraceptív</w:t>
      </w:r>
    </w:p>
    <w:p w14:paraId="77F5CB2C" w14:textId="2FC61714" w:rsidR="001F08FE" w:rsidRPr="000059C9" w:rsidRDefault="001F08FE">
      <w:pPr>
        <w:adjustRightInd w:val="0"/>
        <w:snapToGrid w:val="0"/>
        <w:rPr>
          <w:szCs w:val="22"/>
        </w:rPr>
      </w:pPr>
      <w:r w:rsidRPr="000059C9">
        <w:rPr>
          <w:szCs w:val="22"/>
        </w:rPr>
        <w:t xml:space="preserve">Môžu sa objaviť interakcie s liekmi alebo rastlinnými prípravkami, ktoré indukujú mikrozomálne enzýmy, konkrétne enzýmy cytochrómu P450 (CYP), čo môže viesť k zvýšenému klírensu a tým k zníženiu plazmatických koncentrácií pohlavných hormónov a účinnosť kombinovaných hormonálnych kontraceptív, vrátane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sa môže znížiť. Medzi tieto lieky patria fenytoín, fenobarbital, primidón, bosentan, karbamazepín, rifampicín a prípadne tiež oxkarbazepín, topiramát, felbamát, grizeofulvín, niektoré inhibítory HIV proteázy (napr. ritonavir) a nenukleozidové inhibítory reverznej transkriptázy (napr. efavirenz) a rastlinné prípravky obsahujúce ľubovník bodkovaný.</w:t>
      </w:r>
    </w:p>
    <w:p w14:paraId="2B804DBF" w14:textId="77777777" w:rsidR="001F08FE" w:rsidRPr="000059C9" w:rsidRDefault="001F08FE">
      <w:pPr>
        <w:adjustRightInd w:val="0"/>
        <w:snapToGrid w:val="0"/>
        <w:rPr>
          <w:szCs w:val="22"/>
        </w:rPr>
      </w:pPr>
    </w:p>
    <w:p w14:paraId="74336E7A" w14:textId="77777777" w:rsidR="001F08FE" w:rsidRPr="000059C9" w:rsidRDefault="001F08FE">
      <w:pPr>
        <w:adjustRightInd w:val="0"/>
        <w:snapToGrid w:val="0"/>
        <w:rPr>
          <w:i/>
          <w:szCs w:val="22"/>
        </w:rPr>
      </w:pPr>
      <w:r w:rsidRPr="000059C9">
        <w:rPr>
          <w:i/>
          <w:szCs w:val="22"/>
        </w:rPr>
        <w:t>Látky s premenlivými účinkami na klírens kombinovaných hormonálnych kontraceptív</w:t>
      </w:r>
    </w:p>
    <w:p w14:paraId="74223335" w14:textId="77777777" w:rsidR="001F08FE" w:rsidRPr="000059C9" w:rsidRDefault="001F08FE">
      <w:pPr>
        <w:tabs>
          <w:tab w:val="left" w:pos="964"/>
        </w:tabs>
        <w:rPr>
          <w:szCs w:val="22"/>
        </w:rPr>
      </w:pPr>
      <w:r w:rsidRPr="000059C9">
        <w:rPr>
          <w:szCs w:val="22"/>
        </w:rPr>
        <w:t>Mnohé kombinácie inhibítorov HIV proteázy (napr. nelfinavir) a</w:t>
      </w:r>
      <w:r w:rsidRPr="00EE5FF7">
        <w:rPr>
          <w:szCs w:val="22"/>
        </w:rPr>
        <w:t> </w:t>
      </w:r>
      <w:r w:rsidRPr="000059C9">
        <w:rPr>
          <w:szCs w:val="22"/>
        </w:rPr>
        <w:t>nenukleozidových inhibítorov reverznej transkriptázy (napr. nevirapín) a/alebo kombinácie s liekmi proti HCV (napr. boceprevir, telaprevir) môžu pri súbežnom podávaní s hormonálnymi kontraceptívami zvýšiť alebo znížiť plazmatické koncentrácie gestagénov, vrátane etonogestrelu, alebo estrogénu. V niektorých prípadoch môže byť čistý účinok týchto zmien klinicky relevantný.</w:t>
      </w:r>
    </w:p>
    <w:p w14:paraId="5F135FE1" w14:textId="77777777" w:rsidR="001F08FE" w:rsidRPr="000059C9" w:rsidRDefault="001F08FE">
      <w:pPr>
        <w:adjustRightInd w:val="0"/>
        <w:snapToGrid w:val="0"/>
        <w:rPr>
          <w:szCs w:val="22"/>
        </w:rPr>
      </w:pPr>
    </w:p>
    <w:p w14:paraId="05521CAC" w14:textId="77777777" w:rsidR="001F08FE" w:rsidRPr="000059C9" w:rsidRDefault="001F08FE">
      <w:pPr>
        <w:adjustRightInd w:val="0"/>
        <w:snapToGrid w:val="0"/>
        <w:rPr>
          <w:i/>
          <w:szCs w:val="22"/>
        </w:rPr>
      </w:pPr>
      <w:r w:rsidRPr="000059C9">
        <w:rPr>
          <w:i/>
          <w:szCs w:val="22"/>
        </w:rPr>
        <w:t>Látky znižujúce klírens kombinovaných hormonálnych kontraceptív</w:t>
      </w:r>
    </w:p>
    <w:p w14:paraId="3A22B579" w14:textId="77777777" w:rsidR="001F08FE" w:rsidRPr="000059C9" w:rsidRDefault="001F08FE">
      <w:pPr>
        <w:adjustRightInd w:val="0"/>
        <w:snapToGrid w:val="0"/>
        <w:rPr>
          <w:szCs w:val="22"/>
        </w:rPr>
      </w:pPr>
      <w:r w:rsidRPr="000059C9">
        <w:rPr>
          <w:szCs w:val="22"/>
        </w:rPr>
        <w:t>Klinická významnosť potenciálnych interakcií s inhibítormi enzýmov zostáva neznáma.</w:t>
      </w:r>
    </w:p>
    <w:p w14:paraId="6098A544" w14:textId="77777777" w:rsidR="001F08FE" w:rsidRPr="000059C9" w:rsidRDefault="001F08FE">
      <w:pPr>
        <w:adjustRightInd w:val="0"/>
        <w:snapToGrid w:val="0"/>
        <w:rPr>
          <w:szCs w:val="22"/>
        </w:rPr>
      </w:pPr>
      <w:r w:rsidRPr="000059C9">
        <w:rPr>
          <w:szCs w:val="22"/>
        </w:rPr>
        <w:t>Súbežné podávanie silných (napr. ketokonazol, itrakonazol, klaritromycín) alebo stredne silných (napr. flukonazol, diltiazem, erytromycín) inhibítorov CYP3A4 môže zvyšovať sérové koncentrácie estrogénov alebo gestagénov, vrátane etonogestrelu.</w:t>
      </w:r>
    </w:p>
    <w:p w14:paraId="5B091863" w14:textId="77777777" w:rsidR="001F08FE" w:rsidRPr="000059C9" w:rsidRDefault="001F08FE">
      <w:pPr>
        <w:adjustRightInd w:val="0"/>
        <w:snapToGrid w:val="0"/>
        <w:rPr>
          <w:szCs w:val="22"/>
        </w:rPr>
      </w:pPr>
    </w:p>
    <w:p w14:paraId="06F98362" w14:textId="5D701E99" w:rsidR="001F08FE" w:rsidRPr="000059C9" w:rsidRDefault="001F08FE">
      <w:pPr>
        <w:adjustRightInd w:val="0"/>
        <w:snapToGrid w:val="0"/>
        <w:rPr>
          <w:szCs w:val="22"/>
        </w:rPr>
      </w:pPr>
      <w:r w:rsidRPr="000059C9">
        <w:rPr>
          <w:szCs w:val="22"/>
        </w:rPr>
        <w:t xml:space="preserve">Na základe farmakokinetických údajov nie je pravdepodobné, že by vaginálne podávané antimykotiká a spermicídy ovplyvňovali kontraceptívnu účinnosť a bezpečnosť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Počas súbežného používania vaginálnych guľôčok s obsahom antimykotika sa možnosť rozpojenia krúžku mierne zvyšuje (pozri časť 4.4 „</w:t>
      </w:r>
      <w:r w:rsidR="00AF65F0" w:rsidRPr="001F4ACA">
        <w:rPr>
          <w:i/>
          <w:szCs w:val="22"/>
        </w:rPr>
        <w:t>Poškodené krúžky</w:t>
      </w:r>
      <w:r w:rsidRPr="000059C9">
        <w:rPr>
          <w:szCs w:val="22"/>
        </w:rPr>
        <w:t>“).</w:t>
      </w:r>
    </w:p>
    <w:p w14:paraId="2D31EBEB" w14:textId="77777777" w:rsidR="001F08FE" w:rsidRPr="000059C9" w:rsidRDefault="001F08FE">
      <w:pPr>
        <w:adjustRightInd w:val="0"/>
        <w:snapToGrid w:val="0"/>
        <w:rPr>
          <w:szCs w:val="22"/>
        </w:rPr>
      </w:pPr>
    </w:p>
    <w:p w14:paraId="6F345B61" w14:textId="77777777" w:rsidR="001F08FE" w:rsidRPr="000059C9" w:rsidRDefault="001F08FE">
      <w:pPr>
        <w:adjustRightInd w:val="0"/>
        <w:snapToGrid w:val="0"/>
        <w:rPr>
          <w:szCs w:val="22"/>
        </w:rPr>
      </w:pPr>
      <w:r w:rsidRPr="000059C9">
        <w:rPr>
          <w:szCs w:val="22"/>
        </w:rPr>
        <w:t>Hormonálne kontraceptíva môžu interferovať s metabolizmom iných liekov. Na základe toho sa môžu plazmatické a tkanivové koncentrácie mierne zvýšiť (napr. cyklosporín) alebo znížiť (napr. lamotrigín).</w:t>
      </w:r>
    </w:p>
    <w:p w14:paraId="46A27D3E" w14:textId="77777777" w:rsidR="001F08FE" w:rsidRPr="000059C9" w:rsidRDefault="001F08FE">
      <w:pPr>
        <w:adjustRightInd w:val="0"/>
        <w:snapToGrid w:val="0"/>
        <w:rPr>
          <w:szCs w:val="22"/>
        </w:rPr>
      </w:pPr>
    </w:p>
    <w:p w14:paraId="62AB87AB" w14:textId="77777777" w:rsidR="005A0872" w:rsidRPr="001F4ACA" w:rsidRDefault="005A0872">
      <w:pPr>
        <w:adjustRightInd w:val="0"/>
        <w:snapToGrid w:val="0"/>
        <w:rPr>
          <w:i/>
          <w:szCs w:val="22"/>
        </w:rPr>
      </w:pPr>
      <w:r w:rsidRPr="00B47C2B">
        <w:rPr>
          <w:i/>
          <w:szCs w:val="22"/>
        </w:rPr>
        <w:t>Farmakodynamické interakcie</w:t>
      </w:r>
    </w:p>
    <w:p w14:paraId="69808449" w14:textId="77777777" w:rsidR="00B47C2B" w:rsidRDefault="005A0872">
      <w:pPr>
        <w:adjustRightInd w:val="0"/>
        <w:snapToGrid w:val="0"/>
        <w:rPr>
          <w:szCs w:val="22"/>
        </w:rPr>
      </w:pPr>
      <w:r w:rsidRPr="000059C9">
        <w:rPr>
          <w:szCs w:val="22"/>
        </w:rPr>
        <w:t>Súbežn</w:t>
      </w:r>
      <w:r w:rsidR="00406A90" w:rsidRPr="000059C9">
        <w:rPr>
          <w:szCs w:val="22"/>
        </w:rPr>
        <w:t>ým</w:t>
      </w:r>
      <w:r w:rsidRPr="000059C9">
        <w:rPr>
          <w:szCs w:val="22"/>
        </w:rPr>
        <w:t xml:space="preserve"> používan</w:t>
      </w:r>
      <w:r w:rsidR="00406A90" w:rsidRPr="000059C9">
        <w:rPr>
          <w:szCs w:val="22"/>
        </w:rPr>
        <w:t>ím</w:t>
      </w:r>
      <w:r w:rsidRPr="000059C9">
        <w:rPr>
          <w:szCs w:val="22"/>
        </w:rPr>
        <w:t xml:space="preserve"> s liekmi </w:t>
      </w:r>
      <w:r w:rsidR="00CF4073" w:rsidRPr="000059C9">
        <w:rPr>
          <w:szCs w:val="22"/>
        </w:rPr>
        <w:t>obsahujúcimi ombitasvir/paritaprevir/ritonavir a dasabuvir s ribavir</w:t>
      </w:r>
      <w:r w:rsidR="002F065C" w:rsidRPr="000059C9">
        <w:rPr>
          <w:szCs w:val="22"/>
        </w:rPr>
        <w:t>í</w:t>
      </w:r>
      <w:r w:rsidR="00CF4073" w:rsidRPr="000059C9">
        <w:rPr>
          <w:szCs w:val="22"/>
        </w:rPr>
        <w:t xml:space="preserve">nom alebo bez neho, môže </w:t>
      </w:r>
      <w:r w:rsidR="00406A90" w:rsidRPr="000059C9">
        <w:rPr>
          <w:szCs w:val="22"/>
        </w:rPr>
        <w:t>vzrásť</w:t>
      </w:r>
      <w:r w:rsidR="00CF4073" w:rsidRPr="000059C9">
        <w:rPr>
          <w:szCs w:val="22"/>
        </w:rPr>
        <w:t xml:space="preserve"> riziko zvýšen</w:t>
      </w:r>
      <w:r w:rsidR="006109E2" w:rsidRPr="000059C9">
        <w:rPr>
          <w:szCs w:val="22"/>
        </w:rPr>
        <w:t>ia</w:t>
      </w:r>
      <w:r w:rsidR="00CF4073" w:rsidRPr="000059C9">
        <w:rPr>
          <w:szCs w:val="22"/>
        </w:rPr>
        <w:t xml:space="preserve"> ALT (pozri časti 4.3 a 4.4).</w:t>
      </w:r>
    </w:p>
    <w:p w14:paraId="025FC435" w14:textId="77777777" w:rsidR="00B47C2B" w:rsidRDefault="00B47C2B">
      <w:pPr>
        <w:adjustRightInd w:val="0"/>
        <w:snapToGrid w:val="0"/>
        <w:rPr>
          <w:szCs w:val="22"/>
        </w:rPr>
      </w:pPr>
    </w:p>
    <w:p w14:paraId="2EF6D702" w14:textId="3152C699" w:rsidR="005A0872" w:rsidRPr="000059C9" w:rsidRDefault="00CF4073">
      <w:pPr>
        <w:adjustRightInd w:val="0"/>
        <w:snapToGrid w:val="0"/>
        <w:rPr>
          <w:szCs w:val="22"/>
        </w:rPr>
      </w:pPr>
      <w:r w:rsidRPr="000059C9">
        <w:rPr>
          <w:szCs w:val="22"/>
        </w:rPr>
        <w:t xml:space="preserve">Používateľky </w:t>
      </w:r>
      <w:r w:rsidR="007D1058" w:rsidRPr="000059C9">
        <w:rPr>
          <w:szCs w:val="22"/>
        </w:rPr>
        <w:t>Etonogestrel/Ethinylestradiol</w:t>
      </w:r>
      <w:r w:rsidR="00794768">
        <w:rPr>
          <w:szCs w:val="22"/>
        </w:rPr>
        <w:t>u</w:t>
      </w:r>
      <w:r w:rsidR="007D1058" w:rsidRPr="000059C9">
        <w:rPr>
          <w:szCs w:val="22"/>
        </w:rPr>
        <w:t xml:space="preserve"> Mithra</w:t>
      </w:r>
      <w:r w:rsidRPr="000059C9">
        <w:rPr>
          <w:szCs w:val="22"/>
        </w:rPr>
        <w:t xml:space="preserve"> preto musia pred začatím liečby s</w:t>
      </w:r>
      <w:r w:rsidR="0069332D" w:rsidRPr="000059C9">
        <w:rPr>
          <w:szCs w:val="22"/>
        </w:rPr>
        <w:t> </w:t>
      </w:r>
      <w:r w:rsidRPr="000059C9">
        <w:rPr>
          <w:szCs w:val="22"/>
        </w:rPr>
        <w:t>t</w:t>
      </w:r>
      <w:r w:rsidR="0069332D" w:rsidRPr="000059C9">
        <w:rPr>
          <w:szCs w:val="22"/>
        </w:rPr>
        <w:t xml:space="preserve">ýmto kombinovaným liečebným režimom, prejsť na alternatívnu metódu antikoncepcie (napr. antikoncepcia obsahujúca len gestagén alebo nehormonálne metódy). </w:t>
      </w:r>
      <w:r w:rsidR="007D1058" w:rsidRPr="000059C9">
        <w:rPr>
          <w:szCs w:val="22"/>
        </w:rPr>
        <w:t>Etonogestrel/Ethinylestradiol Mithra</w:t>
      </w:r>
      <w:r w:rsidR="0069332D" w:rsidRPr="000059C9">
        <w:rPr>
          <w:szCs w:val="22"/>
        </w:rPr>
        <w:t xml:space="preserve"> sa môže opä</w:t>
      </w:r>
      <w:r w:rsidR="0034304D" w:rsidRPr="000059C9">
        <w:rPr>
          <w:szCs w:val="22"/>
        </w:rPr>
        <w:t>t</w:t>
      </w:r>
      <w:r w:rsidR="002F065C" w:rsidRPr="000059C9">
        <w:rPr>
          <w:szCs w:val="22"/>
        </w:rPr>
        <w:t>ovne</w:t>
      </w:r>
      <w:r w:rsidR="0069332D" w:rsidRPr="000059C9">
        <w:rPr>
          <w:szCs w:val="22"/>
        </w:rPr>
        <w:t xml:space="preserve"> zaviesť 2 týždne po ukončení liečby s týmto kombinovaný</w:t>
      </w:r>
      <w:r w:rsidR="0026445B" w:rsidRPr="000059C9">
        <w:rPr>
          <w:szCs w:val="22"/>
        </w:rPr>
        <w:t>m</w:t>
      </w:r>
      <w:r w:rsidR="0069332D" w:rsidRPr="000059C9">
        <w:rPr>
          <w:szCs w:val="22"/>
        </w:rPr>
        <w:t xml:space="preserve"> liečebným režimom.</w:t>
      </w:r>
    </w:p>
    <w:p w14:paraId="4EA33295" w14:textId="77777777" w:rsidR="0069332D" w:rsidRPr="000059C9" w:rsidRDefault="0069332D">
      <w:pPr>
        <w:adjustRightInd w:val="0"/>
        <w:snapToGrid w:val="0"/>
        <w:rPr>
          <w:szCs w:val="22"/>
        </w:rPr>
      </w:pPr>
    </w:p>
    <w:p w14:paraId="65D85A37" w14:textId="77777777" w:rsidR="001F08FE" w:rsidRPr="000059C9" w:rsidRDefault="001F08FE" w:rsidP="001F4ACA">
      <w:r w:rsidRPr="000059C9">
        <w:t>LABORATÓRNE VYŠETRENIA</w:t>
      </w:r>
    </w:p>
    <w:p w14:paraId="3809D2E3" w14:textId="77777777" w:rsidR="001F08FE" w:rsidRPr="000059C9" w:rsidRDefault="001F08FE" w:rsidP="001F4ACA"/>
    <w:p w14:paraId="6BEC1F4F" w14:textId="77777777" w:rsidR="001F08FE" w:rsidRPr="000059C9" w:rsidRDefault="001F08FE" w:rsidP="001F4ACA">
      <w:r w:rsidRPr="000059C9">
        <w:t>Používanie steroidov s kontraceptívnym účinkom môže ovplyvniť výsledky niektorých laboratórnych vyšetrení vrátane biochemických parametrov funkcie pečene, štítnej žľazy, nadobličiek a obličiek, plazmatických hladín transportných proteínov (napr. globulín viažuci kortikosteroidy a globulín viažuci pohlavné hormóny), frakcií lipidov/lipoproteínov, ukazovateľov metabolizmu cukrov a parametrov koagulácie a fibrinolýzy. Zmeny vo všeobecnosti zostávajú v rámci normálnych rozmedzí laboratórnych hodnôt.</w:t>
      </w:r>
    </w:p>
    <w:p w14:paraId="5C7A1987" w14:textId="77777777" w:rsidR="001F08FE" w:rsidRPr="000059C9" w:rsidRDefault="001F08FE" w:rsidP="001F4ACA"/>
    <w:p w14:paraId="53322563" w14:textId="77777777" w:rsidR="001F08FE" w:rsidRPr="000059C9" w:rsidRDefault="001F08FE" w:rsidP="001F4ACA">
      <w:r w:rsidRPr="000059C9">
        <w:t>INTERAKCIA S MENŠTRUAČNÝMI TAMPÓNMI</w:t>
      </w:r>
    </w:p>
    <w:p w14:paraId="45D11C88" w14:textId="77777777" w:rsidR="001F08FE" w:rsidRPr="000059C9" w:rsidRDefault="001F08FE" w:rsidP="001F4ACA"/>
    <w:p w14:paraId="024077E2" w14:textId="4F99AE74" w:rsidR="001F08FE" w:rsidRPr="000059C9" w:rsidRDefault="001F08FE">
      <w:pPr>
        <w:adjustRightInd w:val="0"/>
        <w:snapToGrid w:val="0"/>
        <w:rPr>
          <w:szCs w:val="22"/>
        </w:rPr>
      </w:pPr>
      <w:r w:rsidRPr="000059C9">
        <w:rPr>
          <w:szCs w:val="22"/>
        </w:rPr>
        <w:t xml:space="preserve">Farmakokinetické údaje ukazujú, že používanie menštruačných tampónov nemá účinok na systémovú absorpciu hormónov uvoľňovaných </w:t>
      </w:r>
      <w:r w:rsidR="007D1058" w:rsidRPr="000059C9">
        <w:rPr>
          <w:szCs w:val="22"/>
        </w:rPr>
        <w:t>Etonogestrel/Ethinylestradiol</w:t>
      </w:r>
      <w:r w:rsidR="00794768">
        <w:rPr>
          <w:szCs w:val="22"/>
        </w:rPr>
        <w:t>om</w:t>
      </w:r>
      <w:r w:rsidR="007D1058" w:rsidRPr="000059C9">
        <w:rPr>
          <w:szCs w:val="22"/>
        </w:rPr>
        <w:t xml:space="preserve"> Mithra</w:t>
      </w:r>
      <w:r w:rsidRPr="000059C9">
        <w:rPr>
          <w:szCs w:val="22"/>
        </w:rPr>
        <w:t xml:space="preserve">. V zriedkavých prípadoch sa pri vyberaní menštruačného tampónu môže uvoľniť </w:t>
      </w:r>
      <w:r w:rsidR="007D1058" w:rsidRPr="000059C9">
        <w:rPr>
          <w:szCs w:val="22"/>
        </w:rPr>
        <w:t>Etonogestrel/Ethinylestradiol Mithra</w:t>
      </w:r>
      <w:r w:rsidRPr="000059C9">
        <w:rPr>
          <w:szCs w:val="22"/>
        </w:rPr>
        <w:t xml:space="preserve"> (pozri pokyny v časti „</w:t>
      </w:r>
      <w:r w:rsidRPr="001F4ACA">
        <w:rPr>
          <w:i/>
          <w:szCs w:val="22"/>
        </w:rPr>
        <w:t>Čo robiť, ak bol krúžok dočasne mimo pošvy</w:t>
      </w:r>
      <w:r w:rsidRPr="000059C9">
        <w:rPr>
          <w:szCs w:val="22"/>
        </w:rPr>
        <w:t>“).</w:t>
      </w:r>
    </w:p>
    <w:p w14:paraId="7E43D0D8" w14:textId="77777777" w:rsidR="001F08FE" w:rsidRPr="000059C9" w:rsidRDefault="001F08FE">
      <w:pPr>
        <w:adjustRightInd w:val="0"/>
        <w:snapToGrid w:val="0"/>
        <w:rPr>
          <w:szCs w:val="22"/>
        </w:rPr>
      </w:pPr>
    </w:p>
    <w:p w14:paraId="0AAFF412" w14:textId="77777777" w:rsidR="001F08FE" w:rsidRPr="001F4ACA" w:rsidRDefault="001F08FE" w:rsidP="001F4ACA">
      <w:pPr>
        <w:rPr>
          <w:b/>
        </w:rPr>
      </w:pPr>
      <w:r w:rsidRPr="001F4ACA">
        <w:rPr>
          <w:b/>
        </w:rPr>
        <w:t>4.6</w:t>
      </w:r>
      <w:r w:rsidRPr="001F4ACA">
        <w:rPr>
          <w:b/>
        </w:rPr>
        <w:tab/>
        <w:t>Fertilita, gravidita a laktácia</w:t>
      </w:r>
    </w:p>
    <w:p w14:paraId="1B331BDA" w14:textId="77777777" w:rsidR="001F08FE" w:rsidRPr="000059C9" w:rsidRDefault="001F08FE" w:rsidP="001F4ACA">
      <w:pPr>
        <w:rPr>
          <w:bCs/>
        </w:rPr>
      </w:pPr>
    </w:p>
    <w:p w14:paraId="12C02E59" w14:textId="77777777" w:rsidR="001F08FE" w:rsidRPr="000059C9" w:rsidRDefault="001F08FE" w:rsidP="001F4ACA">
      <w:pPr>
        <w:rPr>
          <w:bCs/>
          <w:u w:val="single"/>
        </w:rPr>
      </w:pPr>
      <w:r w:rsidRPr="000059C9">
        <w:rPr>
          <w:bCs/>
          <w:u w:val="single"/>
        </w:rPr>
        <w:t>Fertilita</w:t>
      </w:r>
    </w:p>
    <w:p w14:paraId="71BECFFD" w14:textId="55C66DEF" w:rsidR="001F08FE" w:rsidRPr="000059C9" w:rsidRDefault="007D1058">
      <w:pPr>
        <w:adjustRightInd w:val="0"/>
        <w:snapToGrid w:val="0"/>
        <w:rPr>
          <w:bCs/>
          <w:szCs w:val="22"/>
        </w:rPr>
      </w:pPr>
      <w:r w:rsidRPr="000059C9">
        <w:rPr>
          <w:bCs/>
          <w:szCs w:val="22"/>
        </w:rPr>
        <w:t>Etonogestrel/Ethinylestradiol Mithra</w:t>
      </w:r>
      <w:r w:rsidR="001F08FE" w:rsidRPr="000059C9">
        <w:rPr>
          <w:bCs/>
          <w:szCs w:val="22"/>
        </w:rPr>
        <w:t xml:space="preserve"> je určený na predchádzanie gravidite. Ak si žena želá ukončiť používanie </w:t>
      </w:r>
      <w:r w:rsidRPr="000059C9">
        <w:rPr>
          <w:bCs/>
          <w:szCs w:val="22"/>
        </w:rPr>
        <w:t>Etonogestrel/Ethinylestradiol</w:t>
      </w:r>
      <w:r w:rsidR="00794768">
        <w:rPr>
          <w:bCs/>
          <w:szCs w:val="22"/>
        </w:rPr>
        <w:t>u</w:t>
      </w:r>
      <w:r w:rsidRPr="000059C9">
        <w:rPr>
          <w:bCs/>
          <w:szCs w:val="22"/>
        </w:rPr>
        <w:t xml:space="preserve"> Mithra</w:t>
      </w:r>
      <w:r w:rsidR="001F08FE" w:rsidRPr="000059C9">
        <w:rPr>
          <w:bCs/>
          <w:szCs w:val="22"/>
        </w:rPr>
        <w:t xml:space="preserve"> pretože si želá otehotnieť, odporúča sa, aby mala prirodzenú menštruáciu predtým, ako sa bude snažiť počať dieťa, pretože jej to pomôže vypočítať si dátum pôrodu dieťaťa.</w:t>
      </w:r>
    </w:p>
    <w:p w14:paraId="403E1DF0" w14:textId="77777777" w:rsidR="001F08FE" w:rsidRPr="000059C9" w:rsidRDefault="001F08FE">
      <w:pPr>
        <w:adjustRightInd w:val="0"/>
        <w:snapToGrid w:val="0"/>
        <w:rPr>
          <w:bCs/>
          <w:szCs w:val="22"/>
        </w:rPr>
      </w:pPr>
    </w:p>
    <w:p w14:paraId="2A0F51F0" w14:textId="77777777" w:rsidR="001F08FE" w:rsidRPr="00EE5FF7" w:rsidRDefault="001F08FE" w:rsidP="001F4ACA">
      <w:pPr>
        <w:rPr>
          <w:bCs/>
          <w:u w:val="single"/>
        </w:rPr>
      </w:pPr>
      <w:r w:rsidRPr="00EE5FF7">
        <w:rPr>
          <w:bCs/>
          <w:u w:val="single"/>
        </w:rPr>
        <w:t>Gravidita</w:t>
      </w:r>
    </w:p>
    <w:p w14:paraId="28C71E2F" w14:textId="387442D7" w:rsidR="001F08FE" w:rsidRPr="000059C9" w:rsidRDefault="007D1058">
      <w:pPr>
        <w:adjustRightInd w:val="0"/>
        <w:snapToGrid w:val="0"/>
        <w:rPr>
          <w:bCs/>
          <w:szCs w:val="22"/>
        </w:rPr>
      </w:pPr>
      <w:r w:rsidRPr="000059C9">
        <w:rPr>
          <w:bCs/>
          <w:szCs w:val="22"/>
        </w:rPr>
        <w:t>Etonogestrel/Ethinylestradiol Mithra</w:t>
      </w:r>
      <w:r w:rsidR="001F08FE" w:rsidRPr="000059C9">
        <w:rPr>
          <w:bCs/>
          <w:szCs w:val="22"/>
        </w:rPr>
        <w:t xml:space="preserve"> sa počas gravidity nepoužíva. Ak dôjde ku gravidite s </w:t>
      </w:r>
      <w:r w:rsidRPr="000059C9">
        <w:rPr>
          <w:bCs/>
          <w:szCs w:val="22"/>
        </w:rPr>
        <w:t>Etonogestrel/Ethinylestradiol</w:t>
      </w:r>
      <w:r w:rsidR="00794768">
        <w:rPr>
          <w:bCs/>
          <w:szCs w:val="22"/>
        </w:rPr>
        <w:t>om</w:t>
      </w:r>
      <w:r w:rsidRPr="000059C9">
        <w:rPr>
          <w:bCs/>
          <w:szCs w:val="22"/>
        </w:rPr>
        <w:t xml:space="preserve"> Mithra</w:t>
      </w:r>
      <w:r w:rsidR="001F08FE" w:rsidRPr="000059C9">
        <w:rPr>
          <w:bCs/>
          <w:szCs w:val="22"/>
        </w:rPr>
        <w:t xml:space="preserve"> </w:t>
      </w:r>
      <w:r w:rsidR="001F08FE" w:rsidRPr="000059C9">
        <w:rPr>
          <w:bCs/>
          <w:i/>
          <w:szCs w:val="22"/>
        </w:rPr>
        <w:t>in situ</w:t>
      </w:r>
      <w:r w:rsidR="001F08FE" w:rsidRPr="000059C9">
        <w:rPr>
          <w:bCs/>
          <w:szCs w:val="22"/>
        </w:rPr>
        <w:t>, krúžok sa má vybrať. Rozsiahle epidemiologické štúdie neodhalili ani zvýšené riziko vrodených chýb u detí narodených ženám, ktoré užívali COC pred graviditou, ani teratogénny účinok, ak sa COC užívala nechtiac počas skorého štádia gravidity.</w:t>
      </w:r>
    </w:p>
    <w:p w14:paraId="79DDBB2D" w14:textId="77777777" w:rsidR="001F08FE" w:rsidRPr="000059C9" w:rsidRDefault="001F08FE">
      <w:pPr>
        <w:adjustRightInd w:val="0"/>
        <w:snapToGrid w:val="0"/>
        <w:rPr>
          <w:bCs/>
          <w:szCs w:val="22"/>
        </w:rPr>
      </w:pPr>
    </w:p>
    <w:p w14:paraId="4A629FD6" w14:textId="0FE1A28E" w:rsidR="001F08FE" w:rsidRPr="000059C9" w:rsidRDefault="001F08FE">
      <w:pPr>
        <w:adjustRightInd w:val="0"/>
        <w:snapToGrid w:val="0"/>
        <w:rPr>
          <w:bCs/>
          <w:szCs w:val="22"/>
        </w:rPr>
      </w:pPr>
      <w:r w:rsidRPr="000059C9">
        <w:rPr>
          <w:bCs/>
          <w:szCs w:val="22"/>
        </w:rPr>
        <w:t xml:space="preserve">Klinická štúdia s malým počtom žien ukázala, že napriek intravaginálnemu spôsobu podávania sú intrauterinné koncentrácie antikoncepčných steroidov pri </w:t>
      </w:r>
      <w:r w:rsidR="007D1058" w:rsidRPr="000059C9">
        <w:rPr>
          <w:bCs/>
          <w:szCs w:val="22"/>
        </w:rPr>
        <w:t>Etonogestrel/Ethinylestradiol</w:t>
      </w:r>
      <w:r w:rsidR="00794768">
        <w:rPr>
          <w:bCs/>
          <w:szCs w:val="22"/>
        </w:rPr>
        <w:t>e</w:t>
      </w:r>
      <w:r w:rsidR="007D1058" w:rsidRPr="000059C9">
        <w:rPr>
          <w:bCs/>
          <w:szCs w:val="22"/>
        </w:rPr>
        <w:t xml:space="preserve"> Mithra</w:t>
      </w:r>
      <w:r w:rsidRPr="000059C9">
        <w:rPr>
          <w:bCs/>
          <w:szCs w:val="22"/>
        </w:rPr>
        <w:t xml:space="preserve"> podobné hladinám pozorovaným u žien užívajúcich COC (pozri časť</w:t>
      </w:r>
      <w:r w:rsidRPr="000059C9">
        <w:rPr>
          <w:szCs w:val="22"/>
        </w:rPr>
        <w:t> </w:t>
      </w:r>
      <w:r w:rsidRPr="000059C9">
        <w:rPr>
          <w:bCs/>
          <w:szCs w:val="22"/>
        </w:rPr>
        <w:t xml:space="preserve">5.2). Dosiaľ sa nehlásila klinická skúsenosť s výsledkami gravidít, ktoré boli vystavené účinku </w:t>
      </w:r>
      <w:r w:rsidR="007D1058" w:rsidRPr="000059C9">
        <w:rPr>
          <w:bCs/>
          <w:szCs w:val="22"/>
        </w:rPr>
        <w:t>Etonogestrel/Ethinylestradiol</w:t>
      </w:r>
      <w:r w:rsidR="00794768">
        <w:rPr>
          <w:bCs/>
          <w:szCs w:val="22"/>
        </w:rPr>
        <w:t>u</w:t>
      </w:r>
      <w:r w:rsidR="007D1058" w:rsidRPr="000059C9">
        <w:rPr>
          <w:bCs/>
          <w:szCs w:val="22"/>
        </w:rPr>
        <w:t xml:space="preserve"> Mithra</w:t>
      </w:r>
      <w:r w:rsidRPr="000059C9">
        <w:rPr>
          <w:bCs/>
          <w:szCs w:val="22"/>
        </w:rPr>
        <w:t>.</w:t>
      </w:r>
    </w:p>
    <w:p w14:paraId="449AC390" w14:textId="77777777" w:rsidR="001F08FE" w:rsidRPr="000059C9" w:rsidRDefault="001F08FE">
      <w:pPr>
        <w:adjustRightInd w:val="0"/>
        <w:snapToGrid w:val="0"/>
        <w:rPr>
          <w:bCs/>
          <w:szCs w:val="22"/>
        </w:rPr>
      </w:pPr>
    </w:p>
    <w:p w14:paraId="004D3798" w14:textId="5E25EBB0" w:rsidR="001F08FE" w:rsidRPr="000059C9" w:rsidRDefault="001F08FE">
      <w:pPr>
        <w:adjustRightInd w:val="0"/>
        <w:snapToGrid w:val="0"/>
        <w:rPr>
          <w:bCs/>
          <w:szCs w:val="22"/>
        </w:rPr>
      </w:pPr>
      <w:r w:rsidRPr="000059C9">
        <w:rPr>
          <w:bCs/>
          <w:szCs w:val="22"/>
        </w:rPr>
        <w:t xml:space="preserve">Pri opätovnom začatí používania </w:t>
      </w:r>
      <w:r w:rsidR="007D1058" w:rsidRPr="000059C9">
        <w:rPr>
          <w:bCs/>
          <w:szCs w:val="22"/>
        </w:rPr>
        <w:t>Etonogestrel/Ethinylestradiol</w:t>
      </w:r>
      <w:r w:rsidR="00794768">
        <w:rPr>
          <w:bCs/>
          <w:szCs w:val="22"/>
        </w:rPr>
        <w:t>u</w:t>
      </w:r>
      <w:r w:rsidR="007D1058" w:rsidRPr="000059C9">
        <w:rPr>
          <w:bCs/>
          <w:szCs w:val="22"/>
        </w:rPr>
        <w:t xml:space="preserve"> Mithra</w:t>
      </w:r>
      <w:r w:rsidRPr="000059C9">
        <w:rPr>
          <w:bCs/>
          <w:szCs w:val="22"/>
        </w:rPr>
        <w:t xml:space="preserve"> treba vziať do úvahy zvýšené riziko VTE v období po pôrode (pozri časti 4.2 a 4.4).</w:t>
      </w:r>
    </w:p>
    <w:p w14:paraId="2D5A7240" w14:textId="77777777" w:rsidR="001F08FE" w:rsidRPr="000059C9" w:rsidRDefault="001F08FE">
      <w:pPr>
        <w:adjustRightInd w:val="0"/>
        <w:snapToGrid w:val="0"/>
        <w:rPr>
          <w:bCs/>
          <w:szCs w:val="22"/>
        </w:rPr>
      </w:pPr>
    </w:p>
    <w:p w14:paraId="01DDC54A" w14:textId="77777777" w:rsidR="001F08FE" w:rsidRPr="00EE5FF7" w:rsidRDefault="001F08FE" w:rsidP="001F4ACA">
      <w:pPr>
        <w:rPr>
          <w:bCs/>
          <w:u w:val="single"/>
        </w:rPr>
      </w:pPr>
      <w:r w:rsidRPr="00EE5FF7">
        <w:rPr>
          <w:bCs/>
          <w:u w:val="single"/>
        </w:rPr>
        <w:t>Dojčenie</w:t>
      </w:r>
    </w:p>
    <w:p w14:paraId="33E6670C" w14:textId="6FCFB16D" w:rsidR="001F08FE" w:rsidRPr="000059C9" w:rsidRDefault="001F08FE">
      <w:pPr>
        <w:adjustRightInd w:val="0"/>
        <w:snapToGrid w:val="0"/>
        <w:rPr>
          <w:bCs/>
          <w:szCs w:val="22"/>
        </w:rPr>
      </w:pPr>
      <w:r w:rsidRPr="000059C9">
        <w:rPr>
          <w:bCs/>
          <w:szCs w:val="22"/>
        </w:rPr>
        <w:t xml:space="preserve">Estrogény môžu ovplyvniť laktáciu, keďže môžu znížiť množstvo materského mlieka a zmeniť jeho zloženie. Preto sa používanie </w:t>
      </w:r>
      <w:r w:rsidR="007D1058" w:rsidRPr="000059C9">
        <w:rPr>
          <w:bCs/>
          <w:szCs w:val="22"/>
        </w:rPr>
        <w:t>Etonogestrel/Ethinylestradiol</w:t>
      </w:r>
      <w:r w:rsidR="00794768">
        <w:rPr>
          <w:bCs/>
          <w:szCs w:val="22"/>
        </w:rPr>
        <w:t>u</w:t>
      </w:r>
      <w:r w:rsidR="007D1058" w:rsidRPr="000059C9">
        <w:rPr>
          <w:bCs/>
          <w:szCs w:val="22"/>
        </w:rPr>
        <w:t xml:space="preserve"> Mithra</w:t>
      </w:r>
      <w:r w:rsidRPr="000059C9">
        <w:rPr>
          <w:bCs/>
          <w:szCs w:val="22"/>
        </w:rPr>
        <w:t xml:space="preserve"> vo všeobecnosti neodporúča, pokiaľ dojčiaca matka úplne neprestane dojčiť svoje dieťa. Do mlieka sa môžu vylučovať malé množstvá kontraceptívnych steroidov a/alebo ich metabolitov, ale neexistuje dôkaz o tom, že to nepriaznivo ovplyvňuje zdravie dieťaťa.</w:t>
      </w:r>
    </w:p>
    <w:p w14:paraId="290C15EC" w14:textId="77777777" w:rsidR="001F08FE" w:rsidRPr="000059C9" w:rsidRDefault="001F08FE">
      <w:pPr>
        <w:adjustRightInd w:val="0"/>
        <w:snapToGrid w:val="0"/>
        <w:rPr>
          <w:bCs/>
          <w:szCs w:val="22"/>
        </w:rPr>
      </w:pPr>
    </w:p>
    <w:p w14:paraId="4FB1D20E" w14:textId="77777777" w:rsidR="001F08FE" w:rsidRPr="001F4ACA" w:rsidRDefault="001F08FE" w:rsidP="001F4ACA">
      <w:pPr>
        <w:rPr>
          <w:b/>
        </w:rPr>
      </w:pPr>
      <w:r w:rsidRPr="001F4ACA">
        <w:rPr>
          <w:b/>
        </w:rPr>
        <w:t>4.7</w:t>
      </w:r>
      <w:r w:rsidRPr="001F4ACA">
        <w:rPr>
          <w:b/>
        </w:rPr>
        <w:tab/>
        <w:t>Ovplyvnenie schopnosti viesť vozidlá a obsluhovať stroje</w:t>
      </w:r>
    </w:p>
    <w:p w14:paraId="73D43C53" w14:textId="77777777" w:rsidR="001F08FE" w:rsidRPr="000059C9" w:rsidRDefault="001F08FE" w:rsidP="001F4ACA"/>
    <w:p w14:paraId="301B22CE" w14:textId="77777777" w:rsidR="001F08FE" w:rsidRPr="000059C9" w:rsidRDefault="007D1058">
      <w:pPr>
        <w:adjustRightInd w:val="0"/>
        <w:snapToGrid w:val="0"/>
        <w:rPr>
          <w:szCs w:val="22"/>
        </w:rPr>
      </w:pPr>
      <w:r w:rsidRPr="000059C9">
        <w:rPr>
          <w:szCs w:val="22"/>
        </w:rPr>
        <w:t>Etonogestrel/Ethinylestradiol Mithra</w:t>
      </w:r>
      <w:r w:rsidR="001F08FE" w:rsidRPr="000059C9">
        <w:rPr>
          <w:szCs w:val="22"/>
        </w:rPr>
        <w:t xml:space="preserve"> nemá žiadny alebo má zanedbateľný vplyv na schopnosť viesť vozidlá a obsluhovať stroje.</w:t>
      </w:r>
    </w:p>
    <w:p w14:paraId="1C130CFC" w14:textId="77777777" w:rsidR="001F08FE" w:rsidRPr="000059C9" w:rsidRDefault="001F08FE">
      <w:pPr>
        <w:adjustRightInd w:val="0"/>
        <w:snapToGrid w:val="0"/>
        <w:rPr>
          <w:szCs w:val="22"/>
        </w:rPr>
      </w:pPr>
    </w:p>
    <w:p w14:paraId="21E5D25A" w14:textId="77777777" w:rsidR="001F08FE" w:rsidRPr="001F4ACA" w:rsidRDefault="001F08FE" w:rsidP="001F4ACA">
      <w:pPr>
        <w:rPr>
          <w:b/>
        </w:rPr>
      </w:pPr>
      <w:r w:rsidRPr="001F4ACA">
        <w:rPr>
          <w:b/>
        </w:rPr>
        <w:t>4.8</w:t>
      </w:r>
      <w:r w:rsidRPr="001F4ACA">
        <w:rPr>
          <w:b/>
        </w:rPr>
        <w:tab/>
        <w:t>Nežiaduce účinky</w:t>
      </w:r>
    </w:p>
    <w:p w14:paraId="08C38005" w14:textId="77777777" w:rsidR="001F08FE" w:rsidRPr="000059C9" w:rsidRDefault="001F08FE" w:rsidP="001F4ACA">
      <w:pPr>
        <w:rPr>
          <w:bCs/>
        </w:rPr>
      </w:pPr>
    </w:p>
    <w:p w14:paraId="4F12F191" w14:textId="0DD6916C" w:rsidR="001F08FE" w:rsidRPr="000059C9" w:rsidRDefault="001F08FE">
      <w:pPr>
        <w:adjustRightInd w:val="0"/>
        <w:snapToGrid w:val="0"/>
        <w:rPr>
          <w:bCs/>
          <w:szCs w:val="22"/>
        </w:rPr>
      </w:pPr>
      <w:r w:rsidRPr="000059C9">
        <w:rPr>
          <w:bCs/>
          <w:szCs w:val="22"/>
        </w:rPr>
        <w:t>Najčastejšie hlásené nežiaduce účinky v klinických skúšaniach s </w:t>
      </w:r>
      <w:r w:rsidR="007D1058" w:rsidRPr="000059C9">
        <w:rPr>
          <w:bCs/>
          <w:szCs w:val="22"/>
        </w:rPr>
        <w:t>Etonogestrel/Ethinylestradiol</w:t>
      </w:r>
      <w:r w:rsidR="00794768">
        <w:rPr>
          <w:bCs/>
          <w:szCs w:val="22"/>
        </w:rPr>
        <w:t>om</w:t>
      </w:r>
      <w:r w:rsidR="007D1058" w:rsidRPr="000059C9">
        <w:rPr>
          <w:bCs/>
          <w:szCs w:val="22"/>
        </w:rPr>
        <w:t xml:space="preserve"> Mithra</w:t>
      </w:r>
      <w:r w:rsidRPr="000059C9">
        <w:rPr>
          <w:bCs/>
          <w:szCs w:val="22"/>
        </w:rPr>
        <w:t xml:space="preserve"> boli bolesť hlavy, vaginálne infekcie a vaginálny výtok, každý z nich bol hlásený u 5-6 % žien.</w:t>
      </w:r>
    </w:p>
    <w:p w14:paraId="24CA38E5" w14:textId="77777777" w:rsidR="001F08FE" w:rsidRPr="000059C9" w:rsidRDefault="001F08FE">
      <w:pPr>
        <w:adjustRightInd w:val="0"/>
        <w:snapToGrid w:val="0"/>
        <w:rPr>
          <w:bCs/>
          <w:szCs w:val="22"/>
        </w:rPr>
      </w:pPr>
    </w:p>
    <w:p w14:paraId="7CF56E46" w14:textId="77777777" w:rsidR="001F08FE" w:rsidRPr="001F4ACA" w:rsidRDefault="001F08FE" w:rsidP="001F4ACA">
      <w:pPr>
        <w:rPr>
          <w:i/>
          <w:u w:val="single"/>
        </w:rPr>
      </w:pPr>
      <w:r w:rsidRPr="001F4ACA">
        <w:rPr>
          <w:i/>
          <w:u w:val="single"/>
        </w:rPr>
        <w:t>Popis vybraných nežiaducich reakcií</w:t>
      </w:r>
    </w:p>
    <w:p w14:paraId="6E945F66" w14:textId="77777777" w:rsidR="001F08FE" w:rsidRPr="000059C9" w:rsidRDefault="001F08FE">
      <w:pPr>
        <w:adjustRightInd w:val="0"/>
        <w:snapToGrid w:val="0"/>
        <w:rPr>
          <w:bCs/>
          <w:szCs w:val="22"/>
        </w:rPr>
      </w:pPr>
      <w:r w:rsidRPr="000059C9">
        <w:rPr>
          <w:bCs/>
          <w:szCs w:val="22"/>
        </w:rPr>
        <w:t>U žien používajúcich CHC sa pozorovalo zvýšené riziko vzniku arteriálnych a venóznych trombotických a tromboembolických udalostí vrátane infarktu myokardu, cievnej mozgovej príhody, prechodných ischemických záchvatov, venóznej trombózy a pľúcnej embólie, ktoré sú podrobnejšie uvedené v časti 4.4.</w:t>
      </w:r>
    </w:p>
    <w:p w14:paraId="4D1CC284" w14:textId="77777777" w:rsidR="001F08FE" w:rsidRPr="000059C9" w:rsidRDefault="001F08FE">
      <w:pPr>
        <w:adjustRightInd w:val="0"/>
        <w:snapToGrid w:val="0"/>
        <w:rPr>
          <w:bCs/>
          <w:szCs w:val="22"/>
        </w:rPr>
      </w:pPr>
    </w:p>
    <w:p w14:paraId="635F2289" w14:textId="77777777" w:rsidR="001F08FE" w:rsidRPr="000059C9" w:rsidRDefault="001F08FE">
      <w:pPr>
        <w:adjustRightInd w:val="0"/>
        <w:snapToGrid w:val="0"/>
        <w:rPr>
          <w:bCs/>
          <w:szCs w:val="22"/>
        </w:rPr>
      </w:pPr>
      <w:r w:rsidRPr="000059C9">
        <w:rPr>
          <w:bCs/>
          <w:szCs w:val="22"/>
        </w:rPr>
        <w:t>Aj ďalšie nežiaduce účinky boli hlásené u žien používajúcich CHC: tieto sú podrobnejšie uvedené v časti 4.4.</w:t>
      </w:r>
    </w:p>
    <w:p w14:paraId="53BCC0C7" w14:textId="77777777" w:rsidR="001F08FE" w:rsidRPr="000059C9" w:rsidRDefault="001F08FE">
      <w:pPr>
        <w:adjustRightInd w:val="0"/>
        <w:snapToGrid w:val="0"/>
        <w:rPr>
          <w:bCs/>
          <w:szCs w:val="22"/>
        </w:rPr>
      </w:pPr>
    </w:p>
    <w:p w14:paraId="0B3C786C" w14:textId="7B958238" w:rsidR="001F08FE" w:rsidRPr="000059C9" w:rsidRDefault="001F08FE">
      <w:pPr>
        <w:adjustRightInd w:val="0"/>
        <w:snapToGrid w:val="0"/>
        <w:rPr>
          <w:b/>
          <w:szCs w:val="22"/>
        </w:rPr>
      </w:pPr>
      <w:r w:rsidRPr="000059C9">
        <w:rPr>
          <w:bCs/>
          <w:szCs w:val="22"/>
        </w:rPr>
        <w:t>Nežiaduce liekové reakcie, ktoré boli hlásené v klinických skúšaniach a observačných štúdiách s </w:t>
      </w:r>
      <w:r w:rsidR="007D1058" w:rsidRPr="000059C9">
        <w:rPr>
          <w:bCs/>
          <w:szCs w:val="22"/>
        </w:rPr>
        <w:t>Etonogestrel/Ethinylestradiol</w:t>
      </w:r>
      <w:r w:rsidR="00794768">
        <w:rPr>
          <w:bCs/>
          <w:szCs w:val="22"/>
        </w:rPr>
        <w:t>om</w:t>
      </w:r>
      <w:r w:rsidR="007D1058" w:rsidRPr="000059C9">
        <w:rPr>
          <w:bCs/>
          <w:szCs w:val="22"/>
        </w:rPr>
        <w:t xml:space="preserve"> Mithra</w:t>
      </w:r>
      <w:r w:rsidRPr="000059C9">
        <w:rPr>
          <w:bCs/>
          <w:szCs w:val="22"/>
        </w:rPr>
        <w:t xml:space="preserve"> alebo počas jeho používania po uvedení na trh, sú uvedené v tabuľke nižšie. Na popis určitých nežiaducich udalostí sa uvádzajú najvhodnejšie termíny podľa MedDRA.</w:t>
      </w:r>
    </w:p>
    <w:p w14:paraId="29E490D1" w14:textId="77777777" w:rsidR="001F08FE" w:rsidRPr="000059C9" w:rsidRDefault="001F08FE">
      <w:pPr>
        <w:adjustRightInd w:val="0"/>
        <w:snapToGrid w:val="0"/>
        <w:rPr>
          <w:b/>
          <w:szCs w:val="22"/>
        </w:rPr>
      </w:pPr>
    </w:p>
    <w:p w14:paraId="409463A3" w14:textId="77777777" w:rsidR="001F08FE" w:rsidRPr="000059C9" w:rsidRDefault="001F08FE">
      <w:pPr>
        <w:adjustRightInd w:val="0"/>
        <w:snapToGrid w:val="0"/>
        <w:rPr>
          <w:szCs w:val="22"/>
        </w:rPr>
      </w:pPr>
      <w:r w:rsidRPr="000059C9">
        <w:rPr>
          <w:szCs w:val="22"/>
        </w:rPr>
        <w:t>Všetky nežiaduce reakcie sú uvedené podľa triedy orgánových systémov a frekvencie; časté (≥ 1/100 až &lt; 1/10), menej časté (≥ 1/1 000 až &lt; 1/100), zriedkavé (≥ 1/10 000 až &lt; 1/1 000) a neznáme (nedá sa odhadnúť z dostupných údajov).</w:t>
      </w:r>
    </w:p>
    <w:p w14:paraId="17BF4985" w14:textId="77777777" w:rsidR="001F08FE" w:rsidRPr="000059C9" w:rsidRDefault="001F08FE">
      <w:pPr>
        <w:adjustRightInd w:val="0"/>
        <w:snapToGrid w:val="0"/>
        <w:rPr>
          <w:b/>
          <w:szCs w:val="22"/>
        </w:rPr>
      </w:pPr>
    </w:p>
    <w:tbl>
      <w:tblPr>
        <w:tblW w:w="8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48"/>
        <w:gridCol w:w="1750"/>
        <w:gridCol w:w="1701"/>
        <w:gridCol w:w="1559"/>
        <w:gridCol w:w="1559"/>
      </w:tblGrid>
      <w:tr w:rsidR="001F08FE" w:rsidRPr="000059C9" w14:paraId="54984F3E" w14:textId="77777777" w:rsidTr="001F4ACA">
        <w:trPr>
          <w:cantSplit/>
          <w:tblHeader/>
          <w:jc w:val="center"/>
        </w:trPr>
        <w:tc>
          <w:tcPr>
            <w:tcW w:w="2148" w:type="dxa"/>
          </w:tcPr>
          <w:p w14:paraId="20743CF9" w14:textId="77777777" w:rsidR="001F08FE" w:rsidRPr="001F4ACA" w:rsidRDefault="001F08FE">
            <w:pPr>
              <w:adjustRightInd w:val="0"/>
              <w:snapToGrid w:val="0"/>
              <w:rPr>
                <w:b/>
                <w:szCs w:val="22"/>
              </w:rPr>
            </w:pPr>
            <w:r w:rsidRPr="001F4ACA">
              <w:rPr>
                <w:b/>
                <w:szCs w:val="22"/>
              </w:rPr>
              <w:t>Trieda orgánových systémov</w:t>
            </w:r>
          </w:p>
        </w:tc>
        <w:tc>
          <w:tcPr>
            <w:tcW w:w="1750" w:type="dxa"/>
          </w:tcPr>
          <w:p w14:paraId="2653E524" w14:textId="77777777" w:rsidR="001F08FE" w:rsidRPr="001F4ACA" w:rsidRDefault="001F08FE">
            <w:pPr>
              <w:adjustRightInd w:val="0"/>
              <w:snapToGrid w:val="0"/>
              <w:rPr>
                <w:b/>
                <w:szCs w:val="22"/>
              </w:rPr>
            </w:pPr>
            <w:r w:rsidRPr="001F4ACA">
              <w:rPr>
                <w:b/>
                <w:szCs w:val="22"/>
              </w:rPr>
              <w:t>Časté</w:t>
            </w:r>
          </w:p>
        </w:tc>
        <w:tc>
          <w:tcPr>
            <w:tcW w:w="1701" w:type="dxa"/>
          </w:tcPr>
          <w:p w14:paraId="7B8A50E5" w14:textId="77777777" w:rsidR="001F08FE" w:rsidRPr="001F4ACA" w:rsidRDefault="001F08FE">
            <w:pPr>
              <w:adjustRightInd w:val="0"/>
              <w:snapToGrid w:val="0"/>
              <w:rPr>
                <w:b/>
                <w:szCs w:val="22"/>
              </w:rPr>
            </w:pPr>
            <w:r w:rsidRPr="001F4ACA">
              <w:rPr>
                <w:b/>
                <w:szCs w:val="22"/>
              </w:rPr>
              <w:t>Menej časté</w:t>
            </w:r>
          </w:p>
        </w:tc>
        <w:tc>
          <w:tcPr>
            <w:tcW w:w="1559" w:type="dxa"/>
          </w:tcPr>
          <w:p w14:paraId="044E5196" w14:textId="77777777" w:rsidR="001F08FE" w:rsidRPr="001F4ACA" w:rsidRDefault="001F08FE">
            <w:pPr>
              <w:adjustRightInd w:val="0"/>
              <w:snapToGrid w:val="0"/>
              <w:rPr>
                <w:b/>
                <w:szCs w:val="22"/>
              </w:rPr>
            </w:pPr>
            <w:r w:rsidRPr="001F4ACA">
              <w:rPr>
                <w:b/>
                <w:szCs w:val="22"/>
              </w:rPr>
              <w:t>Zriedkavé</w:t>
            </w:r>
          </w:p>
        </w:tc>
        <w:tc>
          <w:tcPr>
            <w:tcW w:w="1559" w:type="dxa"/>
          </w:tcPr>
          <w:p w14:paraId="4B9CACA7" w14:textId="77777777" w:rsidR="001F08FE" w:rsidRPr="001F4ACA" w:rsidRDefault="001F08FE">
            <w:pPr>
              <w:adjustRightInd w:val="0"/>
              <w:snapToGrid w:val="0"/>
              <w:rPr>
                <w:b/>
                <w:szCs w:val="22"/>
                <w:vertAlign w:val="superscript"/>
              </w:rPr>
            </w:pPr>
            <w:r w:rsidRPr="001F4ACA">
              <w:rPr>
                <w:b/>
                <w:szCs w:val="22"/>
              </w:rPr>
              <w:t>Neznáme</w:t>
            </w:r>
            <w:r w:rsidRPr="001F4ACA">
              <w:rPr>
                <w:b/>
                <w:szCs w:val="22"/>
                <w:vertAlign w:val="superscript"/>
              </w:rPr>
              <w:t>1</w:t>
            </w:r>
          </w:p>
        </w:tc>
      </w:tr>
      <w:tr w:rsidR="001F08FE" w:rsidRPr="000059C9" w14:paraId="480ED59A" w14:textId="77777777" w:rsidTr="001F4ACA">
        <w:trPr>
          <w:cantSplit/>
          <w:jc w:val="center"/>
        </w:trPr>
        <w:tc>
          <w:tcPr>
            <w:tcW w:w="2148" w:type="dxa"/>
          </w:tcPr>
          <w:p w14:paraId="7224EFC9" w14:textId="77777777" w:rsidR="001F08FE" w:rsidRPr="00EE5FF7" w:rsidRDefault="001F08FE">
            <w:pPr>
              <w:adjustRightInd w:val="0"/>
              <w:snapToGrid w:val="0"/>
              <w:rPr>
                <w:szCs w:val="22"/>
              </w:rPr>
            </w:pPr>
            <w:r w:rsidRPr="000059C9">
              <w:rPr>
                <w:szCs w:val="22"/>
              </w:rPr>
              <w:t>Infekcie a</w:t>
            </w:r>
            <w:r w:rsidRPr="000059C9">
              <w:rPr>
                <w:bCs/>
                <w:szCs w:val="22"/>
              </w:rPr>
              <w:t> </w:t>
            </w:r>
            <w:r w:rsidRPr="000059C9">
              <w:rPr>
                <w:szCs w:val="22"/>
              </w:rPr>
              <w:t>nákazy</w:t>
            </w:r>
          </w:p>
        </w:tc>
        <w:tc>
          <w:tcPr>
            <w:tcW w:w="1750" w:type="dxa"/>
          </w:tcPr>
          <w:p w14:paraId="0E0FF24D" w14:textId="77777777" w:rsidR="001F08FE" w:rsidRPr="00EE5FF7" w:rsidRDefault="001F08FE">
            <w:pPr>
              <w:adjustRightInd w:val="0"/>
              <w:snapToGrid w:val="0"/>
              <w:rPr>
                <w:szCs w:val="22"/>
              </w:rPr>
            </w:pPr>
            <w:r w:rsidRPr="000059C9">
              <w:rPr>
                <w:szCs w:val="22"/>
              </w:rPr>
              <w:t>vaginálna infekcia</w:t>
            </w:r>
          </w:p>
        </w:tc>
        <w:tc>
          <w:tcPr>
            <w:tcW w:w="1701" w:type="dxa"/>
          </w:tcPr>
          <w:p w14:paraId="14CF2641" w14:textId="77777777" w:rsidR="001F08FE" w:rsidRPr="00EE5FF7" w:rsidRDefault="001F08FE">
            <w:pPr>
              <w:adjustRightInd w:val="0"/>
              <w:snapToGrid w:val="0"/>
              <w:rPr>
                <w:szCs w:val="22"/>
              </w:rPr>
            </w:pPr>
            <w:r w:rsidRPr="000059C9">
              <w:rPr>
                <w:szCs w:val="22"/>
              </w:rPr>
              <w:t>cervicitída, cystitída, infekcia močových ciest</w:t>
            </w:r>
          </w:p>
        </w:tc>
        <w:tc>
          <w:tcPr>
            <w:tcW w:w="1559" w:type="dxa"/>
          </w:tcPr>
          <w:p w14:paraId="69FB3A84" w14:textId="77777777" w:rsidR="001F08FE" w:rsidRPr="001F4ACA" w:rsidRDefault="001F08FE">
            <w:pPr>
              <w:adjustRightInd w:val="0"/>
              <w:snapToGrid w:val="0"/>
              <w:rPr>
                <w:szCs w:val="22"/>
              </w:rPr>
            </w:pPr>
          </w:p>
        </w:tc>
        <w:tc>
          <w:tcPr>
            <w:tcW w:w="1559" w:type="dxa"/>
          </w:tcPr>
          <w:p w14:paraId="6600CEEA" w14:textId="77777777" w:rsidR="001F08FE" w:rsidRPr="001F4ACA" w:rsidRDefault="001F08FE">
            <w:pPr>
              <w:adjustRightInd w:val="0"/>
              <w:snapToGrid w:val="0"/>
              <w:rPr>
                <w:szCs w:val="22"/>
              </w:rPr>
            </w:pPr>
          </w:p>
        </w:tc>
      </w:tr>
      <w:tr w:rsidR="001F08FE" w:rsidRPr="000059C9" w14:paraId="02C37873" w14:textId="77777777" w:rsidTr="001F4ACA">
        <w:trPr>
          <w:cantSplit/>
          <w:jc w:val="center"/>
        </w:trPr>
        <w:tc>
          <w:tcPr>
            <w:tcW w:w="2148" w:type="dxa"/>
          </w:tcPr>
          <w:p w14:paraId="7C2552AD" w14:textId="77777777" w:rsidR="001F08FE" w:rsidRPr="00EE5FF7" w:rsidRDefault="001F08FE">
            <w:pPr>
              <w:adjustRightInd w:val="0"/>
              <w:snapToGrid w:val="0"/>
              <w:rPr>
                <w:szCs w:val="22"/>
              </w:rPr>
            </w:pPr>
            <w:r w:rsidRPr="000059C9">
              <w:rPr>
                <w:szCs w:val="22"/>
              </w:rPr>
              <w:t>Poruchy imunitného systému</w:t>
            </w:r>
          </w:p>
        </w:tc>
        <w:tc>
          <w:tcPr>
            <w:tcW w:w="1750" w:type="dxa"/>
          </w:tcPr>
          <w:p w14:paraId="3EE1BFF8" w14:textId="77777777" w:rsidR="001F08FE" w:rsidRPr="001F4ACA" w:rsidRDefault="001F08FE">
            <w:pPr>
              <w:adjustRightInd w:val="0"/>
              <w:snapToGrid w:val="0"/>
              <w:rPr>
                <w:szCs w:val="22"/>
              </w:rPr>
            </w:pPr>
          </w:p>
        </w:tc>
        <w:tc>
          <w:tcPr>
            <w:tcW w:w="1701" w:type="dxa"/>
          </w:tcPr>
          <w:p w14:paraId="758E5027" w14:textId="77777777" w:rsidR="001F08FE" w:rsidRPr="001F4ACA" w:rsidRDefault="001F08FE">
            <w:pPr>
              <w:adjustRightInd w:val="0"/>
              <w:snapToGrid w:val="0"/>
              <w:rPr>
                <w:szCs w:val="22"/>
              </w:rPr>
            </w:pPr>
          </w:p>
        </w:tc>
        <w:tc>
          <w:tcPr>
            <w:tcW w:w="1559" w:type="dxa"/>
          </w:tcPr>
          <w:p w14:paraId="6FA5D7CF" w14:textId="77777777" w:rsidR="001F08FE" w:rsidRPr="001F4ACA" w:rsidRDefault="001F08FE">
            <w:pPr>
              <w:adjustRightInd w:val="0"/>
              <w:snapToGrid w:val="0"/>
              <w:rPr>
                <w:szCs w:val="22"/>
              </w:rPr>
            </w:pPr>
          </w:p>
        </w:tc>
        <w:tc>
          <w:tcPr>
            <w:tcW w:w="1559" w:type="dxa"/>
          </w:tcPr>
          <w:p w14:paraId="485512EA" w14:textId="77777777" w:rsidR="001F08FE" w:rsidRPr="00EE5FF7" w:rsidRDefault="001F08FE">
            <w:pPr>
              <w:adjustRightInd w:val="0"/>
              <w:snapToGrid w:val="0"/>
              <w:rPr>
                <w:szCs w:val="22"/>
              </w:rPr>
            </w:pPr>
            <w:r w:rsidRPr="000059C9">
              <w:rPr>
                <w:szCs w:val="22"/>
              </w:rPr>
              <w:t>precitlivenosť</w:t>
            </w:r>
          </w:p>
        </w:tc>
      </w:tr>
      <w:tr w:rsidR="001F08FE" w:rsidRPr="000059C9" w14:paraId="68FEF719" w14:textId="77777777" w:rsidTr="001F4ACA">
        <w:trPr>
          <w:cantSplit/>
          <w:jc w:val="center"/>
        </w:trPr>
        <w:tc>
          <w:tcPr>
            <w:tcW w:w="2148" w:type="dxa"/>
          </w:tcPr>
          <w:p w14:paraId="1FF0744C" w14:textId="77777777" w:rsidR="001F08FE" w:rsidRPr="00EE5FF7" w:rsidRDefault="001F08FE">
            <w:pPr>
              <w:adjustRightInd w:val="0"/>
              <w:snapToGrid w:val="0"/>
              <w:rPr>
                <w:szCs w:val="22"/>
              </w:rPr>
            </w:pPr>
            <w:r w:rsidRPr="000059C9">
              <w:rPr>
                <w:szCs w:val="22"/>
              </w:rPr>
              <w:t>Poruchy metabolizmu a</w:t>
            </w:r>
            <w:r w:rsidRPr="000059C9">
              <w:rPr>
                <w:bCs/>
                <w:szCs w:val="22"/>
              </w:rPr>
              <w:t> </w:t>
            </w:r>
            <w:r w:rsidRPr="000059C9">
              <w:rPr>
                <w:szCs w:val="22"/>
              </w:rPr>
              <w:t>výživy</w:t>
            </w:r>
          </w:p>
        </w:tc>
        <w:tc>
          <w:tcPr>
            <w:tcW w:w="1750" w:type="dxa"/>
          </w:tcPr>
          <w:p w14:paraId="66AA5B01" w14:textId="77777777" w:rsidR="001F08FE" w:rsidRPr="001F4ACA" w:rsidRDefault="001F08FE">
            <w:pPr>
              <w:adjustRightInd w:val="0"/>
              <w:snapToGrid w:val="0"/>
              <w:rPr>
                <w:szCs w:val="22"/>
              </w:rPr>
            </w:pPr>
          </w:p>
        </w:tc>
        <w:tc>
          <w:tcPr>
            <w:tcW w:w="1701" w:type="dxa"/>
          </w:tcPr>
          <w:p w14:paraId="30722C93" w14:textId="77777777" w:rsidR="001F08FE" w:rsidRPr="00EE5FF7" w:rsidRDefault="001F08FE">
            <w:pPr>
              <w:adjustRightInd w:val="0"/>
              <w:snapToGrid w:val="0"/>
              <w:rPr>
                <w:szCs w:val="22"/>
              </w:rPr>
            </w:pPr>
            <w:r w:rsidRPr="000059C9">
              <w:rPr>
                <w:szCs w:val="22"/>
              </w:rPr>
              <w:t>zvýšená chuť do jedla</w:t>
            </w:r>
          </w:p>
        </w:tc>
        <w:tc>
          <w:tcPr>
            <w:tcW w:w="1559" w:type="dxa"/>
          </w:tcPr>
          <w:p w14:paraId="2724DCDE" w14:textId="77777777" w:rsidR="001F08FE" w:rsidRPr="001F4ACA" w:rsidRDefault="001F08FE">
            <w:pPr>
              <w:adjustRightInd w:val="0"/>
              <w:snapToGrid w:val="0"/>
              <w:rPr>
                <w:szCs w:val="22"/>
              </w:rPr>
            </w:pPr>
          </w:p>
        </w:tc>
        <w:tc>
          <w:tcPr>
            <w:tcW w:w="1559" w:type="dxa"/>
          </w:tcPr>
          <w:p w14:paraId="4C3A05D7" w14:textId="77777777" w:rsidR="001F08FE" w:rsidRPr="001F4ACA" w:rsidRDefault="001F08FE">
            <w:pPr>
              <w:adjustRightInd w:val="0"/>
              <w:snapToGrid w:val="0"/>
              <w:rPr>
                <w:szCs w:val="22"/>
              </w:rPr>
            </w:pPr>
          </w:p>
        </w:tc>
      </w:tr>
      <w:tr w:rsidR="001F08FE" w:rsidRPr="000059C9" w14:paraId="19A3BB6E" w14:textId="77777777" w:rsidTr="001F4ACA">
        <w:trPr>
          <w:cantSplit/>
          <w:jc w:val="center"/>
        </w:trPr>
        <w:tc>
          <w:tcPr>
            <w:tcW w:w="2148" w:type="dxa"/>
          </w:tcPr>
          <w:p w14:paraId="185A6CCD" w14:textId="77777777" w:rsidR="001F08FE" w:rsidRPr="00EE5FF7" w:rsidRDefault="001F08FE">
            <w:pPr>
              <w:adjustRightInd w:val="0"/>
              <w:snapToGrid w:val="0"/>
              <w:rPr>
                <w:szCs w:val="22"/>
              </w:rPr>
            </w:pPr>
            <w:r w:rsidRPr="000059C9">
              <w:rPr>
                <w:szCs w:val="22"/>
              </w:rPr>
              <w:t xml:space="preserve">Psychické poruchy </w:t>
            </w:r>
          </w:p>
        </w:tc>
        <w:tc>
          <w:tcPr>
            <w:tcW w:w="1750" w:type="dxa"/>
          </w:tcPr>
          <w:p w14:paraId="600CAB78" w14:textId="77777777" w:rsidR="001F08FE" w:rsidRPr="00EE5FF7" w:rsidRDefault="001F08FE">
            <w:pPr>
              <w:adjustRightInd w:val="0"/>
              <w:snapToGrid w:val="0"/>
              <w:rPr>
                <w:szCs w:val="22"/>
              </w:rPr>
            </w:pPr>
            <w:r w:rsidRPr="000059C9">
              <w:rPr>
                <w:szCs w:val="22"/>
              </w:rPr>
              <w:t>depresia, znížené libido</w:t>
            </w:r>
          </w:p>
        </w:tc>
        <w:tc>
          <w:tcPr>
            <w:tcW w:w="1701" w:type="dxa"/>
          </w:tcPr>
          <w:p w14:paraId="611B00DF" w14:textId="77777777" w:rsidR="001F08FE" w:rsidRPr="00EE5FF7" w:rsidRDefault="001F08FE">
            <w:pPr>
              <w:adjustRightInd w:val="0"/>
              <w:snapToGrid w:val="0"/>
              <w:rPr>
                <w:szCs w:val="22"/>
              </w:rPr>
            </w:pPr>
            <w:r w:rsidRPr="000059C9">
              <w:rPr>
                <w:szCs w:val="22"/>
              </w:rPr>
              <w:t>afektívna labilita, zmena nálady, výkyvy nálady</w:t>
            </w:r>
          </w:p>
        </w:tc>
        <w:tc>
          <w:tcPr>
            <w:tcW w:w="1559" w:type="dxa"/>
          </w:tcPr>
          <w:p w14:paraId="63FD4287" w14:textId="77777777" w:rsidR="001F08FE" w:rsidRPr="001F4ACA" w:rsidRDefault="001F08FE">
            <w:pPr>
              <w:adjustRightInd w:val="0"/>
              <w:snapToGrid w:val="0"/>
              <w:rPr>
                <w:szCs w:val="22"/>
              </w:rPr>
            </w:pPr>
          </w:p>
        </w:tc>
        <w:tc>
          <w:tcPr>
            <w:tcW w:w="1559" w:type="dxa"/>
          </w:tcPr>
          <w:p w14:paraId="05EE14E1" w14:textId="77777777" w:rsidR="001F08FE" w:rsidRPr="001F4ACA" w:rsidRDefault="001F08FE">
            <w:pPr>
              <w:adjustRightInd w:val="0"/>
              <w:snapToGrid w:val="0"/>
              <w:rPr>
                <w:szCs w:val="22"/>
              </w:rPr>
            </w:pPr>
          </w:p>
        </w:tc>
      </w:tr>
      <w:tr w:rsidR="001F08FE" w:rsidRPr="000059C9" w14:paraId="64F52DCB" w14:textId="77777777" w:rsidTr="001F4ACA">
        <w:trPr>
          <w:cantSplit/>
          <w:jc w:val="center"/>
        </w:trPr>
        <w:tc>
          <w:tcPr>
            <w:tcW w:w="2148" w:type="dxa"/>
          </w:tcPr>
          <w:p w14:paraId="395A2D93" w14:textId="77777777" w:rsidR="001F08FE" w:rsidRPr="00EE5FF7" w:rsidRDefault="001F08FE">
            <w:pPr>
              <w:adjustRightInd w:val="0"/>
              <w:snapToGrid w:val="0"/>
              <w:rPr>
                <w:szCs w:val="22"/>
              </w:rPr>
            </w:pPr>
            <w:r w:rsidRPr="000059C9">
              <w:rPr>
                <w:szCs w:val="22"/>
              </w:rPr>
              <w:t>Poruchy nervového systému</w:t>
            </w:r>
          </w:p>
        </w:tc>
        <w:tc>
          <w:tcPr>
            <w:tcW w:w="1750" w:type="dxa"/>
          </w:tcPr>
          <w:p w14:paraId="5393263C" w14:textId="77777777" w:rsidR="001F08FE" w:rsidRPr="00EE5FF7" w:rsidRDefault="001F08FE">
            <w:pPr>
              <w:adjustRightInd w:val="0"/>
              <w:snapToGrid w:val="0"/>
              <w:rPr>
                <w:szCs w:val="22"/>
              </w:rPr>
            </w:pPr>
            <w:r w:rsidRPr="000059C9">
              <w:rPr>
                <w:szCs w:val="22"/>
              </w:rPr>
              <w:t>bolesť hlavy, migréna</w:t>
            </w:r>
          </w:p>
        </w:tc>
        <w:tc>
          <w:tcPr>
            <w:tcW w:w="1701" w:type="dxa"/>
          </w:tcPr>
          <w:p w14:paraId="4F2EB0BA" w14:textId="77777777" w:rsidR="001F08FE" w:rsidRPr="00EE5FF7" w:rsidRDefault="001F08FE">
            <w:pPr>
              <w:adjustRightInd w:val="0"/>
              <w:snapToGrid w:val="0"/>
              <w:rPr>
                <w:szCs w:val="22"/>
              </w:rPr>
            </w:pPr>
            <w:r w:rsidRPr="000059C9">
              <w:rPr>
                <w:szCs w:val="22"/>
              </w:rPr>
              <w:t>závrat, hypestézia</w:t>
            </w:r>
          </w:p>
        </w:tc>
        <w:tc>
          <w:tcPr>
            <w:tcW w:w="1559" w:type="dxa"/>
          </w:tcPr>
          <w:p w14:paraId="4D3E9CBF" w14:textId="77777777" w:rsidR="001F08FE" w:rsidRPr="001F4ACA" w:rsidRDefault="001F08FE">
            <w:pPr>
              <w:adjustRightInd w:val="0"/>
              <w:snapToGrid w:val="0"/>
              <w:rPr>
                <w:szCs w:val="22"/>
              </w:rPr>
            </w:pPr>
          </w:p>
        </w:tc>
        <w:tc>
          <w:tcPr>
            <w:tcW w:w="1559" w:type="dxa"/>
          </w:tcPr>
          <w:p w14:paraId="761028AB" w14:textId="77777777" w:rsidR="001F08FE" w:rsidRPr="001F4ACA" w:rsidRDefault="001F08FE">
            <w:pPr>
              <w:adjustRightInd w:val="0"/>
              <w:snapToGrid w:val="0"/>
              <w:rPr>
                <w:szCs w:val="22"/>
              </w:rPr>
            </w:pPr>
          </w:p>
        </w:tc>
      </w:tr>
      <w:tr w:rsidR="001F08FE" w:rsidRPr="000059C9" w14:paraId="689133A0" w14:textId="77777777" w:rsidTr="001F4ACA">
        <w:trPr>
          <w:cantSplit/>
          <w:jc w:val="center"/>
        </w:trPr>
        <w:tc>
          <w:tcPr>
            <w:tcW w:w="2148" w:type="dxa"/>
          </w:tcPr>
          <w:p w14:paraId="2CEAA063" w14:textId="77777777" w:rsidR="001F08FE" w:rsidRPr="00EE5FF7" w:rsidRDefault="001F08FE">
            <w:pPr>
              <w:adjustRightInd w:val="0"/>
              <w:snapToGrid w:val="0"/>
              <w:rPr>
                <w:szCs w:val="22"/>
              </w:rPr>
            </w:pPr>
            <w:r w:rsidRPr="000059C9">
              <w:rPr>
                <w:szCs w:val="22"/>
              </w:rPr>
              <w:t>Poruchy oka</w:t>
            </w:r>
          </w:p>
        </w:tc>
        <w:tc>
          <w:tcPr>
            <w:tcW w:w="1750" w:type="dxa"/>
          </w:tcPr>
          <w:p w14:paraId="4017AF0F" w14:textId="77777777" w:rsidR="001F08FE" w:rsidRPr="001F4ACA" w:rsidRDefault="001F08FE">
            <w:pPr>
              <w:adjustRightInd w:val="0"/>
              <w:snapToGrid w:val="0"/>
              <w:rPr>
                <w:szCs w:val="22"/>
              </w:rPr>
            </w:pPr>
          </w:p>
        </w:tc>
        <w:tc>
          <w:tcPr>
            <w:tcW w:w="1701" w:type="dxa"/>
          </w:tcPr>
          <w:p w14:paraId="67A3BC05" w14:textId="77777777" w:rsidR="001F08FE" w:rsidRPr="00EE5FF7" w:rsidRDefault="001F08FE">
            <w:pPr>
              <w:adjustRightInd w:val="0"/>
              <w:snapToGrid w:val="0"/>
              <w:rPr>
                <w:szCs w:val="22"/>
              </w:rPr>
            </w:pPr>
            <w:r w:rsidRPr="000059C9">
              <w:rPr>
                <w:szCs w:val="22"/>
              </w:rPr>
              <w:t>porucha zraku</w:t>
            </w:r>
          </w:p>
        </w:tc>
        <w:tc>
          <w:tcPr>
            <w:tcW w:w="1559" w:type="dxa"/>
          </w:tcPr>
          <w:p w14:paraId="0F710966" w14:textId="77777777" w:rsidR="001F08FE" w:rsidRPr="001F4ACA" w:rsidRDefault="001F08FE">
            <w:pPr>
              <w:adjustRightInd w:val="0"/>
              <w:snapToGrid w:val="0"/>
              <w:rPr>
                <w:szCs w:val="22"/>
              </w:rPr>
            </w:pPr>
          </w:p>
        </w:tc>
        <w:tc>
          <w:tcPr>
            <w:tcW w:w="1559" w:type="dxa"/>
          </w:tcPr>
          <w:p w14:paraId="7E825203" w14:textId="77777777" w:rsidR="001F08FE" w:rsidRPr="001F4ACA" w:rsidRDefault="001F08FE">
            <w:pPr>
              <w:adjustRightInd w:val="0"/>
              <w:snapToGrid w:val="0"/>
              <w:rPr>
                <w:szCs w:val="22"/>
              </w:rPr>
            </w:pPr>
          </w:p>
        </w:tc>
      </w:tr>
      <w:tr w:rsidR="001F08FE" w:rsidRPr="000059C9" w14:paraId="692ADCC4" w14:textId="77777777" w:rsidTr="001F4ACA">
        <w:trPr>
          <w:cantSplit/>
          <w:jc w:val="center"/>
        </w:trPr>
        <w:tc>
          <w:tcPr>
            <w:tcW w:w="2148" w:type="dxa"/>
          </w:tcPr>
          <w:p w14:paraId="257668C1" w14:textId="77777777" w:rsidR="001F08FE" w:rsidRPr="00EE5FF7" w:rsidRDefault="001F08FE">
            <w:pPr>
              <w:adjustRightInd w:val="0"/>
              <w:snapToGrid w:val="0"/>
              <w:rPr>
                <w:szCs w:val="22"/>
              </w:rPr>
            </w:pPr>
            <w:r w:rsidRPr="000059C9">
              <w:rPr>
                <w:szCs w:val="22"/>
              </w:rPr>
              <w:t>Poruchy ciev</w:t>
            </w:r>
          </w:p>
        </w:tc>
        <w:tc>
          <w:tcPr>
            <w:tcW w:w="1750" w:type="dxa"/>
          </w:tcPr>
          <w:p w14:paraId="4A9D6F9B" w14:textId="77777777" w:rsidR="001F08FE" w:rsidRPr="001F4ACA" w:rsidRDefault="001F08FE">
            <w:pPr>
              <w:adjustRightInd w:val="0"/>
              <w:snapToGrid w:val="0"/>
              <w:rPr>
                <w:szCs w:val="22"/>
              </w:rPr>
            </w:pPr>
          </w:p>
        </w:tc>
        <w:tc>
          <w:tcPr>
            <w:tcW w:w="1701" w:type="dxa"/>
          </w:tcPr>
          <w:p w14:paraId="14CF6FB1" w14:textId="77777777" w:rsidR="001F08FE" w:rsidRPr="00EE5FF7" w:rsidRDefault="001F08FE">
            <w:pPr>
              <w:adjustRightInd w:val="0"/>
              <w:snapToGrid w:val="0"/>
              <w:rPr>
                <w:szCs w:val="22"/>
              </w:rPr>
            </w:pPr>
            <w:r w:rsidRPr="000059C9">
              <w:rPr>
                <w:szCs w:val="22"/>
              </w:rPr>
              <w:t>nával horúčavy</w:t>
            </w:r>
          </w:p>
        </w:tc>
        <w:tc>
          <w:tcPr>
            <w:tcW w:w="1559" w:type="dxa"/>
          </w:tcPr>
          <w:p w14:paraId="74FC9FBB" w14:textId="77777777" w:rsidR="001F08FE" w:rsidRPr="00EE5FF7" w:rsidRDefault="001F08FE">
            <w:pPr>
              <w:adjustRightInd w:val="0"/>
              <w:snapToGrid w:val="0"/>
              <w:rPr>
                <w:szCs w:val="22"/>
              </w:rPr>
            </w:pPr>
            <w:r w:rsidRPr="000059C9">
              <w:rPr>
                <w:szCs w:val="22"/>
              </w:rPr>
              <w:t>venózna tromboembólia</w:t>
            </w:r>
          </w:p>
          <w:p w14:paraId="1A88BF3F" w14:textId="77777777" w:rsidR="001F08FE" w:rsidRPr="001F4ACA" w:rsidRDefault="001F08FE">
            <w:pPr>
              <w:adjustRightInd w:val="0"/>
              <w:snapToGrid w:val="0"/>
              <w:rPr>
                <w:szCs w:val="22"/>
              </w:rPr>
            </w:pPr>
          </w:p>
          <w:p w14:paraId="0B1DA689" w14:textId="77777777" w:rsidR="001F08FE" w:rsidRPr="00EE5FF7" w:rsidRDefault="001F08FE">
            <w:pPr>
              <w:adjustRightInd w:val="0"/>
              <w:snapToGrid w:val="0"/>
              <w:rPr>
                <w:szCs w:val="22"/>
              </w:rPr>
            </w:pPr>
            <w:r w:rsidRPr="000059C9">
              <w:rPr>
                <w:szCs w:val="22"/>
              </w:rPr>
              <w:t>arteriálna tromboembólia</w:t>
            </w:r>
          </w:p>
          <w:p w14:paraId="0B8A96A9" w14:textId="77777777" w:rsidR="001F08FE" w:rsidRPr="001F4ACA" w:rsidRDefault="001F08FE">
            <w:pPr>
              <w:adjustRightInd w:val="0"/>
              <w:snapToGrid w:val="0"/>
              <w:rPr>
                <w:szCs w:val="22"/>
              </w:rPr>
            </w:pPr>
          </w:p>
        </w:tc>
        <w:tc>
          <w:tcPr>
            <w:tcW w:w="1559" w:type="dxa"/>
          </w:tcPr>
          <w:p w14:paraId="5EC29068" w14:textId="77777777" w:rsidR="001F08FE" w:rsidRPr="001F4ACA" w:rsidRDefault="001F08FE">
            <w:pPr>
              <w:adjustRightInd w:val="0"/>
              <w:snapToGrid w:val="0"/>
              <w:rPr>
                <w:szCs w:val="22"/>
              </w:rPr>
            </w:pPr>
          </w:p>
        </w:tc>
      </w:tr>
      <w:tr w:rsidR="001F08FE" w:rsidRPr="000059C9" w14:paraId="74D3EAEE" w14:textId="77777777" w:rsidTr="001F4ACA">
        <w:trPr>
          <w:cantSplit/>
          <w:jc w:val="center"/>
        </w:trPr>
        <w:tc>
          <w:tcPr>
            <w:tcW w:w="2148" w:type="dxa"/>
          </w:tcPr>
          <w:p w14:paraId="2C643621" w14:textId="77777777" w:rsidR="001F08FE" w:rsidRPr="00EE5FF7" w:rsidRDefault="001F08FE">
            <w:pPr>
              <w:adjustRightInd w:val="0"/>
              <w:snapToGrid w:val="0"/>
              <w:rPr>
                <w:szCs w:val="22"/>
              </w:rPr>
            </w:pPr>
            <w:r w:rsidRPr="000059C9">
              <w:rPr>
                <w:szCs w:val="22"/>
              </w:rPr>
              <w:t>Poruchy</w:t>
            </w:r>
            <w:r w:rsidRPr="000059C9">
              <w:rPr>
                <w:bCs/>
                <w:szCs w:val="22"/>
              </w:rPr>
              <w:t xml:space="preserve"> gastrointestinálneho traktu</w:t>
            </w:r>
          </w:p>
        </w:tc>
        <w:tc>
          <w:tcPr>
            <w:tcW w:w="1750" w:type="dxa"/>
          </w:tcPr>
          <w:p w14:paraId="1B7D4B2F" w14:textId="77777777" w:rsidR="001F08FE" w:rsidRPr="00EE5FF7" w:rsidRDefault="001F08FE">
            <w:pPr>
              <w:adjustRightInd w:val="0"/>
              <w:snapToGrid w:val="0"/>
              <w:rPr>
                <w:szCs w:val="22"/>
              </w:rPr>
            </w:pPr>
            <w:r w:rsidRPr="000059C9">
              <w:rPr>
                <w:bCs/>
                <w:szCs w:val="22"/>
              </w:rPr>
              <w:t>bolesť brucha, nauzea</w:t>
            </w:r>
          </w:p>
        </w:tc>
        <w:tc>
          <w:tcPr>
            <w:tcW w:w="1701" w:type="dxa"/>
          </w:tcPr>
          <w:p w14:paraId="30BA1095" w14:textId="77777777" w:rsidR="001F08FE" w:rsidRPr="00EE5FF7" w:rsidRDefault="001F08FE">
            <w:pPr>
              <w:adjustRightInd w:val="0"/>
              <w:snapToGrid w:val="0"/>
              <w:rPr>
                <w:szCs w:val="22"/>
              </w:rPr>
            </w:pPr>
            <w:r w:rsidRPr="000059C9">
              <w:rPr>
                <w:bCs/>
                <w:szCs w:val="22"/>
              </w:rPr>
              <w:t>abdominálna distenzia, hnačka, vracanie, zápcha</w:t>
            </w:r>
          </w:p>
        </w:tc>
        <w:tc>
          <w:tcPr>
            <w:tcW w:w="1559" w:type="dxa"/>
          </w:tcPr>
          <w:p w14:paraId="6D1AFB0B" w14:textId="77777777" w:rsidR="001F08FE" w:rsidRPr="001F4ACA" w:rsidRDefault="001F08FE">
            <w:pPr>
              <w:adjustRightInd w:val="0"/>
              <w:snapToGrid w:val="0"/>
              <w:rPr>
                <w:szCs w:val="22"/>
              </w:rPr>
            </w:pPr>
          </w:p>
        </w:tc>
        <w:tc>
          <w:tcPr>
            <w:tcW w:w="1559" w:type="dxa"/>
          </w:tcPr>
          <w:p w14:paraId="3F1DC9CF" w14:textId="77777777" w:rsidR="001F08FE" w:rsidRPr="001F4ACA" w:rsidRDefault="001F08FE">
            <w:pPr>
              <w:adjustRightInd w:val="0"/>
              <w:snapToGrid w:val="0"/>
              <w:rPr>
                <w:szCs w:val="22"/>
              </w:rPr>
            </w:pPr>
          </w:p>
        </w:tc>
      </w:tr>
      <w:tr w:rsidR="001F08FE" w:rsidRPr="000059C9" w14:paraId="780DA1EE" w14:textId="77777777" w:rsidTr="001F4ACA">
        <w:trPr>
          <w:cantSplit/>
          <w:jc w:val="center"/>
        </w:trPr>
        <w:tc>
          <w:tcPr>
            <w:tcW w:w="2148" w:type="dxa"/>
          </w:tcPr>
          <w:p w14:paraId="00E89969" w14:textId="77777777" w:rsidR="001F08FE" w:rsidRPr="00EE5FF7" w:rsidRDefault="001F08FE">
            <w:pPr>
              <w:adjustRightInd w:val="0"/>
              <w:snapToGrid w:val="0"/>
              <w:rPr>
                <w:szCs w:val="22"/>
              </w:rPr>
            </w:pPr>
            <w:r w:rsidRPr="000059C9">
              <w:rPr>
                <w:szCs w:val="22"/>
              </w:rPr>
              <w:t>Poruchy kože a</w:t>
            </w:r>
            <w:r w:rsidRPr="000059C9">
              <w:rPr>
                <w:bCs/>
                <w:szCs w:val="22"/>
              </w:rPr>
              <w:t> </w:t>
            </w:r>
            <w:r w:rsidRPr="000059C9">
              <w:rPr>
                <w:szCs w:val="22"/>
              </w:rPr>
              <w:t>podkožného tkaniva</w:t>
            </w:r>
          </w:p>
        </w:tc>
        <w:tc>
          <w:tcPr>
            <w:tcW w:w="1750" w:type="dxa"/>
          </w:tcPr>
          <w:p w14:paraId="765208D0" w14:textId="77777777" w:rsidR="001F08FE" w:rsidRPr="00EE5FF7" w:rsidRDefault="001F08FE">
            <w:pPr>
              <w:adjustRightInd w:val="0"/>
              <w:snapToGrid w:val="0"/>
              <w:rPr>
                <w:szCs w:val="22"/>
              </w:rPr>
            </w:pPr>
            <w:r w:rsidRPr="000059C9">
              <w:rPr>
                <w:szCs w:val="22"/>
              </w:rPr>
              <w:t>akné</w:t>
            </w:r>
          </w:p>
        </w:tc>
        <w:tc>
          <w:tcPr>
            <w:tcW w:w="1701" w:type="dxa"/>
          </w:tcPr>
          <w:p w14:paraId="44291231" w14:textId="77777777" w:rsidR="001F08FE" w:rsidRPr="00EE5FF7" w:rsidRDefault="001F08FE">
            <w:pPr>
              <w:adjustRightInd w:val="0"/>
              <w:snapToGrid w:val="0"/>
              <w:rPr>
                <w:szCs w:val="22"/>
              </w:rPr>
            </w:pPr>
            <w:r w:rsidRPr="000059C9">
              <w:rPr>
                <w:szCs w:val="22"/>
              </w:rPr>
              <w:t>alopécia, ekzém, pruritus, vyrážka</w:t>
            </w:r>
          </w:p>
        </w:tc>
        <w:tc>
          <w:tcPr>
            <w:tcW w:w="1559" w:type="dxa"/>
          </w:tcPr>
          <w:p w14:paraId="76ABC620" w14:textId="77777777" w:rsidR="001F08FE" w:rsidRPr="001F4ACA" w:rsidRDefault="001F08FE">
            <w:pPr>
              <w:adjustRightInd w:val="0"/>
              <w:snapToGrid w:val="0"/>
              <w:rPr>
                <w:szCs w:val="22"/>
              </w:rPr>
            </w:pPr>
          </w:p>
        </w:tc>
        <w:tc>
          <w:tcPr>
            <w:tcW w:w="1559" w:type="dxa"/>
          </w:tcPr>
          <w:p w14:paraId="36DCC225" w14:textId="77777777" w:rsidR="001F08FE" w:rsidRPr="00EE5FF7" w:rsidRDefault="001F08FE">
            <w:pPr>
              <w:adjustRightInd w:val="0"/>
              <w:snapToGrid w:val="0"/>
              <w:rPr>
                <w:szCs w:val="22"/>
              </w:rPr>
            </w:pPr>
            <w:r w:rsidRPr="000059C9">
              <w:rPr>
                <w:szCs w:val="22"/>
              </w:rPr>
              <w:t>chloazma</w:t>
            </w:r>
          </w:p>
          <w:p w14:paraId="4E10DD7B" w14:textId="77777777" w:rsidR="001F08FE" w:rsidRPr="00EE5FF7" w:rsidRDefault="001F08FE">
            <w:pPr>
              <w:adjustRightInd w:val="0"/>
              <w:snapToGrid w:val="0"/>
              <w:rPr>
                <w:szCs w:val="22"/>
              </w:rPr>
            </w:pPr>
            <w:r w:rsidRPr="000059C9">
              <w:rPr>
                <w:szCs w:val="22"/>
              </w:rPr>
              <w:t>žihľavka</w:t>
            </w:r>
          </w:p>
        </w:tc>
      </w:tr>
      <w:tr w:rsidR="001F08FE" w:rsidRPr="000059C9" w14:paraId="1F625787" w14:textId="77777777" w:rsidTr="001F4ACA">
        <w:trPr>
          <w:cantSplit/>
          <w:jc w:val="center"/>
        </w:trPr>
        <w:tc>
          <w:tcPr>
            <w:tcW w:w="2148" w:type="dxa"/>
          </w:tcPr>
          <w:p w14:paraId="3E0A1708" w14:textId="77777777" w:rsidR="001F08FE" w:rsidRPr="00EE5FF7" w:rsidRDefault="001F08FE">
            <w:pPr>
              <w:adjustRightInd w:val="0"/>
              <w:snapToGrid w:val="0"/>
              <w:rPr>
                <w:bCs/>
                <w:szCs w:val="22"/>
              </w:rPr>
            </w:pPr>
            <w:r w:rsidRPr="000059C9">
              <w:rPr>
                <w:szCs w:val="22"/>
              </w:rPr>
              <w:t>Poruchy kostrovej a svalovej sústavy a spojivového tkaniva</w:t>
            </w:r>
          </w:p>
        </w:tc>
        <w:tc>
          <w:tcPr>
            <w:tcW w:w="1750" w:type="dxa"/>
          </w:tcPr>
          <w:p w14:paraId="24225338" w14:textId="77777777" w:rsidR="001F08FE" w:rsidRPr="001F4ACA" w:rsidRDefault="001F08FE">
            <w:pPr>
              <w:adjustRightInd w:val="0"/>
              <w:snapToGrid w:val="0"/>
              <w:rPr>
                <w:b/>
                <w:szCs w:val="22"/>
              </w:rPr>
            </w:pPr>
          </w:p>
        </w:tc>
        <w:tc>
          <w:tcPr>
            <w:tcW w:w="1701" w:type="dxa"/>
          </w:tcPr>
          <w:p w14:paraId="53DF3F7E" w14:textId="77777777" w:rsidR="001F08FE" w:rsidRPr="00EE5FF7" w:rsidRDefault="001F08FE">
            <w:pPr>
              <w:adjustRightInd w:val="0"/>
              <w:snapToGrid w:val="0"/>
              <w:rPr>
                <w:b/>
                <w:szCs w:val="22"/>
              </w:rPr>
            </w:pPr>
            <w:r w:rsidRPr="000059C9">
              <w:rPr>
                <w:szCs w:val="22"/>
              </w:rPr>
              <w:t>bolesť chrbta, svalové spazmy, bolesť v</w:t>
            </w:r>
            <w:r w:rsidRPr="000059C9">
              <w:rPr>
                <w:bCs/>
                <w:szCs w:val="22"/>
              </w:rPr>
              <w:t> </w:t>
            </w:r>
            <w:r w:rsidRPr="000059C9">
              <w:rPr>
                <w:szCs w:val="22"/>
              </w:rPr>
              <w:t>končatine</w:t>
            </w:r>
          </w:p>
        </w:tc>
        <w:tc>
          <w:tcPr>
            <w:tcW w:w="1559" w:type="dxa"/>
          </w:tcPr>
          <w:p w14:paraId="3693AECC" w14:textId="77777777" w:rsidR="001F08FE" w:rsidRPr="001F4ACA" w:rsidRDefault="001F08FE">
            <w:pPr>
              <w:adjustRightInd w:val="0"/>
              <w:snapToGrid w:val="0"/>
              <w:rPr>
                <w:b/>
                <w:szCs w:val="22"/>
              </w:rPr>
            </w:pPr>
          </w:p>
        </w:tc>
        <w:tc>
          <w:tcPr>
            <w:tcW w:w="1559" w:type="dxa"/>
          </w:tcPr>
          <w:p w14:paraId="5AA5A2C5" w14:textId="77777777" w:rsidR="001F08FE" w:rsidRPr="001F4ACA" w:rsidRDefault="001F08FE">
            <w:pPr>
              <w:adjustRightInd w:val="0"/>
              <w:snapToGrid w:val="0"/>
              <w:rPr>
                <w:b/>
                <w:szCs w:val="22"/>
              </w:rPr>
            </w:pPr>
          </w:p>
        </w:tc>
      </w:tr>
      <w:tr w:rsidR="001F08FE" w:rsidRPr="000059C9" w14:paraId="04ACE17F" w14:textId="77777777" w:rsidTr="001F4ACA">
        <w:trPr>
          <w:cantSplit/>
          <w:jc w:val="center"/>
        </w:trPr>
        <w:tc>
          <w:tcPr>
            <w:tcW w:w="2148" w:type="dxa"/>
          </w:tcPr>
          <w:p w14:paraId="1AC4A877" w14:textId="77777777" w:rsidR="001F08FE" w:rsidRPr="00EE5FF7" w:rsidRDefault="001F08FE">
            <w:pPr>
              <w:adjustRightInd w:val="0"/>
              <w:snapToGrid w:val="0"/>
              <w:rPr>
                <w:szCs w:val="22"/>
              </w:rPr>
            </w:pPr>
            <w:r w:rsidRPr="000059C9">
              <w:rPr>
                <w:szCs w:val="22"/>
              </w:rPr>
              <w:t>Poruchy obličiek a močových ciest</w:t>
            </w:r>
          </w:p>
        </w:tc>
        <w:tc>
          <w:tcPr>
            <w:tcW w:w="1750" w:type="dxa"/>
          </w:tcPr>
          <w:p w14:paraId="057FAF95" w14:textId="77777777" w:rsidR="001F08FE" w:rsidRPr="001F4ACA" w:rsidRDefault="001F08FE">
            <w:pPr>
              <w:adjustRightInd w:val="0"/>
              <w:snapToGrid w:val="0"/>
              <w:rPr>
                <w:szCs w:val="22"/>
              </w:rPr>
            </w:pPr>
          </w:p>
        </w:tc>
        <w:tc>
          <w:tcPr>
            <w:tcW w:w="1701" w:type="dxa"/>
          </w:tcPr>
          <w:p w14:paraId="0E7F8C26" w14:textId="77777777" w:rsidR="001F08FE" w:rsidRPr="00EE5FF7" w:rsidRDefault="001F08FE">
            <w:pPr>
              <w:adjustRightInd w:val="0"/>
              <w:snapToGrid w:val="0"/>
              <w:rPr>
                <w:szCs w:val="22"/>
              </w:rPr>
            </w:pPr>
            <w:r w:rsidRPr="000059C9">
              <w:rPr>
                <w:szCs w:val="22"/>
              </w:rPr>
              <w:t>dyzúria, nutkanie na močenie, polakizúria</w:t>
            </w:r>
          </w:p>
        </w:tc>
        <w:tc>
          <w:tcPr>
            <w:tcW w:w="1559" w:type="dxa"/>
          </w:tcPr>
          <w:p w14:paraId="4E3036F1" w14:textId="77777777" w:rsidR="001F08FE" w:rsidRPr="001F4ACA" w:rsidRDefault="001F08FE">
            <w:pPr>
              <w:adjustRightInd w:val="0"/>
              <w:snapToGrid w:val="0"/>
              <w:rPr>
                <w:szCs w:val="22"/>
              </w:rPr>
            </w:pPr>
          </w:p>
        </w:tc>
        <w:tc>
          <w:tcPr>
            <w:tcW w:w="1559" w:type="dxa"/>
          </w:tcPr>
          <w:p w14:paraId="2AB88AAD" w14:textId="77777777" w:rsidR="001F08FE" w:rsidRPr="001F4ACA" w:rsidRDefault="001F08FE">
            <w:pPr>
              <w:adjustRightInd w:val="0"/>
              <w:snapToGrid w:val="0"/>
              <w:rPr>
                <w:szCs w:val="22"/>
              </w:rPr>
            </w:pPr>
          </w:p>
        </w:tc>
      </w:tr>
      <w:tr w:rsidR="001F08FE" w:rsidRPr="000059C9" w14:paraId="1CB902E3" w14:textId="77777777" w:rsidTr="001F4ACA">
        <w:trPr>
          <w:cantSplit/>
          <w:jc w:val="center"/>
        </w:trPr>
        <w:tc>
          <w:tcPr>
            <w:tcW w:w="2148" w:type="dxa"/>
          </w:tcPr>
          <w:p w14:paraId="77538606" w14:textId="77777777" w:rsidR="001F08FE" w:rsidRPr="00EE5FF7" w:rsidRDefault="001F08FE">
            <w:pPr>
              <w:adjustRightInd w:val="0"/>
              <w:snapToGrid w:val="0"/>
              <w:rPr>
                <w:szCs w:val="22"/>
              </w:rPr>
            </w:pPr>
            <w:r w:rsidRPr="000059C9">
              <w:rPr>
                <w:szCs w:val="22"/>
              </w:rPr>
              <w:t>Poruchy reprodukčného systému a</w:t>
            </w:r>
            <w:r w:rsidRPr="000059C9">
              <w:rPr>
                <w:bCs/>
                <w:szCs w:val="22"/>
              </w:rPr>
              <w:t> </w:t>
            </w:r>
            <w:r w:rsidRPr="000059C9">
              <w:rPr>
                <w:szCs w:val="22"/>
              </w:rPr>
              <w:t>prsníkov</w:t>
            </w:r>
          </w:p>
        </w:tc>
        <w:tc>
          <w:tcPr>
            <w:tcW w:w="1750" w:type="dxa"/>
          </w:tcPr>
          <w:p w14:paraId="5A49798E" w14:textId="77777777" w:rsidR="001F08FE" w:rsidRPr="00EE5FF7" w:rsidRDefault="001F08FE">
            <w:pPr>
              <w:adjustRightInd w:val="0"/>
              <w:snapToGrid w:val="0"/>
              <w:rPr>
                <w:szCs w:val="22"/>
              </w:rPr>
            </w:pPr>
            <w:r w:rsidRPr="000059C9">
              <w:rPr>
                <w:szCs w:val="22"/>
              </w:rPr>
              <w:t xml:space="preserve">citlivosť prsníkov, pruritus na ženských pohlavných orgánoch, </w:t>
            </w:r>
            <w:r w:rsidRPr="000059C9">
              <w:rPr>
                <w:bCs/>
                <w:szCs w:val="22"/>
              </w:rPr>
              <w:t xml:space="preserve">dysmenorea, </w:t>
            </w:r>
            <w:r w:rsidRPr="000059C9">
              <w:rPr>
                <w:szCs w:val="22"/>
              </w:rPr>
              <w:t xml:space="preserve">bolesť panvy, </w:t>
            </w:r>
            <w:r w:rsidRPr="000059C9">
              <w:rPr>
                <w:bCs/>
                <w:szCs w:val="22"/>
              </w:rPr>
              <w:t>vaginálny výtok</w:t>
            </w:r>
          </w:p>
        </w:tc>
        <w:tc>
          <w:tcPr>
            <w:tcW w:w="1701" w:type="dxa"/>
          </w:tcPr>
          <w:p w14:paraId="4FC933A5" w14:textId="77777777" w:rsidR="001F08FE" w:rsidRPr="00EE5FF7" w:rsidRDefault="001F08FE">
            <w:pPr>
              <w:adjustRightInd w:val="0"/>
              <w:snapToGrid w:val="0"/>
              <w:rPr>
                <w:szCs w:val="22"/>
              </w:rPr>
            </w:pPr>
            <w:r w:rsidRPr="000059C9">
              <w:rPr>
                <w:szCs w:val="22"/>
              </w:rPr>
              <w:t>amenorea, diskomfort prsníkov, zväčšenie prsníkov, zväčšenie objemu prsníkov, cervikálny polyp, koitálne krvácanie, dyspareunia, ektrópium cervixu, fibrocystické ochorenie prsníkov, menorágia, metrorágia, diskomfort panvy, predmenštruačný syndróm, uterinný spazmus, pocit pálenia v pošve, vaginálny zápach, vaginálna bolesť, vulvovaginálny diskomfort, vulvovaginálna suchosť</w:t>
            </w:r>
          </w:p>
        </w:tc>
        <w:tc>
          <w:tcPr>
            <w:tcW w:w="1559" w:type="dxa"/>
          </w:tcPr>
          <w:p w14:paraId="74CF32D4" w14:textId="77777777" w:rsidR="001F08FE" w:rsidRPr="00EE5FF7" w:rsidRDefault="001F08FE">
            <w:pPr>
              <w:adjustRightInd w:val="0"/>
              <w:snapToGrid w:val="0"/>
              <w:rPr>
                <w:szCs w:val="22"/>
              </w:rPr>
            </w:pPr>
            <w:r w:rsidRPr="000059C9">
              <w:rPr>
                <w:szCs w:val="22"/>
              </w:rPr>
              <w:t>galaktorea</w:t>
            </w:r>
          </w:p>
        </w:tc>
        <w:tc>
          <w:tcPr>
            <w:tcW w:w="1559" w:type="dxa"/>
          </w:tcPr>
          <w:p w14:paraId="4BDDF2D0" w14:textId="77777777" w:rsidR="001F08FE" w:rsidRPr="00EE5FF7" w:rsidRDefault="001F08FE">
            <w:pPr>
              <w:adjustRightInd w:val="0"/>
              <w:snapToGrid w:val="0"/>
              <w:rPr>
                <w:szCs w:val="22"/>
              </w:rPr>
            </w:pPr>
            <w:r w:rsidRPr="000059C9">
              <w:rPr>
                <w:szCs w:val="22"/>
              </w:rPr>
              <w:t>poruchy penisu</w:t>
            </w:r>
          </w:p>
        </w:tc>
      </w:tr>
      <w:tr w:rsidR="001F08FE" w:rsidRPr="000059C9" w14:paraId="51362FC4" w14:textId="77777777" w:rsidTr="001F4ACA">
        <w:trPr>
          <w:cantSplit/>
          <w:jc w:val="center"/>
        </w:trPr>
        <w:tc>
          <w:tcPr>
            <w:tcW w:w="2148" w:type="dxa"/>
          </w:tcPr>
          <w:p w14:paraId="00B07278" w14:textId="77777777" w:rsidR="001F08FE" w:rsidRPr="00EE5FF7" w:rsidRDefault="001F08FE">
            <w:pPr>
              <w:adjustRightInd w:val="0"/>
              <w:snapToGrid w:val="0"/>
              <w:rPr>
                <w:szCs w:val="22"/>
              </w:rPr>
            </w:pPr>
            <w:r w:rsidRPr="000059C9">
              <w:rPr>
                <w:szCs w:val="22"/>
              </w:rPr>
              <w:t>Celkové poruchy a</w:t>
            </w:r>
            <w:r w:rsidRPr="000059C9">
              <w:rPr>
                <w:bCs/>
                <w:szCs w:val="22"/>
              </w:rPr>
              <w:t> </w:t>
            </w:r>
            <w:r w:rsidRPr="000059C9">
              <w:rPr>
                <w:szCs w:val="22"/>
              </w:rPr>
              <w:t>reakcie v</w:t>
            </w:r>
            <w:r w:rsidRPr="000059C9">
              <w:rPr>
                <w:bCs/>
                <w:szCs w:val="22"/>
              </w:rPr>
              <w:t> </w:t>
            </w:r>
            <w:r w:rsidRPr="000059C9">
              <w:rPr>
                <w:szCs w:val="22"/>
              </w:rPr>
              <w:t>mieste podania</w:t>
            </w:r>
          </w:p>
        </w:tc>
        <w:tc>
          <w:tcPr>
            <w:tcW w:w="1750" w:type="dxa"/>
          </w:tcPr>
          <w:p w14:paraId="0C241B52" w14:textId="77777777" w:rsidR="001F08FE" w:rsidRPr="001F4ACA" w:rsidRDefault="001F08FE">
            <w:pPr>
              <w:adjustRightInd w:val="0"/>
              <w:snapToGrid w:val="0"/>
              <w:rPr>
                <w:szCs w:val="22"/>
              </w:rPr>
            </w:pPr>
          </w:p>
        </w:tc>
        <w:tc>
          <w:tcPr>
            <w:tcW w:w="1701" w:type="dxa"/>
          </w:tcPr>
          <w:p w14:paraId="6038D555" w14:textId="77777777" w:rsidR="001F08FE" w:rsidRPr="00EE5FF7" w:rsidRDefault="001F08FE">
            <w:pPr>
              <w:adjustRightInd w:val="0"/>
              <w:snapToGrid w:val="0"/>
              <w:rPr>
                <w:szCs w:val="22"/>
              </w:rPr>
            </w:pPr>
            <w:r w:rsidRPr="000059C9">
              <w:rPr>
                <w:szCs w:val="22"/>
              </w:rPr>
              <w:t xml:space="preserve">únava, podráždenosť, malátnosť, edém, </w:t>
            </w:r>
            <w:r w:rsidRPr="000059C9">
              <w:rPr>
                <w:bCs/>
                <w:szCs w:val="22"/>
              </w:rPr>
              <w:t>pocit cudzieho telesa</w:t>
            </w:r>
          </w:p>
        </w:tc>
        <w:tc>
          <w:tcPr>
            <w:tcW w:w="1559" w:type="dxa"/>
          </w:tcPr>
          <w:p w14:paraId="7F5CFA39" w14:textId="77777777" w:rsidR="001F08FE" w:rsidRPr="001F4ACA" w:rsidRDefault="001F08FE">
            <w:pPr>
              <w:adjustRightInd w:val="0"/>
              <w:snapToGrid w:val="0"/>
              <w:rPr>
                <w:szCs w:val="22"/>
              </w:rPr>
            </w:pPr>
          </w:p>
        </w:tc>
        <w:tc>
          <w:tcPr>
            <w:tcW w:w="1559" w:type="dxa"/>
          </w:tcPr>
          <w:p w14:paraId="2CF86B39" w14:textId="1EC13DBF" w:rsidR="001F08FE" w:rsidRPr="00EE5FF7" w:rsidRDefault="00AB163E" w:rsidP="00EC16F0">
            <w:pPr>
              <w:adjustRightInd w:val="0"/>
              <w:snapToGrid w:val="0"/>
              <w:rPr>
                <w:szCs w:val="22"/>
              </w:rPr>
            </w:pPr>
            <w:r w:rsidRPr="009F3CD3">
              <w:rPr>
                <w:szCs w:val="22"/>
                <w:lang w:eastAsia="fr-BE"/>
              </w:rPr>
              <w:t>prerasteni</w:t>
            </w:r>
            <w:r w:rsidR="00EC16F0" w:rsidRPr="009F3CD3">
              <w:rPr>
                <w:szCs w:val="22"/>
                <w:lang w:eastAsia="fr-BE"/>
              </w:rPr>
              <w:t xml:space="preserve">e okolitého </w:t>
            </w:r>
            <w:r w:rsidRPr="009F3CD3">
              <w:rPr>
                <w:szCs w:val="22"/>
                <w:lang w:eastAsia="fr-BE"/>
              </w:rPr>
              <w:t xml:space="preserve"> tkaniva</w:t>
            </w:r>
            <w:r w:rsidR="00EC16F0" w:rsidRPr="009F3CD3">
              <w:rPr>
                <w:szCs w:val="22"/>
                <w:lang w:eastAsia="fr-BE"/>
              </w:rPr>
              <w:t xml:space="preserve"> cez</w:t>
            </w:r>
            <w:r w:rsidRPr="009F3CD3">
              <w:rPr>
                <w:szCs w:val="22"/>
                <w:lang w:eastAsia="fr-BE"/>
              </w:rPr>
              <w:t xml:space="preserve"> </w:t>
            </w:r>
            <w:r w:rsidR="00EC16F0" w:rsidRPr="009F3CD3">
              <w:rPr>
                <w:szCs w:val="22"/>
                <w:lang w:eastAsia="fr-BE"/>
              </w:rPr>
              <w:t>vaginálny krúžok</w:t>
            </w:r>
          </w:p>
        </w:tc>
      </w:tr>
      <w:tr w:rsidR="001F08FE" w:rsidRPr="000059C9" w14:paraId="6B573823" w14:textId="77777777" w:rsidTr="001F4ACA">
        <w:trPr>
          <w:cantSplit/>
          <w:jc w:val="center"/>
        </w:trPr>
        <w:tc>
          <w:tcPr>
            <w:tcW w:w="2148" w:type="dxa"/>
          </w:tcPr>
          <w:p w14:paraId="26D345AD" w14:textId="77777777" w:rsidR="001F08FE" w:rsidRPr="00EE5FF7" w:rsidRDefault="001F08FE">
            <w:pPr>
              <w:adjustRightInd w:val="0"/>
              <w:snapToGrid w:val="0"/>
              <w:rPr>
                <w:szCs w:val="22"/>
              </w:rPr>
            </w:pPr>
            <w:r w:rsidRPr="000059C9">
              <w:rPr>
                <w:szCs w:val="22"/>
              </w:rPr>
              <w:t>Laboratórne a funkčné vyšetrenia</w:t>
            </w:r>
          </w:p>
        </w:tc>
        <w:tc>
          <w:tcPr>
            <w:tcW w:w="1750" w:type="dxa"/>
          </w:tcPr>
          <w:p w14:paraId="1224BEAA" w14:textId="77777777" w:rsidR="001F08FE" w:rsidRPr="00EE5FF7" w:rsidRDefault="001F08FE">
            <w:pPr>
              <w:adjustRightInd w:val="0"/>
              <w:snapToGrid w:val="0"/>
              <w:rPr>
                <w:szCs w:val="22"/>
              </w:rPr>
            </w:pPr>
            <w:r w:rsidRPr="000059C9">
              <w:rPr>
                <w:szCs w:val="22"/>
              </w:rPr>
              <w:t>zvýšenie telesnej hmotnosti</w:t>
            </w:r>
          </w:p>
        </w:tc>
        <w:tc>
          <w:tcPr>
            <w:tcW w:w="1701" w:type="dxa"/>
          </w:tcPr>
          <w:p w14:paraId="26B337CE" w14:textId="77777777" w:rsidR="001F08FE" w:rsidRPr="00EE5FF7" w:rsidRDefault="001F08FE">
            <w:pPr>
              <w:adjustRightInd w:val="0"/>
              <w:snapToGrid w:val="0"/>
              <w:rPr>
                <w:szCs w:val="22"/>
              </w:rPr>
            </w:pPr>
            <w:r w:rsidRPr="000059C9">
              <w:rPr>
                <w:szCs w:val="22"/>
              </w:rPr>
              <w:t>zvýšený krvný tlak</w:t>
            </w:r>
          </w:p>
        </w:tc>
        <w:tc>
          <w:tcPr>
            <w:tcW w:w="1559" w:type="dxa"/>
          </w:tcPr>
          <w:p w14:paraId="4470AE94" w14:textId="77777777" w:rsidR="001F08FE" w:rsidRPr="001F4ACA" w:rsidRDefault="001F08FE">
            <w:pPr>
              <w:adjustRightInd w:val="0"/>
              <w:snapToGrid w:val="0"/>
              <w:rPr>
                <w:szCs w:val="22"/>
              </w:rPr>
            </w:pPr>
          </w:p>
        </w:tc>
        <w:tc>
          <w:tcPr>
            <w:tcW w:w="1559" w:type="dxa"/>
          </w:tcPr>
          <w:p w14:paraId="31E64E51" w14:textId="77777777" w:rsidR="001F08FE" w:rsidRPr="001F4ACA" w:rsidRDefault="001F08FE">
            <w:pPr>
              <w:adjustRightInd w:val="0"/>
              <w:snapToGrid w:val="0"/>
              <w:rPr>
                <w:szCs w:val="22"/>
              </w:rPr>
            </w:pPr>
          </w:p>
        </w:tc>
      </w:tr>
      <w:tr w:rsidR="001F08FE" w:rsidRPr="000059C9" w14:paraId="01FDB1FA" w14:textId="77777777" w:rsidTr="001F4ACA">
        <w:trPr>
          <w:cantSplit/>
          <w:jc w:val="center"/>
        </w:trPr>
        <w:tc>
          <w:tcPr>
            <w:tcW w:w="2148" w:type="dxa"/>
          </w:tcPr>
          <w:p w14:paraId="0C119832" w14:textId="77777777" w:rsidR="001F08FE" w:rsidRPr="00EE5FF7" w:rsidRDefault="001F08FE">
            <w:pPr>
              <w:keepNext/>
              <w:adjustRightInd w:val="0"/>
              <w:snapToGrid w:val="0"/>
              <w:rPr>
                <w:szCs w:val="22"/>
              </w:rPr>
            </w:pPr>
            <w:r w:rsidRPr="000059C9">
              <w:rPr>
                <w:szCs w:val="22"/>
              </w:rPr>
              <w:t>Úrazy, otravy a komplikácie liečebného postupu</w:t>
            </w:r>
          </w:p>
        </w:tc>
        <w:tc>
          <w:tcPr>
            <w:tcW w:w="1750" w:type="dxa"/>
          </w:tcPr>
          <w:p w14:paraId="1A0864D9" w14:textId="77777777" w:rsidR="001F08FE" w:rsidRPr="00EE5FF7" w:rsidRDefault="001F08FE">
            <w:pPr>
              <w:keepNext/>
              <w:adjustRightInd w:val="0"/>
              <w:snapToGrid w:val="0"/>
              <w:rPr>
                <w:szCs w:val="22"/>
              </w:rPr>
            </w:pPr>
            <w:r w:rsidRPr="000059C9">
              <w:rPr>
                <w:szCs w:val="22"/>
              </w:rPr>
              <w:t>nepríjemný pocit zo zavedenej zdravotníckej pomôcky, vypudenie vaginálnej antikoncepčnej pomôcky</w:t>
            </w:r>
          </w:p>
        </w:tc>
        <w:tc>
          <w:tcPr>
            <w:tcW w:w="1701" w:type="dxa"/>
          </w:tcPr>
          <w:p w14:paraId="4F119287" w14:textId="77777777" w:rsidR="001F08FE" w:rsidRPr="00EE5FF7" w:rsidRDefault="001F08FE">
            <w:pPr>
              <w:keepNext/>
              <w:adjustRightInd w:val="0"/>
              <w:snapToGrid w:val="0"/>
              <w:rPr>
                <w:szCs w:val="22"/>
              </w:rPr>
            </w:pPr>
            <w:r w:rsidRPr="000059C9">
              <w:rPr>
                <w:szCs w:val="22"/>
              </w:rPr>
              <w:t>ťažkosti s antikoncepčnou pomôckou, zlomenie pomôcky</w:t>
            </w:r>
          </w:p>
        </w:tc>
        <w:tc>
          <w:tcPr>
            <w:tcW w:w="1559" w:type="dxa"/>
          </w:tcPr>
          <w:p w14:paraId="702F19A2" w14:textId="77777777" w:rsidR="001F08FE" w:rsidRPr="001F4ACA" w:rsidRDefault="001F08FE">
            <w:pPr>
              <w:keepNext/>
              <w:adjustRightInd w:val="0"/>
              <w:snapToGrid w:val="0"/>
              <w:rPr>
                <w:szCs w:val="22"/>
              </w:rPr>
            </w:pPr>
          </w:p>
        </w:tc>
        <w:tc>
          <w:tcPr>
            <w:tcW w:w="1559" w:type="dxa"/>
          </w:tcPr>
          <w:p w14:paraId="59F75ED3" w14:textId="77777777" w:rsidR="001F08FE" w:rsidRPr="001F4ACA" w:rsidRDefault="001F08FE">
            <w:pPr>
              <w:keepNext/>
              <w:adjustRightInd w:val="0"/>
              <w:snapToGrid w:val="0"/>
              <w:rPr>
                <w:szCs w:val="22"/>
              </w:rPr>
            </w:pPr>
          </w:p>
        </w:tc>
      </w:tr>
    </w:tbl>
    <w:p w14:paraId="7CA177D1" w14:textId="77777777" w:rsidR="001F08FE" w:rsidRPr="001F4ACA" w:rsidRDefault="00115BB2">
      <w:pPr>
        <w:tabs>
          <w:tab w:val="left" w:pos="284"/>
        </w:tabs>
        <w:adjustRightInd w:val="0"/>
        <w:snapToGrid w:val="0"/>
        <w:rPr>
          <w:bCs/>
          <w:szCs w:val="22"/>
        </w:rPr>
      </w:pPr>
      <w:r>
        <w:rPr>
          <w:szCs w:val="22"/>
        </w:rPr>
        <w:tab/>
      </w:r>
      <w:r>
        <w:rPr>
          <w:szCs w:val="22"/>
        </w:rPr>
        <w:tab/>
      </w:r>
      <w:r w:rsidR="001F08FE" w:rsidRPr="001F4ACA">
        <w:rPr>
          <w:rStyle w:val="Odkaznapoznmkupodiarou"/>
          <w:szCs w:val="22"/>
        </w:rPr>
        <w:footnoteRef/>
      </w:r>
      <w:r w:rsidR="001F08FE" w:rsidRPr="001F4ACA">
        <w:rPr>
          <w:szCs w:val="22"/>
        </w:rPr>
        <w:t xml:space="preserve">) </w:t>
      </w:r>
      <w:r w:rsidR="001F08FE" w:rsidRPr="001F4ACA">
        <w:rPr>
          <w:bCs/>
          <w:szCs w:val="22"/>
        </w:rPr>
        <w:t>Uvádzanie nežiaducich udalostí vychádza zo spontánneho hlásenia.</w:t>
      </w:r>
    </w:p>
    <w:p w14:paraId="597E8F61" w14:textId="77777777" w:rsidR="001F08FE" w:rsidRPr="000059C9" w:rsidRDefault="001F08FE">
      <w:pPr>
        <w:adjustRightInd w:val="0"/>
        <w:snapToGrid w:val="0"/>
        <w:rPr>
          <w:bCs/>
          <w:szCs w:val="22"/>
        </w:rPr>
      </w:pPr>
    </w:p>
    <w:p w14:paraId="674F4FC8" w14:textId="77777777" w:rsidR="001F08FE" w:rsidRPr="000059C9" w:rsidRDefault="001F08FE" w:rsidP="001F4ACA">
      <w:r w:rsidRPr="000059C9">
        <w:t>V súvislosti s používaním CHC sa hlásili nádory závislé od hormónov (napr. nádory pečene, rakovina prsníka). Pre ďalšie informácie pozri časť 4.4.</w:t>
      </w:r>
    </w:p>
    <w:p w14:paraId="68B499CC" w14:textId="77777777" w:rsidR="001F08FE" w:rsidRPr="000059C9" w:rsidRDefault="001F08FE" w:rsidP="001F4ACA"/>
    <w:p w14:paraId="737D27C2" w14:textId="77777777" w:rsidR="001F08FE" w:rsidRPr="000059C9" w:rsidRDefault="001F08FE" w:rsidP="001F4ACA">
      <w:pPr>
        <w:rPr>
          <w:i/>
          <w:u w:val="single"/>
        </w:rPr>
      </w:pPr>
      <w:r w:rsidRPr="000059C9">
        <w:rPr>
          <w:i/>
          <w:u w:val="single"/>
        </w:rPr>
        <w:t>Interakcie</w:t>
      </w:r>
    </w:p>
    <w:p w14:paraId="236B38F6" w14:textId="77777777" w:rsidR="001F08FE" w:rsidRPr="000059C9" w:rsidRDefault="001F08FE" w:rsidP="001F4ACA">
      <w:r w:rsidRPr="000059C9">
        <w:t>Interakcie iných liekov (induktorov enzýmov) s hormonálnymi kontraceptívami môžu viesť k medzimenštruačnému krvácaniu a/alebo k zlyhaniu kontraceptív (pozri časť 4.5).</w:t>
      </w:r>
    </w:p>
    <w:p w14:paraId="6374F607" w14:textId="77777777" w:rsidR="001F08FE" w:rsidRPr="000059C9" w:rsidRDefault="001F08FE" w:rsidP="001F4ACA"/>
    <w:p w14:paraId="190F6162" w14:textId="77777777" w:rsidR="001F08FE" w:rsidRPr="00EC16F0" w:rsidRDefault="001F08FE" w:rsidP="001F4ACA">
      <w:pPr>
        <w:rPr>
          <w:u w:val="single"/>
        </w:rPr>
      </w:pPr>
      <w:r w:rsidRPr="00EC16F0">
        <w:rPr>
          <w:u w:val="single"/>
        </w:rPr>
        <w:t>Hlásenie podozrení na nežiaduce reakcie</w:t>
      </w:r>
    </w:p>
    <w:p w14:paraId="7E17A339" w14:textId="77777777" w:rsidR="00844957" w:rsidRPr="00EC16F0" w:rsidRDefault="001F08FE" w:rsidP="001F4ACA">
      <w:pPr>
        <w:rPr>
          <w:noProof/>
          <w:shd w:val="clear" w:color="auto" w:fill="BFBFBF"/>
          <w:lang w:eastAsia="cs-CZ"/>
        </w:rPr>
      </w:pPr>
      <w:r w:rsidRPr="00EC16F0">
        <w:t xml:space="preserve">Hlásenie podozrení na nežiaduce reakcie po registrácii lieku je dôležité. Umožňuje priebežné monitorovanie pomeru prínosu a rizika lieku. </w:t>
      </w:r>
      <w:r w:rsidR="00F23AEC" w:rsidRPr="00EC16F0">
        <w:rPr>
          <w:lang w:eastAsia="cs-CZ"/>
        </w:rPr>
        <w:t xml:space="preserve">Od </w:t>
      </w:r>
      <w:r w:rsidR="00F23AEC" w:rsidRPr="00EC16F0">
        <w:rPr>
          <w:noProof/>
          <w:lang w:eastAsia="cs-CZ"/>
        </w:rPr>
        <w:t>zdravotníckych pracovníkov sa vyžaduje, aby hlásili akékoľvek podozrenia na nežiaduce reakcie na</w:t>
      </w:r>
      <w:r w:rsidR="00EC16F0">
        <w:rPr>
          <w:noProof/>
          <w:lang w:eastAsia="cs-CZ"/>
        </w:rPr>
        <w:t xml:space="preserve"> </w:t>
      </w:r>
      <w:r w:rsidR="00EC16F0" w:rsidRPr="009F3CD3">
        <w:rPr>
          <w:noProof/>
          <w:highlight w:val="lightGray"/>
          <w:lang w:eastAsia="cs-CZ"/>
        </w:rPr>
        <w:t>národné centrum hlásenia uvedené v </w:t>
      </w:r>
      <w:hyperlink r:id="rId12" w:history="1">
        <w:r w:rsidR="00EC16F0" w:rsidRPr="009F3CD3">
          <w:rPr>
            <w:rStyle w:val="Hypertextovprepojenie"/>
            <w:noProof/>
            <w:highlight w:val="lightGray"/>
            <w:lang w:eastAsia="cs-CZ"/>
          </w:rPr>
          <w:t>Prílohe V</w:t>
        </w:r>
      </w:hyperlink>
      <w:r w:rsidR="00EC16F0">
        <w:rPr>
          <w:noProof/>
          <w:lang w:eastAsia="cs-CZ"/>
        </w:rPr>
        <w:t>.</w:t>
      </w:r>
    </w:p>
    <w:p w14:paraId="00E9A01E" w14:textId="77777777" w:rsidR="00094EAC" w:rsidRPr="000059C9" w:rsidRDefault="00094EAC" w:rsidP="001F4ACA"/>
    <w:p w14:paraId="1DB03F92" w14:textId="77777777" w:rsidR="001F08FE" w:rsidRPr="001F4ACA" w:rsidRDefault="001F08FE" w:rsidP="001F4ACA">
      <w:pPr>
        <w:rPr>
          <w:b/>
        </w:rPr>
      </w:pPr>
      <w:r w:rsidRPr="001F4ACA">
        <w:rPr>
          <w:b/>
        </w:rPr>
        <w:t>4.9</w:t>
      </w:r>
      <w:r w:rsidRPr="001F4ACA">
        <w:rPr>
          <w:b/>
        </w:rPr>
        <w:tab/>
        <w:t>Predávkovanie</w:t>
      </w:r>
    </w:p>
    <w:p w14:paraId="0D837F03" w14:textId="77777777" w:rsidR="001F08FE" w:rsidRPr="000059C9" w:rsidRDefault="001F08FE" w:rsidP="001F4ACA"/>
    <w:p w14:paraId="08AC5333" w14:textId="77777777" w:rsidR="001F08FE" w:rsidRPr="000059C9" w:rsidRDefault="001F08FE" w:rsidP="001F4ACA">
      <w:pPr>
        <w:pStyle w:val="Zarkazkladnhotextu"/>
        <w:adjustRightInd w:val="0"/>
        <w:snapToGrid w:val="0"/>
        <w:ind w:left="0"/>
        <w:rPr>
          <w:rFonts w:cs="Times New Roman"/>
          <w:sz w:val="22"/>
          <w:szCs w:val="22"/>
        </w:rPr>
      </w:pPr>
      <w:r w:rsidRPr="000059C9">
        <w:rPr>
          <w:rFonts w:cs="Times New Roman"/>
          <w:sz w:val="22"/>
          <w:szCs w:val="22"/>
        </w:rPr>
        <w:t>Nezaznamenali sa žiadne závažné škodlivé účinky z predávkovania hormonálnymi kontraceptívami. Príznaky, ktoré sa v tomto prípade môžu objaviť, sú: nauzea, vracanie a</w:t>
      </w:r>
      <w:r w:rsidRPr="000059C9">
        <w:rPr>
          <w:rFonts w:cs="Times New Roman"/>
          <w:bCs/>
          <w:sz w:val="22"/>
          <w:szCs w:val="22"/>
        </w:rPr>
        <w:t> </w:t>
      </w:r>
      <w:r w:rsidRPr="000059C9">
        <w:rPr>
          <w:rFonts w:cs="Times New Roman"/>
          <w:sz w:val="22"/>
          <w:szCs w:val="22"/>
        </w:rPr>
        <w:t>u</w:t>
      </w:r>
      <w:r w:rsidRPr="000059C9">
        <w:rPr>
          <w:rFonts w:cs="Times New Roman"/>
          <w:bCs/>
          <w:sz w:val="22"/>
          <w:szCs w:val="22"/>
        </w:rPr>
        <w:t> </w:t>
      </w:r>
      <w:r w:rsidRPr="000059C9">
        <w:rPr>
          <w:rFonts w:cs="Times New Roman"/>
          <w:sz w:val="22"/>
          <w:szCs w:val="22"/>
        </w:rPr>
        <w:t>mladých dievčat slabé vaginálne krvácanie. Neexistujú žiadne antidotá a</w:t>
      </w:r>
      <w:r w:rsidRPr="000059C9">
        <w:rPr>
          <w:rFonts w:cs="Times New Roman"/>
          <w:bCs/>
          <w:sz w:val="22"/>
          <w:szCs w:val="22"/>
        </w:rPr>
        <w:t> </w:t>
      </w:r>
      <w:r w:rsidRPr="000059C9">
        <w:rPr>
          <w:rFonts w:cs="Times New Roman"/>
          <w:sz w:val="22"/>
          <w:szCs w:val="22"/>
        </w:rPr>
        <w:t>ďalšia liečba má byť symptomatická.</w:t>
      </w:r>
    </w:p>
    <w:p w14:paraId="560070BA" w14:textId="77777777" w:rsidR="001F08FE" w:rsidRPr="000059C9" w:rsidRDefault="001F08FE">
      <w:pPr>
        <w:adjustRightInd w:val="0"/>
        <w:snapToGrid w:val="0"/>
        <w:rPr>
          <w:szCs w:val="22"/>
        </w:rPr>
      </w:pPr>
    </w:p>
    <w:p w14:paraId="69F183AB" w14:textId="77777777" w:rsidR="001F08FE" w:rsidRPr="000059C9" w:rsidRDefault="001F08FE">
      <w:pPr>
        <w:adjustRightInd w:val="0"/>
        <w:snapToGrid w:val="0"/>
        <w:rPr>
          <w:szCs w:val="22"/>
        </w:rPr>
      </w:pPr>
    </w:p>
    <w:p w14:paraId="71553573" w14:textId="77777777" w:rsidR="001F08FE" w:rsidRPr="001F4ACA" w:rsidRDefault="001F08FE" w:rsidP="001F4ACA">
      <w:pPr>
        <w:rPr>
          <w:b/>
        </w:rPr>
      </w:pPr>
      <w:r w:rsidRPr="001F4ACA">
        <w:rPr>
          <w:b/>
        </w:rPr>
        <w:t>5.</w:t>
      </w:r>
      <w:r w:rsidRPr="001F4ACA">
        <w:rPr>
          <w:b/>
        </w:rPr>
        <w:tab/>
        <w:t>FARMAKOLOGICKÉ VLASTNOSTI</w:t>
      </w:r>
    </w:p>
    <w:p w14:paraId="6CF0600E" w14:textId="77777777" w:rsidR="001F08FE" w:rsidRPr="000059C9" w:rsidRDefault="001F08FE" w:rsidP="001F4ACA"/>
    <w:p w14:paraId="5CA1ECD9" w14:textId="77777777" w:rsidR="001F08FE" w:rsidRPr="001F4ACA" w:rsidRDefault="001F08FE" w:rsidP="001F4ACA">
      <w:pPr>
        <w:rPr>
          <w:b/>
        </w:rPr>
      </w:pPr>
      <w:r w:rsidRPr="001F4ACA">
        <w:rPr>
          <w:b/>
        </w:rPr>
        <w:t>5.1</w:t>
      </w:r>
      <w:r w:rsidRPr="001F4ACA">
        <w:rPr>
          <w:b/>
        </w:rPr>
        <w:tab/>
        <w:t>Farmakodynamické vlastnosti</w:t>
      </w:r>
    </w:p>
    <w:p w14:paraId="4B083319" w14:textId="77777777" w:rsidR="001F08FE" w:rsidRPr="000059C9" w:rsidRDefault="001F08FE" w:rsidP="001F4ACA"/>
    <w:p w14:paraId="149D2000" w14:textId="77777777" w:rsidR="001F08FE" w:rsidRPr="000059C9" w:rsidRDefault="001F08FE" w:rsidP="001F4ACA">
      <w:r w:rsidRPr="000059C9">
        <w:t>Farmakoterapeutická skupina: Iné gynekologiká, intravaginálne kontraceptíva, ATC kód: G02BB01.</w:t>
      </w:r>
    </w:p>
    <w:p w14:paraId="6AE15246" w14:textId="77777777" w:rsidR="001F08FE" w:rsidRPr="000059C9" w:rsidRDefault="001F08FE" w:rsidP="001F4ACA">
      <w:pPr>
        <w:rPr>
          <w:bCs/>
        </w:rPr>
      </w:pPr>
    </w:p>
    <w:p w14:paraId="611E430F" w14:textId="77777777" w:rsidR="001F08FE" w:rsidRPr="000059C9" w:rsidRDefault="001F08FE" w:rsidP="001F4ACA">
      <w:pPr>
        <w:rPr>
          <w:bCs/>
          <w:u w:val="single"/>
        </w:rPr>
      </w:pPr>
      <w:r w:rsidRPr="000059C9">
        <w:rPr>
          <w:bCs/>
          <w:u w:val="single"/>
        </w:rPr>
        <w:t>Mechanizmus účinku</w:t>
      </w:r>
    </w:p>
    <w:p w14:paraId="60FF8B8F" w14:textId="6A0354DD" w:rsidR="001F08FE" w:rsidRPr="000059C9" w:rsidRDefault="007D1058" w:rsidP="001F4ACA">
      <w:pPr>
        <w:pStyle w:val="Zarkazkladnhotextu"/>
        <w:adjustRightInd w:val="0"/>
        <w:snapToGrid w:val="0"/>
        <w:ind w:left="0"/>
        <w:rPr>
          <w:rFonts w:cs="Times New Roman"/>
          <w:bCs/>
          <w:sz w:val="22"/>
          <w:szCs w:val="22"/>
        </w:rPr>
      </w:pPr>
      <w:r w:rsidRPr="000059C9">
        <w:rPr>
          <w:rFonts w:cs="Times New Roman"/>
          <w:bCs/>
          <w:sz w:val="22"/>
          <w:szCs w:val="22"/>
        </w:rPr>
        <w:t>Etonogestrel/Ethinylestradiol Mithra</w:t>
      </w:r>
      <w:r w:rsidR="001F08FE" w:rsidRPr="000059C9">
        <w:rPr>
          <w:rFonts w:cs="Times New Roman"/>
          <w:bCs/>
          <w:sz w:val="22"/>
          <w:szCs w:val="22"/>
        </w:rPr>
        <w:t xml:space="preserve"> obsahuje etonogestrel a etinylestradiol. Etonogestrel je gestagén odvodený od 19</w:t>
      </w:r>
      <w:r w:rsidR="001F08FE" w:rsidRPr="000059C9">
        <w:rPr>
          <w:rFonts w:cs="Times New Roman"/>
          <w:bCs/>
          <w:sz w:val="22"/>
          <w:szCs w:val="22"/>
        </w:rPr>
        <w:noBreakHyphen/>
        <w:t xml:space="preserve">nortestosterónu a v cieľových orgánoch sa viaže vysokou afinitou na progesterónové receptory. Etinylestradiol je estrogén, ktorý sa vo veľkej miere používa v kontraceptívnych liekoch. Kontraceptívny účinok </w:t>
      </w:r>
      <w:r w:rsidRPr="000059C9">
        <w:rPr>
          <w:rFonts w:cs="Times New Roman"/>
          <w:bCs/>
          <w:sz w:val="22"/>
          <w:szCs w:val="22"/>
        </w:rPr>
        <w:t>Etonogestrel/Ethinylestradiol</w:t>
      </w:r>
      <w:r w:rsidR="00EC16F0">
        <w:rPr>
          <w:rFonts w:cs="Times New Roman"/>
          <w:bCs/>
          <w:sz w:val="22"/>
          <w:szCs w:val="22"/>
        </w:rPr>
        <w:t>u</w:t>
      </w:r>
      <w:r w:rsidRPr="000059C9">
        <w:rPr>
          <w:rFonts w:cs="Times New Roman"/>
          <w:bCs/>
          <w:sz w:val="22"/>
          <w:szCs w:val="22"/>
        </w:rPr>
        <w:t xml:space="preserve"> Mithra</w:t>
      </w:r>
      <w:r w:rsidR="001F08FE" w:rsidRPr="000059C9">
        <w:rPr>
          <w:rFonts w:cs="Times New Roman"/>
          <w:bCs/>
          <w:sz w:val="22"/>
          <w:szCs w:val="22"/>
        </w:rPr>
        <w:t xml:space="preserve"> je založený na rôznych mechanizmoch, z ktorých najdôležitejší je inhibícia ovulácie.</w:t>
      </w:r>
    </w:p>
    <w:p w14:paraId="4699E97B" w14:textId="77777777" w:rsidR="001F08FE" w:rsidRPr="000059C9" w:rsidRDefault="001F08FE">
      <w:pPr>
        <w:adjustRightInd w:val="0"/>
        <w:snapToGrid w:val="0"/>
        <w:rPr>
          <w:bCs/>
          <w:szCs w:val="22"/>
        </w:rPr>
      </w:pPr>
    </w:p>
    <w:p w14:paraId="199EE92E" w14:textId="77777777" w:rsidR="001F08FE" w:rsidRPr="001F4ACA" w:rsidRDefault="001F08FE" w:rsidP="001F4ACA">
      <w:pPr>
        <w:rPr>
          <w:u w:val="single"/>
        </w:rPr>
      </w:pPr>
      <w:r w:rsidRPr="001F4ACA">
        <w:rPr>
          <w:u w:val="single"/>
        </w:rPr>
        <w:t>Klinická účinnosť a bezpečnosť</w:t>
      </w:r>
    </w:p>
    <w:p w14:paraId="006446DB" w14:textId="77777777" w:rsidR="001F08FE" w:rsidRPr="000059C9" w:rsidRDefault="001F08FE">
      <w:pPr>
        <w:adjustRightInd w:val="0"/>
        <w:snapToGrid w:val="0"/>
        <w:rPr>
          <w:bCs/>
          <w:szCs w:val="22"/>
        </w:rPr>
      </w:pPr>
      <w:r w:rsidRPr="000059C9">
        <w:rPr>
          <w:bCs/>
          <w:szCs w:val="22"/>
        </w:rPr>
        <w:t>Klinické štúdie sa vykonali na celom svete (Spojené štáty americké, štáty Európskej únie a Brazília) u žien vo veku od 18 do 40 rokov. Zdá sa, že kontraceptívna účinnosť je prinajmenšom porovnateľná s kontraceptívnou účinnosťou pri kombinovaných perorálnych kontraceptívach. Nasledovná tabuľka uvádza Pearlove indexy (počet gravidít na 100 pacientorokov používania), ktoré sa zistili počas klinických štúdií s </w:t>
      </w:r>
      <w:r w:rsidR="007D1058" w:rsidRPr="000059C9">
        <w:rPr>
          <w:bCs/>
          <w:szCs w:val="22"/>
        </w:rPr>
        <w:t>Etonogestrel/Ethinylestradiol Mithra</w:t>
      </w:r>
      <w:r w:rsidRPr="000059C9">
        <w:rPr>
          <w:bCs/>
          <w:szCs w:val="22"/>
        </w:rPr>
        <w:t>om.</w:t>
      </w:r>
    </w:p>
    <w:p w14:paraId="21FEFB6E" w14:textId="77777777" w:rsidR="001F08FE" w:rsidRPr="000059C9" w:rsidRDefault="001F08FE">
      <w:pPr>
        <w:adjustRightInd w:val="0"/>
        <w:snapToGrid w:val="0"/>
        <w:rPr>
          <w:bCs/>
          <w:szCs w:val="22"/>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3"/>
        <w:gridCol w:w="1701"/>
        <w:gridCol w:w="1559"/>
        <w:gridCol w:w="1559"/>
      </w:tblGrid>
      <w:tr w:rsidR="001F08FE" w:rsidRPr="000059C9" w14:paraId="2FF4FCCA" w14:textId="77777777" w:rsidTr="001F4ACA">
        <w:trPr>
          <w:jc w:val="center"/>
        </w:trPr>
        <w:tc>
          <w:tcPr>
            <w:tcW w:w="3823" w:type="dxa"/>
          </w:tcPr>
          <w:p w14:paraId="4E006375" w14:textId="77777777" w:rsidR="001F08FE" w:rsidRPr="00F31A59" w:rsidRDefault="001F08FE" w:rsidP="001F4ACA">
            <w:pPr>
              <w:rPr>
                <w:b/>
              </w:rPr>
            </w:pPr>
            <w:r w:rsidRPr="001F4ACA">
              <w:rPr>
                <w:b/>
              </w:rPr>
              <w:t>Analytická metóda</w:t>
            </w:r>
          </w:p>
        </w:tc>
        <w:tc>
          <w:tcPr>
            <w:tcW w:w="1701" w:type="dxa"/>
          </w:tcPr>
          <w:p w14:paraId="7FF46614" w14:textId="77777777" w:rsidR="001F08FE" w:rsidRPr="00EE5FF7" w:rsidRDefault="001F08FE">
            <w:pPr>
              <w:keepNext/>
              <w:adjustRightInd w:val="0"/>
              <w:snapToGrid w:val="0"/>
              <w:rPr>
                <w:b/>
                <w:szCs w:val="22"/>
              </w:rPr>
            </w:pPr>
            <w:r w:rsidRPr="000059C9">
              <w:rPr>
                <w:b/>
                <w:szCs w:val="22"/>
              </w:rPr>
              <w:t>Pearlov index</w:t>
            </w:r>
          </w:p>
        </w:tc>
        <w:tc>
          <w:tcPr>
            <w:tcW w:w="1559" w:type="dxa"/>
          </w:tcPr>
          <w:p w14:paraId="5DFD00A7" w14:textId="77777777" w:rsidR="001F08FE" w:rsidRPr="00EE5FF7" w:rsidRDefault="001F08FE">
            <w:pPr>
              <w:keepNext/>
              <w:adjustRightInd w:val="0"/>
              <w:snapToGrid w:val="0"/>
              <w:rPr>
                <w:b/>
                <w:szCs w:val="22"/>
              </w:rPr>
            </w:pPr>
            <w:r w:rsidRPr="000059C9">
              <w:rPr>
                <w:b/>
                <w:szCs w:val="22"/>
              </w:rPr>
              <w:t>95 % lS</w:t>
            </w:r>
          </w:p>
        </w:tc>
        <w:tc>
          <w:tcPr>
            <w:tcW w:w="1559" w:type="dxa"/>
          </w:tcPr>
          <w:p w14:paraId="4E0EFC61" w14:textId="77777777" w:rsidR="001F08FE" w:rsidRPr="00EE5FF7" w:rsidRDefault="001F08FE">
            <w:pPr>
              <w:keepNext/>
              <w:adjustRightInd w:val="0"/>
              <w:snapToGrid w:val="0"/>
              <w:rPr>
                <w:b/>
                <w:szCs w:val="22"/>
              </w:rPr>
            </w:pPr>
            <w:r w:rsidRPr="000059C9">
              <w:rPr>
                <w:b/>
                <w:szCs w:val="22"/>
              </w:rPr>
              <w:t>Počet cyklov</w:t>
            </w:r>
          </w:p>
        </w:tc>
      </w:tr>
      <w:tr w:rsidR="001F08FE" w:rsidRPr="000059C9" w14:paraId="7761CE8C" w14:textId="77777777" w:rsidTr="001F4ACA">
        <w:trPr>
          <w:jc w:val="center"/>
        </w:trPr>
        <w:tc>
          <w:tcPr>
            <w:tcW w:w="3823" w:type="dxa"/>
          </w:tcPr>
          <w:p w14:paraId="6492AC45" w14:textId="77777777" w:rsidR="001F08FE" w:rsidRPr="00F31A59" w:rsidRDefault="001F08FE" w:rsidP="001F4ACA">
            <w:pPr>
              <w:rPr>
                <w:b/>
                <w:bCs/>
              </w:rPr>
            </w:pPr>
            <w:r w:rsidRPr="001F4ACA">
              <w:rPr>
                <w:b/>
                <w:bCs/>
              </w:rPr>
              <w:t>ITT (používateľka + zlyhanie metódy)</w:t>
            </w:r>
          </w:p>
        </w:tc>
        <w:tc>
          <w:tcPr>
            <w:tcW w:w="1701" w:type="dxa"/>
          </w:tcPr>
          <w:p w14:paraId="69E7B991" w14:textId="77777777" w:rsidR="001F08FE" w:rsidRPr="00EE5FF7" w:rsidRDefault="001F08FE">
            <w:pPr>
              <w:keepNext/>
              <w:adjustRightInd w:val="0"/>
              <w:snapToGrid w:val="0"/>
              <w:rPr>
                <w:bCs/>
                <w:szCs w:val="22"/>
              </w:rPr>
            </w:pPr>
            <w:r w:rsidRPr="000059C9">
              <w:rPr>
                <w:bCs/>
                <w:szCs w:val="22"/>
              </w:rPr>
              <w:t>0,96</w:t>
            </w:r>
          </w:p>
        </w:tc>
        <w:tc>
          <w:tcPr>
            <w:tcW w:w="1559" w:type="dxa"/>
          </w:tcPr>
          <w:p w14:paraId="79C6DC18" w14:textId="77777777" w:rsidR="001F08FE" w:rsidRPr="00EE5FF7" w:rsidRDefault="001F08FE">
            <w:pPr>
              <w:keepNext/>
              <w:adjustRightInd w:val="0"/>
              <w:snapToGrid w:val="0"/>
              <w:rPr>
                <w:bCs/>
                <w:szCs w:val="22"/>
              </w:rPr>
            </w:pPr>
            <w:r w:rsidRPr="000059C9">
              <w:rPr>
                <w:bCs/>
                <w:szCs w:val="22"/>
              </w:rPr>
              <w:t>0,64 – 1,39</w:t>
            </w:r>
          </w:p>
        </w:tc>
        <w:tc>
          <w:tcPr>
            <w:tcW w:w="1559" w:type="dxa"/>
          </w:tcPr>
          <w:p w14:paraId="5CF67E8D" w14:textId="77777777" w:rsidR="001F08FE" w:rsidRPr="00EE5FF7" w:rsidRDefault="001F08FE">
            <w:pPr>
              <w:keepNext/>
              <w:adjustRightInd w:val="0"/>
              <w:snapToGrid w:val="0"/>
              <w:rPr>
                <w:bCs/>
                <w:szCs w:val="22"/>
              </w:rPr>
            </w:pPr>
            <w:r w:rsidRPr="000059C9">
              <w:rPr>
                <w:bCs/>
                <w:szCs w:val="22"/>
              </w:rPr>
              <w:t>37 977</w:t>
            </w:r>
          </w:p>
        </w:tc>
      </w:tr>
      <w:tr w:rsidR="001F08FE" w:rsidRPr="000059C9" w14:paraId="52498646" w14:textId="77777777" w:rsidTr="001F4ACA">
        <w:trPr>
          <w:jc w:val="center"/>
        </w:trPr>
        <w:tc>
          <w:tcPr>
            <w:tcW w:w="3823" w:type="dxa"/>
          </w:tcPr>
          <w:p w14:paraId="7E3DBD34" w14:textId="77777777" w:rsidR="001F08FE" w:rsidRPr="00F31A59" w:rsidRDefault="001F08FE" w:rsidP="001F4ACA">
            <w:pPr>
              <w:rPr>
                <w:b/>
                <w:bCs/>
              </w:rPr>
            </w:pPr>
            <w:r w:rsidRPr="001F4ACA">
              <w:rPr>
                <w:b/>
                <w:bCs/>
              </w:rPr>
              <w:t>PP (zlyhanie metódy)</w:t>
            </w:r>
          </w:p>
        </w:tc>
        <w:tc>
          <w:tcPr>
            <w:tcW w:w="1701" w:type="dxa"/>
          </w:tcPr>
          <w:p w14:paraId="219066E8" w14:textId="77777777" w:rsidR="001F08FE" w:rsidRPr="00EE5FF7" w:rsidRDefault="001F08FE">
            <w:pPr>
              <w:keepNext/>
              <w:adjustRightInd w:val="0"/>
              <w:snapToGrid w:val="0"/>
              <w:rPr>
                <w:bCs/>
                <w:szCs w:val="22"/>
              </w:rPr>
            </w:pPr>
            <w:r w:rsidRPr="000059C9">
              <w:rPr>
                <w:bCs/>
                <w:szCs w:val="22"/>
              </w:rPr>
              <w:t>0,64</w:t>
            </w:r>
          </w:p>
        </w:tc>
        <w:tc>
          <w:tcPr>
            <w:tcW w:w="1559" w:type="dxa"/>
          </w:tcPr>
          <w:p w14:paraId="3BC8A53A" w14:textId="77777777" w:rsidR="001F08FE" w:rsidRPr="00EE5FF7" w:rsidRDefault="001F08FE">
            <w:pPr>
              <w:keepNext/>
              <w:adjustRightInd w:val="0"/>
              <w:snapToGrid w:val="0"/>
              <w:rPr>
                <w:bCs/>
                <w:szCs w:val="22"/>
              </w:rPr>
            </w:pPr>
            <w:r w:rsidRPr="000059C9">
              <w:rPr>
                <w:bCs/>
                <w:szCs w:val="22"/>
              </w:rPr>
              <w:t>0,35 – 1,07</w:t>
            </w:r>
          </w:p>
        </w:tc>
        <w:tc>
          <w:tcPr>
            <w:tcW w:w="1559" w:type="dxa"/>
          </w:tcPr>
          <w:p w14:paraId="1B777ED6" w14:textId="77777777" w:rsidR="001F08FE" w:rsidRPr="00EE5FF7" w:rsidRDefault="001F08FE">
            <w:pPr>
              <w:keepNext/>
              <w:adjustRightInd w:val="0"/>
              <w:snapToGrid w:val="0"/>
              <w:rPr>
                <w:bCs/>
                <w:szCs w:val="22"/>
              </w:rPr>
            </w:pPr>
            <w:r w:rsidRPr="000059C9">
              <w:rPr>
                <w:bCs/>
                <w:szCs w:val="22"/>
              </w:rPr>
              <w:t>28 723</w:t>
            </w:r>
          </w:p>
        </w:tc>
      </w:tr>
    </w:tbl>
    <w:p w14:paraId="69B0FD8D" w14:textId="77777777" w:rsidR="001F08FE" w:rsidRPr="000059C9" w:rsidRDefault="001F08FE">
      <w:pPr>
        <w:adjustRightInd w:val="0"/>
        <w:snapToGrid w:val="0"/>
        <w:rPr>
          <w:bCs/>
          <w:szCs w:val="22"/>
        </w:rPr>
      </w:pPr>
    </w:p>
    <w:p w14:paraId="45FBE70F" w14:textId="77777777" w:rsidR="001F08FE" w:rsidRPr="000059C9" w:rsidRDefault="001F08FE">
      <w:pPr>
        <w:adjustRightInd w:val="0"/>
        <w:snapToGrid w:val="0"/>
        <w:rPr>
          <w:bCs/>
          <w:szCs w:val="22"/>
        </w:rPr>
      </w:pPr>
      <w:r w:rsidRPr="000059C9">
        <w:rPr>
          <w:bCs/>
          <w:szCs w:val="22"/>
        </w:rPr>
        <w:t xml:space="preserve">Užívaním COC vo vyšších dávkach (0,05 mg etinylestradiolu) sa riziko karcinómu endometria a ovárií znižuje. Či sa to týka aj kontraceptíva v nízkej dávke, ako je </w:t>
      </w:r>
      <w:r w:rsidR="007D1058" w:rsidRPr="000059C9">
        <w:rPr>
          <w:bCs/>
          <w:szCs w:val="22"/>
        </w:rPr>
        <w:t>Etonogestrel/Ethinylestradiol Mithra</w:t>
      </w:r>
      <w:r w:rsidRPr="000059C9">
        <w:rPr>
          <w:bCs/>
          <w:szCs w:val="22"/>
        </w:rPr>
        <w:t>, je potrebné ešte potvrdiť.</w:t>
      </w:r>
    </w:p>
    <w:p w14:paraId="6BDC064F" w14:textId="77777777" w:rsidR="001F08FE" w:rsidRPr="000059C9" w:rsidRDefault="001F08FE">
      <w:pPr>
        <w:adjustRightInd w:val="0"/>
        <w:snapToGrid w:val="0"/>
        <w:rPr>
          <w:bCs/>
          <w:szCs w:val="22"/>
        </w:rPr>
      </w:pPr>
    </w:p>
    <w:p w14:paraId="72EAF90F" w14:textId="77777777" w:rsidR="001F08FE" w:rsidRPr="000059C9" w:rsidRDefault="001F08FE" w:rsidP="001F4ACA">
      <w:r w:rsidRPr="000059C9">
        <w:t>CYKLUS KRVÁCANIA</w:t>
      </w:r>
    </w:p>
    <w:p w14:paraId="3B61B819" w14:textId="77777777" w:rsidR="001F08FE" w:rsidRPr="000059C9" w:rsidRDefault="001F08FE" w:rsidP="001F4ACA"/>
    <w:p w14:paraId="2EE07678" w14:textId="1CDB9899" w:rsidR="001F08FE" w:rsidRPr="000059C9" w:rsidRDefault="001F08FE">
      <w:pPr>
        <w:adjustRightInd w:val="0"/>
        <w:snapToGrid w:val="0"/>
        <w:rPr>
          <w:bCs/>
          <w:szCs w:val="22"/>
        </w:rPr>
      </w:pPr>
      <w:r w:rsidRPr="000059C9">
        <w:rPr>
          <w:bCs/>
          <w:szCs w:val="22"/>
        </w:rPr>
        <w:t xml:space="preserve">Veľká porovnávacia štúdia s 150/30 μg OC obsahujúcim levonorgestrel/etinylestradiol (n = 512 oproti n = 518) hodnotiaca charakteristiky vaginálneho krvácania počas 13 cyklov preukázala pri </w:t>
      </w:r>
      <w:r w:rsidR="007D1058" w:rsidRPr="000059C9">
        <w:rPr>
          <w:bCs/>
          <w:szCs w:val="22"/>
        </w:rPr>
        <w:t>Etonogestrel/Ethinylestradiol</w:t>
      </w:r>
      <w:r w:rsidR="00FB207E">
        <w:rPr>
          <w:bCs/>
          <w:szCs w:val="22"/>
        </w:rPr>
        <w:t>e</w:t>
      </w:r>
      <w:r w:rsidR="007D1058" w:rsidRPr="000059C9">
        <w:rPr>
          <w:bCs/>
          <w:szCs w:val="22"/>
        </w:rPr>
        <w:t xml:space="preserve"> Mithra</w:t>
      </w:r>
      <w:r w:rsidRPr="000059C9">
        <w:rPr>
          <w:bCs/>
          <w:szCs w:val="22"/>
        </w:rPr>
        <w:t xml:space="preserve"> nízke výskyty medzimenštruačného špinenia alebo krvácania (2,0 – 6,4 %). Navyše, pri väčšine žien bolo vaginálne krvácanie výlučne obmedzené na obdobie bez krúžku (58,8 – 72,8 %).</w:t>
      </w:r>
    </w:p>
    <w:p w14:paraId="742D95D5" w14:textId="77777777" w:rsidR="001F08FE" w:rsidRPr="000059C9" w:rsidRDefault="001F08FE">
      <w:pPr>
        <w:adjustRightInd w:val="0"/>
        <w:snapToGrid w:val="0"/>
        <w:rPr>
          <w:bCs/>
          <w:szCs w:val="22"/>
        </w:rPr>
      </w:pPr>
    </w:p>
    <w:p w14:paraId="13DA0E15" w14:textId="77777777" w:rsidR="001F08FE" w:rsidRPr="000059C9" w:rsidRDefault="001F08FE" w:rsidP="001F4ACA">
      <w:r w:rsidRPr="000059C9">
        <w:t>ÚČINKY NA KOSTNÚ MINERÁLNU DENZITU</w:t>
      </w:r>
    </w:p>
    <w:p w14:paraId="2F5AFF4A" w14:textId="77777777" w:rsidR="001F08FE" w:rsidRPr="000059C9" w:rsidRDefault="001F08FE" w:rsidP="001F4ACA"/>
    <w:p w14:paraId="5100948C" w14:textId="2F79F828" w:rsidR="001F08FE" w:rsidRPr="000059C9" w:rsidRDefault="001F08FE">
      <w:pPr>
        <w:adjustRightInd w:val="0"/>
        <w:snapToGrid w:val="0"/>
        <w:rPr>
          <w:bCs/>
          <w:szCs w:val="22"/>
        </w:rPr>
      </w:pPr>
      <w:r w:rsidRPr="000059C9">
        <w:rPr>
          <w:bCs/>
          <w:szCs w:val="22"/>
        </w:rPr>
        <w:t xml:space="preserve">U žien sa počas dvoch rokov skúmali účinky </w:t>
      </w:r>
      <w:r w:rsidR="007D1058" w:rsidRPr="000059C9">
        <w:rPr>
          <w:bCs/>
          <w:szCs w:val="22"/>
        </w:rPr>
        <w:t>Etonogestrel/Ethinylestradiol</w:t>
      </w:r>
      <w:r w:rsidR="00FB207E">
        <w:rPr>
          <w:bCs/>
          <w:szCs w:val="22"/>
        </w:rPr>
        <w:t>u</w:t>
      </w:r>
      <w:r w:rsidR="007D1058" w:rsidRPr="000059C9">
        <w:rPr>
          <w:bCs/>
          <w:szCs w:val="22"/>
        </w:rPr>
        <w:t xml:space="preserve"> Mithra</w:t>
      </w:r>
      <w:r w:rsidRPr="000059C9">
        <w:rPr>
          <w:bCs/>
          <w:szCs w:val="22"/>
        </w:rPr>
        <w:t xml:space="preserve"> (n = 76) na kostnú minerálnu denzitu (BMD) v porovnaní s nehormonálnym vnútromaternicovým telieskom (IUD) (n = 31). Nepozorovali sa žiadne nežiaduce účinky na kostnú hmotu.</w:t>
      </w:r>
    </w:p>
    <w:p w14:paraId="1E4F9075" w14:textId="77777777" w:rsidR="001F08FE" w:rsidRPr="000059C9" w:rsidRDefault="001F08FE">
      <w:pPr>
        <w:adjustRightInd w:val="0"/>
        <w:snapToGrid w:val="0"/>
        <w:rPr>
          <w:bCs/>
          <w:szCs w:val="22"/>
        </w:rPr>
      </w:pPr>
    </w:p>
    <w:p w14:paraId="6D65AAEC" w14:textId="77777777" w:rsidR="001F08FE" w:rsidRPr="001F4ACA" w:rsidRDefault="001F08FE" w:rsidP="001F4ACA">
      <w:pPr>
        <w:rPr>
          <w:u w:val="single"/>
        </w:rPr>
      </w:pPr>
      <w:r w:rsidRPr="001F4ACA">
        <w:rPr>
          <w:u w:val="single"/>
        </w:rPr>
        <w:t>Pediatrická populácia</w:t>
      </w:r>
    </w:p>
    <w:p w14:paraId="705B1871" w14:textId="7531D073" w:rsidR="001F08FE" w:rsidRPr="000059C9" w:rsidRDefault="001F08FE">
      <w:pPr>
        <w:adjustRightInd w:val="0"/>
        <w:snapToGrid w:val="0"/>
        <w:rPr>
          <w:bCs/>
          <w:szCs w:val="22"/>
        </w:rPr>
      </w:pPr>
      <w:r w:rsidRPr="000059C9">
        <w:rPr>
          <w:bCs/>
          <w:szCs w:val="22"/>
        </w:rPr>
        <w:t xml:space="preserve">Bezpečnosť a účinnosť </w:t>
      </w:r>
      <w:r w:rsidR="007D1058" w:rsidRPr="000059C9">
        <w:rPr>
          <w:bCs/>
          <w:szCs w:val="22"/>
        </w:rPr>
        <w:t>Etonogestrel/Ethinylestradiol</w:t>
      </w:r>
      <w:r w:rsidR="00FB207E">
        <w:rPr>
          <w:bCs/>
          <w:szCs w:val="22"/>
        </w:rPr>
        <w:t>u</w:t>
      </w:r>
      <w:r w:rsidR="007D1058" w:rsidRPr="000059C9">
        <w:rPr>
          <w:bCs/>
          <w:szCs w:val="22"/>
        </w:rPr>
        <w:t xml:space="preserve"> Mithra</w:t>
      </w:r>
      <w:r w:rsidRPr="000059C9">
        <w:rPr>
          <w:bCs/>
          <w:szCs w:val="22"/>
        </w:rPr>
        <w:t xml:space="preserve"> u dospievajúcich mladších ako 18 rokov sa neskúmali.</w:t>
      </w:r>
    </w:p>
    <w:p w14:paraId="71C598DD" w14:textId="77777777" w:rsidR="001F08FE" w:rsidRPr="000059C9" w:rsidRDefault="001F08FE">
      <w:pPr>
        <w:adjustRightInd w:val="0"/>
        <w:snapToGrid w:val="0"/>
        <w:rPr>
          <w:bCs/>
          <w:szCs w:val="22"/>
        </w:rPr>
      </w:pPr>
    </w:p>
    <w:p w14:paraId="44865331" w14:textId="77777777" w:rsidR="001F08FE" w:rsidRPr="001F4ACA" w:rsidRDefault="001F08FE" w:rsidP="001F4ACA">
      <w:pPr>
        <w:rPr>
          <w:b/>
        </w:rPr>
      </w:pPr>
      <w:r w:rsidRPr="001F4ACA">
        <w:rPr>
          <w:b/>
        </w:rPr>
        <w:t>5.2</w:t>
      </w:r>
      <w:r w:rsidRPr="001F4ACA">
        <w:rPr>
          <w:b/>
        </w:rPr>
        <w:tab/>
        <w:t>Farmakokinetické vlastnosti</w:t>
      </w:r>
    </w:p>
    <w:p w14:paraId="703250D8" w14:textId="77777777" w:rsidR="001F08FE" w:rsidRPr="000059C9" w:rsidRDefault="001F08FE" w:rsidP="001F4ACA">
      <w:pPr>
        <w:rPr>
          <w:bCs/>
        </w:rPr>
      </w:pPr>
    </w:p>
    <w:p w14:paraId="55546AB3" w14:textId="77777777" w:rsidR="001F08FE" w:rsidRPr="001F4ACA" w:rsidRDefault="001F08FE" w:rsidP="001F4ACA">
      <w:pPr>
        <w:rPr>
          <w:b/>
          <w:bCs/>
        </w:rPr>
      </w:pPr>
      <w:r w:rsidRPr="001F4ACA">
        <w:rPr>
          <w:b/>
          <w:bCs/>
        </w:rPr>
        <w:t>Etonogestrel</w:t>
      </w:r>
    </w:p>
    <w:p w14:paraId="228E352A" w14:textId="77777777" w:rsidR="001F08FE" w:rsidRPr="000059C9" w:rsidRDefault="001F08FE" w:rsidP="001F4ACA">
      <w:pPr>
        <w:rPr>
          <w:bCs/>
        </w:rPr>
      </w:pPr>
    </w:p>
    <w:p w14:paraId="449A4175" w14:textId="77777777" w:rsidR="001F08FE" w:rsidRPr="000059C9" w:rsidRDefault="001F08FE" w:rsidP="001F4ACA">
      <w:pPr>
        <w:rPr>
          <w:caps/>
          <w:u w:val="single"/>
        </w:rPr>
      </w:pPr>
      <w:r w:rsidRPr="000059C9">
        <w:rPr>
          <w:caps/>
          <w:u w:val="single"/>
        </w:rPr>
        <w:t>A</w:t>
      </w:r>
      <w:r w:rsidRPr="000059C9">
        <w:rPr>
          <w:u w:val="single"/>
        </w:rPr>
        <w:t>bsorpcia</w:t>
      </w:r>
    </w:p>
    <w:p w14:paraId="6CCDFDFE" w14:textId="1316B548" w:rsidR="001F08FE" w:rsidRPr="000059C9" w:rsidRDefault="001F08FE">
      <w:pPr>
        <w:adjustRightInd w:val="0"/>
        <w:snapToGrid w:val="0"/>
        <w:rPr>
          <w:szCs w:val="22"/>
        </w:rPr>
      </w:pPr>
      <w:r w:rsidRPr="000059C9">
        <w:rPr>
          <w:szCs w:val="22"/>
        </w:rPr>
        <w:t>Etonogestrel, ktorý sa uvoľňuje z </w:t>
      </w:r>
      <w:r w:rsidR="007D1058" w:rsidRPr="000059C9">
        <w:rPr>
          <w:szCs w:val="22"/>
        </w:rPr>
        <w:t>Etonogestrel/Ethinylestradiol</w:t>
      </w:r>
      <w:r w:rsidR="00FB207E">
        <w:rPr>
          <w:szCs w:val="22"/>
        </w:rPr>
        <w:t>u</w:t>
      </w:r>
      <w:r w:rsidR="007D1058" w:rsidRPr="000059C9">
        <w:rPr>
          <w:szCs w:val="22"/>
        </w:rPr>
        <w:t xml:space="preserve"> Mithra</w:t>
      </w:r>
      <w:r w:rsidRPr="000059C9">
        <w:rPr>
          <w:szCs w:val="22"/>
        </w:rPr>
        <w:t xml:space="preserve">, sa rýchlo absorbuje vaginálnou sliznicou. Maximálne sérové koncentrácie etonogestrelu približne 1 700 pg/ml sa dosahujú približne za 1 týždeň po zavedení. Sérové koncentrácie vykazujú malé fluktuácie a pomaly klesajú na približne 1 600 pg/ml po 1 týždni, 1 500 pg/ml po 2 týždňoch a na 1 400 pg/ml po 3 týždňoch používania. Absolútna biologická dostupnosť je približne 100 % a je vyššia ako po perorálnom podaní. Cervikálne a intrauterinné hladiny etonogestrelu sa merali pri malom počte žien, ktoré používali </w:t>
      </w:r>
      <w:r w:rsidR="007D1058" w:rsidRPr="000059C9">
        <w:rPr>
          <w:szCs w:val="22"/>
        </w:rPr>
        <w:t>Etonogestrel/Ethinylestradiol Mithra</w:t>
      </w:r>
      <w:r w:rsidRPr="000059C9">
        <w:rPr>
          <w:szCs w:val="22"/>
        </w:rPr>
        <w:t xml:space="preserve"> alebo perorálne kontraceptívum obsahujúce 0,150 mg dezogestrelu a 0,020 mg etinylestradiolu. Zistené hladiny boli porovnateľné.</w:t>
      </w:r>
    </w:p>
    <w:p w14:paraId="3595E6F8" w14:textId="77777777" w:rsidR="001F08FE" w:rsidRPr="000059C9" w:rsidRDefault="001F08FE">
      <w:pPr>
        <w:adjustRightInd w:val="0"/>
        <w:snapToGrid w:val="0"/>
        <w:rPr>
          <w:szCs w:val="22"/>
        </w:rPr>
      </w:pPr>
    </w:p>
    <w:p w14:paraId="52CA8EEF" w14:textId="77777777" w:rsidR="001F08FE" w:rsidRPr="001F4ACA" w:rsidRDefault="001F08FE" w:rsidP="001F4ACA">
      <w:pPr>
        <w:rPr>
          <w:u w:val="single"/>
        </w:rPr>
      </w:pPr>
      <w:r w:rsidRPr="001F4ACA">
        <w:rPr>
          <w:u w:val="single"/>
        </w:rPr>
        <w:t>D</w:t>
      </w:r>
      <w:r w:rsidRPr="00EE5FF7">
        <w:rPr>
          <w:u w:val="single"/>
        </w:rPr>
        <w:t>istribúcia</w:t>
      </w:r>
    </w:p>
    <w:p w14:paraId="3FDA54AB" w14:textId="77777777" w:rsidR="001F08FE" w:rsidRPr="000059C9" w:rsidRDefault="001F08FE">
      <w:pPr>
        <w:adjustRightInd w:val="0"/>
        <w:snapToGrid w:val="0"/>
        <w:rPr>
          <w:szCs w:val="22"/>
        </w:rPr>
      </w:pPr>
      <w:r w:rsidRPr="000059C9">
        <w:rPr>
          <w:szCs w:val="22"/>
        </w:rPr>
        <w:t>Etonogestrel sa viaže na sérový albumín a na globulín viažuci pohlavné hormóny (SHBG). Zdanlivý objem distribúcie etonogestrelu je 2,3 l/kg.</w:t>
      </w:r>
    </w:p>
    <w:p w14:paraId="35EF08E7" w14:textId="77777777" w:rsidR="001F08FE" w:rsidRPr="000059C9" w:rsidRDefault="001F08FE">
      <w:pPr>
        <w:adjustRightInd w:val="0"/>
        <w:snapToGrid w:val="0"/>
        <w:rPr>
          <w:i/>
          <w:caps/>
          <w:szCs w:val="22"/>
        </w:rPr>
      </w:pPr>
    </w:p>
    <w:p w14:paraId="2E354529" w14:textId="77777777" w:rsidR="001F08FE" w:rsidRPr="001F4ACA" w:rsidRDefault="001F08FE" w:rsidP="001F4ACA">
      <w:pPr>
        <w:rPr>
          <w:u w:val="single"/>
        </w:rPr>
      </w:pPr>
      <w:r w:rsidRPr="00EE5FF7">
        <w:rPr>
          <w:u w:val="single"/>
        </w:rPr>
        <w:t>Biotransformácia</w:t>
      </w:r>
    </w:p>
    <w:p w14:paraId="4CAAF50F" w14:textId="77777777" w:rsidR="001F08FE" w:rsidRPr="000059C9" w:rsidRDefault="001F08FE">
      <w:pPr>
        <w:adjustRightInd w:val="0"/>
        <w:snapToGrid w:val="0"/>
        <w:rPr>
          <w:szCs w:val="22"/>
        </w:rPr>
      </w:pPr>
      <w:r w:rsidRPr="000059C9">
        <w:rPr>
          <w:szCs w:val="22"/>
        </w:rPr>
        <w:t>Etonogestrel sa metabolizuje známymi cestami metabolizmu steroidov. Zdanlivý klírens zo séra je asi 3,5 l/hod. Nebola zistená žiadna interakcia so súbežne podávaným etinylestradiolom.</w:t>
      </w:r>
    </w:p>
    <w:p w14:paraId="55881F02" w14:textId="77777777" w:rsidR="001F08FE" w:rsidRPr="000059C9" w:rsidRDefault="001F08FE" w:rsidP="001F4ACA"/>
    <w:p w14:paraId="621A7268" w14:textId="77777777" w:rsidR="001F08FE" w:rsidRPr="001F4ACA" w:rsidRDefault="001F08FE" w:rsidP="001F4ACA">
      <w:pPr>
        <w:rPr>
          <w:u w:val="single"/>
        </w:rPr>
      </w:pPr>
      <w:r w:rsidRPr="001F4ACA">
        <w:rPr>
          <w:u w:val="single"/>
        </w:rPr>
        <w:t>E</w:t>
      </w:r>
      <w:r w:rsidRPr="00EE5FF7">
        <w:rPr>
          <w:u w:val="single"/>
        </w:rPr>
        <w:t>liminácia</w:t>
      </w:r>
    </w:p>
    <w:p w14:paraId="2BA3E217" w14:textId="77777777" w:rsidR="001F08FE" w:rsidRPr="000059C9" w:rsidRDefault="001F08FE">
      <w:pPr>
        <w:adjustRightInd w:val="0"/>
        <w:snapToGrid w:val="0"/>
        <w:rPr>
          <w:szCs w:val="22"/>
        </w:rPr>
      </w:pPr>
      <w:r w:rsidRPr="000059C9">
        <w:rPr>
          <w:szCs w:val="22"/>
        </w:rPr>
        <w:t>Sérové hladiny etonogestrelu klesajú v dvoch fázach. Terminálna fáza eliminácie je charakterizovaná polčasom približne 29 hodín. Etonogestrel a jeho metabolity sa vylučujú močom a žlčou v pomere približne 1,7:1. Polčas vylučovania metabolitu je približne 6 dní.</w:t>
      </w:r>
    </w:p>
    <w:p w14:paraId="49254BD2" w14:textId="77777777" w:rsidR="001F08FE" w:rsidRPr="000059C9" w:rsidRDefault="001F08FE">
      <w:pPr>
        <w:adjustRightInd w:val="0"/>
        <w:snapToGrid w:val="0"/>
        <w:rPr>
          <w:szCs w:val="22"/>
        </w:rPr>
      </w:pPr>
    </w:p>
    <w:p w14:paraId="36DA8B5C" w14:textId="77777777" w:rsidR="001F08FE" w:rsidRPr="001F4ACA" w:rsidRDefault="001F08FE" w:rsidP="001F4ACA">
      <w:pPr>
        <w:rPr>
          <w:b/>
        </w:rPr>
      </w:pPr>
      <w:r w:rsidRPr="001F4ACA">
        <w:rPr>
          <w:b/>
        </w:rPr>
        <w:t>Etinylestradiol</w:t>
      </w:r>
    </w:p>
    <w:p w14:paraId="79211A9D" w14:textId="77777777" w:rsidR="001F08FE" w:rsidRPr="000059C9" w:rsidRDefault="001F08FE" w:rsidP="001F4ACA"/>
    <w:p w14:paraId="06070335" w14:textId="77777777" w:rsidR="001F08FE" w:rsidRPr="000059C9" w:rsidRDefault="001F08FE" w:rsidP="001F4ACA">
      <w:pPr>
        <w:rPr>
          <w:iCs/>
          <w:caps/>
          <w:u w:val="single"/>
        </w:rPr>
      </w:pPr>
      <w:r w:rsidRPr="000059C9">
        <w:rPr>
          <w:iCs/>
          <w:caps/>
          <w:u w:val="single"/>
        </w:rPr>
        <w:t>A</w:t>
      </w:r>
      <w:r w:rsidRPr="000059C9">
        <w:rPr>
          <w:iCs/>
          <w:u w:val="single"/>
        </w:rPr>
        <w:t>bsorpcia</w:t>
      </w:r>
    </w:p>
    <w:p w14:paraId="5612B9A1" w14:textId="01896212" w:rsidR="001F08FE" w:rsidRPr="000059C9" w:rsidRDefault="001F08FE" w:rsidP="001F4ACA">
      <w:pPr>
        <w:pStyle w:val="Zarkazkladnhotextu"/>
        <w:adjustRightInd w:val="0"/>
        <w:snapToGrid w:val="0"/>
        <w:ind w:left="0"/>
        <w:rPr>
          <w:rFonts w:cs="Times New Roman"/>
          <w:sz w:val="22"/>
          <w:szCs w:val="22"/>
        </w:rPr>
      </w:pPr>
      <w:r w:rsidRPr="000059C9">
        <w:rPr>
          <w:rFonts w:cs="Times New Roman"/>
          <w:sz w:val="22"/>
          <w:szCs w:val="22"/>
        </w:rPr>
        <w:t>Etinylestradiol, ktorý sa uvoľňuje z </w:t>
      </w:r>
      <w:r w:rsidR="007D1058" w:rsidRPr="000059C9">
        <w:rPr>
          <w:rFonts w:cs="Times New Roman"/>
          <w:sz w:val="22"/>
          <w:szCs w:val="22"/>
        </w:rPr>
        <w:t>Etonogestrel/Ethinylestradiol</w:t>
      </w:r>
      <w:r w:rsidR="00FB207E">
        <w:rPr>
          <w:rFonts w:cs="Times New Roman"/>
          <w:sz w:val="22"/>
          <w:szCs w:val="22"/>
        </w:rPr>
        <w:t>u</w:t>
      </w:r>
      <w:r w:rsidR="007D1058" w:rsidRPr="000059C9">
        <w:rPr>
          <w:rFonts w:cs="Times New Roman"/>
          <w:sz w:val="22"/>
          <w:szCs w:val="22"/>
        </w:rPr>
        <w:t xml:space="preserve"> Mithra</w:t>
      </w:r>
      <w:r w:rsidRPr="000059C9">
        <w:rPr>
          <w:rFonts w:cs="Times New Roman"/>
          <w:sz w:val="22"/>
          <w:szCs w:val="22"/>
        </w:rPr>
        <w:t>, sa rýchlo absorbuje vaginálnou sliznicou. 3 dni po zavedení sa dosiahnu maximálne sérové koncentrácie približne 35 pg/ml a klesajú na 19 pg/ml po 1 týždni, 18 pg/ml po 2 týždňoch a na 18 pg/ml po 3 týždňoch používania. Mesačná systémová expozícia etinylestradiolu (AUC</w:t>
      </w:r>
      <w:r w:rsidRPr="000059C9">
        <w:rPr>
          <w:rFonts w:cs="Times New Roman"/>
          <w:sz w:val="22"/>
          <w:szCs w:val="22"/>
          <w:vertAlign w:val="subscript"/>
        </w:rPr>
        <w:t>0-ω</w:t>
      </w:r>
      <w:r w:rsidRPr="000059C9">
        <w:rPr>
          <w:rFonts w:cs="Times New Roman"/>
          <w:sz w:val="22"/>
          <w:szCs w:val="22"/>
        </w:rPr>
        <w:t xml:space="preserve">) </w:t>
      </w:r>
      <w:r w:rsidR="00FB207E">
        <w:rPr>
          <w:rFonts w:cs="Times New Roman"/>
          <w:sz w:val="22"/>
          <w:szCs w:val="22"/>
        </w:rPr>
        <w:t>u</w:t>
      </w:r>
      <w:r w:rsidR="00FB207E" w:rsidRPr="000059C9">
        <w:rPr>
          <w:rFonts w:cs="Times New Roman"/>
          <w:sz w:val="22"/>
          <w:szCs w:val="22"/>
        </w:rPr>
        <w:t> </w:t>
      </w:r>
      <w:r w:rsidR="007D1058" w:rsidRPr="000059C9">
        <w:rPr>
          <w:rFonts w:cs="Times New Roman"/>
          <w:sz w:val="22"/>
          <w:szCs w:val="22"/>
        </w:rPr>
        <w:t>Etonogestrel/Ethinylestradiol</w:t>
      </w:r>
      <w:r w:rsidR="00FB207E">
        <w:rPr>
          <w:rFonts w:cs="Times New Roman"/>
          <w:sz w:val="22"/>
          <w:szCs w:val="22"/>
        </w:rPr>
        <w:t>u</w:t>
      </w:r>
      <w:r w:rsidR="007D1058" w:rsidRPr="000059C9">
        <w:rPr>
          <w:rFonts w:cs="Times New Roman"/>
          <w:sz w:val="22"/>
          <w:szCs w:val="22"/>
        </w:rPr>
        <w:t xml:space="preserve"> Mithra</w:t>
      </w:r>
      <w:r w:rsidRPr="000059C9">
        <w:rPr>
          <w:rFonts w:cs="Times New Roman"/>
          <w:sz w:val="22"/>
          <w:szCs w:val="22"/>
        </w:rPr>
        <w:t xml:space="preserve"> je 10,9 ng.hod/ml. Absolútna biologická dostupnosť je približne 56 %, čo je porovnateľné s perorálnym podávaním etinylestradiolu. Cervikálne a intrauterinné hladiny etinylestradiolu sa merali iba pri malom počte žien, ktoré používali </w:t>
      </w:r>
      <w:r w:rsidR="007D1058" w:rsidRPr="000059C9">
        <w:rPr>
          <w:rFonts w:cs="Times New Roman"/>
          <w:sz w:val="22"/>
          <w:szCs w:val="22"/>
        </w:rPr>
        <w:t>Etonogestrel/Ethinylestradiol Mithra</w:t>
      </w:r>
      <w:r w:rsidRPr="000059C9">
        <w:rPr>
          <w:rFonts w:cs="Times New Roman"/>
          <w:sz w:val="22"/>
          <w:szCs w:val="22"/>
        </w:rPr>
        <w:t xml:space="preserve"> alebo perorálne kontraceptívum obsahujúce 0,150 mg dezogestrelu a 0,020 mg etinylestradiolu. Zistené hladiny boli porovnateľné.</w:t>
      </w:r>
    </w:p>
    <w:p w14:paraId="27684A3A" w14:textId="77777777" w:rsidR="001F08FE" w:rsidRPr="000059C9" w:rsidRDefault="001F08FE">
      <w:pPr>
        <w:adjustRightInd w:val="0"/>
        <w:snapToGrid w:val="0"/>
        <w:rPr>
          <w:i/>
          <w:caps/>
          <w:szCs w:val="22"/>
        </w:rPr>
      </w:pPr>
    </w:p>
    <w:p w14:paraId="66F46CC2" w14:textId="77777777" w:rsidR="001F08FE" w:rsidRPr="00EE5FF7" w:rsidRDefault="001F08FE" w:rsidP="001F4ACA">
      <w:pPr>
        <w:rPr>
          <w:iCs/>
          <w:u w:val="single"/>
        </w:rPr>
      </w:pPr>
      <w:r w:rsidRPr="001F4ACA">
        <w:rPr>
          <w:iCs/>
          <w:u w:val="single"/>
        </w:rPr>
        <w:t>D</w:t>
      </w:r>
      <w:r w:rsidRPr="00EE5FF7">
        <w:rPr>
          <w:iCs/>
          <w:u w:val="single"/>
        </w:rPr>
        <w:t>istribúcia</w:t>
      </w:r>
    </w:p>
    <w:p w14:paraId="49FD3893" w14:textId="77777777" w:rsidR="001F08FE" w:rsidRPr="000059C9" w:rsidRDefault="001F08FE">
      <w:pPr>
        <w:adjustRightInd w:val="0"/>
        <w:snapToGrid w:val="0"/>
        <w:rPr>
          <w:szCs w:val="22"/>
        </w:rPr>
      </w:pPr>
      <w:r w:rsidRPr="000059C9">
        <w:rPr>
          <w:szCs w:val="22"/>
        </w:rPr>
        <w:t>Etinylestradiol sa silne, ale nie špecificky, viaže na sérový albumín. Zdanlivý objem distribúcie bol určený na približne 15 l/kg.</w:t>
      </w:r>
    </w:p>
    <w:p w14:paraId="12704109" w14:textId="77777777" w:rsidR="001F08FE" w:rsidRPr="000059C9" w:rsidRDefault="001F08FE">
      <w:pPr>
        <w:adjustRightInd w:val="0"/>
        <w:snapToGrid w:val="0"/>
        <w:rPr>
          <w:i/>
          <w:caps/>
          <w:szCs w:val="22"/>
        </w:rPr>
      </w:pPr>
    </w:p>
    <w:p w14:paraId="777BC3BE" w14:textId="77777777" w:rsidR="001F08FE" w:rsidRPr="00EE5FF7" w:rsidRDefault="001F08FE" w:rsidP="001F4ACA">
      <w:pPr>
        <w:rPr>
          <w:iCs/>
          <w:u w:val="single"/>
        </w:rPr>
      </w:pPr>
      <w:r w:rsidRPr="00EE5FF7">
        <w:rPr>
          <w:iCs/>
          <w:u w:val="single"/>
        </w:rPr>
        <w:t>Biotransformácia</w:t>
      </w:r>
    </w:p>
    <w:p w14:paraId="6211492E" w14:textId="77777777" w:rsidR="001F08FE" w:rsidRPr="000059C9" w:rsidRDefault="001F08FE">
      <w:pPr>
        <w:adjustRightInd w:val="0"/>
        <w:snapToGrid w:val="0"/>
        <w:rPr>
          <w:szCs w:val="22"/>
        </w:rPr>
      </w:pPr>
      <w:r w:rsidRPr="000059C9">
        <w:rPr>
          <w:szCs w:val="22"/>
        </w:rPr>
        <w:t>Etinylestradiol sa primárne metabolizuje aromatickou hydroxyláciou, ale tvorí sa široké spektrum hydroxylovaných a metylovaných metabolitov. Sú prítomné ako voľné metabolity a ako sulfátové a glukuronidové konjugáty. Zdanlivý klírens je približne 35 l/hod.</w:t>
      </w:r>
    </w:p>
    <w:p w14:paraId="4C315EF9" w14:textId="77777777" w:rsidR="001F08FE" w:rsidRPr="000059C9" w:rsidRDefault="001F08FE">
      <w:pPr>
        <w:adjustRightInd w:val="0"/>
        <w:snapToGrid w:val="0"/>
        <w:rPr>
          <w:i/>
          <w:caps/>
          <w:szCs w:val="22"/>
        </w:rPr>
      </w:pPr>
    </w:p>
    <w:p w14:paraId="1D155A90" w14:textId="77777777" w:rsidR="001F08FE" w:rsidRPr="00EE5FF7" w:rsidRDefault="001F08FE" w:rsidP="001F4ACA">
      <w:pPr>
        <w:rPr>
          <w:iCs/>
          <w:u w:val="single"/>
        </w:rPr>
      </w:pPr>
      <w:r w:rsidRPr="001F4ACA">
        <w:rPr>
          <w:iCs/>
          <w:u w:val="single"/>
        </w:rPr>
        <w:t>E</w:t>
      </w:r>
      <w:r w:rsidRPr="00EE5FF7">
        <w:rPr>
          <w:iCs/>
          <w:u w:val="single"/>
        </w:rPr>
        <w:t>liminácia</w:t>
      </w:r>
    </w:p>
    <w:p w14:paraId="57401390" w14:textId="77777777" w:rsidR="001F08FE" w:rsidRPr="000059C9" w:rsidRDefault="001F08FE">
      <w:pPr>
        <w:adjustRightInd w:val="0"/>
        <w:snapToGrid w:val="0"/>
        <w:rPr>
          <w:szCs w:val="22"/>
        </w:rPr>
      </w:pPr>
      <w:r w:rsidRPr="000059C9">
        <w:rPr>
          <w:szCs w:val="22"/>
        </w:rPr>
        <w:t>Hladiny etinylestradiolu v sére sa znižujú v dvoch fázach. Konečná fáza je charakterizovaná veľkou individuálnou rozličnosťou polčasu, čo vedie k strednému polčasu približne 34 hodín. Nezmenený etinylestradiol sa nevylučuje; metabolity etinylestradiolu sa vylučujú močom a žlčou v pomere 1,3:1. Polčas vylučovania metabolitov je okolo 1,5 dňa.</w:t>
      </w:r>
    </w:p>
    <w:p w14:paraId="503B5F91" w14:textId="77777777" w:rsidR="001F08FE" w:rsidRPr="000059C9" w:rsidRDefault="001F08FE">
      <w:pPr>
        <w:adjustRightInd w:val="0"/>
        <w:snapToGrid w:val="0"/>
        <w:rPr>
          <w:szCs w:val="22"/>
        </w:rPr>
      </w:pPr>
    </w:p>
    <w:p w14:paraId="10CE18DE" w14:textId="0E83EAD0" w:rsidR="001F08FE" w:rsidRPr="000059C9" w:rsidRDefault="001F08FE" w:rsidP="001F4ACA">
      <w:r w:rsidRPr="000059C9">
        <w:t xml:space="preserve">Osobitné populácie </w:t>
      </w:r>
    </w:p>
    <w:p w14:paraId="4D9CB24C" w14:textId="77777777" w:rsidR="001F08FE" w:rsidRPr="000059C9" w:rsidRDefault="001F08FE" w:rsidP="001F4ACA"/>
    <w:p w14:paraId="0F70E98D" w14:textId="77777777" w:rsidR="001F08FE" w:rsidRPr="000059C9" w:rsidRDefault="001F08FE" w:rsidP="001F4ACA">
      <w:pPr>
        <w:rPr>
          <w:i/>
        </w:rPr>
      </w:pPr>
      <w:r w:rsidRPr="000059C9">
        <w:rPr>
          <w:i/>
        </w:rPr>
        <w:t>Pediatrická populácia</w:t>
      </w:r>
    </w:p>
    <w:p w14:paraId="79BC74D3" w14:textId="75D3EFB9" w:rsidR="001F08FE" w:rsidRPr="000059C9" w:rsidRDefault="001F08FE">
      <w:pPr>
        <w:adjustRightInd w:val="0"/>
        <w:snapToGrid w:val="0"/>
        <w:rPr>
          <w:szCs w:val="22"/>
        </w:rPr>
      </w:pPr>
      <w:r w:rsidRPr="000059C9">
        <w:rPr>
          <w:szCs w:val="22"/>
        </w:rPr>
        <w:t xml:space="preserve">Farmakokinetika </w:t>
      </w:r>
      <w:r w:rsidR="007D1058" w:rsidRPr="000059C9">
        <w:rPr>
          <w:szCs w:val="22"/>
        </w:rPr>
        <w:t>Etonogestrel/Ethinylestradiol</w:t>
      </w:r>
      <w:r w:rsidR="00FB207E">
        <w:rPr>
          <w:szCs w:val="22"/>
        </w:rPr>
        <w:t>u</w:t>
      </w:r>
      <w:r w:rsidR="007D1058" w:rsidRPr="000059C9">
        <w:rPr>
          <w:szCs w:val="22"/>
        </w:rPr>
        <w:t xml:space="preserve"> Mithra</w:t>
      </w:r>
      <w:r w:rsidRPr="000059C9">
        <w:rPr>
          <w:szCs w:val="22"/>
        </w:rPr>
        <w:t xml:space="preserve"> u zdravých dospievajúcich dievčat mladších ako 18 rokov po prvej menštruácii sa neskúmala.</w:t>
      </w:r>
    </w:p>
    <w:p w14:paraId="4DDAC21B" w14:textId="77777777" w:rsidR="001F08FE" w:rsidRPr="000059C9" w:rsidRDefault="001F08FE">
      <w:pPr>
        <w:adjustRightInd w:val="0"/>
        <w:snapToGrid w:val="0"/>
        <w:rPr>
          <w:szCs w:val="22"/>
        </w:rPr>
      </w:pPr>
    </w:p>
    <w:p w14:paraId="5C555E99" w14:textId="77777777" w:rsidR="001F08FE" w:rsidRPr="00EE5FF7" w:rsidRDefault="001F08FE" w:rsidP="001F4ACA">
      <w:pPr>
        <w:rPr>
          <w:i/>
        </w:rPr>
      </w:pPr>
      <w:r w:rsidRPr="00EE5FF7">
        <w:rPr>
          <w:i/>
        </w:rPr>
        <w:t>Vplyv poruchy funkcie obličiek</w:t>
      </w:r>
    </w:p>
    <w:p w14:paraId="521AF6C9" w14:textId="5EA08075" w:rsidR="001F08FE" w:rsidRPr="000059C9" w:rsidRDefault="001F08FE">
      <w:pPr>
        <w:adjustRightInd w:val="0"/>
        <w:snapToGrid w:val="0"/>
        <w:rPr>
          <w:szCs w:val="22"/>
        </w:rPr>
      </w:pPr>
      <w:r w:rsidRPr="000059C9">
        <w:rPr>
          <w:szCs w:val="22"/>
        </w:rPr>
        <w:t xml:space="preserve">Na zhodnotenie vplyvu ochorenia obličiek na farmakokinetiku </w:t>
      </w:r>
      <w:r w:rsidR="007D1058" w:rsidRPr="000059C9">
        <w:rPr>
          <w:szCs w:val="22"/>
        </w:rPr>
        <w:t>Etonogestrel/Ethinylestradiol</w:t>
      </w:r>
      <w:r w:rsidR="00FB207E">
        <w:rPr>
          <w:szCs w:val="22"/>
        </w:rPr>
        <w:t>u</w:t>
      </w:r>
      <w:r w:rsidR="007D1058" w:rsidRPr="000059C9">
        <w:rPr>
          <w:szCs w:val="22"/>
        </w:rPr>
        <w:t xml:space="preserve"> Mithra</w:t>
      </w:r>
      <w:r w:rsidRPr="000059C9">
        <w:rPr>
          <w:szCs w:val="22"/>
        </w:rPr>
        <w:t xml:space="preserve"> sa nevykonali žiadne štúdie.</w:t>
      </w:r>
    </w:p>
    <w:p w14:paraId="6F7A69BD" w14:textId="77777777" w:rsidR="001F08FE" w:rsidRPr="000059C9" w:rsidRDefault="001F08FE">
      <w:pPr>
        <w:adjustRightInd w:val="0"/>
        <w:snapToGrid w:val="0"/>
        <w:rPr>
          <w:szCs w:val="22"/>
        </w:rPr>
      </w:pPr>
    </w:p>
    <w:p w14:paraId="46376701" w14:textId="77777777" w:rsidR="001F08FE" w:rsidRPr="001F4ACA" w:rsidRDefault="001F08FE" w:rsidP="001F4ACA">
      <w:pPr>
        <w:rPr>
          <w:i/>
        </w:rPr>
      </w:pPr>
      <w:r w:rsidRPr="00EE5FF7">
        <w:rPr>
          <w:i/>
        </w:rPr>
        <w:t>Vplyv poruchy funkcie pečene</w:t>
      </w:r>
    </w:p>
    <w:p w14:paraId="56776834" w14:textId="4E6CEE7B" w:rsidR="001F08FE" w:rsidRPr="000059C9" w:rsidRDefault="001F08FE">
      <w:pPr>
        <w:adjustRightInd w:val="0"/>
        <w:snapToGrid w:val="0"/>
        <w:rPr>
          <w:szCs w:val="22"/>
        </w:rPr>
      </w:pPr>
      <w:r w:rsidRPr="000059C9">
        <w:rPr>
          <w:szCs w:val="22"/>
        </w:rPr>
        <w:t xml:space="preserve">Na zhodnotenie vplyvu ochorenia pečene na farmakokinetiku </w:t>
      </w:r>
      <w:r w:rsidR="007D1058" w:rsidRPr="000059C9">
        <w:rPr>
          <w:szCs w:val="22"/>
        </w:rPr>
        <w:t>Etonogestrel/Ethinylestradiol</w:t>
      </w:r>
      <w:r w:rsidR="00FB207E">
        <w:rPr>
          <w:szCs w:val="22"/>
        </w:rPr>
        <w:t>u</w:t>
      </w:r>
      <w:r w:rsidR="007D1058" w:rsidRPr="000059C9">
        <w:rPr>
          <w:szCs w:val="22"/>
        </w:rPr>
        <w:t xml:space="preserve"> Mithra</w:t>
      </w:r>
      <w:r w:rsidRPr="000059C9">
        <w:rPr>
          <w:szCs w:val="22"/>
        </w:rPr>
        <w:t xml:space="preserve"> sa nevykonali žiadne štúdie. U žien s poruchou funkcie pečene sa však steroidné hormóny môžu slabo metabolizovať.</w:t>
      </w:r>
    </w:p>
    <w:p w14:paraId="3DE580BC" w14:textId="77777777" w:rsidR="001F08FE" w:rsidRPr="000059C9" w:rsidRDefault="001F08FE">
      <w:pPr>
        <w:adjustRightInd w:val="0"/>
        <w:snapToGrid w:val="0"/>
        <w:rPr>
          <w:szCs w:val="22"/>
        </w:rPr>
      </w:pPr>
    </w:p>
    <w:p w14:paraId="28889114" w14:textId="77777777" w:rsidR="001F08FE" w:rsidRPr="00EE5FF7" w:rsidRDefault="001F08FE" w:rsidP="001F4ACA">
      <w:pPr>
        <w:rPr>
          <w:i/>
        </w:rPr>
      </w:pPr>
      <w:r w:rsidRPr="00EE5FF7">
        <w:rPr>
          <w:i/>
        </w:rPr>
        <w:t>Etnické skupiny</w:t>
      </w:r>
    </w:p>
    <w:p w14:paraId="1A326B82" w14:textId="77777777" w:rsidR="001F08FE" w:rsidRPr="000059C9" w:rsidRDefault="001F08FE">
      <w:pPr>
        <w:adjustRightInd w:val="0"/>
        <w:snapToGrid w:val="0"/>
        <w:rPr>
          <w:szCs w:val="22"/>
        </w:rPr>
      </w:pPr>
      <w:r w:rsidRPr="000059C9">
        <w:rPr>
          <w:szCs w:val="22"/>
        </w:rPr>
        <w:t>Nevykonali sa žiadne formálne štúdie na zhodnotenie farmakokinetiky v etnických skupinách.</w:t>
      </w:r>
    </w:p>
    <w:p w14:paraId="1B531965" w14:textId="77777777" w:rsidR="001F08FE" w:rsidRPr="000059C9" w:rsidRDefault="001F08FE" w:rsidP="001F4ACA"/>
    <w:p w14:paraId="5E01EFE3" w14:textId="77777777" w:rsidR="001F08FE" w:rsidRPr="001F4ACA" w:rsidRDefault="001F08FE" w:rsidP="001F4ACA">
      <w:pPr>
        <w:rPr>
          <w:b/>
        </w:rPr>
      </w:pPr>
      <w:r w:rsidRPr="001F4ACA">
        <w:rPr>
          <w:b/>
        </w:rPr>
        <w:t>5.3</w:t>
      </w:r>
      <w:r w:rsidRPr="001F4ACA">
        <w:rPr>
          <w:b/>
        </w:rPr>
        <w:tab/>
        <w:t>Predklinické údaje o bezpečnosti</w:t>
      </w:r>
    </w:p>
    <w:p w14:paraId="0B5CBA26" w14:textId="77777777" w:rsidR="001F08FE" w:rsidRPr="000059C9" w:rsidRDefault="001F08FE" w:rsidP="001F4ACA"/>
    <w:p w14:paraId="7F5DFFBE" w14:textId="77777777" w:rsidR="001F08FE" w:rsidRPr="000059C9" w:rsidRDefault="001F08FE" w:rsidP="001F4ACA">
      <w:pPr>
        <w:pStyle w:val="Zarkazkladnhotextu"/>
        <w:adjustRightInd w:val="0"/>
        <w:snapToGrid w:val="0"/>
        <w:ind w:left="0"/>
        <w:rPr>
          <w:rFonts w:cs="Times New Roman"/>
          <w:sz w:val="22"/>
          <w:szCs w:val="22"/>
        </w:rPr>
      </w:pPr>
      <w:r w:rsidRPr="000059C9">
        <w:rPr>
          <w:rFonts w:cs="Times New Roman"/>
          <w:sz w:val="22"/>
          <w:szCs w:val="22"/>
        </w:rPr>
        <w:t>Predklinické údaje s etinylestradiolom a etonogestrelom získané na základe obvyklých farmakologických štúdií bezpečnosti, toxicity po opakovanom podávaní, genotoxicity, karcinogénneho potenciálu a reprodukčnej toxicity neodhalili žiadne osobitné riziko pre ľudí.</w:t>
      </w:r>
    </w:p>
    <w:p w14:paraId="54292837" w14:textId="77777777" w:rsidR="001F08FE" w:rsidRPr="000059C9" w:rsidRDefault="001F08FE">
      <w:pPr>
        <w:adjustRightInd w:val="0"/>
        <w:snapToGrid w:val="0"/>
        <w:rPr>
          <w:szCs w:val="22"/>
        </w:rPr>
      </w:pPr>
    </w:p>
    <w:p w14:paraId="49F89A20" w14:textId="77777777" w:rsidR="001F08FE" w:rsidRPr="000059C9" w:rsidRDefault="001F08FE">
      <w:pPr>
        <w:adjustRightInd w:val="0"/>
        <w:snapToGrid w:val="0"/>
        <w:rPr>
          <w:szCs w:val="22"/>
        </w:rPr>
      </w:pPr>
      <w:r w:rsidRPr="000059C9">
        <w:rPr>
          <w:szCs w:val="22"/>
          <w:u w:val="single"/>
        </w:rPr>
        <w:t>Hodnotenie environmentálneho rizika (ERA, Environmental Risk Assessment)</w:t>
      </w:r>
    </w:p>
    <w:p w14:paraId="613D96CA" w14:textId="77777777" w:rsidR="001F08FE" w:rsidRPr="000059C9" w:rsidRDefault="001F08FE">
      <w:pPr>
        <w:adjustRightInd w:val="0"/>
        <w:snapToGrid w:val="0"/>
        <w:rPr>
          <w:szCs w:val="22"/>
        </w:rPr>
      </w:pPr>
      <w:r w:rsidRPr="000059C9">
        <w:rPr>
          <w:szCs w:val="22"/>
        </w:rPr>
        <w:t>Štúdie na hodnotenie environmentálneho rizika preukázali, že 17α</w:t>
      </w:r>
      <w:r w:rsidRPr="000059C9">
        <w:rPr>
          <w:szCs w:val="22"/>
        </w:rPr>
        <w:noBreakHyphen/>
        <w:t>etinylestradiol a etonogestrel predstavujú riziko pre organizmy povrchových vôd (pozri časť 6.6).</w:t>
      </w:r>
    </w:p>
    <w:p w14:paraId="12CEA312" w14:textId="77777777" w:rsidR="001F08FE" w:rsidRPr="000059C9" w:rsidRDefault="001F08FE">
      <w:pPr>
        <w:adjustRightInd w:val="0"/>
        <w:snapToGrid w:val="0"/>
        <w:rPr>
          <w:szCs w:val="22"/>
        </w:rPr>
      </w:pPr>
    </w:p>
    <w:p w14:paraId="1C529B4B" w14:textId="77777777" w:rsidR="001F08FE" w:rsidRPr="000059C9" w:rsidRDefault="001F08FE">
      <w:pPr>
        <w:adjustRightInd w:val="0"/>
        <w:snapToGrid w:val="0"/>
        <w:rPr>
          <w:szCs w:val="22"/>
        </w:rPr>
      </w:pPr>
    </w:p>
    <w:p w14:paraId="281C571A" w14:textId="77777777" w:rsidR="001F08FE" w:rsidRPr="001F4ACA" w:rsidRDefault="001F08FE" w:rsidP="001F4ACA">
      <w:pPr>
        <w:rPr>
          <w:b/>
        </w:rPr>
      </w:pPr>
      <w:r w:rsidRPr="001F4ACA">
        <w:rPr>
          <w:b/>
        </w:rPr>
        <w:t>6.</w:t>
      </w:r>
      <w:r w:rsidRPr="001F4ACA">
        <w:rPr>
          <w:b/>
        </w:rPr>
        <w:tab/>
        <w:t>FARMACEUTICKÉ INFORMÁCIE</w:t>
      </w:r>
    </w:p>
    <w:p w14:paraId="62464587" w14:textId="77777777" w:rsidR="001F08FE" w:rsidRPr="000059C9" w:rsidRDefault="001F08FE" w:rsidP="001F4ACA"/>
    <w:p w14:paraId="3CE63804" w14:textId="77777777" w:rsidR="001F08FE" w:rsidRPr="001F4ACA" w:rsidRDefault="001F08FE" w:rsidP="001F4ACA">
      <w:pPr>
        <w:rPr>
          <w:b/>
        </w:rPr>
      </w:pPr>
      <w:r w:rsidRPr="001F4ACA">
        <w:rPr>
          <w:b/>
        </w:rPr>
        <w:t>6.1</w:t>
      </w:r>
      <w:r w:rsidRPr="001F4ACA">
        <w:rPr>
          <w:b/>
        </w:rPr>
        <w:tab/>
        <w:t>Zoznam pomocných látok</w:t>
      </w:r>
    </w:p>
    <w:p w14:paraId="66FFC179" w14:textId="77777777" w:rsidR="001F08FE" w:rsidRPr="000059C9" w:rsidRDefault="001F08FE" w:rsidP="001F4ACA">
      <w:pPr>
        <w:rPr>
          <w:bCs/>
        </w:rPr>
      </w:pPr>
    </w:p>
    <w:p w14:paraId="7CAE3EDB" w14:textId="2CA43E42" w:rsidR="001F08FE" w:rsidRPr="000059C9" w:rsidRDefault="001F08FE">
      <w:pPr>
        <w:adjustRightInd w:val="0"/>
        <w:snapToGrid w:val="0"/>
        <w:rPr>
          <w:bCs/>
          <w:szCs w:val="22"/>
        </w:rPr>
      </w:pPr>
      <w:r w:rsidRPr="000059C9">
        <w:rPr>
          <w:bCs/>
          <w:szCs w:val="22"/>
        </w:rPr>
        <w:t>kopolymér etylénu s</w:t>
      </w:r>
      <w:r w:rsidR="00F31A59">
        <w:rPr>
          <w:bCs/>
          <w:szCs w:val="22"/>
        </w:rPr>
        <w:t> </w:t>
      </w:r>
      <w:r w:rsidRPr="000059C9">
        <w:rPr>
          <w:bCs/>
          <w:szCs w:val="22"/>
        </w:rPr>
        <w:t>vinylacetátom</w:t>
      </w:r>
      <w:r w:rsidR="00F31A59">
        <w:rPr>
          <w:bCs/>
          <w:szCs w:val="22"/>
        </w:rPr>
        <w:t xml:space="preserve"> </w:t>
      </w:r>
      <w:r w:rsidR="00E40E1D">
        <w:rPr>
          <w:bCs/>
          <w:szCs w:val="22"/>
        </w:rPr>
        <w:t>(</w:t>
      </w:r>
      <w:r w:rsidRPr="000059C9">
        <w:rPr>
          <w:bCs/>
          <w:szCs w:val="22"/>
        </w:rPr>
        <w:t>28 % vinylacetát</w:t>
      </w:r>
      <w:r w:rsidR="00E40E1D">
        <w:rPr>
          <w:bCs/>
          <w:szCs w:val="22"/>
        </w:rPr>
        <w:t>),</w:t>
      </w:r>
    </w:p>
    <w:p w14:paraId="43AE5A15" w14:textId="5F12CA51" w:rsidR="001F08FE" w:rsidRPr="000059C9" w:rsidRDefault="001F08FE">
      <w:pPr>
        <w:adjustRightInd w:val="0"/>
        <w:snapToGrid w:val="0"/>
        <w:rPr>
          <w:bCs/>
          <w:szCs w:val="22"/>
        </w:rPr>
      </w:pPr>
      <w:r w:rsidRPr="000059C9">
        <w:rPr>
          <w:bCs/>
          <w:szCs w:val="22"/>
        </w:rPr>
        <w:t>kopolymér etylénu s</w:t>
      </w:r>
      <w:r w:rsidR="00F31A59">
        <w:rPr>
          <w:bCs/>
          <w:szCs w:val="22"/>
        </w:rPr>
        <w:t> </w:t>
      </w:r>
      <w:r w:rsidRPr="000059C9">
        <w:rPr>
          <w:bCs/>
          <w:szCs w:val="22"/>
        </w:rPr>
        <w:t>vinylacetátom</w:t>
      </w:r>
      <w:r w:rsidR="00F31A59">
        <w:rPr>
          <w:bCs/>
          <w:szCs w:val="22"/>
        </w:rPr>
        <w:t xml:space="preserve"> </w:t>
      </w:r>
      <w:r w:rsidR="00E40E1D">
        <w:rPr>
          <w:bCs/>
          <w:szCs w:val="22"/>
        </w:rPr>
        <w:t>(</w:t>
      </w:r>
      <w:r w:rsidRPr="000059C9">
        <w:rPr>
          <w:bCs/>
          <w:szCs w:val="22"/>
        </w:rPr>
        <w:t>9 % vinylacetát</w:t>
      </w:r>
      <w:r w:rsidR="00E40E1D">
        <w:rPr>
          <w:bCs/>
          <w:szCs w:val="22"/>
        </w:rPr>
        <w:t>),</w:t>
      </w:r>
    </w:p>
    <w:p w14:paraId="12C2C1A8" w14:textId="77777777" w:rsidR="001F08FE" w:rsidRPr="000059C9" w:rsidRDefault="001F08FE">
      <w:pPr>
        <w:adjustRightInd w:val="0"/>
        <w:snapToGrid w:val="0"/>
        <w:rPr>
          <w:bCs/>
          <w:szCs w:val="22"/>
        </w:rPr>
      </w:pPr>
      <w:r w:rsidRPr="000059C9">
        <w:rPr>
          <w:bCs/>
          <w:szCs w:val="22"/>
        </w:rPr>
        <w:t>stearan horečnatý.</w:t>
      </w:r>
    </w:p>
    <w:p w14:paraId="548BFE55" w14:textId="77777777" w:rsidR="001F08FE" w:rsidRPr="001F4ACA" w:rsidRDefault="001F08FE">
      <w:pPr>
        <w:adjustRightInd w:val="0"/>
        <w:snapToGrid w:val="0"/>
        <w:rPr>
          <w:szCs w:val="22"/>
        </w:rPr>
      </w:pPr>
    </w:p>
    <w:p w14:paraId="19A8D47A" w14:textId="77777777" w:rsidR="001F08FE" w:rsidRPr="001F4ACA" w:rsidRDefault="001F08FE" w:rsidP="001F4ACA">
      <w:pPr>
        <w:rPr>
          <w:rStyle w:val="Siln"/>
        </w:rPr>
      </w:pPr>
      <w:r w:rsidRPr="001F4ACA">
        <w:rPr>
          <w:rStyle w:val="Siln"/>
        </w:rPr>
        <w:t>6.2</w:t>
      </w:r>
      <w:r w:rsidRPr="001F4ACA">
        <w:rPr>
          <w:rStyle w:val="Siln"/>
        </w:rPr>
        <w:tab/>
        <w:t>Inkompatibility</w:t>
      </w:r>
    </w:p>
    <w:p w14:paraId="7CEC1EBD" w14:textId="77777777" w:rsidR="001F08FE" w:rsidRPr="001F4ACA" w:rsidRDefault="001F08FE" w:rsidP="001F4ACA">
      <w:pPr>
        <w:rPr>
          <w:rStyle w:val="Siln"/>
        </w:rPr>
      </w:pPr>
    </w:p>
    <w:p w14:paraId="09643160" w14:textId="77777777" w:rsidR="001F08FE" w:rsidRPr="000059C9" w:rsidRDefault="001F08FE">
      <w:pPr>
        <w:adjustRightInd w:val="0"/>
        <w:snapToGrid w:val="0"/>
        <w:rPr>
          <w:szCs w:val="22"/>
        </w:rPr>
      </w:pPr>
      <w:r w:rsidRPr="000059C9">
        <w:rPr>
          <w:szCs w:val="22"/>
        </w:rPr>
        <w:t>Neaplikovateľné.</w:t>
      </w:r>
    </w:p>
    <w:p w14:paraId="63C6D4F6" w14:textId="77777777" w:rsidR="001F08FE" w:rsidRPr="000059C9" w:rsidRDefault="001F08FE">
      <w:pPr>
        <w:adjustRightInd w:val="0"/>
        <w:snapToGrid w:val="0"/>
        <w:rPr>
          <w:szCs w:val="22"/>
        </w:rPr>
      </w:pPr>
    </w:p>
    <w:p w14:paraId="5DE4DE32" w14:textId="77777777" w:rsidR="001F08FE" w:rsidRPr="001F4ACA" w:rsidRDefault="001F08FE" w:rsidP="001F4ACA">
      <w:pPr>
        <w:rPr>
          <w:b/>
        </w:rPr>
      </w:pPr>
      <w:r w:rsidRPr="001F4ACA">
        <w:rPr>
          <w:b/>
        </w:rPr>
        <w:t>6.3</w:t>
      </w:r>
      <w:r w:rsidRPr="001F4ACA">
        <w:rPr>
          <w:b/>
        </w:rPr>
        <w:tab/>
        <w:t>Čas použiteľnosti</w:t>
      </w:r>
    </w:p>
    <w:p w14:paraId="302D1588" w14:textId="77777777" w:rsidR="001F08FE" w:rsidRPr="000059C9" w:rsidRDefault="001F08FE" w:rsidP="001F4ACA">
      <w:pPr>
        <w:rPr>
          <w:bCs/>
        </w:rPr>
      </w:pPr>
    </w:p>
    <w:p w14:paraId="4C9FD56D" w14:textId="77777777" w:rsidR="001F08FE" w:rsidRPr="000059C9" w:rsidRDefault="00CC5B7F">
      <w:pPr>
        <w:adjustRightInd w:val="0"/>
        <w:snapToGrid w:val="0"/>
        <w:rPr>
          <w:bCs/>
          <w:szCs w:val="22"/>
        </w:rPr>
      </w:pPr>
      <w:r w:rsidRPr="000059C9">
        <w:rPr>
          <w:bCs/>
          <w:szCs w:val="22"/>
        </w:rPr>
        <w:t>18</w:t>
      </w:r>
      <w:r w:rsidR="001F08FE" w:rsidRPr="000059C9">
        <w:rPr>
          <w:szCs w:val="22"/>
        </w:rPr>
        <w:t> </w:t>
      </w:r>
      <w:r w:rsidR="001F08FE" w:rsidRPr="000059C9">
        <w:rPr>
          <w:bCs/>
          <w:szCs w:val="22"/>
        </w:rPr>
        <w:t>mesiacov.</w:t>
      </w:r>
    </w:p>
    <w:p w14:paraId="2ACB9A54" w14:textId="77777777" w:rsidR="001F08FE" w:rsidRPr="001F4ACA" w:rsidRDefault="001F08FE">
      <w:pPr>
        <w:adjustRightInd w:val="0"/>
        <w:snapToGrid w:val="0"/>
        <w:rPr>
          <w:szCs w:val="22"/>
        </w:rPr>
      </w:pPr>
    </w:p>
    <w:p w14:paraId="5FEC5949" w14:textId="77777777" w:rsidR="001F08FE" w:rsidRPr="001F4ACA" w:rsidRDefault="001F08FE" w:rsidP="001F4ACA">
      <w:pPr>
        <w:rPr>
          <w:b/>
          <w:bCs/>
        </w:rPr>
      </w:pPr>
      <w:r w:rsidRPr="00FB207E">
        <w:rPr>
          <w:b/>
          <w:bCs/>
        </w:rPr>
        <w:t>6.4</w:t>
      </w:r>
      <w:r w:rsidRPr="00FB207E">
        <w:rPr>
          <w:b/>
          <w:bCs/>
        </w:rPr>
        <w:tab/>
      </w:r>
      <w:r w:rsidRPr="00FB207E">
        <w:rPr>
          <w:b/>
        </w:rPr>
        <w:t>Špeciálne upozornenia na uchovávanie</w:t>
      </w:r>
    </w:p>
    <w:p w14:paraId="092A3E62" w14:textId="77777777" w:rsidR="001F08FE" w:rsidRPr="000059C9" w:rsidRDefault="001F08FE" w:rsidP="001F4ACA">
      <w:pPr>
        <w:rPr>
          <w:i/>
          <w:iCs/>
        </w:rPr>
      </w:pPr>
    </w:p>
    <w:p w14:paraId="34A7E88E" w14:textId="77777777" w:rsidR="001F08FE" w:rsidRPr="000059C9" w:rsidRDefault="001F08FE" w:rsidP="001F4ACA">
      <w:pPr>
        <w:rPr>
          <w:i/>
          <w:iCs/>
        </w:rPr>
      </w:pPr>
      <w:r w:rsidRPr="000059C9">
        <w:rPr>
          <w:i/>
          <w:iCs/>
        </w:rPr>
        <w:t>Pred výdajom:</w:t>
      </w:r>
    </w:p>
    <w:p w14:paraId="289156D8" w14:textId="77777777" w:rsidR="001F08FE" w:rsidRPr="000059C9" w:rsidRDefault="00575EAC">
      <w:pPr>
        <w:adjustRightInd w:val="0"/>
        <w:snapToGrid w:val="0"/>
        <w:rPr>
          <w:szCs w:val="22"/>
        </w:rPr>
      </w:pPr>
      <w:r w:rsidRPr="000059C9">
        <w:rPr>
          <w:szCs w:val="22"/>
        </w:rPr>
        <w:t>U</w:t>
      </w:r>
      <w:r w:rsidR="001F08FE" w:rsidRPr="000059C9">
        <w:rPr>
          <w:szCs w:val="22"/>
        </w:rPr>
        <w:t>chovávajte v chladničke (2 °C – 8 °C).</w:t>
      </w:r>
    </w:p>
    <w:p w14:paraId="6ABD6C57" w14:textId="77777777" w:rsidR="00AE6F24" w:rsidRPr="000059C9" w:rsidRDefault="00AE6F24">
      <w:pPr>
        <w:adjustRightInd w:val="0"/>
        <w:snapToGrid w:val="0"/>
        <w:rPr>
          <w:szCs w:val="22"/>
          <w:lang w:bidi="sk-SK"/>
        </w:rPr>
      </w:pPr>
      <w:r w:rsidRPr="000059C9">
        <w:rPr>
          <w:szCs w:val="22"/>
          <w:lang w:bidi="sk-SK"/>
        </w:rPr>
        <w:t>Uchovávajte v pôvodnom obale.</w:t>
      </w:r>
    </w:p>
    <w:p w14:paraId="7FF23791" w14:textId="77777777" w:rsidR="002F5848" w:rsidRPr="000059C9" w:rsidRDefault="002F5848">
      <w:pPr>
        <w:adjustRightInd w:val="0"/>
        <w:snapToGrid w:val="0"/>
        <w:rPr>
          <w:szCs w:val="22"/>
        </w:rPr>
      </w:pPr>
    </w:p>
    <w:p w14:paraId="0A4AC072" w14:textId="77777777" w:rsidR="001F08FE" w:rsidRPr="001F4ACA" w:rsidRDefault="001F08FE" w:rsidP="001F4ACA">
      <w:pPr>
        <w:rPr>
          <w:i/>
          <w:iCs/>
        </w:rPr>
      </w:pPr>
      <w:r w:rsidRPr="00EE5FF7">
        <w:rPr>
          <w:i/>
          <w:iCs/>
        </w:rPr>
        <w:t>V</w:t>
      </w:r>
      <w:r w:rsidRPr="001F4ACA">
        <w:rPr>
          <w:i/>
          <w:iCs/>
        </w:rPr>
        <w:t> </w:t>
      </w:r>
      <w:r w:rsidRPr="00EE5FF7">
        <w:rPr>
          <w:i/>
          <w:iCs/>
        </w:rPr>
        <w:t>čase výdaja:</w:t>
      </w:r>
    </w:p>
    <w:p w14:paraId="70C5982C" w14:textId="6EE87750" w:rsidR="001F08FE" w:rsidRPr="000059C9" w:rsidRDefault="001F08FE">
      <w:pPr>
        <w:adjustRightInd w:val="0"/>
        <w:snapToGrid w:val="0"/>
        <w:rPr>
          <w:szCs w:val="22"/>
        </w:rPr>
      </w:pPr>
      <w:r w:rsidRPr="000059C9">
        <w:rPr>
          <w:szCs w:val="22"/>
        </w:rPr>
        <w:t>Vydávajúci lekárnik uvedie na obale dátum výdaja. Liek sa nemá zavádzať neskôr ako</w:t>
      </w:r>
      <w:r w:rsidR="004A79DC">
        <w:rPr>
          <w:szCs w:val="22"/>
        </w:rPr>
        <w:t xml:space="preserve"> </w:t>
      </w:r>
      <w:r w:rsidR="002F5848" w:rsidRPr="000059C9">
        <w:rPr>
          <w:szCs w:val="22"/>
        </w:rPr>
        <w:t>6</w:t>
      </w:r>
      <w:r w:rsidRPr="000059C9">
        <w:rPr>
          <w:szCs w:val="22"/>
        </w:rPr>
        <w:t> </w:t>
      </w:r>
      <w:r w:rsidR="00FB207E" w:rsidRPr="000059C9">
        <w:rPr>
          <w:szCs w:val="22"/>
        </w:rPr>
        <w:t>mesiac</w:t>
      </w:r>
      <w:r w:rsidR="00FB207E">
        <w:rPr>
          <w:szCs w:val="22"/>
        </w:rPr>
        <w:t>ov</w:t>
      </w:r>
      <w:r w:rsidR="00FB207E" w:rsidRPr="000059C9">
        <w:rPr>
          <w:szCs w:val="22"/>
        </w:rPr>
        <w:t xml:space="preserve"> </w:t>
      </w:r>
      <w:r w:rsidRPr="000059C9">
        <w:rPr>
          <w:szCs w:val="22"/>
        </w:rPr>
        <w:t>po dátume výdaja alebo po uplynutí dátumu exspirácie podľa toho, ktorý nastane skôr.</w:t>
      </w:r>
    </w:p>
    <w:p w14:paraId="676BCA1E" w14:textId="77777777" w:rsidR="001F08FE" w:rsidRPr="000059C9" w:rsidRDefault="001F08FE">
      <w:pPr>
        <w:adjustRightInd w:val="0"/>
        <w:snapToGrid w:val="0"/>
        <w:rPr>
          <w:i/>
          <w:iCs/>
          <w:szCs w:val="22"/>
        </w:rPr>
      </w:pPr>
    </w:p>
    <w:p w14:paraId="2D35BDBC" w14:textId="77777777" w:rsidR="001F08FE" w:rsidRPr="001F4ACA" w:rsidRDefault="001F08FE" w:rsidP="001F4ACA">
      <w:pPr>
        <w:rPr>
          <w:i/>
          <w:iCs/>
        </w:rPr>
      </w:pPr>
      <w:r w:rsidRPr="00EE5FF7">
        <w:rPr>
          <w:i/>
          <w:iCs/>
        </w:rPr>
        <w:t>Po výdaji:</w:t>
      </w:r>
    </w:p>
    <w:p w14:paraId="01BCB12A" w14:textId="67363BDC" w:rsidR="001F08FE" w:rsidRPr="000059C9" w:rsidRDefault="002F5848">
      <w:pPr>
        <w:adjustRightInd w:val="0"/>
        <w:snapToGrid w:val="0"/>
        <w:rPr>
          <w:szCs w:val="22"/>
        </w:rPr>
      </w:pPr>
      <w:r w:rsidRPr="000059C9">
        <w:rPr>
          <w:szCs w:val="22"/>
        </w:rPr>
        <w:t>6 </w:t>
      </w:r>
      <w:r w:rsidR="00FB207E" w:rsidRPr="000059C9">
        <w:rPr>
          <w:szCs w:val="22"/>
        </w:rPr>
        <w:t>mesiac</w:t>
      </w:r>
      <w:r w:rsidR="00FB207E">
        <w:rPr>
          <w:szCs w:val="22"/>
        </w:rPr>
        <w:t>ov</w:t>
      </w:r>
      <w:r w:rsidR="001F08FE" w:rsidRPr="000059C9">
        <w:rPr>
          <w:szCs w:val="22"/>
        </w:rPr>
        <w:t>, uchovávajte pri teplote do 30 °C.</w:t>
      </w:r>
    </w:p>
    <w:p w14:paraId="3EE53FE5" w14:textId="77777777" w:rsidR="001F08FE" w:rsidRPr="000059C9" w:rsidRDefault="001F08FE">
      <w:pPr>
        <w:adjustRightInd w:val="0"/>
        <w:snapToGrid w:val="0"/>
        <w:rPr>
          <w:szCs w:val="22"/>
        </w:rPr>
      </w:pPr>
      <w:r w:rsidRPr="000059C9">
        <w:rPr>
          <w:szCs w:val="22"/>
        </w:rPr>
        <w:t>Uchovávajte v pôvodnom obale na ochranu pred svetlom a vlhkosťou.</w:t>
      </w:r>
    </w:p>
    <w:p w14:paraId="7BD11167" w14:textId="77777777" w:rsidR="001F08FE" w:rsidRPr="000059C9" w:rsidRDefault="001F08FE">
      <w:pPr>
        <w:adjustRightInd w:val="0"/>
        <w:snapToGrid w:val="0"/>
        <w:rPr>
          <w:szCs w:val="22"/>
        </w:rPr>
      </w:pPr>
    </w:p>
    <w:p w14:paraId="1E958BC4" w14:textId="77777777" w:rsidR="001F08FE" w:rsidRPr="001F4ACA" w:rsidRDefault="001F08FE" w:rsidP="001F4ACA">
      <w:pPr>
        <w:rPr>
          <w:b/>
          <w:bCs/>
        </w:rPr>
      </w:pPr>
      <w:r w:rsidRPr="00FB207E">
        <w:rPr>
          <w:b/>
          <w:bCs/>
        </w:rPr>
        <w:t>6.5</w:t>
      </w:r>
      <w:r w:rsidRPr="00FB207E">
        <w:rPr>
          <w:b/>
          <w:bCs/>
        </w:rPr>
        <w:tab/>
      </w:r>
      <w:r w:rsidRPr="00FB207E">
        <w:rPr>
          <w:b/>
        </w:rPr>
        <w:t>Druh obalu a obsah balenia</w:t>
      </w:r>
    </w:p>
    <w:p w14:paraId="6A1F8EAE" w14:textId="77777777" w:rsidR="001F08FE" w:rsidRPr="000059C9" w:rsidRDefault="001F08FE" w:rsidP="001F4ACA"/>
    <w:p w14:paraId="57B1970E" w14:textId="52D2E88D" w:rsidR="001F08FE" w:rsidRPr="000059C9" w:rsidRDefault="001F08FE">
      <w:pPr>
        <w:adjustRightInd w:val="0"/>
        <w:snapToGrid w:val="0"/>
        <w:rPr>
          <w:szCs w:val="22"/>
        </w:rPr>
      </w:pPr>
      <w:r w:rsidRPr="000059C9">
        <w:rPr>
          <w:szCs w:val="22"/>
        </w:rPr>
        <w:t xml:space="preserve">Vrecko obsahujúce jeden </w:t>
      </w:r>
      <w:r w:rsidR="007D1058" w:rsidRPr="000059C9">
        <w:rPr>
          <w:szCs w:val="22"/>
        </w:rPr>
        <w:t>Etonogestrel/Ethinylestradiol Mithra</w:t>
      </w:r>
      <w:r w:rsidRPr="000059C9">
        <w:rPr>
          <w:szCs w:val="22"/>
        </w:rPr>
        <w:t xml:space="preserve">. Vrecko je vyrobené z hliníkovej fólie s vnútornou vrstvou z polyetylénu nízkej hustoty a vonkajšou vrstvou z polyetyléntereftalátu (PET). </w:t>
      </w:r>
      <w:r w:rsidR="006D271E" w:rsidRPr="001F4ACA">
        <w:rPr>
          <w:szCs w:val="22"/>
          <w:lang w:bidi="sk-SK"/>
        </w:rPr>
        <w:t xml:space="preserve">Je vodotesné a v závislosti od krajiny je alebo nie je opätovne uzatvárateľné. Vrecúško je balené v </w:t>
      </w:r>
      <w:r w:rsidR="00FB207E">
        <w:rPr>
          <w:szCs w:val="22"/>
          <w:lang w:bidi="sk-SK"/>
        </w:rPr>
        <w:t>po</w:t>
      </w:r>
      <w:r w:rsidR="006D271E" w:rsidRPr="001F4ACA">
        <w:rPr>
          <w:szCs w:val="22"/>
          <w:lang w:bidi="sk-SK"/>
        </w:rPr>
        <w:t xml:space="preserve">tlačenej </w:t>
      </w:r>
      <w:r w:rsidR="00FB207E">
        <w:rPr>
          <w:szCs w:val="22"/>
          <w:lang w:bidi="sk-SK"/>
        </w:rPr>
        <w:t xml:space="preserve">kartónovej </w:t>
      </w:r>
      <w:r w:rsidR="006D271E" w:rsidRPr="001F4ACA">
        <w:rPr>
          <w:szCs w:val="22"/>
          <w:lang w:bidi="sk-SK"/>
        </w:rPr>
        <w:t>škatuli spolu s písomnou informáciou pre používateľov. Každá škatuľa obsahuje 1 alebo 3 krúžky.</w:t>
      </w:r>
    </w:p>
    <w:p w14:paraId="52FCD8DD" w14:textId="77777777" w:rsidR="001F08FE" w:rsidRPr="000059C9" w:rsidRDefault="001F08FE" w:rsidP="001F4ACA">
      <w:pPr>
        <w:pStyle w:val="Zarkazkladnhotextu"/>
        <w:adjustRightInd w:val="0"/>
        <w:snapToGrid w:val="0"/>
        <w:ind w:left="0"/>
        <w:rPr>
          <w:rFonts w:cs="Times New Roman"/>
          <w:sz w:val="22"/>
          <w:szCs w:val="22"/>
        </w:rPr>
      </w:pPr>
      <w:r w:rsidRPr="000059C9">
        <w:rPr>
          <w:rFonts w:cs="Times New Roman"/>
          <w:sz w:val="22"/>
          <w:szCs w:val="22"/>
        </w:rPr>
        <w:t>Na trh nemusia byť uvedené</w:t>
      </w:r>
      <w:r w:rsidRPr="000059C9">
        <w:rPr>
          <w:rFonts w:cs="Times New Roman"/>
          <w:noProof/>
          <w:sz w:val="22"/>
          <w:szCs w:val="22"/>
        </w:rPr>
        <w:t xml:space="preserve"> všetky veľkosti balenia.</w:t>
      </w:r>
    </w:p>
    <w:p w14:paraId="49187BE3" w14:textId="77777777" w:rsidR="001F08FE" w:rsidRPr="000059C9" w:rsidRDefault="001F08FE" w:rsidP="001F4ACA">
      <w:pPr>
        <w:pStyle w:val="Zarkazkladnhotextu"/>
        <w:adjustRightInd w:val="0"/>
        <w:snapToGrid w:val="0"/>
        <w:ind w:left="0"/>
        <w:rPr>
          <w:rFonts w:cs="Times New Roman"/>
          <w:sz w:val="22"/>
          <w:szCs w:val="22"/>
        </w:rPr>
      </w:pPr>
    </w:p>
    <w:p w14:paraId="2DDB26D6" w14:textId="00304C22" w:rsidR="001F08FE" w:rsidRPr="000059C9" w:rsidRDefault="001F08FE" w:rsidP="001F4ACA">
      <w:r w:rsidRPr="00FB207E">
        <w:rPr>
          <w:b/>
        </w:rPr>
        <w:t>6.6</w:t>
      </w:r>
      <w:r w:rsidRPr="00FB207E">
        <w:rPr>
          <w:b/>
        </w:rPr>
        <w:tab/>
        <w:t>Špeciálne opatrenia na likvidáciu a iné zaobchádzanie s liekom</w:t>
      </w:r>
    </w:p>
    <w:p w14:paraId="4B6D9C0F" w14:textId="77777777" w:rsidR="004A79DC" w:rsidRDefault="001F08FE">
      <w:pPr>
        <w:pStyle w:val="Textvysvtlivky"/>
        <w:adjustRightInd w:val="0"/>
        <w:snapToGrid w:val="0"/>
        <w:rPr>
          <w:sz w:val="22"/>
          <w:szCs w:val="22"/>
        </w:rPr>
      </w:pPr>
      <w:r w:rsidRPr="000059C9">
        <w:rPr>
          <w:sz w:val="22"/>
          <w:szCs w:val="22"/>
        </w:rPr>
        <w:t>Pozri časť 4.2.</w:t>
      </w:r>
    </w:p>
    <w:p w14:paraId="4708CDC1" w14:textId="15741136" w:rsidR="001F08FE" w:rsidRPr="001F4ACA" w:rsidRDefault="001F08FE">
      <w:pPr>
        <w:pStyle w:val="Textvysvtlivky"/>
        <w:adjustRightInd w:val="0"/>
        <w:snapToGrid w:val="0"/>
        <w:rPr>
          <w:sz w:val="22"/>
          <w:szCs w:val="22"/>
        </w:rPr>
      </w:pPr>
      <w:r w:rsidRPr="000059C9">
        <w:rPr>
          <w:sz w:val="22"/>
          <w:szCs w:val="22"/>
        </w:rPr>
        <w:t xml:space="preserve">Vydávajúci lekárnik musí </w:t>
      </w:r>
      <w:r w:rsidR="00FB207E">
        <w:rPr>
          <w:sz w:val="22"/>
          <w:szCs w:val="22"/>
        </w:rPr>
        <w:t xml:space="preserve">na obale </w:t>
      </w:r>
      <w:r w:rsidRPr="000059C9">
        <w:rPr>
          <w:sz w:val="22"/>
          <w:szCs w:val="22"/>
        </w:rPr>
        <w:t xml:space="preserve">vyznačiť dátum vydania. Pre balenie s 3 krúžkami sa odporúča vyznačiť tento dátum na papierovej škatuli, ako aj na vrecku. </w:t>
      </w:r>
      <w:r w:rsidR="007D1058" w:rsidRPr="001F4ACA">
        <w:rPr>
          <w:sz w:val="22"/>
          <w:szCs w:val="22"/>
        </w:rPr>
        <w:t>Etonogestrel/Ethinylestradiol Mithra</w:t>
      </w:r>
      <w:r w:rsidRPr="001F4ACA">
        <w:rPr>
          <w:sz w:val="22"/>
          <w:szCs w:val="22"/>
        </w:rPr>
        <w:t xml:space="preserve"> sa nemá zaviesť neskôr ako </w:t>
      </w:r>
      <w:r w:rsidR="004A79DC">
        <w:rPr>
          <w:sz w:val="22"/>
          <w:szCs w:val="22"/>
        </w:rPr>
        <w:t>6</w:t>
      </w:r>
      <w:r w:rsidR="004A79DC" w:rsidRPr="00EE5FF7">
        <w:rPr>
          <w:sz w:val="22"/>
          <w:szCs w:val="22"/>
        </w:rPr>
        <w:t> </w:t>
      </w:r>
      <w:r w:rsidR="00FB207E" w:rsidRPr="001F4ACA">
        <w:rPr>
          <w:sz w:val="22"/>
          <w:szCs w:val="22"/>
        </w:rPr>
        <w:t>mesiac</w:t>
      </w:r>
      <w:r w:rsidR="00FB207E">
        <w:rPr>
          <w:sz w:val="22"/>
          <w:szCs w:val="22"/>
        </w:rPr>
        <w:t>ov</w:t>
      </w:r>
      <w:r w:rsidR="00FB207E" w:rsidRPr="001F4ACA">
        <w:rPr>
          <w:sz w:val="22"/>
          <w:szCs w:val="22"/>
        </w:rPr>
        <w:t xml:space="preserve"> </w:t>
      </w:r>
      <w:r w:rsidRPr="001F4ACA">
        <w:rPr>
          <w:sz w:val="22"/>
          <w:szCs w:val="22"/>
        </w:rPr>
        <w:t xml:space="preserve">od dátumu výdaja, ale vo všetkých prípadoch pred uplynutím dátumu exspirácie, podľa toho, ktorý nastane skôr. Po vybratí sa </w:t>
      </w:r>
      <w:r w:rsidR="007D1058" w:rsidRPr="001F4ACA">
        <w:rPr>
          <w:sz w:val="22"/>
          <w:szCs w:val="22"/>
        </w:rPr>
        <w:t>Etonogestrel/Ethinylestradiol Mithra</w:t>
      </w:r>
      <w:r w:rsidRPr="001F4ACA">
        <w:rPr>
          <w:sz w:val="22"/>
          <w:szCs w:val="22"/>
        </w:rPr>
        <w:t xml:space="preserve"> musí vložiť späť do uzatvárateľného vrecka a odstrániť spolu s normálnym domácim odpadom tak, aby sa vylúčil náhodný kontakt s inými osobami. </w:t>
      </w:r>
      <w:r w:rsidRPr="000059C9">
        <w:rPr>
          <w:sz w:val="22"/>
          <w:szCs w:val="22"/>
        </w:rPr>
        <w:t xml:space="preserve">Tento liek môže predstavovať riziko pre životné prostredie (pozri časť 5.3). </w:t>
      </w:r>
      <w:r w:rsidR="007D1058" w:rsidRPr="001F4ACA">
        <w:rPr>
          <w:sz w:val="22"/>
          <w:szCs w:val="22"/>
        </w:rPr>
        <w:t>Etonogestrel/Ethinylestradiol Mithra</w:t>
      </w:r>
      <w:r w:rsidRPr="001F4ACA">
        <w:rPr>
          <w:sz w:val="22"/>
          <w:szCs w:val="22"/>
        </w:rPr>
        <w:t xml:space="preserve"> sa nesmie splachovať do toalety. </w:t>
      </w:r>
      <w:r w:rsidRPr="000059C9">
        <w:rPr>
          <w:sz w:val="22"/>
          <w:szCs w:val="22"/>
        </w:rPr>
        <w:t>Všetok nepoužitý liek alebo odpad vzniknutý z lieku sa má zlikvidovať v súlade s národnými požiadavkami</w:t>
      </w:r>
      <w:r w:rsidRPr="00EE5FF7">
        <w:rPr>
          <w:sz w:val="22"/>
          <w:szCs w:val="22"/>
        </w:rPr>
        <w:t>.</w:t>
      </w:r>
    </w:p>
    <w:p w14:paraId="37CA4AF1" w14:textId="77777777" w:rsidR="001F08FE" w:rsidRPr="000059C9" w:rsidRDefault="001F08FE" w:rsidP="001F4ACA">
      <w:pPr>
        <w:pStyle w:val="Zkladntext2"/>
        <w:adjustRightInd w:val="0"/>
        <w:snapToGrid w:val="0"/>
        <w:rPr>
          <w:rFonts w:cs="Times New Roman"/>
          <w:sz w:val="22"/>
          <w:szCs w:val="22"/>
        </w:rPr>
      </w:pPr>
    </w:p>
    <w:p w14:paraId="66A9D39E" w14:textId="77777777" w:rsidR="001F08FE" w:rsidRPr="000059C9" w:rsidRDefault="001F08FE">
      <w:pPr>
        <w:adjustRightInd w:val="0"/>
        <w:snapToGrid w:val="0"/>
        <w:rPr>
          <w:szCs w:val="22"/>
        </w:rPr>
      </w:pPr>
    </w:p>
    <w:p w14:paraId="1C284CF6" w14:textId="77777777" w:rsidR="001F08FE" w:rsidRPr="001F4ACA" w:rsidRDefault="001F08FE" w:rsidP="001F4ACA">
      <w:pPr>
        <w:rPr>
          <w:b/>
        </w:rPr>
      </w:pPr>
      <w:r w:rsidRPr="00EE5FF7">
        <w:rPr>
          <w:b/>
        </w:rPr>
        <w:t>7.</w:t>
      </w:r>
      <w:r w:rsidRPr="00EE5FF7">
        <w:rPr>
          <w:b/>
        </w:rPr>
        <w:tab/>
      </w:r>
      <w:r w:rsidRPr="001F4ACA">
        <w:rPr>
          <w:b/>
          <w:caps/>
        </w:rPr>
        <w:t>Držiteľ rozhodnutia o registrácii</w:t>
      </w:r>
    </w:p>
    <w:p w14:paraId="511D36CF" w14:textId="77777777" w:rsidR="001F08FE" w:rsidRPr="000059C9" w:rsidRDefault="001F08FE" w:rsidP="001F4ACA"/>
    <w:p w14:paraId="68CC7AF0" w14:textId="77777777" w:rsidR="00690A25" w:rsidRPr="000059C9" w:rsidRDefault="00690A25">
      <w:pPr>
        <w:adjustRightInd w:val="0"/>
        <w:snapToGrid w:val="0"/>
        <w:rPr>
          <w:szCs w:val="22"/>
        </w:rPr>
      </w:pPr>
      <w:r w:rsidRPr="000059C9">
        <w:rPr>
          <w:szCs w:val="22"/>
        </w:rPr>
        <w:t xml:space="preserve">Mithra </w:t>
      </w:r>
      <w:r w:rsidR="00B72AA9" w:rsidRPr="000059C9">
        <w:rPr>
          <w:szCs w:val="22"/>
        </w:rPr>
        <w:t xml:space="preserve"> Pharmaceuticals</w:t>
      </w:r>
      <w:r w:rsidRPr="000059C9">
        <w:rPr>
          <w:szCs w:val="22"/>
        </w:rPr>
        <w:t xml:space="preserve"> S.A</w:t>
      </w:r>
      <w:r w:rsidR="00EE5FF7">
        <w:rPr>
          <w:szCs w:val="22"/>
        </w:rPr>
        <w:t>.</w:t>
      </w:r>
    </w:p>
    <w:p w14:paraId="07953DEE" w14:textId="77777777" w:rsidR="00690A25" w:rsidRPr="000059C9" w:rsidRDefault="00690A25">
      <w:pPr>
        <w:adjustRightInd w:val="0"/>
        <w:snapToGrid w:val="0"/>
        <w:rPr>
          <w:szCs w:val="22"/>
        </w:rPr>
      </w:pPr>
      <w:r w:rsidRPr="000059C9">
        <w:rPr>
          <w:szCs w:val="22"/>
        </w:rPr>
        <w:t>Rue Saint-Georges, 5</w:t>
      </w:r>
    </w:p>
    <w:p w14:paraId="037586CA" w14:textId="77777777" w:rsidR="00690A25" w:rsidRPr="000059C9" w:rsidRDefault="00690A25">
      <w:pPr>
        <w:adjustRightInd w:val="0"/>
        <w:snapToGrid w:val="0"/>
        <w:rPr>
          <w:szCs w:val="22"/>
        </w:rPr>
      </w:pPr>
      <w:r w:rsidRPr="000059C9">
        <w:rPr>
          <w:szCs w:val="22"/>
        </w:rPr>
        <w:t>4000 Liege</w:t>
      </w:r>
    </w:p>
    <w:p w14:paraId="4EC0B71E" w14:textId="77777777" w:rsidR="00690A25" w:rsidRPr="000059C9" w:rsidRDefault="00690A25">
      <w:pPr>
        <w:adjustRightInd w:val="0"/>
        <w:snapToGrid w:val="0"/>
        <w:rPr>
          <w:szCs w:val="22"/>
        </w:rPr>
      </w:pPr>
      <w:r w:rsidRPr="000059C9">
        <w:rPr>
          <w:szCs w:val="22"/>
        </w:rPr>
        <w:t>Belgicko</w:t>
      </w:r>
    </w:p>
    <w:p w14:paraId="523DDB87" w14:textId="77777777" w:rsidR="001F08FE" w:rsidRPr="000059C9" w:rsidRDefault="001F08FE">
      <w:pPr>
        <w:adjustRightInd w:val="0"/>
        <w:snapToGrid w:val="0"/>
        <w:rPr>
          <w:szCs w:val="22"/>
        </w:rPr>
      </w:pPr>
    </w:p>
    <w:p w14:paraId="2A1BBDE2" w14:textId="77777777" w:rsidR="001F08FE" w:rsidRPr="000059C9" w:rsidRDefault="001F08FE">
      <w:pPr>
        <w:adjustRightInd w:val="0"/>
        <w:snapToGrid w:val="0"/>
        <w:rPr>
          <w:szCs w:val="22"/>
        </w:rPr>
      </w:pPr>
    </w:p>
    <w:p w14:paraId="055059E7" w14:textId="77777777" w:rsidR="001F08FE" w:rsidRPr="001F4ACA" w:rsidRDefault="001F08FE" w:rsidP="001F4ACA">
      <w:pPr>
        <w:rPr>
          <w:b/>
          <w:caps/>
        </w:rPr>
      </w:pPr>
      <w:r w:rsidRPr="001F4ACA">
        <w:rPr>
          <w:b/>
          <w:caps/>
        </w:rPr>
        <w:t>8.</w:t>
      </w:r>
      <w:r w:rsidRPr="001F4ACA">
        <w:rPr>
          <w:b/>
          <w:caps/>
        </w:rPr>
        <w:tab/>
      </w:r>
      <w:r w:rsidRPr="00EE5FF7">
        <w:rPr>
          <w:b/>
          <w:caps/>
        </w:rPr>
        <w:t>Registračné číslo</w:t>
      </w:r>
    </w:p>
    <w:p w14:paraId="76959B60" w14:textId="77777777" w:rsidR="001F08FE" w:rsidRPr="001F4ACA" w:rsidRDefault="001F08FE" w:rsidP="001F4ACA"/>
    <w:p w14:paraId="6476B55F" w14:textId="4C208ABA" w:rsidR="001F08FE" w:rsidRDefault="007C6C56" w:rsidP="001F4ACA">
      <w:r w:rsidRPr="007C6C56">
        <w:t>17/0087/19-S</w:t>
      </w:r>
    </w:p>
    <w:p w14:paraId="1776D86B" w14:textId="77777777" w:rsidR="007C6C56" w:rsidRDefault="007C6C56" w:rsidP="001F4ACA"/>
    <w:p w14:paraId="455938FE" w14:textId="77777777" w:rsidR="007C6C56" w:rsidRPr="001F4ACA" w:rsidRDefault="007C6C56" w:rsidP="001F4ACA"/>
    <w:p w14:paraId="3918F553" w14:textId="77777777" w:rsidR="001F08FE" w:rsidRPr="001F4ACA" w:rsidRDefault="001F08FE" w:rsidP="001F4ACA">
      <w:pPr>
        <w:rPr>
          <w:b/>
        </w:rPr>
      </w:pPr>
      <w:r w:rsidRPr="001F4ACA">
        <w:rPr>
          <w:b/>
        </w:rPr>
        <w:t>9.</w:t>
      </w:r>
      <w:r w:rsidRPr="001F4ACA">
        <w:rPr>
          <w:b/>
        </w:rPr>
        <w:tab/>
      </w:r>
      <w:r w:rsidRPr="001F4ACA">
        <w:rPr>
          <w:b/>
          <w:caps/>
        </w:rPr>
        <w:t>Dátum PRVEJ registrácie/PREDĹŽENIA REGISTRÁCIE</w:t>
      </w:r>
    </w:p>
    <w:p w14:paraId="0D8835A4" w14:textId="77777777" w:rsidR="001F08FE" w:rsidRPr="000059C9" w:rsidRDefault="001F08FE" w:rsidP="001F4ACA"/>
    <w:p w14:paraId="3D7E88CE" w14:textId="77777777" w:rsidR="001F08FE" w:rsidRPr="000059C9" w:rsidRDefault="001F08FE" w:rsidP="001F4ACA">
      <w:r w:rsidRPr="000059C9">
        <w:t xml:space="preserve">Dátum prvej registrácie: </w:t>
      </w:r>
    </w:p>
    <w:p w14:paraId="1FD1D8C6" w14:textId="77777777" w:rsidR="001F08FE" w:rsidRPr="000059C9" w:rsidRDefault="001F08FE" w:rsidP="001F4ACA"/>
    <w:p w14:paraId="5075F5E7" w14:textId="77777777" w:rsidR="001F08FE" w:rsidRPr="000059C9" w:rsidRDefault="001F08FE" w:rsidP="001F4ACA"/>
    <w:p w14:paraId="58676DD1" w14:textId="77777777" w:rsidR="001F08FE" w:rsidRDefault="001F08FE" w:rsidP="001F4ACA">
      <w:pPr>
        <w:rPr>
          <w:b/>
          <w:caps/>
        </w:rPr>
      </w:pPr>
      <w:r w:rsidRPr="001F4ACA">
        <w:rPr>
          <w:b/>
          <w:caps/>
        </w:rPr>
        <w:t>10.</w:t>
      </w:r>
      <w:r w:rsidRPr="001F4ACA">
        <w:rPr>
          <w:b/>
          <w:caps/>
        </w:rPr>
        <w:tab/>
      </w:r>
      <w:r w:rsidRPr="00EE5FF7">
        <w:rPr>
          <w:b/>
          <w:caps/>
        </w:rPr>
        <w:t>Dátum revízie textu</w:t>
      </w:r>
    </w:p>
    <w:p w14:paraId="12ECCF08" w14:textId="77777777" w:rsidR="00FB207E" w:rsidRPr="009F3CD3" w:rsidRDefault="00FB207E" w:rsidP="001F4ACA">
      <w:pPr>
        <w:rPr>
          <w:caps/>
        </w:rPr>
      </w:pPr>
    </w:p>
    <w:p w14:paraId="21CF3329" w14:textId="77777777" w:rsidR="00FB207E" w:rsidRPr="009F3CD3" w:rsidRDefault="00FB207E" w:rsidP="001F4ACA">
      <w:pPr>
        <w:rPr>
          <w:caps/>
        </w:rPr>
      </w:pPr>
      <w:r w:rsidRPr="009F3CD3">
        <w:rPr>
          <w:caps/>
        </w:rPr>
        <w:t>03/2019</w:t>
      </w:r>
    </w:p>
    <w:p w14:paraId="24EA69CA" w14:textId="77777777" w:rsidR="001F08FE" w:rsidRPr="000059C9" w:rsidRDefault="001F08FE">
      <w:pPr>
        <w:adjustRightInd w:val="0"/>
        <w:snapToGrid w:val="0"/>
        <w:rPr>
          <w:szCs w:val="22"/>
        </w:rPr>
      </w:pPr>
    </w:p>
    <w:sectPr w:rsidR="001F08FE" w:rsidRPr="000059C9" w:rsidSect="009F3CD3">
      <w:headerReference w:type="default" r:id="rId13"/>
      <w:footerReference w:type="even" r:id="rId14"/>
      <w:footerReference w:type="default" r:id="rId15"/>
      <w:footerReference w:type="first" r:id="rId16"/>
      <w:type w:val="continuous"/>
      <w:pgSz w:w="11906" w:h="16838" w:code="9"/>
      <w:pgMar w:top="1134" w:right="1418" w:bottom="1134" w:left="1418" w:header="737" w:footer="737"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DC8E57" w14:textId="77777777" w:rsidR="0055316E" w:rsidRDefault="0055316E">
      <w:r>
        <w:separator/>
      </w:r>
    </w:p>
  </w:endnote>
  <w:endnote w:type="continuationSeparator" w:id="0">
    <w:p w14:paraId="6D1E4F35" w14:textId="77777777" w:rsidR="0055316E" w:rsidRDefault="0055316E">
      <w:r>
        <w:continuationSeparator/>
      </w:r>
    </w:p>
  </w:endnote>
  <w:endnote w:type="continuationNotice" w:id="1">
    <w:p w14:paraId="09F86131" w14:textId="77777777" w:rsidR="0055316E" w:rsidRDefault="005531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DCC13" w14:textId="77777777" w:rsidR="0055316E" w:rsidRDefault="0055316E" w:rsidP="00D0705D">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356AF9FA" w14:textId="77777777" w:rsidR="0055316E" w:rsidRDefault="0055316E">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285549"/>
      <w:docPartObj>
        <w:docPartGallery w:val="Page Numbers (Bottom of Page)"/>
        <w:docPartUnique/>
      </w:docPartObj>
    </w:sdtPr>
    <w:sdtEndPr>
      <w:rPr>
        <w:sz w:val="18"/>
        <w:szCs w:val="18"/>
      </w:rPr>
    </w:sdtEndPr>
    <w:sdtContent>
      <w:p w14:paraId="23C9D0F8" w14:textId="77777777" w:rsidR="0055316E" w:rsidRPr="009F3CD3" w:rsidRDefault="0055316E">
        <w:pPr>
          <w:pStyle w:val="Pta"/>
          <w:jc w:val="center"/>
          <w:rPr>
            <w:sz w:val="18"/>
            <w:szCs w:val="18"/>
          </w:rPr>
        </w:pPr>
        <w:r w:rsidRPr="009F3CD3">
          <w:rPr>
            <w:sz w:val="18"/>
            <w:szCs w:val="18"/>
          </w:rPr>
          <w:fldChar w:fldCharType="begin"/>
        </w:r>
        <w:r w:rsidRPr="009F3CD3">
          <w:rPr>
            <w:sz w:val="18"/>
            <w:szCs w:val="18"/>
          </w:rPr>
          <w:instrText>PAGE   \* MERGEFORMAT</w:instrText>
        </w:r>
        <w:r w:rsidRPr="009F3CD3">
          <w:rPr>
            <w:sz w:val="18"/>
            <w:szCs w:val="18"/>
          </w:rPr>
          <w:fldChar w:fldCharType="separate"/>
        </w:r>
        <w:r w:rsidR="009F3CD3">
          <w:rPr>
            <w:noProof/>
            <w:sz w:val="18"/>
            <w:szCs w:val="18"/>
          </w:rPr>
          <w:t>22</w:t>
        </w:r>
        <w:r w:rsidRPr="009F3CD3">
          <w:rPr>
            <w:sz w:val="18"/>
            <w:szCs w:val="18"/>
          </w:rPr>
          <w:fldChar w:fldCharType="end"/>
        </w:r>
      </w:p>
    </w:sdtContent>
  </w:sdt>
  <w:p w14:paraId="10627A4F" w14:textId="77777777" w:rsidR="0055316E" w:rsidRDefault="0055316E">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B1AFEC" w14:textId="77777777" w:rsidR="0055316E" w:rsidRPr="00E771B5" w:rsidRDefault="0055316E">
    <w:pPr>
      <w:pStyle w:val="Pta"/>
      <w:jc w:val="center"/>
      <w:rPr>
        <w:sz w:val="18"/>
        <w:szCs w:val="18"/>
      </w:rPr>
    </w:pPr>
    <w:r w:rsidRPr="00E771B5">
      <w:rPr>
        <w:sz w:val="18"/>
        <w:szCs w:val="18"/>
      </w:rPr>
      <w:fldChar w:fldCharType="begin"/>
    </w:r>
    <w:r w:rsidRPr="00E771B5">
      <w:rPr>
        <w:sz w:val="18"/>
        <w:szCs w:val="18"/>
      </w:rPr>
      <w:instrText>PAGE   \* MERGEFORMAT</w:instrText>
    </w:r>
    <w:r w:rsidRPr="00E771B5">
      <w:rPr>
        <w:sz w:val="18"/>
        <w:szCs w:val="18"/>
      </w:rPr>
      <w:fldChar w:fldCharType="separate"/>
    </w:r>
    <w:r>
      <w:rPr>
        <w:noProof/>
        <w:sz w:val="18"/>
        <w:szCs w:val="18"/>
      </w:rPr>
      <w:t>1</w:t>
    </w:r>
    <w:r w:rsidRPr="00E771B5">
      <w:rPr>
        <w:sz w:val="18"/>
        <w:szCs w:val="18"/>
      </w:rPr>
      <w:fldChar w:fldCharType="end"/>
    </w:r>
  </w:p>
  <w:p w14:paraId="65B6B1EC" w14:textId="77777777" w:rsidR="0055316E" w:rsidRDefault="0055316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885B45" w14:textId="77777777" w:rsidR="0055316E" w:rsidRDefault="0055316E">
      <w:r>
        <w:separator/>
      </w:r>
    </w:p>
  </w:footnote>
  <w:footnote w:type="continuationSeparator" w:id="0">
    <w:p w14:paraId="325442FC" w14:textId="77777777" w:rsidR="0055316E" w:rsidRDefault="0055316E">
      <w:r>
        <w:continuationSeparator/>
      </w:r>
    </w:p>
  </w:footnote>
  <w:footnote w:type="continuationNotice" w:id="1">
    <w:p w14:paraId="761BE93B" w14:textId="77777777" w:rsidR="0055316E" w:rsidRDefault="0055316E"/>
  </w:footnote>
  <w:footnote w:id="2">
    <w:p w14:paraId="3F17F5C3" w14:textId="77777777" w:rsidR="0055316E" w:rsidRDefault="0055316E" w:rsidP="0091401F">
      <w:pPr>
        <w:autoSpaceDE w:val="0"/>
        <w:autoSpaceDN w:val="0"/>
        <w:adjustRightInd w:val="0"/>
        <w:ind w:left="142" w:hanging="142"/>
      </w:pPr>
      <w:r w:rsidRPr="00670893">
        <w:rPr>
          <w:rStyle w:val="Odkaznapoznmkupodiarou"/>
        </w:rPr>
        <w:footnoteRef/>
      </w:r>
      <w:r w:rsidRPr="00670893">
        <w:t xml:space="preserve"> </w:t>
      </w:r>
      <w:r w:rsidRPr="00392786">
        <w:rPr>
          <w:sz w:val="15"/>
          <w:szCs w:val="15"/>
        </w:rPr>
        <w:t>Stred</w:t>
      </w:r>
      <w:r>
        <w:rPr>
          <w:sz w:val="15"/>
          <w:szCs w:val="15"/>
        </w:rPr>
        <w:t>ný bod rozpätia</w:t>
      </w:r>
      <w:r w:rsidRPr="00392786">
        <w:rPr>
          <w:sz w:val="15"/>
          <w:szCs w:val="15"/>
        </w:rPr>
        <w:t xml:space="preserve"> 5</w:t>
      </w:r>
      <w:r>
        <w:rPr>
          <w:sz w:val="15"/>
          <w:szCs w:val="15"/>
        </w:rPr>
        <w:t> </w:t>
      </w:r>
      <w:r w:rsidRPr="00392786">
        <w:rPr>
          <w:sz w:val="15"/>
          <w:szCs w:val="15"/>
        </w:rPr>
        <w:t>–</w:t>
      </w:r>
      <w:r>
        <w:rPr>
          <w:sz w:val="15"/>
          <w:szCs w:val="15"/>
        </w:rPr>
        <w:t> </w:t>
      </w:r>
      <w:r w:rsidRPr="00392786">
        <w:rPr>
          <w:sz w:val="15"/>
          <w:szCs w:val="15"/>
        </w:rPr>
        <w:t xml:space="preserve">7 </w:t>
      </w:r>
      <w:r>
        <w:rPr>
          <w:sz w:val="15"/>
          <w:szCs w:val="15"/>
        </w:rPr>
        <w:t xml:space="preserve">(prípadov) </w:t>
      </w:r>
      <w:r w:rsidRPr="00392786">
        <w:rPr>
          <w:sz w:val="15"/>
          <w:szCs w:val="15"/>
        </w:rPr>
        <w:t xml:space="preserve">na 10 000 </w:t>
      </w:r>
      <w:r>
        <w:rPr>
          <w:sz w:val="15"/>
          <w:szCs w:val="15"/>
        </w:rPr>
        <w:t>ženských rokov (</w:t>
      </w:r>
      <w:r w:rsidRPr="00392786">
        <w:rPr>
          <w:sz w:val="15"/>
          <w:szCs w:val="15"/>
        </w:rPr>
        <w:t>ŽR</w:t>
      </w:r>
      <w:r>
        <w:rPr>
          <w:sz w:val="15"/>
          <w:szCs w:val="15"/>
        </w:rPr>
        <w:t>), založený na relatívnom riziku kombinovaného hormonálneho kontraceptíva (CHC)</w:t>
      </w:r>
      <w:r w:rsidRPr="00392786">
        <w:rPr>
          <w:sz w:val="15"/>
          <w:szCs w:val="15"/>
        </w:rPr>
        <w:t xml:space="preserve"> obsahujúc</w:t>
      </w:r>
      <w:r>
        <w:rPr>
          <w:sz w:val="15"/>
          <w:szCs w:val="15"/>
        </w:rPr>
        <w:t>eho</w:t>
      </w:r>
      <w:r w:rsidRPr="00392786">
        <w:rPr>
          <w:sz w:val="15"/>
          <w:szCs w:val="15"/>
        </w:rPr>
        <w:t xml:space="preserve"> levonorgestrel </w:t>
      </w:r>
      <w:r>
        <w:rPr>
          <w:sz w:val="15"/>
          <w:szCs w:val="15"/>
        </w:rPr>
        <w:t>oproti 2,3 až 3,6 u neužívateliek.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B6D66" w14:textId="167C4FD8" w:rsidR="0055316E" w:rsidRDefault="0055316E">
    <w:pPr>
      <w:pStyle w:val="Hlavika"/>
      <w:rPr>
        <w:sz w:val="18"/>
        <w:szCs w:val="18"/>
      </w:rPr>
    </w:pPr>
    <w:r w:rsidRPr="009F3CD3">
      <w:rPr>
        <w:sz w:val="18"/>
        <w:szCs w:val="18"/>
      </w:rPr>
      <w:t>Schválený text k rozhodnutiu o registrácii, ev.č.:</w:t>
    </w:r>
    <w:r w:rsidR="008D4894" w:rsidRPr="009F3CD3">
      <w:rPr>
        <w:sz w:val="18"/>
        <w:szCs w:val="18"/>
      </w:rPr>
      <w:t>2017/02978-REG</w:t>
    </w:r>
  </w:p>
  <w:p w14:paraId="46E09441" w14:textId="1D153782" w:rsidR="0021602D" w:rsidRDefault="0021602D">
    <w:pPr>
      <w:pStyle w:val="Hlavika"/>
      <w:rPr>
        <w:sz w:val="18"/>
        <w:szCs w:val="18"/>
      </w:rPr>
    </w:pPr>
    <w:r>
      <w:rPr>
        <w:sz w:val="18"/>
        <w:szCs w:val="18"/>
      </w:rPr>
      <w:t>Príloha č. 1 k notifikácii o zmene, ev. č.: 2018/07876-ZIA</w:t>
    </w:r>
  </w:p>
  <w:p w14:paraId="13DCEA4D" w14:textId="77777777" w:rsidR="0021602D" w:rsidRPr="009F3CD3" w:rsidRDefault="0021602D">
    <w:pPr>
      <w:pStyle w:val="Hlavika"/>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1D446C0"/>
    <w:multiLevelType w:val="hybridMultilevel"/>
    <w:tmpl w:val="C2CC8BC6"/>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B804AD"/>
    <w:multiLevelType w:val="hybridMultilevel"/>
    <w:tmpl w:val="4436460E"/>
    <w:lvl w:ilvl="0" w:tplc="041B0001">
      <w:start w:val="1"/>
      <w:numFmt w:val="bullet"/>
      <w:lvlText w:val=""/>
      <w:lvlJc w:val="left"/>
      <w:pPr>
        <w:tabs>
          <w:tab w:val="num" w:pos="1440"/>
        </w:tabs>
        <w:ind w:left="1440" w:hanging="360"/>
      </w:pPr>
      <w:rPr>
        <w:rFonts w:ascii="Symbol" w:hAnsi="Symbol" w:hint="default"/>
      </w:rPr>
    </w:lvl>
    <w:lvl w:ilvl="1" w:tplc="041B0003">
      <w:start w:val="1"/>
      <w:numFmt w:val="bullet"/>
      <w:lvlText w:val="o"/>
      <w:lvlJc w:val="left"/>
      <w:pPr>
        <w:tabs>
          <w:tab w:val="num" w:pos="2160"/>
        </w:tabs>
        <w:ind w:left="2160" w:hanging="360"/>
      </w:pPr>
      <w:rPr>
        <w:rFonts w:ascii="Courier New" w:hAnsi="Courier New" w:hint="default"/>
      </w:rPr>
    </w:lvl>
    <w:lvl w:ilvl="2" w:tplc="041B0005" w:tentative="1">
      <w:start w:val="1"/>
      <w:numFmt w:val="bullet"/>
      <w:lvlText w:val=""/>
      <w:lvlJc w:val="left"/>
      <w:pPr>
        <w:tabs>
          <w:tab w:val="num" w:pos="2880"/>
        </w:tabs>
        <w:ind w:left="2880" w:hanging="360"/>
      </w:pPr>
      <w:rPr>
        <w:rFonts w:ascii="Wingdings" w:hAnsi="Wingdings" w:hint="default"/>
      </w:rPr>
    </w:lvl>
    <w:lvl w:ilvl="3" w:tplc="041B0001" w:tentative="1">
      <w:start w:val="1"/>
      <w:numFmt w:val="bullet"/>
      <w:lvlText w:val=""/>
      <w:lvlJc w:val="left"/>
      <w:pPr>
        <w:tabs>
          <w:tab w:val="num" w:pos="3600"/>
        </w:tabs>
        <w:ind w:left="3600" w:hanging="360"/>
      </w:pPr>
      <w:rPr>
        <w:rFonts w:ascii="Symbol" w:hAnsi="Symbol" w:hint="default"/>
      </w:rPr>
    </w:lvl>
    <w:lvl w:ilvl="4" w:tplc="041B0003" w:tentative="1">
      <w:start w:val="1"/>
      <w:numFmt w:val="bullet"/>
      <w:lvlText w:val="o"/>
      <w:lvlJc w:val="left"/>
      <w:pPr>
        <w:tabs>
          <w:tab w:val="num" w:pos="4320"/>
        </w:tabs>
        <w:ind w:left="4320" w:hanging="360"/>
      </w:pPr>
      <w:rPr>
        <w:rFonts w:ascii="Courier New" w:hAnsi="Courier New" w:hint="default"/>
      </w:rPr>
    </w:lvl>
    <w:lvl w:ilvl="5" w:tplc="041B0005" w:tentative="1">
      <w:start w:val="1"/>
      <w:numFmt w:val="bullet"/>
      <w:lvlText w:val=""/>
      <w:lvlJc w:val="left"/>
      <w:pPr>
        <w:tabs>
          <w:tab w:val="num" w:pos="5040"/>
        </w:tabs>
        <w:ind w:left="5040" w:hanging="360"/>
      </w:pPr>
      <w:rPr>
        <w:rFonts w:ascii="Wingdings" w:hAnsi="Wingdings" w:hint="default"/>
      </w:rPr>
    </w:lvl>
    <w:lvl w:ilvl="6" w:tplc="041B0001" w:tentative="1">
      <w:start w:val="1"/>
      <w:numFmt w:val="bullet"/>
      <w:lvlText w:val=""/>
      <w:lvlJc w:val="left"/>
      <w:pPr>
        <w:tabs>
          <w:tab w:val="num" w:pos="5760"/>
        </w:tabs>
        <w:ind w:left="5760" w:hanging="360"/>
      </w:pPr>
      <w:rPr>
        <w:rFonts w:ascii="Symbol" w:hAnsi="Symbol" w:hint="default"/>
      </w:rPr>
    </w:lvl>
    <w:lvl w:ilvl="7" w:tplc="041B0003" w:tentative="1">
      <w:start w:val="1"/>
      <w:numFmt w:val="bullet"/>
      <w:lvlText w:val="o"/>
      <w:lvlJc w:val="left"/>
      <w:pPr>
        <w:tabs>
          <w:tab w:val="num" w:pos="6480"/>
        </w:tabs>
        <w:ind w:left="6480" w:hanging="360"/>
      </w:pPr>
      <w:rPr>
        <w:rFonts w:ascii="Courier New" w:hAnsi="Courier New" w:hint="default"/>
      </w:rPr>
    </w:lvl>
    <w:lvl w:ilvl="8" w:tplc="041B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4415E53"/>
    <w:multiLevelType w:val="hybridMultilevel"/>
    <w:tmpl w:val="B0D44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430E60"/>
    <w:multiLevelType w:val="multilevel"/>
    <w:tmpl w:val="3C68CAD4"/>
    <w:lvl w:ilvl="0">
      <w:start w:val="4"/>
      <w:numFmt w:val="decimal"/>
      <w:lvlText w:val="%1"/>
      <w:lvlJc w:val="left"/>
      <w:pPr>
        <w:tabs>
          <w:tab w:val="num" w:pos="720"/>
        </w:tabs>
        <w:ind w:left="720" w:hanging="72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6D302F4"/>
    <w:multiLevelType w:val="hybridMultilevel"/>
    <w:tmpl w:val="2A94E8B8"/>
    <w:lvl w:ilvl="0" w:tplc="C310F6C2">
      <w:start w:val="4"/>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0C136771"/>
    <w:multiLevelType w:val="hybridMultilevel"/>
    <w:tmpl w:val="60CA84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1A927A1"/>
    <w:multiLevelType w:val="hybridMultilevel"/>
    <w:tmpl w:val="F56CFBF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1B509E1"/>
    <w:multiLevelType w:val="hybridMultilevel"/>
    <w:tmpl w:val="6CBE1B7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21B560C"/>
    <w:multiLevelType w:val="hybridMultilevel"/>
    <w:tmpl w:val="CADE46C4"/>
    <w:lvl w:ilvl="0" w:tplc="080C000F">
      <w:start w:val="1"/>
      <w:numFmt w:val="decimal"/>
      <w:lvlText w:val="%1."/>
      <w:lvlJc w:val="left"/>
      <w:pPr>
        <w:ind w:left="927" w:hanging="360"/>
      </w:p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 w15:restartNumberingAfterBreak="0">
    <w:nsid w:val="15A935B5"/>
    <w:multiLevelType w:val="hybridMultilevel"/>
    <w:tmpl w:val="2550BDE8"/>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192C58D2"/>
    <w:multiLevelType w:val="hybridMultilevel"/>
    <w:tmpl w:val="F012772E"/>
    <w:lvl w:ilvl="0" w:tplc="B7F0FF76">
      <w:start w:val="1"/>
      <w:numFmt w:val="decimal"/>
      <w:lvlText w:val="%1."/>
      <w:lvlJc w:val="left"/>
      <w:pPr>
        <w:ind w:left="360" w:hanging="360"/>
      </w:pPr>
      <w:rPr>
        <w:rFonts w:cs="Times New Roman" w:hint="default"/>
        <w:i/>
      </w:rPr>
    </w:lvl>
    <w:lvl w:ilvl="1" w:tplc="041B0019">
      <w:start w:val="1"/>
      <w:numFmt w:val="lowerLetter"/>
      <w:lvlText w:val="%2."/>
      <w:lvlJc w:val="left"/>
      <w:pPr>
        <w:ind w:left="1080" w:hanging="360"/>
      </w:pPr>
      <w:rPr>
        <w:rFonts w:cs="Times New Roman"/>
      </w:rPr>
    </w:lvl>
    <w:lvl w:ilvl="2" w:tplc="041B001B" w:tentative="1">
      <w:start w:val="1"/>
      <w:numFmt w:val="lowerRoman"/>
      <w:lvlText w:val="%3."/>
      <w:lvlJc w:val="right"/>
      <w:pPr>
        <w:ind w:left="1800" w:hanging="180"/>
      </w:pPr>
      <w:rPr>
        <w:rFonts w:cs="Times New Roman"/>
      </w:rPr>
    </w:lvl>
    <w:lvl w:ilvl="3" w:tplc="041B000F" w:tentative="1">
      <w:start w:val="1"/>
      <w:numFmt w:val="decimal"/>
      <w:lvlText w:val="%4."/>
      <w:lvlJc w:val="left"/>
      <w:pPr>
        <w:ind w:left="2520" w:hanging="360"/>
      </w:pPr>
      <w:rPr>
        <w:rFonts w:cs="Times New Roman"/>
      </w:rPr>
    </w:lvl>
    <w:lvl w:ilvl="4" w:tplc="041B0019" w:tentative="1">
      <w:start w:val="1"/>
      <w:numFmt w:val="lowerLetter"/>
      <w:lvlText w:val="%5."/>
      <w:lvlJc w:val="left"/>
      <w:pPr>
        <w:ind w:left="3240" w:hanging="360"/>
      </w:pPr>
      <w:rPr>
        <w:rFonts w:cs="Times New Roman"/>
      </w:rPr>
    </w:lvl>
    <w:lvl w:ilvl="5" w:tplc="041B001B" w:tentative="1">
      <w:start w:val="1"/>
      <w:numFmt w:val="lowerRoman"/>
      <w:lvlText w:val="%6."/>
      <w:lvlJc w:val="right"/>
      <w:pPr>
        <w:ind w:left="3960" w:hanging="180"/>
      </w:pPr>
      <w:rPr>
        <w:rFonts w:cs="Times New Roman"/>
      </w:rPr>
    </w:lvl>
    <w:lvl w:ilvl="6" w:tplc="041B000F" w:tentative="1">
      <w:start w:val="1"/>
      <w:numFmt w:val="decimal"/>
      <w:lvlText w:val="%7."/>
      <w:lvlJc w:val="left"/>
      <w:pPr>
        <w:ind w:left="4680" w:hanging="360"/>
      </w:pPr>
      <w:rPr>
        <w:rFonts w:cs="Times New Roman"/>
      </w:rPr>
    </w:lvl>
    <w:lvl w:ilvl="7" w:tplc="041B0019" w:tentative="1">
      <w:start w:val="1"/>
      <w:numFmt w:val="lowerLetter"/>
      <w:lvlText w:val="%8."/>
      <w:lvlJc w:val="left"/>
      <w:pPr>
        <w:ind w:left="5400" w:hanging="360"/>
      </w:pPr>
      <w:rPr>
        <w:rFonts w:cs="Times New Roman"/>
      </w:rPr>
    </w:lvl>
    <w:lvl w:ilvl="8" w:tplc="041B001B" w:tentative="1">
      <w:start w:val="1"/>
      <w:numFmt w:val="lowerRoman"/>
      <w:lvlText w:val="%9."/>
      <w:lvlJc w:val="right"/>
      <w:pPr>
        <w:ind w:left="6120" w:hanging="180"/>
      </w:pPr>
      <w:rPr>
        <w:rFonts w:cs="Times New Roman"/>
      </w:rPr>
    </w:lvl>
  </w:abstractNum>
  <w:abstractNum w:abstractNumId="12" w15:restartNumberingAfterBreak="0">
    <w:nsid w:val="19C147E0"/>
    <w:multiLevelType w:val="hybridMultilevel"/>
    <w:tmpl w:val="C7940328"/>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AB27E7"/>
    <w:multiLevelType w:val="hybridMultilevel"/>
    <w:tmpl w:val="0420B5AA"/>
    <w:lvl w:ilvl="0" w:tplc="50C03A30">
      <w:start w:val="4"/>
      <w:numFmt w:val="bullet"/>
      <w:lvlText w:val="-"/>
      <w:lvlJc w:val="left"/>
      <w:pPr>
        <w:tabs>
          <w:tab w:val="num" w:pos="355"/>
        </w:tabs>
        <w:ind w:left="355" w:hanging="360"/>
      </w:pPr>
      <w:rPr>
        <w:rFonts w:ascii="Arial" w:eastAsia="Times New Roman" w:hAnsi="Aria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072BC3"/>
    <w:multiLevelType w:val="singleLevel"/>
    <w:tmpl w:val="20BACC18"/>
    <w:lvl w:ilvl="0">
      <w:start w:val="2"/>
      <w:numFmt w:val="decimal"/>
      <w:lvlText w:val="%1. "/>
      <w:legacy w:legacy="1" w:legacySpace="0" w:legacyIndent="283"/>
      <w:lvlJc w:val="left"/>
      <w:pPr>
        <w:ind w:left="283" w:hanging="283"/>
      </w:pPr>
      <w:rPr>
        <w:rFonts w:ascii="Arial" w:hAnsi="Arial" w:cs="Times New Roman" w:hint="default"/>
        <w:b w:val="0"/>
        <w:i w:val="0"/>
        <w:sz w:val="24"/>
        <w:u w:val="none"/>
      </w:rPr>
    </w:lvl>
  </w:abstractNum>
  <w:abstractNum w:abstractNumId="15" w15:restartNumberingAfterBreak="0">
    <w:nsid w:val="23CD39BE"/>
    <w:multiLevelType w:val="hybridMultilevel"/>
    <w:tmpl w:val="FF62F7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264F67AE"/>
    <w:multiLevelType w:val="hybridMultilevel"/>
    <w:tmpl w:val="FFD0929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7" w15:restartNumberingAfterBreak="0">
    <w:nsid w:val="285A413E"/>
    <w:multiLevelType w:val="singleLevel"/>
    <w:tmpl w:val="2E2496AA"/>
    <w:lvl w:ilvl="0">
      <w:start w:val="1"/>
      <w:numFmt w:val="decimal"/>
      <w:lvlText w:val="4.2.%1. "/>
      <w:legacy w:legacy="1" w:legacySpace="0" w:legacyIndent="283"/>
      <w:lvlJc w:val="left"/>
      <w:pPr>
        <w:ind w:left="283" w:hanging="283"/>
      </w:pPr>
      <w:rPr>
        <w:rFonts w:ascii="Arial" w:hAnsi="Arial" w:cs="Times New Roman" w:hint="default"/>
        <w:b w:val="0"/>
        <w:i w:val="0"/>
        <w:sz w:val="24"/>
        <w:u w:val="none"/>
      </w:rPr>
    </w:lvl>
  </w:abstractNum>
  <w:abstractNum w:abstractNumId="18" w15:restartNumberingAfterBreak="0">
    <w:nsid w:val="29D03E57"/>
    <w:multiLevelType w:val="singleLevel"/>
    <w:tmpl w:val="83FCD506"/>
    <w:lvl w:ilvl="0">
      <w:start w:val="1"/>
      <w:numFmt w:val="decimal"/>
      <w:lvlText w:val="4.4.%1. "/>
      <w:legacy w:legacy="1" w:legacySpace="0" w:legacyIndent="283"/>
      <w:lvlJc w:val="left"/>
      <w:pPr>
        <w:ind w:left="283" w:hanging="283"/>
      </w:pPr>
      <w:rPr>
        <w:rFonts w:ascii="Arial" w:hAnsi="Arial" w:cs="Times New Roman" w:hint="default"/>
        <w:b w:val="0"/>
        <w:i w:val="0"/>
        <w:sz w:val="24"/>
        <w:u w:val="none"/>
      </w:rPr>
    </w:lvl>
  </w:abstractNum>
  <w:abstractNum w:abstractNumId="19" w15:restartNumberingAfterBreak="0">
    <w:nsid w:val="2EC2047F"/>
    <w:multiLevelType w:val="hybridMultilevel"/>
    <w:tmpl w:val="7806DE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4C63D40"/>
    <w:multiLevelType w:val="singleLevel"/>
    <w:tmpl w:val="0F8CC140"/>
    <w:lvl w:ilvl="0">
      <w:start w:val="4"/>
      <w:numFmt w:val="decimal"/>
      <w:lvlText w:val="4.%1. "/>
      <w:legacy w:legacy="1" w:legacySpace="0" w:legacyIndent="283"/>
      <w:lvlJc w:val="left"/>
      <w:pPr>
        <w:ind w:left="283" w:hanging="283"/>
      </w:pPr>
      <w:rPr>
        <w:rFonts w:ascii="Arial" w:hAnsi="Arial" w:cs="Times New Roman" w:hint="default"/>
        <w:b/>
        <w:i w:val="0"/>
        <w:sz w:val="24"/>
        <w:u w:val="none"/>
      </w:rPr>
    </w:lvl>
  </w:abstractNum>
  <w:abstractNum w:abstractNumId="21" w15:restartNumberingAfterBreak="0">
    <w:nsid w:val="36547FF9"/>
    <w:multiLevelType w:val="singleLevel"/>
    <w:tmpl w:val="7EA8633C"/>
    <w:lvl w:ilvl="0">
      <w:start w:val="3"/>
      <w:numFmt w:val="decimal"/>
      <w:lvlText w:val="4.%1. "/>
      <w:legacy w:legacy="1" w:legacySpace="0" w:legacyIndent="283"/>
      <w:lvlJc w:val="left"/>
      <w:pPr>
        <w:ind w:left="283" w:hanging="283"/>
      </w:pPr>
      <w:rPr>
        <w:rFonts w:ascii="Arial" w:hAnsi="Arial" w:cs="Times New Roman" w:hint="default"/>
        <w:b/>
        <w:i w:val="0"/>
        <w:sz w:val="24"/>
        <w:u w:val="none"/>
      </w:rPr>
    </w:lvl>
  </w:abstractNum>
  <w:abstractNum w:abstractNumId="22" w15:restartNumberingAfterBreak="0">
    <w:nsid w:val="378773DD"/>
    <w:multiLevelType w:val="singleLevel"/>
    <w:tmpl w:val="8EBAF526"/>
    <w:lvl w:ilvl="0">
      <w:start w:val="3"/>
      <w:numFmt w:val="decimal"/>
      <w:lvlText w:val="%1. "/>
      <w:legacy w:legacy="1" w:legacySpace="0" w:legacyIndent="283"/>
      <w:lvlJc w:val="left"/>
      <w:pPr>
        <w:ind w:left="283" w:hanging="283"/>
      </w:pPr>
      <w:rPr>
        <w:rFonts w:ascii="Arial" w:hAnsi="Arial" w:cs="Times New Roman" w:hint="default"/>
        <w:b w:val="0"/>
        <w:i w:val="0"/>
        <w:sz w:val="24"/>
        <w:u w:val="none"/>
      </w:rPr>
    </w:lvl>
  </w:abstractNum>
  <w:abstractNum w:abstractNumId="23" w15:restartNumberingAfterBreak="0">
    <w:nsid w:val="3E806B5F"/>
    <w:multiLevelType w:val="singleLevel"/>
    <w:tmpl w:val="D658B0A0"/>
    <w:lvl w:ilvl="0">
      <w:start w:val="5"/>
      <w:numFmt w:val="decimal"/>
      <w:lvlText w:val="4.2.%1. "/>
      <w:legacy w:legacy="1" w:legacySpace="0" w:legacyIndent="283"/>
      <w:lvlJc w:val="left"/>
      <w:pPr>
        <w:ind w:left="283" w:hanging="283"/>
      </w:pPr>
      <w:rPr>
        <w:rFonts w:ascii="Arial" w:hAnsi="Arial" w:cs="Times New Roman" w:hint="default"/>
        <w:b w:val="0"/>
        <w:i w:val="0"/>
        <w:sz w:val="24"/>
        <w:u w:val="none"/>
      </w:rPr>
    </w:lvl>
  </w:abstractNum>
  <w:abstractNum w:abstractNumId="24" w15:restartNumberingAfterBreak="0">
    <w:nsid w:val="3EC414B8"/>
    <w:multiLevelType w:val="singleLevel"/>
    <w:tmpl w:val="F598827C"/>
    <w:lvl w:ilvl="0">
      <w:start w:val="2"/>
      <w:numFmt w:val="decimal"/>
      <w:lvlText w:val="4.4.%1. "/>
      <w:legacy w:legacy="1" w:legacySpace="0" w:legacyIndent="283"/>
      <w:lvlJc w:val="left"/>
      <w:pPr>
        <w:ind w:left="283" w:hanging="283"/>
      </w:pPr>
      <w:rPr>
        <w:rFonts w:ascii="Arial" w:hAnsi="Arial" w:cs="Times New Roman" w:hint="default"/>
        <w:b w:val="0"/>
        <w:i w:val="0"/>
        <w:sz w:val="24"/>
        <w:u w:val="none"/>
      </w:rPr>
    </w:lvl>
  </w:abstractNum>
  <w:abstractNum w:abstractNumId="25" w15:restartNumberingAfterBreak="0">
    <w:nsid w:val="40913571"/>
    <w:multiLevelType w:val="singleLevel"/>
    <w:tmpl w:val="CDACD62A"/>
    <w:lvl w:ilvl="0">
      <w:start w:val="2"/>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26" w15:restartNumberingAfterBreak="0">
    <w:nsid w:val="417B426A"/>
    <w:multiLevelType w:val="hybridMultilevel"/>
    <w:tmpl w:val="203E324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4E956E5"/>
    <w:multiLevelType w:val="singleLevel"/>
    <w:tmpl w:val="C3E83E0A"/>
    <w:lvl w:ilvl="0">
      <w:start w:val="2"/>
      <w:numFmt w:val="decimal"/>
      <w:lvlText w:val="4.%1. "/>
      <w:legacy w:legacy="1" w:legacySpace="0" w:legacyIndent="283"/>
      <w:lvlJc w:val="left"/>
      <w:pPr>
        <w:ind w:left="283" w:hanging="283"/>
      </w:pPr>
      <w:rPr>
        <w:rFonts w:ascii="Arial" w:hAnsi="Arial" w:cs="Times New Roman" w:hint="default"/>
        <w:b/>
        <w:i w:val="0"/>
        <w:sz w:val="24"/>
        <w:u w:val="none"/>
      </w:rPr>
    </w:lvl>
  </w:abstractNum>
  <w:abstractNum w:abstractNumId="28" w15:restartNumberingAfterBreak="0">
    <w:nsid w:val="4AD91D7E"/>
    <w:multiLevelType w:val="hybridMultilevel"/>
    <w:tmpl w:val="659224EC"/>
    <w:lvl w:ilvl="0" w:tplc="FA5AD41A">
      <w:start w:val="1"/>
      <w:numFmt w:val="decimal"/>
      <w:lvlText w:val="%1)"/>
      <w:lvlJc w:val="left"/>
      <w:pPr>
        <w:ind w:left="1252" w:hanging="1110"/>
      </w:pPr>
      <w:rPr>
        <w:rFonts w:cs="Times New Roman" w:hint="default"/>
      </w:rPr>
    </w:lvl>
    <w:lvl w:ilvl="1" w:tplc="041B0019" w:tentative="1">
      <w:start w:val="1"/>
      <w:numFmt w:val="lowerLetter"/>
      <w:lvlText w:val="%2."/>
      <w:lvlJc w:val="left"/>
      <w:pPr>
        <w:ind w:left="1222" w:hanging="360"/>
      </w:pPr>
      <w:rPr>
        <w:rFonts w:cs="Times New Roman"/>
      </w:rPr>
    </w:lvl>
    <w:lvl w:ilvl="2" w:tplc="041B001B" w:tentative="1">
      <w:start w:val="1"/>
      <w:numFmt w:val="lowerRoman"/>
      <w:lvlText w:val="%3."/>
      <w:lvlJc w:val="right"/>
      <w:pPr>
        <w:ind w:left="1942" w:hanging="180"/>
      </w:pPr>
      <w:rPr>
        <w:rFonts w:cs="Times New Roman"/>
      </w:rPr>
    </w:lvl>
    <w:lvl w:ilvl="3" w:tplc="041B000F" w:tentative="1">
      <w:start w:val="1"/>
      <w:numFmt w:val="decimal"/>
      <w:lvlText w:val="%4."/>
      <w:lvlJc w:val="left"/>
      <w:pPr>
        <w:ind w:left="2662" w:hanging="360"/>
      </w:pPr>
      <w:rPr>
        <w:rFonts w:cs="Times New Roman"/>
      </w:rPr>
    </w:lvl>
    <w:lvl w:ilvl="4" w:tplc="041B0019" w:tentative="1">
      <w:start w:val="1"/>
      <w:numFmt w:val="lowerLetter"/>
      <w:lvlText w:val="%5."/>
      <w:lvlJc w:val="left"/>
      <w:pPr>
        <w:ind w:left="3382" w:hanging="360"/>
      </w:pPr>
      <w:rPr>
        <w:rFonts w:cs="Times New Roman"/>
      </w:rPr>
    </w:lvl>
    <w:lvl w:ilvl="5" w:tplc="041B001B" w:tentative="1">
      <w:start w:val="1"/>
      <w:numFmt w:val="lowerRoman"/>
      <w:lvlText w:val="%6."/>
      <w:lvlJc w:val="right"/>
      <w:pPr>
        <w:ind w:left="4102" w:hanging="180"/>
      </w:pPr>
      <w:rPr>
        <w:rFonts w:cs="Times New Roman"/>
      </w:rPr>
    </w:lvl>
    <w:lvl w:ilvl="6" w:tplc="041B000F" w:tentative="1">
      <w:start w:val="1"/>
      <w:numFmt w:val="decimal"/>
      <w:lvlText w:val="%7."/>
      <w:lvlJc w:val="left"/>
      <w:pPr>
        <w:ind w:left="4822" w:hanging="360"/>
      </w:pPr>
      <w:rPr>
        <w:rFonts w:cs="Times New Roman"/>
      </w:rPr>
    </w:lvl>
    <w:lvl w:ilvl="7" w:tplc="041B0019" w:tentative="1">
      <w:start w:val="1"/>
      <w:numFmt w:val="lowerLetter"/>
      <w:lvlText w:val="%8."/>
      <w:lvlJc w:val="left"/>
      <w:pPr>
        <w:ind w:left="5542" w:hanging="360"/>
      </w:pPr>
      <w:rPr>
        <w:rFonts w:cs="Times New Roman"/>
      </w:rPr>
    </w:lvl>
    <w:lvl w:ilvl="8" w:tplc="041B001B" w:tentative="1">
      <w:start w:val="1"/>
      <w:numFmt w:val="lowerRoman"/>
      <w:lvlText w:val="%9."/>
      <w:lvlJc w:val="right"/>
      <w:pPr>
        <w:ind w:left="6262" w:hanging="180"/>
      </w:pPr>
      <w:rPr>
        <w:rFonts w:cs="Times New Roman"/>
      </w:rPr>
    </w:lvl>
  </w:abstractNum>
  <w:abstractNum w:abstractNumId="29" w15:restartNumberingAfterBreak="0">
    <w:nsid w:val="4C051D56"/>
    <w:multiLevelType w:val="singleLevel"/>
    <w:tmpl w:val="363ABE42"/>
    <w:lvl w:ilvl="0">
      <w:start w:val="1"/>
      <w:numFmt w:val="decimal"/>
      <w:lvlText w:val="4.%1. "/>
      <w:legacy w:legacy="1" w:legacySpace="0" w:legacyIndent="283"/>
      <w:lvlJc w:val="left"/>
      <w:pPr>
        <w:ind w:left="283" w:hanging="283"/>
      </w:pPr>
      <w:rPr>
        <w:rFonts w:ascii="Arial" w:hAnsi="Arial" w:cs="Times New Roman" w:hint="default"/>
        <w:b/>
        <w:i w:val="0"/>
        <w:sz w:val="24"/>
        <w:u w:val="none"/>
      </w:rPr>
    </w:lvl>
  </w:abstractNum>
  <w:abstractNum w:abstractNumId="30" w15:restartNumberingAfterBreak="0">
    <w:nsid w:val="508D01B5"/>
    <w:multiLevelType w:val="singleLevel"/>
    <w:tmpl w:val="59F213B8"/>
    <w:lvl w:ilvl="0">
      <w:start w:val="2"/>
      <w:numFmt w:val="decimal"/>
      <w:lvlText w:val="4.2.%1. "/>
      <w:legacy w:legacy="1" w:legacySpace="0" w:legacyIndent="283"/>
      <w:lvlJc w:val="left"/>
      <w:pPr>
        <w:ind w:left="283" w:hanging="283"/>
      </w:pPr>
      <w:rPr>
        <w:rFonts w:ascii="Arial" w:hAnsi="Arial" w:cs="Times New Roman" w:hint="default"/>
        <w:b w:val="0"/>
        <w:i w:val="0"/>
        <w:sz w:val="24"/>
        <w:u w:val="none"/>
      </w:rPr>
    </w:lvl>
  </w:abstractNum>
  <w:abstractNum w:abstractNumId="31" w15:restartNumberingAfterBreak="0">
    <w:nsid w:val="522E7FA0"/>
    <w:multiLevelType w:val="hybridMultilevel"/>
    <w:tmpl w:val="C2748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D9F62A2"/>
    <w:multiLevelType w:val="hybridMultilevel"/>
    <w:tmpl w:val="4572A9A8"/>
    <w:lvl w:ilvl="0" w:tplc="52C0E58C">
      <w:start w:val="1"/>
      <w:numFmt w:val="bullet"/>
      <w:lvlText w:val=""/>
      <w:lvlJc w:val="left"/>
      <w:pPr>
        <w:tabs>
          <w:tab w:val="num" w:pos="540"/>
        </w:tabs>
        <w:ind w:left="823" w:hanging="283"/>
      </w:pPr>
      <w:rPr>
        <w:rFonts w:ascii="Wingdings" w:hAnsi="Wingdings" w:hint="default"/>
        <w:b w:val="0"/>
        <w:i w:val="0"/>
        <w:sz w:val="24"/>
        <w:u w:val="none"/>
      </w:rPr>
    </w:lvl>
    <w:lvl w:ilvl="1" w:tplc="041B0003" w:tentative="1">
      <w:start w:val="1"/>
      <w:numFmt w:val="bullet"/>
      <w:lvlText w:val="o"/>
      <w:lvlJc w:val="left"/>
      <w:pPr>
        <w:tabs>
          <w:tab w:val="num" w:pos="1980"/>
        </w:tabs>
        <w:ind w:left="1980" w:hanging="360"/>
      </w:pPr>
      <w:rPr>
        <w:rFonts w:ascii="Courier New" w:hAnsi="Courier New" w:hint="default"/>
      </w:rPr>
    </w:lvl>
    <w:lvl w:ilvl="2" w:tplc="041B0005" w:tentative="1">
      <w:start w:val="1"/>
      <w:numFmt w:val="bullet"/>
      <w:lvlText w:val=""/>
      <w:lvlJc w:val="left"/>
      <w:pPr>
        <w:tabs>
          <w:tab w:val="num" w:pos="2700"/>
        </w:tabs>
        <w:ind w:left="2700" w:hanging="360"/>
      </w:pPr>
      <w:rPr>
        <w:rFonts w:ascii="Wingdings" w:hAnsi="Wingdings" w:hint="default"/>
      </w:rPr>
    </w:lvl>
    <w:lvl w:ilvl="3" w:tplc="041B0001" w:tentative="1">
      <w:start w:val="1"/>
      <w:numFmt w:val="bullet"/>
      <w:lvlText w:val=""/>
      <w:lvlJc w:val="left"/>
      <w:pPr>
        <w:tabs>
          <w:tab w:val="num" w:pos="3420"/>
        </w:tabs>
        <w:ind w:left="3420" w:hanging="360"/>
      </w:pPr>
      <w:rPr>
        <w:rFonts w:ascii="Symbol" w:hAnsi="Symbol" w:hint="default"/>
      </w:rPr>
    </w:lvl>
    <w:lvl w:ilvl="4" w:tplc="041B0003" w:tentative="1">
      <w:start w:val="1"/>
      <w:numFmt w:val="bullet"/>
      <w:lvlText w:val="o"/>
      <w:lvlJc w:val="left"/>
      <w:pPr>
        <w:tabs>
          <w:tab w:val="num" w:pos="4140"/>
        </w:tabs>
        <w:ind w:left="4140" w:hanging="360"/>
      </w:pPr>
      <w:rPr>
        <w:rFonts w:ascii="Courier New" w:hAnsi="Courier New" w:hint="default"/>
      </w:rPr>
    </w:lvl>
    <w:lvl w:ilvl="5" w:tplc="041B0005" w:tentative="1">
      <w:start w:val="1"/>
      <w:numFmt w:val="bullet"/>
      <w:lvlText w:val=""/>
      <w:lvlJc w:val="left"/>
      <w:pPr>
        <w:tabs>
          <w:tab w:val="num" w:pos="4860"/>
        </w:tabs>
        <w:ind w:left="4860" w:hanging="360"/>
      </w:pPr>
      <w:rPr>
        <w:rFonts w:ascii="Wingdings" w:hAnsi="Wingdings" w:hint="default"/>
      </w:rPr>
    </w:lvl>
    <w:lvl w:ilvl="6" w:tplc="041B0001" w:tentative="1">
      <w:start w:val="1"/>
      <w:numFmt w:val="bullet"/>
      <w:lvlText w:val=""/>
      <w:lvlJc w:val="left"/>
      <w:pPr>
        <w:tabs>
          <w:tab w:val="num" w:pos="5580"/>
        </w:tabs>
        <w:ind w:left="5580" w:hanging="360"/>
      </w:pPr>
      <w:rPr>
        <w:rFonts w:ascii="Symbol" w:hAnsi="Symbol" w:hint="default"/>
      </w:rPr>
    </w:lvl>
    <w:lvl w:ilvl="7" w:tplc="041B0003" w:tentative="1">
      <w:start w:val="1"/>
      <w:numFmt w:val="bullet"/>
      <w:lvlText w:val="o"/>
      <w:lvlJc w:val="left"/>
      <w:pPr>
        <w:tabs>
          <w:tab w:val="num" w:pos="6300"/>
        </w:tabs>
        <w:ind w:left="6300" w:hanging="360"/>
      </w:pPr>
      <w:rPr>
        <w:rFonts w:ascii="Courier New" w:hAnsi="Courier New" w:hint="default"/>
      </w:rPr>
    </w:lvl>
    <w:lvl w:ilvl="8" w:tplc="041B0005" w:tentative="1">
      <w:start w:val="1"/>
      <w:numFmt w:val="bullet"/>
      <w:lvlText w:val=""/>
      <w:lvlJc w:val="left"/>
      <w:pPr>
        <w:tabs>
          <w:tab w:val="num" w:pos="7020"/>
        </w:tabs>
        <w:ind w:left="7020" w:hanging="360"/>
      </w:pPr>
      <w:rPr>
        <w:rFonts w:ascii="Wingdings" w:hAnsi="Wingdings" w:hint="default"/>
      </w:rPr>
    </w:lvl>
  </w:abstractNum>
  <w:abstractNum w:abstractNumId="33" w15:restartNumberingAfterBreak="0">
    <w:nsid w:val="5DAD741E"/>
    <w:multiLevelType w:val="singleLevel"/>
    <w:tmpl w:val="FE50077E"/>
    <w:lvl w:ilvl="0">
      <w:start w:val="3"/>
      <w:numFmt w:val="decimal"/>
      <w:lvlText w:val="4.2.%1. "/>
      <w:legacy w:legacy="1" w:legacySpace="0" w:legacyIndent="283"/>
      <w:lvlJc w:val="left"/>
      <w:pPr>
        <w:ind w:left="283" w:hanging="283"/>
      </w:pPr>
      <w:rPr>
        <w:rFonts w:ascii="Arial" w:hAnsi="Arial" w:cs="Times New Roman" w:hint="default"/>
        <w:b w:val="0"/>
        <w:i w:val="0"/>
        <w:sz w:val="24"/>
        <w:u w:val="none"/>
      </w:rPr>
    </w:lvl>
  </w:abstractNum>
  <w:abstractNum w:abstractNumId="34" w15:restartNumberingAfterBreak="0">
    <w:nsid w:val="5DD20D22"/>
    <w:multiLevelType w:val="hybridMultilevel"/>
    <w:tmpl w:val="13F290F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1651C5D"/>
    <w:multiLevelType w:val="hybridMultilevel"/>
    <w:tmpl w:val="ACE42D66"/>
    <w:lvl w:ilvl="0" w:tplc="FFFFFFFF">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2BF74B5"/>
    <w:multiLevelType w:val="singleLevel"/>
    <w:tmpl w:val="17988984"/>
    <w:lvl w:ilvl="0">
      <w:start w:val="3"/>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37" w15:restartNumberingAfterBreak="0">
    <w:nsid w:val="66440E72"/>
    <w:multiLevelType w:val="singleLevel"/>
    <w:tmpl w:val="95A0A4F2"/>
    <w:lvl w:ilvl="0">
      <w:start w:val="4"/>
      <w:numFmt w:val="decimal"/>
      <w:lvlText w:val="4.2.%1. "/>
      <w:legacy w:legacy="1" w:legacySpace="0" w:legacyIndent="283"/>
      <w:lvlJc w:val="left"/>
      <w:pPr>
        <w:ind w:left="283" w:hanging="283"/>
      </w:pPr>
      <w:rPr>
        <w:rFonts w:ascii="Arial" w:hAnsi="Arial" w:cs="Times New Roman" w:hint="default"/>
        <w:b w:val="0"/>
        <w:i w:val="0"/>
        <w:sz w:val="24"/>
        <w:u w:val="none"/>
      </w:rPr>
    </w:lvl>
  </w:abstractNum>
  <w:abstractNum w:abstractNumId="38" w15:restartNumberingAfterBreak="0">
    <w:nsid w:val="6B7A7554"/>
    <w:multiLevelType w:val="multilevel"/>
    <w:tmpl w:val="E36C5252"/>
    <w:lvl w:ilvl="0">
      <w:start w:val="4"/>
      <w:numFmt w:val="decimal"/>
      <w:lvlText w:val="%1"/>
      <w:lvlJc w:val="left"/>
      <w:pPr>
        <w:tabs>
          <w:tab w:val="num" w:pos="720"/>
        </w:tabs>
        <w:ind w:left="720" w:hanging="72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9" w15:restartNumberingAfterBreak="0">
    <w:nsid w:val="6C764356"/>
    <w:multiLevelType w:val="hybridMultilevel"/>
    <w:tmpl w:val="972AA714"/>
    <w:lvl w:ilvl="0" w:tplc="041B0001">
      <w:start w:val="1"/>
      <w:numFmt w:val="bullet"/>
      <w:lvlText w:val=""/>
      <w:lvlJc w:val="left"/>
      <w:pPr>
        <w:tabs>
          <w:tab w:val="num" w:pos="720"/>
        </w:tabs>
        <w:ind w:left="720" w:hanging="360"/>
      </w:pPr>
      <w:rPr>
        <w:rFonts w:ascii="Symbol" w:hAnsi="Symbol" w:hint="default"/>
      </w:rPr>
    </w:lvl>
    <w:lvl w:ilvl="1" w:tplc="50C03A30">
      <w:start w:val="4"/>
      <w:numFmt w:val="bullet"/>
      <w:lvlText w:val="-"/>
      <w:lvlJc w:val="left"/>
      <w:pPr>
        <w:tabs>
          <w:tab w:val="num" w:pos="1440"/>
        </w:tabs>
        <w:ind w:left="1440" w:hanging="360"/>
      </w:pPr>
      <w:rPr>
        <w:rFonts w:ascii="Arial" w:eastAsia="Times New Roman" w:hAnsi="Arial" w:hint="default"/>
      </w:rPr>
    </w:lvl>
    <w:lvl w:ilvl="2" w:tplc="041B0001">
      <w:start w:val="1"/>
      <w:numFmt w:val="bullet"/>
      <w:lvlText w:val=""/>
      <w:lvlJc w:val="left"/>
      <w:pPr>
        <w:tabs>
          <w:tab w:val="num" w:pos="2160"/>
        </w:tabs>
        <w:ind w:left="2160" w:hanging="360"/>
      </w:pPr>
      <w:rPr>
        <w:rFonts w:ascii="Symbol" w:hAnsi="Symbol"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E0F0F83"/>
    <w:multiLevelType w:val="singleLevel"/>
    <w:tmpl w:val="7EC0E836"/>
    <w:lvl w:ilvl="0">
      <w:start w:val="1"/>
      <w:numFmt w:val="decimal"/>
      <w:lvlText w:val="%1. "/>
      <w:legacy w:legacy="1" w:legacySpace="0" w:legacyIndent="283"/>
      <w:lvlJc w:val="left"/>
      <w:pPr>
        <w:ind w:left="283" w:hanging="283"/>
      </w:pPr>
      <w:rPr>
        <w:rFonts w:ascii="Arial" w:hAnsi="Arial" w:cs="Times New Roman" w:hint="default"/>
        <w:b w:val="0"/>
        <w:i w:val="0"/>
        <w:sz w:val="24"/>
        <w:u w:val="none"/>
      </w:rPr>
    </w:lvl>
  </w:abstractNum>
  <w:abstractNum w:abstractNumId="41" w15:restartNumberingAfterBreak="0">
    <w:nsid w:val="6EF16745"/>
    <w:multiLevelType w:val="singleLevel"/>
    <w:tmpl w:val="7EC0E836"/>
    <w:lvl w:ilvl="0">
      <w:start w:val="1"/>
      <w:numFmt w:val="decimal"/>
      <w:lvlText w:val="%1. "/>
      <w:legacy w:legacy="1" w:legacySpace="0" w:legacyIndent="283"/>
      <w:lvlJc w:val="left"/>
      <w:pPr>
        <w:ind w:left="283" w:hanging="283"/>
      </w:pPr>
      <w:rPr>
        <w:rFonts w:ascii="Arial" w:hAnsi="Arial" w:cs="Times New Roman" w:hint="default"/>
        <w:b w:val="0"/>
        <w:i w:val="0"/>
        <w:sz w:val="24"/>
        <w:u w:val="none"/>
      </w:rPr>
    </w:lvl>
  </w:abstractNum>
  <w:abstractNum w:abstractNumId="42" w15:restartNumberingAfterBreak="0">
    <w:nsid w:val="700B20FF"/>
    <w:multiLevelType w:val="singleLevel"/>
    <w:tmpl w:val="1E7CEFC2"/>
    <w:lvl w:ilvl="0">
      <w:start w:val="1"/>
      <w:numFmt w:val="decimal"/>
      <w:lvlText w:val="%1. "/>
      <w:legacy w:legacy="1" w:legacySpace="0" w:legacyIndent="283"/>
      <w:lvlJc w:val="left"/>
      <w:pPr>
        <w:ind w:left="283" w:hanging="283"/>
      </w:pPr>
      <w:rPr>
        <w:rFonts w:ascii="Arial" w:hAnsi="Arial" w:cs="Times New Roman" w:hint="default"/>
        <w:b/>
        <w:i w:val="0"/>
        <w:sz w:val="24"/>
        <w:u w:val="none"/>
      </w:rPr>
    </w:lvl>
  </w:abstractNum>
  <w:abstractNum w:abstractNumId="43" w15:restartNumberingAfterBreak="0">
    <w:nsid w:val="728F3A92"/>
    <w:multiLevelType w:val="singleLevel"/>
    <w:tmpl w:val="7EC0E836"/>
    <w:lvl w:ilvl="0">
      <w:start w:val="1"/>
      <w:numFmt w:val="decimal"/>
      <w:lvlText w:val="%1. "/>
      <w:legacy w:legacy="1" w:legacySpace="0" w:legacyIndent="283"/>
      <w:lvlJc w:val="left"/>
      <w:pPr>
        <w:ind w:left="283" w:hanging="283"/>
      </w:pPr>
      <w:rPr>
        <w:rFonts w:ascii="Arial" w:hAnsi="Arial" w:cs="Times New Roman" w:hint="default"/>
        <w:b w:val="0"/>
        <w:i w:val="0"/>
        <w:sz w:val="24"/>
        <w:u w:val="none"/>
      </w:rPr>
    </w:lvl>
  </w:abstractNum>
  <w:abstractNum w:abstractNumId="44" w15:restartNumberingAfterBreak="0">
    <w:nsid w:val="79381901"/>
    <w:multiLevelType w:val="singleLevel"/>
    <w:tmpl w:val="CDBEA272"/>
    <w:lvl w:ilvl="0">
      <w:start w:val="4"/>
      <w:numFmt w:val="decimal"/>
      <w:lvlText w:val="%1. "/>
      <w:legacy w:legacy="1" w:legacySpace="0" w:legacyIndent="283"/>
      <w:lvlJc w:val="left"/>
      <w:pPr>
        <w:ind w:left="283" w:hanging="283"/>
      </w:pPr>
      <w:rPr>
        <w:rFonts w:ascii="Arial" w:hAnsi="Arial" w:cs="Times New Roman" w:hint="default"/>
        <w:b/>
        <w:i w:val="0"/>
        <w:sz w:val="24"/>
        <w:u w:val="none"/>
      </w:rPr>
    </w:lvl>
  </w:abstractNum>
  <w:num w:numId="1">
    <w:abstractNumId w:val="42"/>
  </w:num>
  <w:num w:numId="2">
    <w:abstractNumId w:val="25"/>
  </w:num>
  <w:num w:numId="3">
    <w:abstractNumId w:val="36"/>
  </w:num>
  <w:num w:numId="4">
    <w:abstractNumId w:val="44"/>
  </w:num>
  <w:num w:numId="5">
    <w:abstractNumId w:val="29"/>
  </w:num>
  <w:num w:numId="6">
    <w:abstractNumId w:val="27"/>
  </w:num>
  <w:num w:numId="7">
    <w:abstractNumId w:val="17"/>
  </w:num>
  <w:num w:numId="8">
    <w:abstractNumId w:val="30"/>
  </w:num>
  <w:num w:numId="9">
    <w:abstractNumId w:val="33"/>
  </w:num>
  <w:num w:numId="10">
    <w:abstractNumId w:val="40"/>
  </w:num>
  <w:num w:numId="11">
    <w:abstractNumId w:val="0"/>
    <w:lvlOverride w:ilvl="0">
      <w:lvl w:ilvl="0">
        <w:start w:val="1"/>
        <w:numFmt w:val="bullet"/>
        <w:lvlText w:val=""/>
        <w:legacy w:legacy="1" w:legacySpace="0" w:legacyIndent="283"/>
        <w:lvlJc w:val="left"/>
        <w:pPr>
          <w:ind w:left="283" w:hanging="283"/>
        </w:pPr>
        <w:rPr>
          <w:rFonts w:ascii="Wingdings" w:hAnsi="Wingdings" w:hint="default"/>
          <w:b/>
          <w:i w:val="0"/>
          <w:sz w:val="24"/>
          <w:u w:val="none"/>
        </w:rPr>
      </w:lvl>
    </w:lvlOverride>
  </w:num>
  <w:num w:numId="12">
    <w:abstractNumId w:val="41"/>
  </w:num>
  <w:num w:numId="13">
    <w:abstractNumId w:val="37"/>
  </w:num>
  <w:num w:numId="14">
    <w:abstractNumId w:val="2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17">
    <w:abstractNumId w:val="20"/>
  </w:num>
  <w:num w:numId="18">
    <w:abstractNumId w:val="18"/>
  </w:num>
  <w:num w:numId="19">
    <w:abstractNumId w:val="43"/>
  </w:num>
  <w:num w:numId="20">
    <w:abstractNumId w:val="14"/>
  </w:num>
  <w:num w:numId="21">
    <w:abstractNumId w:val="22"/>
  </w:num>
  <w:num w:numId="22">
    <w:abstractNumId w:val="24"/>
  </w:num>
  <w:num w:numId="23">
    <w:abstractNumId w:val="2"/>
  </w:num>
  <w:num w:numId="24">
    <w:abstractNumId w:val="32"/>
  </w:num>
  <w:num w:numId="25">
    <w:abstractNumId w:val="4"/>
  </w:num>
  <w:num w:numId="26">
    <w:abstractNumId w:val="15"/>
  </w:num>
  <w:num w:numId="27">
    <w:abstractNumId w:val="38"/>
  </w:num>
  <w:num w:numId="28">
    <w:abstractNumId w:val="13"/>
  </w:num>
  <w:num w:numId="29">
    <w:abstractNumId w:val="39"/>
  </w:num>
  <w:num w:numId="30">
    <w:abstractNumId w:val="3"/>
  </w:num>
  <w:num w:numId="31">
    <w:abstractNumId w:val="12"/>
  </w:num>
  <w:num w:numId="32">
    <w:abstractNumId w:val="7"/>
  </w:num>
  <w:num w:numId="33">
    <w:abstractNumId w:val="11"/>
  </w:num>
  <w:num w:numId="34">
    <w:abstractNumId w:val="28"/>
  </w:num>
  <w:num w:numId="35">
    <w:abstractNumId w:val="19"/>
  </w:num>
  <w:num w:numId="36">
    <w:abstractNumId w:val="16"/>
  </w:num>
  <w:num w:numId="37">
    <w:abstractNumId w:val="1"/>
  </w:num>
  <w:num w:numId="38">
    <w:abstractNumId w:val="34"/>
  </w:num>
  <w:num w:numId="39">
    <w:abstractNumId w:val="31"/>
  </w:num>
  <w:num w:numId="40">
    <w:abstractNumId w:val="8"/>
  </w:num>
  <w:num w:numId="41">
    <w:abstractNumId w:val="5"/>
  </w:num>
  <w:num w:numId="42">
    <w:abstractNumId w:val="35"/>
  </w:num>
  <w:num w:numId="43">
    <w:abstractNumId w:val="10"/>
  </w:num>
  <w:num w:numId="44">
    <w:abstractNumId w:val="6"/>
  </w:num>
  <w:num w:numId="45">
    <w:abstractNumId w:val="26"/>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693"/>
    <w:rsid w:val="0000137F"/>
    <w:rsid w:val="00002D3B"/>
    <w:rsid w:val="00005286"/>
    <w:rsid w:val="000059C9"/>
    <w:rsid w:val="00006268"/>
    <w:rsid w:val="00007C21"/>
    <w:rsid w:val="0002252C"/>
    <w:rsid w:val="00030A2C"/>
    <w:rsid w:val="00034669"/>
    <w:rsid w:val="0003498B"/>
    <w:rsid w:val="00036B67"/>
    <w:rsid w:val="000522A5"/>
    <w:rsid w:val="0005555A"/>
    <w:rsid w:val="00062A13"/>
    <w:rsid w:val="00071B6D"/>
    <w:rsid w:val="00072417"/>
    <w:rsid w:val="00073249"/>
    <w:rsid w:val="000778E8"/>
    <w:rsid w:val="00084040"/>
    <w:rsid w:val="00084F5B"/>
    <w:rsid w:val="000851C7"/>
    <w:rsid w:val="000858D4"/>
    <w:rsid w:val="00087DC4"/>
    <w:rsid w:val="00090014"/>
    <w:rsid w:val="00090A88"/>
    <w:rsid w:val="000935C5"/>
    <w:rsid w:val="000946C5"/>
    <w:rsid w:val="00094EAC"/>
    <w:rsid w:val="00094EE3"/>
    <w:rsid w:val="00095358"/>
    <w:rsid w:val="00096476"/>
    <w:rsid w:val="00097D84"/>
    <w:rsid w:val="000A0BEB"/>
    <w:rsid w:val="000A4612"/>
    <w:rsid w:val="000C043F"/>
    <w:rsid w:val="000C0A0A"/>
    <w:rsid w:val="000C0C85"/>
    <w:rsid w:val="000C14EE"/>
    <w:rsid w:val="000C1AEE"/>
    <w:rsid w:val="000C474B"/>
    <w:rsid w:val="000C778E"/>
    <w:rsid w:val="000E0300"/>
    <w:rsid w:val="000F53D7"/>
    <w:rsid w:val="000F60FB"/>
    <w:rsid w:val="000F6C1E"/>
    <w:rsid w:val="000F7489"/>
    <w:rsid w:val="00100165"/>
    <w:rsid w:val="00102A07"/>
    <w:rsid w:val="00111A4F"/>
    <w:rsid w:val="00111AB6"/>
    <w:rsid w:val="001136B0"/>
    <w:rsid w:val="00113B98"/>
    <w:rsid w:val="00115982"/>
    <w:rsid w:val="00115BB2"/>
    <w:rsid w:val="00120689"/>
    <w:rsid w:val="001213B2"/>
    <w:rsid w:val="00123657"/>
    <w:rsid w:val="0012365F"/>
    <w:rsid w:val="00124AC5"/>
    <w:rsid w:val="00124ADF"/>
    <w:rsid w:val="0012653C"/>
    <w:rsid w:val="001265D1"/>
    <w:rsid w:val="00130799"/>
    <w:rsid w:val="00133D0C"/>
    <w:rsid w:val="00134636"/>
    <w:rsid w:val="00137A6A"/>
    <w:rsid w:val="0014296E"/>
    <w:rsid w:val="00151A1C"/>
    <w:rsid w:val="0015365B"/>
    <w:rsid w:val="0015400F"/>
    <w:rsid w:val="00154118"/>
    <w:rsid w:val="00155933"/>
    <w:rsid w:val="001561CD"/>
    <w:rsid w:val="001567B0"/>
    <w:rsid w:val="001613C9"/>
    <w:rsid w:val="00161A29"/>
    <w:rsid w:val="00165ABF"/>
    <w:rsid w:val="00165D6B"/>
    <w:rsid w:val="001701D8"/>
    <w:rsid w:val="001745FB"/>
    <w:rsid w:val="0017483C"/>
    <w:rsid w:val="00181F3B"/>
    <w:rsid w:val="001845E4"/>
    <w:rsid w:val="001858A6"/>
    <w:rsid w:val="001866DA"/>
    <w:rsid w:val="00191E3C"/>
    <w:rsid w:val="001969C6"/>
    <w:rsid w:val="00197A02"/>
    <w:rsid w:val="001A0015"/>
    <w:rsid w:val="001A79E1"/>
    <w:rsid w:val="001B1471"/>
    <w:rsid w:val="001B7006"/>
    <w:rsid w:val="001C2028"/>
    <w:rsid w:val="001C38A7"/>
    <w:rsid w:val="001C59F9"/>
    <w:rsid w:val="001D303E"/>
    <w:rsid w:val="001E1E6B"/>
    <w:rsid w:val="001E3649"/>
    <w:rsid w:val="001E3A57"/>
    <w:rsid w:val="001E40AB"/>
    <w:rsid w:val="001E5567"/>
    <w:rsid w:val="001F08FE"/>
    <w:rsid w:val="001F1656"/>
    <w:rsid w:val="001F1A99"/>
    <w:rsid w:val="001F484A"/>
    <w:rsid w:val="001F4ACA"/>
    <w:rsid w:val="001F75A3"/>
    <w:rsid w:val="00201AB2"/>
    <w:rsid w:val="00202C2E"/>
    <w:rsid w:val="0020301E"/>
    <w:rsid w:val="00204A71"/>
    <w:rsid w:val="00207350"/>
    <w:rsid w:val="00210244"/>
    <w:rsid w:val="0021602D"/>
    <w:rsid w:val="00216B9D"/>
    <w:rsid w:val="00221E4D"/>
    <w:rsid w:val="00226A14"/>
    <w:rsid w:val="00226C8F"/>
    <w:rsid w:val="002276E4"/>
    <w:rsid w:val="00231170"/>
    <w:rsid w:val="00232A33"/>
    <w:rsid w:val="00232DBA"/>
    <w:rsid w:val="00236940"/>
    <w:rsid w:val="0023715B"/>
    <w:rsid w:val="00237194"/>
    <w:rsid w:val="0023775A"/>
    <w:rsid w:val="00241B77"/>
    <w:rsid w:val="00243F62"/>
    <w:rsid w:val="002473C6"/>
    <w:rsid w:val="002501D6"/>
    <w:rsid w:val="00250528"/>
    <w:rsid w:val="00252C0A"/>
    <w:rsid w:val="002548E2"/>
    <w:rsid w:val="00255E81"/>
    <w:rsid w:val="00256D03"/>
    <w:rsid w:val="00260358"/>
    <w:rsid w:val="002637C2"/>
    <w:rsid w:val="0026445B"/>
    <w:rsid w:val="00271B5D"/>
    <w:rsid w:val="0027576D"/>
    <w:rsid w:val="00282A08"/>
    <w:rsid w:val="002862B8"/>
    <w:rsid w:val="00297733"/>
    <w:rsid w:val="002A16F1"/>
    <w:rsid w:val="002B09C7"/>
    <w:rsid w:val="002B2BC2"/>
    <w:rsid w:val="002B42EA"/>
    <w:rsid w:val="002C5AB6"/>
    <w:rsid w:val="002D0B9C"/>
    <w:rsid w:val="002D13C6"/>
    <w:rsid w:val="002D1537"/>
    <w:rsid w:val="002D5504"/>
    <w:rsid w:val="002E27BA"/>
    <w:rsid w:val="002E507B"/>
    <w:rsid w:val="002E53C1"/>
    <w:rsid w:val="002F065C"/>
    <w:rsid w:val="002F083A"/>
    <w:rsid w:val="002F1D38"/>
    <w:rsid w:val="002F5848"/>
    <w:rsid w:val="002F761B"/>
    <w:rsid w:val="00302596"/>
    <w:rsid w:val="00303000"/>
    <w:rsid w:val="003112FF"/>
    <w:rsid w:val="00313BD1"/>
    <w:rsid w:val="00313EF1"/>
    <w:rsid w:val="003153FB"/>
    <w:rsid w:val="00323455"/>
    <w:rsid w:val="00324E1D"/>
    <w:rsid w:val="00325098"/>
    <w:rsid w:val="003254BB"/>
    <w:rsid w:val="00331704"/>
    <w:rsid w:val="00336264"/>
    <w:rsid w:val="003412A6"/>
    <w:rsid w:val="0034304D"/>
    <w:rsid w:val="003442E9"/>
    <w:rsid w:val="0034521F"/>
    <w:rsid w:val="0034614E"/>
    <w:rsid w:val="003526E3"/>
    <w:rsid w:val="003535A1"/>
    <w:rsid w:val="0036057F"/>
    <w:rsid w:val="003653F4"/>
    <w:rsid w:val="003717E1"/>
    <w:rsid w:val="00374715"/>
    <w:rsid w:val="0037775A"/>
    <w:rsid w:val="00381CDB"/>
    <w:rsid w:val="003832C7"/>
    <w:rsid w:val="00385E25"/>
    <w:rsid w:val="00385E7F"/>
    <w:rsid w:val="00390D68"/>
    <w:rsid w:val="00392786"/>
    <w:rsid w:val="00396C62"/>
    <w:rsid w:val="00397FF3"/>
    <w:rsid w:val="003A1125"/>
    <w:rsid w:val="003A4F9A"/>
    <w:rsid w:val="003A794F"/>
    <w:rsid w:val="003A7AB4"/>
    <w:rsid w:val="003B10A1"/>
    <w:rsid w:val="003B4348"/>
    <w:rsid w:val="003B4BB0"/>
    <w:rsid w:val="003B5916"/>
    <w:rsid w:val="003C0BFC"/>
    <w:rsid w:val="003C4BE5"/>
    <w:rsid w:val="003C7A79"/>
    <w:rsid w:val="003C7FBD"/>
    <w:rsid w:val="003D2663"/>
    <w:rsid w:val="003D2E4B"/>
    <w:rsid w:val="003E1950"/>
    <w:rsid w:val="003E22D3"/>
    <w:rsid w:val="003E2A18"/>
    <w:rsid w:val="003E3AED"/>
    <w:rsid w:val="003E44C3"/>
    <w:rsid w:val="003E4DED"/>
    <w:rsid w:val="003F02A2"/>
    <w:rsid w:val="003F08C1"/>
    <w:rsid w:val="003F35A0"/>
    <w:rsid w:val="003F5B4B"/>
    <w:rsid w:val="004008F5"/>
    <w:rsid w:val="004009A6"/>
    <w:rsid w:val="00403270"/>
    <w:rsid w:val="00404BB4"/>
    <w:rsid w:val="00404DED"/>
    <w:rsid w:val="00406A90"/>
    <w:rsid w:val="00411EEB"/>
    <w:rsid w:val="0041245A"/>
    <w:rsid w:val="00412E14"/>
    <w:rsid w:val="00413578"/>
    <w:rsid w:val="00420CE8"/>
    <w:rsid w:val="004320F7"/>
    <w:rsid w:val="00433F8A"/>
    <w:rsid w:val="004349DC"/>
    <w:rsid w:val="00434FBA"/>
    <w:rsid w:val="00443864"/>
    <w:rsid w:val="0045124D"/>
    <w:rsid w:val="00451FB3"/>
    <w:rsid w:val="00462E70"/>
    <w:rsid w:val="00464FB4"/>
    <w:rsid w:val="004662A1"/>
    <w:rsid w:val="0046754E"/>
    <w:rsid w:val="00472136"/>
    <w:rsid w:val="0047476F"/>
    <w:rsid w:val="004820C8"/>
    <w:rsid w:val="00483AA9"/>
    <w:rsid w:val="00484275"/>
    <w:rsid w:val="00484B29"/>
    <w:rsid w:val="00490287"/>
    <w:rsid w:val="004914F6"/>
    <w:rsid w:val="00496669"/>
    <w:rsid w:val="00497CC9"/>
    <w:rsid w:val="004A129C"/>
    <w:rsid w:val="004A19E2"/>
    <w:rsid w:val="004A45F0"/>
    <w:rsid w:val="004A6221"/>
    <w:rsid w:val="004A79DC"/>
    <w:rsid w:val="004B0628"/>
    <w:rsid w:val="004B2B62"/>
    <w:rsid w:val="004B3574"/>
    <w:rsid w:val="004B48AA"/>
    <w:rsid w:val="004C0E1E"/>
    <w:rsid w:val="004C1CBB"/>
    <w:rsid w:val="004D0117"/>
    <w:rsid w:val="004D0B3C"/>
    <w:rsid w:val="004D56DF"/>
    <w:rsid w:val="004D636D"/>
    <w:rsid w:val="004D6EA8"/>
    <w:rsid w:val="004E1354"/>
    <w:rsid w:val="004E4A01"/>
    <w:rsid w:val="004E4CAF"/>
    <w:rsid w:val="004E555E"/>
    <w:rsid w:val="004F7B8F"/>
    <w:rsid w:val="00501BA2"/>
    <w:rsid w:val="00505C3C"/>
    <w:rsid w:val="00505E9A"/>
    <w:rsid w:val="0050630F"/>
    <w:rsid w:val="0051081F"/>
    <w:rsid w:val="00510BC5"/>
    <w:rsid w:val="0051374E"/>
    <w:rsid w:val="00531339"/>
    <w:rsid w:val="005328A8"/>
    <w:rsid w:val="00533B8E"/>
    <w:rsid w:val="005340CE"/>
    <w:rsid w:val="005352AD"/>
    <w:rsid w:val="00537E73"/>
    <w:rsid w:val="00542347"/>
    <w:rsid w:val="00542D74"/>
    <w:rsid w:val="00543C94"/>
    <w:rsid w:val="00545EB2"/>
    <w:rsid w:val="00546B2D"/>
    <w:rsid w:val="00550628"/>
    <w:rsid w:val="00550BD1"/>
    <w:rsid w:val="00550DF4"/>
    <w:rsid w:val="0055316E"/>
    <w:rsid w:val="00554AC8"/>
    <w:rsid w:val="0055784B"/>
    <w:rsid w:val="00561295"/>
    <w:rsid w:val="00561E65"/>
    <w:rsid w:val="00564221"/>
    <w:rsid w:val="0057040A"/>
    <w:rsid w:val="00573841"/>
    <w:rsid w:val="00574442"/>
    <w:rsid w:val="00575EAC"/>
    <w:rsid w:val="00577537"/>
    <w:rsid w:val="0058002A"/>
    <w:rsid w:val="005830EC"/>
    <w:rsid w:val="005836D2"/>
    <w:rsid w:val="00587722"/>
    <w:rsid w:val="005901E3"/>
    <w:rsid w:val="005915F2"/>
    <w:rsid w:val="00592B9D"/>
    <w:rsid w:val="00596DEF"/>
    <w:rsid w:val="005A0872"/>
    <w:rsid w:val="005A13ED"/>
    <w:rsid w:val="005A51EE"/>
    <w:rsid w:val="005A63C3"/>
    <w:rsid w:val="005A7522"/>
    <w:rsid w:val="005B5856"/>
    <w:rsid w:val="005B76D2"/>
    <w:rsid w:val="005C0E08"/>
    <w:rsid w:val="005C2780"/>
    <w:rsid w:val="005C787C"/>
    <w:rsid w:val="005D0CC2"/>
    <w:rsid w:val="005D4545"/>
    <w:rsid w:val="005D6CA7"/>
    <w:rsid w:val="005D779F"/>
    <w:rsid w:val="005F2BC3"/>
    <w:rsid w:val="00600837"/>
    <w:rsid w:val="00604AC2"/>
    <w:rsid w:val="00604FDB"/>
    <w:rsid w:val="006051E3"/>
    <w:rsid w:val="00605EAD"/>
    <w:rsid w:val="00606D3F"/>
    <w:rsid w:val="006109E2"/>
    <w:rsid w:val="006121D0"/>
    <w:rsid w:val="00622FBF"/>
    <w:rsid w:val="00634734"/>
    <w:rsid w:val="00635208"/>
    <w:rsid w:val="00637588"/>
    <w:rsid w:val="0064498C"/>
    <w:rsid w:val="00644BA0"/>
    <w:rsid w:val="0064558E"/>
    <w:rsid w:val="00646C6E"/>
    <w:rsid w:val="00646F97"/>
    <w:rsid w:val="00647F0C"/>
    <w:rsid w:val="00650247"/>
    <w:rsid w:val="00652547"/>
    <w:rsid w:val="006536CA"/>
    <w:rsid w:val="0065465B"/>
    <w:rsid w:val="0066302A"/>
    <w:rsid w:val="006642F3"/>
    <w:rsid w:val="00665B0C"/>
    <w:rsid w:val="00670488"/>
    <w:rsid w:val="00670893"/>
    <w:rsid w:val="00671E58"/>
    <w:rsid w:val="006724FC"/>
    <w:rsid w:val="0067696A"/>
    <w:rsid w:val="006771FA"/>
    <w:rsid w:val="00677284"/>
    <w:rsid w:val="006835D4"/>
    <w:rsid w:val="00686ACB"/>
    <w:rsid w:val="00690A25"/>
    <w:rsid w:val="00691F68"/>
    <w:rsid w:val="0069227E"/>
    <w:rsid w:val="00692C4B"/>
    <w:rsid w:val="0069332D"/>
    <w:rsid w:val="00694DF2"/>
    <w:rsid w:val="0069547B"/>
    <w:rsid w:val="00696EA7"/>
    <w:rsid w:val="00697A06"/>
    <w:rsid w:val="006A0371"/>
    <w:rsid w:val="006A31FC"/>
    <w:rsid w:val="006A3A2D"/>
    <w:rsid w:val="006A4581"/>
    <w:rsid w:val="006A7902"/>
    <w:rsid w:val="006B160B"/>
    <w:rsid w:val="006B1BEF"/>
    <w:rsid w:val="006B22F5"/>
    <w:rsid w:val="006B7695"/>
    <w:rsid w:val="006C2EE5"/>
    <w:rsid w:val="006C6D33"/>
    <w:rsid w:val="006D084F"/>
    <w:rsid w:val="006D16D6"/>
    <w:rsid w:val="006D271E"/>
    <w:rsid w:val="006D3263"/>
    <w:rsid w:val="006D7A2C"/>
    <w:rsid w:val="006E4FA6"/>
    <w:rsid w:val="006E57D5"/>
    <w:rsid w:val="006F3EFB"/>
    <w:rsid w:val="006F781C"/>
    <w:rsid w:val="00701357"/>
    <w:rsid w:val="00706AD0"/>
    <w:rsid w:val="0071093F"/>
    <w:rsid w:val="00711175"/>
    <w:rsid w:val="007134C9"/>
    <w:rsid w:val="007212FE"/>
    <w:rsid w:val="007214F5"/>
    <w:rsid w:val="00723F82"/>
    <w:rsid w:val="007276AB"/>
    <w:rsid w:val="00730693"/>
    <w:rsid w:val="00732779"/>
    <w:rsid w:val="00734AF8"/>
    <w:rsid w:val="00735625"/>
    <w:rsid w:val="00735B22"/>
    <w:rsid w:val="00741A90"/>
    <w:rsid w:val="00741AB9"/>
    <w:rsid w:val="0074371B"/>
    <w:rsid w:val="00743748"/>
    <w:rsid w:val="00743FC3"/>
    <w:rsid w:val="00757ACD"/>
    <w:rsid w:val="00760798"/>
    <w:rsid w:val="007630D9"/>
    <w:rsid w:val="00763375"/>
    <w:rsid w:val="00764057"/>
    <w:rsid w:val="00766C08"/>
    <w:rsid w:val="00766F8E"/>
    <w:rsid w:val="00767372"/>
    <w:rsid w:val="007675D7"/>
    <w:rsid w:val="00775E05"/>
    <w:rsid w:val="00780026"/>
    <w:rsid w:val="00781B56"/>
    <w:rsid w:val="0078288B"/>
    <w:rsid w:val="00784B36"/>
    <w:rsid w:val="0078626D"/>
    <w:rsid w:val="00791468"/>
    <w:rsid w:val="00794768"/>
    <w:rsid w:val="007A1745"/>
    <w:rsid w:val="007A2251"/>
    <w:rsid w:val="007A29AC"/>
    <w:rsid w:val="007A5FEC"/>
    <w:rsid w:val="007B3192"/>
    <w:rsid w:val="007C00A7"/>
    <w:rsid w:val="007C24F5"/>
    <w:rsid w:val="007C443A"/>
    <w:rsid w:val="007C6C56"/>
    <w:rsid w:val="007C7808"/>
    <w:rsid w:val="007D03C3"/>
    <w:rsid w:val="007D1058"/>
    <w:rsid w:val="007D3689"/>
    <w:rsid w:val="007D3D5C"/>
    <w:rsid w:val="007D608E"/>
    <w:rsid w:val="007E1832"/>
    <w:rsid w:val="007E2B63"/>
    <w:rsid w:val="007F1655"/>
    <w:rsid w:val="007F21C3"/>
    <w:rsid w:val="007F5073"/>
    <w:rsid w:val="007F7F51"/>
    <w:rsid w:val="0080062D"/>
    <w:rsid w:val="008026E2"/>
    <w:rsid w:val="00807E8B"/>
    <w:rsid w:val="00810A15"/>
    <w:rsid w:val="008133E6"/>
    <w:rsid w:val="00815FED"/>
    <w:rsid w:val="00817F8A"/>
    <w:rsid w:val="00820ADD"/>
    <w:rsid w:val="00823146"/>
    <w:rsid w:val="008239D0"/>
    <w:rsid w:val="008245E4"/>
    <w:rsid w:val="00830099"/>
    <w:rsid w:val="008300D5"/>
    <w:rsid w:val="008342A1"/>
    <w:rsid w:val="008372D9"/>
    <w:rsid w:val="00837940"/>
    <w:rsid w:val="00840260"/>
    <w:rsid w:val="00840C9B"/>
    <w:rsid w:val="00840CD9"/>
    <w:rsid w:val="00844957"/>
    <w:rsid w:val="00847D02"/>
    <w:rsid w:val="008514B9"/>
    <w:rsid w:val="008526DC"/>
    <w:rsid w:val="0085569A"/>
    <w:rsid w:val="008638DF"/>
    <w:rsid w:val="008713C0"/>
    <w:rsid w:val="008725DA"/>
    <w:rsid w:val="00872D7C"/>
    <w:rsid w:val="00873BBD"/>
    <w:rsid w:val="00874CCD"/>
    <w:rsid w:val="00876957"/>
    <w:rsid w:val="00877979"/>
    <w:rsid w:val="00881BC6"/>
    <w:rsid w:val="00885FE6"/>
    <w:rsid w:val="00887013"/>
    <w:rsid w:val="0089063A"/>
    <w:rsid w:val="00894A13"/>
    <w:rsid w:val="00897654"/>
    <w:rsid w:val="008A0A14"/>
    <w:rsid w:val="008A5694"/>
    <w:rsid w:val="008A6656"/>
    <w:rsid w:val="008A7AC6"/>
    <w:rsid w:val="008B018B"/>
    <w:rsid w:val="008B0D21"/>
    <w:rsid w:val="008B26D0"/>
    <w:rsid w:val="008B2F97"/>
    <w:rsid w:val="008B35D5"/>
    <w:rsid w:val="008B4AA3"/>
    <w:rsid w:val="008C191E"/>
    <w:rsid w:val="008C413D"/>
    <w:rsid w:val="008C602E"/>
    <w:rsid w:val="008C7509"/>
    <w:rsid w:val="008C787B"/>
    <w:rsid w:val="008C7C48"/>
    <w:rsid w:val="008D4894"/>
    <w:rsid w:val="008D4E08"/>
    <w:rsid w:val="008D7303"/>
    <w:rsid w:val="008E327D"/>
    <w:rsid w:val="008E5562"/>
    <w:rsid w:val="00910345"/>
    <w:rsid w:val="00911238"/>
    <w:rsid w:val="0091401F"/>
    <w:rsid w:val="009200AC"/>
    <w:rsid w:val="00920D61"/>
    <w:rsid w:val="00920DB5"/>
    <w:rsid w:val="00922865"/>
    <w:rsid w:val="00924FF0"/>
    <w:rsid w:val="0092534C"/>
    <w:rsid w:val="00933EEF"/>
    <w:rsid w:val="00934EF2"/>
    <w:rsid w:val="00934F26"/>
    <w:rsid w:val="0093524B"/>
    <w:rsid w:val="00935318"/>
    <w:rsid w:val="009362F7"/>
    <w:rsid w:val="009410E4"/>
    <w:rsid w:val="00946251"/>
    <w:rsid w:val="00946E71"/>
    <w:rsid w:val="0095408F"/>
    <w:rsid w:val="00956EC8"/>
    <w:rsid w:val="00957C3C"/>
    <w:rsid w:val="00964950"/>
    <w:rsid w:val="00972BE7"/>
    <w:rsid w:val="00974879"/>
    <w:rsid w:val="00975A18"/>
    <w:rsid w:val="009779D5"/>
    <w:rsid w:val="00981719"/>
    <w:rsid w:val="00983FBD"/>
    <w:rsid w:val="00984978"/>
    <w:rsid w:val="0098538F"/>
    <w:rsid w:val="009877A3"/>
    <w:rsid w:val="00992847"/>
    <w:rsid w:val="0099647D"/>
    <w:rsid w:val="00997008"/>
    <w:rsid w:val="0099708A"/>
    <w:rsid w:val="0099771F"/>
    <w:rsid w:val="009A5318"/>
    <w:rsid w:val="009A5A23"/>
    <w:rsid w:val="009A5DDF"/>
    <w:rsid w:val="009B05CA"/>
    <w:rsid w:val="009B26EB"/>
    <w:rsid w:val="009C0727"/>
    <w:rsid w:val="009C12F3"/>
    <w:rsid w:val="009C24B3"/>
    <w:rsid w:val="009C28F4"/>
    <w:rsid w:val="009C3F11"/>
    <w:rsid w:val="009C5459"/>
    <w:rsid w:val="009C7703"/>
    <w:rsid w:val="009D5E03"/>
    <w:rsid w:val="009E0F89"/>
    <w:rsid w:val="009E3B70"/>
    <w:rsid w:val="009F0958"/>
    <w:rsid w:val="009F157D"/>
    <w:rsid w:val="009F1740"/>
    <w:rsid w:val="009F3CD3"/>
    <w:rsid w:val="009F48DD"/>
    <w:rsid w:val="009F4B7C"/>
    <w:rsid w:val="009F6463"/>
    <w:rsid w:val="00A05A35"/>
    <w:rsid w:val="00A060C6"/>
    <w:rsid w:val="00A066FF"/>
    <w:rsid w:val="00A10122"/>
    <w:rsid w:val="00A114AE"/>
    <w:rsid w:val="00A129AE"/>
    <w:rsid w:val="00A12CE5"/>
    <w:rsid w:val="00A143B2"/>
    <w:rsid w:val="00A17DD7"/>
    <w:rsid w:val="00A227C9"/>
    <w:rsid w:val="00A25A5D"/>
    <w:rsid w:val="00A32E06"/>
    <w:rsid w:val="00A379EC"/>
    <w:rsid w:val="00A40EA9"/>
    <w:rsid w:val="00A42ADE"/>
    <w:rsid w:val="00A43B4B"/>
    <w:rsid w:val="00A44472"/>
    <w:rsid w:val="00A4529B"/>
    <w:rsid w:val="00A504E8"/>
    <w:rsid w:val="00A50F70"/>
    <w:rsid w:val="00A5663D"/>
    <w:rsid w:val="00A5678F"/>
    <w:rsid w:val="00A60063"/>
    <w:rsid w:val="00A67184"/>
    <w:rsid w:val="00A67E25"/>
    <w:rsid w:val="00A74313"/>
    <w:rsid w:val="00A80EF2"/>
    <w:rsid w:val="00A834C9"/>
    <w:rsid w:val="00A87206"/>
    <w:rsid w:val="00A87F2D"/>
    <w:rsid w:val="00A94164"/>
    <w:rsid w:val="00A95B73"/>
    <w:rsid w:val="00A9614D"/>
    <w:rsid w:val="00AA0D75"/>
    <w:rsid w:val="00AA71C5"/>
    <w:rsid w:val="00AB163E"/>
    <w:rsid w:val="00AC0159"/>
    <w:rsid w:val="00AC07D2"/>
    <w:rsid w:val="00AC4AA0"/>
    <w:rsid w:val="00AC694D"/>
    <w:rsid w:val="00AD127D"/>
    <w:rsid w:val="00AD22EC"/>
    <w:rsid w:val="00AD5032"/>
    <w:rsid w:val="00AE1D39"/>
    <w:rsid w:val="00AE46CA"/>
    <w:rsid w:val="00AE482C"/>
    <w:rsid w:val="00AE4967"/>
    <w:rsid w:val="00AE6F24"/>
    <w:rsid w:val="00AF65F0"/>
    <w:rsid w:val="00B07908"/>
    <w:rsid w:val="00B134B0"/>
    <w:rsid w:val="00B14397"/>
    <w:rsid w:val="00B1505B"/>
    <w:rsid w:val="00B23F4D"/>
    <w:rsid w:val="00B25A0F"/>
    <w:rsid w:val="00B25ED3"/>
    <w:rsid w:val="00B26F1C"/>
    <w:rsid w:val="00B26F7C"/>
    <w:rsid w:val="00B27C19"/>
    <w:rsid w:val="00B27D0A"/>
    <w:rsid w:val="00B361B3"/>
    <w:rsid w:val="00B42D69"/>
    <w:rsid w:val="00B455E5"/>
    <w:rsid w:val="00B45FE3"/>
    <w:rsid w:val="00B47C2B"/>
    <w:rsid w:val="00B51D51"/>
    <w:rsid w:val="00B54013"/>
    <w:rsid w:val="00B55AA4"/>
    <w:rsid w:val="00B55AE5"/>
    <w:rsid w:val="00B60978"/>
    <w:rsid w:val="00B60AB1"/>
    <w:rsid w:val="00B60AB6"/>
    <w:rsid w:val="00B60B2D"/>
    <w:rsid w:val="00B63D18"/>
    <w:rsid w:val="00B651F9"/>
    <w:rsid w:val="00B71681"/>
    <w:rsid w:val="00B72AA9"/>
    <w:rsid w:val="00B807A4"/>
    <w:rsid w:val="00B81D2A"/>
    <w:rsid w:val="00B8304E"/>
    <w:rsid w:val="00B84E99"/>
    <w:rsid w:val="00B85BFC"/>
    <w:rsid w:val="00B87E67"/>
    <w:rsid w:val="00B90BAE"/>
    <w:rsid w:val="00B913C5"/>
    <w:rsid w:val="00B91835"/>
    <w:rsid w:val="00B940B2"/>
    <w:rsid w:val="00B977E9"/>
    <w:rsid w:val="00BA05D2"/>
    <w:rsid w:val="00BA597D"/>
    <w:rsid w:val="00BA6B77"/>
    <w:rsid w:val="00BA72EC"/>
    <w:rsid w:val="00BB2648"/>
    <w:rsid w:val="00BB605D"/>
    <w:rsid w:val="00BB6FE9"/>
    <w:rsid w:val="00BC27A0"/>
    <w:rsid w:val="00BD03CD"/>
    <w:rsid w:val="00BD4CDF"/>
    <w:rsid w:val="00BD69DF"/>
    <w:rsid w:val="00BD71CE"/>
    <w:rsid w:val="00BD7497"/>
    <w:rsid w:val="00BE1E6E"/>
    <w:rsid w:val="00BE2E43"/>
    <w:rsid w:val="00BE7BBC"/>
    <w:rsid w:val="00BF38E4"/>
    <w:rsid w:val="00BF3E13"/>
    <w:rsid w:val="00BF5513"/>
    <w:rsid w:val="00C029C8"/>
    <w:rsid w:val="00C03359"/>
    <w:rsid w:val="00C04DF9"/>
    <w:rsid w:val="00C0528B"/>
    <w:rsid w:val="00C053F8"/>
    <w:rsid w:val="00C06DAD"/>
    <w:rsid w:val="00C1087F"/>
    <w:rsid w:val="00C1149F"/>
    <w:rsid w:val="00C11BBF"/>
    <w:rsid w:val="00C12483"/>
    <w:rsid w:val="00C13FB4"/>
    <w:rsid w:val="00C16AEA"/>
    <w:rsid w:val="00C17AC0"/>
    <w:rsid w:val="00C213DC"/>
    <w:rsid w:val="00C259AB"/>
    <w:rsid w:val="00C26692"/>
    <w:rsid w:val="00C31A33"/>
    <w:rsid w:val="00C412FD"/>
    <w:rsid w:val="00C45EFA"/>
    <w:rsid w:val="00C463EC"/>
    <w:rsid w:val="00C47AC8"/>
    <w:rsid w:val="00C500EA"/>
    <w:rsid w:val="00C50790"/>
    <w:rsid w:val="00C52DC8"/>
    <w:rsid w:val="00C5355B"/>
    <w:rsid w:val="00C5664C"/>
    <w:rsid w:val="00C708E9"/>
    <w:rsid w:val="00C75322"/>
    <w:rsid w:val="00C8106E"/>
    <w:rsid w:val="00C818F2"/>
    <w:rsid w:val="00C82183"/>
    <w:rsid w:val="00C83271"/>
    <w:rsid w:val="00C85422"/>
    <w:rsid w:val="00C86250"/>
    <w:rsid w:val="00C867DF"/>
    <w:rsid w:val="00C8687E"/>
    <w:rsid w:val="00C9080F"/>
    <w:rsid w:val="00C945D4"/>
    <w:rsid w:val="00C95894"/>
    <w:rsid w:val="00C96D67"/>
    <w:rsid w:val="00CB1745"/>
    <w:rsid w:val="00CB244F"/>
    <w:rsid w:val="00CB3C4B"/>
    <w:rsid w:val="00CB6EA4"/>
    <w:rsid w:val="00CC1B1E"/>
    <w:rsid w:val="00CC3B7A"/>
    <w:rsid w:val="00CC44D8"/>
    <w:rsid w:val="00CC51AB"/>
    <w:rsid w:val="00CC5B7F"/>
    <w:rsid w:val="00CC7342"/>
    <w:rsid w:val="00CD0ADC"/>
    <w:rsid w:val="00CD7170"/>
    <w:rsid w:val="00CE06DD"/>
    <w:rsid w:val="00CE52EC"/>
    <w:rsid w:val="00CE5ACA"/>
    <w:rsid w:val="00CE6033"/>
    <w:rsid w:val="00CF4073"/>
    <w:rsid w:val="00CF46A7"/>
    <w:rsid w:val="00D0705D"/>
    <w:rsid w:val="00D148FC"/>
    <w:rsid w:val="00D21508"/>
    <w:rsid w:val="00D21C2F"/>
    <w:rsid w:val="00D239ED"/>
    <w:rsid w:val="00D23AD2"/>
    <w:rsid w:val="00D24D38"/>
    <w:rsid w:val="00D32E0B"/>
    <w:rsid w:val="00D33C22"/>
    <w:rsid w:val="00D43593"/>
    <w:rsid w:val="00D44DEA"/>
    <w:rsid w:val="00D464BD"/>
    <w:rsid w:val="00D4663F"/>
    <w:rsid w:val="00D47145"/>
    <w:rsid w:val="00D6004A"/>
    <w:rsid w:val="00D63476"/>
    <w:rsid w:val="00D63706"/>
    <w:rsid w:val="00D6405D"/>
    <w:rsid w:val="00D64649"/>
    <w:rsid w:val="00D65EE0"/>
    <w:rsid w:val="00D67009"/>
    <w:rsid w:val="00D74E87"/>
    <w:rsid w:val="00D771F0"/>
    <w:rsid w:val="00D83FF0"/>
    <w:rsid w:val="00D86D13"/>
    <w:rsid w:val="00D87A99"/>
    <w:rsid w:val="00D9690D"/>
    <w:rsid w:val="00DA3AF2"/>
    <w:rsid w:val="00DA3CC0"/>
    <w:rsid w:val="00DA43EA"/>
    <w:rsid w:val="00DA4679"/>
    <w:rsid w:val="00DA5CDF"/>
    <w:rsid w:val="00DA62F6"/>
    <w:rsid w:val="00DB0BFB"/>
    <w:rsid w:val="00DB113E"/>
    <w:rsid w:val="00DB2B27"/>
    <w:rsid w:val="00DB3816"/>
    <w:rsid w:val="00DB67AC"/>
    <w:rsid w:val="00DB7A16"/>
    <w:rsid w:val="00DC086A"/>
    <w:rsid w:val="00DC2B7B"/>
    <w:rsid w:val="00DC3383"/>
    <w:rsid w:val="00DD17B2"/>
    <w:rsid w:val="00DD3548"/>
    <w:rsid w:val="00DD7728"/>
    <w:rsid w:val="00DE204A"/>
    <w:rsid w:val="00DE277A"/>
    <w:rsid w:val="00DE4C43"/>
    <w:rsid w:val="00DE5441"/>
    <w:rsid w:val="00DE575A"/>
    <w:rsid w:val="00DE6329"/>
    <w:rsid w:val="00DF3F66"/>
    <w:rsid w:val="00E02B3D"/>
    <w:rsid w:val="00E03284"/>
    <w:rsid w:val="00E15B12"/>
    <w:rsid w:val="00E329B4"/>
    <w:rsid w:val="00E33A5B"/>
    <w:rsid w:val="00E37BB8"/>
    <w:rsid w:val="00E40E1D"/>
    <w:rsid w:val="00E4391D"/>
    <w:rsid w:val="00E54A44"/>
    <w:rsid w:val="00E54CF0"/>
    <w:rsid w:val="00E6095C"/>
    <w:rsid w:val="00E700C5"/>
    <w:rsid w:val="00E762E9"/>
    <w:rsid w:val="00E763B8"/>
    <w:rsid w:val="00E771B5"/>
    <w:rsid w:val="00E83967"/>
    <w:rsid w:val="00E83F8B"/>
    <w:rsid w:val="00E844C9"/>
    <w:rsid w:val="00E84E04"/>
    <w:rsid w:val="00E917D4"/>
    <w:rsid w:val="00E927D1"/>
    <w:rsid w:val="00EA0927"/>
    <w:rsid w:val="00EA0B22"/>
    <w:rsid w:val="00EA2BD4"/>
    <w:rsid w:val="00EA650B"/>
    <w:rsid w:val="00EA7842"/>
    <w:rsid w:val="00EB12FB"/>
    <w:rsid w:val="00EB47E1"/>
    <w:rsid w:val="00EB482C"/>
    <w:rsid w:val="00EB5B41"/>
    <w:rsid w:val="00EB5B4E"/>
    <w:rsid w:val="00EC084B"/>
    <w:rsid w:val="00EC16F0"/>
    <w:rsid w:val="00EC4024"/>
    <w:rsid w:val="00EC42A4"/>
    <w:rsid w:val="00EC5AC4"/>
    <w:rsid w:val="00EC5D73"/>
    <w:rsid w:val="00ED230D"/>
    <w:rsid w:val="00EE3DC2"/>
    <w:rsid w:val="00EE4A39"/>
    <w:rsid w:val="00EE5FF7"/>
    <w:rsid w:val="00EE6293"/>
    <w:rsid w:val="00EF7FE2"/>
    <w:rsid w:val="00F00294"/>
    <w:rsid w:val="00F00384"/>
    <w:rsid w:val="00F017EC"/>
    <w:rsid w:val="00F019CA"/>
    <w:rsid w:val="00F0352B"/>
    <w:rsid w:val="00F037D3"/>
    <w:rsid w:val="00F044B0"/>
    <w:rsid w:val="00F10EBD"/>
    <w:rsid w:val="00F148B3"/>
    <w:rsid w:val="00F15AC3"/>
    <w:rsid w:val="00F23007"/>
    <w:rsid w:val="00F23AEC"/>
    <w:rsid w:val="00F263BE"/>
    <w:rsid w:val="00F269F5"/>
    <w:rsid w:val="00F31A59"/>
    <w:rsid w:val="00F40107"/>
    <w:rsid w:val="00F42DFB"/>
    <w:rsid w:val="00F50FC8"/>
    <w:rsid w:val="00F512F5"/>
    <w:rsid w:val="00F53822"/>
    <w:rsid w:val="00F53DC9"/>
    <w:rsid w:val="00F54CFB"/>
    <w:rsid w:val="00F5647D"/>
    <w:rsid w:val="00F57A91"/>
    <w:rsid w:val="00F6224F"/>
    <w:rsid w:val="00F625E2"/>
    <w:rsid w:val="00F62643"/>
    <w:rsid w:val="00F65764"/>
    <w:rsid w:val="00F72BA6"/>
    <w:rsid w:val="00F72CDB"/>
    <w:rsid w:val="00F73D03"/>
    <w:rsid w:val="00F766F8"/>
    <w:rsid w:val="00F878A4"/>
    <w:rsid w:val="00F92C8C"/>
    <w:rsid w:val="00F96CCA"/>
    <w:rsid w:val="00FB0523"/>
    <w:rsid w:val="00FB207E"/>
    <w:rsid w:val="00FB688A"/>
    <w:rsid w:val="00FC1043"/>
    <w:rsid w:val="00FC15BE"/>
    <w:rsid w:val="00FC4918"/>
    <w:rsid w:val="00FC5640"/>
    <w:rsid w:val="00FD18BB"/>
    <w:rsid w:val="00FE0FC4"/>
    <w:rsid w:val="00FE2FF2"/>
    <w:rsid w:val="00FE4DFA"/>
    <w:rsid w:val="00FE6328"/>
    <w:rsid w:val="00FF253B"/>
    <w:rsid w:val="00FF435E"/>
    <w:rsid w:val="00FF5003"/>
    <w:rsid w:val="00FF779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4577"/>
    <o:shapelayout v:ext="edit">
      <o:idmap v:ext="edit" data="1"/>
    </o:shapelayout>
  </w:shapeDefaults>
  <w:decimalSymbol w:val=","/>
  <w:listSeparator w:val=";"/>
  <w14:docId w14:val="31A3AAF2"/>
  <w15:docId w15:val="{4A7B6469-B294-4528-853F-AA62F9212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059C9"/>
    <w:pPr>
      <w:jc w:val="both"/>
    </w:pPr>
    <w:rPr>
      <w:sz w:val="22"/>
      <w:szCs w:val="24"/>
      <w:lang w:eastAsia="en-US"/>
    </w:rPr>
  </w:style>
  <w:style w:type="paragraph" w:styleId="Nadpis1">
    <w:name w:val="heading 1"/>
    <w:basedOn w:val="Normlny"/>
    <w:next w:val="Normlny"/>
    <w:link w:val="Nadpis1Char"/>
    <w:uiPriority w:val="99"/>
    <w:qFormat/>
    <w:rsid w:val="00464FB4"/>
    <w:pPr>
      <w:keepNext/>
      <w:outlineLvl w:val="0"/>
    </w:pPr>
    <w:rPr>
      <w:b/>
      <w:szCs w:val="20"/>
    </w:rPr>
  </w:style>
  <w:style w:type="paragraph" w:styleId="Nadpis2">
    <w:name w:val="heading 2"/>
    <w:basedOn w:val="Normlny"/>
    <w:next w:val="Normlny"/>
    <w:link w:val="Nadpis2Char"/>
    <w:uiPriority w:val="99"/>
    <w:qFormat/>
    <w:rsid w:val="00464FB4"/>
    <w:pPr>
      <w:keepNext/>
      <w:outlineLvl w:val="1"/>
    </w:pPr>
    <w:rPr>
      <w:rFonts w:cs="Arial"/>
      <w:i/>
      <w:iCs/>
      <w:sz w:val="20"/>
    </w:rPr>
  </w:style>
  <w:style w:type="paragraph" w:styleId="Nadpis3">
    <w:name w:val="heading 3"/>
    <w:basedOn w:val="Normlny"/>
    <w:next w:val="Normlny"/>
    <w:link w:val="Nadpis3Char"/>
    <w:uiPriority w:val="99"/>
    <w:qFormat/>
    <w:rsid w:val="00464FB4"/>
    <w:pPr>
      <w:keepNext/>
      <w:ind w:left="720"/>
      <w:outlineLvl w:val="2"/>
    </w:pPr>
    <w:rPr>
      <w:rFonts w:cs="Arial"/>
      <w:i/>
      <w:iCs/>
      <w:sz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823146"/>
    <w:rPr>
      <w:rFonts w:ascii="Cambria" w:hAnsi="Cambria" w:cs="Times New Roman"/>
      <w:b/>
      <w:bCs/>
      <w:kern w:val="32"/>
      <w:sz w:val="32"/>
      <w:szCs w:val="32"/>
      <w:lang w:eastAsia="en-US"/>
    </w:rPr>
  </w:style>
  <w:style w:type="character" w:customStyle="1" w:styleId="Nadpis2Char">
    <w:name w:val="Nadpis 2 Char"/>
    <w:link w:val="Nadpis2"/>
    <w:uiPriority w:val="99"/>
    <w:semiHidden/>
    <w:locked/>
    <w:rsid w:val="00823146"/>
    <w:rPr>
      <w:rFonts w:ascii="Cambria" w:hAnsi="Cambria" w:cs="Times New Roman"/>
      <w:b/>
      <w:bCs/>
      <w:i/>
      <w:iCs/>
      <w:sz w:val="28"/>
      <w:szCs w:val="28"/>
      <w:lang w:eastAsia="en-US"/>
    </w:rPr>
  </w:style>
  <w:style w:type="character" w:customStyle="1" w:styleId="Nadpis3Char">
    <w:name w:val="Nadpis 3 Char"/>
    <w:link w:val="Nadpis3"/>
    <w:uiPriority w:val="99"/>
    <w:semiHidden/>
    <w:locked/>
    <w:rsid w:val="00823146"/>
    <w:rPr>
      <w:rFonts w:ascii="Cambria" w:hAnsi="Cambria" w:cs="Times New Roman"/>
      <w:b/>
      <w:bCs/>
      <w:sz w:val="26"/>
      <w:szCs w:val="26"/>
      <w:lang w:eastAsia="en-US"/>
    </w:rPr>
  </w:style>
  <w:style w:type="paragraph" w:styleId="Textbubliny">
    <w:name w:val="Balloon Text"/>
    <w:basedOn w:val="Normlny"/>
    <w:link w:val="TextbublinyChar"/>
    <w:uiPriority w:val="99"/>
    <w:semiHidden/>
    <w:rsid w:val="00464FB4"/>
    <w:rPr>
      <w:rFonts w:ascii="Tahoma" w:hAnsi="Tahoma" w:cs="Tahoma"/>
      <w:sz w:val="16"/>
      <w:szCs w:val="16"/>
    </w:rPr>
  </w:style>
  <w:style w:type="character" w:customStyle="1" w:styleId="TextbublinyChar">
    <w:name w:val="Text bubliny Char"/>
    <w:link w:val="Textbubliny"/>
    <w:uiPriority w:val="99"/>
    <w:semiHidden/>
    <w:locked/>
    <w:rsid w:val="00823146"/>
    <w:rPr>
      <w:rFonts w:cs="Times New Roman"/>
      <w:sz w:val="2"/>
      <w:lang w:eastAsia="en-US"/>
    </w:rPr>
  </w:style>
  <w:style w:type="paragraph" w:styleId="Zkladntext">
    <w:name w:val="Body Text"/>
    <w:basedOn w:val="Normlny"/>
    <w:link w:val="ZkladntextChar"/>
    <w:uiPriority w:val="99"/>
    <w:rsid w:val="00464FB4"/>
    <w:rPr>
      <w:b/>
      <w:szCs w:val="20"/>
    </w:rPr>
  </w:style>
  <w:style w:type="character" w:customStyle="1" w:styleId="ZkladntextChar">
    <w:name w:val="Základný text Char"/>
    <w:link w:val="Zkladntext"/>
    <w:uiPriority w:val="99"/>
    <w:semiHidden/>
    <w:locked/>
    <w:rsid w:val="00823146"/>
    <w:rPr>
      <w:rFonts w:ascii="Arial" w:hAnsi="Arial" w:cs="Times New Roman"/>
      <w:sz w:val="24"/>
      <w:szCs w:val="24"/>
      <w:lang w:eastAsia="en-US"/>
    </w:rPr>
  </w:style>
  <w:style w:type="paragraph" w:styleId="Pta">
    <w:name w:val="footer"/>
    <w:basedOn w:val="Normlny"/>
    <w:link w:val="PtaChar"/>
    <w:uiPriority w:val="99"/>
    <w:rsid w:val="00464FB4"/>
    <w:pPr>
      <w:tabs>
        <w:tab w:val="center" w:pos="4703"/>
        <w:tab w:val="right" w:pos="9406"/>
      </w:tabs>
    </w:pPr>
  </w:style>
  <w:style w:type="character" w:customStyle="1" w:styleId="PtaChar">
    <w:name w:val="Päta Char"/>
    <w:link w:val="Pta"/>
    <w:uiPriority w:val="99"/>
    <w:locked/>
    <w:rsid w:val="00823146"/>
    <w:rPr>
      <w:rFonts w:ascii="Arial" w:hAnsi="Arial" w:cs="Times New Roman"/>
      <w:sz w:val="24"/>
      <w:szCs w:val="24"/>
      <w:lang w:eastAsia="en-US"/>
    </w:rPr>
  </w:style>
  <w:style w:type="character" w:styleId="slostrany">
    <w:name w:val="page number"/>
    <w:uiPriority w:val="99"/>
    <w:rsid w:val="00464FB4"/>
    <w:rPr>
      <w:rFonts w:cs="Times New Roman"/>
    </w:rPr>
  </w:style>
  <w:style w:type="paragraph" w:styleId="Zkladntext2">
    <w:name w:val="Body Text 2"/>
    <w:basedOn w:val="Normlny"/>
    <w:link w:val="Zkladntext2Char"/>
    <w:uiPriority w:val="99"/>
    <w:rsid w:val="00464FB4"/>
    <w:rPr>
      <w:rFonts w:cs="Arial"/>
      <w:sz w:val="20"/>
    </w:rPr>
  </w:style>
  <w:style w:type="character" w:customStyle="1" w:styleId="Zkladntext2Char">
    <w:name w:val="Základný text 2 Char"/>
    <w:link w:val="Zkladntext2"/>
    <w:uiPriority w:val="99"/>
    <w:semiHidden/>
    <w:locked/>
    <w:rsid w:val="00823146"/>
    <w:rPr>
      <w:rFonts w:ascii="Arial" w:hAnsi="Arial" w:cs="Times New Roman"/>
      <w:sz w:val="24"/>
      <w:szCs w:val="24"/>
      <w:lang w:eastAsia="en-US"/>
    </w:rPr>
  </w:style>
  <w:style w:type="paragraph" w:styleId="Zarkazkladnhotextu">
    <w:name w:val="Body Text Indent"/>
    <w:basedOn w:val="Normlny"/>
    <w:link w:val="ZarkazkladnhotextuChar"/>
    <w:uiPriority w:val="99"/>
    <w:rsid w:val="00464FB4"/>
    <w:pPr>
      <w:ind w:left="720"/>
    </w:pPr>
    <w:rPr>
      <w:rFonts w:cs="Arial"/>
      <w:sz w:val="20"/>
    </w:rPr>
  </w:style>
  <w:style w:type="character" w:customStyle="1" w:styleId="ZarkazkladnhotextuChar">
    <w:name w:val="Zarážka základného textu Char"/>
    <w:link w:val="Zarkazkladnhotextu"/>
    <w:uiPriority w:val="99"/>
    <w:semiHidden/>
    <w:locked/>
    <w:rsid w:val="00823146"/>
    <w:rPr>
      <w:rFonts w:ascii="Arial" w:hAnsi="Arial" w:cs="Times New Roman"/>
      <w:sz w:val="24"/>
      <w:szCs w:val="24"/>
      <w:lang w:eastAsia="en-US"/>
    </w:rPr>
  </w:style>
  <w:style w:type="paragraph" w:styleId="Zkladntext3">
    <w:name w:val="Body Text 3"/>
    <w:basedOn w:val="Normlny"/>
    <w:link w:val="Zkladntext3Char"/>
    <w:uiPriority w:val="99"/>
    <w:rsid w:val="00464FB4"/>
    <w:rPr>
      <w:rFonts w:cs="Arial"/>
      <w:i/>
      <w:iCs/>
      <w:sz w:val="20"/>
    </w:rPr>
  </w:style>
  <w:style w:type="character" w:customStyle="1" w:styleId="Zkladntext3Char">
    <w:name w:val="Základný text 3 Char"/>
    <w:link w:val="Zkladntext3"/>
    <w:uiPriority w:val="99"/>
    <w:semiHidden/>
    <w:locked/>
    <w:rsid w:val="00823146"/>
    <w:rPr>
      <w:rFonts w:ascii="Arial" w:hAnsi="Arial" w:cs="Times New Roman"/>
      <w:sz w:val="16"/>
      <w:szCs w:val="16"/>
      <w:lang w:eastAsia="en-US"/>
    </w:rPr>
  </w:style>
  <w:style w:type="paragraph" w:styleId="Zarkazkladnhotextu2">
    <w:name w:val="Body Text Indent 2"/>
    <w:basedOn w:val="Normlny"/>
    <w:link w:val="Zarkazkladnhotextu2Char"/>
    <w:uiPriority w:val="99"/>
    <w:rsid w:val="00464FB4"/>
    <w:pPr>
      <w:ind w:left="720"/>
    </w:pPr>
    <w:rPr>
      <w:rFonts w:cs="Arial"/>
      <w:i/>
      <w:iCs/>
      <w:sz w:val="20"/>
    </w:rPr>
  </w:style>
  <w:style w:type="character" w:customStyle="1" w:styleId="Zarkazkladnhotextu2Char">
    <w:name w:val="Zarážka základného textu 2 Char"/>
    <w:link w:val="Zarkazkladnhotextu2"/>
    <w:uiPriority w:val="99"/>
    <w:semiHidden/>
    <w:locked/>
    <w:rsid w:val="00823146"/>
    <w:rPr>
      <w:rFonts w:ascii="Arial" w:hAnsi="Arial" w:cs="Times New Roman"/>
      <w:sz w:val="24"/>
      <w:szCs w:val="24"/>
      <w:lang w:eastAsia="en-US"/>
    </w:rPr>
  </w:style>
  <w:style w:type="paragraph" w:customStyle="1" w:styleId="Textvysvtlivky">
    <w:name w:val="Text vysvětlivky"/>
    <w:basedOn w:val="Normlny"/>
    <w:uiPriority w:val="99"/>
    <w:rsid w:val="00464FB4"/>
    <w:rPr>
      <w:sz w:val="20"/>
      <w:szCs w:val="20"/>
      <w:lang w:eastAsia="de-DE"/>
    </w:rPr>
  </w:style>
  <w:style w:type="paragraph" w:styleId="Zarkazkladnhotextu3">
    <w:name w:val="Body Text Indent 3"/>
    <w:basedOn w:val="Normlny"/>
    <w:link w:val="Zarkazkladnhotextu3Char"/>
    <w:uiPriority w:val="99"/>
    <w:rsid w:val="00464FB4"/>
    <w:pPr>
      <w:ind w:left="720"/>
    </w:pPr>
    <w:rPr>
      <w:rFonts w:cs="Arial"/>
      <w:sz w:val="20"/>
      <w:szCs w:val="20"/>
    </w:rPr>
  </w:style>
  <w:style w:type="character" w:customStyle="1" w:styleId="Zarkazkladnhotextu3Char">
    <w:name w:val="Zarážka základného textu 3 Char"/>
    <w:link w:val="Zarkazkladnhotextu3"/>
    <w:uiPriority w:val="99"/>
    <w:semiHidden/>
    <w:locked/>
    <w:rsid w:val="00823146"/>
    <w:rPr>
      <w:rFonts w:ascii="Arial" w:hAnsi="Arial" w:cs="Times New Roman"/>
      <w:sz w:val="16"/>
      <w:szCs w:val="16"/>
      <w:lang w:eastAsia="en-US"/>
    </w:rPr>
  </w:style>
  <w:style w:type="character" w:styleId="Odkaznakomentr">
    <w:name w:val="annotation reference"/>
    <w:uiPriority w:val="99"/>
    <w:semiHidden/>
    <w:rsid w:val="00464FB4"/>
    <w:rPr>
      <w:rFonts w:cs="Times New Roman"/>
      <w:sz w:val="16"/>
    </w:rPr>
  </w:style>
  <w:style w:type="paragraph" w:styleId="Textkomentra">
    <w:name w:val="annotation text"/>
    <w:basedOn w:val="Normlny"/>
    <w:link w:val="TextkomentraChar"/>
    <w:uiPriority w:val="99"/>
    <w:semiHidden/>
    <w:rsid w:val="00464FB4"/>
    <w:rPr>
      <w:sz w:val="20"/>
      <w:szCs w:val="20"/>
    </w:rPr>
  </w:style>
  <w:style w:type="character" w:customStyle="1" w:styleId="TextkomentraChar">
    <w:name w:val="Text komentára Char"/>
    <w:link w:val="Textkomentra"/>
    <w:uiPriority w:val="99"/>
    <w:semiHidden/>
    <w:locked/>
    <w:rsid w:val="00823146"/>
    <w:rPr>
      <w:rFonts w:ascii="Arial" w:hAnsi="Arial" w:cs="Times New Roman"/>
      <w:sz w:val="20"/>
      <w:szCs w:val="20"/>
      <w:lang w:eastAsia="en-US"/>
    </w:rPr>
  </w:style>
  <w:style w:type="paragraph" w:styleId="Predmetkomentra">
    <w:name w:val="annotation subject"/>
    <w:basedOn w:val="Textkomentra"/>
    <w:next w:val="Textkomentra"/>
    <w:link w:val="PredmetkomentraChar"/>
    <w:uiPriority w:val="99"/>
    <w:semiHidden/>
    <w:rsid w:val="00464FB4"/>
    <w:rPr>
      <w:b/>
      <w:bCs/>
    </w:rPr>
  </w:style>
  <w:style w:type="character" w:customStyle="1" w:styleId="PredmetkomentraChar">
    <w:name w:val="Predmet komentára Char"/>
    <w:link w:val="Predmetkomentra"/>
    <w:uiPriority w:val="99"/>
    <w:semiHidden/>
    <w:locked/>
    <w:rsid w:val="00823146"/>
    <w:rPr>
      <w:rFonts w:ascii="Arial" w:hAnsi="Arial" w:cs="Times New Roman"/>
      <w:b/>
      <w:bCs/>
      <w:sz w:val="20"/>
      <w:szCs w:val="20"/>
      <w:lang w:eastAsia="en-US"/>
    </w:rPr>
  </w:style>
  <w:style w:type="paragraph" w:styleId="Hlavika">
    <w:name w:val="header"/>
    <w:basedOn w:val="Normlny"/>
    <w:link w:val="HlavikaChar"/>
    <w:uiPriority w:val="99"/>
    <w:rsid w:val="00226A14"/>
    <w:pPr>
      <w:tabs>
        <w:tab w:val="center" w:pos="4536"/>
        <w:tab w:val="right" w:pos="9072"/>
      </w:tabs>
    </w:pPr>
  </w:style>
  <w:style w:type="character" w:customStyle="1" w:styleId="HlavikaChar">
    <w:name w:val="Hlavička Char"/>
    <w:link w:val="Hlavika"/>
    <w:uiPriority w:val="99"/>
    <w:semiHidden/>
    <w:locked/>
    <w:rsid w:val="00823146"/>
    <w:rPr>
      <w:rFonts w:ascii="Arial" w:hAnsi="Arial" w:cs="Times New Roman"/>
      <w:sz w:val="24"/>
      <w:szCs w:val="24"/>
      <w:lang w:eastAsia="en-US"/>
    </w:rPr>
  </w:style>
  <w:style w:type="paragraph" w:customStyle="1" w:styleId="Revize">
    <w:name w:val="Revize"/>
    <w:hidden/>
    <w:uiPriority w:val="99"/>
    <w:semiHidden/>
    <w:rsid w:val="00F40107"/>
    <w:rPr>
      <w:rFonts w:ascii="Arial" w:hAnsi="Arial"/>
      <w:sz w:val="24"/>
      <w:szCs w:val="24"/>
      <w:lang w:eastAsia="en-US"/>
    </w:rPr>
  </w:style>
  <w:style w:type="paragraph" w:styleId="Revzia">
    <w:name w:val="Revision"/>
    <w:hidden/>
    <w:uiPriority w:val="99"/>
    <w:semiHidden/>
    <w:rsid w:val="00EA0927"/>
    <w:rPr>
      <w:rFonts w:ascii="Arial" w:hAnsi="Arial"/>
      <w:sz w:val="24"/>
      <w:szCs w:val="24"/>
      <w:lang w:eastAsia="en-US"/>
    </w:rPr>
  </w:style>
  <w:style w:type="character" w:styleId="Hypertextovprepojenie">
    <w:name w:val="Hyperlink"/>
    <w:uiPriority w:val="99"/>
    <w:rsid w:val="00C412FD"/>
    <w:rPr>
      <w:rFonts w:cs="Times New Roman"/>
      <w:color w:val="0000FF"/>
      <w:u w:val="single"/>
    </w:rPr>
  </w:style>
  <w:style w:type="character" w:styleId="PouitHypertextovPrepojenie">
    <w:name w:val="FollowedHyperlink"/>
    <w:uiPriority w:val="99"/>
    <w:rsid w:val="00C412FD"/>
    <w:rPr>
      <w:rFonts w:cs="Times New Roman"/>
      <w:color w:val="800080"/>
      <w:u w:val="single"/>
    </w:rPr>
  </w:style>
  <w:style w:type="character" w:styleId="Odkaznapoznmkupodiarou">
    <w:name w:val="footnote reference"/>
    <w:uiPriority w:val="99"/>
    <w:rsid w:val="0091401F"/>
    <w:rPr>
      <w:rFonts w:cs="Times New Roman"/>
      <w:vertAlign w:val="superscript"/>
    </w:rPr>
  </w:style>
  <w:style w:type="paragraph" w:styleId="Odsekzoznamu">
    <w:name w:val="List Paragraph"/>
    <w:basedOn w:val="Normlny"/>
    <w:uiPriority w:val="34"/>
    <w:qFormat/>
    <w:rsid w:val="009A5DDF"/>
    <w:pPr>
      <w:ind w:left="720"/>
      <w:contextualSpacing/>
    </w:pPr>
  </w:style>
  <w:style w:type="character" w:styleId="Siln">
    <w:name w:val="Strong"/>
    <w:basedOn w:val="Predvolenpsmoodseku"/>
    <w:qFormat/>
    <w:locked/>
    <w:rsid w:val="00F31A5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383835">
      <w:marLeft w:val="0"/>
      <w:marRight w:val="0"/>
      <w:marTop w:val="0"/>
      <w:marBottom w:val="0"/>
      <w:divBdr>
        <w:top w:val="none" w:sz="0" w:space="0" w:color="auto"/>
        <w:left w:val="none" w:sz="0" w:space="0" w:color="auto"/>
        <w:bottom w:val="none" w:sz="0" w:space="0" w:color="auto"/>
        <w:right w:val="none" w:sz="0" w:space="0" w:color="auto"/>
      </w:divBdr>
    </w:div>
    <w:div w:id="210248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92459-4C66-4513-8EE7-E8992FE97BD4}">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31755A6-9729-4657-B253-11DE88BC7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8006</Words>
  <Characters>45636</Characters>
  <Application>Microsoft Office Word</Application>
  <DocSecurity>0</DocSecurity>
  <Lines>380</Lines>
  <Paragraphs>107</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Organon Standard SmPc</vt:lpstr>
      <vt:lpstr>Organon Standard SmPc</vt:lpstr>
    </vt:vector>
  </TitlesOfParts>
  <Company>Hewlett-Packard</Company>
  <LinksUpToDate>false</LinksUpToDate>
  <CharactersWithSpaces>53535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Organon Standard SmPc</dc:title>
  <dc:creator>Dana Ťažká</dc:creator>
  <cp:lastModifiedBy>Kristína Ráczová</cp:lastModifiedBy>
  <cp:revision>4</cp:revision>
  <cp:lastPrinted>2013-03-01T07:40:00Z</cp:lastPrinted>
  <dcterms:created xsi:type="dcterms:W3CDTF">2019-03-15T09:48:00Z</dcterms:created>
  <dcterms:modified xsi:type="dcterms:W3CDTF">2019-03-18T11:40:00Z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596bcd93-6b92-4883-a3fe-15ccfa8fc537</vt:lpwstr>
  </property>
  <property fmtid="{D5CDD505-2E9C-101B-9397-08002B2CF9AE}" pid="4" name="bjSaver">
    <vt:lpwstr>KTEuNHwiosozlakBEZdpqYGfkG05MS+t</vt:lpwstr>
  </property>
  <property fmtid="{D5CDD505-2E9C-101B-9397-08002B2CF9AE}" pid="5"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6" name="bjDocumentLabelXML-0">
    <vt:lpwstr>nternal/label"&gt;&lt;element uid="9920fcc9-9f43-4d43-9e3e-b98a219cfd55" value="" /&gt;&lt;/sisl&gt;</vt:lpwstr>
  </property>
  <property fmtid="{D5CDD505-2E9C-101B-9397-08002B2CF9AE}" pid="7" name="bjDocumentSecurityLabel">
    <vt:lpwstr>Not Classified</vt:lpwstr>
  </property>
</Properties>
</file>