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B9B" w:rsidRPr="00155205" w:rsidRDefault="00570B9B" w:rsidP="004731EC">
      <w:pPr>
        <w:jc w:val="center"/>
        <w:rPr>
          <w:rFonts w:ascii="Times New Roman" w:hAnsi="Times New Roman"/>
          <w:b/>
        </w:rPr>
      </w:pPr>
      <w:bookmarkStart w:id="0" w:name="_GoBack"/>
      <w:bookmarkEnd w:id="0"/>
    </w:p>
    <w:p w:rsidR="008811D8" w:rsidRPr="00155205" w:rsidRDefault="008811D8" w:rsidP="004731EC">
      <w:pPr>
        <w:jc w:val="center"/>
        <w:rPr>
          <w:rFonts w:ascii="Times New Roman" w:hAnsi="Times New Roman"/>
          <w:b/>
          <w:noProof/>
          <w:lang w:eastAsia="sk-SK"/>
        </w:rPr>
      </w:pPr>
      <w:r w:rsidRPr="00155205">
        <w:rPr>
          <w:rFonts w:ascii="Times New Roman" w:hAnsi="Times New Roman"/>
          <w:b/>
        </w:rPr>
        <w:t>SÚHRN CHARAKTERISTICKÝCH VLASTNOSTÍ LIEKU</w:t>
      </w: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1.</w:t>
      </w:r>
      <w:r w:rsidRPr="00155205">
        <w:rPr>
          <w:rFonts w:ascii="Times New Roman" w:hAnsi="Times New Roman"/>
          <w:b/>
          <w:noProof/>
          <w:lang w:eastAsia="sk-SK"/>
        </w:rPr>
        <w:tab/>
        <w:t>NÁZOV LIEKU</w:t>
      </w:r>
    </w:p>
    <w:p w:rsidR="00FD2D5B" w:rsidRPr="00155205" w:rsidRDefault="00FD2D5B" w:rsidP="00FD2D5B">
      <w:pPr>
        <w:spacing w:after="0" w:line="240" w:lineRule="auto"/>
        <w:ind w:left="567" w:hanging="567"/>
        <w:rPr>
          <w:rFonts w:ascii="Times New Roman" w:hAnsi="Times New Roman"/>
          <w:noProof/>
          <w:lang w:eastAsia="sk-SK"/>
        </w:rPr>
      </w:pPr>
    </w:p>
    <w:p w:rsidR="00A44FBC" w:rsidRPr="00155205" w:rsidRDefault="00A44FBC"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 xml:space="preserve">Teldipin 40 mg/5 mg tablety </w:t>
      </w:r>
    </w:p>
    <w:p w:rsidR="00A44FBC" w:rsidRPr="00155205" w:rsidRDefault="00A44FBC"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40 mg/10 mg tablety</w:t>
      </w:r>
    </w:p>
    <w:p w:rsidR="00A44FBC" w:rsidRPr="00155205" w:rsidRDefault="00A44FBC"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80 mg/5 mg tablety</w:t>
      </w:r>
    </w:p>
    <w:p w:rsidR="00A44FBC" w:rsidRPr="00155205" w:rsidRDefault="00A44FBC"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80 mg/10 mg tablety</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2.</w:t>
      </w:r>
      <w:r w:rsidRPr="00155205">
        <w:rPr>
          <w:rFonts w:ascii="Times New Roman" w:hAnsi="Times New Roman"/>
          <w:b/>
          <w:noProof/>
          <w:lang w:eastAsia="sk-SK"/>
        </w:rPr>
        <w:tab/>
        <w:t>KVALITATÍVNE A KVANTITATÍVNE ZLOŽENIE</w:t>
      </w:r>
    </w:p>
    <w:p w:rsidR="00FD2D5B" w:rsidRPr="00155205" w:rsidRDefault="00FD2D5B" w:rsidP="00FD2D5B">
      <w:pPr>
        <w:spacing w:after="0" w:line="240" w:lineRule="auto"/>
        <w:ind w:left="567" w:hanging="567"/>
        <w:rPr>
          <w:rFonts w:ascii="Times New Roman" w:hAnsi="Times New Roman"/>
          <w:i/>
          <w:noProof/>
          <w:lang w:eastAsia="sk-SK"/>
        </w:rPr>
      </w:pPr>
    </w:p>
    <w:p w:rsidR="009A41D8" w:rsidRPr="00155205" w:rsidRDefault="009A41D8" w:rsidP="009A41D8">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 xml:space="preserve">Teldipin 40 mg/5 mg tablety </w:t>
      </w:r>
    </w:p>
    <w:p w:rsidR="006C1275" w:rsidRPr="00155205" w:rsidRDefault="006C1275" w:rsidP="006C1275">
      <w:pPr>
        <w:spacing w:after="0" w:line="240" w:lineRule="auto"/>
        <w:rPr>
          <w:rFonts w:ascii="Times New Roman" w:hAnsi="Times New Roman"/>
          <w:noProof/>
          <w:lang w:eastAsia="sk-SK"/>
        </w:rPr>
      </w:pPr>
      <w:r w:rsidRPr="00155205">
        <w:rPr>
          <w:rFonts w:ascii="Times New Roman" w:hAnsi="Times New Roman"/>
          <w:noProof/>
          <w:lang w:eastAsia="sk-SK"/>
        </w:rPr>
        <w:t>Každá tableta obsahuje 40 mg telmisartanu a 5 mg amlodipínu (ako amlodipíniumbesilát).</w:t>
      </w:r>
    </w:p>
    <w:p w:rsidR="006C1275" w:rsidRPr="00155205" w:rsidRDefault="006C1275" w:rsidP="009A41D8">
      <w:pPr>
        <w:spacing w:after="0" w:line="240" w:lineRule="auto"/>
        <w:ind w:left="567" w:hanging="567"/>
        <w:rPr>
          <w:rFonts w:ascii="Times New Roman" w:hAnsi="Times New Roman"/>
          <w:noProof/>
          <w:u w:val="single"/>
          <w:lang w:eastAsia="sk-SK"/>
        </w:rPr>
      </w:pPr>
    </w:p>
    <w:p w:rsidR="009A41D8" w:rsidRPr="00155205" w:rsidRDefault="009A41D8" w:rsidP="009A41D8">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40 mg/10 mg tablety</w:t>
      </w:r>
    </w:p>
    <w:p w:rsidR="006C1275" w:rsidRPr="00155205" w:rsidRDefault="006C1275" w:rsidP="006C1275">
      <w:pPr>
        <w:spacing w:after="0" w:line="240" w:lineRule="auto"/>
        <w:rPr>
          <w:rFonts w:ascii="Times New Roman" w:hAnsi="Times New Roman"/>
          <w:noProof/>
          <w:lang w:eastAsia="sk-SK"/>
        </w:rPr>
      </w:pPr>
      <w:r w:rsidRPr="00155205">
        <w:rPr>
          <w:rFonts w:ascii="Times New Roman" w:hAnsi="Times New Roman"/>
          <w:noProof/>
          <w:lang w:eastAsia="sk-SK"/>
        </w:rPr>
        <w:t>Každá tableta obsahuje 40 mg telmisartanu a 10 mg amlodipínu (ako amlodipíniumbesilát).</w:t>
      </w:r>
    </w:p>
    <w:p w:rsidR="006C1275" w:rsidRPr="00155205" w:rsidRDefault="006C1275" w:rsidP="009A41D8">
      <w:pPr>
        <w:spacing w:after="0" w:line="240" w:lineRule="auto"/>
        <w:ind w:left="567" w:hanging="567"/>
        <w:rPr>
          <w:rFonts w:ascii="Times New Roman" w:hAnsi="Times New Roman"/>
          <w:noProof/>
          <w:u w:val="single"/>
          <w:lang w:eastAsia="sk-SK"/>
        </w:rPr>
      </w:pPr>
    </w:p>
    <w:p w:rsidR="009A41D8" w:rsidRPr="00155205" w:rsidRDefault="009A41D8" w:rsidP="009A41D8">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80 mg/5 mg tablety</w:t>
      </w:r>
    </w:p>
    <w:p w:rsidR="006C1275" w:rsidRPr="00155205" w:rsidRDefault="006C1275" w:rsidP="006C1275">
      <w:pPr>
        <w:spacing w:after="0" w:line="240" w:lineRule="auto"/>
        <w:rPr>
          <w:rFonts w:ascii="Times New Roman" w:hAnsi="Times New Roman"/>
          <w:noProof/>
          <w:lang w:eastAsia="sk-SK"/>
        </w:rPr>
      </w:pPr>
      <w:r w:rsidRPr="00155205">
        <w:rPr>
          <w:rFonts w:ascii="Times New Roman" w:hAnsi="Times New Roman"/>
          <w:noProof/>
          <w:lang w:eastAsia="sk-SK"/>
        </w:rPr>
        <w:t>Každá tableta obsahuje 80 mg telmisartanu a 5 mg amlodipínu (ako amlodipíniumbesilát).</w:t>
      </w:r>
    </w:p>
    <w:p w:rsidR="006C1275" w:rsidRPr="00155205" w:rsidRDefault="006C1275" w:rsidP="009A41D8">
      <w:pPr>
        <w:spacing w:after="0" w:line="240" w:lineRule="auto"/>
        <w:ind w:left="567" w:hanging="567"/>
        <w:rPr>
          <w:rFonts w:ascii="Times New Roman" w:hAnsi="Times New Roman"/>
          <w:noProof/>
          <w:u w:val="single"/>
          <w:lang w:eastAsia="sk-SK"/>
        </w:rPr>
      </w:pPr>
    </w:p>
    <w:p w:rsidR="009A41D8" w:rsidRPr="00155205" w:rsidRDefault="009A41D8" w:rsidP="009A41D8">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80 mg/10 mg tablety</w:t>
      </w:r>
    </w:p>
    <w:p w:rsidR="00FD2D5B" w:rsidRPr="00155205" w:rsidRDefault="002918A4" w:rsidP="00FD2D5B">
      <w:pPr>
        <w:spacing w:after="0" w:line="240" w:lineRule="auto"/>
        <w:rPr>
          <w:rFonts w:ascii="Times New Roman" w:hAnsi="Times New Roman"/>
          <w:noProof/>
          <w:lang w:eastAsia="sk-SK"/>
        </w:rPr>
      </w:pPr>
      <w:r w:rsidRPr="00155205">
        <w:rPr>
          <w:rFonts w:ascii="Times New Roman" w:hAnsi="Times New Roman"/>
          <w:noProof/>
          <w:lang w:eastAsia="sk-SK"/>
        </w:rPr>
        <w:t>Každá tableta obsahuje 80 mg telmisartanu a 10 mg amlodipínu (ako amlodipín</w:t>
      </w:r>
      <w:r w:rsidR="000B1BD6" w:rsidRPr="00155205">
        <w:rPr>
          <w:rFonts w:ascii="Times New Roman" w:hAnsi="Times New Roman"/>
          <w:noProof/>
          <w:lang w:eastAsia="sk-SK"/>
        </w:rPr>
        <w:t>ium</w:t>
      </w:r>
      <w:r w:rsidRPr="00155205">
        <w:rPr>
          <w:rFonts w:ascii="Times New Roman" w:hAnsi="Times New Roman"/>
          <w:noProof/>
          <w:lang w:eastAsia="sk-SK"/>
        </w:rPr>
        <w:t>besilát).</w:t>
      </w:r>
    </w:p>
    <w:p w:rsidR="00FD2D5B" w:rsidRPr="00155205" w:rsidRDefault="00FD2D5B" w:rsidP="00FD2D5B">
      <w:pPr>
        <w:spacing w:after="0" w:line="240" w:lineRule="auto"/>
        <w:rPr>
          <w:rFonts w:ascii="Times New Roman" w:hAnsi="Times New Roman"/>
          <w:noProof/>
          <w:lang w:eastAsia="sk-SK"/>
        </w:rPr>
      </w:pPr>
    </w:p>
    <w:p w:rsidR="006C1275" w:rsidRPr="00155205" w:rsidRDefault="00FD2D5B" w:rsidP="00FD2D5B">
      <w:pPr>
        <w:spacing w:after="0" w:line="240" w:lineRule="auto"/>
        <w:rPr>
          <w:rFonts w:ascii="Times New Roman" w:hAnsi="Times New Roman"/>
          <w:noProof/>
          <w:lang w:eastAsia="sk-SK"/>
        </w:rPr>
      </w:pPr>
      <w:r w:rsidRPr="00155205">
        <w:rPr>
          <w:rFonts w:ascii="Times New Roman" w:hAnsi="Times New Roman"/>
          <w:noProof/>
          <w:u w:val="single"/>
          <w:lang w:eastAsia="sk-SK"/>
        </w:rPr>
        <w:t>Pomocn</w:t>
      </w:r>
      <w:r w:rsidR="006C1275" w:rsidRPr="00155205">
        <w:rPr>
          <w:rFonts w:ascii="Times New Roman" w:hAnsi="Times New Roman"/>
          <w:noProof/>
          <w:u w:val="single"/>
          <w:lang w:eastAsia="sk-SK"/>
        </w:rPr>
        <w:t>é</w:t>
      </w:r>
      <w:r w:rsidRPr="00155205">
        <w:rPr>
          <w:rFonts w:ascii="Times New Roman" w:hAnsi="Times New Roman"/>
          <w:noProof/>
          <w:u w:val="single"/>
          <w:lang w:eastAsia="sk-SK"/>
        </w:rPr>
        <w:t xml:space="preserve"> látk</w:t>
      </w:r>
      <w:r w:rsidR="006C1275" w:rsidRPr="00155205">
        <w:rPr>
          <w:rFonts w:ascii="Times New Roman" w:hAnsi="Times New Roman"/>
          <w:noProof/>
          <w:u w:val="single"/>
          <w:lang w:eastAsia="sk-SK"/>
        </w:rPr>
        <w:t>y</w:t>
      </w:r>
      <w:r w:rsidRPr="00155205">
        <w:rPr>
          <w:rFonts w:ascii="Times New Roman" w:hAnsi="Times New Roman"/>
          <w:noProof/>
          <w:u w:val="single"/>
          <w:lang w:eastAsia="sk-SK"/>
        </w:rPr>
        <w:t xml:space="preserve"> so známym účinkom</w:t>
      </w:r>
      <w:r w:rsidRPr="00155205">
        <w:rPr>
          <w:rFonts w:ascii="Times New Roman" w:hAnsi="Times New Roman"/>
          <w:noProof/>
          <w:lang w:eastAsia="sk-SK"/>
        </w:rPr>
        <w:t xml:space="preserve">: </w:t>
      </w:r>
    </w:p>
    <w:p w:rsidR="006C1275" w:rsidRPr="00155205" w:rsidRDefault="006C1275" w:rsidP="00FD2D5B">
      <w:pPr>
        <w:spacing w:after="0" w:line="240" w:lineRule="auto"/>
        <w:rPr>
          <w:rFonts w:ascii="Times New Roman" w:hAnsi="Times New Roman"/>
          <w:noProof/>
          <w:lang w:eastAsia="sk-SK"/>
        </w:rPr>
      </w:pPr>
    </w:p>
    <w:p w:rsidR="006C1275" w:rsidRPr="00155205" w:rsidRDefault="006C1275" w:rsidP="006C1275">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 xml:space="preserve">Teldipin 40 mg/5 mg tablety </w:t>
      </w:r>
    </w:p>
    <w:p w:rsidR="00A854F0" w:rsidRPr="00155205" w:rsidRDefault="00A854F0" w:rsidP="00A854F0">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Každá tableta obsahuje 57 mg laktózy (ako monohydrát laktózy) a 146,54 mg</w:t>
      </w:r>
      <w:r w:rsidRPr="00155205">
        <w:t xml:space="preserve"> </w:t>
      </w:r>
      <w:r w:rsidRPr="00155205">
        <w:rPr>
          <w:rFonts w:ascii="Times New Roman" w:hAnsi="Times New Roman"/>
          <w:noProof/>
          <w:lang w:eastAsia="sk-SK"/>
        </w:rPr>
        <w:t>sorbitolu.</w:t>
      </w:r>
    </w:p>
    <w:p w:rsidR="00A854F0" w:rsidRPr="00155205" w:rsidRDefault="00A854F0" w:rsidP="006C1275">
      <w:pPr>
        <w:spacing w:after="0" w:line="240" w:lineRule="auto"/>
        <w:ind w:left="567" w:hanging="567"/>
        <w:rPr>
          <w:rFonts w:ascii="Times New Roman" w:hAnsi="Times New Roman"/>
          <w:noProof/>
          <w:u w:val="single"/>
          <w:lang w:eastAsia="sk-SK"/>
        </w:rPr>
      </w:pPr>
    </w:p>
    <w:p w:rsidR="006C1275" w:rsidRPr="00155205" w:rsidRDefault="006C1275" w:rsidP="006C1275">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40 mg/10 mg tablety</w:t>
      </w:r>
    </w:p>
    <w:p w:rsidR="00A854F0" w:rsidRPr="00155205" w:rsidRDefault="00A854F0" w:rsidP="00A854F0">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Každá tableta obsahuje 57 mg laktózy (ako monohydrát laktózy) a 146,54 mg</w:t>
      </w:r>
      <w:r w:rsidRPr="00155205">
        <w:t xml:space="preserve"> </w:t>
      </w:r>
      <w:r w:rsidRPr="00155205">
        <w:rPr>
          <w:rFonts w:ascii="Times New Roman" w:hAnsi="Times New Roman"/>
          <w:noProof/>
          <w:lang w:eastAsia="sk-SK"/>
        </w:rPr>
        <w:t>sorbitolu.</w:t>
      </w:r>
    </w:p>
    <w:p w:rsidR="00A854F0" w:rsidRPr="00155205" w:rsidRDefault="00A854F0" w:rsidP="006C1275">
      <w:pPr>
        <w:spacing w:after="0" w:line="240" w:lineRule="auto"/>
        <w:ind w:left="567" w:hanging="567"/>
        <w:rPr>
          <w:rFonts w:ascii="Times New Roman" w:hAnsi="Times New Roman"/>
          <w:noProof/>
          <w:u w:val="single"/>
          <w:lang w:eastAsia="sk-SK"/>
        </w:rPr>
      </w:pPr>
    </w:p>
    <w:p w:rsidR="006C1275" w:rsidRPr="00155205" w:rsidRDefault="006C1275" w:rsidP="006C1275">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Teldipin 80 mg/5 mg tablety</w:t>
      </w:r>
    </w:p>
    <w:p w:rsidR="00A854F0" w:rsidRPr="00155205" w:rsidRDefault="00A854F0" w:rsidP="00A854F0">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Každá tableta obsahuje 114 mg laktózy (ako monohydrát laktózy) a 293,08 mg sorbitolu.</w:t>
      </w:r>
    </w:p>
    <w:p w:rsidR="00A854F0" w:rsidRPr="00155205" w:rsidRDefault="00A854F0" w:rsidP="006C1275">
      <w:pPr>
        <w:spacing w:after="0" w:line="240" w:lineRule="auto"/>
        <w:ind w:left="567" w:hanging="567"/>
        <w:rPr>
          <w:rFonts w:ascii="Times New Roman" w:hAnsi="Times New Roman"/>
          <w:noProof/>
          <w:lang w:eastAsia="sk-SK"/>
        </w:rPr>
      </w:pPr>
    </w:p>
    <w:p w:rsidR="006C1275" w:rsidRPr="00155205" w:rsidRDefault="006C1275" w:rsidP="006C1275">
      <w:pPr>
        <w:spacing w:after="0" w:line="240" w:lineRule="auto"/>
        <w:ind w:left="567" w:hanging="567"/>
        <w:rPr>
          <w:rFonts w:ascii="Times New Roman" w:hAnsi="Times New Roman"/>
          <w:noProof/>
          <w:lang w:eastAsia="sk-SK"/>
        </w:rPr>
      </w:pPr>
      <w:r w:rsidRPr="00155205">
        <w:rPr>
          <w:rFonts w:ascii="Times New Roman" w:hAnsi="Times New Roman"/>
          <w:noProof/>
          <w:u w:val="single"/>
          <w:lang w:eastAsia="sk-SK"/>
        </w:rPr>
        <w:t>Teldipin 80 mg/10 mg tablety</w:t>
      </w:r>
    </w:p>
    <w:p w:rsidR="00A854F0" w:rsidRPr="00155205" w:rsidRDefault="00A854F0" w:rsidP="00A854F0">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Každá tableta obsahuje 114 mg laktózy (ako monohydrát laktózy) a 293,08 mg sorbitolu.</w:t>
      </w:r>
    </w:p>
    <w:p w:rsidR="00FD2D5B" w:rsidRPr="00155205" w:rsidRDefault="00FD2D5B" w:rsidP="00FD2D5B">
      <w:pPr>
        <w:spacing w:after="0" w:line="240" w:lineRule="auto"/>
        <w:ind w:left="567" w:hanging="567"/>
        <w:rPr>
          <w:rFonts w:ascii="Times New Roman" w:hAnsi="Times New Roman"/>
          <w:lang w:eastAsia="sk-SK"/>
        </w:rPr>
      </w:pPr>
    </w:p>
    <w:p w:rsidR="00FD2D5B" w:rsidRPr="00155205" w:rsidRDefault="00FD2D5B" w:rsidP="00FD2D5B">
      <w:pPr>
        <w:spacing w:after="0" w:line="240" w:lineRule="auto"/>
        <w:ind w:left="567" w:hanging="567"/>
        <w:rPr>
          <w:rFonts w:ascii="Times New Roman" w:hAnsi="Times New Roman"/>
          <w:lang w:eastAsia="sk-SK"/>
        </w:rPr>
      </w:pPr>
      <w:r w:rsidRPr="00155205">
        <w:rPr>
          <w:rFonts w:ascii="Times New Roman" w:hAnsi="Times New Roman"/>
          <w:lang w:eastAsia="sk-SK"/>
        </w:rPr>
        <w:t>Úplný zoznam pomocných látok, pozri časť 6.1.</w:t>
      </w: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caps/>
          <w:noProof/>
          <w:lang w:eastAsia="sk-SK"/>
        </w:rPr>
      </w:pPr>
      <w:r w:rsidRPr="00155205">
        <w:rPr>
          <w:rFonts w:ascii="Times New Roman" w:hAnsi="Times New Roman"/>
          <w:b/>
          <w:noProof/>
          <w:lang w:eastAsia="sk-SK"/>
        </w:rPr>
        <w:t>3.</w:t>
      </w:r>
      <w:r w:rsidRPr="00155205">
        <w:rPr>
          <w:rFonts w:ascii="Times New Roman" w:hAnsi="Times New Roman"/>
          <w:b/>
          <w:noProof/>
          <w:lang w:eastAsia="sk-SK"/>
        </w:rPr>
        <w:tab/>
        <w:t>LIEKOVÁ FORMA</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rPr>
          <w:rFonts w:ascii="Times New Roman" w:hAnsi="Times New Roman"/>
          <w:noProof/>
          <w:lang w:eastAsia="sk-SK"/>
        </w:rPr>
      </w:pPr>
      <w:r w:rsidRPr="00155205">
        <w:rPr>
          <w:rFonts w:ascii="Times New Roman" w:hAnsi="Times New Roman"/>
          <w:noProof/>
          <w:lang w:eastAsia="sk-SK"/>
        </w:rPr>
        <w:t>Tableta</w:t>
      </w:r>
    </w:p>
    <w:p w:rsidR="00350B09" w:rsidRPr="00155205" w:rsidRDefault="00350B09" w:rsidP="00FD2D5B">
      <w:pPr>
        <w:spacing w:after="0" w:line="240" w:lineRule="auto"/>
        <w:rPr>
          <w:rFonts w:ascii="Times New Roman" w:hAnsi="Times New Roman"/>
          <w:noProof/>
          <w:lang w:eastAsia="sk-SK"/>
        </w:rPr>
      </w:pPr>
    </w:p>
    <w:p w:rsidR="00F500E9" w:rsidRPr="00155205" w:rsidRDefault="00A854F0" w:rsidP="00FD2D5B">
      <w:pPr>
        <w:spacing w:after="0" w:line="240" w:lineRule="auto"/>
        <w:rPr>
          <w:rFonts w:ascii="Times New Roman" w:hAnsi="Times New Roman"/>
          <w:noProof/>
          <w:lang w:eastAsia="sk-SK"/>
        </w:rPr>
      </w:pPr>
      <w:r w:rsidRPr="00155205">
        <w:rPr>
          <w:rFonts w:ascii="Times New Roman" w:hAnsi="Times New Roman"/>
          <w:noProof/>
          <w:u w:val="single"/>
          <w:lang w:eastAsia="sk-SK"/>
        </w:rPr>
        <w:t>Teldipin 40 mg/5 mg</w:t>
      </w:r>
      <w:r w:rsidR="00350B09" w:rsidRPr="00155205">
        <w:rPr>
          <w:rFonts w:ascii="Times New Roman" w:hAnsi="Times New Roman"/>
          <w:noProof/>
          <w:lang w:eastAsia="sk-SK"/>
        </w:rPr>
        <w:t xml:space="preserve">: </w:t>
      </w:r>
      <w:r w:rsidRPr="00155205">
        <w:rPr>
          <w:rFonts w:ascii="Times New Roman" w:hAnsi="Times New Roman"/>
          <w:noProof/>
          <w:lang w:eastAsia="sk-SK"/>
        </w:rPr>
        <w:t>Oválne</w:t>
      </w:r>
      <w:r w:rsidR="00350B09" w:rsidRPr="00155205">
        <w:rPr>
          <w:rFonts w:ascii="Times New Roman" w:hAnsi="Times New Roman"/>
          <w:noProof/>
          <w:lang w:eastAsia="sk-SK"/>
        </w:rPr>
        <w:t xml:space="preserve"> </w:t>
      </w:r>
      <w:r w:rsidRPr="00155205">
        <w:rPr>
          <w:rFonts w:ascii="Times New Roman" w:hAnsi="Times New Roman"/>
          <w:noProof/>
          <w:lang w:eastAsia="sk-SK"/>
        </w:rPr>
        <w:t xml:space="preserve">mierne </w:t>
      </w:r>
      <w:r w:rsidR="00350B09" w:rsidRPr="00155205">
        <w:rPr>
          <w:rFonts w:ascii="Times New Roman" w:hAnsi="Times New Roman"/>
          <w:noProof/>
          <w:lang w:eastAsia="sk-SK"/>
        </w:rPr>
        <w:t>bikonvexné</w:t>
      </w:r>
      <w:r w:rsidRPr="00155205">
        <w:rPr>
          <w:rFonts w:ascii="Times New Roman" w:hAnsi="Times New Roman"/>
          <w:noProof/>
          <w:lang w:eastAsia="sk-SK"/>
        </w:rPr>
        <w:t xml:space="preserve"> dvojvrstvové</w:t>
      </w:r>
      <w:r w:rsidR="00350B09" w:rsidRPr="00155205">
        <w:rPr>
          <w:rFonts w:ascii="Times New Roman" w:hAnsi="Times New Roman"/>
          <w:noProof/>
          <w:lang w:eastAsia="sk-SK"/>
        </w:rPr>
        <w:t xml:space="preserve"> tablety</w:t>
      </w:r>
      <w:r w:rsidRPr="00155205">
        <w:rPr>
          <w:rFonts w:ascii="Times New Roman" w:hAnsi="Times New Roman"/>
          <w:noProof/>
          <w:lang w:eastAsia="sk-SK"/>
        </w:rPr>
        <w:t>.</w:t>
      </w:r>
      <w:r w:rsidR="00350B09" w:rsidRPr="00155205">
        <w:rPr>
          <w:rFonts w:ascii="Times New Roman" w:hAnsi="Times New Roman"/>
          <w:noProof/>
          <w:lang w:eastAsia="sk-SK"/>
        </w:rPr>
        <w:t xml:space="preserve"> </w:t>
      </w:r>
      <w:r w:rsidR="002C30A4" w:rsidRPr="00155205">
        <w:rPr>
          <w:rFonts w:ascii="Times New Roman" w:hAnsi="Times New Roman"/>
          <w:noProof/>
          <w:lang w:eastAsia="sk-SK"/>
        </w:rPr>
        <w:t>Jedna strana tablety je hnedo-žltá, mramorovaná. Druhá strana tablety je biela</w:t>
      </w:r>
      <w:r w:rsidR="00F500E9" w:rsidRPr="00155205">
        <w:rPr>
          <w:rFonts w:ascii="Times New Roman" w:hAnsi="Times New Roman"/>
          <w:noProof/>
          <w:lang w:eastAsia="sk-SK"/>
        </w:rPr>
        <w:t xml:space="preserve"> alebo takmer biela</w:t>
      </w:r>
      <w:r w:rsidR="002C30A4" w:rsidRPr="00155205">
        <w:rPr>
          <w:rFonts w:ascii="Times New Roman" w:hAnsi="Times New Roman"/>
          <w:noProof/>
          <w:lang w:eastAsia="sk-SK"/>
        </w:rPr>
        <w:t xml:space="preserve"> s vyrytou značkou K3. </w:t>
      </w:r>
    </w:p>
    <w:p w:rsidR="002C30A4" w:rsidRPr="00155205" w:rsidRDefault="00A854F0" w:rsidP="00FD2D5B">
      <w:pPr>
        <w:spacing w:after="0" w:line="240" w:lineRule="auto"/>
        <w:rPr>
          <w:rFonts w:ascii="Times New Roman" w:hAnsi="Times New Roman"/>
          <w:noProof/>
          <w:lang w:eastAsia="sk-SK"/>
        </w:rPr>
      </w:pPr>
      <w:r w:rsidRPr="00155205">
        <w:rPr>
          <w:rFonts w:ascii="Times New Roman" w:hAnsi="Times New Roman"/>
          <w:noProof/>
          <w:lang w:eastAsia="sk-SK"/>
        </w:rPr>
        <w:t>R</w:t>
      </w:r>
      <w:r w:rsidR="00350B09" w:rsidRPr="00155205">
        <w:rPr>
          <w:rFonts w:ascii="Times New Roman" w:hAnsi="Times New Roman"/>
          <w:noProof/>
          <w:lang w:eastAsia="sk-SK"/>
        </w:rPr>
        <w:t>ozmer</w:t>
      </w:r>
      <w:r w:rsidRPr="00155205">
        <w:rPr>
          <w:rFonts w:ascii="Times New Roman" w:hAnsi="Times New Roman"/>
          <w:noProof/>
          <w:lang w:eastAsia="sk-SK"/>
        </w:rPr>
        <w:t>y tablety</w:t>
      </w:r>
      <w:r w:rsidR="002C30A4" w:rsidRPr="00155205">
        <w:rPr>
          <w:rFonts w:ascii="Times New Roman" w:hAnsi="Times New Roman"/>
          <w:noProof/>
          <w:lang w:eastAsia="sk-SK"/>
        </w:rPr>
        <w:t xml:space="preserve"> </w:t>
      </w:r>
      <w:r w:rsidR="00F500E9" w:rsidRPr="00155205">
        <w:rPr>
          <w:rFonts w:ascii="Times New Roman" w:hAnsi="Times New Roman"/>
          <w:noProof/>
          <w:lang w:eastAsia="sk-SK"/>
        </w:rPr>
        <w:t xml:space="preserve">sú </w:t>
      </w:r>
      <w:r w:rsidR="002C30A4" w:rsidRPr="00155205">
        <w:rPr>
          <w:rFonts w:ascii="Times New Roman" w:hAnsi="Times New Roman"/>
          <w:noProof/>
          <w:lang w:eastAsia="sk-SK"/>
        </w:rPr>
        <w:t>16 mm</w:t>
      </w:r>
      <w:r w:rsidR="00350B09" w:rsidRPr="00155205">
        <w:rPr>
          <w:rFonts w:ascii="Times New Roman" w:hAnsi="Times New Roman"/>
          <w:noProof/>
          <w:lang w:eastAsia="sk-SK"/>
        </w:rPr>
        <w:t xml:space="preserve"> x 8,5 mm. </w:t>
      </w:r>
    </w:p>
    <w:p w:rsidR="002C30A4" w:rsidRPr="00155205" w:rsidRDefault="002C30A4" w:rsidP="00FD2D5B">
      <w:pPr>
        <w:spacing w:after="0" w:line="240" w:lineRule="auto"/>
        <w:rPr>
          <w:rFonts w:ascii="Times New Roman" w:hAnsi="Times New Roman"/>
          <w:noProof/>
          <w:lang w:eastAsia="sk-SK"/>
        </w:rPr>
      </w:pP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u w:val="single"/>
          <w:lang w:eastAsia="sk-SK"/>
        </w:rPr>
        <w:t>Teldipin 40 mg/10 mg:</w:t>
      </w:r>
      <w:r w:rsidRPr="00155205">
        <w:rPr>
          <w:rFonts w:ascii="Times New Roman" w:hAnsi="Times New Roman"/>
          <w:noProof/>
          <w:lang w:eastAsia="sk-SK"/>
        </w:rPr>
        <w:t xml:space="preserve"> Oválne mierne bikonvexné dvojvrstvové tablety. Jedna strana tablety je hnedo-žltá, mramorovaná. Druhá strana tablety je biela alebo takmer biela s vyrytou značkou K2. </w:t>
      </w: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lang w:eastAsia="sk-SK"/>
        </w:rPr>
        <w:t xml:space="preserve">Rozmery tablety sú 16 mm x 8,5 mm. </w:t>
      </w:r>
    </w:p>
    <w:p w:rsidR="00F500E9" w:rsidRPr="00155205" w:rsidRDefault="00F500E9" w:rsidP="00F500E9">
      <w:pPr>
        <w:spacing w:after="0" w:line="240" w:lineRule="auto"/>
        <w:ind w:left="567" w:hanging="567"/>
        <w:rPr>
          <w:rFonts w:ascii="Times New Roman" w:hAnsi="Times New Roman"/>
          <w:noProof/>
          <w:lang w:eastAsia="sk-SK"/>
        </w:rPr>
      </w:pP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u w:val="single"/>
          <w:lang w:eastAsia="sk-SK"/>
        </w:rPr>
        <w:lastRenderedPageBreak/>
        <w:t>Teldipin 80 mg/5 mg</w:t>
      </w:r>
      <w:r w:rsidRPr="00155205">
        <w:rPr>
          <w:rFonts w:ascii="Times New Roman" w:hAnsi="Times New Roman"/>
          <w:noProof/>
          <w:lang w:eastAsia="sk-SK"/>
        </w:rPr>
        <w:t xml:space="preserve">: Oválne mierne bikonvexné dvojvrstvové tablety. Jedna strana tablety je hnedo-žltá, mramorovaná. Druhá strana tablety je biela alebo takmer biela. </w:t>
      </w: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lang w:eastAsia="sk-SK"/>
        </w:rPr>
        <w:t xml:space="preserve">Rozmery tablety sú 18 mm x 9 mm. </w:t>
      </w:r>
    </w:p>
    <w:p w:rsidR="00F500E9" w:rsidRPr="00155205" w:rsidRDefault="00F500E9" w:rsidP="00F500E9">
      <w:pPr>
        <w:spacing w:after="0" w:line="240" w:lineRule="auto"/>
        <w:rPr>
          <w:rFonts w:ascii="Times New Roman" w:hAnsi="Times New Roman"/>
          <w:noProof/>
          <w:lang w:eastAsia="sk-SK"/>
        </w:rPr>
      </w:pP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u w:val="single"/>
          <w:lang w:eastAsia="sk-SK"/>
        </w:rPr>
        <w:t>Teldipin 80 mg/10 mg</w:t>
      </w:r>
      <w:r w:rsidRPr="00155205">
        <w:rPr>
          <w:rFonts w:ascii="Times New Roman" w:hAnsi="Times New Roman"/>
          <w:noProof/>
          <w:lang w:eastAsia="sk-SK"/>
        </w:rPr>
        <w:t xml:space="preserve">: Oválne mierne bikonvexné dvojvrstvové tablety. Jedna strana tablety je hnedo-žltá, mramorovaná. Druhá strana tablety je biela alebo takmer biela s vyrytou značkou K1. </w:t>
      </w:r>
    </w:p>
    <w:p w:rsidR="00F500E9" w:rsidRPr="00155205" w:rsidRDefault="00F500E9" w:rsidP="00F500E9">
      <w:pPr>
        <w:spacing w:after="0" w:line="240" w:lineRule="auto"/>
        <w:rPr>
          <w:rFonts w:ascii="Times New Roman" w:hAnsi="Times New Roman"/>
          <w:noProof/>
          <w:lang w:eastAsia="sk-SK"/>
        </w:rPr>
      </w:pPr>
      <w:r w:rsidRPr="00155205">
        <w:rPr>
          <w:rFonts w:ascii="Times New Roman" w:hAnsi="Times New Roman"/>
          <w:noProof/>
          <w:lang w:eastAsia="sk-SK"/>
        </w:rPr>
        <w:t xml:space="preserve">Rozmery tablety sú 18 mm x 9 mm. </w:t>
      </w:r>
    </w:p>
    <w:p w:rsidR="00F500E9" w:rsidRPr="00155205" w:rsidRDefault="00F500E9" w:rsidP="00FD2D5B">
      <w:pPr>
        <w:spacing w:after="0" w:line="240" w:lineRule="auto"/>
        <w:rPr>
          <w:rFonts w:ascii="Times New Roman" w:hAnsi="Times New Roman"/>
          <w:noProof/>
          <w:lang w:eastAsia="sk-SK"/>
        </w:rPr>
      </w:pP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caps/>
          <w:noProof/>
          <w:lang w:eastAsia="sk-SK"/>
        </w:rPr>
      </w:pPr>
      <w:r w:rsidRPr="00155205">
        <w:rPr>
          <w:rFonts w:ascii="Times New Roman" w:hAnsi="Times New Roman"/>
          <w:b/>
          <w:caps/>
          <w:noProof/>
          <w:lang w:eastAsia="sk-SK"/>
        </w:rPr>
        <w:t>4.</w:t>
      </w:r>
      <w:r w:rsidRPr="00155205">
        <w:rPr>
          <w:rFonts w:ascii="Times New Roman" w:hAnsi="Times New Roman"/>
          <w:b/>
          <w:caps/>
          <w:noProof/>
          <w:lang w:eastAsia="sk-SK"/>
        </w:rPr>
        <w:tab/>
        <w:t>KLINICKÉ ÚDAJE</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4.1</w:t>
      </w:r>
      <w:r w:rsidRPr="00155205">
        <w:rPr>
          <w:rFonts w:ascii="Times New Roman" w:hAnsi="Times New Roman"/>
          <w:b/>
          <w:noProof/>
          <w:lang w:eastAsia="sk-SK"/>
        </w:rPr>
        <w:tab/>
        <w:t>Terapeutické indikácie</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DE36FA" w:rsidP="00FD2D5B">
      <w:pPr>
        <w:spacing w:after="0" w:line="240" w:lineRule="auto"/>
        <w:rPr>
          <w:rFonts w:ascii="Times New Roman" w:hAnsi="Times New Roman"/>
          <w:noProof/>
          <w:lang w:eastAsia="sk-SK"/>
        </w:rPr>
      </w:pPr>
      <w:r w:rsidRPr="00155205">
        <w:rPr>
          <w:rFonts w:ascii="Times New Roman" w:hAnsi="Times New Roman"/>
          <w:lang w:eastAsia="sk-SK"/>
        </w:rPr>
        <w:t>Teldipin</w:t>
      </w:r>
      <w:r w:rsidR="009421CE" w:rsidRPr="00155205">
        <w:rPr>
          <w:rFonts w:ascii="Times New Roman" w:hAnsi="Times New Roman"/>
          <w:lang w:eastAsia="sk-SK"/>
        </w:rPr>
        <w:t xml:space="preserve"> je indikovaný ako substitučná </w:t>
      </w:r>
      <w:r w:rsidR="00CC19E5" w:rsidRPr="00155205">
        <w:rPr>
          <w:rFonts w:ascii="Times New Roman" w:hAnsi="Times New Roman"/>
          <w:lang w:eastAsia="sk-SK"/>
        </w:rPr>
        <w:t xml:space="preserve">terapia na </w:t>
      </w:r>
      <w:r w:rsidR="009421CE" w:rsidRPr="00155205">
        <w:rPr>
          <w:rFonts w:ascii="Times New Roman" w:hAnsi="Times New Roman"/>
          <w:lang w:eastAsia="sk-SK"/>
        </w:rPr>
        <w:t>liečb</w:t>
      </w:r>
      <w:r w:rsidR="00CC19E5" w:rsidRPr="00155205">
        <w:rPr>
          <w:rFonts w:ascii="Times New Roman" w:hAnsi="Times New Roman"/>
          <w:lang w:eastAsia="sk-SK"/>
        </w:rPr>
        <w:t>u</w:t>
      </w:r>
      <w:r w:rsidR="009421CE" w:rsidRPr="00155205">
        <w:rPr>
          <w:rFonts w:ascii="Times New Roman" w:hAnsi="Times New Roman"/>
          <w:lang w:eastAsia="sk-SK"/>
        </w:rPr>
        <w:t xml:space="preserve"> </w:t>
      </w:r>
      <w:r w:rsidR="00CC19E5" w:rsidRPr="00155205">
        <w:rPr>
          <w:rFonts w:ascii="Times New Roman" w:hAnsi="Times New Roman"/>
          <w:lang w:eastAsia="sk-SK"/>
        </w:rPr>
        <w:t>esenciálnej</w:t>
      </w:r>
      <w:r w:rsidR="009421CE" w:rsidRPr="00155205">
        <w:rPr>
          <w:rFonts w:ascii="Times New Roman" w:hAnsi="Times New Roman"/>
          <w:lang w:eastAsia="sk-SK"/>
        </w:rPr>
        <w:t xml:space="preserve"> hypertenzi</w:t>
      </w:r>
      <w:r w:rsidR="00CC19E5" w:rsidRPr="00155205">
        <w:rPr>
          <w:rFonts w:ascii="Times New Roman" w:hAnsi="Times New Roman"/>
          <w:lang w:eastAsia="sk-SK"/>
        </w:rPr>
        <w:t>e pacientom</w:t>
      </w:r>
      <w:r w:rsidR="009421CE" w:rsidRPr="00155205">
        <w:rPr>
          <w:rFonts w:ascii="Times New Roman" w:hAnsi="Times New Roman"/>
          <w:lang w:eastAsia="sk-SK"/>
        </w:rPr>
        <w:t>, ktorých krvný tlak je dostatočne kontrolovaný telmisartan</w:t>
      </w:r>
      <w:r w:rsidR="00CC19E5" w:rsidRPr="00155205">
        <w:rPr>
          <w:rFonts w:ascii="Times New Roman" w:hAnsi="Times New Roman"/>
          <w:lang w:eastAsia="sk-SK"/>
        </w:rPr>
        <w:t>om a amlodipínom</w:t>
      </w:r>
      <w:r w:rsidR="009421CE" w:rsidRPr="00155205">
        <w:t xml:space="preserve"> </w:t>
      </w:r>
      <w:r w:rsidR="009421CE" w:rsidRPr="00155205">
        <w:rPr>
          <w:rFonts w:ascii="Times New Roman" w:hAnsi="Times New Roman"/>
          <w:lang w:eastAsia="sk-SK"/>
        </w:rPr>
        <w:t>podávaný</w:t>
      </w:r>
      <w:r w:rsidR="00CC19E5" w:rsidRPr="00155205">
        <w:rPr>
          <w:rFonts w:ascii="Times New Roman" w:hAnsi="Times New Roman"/>
          <w:lang w:eastAsia="sk-SK"/>
        </w:rPr>
        <w:t>mi</w:t>
      </w:r>
      <w:r w:rsidR="009421CE" w:rsidRPr="00155205">
        <w:rPr>
          <w:rFonts w:ascii="Times New Roman" w:hAnsi="Times New Roman"/>
          <w:lang w:eastAsia="sk-SK"/>
        </w:rPr>
        <w:t xml:space="preserve"> sú</w:t>
      </w:r>
      <w:r w:rsidR="00CC19E5" w:rsidRPr="00155205">
        <w:rPr>
          <w:rFonts w:ascii="Times New Roman" w:hAnsi="Times New Roman"/>
          <w:lang w:eastAsia="sk-SK"/>
        </w:rPr>
        <w:t>bežne</w:t>
      </w:r>
      <w:r w:rsidR="009421CE" w:rsidRPr="00155205">
        <w:rPr>
          <w:rFonts w:ascii="Times New Roman" w:hAnsi="Times New Roman"/>
          <w:lang w:eastAsia="sk-SK"/>
        </w:rPr>
        <w:t xml:space="preserve"> v rovnakých dávkach</w:t>
      </w:r>
      <w:r w:rsidR="00CC19E5" w:rsidRPr="00155205">
        <w:rPr>
          <w:rFonts w:ascii="Times New Roman" w:hAnsi="Times New Roman"/>
          <w:lang w:eastAsia="sk-SK"/>
        </w:rPr>
        <w:t xml:space="preserve"> ako sú v kombinácii</w:t>
      </w:r>
      <w:r w:rsidR="009421CE" w:rsidRPr="00155205">
        <w:rPr>
          <w:rFonts w:ascii="Times New Roman" w:hAnsi="Times New Roman"/>
          <w:lang w:eastAsia="sk-SK"/>
        </w:rPr>
        <w:t>.</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4.2</w:t>
      </w:r>
      <w:r w:rsidRPr="00155205">
        <w:rPr>
          <w:rFonts w:ascii="Times New Roman" w:hAnsi="Times New Roman"/>
          <w:b/>
          <w:noProof/>
          <w:lang w:eastAsia="sk-SK"/>
        </w:rPr>
        <w:tab/>
        <w:t>Dávkovanie a spôsob podávania</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Dávkovanie</w:t>
      </w:r>
    </w:p>
    <w:p w:rsidR="00FD2D5B" w:rsidRPr="00155205" w:rsidRDefault="00FD2D5B" w:rsidP="00FD2D5B">
      <w:pPr>
        <w:spacing w:after="0" w:line="240" w:lineRule="auto"/>
        <w:ind w:left="567" w:hanging="567"/>
        <w:rPr>
          <w:rFonts w:ascii="Times New Roman" w:hAnsi="Times New Roman"/>
          <w:noProof/>
          <w:u w:val="single"/>
          <w:lang w:eastAsia="sk-SK"/>
        </w:rPr>
      </w:pPr>
    </w:p>
    <w:p w:rsidR="00FD2D5B" w:rsidRPr="00155205" w:rsidRDefault="00FD2D5B" w:rsidP="00FD2D5B">
      <w:pPr>
        <w:spacing w:after="0" w:line="240" w:lineRule="auto"/>
        <w:rPr>
          <w:rFonts w:ascii="Times New Roman" w:hAnsi="Times New Roman"/>
          <w:highlight w:val="yellow"/>
          <w:lang w:eastAsia="sk-SK"/>
        </w:rPr>
      </w:pPr>
      <w:r w:rsidRPr="00155205">
        <w:rPr>
          <w:rFonts w:ascii="Times New Roman" w:hAnsi="Times New Roman"/>
          <w:lang w:eastAsia="sk-SK"/>
        </w:rPr>
        <w:t>Odporúčaná dávka</w:t>
      </w:r>
      <w:r w:rsidR="000342E4" w:rsidRPr="00155205">
        <w:rPr>
          <w:rFonts w:ascii="Times New Roman" w:hAnsi="Times New Roman"/>
          <w:lang w:eastAsia="sk-SK"/>
        </w:rPr>
        <w:t xml:space="preserve"> Teldipinu</w:t>
      </w:r>
      <w:r w:rsidRPr="00155205">
        <w:rPr>
          <w:rFonts w:ascii="Times New Roman" w:hAnsi="Times New Roman"/>
          <w:lang w:eastAsia="sk-SK"/>
        </w:rPr>
        <w:t xml:space="preserve"> je </w:t>
      </w:r>
      <w:r w:rsidR="005C42CA" w:rsidRPr="00155205">
        <w:rPr>
          <w:rFonts w:ascii="Times New Roman" w:hAnsi="Times New Roman"/>
          <w:lang w:eastAsia="sk-SK"/>
        </w:rPr>
        <w:t xml:space="preserve">1 tableta </w:t>
      </w:r>
      <w:r w:rsidRPr="00155205">
        <w:rPr>
          <w:rFonts w:ascii="Times New Roman" w:hAnsi="Times New Roman"/>
          <w:lang w:eastAsia="sk-SK"/>
        </w:rPr>
        <w:t>denne.</w:t>
      </w:r>
    </w:p>
    <w:p w:rsidR="00FD2D5B" w:rsidRPr="00155205" w:rsidRDefault="00FD2D5B" w:rsidP="00FD2D5B">
      <w:pPr>
        <w:spacing w:after="0" w:line="240" w:lineRule="auto"/>
        <w:rPr>
          <w:rFonts w:ascii="Times New Roman" w:hAnsi="Times New Roman"/>
          <w:highlight w:val="yellow"/>
          <w:lang w:eastAsia="sk-SK"/>
        </w:rPr>
      </w:pPr>
    </w:p>
    <w:p w:rsidR="000342E4" w:rsidRPr="00155205" w:rsidRDefault="000342E4" w:rsidP="00FD2D5B">
      <w:pPr>
        <w:spacing w:after="0" w:line="240" w:lineRule="auto"/>
        <w:rPr>
          <w:rFonts w:ascii="Times New Roman" w:hAnsi="Times New Roman"/>
          <w:lang w:eastAsia="sk-SK"/>
        </w:rPr>
      </w:pPr>
      <w:r w:rsidRPr="00155205">
        <w:rPr>
          <w:rFonts w:ascii="Times New Roman" w:hAnsi="Times New Roman"/>
          <w:lang w:eastAsia="sk-SK"/>
        </w:rPr>
        <w:t>Fixná kombinácia dávok nie je vhodná na začiatočnú liečbu.</w:t>
      </w:r>
    </w:p>
    <w:p w:rsidR="000342E4" w:rsidRPr="00155205" w:rsidRDefault="000342E4" w:rsidP="00FD2D5B">
      <w:pPr>
        <w:spacing w:after="0" w:line="240" w:lineRule="auto"/>
        <w:rPr>
          <w:rFonts w:ascii="Times New Roman" w:hAnsi="Times New Roman"/>
          <w:highlight w:val="yellow"/>
          <w:lang w:eastAsia="sk-SK"/>
        </w:rPr>
      </w:pPr>
    </w:p>
    <w:p w:rsidR="000342E4" w:rsidRPr="00155205" w:rsidRDefault="000342E4" w:rsidP="000342E4">
      <w:pPr>
        <w:spacing w:after="0" w:line="240" w:lineRule="auto"/>
        <w:rPr>
          <w:rFonts w:ascii="Times New Roman" w:hAnsi="Times New Roman"/>
          <w:lang w:eastAsia="sk-SK"/>
        </w:rPr>
      </w:pPr>
      <w:r w:rsidRPr="00155205">
        <w:rPr>
          <w:rFonts w:ascii="Times New Roman" w:hAnsi="Times New Roman"/>
          <w:lang w:eastAsia="sk-SK"/>
        </w:rPr>
        <w:t>Pred zmenou liečby na Teldipin majú byť pacienti kontrolovaní stabilnými dávkami jednotlivých zložiek užívanými v rovnakom čase. Dávka Teldipinu má byť určená na základe dávok jednotlivých zložiek kombinácie užívaných v čase zmeny liečby.</w:t>
      </w:r>
    </w:p>
    <w:p w:rsidR="000342E4" w:rsidRPr="00155205" w:rsidRDefault="000342E4" w:rsidP="000342E4">
      <w:pPr>
        <w:spacing w:after="0" w:line="240" w:lineRule="auto"/>
        <w:rPr>
          <w:rFonts w:ascii="Times New Roman" w:hAnsi="Times New Roman"/>
          <w:lang w:eastAsia="sk-SK"/>
        </w:rPr>
      </w:pPr>
    </w:p>
    <w:p w:rsidR="00FD2D5B" w:rsidRPr="00155205" w:rsidRDefault="005C42CA" w:rsidP="00912EC0">
      <w:pPr>
        <w:spacing w:after="0" w:line="240" w:lineRule="auto"/>
        <w:rPr>
          <w:rFonts w:ascii="Times New Roman" w:hAnsi="Times New Roman"/>
          <w:lang w:eastAsia="sk-SK"/>
        </w:rPr>
      </w:pPr>
      <w:r w:rsidRPr="00155205">
        <w:rPr>
          <w:rFonts w:ascii="Times New Roman" w:hAnsi="Times New Roman"/>
          <w:lang w:eastAsia="sk-SK"/>
        </w:rPr>
        <w:t xml:space="preserve">Maximálna </w:t>
      </w:r>
      <w:r w:rsidR="000342E4" w:rsidRPr="00155205">
        <w:rPr>
          <w:rFonts w:ascii="Times New Roman" w:hAnsi="Times New Roman"/>
          <w:lang w:eastAsia="sk-SK"/>
        </w:rPr>
        <w:t>denná</w:t>
      </w:r>
      <w:r w:rsidRPr="00155205">
        <w:rPr>
          <w:rFonts w:ascii="Times New Roman" w:hAnsi="Times New Roman"/>
          <w:lang w:eastAsia="sk-SK"/>
        </w:rPr>
        <w:t xml:space="preserve"> </w:t>
      </w:r>
      <w:r w:rsidR="00410093" w:rsidRPr="00155205">
        <w:rPr>
          <w:rFonts w:ascii="Times New Roman" w:hAnsi="Times New Roman"/>
          <w:lang w:eastAsia="sk-SK"/>
        </w:rPr>
        <w:t xml:space="preserve">dávka </w:t>
      </w:r>
      <w:r w:rsidR="000342E4" w:rsidRPr="00155205">
        <w:rPr>
          <w:rFonts w:ascii="Times New Roman" w:hAnsi="Times New Roman"/>
          <w:lang w:eastAsia="sk-SK"/>
        </w:rPr>
        <w:t>amlodipínu je</w:t>
      </w:r>
      <w:r w:rsidR="00410093" w:rsidRPr="00155205">
        <w:rPr>
          <w:rFonts w:ascii="Times New Roman" w:hAnsi="Times New Roman"/>
          <w:lang w:eastAsia="sk-SK"/>
        </w:rPr>
        <w:t xml:space="preserve"> </w:t>
      </w:r>
      <w:r w:rsidRPr="00155205">
        <w:rPr>
          <w:rFonts w:ascii="Times New Roman" w:hAnsi="Times New Roman"/>
          <w:lang w:eastAsia="sk-SK"/>
        </w:rPr>
        <w:t xml:space="preserve">10 mg </w:t>
      </w:r>
      <w:r w:rsidR="000342E4" w:rsidRPr="00155205">
        <w:rPr>
          <w:rFonts w:ascii="Times New Roman" w:hAnsi="Times New Roman"/>
          <w:lang w:eastAsia="sk-SK"/>
        </w:rPr>
        <w:t>a m</w:t>
      </w:r>
      <w:r w:rsidRPr="00155205">
        <w:rPr>
          <w:rFonts w:ascii="Times New Roman" w:hAnsi="Times New Roman"/>
          <w:lang w:eastAsia="sk-SK"/>
        </w:rPr>
        <w:t>aximáln</w:t>
      </w:r>
      <w:r w:rsidR="00BF28E1" w:rsidRPr="00155205">
        <w:rPr>
          <w:rFonts w:ascii="Times New Roman" w:hAnsi="Times New Roman"/>
          <w:lang w:eastAsia="sk-SK"/>
        </w:rPr>
        <w:t>a</w:t>
      </w:r>
      <w:r w:rsidRPr="00155205">
        <w:rPr>
          <w:rFonts w:ascii="Times New Roman" w:hAnsi="Times New Roman"/>
          <w:lang w:eastAsia="sk-SK"/>
        </w:rPr>
        <w:t xml:space="preserve"> denná dávka </w:t>
      </w:r>
      <w:r w:rsidR="00153BC8" w:rsidRPr="00155205">
        <w:rPr>
          <w:rFonts w:ascii="Times New Roman" w:hAnsi="Times New Roman"/>
          <w:lang w:eastAsia="sk-SK"/>
        </w:rPr>
        <w:t>t</w:t>
      </w:r>
      <w:r w:rsidRPr="00155205">
        <w:rPr>
          <w:rFonts w:ascii="Times New Roman" w:hAnsi="Times New Roman"/>
          <w:lang w:eastAsia="sk-SK"/>
        </w:rPr>
        <w:t>elmisartanu je 80.</w:t>
      </w:r>
      <w:r w:rsidR="00FD2D5B" w:rsidRPr="00155205">
        <w:rPr>
          <w:rFonts w:ascii="Times New Roman" w:hAnsi="Times New Roman"/>
          <w:lang w:eastAsia="sk-SK"/>
        </w:rPr>
        <w:t xml:space="preserve"> </w:t>
      </w:r>
    </w:p>
    <w:p w:rsidR="00FD2D5B" w:rsidRPr="00155205" w:rsidRDefault="00FD2D5B" w:rsidP="00FD2D5B">
      <w:pPr>
        <w:spacing w:after="0" w:line="240" w:lineRule="auto"/>
        <w:rPr>
          <w:rFonts w:ascii="Times New Roman" w:hAnsi="Times New Roman"/>
          <w:noProof/>
          <w:lang w:eastAsia="sk-SK"/>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i/>
          <w:iCs/>
          <w:color w:val="000000"/>
        </w:rPr>
        <w:t xml:space="preserve">Osobitné skupiny pacientov </w:t>
      </w:r>
    </w:p>
    <w:p w:rsidR="005C42CA" w:rsidRPr="00155205"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iCs/>
          <w:color w:val="000000"/>
          <w:u w:val="single"/>
        </w:rPr>
        <w:t xml:space="preserve">Starší pacienti </w:t>
      </w:r>
    </w:p>
    <w:p w:rsidR="005C42CA" w:rsidRPr="00155205" w:rsidRDefault="005F11EC"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U</w:t>
      </w:r>
      <w:r w:rsidR="005C42CA" w:rsidRPr="00155205">
        <w:rPr>
          <w:rFonts w:ascii="Times New Roman" w:eastAsia="Times New Roman" w:hAnsi="Times New Roman"/>
          <w:color w:val="000000"/>
        </w:rPr>
        <w:t xml:space="preserve"> starších pacientov</w:t>
      </w:r>
      <w:r w:rsidRPr="00155205">
        <w:rPr>
          <w:rFonts w:ascii="Times New Roman" w:eastAsia="Times New Roman" w:hAnsi="Times New Roman"/>
          <w:color w:val="000000"/>
        </w:rPr>
        <w:t xml:space="preserve"> nie je potrebná úprava dávkovania</w:t>
      </w:r>
      <w:r w:rsidR="000342E4" w:rsidRPr="00155205">
        <w:rPr>
          <w:rFonts w:ascii="Times New Roman" w:eastAsia="Times New Roman" w:hAnsi="Times New Roman"/>
          <w:color w:val="000000"/>
        </w:rPr>
        <w:t>, ale</w:t>
      </w:r>
      <w:r w:rsidR="005C42CA" w:rsidRPr="00155205">
        <w:rPr>
          <w:rFonts w:ascii="Times New Roman" w:eastAsia="Times New Roman" w:hAnsi="Times New Roman"/>
          <w:color w:val="000000"/>
        </w:rPr>
        <w:t xml:space="preserve"> </w:t>
      </w:r>
      <w:r w:rsidR="002B1143" w:rsidRPr="00155205">
        <w:rPr>
          <w:rFonts w:ascii="Times New Roman" w:eastAsia="Times New Roman" w:hAnsi="Times New Roman"/>
          <w:color w:val="000000"/>
        </w:rPr>
        <w:t xml:space="preserve">pri zvyšovaní dávky </w:t>
      </w:r>
      <w:r w:rsidR="000342E4" w:rsidRPr="00155205">
        <w:rPr>
          <w:rFonts w:ascii="Times New Roman" w:eastAsia="Times New Roman" w:hAnsi="Times New Roman"/>
          <w:color w:val="000000"/>
        </w:rPr>
        <w:t xml:space="preserve">je potrebná opatrnosť </w:t>
      </w:r>
      <w:r w:rsidR="002B1143" w:rsidRPr="00155205">
        <w:rPr>
          <w:rFonts w:ascii="Times New Roman" w:eastAsia="Times New Roman" w:hAnsi="Times New Roman"/>
          <w:color w:val="000000"/>
        </w:rPr>
        <w:t xml:space="preserve">(pozri časť 4.4 a 5.2). </w:t>
      </w:r>
    </w:p>
    <w:p w:rsidR="000342E4" w:rsidRPr="00155205" w:rsidRDefault="000342E4" w:rsidP="005C42CA">
      <w:pPr>
        <w:autoSpaceDE w:val="0"/>
        <w:autoSpaceDN w:val="0"/>
        <w:adjustRightInd w:val="0"/>
        <w:spacing w:after="0" w:line="240" w:lineRule="auto"/>
        <w:rPr>
          <w:rFonts w:ascii="Times New Roman" w:eastAsia="Times New Roman" w:hAnsi="Times New Roman"/>
          <w:i/>
          <w:iCs/>
          <w:color w:val="000000"/>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iCs/>
          <w:color w:val="000000"/>
          <w:u w:val="single"/>
        </w:rPr>
        <w:t>Pacienti s po</w:t>
      </w:r>
      <w:r w:rsidR="00AC6A59" w:rsidRPr="00155205">
        <w:rPr>
          <w:rFonts w:ascii="Times New Roman" w:eastAsia="Times New Roman" w:hAnsi="Times New Roman"/>
          <w:iCs/>
          <w:color w:val="000000"/>
          <w:u w:val="single"/>
        </w:rPr>
        <w:t>ruchou</w:t>
      </w:r>
      <w:r w:rsidRPr="00155205">
        <w:rPr>
          <w:rFonts w:ascii="Times New Roman" w:eastAsia="Times New Roman" w:hAnsi="Times New Roman"/>
          <w:iCs/>
          <w:color w:val="000000"/>
          <w:u w:val="single"/>
        </w:rPr>
        <w:t xml:space="preserve"> funkcie obličiek </w:t>
      </w: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U pacientov s miern</w:t>
      </w:r>
      <w:r w:rsidR="00AC6A59" w:rsidRPr="00155205">
        <w:rPr>
          <w:rFonts w:ascii="Times New Roman" w:eastAsia="Times New Roman" w:hAnsi="Times New Roman"/>
          <w:color w:val="000000"/>
        </w:rPr>
        <w:t>ou</w:t>
      </w:r>
      <w:r w:rsidRPr="00155205">
        <w:rPr>
          <w:rFonts w:ascii="Times New Roman" w:eastAsia="Times New Roman" w:hAnsi="Times New Roman"/>
          <w:color w:val="000000"/>
        </w:rPr>
        <w:t xml:space="preserve"> až stredne ťažk</w:t>
      </w:r>
      <w:r w:rsidR="00AC6A59" w:rsidRPr="00155205">
        <w:rPr>
          <w:rFonts w:ascii="Times New Roman" w:eastAsia="Times New Roman" w:hAnsi="Times New Roman"/>
          <w:color w:val="000000"/>
        </w:rPr>
        <w:t>ou</w:t>
      </w:r>
      <w:r w:rsidRPr="00155205">
        <w:rPr>
          <w:rFonts w:ascii="Times New Roman" w:eastAsia="Times New Roman" w:hAnsi="Times New Roman"/>
          <w:color w:val="000000"/>
        </w:rPr>
        <w:t xml:space="preserve"> po</w:t>
      </w:r>
      <w:r w:rsidR="00AC6A59" w:rsidRPr="00155205">
        <w:rPr>
          <w:rFonts w:ascii="Times New Roman" w:eastAsia="Times New Roman" w:hAnsi="Times New Roman"/>
          <w:color w:val="000000"/>
        </w:rPr>
        <w:t>ruchou</w:t>
      </w:r>
      <w:r w:rsidRPr="00155205">
        <w:rPr>
          <w:rFonts w:ascii="Times New Roman" w:eastAsia="Times New Roman" w:hAnsi="Times New Roman"/>
          <w:color w:val="000000"/>
        </w:rPr>
        <w:t xml:space="preserve"> funkcie obličiek sa nevyžaduje úprava dávkovania. U pacientov s ťažk</w:t>
      </w:r>
      <w:r w:rsidR="00CE3FCF" w:rsidRPr="00155205">
        <w:rPr>
          <w:rFonts w:ascii="Times New Roman" w:eastAsia="Times New Roman" w:hAnsi="Times New Roman"/>
          <w:color w:val="000000"/>
        </w:rPr>
        <w:t>ou</w:t>
      </w:r>
      <w:r w:rsidRPr="00155205">
        <w:rPr>
          <w:rFonts w:ascii="Times New Roman" w:eastAsia="Times New Roman" w:hAnsi="Times New Roman"/>
          <w:color w:val="000000"/>
        </w:rPr>
        <w:t xml:space="preserve"> po</w:t>
      </w:r>
      <w:r w:rsidR="00CE3FCF" w:rsidRPr="00155205">
        <w:rPr>
          <w:rFonts w:ascii="Times New Roman" w:eastAsia="Times New Roman" w:hAnsi="Times New Roman"/>
          <w:color w:val="000000"/>
        </w:rPr>
        <w:t>ruchou</w:t>
      </w:r>
      <w:r w:rsidRPr="00155205">
        <w:rPr>
          <w:rFonts w:ascii="Times New Roman" w:eastAsia="Times New Roman" w:hAnsi="Times New Roman"/>
          <w:color w:val="000000"/>
        </w:rPr>
        <w:t xml:space="preserve"> funkcie obličiek alebo s hemodialýzou sú k dispozícii obmedzené skúsenosti. Pri užívaní </w:t>
      </w:r>
      <w:r w:rsidR="00A44FBC" w:rsidRPr="00155205">
        <w:rPr>
          <w:rFonts w:ascii="Times New Roman" w:eastAsia="Times New Roman" w:hAnsi="Times New Roman"/>
          <w:color w:val="000000"/>
        </w:rPr>
        <w:t>T</w:t>
      </w:r>
      <w:r w:rsidR="000342E4" w:rsidRPr="00155205">
        <w:rPr>
          <w:rFonts w:ascii="Times New Roman" w:eastAsia="Times New Roman" w:hAnsi="Times New Roman"/>
          <w:color w:val="000000"/>
        </w:rPr>
        <w:t>eldipinu</w:t>
      </w:r>
      <w:r w:rsidRPr="00155205">
        <w:rPr>
          <w:rFonts w:ascii="Times New Roman" w:eastAsia="Times New Roman" w:hAnsi="Times New Roman"/>
          <w:color w:val="000000"/>
        </w:rPr>
        <w:t xml:space="preserve"> sa odporúča zvýšená opatrnosť</w:t>
      </w:r>
      <w:r w:rsidR="00D44A9E" w:rsidRPr="00155205">
        <w:rPr>
          <w:rFonts w:ascii="Times New Roman" w:eastAsia="Times New Roman" w:hAnsi="Times New Roman"/>
          <w:color w:val="000000"/>
        </w:rPr>
        <w:t>,</w:t>
      </w:r>
      <w:r w:rsidRPr="00155205">
        <w:rPr>
          <w:rFonts w:ascii="Times New Roman" w:eastAsia="Times New Roman" w:hAnsi="Times New Roman"/>
          <w:color w:val="000000"/>
        </w:rPr>
        <w:t xml:space="preserve"> pretože amlodipín ani telmisartan nie sú dial</w:t>
      </w:r>
      <w:r w:rsidR="00260050" w:rsidRPr="00155205">
        <w:rPr>
          <w:rFonts w:ascii="Times New Roman" w:eastAsia="Times New Roman" w:hAnsi="Times New Roman"/>
          <w:color w:val="000000"/>
        </w:rPr>
        <w:t>yzovateľné</w:t>
      </w:r>
      <w:r w:rsidRPr="00155205">
        <w:rPr>
          <w:rFonts w:ascii="Times New Roman" w:eastAsia="Times New Roman" w:hAnsi="Times New Roman"/>
          <w:color w:val="000000"/>
        </w:rPr>
        <w:t xml:space="preserve">. </w:t>
      </w:r>
    </w:p>
    <w:p w:rsidR="005C42CA" w:rsidRPr="00155205"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iCs/>
          <w:color w:val="000000"/>
          <w:u w:val="single"/>
        </w:rPr>
        <w:t>Pacienti s po</w:t>
      </w:r>
      <w:r w:rsidR="00CE3FCF" w:rsidRPr="00155205">
        <w:rPr>
          <w:rFonts w:ascii="Times New Roman" w:eastAsia="Times New Roman" w:hAnsi="Times New Roman"/>
          <w:iCs/>
          <w:color w:val="000000"/>
          <w:u w:val="single"/>
        </w:rPr>
        <w:t>ruchou</w:t>
      </w:r>
      <w:r w:rsidRPr="00155205">
        <w:rPr>
          <w:rFonts w:ascii="Times New Roman" w:eastAsia="Times New Roman" w:hAnsi="Times New Roman"/>
          <w:iCs/>
          <w:color w:val="000000"/>
          <w:u w:val="single"/>
        </w:rPr>
        <w:t xml:space="preserve"> funkcie pečene </w:t>
      </w:r>
    </w:p>
    <w:p w:rsidR="00D70E87" w:rsidRPr="00155205" w:rsidRDefault="00A44FBC" w:rsidP="00D70E87">
      <w:pPr>
        <w:spacing w:after="0" w:line="240" w:lineRule="auto"/>
        <w:rPr>
          <w:rFonts w:ascii="Times New Roman" w:eastAsia="Times New Roman" w:hAnsi="Times New Roman"/>
          <w:color w:val="000000"/>
        </w:rPr>
      </w:pPr>
      <w:r w:rsidRPr="00155205">
        <w:rPr>
          <w:rFonts w:ascii="Times New Roman" w:eastAsia="Times New Roman" w:hAnsi="Times New Roman"/>
          <w:color w:val="000000"/>
        </w:rPr>
        <w:t>T</w:t>
      </w:r>
      <w:r w:rsidR="00D70E87" w:rsidRPr="00155205">
        <w:rPr>
          <w:rFonts w:ascii="Times New Roman" w:eastAsia="Times New Roman" w:hAnsi="Times New Roman"/>
          <w:color w:val="000000"/>
        </w:rPr>
        <w:t>eldipin</w:t>
      </w:r>
      <w:r w:rsidR="00735651" w:rsidRPr="00155205">
        <w:rPr>
          <w:rFonts w:ascii="Times New Roman" w:eastAsia="Times New Roman" w:hAnsi="Times New Roman"/>
          <w:color w:val="000000"/>
        </w:rPr>
        <w:t xml:space="preserve"> </w:t>
      </w:r>
      <w:r w:rsidR="005C42CA" w:rsidRPr="00155205">
        <w:rPr>
          <w:rFonts w:ascii="Times New Roman" w:eastAsia="Times New Roman" w:hAnsi="Times New Roman"/>
          <w:color w:val="000000"/>
        </w:rPr>
        <w:t>je kontraindikovan</w:t>
      </w:r>
      <w:r w:rsidR="00735651" w:rsidRPr="00155205">
        <w:rPr>
          <w:rFonts w:ascii="Times New Roman" w:eastAsia="Times New Roman" w:hAnsi="Times New Roman"/>
          <w:color w:val="000000"/>
        </w:rPr>
        <w:t>ý</w:t>
      </w:r>
      <w:r w:rsidR="005C42CA" w:rsidRPr="00155205">
        <w:rPr>
          <w:rFonts w:ascii="Times New Roman" w:eastAsia="Times New Roman" w:hAnsi="Times New Roman"/>
          <w:color w:val="000000"/>
        </w:rPr>
        <w:t xml:space="preserve"> u pacientov s ťažk</w:t>
      </w:r>
      <w:r w:rsidR="00735651" w:rsidRPr="00155205">
        <w:rPr>
          <w:rFonts w:ascii="Times New Roman" w:eastAsia="Times New Roman" w:hAnsi="Times New Roman"/>
          <w:color w:val="000000"/>
        </w:rPr>
        <w:t>ou</w:t>
      </w:r>
      <w:r w:rsidR="005C42CA" w:rsidRPr="00155205">
        <w:rPr>
          <w:rFonts w:ascii="Times New Roman" w:eastAsia="Times New Roman" w:hAnsi="Times New Roman"/>
          <w:color w:val="000000"/>
        </w:rPr>
        <w:t xml:space="preserve"> po</w:t>
      </w:r>
      <w:r w:rsidR="00735651" w:rsidRPr="00155205">
        <w:rPr>
          <w:rFonts w:ascii="Times New Roman" w:eastAsia="Times New Roman" w:hAnsi="Times New Roman"/>
          <w:color w:val="000000"/>
        </w:rPr>
        <w:t>ruchou</w:t>
      </w:r>
      <w:r w:rsidR="005C42CA" w:rsidRPr="00155205">
        <w:rPr>
          <w:rFonts w:ascii="Times New Roman" w:eastAsia="Times New Roman" w:hAnsi="Times New Roman"/>
          <w:color w:val="000000"/>
        </w:rPr>
        <w:t xml:space="preserve"> funkcie pečene (pozri časť 4.3). </w:t>
      </w:r>
    </w:p>
    <w:p w:rsidR="005C42CA" w:rsidRPr="00155205" w:rsidRDefault="00D70E87" w:rsidP="00D70E87">
      <w:pPr>
        <w:spacing w:after="0" w:line="240" w:lineRule="auto"/>
        <w:rPr>
          <w:rFonts w:ascii="Times New Roman" w:eastAsia="Times New Roman" w:hAnsi="Times New Roman"/>
          <w:color w:val="000000"/>
        </w:rPr>
      </w:pPr>
      <w:r w:rsidRPr="00155205">
        <w:rPr>
          <w:rFonts w:ascii="Times New Roman" w:hAnsi="Times New Roman"/>
        </w:rPr>
        <w:t>U pacientov s miernou až stredne ťažkou poruchou funkcie pečene neboli stanovené odporúčania pre dávkovanie, a preto sa má Teldipin podávať s opatrnosťou. Dávkovanie telmisartanu u týchto pacientov nemá prekročiť 40 mg jedenkrát denne (pozri časť 4.4).</w:t>
      </w:r>
      <w:r w:rsidRPr="00155205">
        <w:rPr>
          <w:rFonts w:ascii="Times New Roman" w:eastAsia="Times New Roman" w:hAnsi="Times New Roman"/>
          <w:color w:val="000000"/>
        </w:rPr>
        <w:t xml:space="preserve"> </w:t>
      </w:r>
    </w:p>
    <w:p w:rsidR="005C42CA" w:rsidRPr="00155205" w:rsidRDefault="005C42CA" w:rsidP="005C42CA">
      <w:pPr>
        <w:autoSpaceDE w:val="0"/>
        <w:autoSpaceDN w:val="0"/>
        <w:adjustRightInd w:val="0"/>
        <w:spacing w:after="0" w:line="240" w:lineRule="auto"/>
        <w:rPr>
          <w:rFonts w:ascii="Times New Roman" w:eastAsia="Times New Roman" w:hAnsi="Times New Roman"/>
          <w:i/>
          <w:iCs/>
          <w:color w:val="000000"/>
        </w:rPr>
      </w:pPr>
    </w:p>
    <w:p w:rsidR="005C42CA" w:rsidRPr="00155205" w:rsidRDefault="00735651"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i/>
          <w:iCs/>
          <w:color w:val="000000"/>
        </w:rPr>
        <w:t>Pediatrická populácia</w:t>
      </w:r>
      <w:r w:rsidR="005C42CA" w:rsidRPr="00155205">
        <w:rPr>
          <w:rFonts w:ascii="Times New Roman" w:eastAsia="Times New Roman" w:hAnsi="Times New Roman"/>
          <w:i/>
          <w:iCs/>
          <w:color w:val="000000"/>
        </w:rPr>
        <w:t xml:space="preserve"> </w:t>
      </w: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 xml:space="preserve">Bezpečnosť a účinnosť </w:t>
      </w:r>
      <w:r w:rsidR="00D70E87" w:rsidRPr="00155205">
        <w:rPr>
          <w:rFonts w:ascii="Times New Roman" w:eastAsia="Times New Roman" w:hAnsi="Times New Roman"/>
          <w:color w:val="000000"/>
        </w:rPr>
        <w:t>telmisartanu/amlodipínu</w:t>
      </w:r>
      <w:r w:rsidRPr="00155205">
        <w:rPr>
          <w:rFonts w:ascii="Times New Roman" w:eastAsia="Times New Roman" w:hAnsi="Times New Roman"/>
          <w:color w:val="000000"/>
        </w:rPr>
        <w:t xml:space="preserve"> u detí mladších ako 18 rokov neboli doteraz stanovené. K dispozícii nie sú žiadne údaje. </w:t>
      </w: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p>
    <w:p w:rsidR="005C42CA" w:rsidRPr="00155205" w:rsidRDefault="005C42CA" w:rsidP="005C42CA">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color w:val="000000"/>
          <w:u w:val="single"/>
        </w:rPr>
        <w:t>Spôsob pod</w:t>
      </w:r>
      <w:r w:rsidR="00D70E87" w:rsidRPr="00155205">
        <w:rPr>
          <w:rFonts w:ascii="Times New Roman" w:eastAsia="Times New Roman" w:hAnsi="Times New Roman"/>
          <w:color w:val="000000"/>
          <w:u w:val="single"/>
        </w:rPr>
        <w:t>áv</w:t>
      </w:r>
      <w:r w:rsidRPr="00155205">
        <w:rPr>
          <w:rFonts w:ascii="Times New Roman" w:eastAsia="Times New Roman" w:hAnsi="Times New Roman"/>
          <w:color w:val="000000"/>
          <w:u w:val="single"/>
        </w:rPr>
        <w:t xml:space="preserve">ania </w:t>
      </w:r>
    </w:p>
    <w:p w:rsidR="00D70E87" w:rsidRPr="00155205" w:rsidRDefault="00D70E87" w:rsidP="005C42CA">
      <w:pPr>
        <w:autoSpaceDE w:val="0"/>
        <w:autoSpaceDN w:val="0"/>
        <w:adjustRightInd w:val="0"/>
        <w:spacing w:after="0" w:line="240" w:lineRule="auto"/>
        <w:rPr>
          <w:rFonts w:ascii="Times New Roman" w:eastAsia="Times New Roman" w:hAnsi="Times New Roman"/>
          <w:color w:val="000000"/>
        </w:rPr>
      </w:pPr>
    </w:p>
    <w:p w:rsidR="00FD2D5B" w:rsidRPr="00155205" w:rsidRDefault="00A44FBC" w:rsidP="002B1143">
      <w:pPr>
        <w:spacing w:after="0" w:line="240" w:lineRule="auto"/>
        <w:rPr>
          <w:rFonts w:ascii="Times New Roman" w:hAnsi="Times New Roman"/>
          <w:noProof/>
          <w:lang w:eastAsia="sk-SK"/>
        </w:rPr>
      </w:pPr>
      <w:r w:rsidRPr="00155205">
        <w:rPr>
          <w:rFonts w:ascii="Times New Roman" w:eastAsia="Times New Roman" w:hAnsi="Times New Roman"/>
          <w:color w:val="000000"/>
        </w:rPr>
        <w:lastRenderedPageBreak/>
        <w:t>T</w:t>
      </w:r>
      <w:r w:rsidR="00D70E87" w:rsidRPr="00155205">
        <w:rPr>
          <w:rFonts w:ascii="Times New Roman" w:eastAsia="Times New Roman" w:hAnsi="Times New Roman"/>
          <w:color w:val="000000"/>
        </w:rPr>
        <w:t>eldipin</w:t>
      </w:r>
      <w:r w:rsidR="005C42CA" w:rsidRPr="00155205">
        <w:rPr>
          <w:rFonts w:ascii="Times New Roman" w:eastAsia="Times New Roman" w:hAnsi="Times New Roman"/>
          <w:color w:val="000000"/>
        </w:rPr>
        <w:t xml:space="preserve"> sa môže </w:t>
      </w:r>
      <w:r w:rsidR="00E51227" w:rsidRPr="00155205">
        <w:rPr>
          <w:rFonts w:ascii="Times New Roman" w:eastAsia="Times New Roman" w:hAnsi="Times New Roman"/>
          <w:color w:val="000000"/>
        </w:rPr>
        <w:t>užívať</w:t>
      </w:r>
      <w:r w:rsidR="005C42CA" w:rsidRPr="00155205">
        <w:rPr>
          <w:rFonts w:ascii="Times New Roman" w:eastAsia="Times New Roman" w:hAnsi="Times New Roman"/>
          <w:color w:val="000000"/>
        </w:rPr>
        <w:t xml:space="preserve"> s jedlom alebo bez jedla. </w:t>
      </w:r>
      <w:r w:rsidR="00D70E87" w:rsidRPr="00155205">
        <w:rPr>
          <w:rFonts w:ascii="Times New Roman" w:eastAsia="Times New Roman" w:hAnsi="Times New Roman"/>
          <w:color w:val="000000"/>
        </w:rPr>
        <w:t>Teldipin sa o</w:t>
      </w:r>
      <w:r w:rsidR="005C42CA" w:rsidRPr="00155205">
        <w:rPr>
          <w:rFonts w:ascii="Times New Roman" w:eastAsia="Times New Roman" w:hAnsi="Times New Roman"/>
          <w:color w:val="000000"/>
        </w:rPr>
        <w:t xml:space="preserve">dporúča </w:t>
      </w:r>
      <w:r w:rsidR="00E51227" w:rsidRPr="00155205">
        <w:rPr>
          <w:rFonts w:ascii="Times New Roman" w:eastAsia="Times New Roman" w:hAnsi="Times New Roman"/>
          <w:color w:val="000000"/>
        </w:rPr>
        <w:t>užíva</w:t>
      </w:r>
      <w:r w:rsidR="005C42CA" w:rsidRPr="00155205">
        <w:rPr>
          <w:rFonts w:ascii="Times New Roman" w:eastAsia="Times New Roman" w:hAnsi="Times New Roman"/>
          <w:color w:val="000000"/>
        </w:rPr>
        <w:t xml:space="preserve">ť s </w:t>
      </w:r>
      <w:r w:rsidR="00E51227" w:rsidRPr="00155205">
        <w:rPr>
          <w:rFonts w:ascii="Times New Roman" w:eastAsia="Times New Roman" w:hAnsi="Times New Roman"/>
          <w:color w:val="000000"/>
        </w:rPr>
        <w:t>dostatočným</w:t>
      </w:r>
      <w:r w:rsidR="005C42CA" w:rsidRPr="00155205">
        <w:rPr>
          <w:rFonts w:ascii="Times New Roman" w:eastAsia="Times New Roman" w:hAnsi="Times New Roman"/>
          <w:color w:val="000000"/>
        </w:rPr>
        <w:t xml:space="preserve"> množstvom tekutiny. </w:t>
      </w: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rPr>
          <w:rFonts w:ascii="Times New Roman" w:hAnsi="Times New Roman"/>
          <w:noProof/>
          <w:lang w:eastAsia="sk-SK"/>
        </w:rPr>
      </w:pPr>
      <w:r w:rsidRPr="00155205">
        <w:rPr>
          <w:rFonts w:ascii="Times New Roman" w:hAnsi="Times New Roman"/>
          <w:b/>
          <w:noProof/>
          <w:lang w:eastAsia="sk-SK"/>
        </w:rPr>
        <w:t>4.3</w:t>
      </w:r>
      <w:r w:rsidRPr="00155205">
        <w:rPr>
          <w:rFonts w:ascii="Times New Roman" w:hAnsi="Times New Roman"/>
          <w:b/>
          <w:noProof/>
          <w:lang w:eastAsia="sk-SK"/>
        </w:rPr>
        <w:tab/>
        <w:t>Kontraindikácie</w:t>
      </w:r>
    </w:p>
    <w:p w:rsidR="00FD2D5B" w:rsidRPr="00155205" w:rsidRDefault="00FD2D5B" w:rsidP="00FD2D5B">
      <w:pPr>
        <w:spacing w:after="0" w:line="240" w:lineRule="auto"/>
        <w:ind w:left="567" w:hanging="567"/>
        <w:rPr>
          <w:rFonts w:ascii="Times New Roman" w:hAnsi="Times New Roman"/>
          <w:b/>
          <w:noProof/>
          <w:lang w:eastAsia="sk-SK"/>
        </w:rPr>
      </w:pPr>
    </w:p>
    <w:p w:rsidR="00FD2D5B" w:rsidRPr="00155205" w:rsidRDefault="00FD2D5B" w:rsidP="002453CF">
      <w:pPr>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Precitlivenosť na liečivá alebo na ktorúkoľvek z pomocných látok uvedených v časti 6.1</w:t>
      </w:r>
      <w:r w:rsidR="00E51227" w:rsidRPr="00155205">
        <w:rPr>
          <w:rFonts w:ascii="Times New Roman" w:hAnsi="Times New Roman"/>
          <w:lang w:eastAsia="sk-SK"/>
        </w:rPr>
        <w:t>.</w:t>
      </w:r>
    </w:p>
    <w:p w:rsidR="00E51227" w:rsidRPr="00155205" w:rsidRDefault="00E51227"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Druhý a tretí trimester gravidity (pozri časti 4.4 a 4.6).</w:t>
      </w:r>
    </w:p>
    <w:p w:rsidR="00E51227" w:rsidRPr="00155205" w:rsidRDefault="00E51227"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 xml:space="preserve">Obštrukčné poruchy žlčových ciest. </w:t>
      </w:r>
    </w:p>
    <w:p w:rsidR="00E51227" w:rsidRPr="00155205" w:rsidRDefault="00E51227"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Ťažká porucha funkcie pečene</w:t>
      </w:r>
      <w:r w:rsidR="008E6A75" w:rsidRPr="00155205">
        <w:rPr>
          <w:rFonts w:ascii="Times New Roman" w:hAnsi="Times New Roman"/>
          <w:lang w:eastAsia="sk-SK"/>
        </w:rPr>
        <w:t>.</w:t>
      </w:r>
    </w:p>
    <w:p w:rsidR="008E6A75" w:rsidRPr="00155205" w:rsidRDefault="008E6A75"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Závažná hypotenzia.</w:t>
      </w:r>
    </w:p>
    <w:p w:rsidR="008E6A75" w:rsidRPr="00155205" w:rsidRDefault="008E6A75"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Šok (vrátane kardiogénneho šoku).</w:t>
      </w:r>
    </w:p>
    <w:p w:rsidR="00FD2D5B" w:rsidRPr="00155205" w:rsidRDefault="00FD2D5B" w:rsidP="002453CF">
      <w:pPr>
        <w:pStyle w:val="Odsekzoznamu"/>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 xml:space="preserve">Obštrukcia </w:t>
      </w:r>
      <w:r w:rsidR="008E6A75" w:rsidRPr="00155205">
        <w:rPr>
          <w:rFonts w:ascii="Times New Roman" w:hAnsi="Times New Roman"/>
          <w:lang w:eastAsia="sk-SK"/>
        </w:rPr>
        <w:t>výtokovej časti</w:t>
      </w:r>
      <w:r w:rsidRPr="00155205">
        <w:rPr>
          <w:rFonts w:ascii="Times New Roman" w:hAnsi="Times New Roman"/>
          <w:lang w:eastAsia="sk-SK"/>
        </w:rPr>
        <w:t xml:space="preserve"> ľavej srdcovej komory (napr. vysoký stupeň aortálnej stenózy)</w:t>
      </w:r>
      <w:r w:rsidR="008E6A75" w:rsidRPr="00155205">
        <w:rPr>
          <w:rFonts w:ascii="Times New Roman" w:hAnsi="Times New Roman"/>
          <w:lang w:eastAsia="sk-SK"/>
        </w:rPr>
        <w:t>.</w:t>
      </w:r>
    </w:p>
    <w:p w:rsidR="001E472E" w:rsidRPr="00155205" w:rsidRDefault="00FD2D5B" w:rsidP="001E472E">
      <w:pPr>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Hemodynamicky nestabilné srdcové zlyhanie po akútnom infarkte myokardu</w:t>
      </w:r>
      <w:r w:rsidR="008E6A75" w:rsidRPr="00155205">
        <w:rPr>
          <w:rFonts w:ascii="Times New Roman" w:hAnsi="Times New Roman"/>
          <w:lang w:eastAsia="sk-SK"/>
        </w:rPr>
        <w:t>.</w:t>
      </w:r>
      <w:r w:rsidR="001E472E" w:rsidRPr="00155205">
        <w:rPr>
          <w:rFonts w:ascii="Times New Roman" w:hAnsi="Times New Roman"/>
          <w:lang w:eastAsia="sk-SK"/>
        </w:rPr>
        <w:t xml:space="preserve"> </w:t>
      </w:r>
    </w:p>
    <w:p w:rsidR="00FD2D5B" w:rsidRPr="00155205" w:rsidRDefault="00FD2D5B" w:rsidP="00D54C1A">
      <w:pPr>
        <w:numPr>
          <w:ilvl w:val="0"/>
          <w:numId w:val="18"/>
        </w:numPr>
        <w:spacing w:after="0" w:line="240" w:lineRule="auto"/>
        <w:ind w:left="567" w:hanging="567"/>
        <w:rPr>
          <w:rFonts w:ascii="Times New Roman" w:hAnsi="Times New Roman"/>
          <w:lang w:eastAsia="sk-SK"/>
        </w:rPr>
      </w:pPr>
      <w:r w:rsidRPr="00155205">
        <w:rPr>
          <w:rFonts w:ascii="Times New Roman" w:hAnsi="Times New Roman"/>
          <w:lang w:eastAsia="sk-SK"/>
        </w:rPr>
        <w:t xml:space="preserve">Súbežné </w:t>
      </w:r>
      <w:r w:rsidR="00D44A9E" w:rsidRPr="00155205">
        <w:rPr>
          <w:rFonts w:ascii="Times New Roman" w:hAnsi="Times New Roman"/>
          <w:lang w:eastAsia="sk-SK"/>
        </w:rPr>
        <w:t>užívanie</w:t>
      </w:r>
      <w:r w:rsidRPr="00155205">
        <w:rPr>
          <w:rFonts w:ascii="Times New Roman" w:hAnsi="Times New Roman"/>
          <w:lang w:eastAsia="sk-SK"/>
        </w:rPr>
        <w:t xml:space="preserve"> </w:t>
      </w:r>
      <w:r w:rsidR="00A44FBC" w:rsidRPr="00155205">
        <w:rPr>
          <w:rFonts w:ascii="Times New Roman" w:hAnsi="Times New Roman"/>
          <w:lang w:eastAsia="sk-SK"/>
        </w:rPr>
        <w:t>T</w:t>
      </w:r>
      <w:r w:rsidR="001E472E" w:rsidRPr="00155205">
        <w:rPr>
          <w:rFonts w:ascii="Times New Roman" w:hAnsi="Times New Roman"/>
          <w:lang w:eastAsia="sk-SK"/>
        </w:rPr>
        <w:t>eldipinu</w:t>
      </w:r>
      <w:r w:rsidRPr="00155205">
        <w:rPr>
          <w:rFonts w:ascii="Times New Roman" w:hAnsi="Times New Roman"/>
          <w:lang w:eastAsia="sk-SK"/>
        </w:rPr>
        <w:t xml:space="preserve"> s</w:t>
      </w:r>
      <w:r w:rsidR="008E6A75" w:rsidRPr="00155205">
        <w:rPr>
          <w:rFonts w:ascii="Times New Roman" w:hAnsi="Times New Roman"/>
          <w:lang w:eastAsia="sk-SK"/>
        </w:rPr>
        <w:t xml:space="preserve"> liekmi obsahujúcimi </w:t>
      </w:r>
      <w:r w:rsidRPr="00155205">
        <w:rPr>
          <w:rFonts w:ascii="Times New Roman" w:hAnsi="Times New Roman"/>
          <w:lang w:eastAsia="sk-SK"/>
        </w:rPr>
        <w:t>aliskir</w:t>
      </w:r>
      <w:r w:rsidR="008E6A75" w:rsidRPr="00155205">
        <w:rPr>
          <w:rFonts w:ascii="Times New Roman" w:hAnsi="Times New Roman"/>
          <w:lang w:eastAsia="sk-SK"/>
        </w:rPr>
        <w:t>é</w:t>
      </w:r>
      <w:r w:rsidRPr="00155205">
        <w:rPr>
          <w:rFonts w:ascii="Times New Roman" w:hAnsi="Times New Roman"/>
          <w:lang w:eastAsia="sk-SK"/>
        </w:rPr>
        <w:t xml:space="preserve">n </w:t>
      </w:r>
      <w:r w:rsidR="008E6A75" w:rsidRPr="00155205">
        <w:rPr>
          <w:rFonts w:ascii="Times New Roman" w:hAnsi="Times New Roman"/>
          <w:lang w:eastAsia="sk-SK"/>
        </w:rPr>
        <w:t xml:space="preserve">je kontraindikované </w:t>
      </w:r>
      <w:r w:rsidRPr="00155205">
        <w:rPr>
          <w:rFonts w:ascii="Times New Roman" w:hAnsi="Times New Roman"/>
          <w:lang w:eastAsia="sk-SK"/>
        </w:rPr>
        <w:t>u pacientov s diabetom mellitus alebo poruchou funkcie obličiek (GFR ˂ 60 ml/min/1,73 m</w:t>
      </w:r>
      <w:r w:rsidRPr="00155205">
        <w:rPr>
          <w:rFonts w:ascii="Times New Roman" w:hAnsi="Times New Roman"/>
          <w:vertAlign w:val="superscript"/>
          <w:lang w:eastAsia="sk-SK"/>
        </w:rPr>
        <w:t>2</w:t>
      </w:r>
      <w:r w:rsidRPr="00155205">
        <w:rPr>
          <w:rFonts w:ascii="Times New Roman" w:hAnsi="Times New Roman"/>
          <w:lang w:eastAsia="sk-SK"/>
        </w:rPr>
        <w:t>) (pozri časti 4.5 a 5.1</w:t>
      </w:r>
      <w:r w:rsidR="008E6A75" w:rsidRPr="00155205">
        <w:rPr>
          <w:rFonts w:ascii="Times New Roman" w:hAnsi="Times New Roman"/>
          <w:lang w:eastAsia="sk-SK"/>
        </w:rPr>
        <w:t>).</w:t>
      </w:r>
    </w:p>
    <w:p w:rsidR="00FD2D5B" w:rsidRPr="00155205" w:rsidRDefault="00FD2D5B" w:rsidP="00FD2D5B">
      <w:pPr>
        <w:spacing w:after="0" w:line="240" w:lineRule="auto"/>
        <w:rPr>
          <w:rFonts w:ascii="Times New Roman" w:hAnsi="Times New Roman"/>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4.4</w:t>
      </w:r>
      <w:r w:rsidRPr="00155205">
        <w:rPr>
          <w:rFonts w:ascii="Times New Roman" w:hAnsi="Times New Roman"/>
          <w:b/>
          <w:noProof/>
          <w:lang w:eastAsia="sk-SK"/>
        </w:rPr>
        <w:tab/>
        <w:t>Osobitné upozornenia a opatrenia pri používaní</w:t>
      </w:r>
    </w:p>
    <w:p w:rsidR="008E6A75" w:rsidRPr="00155205" w:rsidRDefault="008E6A75" w:rsidP="00FD2D5B">
      <w:pPr>
        <w:spacing w:after="0" w:line="240" w:lineRule="auto"/>
        <w:ind w:left="567" w:hanging="567"/>
        <w:rPr>
          <w:rFonts w:ascii="Times New Roman" w:hAnsi="Times New Roman"/>
          <w:noProof/>
          <w:highlight w:val="yellow"/>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Gravidita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Antagonisty receptora angiotenzínu II (AIIRA) sa nemajú začať podávať počas gravidity. Pokiaľ nie je pokračovanie liečby antagonistami receptora angiotenzínu II považované za nevyhnutné, pacientky, ktoré plánujú graviditu</w:t>
      </w:r>
      <w:r w:rsidR="00410093"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majú pre</w:t>
      </w:r>
      <w:r w:rsidR="00B65233" w:rsidRPr="00155205">
        <w:rPr>
          <w:rFonts w:ascii="Times New Roman" w:eastAsia="Times New Roman" w:hAnsi="Times New Roman"/>
          <w:lang w:eastAsia="sk-SK"/>
        </w:rPr>
        <w:t>j</w:t>
      </w:r>
      <w:r w:rsidRPr="00155205">
        <w:rPr>
          <w:rFonts w:ascii="Times New Roman" w:eastAsia="Times New Roman" w:hAnsi="Times New Roman"/>
          <w:lang w:eastAsia="sk-SK"/>
        </w:rPr>
        <w:t xml:space="preserve">sť na </w:t>
      </w:r>
      <w:r w:rsidR="00B65233" w:rsidRPr="00155205">
        <w:rPr>
          <w:rFonts w:ascii="Times New Roman" w:eastAsia="Times New Roman" w:hAnsi="Times New Roman"/>
          <w:lang w:eastAsia="sk-SK"/>
        </w:rPr>
        <w:t>inú</w:t>
      </w:r>
      <w:r w:rsidRPr="00155205">
        <w:rPr>
          <w:rFonts w:ascii="Times New Roman" w:eastAsia="Times New Roman" w:hAnsi="Times New Roman"/>
          <w:lang w:eastAsia="sk-SK"/>
        </w:rPr>
        <w:t xml:space="preserve"> antihypertenz</w:t>
      </w:r>
      <w:r w:rsidR="00B65233" w:rsidRPr="00155205">
        <w:rPr>
          <w:rFonts w:ascii="Times New Roman" w:eastAsia="Times New Roman" w:hAnsi="Times New Roman"/>
          <w:lang w:eastAsia="sk-SK"/>
        </w:rPr>
        <w:t>ívnu</w:t>
      </w:r>
      <w:r w:rsidRPr="00155205">
        <w:rPr>
          <w:rFonts w:ascii="Times New Roman" w:eastAsia="Times New Roman" w:hAnsi="Times New Roman"/>
          <w:lang w:eastAsia="sk-SK"/>
        </w:rPr>
        <w:t xml:space="preserve"> liečbu, ktorá má preukázaný bezpečnostný profil pri používaní v gravidite. Ak sa gravidita potvrdí, liečba antagonistami receptora angiotenzínu II sa musí okamžite ukončiť a ak je vhodné, má sa začať alternatívna liečba (pozri časti 4.3 a 4.6).</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Porucha funkcie pečene</w:t>
      </w:r>
    </w:p>
    <w:p w:rsidR="00697A84"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w:t>
      </w:r>
      <w:r w:rsidR="00410093" w:rsidRPr="00155205">
        <w:rPr>
          <w:rFonts w:ascii="Times New Roman" w:eastAsia="Times New Roman" w:hAnsi="Times New Roman"/>
          <w:lang w:eastAsia="sk-SK"/>
        </w:rPr>
        <w:t>dipin</w:t>
      </w:r>
      <w:r w:rsidRPr="00155205">
        <w:rPr>
          <w:rFonts w:ascii="Times New Roman" w:eastAsia="Times New Roman" w:hAnsi="Times New Roman"/>
          <w:lang w:eastAsia="sk-SK"/>
        </w:rPr>
        <w:t xml:space="preserve"> sa nemá podávať pacientom s cholestázou, obštrukčnými žlčovými poruchami alebo ťažkou poruchou funkcie pečene (pozri časť 4.3), pretože telmisartan sa prevažne vylučuje žlčou. U týchto pacientov možno očakávať znížený hepatálny klírens telmisartanu. </w:t>
      </w:r>
    </w:p>
    <w:p w:rsidR="00697A84" w:rsidRPr="00155205" w:rsidRDefault="00697A84"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Polčas amlodipínu je predĺžený a hodnoty AUC sú vyššie u pacientov s poruchou funkcie pečene; odporúčania pre dávkovanie neboli stanovené.</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w:t>
      </w:r>
      <w:r w:rsidR="00697A84" w:rsidRPr="00155205">
        <w:rPr>
          <w:rFonts w:ascii="Times New Roman" w:eastAsia="Times New Roman" w:hAnsi="Times New Roman"/>
          <w:lang w:eastAsia="sk-SK"/>
        </w:rPr>
        <w:t>dipin</w:t>
      </w:r>
      <w:r w:rsidRPr="00155205">
        <w:rPr>
          <w:rFonts w:ascii="Times New Roman" w:eastAsia="Times New Roman" w:hAnsi="Times New Roman"/>
          <w:lang w:eastAsia="sk-SK"/>
        </w:rPr>
        <w:t xml:space="preserve"> sa má </w:t>
      </w:r>
      <w:r w:rsidR="00697A84" w:rsidRPr="00155205">
        <w:rPr>
          <w:rFonts w:ascii="Times New Roman" w:eastAsia="Times New Roman" w:hAnsi="Times New Roman"/>
          <w:lang w:eastAsia="sk-SK"/>
        </w:rPr>
        <w:t xml:space="preserve">preto </w:t>
      </w:r>
      <w:r w:rsidRPr="00155205">
        <w:rPr>
          <w:rFonts w:ascii="Times New Roman" w:eastAsia="Times New Roman" w:hAnsi="Times New Roman"/>
          <w:lang w:eastAsia="sk-SK"/>
        </w:rPr>
        <w:t>používať len s opatrnosťou u pacientov s miernou až stredne ťažkou poruchou funkcie pečene.</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Renovaskulárna hypertenzia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U pacientov s bilaterálnou stenózou renálnej artérie alebo stenózou artérie jednej funkčnej obličky, ktorí sa liečia liekmi pôsobia</w:t>
      </w:r>
      <w:r w:rsidR="00C86908" w:rsidRPr="00155205">
        <w:rPr>
          <w:rFonts w:ascii="Times New Roman" w:eastAsia="Times New Roman" w:hAnsi="Times New Roman"/>
          <w:lang w:eastAsia="sk-SK"/>
        </w:rPr>
        <w:t>cimi</w:t>
      </w:r>
      <w:r w:rsidRPr="00155205">
        <w:rPr>
          <w:rFonts w:ascii="Times New Roman" w:eastAsia="Times New Roman" w:hAnsi="Times New Roman"/>
          <w:lang w:eastAsia="sk-SK"/>
        </w:rPr>
        <w:t xml:space="preserve"> na</w:t>
      </w:r>
      <w:r w:rsidR="008142E7" w:rsidRPr="00155205">
        <w:rPr>
          <w:rFonts w:ascii="Times New Roman" w:eastAsia="Times New Roman" w:hAnsi="Times New Roman"/>
          <w:lang w:eastAsia="sk-SK"/>
        </w:rPr>
        <w:t xml:space="preserve"> systém</w:t>
      </w:r>
      <w:r w:rsidRPr="00155205">
        <w:rPr>
          <w:rFonts w:ascii="Times New Roman" w:eastAsia="Times New Roman" w:hAnsi="Times New Roman"/>
          <w:lang w:eastAsia="sk-SK"/>
        </w:rPr>
        <w:t xml:space="preserve"> renín-angiotenzín-aldosterón, je zvýšené riziko ťažkej hypotenzie a renálnej insuficiencie.</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Porucha funkcie obličiek a transplantácia obličky</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Ak sa </w:t>
      </w:r>
      <w:r w:rsidR="00EC7807" w:rsidRPr="00155205">
        <w:rPr>
          <w:rFonts w:ascii="Times New Roman" w:eastAsia="Times New Roman" w:hAnsi="Times New Roman"/>
          <w:lang w:eastAsia="sk-SK"/>
        </w:rPr>
        <w:t>t</w:t>
      </w:r>
      <w:r w:rsidRPr="00155205">
        <w:rPr>
          <w:rFonts w:ascii="Times New Roman" w:eastAsia="Times New Roman" w:hAnsi="Times New Roman"/>
          <w:lang w:eastAsia="sk-SK"/>
        </w:rPr>
        <w:t>elmisartan</w:t>
      </w:r>
      <w:r w:rsidR="00410093" w:rsidRPr="00155205">
        <w:rPr>
          <w:rFonts w:ascii="Times New Roman" w:eastAsia="Times New Roman" w:hAnsi="Times New Roman"/>
          <w:lang w:eastAsia="sk-SK"/>
        </w:rPr>
        <w:t>/amlodipín</w:t>
      </w:r>
      <w:r w:rsidRPr="00155205">
        <w:rPr>
          <w:rFonts w:ascii="Times New Roman" w:eastAsia="Times New Roman" w:hAnsi="Times New Roman"/>
          <w:lang w:eastAsia="sk-SK"/>
        </w:rPr>
        <w:t xml:space="preserve"> používa u pacientov s poruchou funkcie obličiek, odporúča sa pravidelné  sledovanie hladín sérového draslíka a kreatinínu. Nie sú žiadne skúsenosti s podávaním telmisartanu</w:t>
      </w:r>
      <w:r w:rsidR="000267EB" w:rsidRPr="00155205">
        <w:rPr>
          <w:rFonts w:ascii="Times New Roman" w:eastAsia="Times New Roman" w:hAnsi="Times New Roman"/>
          <w:lang w:eastAsia="sk-SK"/>
        </w:rPr>
        <w:t>/amlodipínu</w:t>
      </w:r>
      <w:r w:rsidRPr="00155205">
        <w:rPr>
          <w:rFonts w:ascii="Times New Roman" w:eastAsia="Times New Roman" w:hAnsi="Times New Roman"/>
          <w:lang w:eastAsia="sk-SK"/>
        </w:rPr>
        <w:t xml:space="preserve"> pacientom s nedávnou transplantáciou obličky.</w:t>
      </w:r>
      <w:r w:rsidR="00EC7807" w:rsidRPr="00155205">
        <w:rPr>
          <w:rFonts w:ascii="Times New Roman" w:eastAsia="Times New Roman" w:hAnsi="Times New Roman"/>
          <w:lang w:eastAsia="sk-SK"/>
        </w:rPr>
        <w:t xml:space="preserve"> </w:t>
      </w:r>
      <w:r w:rsidR="000267EB" w:rsidRPr="00155205">
        <w:rPr>
          <w:rFonts w:ascii="Times New Roman" w:eastAsia="Times New Roman" w:hAnsi="Times New Roman"/>
          <w:lang w:eastAsia="sk-SK"/>
        </w:rPr>
        <w:t>Amlodipín a t</w:t>
      </w:r>
      <w:r w:rsidR="00EC7807" w:rsidRPr="00155205">
        <w:rPr>
          <w:rFonts w:ascii="Times New Roman" w:eastAsia="Times New Roman" w:hAnsi="Times New Roman"/>
          <w:lang w:eastAsia="sk-SK"/>
        </w:rPr>
        <w:t xml:space="preserve">elmisartan nie </w:t>
      </w:r>
      <w:r w:rsidR="000267EB" w:rsidRPr="00155205">
        <w:rPr>
          <w:rFonts w:ascii="Times New Roman" w:eastAsia="Times New Roman" w:hAnsi="Times New Roman"/>
          <w:lang w:eastAsia="sk-SK"/>
        </w:rPr>
        <w:t>sú</w:t>
      </w:r>
      <w:r w:rsidR="00EC7807" w:rsidRPr="00155205">
        <w:rPr>
          <w:rFonts w:ascii="Times New Roman" w:eastAsia="Times New Roman" w:hAnsi="Times New Roman"/>
          <w:lang w:eastAsia="sk-SK"/>
        </w:rPr>
        <w:t xml:space="preserve"> dialyzovateľn</w:t>
      </w:r>
      <w:r w:rsidR="000267EB" w:rsidRPr="00155205">
        <w:rPr>
          <w:rFonts w:ascii="Times New Roman" w:eastAsia="Times New Roman" w:hAnsi="Times New Roman"/>
          <w:lang w:eastAsia="sk-SK"/>
        </w:rPr>
        <w:t>é</w:t>
      </w:r>
      <w:r w:rsidR="00EC7807" w:rsidRPr="00155205">
        <w:rPr>
          <w:rFonts w:ascii="Times New Roman" w:eastAsia="Times New Roman" w:hAnsi="Times New Roman"/>
          <w:lang w:eastAsia="sk-SK"/>
        </w:rPr>
        <w:t>.</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Intravaskulárna hypovolémia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U</w:t>
      </w:r>
      <w:r w:rsidR="001A6CD4" w:rsidRPr="00155205">
        <w:rPr>
          <w:rFonts w:ascii="Times New Roman" w:eastAsia="Times New Roman" w:hAnsi="Times New Roman"/>
          <w:lang w:eastAsia="sk-SK"/>
        </w:rPr>
        <w:t> </w:t>
      </w:r>
      <w:r w:rsidRPr="00155205">
        <w:rPr>
          <w:rFonts w:ascii="Times New Roman" w:eastAsia="Times New Roman" w:hAnsi="Times New Roman"/>
          <w:lang w:eastAsia="sk-SK"/>
        </w:rPr>
        <w:t>pacientov</w:t>
      </w:r>
      <w:r w:rsidR="001A6CD4" w:rsidRPr="00155205">
        <w:rPr>
          <w:rFonts w:ascii="Times New Roman" w:eastAsia="Times New Roman" w:hAnsi="Times New Roman"/>
          <w:lang w:eastAsia="sk-SK"/>
        </w:rPr>
        <w:t xml:space="preserve"> s depléciou</w:t>
      </w:r>
      <w:r w:rsidRPr="00155205">
        <w:rPr>
          <w:rFonts w:ascii="Times New Roman" w:eastAsia="Times New Roman" w:hAnsi="Times New Roman"/>
          <w:lang w:eastAsia="sk-SK"/>
        </w:rPr>
        <w:t xml:space="preserve"> objem</w:t>
      </w:r>
      <w:r w:rsidR="001A6CD4" w:rsidRPr="00155205">
        <w:rPr>
          <w:rFonts w:ascii="Times New Roman" w:eastAsia="Times New Roman" w:hAnsi="Times New Roman"/>
          <w:lang w:eastAsia="sk-SK"/>
        </w:rPr>
        <w:t>u</w:t>
      </w:r>
      <w:r w:rsidRPr="00155205">
        <w:rPr>
          <w:rFonts w:ascii="Times New Roman" w:eastAsia="Times New Roman" w:hAnsi="Times New Roman"/>
          <w:lang w:eastAsia="sk-SK"/>
        </w:rPr>
        <w:t xml:space="preserve"> a/alebo sodík</w:t>
      </w:r>
      <w:r w:rsidR="001A6CD4" w:rsidRPr="00155205">
        <w:rPr>
          <w:rFonts w:ascii="Times New Roman" w:eastAsia="Times New Roman" w:hAnsi="Times New Roman"/>
          <w:lang w:eastAsia="sk-SK"/>
        </w:rPr>
        <w:t>a</w:t>
      </w:r>
      <w:r w:rsidRPr="00155205">
        <w:rPr>
          <w:rFonts w:ascii="Times New Roman" w:eastAsia="Times New Roman" w:hAnsi="Times New Roman"/>
          <w:lang w:eastAsia="sk-SK"/>
        </w:rPr>
        <w:t xml:space="preserve"> </w:t>
      </w:r>
      <w:r w:rsidR="001A6CD4" w:rsidRPr="00155205">
        <w:rPr>
          <w:rFonts w:ascii="Times New Roman" w:eastAsia="Times New Roman" w:hAnsi="Times New Roman"/>
          <w:lang w:eastAsia="sk-SK"/>
        </w:rPr>
        <w:t>napr. následkom silnej</w:t>
      </w:r>
      <w:r w:rsidRPr="00155205">
        <w:rPr>
          <w:rFonts w:ascii="Times New Roman" w:eastAsia="Times New Roman" w:hAnsi="Times New Roman"/>
          <w:lang w:eastAsia="sk-SK"/>
        </w:rPr>
        <w:t xml:space="preserve"> diuretick</w:t>
      </w:r>
      <w:r w:rsidR="001A6CD4" w:rsidRPr="00155205">
        <w:rPr>
          <w:rFonts w:ascii="Times New Roman" w:eastAsia="Times New Roman" w:hAnsi="Times New Roman"/>
          <w:lang w:eastAsia="sk-SK"/>
        </w:rPr>
        <w:t>ej</w:t>
      </w:r>
      <w:r w:rsidRPr="00155205">
        <w:rPr>
          <w:rFonts w:ascii="Times New Roman" w:eastAsia="Times New Roman" w:hAnsi="Times New Roman"/>
          <w:lang w:eastAsia="sk-SK"/>
        </w:rPr>
        <w:t xml:space="preserve"> liečb</w:t>
      </w:r>
      <w:r w:rsidR="001A6CD4" w:rsidRPr="00155205">
        <w:rPr>
          <w:rFonts w:ascii="Times New Roman" w:eastAsia="Times New Roman" w:hAnsi="Times New Roman"/>
          <w:lang w:eastAsia="sk-SK"/>
        </w:rPr>
        <w:t>y</w:t>
      </w:r>
      <w:r w:rsidRPr="00155205">
        <w:rPr>
          <w:rFonts w:ascii="Times New Roman" w:eastAsia="Times New Roman" w:hAnsi="Times New Roman"/>
          <w:lang w:eastAsia="sk-SK"/>
        </w:rPr>
        <w:t>, diétnym</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obmedzením soli, </w:t>
      </w:r>
      <w:r w:rsidR="001A6CD4" w:rsidRPr="00155205">
        <w:rPr>
          <w:rFonts w:ascii="Times New Roman" w:eastAsia="Times New Roman" w:hAnsi="Times New Roman"/>
          <w:lang w:eastAsia="sk-SK"/>
        </w:rPr>
        <w:t>hnačkou</w:t>
      </w:r>
      <w:r w:rsidRPr="00155205">
        <w:rPr>
          <w:rFonts w:ascii="Times New Roman" w:eastAsia="Times New Roman" w:hAnsi="Times New Roman"/>
          <w:lang w:eastAsia="sk-SK"/>
        </w:rPr>
        <w:t xml:space="preserve"> alebo vracaním, sa najmä po prvej dávke môže vyskytnúť symptomatická hypotenzia. Tieto stavy sa musia pred podávaním telmisartanu</w:t>
      </w:r>
      <w:r w:rsidR="001A6CD4" w:rsidRPr="00155205">
        <w:rPr>
          <w:rFonts w:ascii="Times New Roman" w:eastAsia="Times New Roman" w:hAnsi="Times New Roman"/>
          <w:lang w:eastAsia="sk-SK"/>
        </w:rPr>
        <w:t>/amlodipínu</w:t>
      </w:r>
      <w:r w:rsidRPr="00155205">
        <w:rPr>
          <w:rFonts w:ascii="Times New Roman" w:eastAsia="Times New Roman" w:hAnsi="Times New Roman"/>
          <w:lang w:eastAsia="sk-SK"/>
        </w:rPr>
        <w:t xml:space="preserve"> upraviť. Objemová a/alebo sodíková deplécia sa má upraviť ešte pred podávaním telmisartanu</w:t>
      </w:r>
      <w:r w:rsidR="001A6CD4" w:rsidRPr="00155205">
        <w:rPr>
          <w:rFonts w:ascii="Times New Roman" w:eastAsia="Times New Roman" w:hAnsi="Times New Roman"/>
          <w:lang w:eastAsia="sk-SK"/>
        </w:rPr>
        <w:t>/amlodipínu</w:t>
      </w:r>
      <w:r w:rsidRPr="00155205">
        <w:rPr>
          <w:rFonts w:ascii="Times New Roman" w:eastAsia="Times New Roman" w:hAnsi="Times New Roman"/>
          <w:lang w:eastAsia="sk-SK"/>
        </w:rPr>
        <w:t>.</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 xml:space="preserve">Duálna inhibícia </w:t>
      </w:r>
      <w:r w:rsidR="008142E7" w:rsidRPr="00155205">
        <w:rPr>
          <w:rFonts w:ascii="Times New Roman" w:eastAsia="Times New Roman" w:hAnsi="Times New Roman"/>
          <w:u w:val="single"/>
          <w:lang w:eastAsia="sk-SK"/>
        </w:rPr>
        <w:t xml:space="preserve">systému </w:t>
      </w:r>
      <w:r w:rsidRPr="00155205">
        <w:rPr>
          <w:rFonts w:ascii="Times New Roman" w:eastAsia="Times New Roman" w:hAnsi="Times New Roman"/>
          <w:u w:val="single"/>
          <w:lang w:eastAsia="sk-SK"/>
        </w:rPr>
        <w:t>renín-angiotenzín-aldosterón (RAAS)</w:t>
      </w:r>
    </w:p>
    <w:p w:rsidR="00857925"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Preukázalo sa, že súbežné použitie inhibítorov ACE, blokátorov receptorov angiotenzínu II alebo aliskirénu zvyšuje riziko hypotenzie, hyperkaliémie a zníženia funkcie obličiek (vrátane akútneho </w:t>
      </w:r>
      <w:r w:rsidRPr="00155205">
        <w:rPr>
          <w:rFonts w:ascii="Times New Roman" w:eastAsia="Times New Roman" w:hAnsi="Times New Roman"/>
          <w:lang w:eastAsia="sk-SK"/>
        </w:rPr>
        <w:lastRenderedPageBreak/>
        <w:t>zlyhania obličiek). Duálna inhibícia RAAS kombinovaným použitím inhibítorov ACE, blokátorov receptorov angiotenzínu II alebo aliskir</w:t>
      </w:r>
      <w:r w:rsidR="008142E7" w:rsidRPr="00155205">
        <w:rPr>
          <w:rFonts w:ascii="Times New Roman" w:eastAsia="Times New Roman" w:hAnsi="Times New Roman"/>
          <w:lang w:eastAsia="sk-SK"/>
        </w:rPr>
        <w:t>é</w:t>
      </w:r>
      <w:r w:rsidRPr="00155205">
        <w:rPr>
          <w:rFonts w:ascii="Times New Roman" w:eastAsia="Times New Roman" w:hAnsi="Times New Roman"/>
          <w:lang w:eastAsia="sk-SK"/>
        </w:rPr>
        <w:t xml:space="preserve">nu sa preto neodporúča (pozri časti 4.5 a 5.1). </w:t>
      </w:r>
      <w:r w:rsidR="005A4526" w:rsidRPr="00155205">
        <w:rPr>
          <w:rFonts w:ascii="Times New Roman" w:eastAsia="Times New Roman" w:hAnsi="Times New Roman"/>
          <w:lang w:eastAsia="sk-SK"/>
        </w:rPr>
        <w:t xml:space="preserve">                           </w:t>
      </w:r>
      <w:r w:rsidRPr="00155205">
        <w:rPr>
          <w:rFonts w:ascii="Times New Roman" w:eastAsia="Times New Roman" w:hAnsi="Times New Roman"/>
          <w:lang w:eastAsia="sk-SK"/>
        </w:rPr>
        <w:t>Ak sa liečba duálnou inhibíciou považuje za absolútne nevyhnutnú, má sa podať iba pod dohľadom odborníka a u pacienta sa majú často a dôsledne monitorovať funkcia obličiek, elektrolyty a krvný tlak.</w:t>
      </w:r>
      <w:r w:rsidR="00857925" w:rsidRPr="00155205">
        <w:rPr>
          <w:rFonts w:ascii="Times New Roman" w:eastAsia="Times New Roman" w:hAnsi="Times New Roman"/>
          <w:lang w:eastAsia="sk-SK"/>
        </w:rPr>
        <w:t xml:space="preserve"> </w:t>
      </w:r>
    </w:p>
    <w:p w:rsidR="000E651B" w:rsidRPr="00155205" w:rsidRDefault="000E651B" w:rsidP="000E651B">
      <w:pPr>
        <w:autoSpaceDE w:val="0"/>
        <w:autoSpaceDN w:val="0"/>
        <w:adjustRightInd w:val="0"/>
        <w:spacing w:after="0" w:line="240" w:lineRule="auto"/>
        <w:rPr>
          <w:rFonts w:ascii="Times New Roman" w:hAnsi="Times New Roman"/>
        </w:rPr>
      </w:pPr>
      <w:r w:rsidRPr="00155205">
        <w:rPr>
          <w:rFonts w:ascii="Times New Roman" w:hAnsi="Times New Roman"/>
          <w:color w:val="222222"/>
        </w:rPr>
        <w:t xml:space="preserve">Inhibítory ACE a blokátory receptorov angiotenzínu II sa nemajú súbežne používať u pacientov s </w:t>
      </w:r>
      <w:r w:rsidRPr="00155205">
        <w:rPr>
          <w:rFonts w:ascii="Times New Roman" w:hAnsi="Times New Roman"/>
        </w:rPr>
        <w:t>diabetickou nefropatiou.</w:t>
      </w:r>
    </w:p>
    <w:p w:rsidR="000E651B" w:rsidRPr="00155205" w:rsidRDefault="000E651B" w:rsidP="000E651B">
      <w:pPr>
        <w:autoSpaceDE w:val="0"/>
        <w:autoSpaceDN w:val="0"/>
        <w:adjustRightInd w:val="0"/>
        <w:spacing w:after="0" w:line="240" w:lineRule="auto"/>
        <w:rPr>
          <w:rFonts w:ascii="Times New Roman" w:hAnsi="Times New Roman"/>
        </w:rPr>
      </w:pPr>
    </w:p>
    <w:p w:rsidR="00857925" w:rsidRPr="00155205" w:rsidRDefault="00857925" w:rsidP="00857925">
      <w:pPr>
        <w:spacing w:after="0" w:line="240" w:lineRule="auto"/>
        <w:rPr>
          <w:rStyle w:val="hps"/>
          <w:rFonts w:ascii="Times New Roman" w:hAnsi="Times New Roman"/>
          <w:color w:val="222222"/>
          <w:u w:val="single"/>
        </w:rPr>
      </w:pPr>
      <w:r w:rsidRPr="00155205">
        <w:rPr>
          <w:rStyle w:val="hps"/>
          <w:rFonts w:ascii="Times New Roman" w:hAnsi="Times New Roman"/>
          <w:color w:val="222222"/>
          <w:u w:val="single"/>
        </w:rPr>
        <w:t>Iné stavy spojené so stimuláciou systému renín-angiotenzín-aldosterón</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U pacientov, ktorých </w:t>
      </w:r>
      <w:r w:rsidR="00857925" w:rsidRPr="00155205">
        <w:rPr>
          <w:rFonts w:ascii="Times New Roman" w:eastAsia="Times New Roman" w:hAnsi="Times New Roman"/>
          <w:lang w:eastAsia="sk-SK"/>
        </w:rPr>
        <w:t>cievny</w:t>
      </w:r>
      <w:r w:rsidRPr="00155205">
        <w:rPr>
          <w:rFonts w:ascii="Times New Roman" w:eastAsia="Times New Roman" w:hAnsi="Times New Roman"/>
          <w:lang w:eastAsia="sk-SK"/>
        </w:rPr>
        <w:t xml:space="preserve"> tonus a funkcia obličiek závisí predovšetkým od činnosti </w:t>
      </w:r>
      <w:r w:rsidR="005A4526" w:rsidRPr="00155205">
        <w:rPr>
          <w:rFonts w:ascii="Times New Roman" w:eastAsia="Times New Roman" w:hAnsi="Times New Roman"/>
          <w:lang w:eastAsia="sk-SK"/>
        </w:rPr>
        <w:t xml:space="preserve">systému </w:t>
      </w:r>
      <w:r w:rsidRPr="00155205">
        <w:rPr>
          <w:rFonts w:ascii="Times New Roman" w:eastAsia="Times New Roman" w:hAnsi="Times New Roman"/>
          <w:lang w:eastAsia="sk-SK"/>
        </w:rPr>
        <w:t>renín-angiotenzín-aldosterón (napr. pacienti s ťažkým kongestívnym zlyh</w:t>
      </w:r>
      <w:r w:rsidR="00857925" w:rsidRPr="00155205">
        <w:rPr>
          <w:rFonts w:ascii="Times New Roman" w:eastAsia="Times New Roman" w:hAnsi="Times New Roman"/>
          <w:lang w:eastAsia="sk-SK"/>
        </w:rPr>
        <w:t>áv</w:t>
      </w:r>
      <w:r w:rsidRPr="00155205">
        <w:rPr>
          <w:rFonts w:ascii="Times New Roman" w:eastAsia="Times New Roman" w:hAnsi="Times New Roman"/>
          <w:lang w:eastAsia="sk-SK"/>
        </w:rPr>
        <w:t>aním srdca alebo s existujúcou chorobou oblič</w:t>
      </w:r>
      <w:r w:rsidR="00857925" w:rsidRPr="00155205">
        <w:rPr>
          <w:rFonts w:ascii="Times New Roman" w:eastAsia="Times New Roman" w:hAnsi="Times New Roman"/>
          <w:lang w:eastAsia="sk-SK"/>
        </w:rPr>
        <w:t>ie</w:t>
      </w:r>
      <w:r w:rsidRPr="00155205">
        <w:rPr>
          <w:rFonts w:ascii="Times New Roman" w:eastAsia="Times New Roman" w:hAnsi="Times New Roman"/>
          <w:lang w:eastAsia="sk-SK"/>
        </w:rPr>
        <w:t xml:space="preserve">k vrátane stenózy renálnej artérie), sa liečba liekmi, ktoré ovplyvňujú tento systém, </w:t>
      </w:r>
      <w:r w:rsidR="00857925" w:rsidRPr="00155205">
        <w:rPr>
          <w:rFonts w:ascii="Times New Roman" w:eastAsia="Times New Roman" w:hAnsi="Times New Roman"/>
          <w:lang w:eastAsia="sk-SK"/>
        </w:rPr>
        <w:t>ako telmisartan,</w:t>
      </w:r>
      <w:r w:rsidRPr="00155205">
        <w:rPr>
          <w:rFonts w:ascii="Times New Roman" w:eastAsia="Times New Roman" w:hAnsi="Times New Roman"/>
          <w:lang w:eastAsia="sk-SK"/>
        </w:rPr>
        <w:t xml:space="preserve"> spájala s akútnou hypotenziou, hyperazotémiou, oligúriou alebo zriedkavo s akútnym zlyhaním obličky (pozri časť 4.8).</w:t>
      </w:r>
    </w:p>
    <w:p w:rsidR="000E651B" w:rsidRPr="00155205" w:rsidRDefault="000E651B" w:rsidP="000E651B">
      <w:pPr>
        <w:tabs>
          <w:tab w:val="left" w:pos="900"/>
        </w:tabs>
        <w:autoSpaceDE w:val="0"/>
        <w:autoSpaceDN w:val="0"/>
        <w:adjustRightInd w:val="0"/>
        <w:spacing w:after="0" w:line="240" w:lineRule="auto"/>
        <w:rPr>
          <w:rFonts w:ascii="Times New Roman" w:eastAsia="Times New Roman" w:hAnsi="Times New Roman"/>
          <w:u w:val="single"/>
          <w:lang w:eastAsia="sk-SK"/>
        </w:rPr>
      </w:pPr>
    </w:p>
    <w:p w:rsidR="000E651B" w:rsidRPr="00155205" w:rsidRDefault="000E651B" w:rsidP="000E651B">
      <w:pPr>
        <w:tabs>
          <w:tab w:val="left" w:pos="900"/>
        </w:tabs>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Primárny aldosteronizmus</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Pacienti s primárnym aldosteronizmom všeobecne nereagujú na antihypertenzíva pôsobiace prostredníctvom inhibície </w:t>
      </w:r>
      <w:r w:rsidR="005A4526" w:rsidRPr="00155205">
        <w:rPr>
          <w:rFonts w:ascii="Times New Roman" w:eastAsia="Times New Roman" w:hAnsi="Times New Roman"/>
          <w:lang w:eastAsia="sk-SK"/>
        </w:rPr>
        <w:t xml:space="preserve">systému </w:t>
      </w:r>
      <w:r w:rsidRPr="00155205">
        <w:rPr>
          <w:rFonts w:ascii="Times New Roman" w:eastAsia="Times New Roman" w:hAnsi="Times New Roman"/>
          <w:lang w:eastAsia="sk-SK"/>
        </w:rPr>
        <w:t>renín-angiotenzín. Použitie telmisartanu sa preto neodporúča.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Stenóza aorty a mitrálnej srdcovej chlopne, obštrukčná hypertrofická kardiomyopatia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Tak ako pri iných vazodilatanciách</w:t>
      </w:r>
      <w:r w:rsidR="00D44A9E"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osobitná pozornosť je potrebná u pacientov trpiacich na aortálnu alebo mitrálnu stenózu alebo obštrukčnú hypertrofickú kardiomyopatiu.</w:t>
      </w:r>
    </w:p>
    <w:p w:rsidR="00D06EF4" w:rsidRPr="00155205" w:rsidRDefault="00D06EF4" w:rsidP="00D06EF4">
      <w:pPr>
        <w:keepNext/>
        <w:tabs>
          <w:tab w:val="left" w:pos="567"/>
        </w:tabs>
        <w:spacing w:after="0" w:line="240" w:lineRule="auto"/>
        <w:ind w:left="567" w:hanging="567"/>
        <w:outlineLvl w:val="0"/>
        <w:rPr>
          <w:rFonts w:ascii="Times New Roman" w:eastAsia="Times New Roman" w:hAnsi="Times New Roman"/>
          <w:i/>
        </w:rPr>
      </w:pPr>
    </w:p>
    <w:p w:rsidR="00D06EF4" w:rsidRPr="00155205" w:rsidRDefault="00D06EF4" w:rsidP="00D06EF4">
      <w:pPr>
        <w:keepNext/>
        <w:tabs>
          <w:tab w:val="left" w:pos="567"/>
        </w:tabs>
        <w:spacing w:after="0" w:line="240" w:lineRule="auto"/>
        <w:ind w:left="567" w:hanging="567"/>
        <w:outlineLvl w:val="0"/>
        <w:rPr>
          <w:rFonts w:ascii="Times New Roman" w:eastAsia="Times New Roman" w:hAnsi="Times New Roman"/>
          <w:u w:val="single"/>
        </w:rPr>
      </w:pPr>
      <w:r w:rsidRPr="00155205">
        <w:rPr>
          <w:rFonts w:ascii="Times New Roman" w:eastAsia="Times New Roman" w:hAnsi="Times New Roman"/>
          <w:u w:val="single"/>
        </w:rPr>
        <w:t>Srdcové zlyhávanie</w:t>
      </w:r>
    </w:p>
    <w:p w:rsidR="00D06EF4" w:rsidRPr="00155205" w:rsidRDefault="00D06EF4" w:rsidP="00D06EF4">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Pacienti so srdcovým zlyh</w:t>
      </w:r>
      <w:r w:rsidR="004A56EA" w:rsidRPr="00155205">
        <w:rPr>
          <w:rFonts w:ascii="Times New Roman" w:eastAsia="Times New Roman" w:hAnsi="Times New Roman"/>
        </w:rPr>
        <w:t>áv</w:t>
      </w:r>
      <w:r w:rsidRPr="00155205">
        <w:rPr>
          <w:rFonts w:ascii="Times New Roman" w:eastAsia="Times New Roman" w:hAnsi="Times New Roman"/>
        </w:rPr>
        <w:t>aním majú byť liečení s opatrnosťou. V dlhodobej placebom kontrolovanej štúdii u pacientov s ťažkým srdcovým zlyh</w:t>
      </w:r>
      <w:r w:rsidR="004A56EA" w:rsidRPr="00155205">
        <w:rPr>
          <w:rFonts w:ascii="Times New Roman" w:eastAsia="Times New Roman" w:hAnsi="Times New Roman"/>
        </w:rPr>
        <w:t>áv</w:t>
      </w:r>
      <w:r w:rsidRPr="00155205">
        <w:rPr>
          <w:rFonts w:ascii="Times New Roman" w:eastAsia="Times New Roman" w:hAnsi="Times New Roman"/>
        </w:rPr>
        <w:t>aním (III. a IV. stupňa podľa NYHA) bol hlásený vyšší výskyt pľúcneho edému v skupine liečenej amlodipínom ako v skupine s placebom (pozri časť 5.1). Blokátory kalciového kanála, vrátane amlodipínu, sa majú používať s opatrnosťou u pacientov s kongestívnym srdcovým zlyh</w:t>
      </w:r>
      <w:r w:rsidR="004A56EA" w:rsidRPr="00155205">
        <w:rPr>
          <w:rFonts w:ascii="Times New Roman" w:eastAsia="Times New Roman" w:hAnsi="Times New Roman"/>
        </w:rPr>
        <w:t>áv</w:t>
      </w:r>
      <w:r w:rsidRPr="00155205">
        <w:rPr>
          <w:rFonts w:ascii="Times New Roman" w:eastAsia="Times New Roman" w:hAnsi="Times New Roman"/>
        </w:rPr>
        <w:t>aním, keďže môžu zvyšovať riziko kardiovaskulárnych príhod a mortality v budúcnosti.</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Diabetickí pacienti liečení inzulínom alebo antidiabetikami</w:t>
      </w: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lang w:eastAsia="sk-SK"/>
        </w:rPr>
        <w:t xml:space="preserve">U týchto pacientov sa pri liečbe telmisartanom môže objaviť hypoglykémia. Preto sa má u týchto pacientov zvážiť sledovanie glukózy v krvi; môže byť potrebná úprava dávky inzulínu alebo antidiabetík, ak </w:t>
      </w:r>
      <w:r w:rsidR="001D44C6" w:rsidRPr="00155205">
        <w:rPr>
          <w:rFonts w:ascii="Times New Roman" w:eastAsia="Times New Roman" w:hAnsi="Times New Roman"/>
          <w:lang w:eastAsia="sk-SK"/>
        </w:rPr>
        <w:t>je to</w:t>
      </w:r>
      <w:r w:rsidRPr="00155205">
        <w:rPr>
          <w:rFonts w:ascii="Times New Roman" w:eastAsia="Times New Roman" w:hAnsi="Times New Roman"/>
          <w:lang w:eastAsia="sk-SK"/>
        </w:rPr>
        <w:t xml:space="preserve"> indikované.</w:t>
      </w:r>
      <w:r w:rsidRPr="00155205">
        <w:rPr>
          <w:rFonts w:ascii="Times New Roman" w:eastAsia="Times New Roman" w:hAnsi="Times New Roman"/>
          <w:u w:val="single"/>
          <w:lang w:eastAsia="sk-SK"/>
        </w:rPr>
        <w:t xml:space="preserve"> </w:t>
      </w: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Hyperkaliémia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Užívanie liekov, ktoré ovplyvňujú </w:t>
      </w:r>
      <w:r w:rsidR="005A4526" w:rsidRPr="00155205">
        <w:rPr>
          <w:rFonts w:ascii="Times New Roman" w:eastAsia="Times New Roman" w:hAnsi="Times New Roman"/>
          <w:lang w:eastAsia="sk-SK"/>
        </w:rPr>
        <w:t xml:space="preserve">systém </w:t>
      </w:r>
      <w:r w:rsidRPr="00155205">
        <w:rPr>
          <w:rFonts w:ascii="Times New Roman" w:eastAsia="Times New Roman" w:hAnsi="Times New Roman"/>
          <w:lang w:eastAsia="sk-SK"/>
        </w:rPr>
        <w:t>renín-angiotenzín-aldosterón</w:t>
      </w:r>
      <w:r w:rsidR="00D44A9E"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môže spôsobiť hyperkaliémiu.</w:t>
      </w:r>
    </w:p>
    <w:p w:rsidR="000E651B" w:rsidRPr="00155205" w:rsidRDefault="002E6890"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Hyperkaliémia môže byť smrteľná u</w:t>
      </w:r>
      <w:r w:rsidR="000E651B" w:rsidRPr="00155205">
        <w:rPr>
          <w:rFonts w:ascii="Times New Roman" w:eastAsia="Times New Roman" w:hAnsi="Times New Roman"/>
          <w:lang w:eastAsia="sk-SK"/>
        </w:rPr>
        <w:t xml:space="preserve"> starších pacientov, u pacientov s renálnou insuficienciou, u diabetikov, u pacientov liečených sú</w:t>
      </w:r>
      <w:r w:rsidR="00BB44FB" w:rsidRPr="00155205">
        <w:rPr>
          <w:rFonts w:ascii="Times New Roman" w:eastAsia="Times New Roman" w:hAnsi="Times New Roman"/>
          <w:lang w:eastAsia="sk-SK"/>
        </w:rPr>
        <w:t>bež</w:t>
      </w:r>
      <w:r w:rsidR="000E651B" w:rsidRPr="00155205">
        <w:rPr>
          <w:rFonts w:ascii="Times New Roman" w:eastAsia="Times New Roman" w:hAnsi="Times New Roman"/>
          <w:lang w:eastAsia="sk-SK"/>
        </w:rPr>
        <w:t>ne inými liekmi, ktoré môžu zvyšovať hladinu draslíka a/alebo u pacientov s pridruženými udalosťami.</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Pred zvážením súbežného použitia liekov, ktoré ovplyvňujú </w:t>
      </w:r>
      <w:r w:rsidR="005A4526" w:rsidRPr="00155205">
        <w:rPr>
          <w:rFonts w:ascii="Times New Roman" w:eastAsia="Times New Roman" w:hAnsi="Times New Roman"/>
          <w:lang w:eastAsia="sk-SK"/>
        </w:rPr>
        <w:t xml:space="preserve">systém </w:t>
      </w:r>
      <w:r w:rsidRPr="00155205">
        <w:rPr>
          <w:rFonts w:ascii="Times New Roman" w:eastAsia="Times New Roman" w:hAnsi="Times New Roman"/>
          <w:lang w:eastAsia="sk-SK"/>
        </w:rPr>
        <w:t>renín-angiotenzín-aldosterón</w:t>
      </w:r>
      <w:r w:rsidR="00D44A9E"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sa má zhodnotiť pomer prínosu a rizika.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Najdôležitejšie rizikové faktory pre vznik hyperkaliémie, ktoré treba zvážiť sú:</w:t>
      </w:r>
    </w:p>
    <w:p w:rsidR="000E651B" w:rsidRPr="00155205" w:rsidRDefault="000E651B" w:rsidP="00A924A2">
      <w:pPr>
        <w:pStyle w:val="Odsekzoznamu"/>
        <w:numPr>
          <w:ilvl w:val="0"/>
          <w:numId w:val="18"/>
        </w:numPr>
        <w:autoSpaceDE w:val="0"/>
        <w:autoSpaceDN w:val="0"/>
        <w:adjustRightInd w:val="0"/>
        <w:spacing w:after="0" w:line="240" w:lineRule="auto"/>
        <w:ind w:left="284" w:hanging="284"/>
        <w:rPr>
          <w:rFonts w:ascii="Times New Roman" w:eastAsia="Times New Roman" w:hAnsi="Times New Roman"/>
          <w:lang w:eastAsia="sk-SK"/>
        </w:rPr>
      </w:pPr>
      <w:r w:rsidRPr="00155205">
        <w:rPr>
          <w:rFonts w:ascii="Times New Roman" w:eastAsia="Times New Roman" w:hAnsi="Times New Roman"/>
          <w:lang w:eastAsia="sk-SK"/>
        </w:rPr>
        <w:t>Diabetes mellitus, porucha funkcie obličiek, vek (&gt;70 rokov).</w:t>
      </w:r>
    </w:p>
    <w:p w:rsidR="000E651B" w:rsidRPr="00155205" w:rsidRDefault="000E651B" w:rsidP="00A924A2">
      <w:pPr>
        <w:pStyle w:val="Odsekzoznamu"/>
        <w:numPr>
          <w:ilvl w:val="0"/>
          <w:numId w:val="18"/>
        </w:numPr>
        <w:autoSpaceDE w:val="0"/>
        <w:autoSpaceDN w:val="0"/>
        <w:adjustRightInd w:val="0"/>
        <w:spacing w:after="0" w:line="240" w:lineRule="auto"/>
        <w:ind w:left="284" w:hanging="284"/>
        <w:rPr>
          <w:rFonts w:ascii="Times New Roman" w:eastAsia="Times New Roman" w:hAnsi="Times New Roman"/>
          <w:lang w:eastAsia="sk-SK"/>
        </w:rPr>
      </w:pPr>
      <w:r w:rsidRPr="00155205">
        <w:rPr>
          <w:rFonts w:ascii="Times New Roman" w:eastAsia="Times New Roman" w:hAnsi="Times New Roman"/>
          <w:lang w:eastAsia="sk-SK"/>
        </w:rPr>
        <w:t xml:space="preserve">Kombinácia s jedným alebo viacerými liekmi, ktoré ovplyvňujú </w:t>
      </w:r>
      <w:r w:rsidR="005A4526" w:rsidRPr="00155205">
        <w:rPr>
          <w:rFonts w:ascii="Times New Roman" w:eastAsia="Times New Roman" w:hAnsi="Times New Roman"/>
          <w:lang w:eastAsia="sk-SK"/>
        </w:rPr>
        <w:t xml:space="preserve">systém </w:t>
      </w:r>
      <w:r w:rsidRPr="00155205">
        <w:rPr>
          <w:rFonts w:ascii="Times New Roman" w:eastAsia="Times New Roman" w:hAnsi="Times New Roman"/>
          <w:lang w:eastAsia="sk-SK"/>
        </w:rPr>
        <w:t>renín-angiotenzín-aldosterón a/alebo s doplnkami draslíka. Lieky alebo terapeutické skupiny liekov, ktoré môžu vyvolať hyperkaliémiu</w:t>
      </w:r>
      <w:r w:rsidR="00D44A9E"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sú náhrady sol</w:t>
      </w:r>
      <w:r w:rsidR="00A924A2" w:rsidRPr="00155205">
        <w:rPr>
          <w:rFonts w:ascii="Times New Roman" w:eastAsia="Times New Roman" w:hAnsi="Times New Roman"/>
          <w:lang w:eastAsia="sk-SK"/>
        </w:rPr>
        <w:t>i</w:t>
      </w:r>
      <w:r w:rsidRPr="00155205">
        <w:rPr>
          <w:rFonts w:ascii="Times New Roman" w:eastAsia="Times New Roman" w:hAnsi="Times New Roman"/>
          <w:lang w:eastAsia="sk-SK"/>
        </w:rPr>
        <w:t xml:space="preserve"> s obsahom draslíka, draslík šetriace diuretiká, ACE inhibítory, antagonisty receptor</w:t>
      </w:r>
      <w:r w:rsidR="00A924A2"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nesteroidné protizápalové lieky (NSA, vrátane selektívnych COX-2 inhibítorov), heparín, imunosupresíva (cyklosporín alebo takrolimus) a trimetoprim.</w:t>
      </w:r>
    </w:p>
    <w:p w:rsidR="000E651B" w:rsidRPr="00155205" w:rsidRDefault="000E651B" w:rsidP="00A924A2">
      <w:pPr>
        <w:pStyle w:val="Odsekzoznamu"/>
        <w:numPr>
          <w:ilvl w:val="0"/>
          <w:numId w:val="18"/>
        </w:numPr>
        <w:autoSpaceDE w:val="0"/>
        <w:autoSpaceDN w:val="0"/>
        <w:adjustRightInd w:val="0"/>
        <w:spacing w:after="0" w:line="240" w:lineRule="auto"/>
        <w:ind w:left="284" w:hanging="284"/>
        <w:rPr>
          <w:rFonts w:ascii="Times New Roman" w:eastAsia="Times New Roman" w:hAnsi="Times New Roman"/>
          <w:lang w:eastAsia="sk-SK"/>
        </w:rPr>
      </w:pPr>
      <w:r w:rsidRPr="00155205">
        <w:rPr>
          <w:rFonts w:ascii="Times New Roman" w:eastAsia="Times New Roman" w:hAnsi="Times New Roman"/>
          <w:lang w:eastAsia="sk-SK"/>
        </w:rPr>
        <w:t>Pridružené udalosti, hlavne dehydratácia, akútna srdcová dekompenzácia, metabolická acidóza, zhoršovanie obličkových funkcií, náhle zhoršenie stavu obličiek (napr. infekčné ochorenie), odumieranie buniek (napr. akútna končatinová ischémia, rabdomyolýza, rozsiahla trauma).</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lastRenderedPageBreak/>
        <w:t>U rizikových pacientov sa odporúča intenzívne sledovanie hladín draslíka v sére (pozri časť 4.5).</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p>
    <w:p w:rsidR="000E651B" w:rsidRPr="00155205" w:rsidRDefault="000E651B" w:rsidP="000E651B">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Etnické rozdiely</w:t>
      </w:r>
    </w:p>
    <w:p w:rsidR="000E651B" w:rsidRPr="00155205" w:rsidRDefault="000E651B" w:rsidP="000E651B">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Ako sa pozorovalo pri inhibítoroch ACE, telmisartan a iné antagonisty receptor</w:t>
      </w:r>
      <w:r w:rsidR="006D61A1"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sú zjavne menej účinné v znižovaní krvného tlaku u ľudí čiernej pleti ako u ostatných, pravdepodobne pre vyšší výskyt nízkorenínových stavov u čiernej populácie s hypertenziou.</w:t>
      </w:r>
    </w:p>
    <w:p w:rsidR="000E651B" w:rsidRPr="00155205" w:rsidRDefault="000E651B" w:rsidP="000E651B">
      <w:pPr>
        <w:autoSpaceDE w:val="0"/>
        <w:autoSpaceDN w:val="0"/>
        <w:adjustRightInd w:val="0"/>
        <w:spacing w:after="0" w:line="240" w:lineRule="auto"/>
        <w:rPr>
          <w:rFonts w:ascii="Times New Roman" w:eastAsia="Times New Roman" w:hAnsi="Times New Roman"/>
          <w:b/>
          <w:bCs/>
          <w:lang w:eastAsia="sk-SK"/>
        </w:rPr>
      </w:pPr>
    </w:p>
    <w:p w:rsidR="005D759A" w:rsidRPr="00155205" w:rsidRDefault="005D759A" w:rsidP="005D759A">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Iné</w:t>
      </w:r>
    </w:p>
    <w:p w:rsidR="005D759A" w:rsidRPr="00155205" w:rsidRDefault="006D61A1" w:rsidP="005D759A">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w:t>
      </w:r>
      <w:r w:rsidR="005D759A" w:rsidRPr="00155205">
        <w:rPr>
          <w:rFonts w:ascii="Times New Roman" w:eastAsia="Times New Roman" w:hAnsi="Times New Roman"/>
          <w:lang w:eastAsia="sk-SK"/>
        </w:rPr>
        <w:t>ko pri in</w:t>
      </w:r>
      <w:r w:rsidR="00DE6FBD" w:rsidRPr="00155205">
        <w:rPr>
          <w:rFonts w:ascii="Times New Roman" w:eastAsia="Times New Roman" w:hAnsi="Times New Roman"/>
          <w:lang w:eastAsia="sk-SK"/>
        </w:rPr>
        <w:t>ých</w:t>
      </w:r>
      <w:r w:rsidR="005D759A" w:rsidRPr="00155205">
        <w:rPr>
          <w:rFonts w:ascii="Times New Roman" w:eastAsia="Times New Roman" w:hAnsi="Times New Roman"/>
          <w:lang w:eastAsia="sk-SK"/>
        </w:rPr>
        <w:t xml:space="preserve"> antihypertenzív</w:t>
      </w:r>
      <w:r w:rsidR="00DE6FBD" w:rsidRPr="00155205">
        <w:rPr>
          <w:rFonts w:ascii="Times New Roman" w:eastAsia="Times New Roman" w:hAnsi="Times New Roman"/>
          <w:lang w:eastAsia="sk-SK"/>
        </w:rPr>
        <w:t>ach</w:t>
      </w:r>
      <w:r w:rsidR="00652FAA" w:rsidRPr="00155205">
        <w:rPr>
          <w:rFonts w:ascii="Times New Roman" w:eastAsia="Times New Roman" w:hAnsi="Times New Roman"/>
          <w:lang w:eastAsia="sk-SK"/>
        </w:rPr>
        <w:t>,</w:t>
      </w:r>
      <w:r w:rsidR="005D759A" w:rsidRPr="00155205">
        <w:rPr>
          <w:rFonts w:ascii="Times New Roman" w:eastAsia="Times New Roman" w:hAnsi="Times New Roman"/>
          <w:lang w:eastAsia="sk-SK"/>
        </w:rPr>
        <w:t xml:space="preserve"> nadmerná redukcia tlaku krvi u pacientov s ischemickou kardiopatiou alebo ischemick</w:t>
      </w:r>
      <w:r w:rsidR="00CA59DA" w:rsidRPr="00155205">
        <w:rPr>
          <w:rFonts w:ascii="Times New Roman" w:eastAsia="Times New Roman" w:hAnsi="Times New Roman"/>
          <w:lang w:eastAsia="sk-SK"/>
        </w:rPr>
        <w:t>ým</w:t>
      </w:r>
      <w:r w:rsidR="005D759A" w:rsidRPr="00155205">
        <w:rPr>
          <w:rFonts w:ascii="Times New Roman" w:eastAsia="Times New Roman" w:hAnsi="Times New Roman"/>
          <w:lang w:eastAsia="sk-SK"/>
        </w:rPr>
        <w:t xml:space="preserve"> kardiovaskulárn</w:t>
      </w:r>
      <w:r w:rsidR="00CA59DA" w:rsidRPr="00155205">
        <w:rPr>
          <w:rFonts w:ascii="Times New Roman" w:eastAsia="Times New Roman" w:hAnsi="Times New Roman"/>
          <w:lang w:eastAsia="sk-SK"/>
        </w:rPr>
        <w:t>ym</w:t>
      </w:r>
      <w:r w:rsidR="005D759A" w:rsidRPr="00155205">
        <w:rPr>
          <w:rFonts w:ascii="Times New Roman" w:eastAsia="Times New Roman" w:hAnsi="Times New Roman"/>
          <w:lang w:eastAsia="sk-SK"/>
        </w:rPr>
        <w:t xml:space="preserve"> </w:t>
      </w:r>
      <w:r w:rsidR="00CA59DA" w:rsidRPr="00155205">
        <w:rPr>
          <w:rFonts w:ascii="Times New Roman" w:eastAsia="Times New Roman" w:hAnsi="Times New Roman"/>
          <w:lang w:eastAsia="sk-SK"/>
        </w:rPr>
        <w:t>o</w:t>
      </w:r>
      <w:r w:rsidR="005D759A" w:rsidRPr="00155205">
        <w:rPr>
          <w:rFonts w:ascii="Times New Roman" w:eastAsia="Times New Roman" w:hAnsi="Times New Roman"/>
          <w:lang w:eastAsia="sk-SK"/>
        </w:rPr>
        <w:t>chor</w:t>
      </w:r>
      <w:r w:rsidR="00CA59DA" w:rsidRPr="00155205">
        <w:rPr>
          <w:rFonts w:ascii="Times New Roman" w:eastAsia="Times New Roman" w:hAnsi="Times New Roman"/>
          <w:lang w:eastAsia="sk-SK"/>
        </w:rPr>
        <w:t>ením</w:t>
      </w:r>
      <w:r w:rsidR="005D759A" w:rsidRPr="00155205">
        <w:rPr>
          <w:rFonts w:ascii="Times New Roman" w:eastAsia="Times New Roman" w:hAnsi="Times New Roman"/>
          <w:lang w:eastAsia="sk-SK"/>
        </w:rPr>
        <w:t xml:space="preserve"> môže viesť k infarktu myokardu alebo </w:t>
      </w:r>
      <w:r w:rsidR="00652FAA" w:rsidRPr="00155205">
        <w:rPr>
          <w:rFonts w:ascii="Times New Roman" w:eastAsia="Times New Roman" w:hAnsi="Times New Roman"/>
          <w:lang w:eastAsia="sk-SK"/>
        </w:rPr>
        <w:t>mozgovej príhode</w:t>
      </w:r>
      <w:r w:rsidR="005D759A" w:rsidRPr="00155205">
        <w:rPr>
          <w:rFonts w:ascii="Times New Roman" w:eastAsia="Times New Roman" w:hAnsi="Times New Roman"/>
          <w:lang w:eastAsia="sk-SK"/>
        </w:rPr>
        <w:t>.</w:t>
      </w:r>
    </w:p>
    <w:p w:rsidR="006D61A1" w:rsidRPr="00155205" w:rsidRDefault="006D61A1" w:rsidP="006D61A1">
      <w:pPr>
        <w:autoSpaceDE w:val="0"/>
        <w:autoSpaceDN w:val="0"/>
        <w:adjustRightInd w:val="0"/>
        <w:spacing w:after="0" w:line="240" w:lineRule="auto"/>
        <w:rPr>
          <w:rFonts w:ascii="Times New Roman" w:eastAsia="Times New Roman" w:hAnsi="Times New Roman"/>
          <w:bCs/>
          <w:i/>
          <w:lang w:eastAsia="sk-SK"/>
        </w:rPr>
      </w:pPr>
    </w:p>
    <w:p w:rsidR="00CA59DA" w:rsidRPr="00155205" w:rsidRDefault="00CA59DA" w:rsidP="00CA59DA">
      <w:pPr>
        <w:tabs>
          <w:tab w:val="left" w:pos="567"/>
        </w:tabs>
        <w:spacing w:after="0" w:line="240" w:lineRule="auto"/>
        <w:ind w:left="567" w:hanging="567"/>
        <w:rPr>
          <w:rFonts w:ascii="Times New Roman" w:eastAsia="Times New Roman" w:hAnsi="Times New Roman"/>
          <w:bCs/>
        </w:rPr>
      </w:pPr>
      <w:r w:rsidRPr="00155205">
        <w:rPr>
          <w:rFonts w:ascii="Times New Roman" w:eastAsia="Times New Roman" w:hAnsi="Times New Roman"/>
          <w:bCs/>
        </w:rPr>
        <w:t>Bezpečnosť a účinnosť amlodipínu pri hypertenznej kríze neboli stanovené.</w:t>
      </w:r>
    </w:p>
    <w:p w:rsidR="00CA59DA" w:rsidRPr="00155205" w:rsidRDefault="00CA59DA" w:rsidP="006D61A1">
      <w:pPr>
        <w:autoSpaceDE w:val="0"/>
        <w:autoSpaceDN w:val="0"/>
        <w:adjustRightInd w:val="0"/>
        <w:spacing w:after="0" w:line="240" w:lineRule="auto"/>
        <w:rPr>
          <w:rFonts w:ascii="Times New Roman" w:eastAsia="Times New Roman" w:hAnsi="Times New Roman"/>
          <w:bCs/>
          <w:i/>
          <w:lang w:eastAsia="sk-SK"/>
        </w:rPr>
      </w:pPr>
    </w:p>
    <w:p w:rsidR="00CA59DA" w:rsidRPr="00155205" w:rsidRDefault="00CA59DA" w:rsidP="00CA59DA">
      <w:pPr>
        <w:tabs>
          <w:tab w:val="left" w:pos="567"/>
        </w:tabs>
        <w:spacing w:after="0" w:line="240" w:lineRule="auto"/>
        <w:ind w:left="567" w:hanging="567"/>
        <w:rPr>
          <w:rFonts w:ascii="Times New Roman" w:eastAsia="Times New Roman" w:hAnsi="Times New Roman"/>
          <w:bCs/>
        </w:rPr>
      </w:pPr>
      <w:r w:rsidRPr="00155205">
        <w:rPr>
          <w:rFonts w:ascii="Times New Roman" w:eastAsia="Times New Roman" w:hAnsi="Times New Roman"/>
          <w:bCs/>
        </w:rPr>
        <w:t>Zvyšovanie dávky sa má u starších ľudí vykonávať s opatrnosťou (pozri časti 4.2 a 5.2).</w:t>
      </w:r>
    </w:p>
    <w:p w:rsidR="00CA59DA" w:rsidRPr="00155205" w:rsidRDefault="00CA59DA" w:rsidP="006D61A1">
      <w:pPr>
        <w:autoSpaceDE w:val="0"/>
        <w:autoSpaceDN w:val="0"/>
        <w:adjustRightInd w:val="0"/>
        <w:spacing w:after="0" w:line="240" w:lineRule="auto"/>
        <w:rPr>
          <w:rFonts w:ascii="Times New Roman" w:eastAsia="Times New Roman" w:hAnsi="Times New Roman"/>
          <w:bCs/>
          <w:i/>
          <w:lang w:eastAsia="sk-SK"/>
        </w:rPr>
      </w:pPr>
    </w:p>
    <w:p w:rsidR="00CA59DA" w:rsidRPr="00155205" w:rsidRDefault="00CA59DA" w:rsidP="006D61A1">
      <w:pPr>
        <w:autoSpaceDE w:val="0"/>
        <w:autoSpaceDN w:val="0"/>
        <w:adjustRightInd w:val="0"/>
        <w:spacing w:after="0" w:line="240" w:lineRule="auto"/>
        <w:rPr>
          <w:rFonts w:ascii="Times New Roman" w:eastAsia="Times New Roman" w:hAnsi="Times New Roman"/>
          <w:bCs/>
          <w:i/>
          <w:lang w:eastAsia="sk-SK"/>
        </w:rPr>
      </w:pPr>
      <w:r w:rsidRPr="00155205">
        <w:rPr>
          <w:rFonts w:ascii="Times New Roman" w:eastAsia="Times New Roman" w:hAnsi="Times New Roman"/>
          <w:bCs/>
          <w:i/>
          <w:lang w:eastAsia="sk-SK"/>
        </w:rPr>
        <w:t>Laktóza</w:t>
      </w:r>
    </w:p>
    <w:p w:rsidR="00333C29" w:rsidRPr="00155205" w:rsidRDefault="00CA59DA" w:rsidP="00333C29">
      <w:pPr>
        <w:pStyle w:val="Default"/>
        <w:rPr>
          <w:rFonts w:ascii="Times New Roman" w:hAnsi="Times New Roman" w:cs="Times New Roman"/>
          <w:sz w:val="22"/>
          <w:szCs w:val="22"/>
          <w:lang w:eastAsia="en-US"/>
        </w:rPr>
      </w:pPr>
      <w:r w:rsidRPr="00155205">
        <w:rPr>
          <w:rFonts w:ascii="Times New Roman" w:hAnsi="Times New Roman"/>
          <w:bCs/>
          <w:sz w:val="22"/>
          <w:szCs w:val="22"/>
        </w:rPr>
        <w:t>Teldipin obsahuje laktózu.</w:t>
      </w:r>
      <w:r w:rsidR="00333C29" w:rsidRPr="00155205">
        <w:rPr>
          <w:rFonts w:ascii="Times New Roman" w:hAnsi="Times New Roman"/>
          <w:bCs/>
          <w:sz w:val="22"/>
          <w:szCs w:val="22"/>
        </w:rPr>
        <w:t xml:space="preserve"> </w:t>
      </w:r>
      <w:r w:rsidR="00333C29" w:rsidRPr="00155205">
        <w:rPr>
          <w:rFonts w:ascii="Times New Roman" w:hAnsi="Times New Roman" w:cs="Times New Roman"/>
          <w:sz w:val="22"/>
          <w:szCs w:val="22"/>
          <w:lang w:eastAsia="en-US"/>
        </w:rPr>
        <w:t xml:space="preserve">Pacienti so zriedkavými dedičnými problémami galaktózovej intolerancie, lapónskeho deficitu laktázy alebo glukózo-galaktózovej malabsorpcie nesmú užívať tento liek. </w:t>
      </w:r>
    </w:p>
    <w:p w:rsidR="00CA59DA" w:rsidRPr="00155205" w:rsidRDefault="00CA59DA" w:rsidP="006D61A1">
      <w:pPr>
        <w:autoSpaceDE w:val="0"/>
        <w:autoSpaceDN w:val="0"/>
        <w:adjustRightInd w:val="0"/>
        <w:spacing w:after="0" w:line="240" w:lineRule="auto"/>
        <w:rPr>
          <w:rFonts w:ascii="Times New Roman" w:eastAsia="Times New Roman" w:hAnsi="Times New Roman"/>
          <w:bCs/>
          <w:i/>
          <w:lang w:eastAsia="sk-SK"/>
        </w:rPr>
      </w:pPr>
    </w:p>
    <w:p w:rsidR="006D61A1" w:rsidRPr="00155205" w:rsidRDefault="006D61A1" w:rsidP="006D61A1">
      <w:pPr>
        <w:autoSpaceDE w:val="0"/>
        <w:autoSpaceDN w:val="0"/>
        <w:adjustRightInd w:val="0"/>
        <w:spacing w:after="0" w:line="240" w:lineRule="auto"/>
        <w:rPr>
          <w:rFonts w:ascii="Times New Roman" w:eastAsia="Times New Roman" w:hAnsi="Times New Roman"/>
          <w:bCs/>
          <w:i/>
          <w:lang w:eastAsia="sk-SK"/>
        </w:rPr>
      </w:pPr>
      <w:r w:rsidRPr="00155205">
        <w:rPr>
          <w:rFonts w:ascii="Times New Roman" w:eastAsia="Times New Roman" w:hAnsi="Times New Roman"/>
          <w:bCs/>
          <w:i/>
          <w:lang w:eastAsia="sk-SK"/>
        </w:rPr>
        <w:t>Sorbitol</w:t>
      </w:r>
    </w:p>
    <w:p w:rsidR="006D61A1" w:rsidRPr="00155205" w:rsidRDefault="006D61A1" w:rsidP="006D61A1">
      <w:pPr>
        <w:autoSpaceDE w:val="0"/>
        <w:autoSpaceDN w:val="0"/>
        <w:adjustRightInd w:val="0"/>
        <w:spacing w:after="0" w:line="240" w:lineRule="auto"/>
        <w:rPr>
          <w:rFonts w:ascii="Times New Roman" w:eastAsia="Times New Roman" w:hAnsi="Times New Roman"/>
          <w:bCs/>
          <w:lang w:eastAsia="sk-SK"/>
        </w:rPr>
      </w:pPr>
      <w:r w:rsidRPr="00155205">
        <w:rPr>
          <w:rFonts w:ascii="Times New Roman" w:eastAsia="Times New Roman" w:hAnsi="Times New Roman"/>
          <w:bCs/>
          <w:lang w:eastAsia="sk-SK"/>
        </w:rPr>
        <w:t>T</w:t>
      </w:r>
      <w:r w:rsidR="00CA59DA" w:rsidRPr="00155205">
        <w:rPr>
          <w:rFonts w:ascii="Times New Roman" w:eastAsia="Times New Roman" w:hAnsi="Times New Roman"/>
          <w:bCs/>
          <w:lang w:eastAsia="sk-SK"/>
        </w:rPr>
        <w:t>eldipin</w:t>
      </w:r>
      <w:r w:rsidRPr="00155205">
        <w:rPr>
          <w:rFonts w:ascii="Times New Roman" w:eastAsia="Times New Roman" w:hAnsi="Times New Roman"/>
          <w:bCs/>
          <w:lang w:eastAsia="sk-SK"/>
        </w:rPr>
        <w:t xml:space="preserve"> obsahuje sorbitol.  Pacienti so zriedkavými dedičnými problémami intolerancie fruktózy nemajú užívať tento liek.</w:t>
      </w:r>
    </w:p>
    <w:p w:rsidR="00FD2D5B" w:rsidRPr="00155205" w:rsidRDefault="00FD2D5B" w:rsidP="00FD2D5B">
      <w:pPr>
        <w:spacing w:after="0" w:line="240" w:lineRule="auto"/>
        <w:rPr>
          <w:rFonts w:ascii="Times New Roman" w:hAnsi="Times New Roman"/>
          <w:iCs/>
          <w:lang w:eastAsia="sk-SK"/>
        </w:rPr>
      </w:pPr>
    </w:p>
    <w:p w:rsidR="00FD2D5B" w:rsidRPr="00155205" w:rsidRDefault="00FD2D5B" w:rsidP="00FD2D5B">
      <w:pPr>
        <w:numPr>
          <w:ilvl w:val="1"/>
          <w:numId w:val="2"/>
        </w:numPr>
        <w:spacing w:after="0" w:line="240" w:lineRule="auto"/>
        <w:rPr>
          <w:rFonts w:ascii="Times New Roman" w:hAnsi="Times New Roman"/>
          <w:b/>
          <w:noProof/>
          <w:lang w:eastAsia="sk-SK"/>
        </w:rPr>
      </w:pPr>
      <w:r w:rsidRPr="00155205">
        <w:rPr>
          <w:rFonts w:ascii="Times New Roman" w:hAnsi="Times New Roman"/>
          <w:b/>
          <w:noProof/>
          <w:lang w:eastAsia="sk-SK"/>
        </w:rPr>
        <w:t>Liekové a iné interakcie</w:t>
      </w:r>
    </w:p>
    <w:p w:rsidR="00FD2D5B" w:rsidRPr="00155205" w:rsidRDefault="00FD2D5B" w:rsidP="00FD2D5B">
      <w:pPr>
        <w:spacing w:after="0" w:line="240" w:lineRule="auto"/>
        <w:rPr>
          <w:rFonts w:ascii="Times New Roman" w:hAnsi="Times New Roman"/>
          <w:iCs/>
          <w:lang w:eastAsia="sk-SK"/>
        </w:rPr>
      </w:pPr>
    </w:p>
    <w:p w:rsidR="008D6E53" w:rsidRPr="00155205" w:rsidRDefault="008D6E53" w:rsidP="00FD2D5B">
      <w:pPr>
        <w:spacing w:after="0" w:line="240" w:lineRule="auto"/>
        <w:rPr>
          <w:rFonts w:ascii="Times New Roman" w:hAnsi="Times New Roman"/>
          <w:iCs/>
          <w:u w:val="single"/>
          <w:lang w:eastAsia="sk-SK"/>
        </w:rPr>
      </w:pPr>
      <w:r w:rsidRPr="00155205">
        <w:rPr>
          <w:rFonts w:ascii="Times New Roman" w:hAnsi="Times New Roman"/>
          <w:iCs/>
          <w:u w:val="single"/>
          <w:lang w:eastAsia="sk-SK"/>
        </w:rPr>
        <w:t>Interakcie súvisiace s telmisartanom</w:t>
      </w: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Digoxín</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Ak sa telmisartan súbežne podával s digoxínom, pozoroval sa medián zvýšenia maximálnej plazmatickej koncentrácie (49 %) a minimálnej koncentrácie (20 %) digoxínu. Pri začatí </w:t>
      </w:r>
      <w:r w:rsidR="001D44C6" w:rsidRPr="00155205">
        <w:rPr>
          <w:rFonts w:ascii="Times New Roman" w:eastAsia="Times New Roman" w:hAnsi="Times New Roman"/>
          <w:lang w:eastAsia="sk-SK"/>
        </w:rPr>
        <w:t>liečby</w:t>
      </w:r>
      <w:r w:rsidRPr="00155205">
        <w:rPr>
          <w:rFonts w:ascii="Times New Roman" w:eastAsia="Times New Roman" w:hAnsi="Times New Roman"/>
          <w:lang w:eastAsia="sk-SK"/>
        </w:rPr>
        <w:t xml:space="preserve">,  úprave dávkovania a </w:t>
      </w:r>
      <w:r w:rsidR="001D44C6" w:rsidRPr="00155205">
        <w:rPr>
          <w:rFonts w:ascii="Times New Roman" w:eastAsia="Times New Roman" w:hAnsi="Times New Roman"/>
          <w:lang w:eastAsia="sk-SK"/>
        </w:rPr>
        <w:t>ukonče</w:t>
      </w:r>
      <w:r w:rsidRPr="00155205">
        <w:rPr>
          <w:rFonts w:ascii="Times New Roman" w:eastAsia="Times New Roman" w:hAnsi="Times New Roman"/>
          <w:lang w:eastAsia="sk-SK"/>
        </w:rPr>
        <w:t xml:space="preserve">ní </w:t>
      </w:r>
      <w:r w:rsidR="001D44C6" w:rsidRPr="00155205">
        <w:rPr>
          <w:rFonts w:ascii="Times New Roman" w:eastAsia="Times New Roman" w:hAnsi="Times New Roman"/>
          <w:lang w:eastAsia="sk-SK"/>
        </w:rPr>
        <w:t xml:space="preserve">liečby </w:t>
      </w:r>
      <w:r w:rsidRPr="00155205">
        <w:rPr>
          <w:rFonts w:ascii="Times New Roman" w:eastAsia="Times New Roman" w:hAnsi="Times New Roman"/>
          <w:lang w:eastAsia="sk-SK"/>
        </w:rPr>
        <w:t>telmisartan</w:t>
      </w:r>
      <w:r w:rsidR="001D44C6" w:rsidRPr="00155205">
        <w:rPr>
          <w:rFonts w:ascii="Times New Roman" w:eastAsia="Times New Roman" w:hAnsi="Times New Roman"/>
          <w:lang w:eastAsia="sk-SK"/>
        </w:rPr>
        <w:t>om</w:t>
      </w:r>
      <w:r w:rsidRPr="00155205">
        <w:rPr>
          <w:rFonts w:ascii="Times New Roman" w:eastAsia="Times New Roman" w:hAnsi="Times New Roman"/>
          <w:lang w:eastAsia="sk-SK"/>
        </w:rPr>
        <w:t xml:space="preserve"> monitorujte hladiny digoxínu, aby sa udržali v terapeutickom rozsahu.</w:t>
      </w:r>
    </w:p>
    <w:p w:rsidR="008D6E53" w:rsidRPr="00155205" w:rsidRDefault="008D6E53" w:rsidP="008D6E53">
      <w:pPr>
        <w:spacing w:after="0" w:line="240" w:lineRule="auto"/>
        <w:rPr>
          <w:rFonts w:ascii="Times New Roman" w:hAnsi="Times New Roman"/>
          <w:iCs/>
          <w:lang w:eastAsia="sk-SK"/>
        </w:rPr>
      </w:pPr>
    </w:p>
    <w:p w:rsidR="008D6E53" w:rsidRPr="00155205" w:rsidRDefault="008D6E53" w:rsidP="008D6E53">
      <w:pPr>
        <w:spacing w:after="0" w:line="240" w:lineRule="auto"/>
        <w:rPr>
          <w:rFonts w:ascii="Times New Roman" w:hAnsi="Times New Roman"/>
          <w:iCs/>
          <w:lang w:eastAsia="sk-SK"/>
        </w:rPr>
      </w:pPr>
      <w:r w:rsidRPr="00155205">
        <w:rPr>
          <w:rFonts w:ascii="Times New Roman" w:hAnsi="Times New Roman"/>
          <w:iCs/>
          <w:lang w:eastAsia="sk-SK"/>
        </w:rPr>
        <w:t xml:space="preserve">Tak ako iné lieky účinkujúce na systém renín-angiotenzín-aldosterón, telmisartan môže vyvolať hyperkaliémiu (pozri časť 4.4). Riziko sa môže zvýšiť v prípade liečby kombináciou s inými liekmi,  ktoré </w:t>
      </w:r>
      <w:r w:rsidR="001B6682" w:rsidRPr="00155205">
        <w:rPr>
          <w:rFonts w:ascii="Times New Roman" w:hAnsi="Times New Roman"/>
          <w:iCs/>
          <w:lang w:eastAsia="sk-SK"/>
        </w:rPr>
        <w:t xml:space="preserve">tiež </w:t>
      </w:r>
      <w:r w:rsidRPr="00155205">
        <w:rPr>
          <w:rFonts w:ascii="Times New Roman" w:hAnsi="Times New Roman"/>
          <w:iCs/>
          <w:lang w:eastAsia="sk-SK"/>
        </w:rPr>
        <w:t>môžu vyvolať hyperkaliémiu: náhrady sol</w:t>
      </w:r>
      <w:r w:rsidR="001B6682" w:rsidRPr="00155205">
        <w:rPr>
          <w:rFonts w:ascii="Times New Roman" w:hAnsi="Times New Roman"/>
          <w:iCs/>
          <w:lang w:eastAsia="sk-SK"/>
        </w:rPr>
        <w:t>i</w:t>
      </w:r>
      <w:r w:rsidRPr="00155205">
        <w:rPr>
          <w:rFonts w:ascii="Times New Roman" w:hAnsi="Times New Roman"/>
          <w:iCs/>
          <w:lang w:eastAsia="sk-SK"/>
        </w:rPr>
        <w:t xml:space="preserve"> s obsahom draslíka, draslík šetriace diuretiká, ACE inhibítory, antagonisty receptorov angiotenzínu II, nesteroidné protizápalové lieky (NSA, vrátane selektívnych COX-2 inhibítorov), heparín, imunosupresíva (cyklosporín alebo takrolimus) a</w:t>
      </w:r>
      <w:r w:rsidR="00DE6FBD" w:rsidRPr="00155205">
        <w:rPr>
          <w:rFonts w:ascii="Times New Roman" w:hAnsi="Times New Roman"/>
          <w:iCs/>
          <w:lang w:eastAsia="sk-SK"/>
        </w:rPr>
        <w:t> </w:t>
      </w:r>
      <w:r w:rsidRPr="00155205">
        <w:rPr>
          <w:rFonts w:ascii="Times New Roman" w:hAnsi="Times New Roman"/>
          <w:iCs/>
          <w:lang w:eastAsia="sk-SK"/>
        </w:rPr>
        <w:t>trimetoprim.</w:t>
      </w:r>
    </w:p>
    <w:p w:rsidR="008D6E53" w:rsidRPr="00155205" w:rsidRDefault="008D6E53" w:rsidP="008D6E53">
      <w:pPr>
        <w:spacing w:after="0" w:line="240" w:lineRule="auto"/>
        <w:rPr>
          <w:rFonts w:ascii="Times New Roman" w:hAnsi="Times New Roman"/>
          <w:iCs/>
          <w:lang w:eastAsia="sk-SK"/>
        </w:rPr>
      </w:pPr>
    </w:p>
    <w:p w:rsidR="008D6E53" w:rsidRPr="00155205" w:rsidRDefault="008D6E53" w:rsidP="008D6E53">
      <w:pPr>
        <w:spacing w:after="0" w:line="240" w:lineRule="auto"/>
        <w:rPr>
          <w:rFonts w:ascii="Times New Roman" w:hAnsi="Times New Roman"/>
          <w:iCs/>
          <w:lang w:eastAsia="sk-SK"/>
        </w:rPr>
      </w:pPr>
      <w:r w:rsidRPr="00155205">
        <w:rPr>
          <w:rFonts w:ascii="Times New Roman" w:hAnsi="Times New Roman"/>
          <w:iCs/>
          <w:lang w:eastAsia="sk-SK"/>
        </w:rPr>
        <w:t xml:space="preserve">Výskyt hyperkaliémie závisí od pridružených rizikových faktorov. Riziko sa zvyšuje v prípade vyššie uvedených liečebných kombinácií. Riziko je obzvlášť vysoké pri kombinácii </w:t>
      </w:r>
      <w:r w:rsidR="003302A0" w:rsidRPr="00155205">
        <w:rPr>
          <w:rFonts w:ascii="Times New Roman" w:hAnsi="Times New Roman"/>
          <w:iCs/>
          <w:lang w:eastAsia="sk-SK"/>
        </w:rPr>
        <w:t xml:space="preserve">s </w:t>
      </w:r>
      <w:r w:rsidRPr="00155205">
        <w:rPr>
          <w:rFonts w:ascii="Times New Roman" w:hAnsi="Times New Roman"/>
          <w:iCs/>
          <w:lang w:eastAsia="sk-SK"/>
        </w:rPr>
        <w:t>draslík šetriaci</w:t>
      </w:r>
      <w:r w:rsidR="003302A0" w:rsidRPr="00155205">
        <w:rPr>
          <w:rFonts w:ascii="Times New Roman" w:hAnsi="Times New Roman"/>
          <w:iCs/>
          <w:lang w:eastAsia="sk-SK"/>
        </w:rPr>
        <w:t>mi</w:t>
      </w:r>
      <w:r w:rsidRPr="00155205">
        <w:rPr>
          <w:rFonts w:ascii="Times New Roman" w:hAnsi="Times New Roman"/>
          <w:iCs/>
          <w:lang w:eastAsia="sk-SK"/>
        </w:rPr>
        <w:t xml:space="preserve"> diuret</w:t>
      </w:r>
      <w:r w:rsidR="003302A0" w:rsidRPr="00155205">
        <w:rPr>
          <w:rFonts w:ascii="Times New Roman" w:hAnsi="Times New Roman"/>
          <w:iCs/>
          <w:lang w:eastAsia="sk-SK"/>
        </w:rPr>
        <w:t>ikami</w:t>
      </w:r>
      <w:r w:rsidRPr="00155205">
        <w:rPr>
          <w:rFonts w:ascii="Times New Roman" w:hAnsi="Times New Roman"/>
          <w:iCs/>
          <w:lang w:eastAsia="sk-SK"/>
        </w:rPr>
        <w:t xml:space="preserve"> </w:t>
      </w:r>
      <w:r w:rsidR="003302A0" w:rsidRPr="00155205">
        <w:rPr>
          <w:rFonts w:ascii="Times New Roman" w:hAnsi="Times New Roman"/>
          <w:iCs/>
          <w:lang w:eastAsia="sk-SK"/>
        </w:rPr>
        <w:t>a pri kombinácii s</w:t>
      </w:r>
      <w:r w:rsidRPr="00155205">
        <w:rPr>
          <w:rFonts w:ascii="Times New Roman" w:hAnsi="Times New Roman"/>
          <w:iCs/>
          <w:lang w:eastAsia="sk-SK"/>
        </w:rPr>
        <w:t xml:space="preserve"> náhradami solí s obsahom draslíka. Napríklad kombinácia s ACE inhibítormi alebo NSA predstavuje nižšie riziko za predpokladu prísneho dodržania odporúčaní pre používanie.</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t>Súbežné použitie, ktoré sa neodporúča</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Draslík šetriace diuretiká a doplnky draslíka</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Antagonisty receptor</w:t>
      </w:r>
      <w:r w:rsidR="00C03051"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w:t>
      </w:r>
      <w:r w:rsidR="00A57258" w:rsidRPr="00155205">
        <w:rPr>
          <w:rFonts w:ascii="Times New Roman" w:eastAsia="Times New Roman" w:hAnsi="Times New Roman"/>
          <w:lang w:eastAsia="sk-SK"/>
        </w:rPr>
        <w:t>, ako je telmisartan,</w:t>
      </w:r>
      <w:r w:rsidRPr="00155205">
        <w:rPr>
          <w:rFonts w:ascii="Times New Roman" w:eastAsia="Times New Roman" w:hAnsi="Times New Roman"/>
          <w:lang w:eastAsia="sk-SK"/>
        </w:rPr>
        <w:t xml:space="preserve"> zmierňujú straty draslíka spôsobené diuretikami. Draslík šetriace diuretiká, napr. spironolaktón, eplerenón, triamterén alebo amilorid, doplnky draslíka alebo náhrady sol</w:t>
      </w:r>
      <w:r w:rsidR="00C03051" w:rsidRPr="00155205">
        <w:rPr>
          <w:rFonts w:ascii="Times New Roman" w:eastAsia="Times New Roman" w:hAnsi="Times New Roman"/>
          <w:lang w:eastAsia="sk-SK"/>
        </w:rPr>
        <w:t>i</w:t>
      </w:r>
      <w:r w:rsidRPr="00155205">
        <w:rPr>
          <w:rFonts w:ascii="Times New Roman" w:eastAsia="Times New Roman" w:hAnsi="Times New Roman"/>
          <w:lang w:eastAsia="sk-SK"/>
        </w:rPr>
        <w:t xml:space="preserve"> s obsahom draslíka môžu viesť k signifikantnému zvýšeniu sérového draslíka. Ak je súbežné použitie týchto liečiv indikované pri dokázanej hypokaliémii, majú sa užívať veľmi opatrne a majú sa pravidelne monitorovať sérové hladiny draslíka.</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lastRenderedPageBreak/>
        <w:t>Lítium</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Počas súbežného podávania lítia s inhibítormi angiotenzín konvertujúceho enzýmu a s antagonistami receptor</w:t>
      </w:r>
      <w:r w:rsidR="00255DFE"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vrátane telmisartanu, boli hlásené reverzibilné zvýšenia sérových koncentrácií lítia a toxicita. Ak sa ukáže nevyhnutnosť použitia takejto kombinácie, odporúča sa dôkladné monitorovanie hladín lítia v sére.</w:t>
      </w:r>
    </w:p>
    <w:p w:rsidR="008D6E53" w:rsidRPr="00155205" w:rsidRDefault="008D6E53" w:rsidP="008D6E53">
      <w:pPr>
        <w:autoSpaceDE w:val="0"/>
        <w:autoSpaceDN w:val="0"/>
        <w:adjustRightInd w:val="0"/>
        <w:spacing w:after="0" w:line="240" w:lineRule="auto"/>
        <w:rPr>
          <w:rFonts w:ascii="Times New Roman" w:eastAsia="Times New Roman" w:hAnsi="Times New Roman"/>
          <w:iCs/>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t xml:space="preserve">Súbežné použitie, ktoré vyžaduje </w:t>
      </w:r>
      <w:r w:rsidR="00957E5C" w:rsidRPr="00155205">
        <w:rPr>
          <w:rFonts w:ascii="Times New Roman" w:eastAsia="Times New Roman" w:hAnsi="Times New Roman"/>
          <w:i/>
          <w:iCs/>
          <w:lang w:eastAsia="sk-SK"/>
        </w:rPr>
        <w:t>opatrnosť</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Nesteroidné protizápalové lieky</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NSA (t.j. acetylsalicylová kyselina v protizápalových dávkovacích režimoch, COX-2 inhibítory a neselektívne NSA) môžu znížiť antihypertenz</w:t>
      </w:r>
      <w:r w:rsidR="00ED6650" w:rsidRPr="00155205">
        <w:rPr>
          <w:rFonts w:ascii="Times New Roman" w:eastAsia="Times New Roman" w:hAnsi="Times New Roman"/>
          <w:lang w:eastAsia="sk-SK"/>
        </w:rPr>
        <w:t>ívny</w:t>
      </w:r>
      <w:r w:rsidRPr="00155205">
        <w:rPr>
          <w:rFonts w:ascii="Times New Roman" w:eastAsia="Times New Roman" w:hAnsi="Times New Roman"/>
          <w:lang w:eastAsia="sk-SK"/>
        </w:rPr>
        <w:t xml:space="preserve"> účinok antagonistov receptor</w:t>
      </w:r>
      <w:r w:rsidR="004B3367"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U niektorých pacientov so zníženou funkciou obličiek (napr. dehydratovaní pacienti alebo starší pacienti so zníženou funkciou obličiek)</w:t>
      </w:r>
      <w:r w:rsidR="004B3367"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sú</w:t>
      </w:r>
      <w:r w:rsidR="004B3367" w:rsidRPr="00155205">
        <w:rPr>
          <w:rFonts w:ascii="Times New Roman" w:eastAsia="Times New Roman" w:hAnsi="Times New Roman"/>
          <w:lang w:eastAsia="sk-SK"/>
        </w:rPr>
        <w:t>bež</w:t>
      </w:r>
      <w:r w:rsidRPr="00155205">
        <w:rPr>
          <w:rFonts w:ascii="Times New Roman" w:eastAsia="Times New Roman" w:hAnsi="Times New Roman"/>
          <w:lang w:eastAsia="sk-SK"/>
        </w:rPr>
        <w:t>né podávanie antagonistov receptor</w:t>
      </w:r>
      <w:r w:rsidR="004B3367"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a </w:t>
      </w:r>
      <w:r w:rsidR="004B3367" w:rsidRPr="00155205">
        <w:rPr>
          <w:rFonts w:ascii="Times New Roman" w:eastAsia="Times New Roman" w:hAnsi="Times New Roman"/>
          <w:lang w:eastAsia="sk-SK"/>
        </w:rPr>
        <w:t>liečiv</w:t>
      </w:r>
      <w:r w:rsidRPr="00155205">
        <w:rPr>
          <w:rFonts w:ascii="Times New Roman" w:eastAsia="Times New Roman" w:hAnsi="Times New Roman"/>
          <w:lang w:eastAsia="sk-SK"/>
        </w:rPr>
        <w:t xml:space="preserve">  inhibujú</w:t>
      </w:r>
      <w:r w:rsidR="004B3367" w:rsidRPr="00155205">
        <w:rPr>
          <w:rFonts w:ascii="Times New Roman" w:eastAsia="Times New Roman" w:hAnsi="Times New Roman"/>
          <w:lang w:eastAsia="sk-SK"/>
        </w:rPr>
        <w:t>cich</w:t>
      </w:r>
      <w:r w:rsidRPr="00155205">
        <w:rPr>
          <w:rFonts w:ascii="Times New Roman" w:eastAsia="Times New Roman" w:hAnsi="Times New Roman"/>
          <w:lang w:eastAsia="sk-SK"/>
        </w:rPr>
        <w:t xml:space="preserve"> cyklooxygenázu, môže viesť k ďalšiemu zhoršeniu funkcie obličiek, vrátane možného akútneho zlyhania obličiek, ktoré je zvyčajne reverzibilné. </w:t>
      </w:r>
      <w:r w:rsidR="00A57258" w:rsidRPr="00155205">
        <w:rPr>
          <w:rFonts w:ascii="Times New Roman" w:eastAsia="Times New Roman" w:hAnsi="Times New Roman"/>
          <w:lang w:eastAsia="sk-SK"/>
        </w:rPr>
        <w:t>P</w:t>
      </w:r>
      <w:r w:rsidRPr="00155205">
        <w:rPr>
          <w:rFonts w:ascii="Times New Roman" w:eastAsia="Times New Roman" w:hAnsi="Times New Roman"/>
          <w:lang w:eastAsia="sk-SK"/>
        </w:rPr>
        <w:t>reto sa má táto kombinácia podávať veľmi opatrne</w:t>
      </w:r>
      <w:r w:rsidR="004B3367"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obzvlášť u starších </w:t>
      </w:r>
      <w:r w:rsidR="004B3367" w:rsidRPr="00155205">
        <w:rPr>
          <w:rFonts w:ascii="Times New Roman" w:eastAsia="Times New Roman" w:hAnsi="Times New Roman"/>
          <w:lang w:eastAsia="sk-SK"/>
        </w:rPr>
        <w:t>ľudí</w:t>
      </w:r>
      <w:r w:rsidRPr="00155205">
        <w:rPr>
          <w:rFonts w:ascii="Times New Roman" w:eastAsia="Times New Roman" w:hAnsi="Times New Roman"/>
          <w:lang w:eastAsia="sk-SK"/>
        </w:rPr>
        <w:t>. Pacienti majú byť dostatočne hydratovaní, má sa zvážiť monitorovanie obličkových funkcií po začat</w:t>
      </w:r>
      <w:r w:rsidR="004B3367" w:rsidRPr="00155205">
        <w:rPr>
          <w:rFonts w:ascii="Times New Roman" w:eastAsia="Times New Roman" w:hAnsi="Times New Roman"/>
          <w:lang w:eastAsia="sk-SK"/>
        </w:rPr>
        <w:t>í</w:t>
      </w:r>
      <w:r w:rsidRPr="00155205">
        <w:rPr>
          <w:rFonts w:ascii="Times New Roman" w:eastAsia="Times New Roman" w:hAnsi="Times New Roman"/>
          <w:lang w:eastAsia="sk-SK"/>
        </w:rPr>
        <w:t xml:space="preserve"> súbežnej liečby a pravidelne počas jej trvania.</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V jednej štúdii súbežné podávanie telmisartanu a ramiprilu viedlo k 2,5-násobnému zvýšeniu AUC</w:t>
      </w:r>
      <w:r w:rsidRPr="00155205">
        <w:rPr>
          <w:rFonts w:ascii="Times New Roman" w:eastAsia="Times New Roman" w:hAnsi="Times New Roman"/>
          <w:vertAlign w:val="subscript"/>
          <w:lang w:eastAsia="sk-SK"/>
        </w:rPr>
        <w:t>0-24</w:t>
      </w:r>
      <w:r w:rsidRPr="00155205">
        <w:rPr>
          <w:rFonts w:ascii="Times New Roman" w:eastAsia="Times New Roman" w:hAnsi="Times New Roman"/>
          <w:lang w:eastAsia="sk-SK"/>
        </w:rPr>
        <w:t xml:space="preserve"> a C</w:t>
      </w:r>
      <w:r w:rsidRPr="00155205">
        <w:rPr>
          <w:rFonts w:ascii="Times New Roman" w:eastAsia="Times New Roman" w:hAnsi="Times New Roman"/>
          <w:vertAlign w:val="subscript"/>
          <w:lang w:eastAsia="sk-SK"/>
        </w:rPr>
        <w:t>max</w:t>
      </w:r>
      <w:r w:rsidRPr="00155205">
        <w:rPr>
          <w:rFonts w:ascii="Times New Roman" w:eastAsia="Times New Roman" w:hAnsi="Times New Roman"/>
          <w:lang w:eastAsia="sk-SK"/>
        </w:rPr>
        <w:t xml:space="preserve"> ramiprilu a ramiprilátu. Klinick</w:t>
      </w:r>
      <w:r w:rsidR="00DE6FBD" w:rsidRPr="00155205">
        <w:rPr>
          <w:rFonts w:ascii="Times New Roman" w:eastAsia="Times New Roman" w:hAnsi="Times New Roman"/>
          <w:lang w:eastAsia="sk-SK"/>
        </w:rPr>
        <w:t>ý</w:t>
      </w:r>
      <w:r w:rsidRPr="00155205">
        <w:rPr>
          <w:rFonts w:ascii="Times New Roman" w:eastAsia="Times New Roman" w:hAnsi="Times New Roman"/>
          <w:lang w:eastAsia="sk-SK"/>
        </w:rPr>
        <w:t xml:space="preserve"> význam tohto pozorovania nie je znám</w:t>
      </w:r>
      <w:r w:rsidR="00DE6FBD" w:rsidRPr="00155205">
        <w:rPr>
          <w:rFonts w:ascii="Times New Roman" w:eastAsia="Times New Roman" w:hAnsi="Times New Roman"/>
          <w:lang w:eastAsia="sk-SK"/>
        </w:rPr>
        <w:t>y</w:t>
      </w:r>
      <w:r w:rsidRPr="00155205">
        <w:rPr>
          <w:rFonts w:ascii="Times New Roman" w:eastAsia="Times New Roman" w:hAnsi="Times New Roman"/>
          <w:lang w:eastAsia="sk-SK"/>
        </w:rPr>
        <w:t>.</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Diuretiká (tiazidové alebo slučkové diuretiká)</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Predchádzajúca liečba s vysokými dávkami diuretík</w:t>
      </w:r>
      <w:r w:rsidR="00A57258"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ako je furosemid (slučkové diuretikum) a hydrochlorotiazid (tiazidové diuretikum), môže viesť k hypovolémii a riziku hypotenzie</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pri začatí liečby telmisartanom.</w:t>
      </w:r>
    </w:p>
    <w:p w:rsidR="008D6E53" w:rsidRPr="00155205" w:rsidRDefault="008D6E53" w:rsidP="008D6E53">
      <w:pPr>
        <w:autoSpaceDE w:val="0"/>
        <w:autoSpaceDN w:val="0"/>
        <w:adjustRightInd w:val="0"/>
        <w:spacing w:after="0" w:line="240" w:lineRule="auto"/>
        <w:rPr>
          <w:rFonts w:ascii="Times New Roman" w:eastAsia="Times New Roman" w:hAnsi="Times New Roman"/>
          <w:iCs/>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t>Pri súbežnom používaní treba vziať do úvahy</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Iné antihypertenz</w:t>
      </w:r>
      <w:r w:rsidR="000D41B5" w:rsidRPr="00155205">
        <w:rPr>
          <w:rFonts w:ascii="Times New Roman" w:eastAsia="Times New Roman" w:hAnsi="Times New Roman"/>
          <w:u w:val="single"/>
          <w:lang w:eastAsia="sk-SK"/>
        </w:rPr>
        <w:t>íva</w:t>
      </w:r>
    </w:p>
    <w:p w:rsidR="008D6E53" w:rsidRPr="00155205" w:rsidRDefault="00CF4795" w:rsidP="00CF4795">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Údaje z klinických skúšaní ukázali, že duálna inhibícia systému renín-angiotenzín-aldosterón (RAAS) kombinovaným použitím inhibítorov ACE, blokátorov receptorov angiotenzínu II alebo aliskirénu sa spája s vyššou frekvenciou nežiaducich udalostí ako sú hypotenzia, hyperkaliémia a znížená funkcia obličiek (vrátane akútneho zlyhania obličiek), v porovnaní s použitím látky ovplyvňujúcej RAAS v monoterapii (pozri časti 4.3, 4.4 a 5.1).</w:t>
      </w:r>
    </w:p>
    <w:p w:rsidR="00CF4795" w:rsidRPr="00155205" w:rsidRDefault="00CF4795" w:rsidP="00CF4795">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Na základe farmakologických vlastností možno očakávať, že hypotenzný účinok všetkých antihypertenzív vrátane telmisartanu môžu zosilniť nasled</w:t>
      </w:r>
      <w:r w:rsidR="000D41B5" w:rsidRPr="00155205">
        <w:rPr>
          <w:rFonts w:ascii="Times New Roman" w:eastAsia="Times New Roman" w:hAnsi="Times New Roman"/>
          <w:lang w:eastAsia="sk-SK"/>
        </w:rPr>
        <w:t>ujúce</w:t>
      </w:r>
      <w:r w:rsidRPr="00155205">
        <w:rPr>
          <w:rFonts w:ascii="Times New Roman" w:eastAsia="Times New Roman" w:hAnsi="Times New Roman"/>
          <w:lang w:eastAsia="sk-SK"/>
        </w:rPr>
        <w:t xml:space="preserve"> lieky: baklofén, amifostín. Navyše, ortostatická hypotenzia môže byť zhoršená alkoholom, barbiturátmi, narkotikami alebo antidepresívami.</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p>
    <w:p w:rsidR="008D6E53" w:rsidRPr="00155205" w:rsidRDefault="008D6E53" w:rsidP="008D6E53">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Kortikosteroidy (systémové užívanie)</w:t>
      </w:r>
    </w:p>
    <w:p w:rsidR="008D6E53" w:rsidRPr="00155205" w:rsidRDefault="008D6E53" w:rsidP="008D6E53">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Zníženie antihypertenzného účinku.</w:t>
      </w:r>
    </w:p>
    <w:p w:rsidR="008D6E53" w:rsidRPr="00155205" w:rsidRDefault="008D6E53" w:rsidP="008D6E53">
      <w:pPr>
        <w:autoSpaceDE w:val="0"/>
        <w:autoSpaceDN w:val="0"/>
        <w:adjustRightInd w:val="0"/>
        <w:spacing w:after="0" w:line="240" w:lineRule="auto"/>
        <w:rPr>
          <w:rFonts w:ascii="Times New Roman" w:eastAsia="Times New Roman" w:hAnsi="Times New Roman"/>
          <w:b/>
          <w:bCs/>
          <w:lang w:eastAsia="sk-SK"/>
        </w:rPr>
      </w:pPr>
    </w:p>
    <w:p w:rsidR="00CF4795" w:rsidRPr="00155205" w:rsidRDefault="00CF4795" w:rsidP="00FD2D5B">
      <w:pPr>
        <w:spacing w:after="0" w:line="240" w:lineRule="auto"/>
        <w:rPr>
          <w:rFonts w:ascii="Times New Roman" w:hAnsi="Times New Roman"/>
          <w:i/>
          <w:iCs/>
          <w:u w:val="single"/>
          <w:lang w:eastAsia="sk-SK"/>
        </w:rPr>
      </w:pPr>
      <w:r w:rsidRPr="00155205">
        <w:rPr>
          <w:rFonts w:ascii="Times New Roman" w:hAnsi="Times New Roman"/>
          <w:i/>
          <w:iCs/>
          <w:u w:val="single"/>
          <w:lang w:eastAsia="sk-SK"/>
        </w:rPr>
        <w:t>Interakcie súvisiace s amlodipínom</w:t>
      </w:r>
    </w:p>
    <w:p w:rsidR="00CF4795" w:rsidRPr="00155205" w:rsidRDefault="00CF4795" w:rsidP="00FD2D5B">
      <w:pPr>
        <w:spacing w:after="0" w:line="240" w:lineRule="auto"/>
        <w:rPr>
          <w:rFonts w:ascii="Times New Roman" w:hAnsi="Times New Roman"/>
          <w:i/>
          <w:iCs/>
          <w:u w:val="single"/>
          <w:lang w:eastAsia="sk-SK"/>
        </w:rPr>
      </w:pPr>
    </w:p>
    <w:p w:rsidR="008D6E53" w:rsidRPr="00155205" w:rsidRDefault="00CF4795" w:rsidP="00FD2D5B">
      <w:pPr>
        <w:spacing w:after="0" w:line="240" w:lineRule="auto"/>
        <w:rPr>
          <w:rFonts w:ascii="Times New Roman" w:hAnsi="Times New Roman"/>
          <w:i/>
          <w:iCs/>
          <w:lang w:eastAsia="sk-SK"/>
        </w:rPr>
      </w:pPr>
      <w:r w:rsidRPr="00155205">
        <w:rPr>
          <w:rFonts w:ascii="Times New Roman" w:hAnsi="Times New Roman"/>
          <w:i/>
          <w:iCs/>
          <w:lang w:eastAsia="sk-SK"/>
        </w:rPr>
        <w:t>Účinky iných liekov na amlodipín</w:t>
      </w:r>
    </w:p>
    <w:p w:rsidR="00CF4795" w:rsidRPr="00155205" w:rsidRDefault="00CF4795" w:rsidP="00CF4795">
      <w:pPr>
        <w:spacing w:after="0" w:line="240" w:lineRule="auto"/>
        <w:rPr>
          <w:rFonts w:ascii="Times New Roman" w:hAnsi="Times New Roman"/>
          <w:iCs/>
          <w:lang w:eastAsia="sk-SK"/>
        </w:rPr>
      </w:pPr>
    </w:p>
    <w:p w:rsidR="00CF4795" w:rsidRPr="00155205" w:rsidRDefault="00CF4795" w:rsidP="00CF4795">
      <w:pPr>
        <w:spacing w:after="0" w:line="240" w:lineRule="auto"/>
        <w:rPr>
          <w:rFonts w:ascii="Times New Roman" w:hAnsi="Times New Roman"/>
          <w:iCs/>
          <w:u w:val="single"/>
          <w:lang w:eastAsia="sk-SK"/>
        </w:rPr>
      </w:pPr>
      <w:r w:rsidRPr="00155205">
        <w:rPr>
          <w:rFonts w:ascii="Times New Roman" w:hAnsi="Times New Roman"/>
          <w:iCs/>
          <w:u w:val="single"/>
          <w:lang w:eastAsia="sk-SK"/>
        </w:rPr>
        <w:t xml:space="preserve">CYP3A4 inhibítory </w:t>
      </w:r>
    </w:p>
    <w:p w:rsidR="008D6E53" w:rsidRPr="00155205" w:rsidRDefault="00CF4795" w:rsidP="00CF4795">
      <w:pPr>
        <w:spacing w:after="0" w:line="240" w:lineRule="auto"/>
        <w:rPr>
          <w:rFonts w:ascii="Times New Roman" w:hAnsi="Times New Roman"/>
          <w:iCs/>
          <w:lang w:eastAsia="sk-SK"/>
        </w:rPr>
      </w:pPr>
      <w:r w:rsidRPr="00155205">
        <w:rPr>
          <w:rFonts w:ascii="Times New Roman" w:hAnsi="Times New Roman"/>
          <w:iCs/>
          <w:lang w:eastAsia="sk-SK"/>
        </w:rPr>
        <w:t xml:space="preserve">Súbežné používanie amlodipínu so silnými alebo stredne silnými CYP3A4 inhibítormi (inhibítory proteáz, azolové antimykotiká, makrolidy, ako erytromycín alebo klaritromycín, verapamil alebo diltiazem) môže </w:t>
      </w:r>
      <w:r w:rsidR="00457EC3" w:rsidRPr="00155205">
        <w:rPr>
          <w:rFonts w:ascii="Times New Roman" w:hAnsi="Times New Roman"/>
          <w:iCs/>
          <w:lang w:eastAsia="sk-SK"/>
        </w:rPr>
        <w:t>spôs</w:t>
      </w:r>
      <w:r w:rsidR="00ED6650" w:rsidRPr="00155205">
        <w:rPr>
          <w:rFonts w:ascii="Times New Roman" w:hAnsi="Times New Roman"/>
          <w:iCs/>
          <w:lang w:eastAsia="sk-SK"/>
        </w:rPr>
        <w:t>o</w:t>
      </w:r>
      <w:r w:rsidR="00457EC3" w:rsidRPr="00155205">
        <w:rPr>
          <w:rFonts w:ascii="Times New Roman" w:hAnsi="Times New Roman"/>
          <w:iCs/>
          <w:lang w:eastAsia="sk-SK"/>
        </w:rPr>
        <w:t>biť</w:t>
      </w:r>
      <w:r w:rsidRPr="00155205">
        <w:rPr>
          <w:rFonts w:ascii="Times New Roman" w:hAnsi="Times New Roman"/>
          <w:iCs/>
          <w:lang w:eastAsia="sk-SK"/>
        </w:rPr>
        <w:t xml:space="preserve"> výrazné zvýšeni</w:t>
      </w:r>
      <w:r w:rsidR="00457EC3" w:rsidRPr="00155205">
        <w:rPr>
          <w:rFonts w:ascii="Times New Roman" w:hAnsi="Times New Roman"/>
          <w:iCs/>
          <w:lang w:eastAsia="sk-SK"/>
        </w:rPr>
        <w:t>e</w:t>
      </w:r>
      <w:r w:rsidRPr="00155205">
        <w:rPr>
          <w:rFonts w:ascii="Times New Roman" w:hAnsi="Times New Roman"/>
          <w:iCs/>
          <w:lang w:eastAsia="sk-SK"/>
        </w:rPr>
        <w:t xml:space="preserve"> expozície amlodipínu</w:t>
      </w:r>
      <w:r w:rsidR="00AD5466" w:rsidRPr="00155205">
        <w:rPr>
          <w:rFonts w:ascii="Times New Roman" w:hAnsi="Times New Roman"/>
          <w:iCs/>
          <w:lang w:eastAsia="sk-SK"/>
        </w:rPr>
        <w:t xml:space="preserve">, </w:t>
      </w:r>
      <w:r w:rsidR="00457EC3" w:rsidRPr="00155205">
        <w:rPr>
          <w:rFonts w:ascii="Times New Roman" w:hAnsi="Times New Roman"/>
          <w:iCs/>
          <w:lang w:eastAsia="sk-SK"/>
        </w:rPr>
        <w:t>ktoré vedie k zvýšenému riziku hypotenzie</w:t>
      </w:r>
      <w:r w:rsidRPr="00155205">
        <w:rPr>
          <w:rFonts w:ascii="Times New Roman" w:hAnsi="Times New Roman"/>
          <w:iCs/>
          <w:lang w:eastAsia="sk-SK"/>
        </w:rPr>
        <w:t>. Klinický význam týchto farmakokinetických (FK) zmien môže byť výrazn</w:t>
      </w:r>
      <w:r w:rsidR="00AD5466" w:rsidRPr="00155205">
        <w:rPr>
          <w:rFonts w:ascii="Times New Roman" w:hAnsi="Times New Roman"/>
          <w:iCs/>
          <w:lang w:eastAsia="sk-SK"/>
        </w:rPr>
        <w:t>ejší</w:t>
      </w:r>
      <w:r w:rsidRPr="00155205">
        <w:rPr>
          <w:rFonts w:ascii="Times New Roman" w:hAnsi="Times New Roman"/>
          <w:iCs/>
          <w:lang w:eastAsia="sk-SK"/>
        </w:rPr>
        <w:t xml:space="preserve"> u starších </w:t>
      </w:r>
      <w:r w:rsidR="00AD5466" w:rsidRPr="00155205">
        <w:rPr>
          <w:rFonts w:ascii="Times New Roman" w:hAnsi="Times New Roman"/>
          <w:iCs/>
          <w:lang w:eastAsia="sk-SK"/>
        </w:rPr>
        <w:t>ľudí</w:t>
      </w:r>
      <w:r w:rsidRPr="00155205">
        <w:rPr>
          <w:rFonts w:ascii="Times New Roman" w:hAnsi="Times New Roman"/>
          <w:iCs/>
          <w:lang w:eastAsia="sk-SK"/>
        </w:rPr>
        <w:t>. Preto sa môže vyžadovať klinické monitorovanie a úprava dávky.</w:t>
      </w:r>
    </w:p>
    <w:p w:rsidR="00CF4795" w:rsidRPr="00155205" w:rsidRDefault="00CF4795" w:rsidP="00636A15">
      <w:pPr>
        <w:spacing w:after="0" w:line="240" w:lineRule="auto"/>
        <w:rPr>
          <w:rFonts w:ascii="Times New Roman" w:hAnsi="Times New Roman"/>
          <w:iCs/>
          <w:lang w:eastAsia="sk-SK"/>
        </w:rPr>
      </w:pPr>
    </w:p>
    <w:p w:rsidR="00636A15" w:rsidRPr="00155205" w:rsidRDefault="00636A15" w:rsidP="00636A15">
      <w:pPr>
        <w:tabs>
          <w:tab w:val="left" w:pos="567"/>
        </w:tabs>
        <w:spacing w:after="0" w:line="240" w:lineRule="auto"/>
        <w:outlineLvl w:val="0"/>
        <w:rPr>
          <w:rFonts w:ascii="Times New Roman" w:hAnsi="Times New Roman"/>
          <w:iCs/>
          <w:u w:val="single"/>
          <w:lang w:eastAsia="sk-SK"/>
        </w:rPr>
      </w:pPr>
      <w:r w:rsidRPr="00155205">
        <w:rPr>
          <w:rFonts w:ascii="Times New Roman" w:hAnsi="Times New Roman"/>
          <w:iCs/>
          <w:u w:val="single"/>
          <w:lang w:eastAsia="sk-SK"/>
        </w:rPr>
        <w:t>Klaritromycín</w:t>
      </w:r>
    </w:p>
    <w:p w:rsidR="00636A15" w:rsidRPr="00155205" w:rsidRDefault="00636A15" w:rsidP="00636A15">
      <w:pPr>
        <w:spacing w:after="0" w:line="240" w:lineRule="auto"/>
        <w:rPr>
          <w:rFonts w:ascii="Times New Roman" w:hAnsi="Times New Roman"/>
          <w:iCs/>
          <w:lang w:eastAsia="sk-SK"/>
        </w:rPr>
      </w:pPr>
      <w:r w:rsidRPr="00155205">
        <w:rPr>
          <w:rFonts w:ascii="Times New Roman" w:hAnsi="Times New Roman"/>
          <w:iCs/>
          <w:lang w:eastAsia="sk-SK"/>
        </w:rPr>
        <w:lastRenderedPageBreak/>
        <w:t xml:space="preserve">Klaritromycín je inhibítorom CYP3A4. Hrozí zvýšené riziko hypotenzie u pacientov užívajúcich klaritromycín s amlodipínom. Ak je amlodipín podávaný súbežne s klaritromycínom, odporúča sa </w:t>
      </w:r>
      <w:r w:rsidR="00B17C27" w:rsidRPr="00155205">
        <w:rPr>
          <w:rFonts w:ascii="Times New Roman" w:hAnsi="Times New Roman"/>
          <w:iCs/>
          <w:lang w:eastAsia="sk-SK"/>
        </w:rPr>
        <w:t>dôsledné</w:t>
      </w:r>
      <w:r w:rsidRPr="00155205">
        <w:rPr>
          <w:rFonts w:ascii="Times New Roman" w:hAnsi="Times New Roman"/>
          <w:iCs/>
          <w:lang w:eastAsia="sk-SK"/>
        </w:rPr>
        <w:t xml:space="preserve"> sledovanie pacientov.</w:t>
      </w:r>
    </w:p>
    <w:p w:rsidR="00636A15" w:rsidRPr="00155205" w:rsidRDefault="00636A15" w:rsidP="00636A15">
      <w:pPr>
        <w:spacing w:after="0" w:line="240" w:lineRule="auto"/>
        <w:rPr>
          <w:rFonts w:ascii="Times New Roman" w:hAnsi="Times New Roman"/>
          <w:iCs/>
          <w:lang w:eastAsia="sk-SK"/>
        </w:rPr>
      </w:pPr>
    </w:p>
    <w:p w:rsidR="00CF4795" w:rsidRPr="00155205" w:rsidRDefault="00CF4795" w:rsidP="00636A15">
      <w:pPr>
        <w:spacing w:after="0" w:line="240" w:lineRule="auto"/>
        <w:rPr>
          <w:rFonts w:ascii="Times New Roman" w:hAnsi="Times New Roman"/>
          <w:iCs/>
          <w:u w:val="single"/>
          <w:lang w:eastAsia="sk-SK"/>
        </w:rPr>
      </w:pPr>
      <w:r w:rsidRPr="00155205">
        <w:rPr>
          <w:rFonts w:ascii="Times New Roman" w:hAnsi="Times New Roman"/>
          <w:iCs/>
          <w:u w:val="single"/>
          <w:lang w:eastAsia="sk-SK"/>
        </w:rPr>
        <w:t>CYP3A4 induktory</w:t>
      </w:r>
    </w:p>
    <w:p w:rsidR="000E228C" w:rsidRPr="007111EA" w:rsidRDefault="000E228C" w:rsidP="00CF4795">
      <w:pPr>
        <w:spacing w:after="0" w:line="240" w:lineRule="auto"/>
        <w:rPr>
          <w:rFonts w:ascii="Times New Roman" w:hAnsi="Times New Roman"/>
          <w:iCs/>
          <w:lang w:eastAsia="sk-SK"/>
        </w:rPr>
      </w:pPr>
      <w:r w:rsidRPr="000E228C">
        <w:rPr>
          <w:rFonts w:ascii="Times New Roman" w:hAnsi="Times New Roman"/>
        </w:rPr>
        <w:t>Pri súbežnom pod</w:t>
      </w:r>
      <w:r w:rsidR="00F76DEF">
        <w:rPr>
          <w:rFonts w:ascii="Times New Roman" w:hAnsi="Times New Roman"/>
        </w:rPr>
        <w:t>áv</w:t>
      </w:r>
      <w:r w:rsidRPr="000E228C">
        <w:rPr>
          <w:rFonts w:ascii="Times New Roman" w:hAnsi="Times New Roman"/>
        </w:rPr>
        <w:t>aní známych induktorov CYP3A4 sa môže plazmatická koncentrácia amlodipínu meniť. Preto sa m</w:t>
      </w:r>
      <w:r w:rsidR="00F76DEF">
        <w:rPr>
          <w:rFonts w:ascii="Times New Roman" w:hAnsi="Times New Roman"/>
        </w:rPr>
        <w:t>á v prípade súbežného podávania</w:t>
      </w:r>
      <w:r w:rsidRPr="000E228C">
        <w:rPr>
          <w:rFonts w:ascii="Times New Roman" w:hAnsi="Times New Roman"/>
        </w:rPr>
        <w:t xml:space="preserve"> </w:t>
      </w:r>
      <w:r w:rsidR="00F76DEF" w:rsidRPr="000E228C">
        <w:rPr>
          <w:rFonts w:ascii="Times New Roman" w:hAnsi="Times New Roman"/>
        </w:rPr>
        <w:t>najmä so silnými induktormi CYP3A4 (napr</w:t>
      </w:r>
      <w:r w:rsidR="00F76DEF">
        <w:rPr>
          <w:rFonts w:ascii="Times New Roman" w:hAnsi="Times New Roman"/>
        </w:rPr>
        <w:t>.</w:t>
      </w:r>
      <w:r w:rsidR="00F76DEF" w:rsidRPr="000E228C">
        <w:rPr>
          <w:rFonts w:ascii="Times New Roman" w:hAnsi="Times New Roman"/>
        </w:rPr>
        <w:t xml:space="preserve"> rifampicínom, </w:t>
      </w:r>
      <w:r w:rsidR="00F76DEF" w:rsidRPr="000E228C">
        <w:rPr>
          <w:rFonts w:ascii="Times New Roman" w:hAnsi="Times New Roman"/>
          <w:i/>
        </w:rPr>
        <w:t>Hypericum perforatum</w:t>
      </w:r>
      <w:r w:rsidR="00F76DEF">
        <w:rPr>
          <w:rFonts w:ascii="Times New Roman" w:hAnsi="Times New Roman"/>
          <w:i/>
        </w:rPr>
        <w:t xml:space="preserve"> – ľubovníkom bodkovaným</w:t>
      </w:r>
      <w:r w:rsidR="00F76DEF" w:rsidRPr="000E228C">
        <w:rPr>
          <w:rFonts w:ascii="Times New Roman" w:hAnsi="Times New Roman"/>
        </w:rPr>
        <w:t>)</w:t>
      </w:r>
      <w:r w:rsidR="00F76DEF">
        <w:rPr>
          <w:rFonts w:ascii="Times New Roman" w:hAnsi="Times New Roman"/>
        </w:rPr>
        <w:t xml:space="preserve"> </w:t>
      </w:r>
      <w:r w:rsidRPr="000E228C">
        <w:rPr>
          <w:rFonts w:ascii="Times New Roman" w:hAnsi="Times New Roman"/>
        </w:rPr>
        <w:t>monitorovať krvný tlak a</w:t>
      </w:r>
      <w:r w:rsidR="00F76DEF">
        <w:rPr>
          <w:rFonts w:ascii="Times New Roman" w:hAnsi="Times New Roman"/>
        </w:rPr>
        <w:t xml:space="preserve"> zvážiť </w:t>
      </w:r>
      <w:r w:rsidRPr="000E228C">
        <w:rPr>
          <w:rFonts w:ascii="Times New Roman" w:hAnsi="Times New Roman"/>
        </w:rPr>
        <w:t>reguláci</w:t>
      </w:r>
      <w:r w:rsidR="00F76DEF">
        <w:rPr>
          <w:rFonts w:ascii="Times New Roman" w:hAnsi="Times New Roman"/>
        </w:rPr>
        <w:t>u</w:t>
      </w:r>
      <w:r w:rsidRPr="000E228C">
        <w:rPr>
          <w:rFonts w:ascii="Times New Roman" w:hAnsi="Times New Roman"/>
        </w:rPr>
        <w:t xml:space="preserve"> dávky počas </w:t>
      </w:r>
      <w:r w:rsidR="00F76DEF">
        <w:rPr>
          <w:rFonts w:ascii="Times New Roman" w:hAnsi="Times New Roman"/>
        </w:rPr>
        <w:t>takejto súbežnej liečby aj po nej.</w:t>
      </w:r>
      <w:r w:rsidRPr="000E228C">
        <w:rPr>
          <w:rFonts w:ascii="Times New Roman" w:hAnsi="Times New Roman"/>
        </w:rPr>
        <w:t xml:space="preserve"> </w:t>
      </w:r>
    </w:p>
    <w:p w:rsidR="00F76DEF" w:rsidRDefault="00F76DEF" w:rsidP="007111EA">
      <w:pPr>
        <w:widowControl w:val="0"/>
        <w:tabs>
          <w:tab w:val="left" w:pos="567"/>
        </w:tabs>
        <w:spacing w:after="0" w:line="240" w:lineRule="auto"/>
        <w:rPr>
          <w:rFonts w:ascii="Times New Roman" w:hAnsi="Times New Roman"/>
        </w:rPr>
      </w:pPr>
    </w:p>
    <w:p w:rsidR="00314AB2" w:rsidRPr="007111EA" w:rsidRDefault="007111EA" w:rsidP="007111EA">
      <w:pPr>
        <w:widowControl w:val="0"/>
        <w:tabs>
          <w:tab w:val="left" w:pos="567"/>
        </w:tabs>
        <w:spacing w:after="0" w:line="240" w:lineRule="auto"/>
        <w:rPr>
          <w:rFonts w:ascii="Times New Roman" w:hAnsi="Times New Roman"/>
        </w:rPr>
      </w:pPr>
      <w:r w:rsidRPr="007111EA">
        <w:rPr>
          <w:rFonts w:ascii="Times New Roman" w:hAnsi="Times New Roman"/>
        </w:rPr>
        <w:t>Podávanie amlodipínu s grapefruit</w:t>
      </w:r>
      <w:r w:rsidR="00271402">
        <w:rPr>
          <w:rFonts w:ascii="Times New Roman" w:hAnsi="Times New Roman"/>
        </w:rPr>
        <w:t>om</w:t>
      </w:r>
      <w:r w:rsidRPr="007111EA">
        <w:rPr>
          <w:rFonts w:ascii="Times New Roman" w:hAnsi="Times New Roman"/>
        </w:rPr>
        <w:t xml:space="preserve"> alebo </w:t>
      </w:r>
      <w:r w:rsidR="00271402">
        <w:rPr>
          <w:rFonts w:ascii="Times New Roman" w:hAnsi="Times New Roman"/>
        </w:rPr>
        <w:t xml:space="preserve">s </w:t>
      </w:r>
      <w:r w:rsidRPr="007111EA">
        <w:rPr>
          <w:rFonts w:ascii="Times New Roman" w:hAnsi="Times New Roman"/>
        </w:rPr>
        <w:t>grapefruitov</w:t>
      </w:r>
      <w:r w:rsidR="00271402">
        <w:rPr>
          <w:rFonts w:ascii="Times New Roman" w:hAnsi="Times New Roman"/>
        </w:rPr>
        <w:t>ou</w:t>
      </w:r>
      <w:r w:rsidRPr="007111EA">
        <w:rPr>
          <w:rFonts w:ascii="Times New Roman" w:hAnsi="Times New Roman"/>
        </w:rPr>
        <w:t xml:space="preserve"> šťav</w:t>
      </w:r>
      <w:r w:rsidR="00271402">
        <w:rPr>
          <w:rFonts w:ascii="Times New Roman" w:hAnsi="Times New Roman"/>
        </w:rPr>
        <w:t>ou</w:t>
      </w:r>
      <w:r w:rsidRPr="007111EA">
        <w:rPr>
          <w:rFonts w:ascii="Times New Roman" w:hAnsi="Times New Roman"/>
        </w:rPr>
        <w:t xml:space="preserve"> sa neodporúča, pretože </w:t>
      </w:r>
      <w:r w:rsidR="00271402">
        <w:rPr>
          <w:rFonts w:ascii="Times New Roman" w:hAnsi="Times New Roman"/>
        </w:rPr>
        <w:t xml:space="preserve">môže </w:t>
      </w:r>
      <w:r w:rsidR="00271402" w:rsidRPr="007111EA">
        <w:rPr>
          <w:rFonts w:ascii="Times New Roman" w:hAnsi="Times New Roman"/>
        </w:rPr>
        <w:t xml:space="preserve">u niektorých pacientov </w:t>
      </w:r>
      <w:r w:rsidR="00271402">
        <w:rPr>
          <w:rFonts w:ascii="Times New Roman" w:hAnsi="Times New Roman"/>
        </w:rPr>
        <w:t xml:space="preserve">zvýšiť </w:t>
      </w:r>
      <w:r w:rsidRPr="007111EA">
        <w:rPr>
          <w:rFonts w:ascii="Times New Roman" w:hAnsi="Times New Roman"/>
        </w:rPr>
        <w:t>biologick</w:t>
      </w:r>
      <w:r w:rsidR="00271402">
        <w:rPr>
          <w:rFonts w:ascii="Times New Roman" w:hAnsi="Times New Roman"/>
        </w:rPr>
        <w:t>ú</w:t>
      </w:r>
      <w:r w:rsidRPr="007111EA">
        <w:rPr>
          <w:rFonts w:ascii="Times New Roman" w:hAnsi="Times New Roman"/>
        </w:rPr>
        <w:t xml:space="preserve"> dostupnosť</w:t>
      </w:r>
      <w:r w:rsidR="00271402">
        <w:rPr>
          <w:rFonts w:ascii="Times New Roman" w:hAnsi="Times New Roman"/>
        </w:rPr>
        <w:t>, ktorá má za následok zosilnenie</w:t>
      </w:r>
      <w:r w:rsidRPr="007111EA">
        <w:rPr>
          <w:rFonts w:ascii="Times New Roman" w:hAnsi="Times New Roman"/>
        </w:rPr>
        <w:t xml:space="preserve"> účinko</w:t>
      </w:r>
      <w:r w:rsidR="00271402">
        <w:rPr>
          <w:rFonts w:ascii="Times New Roman" w:hAnsi="Times New Roman"/>
        </w:rPr>
        <w:t>v</w:t>
      </w:r>
      <w:r w:rsidRPr="007111EA">
        <w:rPr>
          <w:rFonts w:ascii="Times New Roman" w:hAnsi="Times New Roman"/>
        </w:rPr>
        <w:t xml:space="preserve"> </w:t>
      </w:r>
      <w:r w:rsidR="00804272">
        <w:rPr>
          <w:rFonts w:ascii="Times New Roman" w:hAnsi="Times New Roman"/>
        </w:rPr>
        <w:t>zni</w:t>
      </w:r>
      <w:r w:rsidRPr="007111EA">
        <w:rPr>
          <w:rFonts w:ascii="Times New Roman" w:hAnsi="Times New Roman"/>
        </w:rPr>
        <w:t>ž</w:t>
      </w:r>
      <w:r w:rsidR="00804272">
        <w:rPr>
          <w:rFonts w:ascii="Times New Roman" w:hAnsi="Times New Roman"/>
        </w:rPr>
        <w:t>ujúcich tlak</w:t>
      </w:r>
      <w:r w:rsidR="00271402">
        <w:rPr>
          <w:rFonts w:ascii="Times New Roman" w:hAnsi="Times New Roman"/>
        </w:rPr>
        <w:t xml:space="preserve"> krvi</w:t>
      </w:r>
      <w:r>
        <w:rPr>
          <w:rFonts w:ascii="Times New Roman" w:hAnsi="Times New Roman"/>
        </w:rPr>
        <w:t>.</w:t>
      </w:r>
    </w:p>
    <w:p w:rsidR="007111EA" w:rsidRDefault="007111EA" w:rsidP="00314AB2">
      <w:pPr>
        <w:spacing w:after="0" w:line="240" w:lineRule="auto"/>
        <w:rPr>
          <w:rFonts w:ascii="Times New Roman" w:hAnsi="Times New Roman"/>
          <w:iCs/>
          <w:u w:val="single"/>
          <w:lang w:eastAsia="sk-SK"/>
        </w:rPr>
      </w:pPr>
    </w:p>
    <w:p w:rsidR="00314AB2" w:rsidRPr="00155205" w:rsidRDefault="00314AB2" w:rsidP="00314AB2">
      <w:pPr>
        <w:spacing w:after="0" w:line="240" w:lineRule="auto"/>
        <w:rPr>
          <w:rFonts w:ascii="Times New Roman" w:hAnsi="Times New Roman"/>
          <w:iCs/>
          <w:u w:val="single"/>
          <w:lang w:eastAsia="sk-SK"/>
        </w:rPr>
      </w:pPr>
      <w:r w:rsidRPr="00155205">
        <w:rPr>
          <w:rFonts w:ascii="Times New Roman" w:hAnsi="Times New Roman"/>
          <w:iCs/>
          <w:u w:val="single"/>
          <w:lang w:eastAsia="sk-SK"/>
        </w:rPr>
        <w:t>Dantrolén (infúzia)</w:t>
      </w:r>
    </w:p>
    <w:p w:rsidR="00CF4795" w:rsidRPr="00155205" w:rsidRDefault="00314AB2" w:rsidP="00314AB2">
      <w:pPr>
        <w:spacing w:after="0" w:line="240" w:lineRule="auto"/>
        <w:rPr>
          <w:rFonts w:ascii="Times New Roman" w:hAnsi="Times New Roman"/>
          <w:iCs/>
          <w:lang w:eastAsia="sk-SK"/>
        </w:rPr>
      </w:pPr>
      <w:r w:rsidRPr="00155205">
        <w:rPr>
          <w:rFonts w:ascii="Times New Roman" w:hAnsi="Times New Roman"/>
          <w:iCs/>
          <w:lang w:eastAsia="sk-SK"/>
        </w:rPr>
        <w:t xml:space="preserve">U zvierat sa po podaní verapamilu a intravenózneho dantrolénu pozoruje letálna fibrilácia komôr a srdcový kolaps v spojení s hyperkaliémiou. Vzhľadom na riziko hyperkaliémie sa odporúča, aby sa pacienti náchylní na malígnu hypertermiu a pri </w:t>
      </w:r>
      <w:r w:rsidR="00081652" w:rsidRPr="00155205">
        <w:rPr>
          <w:rFonts w:ascii="Times New Roman" w:hAnsi="Times New Roman"/>
          <w:iCs/>
          <w:lang w:eastAsia="sk-SK"/>
        </w:rPr>
        <w:t>liečbe</w:t>
      </w:r>
      <w:r w:rsidRPr="00155205">
        <w:rPr>
          <w:rFonts w:ascii="Times New Roman" w:hAnsi="Times New Roman"/>
          <w:iCs/>
          <w:lang w:eastAsia="sk-SK"/>
        </w:rPr>
        <w:t xml:space="preserve"> malígnej hypertermie vyhýbali sú</w:t>
      </w:r>
      <w:r w:rsidR="00081652" w:rsidRPr="00155205">
        <w:rPr>
          <w:rFonts w:ascii="Times New Roman" w:hAnsi="Times New Roman"/>
          <w:iCs/>
          <w:lang w:eastAsia="sk-SK"/>
        </w:rPr>
        <w:t>bež</w:t>
      </w:r>
      <w:r w:rsidRPr="00155205">
        <w:rPr>
          <w:rFonts w:ascii="Times New Roman" w:hAnsi="Times New Roman"/>
          <w:iCs/>
          <w:lang w:eastAsia="sk-SK"/>
        </w:rPr>
        <w:t>nému podávaniu blokátorov kalciových kanálov, ako je amlodipín.</w:t>
      </w:r>
    </w:p>
    <w:p w:rsidR="00CF4795" w:rsidRPr="00155205" w:rsidRDefault="00CF4795" w:rsidP="00CF4795">
      <w:pPr>
        <w:spacing w:after="0" w:line="240" w:lineRule="auto"/>
        <w:rPr>
          <w:rFonts w:ascii="Times New Roman" w:hAnsi="Times New Roman"/>
          <w:iCs/>
          <w:lang w:eastAsia="sk-SK"/>
        </w:rPr>
      </w:pPr>
    </w:p>
    <w:p w:rsidR="00314AB2" w:rsidRPr="00155205" w:rsidRDefault="00314AB2" w:rsidP="00FD2D5B">
      <w:pPr>
        <w:spacing w:after="0" w:line="240" w:lineRule="auto"/>
        <w:ind w:left="567" w:hanging="567"/>
        <w:rPr>
          <w:rFonts w:ascii="Times New Roman" w:hAnsi="Times New Roman"/>
          <w:bCs/>
          <w:i/>
          <w:iCs/>
          <w:lang w:eastAsia="sk-SK"/>
        </w:rPr>
      </w:pPr>
      <w:r w:rsidRPr="00155205">
        <w:rPr>
          <w:rFonts w:ascii="Times New Roman" w:hAnsi="Times New Roman"/>
          <w:bCs/>
          <w:i/>
          <w:iCs/>
          <w:lang w:eastAsia="sk-SK"/>
        </w:rPr>
        <w:t>Účinky amlodipínu na iné lieky</w:t>
      </w:r>
    </w:p>
    <w:p w:rsidR="00C91FBD" w:rsidRPr="00155205" w:rsidRDefault="00C91FBD" w:rsidP="00C91FBD">
      <w:pPr>
        <w:tabs>
          <w:tab w:val="left" w:pos="567"/>
        </w:tabs>
        <w:spacing w:after="0" w:line="240" w:lineRule="auto"/>
        <w:outlineLvl w:val="0"/>
        <w:rPr>
          <w:rFonts w:ascii="Times New Roman" w:eastAsia="Times New Roman" w:hAnsi="Times New Roman"/>
          <w:i/>
          <w:u w:val="single"/>
        </w:rPr>
      </w:pPr>
    </w:p>
    <w:p w:rsidR="00C91FBD" w:rsidRPr="00155205" w:rsidRDefault="00C91FBD" w:rsidP="00C91FBD">
      <w:pPr>
        <w:tabs>
          <w:tab w:val="left" w:pos="567"/>
        </w:tabs>
        <w:spacing w:after="0" w:line="240" w:lineRule="auto"/>
        <w:outlineLvl w:val="0"/>
        <w:rPr>
          <w:rFonts w:ascii="Times New Roman" w:eastAsia="Times New Roman" w:hAnsi="Times New Roman"/>
          <w:u w:val="single"/>
        </w:rPr>
      </w:pPr>
      <w:r w:rsidRPr="00155205">
        <w:rPr>
          <w:rFonts w:ascii="Times New Roman" w:eastAsia="Times New Roman" w:hAnsi="Times New Roman"/>
          <w:u w:val="single"/>
        </w:rPr>
        <w:t>Takrolimus</w:t>
      </w:r>
    </w:p>
    <w:p w:rsidR="00314AB2" w:rsidRPr="00155205" w:rsidRDefault="00C91FBD" w:rsidP="00C91FBD">
      <w:pPr>
        <w:tabs>
          <w:tab w:val="left" w:pos="567"/>
        </w:tabs>
        <w:spacing w:after="0" w:line="240" w:lineRule="auto"/>
        <w:outlineLvl w:val="0"/>
        <w:rPr>
          <w:rFonts w:ascii="Times New Roman" w:eastAsia="Times New Roman" w:hAnsi="Times New Roman"/>
        </w:rPr>
      </w:pPr>
      <w:r w:rsidRPr="00155205">
        <w:rPr>
          <w:rFonts w:ascii="Times New Roman" w:eastAsia="Times New Roman" w:hAnsi="Times New Roman"/>
        </w:rPr>
        <w:t>Existuje riziko zvýšen</w:t>
      </w:r>
      <w:r w:rsidR="001B4FB2" w:rsidRPr="00155205">
        <w:rPr>
          <w:rFonts w:ascii="Times New Roman" w:eastAsia="Times New Roman" w:hAnsi="Times New Roman"/>
        </w:rPr>
        <w:t>ia</w:t>
      </w:r>
      <w:r w:rsidRPr="00155205">
        <w:rPr>
          <w:rFonts w:ascii="Times New Roman" w:eastAsia="Times New Roman" w:hAnsi="Times New Roman"/>
        </w:rPr>
        <w:t xml:space="preserve"> hlad</w:t>
      </w:r>
      <w:r w:rsidR="001B4FB2" w:rsidRPr="00155205">
        <w:rPr>
          <w:rFonts w:ascii="Times New Roman" w:eastAsia="Times New Roman" w:hAnsi="Times New Roman"/>
        </w:rPr>
        <w:t>ín</w:t>
      </w:r>
      <w:r w:rsidRPr="00155205">
        <w:rPr>
          <w:rFonts w:ascii="Times New Roman" w:eastAsia="Times New Roman" w:hAnsi="Times New Roman"/>
        </w:rPr>
        <w:t xml:space="preserve"> takrolimu v</w:t>
      </w:r>
      <w:r w:rsidR="00A57258" w:rsidRPr="00155205">
        <w:rPr>
          <w:rFonts w:ascii="Times New Roman" w:eastAsia="Times New Roman" w:hAnsi="Times New Roman"/>
        </w:rPr>
        <w:t> </w:t>
      </w:r>
      <w:r w:rsidRPr="00155205">
        <w:rPr>
          <w:rFonts w:ascii="Times New Roman" w:eastAsia="Times New Roman" w:hAnsi="Times New Roman"/>
        </w:rPr>
        <w:t>krvi</w:t>
      </w:r>
      <w:r w:rsidR="00A57258" w:rsidRPr="00155205">
        <w:rPr>
          <w:rFonts w:ascii="Times New Roman" w:eastAsia="Times New Roman" w:hAnsi="Times New Roman"/>
        </w:rPr>
        <w:t>,</w:t>
      </w:r>
      <w:r w:rsidRPr="00155205">
        <w:rPr>
          <w:rFonts w:ascii="Times New Roman" w:eastAsia="Times New Roman" w:hAnsi="Times New Roman"/>
        </w:rPr>
        <w:t xml:space="preserve"> </w:t>
      </w:r>
      <w:r w:rsidR="001B4FB2" w:rsidRPr="00155205">
        <w:rPr>
          <w:rFonts w:ascii="Times New Roman" w:eastAsia="Times New Roman" w:hAnsi="Times New Roman"/>
        </w:rPr>
        <w:t>a</w:t>
      </w:r>
      <w:r w:rsidRPr="00155205">
        <w:rPr>
          <w:rFonts w:ascii="Times New Roman" w:eastAsia="Times New Roman" w:hAnsi="Times New Roman"/>
        </w:rPr>
        <w:t>k sa podáva s amlodipínom, ale farmakokinetik</w:t>
      </w:r>
      <w:r w:rsidR="001B4FB2" w:rsidRPr="00155205">
        <w:rPr>
          <w:rFonts w:ascii="Times New Roman" w:eastAsia="Times New Roman" w:hAnsi="Times New Roman"/>
        </w:rPr>
        <w:t>a</w:t>
      </w:r>
      <w:r w:rsidRPr="00155205">
        <w:rPr>
          <w:rFonts w:ascii="Times New Roman" w:eastAsia="Times New Roman" w:hAnsi="Times New Roman"/>
        </w:rPr>
        <w:t xml:space="preserve"> tejto interakcie nie je </w:t>
      </w:r>
      <w:r w:rsidR="001B4FB2" w:rsidRPr="00155205">
        <w:rPr>
          <w:rFonts w:ascii="Times New Roman" w:eastAsia="Times New Roman" w:hAnsi="Times New Roman"/>
        </w:rPr>
        <w:t>úplne</w:t>
      </w:r>
      <w:r w:rsidRPr="00155205">
        <w:rPr>
          <w:rFonts w:ascii="Times New Roman" w:eastAsia="Times New Roman" w:hAnsi="Times New Roman"/>
        </w:rPr>
        <w:t xml:space="preserve"> objasnen</w:t>
      </w:r>
      <w:r w:rsidR="001B4FB2" w:rsidRPr="00155205">
        <w:rPr>
          <w:rFonts w:ascii="Times New Roman" w:eastAsia="Times New Roman" w:hAnsi="Times New Roman"/>
        </w:rPr>
        <w:t>á</w:t>
      </w:r>
      <w:r w:rsidRPr="00155205">
        <w:rPr>
          <w:rFonts w:ascii="Times New Roman" w:eastAsia="Times New Roman" w:hAnsi="Times New Roman"/>
        </w:rPr>
        <w:t xml:space="preserve">. Aby sa zabránilo toxicite takrolimu, </w:t>
      </w:r>
      <w:r w:rsidR="001B4FB2" w:rsidRPr="00155205">
        <w:rPr>
          <w:rFonts w:ascii="Times New Roman" w:eastAsia="Times New Roman" w:hAnsi="Times New Roman"/>
        </w:rPr>
        <w:t>pri podávaní</w:t>
      </w:r>
      <w:r w:rsidRPr="00155205">
        <w:rPr>
          <w:rFonts w:ascii="Times New Roman" w:eastAsia="Times New Roman" w:hAnsi="Times New Roman"/>
        </w:rPr>
        <w:t xml:space="preserve"> amlodipínu pacientovi liečeného takrolimom </w:t>
      </w:r>
      <w:r w:rsidR="001B4FB2" w:rsidRPr="00155205">
        <w:rPr>
          <w:rFonts w:ascii="Times New Roman" w:eastAsia="Times New Roman" w:hAnsi="Times New Roman"/>
        </w:rPr>
        <w:t>je potrebné sledovať</w:t>
      </w:r>
      <w:r w:rsidRPr="00155205">
        <w:rPr>
          <w:rFonts w:ascii="Times New Roman" w:eastAsia="Times New Roman" w:hAnsi="Times New Roman"/>
        </w:rPr>
        <w:t xml:space="preserve"> hlad</w:t>
      </w:r>
      <w:r w:rsidR="001B4FB2" w:rsidRPr="00155205">
        <w:rPr>
          <w:rFonts w:ascii="Times New Roman" w:eastAsia="Times New Roman" w:hAnsi="Times New Roman"/>
        </w:rPr>
        <w:t>iny</w:t>
      </w:r>
      <w:r w:rsidRPr="00155205">
        <w:rPr>
          <w:rFonts w:ascii="Times New Roman" w:eastAsia="Times New Roman" w:hAnsi="Times New Roman"/>
        </w:rPr>
        <w:t xml:space="preserve"> takrolimu v krvi a</w:t>
      </w:r>
      <w:r w:rsidRPr="00155205">
        <w:t xml:space="preserve"> </w:t>
      </w:r>
      <w:r w:rsidR="00C75D46" w:rsidRPr="00155205">
        <w:rPr>
          <w:rFonts w:ascii="Times New Roman" w:eastAsia="Times New Roman" w:hAnsi="Times New Roman"/>
        </w:rPr>
        <w:t>v prípade potreby u</w:t>
      </w:r>
      <w:r w:rsidRPr="00155205">
        <w:rPr>
          <w:rFonts w:ascii="Times New Roman" w:eastAsia="Times New Roman" w:hAnsi="Times New Roman"/>
        </w:rPr>
        <w:t>prav</w:t>
      </w:r>
      <w:r w:rsidR="001B4FB2" w:rsidRPr="00155205">
        <w:rPr>
          <w:rFonts w:ascii="Times New Roman" w:eastAsia="Times New Roman" w:hAnsi="Times New Roman"/>
        </w:rPr>
        <w:t>iť</w:t>
      </w:r>
      <w:r w:rsidRPr="00155205">
        <w:rPr>
          <w:rFonts w:ascii="Times New Roman" w:eastAsia="Times New Roman" w:hAnsi="Times New Roman"/>
        </w:rPr>
        <w:t xml:space="preserve"> dávky takrolimu.</w:t>
      </w:r>
    </w:p>
    <w:p w:rsidR="00C91FBD" w:rsidRPr="00155205" w:rsidRDefault="00C91FBD" w:rsidP="00314AB2">
      <w:pPr>
        <w:tabs>
          <w:tab w:val="left" w:pos="567"/>
        </w:tabs>
        <w:spacing w:after="0" w:line="240" w:lineRule="auto"/>
        <w:outlineLvl w:val="0"/>
        <w:rPr>
          <w:rFonts w:ascii="Times New Roman" w:eastAsia="Times New Roman" w:hAnsi="Times New Roman"/>
          <w:i/>
          <w:u w:val="single"/>
        </w:rPr>
      </w:pPr>
    </w:p>
    <w:p w:rsidR="00C91FBD" w:rsidRPr="00155205" w:rsidRDefault="00C91FBD" w:rsidP="00C91FBD">
      <w:pPr>
        <w:tabs>
          <w:tab w:val="left" w:pos="567"/>
        </w:tabs>
        <w:spacing w:after="0" w:line="240" w:lineRule="auto"/>
        <w:outlineLvl w:val="0"/>
        <w:rPr>
          <w:rFonts w:ascii="Times New Roman" w:eastAsia="Times New Roman" w:hAnsi="Times New Roman"/>
          <w:u w:val="single"/>
        </w:rPr>
      </w:pPr>
      <w:r w:rsidRPr="00155205">
        <w:rPr>
          <w:rFonts w:ascii="Times New Roman" w:eastAsia="Times New Roman" w:hAnsi="Times New Roman"/>
          <w:u w:val="single"/>
        </w:rPr>
        <w:t>Cyklosporín</w:t>
      </w:r>
    </w:p>
    <w:p w:rsidR="00DD3139" w:rsidRPr="00155205" w:rsidRDefault="00DD3139" w:rsidP="00DD3139">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 xml:space="preserve">S cyklosporínom a amlodipínom sa nevykovali žiadne liekové interakčné štúdie u zdravých dobrovoľníkov ani v inej populácii s výnimkou pacientov </w:t>
      </w:r>
      <w:r w:rsidR="00C91FBD" w:rsidRPr="00155205">
        <w:rPr>
          <w:rFonts w:ascii="Times New Roman" w:eastAsia="Times New Roman" w:hAnsi="Times New Roman"/>
        </w:rPr>
        <w:t>po transplantácii obličk</w:t>
      </w:r>
      <w:r w:rsidR="00A57258" w:rsidRPr="00155205">
        <w:rPr>
          <w:rFonts w:ascii="Times New Roman" w:eastAsia="Times New Roman" w:hAnsi="Times New Roman"/>
        </w:rPr>
        <w:t>y</w:t>
      </w:r>
      <w:r w:rsidR="00C91FBD" w:rsidRPr="00155205">
        <w:rPr>
          <w:rFonts w:ascii="Times New Roman" w:eastAsia="Times New Roman" w:hAnsi="Times New Roman"/>
        </w:rPr>
        <w:t xml:space="preserve">, </w:t>
      </w:r>
      <w:r w:rsidRPr="00155205">
        <w:rPr>
          <w:rFonts w:ascii="Times New Roman" w:eastAsia="Times New Roman" w:hAnsi="Times New Roman"/>
        </w:rPr>
        <w:t>kedy sa pozorovali premenlivé zvýšenia minimálnej koncentrácie (priemer 0 % - 40 %) cyklosporínu</w:t>
      </w:r>
      <w:r w:rsidR="00C91FBD" w:rsidRPr="00155205">
        <w:rPr>
          <w:rFonts w:ascii="Times New Roman" w:eastAsia="Times New Roman" w:hAnsi="Times New Roman"/>
        </w:rPr>
        <w:t xml:space="preserve">. </w:t>
      </w:r>
      <w:r w:rsidRPr="00155205">
        <w:rPr>
          <w:rFonts w:ascii="Times New Roman" w:eastAsia="Times New Roman" w:hAnsi="Times New Roman"/>
        </w:rPr>
        <w:t>U pacientov s transplantáciou obličky, ktorí užívajú amlodipín, sa má zvážiť sledovanie hladín cyklosporínu, a ak je to nevyhnutné, majú sa vykonať zníženia dávky cyklosporínu.</w:t>
      </w:r>
    </w:p>
    <w:p w:rsidR="00DD3139" w:rsidRPr="00155205" w:rsidRDefault="00DD3139" w:rsidP="00C91FBD">
      <w:pPr>
        <w:tabs>
          <w:tab w:val="left" w:pos="567"/>
        </w:tabs>
        <w:spacing w:after="0" w:line="240" w:lineRule="auto"/>
        <w:outlineLvl w:val="0"/>
        <w:rPr>
          <w:rFonts w:ascii="Times New Roman" w:eastAsia="Times New Roman" w:hAnsi="Times New Roman"/>
        </w:rPr>
      </w:pPr>
    </w:p>
    <w:p w:rsidR="00314AB2" w:rsidRPr="00155205" w:rsidRDefault="00314AB2" w:rsidP="00C91FBD">
      <w:pPr>
        <w:tabs>
          <w:tab w:val="left" w:pos="567"/>
        </w:tabs>
        <w:spacing w:after="0" w:line="240" w:lineRule="auto"/>
        <w:outlineLvl w:val="0"/>
        <w:rPr>
          <w:rFonts w:ascii="Times New Roman" w:eastAsia="Times New Roman" w:hAnsi="Times New Roman"/>
          <w:u w:val="single"/>
        </w:rPr>
      </w:pPr>
      <w:r w:rsidRPr="00155205">
        <w:rPr>
          <w:rFonts w:ascii="Times New Roman" w:eastAsia="Times New Roman" w:hAnsi="Times New Roman"/>
          <w:u w:val="single"/>
        </w:rPr>
        <w:t>Simvastatín</w:t>
      </w:r>
    </w:p>
    <w:p w:rsidR="001E65B9" w:rsidRPr="00155205" w:rsidRDefault="00314AB2" w:rsidP="001E65B9">
      <w:pPr>
        <w:tabs>
          <w:tab w:val="left" w:pos="567"/>
        </w:tabs>
        <w:spacing w:after="0" w:line="240" w:lineRule="auto"/>
        <w:outlineLvl w:val="0"/>
        <w:rPr>
          <w:rFonts w:ascii="Times New Roman" w:eastAsia="Times New Roman" w:hAnsi="Times New Roman"/>
        </w:rPr>
      </w:pPr>
      <w:r w:rsidRPr="00155205">
        <w:rPr>
          <w:rFonts w:ascii="Times New Roman" w:eastAsia="Times New Roman" w:hAnsi="Times New Roman"/>
        </w:rPr>
        <w:t>Sú</w:t>
      </w:r>
      <w:r w:rsidR="001E65B9" w:rsidRPr="00155205">
        <w:rPr>
          <w:rFonts w:ascii="Times New Roman" w:eastAsia="Times New Roman" w:hAnsi="Times New Roman"/>
        </w:rPr>
        <w:t>bež</w:t>
      </w:r>
      <w:r w:rsidRPr="00155205">
        <w:rPr>
          <w:rFonts w:ascii="Times New Roman" w:eastAsia="Times New Roman" w:hAnsi="Times New Roman"/>
        </w:rPr>
        <w:t>né podávanie viacnásobných dávok 10  mg amlodipínu s 80 mg simvastatínu v</w:t>
      </w:r>
      <w:r w:rsidR="00DA77BA" w:rsidRPr="00155205">
        <w:rPr>
          <w:rFonts w:ascii="Times New Roman" w:eastAsia="Times New Roman" w:hAnsi="Times New Roman"/>
        </w:rPr>
        <w:t>iedlo</w:t>
      </w:r>
      <w:r w:rsidRPr="00155205">
        <w:rPr>
          <w:rFonts w:ascii="Times New Roman" w:eastAsia="Times New Roman" w:hAnsi="Times New Roman"/>
        </w:rPr>
        <w:t xml:space="preserve"> k 77 % zvýšeniu expozície simvastatínu v porovnaní so samotným simvastatínom. </w:t>
      </w:r>
      <w:r w:rsidR="001E65B9" w:rsidRPr="00155205">
        <w:rPr>
          <w:rFonts w:ascii="Times New Roman" w:eastAsia="Times New Roman" w:hAnsi="Times New Roman"/>
        </w:rPr>
        <w:t>U pacientov užívajúcich amlodipín je dávka simvastatínu obmedzená na 20 mg denne.</w:t>
      </w:r>
    </w:p>
    <w:p w:rsidR="00314AB2" w:rsidRPr="00155205" w:rsidRDefault="00314AB2" w:rsidP="001E65B9">
      <w:pPr>
        <w:tabs>
          <w:tab w:val="left" w:pos="567"/>
        </w:tabs>
        <w:spacing w:after="0" w:line="240" w:lineRule="auto"/>
        <w:outlineLvl w:val="0"/>
        <w:rPr>
          <w:rFonts w:ascii="Times New Roman" w:eastAsia="Times New Roman" w:hAnsi="Times New Roman"/>
        </w:rPr>
      </w:pPr>
    </w:p>
    <w:p w:rsidR="00314AB2" w:rsidRPr="00155205" w:rsidRDefault="00314AB2" w:rsidP="00314AB2">
      <w:pPr>
        <w:tabs>
          <w:tab w:val="left" w:pos="567"/>
        </w:tabs>
        <w:spacing w:after="0" w:line="240" w:lineRule="auto"/>
        <w:outlineLvl w:val="0"/>
        <w:rPr>
          <w:rFonts w:ascii="Times New Roman" w:eastAsia="Times New Roman" w:hAnsi="Times New Roman"/>
        </w:rPr>
      </w:pPr>
      <w:r w:rsidRPr="00155205">
        <w:rPr>
          <w:rFonts w:ascii="Times New Roman" w:eastAsia="Times New Roman" w:hAnsi="Times New Roman"/>
        </w:rPr>
        <w:t>V klinických interakčných štúdiách amlodipín neovplyvňoval farmakokinetiku atorvastatínu, digoxínu</w:t>
      </w:r>
      <w:r w:rsidR="00DA77BA" w:rsidRPr="00155205">
        <w:rPr>
          <w:rFonts w:ascii="Times New Roman" w:eastAsia="Times New Roman" w:hAnsi="Times New Roman"/>
        </w:rPr>
        <w:t xml:space="preserve"> alebo</w:t>
      </w:r>
      <w:r w:rsidRPr="00155205">
        <w:rPr>
          <w:rFonts w:ascii="Times New Roman" w:eastAsia="Times New Roman" w:hAnsi="Times New Roman"/>
        </w:rPr>
        <w:t xml:space="preserve"> warfarínu.</w:t>
      </w:r>
    </w:p>
    <w:p w:rsidR="00314AB2" w:rsidRPr="00155205" w:rsidRDefault="00314AB2" w:rsidP="00FD2D5B">
      <w:pPr>
        <w:spacing w:after="0" w:line="240" w:lineRule="auto"/>
        <w:ind w:left="567" w:hanging="567"/>
        <w:rPr>
          <w:rFonts w:ascii="Times New Roman" w:hAnsi="Times New Roman"/>
          <w:bCs/>
          <w:iCs/>
          <w:highlight w:val="yellow"/>
          <w:lang w:eastAsia="sk-SK"/>
        </w:rPr>
      </w:pPr>
    </w:p>
    <w:p w:rsidR="00FD2D5B" w:rsidRPr="00155205" w:rsidRDefault="00FD2D5B" w:rsidP="00FD2D5B">
      <w:pPr>
        <w:numPr>
          <w:ilvl w:val="1"/>
          <w:numId w:val="2"/>
        </w:numPr>
        <w:spacing w:after="0" w:line="240" w:lineRule="auto"/>
        <w:rPr>
          <w:rFonts w:ascii="Times New Roman" w:hAnsi="Times New Roman"/>
          <w:b/>
          <w:noProof/>
          <w:lang w:eastAsia="sk-SK"/>
        </w:rPr>
      </w:pPr>
      <w:r w:rsidRPr="00155205">
        <w:rPr>
          <w:rFonts w:ascii="Times New Roman" w:hAnsi="Times New Roman"/>
          <w:b/>
          <w:noProof/>
          <w:lang w:eastAsia="sk-SK"/>
        </w:rPr>
        <w:t>Fertilita, gravidita a laktácia</w:t>
      </w:r>
    </w:p>
    <w:p w:rsidR="00FD2D5B" w:rsidRPr="00155205" w:rsidRDefault="00FD2D5B" w:rsidP="00FD2D5B">
      <w:pPr>
        <w:spacing w:after="0" w:line="240" w:lineRule="auto"/>
        <w:ind w:left="567" w:hanging="567"/>
        <w:rPr>
          <w:rFonts w:ascii="Times New Roman" w:hAnsi="Times New Roman"/>
          <w:lang w:eastAsia="sk-SK"/>
        </w:rPr>
      </w:pPr>
    </w:p>
    <w:p w:rsidR="00944D16" w:rsidRPr="00155205" w:rsidRDefault="00944D16" w:rsidP="00FD2D5B">
      <w:pPr>
        <w:spacing w:after="0" w:line="240" w:lineRule="auto"/>
        <w:rPr>
          <w:rFonts w:ascii="Times New Roman" w:hAnsi="Times New Roman"/>
          <w:u w:val="single"/>
          <w:lang w:eastAsia="sk-SK"/>
        </w:rPr>
      </w:pPr>
      <w:r w:rsidRPr="00155205">
        <w:rPr>
          <w:rFonts w:ascii="Times New Roman" w:hAnsi="Times New Roman"/>
          <w:u w:val="single"/>
          <w:lang w:eastAsia="sk-SK"/>
        </w:rPr>
        <w:t>Gravidita</w:t>
      </w:r>
    </w:p>
    <w:p w:rsidR="00944D16" w:rsidRPr="00155205" w:rsidRDefault="00A44FBC" w:rsidP="00FD2D5B">
      <w:pPr>
        <w:spacing w:after="0" w:line="240" w:lineRule="auto"/>
        <w:rPr>
          <w:rFonts w:ascii="Times New Roman" w:hAnsi="Times New Roman"/>
          <w:lang w:eastAsia="sk-SK"/>
        </w:rPr>
      </w:pPr>
      <w:r w:rsidRPr="00155205">
        <w:rPr>
          <w:rFonts w:ascii="Times New Roman" w:hAnsi="Times New Roman"/>
          <w:lang w:eastAsia="sk-SK"/>
        </w:rPr>
        <w:t>T</w:t>
      </w:r>
      <w:r w:rsidR="001E3E0B" w:rsidRPr="00155205">
        <w:rPr>
          <w:rFonts w:ascii="Times New Roman" w:hAnsi="Times New Roman"/>
          <w:lang w:eastAsia="sk-SK"/>
        </w:rPr>
        <w:t>eldipin</w:t>
      </w:r>
      <w:r w:rsidR="00944D16" w:rsidRPr="00155205">
        <w:rPr>
          <w:rFonts w:ascii="Times New Roman" w:hAnsi="Times New Roman"/>
          <w:lang w:eastAsia="sk-SK"/>
        </w:rPr>
        <w:t xml:space="preserve"> sa </w:t>
      </w:r>
      <w:r w:rsidR="00FD2D5B" w:rsidRPr="00155205">
        <w:rPr>
          <w:rFonts w:ascii="Times New Roman" w:hAnsi="Times New Roman"/>
          <w:lang w:eastAsia="sk-SK"/>
        </w:rPr>
        <w:t>neodporúča počas prvého trimestra gravidity</w:t>
      </w:r>
      <w:r w:rsidR="001E3E0B" w:rsidRPr="00155205">
        <w:rPr>
          <w:rFonts w:ascii="Times New Roman" w:hAnsi="Times New Roman"/>
          <w:lang w:eastAsia="sk-SK"/>
        </w:rPr>
        <w:t xml:space="preserve"> </w:t>
      </w:r>
      <w:r w:rsidR="001E3E0B" w:rsidRPr="00155205">
        <w:rPr>
          <w:rFonts w:ascii="Times New Roman" w:hAnsi="Times New Roman"/>
          <w:noProof/>
          <w:lang w:eastAsia="sk-SK"/>
        </w:rPr>
        <w:t>(pozri časti 4.4)</w:t>
      </w:r>
      <w:r w:rsidR="00FD2D5B" w:rsidRPr="00155205">
        <w:rPr>
          <w:rFonts w:ascii="Times New Roman" w:hAnsi="Times New Roman"/>
          <w:lang w:eastAsia="sk-SK"/>
        </w:rPr>
        <w:t xml:space="preserve">.  </w:t>
      </w:r>
    </w:p>
    <w:p w:rsidR="00944D16" w:rsidRPr="00155205" w:rsidRDefault="00944D16" w:rsidP="00FD2D5B">
      <w:pPr>
        <w:spacing w:after="0" w:line="240" w:lineRule="auto"/>
        <w:rPr>
          <w:rFonts w:ascii="Times New Roman" w:hAnsi="Times New Roman"/>
          <w:lang w:eastAsia="sk-SK"/>
        </w:rPr>
      </w:pPr>
    </w:p>
    <w:p w:rsidR="00FD2D5B" w:rsidRPr="00155205" w:rsidRDefault="00A44FBC" w:rsidP="00FD2D5B">
      <w:pPr>
        <w:spacing w:after="0" w:line="240" w:lineRule="auto"/>
        <w:rPr>
          <w:rFonts w:ascii="Times New Roman" w:hAnsi="Times New Roman"/>
          <w:lang w:eastAsia="sk-SK"/>
        </w:rPr>
      </w:pPr>
      <w:r w:rsidRPr="00155205">
        <w:rPr>
          <w:rFonts w:ascii="Times New Roman" w:hAnsi="Times New Roman"/>
          <w:lang w:eastAsia="sk-SK"/>
        </w:rPr>
        <w:t>T</w:t>
      </w:r>
      <w:r w:rsidR="001E3E0B" w:rsidRPr="00155205">
        <w:rPr>
          <w:rFonts w:ascii="Times New Roman" w:hAnsi="Times New Roman"/>
          <w:lang w:eastAsia="sk-SK"/>
        </w:rPr>
        <w:t xml:space="preserve">eldipin </w:t>
      </w:r>
      <w:r w:rsidR="00FD2D5B" w:rsidRPr="00155205">
        <w:rPr>
          <w:rFonts w:ascii="Times New Roman" w:hAnsi="Times New Roman"/>
          <w:lang w:eastAsia="sk-SK"/>
        </w:rPr>
        <w:t>je kontraindikovaný počas druhého a tretieho trimestra gravidity</w:t>
      </w:r>
      <w:r w:rsidR="00944D16" w:rsidRPr="00155205">
        <w:rPr>
          <w:rFonts w:ascii="Times New Roman" w:hAnsi="Times New Roman"/>
          <w:lang w:eastAsia="sk-SK"/>
        </w:rPr>
        <w:t xml:space="preserve"> z dôvodu obsahu telmisartanu</w:t>
      </w:r>
      <w:r w:rsidR="001E3E0B" w:rsidRPr="00155205">
        <w:rPr>
          <w:rFonts w:ascii="Times New Roman" w:hAnsi="Times New Roman"/>
          <w:lang w:eastAsia="sk-SK"/>
        </w:rPr>
        <w:t xml:space="preserve"> </w:t>
      </w:r>
      <w:r w:rsidR="001E3E0B" w:rsidRPr="00155205">
        <w:rPr>
          <w:rFonts w:ascii="Times New Roman" w:hAnsi="Times New Roman"/>
          <w:noProof/>
          <w:lang w:eastAsia="sk-SK"/>
        </w:rPr>
        <w:t>(pozri časti 4.3 a 4.4)</w:t>
      </w:r>
      <w:r w:rsidR="00FD2D5B" w:rsidRPr="00155205">
        <w:rPr>
          <w:rFonts w:ascii="Times New Roman" w:hAnsi="Times New Roman"/>
          <w:lang w:eastAsia="sk-SK"/>
        </w:rPr>
        <w:t>.</w:t>
      </w:r>
    </w:p>
    <w:p w:rsidR="00D642EF" w:rsidRPr="00155205" w:rsidRDefault="00D642EF" w:rsidP="00FD2D5B">
      <w:pPr>
        <w:spacing w:after="0" w:line="240" w:lineRule="auto"/>
        <w:rPr>
          <w:rFonts w:ascii="Times New Roman" w:hAnsi="Times New Roman"/>
          <w:lang w:eastAsia="sk-SK"/>
        </w:rPr>
      </w:pPr>
    </w:p>
    <w:p w:rsidR="00D642EF" w:rsidRPr="00155205" w:rsidRDefault="00D642EF" w:rsidP="00D642EF">
      <w:pPr>
        <w:widowControl w:val="0"/>
        <w:tabs>
          <w:tab w:val="left" w:pos="567"/>
        </w:tabs>
        <w:autoSpaceDE w:val="0"/>
        <w:autoSpaceDN w:val="0"/>
        <w:adjustRightInd w:val="0"/>
        <w:spacing w:after="0" w:line="240" w:lineRule="auto"/>
        <w:rPr>
          <w:rFonts w:ascii="Times New Roman" w:eastAsia="Times New Roman" w:hAnsi="Times New Roman"/>
          <w:i/>
        </w:rPr>
      </w:pPr>
      <w:r w:rsidRPr="00155205">
        <w:rPr>
          <w:rFonts w:ascii="Times New Roman" w:eastAsia="Times New Roman" w:hAnsi="Times New Roman"/>
          <w:i/>
        </w:rPr>
        <w:t>Telmisartan</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Nie sú k dispozícii dostatočné údaje o užívaní telmisartanu u gravidných žien. Štúdie na zvieratách preukázali reprodukčnú toxicitu (pozri časť 5.3).</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lastRenderedPageBreak/>
        <w:t xml:space="preserve">Epidemiologické dôkazy týkajúce sa rizika teratogenity po vystavení účinku ACE inhibítorov počas prvého trimestra gravidity nie sú preukazné, </w:t>
      </w:r>
      <w:r w:rsidR="008772EC" w:rsidRPr="00155205">
        <w:rPr>
          <w:rFonts w:ascii="Times New Roman" w:eastAsia="Times New Roman" w:hAnsi="Times New Roman"/>
          <w:lang w:eastAsia="sk-SK"/>
        </w:rPr>
        <w:t xml:space="preserve">avšak </w:t>
      </w:r>
      <w:r w:rsidRPr="00155205">
        <w:rPr>
          <w:rFonts w:ascii="Times New Roman" w:eastAsia="Times New Roman" w:hAnsi="Times New Roman"/>
          <w:lang w:eastAsia="sk-SK"/>
        </w:rPr>
        <w:t>malé zvýšenie rizika nemožno vylúčiť. Pokiaľ neexistujú žiadne kontrolované epidemiologické údaje o riziku antagonistov receptor</w:t>
      </w:r>
      <w:r w:rsidR="008772E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pre túto triedu liečiv môžu existovať podobné riziká. Pokiaľ nie je pokračovanie liečby antagonistami receptor</w:t>
      </w:r>
      <w:r w:rsidR="008772E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považované za nevyhnutné, pacientky plánujú</w:t>
      </w:r>
      <w:r w:rsidR="008772EC" w:rsidRPr="00155205">
        <w:rPr>
          <w:rFonts w:ascii="Times New Roman" w:eastAsia="Times New Roman" w:hAnsi="Times New Roman"/>
          <w:lang w:eastAsia="sk-SK"/>
        </w:rPr>
        <w:t>ce</w:t>
      </w:r>
      <w:r w:rsidRPr="00155205">
        <w:rPr>
          <w:rFonts w:ascii="Times New Roman" w:eastAsia="Times New Roman" w:hAnsi="Times New Roman"/>
          <w:lang w:eastAsia="sk-SK"/>
        </w:rPr>
        <w:t xml:space="preserve"> graviditu</w:t>
      </w:r>
      <w:r w:rsidR="00DA77BA"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majú pre</w:t>
      </w:r>
      <w:r w:rsidR="008772EC" w:rsidRPr="00155205">
        <w:rPr>
          <w:rFonts w:ascii="Times New Roman" w:eastAsia="Times New Roman" w:hAnsi="Times New Roman"/>
          <w:lang w:eastAsia="sk-SK"/>
        </w:rPr>
        <w:t>jsť</w:t>
      </w:r>
      <w:r w:rsidRPr="00155205">
        <w:rPr>
          <w:rFonts w:ascii="Times New Roman" w:eastAsia="Times New Roman" w:hAnsi="Times New Roman"/>
          <w:lang w:eastAsia="sk-SK"/>
        </w:rPr>
        <w:t xml:space="preserve"> na </w:t>
      </w:r>
      <w:r w:rsidR="008772EC" w:rsidRPr="00155205">
        <w:rPr>
          <w:rFonts w:ascii="Times New Roman" w:eastAsia="Times New Roman" w:hAnsi="Times New Roman"/>
          <w:lang w:eastAsia="sk-SK"/>
        </w:rPr>
        <w:t>inú</w:t>
      </w:r>
      <w:r w:rsidRPr="00155205">
        <w:rPr>
          <w:rFonts w:ascii="Times New Roman" w:eastAsia="Times New Roman" w:hAnsi="Times New Roman"/>
          <w:lang w:eastAsia="sk-SK"/>
        </w:rPr>
        <w:t xml:space="preserve"> antihypertenz</w:t>
      </w:r>
      <w:r w:rsidR="008772EC" w:rsidRPr="00155205">
        <w:rPr>
          <w:rFonts w:ascii="Times New Roman" w:eastAsia="Times New Roman" w:hAnsi="Times New Roman"/>
          <w:lang w:eastAsia="sk-SK"/>
        </w:rPr>
        <w:t>ívnu</w:t>
      </w:r>
      <w:r w:rsidRPr="00155205">
        <w:rPr>
          <w:rFonts w:ascii="Times New Roman" w:eastAsia="Times New Roman" w:hAnsi="Times New Roman"/>
          <w:lang w:eastAsia="sk-SK"/>
        </w:rPr>
        <w:t xml:space="preserve"> liečbu, ktorá má preukázaný bezpečnostný profil pri používaní v gravidite. Ak sa gravidita potvrdí, liečba antagonistami receptor</w:t>
      </w:r>
      <w:r w:rsidR="008772E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sa musí okamžite ukončiť a ak je vhodné, má sa začať alternatívna liečba.</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Expozícia liečbe antagonistami receptor</w:t>
      </w:r>
      <w:r w:rsidR="008772E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počas druhého a tretieho trimestra je známa tým, že indukuje fetotoxicitu u ľudí (znížená funkcia obličiek, oligohydramnión, retardácia osifikácie lebky) a neonatálnu toxicitu (renálne zlyh</w:t>
      </w:r>
      <w:r w:rsidR="00C23B7C" w:rsidRPr="00155205">
        <w:rPr>
          <w:rFonts w:ascii="Times New Roman" w:eastAsia="Times New Roman" w:hAnsi="Times New Roman"/>
          <w:lang w:eastAsia="sk-SK"/>
        </w:rPr>
        <w:t>áv</w:t>
      </w:r>
      <w:r w:rsidRPr="00155205">
        <w:rPr>
          <w:rFonts w:ascii="Times New Roman" w:eastAsia="Times New Roman" w:hAnsi="Times New Roman"/>
          <w:lang w:eastAsia="sk-SK"/>
        </w:rPr>
        <w:t>anie, hypotenzia, hyperkaliémia). (Pozri časť 5.3).</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Ak došlo od druhého trimestra gravidity k vystaveniu účink</w:t>
      </w:r>
      <w:r w:rsidR="00C23B7C" w:rsidRPr="00155205">
        <w:rPr>
          <w:rFonts w:ascii="Times New Roman" w:eastAsia="Times New Roman" w:hAnsi="Times New Roman"/>
          <w:lang w:eastAsia="sk-SK"/>
        </w:rPr>
        <w:t>u</w:t>
      </w:r>
      <w:r w:rsidRPr="00155205">
        <w:rPr>
          <w:rFonts w:ascii="Times New Roman" w:eastAsia="Times New Roman" w:hAnsi="Times New Roman"/>
          <w:lang w:eastAsia="sk-SK"/>
        </w:rPr>
        <w:t xml:space="preserve"> antagonistov receptor</w:t>
      </w:r>
      <w:r w:rsidR="00C23B7C"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odporúča sa ultrazvukové vyšetrenie funkcie obličiek a lebky.</w:t>
      </w:r>
    </w:p>
    <w:p w:rsidR="00D642EF" w:rsidRPr="00155205" w:rsidRDefault="000F5465"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Dojčatá</w:t>
      </w:r>
      <w:r w:rsidR="00D642EF" w:rsidRPr="00155205">
        <w:rPr>
          <w:rFonts w:ascii="Times New Roman" w:eastAsia="Times New Roman" w:hAnsi="Times New Roman"/>
          <w:lang w:eastAsia="sk-SK"/>
        </w:rPr>
        <w:t>, ktorých matky užívali antagonisty receptor</w:t>
      </w:r>
      <w:r w:rsidR="00C23B7C" w:rsidRPr="00155205">
        <w:rPr>
          <w:rFonts w:ascii="Times New Roman" w:eastAsia="Times New Roman" w:hAnsi="Times New Roman"/>
          <w:lang w:eastAsia="sk-SK"/>
        </w:rPr>
        <w:t>ov</w:t>
      </w:r>
      <w:r w:rsidR="00D642EF" w:rsidRPr="00155205">
        <w:rPr>
          <w:rFonts w:ascii="Times New Roman" w:eastAsia="Times New Roman" w:hAnsi="Times New Roman"/>
          <w:lang w:eastAsia="sk-SK"/>
        </w:rPr>
        <w:t xml:space="preserve"> angiotenzínu II, sa majú starostlivo sledovať z dôvodu hypotenzie (pozri časti 4.3 a 4.4).</w:t>
      </w:r>
    </w:p>
    <w:p w:rsidR="00D642EF" w:rsidRPr="00155205" w:rsidRDefault="00D642EF" w:rsidP="00D642EF">
      <w:pPr>
        <w:autoSpaceDE w:val="0"/>
        <w:autoSpaceDN w:val="0"/>
        <w:adjustRightInd w:val="0"/>
        <w:spacing w:after="0" w:line="240" w:lineRule="auto"/>
        <w:rPr>
          <w:rFonts w:ascii="Times New Roman" w:eastAsia="Times New Roman" w:hAnsi="Times New Roman"/>
          <w:lang w:eastAsia="sk-SK"/>
        </w:rPr>
      </w:pPr>
    </w:p>
    <w:p w:rsidR="00D642EF" w:rsidRPr="00155205" w:rsidRDefault="00D642EF" w:rsidP="00D642EF">
      <w:pPr>
        <w:autoSpaceDE w:val="0"/>
        <w:autoSpaceDN w:val="0"/>
        <w:adjustRightInd w:val="0"/>
        <w:spacing w:after="0" w:line="240" w:lineRule="auto"/>
        <w:rPr>
          <w:rFonts w:ascii="Times New Roman" w:eastAsia="Times New Roman" w:hAnsi="Times New Roman"/>
          <w:i/>
          <w:lang w:eastAsia="sk-SK"/>
        </w:rPr>
      </w:pPr>
      <w:r w:rsidRPr="00155205">
        <w:rPr>
          <w:rFonts w:ascii="Times New Roman" w:eastAsia="Times New Roman" w:hAnsi="Times New Roman"/>
          <w:i/>
          <w:lang w:eastAsia="sk-SK"/>
        </w:rPr>
        <w:t>Amlodipín</w:t>
      </w:r>
    </w:p>
    <w:p w:rsidR="0081148C" w:rsidRPr="00155205" w:rsidRDefault="0081148C" w:rsidP="0081148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Bezpečnosť podávania amlodipínu u žien počas gravidity nebola stanovená. </w:t>
      </w:r>
    </w:p>
    <w:p w:rsidR="0081148C" w:rsidRPr="00155205" w:rsidRDefault="0081148C" w:rsidP="0081148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Štúdie na zvieratách preukázali reprodukčnú toxicitu pri vysokých dávkach (pozri časť 5.3).</w:t>
      </w:r>
    </w:p>
    <w:p w:rsidR="00D642EF" w:rsidRPr="00155205" w:rsidRDefault="00D642EF" w:rsidP="00D642EF">
      <w:pPr>
        <w:autoSpaceDE w:val="0"/>
        <w:autoSpaceDN w:val="0"/>
        <w:adjustRightInd w:val="0"/>
        <w:spacing w:after="0" w:line="240" w:lineRule="auto"/>
        <w:rPr>
          <w:rFonts w:ascii="Times New Roman" w:eastAsia="Times New Roman" w:hAnsi="Times New Roman"/>
          <w:u w:val="single"/>
          <w:lang w:eastAsia="sk-SK"/>
        </w:rPr>
      </w:pPr>
    </w:p>
    <w:p w:rsidR="00D642EF" w:rsidRPr="00155205" w:rsidRDefault="004D2E3E" w:rsidP="00D642EF">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Dojčenie</w:t>
      </w:r>
      <w:r w:rsidR="00D642EF" w:rsidRPr="00155205">
        <w:rPr>
          <w:rFonts w:ascii="Times New Roman" w:eastAsia="Times New Roman" w:hAnsi="Times New Roman"/>
          <w:u w:val="single"/>
          <w:lang w:eastAsia="sk-SK"/>
        </w:rPr>
        <w:t xml:space="preserve"> </w:t>
      </w:r>
    </w:p>
    <w:p w:rsidR="00D642EF" w:rsidRPr="00155205" w:rsidRDefault="00A44FBC" w:rsidP="00D642EF">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w:t>
      </w:r>
      <w:r w:rsidR="004D2E3E" w:rsidRPr="00155205">
        <w:rPr>
          <w:rFonts w:ascii="Times New Roman" w:eastAsia="Times New Roman" w:hAnsi="Times New Roman"/>
          <w:lang w:eastAsia="sk-SK"/>
        </w:rPr>
        <w:t>eldipin</w:t>
      </w:r>
      <w:r w:rsidR="0081148C" w:rsidRPr="00155205">
        <w:rPr>
          <w:rFonts w:ascii="Times New Roman" w:eastAsia="Times New Roman" w:hAnsi="Times New Roman"/>
          <w:lang w:eastAsia="sk-SK"/>
        </w:rPr>
        <w:t xml:space="preserve"> </w:t>
      </w:r>
      <w:r w:rsidR="004D2E3E" w:rsidRPr="00155205">
        <w:rPr>
          <w:rFonts w:ascii="Times New Roman" w:eastAsia="Times New Roman" w:hAnsi="Times New Roman"/>
          <w:lang w:eastAsia="sk-SK"/>
        </w:rPr>
        <w:t xml:space="preserve">sa </w:t>
      </w:r>
      <w:r w:rsidR="00D642EF" w:rsidRPr="00155205">
        <w:rPr>
          <w:rFonts w:ascii="Times New Roman" w:eastAsia="Times New Roman" w:hAnsi="Times New Roman"/>
          <w:lang w:eastAsia="sk-SK"/>
        </w:rPr>
        <w:t>neodporúča a</w:t>
      </w:r>
      <w:r w:rsidR="004D2E3E" w:rsidRPr="00155205">
        <w:rPr>
          <w:rFonts w:ascii="Times New Roman" w:eastAsia="Times New Roman" w:hAnsi="Times New Roman"/>
          <w:lang w:eastAsia="sk-SK"/>
        </w:rPr>
        <w:t xml:space="preserve"> uprednostňuje sa </w:t>
      </w:r>
      <w:r w:rsidR="00D642EF" w:rsidRPr="00155205">
        <w:rPr>
          <w:rFonts w:ascii="Times New Roman" w:eastAsia="Times New Roman" w:hAnsi="Times New Roman"/>
          <w:lang w:eastAsia="sk-SK"/>
        </w:rPr>
        <w:t>alternatívn</w:t>
      </w:r>
      <w:r w:rsidR="004D2E3E" w:rsidRPr="00155205">
        <w:rPr>
          <w:rFonts w:ascii="Times New Roman" w:eastAsia="Times New Roman" w:hAnsi="Times New Roman"/>
          <w:lang w:eastAsia="sk-SK"/>
        </w:rPr>
        <w:t>a</w:t>
      </w:r>
      <w:r w:rsidR="00D642EF" w:rsidRPr="00155205">
        <w:rPr>
          <w:rFonts w:ascii="Times New Roman" w:eastAsia="Times New Roman" w:hAnsi="Times New Roman"/>
          <w:lang w:eastAsia="sk-SK"/>
        </w:rPr>
        <w:t xml:space="preserve"> liečb</w:t>
      </w:r>
      <w:r w:rsidR="004D2E3E" w:rsidRPr="00155205">
        <w:rPr>
          <w:rFonts w:ascii="Times New Roman" w:eastAsia="Times New Roman" w:hAnsi="Times New Roman"/>
          <w:lang w:eastAsia="sk-SK"/>
        </w:rPr>
        <w:t>a</w:t>
      </w:r>
      <w:r w:rsidR="00D642EF" w:rsidRPr="00155205">
        <w:rPr>
          <w:rFonts w:ascii="Times New Roman" w:eastAsia="Times New Roman" w:hAnsi="Times New Roman"/>
          <w:lang w:eastAsia="sk-SK"/>
        </w:rPr>
        <w:t xml:space="preserve"> s lepšie preukázaným profil</w:t>
      </w:r>
      <w:r w:rsidR="004D2E3E" w:rsidRPr="00155205">
        <w:rPr>
          <w:rFonts w:ascii="Times New Roman" w:eastAsia="Times New Roman" w:hAnsi="Times New Roman"/>
          <w:lang w:eastAsia="sk-SK"/>
        </w:rPr>
        <w:t>o</w:t>
      </w:r>
      <w:r w:rsidR="00D642EF" w:rsidRPr="00155205">
        <w:rPr>
          <w:rFonts w:ascii="Times New Roman" w:eastAsia="Times New Roman" w:hAnsi="Times New Roman"/>
          <w:lang w:eastAsia="sk-SK"/>
        </w:rPr>
        <w:t xml:space="preserve">m bezpečnosti </w:t>
      </w:r>
      <w:r w:rsidR="004D2E3E" w:rsidRPr="00155205">
        <w:rPr>
          <w:rFonts w:ascii="Times New Roman" w:eastAsia="Times New Roman" w:hAnsi="Times New Roman"/>
          <w:lang w:eastAsia="sk-SK"/>
        </w:rPr>
        <w:t>počas</w:t>
      </w:r>
      <w:r w:rsidR="00D642EF" w:rsidRPr="00155205">
        <w:rPr>
          <w:rFonts w:ascii="Times New Roman" w:eastAsia="Times New Roman" w:hAnsi="Times New Roman"/>
          <w:lang w:eastAsia="sk-SK"/>
        </w:rPr>
        <w:t xml:space="preserve"> dojčenia, najmä počas dojčenia novorodencov alebo predčasne narodených detí.</w:t>
      </w:r>
    </w:p>
    <w:p w:rsidR="00D642EF" w:rsidRDefault="00D642EF" w:rsidP="00D642EF">
      <w:pPr>
        <w:autoSpaceDE w:val="0"/>
        <w:autoSpaceDN w:val="0"/>
        <w:adjustRightInd w:val="0"/>
        <w:spacing w:after="0" w:line="240" w:lineRule="auto"/>
        <w:rPr>
          <w:rFonts w:ascii="Times New Roman" w:eastAsia="Times New Roman" w:hAnsi="Times New Roman"/>
          <w:b/>
          <w:bCs/>
          <w:lang w:eastAsia="sk-SK"/>
        </w:rPr>
      </w:pPr>
    </w:p>
    <w:p w:rsidR="000E228C" w:rsidRDefault="00F76DEF" w:rsidP="00D642EF">
      <w:pPr>
        <w:autoSpaceDE w:val="0"/>
        <w:autoSpaceDN w:val="0"/>
        <w:adjustRightInd w:val="0"/>
        <w:spacing w:after="0" w:line="240" w:lineRule="auto"/>
        <w:rPr>
          <w:rFonts w:ascii="Times New Roman" w:eastAsia="Times New Roman" w:hAnsi="Times New Roman"/>
          <w:lang w:eastAsia="sk-SK"/>
        </w:rPr>
      </w:pPr>
      <w:r>
        <w:rPr>
          <w:rFonts w:ascii="Times New Roman" w:eastAsia="Times New Roman" w:hAnsi="Times New Roman"/>
          <w:lang w:eastAsia="sk-SK"/>
        </w:rPr>
        <w:t>N</w:t>
      </w:r>
      <w:r w:rsidR="000E228C" w:rsidRPr="00155205">
        <w:rPr>
          <w:rFonts w:ascii="Times New Roman" w:eastAsia="Times New Roman" w:hAnsi="Times New Roman"/>
          <w:lang w:eastAsia="sk-SK"/>
        </w:rPr>
        <w:t>ie sú dostupné žiadn</w:t>
      </w:r>
      <w:r w:rsidR="000E228C">
        <w:rPr>
          <w:rFonts w:ascii="Times New Roman" w:eastAsia="Times New Roman" w:hAnsi="Times New Roman"/>
          <w:lang w:eastAsia="sk-SK"/>
        </w:rPr>
        <w:t xml:space="preserve">e informácie ohľadom používania </w:t>
      </w:r>
      <w:r w:rsidR="000E228C" w:rsidRPr="00155205">
        <w:rPr>
          <w:rFonts w:ascii="Times New Roman" w:eastAsia="Times New Roman" w:hAnsi="Times New Roman"/>
          <w:lang w:eastAsia="sk-SK"/>
        </w:rPr>
        <w:t>telmisartanu počas dojčenia</w:t>
      </w:r>
      <w:r w:rsidR="000E228C">
        <w:rPr>
          <w:rFonts w:ascii="Times New Roman" w:eastAsia="Times New Roman" w:hAnsi="Times New Roman"/>
          <w:lang w:eastAsia="sk-SK"/>
        </w:rPr>
        <w:t>.</w:t>
      </w:r>
    </w:p>
    <w:p w:rsidR="000E228C" w:rsidRDefault="000E228C" w:rsidP="00D642EF">
      <w:pPr>
        <w:autoSpaceDE w:val="0"/>
        <w:autoSpaceDN w:val="0"/>
        <w:adjustRightInd w:val="0"/>
        <w:spacing w:after="0" w:line="240" w:lineRule="auto"/>
        <w:rPr>
          <w:rFonts w:ascii="Times New Roman" w:eastAsia="Times New Roman" w:hAnsi="Times New Roman"/>
          <w:lang w:eastAsia="sk-SK"/>
        </w:rPr>
      </w:pPr>
    </w:p>
    <w:p w:rsidR="000E228C" w:rsidRPr="000E228C" w:rsidRDefault="000E228C" w:rsidP="000E228C">
      <w:pPr>
        <w:rPr>
          <w:rFonts w:ascii="Times New Roman" w:hAnsi="Times New Roman"/>
        </w:rPr>
      </w:pPr>
      <w:r w:rsidRPr="000E228C">
        <w:rPr>
          <w:rFonts w:ascii="Times New Roman" w:hAnsi="Times New Roman"/>
        </w:rPr>
        <w:t xml:space="preserve">Amlodipín sa vylučuje do </w:t>
      </w:r>
      <w:r w:rsidR="00F76DEF">
        <w:rPr>
          <w:rFonts w:ascii="Times New Roman" w:hAnsi="Times New Roman"/>
        </w:rPr>
        <w:t xml:space="preserve">ľudského </w:t>
      </w:r>
      <w:r w:rsidRPr="000E228C">
        <w:rPr>
          <w:rFonts w:ascii="Times New Roman" w:hAnsi="Times New Roman"/>
        </w:rPr>
        <w:t>materského mlieka. Podiel dávky</w:t>
      </w:r>
      <w:r w:rsidR="00F76DEF">
        <w:rPr>
          <w:rFonts w:ascii="Times New Roman" w:hAnsi="Times New Roman"/>
        </w:rPr>
        <w:t xml:space="preserve"> podanej matke</w:t>
      </w:r>
      <w:r w:rsidRPr="000E228C">
        <w:rPr>
          <w:rFonts w:ascii="Times New Roman" w:hAnsi="Times New Roman"/>
        </w:rPr>
        <w:t>, ktor</w:t>
      </w:r>
      <w:r w:rsidR="00F76DEF">
        <w:rPr>
          <w:rFonts w:ascii="Times New Roman" w:hAnsi="Times New Roman"/>
        </w:rPr>
        <w:t>ý dostane</w:t>
      </w:r>
      <w:r w:rsidRPr="000E228C">
        <w:rPr>
          <w:rFonts w:ascii="Times New Roman" w:hAnsi="Times New Roman"/>
        </w:rPr>
        <w:t xml:space="preserve"> dieť</w:t>
      </w:r>
      <w:r w:rsidR="00F76DEF">
        <w:rPr>
          <w:rFonts w:ascii="Times New Roman" w:hAnsi="Times New Roman"/>
        </w:rPr>
        <w:t>a</w:t>
      </w:r>
      <w:r w:rsidRPr="000E228C">
        <w:rPr>
          <w:rFonts w:ascii="Times New Roman" w:hAnsi="Times New Roman"/>
        </w:rPr>
        <w:t xml:space="preserve">, sa odhaduje s interkvartilným rozmedzím 3 </w:t>
      </w:r>
      <w:r>
        <w:rPr>
          <w:rFonts w:ascii="Times New Roman" w:hAnsi="Times New Roman"/>
        </w:rPr>
        <w:t>-</w:t>
      </w:r>
      <w:r w:rsidRPr="000E228C">
        <w:rPr>
          <w:rFonts w:ascii="Times New Roman" w:hAnsi="Times New Roman"/>
        </w:rPr>
        <w:t xml:space="preserve"> 7</w:t>
      </w:r>
      <w:r>
        <w:rPr>
          <w:rFonts w:ascii="Times New Roman" w:hAnsi="Times New Roman"/>
        </w:rPr>
        <w:t xml:space="preserve"> </w:t>
      </w:r>
      <w:r w:rsidRPr="000E228C">
        <w:rPr>
          <w:rFonts w:ascii="Times New Roman" w:hAnsi="Times New Roman"/>
        </w:rPr>
        <w:t>%, maximálne 15</w:t>
      </w:r>
      <w:r>
        <w:rPr>
          <w:rFonts w:ascii="Times New Roman" w:hAnsi="Times New Roman"/>
        </w:rPr>
        <w:t xml:space="preserve"> </w:t>
      </w:r>
      <w:r w:rsidRPr="000E228C">
        <w:rPr>
          <w:rFonts w:ascii="Times New Roman" w:hAnsi="Times New Roman"/>
        </w:rPr>
        <w:t xml:space="preserve">%. Účinok amlodipínu na dojčatá nie je známy. </w:t>
      </w:r>
    </w:p>
    <w:p w:rsidR="00D642EF" w:rsidRPr="00155205" w:rsidRDefault="00D642EF" w:rsidP="00D642EF">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Fertilita</w:t>
      </w:r>
    </w:p>
    <w:p w:rsidR="0081148C" w:rsidRPr="00155205" w:rsidRDefault="0081148C" w:rsidP="00D642EF">
      <w:pPr>
        <w:spacing w:after="0" w:line="240" w:lineRule="auto"/>
        <w:ind w:left="567" w:hanging="567"/>
        <w:rPr>
          <w:rFonts w:ascii="Times New Roman" w:eastAsia="Times New Roman" w:hAnsi="Times New Roman"/>
          <w:lang w:eastAsia="sk-SK"/>
        </w:rPr>
      </w:pPr>
    </w:p>
    <w:p w:rsidR="0081148C" w:rsidRPr="00155205" w:rsidRDefault="0081148C" w:rsidP="00D642EF">
      <w:pPr>
        <w:spacing w:after="0" w:line="240" w:lineRule="auto"/>
        <w:ind w:left="567" w:hanging="567"/>
        <w:rPr>
          <w:rFonts w:ascii="Times New Roman" w:eastAsia="Times New Roman" w:hAnsi="Times New Roman"/>
          <w:i/>
          <w:lang w:eastAsia="sk-SK"/>
        </w:rPr>
      </w:pPr>
      <w:r w:rsidRPr="00155205">
        <w:rPr>
          <w:rFonts w:ascii="Times New Roman" w:eastAsia="Times New Roman" w:hAnsi="Times New Roman"/>
          <w:i/>
          <w:lang w:eastAsia="sk-SK"/>
        </w:rPr>
        <w:t>Telmisartan</w:t>
      </w:r>
    </w:p>
    <w:p w:rsidR="00FD2D5B" w:rsidRPr="00155205" w:rsidRDefault="00D642EF" w:rsidP="00D642EF">
      <w:pPr>
        <w:spacing w:after="0" w:line="240" w:lineRule="auto"/>
        <w:ind w:left="567" w:hanging="567"/>
        <w:rPr>
          <w:rFonts w:ascii="Times New Roman" w:hAnsi="Times New Roman"/>
          <w:lang w:eastAsia="sk-SK"/>
        </w:rPr>
      </w:pPr>
      <w:r w:rsidRPr="00155205">
        <w:rPr>
          <w:rFonts w:ascii="Times New Roman" w:eastAsia="Times New Roman" w:hAnsi="Times New Roman"/>
          <w:lang w:eastAsia="sk-SK"/>
        </w:rPr>
        <w:t xml:space="preserve">V predklinických štúdiách sa nepozorovali žiadne vplyvy </w:t>
      </w:r>
      <w:r w:rsidR="0081148C" w:rsidRPr="00155205">
        <w:rPr>
          <w:rFonts w:ascii="Times New Roman" w:eastAsia="Times New Roman" w:hAnsi="Times New Roman"/>
          <w:lang w:eastAsia="sk-SK"/>
        </w:rPr>
        <w:t>telmisartanu</w:t>
      </w:r>
      <w:r w:rsidRPr="00155205">
        <w:rPr>
          <w:rFonts w:ascii="Times New Roman" w:eastAsia="Times New Roman" w:hAnsi="Times New Roman"/>
          <w:lang w:eastAsia="sk-SK"/>
        </w:rPr>
        <w:t xml:space="preserve"> na fertilitu samcov a</w:t>
      </w:r>
      <w:r w:rsidR="0081148C" w:rsidRPr="00155205">
        <w:rPr>
          <w:rFonts w:ascii="Times New Roman" w:eastAsia="Times New Roman" w:hAnsi="Times New Roman"/>
          <w:lang w:eastAsia="sk-SK"/>
        </w:rPr>
        <w:t> </w:t>
      </w:r>
      <w:r w:rsidRPr="00155205">
        <w:rPr>
          <w:rFonts w:ascii="Times New Roman" w:eastAsia="Times New Roman" w:hAnsi="Times New Roman"/>
          <w:lang w:eastAsia="sk-SK"/>
        </w:rPr>
        <w:t>samíc</w:t>
      </w:r>
      <w:r w:rsidR="0081148C" w:rsidRPr="00155205">
        <w:rPr>
          <w:rFonts w:ascii="Times New Roman" w:eastAsia="Times New Roman" w:hAnsi="Times New Roman"/>
          <w:lang w:eastAsia="sk-SK"/>
        </w:rPr>
        <w:t>.</w:t>
      </w:r>
    </w:p>
    <w:p w:rsidR="0081148C" w:rsidRPr="00155205" w:rsidRDefault="0081148C" w:rsidP="00FD2D5B">
      <w:pPr>
        <w:spacing w:after="0" w:line="240" w:lineRule="auto"/>
        <w:ind w:left="567" w:hanging="567"/>
        <w:rPr>
          <w:rFonts w:ascii="Times New Roman" w:hAnsi="Times New Roman"/>
          <w:b/>
          <w:iCs/>
          <w:highlight w:val="yellow"/>
          <w:u w:val="single"/>
          <w:lang w:eastAsia="sk-SK"/>
        </w:rPr>
      </w:pPr>
    </w:p>
    <w:p w:rsidR="0081148C" w:rsidRPr="00155205" w:rsidRDefault="0081148C" w:rsidP="00FD2D5B">
      <w:pPr>
        <w:tabs>
          <w:tab w:val="left" w:pos="284"/>
          <w:tab w:val="left" w:pos="709"/>
          <w:tab w:val="left" w:pos="993"/>
        </w:tabs>
        <w:spacing w:after="0" w:line="240" w:lineRule="auto"/>
        <w:rPr>
          <w:rFonts w:ascii="Times New Roman" w:hAnsi="Times New Roman"/>
          <w:i/>
          <w:lang w:eastAsia="sk-SK"/>
        </w:rPr>
      </w:pPr>
      <w:r w:rsidRPr="00155205">
        <w:rPr>
          <w:rFonts w:ascii="Times New Roman" w:hAnsi="Times New Roman"/>
          <w:i/>
          <w:lang w:eastAsia="sk-SK"/>
        </w:rPr>
        <w:t>Amlodipín</w:t>
      </w:r>
    </w:p>
    <w:p w:rsidR="00FD2D5B" w:rsidRPr="00155205" w:rsidRDefault="00FD2D5B" w:rsidP="00FD2D5B">
      <w:pPr>
        <w:tabs>
          <w:tab w:val="left" w:pos="284"/>
          <w:tab w:val="left" w:pos="709"/>
          <w:tab w:val="left" w:pos="993"/>
        </w:tabs>
        <w:spacing w:after="0" w:line="240" w:lineRule="auto"/>
        <w:rPr>
          <w:rFonts w:ascii="Times New Roman" w:hAnsi="Times New Roman"/>
          <w:bCs/>
          <w:iCs/>
          <w:lang w:eastAsia="sk-SK"/>
        </w:rPr>
      </w:pPr>
      <w:r w:rsidRPr="00155205">
        <w:rPr>
          <w:rFonts w:ascii="Times New Roman" w:hAnsi="Times New Roman"/>
          <w:lang w:eastAsia="sk-SK"/>
        </w:rPr>
        <w:t xml:space="preserve">U niektorých pacientov liečených blokátormi kalciových kanálov boli hlásené reverzibilné biochemické zmeny na hlavičke spermií. Nie sú dostatočné klinické údaje týkajúce sa možného účinku amlodipínu na fertilitu. V jednej štúdii na potkanoch boli pozorované vedľajšie účinky na fertilitu </w:t>
      </w:r>
      <w:r w:rsidRPr="00155205">
        <w:rPr>
          <w:rFonts w:ascii="Times New Roman" w:hAnsi="Times New Roman"/>
          <w:bCs/>
          <w:iCs/>
          <w:lang w:eastAsia="sk-SK"/>
        </w:rPr>
        <w:t>u samcov (pozri časť 5.3).</w:t>
      </w:r>
    </w:p>
    <w:p w:rsidR="00FD2D5B" w:rsidRPr="00155205"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4.7</w:t>
      </w:r>
      <w:r w:rsidRPr="00155205">
        <w:rPr>
          <w:rFonts w:ascii="Times New Roman" w:hAnsi="Times New Roman"/>
          <w:b/>
          <w:noProof/>
          <w:lang w:eastAsia="sk-SK"/>
        </w:rPr>
        <w:tab/>
        <w:t>Ovplyvnenie schopnosti viesť vozidlá a obsluhovať stroje</w:t>
      </w:r>
    </w:p>
    <w:p w:rsidR="00FD2D5B" w:rsidRPr="00155205" w:rsidRDefault="00FD2D5B" w:rsidP="00FD2D5B">
      <w:pPr>
        <w:spacing w:after="0" w:line="240" w:lineRule="auto"/>
        <w:ind w:left="567" w:hanging="567"/>
        <w:rPr>
          <w:rFonts w:ascii="Times New Roman" w:hAnsi="Times New Roman"/>
          <w:noProof/>
          <w:lang w:eastAsia="sk-SK"/>
        </w:rPr>
      </w:pPr>
    </w:p>
    <w:p w:rsidR="0081148C" w:rsidRPr="00155205" w:rsidRDefault="00A44FBC" w:rsidP="00FD2D5B">
      <w:pPr>
        <w:spacing w:after="0" w:line="240" w:lineRule="auto"/>
        <w:rPr>
          <w:rFonts w:ascii="Times New Roman" w:hAnsi="Times New Roman"/>
          <w:lang w:eastAsia="sk-SK"/>
        </w:rPr>
      </w:pPr>
      <w:r w:rsidRPr="00155205">
        <w:rPr>
          <w:rFonts w:ascii="Times New Roman" w:hAnsi="Times New Roman"/>
          <w:lang w:eastAsia="sk-SK"/>
        </w:rPr>
        <w:t>T</w:t>
      </w:r>
      <w:r w:rsidR="00BC100D" w:rsidRPr="00155205">
        <w:rPr>
          <w:rFonts w:ascii="Times New Roman" w:hAnsi="Times New Roman"/>
          <w:lang w:eastAsia="sk-SK"/>
        </w:rPr>
        <w:t>eldipin</w:t>
      </w:r>
      <w:r w:rsidR="0081148C" w:rsidRPr="00155205">
        <w:rPr>
          <w:rFonts w:ascii="Times New Roman" w:hAnsi="Times New Roman"/>
          <w:lang w:eastAsia="sk-SK"/>
        </w:rPr>
        <w:t xml:space="preserve"> má mierny vplyv na schopnosť viesť </w:t>
      </w:r>
      <w:r w:rsidR="00DA77BA" w:rsidRPr="00155205">
        <w:rPr>
          <w:rFonts w:ascii="Times New Roman" w:hAnsi="Times New Roman"/>
          <w:lang w:eastAsia="sk-SK"/>
        </w:rPr>
        <w:t xml:space="preserve">vozidlá </w:t>
      </w:r>
      <w:r w:rsidR="0081148C" w:rsidRPr="00155205">
        <w:rPr>
          <w:rFonts w:ascii="Times New Roman" w:hAnsi="Times New Roman"/>
          <w:lang w:eastAsia="sk-SK"/>
        </w:rPr>
        <w:t xml:space="preserve">a obsluhovať stroje. </w:t>
      </w:r>
      <w:r w:rsidR="00BC100D" w:rsidRPr="00155205">
        <w:rPr>
          <w:rFonts w:ascii="Times New Roman" w:hAnsi="Times New Roman"/>
          <w:lang w:eastAsia="sk-SK"/>
        </w:rPr>
        <w:t xml:space="preserve">Pri vedení vozidla alebo obsluhe strojov je potrebné vziať do úvahy, že sa pri užívaní antihypertenzív, ako </w:t>
      </w:r>
      <w:r w:rsidR="00350E0A" w:rsidRPr="00155205">
        <w:rPr>
          <w:rFonts w:ascii="Times New Roman" w:hAnsi="Times New Roman"/>
          <w:lang w:eastAsia="sk-SK"/>
        </w:rPr>
        <w:t>je</w:t>
      </w:r>
      <w:r w:rsidR="00BC100D" w:rsidRPr="00155205">
        <w:rPr>
          <w:rFonts w:ascii="Times New Roman" w:hAnsi="Times New Roman"/>
          <w:lang w:eastAsia="sk-SK"/>
        </w:rPr>
        <w:t xml:space="preserve"> Teldipin, môže príležitostne objaviť závrat alebo ospalosť</w:t>
      </w:r>
      <w:r w:rsidR="00350E0A" w:rsidRPr="00155205">
        <w:rPr>
          <w:rFonts w:ascii="Times New Roman" w:hAnsi="Times New Roman"/>
          <w:lang w:eastAsia="sk-SK"/>
        </w:rPr>
        <w:t>.</w:t>
      </w:r>
    </w:p>
    <w:p w:rsidR="005E1EF1" w:rsidRPr="00155205" w:rsidRDefault="005E1EF1" w:rsidP="00FD2D5B">
      <w:pPr>
        <w:spacing w:after="0" w:line="240" w:lineRule="auto"/>
        <w:rPr>
          <w:rFonts w:ascii="Times New Roman" w:hAnsi="Times New Roman"/>
          <w:lang w:eastAsia="sk-SK"/>
        </w:rPr>
      </w:pPr>
      <w:r w:rsidRPr="00155205">
        <w:rPr>
          <w:rFonts w:ascii="Times New Roman" w:hAnsi="Times New Roman"/>
          <w:lang w:eastAsia="sk-SK"/>
        </w:rPr>
        <w:t xml:space="preserve">Ak pacienti užívajúci </w:t>
      </w:r>
      <w:r w:rsidR="00350E0A" w:rsidRPr="00155205">
        <w:rPr>
          <w:rFonts w:ascii="Times New Roman" w:hAnsi="Times New Roman"/>
          <w:lang w:eastAsia="sk-SK"/>
        </w:rPr>
        <w:t xml:space="preserve">amlodipín </w:t>
      </w:r>
      <w:r w:rsidRPr="00155205">
        <w:rPr>
          <w:rFonts w:ascii="Times New Roman" w:hAnsi="Times New Roman"/>
          <w:lang w:eastAsia="sk-SK"/>
        </w:rPr>
        <w:t>trpia závratmi, bolesťou hlavy, únavou alebo nevoľnosťou</w:t>
      </w:r>
      <w:r w:rsidR="00DA77BA" w:rsidRPr="00155205">
        <w:rPr>
          <w:rFonts w:ascii="Times New Roman" w:hAnsi="Times New Roman"/>
          <w:lang w:eastAsia="sk-SK"/>
        </w:rPr>
        <w:t>,</w:t>
      </w:r>
      <w:r w:rsidRPr="00155205">
        <w:rPr>
          <w:rFonts w:ascii="Times New Roman" w:hAnsi="Times New Roman"/>
          <w:lang w:eastAsia="sk-SK"/>
        </w:rPr>
        <w:t xml:space="preserve"> schopnosť reagovať môže byť narušená. Preto sa odporúča opatrnosť </w:t>
      </w:r>
      <w:r w:rsidR="00BC100D" w:rsidRPr="00155205">
        <w:rPr>
          <w:rFonts w:ascii="Times New Roman" w:hAnsi="Times New Roman"/>
          <w:lang w:eastAsia="sk-SK"/>
        </w:rPr>
        <w:t>najmä na začiatku liečby.</w:t>
      </w:r>
    </w:p>
    <w:p w:rsidR="00FD2D5B" w:rsidRPr="00155205" w:rsidRDefault="00FD2D5B" w:rsidP="00FD2D5B">
      <w:pPr>
        <w:spacing w:after="0" w:line="240" w:lineRule="auto"/>
        <w:rPr>
          <w:rFonts w:ascii="Times New Roman" w:hAnsi="Times New Roman"/>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4.8</w:t>
      </w:r>
      <w:r w:rsidRPr="00155205">
        <w:rPr>
          <w:rFonts w:ascii="Times New Roman" w:hAnsi="Times New Roman"/>
          <w:b/>
          <w:noProof/>
          <w:lang w:eastAsia="sk-SK"/>
        </w:rPr>
        <w:tab/>
        <w:t>Nežiaduce účinky</w:t>
      </w:r>
    </w:p>
    <w:p w:rsidR="00FD2D5B" w:rsidRPr="00155205" w:rsidRDefault="00FD2D5B" w:rsidP="00FD2D5B">
      <w:pPr>
        <w:spacing w:after="0" w:line="240" w:lineRule="auto"/>
        <w:ind w:left="567" w:hanging="567"/>
        <w:rPr>
          <w:rFonts w:ascii="Times New Roman" w:hAnsi="Times New Roman"/>
          <w:noProof/>
          <w:lang w:eastAsia="sk-SK"/>
        </w:rPr>
      </w:pPr>
    </w:p>
    <w:p w:rsidR="00682849" w:rsidRPr="00155205" w:rsidRDefault="00682849" w:rsidP="00682849">
      <w:pPr>
        <w:autoSpaceDE w:val="0"/>
        <w:autoSpaceDN w:val="0"/>
        <w:adjustRightInd w:val="0"/>
        <w:spacing w:after="0" w:line="240" w:lineRule="auto"/>
        <w:rPr>
          <w:rFonts w:ascii="Times New Roman" w:eastAsia="Times New Roman" w:hAnsi="Times New Roman"/>
          <w:iCs/>
          <w:u w:val="single"/>
          <w:lang w:eastAsia="sk-SK"/>
        </w:rPr>
      </w:pPr>
      <w:r w:rsidRPr="00155205">
        <w:rPr>
          <w:rFonts w:ascii="Times New Roman" w:eastAsia="Times New Roman" w:hAnsi="Times New Roman"/>
          <w:iCs/>
          <w:u w:val="single"/>
          <w:lang w:eastAsia="sk-SK"/>
        </w:rPr>
        <w:t>Súhrn profilu bezpečnosti</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p>
    <w:p w:rsidR="00BC100D" w:rsidRPr="00155205" w:rsidRDefault="00BC100D" w:rsidP="00BC100D">
      <w:pPr>
        <w:widowControl w:val="0"/>
        <w:tabs>
          <w:tab w:val="left" w:pos="567"/>
        </w:tabs>
        <w:spacing w:after="0"/>
        <w:rPr>
          <w:rFonts w:ascii="Times New Roman" w:hAnsi="Times New Roman"/>
          <w:i/>
          <w:iCs/>
        </w:rPr>
      </w:pPr>
      <w:r w:rsidRPr="00155205">
        <w:rPr>
          <w:rFonts w:ascii="Times New Roman" w:hAnsi="Times New Roman"/>
          <w:i/>
          <w:iCs/>
        </w:rPr>
        <w:t>Telmisartan</w:t>
      </w:r>
    </w:p>
    <w:p w:rsidR="00682849" w:rsidRPr="00155205" w:rsidRDefault="00682849" w:rsidP="00BC100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lastRenderedPageBreak/>
        <w:t xml:space="preserve">Závažné nežiaduce reakcie zahŕňajú anafylaktickú reakciu a angioedém, ktoré sa môžu vyskytovať zriedkavo ((≥1/10 000 </w:t>
      </w:r>
      <w:r w:rsidR="006A4EB8" w:rsidRPr="00155205">
        <w:rPr>
          <w:rFonts w:ascii="Times New Roman" w:eastAsia="Times New Roman" w:hAnsi="Times New Roman"/>
          <w:lang w:eastAsia="sk-SK"/>
        </w:rPr>
        <w:t>až</w:t>
      </w:r>
      <w:r w:rsidRPr="00155205">
        <w:rPr>
          <w:rFonts w:ascii="Times New Roman" w:eastAsia="Times New Roman" w:hAnsi="Times New Roman"/>
          <w:lang w:eastAsia="sk-SK"/>
        </w:rPr>
        <w:t xml:space="preserve"> &lt;1/1000)</w:t>
      </w:r>
      <w:r w:rsidR="006A4EB8" w:rsidRPr="00155205">
        <w:rPr>
          <w:rFonts w:ascii="Times New Roman" w:eastAsia="Times New Roman" w:hAnsi="Times New Roman"/>
          <w:lang w:eastAsia="sk-SK"/>
        </w:rPr>
        <w:t>,</w:t>
      </w:r>
      <w:r w:rsidRPr="00155205">
        <w:rPr>
          <w:rFonts w:ascii="Times New Roman" w:eastAsia="Times New Roman" w:hAnsi="Times New Roman"/>
          <w:lang w:eastAsia="sk-SK"/>
        </w:rPr>
        <w:t xml:space="preserve"> a akútne zlyhanie obličiek.</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 </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Celkový výskyt nežiaducich reakcií hlásených s telmisartanom  bol zvyčajne porovnateľný s placebom (41,4 % verzus 43,9 %) v kontrolovaných klinických skúšaniach</w:t>
      </w:r>
      <w:r w:rsidR="00256C76" w:rsidRPr="00155205">
        <w:rPr>
          <w:rFonts w:ascii="Times New Roman" w:eastAsia="Times New Roman" w:hAnsi="Times New Roman"/>
          <w:lang w:eastAsia="sk-SK"/>
        </w:rPr>
        <w:t xml:space="preserve"> u pacientov s hypertenziou</w:t>
      </w:r>
      <w:r w:rsidRPr="00155205">
        <w:rPr>
          <w:rFonts w:ascii="Times New Roman" w:eastAsia="Times New Roman" w:hAnsi="Times New Roman"/>
          <w:lang w:eastAsia="sk-SK"/>
        </w:rPr>
        <w:t>. Výskyt nežiaducich reakcií nebol závislý od dávky a nebola preukázaná súvislosť s pohlavím, vekom alebo rasou pacientov. Bezpečnostný profil telmisartanu u pacientov lieč</w:t>
      </w:r>
      <w:r w:rsidR="007D4744" w:rsidRPr="00155205">
        <w:rPr>
          <w:rFonts w:ascii="Times New Roman" w:eastAsia="Times New Roman" w:hAnsi="Times New Roman"/>
          <w:lang w:eastAsia="sk-SK"/>
        </w:rPr>
        <w:t>ených</w:t>
      </w:r>
      <w:r w:rsidRPr="00155205">
        <w:rPr>
          <w:rFonts w:ascii="Times New Roman" w:eastAsia="Times New Roman" w:hAnsi="Times New Roman"/>
          <w:lang w:eastAsia="sk-SK"/>
        </w:rPr>
        <w:t xml:space="preserve"> </w:t>
      </w:r>
      <w:r w:rsidR="007D4744" w:rsidRPr="00155205">
        <w:rPr>
          <w:rFonts w:ascii="Times New Roman" w:eastAsia="Times New Roman" w:hAnsi="Times New Roman"/>
          <w:lang w:eastAsia="sk-SK"/>
        </w:rPr>
        <w:t>na</w:t>
      </w:r>
      <w:r w:rsidRPr="00155205">
        <w:rPr>
          <w:rFonts w:ascii="Times New Roman" w:eastAsia="Times New Roman" w:hAnsi="Times New Roman"/>
          <w:lang w:eastAsia="sk-SK"/>
        </w:rPr>
        <w:t xml:space="preserve"> zníženie kardiovaskulárnej morbidity bol zhodný s tým, ktorý sa získal u pacientov s hypertenziou.</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Nežiaduce reakcie uvedené nižšie </w:t>
      </w:r>
      <w:r w:rsidR="00504C4A" w:rsidRPr="00155205">
        <w:rPr>
          <w:rFonts w:ascii="Times New Roman" w:eastAsia="Times New Roman" w:hAnsi="Times New Roman"/>
          <w:lang w:eastAsia="sk-SK"/>
        </w:rPr>
        <w:t>boli zozbierané</w:t>
      </w:r>
      <w:r w:rsidRPr="00155205">
        <w:rPr>
          <w:rFonts w:ascii="Times New Roman" w:eastAsia="Times New Roman" w:hAnsi="Times New Roman"/>
          <w:lang w:eastAsia="sk-SK"/>
        </w:rPr>
        <w:t xml:space="preserve"> z kontrolovaných klinických skúšaní s pacientmi liečenými na hypertenziu a z post-marketingových hlásení. Zoznam tiež zohľadňuje závažné nežiaduce reakcie a nežiaduce reakcie vedúce k prerušeniu liečby, ktoré sa hlásili v troch dlhodobých klinických skúšaniach, ktoré zahŕňali 21 642 pacientov liečených telmisartanom na zníženie kardiovaskulárnej morbidity počas šiestich rokov.</w:t>
      </w:r>
    </w:p>
    <w:p w:rsidR="006A417B" w:rsidRPr="00155205" w:rsidRDefault="006A417B" w:rsidP="00682849">
      <w:pPr>
        <w:autoSpaceDE w:val="0"/>
        <w:autoSpaceDN w:val="0"/>
        <w:adjustRightInd w:val="0"/>
        <w:spacing w:after="0" w:line="240" w:lineRule="auto"/>
        <w:rPr>
          <w:rFonts w:ascii="Times New Roman" w:eastAsia="Times New Roman" w:hAnsi="Times New Roman"/>
          <w:lang w:eastAsia="sk-SK"/>
        </w:rPr>
      </w:pPr>
    </w:p>
    <w:p w:rsidR="006A417B" w:rsidRPr="00155205" w:rsidRDefault="006A417B" w:rsidP="00682849">
      <w:pPr>
        <w:autoSpaceDE w:val="0"/>
        <w:autoSpaceDN w:val="0"/>
        <w:adjustRightInd w:val="0"/>
        <w:spacing w:after="0" w:line="240" w:lineRule="auto"/>
        <w:rPr>
          <w:rFonts w:ascii="Times New Roman" w:eastAsia="Times New Roman" w:hAnsi="Times New Roman"/>
          <w:i/>
          <w:lang w:eastAsia="sk-SK"/>
        </w:rPr>
      </w:pPr>
      <w:r w:rsidRPr="00155205">
        <w:rPr>
          <w:rFonts w:ascii="Times New Roman" w:eastAsia="Times New Roman" w:hAnsi="Times New Roman"/>
          <w:i/>
          <w:lang w:eastAsia="sk-SK"/>
        </w:rPr>
        <w:t>Amlodipín</w:t>
      </w:r>
    </w:p>
    <w:p w:rsidR="006A417B" w:rsidRPr="00155205" w:rsidRDefault="006A417B" w:rsidP="006A417B">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 xml:space="preserve">Najčastejšie hlásené nežiaduce reakcie počas liečby sú somnolencia, závrat, bolesť hlavy, palpitácie, </w:t>
      </w:r>
      <w:r w:rsidR="00C35D04" w:rsidRPr="00155205">
        <w:rPr>
          <w:rFonts w:ascii="Times New Roman" w:eastAsia="Times New Roman" w:hAnsi="Times New Roman"/>
        </w:rPr>
        <w:t>návaly horúčavy</w:t>
      </w:r>
      <w:r w:rsidRPr="00155205">
        <w:rPr>
          <w:rFonts w:ascii="Times New Roman" w:eastAsia="Times New Roman" w:hAnsi="Times New Roman"/>
        </w:rPr>
        <w:t>, bolesť brucha, nauzea, opuch členkov, opuch a únava.</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155205" w:rsidRDefault="00682849" w:rsidP="00682849">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iCs/>
          <w:u w:val="single"/>
          <w:lang w:eastAsia="sk-SK"/>
        </w:rPr>
        <w:t>Tabuľkový prehľad nežiaducich reakcií</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 </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Nežiaduce reakcie sú usporiadané podľa názvov frekvencie s použitím nasledovnej konvencie: veľmi časté (≥1/10); časté (≥1/100 až &lt;1/10); menej časté (≥1/1 000 až &lt;1/100); zriedkavé (≥1/10</w:t>
      </w:r>
      <w:r w:rsidR="00F76DEF">
        <w:rPr>
          <w:rFonts w:ascii="Times New Roman" w:eastAsia="Times New Roman" w:hAnsi="Times New Roman"/>
          <w:lang w:eastAsia="sk-SK"/>
        </w:rPr>
        <w:t> </w:t>
      </w:r>
      <w:r w:rsidRPr="00155205">
        <w:rPr>
          <w:rFonts w:ascii="Times New Roman" w:eastAsia="Times New Roman" w:hAnsi="Times New Roman"/>
          <w:lang w:eastAsia="sk-SK"/>
        </w:rPr>
        <w:t>000 až &lt;1/1</w:t>
      </w:r>
      <w:r w:rsidR="00F76DEF">
        <w:rPr>
          <w:rFonts w:ascii="Times New Roman" w:eastAsia="Times New Roman" w:hAnsi="Times New Roman"/>
          <w:lang w:eastAsia="sk-SK"/>
        </w:rPr>
        <w:t> </w:t>
      </w:r>
      <w:r w:rsidRPr="00155205">
        <w:rPr>
          <w:rFonts w:ascii="Times New Roman" w:eastAsia="Times New Roman" w:hAnsi="Times New Roman"/>
          <w:lang w:eastAsia="sk-SK"/>
        </w:rPr>
        <w:t>000); veľmi zriedkavé (&lt;1/10</w:t>
      </w:r>
      <w:r w:rsidR="00F76DEF">
        <w:rPr>
          <w:rFonts w:ascii="Times New Roman" w:eastAsia="Times New Roman" w:hAnsi="Times New Roman"/>
          <w:lang w:eastAsia="sk-SK"/>
        </w:rPr>
        <w:t> </w:t>
      </w:r>
      <w:r w:rsidRPr="00155205">
        <w:rPr>
          <w:rFonts w:ascii="Times New Roman" w:eastAsia="Times New Roman" w:hAnsi="Times New Roman"/>
          <w:lang w:eastAsia="sk-SK"/>
        </w:rPr>
        <w:t>000)</w:t>
      </w:r>
      <w:r w:rsidR="00454F23" w:rsidRPr="00155205">
        <w:rPr>
          <w:rFonts w:ascii="Times New Roman" w:eastAsia="Times New Roman" w:hAnsi="Times New Roman"/>
          <w:lang w:eastAsia="sk-SK"/>
        </w:rPr>
        <w:t>; neznáme (nie je možné odhadnúť z dostupných údajov)</w:t>
      </w:r>
      <w:r w:rsidRPr="00155205">
        <w:rPr>
          <w:rFonts w:ascii="Times New Roman" w:eastAsia="Times New Roman" w:hAnsi="Times New Roman"/>
          <w:lang w:eastAsia="sk-SK"/>
        </w:rPr>
        <w:t>.</w:t>
      </w: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p>
    <w:p w:rsidR="00682849" w:rsidRPr="00155205" w:rsidRDefault="00682849" w:rsidP="0068284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V rámci jednotlivých skupín frekvencií sú nežiaduce reakcie usporiadané v poradí klesajúcej závažnosti.</w:t>
      </w:r>
    </w:p>
    <w:p w:rsidR="00682849" w:rsidRPr="00155205" w:rsidRDefault="00682849" w:rsidP="00682849">
      <w:pPr>
        <w:widowControl w:val="0"/>
        <w:autoSpaceDE w:val="0"/>
        <w:autoSpaceDN w:val="0"/>
        <w:adjustRightInd w:val="0"/>
        <w:spacing w:after="0" w:line="240" w:lineRule="auto"/>
        <w:rPr>
          <w:rFonts w:ascii="Times New Roman" w:eastAsia="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44"/>
        <w:gridCol w:w="1701"/>
        <w:gridCol w:w="1701"/>
      </w:tblGrid>
      <w:tr w:rsidR="00EE431D" w:rsidRPr="00155205" w:rsidTr="00B54270">
        <w:trPr>
          <w:trHeight w:val="274"/>
        </w:trPr>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 xml:space="preserve">MedDRA </w:t>
            </w:r>
          </w:p>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Trieda orgánových systémov</w:t>
            </w:r>
          </w:p>
        </w:tc>
        <w:tc>
          <w:tcPr>
            <w:tcW w:w="3544" w:type="dxa"/>
            <w:vMerge w:val="restart"/>
            <w:shd w:val="clear" w:color="auto" w:fill="auto"/>
          </w:tcPr>
          <w:p w:rsidR="00EE431D" w:rsidRPr="00155205" w:rsidRDefault="00EE431D" w:rsidP="00EE431D">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Nežiaduce účinky</w:t>
            </w:r>
          </w:p>
        </w:tc>
        <w:tc>
          <w:tcPr>
            <w:tcW w:w="3402" w:type="dxa"/>
            <w:gridSpan w:val="2"/>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Frekvencia</w:t>
            </w:r>
          </w:p>
        </w:tc>
      </w:tr>
      <w:tr w:rsidR="00EE431D" w:rsidRPr="00155205" w:rsidTr="00B54270">
        <w:trPr>
          <w:trHeight w:val="274"/>
        </w:trPr>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vMerge/>
            <w:shd w:val="clear" w:color="auto" w:fill="auto"/>
          </w:tcPr>
          <w:p w:rsidR="00EE431D" w:rsidRPr="00155205" w:rsidRDefault="00EE431D" w:rsidP="00EE431D">
            <w:pPr>
              <w:widowControl w:val="0"/>
              <w:autoSpaceDE w:val="0"/>
              <w:autoSpaceDN w:val="0"/>
              <w:adjustRightInd w:val="0"/>
              <w:spacing w:after="0" w:line="240" w:lineRule="auto"/>
              <w:rPr>
                <w:rFonts w:ascii="Times New Roman" w:eastAsia="Times New Roman" w:hAnsi="Times New Roman"/>
                <w:b/>
              </w:rPr>
            </w:pPr>
          </w:p>
        </w:tc>
        <w:tc>
          <w:tcPr>
            <w:tcW w:w="1701" w:type="dxa"/>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Amlodipín</w:t>
            </w:r>
          </w:p>
        </w:tc>
        <w:tc>
          <w:tcPr>
            <w:tcW w:w="1701" w:type="dxa"/>
          </w:tcPr>
          <w:p w:rsidR="00EE431D" w:rsidRPr="00155205" w:rsidRDefault="00EE431D" w:rsidP="00001514">
            <w:pPr>
              <w:widowControl w:val="0"/>
              <w:autoSpaceDE w:val="0"/>
              <w:autoSpaceDN w:val="0"/>
              <w:adjustRightInd w:val="0"/>
              <w:spacing w:after="0" w:line="240" w:lineRule="auto"/>
              <w:ind w:right="-108"/>
              <w:rPr>
                <w:rFonts w:ascii="Times New Roman" w:eastAsia="Times New Roman" w:hAnsi="Times New Roman"/>
                <w:b/>
              </w:rPr>
            </w:pPr>
            <w:r w:rsidRPr="00155205">
              <w:rPr>
                <w:rFonts w:ascii="Times New Roman" w:eastAsia="Times New Roman" w:hAnsi="Times New Roman"/>
                <w:b/>
              </w:rPr>
              <w:t>Telmisarta</w:t>
            </w:r>
            <w:r w:rsidR="00001514" w:rsidRPr="00155205">
              <w:rPr>
                <w:rFonts w:ascii="Times New Roman" w:eastAsia="Times New Roman" w:hAnsi="Times New Roman"/>
                <w:b/>
              </w:rPr>
              <w:t>n</w:t>
            </w:r>
          </w:p>
        </w:tc>
      </w:tr>
      <w:tr w:rsidR="00EE431D" w:rsidRPr="00155205" w:rsidTr="00B54270">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ind w:right="-59"/>
              <w:rPr>
                <w:rFonts w:ascii="Times New Roman" w:eastAsia="Times New Roman" w:hAnsi="Times New Roman"/>
                <w:b/>
              </w:rPr>
            </w:pPr>
            <w:r w:rsidRPr="00155205">
              <w:rPr>
                <w:rFonts w:ascii="Times New Roman" w:eastAsia="Times New Roman" w:hAnsi="Times New Roman"/>
                <w:b/>
                <w:lang w:eastAsia="sk-SK"/>
              </w:rPr>
              <w:t>Infekcie a nákazy</w:t>
            </w:r>
          </w:p>
        </w:tc>
        <w:tc>
          <w:tcPr>
            <w:tcW w:w="3544" w:type="dxa"/>
            <w:shd w:val="clear" w:color="auto" w:fill="auto"/>
          </w:tcPr>
          <w:p w:rsidR="00EE431D" w:rsidRPr="00155205" w:rsidRDefault="00EE431D" w:rsidP="00682849">
            <w:pPr>
              <w:widowControl w:val="0"/>
              <w:tabs>
                <w:tab w:val="left" w:pos="567"/>
              </w:tabs>
              <w:autoSpaceDE w:val="0"/>
              <w:autoSpaceDN w:val="0"/>
              <w:adjustRightInd w:val="0"/>
              <w:spacing w:after="0" w:line="240" w:lineRule="auto"/>
              <w:ind w:right="513"/>
              <w:rPr>
                <w:rFonts w:ascii="Times New Roman" w:eastAsia="Times New Roman" w:hAnsi="Times New Roman"/>
              </w:rPr>
            </w:pPr>
            <w:r w:rsidRPr="00155205">
              <w:rPr>
                <w:rFonts w:ascii="Times New Roman" w:eastAsia="Times New Roman" w:hAnsi="Times New Roman"/>
              </w:rPr>
              <w:t>infekcie močových ciest vrátane cystitídy, infekcie horných dýchacích ciest vrátane faryngitídy a sinusitídy</w:t>
            </w:r>
          </w:p>
        </w:tc>
        <w:tc>
          <w:tcPr>
            <w:tcW w:w="1701" w:type="dxa"/>
          </w:tcPr>
          <w:p w:rsidR="00EE431D" w:rsidRPr="00155205" w:rsidRDefault="00001514" w:rsidP="00682849">
            <w:pPr>
              <w:widowControl w:val="0"/>
              <w:tabs>
                <w:tab w:val="left" w:pos="567"/>
              </w:tabs>
              <w:autoSpaceDE w:val="0"/>
              <w:autoSpaceDN w:val="0"/>
              <w:adjustRightInd w:val="0"/>
              <w:spacing w:after="0" w:line="240" w:lineRule="auto"/>
              <w:ind w:right="513"/>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001514" w:rsidP="00001514">
            <w:pPr>
              <w:widowControl w:val="0"/>
              <w:tabs>
                <w:tab w:val="left" w:pos="567"/>
              </w:tabs>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EE431D" w:rsidRPr="00155205" w:rsidRDefault="00EE431D" w:rsidP="00001514">
            <w:pPr>
              <w:widowControl w:val="0"/>
              <w:tabs>
                <w:tab w:val="left" w:pos="567"/>
              </w:tabs>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 xml:space="preserve">sepsa vrátane </w:t>
            </w:r>
            <w:r w:rsidR="009B2572" w:rsidRPr="00155205">
              <w:rPr>
                <w:rFonts w:ascii="Times New Roman" w:eastAsia="Times New Roman" w:hAnsi="Times New Roman"/>
              </w:rPr>
              <w:t xml:space="preserve">s </w:t>
            </w:r>
            <w:r w:rsidR="00001514" w:rsidRPr="00155205">
              <w:rPr>
                <w:rFonts w:ascii="Times New Roman" w:eastAsia="Times New Roman" w:hAnsi="Times New Roman"/>
              </w:rPr>
              <w:t>fatálny</w:t>
            </w:r>
            <w:r w:rsidR="009B2572" w:rsidRPr="00155205">
              <w:rPr>
                <w:rFonts w:ascii="Times New Roman" w:eastAsia="Times New Roman" w:hAnsi="Times New Roman"/>
              </w:rPr>
              <w:t>m</w:t>
            </w:r>
            <w:r w:rsidRPr="00155205">
              <w:rPr>
                <w:rFonts w:ascii="Times New Roman" w:eastAsia="Times New Roman" w:hAnsi="Times New Roman"/>
              </w:rPr>
              <w:t xml:space="preserve"> následkom</w:t>
            </w:r>
            <w:r w:rsidRPr="00155205">
              <w:rPr>
                <w:rFonts w:ascii="Times New Roman" w:eastAsia="Times New Roman" w:hAnsi="Times New Roman"/>
                <w:vertAlign w:val="superscript"/>
              </w:rPr>
              <w:t>1</w:t>
            </w:r>
          </w:p>
        </w:tc>
        <w:tc>
          <w:tcPr>
            <w:tcW w:w="1701" w:type="dxa"/>
          </w:tcPr>
          <w:p w:rsidR="00EE431D" w:rsidRPr="00155205" w:rsidRDefault="00643A4F" w:rsidP="00D72FA1">
            <w:pPr>
              <w:widowControl w:val="0"/>
              <w:tabs>
                <w:tab w:val="left" w:pos="567"/>
              </w:tabs>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643A4F" w:rsidP="00001514">
            <w:pPr>
              <w:widowControl w:val="0"/>
              <w:tabs>
                <w:tab w:val="left" w:pos="567"/>
              </w:tabs>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7D608F" w:rsidRPr="00155205" w:rsidTr="00B54270">
        <w:tc>
          <w:tcPr>
            <w:tcW w:w="2376" w:type="dxa"/>
            <w:vMerge w:val="restart"/>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krvi a lymfatického systému</w:t>
            </w:r>
          </w:p>
        </w:tc>
        <w:tc>
          <w:tcPr>
            <w:tcW w:w="3544" w:type="dxa"/>
            <w:shd w:val="clear" w:color="auto" w:fill="auto"/>
          </w:tcPr>
          <w:p w:rsidR="007D608F" w:rsidRPr="00155205" w:rsidRDefault="007D608F"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anémia</w:t>
            </w:r>
          </w:p>
        </w:tc>
        <w:tc>
          <w:tcPr>
            <w:tcW w:w="1701" w:type="dxa"/>
          </w:tcPr>
          <w:p w:rsidR="007D608F" w:rsidRPr="00155205" w:rsidRDefault="007D608F"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7D608F" w:rsidRPr="00155205" w:rsidTr="00B54270">
        <w:tc>
          <w:tcPr>
            <w:tcW w:w="2376" w:type="dxa"/>
            <w:vMerge/>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eozinofília, trombocytopénia</w:t>
            </w:r>
          </w:p>
        </w:tc>
        <w:tc>
          <w:tcPr>
            <w:tcW w:w="1701" w:type="dxa"/>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7D608F" w:rsidRPr="00155205" w:rsidTr="00B54270">
        <w:tc>
          <w:tcPr>
            <w:tcW w:w="2376" w:type="dxa"/>
            <w:vMerge/>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leukocytopénia, trombocytopénia</w:t>
            </w:r>
          </w:p>
        </w:tc>
        <w:tc>
          <w:tcPr>
            <w:tcW w:w="1701" w:type="dxa"/>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D608F" w:rsidRPr="00155205" w:rsidTr="00B54270">
        <w:tc>
          <w:tcPr>
            <w:tcW w:w="2376" w:type="dxa"/>
            <w:vMerge w:val="restart"/>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imunitného systému</w:t>
            </w:r>
          </w:p>
        </w:tc>
        <w:tc>
          <w:tcPr>
            <w:tcW w:w="3544" w:type="dxa"/>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anafylaktická reakcia, precitlivenosť</w:t>
            </w:r>
          </w:p>
        </w:tc>
        <w:tc>
          <w:tcPr>
            <w:tcW w:w="1701" w:type="dxa"/>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7D608F" w:rsidRPr="00155205" w:rsidTr="00B54270">
        <w:tc>
          <w:tcPr>
            <w:tcW w:w="2376" w:type="dxa"/>
            <w:vMerge/>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alergické reakcie</w:t>
            </w:r>
          </w:p>
        </w:tc>
        <w:tc>
          <w:tcPr>
            <w:tcW w:w="1701" w:type="dxa"/>
          </w:tcPr>
          <w:p w:rsidR="007D608F" w:rsidRPr="00155205" w:rsidRDefault="007D608F"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7D608F" w:rsidRPr="00155205" w:rsidRDefault="007D608F"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val="restart"/>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metabolizmu a výživy</w:t>
            </w: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hyperkaliémia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hypoglykémia (u pacientov s diabetom)</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3163BA">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hyperglykémia</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val="restart"/>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Psychické poruchy</w:t>
            </w: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nespavosť, depresia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zmeny nálady (vrátane úzkosti)</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úzkosť</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zmätenosť</w:t>
            </w:r>
          </w:p>
        </w:tc>
        <w:tc>
          <w:tcPr>
            <w:tcW w:w="1701" w:type="dxa"/>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zriedkavé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val="restart"/>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nervového systému</w:t>
            </w: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somnolencia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závrat, bolesť hlavy (najmä na začiatku liečby)</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3163BA">
            <w:pPr>
              <w:widowControl w:val="0"/>
              <w:autoSpaceDE w:val="0"/>
              <w:autoSpaceDN w:val="0"/>
              <w:adjustRightInd w:val="0"/>
              <w:spacing w:after="0" w:line="240" w:lineRule="auto"/>
              <w:rPr>
                <w:rFonts w:ascii="Times New Roman" w:eastAsia="Times New Roman" w:hAnsi="Times New Roman"/>
              </w:rPr>
            </w:pPr>
            <w:r w:rsidRPr="00155205">
              <w:rPr>
                <w:rFonts w:ascii="Times New Roman" w:hAnsi="Times New Roman"/>
                <w:iCs/>
              </w:rPr>
              <w:t>tremor, dysgeúzia, hypestézia, parestézia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synkopa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hypertonia, periférna neuropatia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3163BA" w:rsidRPr="00155205" w:rsidTr="00B54270">
        <w:tc>
          <w:tcPr>
            <w:tcW w:w="2376" w:type="dxa"/>
            <w:vMerge/>
            <w:shd w:val="clear" w:color="auto" w:fill="auto"/>
          </w:tcPr>
          <w:p w:rsidR="003163BA" w:rsidRPr="00155205" w:rsidRDefault="003163B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extrapyramídová porucha</w:t>
            </w:r>
          </w:p>
        </w:tc>
        <w:tc>
          <w:tcPr>
            <w:tcW w:w="1701" w:type="dxa"/>
          </w:tcPr>
          <w:p w:rsidR="003163BA" w:rsidRPr="00155205" w:rsidRDefault="003163BA" w:rsidP="00D72FA1">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neznáme</w:t>
            </w:r>
          </w:p>
        </w:tc>
        <w:tc>
          <w:tcPr>
            <w:tcW w:w="1701" w:type="dxa"/>
          </w:tcPr>
          <w:p w:rsidR="003163BA"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EE431D" w:rsidRPr="00155205" w:rsidTr="00B54270">
        <w:tc>
          <w:tcPr>
            <w:tcW w:w="2376"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oka</w:t>
            </w: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porucha videnia</w:t>
            </w:r>
            <w:r w:rsidR="003163BA" w:rsidRPr="00155205">
              <w:rPr>
                <w:rFonts w:ascii="Times New Roman" w:eastAsia="Times New Roman" w:hAnsi="Times New Roman"/>
              </w:rPr>
              <w:t xml:space="preserve"> (vrátane diplopie)</w:t>
            </w:r>
          </w:p>
        </w:tc>
        <w:tc>
          <w:tcPr>
            <w:tcW w:w="1701" w:type="dxa"/>
          </w:tcPr>
          <w:p w:rsidR="00EE431D" w:rsidRPr="00155205" w:rsidRDefault="003163B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EE431D" w:rsidRPr="00155205" w:rsidRDefault="003163BA"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191976" w:rsidRPr="00155205" w:rsidTr="00B54270">
        <w:tc>
          <w:tcPr>
            <w:tcW w:w="2376" w:type="dxa"/>
            <w:vMerge w:val="restart"/>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ucha a labyrintu</w:t>
            </w:r>
          </w:p>
        </w:tc>
        <w:tc>
          <w:tcPr>
            <w:tcW w:w="3544" w:type="dxa"/>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tinnitus</w:t>
            </w:r>
          </w:p>
        </w:tc>
        <w:tc>
          <w:tcPr>
            <w:tcW w:w="1701" w:type="dxa"/>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vertigo</w:t>
            </w:r>
          </w:p>
        </w:tc>
        <w:tc>
          <w:tcPr>
            <w:tcW w:w="1701" w:type="dxa"/>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191976" w:rsidRPr="00155205" w:rsidTr="00B54270">
        <w:tc>
          <w:tcPr>
            <w:tcW w:w="2376" w:type="dxa"/>
            <w:vMerge w:val="restart"/>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srdca a srdcovej činnosti</w:t>
            </w:r>
          </w:p>
        </w:tc>
        <w:tc>
          <w:tcPr>
            <w:tcW w:w="3544" w:type="dxa"/>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palpitácie</w:t>
            </w:r>
          </w:p>
        </w:tc>
        <w:tc>
          <w:tcPr>
            <w:tcW w:w="1701" w:type="dxa"/>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bradykardia</w:t>
            </w:r>
          </w:p>
        </w:tc>
        <w:tc>
          <w:tcPr>
            <w:tcW w:w="1701" w:type="dxa"/>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191976"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tachykardia</w:t>
            </w:r>
          </w:p>
        </w:tc>
        <w:tc>
          <w:tcPr>
            <w:tcW w:w="1701" w:type="dxa"/>
          </w:tcPr>
          <w:p w:rsidR="00191976" w:rsidRPr="00155205" w:rsidRDefault="00191976"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191976" w:rsidRPr="00155205" w:rsidRDefault="00191976"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C93510" w:rsidP="00C9351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arytmia (vrátane komorovej tachykardie a predsieňovej fibrilácie)</w:t>
            </w:r>
          </w:p>
        </w:tc>
        <w:tc>
          <w:tcPr>
            <w:tcW w:w="1701" w:type="dxa"/>
          </w:tcPr>
          <w:p w:rsidR="00191976" w:rsidRPr="00155205" w:rsidRDefault="00C9351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191976" w:rsidRPr="00155205" w:rsidRDefault="00C9351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191976" w:rsidRPr="00155205" w:rsidTr="00B54270">
        <w:tc>
          <w:tcPr>
            <w:tcW w:w="2376" w:type="dxa"/>
            <w:vMerge/>
            <w:shd w:val="clear" w:color="auto" w:fill="auto"/>
          </w:tcPr>
          <w:p w:rsidR="00191976" w:rsidRPr="00155205" w:rsidRDefault="00191976"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191976" w:rsidRPr="00155205" w:rsidRDefault="00C9351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infarkt myokardu</w:t>
            </w:r>
          </w:p>
        </w:tc>
        <w:tc>
          <w:tcPr>
            <w:tcW w:w="1701" w:type="dxa"/>
          </w:tcPr>
          <w:p w:rsidR="00191976" w:rsidRPr="00155205" w:rsidRDefault="00C9351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191976" w:rsidRPr="00155205" w:rsidRDefault="00C9351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B54270" w:rsidRPr="00155205" w:rsidTr="00B54270">
        <w:tc>
          <w:tcPr>
            <w:tcW w:w="2376" w:type="dxa"/>
            <w:vMerge w:val="restart"/>
            <w:shd w:val="clear" w:color="auto" w:fill="auto"/>
          </w:tcPr>
          <w:p w:rsidR="00B54270" w:rsidRPr="00155205" w:rsidRDefault="00B54270"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ciev</w:t>
            </w: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návaly horúčavy</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B54270" w:rsidRPr="00155205" w:rsidTr="00B54270">
        <w:tc>
          <w:tcPr>
            <w:tcW w:w="2376" w:type="dxa"/>
            <w:vMerge/>
            <w:shd w:val="clear" w:color="auto" w:fill="auto"/>
          </w:tcPr>
          <w:p w:rsidR="00B54270" w:rsidRPr="00155205" w:rsidRDefault="00B54270"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B54270" w:rsidRPr="00155205" w:rsidRDefault="00B54270" w:rsidP="00B5427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hypotenzia</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r w:rsidRPr="00155205">
              <w:rPr>
                <w:rFonts w:ascii="Times New Roman" w:eastAsia="Times New Roman" w:hAnsi="Times New Roman"/>
                <w:vertAlign w:val="superscript"/>
              </w:rPr>
              <w:t>2</w:t>
            </w:r>
          </w:p>
        </w:tc>
      </w:tr>
      <w:tr w:rsidR="00B54270" w:rsidRPr="00155205" w:rsidTr="00B54270">
        <w:tc>
          <w:tcPr>
            <w:tcW w:w="2376" w:type="dxa"/>
            <w:vMerge/>
            <w:shd w:val="clear" w:color="auto" w:fill="auto"/>
          </w:tcPr>
          <w:p w:rsidR="00B54270" w:rsidRPr="00155205" w:rsidRDefault="00B54270"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ortostatická hypotenzia</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B54270" w:rsidRPr="00155205" w:rsidTr="00B54270">
        <w:tc>
          <w:tcPr>
            <w:tcW w:w="2376" w:type="dxa"/>
            <w:vMerge/>
            <w:shd w:val="clear" w:color="auto" w:fill="auto"/>
          </w:tcPr>
          <w:p w:rsidR="00B54270" w:rsidRPr="00155205" w:rsidRDefault="00B54270"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vaskulitída</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EE431D" w:rsidRPr="00155205" w:rsidTr="00B54270">
        <w:tc>
          <w:tcPr>
            <w:tcW w:w="2376" w:type="dxa"/>
            <w:vMerge w:val="restart"/>
            <w:shd w:val="clear" w:color="auto" w:fill="auto"/>
          </w:tcPr>
          <w:p w:rsidR="00EE431D" w:rsidRPr="00155205" w:rsidRDefault="00EE431D" w:rsidP="0066193E">
            <w:pPr>
              <w:autoSpaceDE w:val="0"/>
              <w:autoSpaceDN w:val="0"/>
              <w:adjustRightInd w:val="0"/>
              <w:spacing w:after="0" w:line="240" w:lineRule="auto"/>
              <w:rPr>
                <w:rFonts w:ascii="Times New Roman" w:eastAsia="Times New Roman" w:hAnsi="Times New Roman"/>
                <w:b/>
                <w:lang w:eastAsia="sk-SK"/>
              </w:rPr>
            </w:pPr>
            <w:r w:rsidRPr="00155205">
              <w:rPr>
                <w:rFonts w:ascii="Times New Roman" w:eastAsia="Times New Roman" w:hAnsi="Times New Roman"/>
                <w:b/>
                <w:lang w:eastAsia="sk-SK"/>
              </w:rPr>
              <w:t>Poruchy dýchacej sústavy, hrudníka a mediastína</w:t>
            </w:r>
          </w:p>
        </w:tc>
        <w:tc>
          <w:tcPr>
            <w:tcW w:w="3544" w:type="dxa"/>
            <w:shd w:val="clear" w:color="auto" w:fill="auto"/>
          </w:tcPr>
          <w:p w:rsidR="00EE431D" w:rsidRPr="00155205" w:rsidRDefault="00EE431D" w:rsidP="00B5427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dyspnoe</w:t>
            </w:r>
          </w:p>
        </w:tc>
        <w:tc>
          <w:tcPr>
            <w:tcW w:w="1701" w:type="dxa"/>
          </w:tcPr>
          <w:p w:rsidR="00EE431D"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EE431D"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B54270" w:rsidRPr="00155205" w:rsidTr="00B54270">
        <w:tc>
          <w:tcPr>
            <w:tcW w:w="2376" w:type="dxa"/>
            <w:vMerge/>
            <w:shd w:val="clear" w:color="auto" w:fill="auto"/>
          </w:tcPr>
          <w:p w:rsidR="00B54270" w:rsidRPr="00155205" w:rsidRDefault="00B54270" w:rsidP="0066193E">
            <w:pPr>
              <w:autoSpaceDE w:val="0"/>
              <w:autoSpaceDN w:val="0"/>
              <w:adjustRightInd w:val="0"/>
              <w:spacing w:after="0" w:line="240" w:lineRule="auto"/>
              <w:rPr>
                <w:rFonts w:ascii="Times New Roman" w:eastAsia="Times New Roman" w:hAnsi="Times New Roman"/>
                <w:b/>
                <w:lang w:eastAsia="sk-SK"/>
              </w:rPr>
            </w:pP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rinitída</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B54270" w:rsidRPr="00155205" w:rsidTr="00B54270">
        <w:tc>
          <w:tcPr>
            <w:tcW w:w="2376" w:type="dxa"/>
            <w:vMerge/>
            <w:shd w:val="clear" w:color="auto" w:fill="auto"/>
          </w:tcPr>
          <w:p w:rsidR="00B54270" w:rsidRPr="00155205" w:rsidRDefault="00B54270" w:rsidP="0066193E">
            <w:pPr>
              <w:autoSpaceDE w:val="0"/>
              <w:autoSpaceDN w:val="0"/>
              <w:adjustRightInd w:val="0"/>
              <w:spacing w:after="0" w:line="240" w:lineRule="auto"/>
              <w:rPr>
                <w:rFonts w:ascii="Times New Roman" w:eastAsia="Times New Roman" w:hAnsi="Times New Roman"/>
                <w:b/>
                <w:lang w:eastAsia="sk-SK"/>
              </w:rPr>
            </w:pPr>
          </w:p>
        </w:tc>
        <w:tc>
          <w:tcPr>
            <w:tcW w:w="3544" w:type="dxa"/>
            <w:shd w:val="clear" w:color="auto" w:fill="auto"/>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kašeľ</w:t>
            </w:r>
          </w:p>
        </w:tc>
        <w:tc>
          <w:tcPr>
            <w:tcW w:w="1701" w:type="dxa"/>
          </w:tcPr>
          <w:p w:rsidR="00B54270" w:rsidRPr="00155205" w:rsidRDefault="00B5427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B54270"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intersticiálne ochorenie pľúc</w:t>
            </w:r>
            <w:r w:rsidRPr="00155205">
              <w:rPr>
                <w:rFonts w:ascii="Times New Roman" w:eastAsia="Times New Roman" w:hAnsi="Times New Roman"/>
                <w:vertAlign w:val="superscript"/>
              </w:rPr>
              <w:t>4</w:t>
            </w:r>
          </w:p>
        </w:tc>
        <w:tc>
          <w:tcPr>
            <w:tcW w:w="1701" w:type="dxa"/>
          </w:tcPr>
          <w:p w:rsidR="00EE431D" w:rsidRPr="00155205" w:rsidRDefault="00B54270"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B5427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veľmi zriedkavé</w:t>
            </w:r>
            <w:r w:rsidRPr="00155205">
              <w:rPr>
                <w:rFonts w:ascii="Times New Roman" w:eastAsia="Times New Roman" w:hAnsi="Times New Roman"/>
                <w:vertAlign w:val="superscript"/>
              </w:rPr>
              <w:t>4</w:t>
            </w:r>
          </w:p>
        </w:tc>
      </w:tr>
      <w:tr w:rsidR="0056074A" w:rsidRPr="00155205" w:rsidTr="00B54270">
        <w:tc>
          <w:tcPr>
            <w:tcW w:w="2376" w:type="dxa"/>
            <w:vMerge w:val="restart"/>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gastrointestinálneho traktu</w:t>
            </w:r>
          </w:p>
        </w:tc>
        <w:tc>
          <w:tcPr>
            <w:tcW w:w="3544" w:type="dxa"/>
            <w:shd w:val="clear" w:color="auto" w:fill="auto"/>
          </w:tcPr>
          <w:p w:rsidR="0056074A" w:rsidRPr="00155205" w:rsidRDefault="00F702E0" w:rsidP="00F702E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porucha činnosti čriev (vrátane hnačky a zápchy), nevoľnosť</w:t>
            </w:r>
          </w:p>
        </w:tc>
        <w:tc>
          <w:tcPr>
            <w:tcW w:w="1701" w:type="dxa"/>
          </w:tcPr>
          <w:p w:rsidR="0056074A" w:rsidRPr="00155205" w:rsidRDefault="00F702E0"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56074A" w:rsidRPr="00155205" w:rsidRDefault="00F702E0"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F702E0">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bolesť brucha, dy</w:t>
            </w:r>
            <w:r w:rsidR="00705BF6" w:rsidRPr="00155205">
              <w:rPr>
                <w:rFonts w:ascii="Times New Roman" w:eastAsia="Times New Roman" w:hAnsi="Times New Roman"/>
              </w:rPr>
              <w:t>s</w:t>
            </w:r>
            <w:r w:rsidRPr="00155205">
              <w:rPr>
                <w:rFonts w:ascii="Times New Roman" w:eastAsia="Times New Roman" w:hAnsi="Times New Roman"/>
              </w:rPr>
              <w:t>pepsia</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hnačka, flatulencia</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vracanie</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sucho v ústach</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56074A" w:rsidRPr="00155205" w:rsidTr="00B54270">
        <w:tc>
          <w:tcPr>
            <w:tcW w:w="2376" w:type="dxa"/>
            <w:vMerge/>
            <w:shd w:val="clear" w:color="auto" w:fill="auto"/>
          </w:tcPr>
          <w:p w:rsidR="0056074A" w:rsidRPr="00155205" w:rsidRDefault="0056074A"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6074A" w:rsidRPr="00155205" w:rsidRDefault="00F702E0"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žalúdočný dyskomfort, dysgeúzia</w:t>
            </w:r>
          </w:p>
        </w:tc>
        <w:tc>
          <w:tcPr>
            <w:tcW w:w="1701" w:type="dxa"/>
          </w:tcPr>
          <w:p w:rsidR="0056074A"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56074A"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7410CD" w:rsidRPr="00155205" w:rsidTr="00B54270">
        <w:tc>
          <w:tcPr>
            <w:tcW w:w="2376" w:type="dxa"/>
            <w:vMerge w:val="restart"/>
            <w:shd w:val="clear" w:color="auto" w:fill="auto"/>
          </w:tcPr>
          <w:p w:rsidR="007410CD" w:rsidRPr="00155205" w:rsidRDefault="007410C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pečene a žlčových ciest</w:t>
            </w:r>
          </w:p>
        </w:tc>
        <w:tc>
          <w:tcPr>
            <w:tcW w:w="3544" w:type="dxa"/>
            <w:shd w:val="clear" w:color="auto" w:fill="auto"/>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hepatitída</w:t>
            </w:r>
          </w:p>
        </w:tc>
        <w:tc>
          <w:tcPr>
            <w:tcW w:w="1701" w:type="dxa"/>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7410CD"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410CD" w:rsidRPr="00155205" w:rsidTr="00B54270">
        <w:tc>
          <w:tcPr>
            <w:tcW w:w="2376" w:type="dxa"/>
            <w:vMerge/>
            <w:shd w:val="clear" w:color="auto" w:fill="auto"/>
          </w:tcPr>
          <w:p w:rsidR="007410CD" w:rsidRPr="00155205" w:rsidRDefault="007410C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410CD" w:rsidRPr="00155205" w:rsidRDefault="007410CD" w:rsidP="007410CD">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abnormálna funkcia pečene/poruchy pečene</w:t>
            </w:r>
          </w:p>
        </w:tc>
        <w:tc>
          <w:tcPr>
            <w:tcW w:w="1701" w:type="dxa"/>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410CD" w:rsidRPr="00155205" w:rsidRDefault="007410CD"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r w:rsidRPr="00155205">
              <w:rPr>
                <w:rFonts w:ascii="Times New Roman" w:eastAsia="Times New Roman" w:hAnsi="Times New Roman"/>
                <w:vertAlign w:val="superscript"/>
              </w:rPr>
              <w:t>3</w:t>
            </w:r>
          </w:p>
        </w:tc>
      </w:tr>
      <w:tr w:rsidR="007410CD" w:rsidRPr="00155205" w:rsidTr="00B54270">
        <w:tc>
          <w:tcPr>
            <w:tcW w:w="2376" w:type="dxa"/>
            <w:vMerge/>
            <w:shd w:val="clear" w:color="auto" w:fill="auto"/>
          </w:tcPr>
          <w:p w:rsidR="007410CD" w:rsidRPr="00155205" w:rsidRDefault="007410C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žltačka</w:t>
            </w:r>
          </w:p>
        </w:tc>
        <w:tc>
          <w:tcPr>
            <w:tcW w:w="1701" w:type="dxa"/>
          </w:tcPr>
          <w:p w:rsidR="007410CD" w:rsidRPr="00155205" w:rsidRDefault="007410CD"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7410CD" w:rsidRPr="00155205" w:rsidRDefault="00180229"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410CD" w:rsidRPr="00155205" w:rsidTr="00B54270">
        <w:tc>
          <w:tcPr>
            <w:tcW w:w="2376" w:type="dxa"/>
            <w:vMerge/>
            <w:shd w:val="clear" w:color="auto" w:fill="auto"/>
          </w:tcPr>
          <w:p w:rsidR="007410CD" w:rsidRPr="00155205" w:rsidRDefault="007410C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410CD" w:rsidRPr="00155205" w:rsidRDefault="0054742E" w:rsidP="0066193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zvýšenie hepatálnych enzýmov</w:t>
            </w:r>
          </w:p>
        </w:tc>
        <w:tc>
          <w:tcPr>
            <w:tcW w:w="1701" w:type="dxa"/>
          </w:tcPr>
          <w:p w:rsidR="007410CD" w:rsidRPr="00155205" w:rsidRDefault="0054742E" w:rsidP="0054742E">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veľmi zriedkavé</w:t>
            </w:r>
            <w:r w:rsidRPr="00155205">
              <w:rPr>
                <w:iCs/>
              </w:rPr>
              <w:t>*</w:t>
            </w:r>
          </w:p>
        </w:tc>
        <w:tc>
          <w:tcPr>
            <w:tcW w:w="1701" w:type="dxa"/>
          </w:tcPr>
          <w:p w:rsidR="007410CD" w:rsidRPr="00155205" w:rsidRDefault="0054742E"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54742E" w:rsidRPr="00155205" w:rsidTr="00B54270">
        <w:tc>
          <w:tcPr>
            <w:tcW w:w="2376" w:type="dxa"/>
            <w:vMerge w:val="restart"/>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kože a podkožného tkaniva</w:t>
            </w:r>
          </w:p>
        </w:tc>
        <w:tc>
          <w:tcPr>
            <w:tcW w:w="3544" w:type="dxa"/>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urtikária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4742E" w:rsidRPr="00155205" w:rsidRDefault="0054742E" w:rsidP="0054742E">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alopécia, purpura, zmena sfarbenia kože, exantém</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pruritus, vyrážka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4742E" w:rsidRPr="00155205" w:rsidRDefault="002C1E3A"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hyperhidróza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687B9C" w:rsidRPr="00155205" w:rsidRDefault="00687B9C" w:rsidP="00687B9C">
            <w:pPr>
              <w:spacing w:after="0" w:line="240" w:lineRule="auto"/>
              <w:rPr>
                <w:rFonts w:ascii="Times New Roman" w:eastAsia="Times New Roman" w:hAnsi="Times New Roman"/>
                <w:lang w:eastAsia="sk-SK"/>
              </w:rPr>
            </w:pPr>
            <w:r w:rsidRPr="00155205">
              <w:rPr>
                <w:rFonts w:ascii="Times New Roman" w:hAnsi="Times New Roman"/>
              </w:rPr>
              <w:t xml:space="preserve">multiformný erytém, </w:t>
            </w:r>
            <w:r w:rsidRPr="00155205">
              <w:rPr>
                <w:rFonts w:ascii="Times New Roman" w:eastAsia="Times New Roman" w:hAnsi="Times New Roman"/>
                <w:lang w:eastAsia="sk-SK"/>
              </w:rPr>
              <w:t xml:space="preserve">exfoliatívna </w:t>
            </w:r>
          </w:p>
          <w:p w:rsidR="0054742E" w:rsidRPr="00155205" w:rsidRDefault="00687B9C" w:rsidP="00687B9C">
            <w:pPr>
              <w:spacing w:after="0" w:line="240" w:lineRule="auto"/>
              <w:rPr>
                <w:rFonts w:ascii="Times New Roman" w:eastAsia="Times New Roman" w:hAnsi="Times New Roman"/>
              </w:rPr>
            </w:pPr>
            <w:r w:rsidRPr="00155205">
              <w:rPr>
                <w:rFonts w:ascii="Times New Roman" w:eastAsia="Times New Roman" w:hAnsi="Times New Roman"/>
                <w:lang w:eastAsia="sk-SK"/>
              </w:rPr>
              <w:t>dermatitída, Stevensov-Johnsonov syndróm</w:t>
            </w:r>
            <w:r w:rsidRPr="00155205">
              <w:rPr>
                <w:rFonts w:ascii="Times New Roman" w:hAnsi="Times New Roman"/>
              </w:rPr>
              <w:t>, Quinckeho edém, fotosenzitivita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54742E" w:rsidRPr="00155205" w:rsidTr="00B54270">
        <w:tc>
          <w:tcPr>
            <w:tcW w:w="2376" w:type="dxa"/>
            <w:vMerge/>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54742E" w:rsidRPr="00155205" w:rsidRDefault="00687B9C" w:rsidP="002C1E3A">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ekzém, erytém, urtikária, lieková erupcia, toxická kožná erupcia</w:t>
            </w:r>
          </w:p>
        </w:tc>
        <w:tc>
          <w:tcPr>
            <w:tcW w:w="1701" w:type="dxa"/>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54742E" w:rsidRPr="00155205" w:rsidTr="001B0177">
        <w:tc>
          <w:tcPr>
            <w:tcW w:w="2376" w:type="dxa"/>
            <w:vMerge/>
            <w:tcBorders>
              <w:bottom w:val="nil"/>
            </w:tcBorders>
            <w:shd w:val="clear" w:color="auto" w:fill="auto"/>
          </w:tcPr>
          <w:p w:rsidR="0054742E" w:rsidRPr="00155205" w:rsidRDefault="0054742E" w:rsidP="00682849">
            <w:pPr>
              <w:widowControl w:val="0"/>
              <w:autoSpaceDE w:val="0"/>
              <w:autoSpaceDN w:val="0"/>
              <w:adjustRightInd w:val="0"/>
              <w:spacing w:after="0" w:line="240" w:lineRule="auto"/>
              <w:rPr>
                <w:rFonts w:ascii="Times New Roman" w:eastAsia="Times New Roman" w:hAnsi="Times New Roman"/>
                <w:b/>
              </w:rPr>
            </w:pPr>
          </w:p>
        </w:tc>
        <w:tc>
          <w:tcPr>
            <w:tcW w:w="3544" w:type="dxa"/>
            <w:tcBorders>
              <w:bottom w:val="single" w:sz="4" w:space="0" w:color="auto"/>
            </w:tcBorders>
            <w:shd w:val="clear" w:color="auto" w:fill="auto"/>
          </w:tcPr>
          <w:p w:rsidR="0054742E" w:rsidRPr="00155205" w:rsidRDefault="0054742E" w:rsidP="00687B9C">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angioedém</w:t>
            </w:r>
          </w:p>
        </w:tc>
        <w:tc>
          <w:tcPr>
            <w:tcW w:w="1701" w:type="dxa"/>
            <w:tcBorders>
              <w:bottom w:val="single" w:sz="4" w:space="0" w:color="auto"/>
            </w:tcBorders>
          </w:tcPr>
          <w:p w:rsidR="0054742E" w:rsidRPr="00155205" w:rsidRDefault="00687B9C"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zriedkavé</w:t>
            </w:r>
          </w:p>
        </w:tc>
        <w:tc>
          <w:tcPr>
            <w:tcW w:w="1701" w:type="dxa"/>
            <w:tcBorders>
              <w:bottom w:val="single" w:sz="4" w:space="0" w:color="auto"/>
            </w:tcBorders>
          </w:tcPr>
          <w:p w:rsidR="0054742E" w:rsidRPr="00155205" w:rsidRDefault="00687B9C"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1B0177" w:rsidRPr="00155205" w:rsidTr="001B0177">
        <w:tc>
          <w:tcPr>
            <w:tcW w:w="2376" w:type="dxa"/>
            <w:tcBorders>
              <w:top w:val="nil"/>
            </w:tcBorders>
            <w:shd w:val="clear" w:color="auto" w:fill="auto"/>
          </w:tcPr>
          <w:p w:rsidR="001B0177" w:rsidRPr="00155205" w:rsidRDefault="001B0177" w:rsidP="00682849">
            <w:pPr>
              <w:widowControl w:val="0"/>
              <w:autoSpaceDE w:val="0"/>
              <w:autoSpaceDN w:val="0"/>
              <w:adjustRightInd w:val="0"/>
              <w:spacing w:after="0" w:line="240" w:lineRule="auto"/>
              <w:rPr>
                <w:rFonts w:ascii="Times New Roman" w:eastAsia="Times New Roman" w:hAnsi="Times New Roman"/>
                <w:b/>
              </w:rPr>
            </w:pPr>
          </w:p>
        </w:tc>
        <w:tc>
          <w:tcPr>
            <w:tcW w:w="3544" w:type="dxa"/>
            <w:tcBorders>
              <w:top w:val="single" w:sz="4" w:space="0" w:color="auto"/>
            </w:tcBorders>
            <w:shd w:val="clear" w:color="auto" w:fill="auto"/>
          </w:tcPr>
          <w:p w:rsidR="001B0177" w:rsidRPr="00155205" w:rsidRDefault="001B0177" w:rsidP="00687B9C">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toxická epidermálna nekrolýza</w:t>
            </w:r>
          </w:p>
        </w:tc>
        <w:tc>
          <w:tcPr>
            <w:tcW w:w="1701" w:type="dxa"/>
            <w:tcBorders>
              <w:top w:val="single" w:sz="4" w:space="0" w:color="auto"/>
            </w:tcBorders>
          </w:tcPr>
          <w:p w:rsidR="001B0177" w:rsidRPr="00155205" w:rsidRDefault="001B0177" w:rsidP="00682849">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neznáme</w:t>
            </w:r>
          </w:p>
        </w:tc>
        <w:tc>
          <w:tcPr>
            <w:tcW w:w="1701" w:type="dxa"/>
            <w:tcBorders>
              <w:top w:val="single" w:sz="4" w:space="0" w:color="auto"/>
            </w:tcBorders>
          </w:tcPr>
          <w:p w:rsidR="001B0177" w:rsidRPr="00155205" w:rsidRDefault="001B0177" w:rsidP="00001514">
            <w:pPr>
              <w:widowControl w:val="0"/>
              <w:autoSpaceDE w:val="0"/>
              <w:autoSpaceDN w:val="0"/>
              <w:adjustRightInd w:val="0"/>
              <w:spacing w:after="0" w:line="240" w:lineRule="auto"/>
              <w:ind w:right="-108"/>
              <w:rPr>
                <w:rFonts w:ascii="Times New Roman" w:eastAsia="Times New Roman" w:hAnsi="Times New Roman"/>
              </w:rPr>
            </w:pPr>
          </w:p>
        </w:tc>
      </w:tr>
      <w:tr w:rsidR="00EE431D" w:rsidRPr="00155205" w:rsidTr="00B54270">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kostrovej a svalovej sústavy a spojivového tkaniva</w:t>
            </w:r>
          </w:p>
        </w:tc>
        <w:tc>
          <w:tcPr>
            <w:tcW w:w="3544" w:type="dxa"/>
            <w:shd w:val="clear" w:color="auto" w:fill="auto"/>
          </w:tcPr>
          <w:p w:rsidR="00EE431D" w:rsidRPr="00155205" w:rsidRDefault="00DB6338" w:rsidP="00DB6338">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opuch členkov,</w:t>
            </w:r>
            <w:r w:rsidR="00EE431D" w:rsidRPr="00155205">
              <w:rPr>
                <w:rFonts w:ascii="Times New Roman" w:eastAsia="Times New Roman" w:hAnsi="Times New Roman"/>
              </w:rPr>
              <w:t xml:space="preserve"> </w:t>
            </w:r>
            <w:r w:rsidRPr="00155205">
              <w:rPr>
                <w:rFonts w:ascii="Times New Roman" w:eastAsia="Times New Roman" w:hAnsi="Times New Roman"/>
              </w:rPr>
              <w:t>svalové kŕče</w:t>
            </w:r>
          </w:p>
        </w:tc>
        <w:tc>
          <w:tcPr>
            <w:tcW w:w="1701" w:type="dxa"/>
          </w:tcPr>
          <w:p w:rsidR="00EE431D"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EE431D" w:rsidRPr="00155205" w:rsidRDefault="00DB6338"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DB6338" w:rsidRPr="00155205" w:rsidTr="00B54270">
        <w:tc>
          <w:tcPr>
            <w:tcW w:w="2376" w:type="dxa"/>
            <w:vMerge/>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myalgia</w:t>
            </w:r>
          </w:p>
        </w:tc>
        <w:tc>
          <w:tcPr>
            <w:tcW w:w="1701" w:type="dxa"/>
          </w:tcPr>
          <w:p w:rsidR="00DB6338" w:rsidRPr="00155205" w:rsidRDefault="00DB6338" w:rsidP="009D0B63">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DB6338" w:rsidRPr="00155205" w:rsidRDefault="00DB6338" w:rsidP="009D0B63">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DB6338" w:rsidRPr="00155205" w:rsidTr="00B54270">
        <w:tc>
          <w:tcPr>
            <w:tcW w:w="2376" w:type="dxa"/>
            <w:vMerge/>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bolesť chrbta</w:t>
            </w:r>
          </w:p>
        </w:tc>
        <w:tc>
          <w:tcPr>
            <w:tcW w:w="1701" w:type="dxa"/>
          </w:tcPr>
          <w:p w:rsidR="00DB6338" w:rsidRPr="00155205" w:rsidRDefault="00DB6338" w:rsidP="009D0B63">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DB6338" w:rsidRPr="00155205" w:rsidRDefault="00DB6338" w:rsidP="009D0B63">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DB6338" w:rsidRPr="00155205" w:rsidTr="00B54270">
        <w:tc>
          <w:tcPr>
            <w:tcW w:w="2376" w:type="dxa"/>
            <w:vMerge/>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artralgia</w:t>
            </w:r>
          </w:p>
        </w:tc>
        <w:tc>
          <w:tcPr>
            <w:tcW w:w="1701" w:type="dxa"/>
          </w:tcPr>
          <w:p w:rsidR="00DB6338"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DB6338" w:rsidRPr="00155205" w:rsidRDefault="00DB6338"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DB6338" w:rsidRPr="00155205" w:rsidTr="00B54270">
        <w:tc>
          <w:tcPr>
            <w:tcW w:w="2376" w:type="dxa"/>
            <w:vMerge/>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 xml:space="preserve">svalové </w:t>
            </w:r>
            <w:r w:rsidR="006B0F0D" w:rsidRPr="00155205">
              <w:rPr>
                <w:rFonts w:ascii="Times New Roman" w:eastAsia="Times New Roman" w:hAnsi="Times New Roman"/>
              </w:rPr>
              <w:t>spazmy</w:t>
            </w:r>
          </w:p>
        </w:tc>
        <w:tc>
          <w:tcPr>
            <w:tcW w:w="1701" w:type="dxa"/>
          </w:tcPr>
          <w:p w:rsidR="00DB6338" w:rsidRPr="00155205" w:rsidRDefault="00DB6338"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DB6338" w:rsidRPr="00155205" w:rsidRDefault="00DB6338" w:rsidP="00001514">
            <w:pPr>
              <w:widowControl w:val="0"/>
              <w:autoSpaceDE w:val="0"/>
              <w:autoSpaceDN w:val="0"/>
              <w:adjustRightInd w:val="0"/>
              <w:spacing w:after="0" w:line="240" w:lineRule="auto"/>
              <w:ind w:right="-108"/>
              <w:rPr>
                <w:rFonts w:ascii="Times New Roman" w:eastAsia="Times New Roman" w:hAnsi="Times New Roman"/>
              </w:rPr>
            </w:pPr>
            <w:bookmarkStart w:id="1" w:name="OLE_LINK1"/>
            <w:bookmarkStart w:id="2" w:name="OLE_LINK2"/>
            <w:r w:rsidRPr="00155205">
              <w:rPr>
                <w:rFonts w:ascii="Times New Roman" w:eastAsia="Times New Roman" w:hAnsi="Times New Roman"/>
              </w:rPr>
              <w:t>menej časté</w:t>
            </w:r>
            <w:bookmarkEnd w:id="1"/>
            <w:bookmarkEnd w:id="2"/>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bolesť v končatinách, boles</w:t>
            </w:r>
            <w:r w:rsidR="004766D3" w:rsidRPr="00155205">
              <w:rPr>
                <w:rFonts w:ascii="Times New Roman" w:eastAsia="Times New Roman" w:hAnsi="Times New Roman"/>
              </w:rPr>
              <w:t>ť šliach (symptómy podobné tendi</w:t>
            </w:r>
            <w:r w:rsidRPr="00155205">
              <w:rPr>
                <w:rFonts w:ascii="Times New Roman" w:eastAsia="Times New Roman" w:hAnsi="Times New Roman"/>
              </w:rPr>
              <w:t>nitíde)</w:t>
            </w:r>
          </w:p>
        </w:tc>
        <w:tc>
          <w:tcPr>
            <w:tcW w:w="1701" w:type="dxa"/>
          </w:tcPr>
          <w:p w:rsidR="00EE431D" w:rsidRPr="00155205" w:rsidRDefault="002128B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2128B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2128B7" w:rsidRPr="00155205" w:rsidTr="00B54270">
        <w:tc>
          <w:tcPr>
            <w:tcW w:w="2376" w:type="dxa"/>
            <w:vMerge w:val="restart"/>
            <w:shd w:val="clear" w:color="auto" w:fill="auto"/>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Poruchy obličiek a močových ciest</w:t>
            </w:r>
          </w:p>
        </w:tc>
        <w:tc>
          <w:tcPr>
            <w:tcW w:w="3544" w:type="dxa"/>
            <w:shd w:val="clear" w:color="auto" w:fill="auto"/>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porucha funkcie obličiek vrátane akútneho zlyhania obličiek</w:t>
            </w:r>
          </w:p>
        </w:tc>
        <w:tc>
          <w:tcPr>
            <w:tcW w:w="1701" w:type="dxa"/>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2128B7" w:rsidRPr="00155205" w:rsidRDefault="002128B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2128B7" w:rsidRPr="00155205" w:rsidTr="00B54270">
        <w:tc>
          <w:tcPr>
            <w:tcW w:w="2376" w:type="dxa"/>
            <w:vMerge/>
            <w:shd w:val="clear" w:color="auto" w:fill="auto"/>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2128B7" w:rsidRPr="00155205" w:rsidRDefault="002128B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 xml:space="preserve">porucha močenia, noktúria, zvýšená </w:t>
            </w:r>
            <w:r w:rsidRPr="00155205">
              <w:rPr>
                <w:rFonts w:ascii="Times New Roman" w:eastAsia="Times New Roman" w:hAnsi="Times New Roman"/>
              </w:rPr>
              <w:lastRenderedPageBreak/>
              <w:t>frekvencia močenia</w:t>
            </w:r>
          </w:p>
        </w:tc>
        <w:tc>
          <w:tcPr>
            <w:tcW w:w="1701" w:type="dxa"/>
          </w:tcPr>
          <w:p w:rsidR="002128B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lastRenderedPageBreak/>
              <w:t>menej časté</w:t>
            </w:r>
          </w:p>
        </w:tc>
        <w:tc>
          <w:tcPr>
            <w:tcW w:w="1701" w:type="dxa"/>
          </w:tcPr>
          <w:p w:rsidR="002128B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74EE7" w:rsidRPr="00155205" w:rsidTr="00B54270">
        <w:tc>
          <w:tcPr>
            <w:tcW w:w="2376" w:type="dxa"/>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lastRenderedPageBreak/>
              <w:t>Poruchy reprodukčného systému a prsníkov</w:t>
            </w:r>
          </w:p>
        </w:tc>
        <w:tc>
          <w:tcPr>
            <w:tcW w:w="3544" w:type="dxa"/>
            <w:shd w:val="clear" w:color="auto" w:fill="auto"/>
          </w:tcPr>
          <w:p w:rsidR="00774EE7" w:rsidRPr="00155205" w:rsidRDefault="00774EE7" w:rsidP="00774EE7">
            <w:pPr>
              <w:widowControl w:val="0"/>
              <w:autoSpaceDE w:val="0"/>
              <w:autoSpaceDN w:val="0"/>
              <w:adjustRightInd w:val="0"/>
              <w:spacing w:after="0" w:line="240" w:lineRule="auto"/>
              <w:rPr>
                <w:rFonts w:ascii="Times New Roman" w:eastAsia="Times New Roman" w:hAnsi="Times New Roman"/>
              </w:rPr>
            </w:pPr>
            <w:r w:rsidRPr="00155205">
              <w:rPr>
                <w:rFonts w:ascii="Times New Roman" w:hAnsi="Times New Roman"/>
                <w:iCs/>
              </w:rPr>
              <w:t>impotencia, gynekomastia</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EE431D" w:rsidRPr="00155205" w:rsidTr="00B54270">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Celkové poruchy a reakcie v mieste podania</w:t>
            </w:r>
          </w:p>
        </w:tc>
        <w:tc>
          <w:tcPr>
            <w:tcW w:w="3544" w:type="dxa"/>
            <w:shd w:val="clear" w:color="auto" w:fill="auto"/>
          </w:tcPr>
          <w:p w:rsidR="00EE431D" w:rsidRPr="00155205" w:rsidRDefault="00774EE7" w:rsidP="00774EE7">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edém</w:t>
            </w:r>
          </w:p>
        </w:tc>
        <w:tc>
          <w:tcPr>
            <w:tcW w:w="1701" w:type="dxa"/>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veľmi časté</w:t>
            </w:r>
          </w:p>
        </w:tc>
        <w:tc>
          <w:tcPr>
            <w:tcW w:w="1701" w:type="dxa"/>
          </w:tcPr>
          <w:p w:rsidR="00EE431D"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74EE7" w:rsidRPr="00155205" w:rsidRDefault="00774EE7" w:rsidP="00774EE7">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únava</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asténia (slabosť)</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bolesť na hrudníku</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774EE7" w:rsidRPr="00155205" w:rsidRDefault="006B0F0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celková nevoľnosť</w:t>
            </w:r>
            <w:r w:rsidR="00774EE7" w:rsidRPr="00155205">
              <w:rPr>
                <w:rFonts w:ascii="Times New Roman" w:eastAsia="Times New Roman" w:hAnsi="Times New Roman"/>
              </w:rPr>
              <w:t>, bolesť</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ochorenie podobné chrípke</w:t>
            </w:r>
          </w:p>
        </w:tc>
        <w:tc>
          <w:tcPr>
            <w:tcW w:w="1701" w:type="dxa"/>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r w:rsidR="00EE431D" w:rsidRPr="00155205" w:rsidTr="00B54270">
        <w:tc>
          <w:tcPr>
            <w:tcW w:w="2376" w:type="dxa"/>
            <w:vMerge w:val="restart"/>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b/>
              </w:rPr>
            </w:pPr>
            <w:r w:rsidRPr="00155205">
              <w:rPr>
                <w:rFonts w:ascii="Times New Roman" w:eastAsia="Times New Roman" w:hAnsi="Times New Roman"/>
                <w:b/>
              </w:rPr>
              <w:t>Laboratórne a funkčné vyšetrenia</w:t>
            </w:r>
          </w:p>
        </w:tc>
        <w:tc>
          <w:tcPr>
            <w:tcW w:w="3544" w:type="dxa"/>
            <w:shd w:val="clear" w:color="auto" w:fill="auto"/>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nárast hmotnosti, pokles hmotnosti</w:t>
            </w:r>
          </w:p>
        </w:tc>
        <w:tc>
          <w:tcPr>
            <w:tcW w:w="1701" w:type="dxa"/>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menej časté</w:t>
            </w:r>
          </w:p>
        </w:tc>
        <w:tc>
          <w:tcPr>
            <w:tcW w:w="1701" w:type="dxa"/>
          </w:tcPr>
          <w:p w:rsidR="00EE431D"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w:t>
            </w:r>
          </w:p>
        </w:tc>
      </w:tr>
      <w:tr w:rsidR="00774EE7" w:rsidRPr="00155205" w:rsidTr="00B54270">
        <w:tc>
          <w:tcPr>
            <w:tcW w:w="2376" w:type="dxa"/>
            <w:vMerge/>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p>
        </w:tc>
        <w:tc>
          <w:tcPr>
            <w:tcW w:w="3544" w:type="dxa"/>
            <w:shd w:val="clear" w:color="auto" w:fill="auto"/>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zvýšenie kreatinínu v krvi</w:t>
            </w:r>
          </w:p>
        </w:tc>
        <w:tc>
          <w:tcPr>
            <w:tcW w:w="1701" w:type="dxa"/>
          </w:tcPr>
          <w:p w:rsidR="00774EE7"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774EE7"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menej časté</w:t>
            </w:r>
          </w:p>
        </w:tc>
      </w:tr>
      <w:tr w:rsidR="00EE431D" w:rsidRPr="00155205" w:rsidTr="00B54270">
        <w:tc>
          <w:tcPr>
            <w:tcW w:w="2376" w:type="dxa"/>
            <w:vMerge/>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p>
        </w:tc>
        <w:tc>
          <w:tcPr>
            <w:tcW w:w="3544" w:type="dxa"/>
            <w:shd w:val="clear" w:color="auto" w:fill="auto"/>
          </w:tcPr>
          <w:p w:rsidR="00EE431D" w:rsidRPr="00155205" w:rsidRDefault="00EE431D"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zníženie hemoglobínu, zvýšenie kyseliny močovej v krvi, zvýšenie pečeňových enzýmov, zvýšenie kreatínfosfokinázy v krvi</w:t>
            </w:r>
          </w:p>
        </w:tc>
        <w:tc>
          <w:tcPr>
            <w:tcW w:w="1701" w:type="dxa"/>
          </w:tcPr>
          <w:p w:rsidR="00EE431D" w:rsidRPr="00155205" w:rsidRDefault="00774EE7" w:rsidP="00682849">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w:t>
            </w:r>
          </w:p>
        </w:tc>
        <w:tc>
          <w:tcPr>
            <w:tcW w:w="1701" w:type="dxa"/>
          </w:tcPr>
          <w:p w:rsidR="00EE431D" w:rsidRPr="00155205" w:rsidRDefault="00774EE7" w:rsidP="00001514">
            <w:pPr>
              <w:widowControl w:val="0"/>
              <w:autoSpaceDE w:val="0"/>
              <w:autoSpaceDN w:val="0"/>
              <w:adjustRightInd w:val="0"/>
              <w:spacing w:after="0" w:line="240" w:lineRule="auto"/>
              <w:ind w:right="-108"/>
              <w:rPr>
                <w:rFonts w:ascii="Times New Roman" w:eastAsia="Times New Roman" w:hAnsi="Times New Roman"/>
              </w:rPr>
            </w:pPr>
            <w:r w:rsidRPr="00155205">
              <w:rPr>
                <w:rFonts w:ascii="Times New Roman" w:eastAsia="Times New Roman" w:hAnsi="Times New Roman"/>
              </w:rPr>
              <w:t>zriedkavé</w:t>
            </w:r>
          </w:p>
        </w:tc>
      </w:tr>
    </w:tbl>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1, 2, 3,</w:t>
      </w:r>
      <w:r w:rsidR="007D5165" w:rsidRPr="00155205">
        <w:rPr>
          <w:rFonts w:ascii="Times New Roman" w:eastAsia="Times New Roman" w:hAnsi="Times New Roman"/>
          <w:lang w:eastAsia="sk-SK"/>
        </w:rPr>
        <w:t xml:space="preserve"> </w:t>
      </w:r>
      <w:r w:rsidRPr="00155205">
        <w:rPr>
          <w:rFonts w:ascii="Times New Roman" w:eastAsia="Times New Roman" w:hAnsi="Times New Roman"/>
          <w:lang w:eastAsia="sk-SK"/>
        </w:rPr>
        <w:t>4: pre ďalší popis, prosím, pozri časť „</w:t>
      </w:r>
      <w:r w:rsidRPr="00155205">
        <w:rPr>
          <w:rFonts w:ascii="Times New Roman" w:eastAsia="Times New Roman" w:hAnsi="Times New Roman"/>
          <w:iCs/>
          <w:u w:val="single"/>
          <w:lang w:eastAsia="sk-SK"/>
        </w:rPr>
        <w:t>Popis vybraných nežiaducich reakcií</w:t>
      </w:r>
      <w:r w:rsidRPr="00155205">
        <w:rPr>
          <w:rFonts w:ascii="Times New Roman" w:eastAsia="Times New Roman" w:hAnsi="Times New Roman"/>
          <w:iCs/>
          <w:lang w:eastAsia="sk-SK"/>
        </w:rPr>
        <w:t>“.</w:t>
      </w:r>
      <w:r w:rsidRPr="00155205">
        <w:rPr>
          <w:rFonts w:ascii="Times New Roman" w:eastAsia="Times New Roman" w:hAnsi="Times New Roman"/>
          <w:lang w:eastAsia="sk-SK"/>
        </w:rPr>
        <w:t xml:space="preserve"> </w:t>
      </w:r>
    </w:p>
    <w:p w:rsidR="009A3A22" w:rsidRPr="00155205" w:rsidRDefault="008967F7" w:rsidP="009A3A22">
      <w:pPr>
        <w:autoSpaceDE w:val="0"/>
        <w:autoSpaceDN w:val="0"/>
        <w:adjustRightInd w:val="0"/>
        <w:spacing w:after="0" w:line="240" w:lineRule="auto"/>
        <w:rPr>
          <w:rFonts w:ascii="Times New Roman" w:eastAsia="Times New Roman" w:hAnsi="Times New Roman"/>
          <w:iCs/>
          <w:lang w:eastAsia="sk-SK"/>
        </w:rPr>
      </w:pPr>
      <w:r w:rsidRPr="00155205">
        <w:rPr>
          <w:rFonts w:ascii="Times New Roman" w:hAnsi="Times New Roman"/>
          <w:iCs/>
        </w:rPr>
        <w:t>*najčastejšie v súvislosti s cholestázou</w:t>
      </w:r>
    </w:p>
    <w:p w:rsidR="008967F7" w:rsidRPr="00155205" w:rsidRDefault="008967F7" w:rsidP="009A3A22">
      <w:pPr>
        <w:autoSpaceDE w:val="0"/>
        <w:autoSpaceDN w:val="0"/>
        <w:adjustRightInd w:val="0"/>
        <w:spacing w:after="0" w:line="240" w:lineRule="auto"/>
        <w:rPr>
          <w:rFonts w:ascii="Times New Roman" w:eastAsia="Times New Roman" w:hAnsi="Times New Roman"/>
          <w:iCs/>
          <w:u w:val="single"/>
          <w:lang w:eastAsia="sk-SK"/>
        </w:rPr>
      </w:pPr>
    </w:p>
    <w:p w:rsidR="00085783" w:rsidRPr="00155205" w:rsidRDefault="009A3A22" w:rsidP="009A3A22">
      <w:pPr>
        <w:autoSpaceDE w:val="0"/>
        <w:autoSpaceDN w:val="0"/>
        <w:adjustRightInd w:val="0"/>
        <w:spacing w:after="0" w:line="240" w:lineRule="auto"/>
        <w:rPr>
          <w:rFonts w:ascii="Times New Roman" w:eastAsia="Times New Roman" w:hAnsi="Times New Roman"/>
          <w:iCs/>
          <w:u w:val="single"/>
          <w:lang w:eastAsia="sk-SK"/>
        </w:rPr>
      </w:pPr>
      <w:r w:rsidRPr="00155205">
        <w:rPr>
          <w:rFonts w:ascii="Times New Roman" w:eastAsia="Times New Roman" w:hAnsi="Times New Roman"/>
          <w:iCs/>
          <w:u w:val="single"/>
          <w:lang w:eastAsia="sk-SK"/>
        </w:rPr>
        <w:t>Popi</w:t>
      </w:r>
      <w:r w:rsidR="00085783" w:rsidRPr="00155205">
        <w:rPr>
          <w:rFonts w:ascii="Times New Roman" w:eastAsia="Times New Roman" w:hAnsi="Times New Roman"/>
          <w:iCs/>
          <w:u w:val="single"/>
          <w:lang w:eastAsia="sk-SK"/>
        </w:rPr>
        <w:t>s vybraných nežiaducich reakcií</w:t>
      </w:r>
    </w:p>
    <w:p w:rsidR="00085783" w:rsidRPr="00155205" w:rsidRDefault="00085783" w:rsidP="009A3A22">
      <w:pPr>
        <w:autoSpaceDE w:val="0"/>
        <w:autoSpaceDN w:val="0"/>
        <w:adjustRightInd w:val="0"/>
        <w:spacing w:after="0" w:line="240" w:lineRule="auto"/>
        <w:rPr>
          <w:rFonts w:ascii="Times New Roman" w:eastAsia="Times New Roman" w:hAnsi="Times New Roman"/>
          <w:iCs/>
          <w:u w:val="single"/>
          <w:lang w:eastAsia="sk-SK"/>
        </w:rPr>
      </w:pPr>
    </w:p>
    <w:p w:rsidR="009A3A22" w:rsidRPr="00155205" w:rsidRDefault="009A3A22" w:rsidP="009A3A22">
      <w:pPr>
        <w:autoSpaceDE w:val="0"/>
        <w:autoSpaceDN w:val="0"/>
        <w:adjustRightInd w:val="0"/>
        <w:spacing w:after="0" w:line="240" w:lineRule="auto"/>
        <w:rPr>
          <w:rFonts w:ascii="Times New Roman" w:eastAsia="Times New Roman" w:hAnsi="Times New Roman"/>
          <w:iCs/>
          <w:u w:val="single"/>
          <w:lang w:eastAsia="sk-SK"/>
        </w:rPr>
      </w:pPr>
      <w:r w:rsidRPr="00155205">
        <w:rPr>
          <w:rFonts w:ascii="Times New Roman" w:eastAsia="Times New Roman" w:hAnsi="Times New Roman"/>
          <w:u w:val="single"/>
          <w:lang w:eastAsia="sk-SK"/>
        </w:rPr>
        <w:t>Sepsa</w:t>
      </w:r>
    </w:p>
    <w:p w:rsidR="009A3A22" w:rsidRPr="00155205" w:rsidRDefault="009A3A22" w:rsidP="009A3A22">
      <w:pPr>
        <w:autoSpaceDE w:val="0"/>
        <w:autoSpaceDN w:val="0"/>
        <w:adjustRightInd w:val="0"/>
        <w:spacing w:after="0" w:line="240" w:lineRule="auto"/>
        <w:rPr>
          <w:rFonts w:ascii="Times New Roman" w:eastAsia="Times New Roman" w:hAnsi="Times New Roman"/>
          <w:bCs/>
          <w:lang w:eastAsia="sk-SK"/>
        </w:rPr>
      </w:pPr>
      <w:r w:rsidRPr="00155205">
        <w:rPr>
          <w:rFonts w:ascii="Times New Roman" w:eastAsia="Times New Roman" w:hAnsi="Times New Roman"/>
          <w:bCs/>
          <w:lang w:eastAsia="sk-SK"/>
        </w:rPr>
        <w:t>V klinickom skúšaní ProFESS sa po telmisartane, v porovnaní s placebom, pozorovala zvýšená incidencia sepsy. Udalosť môže byť náhodným nálezom alebo môže súvisieť s mechanizmami, ktoré v súčasnosti nie sú známe (pozri časť 5.1).</w:t>
      </w:r>
    </w:p>
    <w:p w:rsidR="009A3A22" w:rsidRPr="00155205" w:rsidRDefault="009A3A22" w:rsidP="009A3A22">
      <w:pPr>
        <w:autoSpaceDE w:val="0"/>
        <w:autoSpaceDN w:val="0"/>
        <w:adjustRightInd w:val="0"/>
        <w:spacing w:after="0" w:line="240" w:lineRule="auto"/>
        <w:rPr>
          <w:rFonts w:ascii="Times New Roman" w:eastAsia="Times New Roman" w:hAnsi="Times New Roman"/>
          <w:vertAlign w:val="superscript"/>
          <w:lang w:eastAsia="sk-SK"/>
        </w:rPr>
      </w:pPr>
    </w:p>
    <w:p w:rsidR="009A3A22" w:rsidRPr="00155205" w:rsidRDefault="009A3A22" w:rsidP="009A3A22">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Hypotenzia</w:t>
      </w:r>
    </w:p>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Táto nežiaduca reakcia sa hlásila ako častá u pacientov s kontrolovaným krvným tlakom, ktorí sa liečili telmisartanom </w:t>
      </w:r>
      <w:r w:rsidR="00085783" w:rsidRPr="00155205">
        <w:rPr>
          <w:rFonts w:ascii="Times New Roman" w:eastAsia="Times New Roman" w:hAnsi="Times New Roman"/>
          <w:lang w:eastAsia="sk-SK"/>
        </w:rPr>
        <w:t xml:space="preserve">pridaným </w:t>
      </w:r>
      <w:r w:rsidR="00155205" w:rsidRPr="00155205">
        <w:rPr>
          <w:rFonts w:ascii="Times New Roman" w:eastAsia="Times New Roman" w:hAnsi="Times New Roman"/>
          <w:lang w:eastAsia="sk-SK"/>
        </w:rPr>
        <w:t xml:space="preserve">nad rámec </w:t>
      </w:r>
      <w:r w:rsidR="00085783" w:rsidRPr="00155205">
        <w:rPr>
          <w:rFonts w:ascii="Times New Roman" w:eastAsia="Times New Roman" w:hAnsi="Times New Roman"/>
          <w:lang w:eastAsia="sk-SK"/>
        </w:rPr>
        <w:t>ku</w:t>
      </w:r>
      <w:r w:rsidRPr="00155205">
        <w:rPr>
          <w:rFonts w:ascii="Times New Roman" w:eastAsia="Times New Roman" w:hAnsi="Times New Roman"/>
          <w:lang w:eastAsia="sk-SK"/>
        </w:rPr>
        <w:t xml:space="preserve"> štandardnej liečb</w:t>
      </w:r>
      <w:r w:rsidR="00085783" w:rsidRPr="00155205">
        <w:rPr>
          <w:rFonts w:ascii="Times New Roman" w:eastAsia="Times New Roman" w:hAnsi="Times New Roman"/>
          <w:lang w:eastAsia="sk-SK"/>
        </w:rPr>
        <w:t>e na zníženie kardiovaskulárnej morbidity</w:t>
      </w:r>
      <w:r w:rsidRPr="00155205">
        <w:rPr>
          <w:rFonts w:ascii="Times New Roman" w:eastAsia="Times New Roman" w:hAnsi="Times New Roman"/>
          <w:lang w:eastAsia="sk-SK"/>
        </w:rPr>
        <w:t>.</w:t>
      </w:r>
    </w:p>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155205" w:rsidRDefault="009A3A22" w:rsidP="009A3A22">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Abnormálna funkcia pečene/porucha pečene</w:t>
      </w:r>
    </w:p>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Väčšina prípadov abnormálnej funkcie pečene/poruchy pečene na základe skúseností po uvedení lieku na trh sa vyskytla u japonských pacientov. Tieto nežiaduce reakcie sa pravdepodobnejšie vyskytnú u japonských pacientov.</w:t>
      </w:r>
    </w:p>
    <w:p w:rsidR="009A3A22" w:rsidRPr="00155205" w:rsidRDefault="009A3A22" w:rsidP="009A3A22">
      <w:pPr>
        <w:autoSpaceDE w:val="0"/>
        <w:autoSpaceDN w:val="0"/>
        <w:adjustRightInd w:val="0"/>
        <w:spacing w:after="0" w:line="240" w:lineRule="auto"/>
        <w:rPr>
          <w:rFonts w:ascii="Times New Roman" w:eastAsia="Times New Roman" w:hAnsi="Times New Roman"/>
          <w:lang w:eastAsia="sk-SK"/>
        </w:rPr>
      </w:pPr>
    </w:p>
    <w:p w:rsidR="009A3A22" w:rsidRPr="00155205" w:rsidRDefault="009A3A22" w:rsidP="009A3A22">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Intersticiálne ochorenie pľúc</w:t>
      </w:r>
    </w:p>
    <w:p w:rsidR="009A3A22" w:rsidRPr="00155205" w:rsidRDefault="009A3A22" w:rsidP="009A3A22">
      <w:pPr>
        <w:autoSpaceDE w:val="0"/>
        <w:autoSpaceDN w:val="0"/>
        <w:adjustRightInd w:val="0"/>
        <w:spacing w:after="0" w:line="240" w:lineRule="auto"/>
        <w:rPr>
          <w:rFonts w:ascii="Times New Roman" w:eastAsia="Times New Roman" w:hAnsi="Times New Roman"/>
          <w:b/>
          <w:bCs/>
          <w:lang w:eastAsia="sk-SK"/>
        </w:rPr>
      </w:pPr>
      <w:r w:rsidRPr="00155205">
        <w:rPr>
          <w:rFonts w:ascii="Times New Roman" w:eastAsia="Times New Roman" w:hAnsi="Times New Roman"/>
          <w:lang w:eastAsia="sk-SK"/>
        </w:rPr>
        <w:t>V časovej súvislosti s užívaním telmisartanu sa z údajov získaných po uvedení lieku na trh zaznamenali prípady intersticiálneho ochorenia pľúc. Avšak, kauzálny vzťah nebol stanovený.</w:t>
      </w:r>
    </w:p>
    <w:p w:rsidR="009A3A22" w:rsidRPr="00155205" w:rsidRDefault="009A3A22" w:rsidP="00454F23">
      <w:pPr>
        <w:suppressLineNumbers/>
        <w:autoSpaceDE w:val="0"/>
        <w:autoSpaceDN w:val="0"/>
        <w:adjustRightInd w:val="0"/>
        <w:spacing w:after="0" w:line="240" w:lineRule="auto"/>
        <w:rPr>
          <w:rFonts w:ascii="Times New Roman" w:eastAsia="Times New Roman" w:hAnsi="Times New Roman"/>
          <w:noProof/>
          <w:highlight w:val="yellow"/>
          <w:u w:val="single"/>
          <w:lang w:eastAsia="sk-SK"/>
        </w:rPr>
      </w:pPr>
    </w:p>
    <w:p w:rsidR="00FD2D5B" w:rsidRPr="00155205" w:rsidRDefault="00FD2D5B" w:rsidP="00FD2D5B">
      <w:pPr>
        <w:spacing w:after="0" w:line="240" w:lineRule="auto"/>
        <w:ind w:left="567" w:hanging="567"/>
        <w:rPr>
          <w:rFonts w:ascii="Times New Roman" w:hAnsi="Times New Roman"/>
          <w:u w:val="single"/>
          <w:lang w:eastAsia="sk-SK"/>
        </w:rPr>
      </w:pPr>
      <w:r w:rsidRPr="00155205">
        <w:rPr>
          <w:rFonts w:ascii="Times New Roman" w:hAnsi="Times New Roman"/>
          <w:u w:val="single"/>
          <w:lang w:eastAsia="sk-SK"/>
        </w:rPr>
        <w:t>Hlásenie podozrení na nežiaduce reakcie</w:t>
      </w:r>
    </w:p>
    <w:p w:rsidR="00FD2D5B" w:rsidRPr="00155205" w:rsidRDefault="00FD2D5B" w:rsidP="0018141D">
      <w:pPr>
        <w:spacing w:after="0" w:line="240" w:lineRule="auto"/>
        <w:rPr>
          <w:rFonts w:ascii="Times New Roman" w:hAnsi="Times New Roman"/>
          <w:noProof/>
        </w:rPr>
      </w:pPr>
      <w:r w:rsidRPr="00155205">
        <w:rPr>
          <w:rFonts w:ascii="Times New Roman" w:hAnsi="Times New Roman"/>
          <w:noProof/>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8141D" w:rsidRPr="00155205">
        <w:rPr>
          <w:rFonts w:ascii="Times New Roman" w:hAnsi="Times New Roman"/>
          <w:noProof/>
          <w:lang w:eastAsia="sk-SK"/>
        </w:rPr>
        <w:t>na</w:t>
      </w:r>
      <w:r w:rsidRPr="00155205">
        <w:rPr>
          <w:noProof/>
        </w:rPr>
        <w:t xml:space="preserve"> </w:t>
      </w:r>
      <w:r w:rsidRPr="00155205">
        <w:rPr>
          <w:rFonts w:ascii="Times New Roman" w:hAnsi="Times New Roman"/>
          <w:noProof/>
          <w:highlight w:val="lightGray"/>
        </w:rPr>
        <w:t>národné</w:t>
      </w:r>
      <w:r w:rsidR="0018141D" w:rsidRPr="00155205">
        <w:rPr>
          <w:rFonts w:ascii="Times New Roman" w:hAnsi="Times New Roman"/>
          <w:noProof/>
          <w:highlight w:val="lightGray"/>
        </w:rPr>
        <w:t xml:space="preserve"> centrum</w:t>
      </w:r>
      <w:r w:rsidRPr="00155205">
        <w:rPr>
          <w:rFonts w:ascii="Times New Roman" w:hAnsi="Times New Roman"/>
          <w:noProof/>
          <w:highlight w:val="lightGray"/>
        </w:rPr>
        <w:t xml:space="preserve"> hlásenia uvedené v </w:t>
      </w:r>
      <w:hyperlink r:id="rId9" w:history="1">
        <w:r w:rsidRPr="00155205">
          <w:rPr>
            <w:rStyle w:val="Hypertextovprepojenie"/>
            <w:rFonts w:ascii="Times New Roman" w:hAnsi="Times New Roman"/>
            <w:noProof/>
            <w:highlight w:val="lightGray"/>
          </w:rPr>
          <w:t>Prílohe V</w:t>
        </w:r>
      </w:hyperlink>
      <w:r w:rsidRPr="00155205">
        <w:rPr>
          <w:rFonts w:ascii="Times New Roman" w:hAnsi="Times New Roman"/>
          <w:noProof/>
        </w:rPr>
        <w:t>.</w:t>
      </w:r>
    </w:p>
    <w:p w:rsidR="00FD2D5B" w:rsidRPr="00155205" w:rsidRDefault="00FD2D5B" w:rsidP="00FD2D5B">
      <w:pPr>
        <w:spacing w:after="0" w:line="240" w:lineRule="auto"/>
        <w:ind w:left="567" w:hanging="567"/>
        <w:rPr>
          <w:rFonts w:ascii="Times New Roman" w:hAnsi="Times New Roman"/>
          <w:b/>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4.9</w:t>
      </w:r>
      <w:r w:rsidRPr="00155205">
        <w:rPr>
          <w:rFonts w:ascii="Times New Roman" w:hAnsi="Times New Roman"/>
          <w:b/>
          <w:noProof/>
          <w:lang w:eastAsia="sk-SK"/>
        </w:rPr>
        <w:tab/>
        <w:t>Predávkovanie</w:t>
      </w:r>
    </w:p>
    <w:p w:rsidR="00FD2D5B" w:rsidRPr="00155205" w:rsidRDefault="00FD2D5B" w:rsidP="00FD2D5B">
      <w:pPr>
        <w:spacing w:after="0" w:line="240" w:lineRule="auto"/>
        <w:ind w:left="567" w:hanging="567"/>
        <w:rPr>
          <w:rFonts w:ascii="Times New Roman" w:hAnsi="Times New Roman"/>
          <w:noProof/>
          <w:lang w:eastAsia="sk-SK"/>
        </w:rPr>
      </w:pPr>
    </w:p>
    <w:p w:rsidR="000738A8" w:rsidRPr="00155205" w:rsidRDefault="000738A8"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K dispozícii je iba obmedzené množstvo údajov týkajúcich sa predávkovania u ľudí.</w:t>
      </w:r>
    </w:p>
    <w:p w:rsidR="000738A8" w:rsidRPr="00155205" w:rsidRDefault="000738A8" w:rsidP="00FD2D5B">
      <w:pPr>
        <w:spacing w:after="0" w:line="240" w:lineRule="auto"/>
        <w:ind w:left="567" w:hanging="567"/>
        <w:rPr>
          <w:rFonts w:ascii="Times New Roman" w:hAnsi="Times New Roman"/>
          <w:noProof/>
          <w:lang w:eastAsia="sk-SK"/>
        </w:rPr>
      </w:pPr>
    </w:p>
    <w:p w:rsidR="00A2456B" w:rsidRPr="00155205" w:rsidRDefault="00814B7B" w:rsidP="00FD2D5B">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Príznaky</w:t>
      </w:r>
    </w:p>
    <w:p w:rsidR="000738A8" w:rsidRPr="00155205" w:rsidRDefault="000738A8" w:rsidP="000738A8">
      <w:pPr>
        <w:spacing w:after="0" w:line="240" w:lineRule="auto"/>
        <w:rPr>
          <w:rFonts w:ascii="Times New Roman" w:hAnsi="Times New Roman"/>
          <w:noProof/>
          <w:lang w:eastAsia="sk-SK"/>
        </w:rPr>
      </w:pPr>
      <w:r w:rsidRPr="00155205">
        <w:rPr>
          <w:rFonts w:ascii="Times New Roman" w:hAnsi="Times New Roman"/>
          <w:noProof/>
          <w:lang w:eastAsia="sk-SK"/>
        </w:rPr>
        <w:t>Najvýznamnejšími prejavmi predávkovania telmisartanom boli hypotenzia a tachykardia; taktiež sa zaznamenali bradykardia, závraty, zvýšenie kreatinínu v sére a akútne zlyhanie obličiek.</w:t>
      </w:r>
    </w:p>
    <w:p w:rsidR="000738A8" w:rsidRPr="00155205" w:rsidRDefault="000738A8" w:rsidP="000738A8">
      <w:pPr>
        <w:spacing w:after="0" w:line="240" w:lineRule="auto"/>
        <w:rPr>
          <w:rFonts w:ascii="Times New Roman" w:hAnsi="Times New Roman"/>
          <w:noProof/>
          <w:lang w:eastAsia="sk-SK"/>
        </w:rPr>
      </w:pPr>
    </w:p>
    <w:p w:rsidR="00FD2D5B" w:rsidRPr="00155205" w:rsidRDefault="000738A8" w:rsidP="00A2456B">
      <w:pPr>
        <w:spacing w:after="0" w:line="240" w:lineRule="auto"/>
        <w:rPr>
          <w:rFonts w:ascii="Times New Roman" w:hAnsi="Times New Roman"/>
          <w:b/>
          <w:noProof/>
          <w:lang w:eastAsia="sk-SK"/>
        </w:rPr>
      </w:pPr>
      <w:r w:rsidRPr="00155205">
        <w:rPr>
          <w:rFonts w:ascii="Times New Roman" w:hAnsi="Times New Roman"/>
          <w:noProof/>
          <w:lang w:eastAsia="sk-SK"/>
        </w:rPr>
        <w:lastRenderedPageBreak/>
        <w:t>Dostupné údaje naznačujú, že výrazné p</w:t>
      </w:r>
      <w:r w:rsidR="00A2456B" w:rsidRPr="00155205">
        <w:rPr>
          <w:rFonts w:ascii="Times New Roman" w:hAnsi="Times New Roman"/>
          <w:noProof/>
          <w:lang w:eastAsia="sk-SK"/>
        </w:rPr>
        <w:t xml:space="preserve">redávkovanie môže viesť k nadmernej periférnej vazodilatácii a možnej reflexnej tachykardii. Bola hlásená výrazná a pravdepodobne dlhotrvajúca systémová hypotenzia </w:t>
      </w:r>
      <w:r w:rsidRPr="00155205">
        <w:rPr>
          <w:rFonts w:ascii="Times New Roman" w:hAnsi="Times New Roman"/>
          <w:noProof/>
          <w:lang w:eastAsia="sk-SK"/>
        </w:rPr>
        <w:t xml:space="preserve">vyúsťujúca </w:t>
      </w:r>
      <w:r w:rsidR="00A2456B" w:rsidRPr="00155205">
        <w:rPr>
          <w:rFonts w:ascii="Times New Roman" w:hAnsi="Times New Roman"/>
          <w:noProof/>
          <w:lang w:eastAsia="sk-SK"/>
        </w:rPr>
        <w:t>až</w:t>
      </w:r>
      <w:r w:rsidRPr="00155205">
        <w:rPr>
          <w:rFonts w:ascii="Times New Roman" w:hAnsi="Times New Roman"/>
          <w:noProof/>
          <w:lang w:eastAsia="sk-SK"/>
        </w:rPr>
        <w:t xml:space="preserve"> do</w:t>
      </w:r>
      <w:r w:rsidR="00A2456B" w:rsidRPr="00155205">
        <w:rPr>
          <w:rFonts w:ascii="Times New Roman" w:hAnsi="Times New Roman"/>
          <w:noProof/>
          <w:lang w:eastAsia="sk-SK"/>
        </w:rPr>
        <w:t xml:space="preserve"> šok</w:t>
      </w:r>
      <w:r w:rsidRPr="00155205">
        <w:rPr>
          <w:rFonts w:ascii="Times New Roman" w:hAnsi="Times New Roman"/>
          <w:noProof/>
          <w:lang w:eastAsia="sk-SK"/>
        </w:rPr>
        <w:t>u</w:t>
      </w:r>
      <w:r w:rsidR="00A2456B" w:rsidRPr="00155205">
        <w:rPr>
          <w:rFonts w:ascii="Times New Roman" w:hAnsi="Times New Roman"/>
          <w:noProof/>
          <w:lang w:eastAsia="sk-SK"/>
        </w:rPr>
        <w:t xml:space="preserve"> s fatálnym koncom</w:t>
      </w:r>
      <w:r w:rsidR="00814B7B" w:rsidRPr="00155205">
        <w:rPr>
          <w:rFonts w:ascii="Times New Roman" w:hAnsi="Times New Roman"/>
          <w:noProof/>
          <w:lang w:eastAsia="sk-SK"/>
        </w:rPr>
        <w:t>.</w:t>
      </w:r>
    </w:p>
    <w:p w:rsidR="00A2456B" w:rsidRPr="00155205" w:rsidRDefault="00A2456B" w:rsidP="00FD2D5B">
      <w:pPr>
        <w:spacing w:after="0" w:line="240" w:lineRule="auto"/>
        <w:ind w:left="567" w:hanging="567"/>
        <w:rPr>
          <w:rFonts w:ascii="Times New Roman" w:hAnsi="Times New Roman"/>
          <w:b/>
          <w:noProof/>
          <w:lang w:eastAsia="sk-SK"/>
        </w:rPr>
      </w:pPr>
    </w:p>
    <w:p w:rsidR="00814B7B" w:rsidRPr="00155205" w:rsidRDefault="00814B7B" w:rsidP="00FD2D5B">
      <w:pPr>
        <w:spacing w:after="0" w:line="240" w:lineRule="auto"/>
        <w:ind w:left="567" w:hanging="567"/>
        <w:rPr>
          <w:rFonts w:ascii="Times New Roman" w:hAnsi="Times New Roman"/>
          <w:noProof/>
          <w:u w:val="single"/>
          <w:lang w:eastAsia="sk-SK"/>
        </w:rPr>
      </w:pPr>
      <w:r w:rsidRPr="00155205">
        <w:rPr>
          <w:rFonts w:ascii="Times New Roman" w:hAnsi="Times New Roman"/>
          <w:noProof/>
          <w:u w:val="single"/>
          <w:lang w:eastAsia="sk-SK"/>
        </w:rPr>
        <w:t>Liečba</w:t>
      </w:r>
    </w:p>
    <w:p w:rsidR="00814B7B" w:rsidRPr="00155205" w:rsidRDefault="00814B7B" w:rsidP="00FD2D5B">
      <w:pPr>
        <w:tabs>
          <w:tab w:val="left" w:pos="-142"/>
          <w:tab w:val="left" w:pos="284"/>
        </w:tabs>
        <w:spacing w:after="0" w:line="240" w:lineRule="auto"/>
        <w:rPr>
          <w:rFonts w:ascii="Times New Roman" w:hAnsi="Times New Roman"/>
          <w:noProof/>
          <w:lang w:eastAsia="sk-SK"/>
        </w:rPr>
      </w:pPr>
      <w:r w:rsidRPr="00155205">
        <w:rPr>
          <w:rFonts w:ascii="Times New Roman" w:hAnsi="Times New Roman"/>
          <w:noProof/>
          <w:lang w:eastAsia="sk-SK"/>
        </w:rPr>
        <w:t xml:space="preserve">Pacient musí byť starostlivo monitorovaný a liečba má byť symptomatická a podporná. </w:t>
      </w:r>
      <w:r w:rsidR="00B83D83" w:rsidRPr="00155205">
        <w:rPr>
          <w:rFonts w:ascii="Times New Roman" w:hAnsi="Times New Roman"/>
          <w:noProof/>
          <w:lang w:eastAsia="sk-SK"/>
        </w:rPr>
        <w:t>Liečba</w:t>
      </w:r>
      <w:r w:rsidR="00D901E1" w:rsidRPr="00155205">
        <w:rPr>
          <w:rFonts w:ascii="Times New Roman" w:hAnsi="Times New Roman"/>
          <w:noProof/>
          <w:lang w:eastAsia="sk-SK"/>
        </w:rPr>
        <w:t xml:space="preserve"> závisí od času, ktorý uplynul od predávkovania a od závažnosti príznakov. Navrhované opatrenia zahŕňajú navodenie vracania a/alebo výplach žalúdka. Pri liečbe predávkovania oboma zložkami, telmisartanom aj amlodipínom, môže byť užitočné aj aktívne uhlie. </w:t>
      </w:r>
      <w:r w:rsidRPr="00155205">
        <w:rPr>
          <w:rFonts w:ascii="Times New Roman" w:hAnsi="Times New Roman"/>
          <w:noProof/>
          <w:lang w:eastAsia="sk-SK"/>
        </w:rPr>
        <w:t xml:space="preserve">Často sa majú sledovať sérové elektrolyty a kreatinín. Ak sa objaví hypotenzia, pacient sa má uložiť do polohy na chrbte </w:t>
      </w:r>
      <w:r w:rsidR="00791564" w:rsidRPr="00155205">
        <w:rPr>
          <w:rFonts w:ascii="Times New Roman" w:hAnsi="Times New Roman"/>
          <w:noProof/>
          <w:lang w:eastAsia="sk-SK"/>
        </w:rPr>
        <w:t>so zdvihnutými končatinami a majú sa mu</w:t>
      </w:r>
      <w:r w:rsidRPr="00155205">
        <w:rPr>
          <w:rFonts w:ascii="Times New Roman" w:hAnsi="Times New Roman"/>
          <w:noProof/>
          <w:lang w:eastAsia="sk-SK"/>
        </w:rPr>
        <w:t xml:space="preserve"> urýchlene podať náhrady soli a objemu.</w:t>
      </w:r>
    </w:p>
    <w:p w:rsidR="00814B7B" w:rsidRPr="00155205" w:rsidRDefault="00814B7B" w:rsidP="00FD2D5B">
      <w:pPr>
        <w:tabs>
          <w:tab w:val="left" w:pos="-142"/>
          <w:tab w:val="left" w:pos="284"/>
        </w:tabs>
        <w:spacing w:after="0" w:line="240" w:lineRule="auto"/>
        <w:rPr>
          <w:rFonts w:ascii="Times New Roman" w:hAnsi="Times New Roman"/>
          <w:noProof/>
          <w:lang w:eastAsia="sk-SK"/>
        </w:rPr>
      </w:pPr>
      <w:r w:rsidRPr="00155205">
        <w:rPr>
          <w:rFonts w:ascii="Times New Roman" w:hAnsi="Times New Roman"/>
          <w:noProof/>
          <w:lang w:eastAsia="sk-SK"/>
        </w:rPr>
        <w:t>Podanie vazokonstrik</w:t>
      </w:r>
      <w:r w:rsidR="00B83D83" w:rsidRPr="00155205">
        <w:rPr>
          <w:rFonts w:ascii="Times New Roman" w:hAnsi="Times New Roman"/>
          <w:noProof/>
          <w:lang w:eastAsia="sk-SK"/>
        </w:rPr>
        <w:t>čnej látky</w:t>
      </w:r>
      <w:r w:rsidRPr="00155205">
        <w:rPr>
          <w:rFonts w:ascii="Times New Roman" w:hAnsi="Times New Roman"/>
          <w:noProof/>
          <w:lang w:eastAsia="sk-SK"/>
        </w:rPr>
        <w:t xml:space="preserve"> môže byť užitočné pri obnovení cievneho tonusu a krvného tlaku za predpokladu,</w:t>
      </w:r>
      <w:r w:rsidRPr="00155205">
        <w:t xml:space="preserve"> </w:t>
      </w:r>
      <w:r w:rsidRPr="00155205">
        <w:rPr>
          <w:rFonts w:ascii="Times New Roman" w:hAnsi="Times New Roman"/>
          <w:noProof/>
          <w:lang w:eastAsia="sk-SK"/>
        </w:rPr>
        <w:t>že neexistuje žiadna kontraindikácia je</w:t>
      </w:r>
      <w:r w:rsidR="00B83D83" w:rsidRPr="00155205">
        <w:rPr>
          <w:rFonts w:ascii="Times New Roman" w:hAnsi="Times New Roman"/>
          <w:noProof/>
          <w:lang w:eastAsia="sk-SK"/>
        </w:rPr>
        <w:t>j</w:t>
      </w:r>
      <w:r w:rsidRPr="00155205">
        <w:rPr>
          <w:rFonts w:ascii="Times New Roman" w:hAnsi="Times New Roman"/>
          <w:noProof/>
          <w:lang w:eastAsia="sk-SK"/>
        </w:rPr>
        <w:t xml:space="preserve"> použitia.</w:t>
      </w:r>
      <w:r w:rsidRPr="00155205">
        <w:t xml:space="preserve"> </w:t>
      </w:r>
      <w:r w:rsidRPr="00155205">
        <w:rPr>
          <w:rFonts w:ascii="Times New Roman" w:hAnsi="Times New Roman"/>
          <w:noProof/>
          <w:lang w:eastAsia="sk-SK"/>
        </w:rPr>
        <w:t>Na zvrátenie účinkov blokády kalciového kanála môže byť prospešné intravenózne podanie kalciumglukonátu.</w:t>
      </w:r>
    </w:p>
    <w:p w:rsidR="00B83D83" w:rsidRPr="00155205" w:rsidRDefault="00B83D83" w:rsidP="00FD2D5B">
      <w:pPr>
        <w:tabs>
          <w:tab w:val="left" w:pos="-142"/>
          <w:tab w:val="left" w:pos="284"/>
        </w:tabs>
        <w:spacing w:after="0" w:line="240" w:lineRule="auto"/>
        <w:rPr>
          <w:rFonts w:ascii="Times New Roman" w:hAnsi="Times New Roman"/>
          <w:noProof/>
          <w:highlight w:val="yellow"/>
          <w:lang w:eastAsia="sk-SK"/>
        </w:rPr>
      </w:pPr>
      <w:r w:rsidRPr="00155205">
        <w:rPr>
          <w:rFonts w:ascii="Times New Roman" w:hAnsi="Times New Roman"/>
          <w:noProof/>
          <w:lang w:eastAsia="sk-SK"/>
        </w:rPr>
        <w:t>Keďže je amlodipín silno viazaný na proteíny, dialýza pravdepodobne nebude prospešná.</w:t>
      </w:r>
    </w:p>
    <w:p w:rsidR="00814B7B" w:rsidRPr="00155205" w:rsidRDefault="00B83D83" w:rsidP="00FD2D5B">
      <w:pPr>
        <w:tabs>
          <w:tab w:val="left" w:pos="-142"/>
          <w:tab w:val="left" w:pos="284"/>
        </w:tabs>
        <w:spacing w:after="0" w:line="240" w:lineRule="auto"/>
        <w:rPr>
          <w:rFonts w:ascii="Times New Roman" w:hAnsi="Times New Roman"/>
          <w:noProof/>
          <w:lang w:eastAsia="sk-SK"/>
        </w:rPr>
      </w:pPr>
      <w:r w:rsidRPr="00155205">
        <w:rPr>
          <w:rFonts w:ascii="Times New Roman" w:hAnsi="Times New Roman"/>
          <w:noProof/>
          <w:lang w:eastAsia="sk-SK"/>
        </w:rPr>
        <w:t>Taktiež ani</w:t>
      </w:r>
      <w:r w:rsidR="00814B7B" w:rsidRPr="00155205">
        <w:rPr>
          <w:rFonts w:ascii="Times New Roman" w:hAnsi="Times New Roman"/>
          <w:noProof/>
          <w:lang w:eastAsia="sk-SK"/>
        </w:rPr>
        <w:t xml:space="preserve"> </w:t>
      </w:r>
      <w:r w:rsidR="005F657A" w:rsidRPr="00155205">
        <w:rPr>
          <w:rFonts w:ascii="Times New Roman" w:hAnsi="Times New Roman"/>
          <w:noProof/>
          <w:lang w:eastAsia="sk-SK"/>
        </w:rPr>
        <w:t xml:space="preserve">telmisartan </w:t>
      </w:r>
      <w:r w:rsidRPr="00155205">
        <w:rPr>
          <w:rFonts w:ascii="Times New Roman" w:hAnsi="Times New Roman"/>
          <w:noProof/>
          <w:lang w:eastAsia="sk-SK"/>
        </w:rPr>
        <w:t>sa nedá odstrániť</w:t>
      </w:r>
      <w:r w:rsidR="005F657A" w:rsidRPr="00155205">
        <w:rPr>
          <w:rFonts w:ascii="Times New Roman" w:hAnsi="Times New Roman"/>
          <w:noProof/>
          <w:lang w:eastAsia="sk-SK"/>
        </w:rPr>
        <w:t xml:space="preserve"> hemodialýzou.</w:t>
      </w:r>
    </w:p>
    <w:p w:rsidR="00FD2D5B" w:rsidRPr="00155205" w:rsidRDefault="00FD2D5B" w:rsidP="00FD2D5B">
      <w:pPr>
        <w:spacing w:after="0" w:line="240" w:lineRule="auto"/>
        <w:ind w:left="567" w:hanging="567"/>
        <w:rPr>
          <w:rFonts w:ascii="Times New Roman" w:hAnsi="Times New Roman"/>
          <w:b/>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5.</w:t>
      </w:r>
      <w:r w:rsidRPr="00155205">
        <w:rPr>
          <w:rFonts w:ascii="Times New Roman" w:hAnsi="Times New Roman"/>
          <w:b/>
          <w:noProof/>
          <w:lang w:eastAsia="sk-SK"/>
        </w:rPr>
        <w:tab/>
        <w:t>FARMAKOLOGICKÉ VLASTNOSTI</w:t>
      </w:r>
    </w:p>
    <w:p w:rsidR="00FD2D5B" w:rsidRPr="00155205" w:rsidRDefault="00FD2D5B" w:rsidP="00FD2D5B">
      <w:pPr>
        <w:spacing w:after="0" w:line="240" w:lineRule="auto"/>
        <w:ind w:left="567" w:hanging="567"/>
        <w:rPr>
          <w:rFonts w:ascii="Times New Roman" w:hAnsi="Times New Roman"/>
          <w:bCs/>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5.1</w:t>
      </w:r>
      <w:r w:rsidRPr="00155205">
        <w:rPr>
          <w:rFonts w:ascii="Times New Roman" w:hAnsi="Times New Roman"/>
          <w:b/>
          <w:noProof/>
          <w:lang w:eastAsia="sk-SK"/>
        </w:rPr>
        <w:tab/>
        <w:t>Farmakodynamické vlastnosti</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outlineLvl w:val="0"/>
        <w:rPr>
          <w:rFonts w:ascii="Times New Roman" w:hAnsi="Times New Roman"/>
          <w:noProof/>
          <w:lang w:eastAsia="sk-SK"/>
        </w:rPr>
      </w:pPr>
      <w:r w:rsidRPr="00155205">
        <w:rPr>
          <w:rFonts w:ascii="Times New Roman" w:hAnsi="Times New Roman"/>
          <w:noProof/>
          <w:lang w:eastAsia="sk-SK"/>
        </w:rPr>
        <w:t xml:space="preserve">Farmakoterapeutická skupina: Liečivá </w:t>
      </w:r>
      <w:r w:rsidR="009339B1" w:rsidRPr="00155205">
        <w:rPr>
          <w:rFonts w:ascii="Times New Roman" w:hAnsi="Times New Roman"/>
          <w:noProof/>
          <w:lang w:eastAsia="sk-SK"/>
        </w:rPr>
        <w:t>pôsobiace</w:t>
      </w:r>
      <w:r w:rsidRPr="00155205">
        <w:rPr>
          <w:rFonts w:ascii="Times New Roman" w:hAnsi="Times New Roman"/>
          <w:noProof/>
          <w:lang w:eastAsia="sk-SK"/>
        </w:rPr>
        <w:t xml:space="preserve"> na renín-angiotenzínový systém, </w:t>
      </w:r>
      <w:r w:rsidR="00791564" w:rsidRPr="00155205">
        <w:rPr>
          <w:rFonts w:ascii="Times New Roman" w:hAnsi="Times New Roman"/>
          <w:noProof/>
          <w:lang w:eastAsia="sk-SK"/>
        </w:rPr>
        <w:t>antagonisty angiotenzínu II</w:t>
      </w:r>
      <w:r w:rsidRPr="00155205">
        <w:rPr>
          <w:rFonts w:ascii="Times New Roman" w:hAnsi="Times New Roman"/>
          <w:noProof/>
          <w:lang w:eastAsia="sk-SK"/>
        </w:rPr>
        <w:t xml:space="preserve"> a blokátory kalciového kanála, ATC kód: C09</w:t>
      </w:r>
      <w:r w:rsidR="00791564" w:rsidRPr="00155205">
        <w:rPr>
          <w:rFonts w:ascii="Times New Roman" w:hAnsi="Times New Roman"/>
          <w:noProof/>
          <w:lang w:eastAsia="sk-SK"/>
        </w:rPr>
        <w:t>D</w:t>
      </w:r>
      <w:r w:rsidRPr="00155205">
        <w:rPr>
          <w:rFonts w:ascii="Times New Roman" w:hAnsi="Times New Roman"/>
          <w:noProof/>
          <w:lang w:eastAsia="sk-SK"/>
        </w:rPr>
        <w:t>B04.</w:t>
      </w:r>
    </w:p>
    <w:p w:rsidR="00FD2D5B" w:rsidRPr="00155205" w:rsidRDefault="00FD2D5B" w:rsidP="00FD2D5B">
      <w:pPr>
        <w:spacing w:after="0" w:line="240" w:lineRule="auto"/>
        <w:ind w:left="567" w:hanging="567"/>
        <w:outlineLvl w:val="0"/>
        <w:rPr>
          <w:rFonts w:ascii="Times New Roman" w:hAnsi="Times New Roman"/>
          <w:noProof/>
          <w:lang w:eastAsia="sk-SK"/>
        </w:rPr>
      </w:pPr>
    </w:p>
    <w:p w:rsidR="00A95EEC" w:rsidRPr="00155205" w:rsidRDefault="00A95EEC" w:rsidP="00A95EEC">
      <w:pPr>
        <w:spacing w:after="0" w:line="240" w:lineRule="auto"/>
        <w:rPr>
          <w:rFonts w:ascii="Times New Roman" w:hAnsi="Times New Roman"/>
          <w:i/>
          <w:noProof/>
          <w:lang w:eastAsia="sk-SK"/>
        </w:rPr>
      </w:pPr>
      <w:r w:rsidRPr="00155205">
        <w:rPr>
          <w:rFonts w:ascii="Times New Roman" w:hAnsi="Times New Roman"/>
          <w:i/>
          <w:noProof/>
          <w:lang w:eastAsia="sk-SK"/>
        </w:rPr>
        <w:t>Telmisartan</w:t>
      </w:r>
    </w:p>
    <w:p w:rsidR="00A95EEC" w:rsidRPr="00155205" w:rsidRDefault="00A95EEC" w:rsidP="00FD2D5B">
      <w:pPr>
        <w:spacing w:after="0" w:line="240" w:lineRule="auto"/>
        <w:rPr>
          <w:rFonts w:ascii="Times New Roman" w:hAnsi="Times New Roman"/>
          <w:noProof/>
          <w:u w:val="single"/>
          <w:lang w:eastAsia="sk-SK"/>
        </w:rPr>
      </w:pPr>
    </w:p>
    <w:p w:rsidR="00FD2D5B" w:rsidRPr="00155205" w:rsidRDefault="00FD2D5B" w:rsidP="00FD2D5B">
      <w:pPr>
        <w:spacing w:after="0" w:line="240" w:lineRule="auto"/>
        <w:rPr>
          <w:rFonts w:ascii="Times New Roman" w:hAnsi="Times New Roman"/>
          <w:noProof/>
          <w:u w:val="single"/>
          <w:lang w:eastAsia="sk-SK"/>
        </w:rPr>
      </w:pPr>
      <w:r w:rsidRPr="00155205">
        <w:rPr>
          <w:rFonts w:ascii="Times New Roman" w:hAnsi="Times New Roman"/>
          <w:noProof/>
          <w:u w:val="single"/>
          <w:lang w:eastAsia="sk-SK"/>
        </w:rPr>
        <w:t>Mechanizmus účink</w:t>
      </w:r>
      <w:r w:rsidR="009339B1" w:rsidRPr="00155205">
        <w:rPr>
          <w:rFonts w:ascii="Times New Roman" w:hAnsi="Times New Roman"/>
          <w:noProof/>
          <w:u w:val="single"/>
          <w:lang w:eastAsia="sk-SK"/>
        </w:rPr>
        <w:t>u</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je perorálne aktívny a špecifický antagonista receptor</w:t>
      </w:r>
      <w:r w:rsidR="00B710A8" w:rsidRPr="00155205">
        <w:rPr>
          <w:rFonts w:ascii="Times New Roman" w:eastAsia="Times New Roman" w:hAnsi="Times New Roman"/>
          <w:lang w:eastAsia="sk-SK"/>
        </w:rPr>
        <w:t>ov</w:t>
      </w:r>
      <w:r w:rsidRPr="00155205">
        <w:rPr>
          <w:rFonts w:ascii="Times New Roman" w:eastAsia="Times New Roman" w:hAnsi="Times New Roman"/>
          <w:lang w:eastAsia="sk-SK"/>
        </w:rPr>
        <w:t xml:space="preserve"> angiotenzínu II (typ AT</w:t>
      </w:r>
      <w:r w:rsidRPr="00155205">
        <w:rPr>
          <w:rFonts w:ascii="Times New Roman" w:eastAsia="Times New Roman" w:hAnsi="Times New Roman"/>
          <w:vertAlign w:val="subscript"/>
          <w:lang w:eastAsia="sk-SK"/>
        </w:rPr>
        <w:t>1</w:t>
      </w:r>
      <w:r w:rsidRPr="00155205">
        <w:rPr>
          <w:rFonts w:ascii="Times New Roman" w:eastAsia="Times New Roman" w:hAnsi="Times New Roman"/>
          <w:lang w:eastAsia="sk-SK"/>
        </w:rPr>
        <w:t>).</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vytesňuje angiotenzín II s veľmi vysokou afinitou z jeho väzbového miesta na subtype receptora AT</w:t>
      </w:r>
      <w:r w:rsidRPr="00155205">
        <w:rPr>
          <w:rFonts w:ascii="Times New Roman" w:eastAsia="Times New Roman" w:hAnsi="Times New Roman"/>
          <w:vertAlign w:val="subscript"/>
          <w:lang w:eastAsia="sk-SK"/>
        </w:rPr>
        <w:t>1</w:t>
      </w:r>
      <w:r w:rsidRPr="00155205">
        <w:rPr>
          <w:rFonts w:ascii="Times New Roman" w:eastAsia="Times New Roman" w:hAnsi="Times New Roman"/>
          <w:lang w:eastAsia="sk-SK"/>
        </w:rPr>
        <w:t xml:space="preserve">, ktorý je zodpovedný za známe </w:t>
      </w:r>
      <w:r w:rsidR="00C4647C" w:rsidRPr="00155205">
        <w:rPr>
          <w:rFonts w:ascii="Times New Roman" w:eastAsia="Times New Roman" w:hAnsi="Times New Roman"/>
          <w:lang w:eastAsia="sk-SK"/>
        </w:rPr>
        <w:t>účinky</w:t>
      </w:r>
      <w:r w:rsidRPr="00155205">
        <w:rPr>
          <w:rFonts w:ascii="Times New Roman" w:eastAsia="Times New Roman" w:hAnsi="Times New Roman"/>
          <w:lang w:eastAsia="sk-SK"/>
        </w:rPr>
        <w:t xml:space="preserve"> angiotenzínu II. Telmisartan nejaví žiadnu parciálnu agonistickú </w:t>
      </w:r>
      <w:r w:rsidR="00C4647C" w:rsidRPr="00155205">
        <w:rPr>
          <w:rFonts w:ascii="Times New Roman" w:eastAsia="Times New Roman" w:hAnsi="Times New Roman"/>
          <w:lang w:eastAsia="sk-SK"/>
        </w:rPr>
        <w:t>aktivitu</w:t>
      </w:r>
      <w:r w:rsidRPr="00155205">
        <w:rPr>
          <w:rFonts w:ascii="Times New Roman" w:eastAsia="Times New Roman" w:hAnsi="Times New Roman"/>
          <w:lang w:eastAsia="sk-SK"/>
        </w:rPr>
        <w:t xml:space="preserve"> na AT</w:t>
      </w:r>
      <w:r w:rsidRPr="00155205">
        <w:rPr>
          <w:rFonts w:ascii="Times New Roman" w:eastAsia="Times New Roman" w:hAnsi="Times New Roman"/>
          <w:vertAlign w:val="subscript"/>
          <w:lang w:eastAsia="sk-SK"/>
        </w:rPr>
        <w:t>1</w:t>
      </w:r>
      <w:r w:rsidRPr="00155205">
        <w:rPr>
          <w:rFonts w:ascii="Times New Roman" w:eastAsia="Times New Roman" w:hAnsi="Times New Roman"/>
          <w:lang w:eastAsia="sk-SK"/>
        </w:rPr>
        <w:t xml:space="preserve"> receptor</w:t>
      </w:r>
      <w:r w:rsidR="00C4647C" w:rsidRPr="00155205">
        <w:rPr>
          <w:rFonts w:ascii="Times New Roman" w:eastAsia="Times New Roman" w:hAnsi="Times New Roman"/>
          <w:lang w:eastAsia="sk-SK"/>
        </w:rPr>
        <w:t>e</w:t>
      </w:r>
      <w:r w:rsidRPr="00155205">
        <w:rPr>
          <w:rFonts w:ascii="Times New Roman" w:eastAsia="Times New Roman" w:hAnsi="Times New Roman"/>
          <w:lang w:eastAsia="sk-SK"/>
        </w:rPr>
        <w:t>. Telmisartan sa selektívne viaže na AT</w:t>
      </w:r>
      <w:r w:rsidRPr="00155205">
        <w:rPr>
          <w:rFonts w:ascii="Times New Roman" w:eastAsia="Times New Roman" w:hAnsi="Times New Roman"/>
          <w:vertAlign w:val="subscript"/>
          <w:lang w:eastAsia="sk-SK"/>
        </w:rPr>
        <w:t>1</w:t>
      </w:r>
      <w:r w:rsidRPr="00155205">
        <w:rPr>
          <w:rFonts w:ascii="Times New Roman" w:eastAsia="Times New Roman" w:hAnsi="Times New Roman"/>
          <w:lang w:eastAsia="sk-SK"/>
        </w:rPr>
        <w:t xml:space="preserve"> receptor. Táto väzba je dlhodobá. Telmisartan nevykazuje afinitu k iným receptorom vrátane AT</w:t>
      </w:r>
      <w:r w:rsidRPr="00155205">
        <w:rPr>
          <w:rFonts w:ascii="Times New Roman" w:eastAsia="Times New Roman" w:hAnsi="Times New Roman"/>
          <w:vertAlign w:val="subscript"/>
          <w:lang w:eastAsia="sk-SK"/>
        </w:rPr>
        <w:t xml:space="preserve">2 </w:t>
      </w:r>
      <w:r w:rsidRPr="00155205">
        <w:rPr>
          <w:rFonts w:ascii="Times New Roman" w:eastAsia="Times New Roman" w:hAnsi="Times New Roman"/>
          <w:lang w:eastAsia="sk-SK"/>
        </w:rPr>
        <w:t>a iným menej charakterizovaným AT receptorom. Funkčná úloha týchto receptorov nie je známa, ani účinok ich možnej nadmernej stimulácie angiotenzínom II, ktorého hladiny sa zvyšujú telmisartanom. Plazmatické hladiny aldosterónu sa telmisartanom znižujú. Telmisartan neinhibuje ľudský plazmatický renín ani neblokuje iónové kanály. Telmisartan neinhibuje enzým konvertujúci angiotenzín (kininázu II), enzým, ktorý taktiež odbúrava bradykinín. Preto sa neočakáva, že sa zosilnia bradykinínom sprostredkované nežiaduce účinky.</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U ľudí 80 mg dávka telmisartanu takmer úplne inhibuje angiotenzínom II vyvolané zvýšenie tlaku krvi. Inhibičný účinok </w:t>
      </w:r>
      <w:r w:rsidR="00C4647C" w:rsidRPr="00155205">
        <w:rPr>
          <w:rFonts w:ascii="Times New Roman" w:eastAsia="Times New Roman" w:hAnsi="Times New Roman"/>
          <w:lang w:eastAsia="sk-SK"/>
        </w:rPr>
        <w:t>je</w:t>
      </w:r>
      <w:r w:rsidRPr="00155205">
        <w:rPr>
          <w:rFonts w:ascii="Times New Roman" w:eastAsia="Times New Roman" w:hAnsi="Times New Roman"/>
          <w:lang w:eastAsia="sk-SK"/>
        </w:rPr>
        <w:t xml:space="preserve"> zachov</w:t>
      </w:r>
      <w:r w:rsidR="00C4647C" w:rsidRPr="00155205">
        <w:rPr>
          <w:rFonts w:ascii="Times New Roman" w:eastAsia="Times New Roman" w:hAnsi="Times New Roman"/>
          <w:lang w:eastAsia="sk-SK"/>
        </w:rPr>
        <w:t>aný</w:t>
      </w:r>
      <w:r w:rsidRPr="00155205">
        <w:rPr>
          <w:rFonts w:ascii="Times New Roman" w:eastAsia="Times New Roman" w:hAnsi="Times New Roman"/>
          <w:lang w:eastAsia="sk-SK"/>
        </w:rPr>
        <w:t xml:space="preserve"> v priebehu 24 hodín a je merateľný </w:t>
      </w:r>
      <w:r w:rsidR="00C4647C" w:rsidRPr="00155205">
        <w:rPr>
          <w:rFonts w:ascii="Times New Roman" w:eastAsia="Times New Roman" w:hAnsi="Times New Roman"/>
          <w:lang w:eastAsia="sk-SK"/>
        </w:rPr>
        <w:t xml:space="preserve">až </w:t>
      </w:r>
      <w:r w:rsidRPr="00155205">
        <w:rPr>
          <w:rFonts w:ascii="Times New Roman" w:eastAsia="Times New Roman" w:hAnsi="Times New Roman"/>
          <w:lang w:eastAsia="sk-SK"/>
        </w:rPr>
        <w:t>do 48 hodín.</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Klinická účinnosť a bezpečnosť</w:t>
      </w:r>
    </w:p>
    <w:p w:rsidR="00C4647C" w:rsidRPr="00155205" w:rsidRDefault="00C4647C" w:rsidP="00A95EEC">
      <w:pPr>
        <w:autoSpaceDE w:val="0"/>
        <w:autoSpaceDN w:val="0"/>
        <w:adjustRightInd w:val="0"/>
        <w:spacing w:after="0" w:line="240" w:lineRule="auto"/>
        <w:rPr>
          <w:rFonts w:ascii="Times New Roman" w:eastAsia="Times New Roman" w:hAnsi="Times New Roman"/>
          <w:lang w:eastAsia="sk-SK"/>
        </w:rPr>
      </w:pPr>
    </w:p>
    <w:p w:rsidR="00C4647C" w:rsidRPr="00155205" w:rsidRDefault="00C4647C" w:rsidP="00A95EEC">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Liečba esenciálnej hypertenzie</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 prvej dávke telmisartanu sa antihypertenzná aktivita postupne prejavuje v priebehu 3 hodín.</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Maximálne zníženie tlaku krvi sa zvyčajne dosiahne za 4 až 8 týždňov od začiatku liečby a pretrváva počas dlhodobej liečby.</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Ako sa ukázalo pri ambulantných meraniach krvného tlaku, antihypertenzný účinok pretrváva konštantne počas 24 hodín po podaní dávky vrátane posledných 4 hodín pred ďalšou dávkou. Toto potvrdzuj</w:t>
      </w:r>
      <w:r w:rsidR="009B410B" w:rsidRPr="00155205">
        <w:rPr>
          <w:rFonts w:ascii="Times New Roman" w:eastAsia="Times New Roman" w:hAnsi="Times New Roman"/>
          <w:lang w:eastAsia="sk-SK"/>
        </w:rPr>
        <w:t>ú</w:t>
      </w:r>
      <w:r w:rsidR="003B440C" w:rsidRPr="00155205">
        <w:rPr>
          <w:rFonts w:ascii="Times New Roman" w:eastAsia="Times New Roman" w:hAnsi="Times New Roman"/>
          <w:lang w:eastAsia="sk-SK"/>
        </w:rPr>
        <w:t xml:space="preserve"> pomer</w:t>
      </w:r>
      <w:r w:rsidR="009B410B" w:rsidRPr="00155205">
        <w:rPr>
          <w:rFonts w:ascii="Times New Roman" w:eastAsia="Times New Roman" w:hAnsi="Times New Roman"/>
          <w:lang w:eastAsia="sk-SK"/>
        </w:rPr>
        <w:t>y</w:t>
      </w:r>
      <w:r w:rsidRPr="00155205">
        <w:rPr>
          <w:rFonts w:ascii="Times New Roman" w:eastAsia="Times New Roman" w:hAnsi="Times New Roman"/>
          <w:lang w:eastAsia="sk-SK"/>
        </w:rPr>
        <w:t xml:space="preserve"> najnižšej a najvyššej koncentrácie, ktoré sú trvalo nad 80 % po dávkach 40 a 80 mg telmisartanu v placebom kontrolovaných klinických skúšaniach. </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Je zrejmý vzťah dávky k času návratu na </w:t>
      </w:r>
      <w:r w:rsidR="003B440C" w:rsidRPr="00155205">
        <w:rPr>
          <w:rFonts w:ascii="Times New Roman" w:eastAsia="Times New Roman" w:hAnsi="Times New Roman"/>
          <w:lang w:eastAsia="sk-SK"/>
        </w:rPr>
        <w:t>východiskovú hodnotu</w:t>
      </w:r>
      <w:r w:rsidRPr="00155205">
        <w:rPr>
          <w:rFonts w:ascii="Times New Roman" w:eastAsia="Times New Roman" w:hAnsi="Times New Roman"/>
          <w:lang w:eastAsia="sk-SK"/>
        </w:rPr>
        <w:t xml:space="preserve"> systolického tlaku krvi (STK). Z tohto hľadiska sú údaje týkajúce sa diastolického tlaku krvi (DTK) rozporné.</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U pacientov s hypertenziou telmisartan znižuje tak systolický, ako aj diastolický tlak krvi bez ovplyvnenia tepovej frekvencie. </w:t>
      </w:r>
      <w:r w:rsidR="00E729CB" w:rsidRPr="00155205">
        <w:rPr>
          <w:rFonts w:ascii="Times New Roman" w:eastAsia="Times New Roman" w:hAnsi="Times New Roman"/>
          <w:lang w:eastAsia="sk-SK"/>
        </w:rPr>
        <w:t>Prínos d</w:t>
      </w:r>
      <w:r w:rsidRPr="00155205">
        <w:rPr>
          <w:rFonts w:ascii="Times New Roman" w:eastAsia="Times New Roman" w:hAnsi="Times New Roman"/>
          <w:lang w:eastAsia="sk-SK"/>
        </w:rPr>
        <w:t>iuretick</w:t>
      </w:r>
      <w:r w:rsidR="00E729CB" w:rsidRPr="00155205">
        <w:rPr>
          <w:rFonts w:ascii="Times New Roman" w:eastAsia="Times New Roman" w:hAnsi="Times New Roman"/>
          <w:lang w:eastAsia="sk-SK"/>
        </w:rPr>
        <w:t>ého</w:t>
      </w:r>
      <w:r w:rsidRPr="00155205">
        <w:rPr>
          <w:rFonts w:ascii="Times New Roman" w:eastAsia="Times New Roman" w:hAnsi="Times New Roman"/>
          <w:lang w:eastAsia="sk-SK"/>
        </w:rPr>
        <w:t xml:space="preserve"> a natriuretick</w:t>
      </w:r>
      <w:r w:rsidR="00E729CB" w:rsidRPr="00155205">
        <w:rPr>
          <w:rFonts w:ascii="Times New Roman" w:eastAsia="Times New Roman" w:hAnsi="Times New Roman"/>
          <w:lang w:eastAsia="sk-SK"/>
        </w:rPr>
        <w:t>ého</w:t>
      </w:r>
      <w:r w:rsidRPr="00155205">
        <w:rPr>
          <w:rFonts w:ascii="Times New Roman" w:eastAsia="Times New Roman" w:hAnsi="Times New Roman"/>
          <w:lang w:eastAsia="sk-SK"/>
        </w:rPr>
        <w:t xml:space="preserve"> účink</w:t>
      </w:r>
      <w:r w:rsidR="00E729CB" w:rsidRPr="00155205">
        <w:rPr>
          <w:rFonts w:ascii="Times New Roman" w:eastAsia="Times New Roman" w:hAnsi="Times New Roman"/>
          <w:lang w:eastAsia="sk-SK"/>
        </w:rPr>
        <w:t>u</w:t>
      </w:r>
      <w:r w:rsidRPr="00155205">
        <w:rPr>
          <w:rFonts w:ascii="Times New Roman" w:eastAsia="Times New Roman" w:hAnsi="Times New Roman"/>
          <w:lang w:eastAsia="sk-SK"/>
        </w:rPr>
        <w:t xml:space="preserve"> lieku k jeho hypotenznému pôsobeniu </w:t>
      </w:r>
      <w:r w:rsidR="00C110BA" w:rsidRPr="00155205">
        <w:rPr>
          <w:rFonts w:ascii="Times New Roman" w:eastAsia="Times New Roman" w:hAnsi="Times New Roman"/>
          <w:lang w:eastAsia="sk-SK"/>
        </w:rPr>
        <w:t xml:space="preserve">je stále potrebné </w:t>
      </w:r>
      <w:r w:rsidR="00EB61E7" w:rsidRPr="00155205">
        <w:rPr>
          <w:rFonts w:ascii="Times New Roman" w:eastAsia="Times New Roman" w:hAnsi="Times New Roman"/>
          <w:lang w:eastAsia="sk-SK"/>
        </w:rPr>
        <w:t>definovať</w:t>
      </w:r>
      <w:r w:rsidRPr="00155205">
        <w:rPr>
          <w:rFonts w:ascii="Times New Roman" w:eastAsia="Times New Roman" w:hAnsi="Times New Roman"/>
          <w:lang w:eastAsia="sk-SK"/>
        </w:rPr>
        <w:t>. Antihypertenzná účinnosť telmisartanu je porovnateľná s účinnosťou predstaviteľov iných tried antihypertenzív (</w:t>
      </w:r>
      <w:r w:rsidR="009B410B" w:rsidRPr="00155205">
        <w:rPr>
          <w:rFonts w:ascii="Times New Roman" w:eastAsia="Times New Roman" w:hAnsi="Times New Roman"/>
          <w:lang w:eastAsia="sk-SK"/>
        </w:rPr>
        <w:t>bola preukázaná</w:t>
      </w:r>
      <w:r w:rsidRPr="00155205">
        <w:rPr>
          <w:rFonts w:ascii="Times New Roman" w:eastAsia="Times New Roman" w:hAnsi="Times New Roman"/>
          <w:lang w:eastAsia="sk-SK"/>
        </w:rPr>
        <w:t xml:space="preserve"> v klinických skúšaniach porovnávajúcich telmisartan s amlodipínom, atenololom, enalaprilom, hydrochlorotiazidom a lizinoprilom).</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Po náhlom  prerušení liečby telmisartanom sa krvný tlak postupne vracia na hodnoty pred liečbou v priebehu niekoľkých dní bez </w:t>
      </w:r>
      <w:r w:rsidR="004612A0" w:rsidRPr="00155205">
        <w:rPr>
          <w:rFonts w:ascii="Times New Roman" w:eastAsia="Times New Roman" w:hAnsi="Times New Roman"/>
          <w:lang w:eastAsia="sk-SK"/>
        </w:rPr>
        <w:t>prejavov</w:t>
      </w:r>
      <w:r w:rsidRPr="00155205">
        <w:rPr>
          <w:rFonts w:ascii="Times New Roman" w:eastAsia="Times New Roman" w:hAnsi="Times New Roman"/>
          <w:lang w:eastAsia="sk-SK"/>
        </w:rPr>
        <w:t xml:space="preserve"> </w:t>
      </w:r>
      <w:r w:rsidR="004612A0" w:rsidRPr="00155205">
        <w:rPr>
          <w:rFonts w:ascii="Times New Roman" w:eastAsia="Times New Roman" w:hAnsi="Times New Roman"/>
          <w:lang w:eastAsia="sk-SK"/>
        </w:rPr>
        <w:t>„</w:t>
      </w:r>
      <w:r w:rsidRPr="00155205">
        <w:rPr>
          <w:rFonts w:ascii="Times New Roman" w:eastAsia="Times New Roman" w:hAnsi="Times New Roman"/>
          <w:lang w:eastAsia="sk-SK"/>
        </w:rPr>
        <w:t xml:space="preserve">rebound </w:t>
      </w:r>
      <w:r w:rsidR="004612A0" w:rsidRPr="00155205">
        <w:rPr>
          <w:rFonts w:ascii="Times New Roman" w:eastAsia="Times New Roman" w:hAnsi="Times New Roman"/>
          <w:lang w:eastAsia="sk-SK"/>
        </w:rPr>
        <w:t xml:space="preserve">efektu“ </w:t>
      </w:r>
      <w:r w:rsidRPr="00155205">
        <w:rPr>
          <w:rFonts w:ascii="Times New Roman" w:eastAsia="Times New Roman" w:hAnsi="Times New Roman"/>
          <w:lang w:eastAsia="sk-SK"/>
        </w:rPr>
        <w:t>hypertenzie.</w:t>
      </w: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p>
    <w:p w:rsidR="00A95EEC" w:rsidRPr="00155205" w:rsidRDefault="00A95EEC" w:rsidP="00A95EEC">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Výskyt suchého kašľa bol signifikantne nižší u pacientov liečených telmisartanom ako u tých, ktorí užívali inhibítory enzýmu konvertujúceho angiotenzín v klinických skúšaniach priamo porovnávajúcich tieto dve antihypertenz</w:t>
      </w:r>
      <w:r w:rsidR="003D1CAE" w:rsidRPr="00155205">
        <w:rPr>
          <w:rFonts w:ascii="Times New Roman" w:eastAsia="Times New Roman" w:hAnsi="Times New Roman"/>
          <w:lang w:eastAsia="sk-SK"/>
        </w:rPr>
        <w:t>ívne</w:t>
      </w:r>
      <w:r w:rsidRPr="00155205">
        <w:rPr>
          <w:rFonts w:ascii="Times New Roman" w:eastAsia="Times New Roman" w:hAnsi="Times New Roman"/>
          <w:lang w:eastAsia="sk-SK"/>
        </w:rPr>
        <w:t xml:space="preserve"> liečby.</w:t>
      </w:r>
    </w:p>
    <w:p w:rsidR="00A95EEC" w:rsidRPr="00155205" w:rsidRDefault="00A95EEC" w:rsidP="00FD2D5B">
      <w:pPr>
        <w:spacing w:after="0" w:line="240" w:lineRule="auto"/>
        <w:rPr>
          <w:rFonts w:ascii="Times New Roman" w:hAnsi="Times New Roman"/>
          <w:i/>
          <w:noProof/>
          <w:lang w:eastAsia="sk-SK"/>
        </w:rPr>
      </w:pPr>
    </w:p>
    <w:p w:rsidR="00143112" w:rsidRPr="00155205" w:rsidRDefault="00143112" w:rsidP="00A95EEC">
      <w:pPr>
        <w:autoSpaceDE w:val="0"/>
        <w:autoSpaceDN w:val="0"/>
        <w:adjustRightInd w:val="0"/>
        <w:spacing w:after="0" w:line="240" w:lineRule="auto"/>
        <w:rPr>
          <w:rFonts w:ascii="Times New Roman" w:eastAsia="Times New Roman" w:hAnsi="Times New Roman"/>
          <w:color w:val="000000"/>
          <w:u w:val="single"/>
        </w:rPr>
      </w:pPr>
      <w:r w:rsidRPr="00155205">
        <w:rPr>
          <w:rFonts w:ascii="Times New Roman" w:eastAsia="Times New Roman" w:hAnsi="Times New Roman"/>
          <w:color w:val="000000"/>
          <w:u w:val="single"/>
        </w:rPr>
        <w:t>Kardiovaskulárna prevencia</w:t>
      </w:r>
    </w:p>
    <w:p w:rsidR="00143112" w:rsidRPr="00155205" w:rsidRDefault="00143112" w:rsidP="00A95EEC">
      <w:pPr>
        <w:autoSpaceDE w:val="0"/>
        <w:autoSpaceDN w:val="0"/>
        <w:adjustRightInd w:val="0"/>
        <w:spacing w:after="0" w:line="240" w:lineRule="auto"/>
        <w:rPr>
          <w:rFonts w:ascii="Times New Roman" w:eastAsia="Times New Roman" w:hAnsi="Times New Roman"/>
          <w:color w:val="000000"/>
        </w:rPr>
      </w:pPr>
    </w:p>
    <w:p w:rsidR="00934350" w:rsidRPr="00155205" w:rsidRDefault="00934350" w:rsidP="00934350">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bCs/>
          <w:lang w:eastAsia="sl-SI"/>
        </w:rPr>
        <w:t xml:space="preserve">ONTARGET </w:t>
      </w:r>
      <w:r w:rsidRPr="00155205">
        <w:rPr>
          <w:rFonts w:ascii="Times New Roman" w:eastAsia="Times New Roman" w:hAnsi="Times New Roman"/>
          <w:lang w:eastAsia="sl-SI"/>
        </w:rPr>
        <w:t>štúdia (</w:t>
      </w:r>
      <w:r w:rsidRPr="00155205">
        <w:rPr>
          <w:rFonts w:ascii="Times New Roman" w:eastAsia="Times New Roman" w:hAnsi="Times New Roman"/>
          <w:b/>
          <w:bCs/>
          <w:lang w:eastAsia="sl-SI"/>
        </w:rPr>
        <w:t>ON</w:t>
      </w:r>
      <w:r w:rsidRPr="00155205">
        <w:rPr>
          <w:rFonts w:ascii="Times New Roman" w:eastAsia="Times New Roman" w:hAnsi="Times New Roman"/>
          <w:lang w:eastAsia="sl-SI"/>
        </w:rPr>
        <w:t xml:space="preserve">going </w:t>
      </w:r>
      <w:r w:rsidRPr="00155205">
        <w:rPr>
          <w:rFonts w:ascii="Times New Roman" w:eastAsia="Times New Roman" w:hAnsi="Times New Roman"/>
          <w:b/>
          <w:bCs/>
          <w:lang w:eastAsia="sl-SI"/>
        </w:rPr>
        <w:t>T</w:t>
      </w:r>
      <w:r w:rsidRPr="00155205">
        <w:rPr>
          <w:rFonts w:ascii="Times New Roman" w:eastAsia="Times New Roman" w:hAnsi="Times New Roman"/>
          <w:lang w:eastAsia="sl-SI"/>
        </w:rPr>
        <w:t xml:space="preserve">elmisartan </w:t>
      </w:r>
      <w:r w:rsidRPr="00155205">
        <w:rPr>
          <w:rFonts w:ascii="Times New Roman" w:eastAsia="Times New Roman" w:hAnsi="Times New Roman"/>
          <w:b/>
          <w:bCs/>
          <w:lang w:eastAsia="sl-SI"/>
        </w:rPr>
        <w:t>A</w:t>
      </w:r>
      <w:r w:rsidRPr="00155205">
        <w:rPr>
          <w:rFonts w:ascii="Times New Roman" w:eastAsia="Times New Roman" w:hAnsi="Times New Roman"/>
          <w:lang w:eastAsia="sl-SI"/>
        </w:rPr>
        <w:t xml:space="preserve">lone and in Combination with </w:t>
      </w:r>
      <w:r w:rsidRPr="00155205">
        <w:rPr>
          <w:rFonts w:ascii="Times New Roman" w:eastAsia="Times New Roman" w:hAnsi="Times New Roman"/>
          <w:b/>
          <w:bCs/>
          <w:lang w:eastAsia="sl-SI"/>
        </w:rPr>
        <w:t>R</w:t>
      </w:r>
      <w:r w:rsidRPr="00155205">
        <w:rPr>
          <w:rFonts w:ascii="Times New Roman" w:eastAsia="Times New Roman" w:hAnsi="Times New Roman"/>
          <w:lang w:eastAsia="sl-SI"/>
        </w:rPr>
        <w:t xml:space="preserve">amipril </w:t>
      </w:r>
      <w:r w:rsidRPr="00155205">
        <w:rPr>
          <w:rFonts w:ascii="Times New Roman" w:eastAsia="Times New Roman" w:hAnsi="Times New Roman"/>
          <w:b/>
          <w:bCs/>
          <w:lang w:eastAsia="sl-SI"/>
        </w:rPr>
        <w:t>G</w:t>
      </w:r>
      <w:r w:rsidRPr="00155205">
        <w:rPr>
          <w:rFonts w:ascii="Times New Roman" w:eastAsia="Times New Roman" w:hAnsi="Times New Roman"/>
          <w:lang w:eastAsia="sl-SI"/>
        </w:rPr>
        <w:t xml:space="preserve">lobal </w:t>
      </w:r>
      <w:r w:rsidRPr="00155205">
        <w:rPr>
          <w:rFonts w:ascii="Times New Roman" w:eastAsia="Times New Roman" w:hAnsi="Times New Roman"/>
          <w:b/>
          <w:bCs/>
          <w:lang w:eastAsia="sl-SI"/>
        </w:rPr>
        <w:t>E</w:t>
      </w:r>
      <w:r w:rsidRPr="00155205">
        <w:rPr>
          <w:rFonts w:ascii="Times New Roman" w:eastAsia="Times New Roman" w:hAnsi="Times New Roman"/>
          <w:lang w:eastAsia="sl-SI"/>
        </w:rPr>
        <w:t xml:space="preserve">ndpoint </w:t>
      </w:r>
      <w:r w:rsidRPr="00155205">
        <w:rPr>
          <w:rFonts w:ascii="Times New Roman" w:eastAsia="Times New Roman" w:hAnsi="Times New Roman"/>
          <w:b/>
          <w:bCs/>
          <w:lang w:eastAsia="sl-SI"/>
        </w:rPr>
        <w:t>T</w:t>
      </w:r>
      <w:r w:rsidRPr="00155205">
        <w:rPr>
          <w:rFonts w:ascii="Times New Roman" w:eastAsia="Times New Roman" w:hAnsi="Times New Roman"/>
          <w:lang w:eastAsia="sl-SI"/>
        </w:rPr>
        <w:t>rial) porovnávala účinky telmisartanu, ramiprilu a kombinácie telmisartanu s ramiprilom na kardiovaskulárne ukazovatele u 25 620 pacientov vo veku 55 rokov alebo starších s anamnézou ochorenia koronárnych artérií, mozgovej príhody, TIA (tranzitórneho ischemického ataku), periférneho arteriálneho ochorenia alebo diabetu mellitus 2. typu sprevádzaného prejavmi poškodenia cieľových orgánov (t.j. retinopatia, hypertrofia ľavej komory, makro- alebo mikroalbuminúria), čo je populácia pacientov s vysokým kardiovaskulárnym rizikom.</w:t>
      </w:r>
    </w:p>
    <w:p w:rsidR="00934350" w:rsidRPr="00155205" w:rsidRDefault="00934350" w:rsidP="00934350">
      <w:pPr>
        <w:widowControl w:val="0"/>
        <w:autoSpaceDE w:val="0"/>
        <w:autoSpaceDN w:val="0"/>
        <w:adjustRightInd w:val="0"/>
        <w:spacing w:after="0" w:line="240" w:lineRule="auto"/>
        <w:rPr>
          <w:rFonts w:ascii="Times New Roman" w:eastAsia="Times New Roman" w:hAnsi="Times New Roman"/>
          <w:lang w:eastAsia="sl-SI"/>
        </w:rPr>
      </w:pPr>
    </w:p>
    <w:p w:rsidR="00934350" w:rsidRPr="00155205" w:rsidRDefault="00934350" w:rsidP="00934350">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Pacienti boli randomizovaní do jednej z troch nasledovných liečebných skupín: telmisartan 80 mg (n=8 542), ramipril 10 mg (n=8 576) alebo kombinácia telmisartanu 80 mg s ramiprilom 10 mg (n=8 502) a následne boli sledovaní priemerne počas obdobia 4,5 roka.</w:t>
      </w:r>
    </w:p>
    <w:p w:rsidR="00934350" w:rsidRPr="00155205" w:rsidRDefault="00934350" w:rsidP="00934350">
      <w:pPr>
        <w:widowControl w:val="0"/>
        <w:autoSpaceDE w:val="0"/>
        <w:autoSpaceDN w:val="0"/>
        <w:adjustRightInd w:val="0"/>
        <w:spacing w:after="0" w:line="240" w:lineRule="auto"/>
        <w:rPr>
          <w:rFonts w:ascii="Times New Roman" w:eastAsia="Times New Roman" w:hAnsi="Times New Roman"/>
          <w:lang w:eastAsia="sl-SI"/>
        </w:rPr>
      </w:pPr>
    </w:p>
    <w:p w:rsidR="0092324B" w:rsidRPr="00155205" w:rsidRDefault="0092324B" w:rsidP="0092324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 xml:space="preserve">Telmisartan preukázal podobnú účinnosť ako ramipril pri znižovaní primárnych kompozitných cieľových ukazovateľov kardiovaskulárnej smrti, nefatálneho infarktu myokardu a nefatálnej mozgovej príhody alebo hospitalizácie z dôvodu kongestívneho srdcového zlyhania. Incidencia primárnych ukazovateľov bola podobná v skupine pacientov liečených telmisartanom (16,7 %) a ramiprilom (16,5 %). Pomer rizika telmisartanu v porovnaní s ramiprilom bol 1,01 (97,5 % CI 0,93-1,10; p (non-inferiority) =0,0019 pri hranici 1,13). </w:t>
      </w:r>
      <w:r w:rsidR="00DE798B" w:rsidRPr="00155205">
        <w:rPr>
          <w:rFonts w:ascii="Times New Roman" w:eastAsia="Times New Roman" w:hAnsi="Times New Roman"/>
          <w:lang w:eastAsia="sl-SI"/>
        </w:rPr>
        <w:t>Miera</w:t>
      </w:r>
      <w:r w:rsidRPr="00155205">
        <w:rPr>
          <w:rFonts w:ascii="Times New Roman" w:eastAsia="Times New Roman" w:hAnsi="Times New Roman"/>
          <w:lang w:eastAsia="sl-SI"/>
        </w:rPr>
        <w:t xml:space="preserve"> mortality </w:t>
      </w:r>
      <w:r w:rsidR="00DE798B" w:rsidRPr="00155205">
        <w:rPr>
          <w:rFonts w:ascii="Times New Roman" w:eastAsia="Times New Roman" w:hAnsi="Times New Roman"/>
          <w:lang w:eastAsia="sl-SI"/>
        </w:rPr>
        <w:t xml:space="preserve">zo všetkých príčin </w:t>
      </w:r>
      <w:r w:rsidRPr="00155205">
        <w:rPr>
          <w:rFonts w:ascii="Times New Roman" w:eastAsia="Times New Roman" w:hAnsi="Times New Roman"/>
          <w:lang w:eastAsia="sl-SI"/>
        </w:rPr>
        <w:t>bol</w:t>
      </w:r>
      <w:r w:rsidR="00DE798B" w:rsidRPr="00155205">
        <w:rPr>
          <w:rFonts w:ascii="Times New Roman" w:eastAsia="Times New Roman" w:hAnsi="Times New Roman"/>
          <w:lang w:eastAsia="sl-SI"/>
        </w:rPr>
        <w:t>a</w:t>
      </w:r>
      <w:r w:rsidRPr="00155205">
        <w:rPr>
          <w:rFonts w:ascii="Times New Roman" w:eastAsia="Times New Roman" w:hAnsi="Times New Roman"/>
          <w:lang w:eastAsia="sl-SI"/>
        </w:rPr>
        <w:t xml:space="preserve"> 11,6 % a 11,8 % medzi pacientmi liečenými telmisartanom a</w:t>
      </w:r>
      <w:r w:rsidR="009B404A" w:rsidRPr="00155205">
        <w:rPr>
          <w:rFonts w:ascii="Times New Roman" w:eastAsia="Times New Roman" w:hAnsi="Times New Roman"/>
          <w:lang w:eastAsia="sl-SI"/>
        </w:rPr>
        <w:t> </w:t>
      </w:r>
      <w:r w:rsidRPr="00155205">
        <w:rPr>
          <w:rFonts w:ascii="Times New Roman" w:eastAsia="Times New Roman" w:hAnsi="Times New Roman"/>
          <w:lang w:eastAsia="sl-SI"/>
        </w:rPr>
        <w:t>ramiprilom</w:t>
      </w:r>
      <w:r w:rsidR="009B404A" w:rsidRPr="00155205">
        <w:rPr>
          <w:rFonts w:ascii="Times New Roman" w:eastAsia="Times New Roman" w:hAnsi="Times New Roman"/>
          <w:lang w:eastAsia="sl-SI"/>
        </w:rPr>
        <w:t>,</w:t>
      </w:r>
      <w:r w:rsidR="00DE798B" w:rsidRPr="00155205">
        <w:rPr>
          <w:rFonts w:ascii="Times New Roman" w:eastAsia="Times New Roman" w:hAnsi="Times New Roman"/>
          <w:lang w:eastAsia="sl-SI"/>
        </w:rPr>
        <w:t xml:space="preserve"> v uvedenom poradí</w:t>
      </w:r>
      <w:r w:rsidRPr="00155205">
        <w:rPr>
          <w:rFonts w:ascii="Times New Roman" w:eastAsia="Times New Roman" w:hAnsi="Times New Roman"/>
          <w:lang w:eastAsia="sl-SI"/>
        </w:rPr>
        <w:t>.</w:t>
      </w:r>
    </w:p>
    <w:p w:rsidR="00DE798B" w:rsidRPr="00155205" w:rsidRDefault="00DE798B" w:rsidP="0092324B">
      <w:pPr>
        <w:widowControl w:val="0"/>
        <w:autoSpaceDE w:val="0"/>
        <w:autoSpaceDN w:val="0"/>
        <w:adjustRightInd w:val="0"/>
        <w:spacing w:after="0" w:line="240" w:lineRule="auto"/>
        <w:rPr>
          <w:rFonts w:ascii="Times New Roman" w:eastAsia="Times New Roman" w:hAnsi="Times New Roman"/>
          <w:lang w:eastAsia="sl-SI"/>
        </w:rPr>
      </w:pPr>
    </w:p>
    <w:p w:rsidR="0092324B" w:rsidRPr="00155205" w:rsidRDefault="0092324B" w:rsidP="0092324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 xml:space="preserve">Pri telmisartane bola zistená podobná účinnosť ako pri ramiprile v predšpecifikovaných sekundárnych </w:t>
      </w:r>
      <w:r w:rsidR="00C75D46" w:rsidRPr="00155205">
        <w:rPr>
          <w:rFonts w:ascii="Times New Roman" w:eastAsia="Times New Roman" w:hAnsi="Times New Roman"/>
          <w:lang w:eastAsia="sl-SI"/>
        </w:rPr>
        <w:t>cieľový</w:t>
      </w:r>
      <w:r w:rsidR="00DE798B" w:rsidRPr="00155205">
        <w:rPr>
          <w:rFonts w:ascii="Times New Roman" w:eastAsia="Times New Roman" w:hAnsi="Times New Roman"/>
          <w:lang w:eastAsia="sl-SI"/>
        </w:rPr>
        <w:t>ch</w:t>
      </w:r>
      <w:r w:rsidRPr="00155205">
        <w:rPr>
          <w:rFonts w:ascii="Times New Roman" w:eastAsia="Times New Roman" w:hAnsi="Times New Roman"/>
          <w:lang w:eastAsia="sl-SI"/>
        </w:rPr>
        <w:t xml:space="preserve"> ukazovateľoch kardiovaskulárnej smrti, nefatálneho infarktu myokardu a nefatálnej mozgovej príhody [0,99 (97,5 % CI 0,90-1,08), p (non-inferiority) =0,0004], v primárnych </w:t>
      </w:r>
      <w:r w:rsidR="00DE798B" w:rsidRPr="00155205">
        <w:rPr>
          <w:rFonts w:ascii="Times New Roman" w:eastAsia="Times New Roman" w:hAnsi="Times New Roman"/>
          <w:lang w:eastAsia="sl-SI"/>
        </w:rPr>
        <w:t xml:space="preserve">cieľových </w:t>
      </w:r>
      <w:r w:rsidRPr="00155205">
        <w:rPr>
          <w:rFonts w:ascii="Times New Roman" w:eastAsia="Times New Roman" w:hAnsi="Times New Roman"/>
          <w:lang w:eastAsia="sl-SI"/>
        </w:rPr>
        <w:t xml:space="preserve">ukazovateľoch referenčnej štúdie HOPE (The </w:t>
      </w:r>
      <w:r w:rsidRPr="00155205">
        <w:rPr>
          <w:rFonts w:ascii="Times New Roman" w:eastAsia="Times New Roman" w:hAnsi="Times New Roman"/>
          <w:b/>
          <w:lang w:eastAsia="sl-SI"/>
        </w:rPr>
        <w:t>H</w:t>
      </w:r>
      <w:r w:rsidRPr="00155205">
        <w:rPr>
          <w:rFonts w:ascii="Times New Roman" w:eastAsia="Times New Roman" w:hAnsi="Times New Roman"/>
          <w:lang w:eastAsia="sl-SI"/>
        </w:rPr>
        <w:t xml:space="preserve">eart </w:t>
      </w:r>
      <w:r w:rsidRPr="00155205">
        <w:rPr>
          <w:rFonts w:ascii="Times New Roman" w:eastAsia="Times New Roman" w:hAnsi="Times New Roman"/>
          <w:b/>
          <w:lang w:eastAsia="sl-SI"/>
        </w:rPr>
        <w:t>O</w:t>
      </w:r>
      <w:r w:rsidRPr="00155205">
        <w:rPr>
          <w:rFonts w:ascii="Times New Roman" w:eastAsia="Times New Roman" w:hAnsi="Times New Roman"/>
          <w:lang w:eastAsia="sl-SI"/>
        </w:rPr>
        <w:t xml:space="preserve">utcomes </w:t>
      </w:r>
      <w:r w:rsidRPr="00155205">
        <w:rPr>
          <w:rFonts w:ascii="Times New Roman" w:eastAsia="Times New Roman" w:hAnsi="Times New Roman"/>
          <w:b/>
          <w:lang w:eastAsia="sl-SI"/>
        </w:rPr>
        <w:t>P</w:t>
      </w:r>
      <w:r w:rsidRPr="00155205">
        <w:rPr>
          <w:rFonts w:ascii="Times New Roman" w:eastAsia="Times New Roman" w:hAnsi="Times New Roman"/>
          <w:lang w:eastAsia="sl-SI"/>
        </w:rPr>
        <w:t xml:space="preserve">revention </w:t>
      </w:r>
      <w:r w:rsidRPr="00155205">
        <w:rPr>
          <w:rFonts w:ascii="Times New Roman" w:eastAsia="Times New Roman" w:hAnsi="Times New Roman"/>
          <w:b/>
          <w:lang w:eastAsia="sl-SI"/>
        </w:rPr>
        <w:t>E</w:t>
      </w:r>
      <w:r w:rsidRPr="00155205">
        <w:rPr>
          <w:rFonts w:ascii="Times New Roman" w:eastAsia="Times New Roman" w:hAnsi="Times New Roman"/>
          <w:lang w:eastAsia="sl-SI"/>
        </w:rPr>
        <w:t xml:space="preserve">valuation Study), ktorá </w:t>
      </w:r>
      <w:r w:rsidR="00DE798B" w:rsidRPr="00155205">
        <w:rPr>
          <w:rFonts w:ascii="Times New Roman" w:eastAsia="Times New Roman" w:hAnsi="Times New Roman"/>
          <w:lang w:eastAsia="sl-SI"/>
        </w:rPr>
        <w:t xml:space="preserve">predtým </w:t>
      </w:r>
      <w:r w:rsidRPr="00155205">
        <w:rPr>
          <w:rFonts w:ascii="Times New Roman" w:eastAsia="Times New Roman" w:hAnsi="Times New Roman"/>
          <w:lang w:eastAsia="sl-SI"/>
        </w:rPr>
        <w:t>skúmala účin</w:t>
      </w:r>
      <w:r w:rsidR="00DE798B" w:rsidRPr="00155205">
        <w:rPr>
          <w:rFonts w:ascii="Times New Roman" w:eastAsia="Times New Roman" w:hAnsi="Times New Roman"/>
          <w:lang w:eastAsia="sl-SI"/>
        </w:rPr>
        <w:t>o</w:t>
      </w:r>
      <w:r w:rsidRPr="00155205">
        <w:rPr>
          <w:rFonts w:ascii="Times New Roman" w:eastAsia="Times New Roman" w:hAnsi="Times New Roman"/>
          <w:lang w:eastAsia="sl-SI"/>
        </w:rPr>
        <w:t>k ramiprilu v porovnaní s placebom.</w:t>
      </w:r>
    </w:p>
    <w:p w:rsidR="0092324B" w:rsidRPr="00155205" w:rsidRDefault="0092324B" w:rsidP="00934350">
      <w:pPr>
        <w:widowControl w:val="0"/>
        <w:autoSpaceDE w:val="0"/>
        <w:autoSpaceDN w:val="0"/>
        <w:adjustRightInd w:val="0"/>
        <w:spacing w:after="0" w:line="240" w:lineRule="auto"/>
        <w:rPr>
          <w:rFonts w:ascii="Times New Roman" w:eastAsia="Times New Roman" w:hAnsi="Times New Roman"/>
          <w:lang w:eastAsia="sl-SI"/>
        </w:rPr>
      </w:pP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 xml:space="preserve">V TRANSCEND štúdii sa randomizovali ACE-I intolerantní pacienti na základe podobných </w:t>
      </w:r>
      <w:r w:rsidR="009B404A" w:rsidRPr="00155205">
        <w:rPr>
          <w:rFonts w:ascii="Times New Roman" w:eastAsia="Times New Roman" w:hAnsi="Times New Roman"/>
          <w:lang w:eastAsia="sl-SI"/>
        </w:rPr>
        <w:t>vstupných</w:t>
      </w:r>
      <w:r w:rsidRPr="00155205">
        <w:rPr>
          <w:rFonts w:ascii="Times New Roman" w:eastAsia="Times New Roman" w:hAnsi="Times New Roman"/>
          <w:lang w:eastAsia="sl-SI"/>
        </w:rPr>
        <w:t xml:space="preserve"> kritérií ako v ONTARGET štúdii do skupiny telmisartan 80 mg (n=2 954) alebo placebo (n=2 972), oba pridané </w:t>
      </w:r>
      <w:r w:rsidR="00171D5C" w:rsidRPr="00155205">
        <w:rPr>
          <w:rFonts w:ascii="Times New Roman" w:eastAsia="Times New Roman" w:hAnsi="Times New Roman"/>
          <w:lang w:eastAsia="sl-SI"/>
        </w:rPr>
        <w:t>nad rámec</w:t>
      </w:r>
      <w:r w:rsidR="0030081A" w:rsidRPr="00155205">
        <w:rPr>
          <w:rFonts w:ascii="Times New Roman" w:eastAsia="Times New Roman" w:hAnsi="Times New Roman"/>
          <w:lang w:eastAsia="sl-SI"/>
        </w:rPr>
        <w:t xml:space="preserve"> </w:t>
      </w:r>
      <w:r w:rsidRPr="00155205">
        <w:rPr>
          <w:rFonts w:ascii="Times New Roman" w:eastAsia="Times New Roman" w:hAnsi="Times New Roman"/>
          <w:lang w:eastAsia="sl-SI"/>
        </w:rPr>
        <w:t xml:space="preserve">ku štandardnej liečbe. </w:t>
      </w:r>
      <w:r w:rsidR="00985567" w:rsidRPr="00155205">
        <w:rPr>
          <w:rFonts w:ascii="Times New Roman" w:eastAsia="Times New Roman" w:hAnsi="Times New Roman"/>
          <w:lang w:eastAsia="sl-SI"/>
        </w:rPr>
        <w:t>Priemerné trvanie pokračujúceho sledovania bolo</w:t>
      </w:r>
      <w:r w:rsidRPr="00155205">
        <w:rPr>
          <w:rFonts w:ascii="Times New Roman" w:eastAsia="Times New Roman" w:hAnsi="Times New Roman"/>
          <w:lang w:eastAsia="sl-SI"/>
        </w:rPr>
        <w:t xml:space="preserve"> 4 roky a 8 mesiacov. Nezistil sa žiadny štatisticky významný rozdiel v incidencii primárnych kompozitných cieľových ukazovateľov (kardiovaskulárnej smrti, nefatálneho infarktu myokardu, nefatálnej mozgovej príhody alebo hospitalizácie z dôvodu kongestívneho srdcového zlyhania [15,7 % v skupine s telmisartanom a 17,0 % v skupine s placebom s pomerom rizika 0,92 (95 % CI 0,81-1,05, p=0,22)]</w:t>
      </w:r>
      <w:r w:rsidR="00985567" w:rsidRPr="00155205">
        <w:rPr>
          <w:rFonts w:ascii="Times New Roman" w:eastAsia="Times New Roman" w:hAnsi="Times New Roman"/>
          <w:lang w:eastAsia="sl-SI"/>
        </w:rPr>
        <w:t>.</w:t>
      </w:r>
      <w:r w:rsidRPr="00155205">
        <w:rPr>
          <w:rFonts w:ascii="Times New Roman" w:eastAsia="Times New Roman" w:hAnsi="Times New Roman"/>
          <w:lang w:eastAsia="sl-SI"/>
        </w:rPr>
        <w:t xml:space="preserve"> Zistil sa prínos telmisartanu v porovnaní s placebom v predšpecifikovaných sekundárnych </w:t>
      </w:r>
      <w:r w:rsidR="00D25667" w:rsidRPr="00155205">
        <w:rPr>
          <w:rFonts w:ascii="Times New Roman" w:eastAsia="Times New Roman" w:hAnsi="Times New Roman"/>
          <w:lang w:eastAsia="sl-SI"/>
        </w:rPr>
        <w:t>kompozitných cieľových ukazovateľoch</w:t>
      </w:r>
      <w:r w:rsidRPr="00155205">
        <w:rPr>
          <w:rFonts w:ascii="Times New Roman" w:eastAsia="Times New Roman" w:hAnsi="Times New Roman"/>
          <w:lang w:eastAsia="sl-SI"/>
        </w:rPr>
        <w:t xml:space="preserve"> kardiovaskulárnej smrti, nefatálnom infarkte myokardu a nefatálnej mozgovej príhode [0,87 (95 % CI 0,76-1,00; p=0,048)]. Nezistil sa žiadny </w:t>
      </w:r>
      <w:r w:rsidR="00D25667" w:rsidRPr="00155205">
        <w:rPr>
          <w:rFonts w:ascii="Times New Roman" w:eastAsia="Times New Roman" w:hAnsi="Times New Roman"/>
          <w:lang w:eastAsia="sl-SI"/>
        </w:rPr>
        <w:t>prínos</w:t>
      </w:r>
      <w:r w:rsidRPr="00155205">
        <w:rPr>
          <w:rFonts w:ascii="Times New Roman" w:eastAsia="Times New Roman" w:hAnsi="Times New Roman"/>
          <w:lang w:eastAsia="sl-SI"/>
        </w:rPr>
        <w:t xml:space="preserve"> v</w:t>
      </w:r>
      <w:r w:rsidR="009D5FF9" w:rsidRPr="00155205">
        <w:rPr>
          <w:rFonts w:ascii="Times New Roman" w:eastAsia="Times New Roman" w:hAnsi="Times New Roman"/>
          <w:lang w:eastAsia="sl-SI"/>
        </w:rPr>
        <w:t xml:space="preserve"> </w:t>
      </w:r>
      <w:r w:rsidRPr="00155205">
        <w:rPr>
          <w:rFonts w:ascii="Times New Roman" w:eastAsia="Times New Roman" w:hAnsi="Times New Roman"/>
          <w:lang w:eastAsia="sl-SI"/>
        </w:rPr>
        <w:t xml:space="preserve"> kardiovaskulárnej mortalite (</w:t>
      </w:r>
      <w:r w:rsidR="00D25667" w:rsidRPr="00155205">
        <w:rPr>
          <w:rFonts w:ascii="Times New Roman" w:eastAsia="Times New Roman" w:hAnsi="Times New Roman"/>
          <w:lang w:eastAsia="sl-SI"/>
        </w:rPr>
        <w:t>pomer</w:t>
      </w:r>
      <w:r w:rsidRPr="00155205">
        <w:rPr>
          <w:rFonts w:ascii="Times New Roman" w:eastAsia="Times New Roman" w:hAnsi="Times New Roman"/>
          <w:lang w:eastAsia="sl-SI"/>
        </w:rPr>
        <w:t xml:space="preserve"> rizika 1,03; 95% CI 0,85-1,24).</w:t>
      </w: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 xml:space="preserve">Kašeľ a angioedém sa zaznamenali menej často u pacientov liečených telmisartanom než u pacientov </w:t>
      </w:r>
      <w:r w:rsidRPr="00155205">
        <w:rPr>
          <w:rFonts w:ascii="Times New Roman" w:eastAsia="Times New Roman" w:hAnsi="Times New Roman"/>
          <w:lang w:eastAsia="sl-SI"/>
        </w:rPr>
        <w:lastRenderedPageBreak/>
        <w:t>liečených ramiprilom, zatiaľ čo hypotenzia sa častejšie zaznamenala pri telmisartane.</w:t>
      </w: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lang w:eastAsia="sl-SI"/>
        </w:rPr>
      </w:pPr>
      <w:r w:rsidRPr="00155205">
        <w:rPr>
          <w:rFonts w:ascii="Times New Roman" w:eastAsia="Times New Roman" w:hAnsi="Times New Roman"/>
          <w:lang w:eastAsia="sl-SI"/>
        </w:rPr>
        <w:t xml:space="preserve">Kombináciou telmisartanu s ramiprilom sa nepridal </w:t>
      </w:r>
      <w:r w:rsidR="001B0995" w:rsidRPr="00155205">
        <w:rPr>
          <w:rFonts w:ascii="Times New Roman" w:eastAsia="Times New Roman" w:hAnsi="Times New Roman"/>
          <w:lang w:eastAsia="sl-SI"/>
        </w:rPr>
        <w:t xml:space="preserve">žiadny </w:t>
      </w:r>
      <w:r w:rsidRPr="00155205">
        <w:rPr>
          <w:rFonts w:ascii="Times New Roman" w:eastAsia="Times New Roman" w:hAnsi="Times New Roman"/>
          <w:lang w:eastAsia="sl-SI"/>
        </w:rPr>
        <w:t>ďalší benefit prevyšujúci ramipril alebo telmisartan samotný. Kardiovaskulárna mortalita a</w:t>
      </w:r>
      <w:r w:rsidR="001B0995" w:rsidRPr="00155205">
        <w:rPr>
          <w:rFonts w:ascii="Times New Roman" w:eastAsia="Times New Roman" w:hAnsi="Times New Roman"/>
          <w:lang w:eastAsia="sl-SI"/>
        </w:rPr>
        <w:t> </w:t>
      </w:r>
      <w:r w:rsidRPr="00155205">
        <w:rPr>
          <w:rFonts w:ascii="Times New Roman" w:eastAsia="Times New Roman" w:hAnsi="Times New Roman"/>
          <w:lang w:eastAsia="sl-SI"/>
        </w:rPr>
        <w:t>mortalit</w:t>
      </w:r>
      <w:r w:rsidR="001B0995" w:rsidRPr="00155205">
        <w:rPr>
          <w:rFonts w:ascii="Times New Roman" w:eastAsia="Times New Roman" w:hAnsi="Times New Roman"/>
          <w:lang w:eastAsia="sl-SI"/>
        </w:rPr>
        <w:t>a zo všetkých príčin</w:t>
      </w:r>
      <w:r w:rsidRPr="00155205">
        <w:rPr>
          <w:rFonts w:ascii="Times New Roman" w:eastAsia="Times New Roman" w:hAnsi="Times New Roman"/>
          <w:lang w:eastAsia="sl-SI"/>
        </w:rPr>
        <w:t xml:space="preserve"> boli numericky vyššie pri kombinácii. Ďalej, v skupine s kombináciou bol signifikantne vyšší výskyt hyperkaliémie, renálneho zlyhania, hypotenzie a synkopy. Preto sa v tejto </w:t>
      </w:r>
      <w:r w:rsidR="001B0995" w:rsidRPr="00155205">
        <w:rPr>
          <w:rFonts w:ascii="Times New Roman" w:eastAsia="Times New Roman" w:hAnsi="Times New Roman"/>
          <w:lang w:eastAsia="sl-SI"/>
        </w:rPr>
        <w:t>populácii</w:t>
      </w:r>
      <w:r w:rsidRPr="00155205">
        <w:rPr>
          <w:rFonts w:ascii="Times New Roman" w:eastAsia="Times New Roman" w:hAnsi="Times New Roman"/>
          <w:lang w:eastAsia="sl-SI"/>
        </w:rPr>
        <w:t xml:space="preserve"> pacientov použitie kombinácie telmisartanu s ramiprilom neodporúča.</w:t>
      </w:r>
    </w:p>
    <w:p w:rsidR="00DE798B" w:rsidRPr="00155205" w:rsidRDefault="00DE798B" w:rsidP="00DE798B">
      <w:pPr>
        <w:widowControl w:val="0"/>
        <w:autoSpaceDE w:val="0"/>
        <w:autoSpaceDN w:val="0"/>
        <w:adjustRightInd w:val="0"/>
        <w:spacing w:after="0" w:line="240" w:lineRule="auto"/>
        <w:ind w:left="567" w:hanging="567"/>
        <w:rPr>
          <w:rFonts w:ascii="Times New Roman" w:eastAsia="Times New Roman" w:hAnsi="Times New Roman"/>
        </w:rPr>
      </w:pPr>
    </w:p>
    <w:p w:rsidR="00DE798B" w:rsidRPr="00155205" w:rsidRDefault="00DE798B" w:rsidP="00DE798B">
      <w:pPr>
        <w:widowControl w:val="0"/>
        <w:autoSpaceDE w:val="0"/>
        <w:autoSpaceDN w:val="0"/>
        <w:adjustRightInd w:val="0"/>
        <w:spacing w:after="0" w:line="240" w:lineRule="auto"/>
        <w:rPr>
          <w:rFonts w:ascii="Times New Roman" w:eastAsia="Times New Roman" w:hAnsi="Times New Roman"/>
        </w:rPr>
      </w:pPr>
      <w:r w:rsidRPr="00155205">
        <w:rPr>
          <w:rFonts w:ascii="Times New Roman" w:eastAsia="Times New Roman" w:hAnsi="Times New Roman"/>
        </w:rPr>
        <w:t xml:space="preserve">V klinickom skúšaní </w:t>
      </w:r>
      <w:r w:rsidR="00524FBF" w:rsidRPr="00155205">
        <w:rPr>
          <w:rFonts w:ascii="Times New Roman" w:eastAsia="Times New Roman" w:hAnsi="Times New Roman"/>
        </w:rPr>
        <w:t>PRoFESS (</w:t>
      </w:r>
      <w:r w:rsidRPr="00155205">
        <w:rPr>
          <w:rFonts w:ascii="Times New Roman" w:eastAsia="Times New Roman" w:hAnsi="Times New Roman"/>
        </w:rPr>
        <w:t>"</w:t>
      </w:r>
      <w:r w:rsidRPr="00155205">
        <w:rPr>
          <w:rFonts w:ascii="Times New Roman" w:eastAsia="Times New Roman" w:hAnsi="Times New Roman"/>
          <w:b/>
        </w:rPr>
        <w:t>P</w:t>
      </w:r>
      <w:r w:rsidRPr="00155205">
        <w:rPr>
          <w:rFonts w:ascii="Times New Roman" w:eastAsia="Times New Roman" w:hAnsi="Times New Roman"/>
        </w:rPr>
        <w:t xml:space="preserve">revention </w:t>
      </w:r>
      <w:r w:rsidRPr="00155205">
        <w:rPr>
          <w:rFonts w:ascii="Times New Roman" w:eastAsia="Times New Roman" w:hAnsi="Times New Roman"/>
          <w:b/>
        </w:rPr>
        <w:t>R</w:t>
      </w:r>
      <w:r w:rsidRPr="00155205">
        <w:rPr>
          <w:rFonts w:ascii="Times New Roman" w:eastAsia="Times New Roman" w:hAnsi="Times New Roman"/>
        </w:rPr>
        <w:t xml:space="preserve">egimen </w:t>
      </w:r>
      <w:r w:rsidRPr="00155205">
        <w:rPr>
          <w:rFonts w:ascii="Times New Roman" w:eastAsia="Times New Roman" w:hAnsi="Times New Roman"/>
          <w:b/>
        </w:rPr>
        <w:t>F</w:t>
      </w:r>
      <w:r w:rsidRPr="00155205">
        <w:rPr>
          <w:rFonts w:ascii="Times New Roman" w:eastAsia="Times New Roman" w:hAnsi="Times New Roman"/>
        </w:rPr>
        <w:t xml:space="preserve">or </w:t>
      </w:r>
      <w:r w:rsidRPr="00155205">
        <w:rPr>
          <w:rFonts w:ascii="Times New Roman" w:eastAsia="Times New Roman" w:hAnsi="Times New Roman"/>
          <w:b/>
        </w:rPr>
        <w:t>E</w:t>
      </w:r>
      <w:r w:rsidRPr="00155205">
        <w:rPr>
          <w:rFonts w:ascii="Times New Roman" w:eastAsia="Times New Roman" w:hAnsi="Times New Roman"/>
        </w:rPr>
        <w:t xml:space="preserve">ffectively avoiding </w:t>
      </w:r>
      <w:r w:rsidRPr="00155205">
        <w:rPr>
          <w:rFonts w:ascii="Times New Roman" w:eastAsia="Times New Roman" w:hAnsi="Times New Roman"/>
          <w:b/>
        </w:rPr>
        <w:t>S</w:t>
      </w:r>
      <w:r w:rsidRPr="00155205">
        <w:rPr>
          <w:rFonts w:ascii="Times New Roman" w:eastAsia="Times New Roman" w:hAnsi="Times New Roman"/>
        </w:rPr>
        <w:t xml:space="preserve">econd </w:t>
      </w:r>
      <w:r w:rsidRPr="00155205">
        <w:rPr>
          <w:rFonts w:ascii="Times New Roman" w:eastAsia="Times New Roman" w:hAnsi="Times New Roman"/>
          <w:b/>
        </w:rPr>
        <w:t>S</w:t>
      </w:r>
      <w:r w:rsidRPr="00155205">
        <w:rPr>
          <w:rFonts w:ascii="Times New Roman" w:eastAsia="Times New Roman" w:hAnsi="Times New Roman"/>
        </w:rPr>
        <w:t xml:space="preserve">trokes") s 50-ročnými a staršími pacientmi, ktorí mali nedávno mozgovú príhodu, bola po telmisartane v porovnaní s placebom zaznamenaná zvýšená incidencia sepsy 0,70 % </w:t>
      </w:r>
      <w:r w:rsidR="00524FBF" w:rsidRPr="00155205">
        <w:rPr>
          <w:rFonts w:ascii="Times New Roman" w:eastAsia="Times New Roman" w:hAnsi="Times New Roman"/>
        </w:rPr>
        <w:t>verzus</w:t>
      </w:r>
      <w:r w:rsidRPr="00155205">
        <w:rPr>
          <w:rFonts w:ascii="Times New Roman" w:eastAsia="Times New Roman" w:hAnsi="Times New Roman"/>
        </w:rPr>
        <w:t xml:space="preserve"> 0,49 % [RR 1,43 (95 % interval spoľahlivosti 1,00–2,06)]; incidencia smrteľných prípadov sepsy bola zvýšená u pacientov užívajúcich telmisartan (0,33 %) voči pacientom užívajúcim placebo (0,16 %) [RR 2,07 (95 % interval spoľahlivosti 1,14–3,76)]. Pozorovaná zvýšená miera výskytu sepsy v súvislosti s používaním telmisartanu môže byť buď náhodným nálezom alebo môže súvisieť s mechanizmami, ktoré v súčasnosti nie sú známe.</w:t>
      </w:r>
    </w:p>
    <w:p w:rsidR="00524FBF" w:rsidRPr="00155205" w:rsidRDefault="00524FBF" w:rsidP="00A95EEC">
      <w:pPr>
        <w:autoSpaceDE w:val="0"/>
        <w:autoSpaceDN w:val="0"/>
        <w:adjustRightInd w:val="0"/>
        <w:spacing w:after="0" w:line="240" w:lineRule="auto"/>
        <w:rPr>
          <w:rFonts w:ascii="Times New Roman" w:eastAsia="Times New Roman" w:hAnsi="Times New Roman"/>
          <w:color w:val="000000"/>
        </w:rPr>
      </w:pPr>
    </w:p>
    <w:p w:rsidR="00A95EEC" w:rsidRPr="00155205" w:rsidRDefault="00A95EEC" w:rsidP="00A95EEC">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 xml:space="preserve">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w:t>
      </w:r>
    </w:p>
    <w:p w:rsidR="00A95EEC" w:rsidRPr="00155205" w:rsidRDefault="00686361" w:rsidP="00A95EEC">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 xml:space="preserve">Štúdia </w:t>
      </w:r>
      <w:r w:rsidR="00A95EEC" w:rsidRPr="00155205">
        <w:rPr>
          <w:rFonts w:ascii="Times New Roman" w:eastAsia="Times New Roman" w:hAnsi="Times New Roman"/>
          <w:color w:val="000000"/>
        </w:rPr>
        <w:t xml:space="preserve">ONTARGET </w:t>
      </w:r>
      <w:r w:rsidRPr="00155205">
        <w:rPr>
          <w:rFonts w:ascii="Times New Roman" w:eastAsia="Times New Roman" w:hAnsi="Times New Roman"/>
          <w:color w:val="000000"/>
        </w:rPr>
        <w:t>bola</w:t>
      </w:r>
      <w:r w:rsidR="00A95EEC" w:rsidRPr="00155205">
        <w:rPr>
          <w:rFonts w:ascii="Times New Roman" w:eastAsia="Times New Roman" w:hAnsi="Times New Roman"/>
          <w:color w:val="000000"/>
        </w:rPr>
        <w:t xml:space="preserve"> </w:t>
      </w:r>
      <w:r w:rsidR="009F0752" w:rsidRPr="00155205">
        <w:rPr>
          <w:rFonts w:ascii="Times New Roman" w:eastAsia="Times New Roman" w:hAnsi="Times New Roman"/>
          <w:color w:val="000000"/>
        </w:rPr>
        <w:t>uskutočnená</w:t>
      </w:r>
      <w:r w:rsidR="00A95EEC" w:rsidRPr="00155205">
        <w:rPr>
          <w:rFonts w:ascii="Times New Roman" w:eastAsia="Times New Roman" w:hAnsi="Times New Roman"/>
          <w:color w:val="000000"/>
        </w:rPr>
        <w:t xml:space="preserve"> u pacientov s</w:t>
      </w:r>
      <w:r w:rsidRPr="00155205">
        <w:rPr>
          <w:rFonts w:ascii="Times New Roman" w:eastAsia="Times New Roman" w:hAnsi="Times New Roman"/>
          <w:color w:val="000000"/>
        </w:rPr>
        <w:t xml:space="preserve"> anamnézou </w:t>
      </w:r>
      <w:r w:rsidR="00A95EEC" w:rsidRPr="00155205">
        <w:rPr>
          <w:rFonts w:ascii="Times New Roman" w:eastAsia="Times New Roman" w:hAnsi="Times New Roman"/>
          <w:color w:val="000000"/>
        </w:rPr>
        <w:t>kardiovaskulárn</w:t>
      </w:r>
      <w:r w:rsidRPr="00155205">
        <w:rPr>
          <w:rFonts w:ascii="Times New Roman" w:eastAsia="Times New Roman" w:hAnsi="Times New Roman"/>
          <w:color w:val="000000"/>
        </w:rPr>
        <w:t>eho</w:t>
      </w:r>
      <w:r w:rsidR="00A95EEC" w:rsidRPr="00155205">
        <w:rPr>
          <w:rFonts w:ascii="Times New Roman" w:eastAsia="Times New Roman" w:hAnsi="Times New Roman"/>
          <w:color w:val="000000"/>
        </w:rPr>
        <w:t xml:space="preserve"> alebo cerebrovaskulárn</w:t>
      </w:r>
      <w:r w:rsidRPr="00155205">
        <w:rPr>
          <w:rFonts w:ascii="Times New Roman" w:eastAsia="Times New Roman" w:hAnsi="Times New Roman"/>
          <w:color w:val="000000"/>
        </w:rPr>
        <w:t>eho</w:t>
      </w:r>
      <w:r w:rsidR="00A95EEC" w:rsidRPr="00155205">
        <w:rPr>
          <w:rFonts w:ascii="Times New Roman" w:eastAsia="Times New Roman" w:hAnsi="Times New Roman"/>
          <w:color w:val="000000"/>
        </w:rPr>
        <w:t xml:space="preserve"> ochoren</w:t>
      </w:r>
      <w:r w:rsidR="00E729CB" w:rsidRPr="00155205">
        <w:rPr>
          <w:rFonts w:ascii="Times New Roman" w:eastAsia="Times New Roman" w:hAnsi="Times New Roman"/>
          <w:color w:val="000000"/>
        </w:rPr>
        <w:t>i</w:t>
      </w:r>
      <w:r w:rsidRPr="00155205">
        <w:rPr>
          <w:rFonts w:ascii="Times New Roman" w:eastAsia="Times New Roman" w:hAnsi="Times New Roman"/>
          <w:color w:val="000000"/>
        </w:rPr>
        <w:t>a</w:t>
      </w:r>
      <w:r w:rsidR="00A95EEC" w:rsidRPr="00155205">
        <w:rPr>
          <w:rFonts w:ascii="Times New Roman" w:eastAsia="Times New Roman" w:hAnsi="Times New Roman"/>
          <w:color w:val="000000"/>
        </w:rPr>
        <w:t>, alebo u pacientov s diabet</w:t>
      </w:r>
      <w:r w:rsidRPr="00155205">
        <w:rPr>
          <w:rFonts w:ascii="Times New Roman" w:eastAsia="Times New Roman" w:hAnsi="Times New Roman"/>
          <w:color w:val="000000"/>
        </w:rPr>
        <w:t>om</w:t>
      </w:r>
      <w:r w:rsidR="00A95EEC" w:rsidRPr="00155205">
        <w:rPr>
          <w:rFonts w:ascii="Times New Roman" w:eastAsia="Times New Roman" w:hAnsi="Times New Roman"/>
          <w:color w:val="000000"/>
        </w:rPr>
        <w:t xml:space="preserve"> mellitus 2. typu, u ktorých sa preukázalo poškodenie cieľových orgánov. </w:t>
      </w:r>
    </w:p>
    <w:p w:rsidR="00A95EEC" w:rsidRPr="00155205" w:rsidRDefault="00686361" w:rsidP="00A95EEC">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Štúdia</w:t>
      </w:r>
      <w:r w:rsidR="00A95EEC" w:rsidRPr="00155205">
        <w:rPr>
          <w:rFonts w:ascii="Times New Roman" w:eastAsia="Times New Roman" w:hAnsi="Times New Roman"/>
          <w:color w:val="000000"/>
        </w:rPr>
        <w:t xml:space="preserve"> VA NEPHRON-D </w:t>
      </w:r>
      <w:r w:rsidRPr="00155205">
        <w:rPr>
          <w:rFonts w:ascii="Times New Roman" w:eastAsia="Times New Roman" w:hAnsi="Times New Roman"/>
          <w:color w:val="000000"/>
        </w:rPr>
        <w:t xml:space="preserve">bola </w:t>
      </w:r>
      <w:r w:rsidR="009F0752" w:rsidRPr="00155205">
        <w:rPr>
          <w:rFonts w:ascii="Times New Roman" w:eastAsia="Times New Roman" w:hAnsi="Times New Roman"/>
          <w:color w:val="000000"/>
        </w:rPr>
        <w:t>uskutočnená</w:t>
      </w:r>
      <w:r w:rsidR="00A95EEC" w:rsidRPr="00155205">
        <w:rPr>
          <w:rFonts w:ascii="Times New Roman" w:eastAsia="Times New Roman" w:hAnsi="Times New Roman"/>
          <w:color w:val="000000"/>
        </w:rPr>
        <w:t xml:space="preserve"> u pacientov s diabet</w:t>
      </w:r>
      <w:r w:rsidRPr="00155205">
        <w:rPr>
          <w:rFonts w:ascii="Times New Roman" w:eastAsia="Times New Roman" w:hAnsi="Times New Roman"/>
          <w:color w:val="000000"/>
        </w:rPr>
        <w:t>om</w:t>
      </w:r>
      <w:r w:rsidR="00A95EEC" w:rsidRPr="00155205">
        <w:rPr>
          <w:rFonts w:ascii="Times New Roman" w:eastAsia="Times New Roman" w:hAnsi="Times New Roman"/>
          <w:color w:val="000000"/>
        </w:rPr>
        <w:t xml:space="preserve"> mellitus 2. typu a diabetickou nefropatiou. </w:t>
      </w:r>
      <w:r w:rsidRPr="00155205">
        <w:rPr>
          <w:rFonts w:ascii="Times New Roman" w:eastAsia="Times New Roman" w:hAnsi="Times New Roman"/>
          <w:color w:val="000000"/>
        </w:rPr>
        <w:t xml:space="preserve">V týchto štúdiách sa </w:t>
      </w:r>
      <w:r w:rsidR="00A95EEC" w:rsidRPr="00155205">
        <w:rPr>
          <w:rFonts w:ascii="Times New Roman" w:eastAsia="Times New Roman" w:hAnsi="Times New Roman"/>
          <w:color w:val="000000"/>
        </w:rPr>
        <w:t>ne</w:t>
      </w:r>
      <w:r w:rsidRPr="00155205">
        <w:rPr>
          <w:rFonts w:ascii="Times New Roman" w:eastAsia="Times New Roman" w:hAnsi="Times New Roman"/>
          <w:color w:val="000000"/>
        </w:rPr>
        <w:t>pre</w:t>
      </w:r>
      <w:r w:rsidR="00A95EEC" w:rsidRPr="00155205">
        <w:rPr>
          <w:rFonts w:ascii="Times New Roman" w:eastAsia="Times New Roman" w:hAnsi="Times New Roman"/>
          <w:color w:val="000000"/>
        </w:rPr>
        <w:t xml:space="preserve">ukázal významný priaznivý účinok na renálne a/alebo kardiovaskulárne ukazovatele a mortalitu, </w:t>
      </w:r>
      <w:r w:rsidRPr="00155205">
        <w:rPr>
          <w:rFonts w:ascii="Times New Roman" w:eastAsia="Times New Roman" w:hAnsi="Times New Roman"/>
          <w:color w:val="000000"/>
        </w:rPr>
        <w:t>ale</w:t>
      </w:r>
      <w:r w:rsidR="00A95EEC" w:rsidRPr="00155205">
        <w:rPr>
          <w:rFonts w:ascii="Times New Roman" w:eastAsia="Times New Roman" w:hAnsi="Times New Roman"/>
          <w:color w:val="000000"/>
        </w:rPr>
        <w:t xml:space="preserve">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 </w:t>
      </w:r>
    </w:p>
    <w:p w:rsidR="00A95EEC" w:rsidRPr="00155205" w:rsidRDefault="0000623A" w:rsidP="00A95EEC">
      <w:pPr>
        <w:autoSpaceDE w:val="0"/>
        <w:autoSpaceDN w:val="0"/>
        <w:adjustRightInd w:val="0"/>
        <w:spacing w:after="0" w:line="240" w:lineRule="auto"/>
        <w:rPr>
          <w:rFonts w:ascii="Times New Roman" w:eastAsia="Times New Roman" w:hAnsi="Times New Roman"/>
          <w:color w:val="000000"/>
        </w:rPr>
      </w:pPr>
      <w:r w:rsidRPr="00155205">
        <w:rPr>
          <w:rFonts w:ascii="Times New Roman" w:eastAsia="Times New Roman" w:hAnsi="Times New Roman"/>
          <w:color w:val="000000"/>
        </w:rPr>
        <w:t>P</w:t>
      </w:r>
      <w:r w:rsidR="00A95EEC" w:rsidRPr="00155205">
        <w:rPr>
          <w:rFonts w:ascii="Times New Roman" w:eastAsia="Times New Roman" w:hAnsi="Times New Roman"/>
          <w:color w:val="000000"/>
        </w:rPr>
        <w:t>reto pacient</w:t>
      </w:r>
      <w:r w:rsidRPr="00155205">
        <w:rPr>
          <w:rFonts w:ascii="Times New Roman" w:eastAsia="Times New Roman" w:hAnsi="Times New Roman"/>
          <w:color w:val="000000"/>
        </w:rPr>
        <w:t>i</w:t>
      </w:r>
      <w:r w:rsidR="00A95EEC" w:rsidRPr="00155205">
        <w:rPr>
          <w:rFonts w:ascii="Times New Roman" w:eastAsia="Times New Roman" w:hAnsi="Times New Roman"/>
          <w:color w:val="000000"/>
        </w:rPr>
        <w:t xml:space="preserve"> s diabetickou nefropatiou</w:t>
      </w:r>
      <w:r w:rsidRPr="00155205">
        <w:rPr>
          <w:rFonts w:ascii="Times New Roman" w:eastAsia="Times New Roman" w:hAnsi="Times New Roman"/>
          <w:color w:val="000000"/>
        </w:rPr>
        <w:t xml:space="preserve"> nesmú užívať súbežne</w:t>
      </w:r>
      <w:r w:rsidRPr="00155205">
        <w:t xml:space="preserve"> </w:t>
      </w:r>
      <w:r w:rsidRPr="00155205">
        <w:rPr>
          <w:rFonts w:ascii="Times New Roman" w:eastAsia="Times New Roman" w:hAnsi="Times New Roman"/>
          <w:color w:val="000000"/>
        </w:rPr>
        <w:t>inhibítory ACE a blokátory receptorov angiotenzínu II</w:t>
      </w:r>
      <w:r w:rsidR="00A95EEC" w:rsidRPr="00155205">
        <w:rPr>
          <w:rFonts w:ascii="Times New Roman" w:eastAsia="Times New Roman" w:hAnsi="Times New Roman"/>
          <w:color w:val="000000"/>
        </w:rPr>
        <w:t xml:space="preserve">. </w:t>
      </w:r>
    </w:p>
    <w:p w:rsidR="00A95EEC" w:rsidRPr="00155205" w:rsidRDefault="0000623A" w:rsidP="00A95EEC">
      <w:pPr>
        <w:spacing w:after="0" w:line="240" w:lineRule="auto"/>
        <w:rPr>
          <w:rFonts w:ascii="Times New Roman" w:hAnsi="Times New Roman"/>
          <w:noProof/>
          <w:lang w:eastAsia="sk-SK"/>
        </w:rPr>
      </w:pPr>
      <w:r w:rsidRPr="00155205">
        <w:rPr>
          <w:rFonts w:ascii="Times New Roman" w:eastAsia="Times New Roman" w:hAnsi="Times New Roman"/>
          <w:color w:val="000000"/>
        </w:rPr>
        <w:t>Štúdia</w:t>
      </w:r>
      <w:r w:rsidR="00A95EEC" w:rsidRPr="00155205">
        <w:rPr>
          <w:rFonts w:ascii="Times New Roman" w:eastAsia="Times New Roman" w:hAnsi="Times New Roman"/>
          <w:color w:val="000000"/>
        </w:rPr>
        <w:t xml:space="preserve"> ALTITUDE (Aliskiren Trial in Type 2 Diabetes Using Cardiovascular and Renal Disease Endpoints) bol</w:t>
      </w:r>
      <w:r w:rsidRPr="00155205">
        <w:rPr>
          <w:rFonts w:ascii="Times New Roman" w:eastAsia="Times New Roman" w:hAnsi="Times New Roman"/>
          <w:color w:val="000000"/>
        </w:rPr>
        <w:t>a</w:t>
      </w:r>
      <w:r w:rsidR="00A95EEC" w:rsidRPr="00155205">
        <w:rPr>
          <w:rFonts w:ascii="Times New Roman" w:eastAsia="Times New Roman" w:hAnsi="Times New Roman"/>
          <w:color w:val="000000"/>
        </w:rPr>
        <w:t xml:space="preserve"> navrhnut</w:t>
      </w:r>
      <w:r w:rsidRPr="00155205">
        <w:rPr>
          <w:rFonts w:ascii="Times New Roman" w:eastAsia="Times New Roman" w:hAnsi="Times New Roman"/>
          <w:color w:val="000000"/>
        </w:rPr>
        <w:t>á</w:t>
      </w:r>
      <w:r w:rsidR="00A95EEC" w:rsidRPr="00155205">
        <w:rPr>
          <w:rFonts w:ascii="Times New Roman" w:eastAsia="Times New Roman" w:hAnsi="Times New Roman"/>
          <w:color w:val="000000"/>
        </w:rPr>
        <w:t xml:space="preserve"> na otestovanie prínosu pridania aliskir</w:t>
      </w:r>
      <w:r w:rsidRPr="00155205">
        <w:rPr>
          <w:rFonts w:ascii="Times New Roman" w:eastAsia="Times New Roman" w:hAnsi="Times New Roman"/>
          <w:color w:val="000000"/>
        </w:rPr>
        <w:t>é</w:t>
      </w:r>
      <w:r w:rsidR="00A95EEC" w:rsidRPr="00155205">
        <w:rPr>
          <w:rFonts w:ascii="Times New Roman" w:eastAsia="Times New Roman" w:hAnsi="Times New Roman"/>
          <w:color w:val="000000"/>
        </w:rPr>
        <w:t>nu k štandardnej liečbe inhibítorom ACE alebo blokátorom receptorov angiotenzínu II u pacientov s diabet</w:t>
      </w:r>
      <w:r w:rsidRPr="00155205">
        <w:rPr>
          <w:rFonts w:ascii="Times New Roman" w:eastAsia="Times New Roman" w:hAnsi="Times New Roman"/>
          <w:color w:val="000000"/>
        </w:rPr>
        <w:t>om</w:t>
      </w:r>
      <w:r w:rsidR="00A95EEC" w:rsidRPr="00155205">
        <w:rPr>
          <w:rFonts w:ascii="Times New Roman" w:eastAsia="Times New Roman" w:hAnsi="Times New Roman"/>
          <w:color w:val="000000"/>
        </w:rPr>
        <w:t xml:space="preserve"> mellitus 2. typu a chronickým ochorením obličiek, kardiovaskulárnym ochorením, alebo oboma ochoreniami. </w:t>
      </w:r>
      <w:r w:rsidRPr="00155205">
        <w:rPr>
          <w:rFonts w:ascii="Times New Roman" w:eastAsia="Times New Roman" w:hAnsi="Times New Roman"/>
          <w:color w:val="000000"/>
        </w:rPr>
        <w:t>Štúdia</w:t>
      </w:r>
      <w:r w:rsidR="00A95EEC" w:rsidRPr="00155205">
        <w:rPr>
          <w:rFonts w:ascii="Times New Roman" w:eastAsia="Times New Roman" w:hAnsi="Times New Roman"/>
          <w:color w:val="000000"/>
        </w:rPr>
        <w:t xml:space="preserve"> bol</w:t>
      </w:r>
      <w:r w:rsidRPr="00155205">
        <w:rPr>
          <w:rFonts w:ascii="Times New Roman" w:eastAsia="Times New Roman" w:hAnsi="Times New Roman"/>
          <w:color w:val="000000"/>
        </w:rPr>
        <w:t>a</w:t>
      </w:r>
      <w:r w:rsidR="00A95EEC" w:rsidRPr="00155205">
        <w:rPr>
          <w:rFonts w:ascii="Times New Roman" w:eastAsia="Times New Roman" w:hAnsi="Times New Roman"/>
          <w:color w:val="000000"/>
        </w:rPr>
        <w:t xml:space="preserve"> predčasne ukončen</w:t>
      </w:r>
      <w:r w:rsidRPr="00155205">
        <w:rPr>
          <w:rFonts w:ascii="Times New Roman" w:eastAsia="Times New Roman" w:hAnsi="Times New Roman"/>
          <w:color w:val="000000"/>
        </w:rPr>
        <w:t>á</w:t>
      </w:r>
      <w:r w:rsidR="00A95EEC" w:rsidRPr="00155205">
        <w:rPr>
          <w:rFonts w:ascii="Times New Roman" w:eastAsia="Times New Roman" w:hAnsi="Times New Roman"/>
          <w:color w:val="000000"/>
        </w:rPr>
        <w:t xml:space="preserve"> pre zvýšené riziko nežiaducich udalostí. V skupine aliskir</w:t>
      </w:r>
      <w:r w:rsidRPr="00155205">
        <w:rPr>
          <w:rFonts w:ascii="Times New Roman" w:eastAsia="Times New Roman" w:hAnsi="Times New Roman"/>
          <w:color w:val="000000"/>
        </w:rPr>
        <w:t>é</w:t>
      </w:r>
      <w:r w:rsidR="00A95EEC" w:rsidRPr="00155205">
        <w:rPr>
          <w:rFonts w:ascii="Times New Roman" w:eastAsia="Times New Roman" w:hAnsi="Times New Roman"/>
          <w:color w:val="000000"/>
        </w:rPr>
        <w:t>nu bolo numericky viac úmrtí z kardiovaskulárnej príčiny a cievnych mozgových príhod ako v skupine placeba a v skupine aliskir</w:t>
      </w:r>
      <w:r w:rsidRPr="00155205">
        <w:rPr>
          <w:rFonts w:ascii="Times New Roman" w:eastAsia="Times New Roman" w:hAnsi="Times New Roman"/>
          <w:color w:val="000000"/>
        </w:rPr>
        <w:t>é</w:t>
      </w:r>
      <w:r w:rsidR="00A95EEC" w:rsidRPr="00155205">
        <w:rPr>
          <w:rFonts w:ascii="Times New Roman" w:eastAsia="Times New Roman" w:hAnsi="Times New Roman"/>
          <w:color w:val="000000"/>
        </w:rPr>
        <w:t>nu boli častejšie hlásené sledované nežiaduce udalosti a závažné nežiaduce udalosti (hyperkaliémia, hypotenzia a renálna dysfunkcia) ako v skupine placeba.</w:t>
      </w:r>
    </w:p>
    <w:p w:rsidR="00A95EEC" w:rsidRPr="00155205" w:rsidRDefault="00A95EEC" w:rsidP="00FD2D5B">
      <w:pPr>
        <w:spacing w:after="0" w:line="240" w:lineRule="auto"/>
        <w:rPr>
          <w:rFonts w:ascii="Times New Roman" w:hAnsi="Times New Roman"/>
          <w:noProof/>
          <w:lang w:eastAsia="sk-SK"/>
        </w:rPr>
      </w:pPr>
    </w:p>
    <w:p w:rsidR="00A95EEC" w:rsidRPr="00155205" w:rsidRDefault="00DA62B4" w:rsidP="00FD2D5B">
      <w:pPr>
        <w:spacing w:after="0" w:line="240" w:lineRule="auto"/>
        <w:rPr>
          <w:rFonts w:ascii="Times New Roman" w:hAnsi="Times New Roman"/>
          <w:i/>
          <w:noProof/>
          <w:lang w:eastAsia="sk-SK"/>
        </w:rPr>
      </w:pPr>
      <w:r w:rsidRPr="00155205">
        <w:rPr>
          <w:rFonts w:ascii="Times New Roman" w:hAnsi="Times New Roman"/>
          <w:i/>
          <w:noProof/>
          <w:lang w:eastAsia="sk-SK"/>
        </w:rPr>
        <w:t>Amlodipín</w:t>
      </w:r>
    </w:p>
    <w:p w:rsidR="001C0328" w:rsidRPr="00155205" w:rsidRDefault="001C0328" w:rsidP="00FD2D5B">
      <w:pPr>
        <w:tabs>
          <w:tab w:val="left" w:pos="0"/>
        </w:tabs>
        <w:spacing w:after="0" w:line="240" w:lineRule="auto"/>
        <w:rPr>
          <w:rFonts w:ascii="Times New Roman" w:hAnsi="Times New Roman"/>
          <w:lang w:eastAsia="sk-SK"/>
        </w:rPr>
      </w:pPr>
    </w:p>
    <w:p w:rsidR="00FD2D5B" w:rsidRPr="00155205" w:rsidRDefault="00FD2D5B" w:rsidP="00FD2D5B">
      <w:pPr>
        <w:tabs>
          <w:tab w:val="left" w:pos="0"/>
        </w:tabs>
        <w:spacing w:after="0" w:line="240" w:lineRule="auto"/>
        <w:rPr>
          <w:rFonts w:ascii="Times New Roman" w:hAnsi="Times New Roman"/>
          <w:lang w:eastAsia="sk-SK"/>
        </w:rPr>
      </w:pPr>
      <w:r w:rsidRPr="00155205">
        <w:rPr>
          <w:rFonts w:ascii="Times New Roman" w:hAnsi="Times New Roman"/>
          <w:lang w:eastAsia="sk-SK"/>
        </w:rPr>
        <w:t>Amlodipín je inhibítor vstupu kalciových iónov z dihydropyridínovej skupiny (blokátor pomalého kanála alebo antagonista kalciových iónov) a inhibuje transmembránový vstup kalciových iónov do hladkých svalov srdca a ciev.</w:t>
      </w:r>
    </w:p>
    <w:p w:rsidR="00FD2D5B" w:rsidRPr="00155205" w:rsidRDefault="00FD2D5B" w:rsidP="00FD2D5B">
      <w:pPr>
        <w:tabs>
          <w:tab w:val="left" w:pos="0"/>
        </w:tabs>
        <w:spacing w:after="0" w:line="240" w:lineRule="auto"/>
        <w:rPr>
          <w:rFonts w:ascii="Times New Roman" w:hAnsi="Times New Roman"/>
          <w:i/>
          <w:noProof/>
          <w:u w:val="single"/>
          <w:lang w:eastAsia="sk-SK"/>
        </w:rPr>
      </w:pPr>
    </w:p>
    <w:p w:rsidR="00FD2D5B" w:rsidRPr="00155205" w:rsidRDefault="00FD2D5B" w:rsidP="00FD2D5B">
      <w:pPr>
        <w:tabs>
          <w:tab w:val="left" w:pos="0"/>
        </w:tabs>
        <w:spacing w:after="0" w:line="240" w:lineRule="auto"/>
        <w:rPr>
          <w:rFonts w:ascii="Times New Roman" w:hAnsi="Times New Roman"/>
          <w:lang w:eastAsia="sk-SK"/>
        </w:rPr>
      </w:pPr>
      <w:r w:rsidRPr="00155205">
        <w:rPr>
          <w:rFonts w:ascii="Times New Roman" w:hAnsi="Times New Roman"/>
          <w:lang w:eastAsia="sk-SK"/>
        </w:rPr>
        <w:t>Mechanizmom antihypertenzného účinku amlodipínu je priamy relaxačný vplyv na hladké svaly ciev. Presný mechanizmus, ktorým amlodipín vyvoláva úľavu symptómov ang</w:t>
      </w:r>
      <w:r w:rsidR="00FD24BD" w:rsidRPr="00155205">
        <w:rPr>
          <w:rFonts w:ascii="Times New Roman" w:hAnsi="Times New Roman"/>
          <w:lang w:eastAsia="sk-SK"/>
        </w:rPr>
        <w:t>í</w:t>
      </w:r>
      <w:r w:rsidRPr="00155205">
        <w:rPr>
          <w:rFonts w:ascii="Times New Roman" w:hAnsi="Times New Roman"/>
          <w:lang w:eastAsia="sk-SK"/>
        </w:rPr>
        <w:t>ny pe</w:t>
      </w:r>
      <w:r w:rsidR="00FD24BD" w:rsidRPr="00155205">
        <w:rPr>
          <w:rFonts w:ascii="Times New Roman" w:hAnsi="Times New Roman"/>
          <w:lang w:eastAsia="sk-SK"/>
        </w:rPr>
        <w:t>k</w:t>
      </w:r>
      <w:r w:rsidRPr="00155205">
        <w:rPr>
          <w:rFonts w:ascii="Times New Roman" w:hAnsi="Times New Roman"/>
          <w:lang w:eastAsia="sk-SK"/>
        </w:rPr>
        <w:t>toris</w:t>
      </w:r>
      <w:r w:rsidR="00E729CB" w:rsidRPr="00155205">
        <w:rPr>
          <w:rFonts w:ascii="Times New Roman" w:hAnsi="Times New Roman"/>
          <w:lang w:eastAsia="sk-SK"/>
        </w:rPr>
        <w:t>,</w:t>
      </w:r>
      <w:r w:rsidRPr="00155205">
        <w:rPr>
          <w:rFonts w:ascii="Times New Roman" w:hAnsi="Times New Roman"/>
          <w:lang w:eastAsia="sk-SK"/>
        </w:rPr>
        <w:t xml:space="preserve"> nie je úplne známy, ale amlodipín redukuje celkovú ischemickú záťaž dvoma nasledovnými účinkami: </w:t>
      </w:r>
    </w:p>
    <w:p w:rsidR="00320455" w:rsidRPr="00155205" w:rsidRDefault="00320455" w:rsidP="00FD2D5B">
      <w:pPr>
        <w:tabs>
          <w:tab w:val="left" w:pos="0"/>
        </w:tabs>
        <w:spacing w:after="0" w:line="240" w:lineRule="auto"/>
        <w:rPr>
          <w:rFonts w:ascii="Times New Roman" w:hAnsi="Times New Roman"/>
          <w:lang w:eastAsia="sk-SK"/>
        </w:rPr>
      </w:pPr>
    </w:p>
    <w:p w:rsidR="00FD2D5B" w:rsidRPr="00155205" w:rsidRDefault="00FD2D5B" w:rsidP="00B91860">
      <w:pPr>
        <w:pStyle w:val="Odsekzoznamu"/>
        <w:numPr>
          <w:ilvl w:val="0"/>
          <w:numId w:val="19"/>
        </w:numPr>
        <w:tabs>
          <w:tab w:val="left" w:pos="0"/>
        </w:tabs>
        <w:spacing w:after="0" w:line="240" w:lineRule="auto"/>
        <w:ind w:left="284" w:hanging="284"/>
        <w:rPr>
          <w:rFonts w:ascii="Times New Roman" w:hAnsi="Times New Roman"/>
          <w:lang w:eastAsia="sk-SK"/>
        </w:rPr>
      </w:pPr>
      <w:r w:rsidRPr="00155205">
        <w:rPr>
          <w:rFonts w:ascii="Times New Roman" w:hAnsi="Times New Roman"/>
          <w:lang w:eastAsia="sk-SK"/>
        </w:rPr>
        <w:t xml:space="preserve">Amlodipín dilatuje periférne arterioly a znižuje teda celkovú periférnu rezistenciu (afterload), proti ktorej pracuje srdce. Keďže frekvencia srdca ostáva stabilná, táto menšia záťaž srdca znižuje spotrebu energie </w:t>
      </w:r>
      <w:r w:rsidR="00FD24BD" w:rsidRPr="00155205">
        <w:rPr>
          <w:rFonts w:ascii="Times New Roman" w:hAnsi="Times New Roman"/>
          <w:lang w:eastAsia="sk-SK"/>
        </w:rPr>
        <w:t xml:space="preserve">v </w:t>
      </w:r>
      <w:r w:rsidRPr="00155205">
        <w:rPr>
          <w:rFonts w:ascii="Times New Roman" w:hAnsi="Times New Roman"/>
          <w:lang w:eastAsia="sk-SK"/>
        </w:rPr>
        <w:t>myokarde a potrebu kyslíka.</w:t>
      </w:r>
    </w:p>
    <w:p w:rsidR="00320455" w:rsidRPr="00155205" w:rsidRDefault="00320455" w:rsidP="00B91860">
      <w:pPr>
        <w:pStyle w:val="Odsekzoznamu"/>
        <w:tabs>
          <w:tab w:val="left" w:pos="0"/>
        </w:tabs>
        <w:spacing w:after="0" w:line="240" w:lineRule="auto"/>
        <w:ind w:left="284" w:hanging="284"/>
        <w:rPr>
          <w:rFonts w:ascii="Times New Roman" w:hAnsi="Times New Roman"/>
          <w:lang w:eastAsia="sk-SK"/>
        </w:rPr>
      </w:pPr>
    </w:p>
    <w:p w:rsidR="00FD2D5B" w:rsidRPr="00155205" w:rsidRDefault="00FD2D5B" w:rsidP="00B91860">
      <w:pPr>
        <w:pStyle w:val="Odsekzoznamu"/>
        <w:numPr>
          <w:ilvl w:val="0"/>
          <w:numId w:val="19"/>
        </w:numPr>
        <w:tabs>
          <w:tab w:val="left" w:pos="0"/>
        </w:tabs>
        <w:spacing w:after="0" w:line="240" w:lineRule="auto"/>
        <w:ind w:left="284" w:hanging="284"/>
        <w:rPr>
          <w:rFonts w:ascii="Times New Roman" w:hAnsi="Times New Roman"/>
          <w:lang w:eastAsia="sk-SK"/>
        </w:rPr>
      </w:pPr>
      <w:r w:rsidRPr="00155205">
        <w:rPr>
          <w:rFonts w:ascii="Times New Roman" w:hAnsi="Times New Roman"/>
          <w:lang w:eastAsia="sk-SK"/>
        </w:rPr>
        <w:lastRenderedPageBreak/>
        <w:t>Mechanizmus účinku amlodipínu pravdepodobne tiež zahŕňa aj dilatáciu hlavných koronárnych artérií a koronárnych arteriol v normálnych aj ischemických oblastiach. Táto dilatácia zvyšuje dodávku kyslíka myokardu u pacientov so spazmom koronárnych artérií (Pr</w:t>
      </w:r>
      <w:r w:rsidR="00FD24BD" w:rsidRPr="00155205">
        <w:rPr>
          <w:rFonts w:ascii="Times New Roman" w:hAnsi="Times New Roman"/>
          <w:lang w:eastAsia="sk-SK"/>
        </w:rPr>
        <w:t>inzmetalova alebo variantná angí</w:t>
      </w:r>
      <w:r w:rsidRPr="00155205">
        <w:rPr>
          <w:rFonts w:ascii="Times New Roman" w:hAnsi="Times New Roman"/>
          <w:lang w:eastAsia="sk-SK"/>
        </w:rPr>
        <w:t>na pe</w:t>
      </w:r>
      <w:r w:rsidR="00FD24BD" w:rsidRPr="00155205">
        <w:rPr>
          <w:rFonts w:ascii="Times New Roman" w:hAnsi="Times New Roman"/>
          <w:lang w:eastAsia="sk-SK"/>
        </w:rPr>
        <w:t>k</w:t>
      </w:r>
      <w:r w:rsidRPr="00155205">
        <w:rPr>
          <w:rFonts w:ascii="Times New Roman" w:hAnsi="Times New Roman"/>
          <w:lang w:eastAsia="sk-SK"/>
        </w:rPr>
        <w:t>toris).</w:t>
      </w:r>
    </w:p>
    <w:p w:rsidR="00FD2D5B" w:rsidRPr="00155205" w:rsidRDefault="00FD2D5B" w:rsidP="00B91860">
      <w:pPr>
        <w:tabs>
          <w:tab w:val="left" w:pos="0"/>
        </w:tabs>
        <w:spacing w:after="0" w:line="240" w:lineRule="auto"/>
        <w:ind w:left="284" w:hanging="284"/>
        <w:rPr>
          <w:rFonts w:ascii="Times New Roman" w:hAnsi="Times New Roman"/>
          <w:lang w:eastAsia="sk-SK"/>
        </w:rPr>
      </w:pPr>
    </w:p>
    <w:p w:rsidR="00320455" w:rsidRPr="00155205" w:rsidRDefault="00320455" w:rsidP="00320455">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 xml:space="preserve">U pacientov s hypertenziou </w:t>
      </w:r>
      <w:r w:rsidR="00FE35BF" w:rsidRPr="00155205">
        <w:rPr>
          <w:rFonts w:ascii="Times New Roman" w:eastAsia="Times New Roman" w:hAnsi="Times New Roman"/>
        </w:rPr>
        <w:t>zabezpečuje</w:t>
      </w:r>
      <w:r w:rsidRPr="00155205">
        <w:rPr>
          <w:rFonts w:ascii="Times New Roman" w:eastAsia="Times New Roman" w:hAnsi="Times New Roman"/>
        </w:rPr>
        <w:t xml:space="preserve"> dávkovanie jedenkrát denne klinicky signifikantné zníženi</w:t>
      </w:r>
      <w:r w:rsidR="00FE35BF" w:rsidRPr="00155205">
        <w:rPr>
          <w:rFonts w:ascii="Times New Roman" w:eastAsia="Times New Roman" w:hAnsi="Times New Roman"/>
        </w:rPr>
        <w:t>e</w:t>
      </w:r>
      <w:r w:rsidRPr="00155205">
        <w:rPr>
          <w:rFonts w:ascii="Times New Roman" w:eastAsia="Times New Roman" w:hAnsi="Times New Roman"/>
        </w:rPr>
        <w:t xml:space="preserve"> tlaku krvi v ľahu aj v stoji počas celého 24</w:t>
      </w:r>
      <w:r w:rsidRPr="00155205">
        <w:rPr>
          <w:rFonts w:ascii="Times New Roman" w:eastAsia="Times New Roman" w:hAnsi="Times New Roman"/>
        </w:rPr>
        <w:noBreakHyphen/>
        <w:t>hodinového intervalu. Vzhľadom k pozvoľnému nástupu účinku nie je podávanie amlodipínu spojené s akútnou hypotenziou.</w:t>
      </w:r>
    </w:p>
    <w:p w:rsidR="00320455" w:rsidRPr="00155205" w:rsidRDefault="00320455" w:rsidP="00320455">
      <w:pPr>
        <w:tabs>
          <w:tab w:val="left" w:pos="567"/>
        </w:tabs>
        <w:spacing w:after="0" w:line="240" w:lineRule="auto"/>
        <w:rPr>
          <w:rFonts w:ascii="Times New Roman" w:eastAsia="Times New Roman" w:hAnsi="Times New Roman"/>
        </w:rPr>
      </w:pPr>
    </w:p>
    <w:p w:rsidR="00320455" w:rsidRPr="00155205" w:rsidRDefault="00320455" w:rsidP="00320455">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U pacientov s angínou pektoris dávkovanie amlodipínu jedenkrát denne predlžuje celkový čas schopnosti vykonávať fyzickú záťaž, časový interval do vzniku anginóznych ťažkostí a čas do objavenia</w:t>
      </w:r>
      <w:r w:rsidRPr="00155205">
        <w:rPr>
          <w:rFonts w:ascii="Times New Roman" w:eastAsia="Times New Roman" w:hAnsi="Times New Roman"/>
          <w:b/>
        </w:rPr>
        <w:t xml:space="preserve"> </w:t>
      </w:r>
      <w:r w:rsidRPr="00155205">
        <w:rPr>
          <w:rFonts w:ascii="Times New Roman" w:eastAsia="Times New Roman" w:hAnsi="Times New Roman"/>
        </w:rPr>
        <w:t>sa 1</w:t>
      </w:r>
      <w:r w:rsidRPr="00155205">
        <w:rPr>
          <w:rFonts w:ascii="Times New Roman" w:eastAsia="Times New Roman" w:hAnsi="Times New Roman"/>
        </w:rPr>
        <w:noBreakHyphen/>
        <w:t xml:space="preserve">milimetrovej depresie ST segmentu a znižuje frekvenciu anginóznych záchvatov, ako aj potrebu užívania </w:t>
      </w:r>
      <w:r w:rsidR="00FE35BF" w:rsidRPr="00155205">
        <w:rPr>
          <w:rFonts w:ascii="Times New Roman" w:eastAsia="Times New Roman" w:hAnsi="Times New Roman"/>
        </w:rPr>
        <w:t xml:space="preserve">tabliet </w:t>
      </w:r>
      <w:r w:rsidRPr="00155205">
        <w:rPr>
          <w:rFonts w:ascii="Times New Roman" w:eastAsia="Times New Roman" w:hAnsi="Times New Roman"/>
        </w:rPr>
        <w:t>nitroglycerínu.</w:t>
      </w:r>
    </w:p>
    <w:p w:rsidR="00320455" w:rsidRPr="00155205" w:rsidRDefault="00320455" w:rsidP="00320455">
      <w:pPr>
        <w:tabs>
          <w:tab w:val="left" w:pos="567"/>
        </w:tabs>
        <w:spacing w:after="0" w:line="240" w:lineRule="auto"/>
        <w:rPr>
          <w:rFonts w:ascii="Times New Roman" w:eastAsia="Times New Roman" w:hAnsi="Times New Roman"/>
          <w:b/>
        </w:rPr>
      </w:pPr>
    </w:p>
    <w:p w:rsidR="00320455" w:rsidRPr="00155205" w:rsidRDefault="00320455" w:rsidP="00320455">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Podávanie amlodipínu nie je spojené so žiadnymi nepriaznivými metabolickými účinkami, ani zmenami plazmatických lipidov a je vhodné u pacientov s astmou, cukrovkou a dnou.</w:t>
      </w:r>
    </w:p>
    <w:p w:rsidR="00320455" w:rsidRPr="00155205" w:rsidRDefault="00320455" w:rsidP="00B91860">
      <w:pPr>
        <w:spacing w:after="0" w:line="240" w:lineRule="auto"/>
        <w:rPr>
          <w:rFonts w:ascii="Times New Roman" w:hAnsi="Times New Roman"/>
          <w:highlight w:val="yellow"/>
          <w:u w:val="single"/>
          <w:lang w:eastAsia="sk-SK"/>
        </w:rPr>
      </w:pPr>
    </w:p>
    <w:p w:rsidR="00B91860" w:rsidRPr="00155205" w:rsidRDefault="00B91860" w:rsidP="00B91860">
      <w:pPr>
        <w:tabs>
          <w:tab w:val="left" w:pos="567"/>
        </w:tabs>
        <w:spacing w:line="240" w:lineRule="auto"/>
        <w:rPr>
          <w:rFonts w:ascii="Times New Roman" w:hAnsi="Times New Roman"/>
          <w:u w:val="single"/>
        </w:rPr>
      </w:pPr>
      <w:r w:rsidRPr="00155205">
        <w:rPr>
          <w:rFonts w:ascii="Times New Roman" w:hAnsi="Times New Roman"/>
          <w:u w:val="single"/>
        </w:rPr>
        <w:t>Použitie u pacientov s koronárnou chorobou srdca (Coronary artery Disease, CAD)</w:t>
      </w:r>
    </w:p>
    <w:p w:rsidR="00B91860" w:rsidRPr="00155205" w:rsidRDefault="00B91860" w:rsidP="00B91860">
      <w:pPr>
        <w:pStyle w:val="Zarkazkladnhotextu"/>
        <w:tabs>
          <w:tab w:val="left" w:pos="567"/>
        </w:tabs>
        <w:spacing w:after="0"/>
        <w:ind w:left="0" w:firstLine="0"/>
        <w:rPr>
          <w:szCs w:val="22"/>
        </w:rPr>
      </w:pPr>
      <w:r w:rsidRPr="00155205">
        <w:rPr>
          <w:szCs w:val="22"/>
        </w:rPr>
        <w:t>Účinnosť amlodipínu v predchádzaní klinickým príhodám u pacientov s koronárnou chorobou srdca (CAD) sa hodnotila v nezávislej multicentrickej, randomizovanej, dvojito zaslepenej, placebom kontrolovanej štúdii s 1 997 pacientmi; Porovnanie amlodipínu voči enalaprilu zamerané na zníženie výskytu trombózy (Comparison of Amlodipine vs. Enalapril to Limit Occurrences of Thrombosis, CAMELOT). Z týchto pacientov bolo počas 2 rokov 663 liečených amlodipínom v dávkach 5</w:t>
      </w:r>
      <w:r w:rsidRPr="00155205">
        <w:rPr>
          <w:szCs w:val="22"/>
        </w:rPr>
        <w:noBreakHyphen/>
        <w:t>10 mg, 673 pacientov bolo liečených enalaprilom v dávkach 10</w:t>
      </w:r>
      <w:r w:rsidRPr="00155205">
        <w:rPr>
          <w:szCs w:val="22"/>
        </w:rPr>
        <w:noBreakHyphen/>
        <w:t xml:space="preserve">20 mg a 655 pacientov </w:t>
      </w:r>
      <w:r w:rsidR="00751310" w:rsidRPr="00155205">
        <w:rPr>
          <w:szCs w:val="22"/>
        </w:rPr>
        <w:t>dostávalo</w:t>
      </w:r>
      <w:r w:rsidRPr="00155205">
        <w:rPr>
          <w:szCs w:val="22"/>
        </w:rPr>
        <w:t xml:space="preserve"> placebo, popri štandardnej liečbe statínmi, betablokátormi, diuretikami a kyselinou acetylsalicylovou. Najdôležitejšie výsledky týkajúce sa účinnosti sú uvedené v tabuľke 1. Výsledky naznačujú, že pri liečbe amlodipínom bolo u pacientov s CAD zaznamenaných menej hospitalizácií </w:t>
      </w:r>
      <w:r w:rsidR="009D0B63" w:rsidRPr="00155205">
        <w:rPr>
          <w:szCs w:val="22"/>
        </w:rPr>
        <w:t xml:space="preserve">z dôvodu angíny </w:t>
      </w:r>
      <w:r w:rsidRPr="00155205">
        <w:rPr>
          <w:szCs w:val="22"/>
        </w:rPr>
        <w:t xml:space="preserve">a revaskularizačných výkonov. </w:t>
      </w:r>
    </w:p>
    <w:p w:rsidR="00B91860" w:rsidRPr="00155205" w:rsidRDefault="00B91860" w:rsidP="00B91860">
      <w:pPr>
        <w:tabs>
          <w:tab w:val="left" w:pos="567"/>
        </w:tabs>
        <w:spacing w:after="0" w:line="240" w:lineRule="auto"/>
        <w:rPr>
          <w:rFonts w:ascii="Times New Roman" w:hAnsi="Times New Roman"/>
        </w:rPr>
      </w:pPr>
    </w:p>
    <w:tbl>
      <w:tblPr>
        <w:tblpPr w:leftFromText="180" w:rightFromText="180" w:vertAnchor="text" w:horzAnchor="margin" w:tblpY="13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309"/>
        <w:gridCol w:w="1440"/>
        <w:gridCol w:w="1253"/>
        <w:gridCol w:w="1668"/>
        <w:gridCol w:w="958"/>
      </w:tblGrid>
      <w:tr w:rsidR="00B91860" w:rsidRPr="00155205" w:rsidTr="00C328A0">
        <w:trPr>
          <w:cantSplit/>
          <w:tblHeader/>
        </w:trPr>
        <w:tc>
          <w:tcPr>
            <w:tcW w:w="9464" w:type="dxa"/>
            <w:gridSpan w:val="6"/>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b/>
                <w:sz w:val="22"/>
                <w:lang w:eastAsia="sk-SK"/>
              </w:rPr>
            </w:pPr>
            <w:r w:rsidRPr="00155205">
              <w:rPr>
                <w:rStyle w:val="ParagraphChar"/>
                <w:rFonts w:ascii="Times New Roman" w:hAnsi="Times New Roman"/>
                <w:b/>
                <w:sz w:val="22"/>
                <w:szCs w:val="22"/>
                <w:lang w:val="sk-SK" w:eastAsia="sk-SK"/>
              </w:rPr>
              <w:t>Tabuľka </w:t>
            </w:r>
            <w:r w:rsidRPr="00155205">
              <w:rPr>
                <w:rStyle w:val="ParagraphChar"/>
                <w:rFonts w:ascii="Times New Roman" w:hAnsi="Times New Roman"/>
                <w:b/>
                <w:sz w:val="22"/>
                <w:szCs w:val="22"/>
                <w:lang w:val="sk-SK" w:eastAsia="sk-SK"/>
              </w:rPr>
              <w:fldChar w:fldCharType="begin"/>
            </w:r>
            <w:r w:rsidRPr="00155205">
              <w:rPr>
                <w:rStyle w:val="ParagraphChar"/>
                <w:rFonts w:ascii="Times New Roman" w:hAnsi="Times New Roman"/>
                <w:b/>
                <w:sz w:val="22"/>
                <w:szCs w:val="22"/>
                <w:lang w:val="sk-SK" w:eastAsia="sk-SK"/>
              </w:rPr>
              <w:instrText xml:space="preserve"> SEQ Table \* ARABIC </w:instrText>
            </w:r>
            <w:r w:rsidRPr="00155205">
              <w:rPr>
                <w:rStyle w:val="ParagraphChar"/>
                <w:rFonts w:ascii="Times New Roman" w:hAnsi="Times New Roman"/>
                <w:b/>
                <w:sz w:val="22"/>
                <w:szCs w:val="22"/>
                <w:lang w:val="sk-SK" w:eastAsia="sk-SK"/>
              </w:rPr>
              <w:fldChar w:fldCharType="separate"/>
            </w:r>
            <w:r w:rsidRPr="00155205">
              <w:rPr>
                <w:rStyle w:val="ParagraphChar"/>
                <w:rFonts w:ascii="Times New Roman" w:hAnsi="Times New Roman"/>
                <w:b/>
                <w:noProof/>
                <w:sz w:val="22"/>
                <w:szCs w:val="22"/>
                <w:lang w:val="sk-SK" w:eastAsia="sk-SK"/>
              </w:rPr>
              <w:t>1</w:t>
            </w:r>
            <w:r w:rsidRPr="00155205">
              <w:rPr>
                <w:rStyle w:val="ParagraphChar"/>
                <w:rFonts w:ascii="Times New Roman" w:hAnsi="Times New Roman"/>
                <w:b/>
                <w:sz w:val="22"/>
                <w:szCs w:val="22"/>
                <w:lang w:val="sk-SK" w:eastAsia="sk-SK"/>
              </w:rPr>
              <w:fldChar w:fldCharType="end"/>
            </w:r>
            <w:r w:rsidRPr="00155205">
              <w:rPr>
                <w:rStyle w:val="ParagraphChar"/>
                <w:rFonts w:ascii="Times New Roman" w:hAnsi="Times New Roman"/>
                <w:b/>
                <w:sz w:val="22"/>
                <w:szCs w:val="22"/>
                <w:lang w:val="sk-SK" w:eastAsia="sk-SK"/>
              </w:rPr>
              <w:t>.</w:t>
            </w:r>
            <w:r w:rsidRPr="00155205">
              <w:rPr>
                <w:rStyle w:val="ParagraphChar"/>
                <w:rFonts w:ascii="Times New Roman" w:hAnsi="Times New Roman"/>
                <w:b/>
                <w:sz w:val="22"/>
                <w:szCs w:val="22"/>
                <w:lang w:val="sk-SK" w:eastAsia="sk-SK"/>
              </w:rPr>
              <w:tab/>
              <w:t>Incidencia signifikantných klinických výsledkov pre CAMELOT</w:t>
            </w:r>
          </w:p>
        </w:tc>
      </w:tr>
      <w:tr w:rsidR="00B91860" w:rsidRPr="00155205" w:rsidTr="00C328A0">
        <w:trPr>
          <w:cantSplit/>
          <w:tblHeader/>
        </w:trPr>
        <w:tc>
          <w:tcPr>
            <w:tcW w:w="2836"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p>
        </w:tc>
        <w:tc>
          <w:tcPr>
            <w:tcW w:w="4002" w:type="dxa"/>
            <w:gridSpan w:val="3"/>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u w:val="single"/>
              </w:rPr>
            </w:pPr>
            <w:r w:rsidRPr="00155205">
              <w:rPr>
                <w:rStyle w:val="TableText9"/>
                <w:sz w:val="22"/>
                <w:u w:val="single"/>
              </w:rPr>
              <w:t>Výskyt kardiovaskulárnych príhod</w:t>
            </w:r>
          </w:p>
          <w:p w:rsidR="00B91860" w:rsidRPr="00155205" w:rsidRDefault="00B91860" w:rsidP="00B91860">
            <w:pPr>
              <w:tabs>
                <w:tab w:val="left" w:pos="567"/>
              </w:tabs>
              <w:spacing w:after="0" w:line="240" w:lineRule="auto"/>
              <w:rPr>
                <w:rStyle w:val="TableText9"/>
                <w:sz w:val="22"/>
              </w:rPr>
            </w:pPr>
            <w:r w:rsidRPr="00155205">
              <w:rPr>
                <w:rStyle w:val="TableText9"/>
                <w:sz w:val="22"/>
                <w:u w:val="single"/>
              </w:rPr>
              <w:t xml:space="preserve">                 Počet (%)</w:t>
            </w:r>
          </w:p>
        </w:tc>
        <w:tc>
          <w:tcPr>
            <w:tcW w:w="2626" w:type="dxa"/>
            <w:gridSpan w:val="2"/>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u w:val="single"/>
              </w:rPr>
              <w:t>amlodipín verzus placebo</w:t>
            </w:r>
          </w:p>
        </w:tc>
      </w:tr>
      <w:tr w:rsidR="00B91860" w:rsidRPr="00155205" w:rsidTr="00C328A0">
        <w:trPr>
          <w:cantSplit/>
          <w:tblHeader/>
        </w:trPr>
        <w:tc>
          <w:tcPr>
            <w:tcW w:w="2836"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Výsledky</w:t>
            </w:r>
          </w:p>
        </w:tc>
        <w:tc>
          <w:tcPr>
            <w:tcW w:w="1309"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amlodipín</w:t>
            </w:r>
          </w:p>
        </w:tc>
        <w:tc>
          <w:tcPr>
            <w:tcW w:w="1440"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placebo</w:t>
            </w:r>
          </w:p>
        </w:tc>
        <w:tc>
          <w:tcPr>
            <w:tcW w:w="1253" w:type="dxa"/>
            <w:tcBorders>
              <w:left w:val="nil"/>
              <w:bottom w:val="single" w:sz="4" w:space="0" w:color="auto"/>
              <w:right w:val="nil"/>
            </w:tcBorders>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enalapril</w:t>
            </w:r>
          </w:p>
        </w:tc>
        <w:tc>
          <w:tcPr>
            <w:tcW w:w="1668" w:type="dxa"/>
            <w:tcBorders>
              <w:left w:val="nil"/>
              <w:bottom w:val="single" w:sz="4" w:space="0" w:color="auto"/>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Pomer rizika (95 % IS)</w:t>
            </w:r>
          </w:p>
        </w:tc>
        <w:tc>
          <w:tcPr>
            <w:tcW w:w="958" w:type="dxa"/>
            <w:tcBorders>
              <w:left w:val="nil"/>
              <w:bottom w:val="single" w:sz="4" w:space="0" w:color="auto"/>
              <w:right w:val="nil"/>
            </w:tcBorders>
            <w:shd w:val="clear" w:color="auto" w:fill="auto"/>
            <w:vAlign w:val="center"/>
          </w:tcPr>
          <w:p w:rsidR="00C328A0" w:rsidRPr="00155205" w:rsidRDefault="00C328A0" w:rsidP="00C328A0">
            <w:pPr>
              <w:tabs>
                <w:tab w:val="left" w:pos="-8648"/>
              </w:tabs>
              <w:spacing w:after="0" w:line="240" w:lineRule="auto"/>
              <w:ind w:left="-142" w:right="-108" w:firstLine="141"/>
              <w:rPr>
                <w:rStyle w:val="TableText9"/>
                <w:sz w:val="20"/>
                <w:szCs w:val="20"/>
              </w:rPr>
            </w:pPr>
            <w:r w:rsidRPr="00155205">
              <w:rPr>
                <w:rStyle w:val="TableText9"/>
                <w:i/>
                <w:sz w:val="22"/>
              </w:rPr>
              <w:t>P</w:t>
            </w:r>
            <w:r w:rsidRPr="00155205">
              <w:rPr>
                <w:rStyle w:val="TableText9"/>
                <w:sz w:val="20"/>
                <w:szCs w:val="20"/>
              </w:rPr>
              <w:t xml:space="preserve"> </w:t>
            </w:r>
          </w:p>
          <w:p w:rsidR="00B91860" w:rsidRPr="00155205" w:rsidRDefault="00C328A0" w:rsidP="00C328A0">
            <w:pPr>
              <w:tabs>
                <w:tab w:val="left" w:pos="-8648"/>
              </w:tabs>
              <w:spacing w:after="0" w:line="240" w:lineRule="auto"/>
              <w:ind w:left="-142" w:right="-108" w:firstLine="141"/>
              <w:rPr>
                <w:rStyle w:val="TableText9"/>
                <w:sz w:val="22"/>
              </w:rPr>
            </w:pPr>
            <w:r w:rsidRPr="00155205">
              <w:rPr>
                <w:rStyle w:val="TableText9"/>
                <w:sz w:val="20"/>
                <w:szCs w:val="20"/>
              </w:rPr>
              <w:t>h</w:t>
            </w:r>
            <w:r w:rsidR="00B91860" w:rsidRPr="00155205">
              <w:rPr>
                <w:rStyle w:val="TableText9"/>
                <w:sz w:val="20"/>
                <w:szCs w:val="20"/>
              </w:rPr>
              <w:t>odnota</w:t>
            </w:r>
            <w:r w:rsidR="00B91860" w:rsidRPr="00155205">
              <w:rPr>
                <w:rStyle w:val="TableText9"/>
                <w:sz w:val="22"/>
              </w:rPr>
              <w:t xml:space="preserve"> </w:t>
            </w:r>
          </w:p>
        </w:tc>
      </w:tr>
      <w:tr w:rsidR="00C328A0" w:rsidRPr="00155205" w:rsidTr="00410093">
        <w:trPr>
          <w:cantSplit/>
        </w:trPr>
        <w:tc>
          <w:tcPr>
            <w:tcW w:w="9464" w:type="dxa"/>
            <w:gridSpan w:val="6"/>
            <w:tcBorders>
              <w:left w:val="nil"/>
              <w:bottom w:val="nil"/>
              <w:right w:val="nil"/>
            </w:tcBorders>
            <w:shd w:val="clear" w:color="auto" w:fill="auto"/>
            <w:vAlign w:val="center"/>
          </w:tcPr>
          <w:p w:rsidR="00C328A0" w:rsidRPr="00155205" w:rsidRDefault="00C328A0" w:rsidP="00C328A0">
            <w:pPr>
              <w:tabs>
                <w:tab w:val="left" w:pos="567"/>
              </w:tabs>
              <w:spacing w:after="0" w:line="240" w:lineRule="auto"/>
              <w:rPr>
                <w:rStyle w:val="TableText9"/>
                <w:sz w:val="22"/>
              </w:rPr>
            </w:pPr>
            <w:r w:rsidRPr="00155205">
              <w:rPr>
                <w:rStyle w:val="TableText9"/>
                <w:sz w:val="22"/>
                <w:u w:val="single"/>
              </w:rPr>
              <w:t>Primárny cieľový ukazovateľ</w:t>
            </w:r>
          </w:p>
        </w:tc>
      </w:tr>
      <w:tr w:rsidR="00B91860" w:rsidRPr="00155205" w:rsidTr="00C328A0">
        <w:trPr>
          <w:cantSplit/>
          <w:trHeight w:val="252"/>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Nežiaduce kardiovaskulárne príhody</w:t>
            </w:r>
          </w:p>
        </w:tc>
        <w:tc>
          <w:tcPr>
            <w:tcW w:w="1309" w:type="dxa"/>
            <w:tcBorders>
              <w:top w:val="nil"/>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110 (16,6)</w:t>
            </w:r>
          </w:p>
        </w:tc>
        <w:tc>
          <w:tcPr>
            <w:tcW w:w="1440" w:type="dxa"/>
            <w:tcBorders>
              <w:top w:val="nil"/>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151 (23,1)</w:t>
            </w:r>
          </w:p>
        </w:tc>
        <w:tc>
          <w:tcPr>
            <w:tcW w:w="1253" w:type="dxa"/>
            <w:tcBorders>
              <w:top w:val="nil"/>
              <w:left w:val="nil"/>
              <w:bottom w:val="nil"/>
              <w:right w:val="nil"/>
            </w:tcBorders>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136 (20,2)</w:t>
            </w:r>
          </w:p>
        </w:tc>
        <w:tc>
          <w:tcPr>
            <w:tcW w:w="1668" w:type="dxa"/>
            <w:tcBorders>
              <w:top w:val="nil"/>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0,69 (0,54</w:t>
            </w:r>
            <w:r w:rsidRPr="00155205">
              <w:rPr>
                <w:rStyle w:val="TableText9"/>
                <w:sz w:val="22"/>
              </w:rPr>
              <w:noBreakHyphen/>
              <w:t>0,88)</w:t>
            </w:r>
          </w:p>
        </w:tc>
        <w:tc>
          <w:tcPr>
            <w:tcW w:w="958" w:type="dxa"/>
            <w:tcBorders>
              <w:top w:val="nil"/>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r w:rsidRPr="00155205">
              <w:rPr>
                <w:rStyle w:val="TableText9"/>
                <w:sz w:val="22"/>
              </w:rPr>
              <w:t>0,003</w:t>
            </w:r>
          </w:p>
        </w:tc>
      </w:tr>
      <w:tr w:rsidR="00C328A0" w:rsidRPr="00155205" w:rsidTr="00C328A0">
        <w:trPr>
          <w:cantSplit/>
          <w:trHeight w:val="285"/>
        </w:trPr>
        <w:tc>
          <w:tcPr>
            <w:tcW w:w="9464" w:type="dxa"/>
            <w:gridSpan w:val="6"/>
            <w:tcBorders>
              <w:top w:val="nil"/>
              <w:left w:val="nil"/>
              <w:bottom w:val="nil"/>
              <w:right w:val="nil"/>
            </w:tcBorders>
            <w:shd w:val="clear" w:color="auto" w:fill="auto"/>
            <w:vAlign w:val="center"/>
          </w:tcPr>
          <w:p w:rsidR="00C328A0" w:rsidRPr="00155205" w:rsidRDefault="00C328A0" w:rsidP="00C328A0">
            <w:pPr>
              <w:tabs>
                <w:tab w:val="left" w:pos="567"/>
              </w:tabs>
              <w:spacing w:after="0" w:line="240" w:lineRule="auto"/>
              <w:rPr>
                <w:rStyle w:val="TableText9"/>
                <w:sz w:val="22"/>
              </w:rPr>
            </w:pPr>
            <w:r w:rsidRPr="00155205">
              <w:rPr>
                <w:rStyle w:val="TableText9"/>
                <w:sz w:val="22"/>
                <w:u w:val="single"/>
              </w:rPr>
              <w:t>Jednotlivé zložky</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Koronárna revaskularizácia</w:t>
            </w:r>
          </w:p>
        </w:tc>
        <w:tc>
          <w:tcPr>
            <w:tcW w:w="1309" w:type="dxa"/>
            <w:tcBorders>
              <w:top w:val="nil"/>
              <w:left w:val="nil"/>
              <w:bottom w:val="nil"/>
              <w:right w:val="nil"/>
            </w:tcBorders>
            <w:shd w:val="clear" w:color="auto" w:fill="auto"/>
            <w:vAlign w:val="center"/>
          </w:tcPr>
          <w:p w:rsidR="00B91860" w:rsidRPr="00155205" w:rsidRDefault="00B91860" w:rsidP="00C328A0">
            <w:pPr>
              <w:tabs>
                <w:tab w:val="left" w:pos="567"/>
              </w:tabs>
              <w:spacing w:after="0" w:line="240" w:lineRule="auto"/>
              <w:rPr>
                <w:rStyle w:val="TableText9"/>
                <w:sz w:val="22"/>
              </w:rPr>
            </w:pPr>
            <w:r w:rsidRPr="00155205">
              <w:rPr>
                <w:rStyle w:val="TableText9"/>
                <w:sz w:val="22"/>
              </w:rPr>
              <w:t>78 (11,8)</w:t>
            </w:r>
          </w:p>
        </w:tc>
        <w:tc>
          <w:tcPr>
            <w:tcW w:w="1440" w:type="dxa"/>
            <w:tcBorders>
              <w:top w:val="nil"/>
              <w:left w:val="nil"/>
              <w:bottom w:val="nil"/>
              <w:right w:val="nil"/>
            </w:tcBorders>
            <w:shd w:val="clear" w:color="auto" w:fill="auto"/>
            <w:vAlign w:val="center"/>
          </w:tcPr>
          <w:p w:rsidR="00B91860" w:rsidRPr="00155205" w:rsidRDefault="00B91860" w:rsidP="00C328A0">
            <w:pPr>
              <w:tabs>
                <w:tab w:val="left" w:pos="567"/>
              </w:tabs>
              <w:spacing w:after="0" w:line="240" w:lineRule="auto"/>
              <w:rPr>
                <w:rStyle w:val="TableText9"/>
                <w:sz w:val="22"/>
              </w:rPr>
            </w:pPr>
            <w:r w:rsidRPr="00386B5D">
              <w:rPr>
                <w:rFonts w:ascii="Times New Roman" w:hAnsi="Times New Roman"/>
              </w:rPr>
              <w:t>103 (15,7)</w:t>
            </w:r>
          </w:p>
        </w:tc>
        <w:tc>
          <w:tcPr>
            <w:tcW w:w="1253" w:type="dxa"/>
            <w:tcBorders>
              <w:top w:val="nil"/>
              <w:left w:val="nil"/>
              <w:bottom w:val="nil"/>
              <w:right w:val="nil"/>
            </w:tcBorders>
            <w:vAlign w:val="center"/>
          </w:tcPr>
          <w:p w:rsidR="00B91860" w:rsidRPr="00155205" w:rsidRDefault="00B91860" w:rsidP="00C328A0">
            <w:pPr>
              <w:tabs>
                <w:tab w:val="left" w:pos="567"/>
              </w:tabs>
              <w:spacing w:after="0" w:line="240" w:lineRule="auto"/>
              <w:rPr>
                <w:rFonts w:ascii="Times New Roman" w:hAnsi="Times New Roman"/>
              </w:rPr>
            </w:pPr>
            <w:r w:rsidRPr="00155205">
              <w:rPr>
                <w:rFonts w:ascii="Times New Roman" w:hAnsi="Times New Roman"/>
              </w:rPr>
              <w:t>95 (14,1)</w:t>
            </w:r>
          </w:p>
        </w:tc>
        <w:tc>
          <w:tcPr>
            <w:tcW w:w="1668" w:type="dxa"/>
            <w:tcBorders>
              <w:top w:val="nil"/>
              <w:left w:val="nil"/>
              <w:bottom w:val="nil"/>
              <w:right w:val="nil"/>
            </w:tcBorders>
            <w:shd w:val="clear" w:color="auto" w:fill="auto"/>
            <w:vAlign w:val="center"/>
          </w:tcPr>
          <w:p w:rsidR="00B91860" w:rsidRPr="00155205" w:rsidRDefault="00B91860" w:rsidP="00C328A0">
            <w:pPr>
              <w:tabs>
                <w:tab w:val="left" w:pos="567"/>
              </w:tabs>
              <w:spacing w:after="0" w:line="240" w:lineRule="auto"/>
              <w:rPr>
                <w:rStyle w:val="TableText9"/>
                <w:sz w:val="22"/>
              </w:rPr>
            </w:pPr>
            <w:r w:rsidRPr="00386B5D">
              <w:rPr>
                <w:rFonts w:ascii="Times New Roman" w:hAnsi="Times New Roman"/>
              </w:rPr>
              <w:t>0,73 (0,54</w:t>
            </w:r>
            <w:r w:rsidRPr="00155205">
              <w:rPr>
                <w:rFonts w:ascii="Times New Roman" w:hAnsi="Times New Roman"/>
              </w:rPr>
              <w:noBreakHyphen/>
              <w:t>0,98)</w:t>
            </w:r>
          </w:p>
        </w:tc>
        <w:tc>
          <w:tcPr>
            <w:tcW w:w="958" w:type="dxa"/>
            <w:tcBorders>
              <w:top w:val="nil"/>
              <w:left w:val="nil"/>
              <w:bottom w:val="nil"/>
              <w:right w:val="nil"/>
            </w:tcBorders>
            <w:shd w:val="clear" w:color="auto" w:fill="auto"/>
            <w:vAlign w:val="center"/>
          </w:tcPr>
          <w:p w:rsidR="00B91860" w:rsidRPr="00155205" w:rsidRDefault="00B91860" w:rsidP="00C328A0">
            <w:pPr>
              <w:tabs>
                <w:tab w:val="left" w:pos="567"/>
              </w:tabs>
              <w:spacing w:after="0" w:line="240" w:lineRule="auto"/>
              <w:rPr>
                <w:rStyle w:val="TableText9"/>
                <w:sz w:val="22"/>
              </w:rPr>
            </w:pPr>
            <w:r w:rsidRPr="00386B5D">
              <w:rPr>
                <w:rFonts w:ascii="Times New Roman" w:hAnsi="Times New Roman"/>
              </w:rPr>
              <w:t>0,03</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Hospitalizácia pre angínu pektoris</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51 (7,7)</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84 (12,8)</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86 (12,8)</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0,58 (0,41</w:t>
            </w:r>
            <w:r w:rsidRPr="00155205">
              <w:rPr>
                <w:rFonts w:ascii="Times New Roman" w:hAnsi="Times New Roman"/>
              </w:rPr>
              <w:noBreakHyphen/>
              <w:t>0,82)</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0,002</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Nefatálny IM</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14 (2,1)</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19 (2,9)</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11 (1,6)</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0,73 (0,37</w:t>
            </w:r>
            <w:r w:rsidRPr="00155205">
              <w:rPr>
                <w:rFonts w:ascii="Times New Roman" w:hAnsi="Times New Roman"/>
              </w:rPr>
              <w:noBreakHyphen/>
              <w:t>1,46)</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0,37</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Mozgová mŕtvica alebo TIA</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6 (0,9)</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12 (1,8)</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8 (1,2)</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0,50 (0,19</w:t>
            </w:r>
            <w:r w:rsidRPr="00155205">
              <w:rPr>
                <w:rFonts w:ascii="Times New Roman" w:hAnsi="Times New Roman"/>
              </w:rPr>
              <w:noBreakHyphen/>
              <w:t>1,32)</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0,15</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Smrť z kardiovaskulárnych príčin</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5 (0,8)</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2 (0,3)</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5 (0,7)</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2,46 (0,48</w:t>
            </w:r>
            <w:r w:rsidRPr="00155205">
              <w:rPr>
                <w:rFonts w:ascii="Times New Roman" w:hAnsi="Times New Roman"/>
              </w:rPr>
              <w:noBreakHyphen/>
              <w:t>12,7)</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0,27</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Hospitalizácia pre CHF</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3 (0,5)</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5 (0,8)</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4 (0,6)</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0,59 (0,14</w:t>
            </w:r>
            <w:r w:rsidRPr="00155205">
              <w:rPr>
                <w:rFonts w:ascii="Times New Roman" w:hAnsi="Times New Roman"/>
              </w:rPr>
              <w:noBreakHyphen/>
              <w:t>2,47)</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0,46</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Resuscitovaná zástava srdca</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155205">
              <w:rPr>
                <w:rStyle w:val="TableText9"/>
                <w:sz w:val="22"/>
              </w:rPr>
              <w:t>0</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4 (0,6)</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Style w:val="TableText9"/>
                <w:sz w:val="22"/>
              </w:rPr>
            </w:pPr>
            <w:r w:rsidRPr="00155205">
              <w:rPr>
                <w:rStyle w:val="TableText9"/>
                <w:sz w:val="22"/>
              </w:rPr>
              <w:t>1 (0,1)</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155205">
              <w:rPr>
                <w:rStyle w:val="TableText9"/>
                <w:sz w:val="22"/>
              </w:rPr>
              <w:t>NA</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0,04</w:t>
            </w:r>
          </w:p>
        </w:tc>
      </w:tr>
      <w:tr w:rsidR="00B91860" w:rsidRPr="00155205" w:rsidTr="00C328A0">
        <w:trPr>
          <w:cantSplit/>
        </w:trPr>
        <w:tc>
          <w:tcPr>
            <w:tcW w:w="2836" w:type="dxa"/>
            <w:tcBorders>
              <w:top w:val="nil"/>
              <w:left w:val="nil"/>
              <w:bottom w:val="nil"/>
              <w:right w:val="nil"/>
            </w:tcBorders>
            <w:shd w:val="clear" w:color="auto" w:fill="auto"/>
            <w:vAlign w:val="center"/>
          </w:tcPr>
          <w:p w:rsidR="00B91860" w:rsidRPr="00155205" w:rsidRDefault="00B91860" w:rsidP="00B91860">
            <w:pPr>
              <w:tabs>
                <w:tab w:val="left" w:pos="567"/>
              </w:tabs>
              <w:spacing w:after="0" w:line="240" w:lineRule="auto"/>
              <w:rPr>
                <w:rStyle w:val="TableText9"/>
                <w:sz w:val="22"/>
              </w:rPr>
            </w:pPr>
            <w:r w:rsidRPr="00155205">
              <w:rPr>
                <w:rStyle w:val="TableText9"/>
                <w:sz w:val="22"/>
              </w:rPr>
              <w:t>Novodiagnostikované ochorenie periférnych ciev</w:t>
            </w:r>
          </w:p>
        </w:tc>
        <w:tc>
          <w:tcPr>
            <w:tcW w:w="1309"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5 (0,8)</w:t>
            </w:r>
          </w:p>
        </w:tc>
        <w:tc>
          <w:tcPr>
            <w:tcW w:w="1440"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2 (0,3)</w:t>
            </w:r>
          </w:p>
        </w:tc>
        <w:tc>
          <w:tcPr>
            <w:tcW w:w="1253" w:type="dxa"/>
            <w:tcBorders>
              <w:top w:val="nil"/>
              <w:left w:val="nil"/>
              <w:bottom w:val="nil"/>
              <w:right w:val="nil"/>
            </w:tcBorders>
            <w:vAlign w:val="center"/>
          </w:tcPr>
          <w:p w:rsidR="00B91860" w:rsidRPr="00155205" w:rsidRDefault="00B91860" w:rsidP="00410687">
            <w:pPr>
              <w:tabs>
                <w:tab w:val="left" w:pos="567"/>
              </w:tabs>
              <w:spacing w:after="0" w:line="240" w:lineRule="auto"/>
              <w:rPr>
                <w:rFonts w:ascii="Times New Roman" w:hAnsi="Times New Roman"/>
              </w:rPr>
            </w:pPr>
            <w:r w:rsidRPr="00155205">
              <w:rPr>
                <w:rFonts w:ascii="Times New Roman" w:hAnsi="Times New Roman"/>
              </w:rPr>
              <w:t>8 (1,2)</w:t>
            </w:r>
          </w:p>
        </w:tc>
        <w:tc>
          <w:tcPr>
            <w:tcW w:w="166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2,6 (0,50</w:t>
            </w:r>
            <w:r w:rsidRPr="00155205">
              <w:rPr>
                <w:rFonts w:ascii="Times New Roman" w:hAnsi="Times New Roman"/>
              </w:rPr>
              <w:noBreakHyphen/>
              <w:t>13,4)</w:t>
            </w:r>
          </w:p>
        </w:tc>
        <w:tc>
          <w:tcPr>
            <w:tcW w:w="958" w:type="dxa"/>
            <w:tcBorders>
              <w:top w:val="nil"/>
              <w:left w:val="nil"/>
              <w:bottom w:val="nil"/>
              <w:right w:val="nil"/>
            </w:tcBorders>
            <w:shd w:val="clear" w:color="auto" w:fill="auto"/>
            <w:vAlign w:val="center"/>
          </w:tcPr>
          <w:p w:rsidR="00B91860" w:rsidRPr="00155205" w:rsidRDefault="00B91860" w:rsidP="00410687">
            <w:pPr>
              <w:tabs>
                <w:tab w:val="left" w:pos="567"/>
              </w:tabs>
              <w:spacing w:after="0" w:line="240" w:lineRule="auto"/>
              <w:rPr>
                <w:rStyle w:val="TableText9"/>
                <w:sz w:val="22"/>
              </w:rPr>
            </w:pPr>
            <w:r w:rsidRPr="00386B5D">
              <w:rPr>
                <w:rFonts w:ascii="Times New Roman" w:hAnsi="Times New Roman"/>
              </w:rPr>
              <w:t>0,24</w:t>
            </w:r>
          </w:p>
        </w:tc>
      </w:tr>
      <w:tr w:rsidR="00B91860" w:rsidRPr="00155205" w:rsidTr="00C328A0">
        <w:trPr>
          <w:cantSplit/>
        </w:trPr>
        <w:tc>
          <w:tcPr>
            <w:tcW w:w="9464" w:type="dxa"/>
            <w:gridSpan w:val="6"/>
            <w:tcBorders>
              <w:top w:val="single" w:sz="4" w:space="0" w:color="auto"/>
              <w:left w:val="nil"/>
              <w:bottom w:val="nil"/>
              <w:right w:val="nil"/>
            </w:tcBorders>
            <w:shd w:val="clear" w:color="auto" w:fill="auto"/>
            <w:vAlign w:val="center"/>
          </w:tcPr>
          <w:p w:rsidR="00B91860" w:rsidRPr="00155205" w:rsidRDefault="00B91860" w:rsidP="00B91860">
            <w:pPr>
              <w:tabs>
                <w:tab w:val="left" w:pos="567"/>
              </w:tabs>
              <w:spacing w:line="240" w:lineRule="auto"/>
              <w:rPr>
                <w:rStyle w:val="TableText9"/>
                <w:sz w:val="22"/>
              </w:rPr>
            </w:pPr>
          </w:p>
        </w:tc>
      </w:tr>
    </w:tbl>
    <w:p w:rsidR="00B91860" w:rsidRPr="00155205" w:rsidRDefault="00B91860" w:rsidP="00B91860">
      <w:pPr>
        <w:tabs>
          <w:tab w:val="left" w:pos="567"/>
        </w:tabs>
        <w:spacing w:after="0" w:line="240" w:lineRule="auto"/>
        <w:rPr>
          <w:rFonts w:ascii="Times New Roman" w:hAnsi="Times New Roman"/>
        </w:rPr>
      </w:pPr>
      <w:r w:rsidRPr="00386B5D">
        <w:rPr>
          <w:rFonts w:ascii="Times New Roman" w:hAnsi="Times New Roman"/>
        </w:rPr>
        <w:t>Skratky: CHF- kongestívne srdcové zlyhanie (congestive heart failure); IS- interval spoľahlivosti; IM- infarkt myokardu; TIA- tranzitórny ischemický atak.</w:t>
      </w:r>
    </w:p>
    <w:p w:rsidR="00B91860" w:rsidRPr="00155205" w:rsidRDefault="00B91860" w:rsidP="00B91860">
      <w:pPr>
        <w:spacing w:after="0" w:line="240" w:lineRule="auto"/>
        <w:rPr>
          <w:rFonts w:ascii="Times New Roman" w:hAnsi="Times New Roman"/>
          <w:i/>
          <w:color w:val="000000"/>
        </w:rPr>
      </w:pPr>
    </w:p>
    <w:p w:rsidR="00B91860" w:rsidRPr="00155205" w:rsidRDefault="00B91860" w:rsidP="00B91860">
      <w:pPr>
        <w:spacing w:after="0" w:line="240" w:lineRule="auto"/>
        <w:rPr>
          <w:rFonts w:ascii="Times New Roman" w:hAnsi="Times New Roman"/>
          <w:color w:val="000000"/>
          <w:u w:val="single"/>
        </w:rPr>
      </w:pPr>
      <w:r w:rsidRPr="00155205">
        <w:rPr>
          <w:rFonts w:ascii="Times New Roman" w:hAnsi="Times New Roman"/>
          <w:color w:val="000000"/>
          <w:u w:val="single"/>
        </w:rPr>
        <w:t xml:space="preserve">Použitie u pacientov so srdcovým zlyhaním </w:t>
      </w:r>
    </w:p>
    <w:p w:rsidR="00B91860" w:rsidRPr="00155205" w:rsidRDefault="00B91860" w:rsidP="00B91860">
      <w:pPr>
        <w:spacing w:after="0" w:line="240" w:lineRule="auto"/>
        <w:rPr>
          <w:rFonts w:ascii="Times New Roman" w:hAnsi="Times New Roman"/>
          <w:color w:val="000000"/>
        </w:rPr>
      </w:pPr>
      <w:r w:rsidRPr="00155205">
        <w:rPr>
          <w:rFonts w:ascii="Times New Roman" w:hAnsi="Times New Roman"/>
          <w:color w:val="000000"/>
        </w:rPr>
        <w:lastRenderedPageBreak/>
        <w:t xml:space="preserve">Hemodynamické štúdie a kontrolované klinické skúšania s využitím záťažových testov u pacientov so srdcovým zlyhaním II.-IV. stupňa podľa NYHA preukázali, že amlodipín na základe posúdenia tolerancie záťaže, ejekčnej frakcie ľavej komory a </w:t>
      </w:r>
      <w:r w:rsidRPr="00155205">
        <w:rPr>
          <w:rFonts w:ascii="Times New Roman" w:hAnsi="Times New Roman"/>
        </w:rPr>
        <w:t>klinickej symptomatológie nespôsobuje</w:t>
      </w:r>
      <w:r w:rsidRPr="00155205">
        <w:rPr>
          <w:rFonts w:ascii="Times New Roman" w:hAnsi="Times New Roman"/>
          <w:color w:val="000000"/>
        </w:rPr>
        <w:t xml:space="preserve"> klinické zhoršenie stavu. </w:t>
      </w:r>
    </w:p>
    <w:p w:rsidR="00013365" w:rsidRPr="00155205" w:rsidRDefault="00013365" w:rsidP="00B91860">
      <w:pPr>
        <w:spacing w:after="0" w:line="240" w:lineRule="auto"/>
        <w:rPr>
          <w:rFonts w:ascii="Times New Roman" w:hAnsi="Times New Roman"/>
          <w:color w:val="000000"/>
        </w:rPr>
      </w:pPr>
    </w:p>
    <w:p w:rsidR="00B91860" w:rsidRPr="00155205" w:rsidRDefault="00B91860" w:rsidP="00B91860">
      <w:pPr>
        <w:spacing w:after="0" w:line="240" w:lineRule="auto"/>
        <w:rPr>
          <w:rFonts w:ascii="Times New Roman" w:hAnsi="Times New Roman"/>
          <w:color w:val="000000"/>
        </w:rPr>
      </w:pPr>
      <w:r w:rsidRPr="00155205">
        <w:rPr>
          <w:rFonts w:ascii="Times New Roman" w:hAnsi="Times New Roman"/>
          <w:color w:val="000000"/>
        </w:rPr>
        <w:t xml:space="preserve">Výsledky placebom kontrolovanej štúdie (PRAISE), v ktorej boli sledovaní pacienti so srdcovým zlyhaním </w:t>
      </w:r>
      <w:r w:rsidRPr="00155205">
        <w:rPr>
          <w:rFonts w:ascii="Times New Roman" w:hAnsi="Times New Roman"/>
        </w:rPr>
        <w:t>III.</w:t>
      </w:r>
      <w:r w:rsidRPr="00155205">
        <w:rPr>
          <w:rFonts w:ascii="Times New Roman" w:hAnsi="Times New Roman"/>
        </w:rPr>
        <w:noBreakHyphen/>
        <w:t>IV. stupňa podľa</w:t>
      </w:r>
      <w:r w:rsidRPr="00155205">
        <w:rPr>
          <w:rFonts w:ascii="Times New Roman" w:hAnsi="Times New Roman"/>
          <w:color w:val="000000"/>
        </w:rPr>
        <w:t xml:space="preserve"> NYHA užívajúci digoxín, diuretikum a </w:t>
      </w:r>
      <w:r w:rsidRPr="00155205">
        <w:rPr>
          <w:rFonts w:ascii="Times New Roman" w:hAnsi="Times New Roman"/>
        </w:rPr>
        <w:t>inhibítor angiotenzín konvertujúceho enzýmu (</w:t>
      </w:r>
      <w:r w:rsidRPr="00155205">
        <w:rPr>
          <w:rFonts w:ascii="Times New Roman" w:hAnsi="Times New Roman"/>
          <w:color w:val="000000"/>
        </w:rPr>
        <w:t>ACE) ukázali, že podávani</w:t>
      </w:r>
      <w:r w:rsidR="00013365" w:rsidRPr="00155205">
        <w:rPr>
          <w:rFonts w:ascii="Times New Roman" w:hAnsi="Times New Roman"/>
          <w:color w:val="000000"/>
        </w:rPr>
        <w:t>e</w:t>
      </w:r>
      <w:r w:rsidRPr="00155205">
        <w:rPr>
          <w:rFonts w:ascii="Times New Roman" w:hAnsi="Times New Roman"/>
          <w:color w:val="000000"/>
        </w:rPr>
        <w:t xml:space="preserve"> amlodipínu nezvyšuje riziko mortality alebo kombinovanej mortality a morbidity u pacientov so srdcovým zlyhaním. </w:t>
      </w:r>
    </w:p>
    <w:p w:rsidR="00B91860" w:rsidRPr="00155205" w:rsidRDefault="00B91860" w:rsidP="00B91860">
      <w:pPr>
        <w:spacing w:after="0" w:line="240" w:lineRule="auto"/>
        <w:rPr>
          <w:rFonts w:ascii="Times New Roman" w:hAnsi="Times New Roman"/>
          <w:color w:val="000000"/>
        </w:rPr>
      </w:pPr>
    </w:p>
    <w:p w:rsidR="00B91860" w:rsidRPr="00155205" w:rsidRDefault="00B91860" w:rsidP="00B91860">
      <w:pPr>
        <w:spacing w:after="0" w:line="240" w:lineRule="auto"/>
        <w:rPr>
          <w:rFonts w:ascii="Times New Roman" w:hAnsi="Times New Roman"/>
          <w:color w:val="000000"/>
        </w:rPr>
      </w:pPr>
      <w:r w:rsidRPr="00155205">
        <w:rPr>
          <w:rFonts w:ascii="Times New Roman" w:hAnsi="Times New Roman"/>
          <w:color w:val="000000"/>
        </w:rPr>
        <w:t>V</w:t>
      </w:r>
      <w:r w:rsidR="000B7451" w:rsidRPr="00155205">
        <w:rPr>
          <w:rFonts w:ascii="Times New Roman" w:hAnsi="Times New Roman"/>
          <w:color w:val="000000"/>
        </w:rPr>
        <w:t> </w:t>
      </w:r>
      <w:r w:rsidRPr="00155205">
        <w:rPr>
          <w:rFonts w:ascii="Times New Roman" w:hAnsi="Times New Roman"/>
          <w:color w:val="000000"/>
        </w:rPr>
        <w:t xml:space="preserve">pokračujúcej </w:t>
      </w:r>
      <w:r w:rsidR="00D75278" w:rsidRPr="00155205">
        <w:rPr>
          <w:rFonts w:ascii="Times New Roman" w:hAnsi="Times New Roman"/>
          <w:color w:val="000000"/>
        </w:rPr>
        <w:t xml:space="preserve">(„follow-up“) </w:t>
      </w:r>
      <w:r w:rsidRPr="00155205">
        <w:rPr>
          <w:rFonts w:ascii="Times New Roman" w:hAnsi="Times New Roman"/>
          <w:color w:val="000000"/>
        </w:rPr>
        <w:t xml:space="preserve">placebom kontrolovanej štúdii (PRAISE 2) </w:t>
      </w:r>
      <w:r w:rsidR="000B7451" w:rsidRPr="00155205">
        <w:rPr>
          <w:rFonts w:ascii="Times New Roman" w:hAnsi="Times New Roman"/>
          <w:color w:val="000000"/>
        </w:rPr>
        <w:t>s </w:t>
      </w:r>
      <w:r w:rsidRPr="00155205">
        <w:rPr>
          <w:rFonts w:ascii="Times New Roman" w:hAnsi="Times New Roman"/>
          <w:color w:val="000000"/>
        </w:rPr>
        <w:t>dlhodob</w:t>
      </w:r>
      <w:r w:rsidR="000B7451" w:rsidRPr="00155205">
        <w:rPr>
          <w:rFonts w:ascii="Times New Roman" w:hAnsi="Times New Roman"/>
          <w:color w:val="000000"/>
        </w:rPr>
        <w:t xml:space="preserve">ým </w:t>
      </w:r>
      <w:r w:rsidRPr="00155205">
        <w:rPr>
          <w:rFonts w:ascii="Times New Roman" w:hAnsi="Times New Roman"/>
          <w:color w:val="000000"/>
        </w:rPr>
        <w:t>sledovaní</w:t>
      </w:r>
      <w:r w:rsidR="000B7451" w:rsidRPr="00155205">
        <w:rPr>
          <w:rFonts w:ascii="Times New Roman" w:hAnsi="Times New Roman"/>
          <w:color w:val="000000"/>
        </w:rPr>
        <w:t>m</w:t>
      </w:r>
      <w:r w:rsidRPr="00155205">
        <w:rPr>
          <w:rFonts w:ascii="Times New Roman" w:hAnsi="Times New Roman"/>
          <w:color w:val="000000"/>
        </w:rPr>
        <w:t xml:space="preserve"> pacientov so srdcovým zlyhaním </w:t>
      </w:r>
      <w:r w:rsidRPr="00155205">
        <w:rPr>
          <w:rFonts w:ascii="Times New Roman" w:hAnsi="Times New Roman"/>
        </w:rPr>
        <w:t>III. a IV. stupňa podľa</w:t>
      </w:r>
      <w:r w:rsidRPr="00155205">
        <w:rPr>
          <w:rFonts w:ascii="Times New Roman" w:hAnsi="Times New Roman"/>
          <w:color w:val="000000"/>
        </w:rPr>
        <w:t xml:space="preserve"> NYHA bez klinických </w:t>
      </w:r>
      <w:r w:rsidR="000B7451" w:rsidRPr="00155205">
        <w:rPr>
          <w:rFonts w:ascii="Times New Roman" w:hAnsi="Times New Roman"/>
          <w:color w:val="000000"/>
        </w:rPr>
        <w:t>príznakov</w:t>
      </w:r>
      <w:r w:rsidRPr="00155205">
        <w:rPr>
          <w:rFonts w:ascii="Times New Roman" w:hAnsi="Times New Roman"/>
          <w:color w:val="000000"/>
        </w:rPr>
        <w:t xml:space="preserve"> a objektívneho nálezu svedčiaceho pre ischemickú chorobu, pri stabilných dávkach ACE inhibítorov, srdcových glykozidov a diuretík, </w:t>
      </w:r>
      <w:r w:rsidRPr="00155205">
        <w:rPr>
          <w:rFonts w:ascii="Times New Roman" w:hAnsi="Times New Roman"/>
        </w:rPr>
        <w:t>nemal amlodipín účinok na celkovú kardiovaskulárnu mortalitu</w:t>
      </w:r>
      <w:r w:rsidRPr="00155205">
        <w:rPr>
          <w:rFonts w:ascii="Times New Roman" w:hAnsi="Times New Roman"/>
          <w:color w:val="000000"/>
        </w:rPr>
        <w:t xml:space="preserve">. V tej istej skupine bolo podávanie amlodipínu spojené s vyšším výskytom pľúcneho edému. </w:t>
      </w:r>
    </w:p>
    <w:p w:rsidR="00B91860" w:rsidRPr="00155205" w:rsidRDefault="00B91860" w:rsidP="00B91860">
      <w:pPr>
        <w:tabs>
          <w:tab w:val="left" w:pos="567"/>
        </w:tabs>
        <w:spacing w:after="0" w:line="240" w:lineRule="auto"/>
        <w:rPr>
          <w:rFonts w:ascii="Times New Roman" w:hAnsi="Times New Roman"/>
          <w:i/>
        </w:rPr>
      </w:pPr>
    </w:p>
    <w:p w:rsidR="00B91860" w:rsidRPr="00155205" w:rsidRDefault="00B91860" w:rsidP="00B91860">
      <w:pPr>
        <w:tabs>
          <w:tab w:val="left" w:pos="567"/>
        </w:tabs>
        <w:suppressAutoHyphens/>
        <w:autoSpaceDE w:val="0"/>
        <w:autoSpaceDN w:val="0"/>
        <w:adjustRightInd w:val="0"/>
        <w:spacing w:after="0" w:line="240" w:lineRule="auto"/>
        <w:rPr>
          <w:rFonts w:ascii="Times New Roman" w:hAnsi="Times New Roman"/>
          <w:iCs/>
          <w:u w:val="single"/>
        </w:rPr>
      </w:pPr>
      <w:r w:rsidRPr="00155205">
        <w:rPr>
          <w:rFonts w:ascii="Times New Roman" w:hAnsi="Times New Roman"/>
          <w:iCs/>
          <w:u w:val="single"/>
        </w:rPr>
        <w:t>Liečba zameraná na prevenciu infarktu myokardu (ALLHAT)</w:t>
      </w: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r w:rsidRPr="00155205">
        <w:rPr>
          <w:rFonts w:ascii="Times New Roman" w:hAnsi="Times New Roman"/>
          <w:color w:val="000000"/>
        </w:rPr>
        <w:t>Randomizovaná dvojito-zaslepená morbiditno-mortalitná štúdia nazvaná Klinické skúšanie zamerané na antihypertenznú a hypolipidemickú liečbu za účelom prevencie infarktu myokardu</w:t>
      </w:r>
      <w:r w:rsidRPr="00155205">
        <w:rPr>
          <w:rFonts w:ascii="Times New Roman" w:hAnsi="Times New Roman"/>
        </w:rPr>
        <w:t xml:space="preserve"> (Antihypertensive and Lipid-Lowering Treatment to Prevent Heart Attack Trial, ALLHAT) bola vykonaná na porovnanie</w:t>
      </w:r>
      <w:r w:rsidRPr="00155205">
        <w:rPr>
          <w:rFonts w:ascii="Times New Roman" w:hAnsi="Times New Roman"/>
          <w:color w:val="000000"/>
        </w:rPr>
        <w:t xml:space="preserve"> terapie novšími liekmi: amlodipínom 2,5</w:t>
      </w:r>
      <w:r w:rsidRPr="00155205">
        <w:rPr>
          <w:rFonts w:ascii="Times New Roman" w:hAnsi="Times New Roman"/>
          <w:color w:val="000000"/>
        </w:rPr>
        <w:noBreakHyphen/>
        <w:t>10 mg/deň (blokátor kalciového kanála) alebo lizinoprilom 10</w:t>
      </w:r>
      <w:r w:rsidRPr="00155205">
        <w:rPr>
          <w:rFonts w:ascii="Times New Roman" w:hAnsi="Times New Roman"/>
          <w:color w:val="000000"/>
        </w:rPr>
        <w:noBreakHyphen/>
        <w:t>40 mg/deň (ACE inhibítor) ako liekov prvej voľby s liečbou tiazidovým diuretikom chlórtalidónom 12,5</w:t>
      </w:r>
      <w:r w:rsidRPr="00155205">
        <w:rPr>
          <w:rFonts w:ascii="Times New Roman" w:hAnsi="Times New Roman"/>
          <w:color w:val="000000"/>
        </w:rPr>
        <w:noBreakHyphen/>
        <w:t xml:space="preserve">25 mg/deň pri </w:t>
      </w:r>
      <w:r w:rsidR="002B596E" w:rsidRPr="00155205">
        <w:rPr>
          <w:rFonts w:ascii="Times New Roman" w:hAnsi="Times New Roman"/>
          <w:color w:val="000000"/>
        </w:rPr>
        <w:t>miern</w:t>
      </w:r>
      <w:r w:rsidR="00D8194A" w:rsidRPr="00155205">
        <w:rPr>
          <w:rFonts w:ascii="Times New Roman" w:hAnsi="Times New Roman"/>
          <w:color w:val="000000"/>
        </w:rPr>
        <w:t>ej</w:t>
      </w:r>
      <w:r w:rsidRPr="00155205">
        <w:rPr>
          <w:rFonts w:ascii="Times New Roman" w:hAnsi="Times New Roman"/>
          <w:color w:val="000000"/>
        </w:rPr>
        <w:t xml:space="preserve"> až stredne </w:t>
      </w:r>
      <w:r w:rsidR="00B54E37" w:rsidRPr="00155205">
        <w:rPr>
          <w:rFonts w:ascii="Times New Roman" w:hAnsi="Times New Roman"/>
          <w:color w:val="000000"/>
        </w:rPr>
        <w:t>závažne</w:t>
      </w:r>
      <w:r w:rsidRPr="00155205">
        <w:rPr>
          <w:rFonts w:ascii="Times New Roman" w:hAnsi="Times New Roman"/>
          <w:color w:val="000000"/>
        </w:rPr>
        <w:t>j hypertenzii.</w:t>
      </w: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r w:rsidRPr="00155205">
        <w:rPr>
          <w:rFonts w:ascii="Times New Roman" w:hAnsi="Times New Roman"/>
          <w:color w:val="000000"/>
        </w:rPr>
        <w:t xml:space="preserve">Celkovo bolo randomizovaných 33 357 pacientov s hypertenziou vo veku 55 rokov alebo starších, ktorí pokračovali v liečbe v priemere 4,9 roka. Pacienti mali aspoň jeden ďalší rizikový faktor koronárnej choroby srdca (Coronary Heart Disease, CHD) vrátane prekonaného infarktu myokardu alebo mozgovej mŕtvice (&gt;6 mesiacov pred zaradením do štúdie) alebo dokumentované iné aterosklerotické kardiovaskulárne ochorenie (celkovo 51,5 %), diabetes 2. typu (36,1 %), HDL cholesterol &lt;35 mg/dl = 0,91 mmol/l (11,6 %), hypertrofiu ľavej komory diagnostikovanú pomocou elektrokardiogramu alebo echokardiograficky (20,9 %), </w:t>
      </w:r>
      <w:r w:rsidR="00376B7C" w:rsidRPr="00155205">
        <w:rPr>
          <w:rFonts w:ascii="Times New Roman" w:hAnsi="Times New Roman"/>
          <w:color w:val="000000"/>
        </w:rPr>
        <w:t xml:space="preserve">súčasné </w:t>
      </w:r>
      <w:r w:rsidRPr="00155205">
        <w:rPr>
          <w:rFonts w:ascii="Times New Roman" w:hAnsi="Times New Roman"/>
          <w:color w:val="000000"/>
        </w:rPr>
        <w:t>fajčenie cigariet (21,9 %).</w:t>
      </w: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p>
    <w:p w:rsidR="00B91860" w:rsidRPr="00155205" w:rsidRDefault="00B91860" w:rsidP="00B91860">
      <w:pPr>
        <w:tabs>
          <w:tab w:val="left" w:pos="567"/>
        </w:tabs>
        <w:autoSpaceDE w:val="0"/>
        <w:autoSpaceDN w:val="0"/>
        <w:adjustRightInd w:val="0"/>
        <w:spacing w:after="0" w:line="240" w:lineRule="auto"/>
        <w:rPr>
          <w:rFonts w:ascii="Times New Roman" w:hAnsi="Times New Roman"/>
          <w:color w:val="000000"/>
        </w:rPr>
      </w:pPr>
      <w:r w:rsidRPr="00155205">
        <w:rPr>
          <w:rFonts w:ascii="Times New Roman" w:hAnsi="Times New Roman"/>
          <w:color w:val="000000"/>
        </w:rPr>
        <w:t xml:space="preserve">Primárny </w:t>
      </w:r>
      <w:r w:rsidR="00FC38DC" w:rsidRPr="00155205">
        <w:rPr>
          <w:rFonts w:ascii="Times New Roman" w:hAnsi="Times New Roman"/>
          <w:color w:val="000000"/>
        </w:rPr>
        <w:t>cieľový ukazovateľ</w:t>
      </w:r>
      <w:r w:rsidRPr="00155205">
        <w:rPr>
          <w:rFonts w:ascii="Times New Roman" w:hAnsi="Times New Roman"/>
          <w:color w:val="000000"/>
        </w:rPr>
        <w:t xml:space="preserve"> bol </w:t>
      </w:r>
      <w:r w:rsidR="00FC38DC" w:rsidRPr="00155205">
        <w:rPr>
          <w:rFonts w:ascii="Times New Roman" w:hAnsi="Times New Roman"/>
          <w:color w:val="000000"/>
        </w:rPr>
        <w:t xml:space="preserve">zložený z </w:t>
      </w:r>
      <w:r w:rsidRPr="00155205">
        <w:rPr>
          <w:rFonts w:ascii="Times New Roman" w:hAnsi="Times New Roman"/>
          <w:color w:val="000000"/>
        </w:rPr>
        <w:t xml:space="preserve">fatálne končiacej CHD alebo nefatálneho infarktu myokardu. V primárnom </w:t>
      </w:r>
      <w:r w:rsidR="00FC38DC" w:rsidRPr="00155205">
        <w:rPr>
          <w:rFonts w:ascii="Times New Roman" w:hAnsi="Times New Roman"/>
          <w:color w:val="000000"/>
        </w:rPr>
        <w:t>cieľovom ukazovateli</w:t>
      </w:r>
      <w:r w:rsidRPr="00155205">
        <w:rPr>
          <w:rFonts w:ascii="Times New Roman" w:hAnsi="Times New Roman"/>
          <w:color w:val="000000"/>
        </w:rPr>
        <w:t xml:space="preserve"> nebol signifikantný rozdiel medzi liečbou amlodipínom a liečbou chlórtalidónom: RR 0,98 95 % IS [0,90 – 1,07] p = 0,65. Spomedzi sekundárnych </w:t>
      </w:r>
      <w:r w:rsidR="00FC38DC" w:rsidRPr="00155205">
        <w:rPr>
          <w:rFonts w:ascii="Times New Roman" w:hAnsi="Times New Roman"/>
          <w:color w:val="000000"/>
        </w:rPr>
        <w:t xml:space="preserve">cieľových ukazovateľov </w:t>
      </w:r>
      <w:r w:rsidRPr="00155205">
        <w:rPr>
          <w:rFonts w:ascii="Times New Roman" w:hAnsi="Times New Roman"/>
          <w:color w:val="000000"/>
        </w:rPr>
        <w:t xml:space="preserve">bol výskyt srdcového zlyhania (zložka zloženého kombinovaného kardiovaskulárneho </w:t>
      </w:r>
      <w:r w:rsidR="00454885" w:rsidRPr="00155205">
        <w:rPr>
          <w:rFonts w:ascii="Times New Roman" w:hAnsi="Times New Roman"/>
          <w:color w:val="000000"/>
        </w:rPr>
        <w:t>cieľového ukazovateľa</w:t>
      </w:r>
      <w:r w:rsidRPr="00155205">
        <w:rPr>
          <w:rFonts w:ascii="Times New Roman" w:hAnsi="Times New Roman"/>
          <w:color w:val="000000"/>
        </w:rPr>
        <w:t>) signifikantne vyšší v skupine s amlodipínom v porovnaní so skupinou s chlórtalidónom (10,2 % verzus 7,7 %, RR 1,38, 95% IS [1,25 </w:t>
      </w:r>
      <w:r w:rsidRPr="00155205">
        <w:rPr>
          <w:rFonts w:ascii="Times New Roman" w:hAnsi="Times New Roman"/>
          <w:color w:val="000000"/>
        </w:rPr>
        <w:noBreakHyphen/>
        <w:t> 1,52] p &lt; 0,001. Avšak v mortalite z akejkoľvek príčiny nebol medzi liečbou amlodipínom a liečbou chlórtalidónom žiadny signifikantný rozdiel. RR 0,96 95 % IS [0,89</w:t>
      </w:r>
      <w:r w:rsidRPr="00155205">
        <w:rPr>
          <w:rFonts w:ascii="Times New Roman" w:hAnsi="Times New Roman"/>
          <w:color w:val="000000"/>
        </w:rPr>
        <w:noBreakHyphen/>
        <w:t>1,02] p = 0,20.</w:t>
      </w:r>
    </w:p>
    <w:p w:rsidR="00B91860" w:rsidRPr="00155205" w:rsidRDefault="00B91860" w:rsidP="00B91860">
      <w:pPr>
        <w:spacing w:after="0" w:line="240" w:lineRule="auto"/>
        <w:rPr>
          <w:rFonts w:ascii="Times New Roman" w:hAnsi="Times New Roman"/>
          <w:highlight w:val="yellow"/>
          <w:u w:val="single"/>
          <w:lang w:eastAsia="sk-SK"/>
        </w:rPr>
      </w:pPr>
    </w:p>
    <w:p w:rsidR="00FD2D5B" w:rsidRPr="00155205" w:rsidRDefault="00FD2D5B" w:rsidP="00B91860">
      <w:pPr>
        <w:spacing w:after="0" w:line="240" w:lineRule="auto"/>
        <w:rPr>
          <w:rFonts w:ascii="Times New Roman" w:hAnsi="Times New Roman"/>
          <w:b/>
          <w:noProof/>
          <w:lang w:eastAsia="sk-SK"/>
        </w:rPr>
      </w:pPr>
      <w:r w:rsidRPr="00155205">
        <w:rPr>
          <w:rFonts w:ascii="Times New Roman" w:hAnsi="Times New Roman"/>
          <w:b/>
          <w:noProof/>
          <w:lang w:eastAsia="sk-SK"/>
        </w:rPr>
        <w:t>5.2</w:t>
      </w:r>
      <w:r w:rsidRPr="00155205">
        <w:rPr>
          <w:rFonts w:ascii="Times New Roman" w:hAnsi="Times New Roman"/>
          <w:b/>
          <w:noProof/>
          <w:lang w:eastAsia="sk-SK"/>
        </w:rPr>
        <w:tab/>
        <w:t>Farmakokinetické vlastnosti</w:t>
      </w:r>
    </w:p>
    <w:p w:rsidR="00FD2D5B" w:rsidRPr="00155205" w:rsidRDefault="00FD2D5B" w:rsidP="00B91860">
      <w:pPr>
        <w:spacing w:after="0" w:line="240" w:lineRule="auto"/>
        <w:ind w:left="567" w:hanging="567"/>
        <w:rPr>
          <w:rFonts w:ascii="Times New Roman" w:hAnsi="Times New Roman"/>
          <w:b/>
          <w:noProof/>
          <w:lang w:eastAsia="sk-SK"/>
        </w:rPr>
      </w:pPr>
    </w:p>
    <w:p w:rsidR="0090666D" w:rsidRPr="00155205" w:rsidRDefault="0090666D" w:rsidP="00B91860">
      <w:pPr>
        <w:spacing w:after="0" w:line="240" w:lineRule="auto"/>
        <w:rPr>
          <w:rFonts w:ascii="Times New Roman" w:eastAsia="Times New Roman" w:hAnsi="Times New Roman"/>
          <w:i/>
        </w:rPr>
      </w:pPr>
      <w:r w:rsidRPr="00155205">
        <w:rPr>
          <w:rFonts w:ascii="Times New Roman" w:eastAsia="Times New Roman" w:hAnsi="Times New Roman"/>
          <w:i/>
        </w:rPr>
        <w:t>Telmisartan</w:t>
      </w:r>
    </w:p>
    <w:p w:rsidR="0090666D" w:rsidRPr="00155205" w:rsidRDefault="0090666D" w:rsidP="00B91860">
      <w:pPr>
        <w:autoSpaceDE w:val="0"/>
        <w:autoSpaceDN w:val="0"/>
        <w:adjustRightInd w:val="0"/>
        <w:spacing w:after="0" w:line="240" w:lineRule="auto"/>
        <w:rPr>
          <w:rFonts w:ascii="Times New Roman" w:eastAsia="Times New Roman" w:hAnsi="Times New Roman"/>
          <w:u w:val="single"/>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Absorpcia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sa absorbuje rýchlo, hoci sa absorbované množstvo líši. Priemerná absolútna biologická dostupnosť telmisartanu je okolo 50 %. Keď sa telmisartan užíva s jedlom, redukcia plochy pod krivkou závislosti plazmatickej koncentrácie od času (AUC</w:t>
      </w:r>
      <w:r w:rsidRPr="00155205">
        <w:rPr>
          <w:rFonts w:ascii="Times New Roman" w:eastAsia="Times New Roman" w:hAnsi="Times New Roman"/>
          <w:vertAlign w:val="subscript"/>
          <w:lang w:eastAsia="sk-SK"/>
        </w:rPr>
        <w:t>0-∞</w:t>
      </w:r>
      <w:r w:rsidRPr="00155205">
        <w:rPr>
          <w:rFonts w:ascii="Times New Roman" w:eastAsia="Times New Roman" w:hAnsi="Times New Roman"/>
          <w:lang w:eastAsia="sk-SK"/>
        </w:rPr>
        <w:t xml:space="preserve">) telmisartanu sa mení od približne 6 % (40 mg dávka) do približne 19 % (160 mg dávka). </w:t>
      </w:r>
      <w:r w:rsidR="007A70E5" w:rsidRPr="00155205">
        <w:rPr>
          <w:rFonts w:ascii="Times New Roman" w:eastAsia="Times New Roman" w:hAnsi="Times New Roman"/>
          <w:lang w:eastAsia="sk-SK"/>
        </w:rPr>
        <w:t>Do</w:t>
      </w:r>
      <w:r w:rsidRPr="00155205">
        <w:rPr>
          <w:rFonts w:ascii="Times New Roman" w:eastAsia="Times New Roman" w:hAnsi="Times New Roman"/>
          <w:lang w:eastAsia="sk-SK"/>
        </w:rPr>
        <w:t xml:space="preserve"> 3 hodín po podaní telmisartanu sú plazmatické koncentrácie podobné</w:t>
      </w:r>
      <w:r w:rsidR="000942D9" w:rsidRPr="00155205">
        <w:rPr>
          <w:rFonts w:ascii="Times New Roman" w:eastAsia="Times New Roman" w:hAnsi="Times New Roman"/>
          <w:lang w:eastAsia="sk-SK"/>
        </w:rPr>
        <w:t>, či bol podaný nalačno alebo s jedlom</w:t>
      </w:r>
      <w:r w:rsidRPr="00155205">
        <w:rPr>
          <w:rFonts w:ascii="Times New Roman" w:eastAsia="Times New Roman" w:hAnsi="Times New Roman"/>
          <w:lang w:eastAsia="sk-SK"/>
        </w:rPr>
        <w:t>.</w:t>
      </w:r>
    </w:p>
    <w:p w:rsidR="000942D9" w:rsidRPr="00155205" w:rsidRDefault="000942D9" w:rsidP="000942D9">
      <w:pPr>
        <w:autoSpaceDE w:val="0"/>
        <w:autoSpaceDN w:val="0"/>
        <w:adjustRightInd w:val="0"/>
        <w:spacing w:after="0" w:line="240" w:lineRule="auto"/>
        <w:rPr>
          <w:rFonts w:ascii="Times New Roman" w:eastAsia="Times New Roman" w:hAnsi="Times New Roman"/>
          <w:u w:val="single"/>
          <w:lang w:eastAsia="sk-SK"/>
        </w:rPr>
      </w:pPr>
    </w:p>
    <w:p w:rsidR="000942D9" w:rsidRPr="00155205" w:rsidRDefault="000942D9" w:rsidP="000942D9">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Linearita/nelinearita</w:t>
      </w:r>
    </w:p>
    <w:p w:rsidR="000942D9" w:rsidRPr="00155205" w:rsidRDefault="000942D9" w:rsidP="000942D9">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Nepredpokladá sa, že by malé zníženie AUC zapríčinilo zníženie terapeutickej účinnosti. Medzi dávkami a plazmatickými hladinami nie je lineárny vzťah. C</w:t>
      </w:r>
      <w:r w:rsidRPr="00155205">
        <w:rPr>
          <w:rFonts w:ascii="Times New Roman" w:eastAsia="Times New Roman" w:hAnsi="Times New Roman"/>
          <w:vertAlign w:val="subscript"/>
          <w:lang w:eastAsia="sk-SK"/>
        </w:rPr>
        <w:t>max</w:t>
      </w:r>
      <w:r w:rsidRPr="00155205">
        <w:rPr>
          <w:rFonts w:ascii="Times New Roman" w:eastAsia="Times New Roman" w:hAnsi="Times New Roman"/>
          <w:lang w:eastAsia="sk-SK"/>
        </w:rPr>
        <w:t xml:space="preserve"> a v menšej miere AUC sa pri dávkach nad 40 mg zvyšujú disproporčne.</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Distribúcia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sa z veľkej časti viaže na plazmatické proteíny (&gt;99,5 %), hlavne na albumín a kyslý alfa-1 glykoproteín. Zjavný distribučný objem (V</w:t>
      </w:r>
      <w:r w:rsidRPr="00155205">
        <w:rPr>
          <w:rFonts w:ascii="Times New Roman" w:eastAsia="Times New Roman" w:hAnsi="Times New Roman"/>
          <w:vertAlign w:val="subscript"/>
          <w:lang w:eastAsia="sk-SK"/>
        </w:rPr>
        <w:t>dss</w:t>
      </w:r>
      <w:r w:rsidRPr="00155205">
        <w:rPr>
          <w:rFonts w:ascii="Times New Roman" w:eastAsia="Times New Roman" w:hAnsi="Times New Roman"/>
          <w:lang w:eastAsia="sk-SK"/>
        </w:rPr>
        <w:t>) pri priemernom rovnovážnom stave je približne 500 l.</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Biotransformácia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sa metabolizuje konjugáciou na glukuronid základnej zlúčeniny. Konjugát nevykazuje žiadnu farmakologickú aktivitu.</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Eliminácia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Telmisartan je charakterizovaný farmakokinetikou biexponenciálneho rozkladu s terminálnym polčasom eliminácie &gt;20 hodín. Maximálna plazmatická koncentrácia (C</w:t>
      </w:r>
      <w:r w:rsidRPr="00155205">
        <w:rPr>
          <w:rFonts w:ascii="Times New Roman" w:eastAsia="Times New Roman" w:hAnsi="Times New Roman"/>
          <w:vertAlign w:val="subscript"/>
          <w:lang w:eastAsia="sk-SK"/>
        </w:rPr>
        <w:t>max</w:t>
      </w:r>
      <w:r w:rsidRPr="00155205">
        <w:rPr>
          <w:rFonts w:ascii="Times New Roman" w:eastAsia="Times New Roman" w:hAnsi="Times New Roman"/>
          <w:lang w:eastAsia="sk-SK"/>
        </w:rPr>
        <w:t>) a v menšej miere plocha pod krivkou závislosti plazmatickej koncentrácie od času (AUC) sa zvyšuje s dávkou disproporčne. Nie je dôkaz klinicky významnej akumulácie telmisartanu, ak sa užíva v odporúčanej dávke. Plazmatické koncentrácie boli vyššie u žien ako u mužov bez významného vplyvu na účinnosť.</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 perorálnom (a intravenóznom) podaní sa telmisartan takmer výlučne vylučuje stolicou prevažne ako nezmenená zlúčenina. Kumulatívne vylučovanie močom je &lt;1 % dávky. Celkový plazmatický klírens (Cl</w:t>
      </w:r>
      <w:r w:rsidRPr="00155205">
        <w:rPr>
          <w:rFonts w:ascii="Times New Roman" w:eastAsia="Times New Roman" w:hAnsi="Times New Roman"/>
          <w:vertAlign w:val="subscript"/>
          <w:lang w:eastAsia="sk-SK"/>
        </w:rPr>
        <w:t>tot</w:t>
      </w:r>
      <w:r w:rsidRPr="00155205">
        <w:rPr>
          <w:rFonts w:ascii="Times New Roman" w:eastAsia="Times New Roman" w:hAnsi="Times New Roman"/>
          <w:lang w:eastAsia="sk-SK"/>
        </w:rPr>
        <w:t>) je vysoký (približne 1000 ml/min) v porovnaní s prietokom krvi v pečeni (okolo 1500 l/min).</w:t>
      </w:r>
    </w:p>
    <w:p w:rsidR="0090666D" w:rsidRPr="00155205" w:rsidRDefault="0090666D" w:rsidP="0090666D">
      <w:pPr>
        <w:autoSpaceDE w:val="0"/>
        <w:autoSpaceDN w:val="0"/>
        <w:adjustRightInd w:val="0"/>
        <w:spacing w:after="0" w:line="240" w:lineRule="auto"/>
        <w:rPr>
          <w:rFonts w:ascii="Times New Roman" w:eastAsia="Times New Roman" w:hAnsi="Times New Roman"/>
          <w:i/>
          <w:iCs/>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t>Osobitné skupiny pacientov</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Pohlavie</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Pozorovali sa rozdiely v plazmatických koncentráciách medzi pohlaviami, C</w:t>
      </w:r>
      <w:r w:rsidRPr="00155205">
        <w:rPr>
          <w:rFonts w:ascii="Times New Roman" w:eastAsia="Times New Roman" w:hAnsi="Times New Roman"/>
          <w:vertAlign w:val="subscript"/>
          <w:lang w:eastAsia="sk-SK"/>
        </w:rPr>
        <w:t xml:space="preserve">max  </w:t>
      </w:r>
      <w:r w:rsidRPr="00155205">
        <w:rPr>
          <w:rFonts w:ascii="Times New Roman" w:eastAsia="Times New Roman" w:hAnsi="Times New Roman"/>
          <w:lang w:eastAsia="sk-SK"/>
        </w:rPr>
        <w:t>a AUC boli približne 3- a 2-násobne vyššie</w:t>
      </w:r>
      <w:r w:rsidR="00514A8D" w:rsidRPr="00155205">
        <w:rPr>
          <w:rFonts w:ascii="Times New Roman" w:eastAsia="Times New Roman" w:hAnsi="Times New Roman"/>
          <w:lang w:eastAsia="sk-SK"/>
        </w:rPr>
        <w:t>, v uvedenom poradí,</w:t>
      </w:r>
      <w:r w:rsidRPr="00155205">
        <w:rPr>
          <w:rFonts w:ascii="Times New Roman" w:eastAsia="Times New Roman" w:hAnsi="Times New Roman"/>
          <w:lang w:eastAsia="sk-SK"/>
        </w:rPr>
        <w:t xml:space="preserve"> u žien v porovnaní s mužmi.</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90666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 xml:space="preserve">Starší </w:t>
      </w:r>
      <w:r w:rsidR="00FD6E3F" w:rsidRPr="00155205">
        <w:rPr>
          <w:rFonts w:ascii="Times New Roman" w:eastAsia="Times New Roman" w:hAnsi="Times New Roman"/>
          <w:u w:val="single"/>
          <w:lang w:eastAsia="sk-SK"/>
        </w:rPr>
        <w:t>ľudia</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Farmakokinetika telmisartanu sa u pacientov mladších ako 65 rokov a starších pacientov nelíši.</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514A8D"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w:t>
      </w:r>
      <w:r w:rsidR="0090666D" w:rsidRPr="00155205">
        <w:rPr>
          <w:rFonts w:ascii="Times New Roman" w:eastAsia="Times New Roman" w:hAnsi="Times New Roman"/>
          <w:u w:val="single"/>
          <w:lang w:eastAsia="sk-SK"/>
        </w:rPr>
        <w:t>oruch</w:t>
      </w:r>
      <w:r w:rsidRPr="00155205">
        <w:rPr>
          <w:rFonts w:ascii="Times New Roman" w:eastAsia="Times New Roman" w:hAnsi="Times New Roman"/>
          <w:u w:val="single"/>
          <w:lang w:eastAsia="sk-SK"/>
        </w:rPr>
        <w:t>a</w:t>
      </w:r>
      <w:r w:rsidR="0090666D" w:rsidRPr="00155205">
        <w:rPr>
          <w:rFonts w:ascii="Times New Roman" w:eastAsia="Times New Roman" w:hAnsi="Times New Roman"/>
          <w:u w:val="single"/>
          <w:lang w:eastAsia="sk-SK"/>
        </w:rPr>
        <w:t xml:space="preserve"> funkcie obličiek</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U pacientov s miernou až stredne ťažkou a ťažkou poruchou funkcie obličiek sa pozorovali dvojnásobné plazmatické koncentrácie. Avšak u pacientov s renálnou insuficienciou, ktorí sa podrobujú dialýze, sa pozorovali nižšie plazmatické koncentrácie. Telmisartan má u pacientov s renálnou insuficienciou pevnú väzbu na proteíny plazmy a nemôže sa odstrániť dialýzou. Polčas vylučovania sa u pacientov s poruchou funkcie obličiek nemení.</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p>
    <w:p w:rsidR="0090666D" w:rsidRPr="00155205" w:rsidRDefault="00E977E2" w:rsidP="0090666D">
      <w:pPr>
        <w:autoSpaceDE w:val="0"/>
        <w:autoSpaceDN w:val="0"/>
        <w:adjustRightInd w:val="0"/>
        <w:spacing w:after="0" w:line="240" w:lineRule="auto"/>
        <w:rPr>
          <w:rFonts w:ascii="Times New Roman" w:eastAsia="Times New Roman" w:hAnsi="Times New Roman"/>
          <w:u w:val="single"/>
          <w:lang w:eastAsia="sk-SK"/>
        </w:rPr>
      </w:pPr>
      <w:r w:rsidRPr="00155205">
        <w:rPr>
          <w:rFonts w:ascii="Times New Roman" w:eastAsia="Times New Roman" w:hAnsi="Times New Roman"/>
          <w:u w:val="single"/>
          <w:lang w:eastAsia="sk-SK"/>
        </w:rPr>
        <w:t>Po</w:t>
      </w:r>
      <w:r w:rsidR="0090666D" w:rsidRPr="00155205">
        <w:rPr>
          <w:rFonts w:ascii="Times New Roman" w:eastAsia="Times New Roman" w:hAnsi="Times New Roman"/>
          <w:u w:val="single"/>
          <w:lang w:eastAsia="sk-SK"/>
        </w:rPr>
        <w:t>ruch</w:t>
      </w:r>
      <w:r w:rsidRPr="00155205">
        <w:rPr>
          <w:rFonts w:ascii="Times New Roman" w:eastAsia="Times New Roman" w:hAnsi="Times New Roman"/>
          <w:u w:val="single"/>
          <w:lang w:eastAsia="sk-SK"/>
        </w:rPr>
        <w:t>a</w:t>
      </w:r>
      <w:r w:rsidR="0090666D" w:rsidRPr="00155205">
        <w:rPr>
          <w:rFonts w:ascii="Times New Roman" w:eastAsia="Times New Roman" w:hAnsi="Times New Roman"/>
          <w:u w:val="single"/>
          <w:lang w:eastAsia="sk-SK"/>
        </w:rPr>
        <w:t xml:space="preserve"> funkcie pečene</w:t>
      </w:r>
    </w:p>
    <w:p w:rsidR="0090666D" w:rsidRPr="00155205" w:rsidRDefault="0090666D" w:rsidP="0090666D">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Farmakokinetické štúdie u pacientov s poruchou funkcie pečene ukázali zvýšenie absolútnej biologickej dostupnosti až do takmer 100 %. Polčas vylučovania sa u pacientov s poruchou funkcie pečene nemení.</w:t>
      </w:r>
    </w:p>
    <w:p w:rsidR="00FD2D5B" w:rsidRPr="00155205" w:rsidRDefault="00FD2D5B" w:rsidP="00FD2D5B">
      <w:pPr>
        <w:spacing w:after="0" w:line="240" w:lineRule="auto"/>
        <w:rPr>
          <w:rFonts w:ascii="Times New Roman" w:hAnsi="Times New Roman"/>
          <w:lang w:eastAsia="sk-SK"/>
        </w:rPr>
      </w:pPr>
    </w:p>
    <w:p w:rsidR="00FD2D5B" w:rsidRPr="00155205" w:rsidRDefault="00FD2D5B" w:rsidP="00FD2D5B">
      <w:pPr>
        <w:spacing w:after="0" w:line="240" w:lineRule="auto"/>
        <w:rPr>
          <w:rFonts w:ascii="Times New Roman" w:hAnsi="Times New Roman"/>
          <w:i/>
          <w:noProof/>
          <w:lang w:eastAsia="sk-SK"/>
        </w:rPr>
      </w:pPr>
      <w:r w:rsidRPr="00155205">
        <w:rPr>
          <w:rFonts w:ascii="Times New Roman" w:hAnsi="Times New Roman"/>
          <w:i/>
          <w:noProof/>
          <w:lang w:eastAsia="sk-SK"/>
        </w:rPr>
        <w:t>Amlodipín</w:t>
      </w:r>
    </w:p>
    <w:p w:rsidR="00FD6E3F" w:rsidRPr="00155205" w:rsidRDefault="00FD6E3F" w:rsidP="00FD6E3F">
      <w:pPr>
        <w:autoSpaceDE w:val="0"/>
        <w:autoSpaceDN w:val="0"/>
        <w:adjustRightInd w:val="0"/>
        <w:spacing w:after="0" w:line="240" w:lineRule="auto"/>
        <w:rPr>
          <w:rFonts w:ascii="Times New Roman" w:hAnsi="Times New Roman"/>
          <w:i/>
          <w:lang w:eastAsia="sk-SK"/>
        </w:rPr>
      </w:pPr>
    </w:p>
    <w:p w:rsidR="00FD2D5B" w:rsidRPr="00155205" w:rsidRDefault="00FD2D5B" w:rsidP="00FD6E3F">
      <w:pPr>
        <w:autoSpaceDE w:val="0"/>
        <w:autoSpaceDN w:val="0"/>
        <w:adjustRightInd w:val="0"/>
        <w:spacing w:after="0" w:line="240" w:lineRule="auto"/>
        <w:rPr>
          <w:rFonts w:ascii="Times New Roman" w:hAnsi="Times New Roman"/>
          <w:i/>
          <w:lang w:eastAsia="sk-SK"/>
        </w:rPr>
      </w:pPr>
      <w:r w:rsidRPr="00155205">
        <w:rPr>
          <w:rFonts w:ascii="Times New Roman" w:hAnsi="Times New Roman"/>
          <w:u w:val="single"/>
          <w:lang w:eastAsia="sk-SK"/>
        </w:rPr>
        <w:t>Absorpcia</w:t>
      </w:r>
      <w:r w:rsidR="00772D11" w:rsidRPr="00155205">
        <w:rPr>
          <w:rFonts w:ascii="Times New Roman" w:hAnsi="Times New Roman"/>
          <w:u w:val="single"/>
          <w:lang w:eastAsia="sk-SK"/>
        </w:rPr>
        <w:t xml:space="preserve">, </w:t>
      </w:r>
      <w:r w:rsidRPr="00155205">
        <w:rPr>
          <w:rFonts w:ascii="Times New Roman" w:hAnsi="Times New Roman"/>
          <w:u w:val="single"/>
          <w:lang w:eastAsia="sk-SK"/>
        </w:rPr>
        <w:t>distribúcia</w:t>
      </w:r>
      <w:r w:rsidR="00772D11" w:rsidRPr="00155205">
        <w:rPr>
          <w:rFonts w:ascii="Times New Roman" w:hAnsi="Times New Roman"/>
          <w:u w:val="single"/>
          <w:lang w:eastAsia="sk-SK"/>
        </w:rPr>
        <w:t xml:space="preserve">, väzba na plazmatické proteíny </w:t>
      </w:r>
    </w:p>
    <w:p w:rsidR="00FD2D5B" w:rsidRPr="00155205" w:rsidRDefault="00FD2D5B" w:rsidP="00FD6E3F">
      <w:pPr>
        <w:autoSpaceDE w:val="0"/>
        <w:autoSpaceDN w:val="0"/>
        <w:adjustRightInd w:val="0"/>
        <w:spacing w:after="0" w:line="240" w:lineRule="auto"/>
        <w:rPr>
          <w:rFonts w:ascii="Times New Roman" w:hAnsi="Times New Roman"/>
          <w:lang w:eastAsia="sk-SK"/>
        </w:rPr>
      </w:pPr>
      <w:r w:rsidRPr="00155205">
        <w:rPr>
          <w:rFonts w:ascii="Times New Roman" w:hAnsi="Times New Roman"/>
          <w:lang w:eastAsia="sk-SK"/>
        </w:rPr>
        <w:t>Po perorálnom podaní terapeutických dávok sa amlodipín dobre vstrebáva a</w:t>
      </w:r>
      <w:r w:rsidR="00450D2E" w:rsidRPr="00155205">
        <w:rPr>
          <w:rFonts w:ascii="Times New Roman" w:hAnsi="Times New Roman"/>
          <w:lang w:eastAsia="sk-SK"/>
        </w:rPr>
        <w:t> maximálna plazmatická koncentrácia sa dosiahne</w:t>
      </w:r>
      <w:r w:rsidRPr="00155205">
        <w:rPr>
          <w:rFonts w:ascii="Times New Roman" w:hAnsi="Times New Roman"/>
          <w:lang w:eastAsia="sk-SK"/>
        </w:rPr>
        <w:t xml:space="preserve"> za 6 – 12 hodín po užití dávky. Absolútna biologická dostupnosť je v rozpätí 64 – 80 %. Distribučný objem je približne 21 l/kg. Štúdie </w:t>
      </w:r>
      <w:r w:rsidRPr="00155205">
        <w:rPr>
          <w:rFonts w:ascii="Times New Roman" w:hAnsi="Times New Roman"/>
          <w:i/>
          <w:lang w:eastAsia="sk-SK"/>
        </w:rPr>
        <w:t>in vitro</w:t>
      </w:r>
      <w:r w:rsidRPr="00155205">
        <w:rPr>
          <w:rFonts w:ascii="Times New Roman" w:hAnsi="Times New Roman"/>
          <w:lang w:eastAsia="sk-SK"/>
        </w:rPr>
        <w:t xml:space="preserve"> ukázali, že približne 97,5 % cirkulujúceho amlodipínu je viazaného na plazmatické bielkoviny.</w:t>
      </w:r>
    </w:p>
    <w:p w:rsidR="00FD2D5B" w:rsidRPr="00155205" w:rsidRDefault="00FD2D5B" w:rsidP="00FD6E3F">
      <w:pPr>
        <w:autoSpaceDE w:val="0"/>
        <w:autoSpaceDN w:val="0"/>
        <w:adjustRightInd w:val="0"/>
        <w:spacing w:after="0" w:line="240" w:lineRule="auto"/>
        <w:rPr>
          <w:rFonts w:ascii="Times New Roman" w:hAnsi="Times New Roman"/>
          <w:lang w:eastAsia="sk-SK"/>
        </w:rPr>
      </w:pPr>
      <w:r w:rsidRPr="00155205">
        <w:rPr>
          <w:rFonts w:ascii="Times New Roman" w:hAnsi="Times New Roman"/>
          <w:lang w:eastAsia="sk-SK"/>
        </w:rPr>
        <w:t>Biologická dostupnosť amlodipínu nie je ovplyvnená príjmom potravy.</w:t>
      </w:r>
    </w:p>
    <w:p w:rsidR="00FD6E3F" w:rsidRPr="00155205" w:rsidRDefault="00FD6E3F" w:rsidP="00FD6E3F">
      <w:pPr>
        <w:autoSpaceDE w:val="0"/>
        <w:autoSpaceDN w:val="0"/>
        <w:adjustRightInd w:val="0"/>
        <w:spacing w:after="0" w:line="240" w:lineRule="auto"/>
        <w:rPr>
          <w:rFonts w:ascii="Times New Roman" w:hAnsi="Times New Roman"/>
          <w:i/>
          <w:lang w:eastAsia="sk-SK"/>
        </w:rPr>
      </w:pPr>
    </w:p>
    <w:p w:rsidR="00FD2D5B" w:rsidRPr="00155205" w:rsidRDefault="00FD2D5B" w:rsidP="00FD6E3F">
      <w:pPr>
        <w:autoSpaceDE w:val="0"/>
        <w:autoSpaceDN w:val="0"/>
        <w:adjustRightInd w:val="0"/>
        <w:spacing w:after="0" w:line="240" w:lineRule="auto"/>
        <w:rPr>
          <w:rFonts w:ascii="Times New Roman" w:hAnsi="Times New Roman"/>
          <w:u w:val="single"/>
          <w:lang w:eastAsia="sk-SK"/>
        </w:rPr>
      </w:pPr>
      <w:r w:rsidRPr="00155205">
        <w:rPr>
          <w:rFonts w:ascii="Times New Roman" w:hAnsi="Times New Roman"/>
          <w:u w:val="single"/>
          <w:lang w:eastAsia="sk-SK"/>
        </w:rPr>
        <w:t>Biotransformácia</w:t>
      </w:r>
      <w:r w:rsidR="00772D11" w:rsidRPr="00155205">
        <w:rPr>
          <w:rFonts w:ascii="Times New Roman" w:hAnsi="Times New Roman"/>
          <w:u w:val="single"/>
          <w:lang w:eastAsia="sk-SK"/>
        </w:rPr>
        <w:t>/</w:t>
      </w:r>
      <w:r w:rsidRPr="00155205">
        <w:rPr>
          <w:rFonts w:ascii="Times New Roman" w:hAnsi="Times New Roman"/>
          <w:u w:val="single"/>
          <w:lang w:eastAsia="sk-SK"/>
        </w:rPr>
        <w:t>eliminácia</w:t>
      </w:r>
    </w:p>
    <w:p w:rsidR="00FD2D5B" w:rsidRPr="00155205" w:rsidRDefault="00FD2D5B" w:rsidP="00FD6E3F">
      <w:pPr>
        <w:autoSpaceDE w:val="0"/>
        <w:autoSpaceDN w:val="0"/>
        <w:adjustRightInd w:val="0"/>
        <w:spacing w:after="0" w:line="240" w:lineRule="auto"/>
        <w:rPr>
          <w:rFonts w:ascii="Times New Roman" w:hAnsi="Times New Roman"/>
          <w:lang w:eastAsia="sk-SK"/>
        </w:rPr>
      </w:pPr>
      <w:r w:rsidRPr="00155205">
        <w:rPr>
          <w:rFonts w:ascii="Times New Roman" w:hAnsi="Times New Roman"/>
          <w:lang w:eastAsia="sk-SK"/>
        </w:rPr>
        <w:t xml:space="preserve">Terminálny plazmatický polčas eliminácie je </w:t>
      </w:r>
      <w:r w:rsidR="004B4E4A" w:rsidRPr="00155205">
        <w:rPr>
          <w:rFonts w:ascii="Times New Roman" w:hAnsi="Times New Roman"/>
          <w:lang w:eastAsia="sk-SK"/>
        </w:rPr>
        <w:t>asi</w:t>
      </w:r>
      <w:r w:rsidRPr="00155205">
        <w:rPr>
          <w:rFonts w:ascii="Times New Roman" w:hAnsi="Times New Roman"/>
          <w:lang w:eastAsia="sk-SK"/>
        </w:rPr>
        <w:t xml:space="preserve"> 35 – 50 hodín a umožňuje podávanie amlodipínu v jednej dennej dávke. Amlodipín sa extenzívne metabolizuje v pečeni na neúčinné metabolity, pričom 10 % materskej látky a 60 % metabolitov sa vylučuje do moču.</w:t>
      </w:r>
    </w:p>
    <w:p w:rsidR="00FD2D5B" w:rsidRPr="00155205" w:rsidRDefault="00FD2D5B" w:rsidP="00FD2D5B">
      <w:pPr>
        <w:autoSpaceDE w:val="0"/>
        <w:autoSpaceDN w:val="0"/>
        <w:adjustRightInd w:val="0"/>
        <w:spacing w:after="0" w:line="240" w:lineRule="auto"/>
        <w:rPr>
          <w:rFonts w:ascii="Times New Roman" w:hAnsi="Times New Roman"/>
          <w:iCs/>
          <w:lang w:eastAsia="sk-SK"/>
        </w:rPr>
      </w:pPr>
    </w:p>
    <w:p w:rsidR="00BC7DBF" w:rsidRPr="00155205" w:rsidRDefault="00BC7DBF" w:rsidP="00BC7DBF">
      <w:pPr>
        <w:autoSpaceDE w:val="0"/>
        <w:autoSpaceDN w:val="0"/>
        <w:adjustRightInd w:val="0"/>
        <w:spacing w:after="0" w:line="240" w:lineRule="auto"/>
        <w:rPr>
          <w:rFonts w:ascii="Times New Roman" w:eastAsia="Times New Roman" w:hAnsi="Times New Roman"/>
          <w:i/>
          <w:iCs/>
          <w:lang w:eastAsia="sk-SK"/>
        </w:rPr>
      </w:pPr>
      <w:r w:rsidRPr="00155205">
        <w:rPr>
          <w:rFonts w:ascii="Times New Roman" w:eastAsia="Times New Roman" w:hAnsi="Times New Roman"/>
          <w:i/>
          <w:iCs/>
          <w:lang w:eastAsia="sk-SK"/>
        </w:rPr>
        <w:lastRenderedPageBreak/>
        <w:t>Osobitné skupiny pacientov</w:t>
      </w:r>
    </w:p>
    <w:p w:rsidR="00FD2D5B" w:rsidRPr="00155205" w:rsidRDefault="00FD2D5B" w:rsidP="00FD2D5B">
      <w:pPr>
        <w:autoSpaceDE w:val="0"/>
        <w:autoSpaceDN w:val="0"/>
        <w:adjustRightInd w:val="0"/>
        <w:spacing w:after="0" w:line="240" w:lineRule="auto"/>
        <w:rPr>
          <w:rFonts w:ascii="Times New Roman" w:hAnsi="Times New Roman"/>
          <w:iCs/>
          <w:u w:val="single"/>
          <w:lang w:eastAsia="sk-SK"/>
        </w:rPr>
      </w:pPr>
    </w:p>
    <w:p w:rsidR="0009340A" w:rsidRPr="00155205" w:rsidRDefault="0009340A" w:rsidP="0009340A">
      <w:pPr>
        <w:tabs>
          <w:tab w:val="left" w:pos="567"/>
        </w:tabs>
        <w:spacing w:after="0" w:line="240" w:lineRule="auto"/>
        <w:rPr>
          <w:rFonts w:ascii="Times New Roman" w:eastAsia="Times New Roman" w:hAnsi="Times New Roman"/>
          <w:i/>
          <w:u w:val="single"/>
        </w:rPr>
      </w:pPr>
      <w:r w:rsidRPr="00155205">
        <w:rPr>
          <w:rFonts w:ascii="Times New Roman" w:eastAsia="Times New Roman" w:hAnsi="Times New Roman"/>
          <w:i/>
          <w:u w:val="single"/>
        </w:rPr>
        <w:t>Porucha funkcie pečene</w:t>
      </w:r>
    </w:p>
    <w:p w:rsidR="0009340A" w:rsidRPr="00155205" w:rsidRDefault="0009340A" w:rsidP="0009340A">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K dispozícii sú veľmi obmedzené údaje týkajúce sa podávania amlodipínu u pacientov s poruchou funkcie pečene. Pacienti s pečeňovou nedostatočnosťou majú znížený klírens amlodipínu, ktorý má za následok predĺženie biologického polčasu a zväčšenie plochy pod krivkou (area under curve, AUC) približne o 40 </w:t>
      </w:r>
      <w:r w:rsidRPr="00155205">
        <w:rPr>
          <w:rFonts w:ascii="Times New Roman" w:eastAsia="Times New Roman" w:hAnsi="Times New Roman"/>
        </w:rPr>
        <w:noBreakHyphen/>
        <w:t> 60 %.</w:t>
      </w:r>
    </w:p>
    <w:p w:rsidR="0009340A" w:rsidRPr="00155205" w:rsidRDefault="0009340A" w:rsidP="0009340A">
      <w:pPr>
        <w:tabs>
          <w:tab w:val="left" w:pos="567"/>
        </w:tabs>
        <w:spacing w:after="0" w:line="240" w:lineRule="auto"/>
        <w:rPr>
          <w:rFonts w:ascii="Times New Roman" w:eastAsia="Times New Roman" w:hAnsi="Times New Roman"/>
        </w:rPr>
      </w:pPr>
    </w:p>
    <w:p w:rsidR="0009340A" w:rsidRPr="00155205" w:rsidRDefault="0009340A" w:rsidP="0009340A">
      <w:pPr>
        <w:tabs>
          <w:tab w:val="left" w:pos="567"/>
        </w:tabs>
        <w:spacing w:after="0" w:line="240" w:lineRule="auto"/>
        <w:rPr>
          <w:rFonts w:ascii="Times New Roman" w:eastAsia="Times New Roman" w:hAnsi="Times New Roman"/>
          <w:i/>
          <w:u w:val="single"/>
        </w:rPr>
      </w:pPr>
      <w:r w:rsidRPr="00155205">
        <w:rPr>
          <w:rFonts w:ascii="Times New Roman" w:eastAsia="Times New Roman" w:hAnsi="Times New Roman"/>
          <w:i/>
          <w:u w:val="single"/>
        </w:rPr>
        <w:t>Starší ľudia</w:t>
      </w:r>
    </w:p>
    <w:p w:rsidR="0009340A" w:rsidRPr="00155205" w:rsidRDefault="0009340A" w:rsidP="0009340A">
      <w:pPr>
        <w:tabs>
          <w:tab w:val="left" w:pos="567"/>
        </w:tabs>
        <w:spacing w:after="0" w:line="240" w:lineRule="auto"/>
        <w:rPr>
          <w:rFonts w:ascii="Times New Roman" w:eastAsia="Times New Roman" w:hAnsi="Times New Roman"/>
        </w:rPr>
      </w:pPr>
      <w:r w:rsidRPr="00155205">
        <w:rPr>
          <w:rFonts w:ascii="Times New Roman" w:eastAsia="Times New Roman" w:hAnsi="Times New Roman"/>
        </w:rPr>
        <w:t xml:space="preserve">Čas </w:t>
      </w:r>
      <w:r w:rsidR="00BC7DBF" w:rsidRPr="00155205">
        <w:rPr>
          <w:rFonts w:ascii="Times New Roman" w:eastAsia="Times New Roman" w:hAnsi="Times New Roman"/>
        </w:rPr>
        <w:t>na</w:t>
      </w:r>
      <w:r w:rsidRPr="00155205">
        <w:rPr>
          <w:rFonts w:ascii="Times New Roman" w:eastAsia="Times New Roman" w:hAnsi="Times New Roman"/>
        </w:rPr>
        <w:t xml:space="preserve"> dosiahnutie maximálnej plazmatickej koncentrácie amlodipínu u starších i mlad</w:t>
      </w:r>
      <w:r w:rsidR="00BC7DBF" w:rsidRPr="00155205">
        <w:rPr>
          <w:rFonts w:ascii="Times New Roman" w:eastAsia="Times New Roman" w:hAnsi="Times New Roman"/>
        </w:rPr>
        <w:t>ší</w:t>
      </w:r>
      <w:r w:rsidRPr="00155205">
        <w:rPr>
          <w:rFonts w:ascii="Times New Roman" w:eastAsia="Times New Roman" w:hAnsi="Times New Roman"/>
        </w:rPr>
        <w:t>ch ľudí je podobný. Klírens amlodipínu má tendenciu k zníženiu, čo vedie k zväčšeniu plochy pod krivkou (AUC) a predĺženiu eliminačného polčasu u starších pacientov. Zväčšenie plochy pod krivkou (AUC) a eliminačn</w:t>
      </w:r>
      <w:r w:rsidR="00E7009A" w:rsidRPr="00155205">
        <w:rPr>
          <w:rFonts w:ascii="Times New Roman" w:eastAsia="Times New Roman" w:hAnsi="Times New Roman"/>
        </w:rPr>
        <w:t>ý</w:t>
      </w:r>
      <w:r w:rsidRPr="00155205">
        <w:rPr>
          <w:rFonts w:ascii="Times New Roman" w:eastAsia="Times New Roman" w:hAnsi="Times New Roman"/>
        </w:rPr>
        <w:t xml:space="preserve"> polčas u pacientov s kongestívnym srdcovým zlyhaním bol</w:t>
      </w:r>
      <w:r w:rsidR="00E53D44" w:rsidRPr="00155205">
        <w:rPr>
          <w:rFonts w:ascii="Times New Roman" w:eastAsia="Times New Roman" w:hAnsi="Times New Roman"/>
        </w:rPr>
        <w:t>i</w:t>
      </w:r>
      <w:r w:rsidRPr="00155205">
        <w:rPr>
          <w:rFonts w:ascii="Times New Roman" w:eastAsia="Times New Roman" w:hAnsi="Times New Roman"/>
        </w:rPr>
        <w:t xml:space="preserve"> v rozsahu, aký sa očakával vzhľadom na vek </w:t>
      </w:r>
      <w:r w:rsidR="00BC7DBF" w:rsidRPr="00155205">
        <w:rPr>
          <w:rFonts w:ascii="Times New Roman" w:eastAsia="Times New Roman" w:hAnsi="Times New Roman"/>
        </w:rPr>
        <w:t xml:space="preserve">v </w:t>
      </w:r>
      <w:r w:rsidRPr="00155205">
        <w:rPr>
          <w:rFonts w:ascii="Times New Roman" w:eastAsia="Times New Roman" w:hAnsi="Times New Roman"/>
        </w:rPr>
        <w:t>skúmanej skupin</w:t>
      </w:r>
      <w:r w:rsidR="00BC7DBF" w:rsidRPr="00155205">
        <w:rPr>
          <w:rFonts w:ascii="Times New Roman" w:eastAsia="Times New Roman" w:hAnsi="Times New Roman"/>
        </w:rPr>
        <w:t>e</w:t>
      </w:r>
      <w:r w:rsidRPr="00155205">
        <w:rPr>
          <w:rFonts w:ascii="Times New Roman" w:eastAsia="Times New Roman" w:hAnsi="Times New Roman"/>
        </w:rPr>
        <w:t xml:space="preserve"> pacientov.</w:t>
      </w:r>
    </w:p>
    <w:p w:rsidR="00FD2D5B" w:rsidRPr="00155205" w:rsidRDefault="00FD2D5B" w:rsidP="00FD2D5B">
      <w:pPr>
        <w:spacing w:after="0" w:line="240" w:lineRule="auto"/>
        <w:rPr>
          <w:rFonts w:ascii="Times New Roman" w:hAnsi="Times New Roman"/>
          <w:b/>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5.3</w:t>
      </w:r>
      <w:r w:rsidRPr="00155205">
        <w:rPr>
          <w:rFonts w:ascii="Times New Roman" w:hAnsi="Times New Roman"/>
          <w:b/>
          <w:noProof/>
          <w:lang w:eastAsia="sk-SK"/>
        </w:rPr>
        <w:tab/>
        <w:t>Predklinické údaje o bezpečnosti</w:t>
      </w:r>
    </w:p>
    <w:p w:rsidR="00FD2D5B" w:rsidRPr="00155205" w:rsidRDefault="00FD2D5B" w:rsidP="00FD2D5B">
      <w:pPr>
        <w:spacing w:after="0" w:line="240" w:lineRule="auto"/>
        <w:ind w:left="567" w:hanging="567"/>
        <w:rPr>
          <w:rFonts w:ascii="Times New Roman" w:hAnsi="Times New Roman"/>
          <w:noProof/>
          <w:lang w:eastAsia="sk-SK"/>
        </w:rPr>
      </w:pPr>
    </w:p>
    <w:p w:rsidR="0009340A" w:rsidRPr="00155205" w:rsidRDefault="007D7FF2" w:rsidP="00FD2D5B">
      <w:pPr>
        <w:spacing w:after="0" w:line="240" w:lineRule="auto"/>
        <w:rPr>
          <w:rFonts w:ascii="Times New Roman" w:hAnsi="Times New Roman"/>
          <w:i/>
          <w:noProof/>
          <w:lang w:eastAsia="sk-SK"/>
        </w:rPr>
      </w:pPr>
      <w:r w:rsidRPr="00155205">
        <w:rPr>
          <w:rFonts w:ascii="Times New Roman" w:hAnsi="Times New Roman"/>
          <w:i/>
          <w:noProof/>
          <w:lang w:eastAsia="sk-SK"/>
        </w:rPr>
        <w:t>Telmisartan</w:t>
      </w: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V predklinických štúdiách bezpečnosti s normotenznými zvieratami dávky porovnateľné s klinickým terapeutickým rozsahom vyvolávali zníženie parametrov červených krviniek (erytrocyty, hemoglobín, hematokrit), zmeny v renálnej hemodynamike (zvýšený dusík močoviny v krvi a kreatinín), ako aj zvýšenie sérového draslíka. U psov bola pozorovaná dilatácia obličkových kanálikov a atrofia. U potkanov a psov sa tiež zaznamenalo poškodenie žalúdočnej sliznice (erózia, vredy alebo zápal). Týmto farmakologicky sprostredkovaným nežiaducim účinkom, známym z predklinických štúdií s inhibítormi ACE a antagonistami receptora angiotenzínu II, sa predchádzalo perorálnou náhradou soli. </w:t>
      </w: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U oboch druhov sa pozorovala zvýšená aktivita plazmatického renínu a hypertrofia/hyperplázia renálnych juxtaglomerulárnych buniek. Tieto zmeny, ako aj skupinový účinok inhibítorov ACE a iných antagonistov receptora angiotenzínu II, však zrejme nemajú klinický význam.</w:t>
      </w: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Nepozoroval sa priamy dôkaz teratogénneho účinku, </w:t>
      </w:r>
      <w:r w:rsidR="00D42F14" w:rsidRPr="00155205">
        <w:rPr>
          <w:rFonts w:ascii="Times New Roman" w:eastAsia="Times New Roman" w:hAnsi="Times New Roman"/>
          <w:lang w:eastAsia="sk-SK"/>
        </w:rPr>
        <w:t xml:space="preserve">avšak bol </w:t>
      </w:r>
      <w:r w:rsidRPr="00155205">
        <w:rPr>
          <w:rFonts w:ascii="Times New Roman" w:eastAsia="Times New Roman" w:hAnsi="Times New Roman"/>
          <w:lang w:eastAsia="sk-SK"/>
        </w:rPr>
        <w:t>pozorova</w:t>
      </w:r>
      <w:r w:rsidR="00D42F14" w:rsidRPr="00155205">
        <w:rPr>
          <w:rFonts w:ascii="Times New Roman" w:eastAsia="Times New Roman" w:hAnsi="Times New Roman"/>
          <w:lang w:eastAsia="sk-SK"/>
        </w:rPr>
        <w:t>ný vplyv telmisartanu pri h</w:t>
      </w:r>
      <w:r w:rsidRPr="00155205">
        <w:rPr>
          <w:rFonts w:ascii="Times New Roman" w:eastAsia="Times New Roman" w:hAnsi="Times New Roman"/>
          <w:lang w:eastAsia="sk-SK"/>
        </w:rPr>
        <w:t>ladin</w:t>
      </w:r>
      <w:r w:rsidR="00D42F14" w:rsidRPr="00155205">
        <w:rPr>
          <w:rFonts w:ascii="Times New Roman" w:eastAsia="Times New Roman" w:hAnsi="Times New Roman"/>
          <w:lang w:eastAsia="sk-SK"/>
        </w:rPr>
        <w:t>ách</w:t>
      </w:r>
      <w:r w:rsidRPr="00155205">
        <w:rPr>
          <w:rFonts w:ascii="Times New Roman" w:eastAsia="Times New Roman" w:hAnsi="Times New Roman"/>
          <w:lang w:eastAsia="sk-SK"/>
        </w:rPr>
        <w:t xml:space="preserve"> toxickej dávky na postnatálny vývoj plodu, ako je nižšia telesná hmotnosť a oneskorené otvorenie očí.</w:t>
      </w: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p>
    <w:p w:rsidR="007D7FF2" w:rsidRPr="00155205" w:rsidRDefault="007D7FF2" w:rsidP="007D7FF2">
      <w:pPr>
        <w:autoSpaceDE w:val="0"/>
        <w:autoSpaceDN w:val="0"/>
        <w:adjustRightInd w:val="0"/>
        <w:spacing w:after="0" w:line="240" w:lineRule="auto"/>
        <w:rPr>
          <w:rFonts w:ascii="Times New Roman" w:eastAsia="Times New Roman" w:hAnsi="Times New Roman"/>
          <w:lang w:eastAsia="sk-SK"/>
        </w:rPr>
      </w:pPr>
      <w:r w:rsidRPr="00155205">
        <w:rPr>
          <w:rFonts w:ascii="Times New Roman" w:eastAsia="Times New Roman" w:hAnsi="Times New Roman"/>
          <w:lang w:eastAsia="sk-SK"/>
        </w:rPr>
        <w:t xml:space="preserve">Nedokázala sa mutagenita a významná klastogénna aktivita v štúdiách </w:t>
      </w:r>
      <w:r w:rsidRPr="00155205">
        <w:rPr>
          <w:rFonts w:ascii="Times New Roman" w:eastAsia="Times New Roman" w:hAnsi="Times New Roman"/>
          <w:i/>
          <w:iCs/>
          <w:lang w:eastAsia="sk-SK"/>
        </w:rPr>
        <w:t xml:space="preserve">in vitro </w:t>
      </w:r>
      <w:r w:rsidRPr="00155205">
        <w:rPr>
          <w:rFonts w:ascii="Times New Roman" w:eastAsia="Times New Roman" w:hAnsi="Times New Roman"/>
          <w:lang w:eastAsia="sk-SK"/>
        </w:rPr>
        <w:t>ani karcinogenita u potkanov a myší.</w:t>
      </w:r>
    </w:p>
    <w:p w:rsidR="00FD2D5B" w:rsidRPr="00155205" w:rsidRDefault="00FD2D5B" w:rsidP="00FD2D5B">
      <w:pPr>
        <w:spacing w:after="0" w:line="240" w:lineRule="auto"/>
        <w:rPr>
          <w:rFonts w:ascii="Times New Roman" w:hAnsi="Times New Roman"/>
          <w:lang w:eastAsia="sk-SK"/>
        </w:rPr>
      </w:pPr>
    </w:p>
    <w:p w:rsidR="00FD2D5B" w:rsidRPr="00155205" w:rsidRDefault="00FD2D5B" w:rsidP="00FD2D5B">
      <w:pPr>
        <w:spacing w:after="0" w:line="240" w:lineRule="auto"/>
        <w:rPr>
          <w:rFonts w:ascii="Times New Roman" w:hAnsi="Times New Roman"/>
          <w:i/>
          <w:lang w:eastAsia="sk-SK"/>
        </w:rPr>
      </w:pPr>
      <w:r w:rsidRPr="00155205">
        <w:rPr>
          <w:rFonts w:ascii="Times New Roman" w:hAnsi="Times New Roman"/>
          <w:i/>
          <w:lang w:eastAsia="sk-SK"/>
        </w:rPr>
        <w:t>Amlodipín</w:t>
      </w:r>
    </w:p>
    <w:p w:rsidR="00FD2D5B" w:rsidRPr="00155205" w:rsidRDefault="00433666" w:rsidP="00433666">
      <w:pPr>
        <w:spacing w:after="0" w:line="240" w:lineRule="auto"/>
        <w:rPr>
          <w:rFonts w:ascii="Times New Roman" w:hAnsi="Times New Roman"/>
          <w:lang w:eastAsia="sk-SK"/>
        </w:rPr>
      </w:pPr>
      <w:r w:rsidRPr="00155205">
        <w:rPr>
          <w:rFonts w:ascii="Times New Roman" w:eastAsia="Times New Roman" w:hAnsi="Times New Roman"/>
          <w:lang w:eastAsia="sk-SK"/>
        </w:rPr>
        <w:t>Predklinické údaje na základe konvenčných štúdií farmakologickej bezpečnosti, toxicity po opakovaných dávkach, genotoxicity a kancerogénneho potenciálu neodhalili špeciálne riziko pre ľudí. V štúdiách reprodukčnej toxicity na potkanoch bolo pozorované pri vysokých dávkach oneskorenie pôrodu, komplikovan</w:t>
      </w:r>
      <w:r w:rsidR="00A57F62" w:rsidRPr="00155205">
        <w:rPr>
          <w:rFonts w:ascii="Times New Roman" w:eastAsia="Times New Roman" w:hAnsi="Times New Roman"/>
          <w:lang w:eastAsia="sk-SK"/>
        </w:rPr>
        <w:t>ý</w:t>
      </w:r>
      <w:r w:rsidRPr="00155205">
        <w:rPr>
          <w:rFonts w:ascii="Times New Roman" w:eastAsia="Times New Roman" w:hAnsi="Times New Roman"/>
          <w:lang w:eastAsia="sk-SK"/>
        </w:rPr>
        <w:t xml:space="preserve"> pôrod a poškodenie plodu a skrátené prežívanie mláďat. Nebol pozorovaný účinok na fertilitu potkanov liečených perorálnym amlodipíniummaleinátom (samce počas 64 dní a samice počas 14 dní pred párením) v dávkach do 10 mg amlodipínu/kg/deň (asi 10 násob</w:t>
      </w:r>
      <w:r w:rsidR="002E388A" w:rsidRPr="00155205">
        <w:rPr>
          <w:rFonts w:ascii="Times New Roman" w:eastAsia="Times New Roman" w:hAnsi="Times New Roman"/>
          <w:lang w:eastAsia="sk-SK"/>
        </w:rPr>
        <w:t>ok</w:t>
      </w:r>
      <w:r w:rsidRPr="00155205">
        <w:rPr>
          <w:rFonts w:ascii="Times New Roman" w:eastAsia="Times New Roman" w:hAnsi="Times New Roman"/>
          <w:lang w:eastAsia="sk-SK"/>
        </w:rPr>
        <w:t xml:space="preserve"> maximáln</w:t>
      </w:r>
      <w:r w:rsidR="002E388A" w:rsidRPr="00155205">
        <w:rPr>
          <w:rFonts w:ascii="Times New Roman" w:eastAsia="Times New Roman" w:hAnsi="Times New Roman"/>
          <w:lang w:eastAsia="sk-SK"/>
        </w:rPr>
        <w:t>ej</w:t>
      </w:r>
      <w:r w:rsidRPr="00155205">
        <w:rPr>
          <w:rFonts w:ascii="Times New Roman" w:eastAsia="Times New Roman" w:hAnsi="Times New Roman"/>
          <w:lang w:eastAsia="sk-SK"/>
        </w:rPr>
        <w:t xml:space="preserve"> odporúča</w:t>
      </w:r>
      <w:r w:rsidR="002E388A" w:rsidRPr="00155205">
        <w:rPr>
          <w:rFonts w:ascii="Times New Roman" w:eastAsia="Times New Roman" w:hAnsi="Times New Roman"/>
          <w:lang w:eastAsia="sk-SK"/>
        </w:rPr>
        <w:t>nej</w:t>
      </w:r>
      <w:r w:rsidRPr="00155205">
        <w:rPr>
          <w:rFonts w:ascii="Times New Roman" w:eastAsia="Times New Roman" w:hAnsi="Times New Roman"/>
          <w:lang w:eastAsia="sk-SK"/>
        </w:rPr>
        <w:t xml:space="preserve"> dávk</w:t>
      </w:r>
      <w:r w:rsidR="002E388A" w:rsidRPr="00155205">
        <w:rPr>
          <w:rFonts w:ascii="Times New Roman" w:eastAsia="Times New Roman" w:hAnsi="Times New Roman"/>
          <w:lang w:eastAsia="sk-SK"/>
        </w:rPr>
        <w:t>y</w:t>
      </w:r>
      <w:r w:rsidRPr="00155205">
        <w:rPr>
          <w:rFonts w:ascii="Times New Roman" w:eastAsia="Times New Roman" w:hAnsi="Times New Roman"/>
          <w:lang w:eastAsia="sk-SK"/>
        </w:rPr>
        <w:t xml:space="preserve"> u ľudí </w:t>
      </w:r>
      <w:r w:rsidR="002E388A" w:rsidRPr="00155205">
        <w:rPr>
          <w:rFonts w:ascii="Times New Roman" w:eastAsia="Times New Roman" w:hAnsi="Times New Roman"/>
          <w:lang w:eastAsia="sk-SK"/>
        </w:rPr>
        <w:t xml:space="preserve">rovnajúcej sa 10 mg/deň </w:t>
      </w:r>
      <w:r w:rsidRPr="00155205">
        <w:rPr>
          <w:rFonts w:ascii="Times New Roman" w:eastAsia="Times New Roman" w:hAnsi="Times New Roman"/>
          <w:lang w:eastAsia="sk-SK"/>
        </w:rPr>
        <w:t xml:space="preserve">v prepočte </w:t>
      </w:r>
      <w:r w:rsidR="002E388A" w:rsidRPr="00155205">
        <w:rPr>
          <w:rFonts w:ascii="Times New Roman" w:eastAsia="Times New Roman" w:hAnsi="Times New Roman"/>
          <w:lang w:eastAsia="sk-SK"/>
        </w:rPr>
        <w:t>na</w:t>
      </w:r>
      <w:r w:rsidRPr="00155205">
        <w:rPr>
          <w:rFonts w:ascii="Times New Roman" w:eastAsia="Times New Roman" w:hAnsi="Times New Roman"/>
          <w:lang w:eastAsia="sk-SK"/>
        </w:rPr>
        <w:t xml:space="preserve"> mg/m</w:t>
      </w:r>
      <w:r w:rsidRPr="00155205">
        <w:rPr>
          <w:rFonts w:ascii="Times New Roman" w:eastAsia="Times New Roman" w:hAnsi="Times New Roman"/>
          <w:vertAlign w:val="superscript"/>
          <w:lang w:eastAsia="sk-SK"/>
        </w:rPr>
        <w:t>2</w:t>
      </w:r>
      <w:r w:rsidR="002E388A" w:rsidRPr="00155205">
        <w:rPr>
          <w:rFonts w:ascii="Times New Roman" w:eastAsia="Times New Roman" w:hAnsi="Times New Roman"/>
          <w:lang w:eastAsia="sk-SK"/>
        </w:rPr>
        <w:t xml:space="preserve"> </w:t>
      </w:r>
      <w:r w:rsidRPr="00155205">
        <w:rPr>
          <w:rFonts w:ascii="Times New Roman" w:eastAsia="Times New Roman" w:hAnsi="Times New Roman"/>
          <w:lang w:eastAsia="sk-SK"/>
        </w:rPr>
        <w:t xml:space="preserve">povrchu). </w:t>
      </w:r>
    </w:p>
    <w:p w:rsidR="00FD2D5B" w:rsidRPr="00155205" w:rsidRDefault="00FD2D5B" w:rsidP="00FD2D5B">
      <w:pPr>
        <w:spacing w:after="0" w:line="240" w:lineRule="auto"/>
        <w:rPr>
          <w:rFonts w:ascii="Times New Roman" w:hAnsi="Times New Roman"/>
          <w:noProof/>
          <w:lang w:eastAsia="sk-SK"/>
        </w:rPr>
      </w:pPr>
    </w:p>
    <w:p w:rsidR="007D7FF2" w:rsidRPr="00155205" w:rsidRDefault="007D7FF2" w:rsidP="00FD2D5B">
      <w:pPr>
        <w:spacing w:after="0" w:line="240" w:lineRule="auto"/>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6.</w:t>
      </w:r>
      <w:r w:rsidRPr="00155205">
        <w:rPr>
          <w:rFonts w:ascii="Times New Roman" w:hAnsi="Times New Roman"/>
          <w:b/>
          <w:noProof/>
          <w:lang w:eastAsia="sk-SK"/>
        </w:rPr>
        <w:tab/>
        <w:t>FARMACEUTICKÉ INFORMÁCIE</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6.1</w:t>
      </w:r>
      <w:r w:rsidRPr="00155205">
        <w:rPr>
          <w:rFonts w:ascii="Times New Roman" w:hAnsi="Times New Roman"/>
          <w:b/>
          <w:noProof/>
          <w:lang w:eastAsia="sk-SK"/>
        </w:rPr>
        <w:tab/>
        <w:t>Zoznam pomocných látok</w:t>
      </w:r>
    </w:p>
    <w:p w:rsidR="00FD2D5B" w:rsidRPr="00155205" w:rsidRDefault="00FD2D5B" w:rsidP="00FD2D5B">
      <w:pPr>
        <w:spacing w:after="0" w:line="240" w:lineRule="auto"/>
        <w:ind w:left="567" w:hanging="567"/>
        <w:rPr>
          <w:rFonts w:ascii="Times New Roman" w:hAnsi="Times New Roman"/>
          <w:noProof/>
          <w:lang w:eastAsia="sk-SK"/>
        </w:rPr>
      </w:pPr>
    </w:p>
    <w:p w:rsidR="007D7FF2"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h</w:t>
      </w:r>
      <w:r w:rsidR="007D7FF2" w:rsidRPr="00155205">
        <w:rPr>
          <w:rFonts w:ascii="Times New Roman" w:hAnsi="Times New Roman"/>
          <w:lang w:eastAsia="sk-SK"/>
        </w:rPr>
        <w:t>ydroxid sodný</w:t>
      </w:r>
    </w:p>
    <w:p w:rsidR="007D7FF2"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p</w:t>
      </w:r>
      <w:r w:rsidR="007D7FF2" w:rsidRPr="00155205">
        <w:rPr>
          <w:rFonts w:ascii="Times New Roman" w:hAnsi="Times New Roman"/>
          <w:lang w:eastAsia="sk-SK"/>
        </w:rPr>
        <w:t>ovidón K</w:t>
      </w:r>
      <w:r w:rsidRPr="00155205">
        <w:rPr>
          <w:rFonts w:ascii="Times New Roman" w:hAnsi="Times New Roman"/>
          <w:lang w:eastAsia="sk-SK"/>
        </w:rPr>
        <w:t>30</w:t>
      </w:r>
    </w:p>
    <w:p w:rsidR="00942514"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meglumín</w:t>
      </w:r>
    </w:p>
    <w:p w:rsidR="00942514"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monohydrát laktózy</w:t>
      </w:r>
    </w:p>
    <w:p w:rsidR="00942514" w:rsidRPr="00155205" w:rsidRDefault="00942514" w:rsidP="00942514">
      <w:pPr>
        <w:keepNext/>
        <w:tabs>
          <w:tab w:val="left" w:pos="567"/>
        </w:tabs>
        <w:spacing w:after="0" w:line="240" w:lineRule="auto"/>
        <w:rPr>
          <w:rFonts w:ascii="Times New Roman" w:eastAsia="Times New Roman" w:hAnsi="Times New Roman"/>
        </w:rPr>
      </w:pPr>
      <w:r w:rsidRPr="00155205">
        <w:rPr>
          <w:rFonts w:ascii="Times New Roman" w:eastAsia="Times New Roman" w:hAnsi="Times New Roman"/>
        </w:rPr>
        <w:lastRenderedPageBreak/>
        <w:t xml:space="preserve">sorbitol </w:t>
      </w:r>
    </w:p>
    <w:p w:rsidR="00942514" w:rsidRPr="00155205" w:rsidRDefault="00942514" w:rsidP="00942514">
      <w:pPr>
        <w:keepNext/>
        <w:tabs>
          <w:tab w:val="left" w:pos="567"/>
        </w:tabs>
        <w:spacing w:after="0" w:line="240" w:lineRule="auto"/>
        <w:rPr>
          <w:rFonts w:ascii="Times New Roman" w:hAnsi="Times New Roman"/>
        </w:rPr>
      </w:pPr>
      <w:r w:rsidRPr="00155205">
        <w:rPr>
          <w:rFonts w:ascii="Times New Roman" w:hAnsi="Times New Roman"/>
        </w:rPr>
        <w:t>žltý oxid železitý (E172)</w:t>
      </w:r>
    </w:p>
    <w:p w:rsidR="00942514" w:rsidRPr="00155205" w:rsidRDefault="00F97434" w:rsidP="00942514">
      <w:pPr>
        <w:keepNext/>
        <w:tabs>
          <w:tab w:val="left" w:pos="567"/>
        </w:tabs>
        <w:spacing w:after="0" w:line="240" w:lineRule="auto"/>
        <w:rPr>
          <w:rFonts w:ascii="Times New Roman" w:hAnsi="Times New Roman"/>
          <w:lang w:eastAsia="sk-SK"/>
        </w:rPr>
      </w:pPr>
      <w:r w:rsidRPr="00155205">
        <w:rPr>
          <w:rFonts w:ascii="Times New Roman" w:hAnsi="Times New Roman"/>
          <w:lang w:eastAsia="sk-SK"/>
        </w:rPr>
        <w:t>stearan horečnatý</w:t>
      </w:r>
      <w:r w:rsidR="00942514" w:rsidRPr="00155205">
        <w:rPr>
          <w:rFonts w:ascii="Times New Roman" w:hAnsi="Times New Roman"/>
          <w:lang w:eastAsia="sk-SK"/>
        </w:rPr>
        <w:t xml:space="preserve"> </w:t>
      </w:r>
      <w:r w:rsidR="00942514" w:rsidRPr="00155205">
        <w:rPr>
          <w:rFonts w:ascii="Times New Roman" w:hAnsi="Times New Roman"/>
        </w:rPr>
        <w:t>(E470b)</w:t>
      </w:r>
    </w:p>
    <w:p w:rsidR="00942514" w:rsidRPr="00155205" w:rsidRDefault="009D40AA" w:rsidP="00942514">
      <w:pPr>
        <w:keepNext/>
        <w:tabs>
          <w:tab w:val="left" w:pos="567"/>
        </w:tabs>
        <w:spacing w:after="0" w:line="240" w:lineRule="auto"/>
        <w:rPr>
          <w:rFonts w:ascii="Times New Roman" w:hAnsi="Times New Roman"/>
          <w:lang w:eastAsia="sk-SK"/>
        </w:rPr>
      </w:pPr>
      <w:r w:rsidRPr="00155205">
        <w:rPr>
          <w:rFonts w:ascii="Times New Roman" w:hAnsi="Times New Roman"/>
          <w:lang w:eastAsia="sk-SK"/>
        </w:rPr>
        <w:t>stearyl</w:t>
      </w:r>
      <w:r w:rsidR="00942514" w:rsidRPr="00155205">
        <w:rPr>
          <w:rFonts w:ascii="Times New Roman" w:hAnsi="Times New Roman"/>
          <w:lang w:eastAsia="sk-SK"/>
        </w:rPr>
        <w:t>fumaran sodný</w:t>
      </w:r>
    </w:p>
    <w:p w:rsidR="00942514" w:rsidRPr="00155205" w:rsidRDefault="00942514" w:rsidP="00942514">
      <w:pPr>
        <w:keepNext/>
        <w:tabs>
          <w:tab w:val="left" w:pos="567"/>
        </w:tabs>
        <w:spacing w:after="0" w:line="240" w:lineRule="auto"/>
        <w:rPr>
          <w:rFonts w:ascii="Times New Roman" w:hAnsi="Times New Roman"/>
          <w:lang w:eastAsia="sk-SK"/>
        </w:rPr>
      </w:pPr>
      <w:r w:rsidRPr="00155205">
        <w:rPr>
          <w:rFonts w:ascii="Times New Roman" w:hAnsi="Times New Roman"/>
          <w:lang w:eastAsia="sk-SK"/>
        </w:rPr>
        <w:t>manitol</w:t>
      </w:r>
    </w:p>
    <w:p w:rsidR="00942514" w:rsidRPr="00155205" w:rsidRDefault="00942514" w:rsidP="00942514">
      <w:pPr>
        <w:keepNext/>
        <w:tabs>
          <w:tab w:val="left" w:pos="567"/>
        </w:tabs>
        <w:spacing w:after="0" w:line="240" w:lineRule="auto"/>
        <w:rPr>
          <w:rFonts w:ascii="Times New Roman" w:hAnsi="Times New Roman"/>
          <w:lang w:eastAsia="sk-SK"/>
        </w:rPr>
      </w:pPr>
      <w:r w:rsidRPr="00155205">
        <w:rPr>
          <w:rFonts w:ascii="Times New Roman" w:hAnsi="Times New Roman"/>
        </w:rPr>
        <w:t>koloidný oxid kremičitý, bezvodý</w:t>
      </w:r>
    </w:p>
    <w:p w:rsidR="00FD2D5B" w:rsidRPr="00155205" w:rsidRDefault="00942514" w:rsidP="00FD2D5B">
      <w:pPr>
        <w:spacing w:after="0" w:line="240" w:lineRule="auto"/>
        <w:rPr>
          <w:rFonts w:ascii="Times New Roman" w:hAnsi="Times New Roman"/>
          <w:lang w:eastAsia="sk-SK"/>
        </w:rPr>
      </w:pPr>
      <w:r w:rsidRPr="00155205">
        <w:rPr>
          <w:rFonts w:ascii="Times New Roman" w:hAnsi="Times New Roman"/>
          <w:lang w:eastAsia="sk-SK"/>
        </w:rPr>
        <w:t>kyselina stearová</w:t>
      </w:r>
    </w:p>
    <w:p w:rsidR="00FD2D5B" w:rsidRPr="00155205" w:rsidRDefault="00FD2D5B" w:rsidP="00FD2D5B">
      <w:pPr>
        <w:spacing w:after="0" w:line="240" w:lineRule="auto"/>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6.2</w:t>
      </w:r>
      <w:r w:rsidRPr="00155205">
        <w:rPr>
          <w:rFonts w:ascii="Times New Roman" w:hAnsi="Times New Roman"/>
          <w:b/>
          <w:noProof/>
          <w:lang w:eastAsia="sk-SK"/>
        </w:rPr>
        <w:tab/>
        <w:t>Inkompatibility</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Neaplikovateľné.</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6.3</w:t>
      </w:r>
      <w:r w:rsidRPr="00155205">
        <w:rPr>
          <w:rFonts w:ascii="Times New Roman" w:hAnsi="Times New Roman"/>
          <w:b/>
          <w:noProof/>
          <w:lang w:eastAsia="sk-SK"/>
        </w:rPr>
        <w:tab/>
        <w:t>Čas použiteľnosti</w:t>
      </w:r>
    </w:p>
    <w:p w:rsidR="00FD2D5B" w:rsidRPr="00155205" w:rsidRDefault="00FD2D5B" w:rsidP="00FD2D5B">
      <w:pPr>
        <w:spacing w:after="0" w:line="240" w:lineRule="auto"/>
        <w:ind w:left="567" w:hanging="567"/>
        <w:rPr>
          <w:rFonts w:ascii="Times New Roman" w:hAnsi="Times New Roman"/>
          <w:noProof/>
          <w:lang w:eastAsia="sk-SK"/>
        </w:rPr>
      </w:pPr>
    </w:p>
    <w:p w:rsidR="007C3018" w:rsidRPr="00155205" w:rsidRDefault="007C3018" w:rsidP="007C3018">
      <w:pPr>
        <w:spacing w:after="0" w:line="240" w:lineRule="auto"/>
        <w:rPr>
          <w:rFonts w:ascii="Times New Roman" w:hAnsi="Times New Roman"/>
          <w:i/>
        </w:rPr>
      </w:pPr>
      <w:r w:rsidRPr="00155205">
        <w:rPr>
          <w:rFonts w:ascii="Times New Roman" w:hAnsi="Times New Roman"/>
          <w:i/>
          <w:noProof/>
        </w:rPr>
        <w:t>40 mg/5 mg, 40 mg/10 mg a</w:t>
      </w:r>
      <w:r w:rsidR="00750144" w:rsidRPr="00155205">
        <w:rPr>
          <w:rFonts w:ascii="Times New Roman" w:hAnsi="Times New Roman"/>
          <w:i/>
          <w:noProof/>
        </w:rPr>
        <w:t xml:space="preserve"> 80 mg/10 mg tablety</w:t>
      </w:r>
    </w:p>
    <w:p w:rsidR="00FD2D5B" w:rsidRPr="00155205" w:rsidRDefault="007837CA" w:rsidP="00750144">
      <w:pPr>
        <w:spacing w:after="0" w:line="240" w:lineRule="auto"/>
        <w:ind w:left="540" w:hanging="540"/>
        <w:rPr>
          <w:rFonts w:ascii="Times New Roman" w:hAnsi="Times New Roman"/>
          <w:noProof/>
          <w:lang w:eastAsia="sk-SK"/>
        </w:rPr>
      </w:pPr>
      <w:r w:rsidRPr="00155205">
        <w:rPr>
          <w:rFonts w:ascii="Times New Roman" w:hAnsi="Times New Roman"/>
          <w:noProof/>
          <w:lang w:eastAsia="sk-SK"/>
        </w:rPr>
        <w:t>2</w:t>
      </w:r>
      <w:r w:rsidR="00FD2D5B" w:rsidRPr="00155205">
        <w:rPr>
          <w:rFonts w:ascii="Times New Roman" w:hAnsi="Times New Roman"/>
          <w:noProof/>
          <w:lang w:eastAsia="sk-SK"/>
        </w:rPr>
        <w:t> roky</w:t>
      </w:r>
    </w:p>
    <w:p w:rsidR="00750144" w:rsidRPr="00155205" w:rsidRDefault="00750144" w:rsidP="00750144">
      <w:pPr>
        <w:spacing w:after="0" w:line="240" w:lineRule="auto"/>
        <w:ind w:left="540" w:hanging="540"/>
        <w:rPr>
          <w:rFonts w:ascii="Times New Roman" w:hAnsi="Times New Roman"/>
          <w:noProof/>
          <w:lang w:eastAsia="sk-SK"/>
        </w:rPr>
      </w:pPr>
    </w:p>
    <w:p w:rsidR="00750144" w:rsidRPr="00155205" w:rsidRDefault="00750144" w:rsidP="00750144">
      <w:pPr>
        <w:spacing w:after="0" w:line="240" w:lineRule="auto"/>
        <w:ind w:left="540" w:hanging="540"/>
        <w:rPr>
          <w:rFonts w:ascii="Times New Roman" w:hAnsi="Times New Roman"/>
          <w:i/>
          <w:noProof/>
        </w:rPr>
      </w:pPr>
      <w:r w:rsidRPr="00155205">
        <w:rPr>
          <w:rFonts w:ascii="Times New Roman" w:hAnsi="Times New Roman"/>
          <w:i/>
          <w:noProof/>
        </w:rPr>
        <w:t>80 mg/5 mg tablety</w:t>
      </w:r>
    </w:p>
    <w:p w:rsidR="00750144" w:rsidRPr="00155205" w:rsidRDefault="00750144" w:rsidP="00750144">
      <w:pPr>
        <w:spacing w:after="0" w:line="240" w:lineRule="auto"/>
        <w:ind w:left="540" w:hanging="540"/>
        <w:rPr>
          <w:rFonts w:ascii="Times New Roman" w:hAnsi="Times New Roman"/>
          <w:i/>
          <w:noProof/>
        </w:rPr>
      </w:pPr>
      <w:r w:rsidRPr="00155205">
        <w:rPr>
          <w:rFonts w:ascii="Times New Roman" w:hAnsi="Times New Roman"/>
          <w:i/>
          <w:noProof/>
        </w:rPr>
        <w:t>18 mesiacov</w:t>
      </w:r>
    </w:p>
    <w:p w:rsidR="00750144" w:rsidRPr="00155205" w:rsidRDefault="00750144" w:rsidP="00750144">
      <w:pPr>
        <w:spacing w:after="0" w:line="240" w:lineRule="auto"/>
        <w:ind w:left="540" w:hanging="540"/>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6.4</w:t>
      </w:r>
      <w:r w:rsidRPr="00155205">
        <w:rPr>
          <w:rFonts w:ascii="Times New Roman" w:hAnsi="Times New Roman"/>
          <w:b/>
          <w:noProof/>
          <w:lang w:eastAsia="sk-SK"/>
        </w:rPr>
        <w:tab/>
        <w:t>Špeciálne upozornenia na uchovávanie</w:t>
      </w:r>
    </w:p>
    <w:p w:rsidR="00FD2D5B" w:rsidRPr="00155205" w:rsidRDefault="00FD2D5B" w:rsidP="00FD2D5B">
      <w:pPr>
        <w:spacing w:after="0" w:line="240" w:lineRule="auto"/>
        <w:ind w:left="567" w:hanging="567"/>
        <w:rPr>
          <w:rFonts w:ascii="Times New Roman" w:hAnsi="Times New Roman"/>
          <w:bCs/>
          <w:iCs/>
          <w:lang w:eastAsia="sk-SK"/>
        </w:rPr>
      </w:pPr>
    </w:p>
    <w:p w:rsidR="00545BE3" w:rsidRPr="00155205" w:rsidRDefault="007837CA"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 xml:space="preserve">Uchovávajte pri teplote </w:t>
      </w:r>
      <w:r w:rsidR="00545BE3" w:rsidRPr="00155205">
        <w:rPr>
          <w:rFonts w:ascii="Times New Roman" w:hAnsi="Times New Roman"/>
          <w:noProof/>
          <w:lang w:eastAsia="sk-SK"/>
        </w:rPr>
        <w:t>neprevyšujúcej</w:t>
      </w:r>
      <w:r w:rsidRPr="00155205">
        <w:rPr>
          <w:rFonts w:ascii="Times New Roman" w:hAnsi="Times New Roman"/>
          <w:noProof/>
          <w:lang w:eastAsia="sk-SK"/>
        </w:rPr>
        <w:t xml:space="preserve"> </w:t>
      </w:r>
      <w:r w:rsidR="00545BE3" w:rsidRPr="00155205">
        <w:rPr>
          <w:rFonts w:ascii="Times New Roman" w:hAnsi="Times New Roman"/>
          <w:noProof/>
          <w:lang w:eastAsia="sk-SK"/>
        </w:rPr>
        <w:t>30</w:t>
      </w:r>
      <w:r w:rsidRPr="00155205">
        <w:rPr>
          <w:rFonts w:ascii="Times New Roman" w:hAnsi="Times New Roman"/>
          <w:noProof/>
          <w:lang w:eastAsia="sk-SK"/>
        </w:rPr>
        <w:t xml:space="preserve"> </w:t>
      </w:r>
      <w:r w:rsidRPr="00155205">
        <w:rPr>
          <w:rFonts w:ascii="Times New Roman" w:hAnsi="Times New Roman"/>
          <w:noProof/>
          <w:vertAlign w:val="superscript"/>
          <w:lang w:eastAsia="sk-SK"/>
        </w:rPr>
        <w:t>o</w:t>
      </w:r>
      <w:r w:rsidRPr="00155205">
        <w:rPr>
          <w:rFonts w:ascii="Times New Roman" w:hAnsi="Times New Roman"/>
          <w:noProof/>
          <w:lang w:eastAsia="sk-SK"/>
        </w:rPr>
        <w:t>C</w:t>
      </w:r>
      <w:r w:rsidR="00545BE3" w:rsidRPr="00155205">
        <w:rPr>
          <w:rFonts w:ascii="Times New Roman" w:hAnsi="Times New Roman"/>
          <w:noProof/>
          <w:lang w:eastAsia="sk-SK"/>
        </w:rPr>
        <w:t>.</w:t>
      </w:r>
    </w:p>
    <w:p w:rsidR="00FD2D5B" w:rsidRPr="00155205" w:rsidRDefault="00545BE3"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Uchovávajte</w:t>
      </w:r>
      <w:r w:rsidR="007837CA" w:rsidRPr="00155205">
        <w:rPr>
          <w:rFonts w:ascii="Times New Roman" w:hAnsi="Times New Roman"/>
          <w:noProof/>
          <w:lang w:eastAsia="sk-SK"/>
        </w:rPr>
        <w:t xml:space="preserve"> v pôvodnom obale na ochranu pred svetlom.</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6.5</w:t>
      </w:r>
      <w:r w:rsidRPr="00155205">
        <w:rPr>
          <w:rFonts w:ascii="Times New Roman" w:hAnsi="Times New Roman"/>
          <w:b/>
          <w:noProof/>
          <w:lang w:eastAsia="sk-SK"/>
        </w:rPr>
        <w:tab/>
        <w:t xml:space="preserve">Druh obalu a obsah balenia </w:t>
      </w:r>
    </w:p>
    <w:p w:rsidR="00FD2D5B" w:rsidRPr="00155205" w:rsidRDefault="00FD2D5B" w:rsidP="00FD2D5B">
      <w:pPr>
        <w:spacing w:after="0" w:line="240" w:lineRule="auto"/>
        <w:ind w:left="567" w:hanging="567"/>
        <w:rPr>
          <w:rFonts w:ascii="Times New Roman" w:hAnsi="Times New Roman"/>
          <w:noProof/>
          <w:lang w:eastAsia="sk-SK"/>
        </w:rPr>
      </w:pPr>
    </w:p>
    <w:p w:rsidR="007837CA" w:rsidRPr="00155205" w:rsidRDefault="00545BE3" w:rsidP="00545BE3">
      <w:pPr>
        <w:widowControl w:val="0"/>
        <w:tabs>
          <w:tab w:val="left" w:pos="567"/>
        </w:tabs>
        <w:spacing w:after="0" w:line="240" w:lineRule="auto"/>
        <w:rPr>
          <w:rFonts w:ascii="Times New Roman" w:hAnsi="Times New Roman"/>
          <w:lang w:eastAsia="sk-SK"/>
        </w:rPr>
      </w:pPr>
      <w:r w:rsidRPr="00155205">
        <w:rPr>
          <w:rFonts w:ascii="Times New Roman" w:hAnsi="Times New Roman"/>
          <w:lang w:eastAsia="sk-SK"/>
        </w:rPr>
        <w:t>Blister (</w:t>
      </w:r>
      <w:r w:rsidR="007837CA" w:rsidRPr="00155205">
        <w:rPr>
          <w:rFonts w:ascii="Times New Roman" w:hAnsi="Times New Roman"/>
          <w:lang w:eastAsia="sk-SK"/>
        </w:rPr>
        <w:t>OPA/Al</w:t>
      </w:r>
      <w:r w:rsidRPr="00155205">
        <w:rPr>
          <w:rFonts w:ascii="Times New Roman" w:hAnsi="Times New Roman"/>
          <w:lang w:eastAsia="sk-SK"/>
        </w:rPr>
        <w:t>u</w:t>
      </w:r>
      <w:r w:rsidR="007837CA" w:rsidRPr="00155205">
        <w:rPr>
          <w:rFonts w:ascii="Times New Roman" w:hAnsi="Times New Roman"/>
          <w:lang w:eastAsia="sk-SK"/>
        </w:rPr>
        <w:t>/PVC</w:t>
      </w:r>
      <w:r w:rsidRPr="00155205">
        <w:rPr>
          <w:rFonts w:ascii="Times New Roman" w:hAnsi="Times New Roman"/>
          <w:lang w:eastAsia="sk-SK"/>
        </w:rPr>
        <w:t xml:space="preserve"> fólia – </w:t>
      </w:r>
      <w:r w:rsidR="007837CA" w:rsidRPr="00155205">
        <w:rPr>
          <w:rFonts w:ascii="Times New Roman" w:hAnsi="Times New Roman"/>
          <w:lang w:eastAsia="sk-SK"/>
        </w:rPr>
        <w:t>Al</w:t>
      </w:r>
      <w:r w:rsidRPr="00155205">
        <w:rPr>
          <w:rFonts w:ascii="Times New Roman" w:hAnsi="Times New Roman"/>
          <w:lang w:eastAsia="sk-SK"/>
        </w:rPr>
        <w:t>u fólia):</w:t>
      </w:r>
      <w:r w:rsidR="007837CA" w:rsidRPr="00155205">
        <w:rPr>
          <w:rFonts w:ascii="Times New Roman" w:hAnsi="Times New Roman"/>
          <w:lang w:eastAsia="sk-SK"/>
        </w:rPr>
        <w:t xml:space="preserve"> </w:t>
      </w:r>
      <w:r w:rsidRPr="00155205">
        <w:rPr>
          <w:rFonts w:ascii="Times New Roman" w:hAnsi="Times New Roman"/>
        </w:rPr>
        <w:t>14, 28, 30, 56, 60, 84, 90 a</w:t>
      </w:r>
      <w:r w:rsidR="00E46F18" w:rsidRPr="00155205">
        <w:rPr>
          <w:rFonts w:ascii="Times New Roman" w:hAnsi="Times New Roman"/>
        </w:rPr>
        <w:t> </w:t>
      </w:r>
      <w:r w:rsidRPr="00155205">
        <w:rPr>
          <w:rFonts w:ascii="Times New Roman" w:hAnsi="Times New Roman"/>
        </w:rPr>
        <w:t>98</w:t>
      </w:r>
      <w:r w:rsidR="00E46F18" w:rsidRPr="00155205">
        <w:rPr>
          <w:rFonts w:ascii="Times New Roman" w:hAnsi="Times New Roman"/>
        </w:rPr>
        <w:t xml:space="preserve"> tabliet</w:t>
      </w:r>
      <w:r w:rsidRPr="00155205">
        <w:rPr>
          <w:rFonts w:ascii="Times New Roman" w:hAnsi="Times New Roman"/>
        </w:rPr>
        <w:t xml:space="preserve"> v </w:t>
      </w:r>
      <w:r w:rsidR="008328BB" w:rsidRPr="00155205">
        <w:rPr>
          <w:rFonts w:ascii="Times New Roman" w:hAnsi="Times New Roman"/>
          <w:lang w:eastAsia="sk-SK"/>
        </w:rPr>
        <w:t>škatuľk</w:t>
      </w:r>
      <w:r w:rsidRPr="00155205">
        <w:rPr>
          <w:rFonts w:ascii="Times New Roman" w:hAnsi="Times New Roman"/>
          <w:lang w:eastAsia="sk-SK"/>
        </w:rPr>
        <w:t>e.</w:t>
      </w:r>
    </w:p>
    <w:p w:rsidR="007837CA" w:rsidRPr="00155205" w:rsidRDefault="007837CA" w:rsidP="00FD2D5B">
      <w:pPr>
        <w:tabs>
          <w:tab w:val="left" w:pos="7080"/>
        </w:tabs>
        <w:spacing w:after="0" w:line="240" w:lineRule="auto"/>
        <w:rPr>
          <w:rFonts w:ascii="Times New Roman" w:hAnsi="Times New Roman"/>
          <w:lang w:eastAsia="sk-SK"/>
        </w:rPr>
      </w:pPr>
    </w:p>
    <w:p w:rsidR="00FD2D5B" w:rsidRPr="00155205" w:rsidRDefault="00FD2D5B" w:rsidP="00FD2D5B">
      <w:pPr>
        <w:tabs>
          <w:tab w:val="left" w:pos="7080"/>
        </w:tabs>
        <w:spacing w:after="0" w:line="240" w:lineRule="auto"/>
        <w:rPr>
          <w:rFonts w:ascii="Times New Roman" w:hAnsi="Times New Roman"/>
          <w:lang w:eastAsia="sk-SK"/>
        </w:rPr>
      </w:pPr>
      <w:r w:rsidRPr="00155205">
        <w:rPr>
          <w:rFonts w:ascii="Times New Roman" w:hAnsi="Times New Roman"/>
          <w:lang w:eastAsia="sk-SK"/>
        </w:rPr>
        <w:t>Na trh nemusia byť uvedené všetky veľkosti balenia.</w:t>
      </w:r>
    </w:p>
    <w:p w:rsidR="00FD2D5B" w:rsidRPr="00155205" w:rsidRDefault="00FD2D5B" w:rsidP="00FD2D5B">
      <w:pPr>
        <w:tabs>
          <w:tab w:val="left" w:pos="-142"/>
          <w:tab w:val="left" w:pos="284"/>
        </w:tabs>
        <w:spacing w:after="0" w:line="240" w:lineRule="auto"/>
        <w:rPr>
          <w:rFonts w:ascii="Times New Roman" w:hAnsi="Times New Roman"/>
          <w:lang w:eastAsia="sk-SK"/>
        </w:rPr>
      </w:pPr>
    </w:p>
    <w:p w:rsidR="00FD2D5B" w:rsidRPr="00155205" w:rsidRDefault="00FD2D5B" w:rsidP="00FD2D5B">
      <w:pPr>
        <w:spacing w:after="0" w:line="240" w:lineRule="auto"/>
        <w:ind w:left="567" w:hanging="567"/>
        <w:rPr>
          <w:rFonts w:ascii="Times New Roman" w:hAnsi="Times New Roman"/>
          <w:b/>
          <w:bCs/>
          <w:noProof/>
          <w:lang w:eastAsia="sk-SK"/>
        </w:rPr>
      </w:pPr>
      <w:r w:rsidRPr="00155205">
        <w:rPr>
          <w:rFonts w:ascii="Times New Roman" w:hAnsi="Times New Roman"/>
          <w:b/>
          <w:noProof/>
          <w:lang w:eastAsia="sk-SK"/>
        </w:rPr>
        <w:t>6.6</w:t>
      </w:r>
      <w:r w:rsidRPr="00155205">
        <w:rPr>
          <w:rFonts w:ascii="Times New Roman" w:hAnsi="Times New Roman"/>
          <w:b/>
          <w:noProof/>
          <w:lang w:eastAsia="sk-SK"/>
        </w:rPr>
        <w:tab/>
      </w:r>
      <w:r w:rsidRPr="00155205">
        <w:rPr>
          <w:rFonts w:ascii="Times New Roman" w:hAnsi="Times New Roman"/>
          <w:b/>
          <w:bCs/>
          <w:noProof/>
          <w:lang w:eastAsia="sk-SK"/>
        </w:rPr>
        <w:t>Špeciálne opatrenia na likvidáciu a iné zaobchádzanie s liekom</w:t>
      </w:r>
    </w:p>
    <w:p w:rsidR="00FD2D5B" w:rsidRPr="00155205" w:rsidRDefault="00FD2D5B" w:rsidP="00FD2D5B">
      <w:pPr>
        <w:spacing w:after="0" w:line="240" w:lineRule="auto"/>
        <w:ind w:left="567" w:hanging="567"/>
        <w:rPr>
          <w:rFonts w:ascii="Times New Roman" w:hAnsi="Times New Roman"/>
          <w:noProof/>
          <w:lang w:eastAsia="sk-SK"/>
        </w:rPr>
      </w:pPr>
    </w:p>
    <w:p w:rsidR="00F64E52" w:rsidRPr="00155205" w:rsidRDefault="00F64E52" w:rsidP="007837CA">
      <w:pPr>
        <w:spacing w:after="0" w:line="240" w:lineRule="auto"/>
        <w:rPr>
          <w:rFonts w:ascii="Times New Roman" w:hAnsi="Times New Roman"/>
          <w:noProof/>
          <w:lang w:eastAsia="sk-SK"/>
        </w:rPr>
      </w:pPr>
      <w:r w:rsidRPr="00155205">
        <w:rPr>
          <w:rFonts w:ascii="Times New Roman" w:hAnsi="Times New Roman"/>
          <w:noProof/>
          <w:lang w:eastAsia="sk-SK"/>
        </w:rPr>
        <w:t>Žiadne zvláštne požiadavky na likvidáciu.</w:t>
      </w:r>
    </w:p>
    <w:p w:rsidR="00FD2D5B" w:rsidRPr="00155205" w:rsidRDefault="00F64E52" w:rsidP="007837CA">
      <w:pPr>
        <w:spacing w:after="0" w:line="240" w:lineRule="auto"/>
        <w:rPr>
          <w:rFonts w:ascii="Times New Roman" w:hAnsi="Times New Roman"/>
          <w:noProof/>
          <w:lang w:eastAsia="sk-SK"/>
        </w:rPr>
      </w:pPr>
      <w:r w:rsidRPr="00155205">
        <w:rPr>
          <w:rFonts w:ascii="Times New Roman" w:hAnsi="Times New Roman"/>
          <w:noProof/>
          <w:lang w:eastAsia="sk-SK"/>
        </w:rPr>
        <w:t>Všetok n</w:t>
      </w:r>
      <w:r w:rsidR="007837CA" w:rsidRPr="00155205">
        <w:rPr>
          <w:rFonts w:ascii="Times New Roman" w:hAnsi="Times New Roman"/>
          <w:noProof/>
          <w:lang w:eastAsia="sk-SK"/>
        </w:rPr>
        <w:t>epoužitý liek alebo odpad vzniknutý z</w:t>
      </w:r>
      <w:r w:rsidRPr="00155205">
        <w:rPr>
          <w:rFonts w:ascii="Times New Roman" w:hAnsi="Times New Roman"/>
          <w:noProof/>
          <w:lang w:eastAsia="sk-SK"/>
        </w:rPr>
        <w:t> </w:t>
      </w:r>
      <w:r w:rsidR="007837CA" w:rsidRPr="00155205">
        <w:rPr>
          <w:rFonts w:ascii="Times New Roman" w:hAnsi="Times New Roman"/>
          <w:noProof/>
          <w:lang w:eastAsia="sk-SK"/>
        </w:rPr>
        <w:t>lieku</w:t>
      </w:r>
      <w:r w:rsidRPr="00155205">
        <w:rPr>
          <w:rFonts w:ascii="Times New Roman" w:hAnsi="Times New Roman"/>
          <w:noProof/>
          <w:lang w:eastAsia="sk-SK"/>
        </w:rPr>
        <w:t xml:space="preserve"> sa</w:t>
      </w:r>
      <w:r w:rsidR="007837CA" w:rsidRPr="00155205">
        <w:rPr>
          <w:rFonts w:ascii="Times New Roman" w:hAnsi="Times New Roman"/>
          <w:noProof/>
          <w:lang w:eastAsia="sk-SK"/>
        </w:rPr>
        <w:t xml:space="preserve"> má zlikvidova</w:t>
      </w:r>
      <w:r w:rsidRPr="00155205">
        <w:rPr>
          <w:rFonts w:ascii="Times New Roman" w:hAnsi="Times New Roman"/>
          <w:noProof/>
          <w:lang w:eastAsia="sk-SK"/>
        </w:rPr>
        <w:t>ť</w:t>
      </w:r>
      <w:r w:rsidR="007837CA" w:rsidRPr="00155205">
        <w:rPr>
          <w:rFonts w:ascii="Times New Roman" w:hAnsi="Times New Roman"/>
          <w:noProof/>
          <w:lang w:eastAsia="sk-SK"/>
        </w:rPr>
        <w:t xml:space="preserve"> v súlade s národnými požiadavkami.</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7.</w:t>
      </w:r>
      <w:r w:rsidRPr="00155205">
        <w:rPr>
          <w:rFonts w:ascii="Times New Roman" w:hAnsi="Times New Roman"/>
          <w:b/>
          <w:noProof/>
          <w:lang w:eastAsia="sk-SK"/>
        </w:rPr>
        <w:tab/>
        <w:t>DRŽITEĽ ROZHODNUTIA O REGISTRÁCII</w:t>
      </w:r>
    </w:p>
    <w:p w:rsidR="00FD2D5B" w:rsidRPr="00155205" w:rsidRDefault="00FD2D5B" w:rsidP="00FD2D5B">
      <w:pPr>
        <w:spacing w:after="0" w:line="240" w:lineRule="auto"/>
        <w:ind w:left="567" w:hanging="567"/>
        <w:rPr>
          <w:rFonts w:ascii="Times New Roman" w:hAnsi="Times New Roman"/>
          <w:noProof/>
          <w:lang w:eastAsia="sk-SK"/>
        </w:rPr>
      </w:pPr>
    </w:p>
    <w:p w:rsidR="00F76DEF" w:rsidRDefault="00717BE7" w:rsidP="00717BE7">
      <w:pPr>
        <w:spacing w:after="0" w:line="240" w:lineRule="auto"/>
        <w:rPr>
          <w:rFonts w:ascii="Times New Roman" w:hAnsi="Times New Roman"/>
        </w:rPr>
      </w:pPr>
      <w:r w:rsidRPr="00155205">
        <w:rPr>
          <w:rFonts w:ascii="Times New Roman" w:hAnsi="Times New Roman"/>
        </w:rPr>
        <w:t>KRKA, d.d., Novo mesto</w:t>
      </w:r>
    </w:p>
    <w:p w:rsidR="00F76DEF" w:rsidRDefault="00717BE7" w:rsidP="00717BE7">
      <w:pPr>
        <w:spacing w:after="0" w:line="240" w:lineRule="auto"/>
        <w:rPr>
          <w:rFonts w:ascii="Times New Roman" w:hAnsi="Times New Roman"/>
        </w:rPr>
      </w:pPr>
      <w:r w:rsidRPr="00155205">
        <w:rPr>
          <w:rFonts w:ascii="Times New Roman" w:hAnsi="Times New Roman"/>
        </w:rPr>
        <w:t>Šmarješka cesta 6</w:t>
      </w:r>
    </w:p>
    <w:p w:rsidR="00F76DEF" w:rsidRDefault="00717BE7" w:rsidP="00717BE7">
      <w:pPr>
        <w:spacing w:after="0" w:line="240" w:lineRule="auto"/>
        <w:rPr>
          <w:rFonts w:ascii="Times New Roman" w:hAnsi="Times New Roman"/>
        </w:rPr>
      </w:pPr>
      <w:r w:rsidRPr="00155205">
        <w:rPr>
          <w:rFonts w:ascii="Times New Roman" w:hAnsi="Times New Roman"/>
        </w:rPr>
        <w:t>8501 Novo mesto</w:t>
      </w:r>
    </w:p>
    <w:p w:rsidR="00717BE7" w:rsidRPr="00155205" w:rsidRDefault="00717BE7" w:rsidP="00717BE7">
      <w:pPr>
        <w:spacing w:after="0" w:line="240" w:lineRule="auto"/>
        <w:rPr>
          <w:rFonts w:ascii="Times New Roman" w:hAnsi="Times New Roman"/>
        </w:rPr>
      </w:pPr>
      <w:r w:rsidRPr="00155205">
        <w:rPr>
          <w:rFonts w:ascii="Times New Roman" w:hAnsi="Times New Roman"/>
        </w:rPr>
        <w:t>Slovinsko</w:t>
      </w:r>
    </w:p>
    <w:p w:rsidR="00717BE7" w:rsidRPr="00155205" w:rsidRDefault="00717BE7" w:rsidP="00717BE7">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8.</w:t>
      </w:r>
      <w:r w:rsidRPr="00155205">
        <w:rPr>
          <w:rFonts w:ascii="Times New Roman" w:hAnsi="Times New Roman"/>
          <w:b/>
          <w:noProof/>
          <w:lang w:eastAsia="sk-SK"/>
        </w:rPr>
        <w:tab/>
        <w:t xml:space="preserve">REGISTRAČNÉ ČÍSLA </w:t>
      </w:r>
    </w:p>
    <w:p w:rsidR="00FD2D5B" w:rsidRPr="00155205" w:rsidRDefault="00FD2D5B" w:rsidP="00FD2D5B">
      <w:pPr>
        <w:spacing w:after="0" w:line="240" w:lineRule="auto"/>
        <w:ind w:left="567" w:hanging="567"/>
        <w:rPr>
          <w:rFonts w:ascii="Times New Roman" w:hAnsi="Times New Roman"/>
          <w:noProof/>
          <w:lang w:eastAsia="sk-SK"/>
        </w:rPr>
      </w:pPr>
    </w:p>
    <w:p w:rsidR="0063480A" w:rsidRPr="00155205" w:rsidRDefault="0063480A" w:rsidP="0063480A">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40 mg/5 mg tablety:</w:t>
      </w:r>
      <w:r w:rsidR="00A57F62" w:rsidRPr="00155205">
        <w:t xml:space="preserve"> </w:t>
      </w:r>
      <w:r w:rsidR="00A57F62" w:rsidRPr="00155205">
        <w:rPr>
          <w:rFonts w:ascii="Times New Roman" w:hAnsi="Times New Roman"/>
          <w:noProof/>
          <w:lang w:eastAsia="sk-SK"/>
        </w:rPr>
        <w:t>58/0511/16-S</w:t>
      </w:r>
    </w:p>
    <w:p w:rsidR="0063480A" w:rsidRPr="00155205" w:rsidRDefault="0063480A" w:rsidP="0063480A">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40 mg/10 mg tablety:</w:t>
      </w:r>
      <w:r w:rsidR="00A57F62" w:rsidRPr="00155205">
        <w:t xml:space="preserve"> </w:t>
      </w:r>
      <w:r w:rsidR="00A57F62" w:rsidRPr="00155205">
        <w:rPr>
          <w:rFonts w:ascii="Times New Roman" w:hAnsi="Times New Roman"/>
          <w:noProof/>
          <w:lang w:eastAsia="sk-SK"/>
        </w:rPr>
        <w:t>58/0512/16-S</w:t>
      </w:r>
    </w:p>
    <w:p w:rsidR="0063480A" w:rsidRPr="00155205" w:rsidRDefault="0063480A" w:rsidP="0063480A">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80 mg/5 mg tablety:</w:t>
      </w:r>
      <w:r w:rsidR="00A57F62" w:rsidRPr="00155205">
        <w:t xml:space="preserve"> </w:t>
      </w:r>
      <w:r w:rsidR="00A57F62" w:rsidRPr="00155205">
        <w:rPr>
          <w:rFonts w:ascii="Times New Roman" w:hAnsi="Times New Roman"/>
          <w:noProof/>
          <w:lang w:eastAsia="sk-SK"/>
        </w:rPr>
        <w:t>58/0513/16-S</w:t>
      </w:r>
    </w:p>
    <w:p w:rsidR="0063480A" w:rsidRPr="00155205" w:rsidRDefault="0063480A" w:rsidP="0063480A">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t>Teldipin 80 mg/10 mg tablety:</w:t>
      </w:r>
      <w:r w:rsidR="00A57F62" w:rsidRPr="00155205">
        <w:t xml:space="preserve"> </w:t>
      </w:r>
      <w:r w:rsidR="00A57F62" w:rsidRPr="00155205">
        <w:rPr>
          <w:rFonts w:ascii="Times New Roman" w:hAnsi="Times New Roman"/>
          <w:noProof/>
          <w:lang w:eastAsia="sk-SK"/>
        </w:rPr>
        <w:t>58/0514/16-S</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b/>
          <w:noProof/>
          <w:lang w:eastAsia="sk-SK"/>
        </w:rPr>
        <w:t>9.</w:t>
      </w:r>
      <w:r w:rsidRPr="00155205">
        <w:rPr>
          <w:rFonts w:ascii="Times New Roman" w:hAnsi="Times New Roman"/>
          <w:b/>
          <w:noProof/>
          <w:lang w:eastAsia="sk-SK"/>
        </w:rPr>
        <w:tab/>
        <w:t>DÁTUM PRVEJ REGISTRÁCIE/PREDĹŽENIA REGISTRÁCIE</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r w:rsidRPr="00155205">
        <w:rPr>
          <w:rFonts w:ascii="Times New Roman" w:hAnsi="Times New Roman"/>
          <w:noProof/>
          <w:lang w:eastAsia="sk-SK"/>
        </w:rPr>
        <w:lastRenderedPageBreak/>
        <w:t>Dátum prvej registrácie:</w:t>
      </w:r>
      <w:r w:rsidR="001B0177">
        <w:rPr>
          <w:rFonts w:ascii="Times New Roman" w:hAnsi="Times New Roman"/>
          <w:noProof/>
          <w:lang w:eastAsia="sk-SK"/>
        </w:rPr>
        <w:t xml:space="preserve"> 6. decembra 2016</w:t>
      </w: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noProof/>
          <w:lang w:eastAsia="sk-SK"/>
        </w:rPr>
      </w:pPr>
    </w:p>
    <w:p w:rsidR="00FD2D5B" w:rsidRPr="00155205" w:rsidRDefault="00FD2D5B" w:rsidP="00FD2D5B">
      <w:pPr>
        <w:spacing w:after="0" w:line="240" w:lineRule="auto"/>
        <w:ind w:left="567" w:hanging="567"/>
        <w:rPr>
          <w:rFonts w:ascii="Times New Roman" w:hAnsi="Times New Roman"/>
          <w:b/>
          <w:noProof/>
          <w:lang w:eastAsia="sk-SK"/>
        </w:rPr>
      </w:pPr>
      <w:r w:rsidRPr="00155205">
        <w:rPr>
          <w:rFonts w:ascii="Times New Roman" w:hAnsi="Times New Roman"/>
          <w:b/>
          <w:noProof/>
          <w:lang w:eastAsia="sk-SK"/>
        </w:rPr>
        <w:t>10.</w:t>
      </w:r>
      <w:r w:rsidRPr="00155205">
        <w:rPr>
          <w:rFonts w:ascii="Times New Roman" w:hAnsi="Times New Roman"/>
          <w:b/>
          <w:noProof/>
          <w:lang w:eastAsia="sk-SK"/>
        </w:rPr>
        <w:tab/>
        <w:t>DÁTUM REVÍZIE TEXTU</w:t>
      </w:r>
    </w:p>
    <w:p w:rsidR="00FD2D5B" w:rsidRPr="00E857A7" w:rsidRDefault="00FD2D5B" w:rsidP="00FD2D5B">
      <w:pPr>
        <w:spacing w:after="0" w:line="240" w:lineRule="auto"/>
        <w:rPr>
          <w:rFonts w:ascii="Times New Roman" w:eastAsia="Times New Roman" w:hAnsi="Times New Roman"/>
          <w:noProof/>
          <w:lang w:eastAsia="sk-SK"/>
        </w:rPr>
      </w:pPr>
    </w:p>
    <w:p w:rsidR="00A57F62" w:rsidRPr="00155205" w:rsidRDefault="00E857A7" w:rsidP="00FD2D5B">
      <w:pPr>
        <w:spacing w:after="0" w:line="240" w:lineRule="auto"/>
        <w:rPr>
          <w:rFonts w:ascii="Times New Roman" w:eastAsia="Times New Roman" w:hAnsi="Times New Roman"/>
          <w:noProof/>
          <w:lang w:eastAsia="sk-SK"/>
        </w:rPr>
      </w:pPr>
      <w:r>
        <w:rPr>
          <w:rFonts w:ascii="Times New Roman" w:eastAsia="Times New Roman" w:hAnsi="Times New Roman"/>
          <w:noProof/>
          <w:lang w:eastAsia="sk-SK"/>
        </w:rPr>
        <w:t>03/2019</w:t>
      </w:r>
    </w:p>
    <w:sectPr w:rsidR="00A57F62" w:rsidRPr="00155205" w:rsidSect="008811D8">
      <w:headerReference w:type="default" r:id="rId10"/>
      <w:footerReference w:type="default" r:id="rId11"/>
      <w:headerReference w:type="first" r:id="rId12"/>
      <w:footerReference w:type="first" r:id="rId13"/>
      <w:pgSz w:w="11906" w:h="16838"/>
      <w:pgMar w:top="1134" w:right="1418" w:bottom="141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8B5" w:rsidRDefault="004008B5" w:rsidP="002957BA">
      <w:pPr>
        <w:spacing w:after="0" w:line="240" w:lineRule="auto"/>
      </w:pPr>
      <w:r>
        <w:separator/>
      </w:r>
    </w:p>
  </w:endnote>
  <w:endnote w:type="continuationSeparator" w:id="0">
    <w:p w:rsidR="004008B5" w:rsidRDefault="004008B5" w:rsidP="002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718074"/>
      <w:docPartObj>
        <w:docPartGallery w:val="Page Numbers (Bottom of Page)"/>
        <w:docPartUnique/>
      </w:docPartObj>
    </w:sdtPr>
    <w:sdtEndPr>
      <w:rPr>
        <w:rFonts w:ascii="Times New Roman" w:hAnsi="Times New Roman"/>
        <w:sz w:val="18"/>
        <w:szCs w:val="18"/>
      </w:rPr>
    </w:sdtEndPr>
    <w:sdtContent>
      <w:p w:rsidR="00BC18DC" w:rsidRPr="00BC0646" w:rsidRDefault="00BC18DC">
        <w:pPr>
          <w:pStyle w:val="Pta"/>
          <w:jc w:val="center"/>
          <w:rPr>
            <w:rFonts w:ascii="Times New Roman" w:hAnsi="Times New Roman"/>
            <w:sz w:val="18"/>
            <w:szCs w:val="18"/>
          </w:rPr>
        </w:pPr>
        <w:r w:rsidRPr="00BC0646">
          <w:rPr>
            <w:rFonts w:ascii="Times New Roman" w:hAnsi="Times New Roman"/>
            <w:sz w:val="18"/>
            <w:szCs w:val="18"/>
          </w:rPr>
          <w:fldChar w:fldCharType="begin"/>
        </w:r>
        <w:r w:rsidRPr="00BC0646">
          <w:rPr>
            <w:rFonts w:ascii="Times New Roman" w:hAnsi="Times New Roman"/>
            <w:sz w:val="18"/>
            <w:szCs w:val="18"/>
          </w:rPr>
          <w:instrText>PAGE   \* MERGEFORMAT</w:instrText>
        </w:r>
        <w:r w:rsidRPr="00BC0646">
          <w:rPr>
            <w:rFonts w:ascii="Times New Roman" w:hAnsi="Times New Roman"/>
            <w:sz w:val="18"/>
            <w:szCs w:val="18"/>
          </w:rPr>
          <w:fldChar w:fldCharType="separate"/>
        </w:r>
        <w:r w:rsidR="00797AE2">
          <w:rPr>
            <w:rFonts w:ascii="Times New Roman" w:hAnsi="Times New Roman"/>
            <w:noProof/>
            <w:sz w:val="18"/>
            <w:szCs w:val="18"/>
          </w:rPr>
          <w:t>20</w:t>
        </w:r>
        <w:r w:rsidRPr="00BC0646">
          <w:rPr>
            <w:rFonts w:ascii="Times New Roman" w:hAnsi="Times New Roman"/>
            <w:sz w:val="18"/>
            <w:szCs w:val="18"/>
          </w:rPr>
          <w:fldChar w:fldCharType="end"/>
        </w:r>
      </w:p>
    </w:sdtContent>
  </w:sdt>
  <w:p w:rsidR="00BC18DC" w:rsidRDefault="00BC18D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DC" w:rsidRPr="006D430A" w:rsidRDefault="00BC18DC" w:rsidP="006D430A">
    <w:pPr>
      <w:pStyle w:val="Pta"/>
      <w:jc w:val="center"/>
      <w:rPr>
        <w:rFonts w:ascii="Times New Roman" w:hAnsi="Times New Roman"/>
      </w:rPr>
    </w:pPr>
    <w:r w:rsidRPr="006D430A">
      <w:rPr>
        <w:rFonts w:ascii="Times New Roman" w:hAnsi="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8B5" w:rsidRDefault="004008B5" w:rsidP="002957BA">
      <w:pPr>
        <w:spacing w:after="0" w:line="240" w:lineRule="auto"/>
      </w:pPr>
      <w:r>
        <w:separator/>
      </w:r>
    </w:p>
  </w:footnote>
  <w:footnote w:type="continuationSeparator" w:id="0">
    <w:p w:rsidR="004008B5" w:rsidRDefault="004008B5" w:rsidP="0029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DC" w:rsidRDefault="00BC18DC" w:rsidP="000E228C">
    <w:pPr>
      <w:pStyle w:val="Hlavika"/>
      <w:ind w:left="0" w:firstLine="0"/>
      <w:rPr>
        <w:sz w:val="18"/>
        <w:szCs w:val="18"/>
      </w:rPr>
    </w:pPr>
    <w:r>
      <w:rPr>
        <w:sz w:val="18"/>
        <w:szCs w:val="18"/>
      </w:rPr>
      <w:t>Príloha č. 1 k notifikácii o zmene ev. č.: 2018/01478-Z1B</w:t>
    </w:r>
  </w:p>
  <w:p w:rsidR="00BC18DC" w:rsidRDefault="00BC18D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DC" w:rsidRDefault="00BC18DC" w:rsidP="000E228C">
    <w:pPr>
      <w:pStyle w:val="Hlavika"/>
      <w:ind w:left="0" w:firstLine="0"/>
      <w:rPr>
        <w:sz w:val="18"/>
        <w:szCs w:val="18"/>
      </w:rPr>
    </w:pPr>
    <w:r>
      <w:rPr>
        <w:sz w:val="18"/>
        <w:szCs w:val="18"/>
      </w:rPr>
      <w:t>Príloha č. 1 k notifikácii o zmene ev. č.: 2018/01478-Z1B</w:t>
    </w:r>
  </w:p>
  <w:p w:rsidR="00BC18DC" w:rsidRDefault="00BC18DC" w:rsidP="008811D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CEA31F1"/>
    <w:multiLevelType w:val="multilevel"/>
    <w:tmpl w:val="65DAB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1B3280"/>
    <w:multiLevelType w:val="hybridMultilevel"/>
    <w:tmpl w:val="9BB4DA54"/>
    <w:lvl w:ilvl="0" w:tplc="899A59C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FDE7629"/>
    <w:multiLevelType w:val="multilevel"/>
    <w:tmpl w:val="A8B4A7E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1947F1A"/>
    <w:multiLevelType w:val="hybridMultilevel"/>
    <w:tmpl w:val="BBAADC0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B3164A0"/>
    <w:multiLevelType w:val="hybridMultilevel"/>
    <w:tmpl w:val="4A762502"/>
    <w:lvl w:ilvl="0" w:tplc="FFFFFFFF">
      <w:numFmt w:val="bullet"/>
      <w:lvlText w:val="-"/>
      <w:lvlJc w:val="left"/>
      <w:pPr>
        <w:tabs>
          <w:tab w:val="num" w:pos="1574"/>
        </w:tabs>
        <w:ind w:left="1574" w:hanging="360"/>
      </w:pPr>
      <w:rPr>
        <w:rFonts w:ascii="Times New Roman" w:eastAsia="Times New Roman" w:hAnsi="Times New Roman" w:hint="default"/>
      </w:rPr>
    </w:lvl>
    <w:lvl w:ilvl="1" w:tplc="040C0003" w:tentative="1">
      <w:start w:val="1"/>
      <w:numFmt w:val="bullet"/>
      <w:lvlText w:val="o"/>
      <w:lvlJc w:val="left"/>
      <w:pPr>
        <w:tabs>
          <w:tab w:val="num" w:pos="2294"/>
        </w:tabs>
        <w:ind w:left="2294" w:hanging="360"/>
      </w:pPr>
      <w:rPr>
        <w:rFonts w:ascii="Courier New" w:hAnsi="Courier New" w:hint="default"/>
      </w:rPr>
    </w:lvl>
    <w:lvl w:ilvl="2" w:tplc="040C0005" w:tentative="1">
      <w:start w:val="1"/>
      <w:numFmt w:val="bullet"/>
      <w:lvlText w:val=""/>
      <w:lvlJc w:val="left"/>
      <w:pPr>
        <w:tabs>
          <w:tab w:val="num" w:pos="3014"/>
        </w:tabs>
        <w:ind w:left="3014" w:hanging="360"/>
      </w:pPr>
      <w:rPr>
        <w:rFonts w:ascii="Wingdings" w:hAnsi="Wingdings" w:hint="default"/>
      </w:rPr>
    </w:lvl>
    <w:lvl w:ilvl="3" w:tplc="040C0001" w:tentative="1">
      <w:start w:val="1"/>
      <w:numFmt w:val="bullet"/>
      <w:lvlText w:val=""/>
      <w:lvlJc w:val="left"/>
      <w:pPr>
        <w:tabs>
          <w:tab w:val="num" w:pos="3734"/>
        </w:tabs>
        <w:ind w:left="3734" w:hanging="360"/>
      </w:pPr>
      <w:rPr>
        <w:rFonts w:ascii="Symbol" w:hAnsi="Symbol" w:hint="default"/>
      </w:rPr>
    </w:lvl>
    <w:lvl w:ilvl="4" w:tplc="040C0003" w:tentative="1">
      <w:start w:val="1"/>
      <w:numFmt w:val="bullet"/>
      <w:lvlText w:val="o"/>
      <w:lvlJc w:val="left"/>
      <w:pPr>
        <w:tabs>
          <w:tab w:val="num" w:pos="4454"/>
        </w:tabs>
        <w:ind w:left="4454" w:hanging="360"/>
      </w:pPr>
      <w:rPr>
        <w:rFonts w:ascii="Courier New" w:hAnsi="Courier New" w:hint="default"/>
      </w:rPr>
    </w:lvl>
    <w:lvl w:ilvl="5" w:tplc="040C0005" w:tentative="1">
      <w:start w:val="1"/>
      <w:numFmt w:val="bullet"/>
      <w:lvlText w:val=""/>
      <w:lvlJc w:val="left"/>
      <w:pPr>
        <w:tabs>
          <w:tab w:val="num" w:pos="5174"/>
        </w:tabs>
        <w:ind w:left="5174" w:hanging="360"/>
      </w:pPr>
      <w:rPr>
        <w:rFonts w:ascii="Wingdings" w:hAnsi="Wingdings" w:hint="default"/>
      </w:rPr>
    </w:lvl>
    <w:lvl w:ilvl="6" w:tplc="040C0001" w:tentative="1">
      <w:start w:val="1"/>
      <w:numFmt w:val="bullet"/>
      <w:lvlText w:val=""/>
      <w:lvlJc w:val="left"/>
      <w:pPr>
        <w:tabs>
          <w:tab w:val="num" w:pos="5894"/>
        </w:tabs>
        <w:ind w:left="5894" w:hanging="360"/>
      </w:pPr>
      <w:rPr>
        <w:rFonts w:ascii="Symbol" w:hAnsi="Symbol" w:hint="default"/>
      </w:rPr>
    </w:lvl>
    <w:lvl w:ilvl="7" w:tplc="040C0003" w:tentative="1">
      <w:start w:val="1"/>
      <w:numFmt w:val="bullet"/>
      <w:lvlText w:val="o"/>
      <w:lvlJc w:val="left"/>
      <w:pPr>
        <w:tabs>
          <w:tab w:val="num" w:pos="6614"/>
        </w:tabs>
        <w:ind w:left="6614" w:hanging="360"/>
      </w:pPr>
      <w:rPr>
        <w:rFonts w:ascii="Courier New" w:hAnsi="Courier New" w:hint="default"/>
      </w:rPr>
    </w:lvl>
    <w:lvl w:ilvl="8" w:tplc="040C0005" w:tentative="1">
      <w:start w:val="1"/>
      <w:numFmt w:val="bullet"/>
      <w:lvlText w:val=""/>
      <w:lvlJc w:val="left"/>
      <w:pPr>
        <w:tabs>
          <w:tab w:val="num" w:pos="7334"/>
        </w:tabs>
        <w:ind w:left="7334" w:hanging="360"/>
      </w:pPr>
      <w:rPr>
        <w:rFonts w:ascii="Wingdings" w:hAnsi="Wingdings" w:hint="default"/>
      </w:rPr>
    </w:lvl>
  </w:abstractNum>
  <w:abstractNum w:abstractNumId="8">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49068C0"/>
    <w:multiLevelType w:val="hybridMultilevel"/>
    <w:tmpl w:val="D5E69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36B871A5"/>
    <w:multiLevelType w:val="hybridMultilevel"/>
    <w:tmpl w:val="240AE8D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6BA85835"/>
    <w:multiLevelType w:val="hybridMultilevel"/>
    <w:tmpl w:val="1C08D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38E7163"/>
    <w:multiLevelType w:val="hybridMultilevel"/>
    <w:tmpl w:val="6D7212F0"/>
    <w:lvl w:ilvl="0" w:tplc="1C7AE280">
      <w:numFmt w:val="bullet"/>
      <w:lvlText w:val="-"/>
      <w:lvlJc w:val="left"/>
      <w:pPr>
        <w:tabs>
          <w:tab w:val="num" w:pos="170"/>
        </w:tabs>
        <w:ind w:left="170" w:hanging="170"/>
      </w:pPr>
      <w:rPr>
        <w:rFonts w:ascii="Times New Roman" w:eastAsia="Times New Roman" w:hAnsi="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11"/>
  </w:num>
  <w:num w:numId="6">
    <w:abstractNumId w:val="1"/>
  </w:num>
  <w:num w:numId="7">
    <w:abstractNumId w:val="9"/>
  </w:num>
  <w:num w:numId="8">
    <w:abstractNumId w:val="7"/>
  </w:num>
  <w:num w:numId="9">
    <w:abstractNumId w:val="14"/>
  </w:num>
  <w:num w:numId="10">
    <w:abstractNumId w:val="12"/>
  </w:num>
  <w:num w:numId="11">
    <w:abstractNumId w:val="16"/>
  </w:num>
  <w:num w:numId="12">
    <w:abstractNumId w:val="3"/>
  </w:num>
  <w:num w:numId="13">
    <w:abstractNumId w:val="15"/>
  </w:num>
  <w:num w:numId="14">
    <w:abstractNumId w:val="0"/>
    <w:lvlOverride w:ilvl="0">
      <w:lvl w:ilvl="0">
        <w:start w:val="1"/>
        <w:numFmt w:val="bullet"/>
        <w:lvlText w:val="-"/>
        <w:legacy w:legacy="1" w:legacySpace="0" w:legacyIndent="360"/>
        <w:lvlJc w:val="left"/>
        <w:pPr>
          <w:ind w:left="360" w:hanging="360"/>
        </w:pPr>
      </w:lvl>
    </w:lvlOverride>
  </w:num>
  <w:num w:numId="15">
    <w:abstractNumId w:val="13"/>
  </w:num>
  <w:num w:numId="16">
    <w:abstractNumId w:val="8"/>
  </w:num>
  <w:num w:numId="17">
    <w:abstractNumId w:val="6"/>
  </w:num>
  <w:num w:numId="18">
    <w:abstractNumId w:val="4"/>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5B"/>
    <w:rsid w:val="00000CDB"/>
    <w:rsid w:val="00001514"/>
    <w:rsid w:val="0000623A"/>
    <w:rsid w:val="00012D45"/>
    <w:rsid w:val="00013365"/>
    <w:rsid w:val="000207ED"/>
    <w:rsid w:val="000267EB"/>
    <w:rsid w:val="000342E4"/>
    <w:rsid w:val="00040F72"/>
    <w:rsid w:val="0005366F"/>
    <w:rsid w:val="000738A8"/>
    <w:rsid w:val="00081652"/>
    <w:rsid w:val="00084D4D"/>
    <w:rsid w:val="00085783"/>
    <w:rsid w:val="0009340A"/>
    <w:rsid w:val="000942D9"/>
    <w:rsid w:val="000A3929"/>
    <w:rsid w:val="000A74FB"/>
    <w:rsid w:val="000B1BD6"/>
    <w:rsid w:val="000B7451"/>
    <w:rsid w:val="000C059C"/>
    <w:rsid w:val="000D41B5"/>
    <w:rsid w:val="000D45B5"/>
    <w:rsid w:val="000D5F5B"/>
    <w:rsid w:val="000E228C"/>
    <w:rsid w:val="000E3703"/>
    <w:rsid w:val="000E5AF1"/>
    <w:rsid w:val="000E651B"/>
    <w:rsid w:val="000F5465"/>
    <w:rsid w:val="000F5614"/>
    <w:rsid w:val="000F5769"/>
    <w:rsid w:val="00111002"/>
    <w:rsid w:val="001252FA"/>
    <w:rsid w:val="00130788"/>
    <w:rsid w:val="00135E54"/>
    <w:rsid w:val="00143112"/>
    <w:rsid w:val="00150496"/>
    <w:rsid w:val="00153BC8"/>
    <w:rsid w:val="00155205"/>
    <w:rsid w:val="00163FD6"/>
    <w:rsid w:val="00166B4B"/>
    <w:rsid w:val="00171D5C"/>
    <w:rsid w:val="00173A1F"/>
    <w:rsid w:val="00180229"/>
    <w:rsid w:val="0018141D"/>
    <w:rsid w:val="00184B6E"/>
    <w:rsid w:val="00191976"/>
    <w:rsid w:val="001A6CD4"/>
    <w:rsid w:val="001B0177"/>
    <w:rsid w:val="001B0995"/>
    <w:rsid w:val="001B4FB2"/>
    <w:rsid w:val="001B6682"/>
    <w:rsid w:val="001C0328"/>
    <w:rsid w:val="001C3B56"/>
    <w:rsid w:val="001D2613"/>
    <w:rsid w:val="001D44C6"/>
    <w:rsid w:val="001E3E0B"/>
    <w:rsid w:val="001E472E"/>
    <w:rsid w:val="001E65B9"/>
    <w:rsid w:val="002128B7"/>
    <w:rsid w:val="00220D6C"/>
    <w:rsid w:val="00223DE3"/>
    <w:rsid w:val="00230246"/>
    <w:rsid w:val="00233DB0"/>
    <w:rsid w:val="002351E3"/>
    <w:rsid w:val="002453CF"/>
    <w:rsid w:val="00245505"/>
    <w:rsid w:val="00247B44"/>
    <w:rsid w:val="00255DFE"/>
    <w:rsid w:val="00256C76"/>
    <w:rsid w:val="00260050"/>
    <w:rsid w:val="00270146"/>
    <w:rsid w:val="00271402"/>
    <w:rsid w:val="002764E2"/>
    <w:rsid w:val="002918A4"/>
    <w:rsid w:val="002957BA"/>
    <w:rsid w:val="002B1143"/>
    <w:rsid w:val="002B596E"/>
    <w:rsid w:val="002C1E3A"/>
    <w:rsid w:val="002C30A4"/>
    <w:rsid w:val="002C38B6"/>
    <w:rsid w:val="002D399B"/>
    <w:rsid w:val="002E388A"/>
    <w:rsid w:val="002E6890"/>
    <w:rsid w:val="0030081A"/>
    <w:rsid w:val="0030524C"/>
    <w:rsid w:val="003077CE"/>
    <w:rsid w:val="00310D40"/>
    <w:rsid w:val="00310F4C"/>
    <w:rsid w:val="00311F2C"/>
    <w:rsid w:val="00314AB2"/>
    <w:rsid w:val="00315EDC"/>
    <w:rsid w:val="003163BA"/>
    <w:rsid w:val="00320455"/>
    <w:rsid w:val="003302A0"/>
    <w:rsid w:val="00331608"/>
    <w:rsid w:val="00333C29"/>
    <w:rsid w:val="00337FEC"/>
    <w:rsid w:val="003424DC"/>
    <w:rsid w:val="00346C25"/>
    <w:rsid w:val="00350B09"/>
    <w:rsid w:val="00350E0A"/>
    <w:rsid w:val="00376B7C"/>
    <w:rsid w:val="003775B2"/>
    <w:rsid w:val="00386B5D"/>
    <w:rsid w:val="00394354"/>
    <w:rsid w:val="003A3F3D"/>
    <w:rsid w:val="003A4188"/>
    <w:rsid w:val="003B440C"/>
    <w:rsid w:val="003B5ECD"/>
    <w:rsid w:val="003C5431"/>
    <w:rsid w:val="003D1CAE"/>
    <w:rsid w:val="003E1327"/>
    <w:rsid w:val="003E19E5"/>
    <w:rsid w:val="003E3F05"/>
    <w:rsid w:val="003E475E"/>
    <w:rsid w:val="003F5BE2"/>
    <w:rsid w:val="003F7243"/>
    <w:rsid w:val="004008B5"/>
    <w:rsid w:val="004024A7"/>
    <w:rsid w:val="00406061"/>
    <w:rsid w:val="00410093"/>
    <w:rsid w:val="00410687"/>
    <w:rsid w:val="00421A3F"/>
    <w:rsid w:val="00433666"/>
    <w:rsid w:val="0043520D"/>
    <w:rsid w:val="00437D26"/>
    <w:rsid w:val="004407C3"/>
    <w:rsid w:val="00450D2E"/>
    <w:rsid w:val="00454885"/>
    <w:rsid w:val="00454F23"/>
    <w:rsid w:val="00456099"/>
    <w:rsid w:val="00457EC3"/>
    <w:rsid w:val="004612A0"/>
    <w:rsid w:val="00465E60"/>
    <w:rsid w:val="004731EC"/>
    <w:rsid w:val="004766D3"/>
    <w:rsid w:val="00492872"/>
    <w:rsid w:val="00494B5D"/>
    <w:rsid w:val="004A56EA"/>
    <w:rsid w:val="004A5D12"/>
    <w:rsid w:val="004A680E"/>
    <w:rsid w:val="004B0680"/>
    <w:rsid w:val="004B3367"/>
    <w:rsid w:val="004B4E4A"/>
    <w:rsid w:val="004C3667"/>
    <w:rsid w:val="004D0F32"/>
    <w:rsid w:val="004D2E3E"/>
    <w:rsid w:val="004E5A6F"/>
    <w:rsid w:val="00504C4A"/>
    <w:rsid w:val="00511CB9"/>
    <w:rsid w:val="00514A8D"/>
    <w:rsid w:val="00522AFA"/>
    <w:rsid w:val="00524FBF"/>
    <w:rsid w:val="00537548"/>
    <w:rsid w:val="00543A0F"/>
    <w:rsid w:val="00545BE3"/>
    <w:rsid w:val="00546CD0"/>
    <w:rsid w:val="0054742E"/>
    <w:rsid w:val="00556111"/>
    <w:rsid w:val="00557BA8"/>
    <w:rsid w:val="0056074A"/>
    <w:rsid w:val="00560CA2"/>
    <w:rsid w:val="00563D95"/>
    <w:rsid w:val="00570B9B"/>
    <w:rsid w:val="0057131A"/>
    <w:rsid w:val="00585A85"/>
    <w:rsid w:val="00594ADD"/>
    <w:rsid w:val="00595728"/>
    <w:rsid w:val="005A02F2"/>
    <w:rsid w:val="005A4526"/>
    <w:rsid w:val="005A6083"/>
    <w:rsid w:val="005B4CDD"/>
    <w:rsid w:val="005C42CA"/>
    <w:rsid w:val="005D02F0"/>
    <w:rsid w:val="005D759A"/>
    <w:rsid w:val="005E1652"/>
    <w:rsid w:val="005E1EF1"/>
    <w:rsid w:val="005E3618"/>
    <w:rsid w:val="005F11EC"/>
    <w:rsid w:val="005F657A"/>
    <w:rsid w:val="00600700"/>
    <w:rsid w:val="00611734"/>
    <w:rsid w:val="00615107"/>
    <w:rsid w:val="00621F64"/>
    <w:rsid w:val="0062419E"/>
    <w:rsid w:val="00626B2B"/>
    <w:rsid w:val="0063480A"/>
    <w:rsid w:val="00636A15"/>
    <w:rsid w:val="00643A4F"/>
    <w:rsid w:val="00652FAA"/>
    <w:rsid w:val="0066193E"/>
    <w:rsid w:val="00665C1F"/>
    <w:rsid w:val="00670911"/>
    <w:rsid w:val="00673FFB"/>
    <w:rsid w:val="00682849"/>
    <w:rsid w:val="00685102"/>
    <w:rsid w:val="00686361"/>
    <w:rsid w:val="00687B9C"/>
    <w:rsid w:val="00687BDA"/>
    <w:rsid w:val="00697A84"/>
    <w:rsid w:val="006A417B"/>
    <w:rsid w:val="006A4EB8"/>
    <w:rsid w:val="006B0F0D"/>
    <w:rsid w:val="006C1275"/>
    <w:rsid w:val="006C6481"/>
    <w:rsid w:val="006C7644"/>
    <w:rsid w:val="006D430A"/>
    <w:rsid w:val="006D61A1"/>
    <w:rsid w:val="006D776A"/>
    <w:rsid w:val="006E6F6E"/>
    <w:rsid w:val="00705BF6"/>
    <w:rsid w:val="007111EA"/>
    <w:rsid w:val="00717BE7"/>
    <w:rsid w:val="0072127B"/>
    <w:rsid w:val="00732AAD"/>
    <w:rsid w:val="00735651"/>
    <w:rsid w:val="00740858"/>
    <w:rsid w:val="007410CD"/>
    <w:rsid w:val="00747AC4"/>
    <w:rsid w:val="00750144"/>
    <w:rsid w:val="00751310"/>
    <w:rsid w:val="0075167A"/>
    <w:rsid w:val="00766C66"/>
    <w:rsid w:val="00770BF8"/>
    <w:rsid w:val="00772D11"/>
    <w:rsid w:val="00774EE7"/>
    <w:rsid w:val="007837CA"/>
    <w:rsid w:val="00791564"/>
    <w:rsid w:val="007944DD"/>
    <w:rsid w:val="00797969"/>
    <w:rsid w:val="00797AE2"/>
    <w:rsid w:val="007A26C8"/>
    <w:rsid w:val="007A5FE3"/>
    <w:rsid w:val="007A70E5"/>
    <w:rsid w:val="007B02C8"/>
    <w:rsid w:val="007B5669"/>
    <w:rsid w:val="007C3018"/>
    <w:rsid w:val="007D4744"/>
    <w:rsid w:val="007D5165"/>
    <w:rsid w:val="007D608F"/>
    <w:rsid w:val="007D7FF2"/>
    <w:rsid w:val="00804272"/>
    <w:rsid w:val="0080626B"/>
    <w:rsid w:val="00806536"/>
    <w:rsid w:val="0081148C"/>
    <w:rsid w:val="008135C1"/>
    <w:rsid w:val="008142E7"/>
    <w:rsid w:val="00814B7B"/>
    <w:rsid w:val="00824F88"/>
    <w:rsid w:val="008328BB"/>
    <w:rsid w:val="00857925"/>
    <w:rsid w:val="008671F2"/>
    <w:rsid w:val="008772EC"/>
    <w:rsid w:val="008811D8"/>
    <w:rsid w:val="00883B43"/>
    <w:rsid w:val="00890CFD"/>
    <w:rsid w:val="00892B8D"/>
    <w:rsid w:val="008967F7"/>
    <w:rsid w:val="008A391A"/>
    <w:rsid w:val="008B31F8"/>
    <w:rsid w:val="008C292E"/>
    <w:rsid w:val="008D6E53"/>
    <w:rsid w:val="008D781D"/>
    <w:rsid w:val="008E6A75"/>
    <w:rsid w:val="00901761"/>
    <w:rsid w:val="0090666D"/>
    <w:rsid w:val="0091238B"/>
    <w:rsid w:val="00912EC0"/>
    <w:rsid w:val="00914094"/>
    <w:rsid w:val="00915289"/>
    <w:rsid w:val="00915359"/>
    <w:rsid w:val="009170B5"/>
    <w:rsid w:val="0092324B"/>
    <w:rsid w:val="00931D88"/>
    <w:rsid w:val="0093328F"/>
    <w:rsid w:val="009339B1"/>
    <w:rsid w:val="00933B87"/>
    <w:rsid w:val="00934350"/>
    <w:rsid w:val="009421CE"/>
    <w:rsid w:val="00942514"/>
    <w:rsid w:val="00944D16"/>
    <w:rsid w:val="00950FA4"/>
    <w:rsid w:val="00957E5C"/>
    <w:rsid w:val="00971CBE"/>
    <w:rsid w:val="0097255E"/>
    <w:rsid w:val="009806DE"/>
    <w:rsid w:val="00985567"/>
    <w:rsid w:val="009957EF"/>
    <w:rsid w:val="009A3A22"/>
    <w:rsid w:val="009A41D8"/>
    <w:rsid w:val="009B2572"/>
    <w:rsid w:val="009B404A"/>
    <w:rsid w:val="009B410B"/>
    <w:rsid w:val="009C230A"/>
    <w:rsid w:val="009C7B43"/>
    <w:rsid w:val="009D0B63"/>
    <w:rsid w:val="009D40AA"/>
    <w:rsid w:val="009D5FF9"/>
    <w:rsid w:val="009F0752"/>
    <w:rsid w:val="009F2391"/>
    <w:rsid w:val="009F481A"/>
    <w:rsid w:val="00A20692"/>
    <w:rsid w:val="00A20A00"/>
    <w:rsid w:val="00A2456B"/>
    <w:rsid w:val="00A26D29"/>
    <w:rsid w:val="00A30CD3"/>
    <w:rsid w:val="00A41EAF"/>
    <w:rsid w:val="00A449F2"/>
    <w:rsid w:val="00A44FBC"/>
    <w:rsid w:val="00A57258"/>
    <w:rsid w:val="00A57F62"/>
    <w:rsid w:val="00A6094B"/>
    <w:rsid w:val="00A854F0"/>
    <w:rsid w:val="00A924A2"/>
    <w:rsid w:val="00A9251B"/>
    <w:rsid w:val="00A94F48"/>
    <w:rsid w:val="00A95EEC"/>
    <w:rsid w:val="00AC6340"/>
    <w:rsid w:val="00AC6A59"/>
    <w:rsid w:val="00AD5466"/>
    <w:rsid w:val="00AF25E8"/>
    <w:rsid w:val="00B07C63"/>
    <w:rsid w:val="00B17C27"/>
    <w:rsid w:val="00B30A60"/>
    <w:rsid w:val="00B36FB6"/>
    <w:rsid w:val="00B44288"/>
    <w:rsid w:val="00B50FC1"/>
    <w:rsid w:val="00B54270"/>
    <w:rsid w:val="00B54E37"/>
    <w:rsid w:val="00B61945"/>
    <w:rsid w:val="00B65233"/>
    <w:rsid w:val="00B710A8"/>
    <w:rsid w:val="00B71580"/>
    <w:rsid w:val="00B73386"/>
    <w:rsid w:val="00B770CD"/>
    <w:rsid w:val="00B83D83"/>
    <w:rsid w:val="00B877F1"/>
    <w:rsid w:val="00B91860"/>
    <w:rsid w:val="00BB0192"/>
    <w:rsid w:val="00BB44FB"/>
    <w:rsid w:val="00BB650D"/>
    <w:rsid w:val="00BC02F5"/>
    <w:rsid w:val="00BC0646"/>
    <w:rsid w:val="00BC100D"/>
    <w:rsid w:val="00BC18DC"/>
    <w:rsid w:val="00BC65E4"/>
    <w:rsid w:val="00BC747B"/>
    <w:rsid w:val="00BC75F8"/>
    <w:rsid w:val="00BC7DBF"/>
    <w:rsid w:val="00BD3F01"/>
    <w:rsid w:val="00BE5EE1"/>
    <w:rsid w:val="00BF28E1"/>
    <w:rsid w:val="00C03051"/>
    <w:rsid w:val="00C110BA"/>
    <w:rsid w:val="00C200D3"/>
    <w:rsid w:val="00C20A61"/>
    <w:rsid w:val="00C23B7C"/>
    <w:rsid w:val="00C267BF"/>
    <w:rsid w:val="00C328A0"/>
    <w:rsid w:val="00C35D04"/>
    <w:rsid w:val="00C40532"/>
    <w:rsid w:val="00C4647C"/>
    <w:rsid w:val="00C47FCB"/>
    <w:rsid w:val="00C62893"/>
    <w:rsid w:val="00C667E4"/>
    <w:rsid w:val="00C67527"/>
    <w:rsid w:val="00C75D46"/>
    <w:rsid w:val="00C86908"/>
    <w:rsid w:val="00C87C6D"/>
    <w:rsid w:val="00C91FBD"/>
    <w:rsid w:val="00C93510"/>
    <w:rsid w:val="00CA4C27"/>
    <w:rsid w:val="00CA59DA"/>
    <w:rsid w:val="00CC19E5"/>
    <w:rsid w:val="00CD31EC"/>
    <w:rsid w:val="00CE3FCF"/>
    <w:rsid w:val="00CF0704"/>
    <w:rsid w:val="00CF4795"/>
    <w:rsid w:val="00D06EF4"/>
    <w:rsid w:val="00D10061"/>
    <w:rsid w:val="00D14270"/>
    <w:rsid w:val="00D143C4"/>
    <w:rsid w:val="00D255FE"/>
    <w:rsid w:val="00D25667"/>
    <w:rsid w:val="00D3544D"/>
    <w:rsid w:val="00D42F14"/>
    <w:rsid w:val="00D44A9E"/>
    <w:rsid w:val="00D52A94"/>
    <w:rsid w:val="00D54C1A"/>
    <w:rsid w:val="00D642EF"/>
    <w:rsid w:val="00D70E87"/>
    <w:rsid w:val="00D72FA1"/>
    <w:rsid w:val="00D73C00"/>
    <w:rsid w:val="00D73F96"/>
    <w:rsid w:val="00D75278"/>
    <w:rsid w:val="00D8194A"/>
    <w:rsid w:val="00D833DC"/>
    <w:rsid w:val="00D8709B"/>
    <w:rsid w:val="00D901E1"/>
    <w:rsid w:val="00DA5BD8"/>
    <w:rsid w:val="00DA62B4"/>
    <w:rsid w:val="00DA77BA"/>
    <w:rsid w:val="00DB6338"/>
    <w:rsid w:val="00DB724C"/>
    <w:rsid w:val="00DB7F85"/>
    <w:rsid w:val="00DD0347"/>
    <w:rsid w:val="00DD3139"/>
    <w:rsid w:val="00DE36FA"/>
    <w:rsid w:val="00DE6FBD"/>
    <w:rsid w:val="00DE798B"/>
    <w:rsid w:val="00E0238B"/>
    <w:rsid w:val="00E02444"/>
    <w:rsid w:val="00E13160"/>
    <w:rsid w:val="00E1660B"/>
    <w:rsid w:val="00E2097A"/>
    <w:rsid w:val="00E21619"/>
    <w:rsid w:val="00E3684D"/>
    <w:rsid w:val="00E3704B"/>
    <w:rsid w:val="00E4283D"/>
    <w:rsid w:val="00E43B74"/>
    <w:rsid w:val="00E46F18"/>
    <w:rsid w:val="00E51227"/>
    <w:rsid w:val="00E51FF2"/>
    <w:rsid w:val="00E53D44"/>
    <w:rsid w:val="00E553E7"/>
    <w:rsid w:val="00E67725"/>
    <w:rsid w:val="00E7009A"/>
    <w:rsid w:val="00E729CB"/>
    <w:rsid w:val="00E737FE"/>
    <w:rsid w:val="00E75B55"/>
    <w:rsid w:val="00E816D0"/>
    <w:rsid w:val="00E857A7"/>
    <w:rsid w:val="00E905C7"/>
    <w:rsid w:val="00E977E2"/>
    <w:rsid w:val="00EA5013"/>
    <w:rsid w:val="00EB61E7"/>
    <w:rsid w:val="00EB6364"/>
    <w:rsid w:val="00EC6F0B"/>
    <w:rsid w:val="00EC7807"/>
    <w:rsid w:val="00ED2816"/>
    <w:rsid w:val="00ED6650"/>
    <w:rsid w:val="00EE431D"/>
    <w:rsid w:val="00EF369B"/>
    <w:rsid w:val="00F14EA7"/>
    <w:rsid w:val="00F33A20"/>
    <w:rsid w:val="00F500E9"/>
    <w:rsid w:val="00F533C3"/>
    <w:rsid w:val="00F54078"/>
    <w:rsid w:val="00F57376"/>
    <w:rsid w:val="00F62BBD"/>
    <w:rsid w:val="00F64E52"/>
    <w:rsid w:val="00F671E4"/>
    <w:rsid w:val="00F702E0"/>
    <w:rsid w:val="00F703D4"/>
    <w:rsid w:val="00F70B39"/>
    <w:rsid w:val="00F76DEF"/>
    <w:rsid w:val="00F77F59"/>
    <w:rsid w:val="00F94F8F"/>
    <w:rsid w:val="00F97200"/>
    <w:rsid w:val="00F97434"/>
    <w:rsid w:val="00FA12F2"/>
    <w:rsid w:val="00FA15DB"/>
    <w:rsid w:val="00FA4650"/>
    <w:rsid w:val="00FB745C"/>
    <w:rsid w:val="00FC38DC"/>
    <w:rsid w:val="00FD24BD"/>
    <w:rsid w:val="00FD2D5B"/>
    <w:rsid w:val="00FD4586"/>
    <w:rsid w:val="00FD6E3F"/>
    <w:rsid w:val="00FE0D80"/>
    <w:rsid w:val="00FE35BF"/>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 w:type="character" w:customStyle="1" w:styleId="TableText9">
    <w:name w:val="TableText 9"/>
    <w:rsid w:val="00B91860"/>
    <w:rPr>
      <w:rFonts w:ascii="Times New Roman" w:hAnsi="Times New Roman"/>
      <w:sz w:val="18"/>
    </w:rPr>
  </w:style>
  <w:style w:type="paragraph" w:customStyle="1" w:styleId="Paragraph">
    <w:name w:val="Paragraph"/>
    <w:link w:val="ParagraphChar"/>
    <w:rsid w:val="00B91860"/>
    <w:pPr>
      <w:spacing w:after="240"/>
    </w:pPr>
    <w:rPr>
      <w:sz w:val="24"/>
      <w:szCs w:val="24"/>
      <w:lang w:val="en-US"/>
    </w:rPr>
  </w:style>
  <w:style w:type="character" w:customStyle="1" w:styleId="ParagraphChar">
    <w:name w:val="Paragraph Char"/>
    <w:link w:val="Paragraph"/>
    <w:rsid w:val="00B91860"/>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 w:type="character" w:customStyle="1" w:styleId="hps">
    <w:name w:val="hps"/>
    <w:basedOn w:val="Predvolenpsmoodseku"/>
    <w:rsid w:val="005A4526"/>
  </w:style>
  <w:style w:type="character" w:customStyle="1" w:styleId="atn">
    <w:name w:val="atn"/>
    <w:basedOn w:val="Predvolenpsmoodseku"/>
    <w:rsid w:val="005A4526"/>
  </w:style>
  <w:style w:type="paragraph" w:styleId="Zarkazkladnhotextu2">
    <w:name w:val="Body Text Indent 2"/>
    <w:basedOn w:val="Normlny"/>
    <w:link w:val="Zarkazkladnhotextu2Char"/>
    <w:uiPriority w:val="99"/>
    <w:semiHidden/>
    <w:unhideWhenUsed/>
    <w:rsid w:val="0032045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0455"/>
    <w:rPr>
      <w:rFonts w:ascii="Calibri" w:eastAsia="Calibri" w:hAnsi="Calibri"/>
      <w:sz w:val="22"/>
      <w:szCs w:val="22"/>
    </w:rPr>
  </w:style>
  <w:style w:type="character" w:customStyle="1" w:styleId="TableText9">
    <w:name w:val="TableText 9"/>
    <w:rsid w:val="00B91860"/>
    <w:rPr>
      <w:rFonts w:ascii="Times New Roman" w:hAnsi="Times New Roman"/>
      <w:sz w:val="18"/>
    </w:rPr>
  </w:style>
  <w:style w:type="paragraph" w:customStyle="1" w:styleId="Paragraph">
    <w:name w:val="Paragraph"/>
    <w:link w:val="ParagraphChar"/>
    <w:rsid w:val="00B91860"/>
    <w:pPr>
      <w:spacing w:after="240"/>
    </w:pPr>
    <w:rPr>
      <w:sz w:val="24"/>
      <w:szCs w:val="24"/>
      <w:lang w:val="en-US"/>
    </w:rPr>
  </w:style>
  <w:style w:type="character" w:customStyle="1" w:styleId="ParagraphChar">
    <w:name w:val="Paragraph Char"/>
    <w:link w:val="Paragraph"/>
    <w:rsid w:val="00B9186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099">
      <w:bodyDiv w:val="1"/>
      <w:marLeft w:val="0"/>
      <w:marRight w:val="0"/>
      <w:marTop w:val="0"/>
      <w:marBottom w:val="0"/>
      <w:divBdr>
        <w:top w:val="none" w:sz="0" w:space="0" w:color="auto"/>
        <w:left w:val="none" w:sz="0" w:space="0" w:color="auto"/>
        <w:bottom w:val="none" w:sz="0" w:space="0" w:color="auto"/>
        <w:right w:val="none" w:sz="0" w:space="0" w:color="auto"/>
      </w:divBdr>
      <w:divsChild>
        <w:div w:id="892038667">
          <w:marLeft w:val="0"/>
          <w:marRight w:val="0"/>
          <w:marTop w:val="0"/>
          <w:marBottom w:val="0"/>
          <w:divBdr>
            <w:top w:val="none" w:sz="0" w:space="0" w:color="auto"/>
            <w:left w:val="none" w:sz="0" w:space="0" w:color="auto"/>
            <w:bottom w:val="none" w:sz="0" w:space="0" w:color="auto"/>
            <w:right w:val="none" w:sz="0" w:space="0" w:color="auto"/>
          </w:divBdr>
        </w:div>
        <w:div w:id="1417901056">
          <w:marLeft w:val="0"/>
          <w:marRight w:val="0"/>
          <w:marTop w:val="0"/>
          <w:marBottom w:val="0"/>
          <w:divBdr>
            <w:top w:val="none" w:sz="0" w:space="0" w:color="auto"/>
            <w:left w:val="none" w:sz="0" w:space="0" w:color="auto"/>
            <w:bottom w:val="none" w:sz="0" w:space="0" w:color="auto"/>
            <w:right w:val="none" w:sz="0" w:space="0" w:color="auto"/>
          </w:divBdr>
        </w:div>
        <w:div w:id="1456635320">
          <w:marLeft w:val="0"/>
          <w:marRight w:val="0"/>
          <w:marTop w:val="0"/>
          <w:marBottom w:val="0"/>
          <w:divBdr>
            <w:top w:val="none" w:sz="0" w:space="0" w:color="auto"/>
            <w:left w:val="none" w:sz="0" w:space="0" w:color="auto"/>
            <w:bottom w:val="none" w:sz="0" w:space="0" w:color="auto"/>
            <w:right w:val="none" w:sz="0" w:space="0" w:color="auto"/>
          </w:divBdr>
        </w:div>
        <w:div w:id="744297679">
          <w:marLeft w:val="0"/>
          <w:marRight w:val="0"/>
          <w:marTop w:val="0"/>
          <w:marBottom w:val="0"/>
          <w:divBdr>
            <w:top w:val="none" w:sz="0" w:space="0" w:color="auto"/>
            <w:left w:val="none" w:sz="0" w:space="0" w:color="auto"/>
            <w:bottom w:val="none" w:sz="0" w:space="0" w:color="auto"/>
            <w:right w:val="none" w:sz="0" w:space="0" w:color="auto"/>
          </w:divBdr>
        </w:div>
        <w:div w:id="1224297296">
          <w:marLeft w:val="0"/>
          <w:marRight w:val="0"/>
          <w:marTop w:val="0"/>
          <w:marBottom w:val="0"/>
          <w:divBdr>
            <w:top w:val="none" w:sz="0" w:space="0" w:color="auto"/>
            <w:left w:val="none" w:sz="0" w:space="0" w:color="auto"/>
            <w:bottom w:val="none" w:sz="0" w:space="0" w:color="auto"/>
            <w:right w:val="none" w:sz="0" w:space="0" w:color="auto"/>
          </w:divBdr>
        </w:div>
        <w:div w:id="1366523706">
          <w:marLeft w:val="0"/>
          <w:marRight w:val="0"/>
          <w:marTop w:val="0"/>
          <w:marBottom w:val="0"/>
          <w:divBdr>
            <w:top w:val="none" w:sz="0" w:space="0" w:color="auto"/>
            <w:left w:val="none" w:sz="0" w:space="0" w:color="auto"/>
            <w:bottom w:val="none" w:sz="0" w:space="0" w:color="auto"/>
            <w:right w:val="none" w:sz="0" w:space="0" w:color="auto"/>
          </w:divBdr>
        </w:div>
        <w:div w:id="44180865">
          <w:marLeft w:val="0"/>
          <w:marRight w:val="0"/>
          <w:marTop w:val="0"/>
          <w:marBottom w:val="0"/>
          <w:divBdr>
            <w:top w:val="none" w:sz="0" w:space="0" w:color="auto"/>
            <w:left w:val="none" w:sz="0" w:space="0" w:color="auto"/>
            <w:bottom w:val="none" w:sz="0" w:space="0" w:color="auto"/>
            <w:right w:val="none" w:sz="0" w:space="0" w:color="auto"/>
          </w:divBdr>
        </w:div>
        <w:div w:id="1277980084">
          <w:marLeft w:val="0"/>
          <w:marRight w:val="0"/>
          <w:marTop w:val="0"/>
          <w:marBottom w:val="0"/>
          <w:divBdr>
            <w:top w:val="none" w:sz="0" w:space="0" w:color="auto"/>
            <w:left w:val="none" w:sz="0" w:space="0" w:color="auto"/>
            <w:bottom w:val="none" w:sz="0" w:space="0" w:color="auto"/>
            <w:right w:val="none" w:sz="0" w:space="0" w:color="auto"/>
          </w:divBdr>
        </w:div>
        <w:div w:id="1234118713">
          <w:marLeft w:val="0"/>
          <w:marRight w:val="0"/>
          <w:marTop w:val="0"/>
          <w:marBottom w:val="0"/>
          <w:divBdr>
            <w:top w:val="none" w:sz="0" w:space="0" w:color="auto"/>
            <w:left w:val="none" w:sz="0" w:space="0" w:color="auto"/>
            <w:bottom w:val="none" w:sz="0" w:space="0" w:color="auto"/>
            <w:right w:val="none" w:sz="0" w:space="0" w:color="auto"/>
          </w:divBdr>
        </w:div>
        <w:div w:id="747771687">
          <w:marLeft w:val="0"/>
          <w:marRight w:val="0"/>
          <w:marTop w:val="0"/>
          <w:marBottom w:val="0"/>
          <w:divBdr>
            <w:top w:val="none" w:sz="0" w:space="0" w:color="auto"/>
            <w:left w:val="none" w:sz="0" w:space="0" w:color="auto"/>
            <w:bottom w:val="none" w:sz="0" w:space="0" w:color="auto"/>
            <w:right w:val="none" w:sz="0" w:space="0" w:color="auto"/>
          </w:divBdr>
        </w:div>
        <w:div w:id="857237890">
          <w:marLeft w:val="0"/>
          <w:marRight w:val="0"/>
          <w:marTop w:val="0"/>
          <w:marBottom w:val="0"/>
          <w:divBdr>
            <w:top w:val="none" w:sz="0" w:space="0" w:color="auto"/>
            <w:left w:val="none" w:sz="0" w:space="0" w:color="auto"/>
            <w:bottom w:val="none" w:sz="0" w:space="0" w:color="auto"/>
            <w:right w:val="none" w:sz="0" w:space="0" w:color="auto"/>
          </w:divBdr>
        </w:div>
        <w:div w:id="960041287">
          <w:marLeft w:val="0"/>
          <w:marRight w:val="0"/>
          <w:marTop w:val="0"/>
          <w:marBottom w:val="0"/>
          <w:divBdr>
            <w:top w:val="none" w:sz="0" w:space="0" w:color="auto"/>
            <w:left w:val="none" w:sz="0" w:space="0" w:color="auto"/>
            <w:bottom w:val="none" w:sz="0" w:space="0" w:color="auto"/>
            <w:right w:val="none" w:sz="0" w:space="0" w:color="auto"/>
          </w:divBdr>
        </w:div>
        <w:div w:id="1750419550">
          <w:marLeft w:val="0"/>
          <w:marRight w:val="0"/>
          <w:marTop w:val="0"/>
          <w:marBottom w:val="0"/>
          <w:divBdr>
            <w:top w:val="none" w:sz="0" w:space="0" w:color="auto"/>
            <w:left w:val="none" w:sz="0" w:space="0" w:color="auto"/>
            <w:bottom w:val="none" w:sz="0" w:space="0" w:color="auto"/>
            <w:right w:val="none" w:sz="0" w:space="0" w:color="auto"/>
          </w:divBdr>
        </w:div>
        <w:div w:id="1553276074">
          <w:marLeft w:val="0"/>
          <w:marRight w:val="0"/>
          <w:marTop w:val="0"/>
          <w:marBottom w:val="0"/>
          <w:divBdr>
            <w:top w:val="none" w:sz="0" w:space="0" w:color="auto"/>
            <w:left w:val="none" w:sz="0" w:space="0" w:color="auto"/>
            <w:bottom w:val="none" w:sz="0" w:space="0" w:color="auto"/>
            <w:right w:val="none" w:sz="0" w:space="0" w:color="auto"/>
          </w:divBdr>
        </w:div>
        <w:div w:id="655957856">
          <w:marLeft w:val="0"/>
          <w:marRight w:val="0"/>
          <w:marTop w:val="0"/>
          <w:marBottom w:val="0"/>
          <w:divBdr>
            <w:top w:val="none" w:sz="0" w:space="0" w:color="auto"/>
            <w:left w:val="none" w:sz="0" w:space="0" w:color="auto"/>
            <w:bottom w:val="none" w:sz="0" w:space="0" w:color="auto"/>
            <w:right w:val="none" w:sz="0" w:space="0" w:color="auto"/>
          </w:divBdr>
        </w:div>
        <w:div w:id="1126846840">
          <w:marLeft w:val="0"/>
          <w:marRight w:val="0"/>
          <w:marTop w:val="0"/>
          <w:marBottom w:val="0"/>
          <w:divBdr>
            <w:top w:val="none" w:sz="0" w:space="0" w:color="auto"/>
            <w:left w:val="none" w:sz="0" w:space="0" w:color="auto"/>
            <w:bottom w:val="none" w:sz="0" w:space="0" w:color="auto"/>
            <w:right w:val="none" w:sz="0" w:space="0" w:color="auto"/>
          </w:divBdr>
        </w:div>
        <w:div w:id="437915369">
          <w:marLeft w:val="0"/>
          <w:marRight w:val="0"/>
          <w:marTop w:val="0"/>
          <w:marBottom w:val="0"/>
          <w:divBdr>
            <w:top w:val="none" w:sz="0" w:space="0" w:color="auto"/>
            <w:left w:val="none" w:sz="0" w:space="0" w:color="auto"/>
            <w:bottom w:val="none" w:sz="0" w:space="0" w:color="auto"/>
            <w:right w:val="none" w:sz="0" w:space="0" w:color="auto"/>
          </w:divBdr>
        </w:div>
        <w:div w:id="2105227524">
          <w:marLeft w:val="0"/>
          <w:marRight w:val="0"/>
          <w:marTop w:val="0"/>
          <w:marBottom w:val="0"/>
          <w:divBdr>
            <w:top w:val="none" w:sz="0" w:space="0" w:color="auto"/>
            <w:left w:val="none" w:sz="0" w:space="0" w:color="auto"/>
            <w:bottom w:val="none" w:sz="0" w:space="0" w:color="auto"/>
            <w:right w:val="none" w:sz="0" w:space="0" w:color="auto"/>
          </w:divBdr>
        </w:div>
        <w:div w:id="2027170443">
          <w:marLeft w:val="0"/>
          <w:marRight w:val="0"/>
          <w:marTop w:val="0"/>
          <w:marBottom w:val="0"/>
          <w:divBdr>
            <w:top w:val="none" w:sz="0" w:space="0" w:color="auto"/>
            <w:left w:val="none" w:sz="0" w:space="0" w:color="auto"/>
            <w:bottom w:val="none" w:sz="0" w:space="0" w:color="auto"/>
            <w:right w:val="none" w:sz="0" w:space="0" w:color="auto"/>
          </w:divBdr>
        </w:div>
        <w:div w:id="1000035977">
          <w:marLeft w:val="0"/>
          <w:marRight w:val="0"/>
          <w:marTop w:val="0"/>
          <w:marBottom w:val="0"/>
          <w:divBdr>
            <w:top w:val="none" w:sz="0" w:space="0" w:color="auto"/>
            <w:left w:val="none" w:sz="0" w:space="0" w:color="auto"/>
            <w:bottom w:val="none" w:sz="0" w:space="0" w:color="auto"/>
            <w:right w:val="none" w:sz="0" w:space="0" w:color="auto"/>
          </w:divBdr>
        </w:div>
        <w:div w:id="1693267496">
          <w:marLeft w:val="0"/>
          <w:marRight w:val="0"/>
          <w:marTop w:val="0"/>
          <w:marBottom w:val="0"/>
          <w:divBdr>
            <w:top w:val="none" w:sz="0" w:space="0" w:color="auto"/>
            <w:left w:val="none" w:sz="0" w:space="0" w:color="auto"/>
            <w:bottom w:val="none" w:sz="0" w:space="0" w:color="auto"/>
            <w:right w:val="none" w:sz="0" w:space="0" w:color="auto"/>
          </w:divBdr>
        </w:div>
        <w:div w:id="982079136">
          <w:marLeft w:val="0"/>
          <w:marRight w:val="0"/>
          <w:marTop w:val="0"/>
          <w:marBottom w:val="0"/>
          <w:divBdr>
            <w:top w:val="none" w:sz="0" w:space="0" w:color="auto"/>
            <w:left w:val="none" w:sz="0" w:space="0" w:color="auto"/>
            <w:bottom w:val="none" w:sz="0" w:space="0" w:color="auto"/>
            <w:right w:val="none" w:sz="0" w:space="0" w:color="auto"/>
          </w:divBdr>
        </w:div>
        <w:div w:id="1710446611">
          <w:marLeft w:val="0"/>
          <w:marRight w:val="0"/>
          <w:marTop w:val="0"/>
          <w:marBottom w:val="0"/>
          <w:divBdr>
            <w:top w:val="none" w:sz="0" w:space="0" w:color="auto"/>
            <w:left w:val="none" w:sz="0" w:space="0" w:color="auto"/>
            <w:bottom w:val="none" w:sz="0" w:space="0" w:color="auto"/>
            <w:right w:val="none" w:sz="0" w:space="0" w:color="auto"/>
          </w:divBdr>
        </w:div>
        <w:div w:id="1786076280">
          <w:marLeft w:val="0"/>
          <w:marRight w:val="0"/>
          <w:marTop w:val="0"/>
          <w:marBottom w:val="0"/>
          <w:divBdr>
            <w:top w:val="none" w:sz="0" w:space="0" w:color="auto"/>
            <w:left w:val="none" w:sz="0" w:space="0" w:color="auto"/>
            <w:bottom w:val="none" w:sz="0" w:space="0" w:color="auto"/>
            <w:right w:val="none" w:sz="0" w:space="0" w:color="auto"/>
          </w:divBdr>
        </w:div>
        <w:div w:id="11222144">
          <w:marLeft w:val="0"/>
          <w:marRight w:val="0"/>
          <w:marTop w:val="0"/>
          <w:marBottom w:val="0"/>
          <w:divBdr>
            <w:top w:val="none" w:sz="0" w:space="0" w:color="auto"/>
            <w:left w:val="none" w:sz="0" w:space="0" w:color="auto"/>
            <w:bottom w:val="none" w:sz="0" w:space="0" w:color="auto"/>
            <w:right w:val="none" w:sz="0" w:space="0" w:color="auto"/>
          </w:divBdr>
        </w:div>
        <w:div w:id="623274956">
          <w:marLeft w:val="0"/>
          <w:marRight w:val="0"/>
          <w:marTop w:val="0"/>
          <w:marBottom w:val="0"/>
          <w:divBdr>
            <w:top w:val="none" w:sz="0" w:space="0" w:color="auto"/>
            <w:left w:val="none" w:sz="0" w:space="0" w:color="auto"/>
            <w:bottom w:val="none" w:sz="0" w:space="0" w:color="auto"/>
            <w:right w:val="none" w:sz="0" w:space="0" w:color="auto"/>
          </w:divBdr>
        </w:div>
      </w:divsChild>
    </w:div>
    <w:div w:id="477304038">
      <w:bodyDiv w:val="1"/>
      <w:marLeft w:val="0"/>
      <w:marRight w:val="0"/>
      <w:marTop w:val="0"/>
      <w:marBottom w:val="0"/>
      <w:divBdr>
        <w:top w:val="none" w:sz="0" w:space="0" w:color="auto"/>
        <w:left w:val="none" w:sz="0" w:space="0" w:color="auto"/>
        <w:bottom w:val="none" w:sz="0" w:space="0" w:color="auto"/>
        <w:right w:val="none" w:sz="0" w:space="0" w:color="auto"/>
      </w:divBdr>
      <w:divsChild>
        <w:div w:id="399907710">
          <w:marLeft w:val="0"/>
          <w:marRight w:val="0"/>
          <w:marTop w:val="0"/>
          <w:marBottom w:val="0"/>
          <w:divBdr>
            <w:top w:val="none" w:sz="0" w:space="0" w:color="auto"/>
            <w:left w:val="none" w:sz="0" w:space="0" w:color="auto"/>
            <w:bottom w:val="none" w:sz="0" w:space="0" w:color="auto"/>
            <w:right w:val="none" w:sz="0" w:space="0" w:color="auto"/>
          </w:divBdr>
        </w:div>
        <w:div w:id="1373071204">
          <w:marLeft w:val="0"/>
          <w:marRight w:val="0"/>
          <w:marTop w:val="0"/>
          <w:marBottom w:val="0"/>
          <w:divBdr>
            <w:top w:val="none" w:sz="0" w:space="0" w:color="auto"/>
            <w:left w:val="none" w:sz="0" w:space="0" w:color="auto"/>
            <w:bottom w:val="none" w:sz="0" w:space="0" w:color="auto"/>
            <w:right w:val="none" w:sz="0" w:space="0" w:color="auto"/>
          </w:divBdr>
        </w:div>
        <w:div w:id="2068186926">
          <w:marLeft w:val="0"/>
          <w:marRight w:val="0"/>
          <w:marTop w:val="0"/>
          <w:marBottom w:val="0"/>
          <w:divBdr>
            <w:top w:val="none" w:sz="0" w:space="0" w:color="auto"/>
            <w:left w:val="none" w:sz="0" w:space="0" w:color="auto"/>
            <w:bottom w:val="none" w:sz="0" w:space="0" w:color="auto"/>
            <w:right w:val="none" w:sz="0" w:space="0" w:color="auto"/>
          </w:divBdr>
        </w:div>
        <w:div w:id="1737514521">
          <w:marLeft w:val="0"/>
          <w:marRight w:val="0"/>
          <w:marTop w:val="0"/>
          <w:marBottom w:val="0"/>
          <w:divBdr>
            <w:top w:val="none" w:sz="0" w:space="0" w:color="auto"/>
            <w:left w:val="none" w:sz="0" w:space="0" w:color="auto"/>
            <w:bottom w:val="none" w:sz="0" w:space="0" w:color="auto"/>
            <w:right w:val="none" w:sz="0" w:space="0" w:color="auto"/>
          </w:divBdr>
        </w:div>
        <w:div w:id="8148236">
          <w:marLeft w:val="0"/>
          <w:marRight w:val="0"/>
          <w:marTop w:val="0"/>
          <w:marBottom w:val="0"/>
          <w:divBdr>
            <w:top w:val="none" w:sz="0" w:space="0" w:color="auto"/>
            <w:left w:val="none" w:sz="0" w:space="0" w:color="auto"/>
            <w:bottom w:val="none" w:sz="0" w:space="0" w:color="auto"/>
            <w:right w:val="none" w:sz="0" w:space="0" w:color="auto"/>
          </w:divBdr>
        </w:div>
        <w:div w:id="1125343129">
          <w:marLeft w:val="0"/>
          <w:marRight w:val="0"/>
          <w:marTop w:val="0"/>
          <w:marBottom w:val="0"/>
          <w:divBdr>
            <w:top w:val="none" w:sz="0" w:space="0" w:color="auto"/>
            <w:left w:val="none" w:sz="0" w:space="0" w:color="auto"/>
            <w:bottom w:val="none" w:sz="0" w:space="0" w:color="auto"/>
            <w:right w:val="none" w:sz="0" w:space="0" w:color="auto"/>
          </w:divBdr>
        </w:div>
      </w:divsChild>
    </w:div>
    <w:div w:id="723993521">
      <w:bodyDiv w:val="1"/>
      <w:marLeft w:val="0"/>
      <w:marRight w:val="0"/>
      <w:marTop w:val="0"/>
      <w:marBottom w:val="0"/>
      <w:divBdr>
        <w:top w:val="none" w:sz="0" w:space="0" w:color="auto"/>
        <w:left w:val="none" w:sz="0" w:space="0" w:color="auto"/>
        <w:bottom w:val="none" w:sz="0" w:space="0" w:color="auto"/>
        <w:right w:val="none" w:sz="0" w:space="0" w:color="auto"/>
      </w:divBdr>
    </w:div>
    <w:div w:id="753012317">
      <w:bodyDiv w:val="1"/>
      <w:marLeft w:val="0"/>
      <w:marRight w:val="0"/>
      <w:marTop w:val="0"/>
      <w:marBottom w:val="0"/>
      <w:divBdr>
        <w:top w:val="none" w:sz="0" w:space="0" w:color="auto"/>
        <w:left w:val="none" w:sz="0" w:space="0" w:color="auto"/>
        <w:bottom w:val="none" w:sz="0" w:space="0" w:color="auto"/>
        <w:right w:val="none" w:sz="0" w:space="0" w:color="auto"/>
      </w:divBdr>
      <w:divsChild>
        <w:div w:id="1292590239">
          <w:marLeft w:val="0"/>
          <w:marRight w:val="0"/>
          <w:marTop w:val="0"/>
          <w:marBottom w:val="0"/>
          <w:divBdr>
            <w:top w:val="none" w:sz="0" w:space="0" w:color="auto"/>
            <w:left w:val="none" w:sz="0" w:space="0" w:color="auto"/>
            <w:bottom w:val="none" w:sz="0" w:space="0" w:color="auto"/>
            <w:right w:val="none" w:sz="0" w:space="0" w:color="auto"/>
          </w:divBdr>
        </w:div>
        <w:div w:id="1433889766">
          <w:marLeft w:val="0"/>
          <w:marRight w:val="0"/>
          <w:marTop w:val="0"/>
          <w:marBottom w:val="0"/>
          <w:divBdr>
            <w:top w:val="none" w:sz="0" w:space="0" w:color="auto"/>
            <w:left w:val="none" w:sz="0" w:space="0" w:color="auto"/>
            <w:bottom w:val="none" w:sz="0" w:space="0" w:color="auto"/>
            <w:right w:val="none" w:sz="0" w:space="0" w:color="auto"/>
          </w:divBdr>
        </w:div>
        <w:div w:id="1940016615">
          <w:marLeft w:val="0"/>
          <w:marRight w:val="0"/>
          <w:marTop w:val="0"/>
          <w:marBottom w:val="0"/>
          <w:divBdr>
            <w:top w:val="none" w:sz="0" w:space="0" w:color="auto"/>
            <w:left w:val="none" w:sz="0" w:space="0" w:color="auto"/>
            <w:bottom w:val="none" w:sz="0" w:space="0" w:color="auto"/>
            <w:right w:val="none" w:sz="0" w:space="0" w:color="auto"/>
          </w:divBdr>
        </w:div>
        <w:div w:id="617564776">
          <w:marLeft w:val="0"/>
          <w:marRight w:val="0"/>
          <w:marTop w:val="0"/>
          <w:marBottom w:val="0"/>
          <w:divBdr>
            <w:top w:val="none" w:sz="0" w:space="0" w:color="auto"/>
            <w:left w:val="none" w:sz="0" w:space="0" w:color="auto"/>
            <w:bottom w:val="none" w:sz="0" w:space="0" w:color="auto"/>
            <w:right w:val="none" w:sz="0" w:space="0" w:color="auto"/>
          </w:divBdr>
        </w:div>
        <w:div w:id="312223831">
          <w:marLeft w:val="0"/>
          <w:marRight w:val="0"/>
          <w:marTop w:val="0"/>
          <w:marBottom w:val="0"/>
          <w:divBdr>
            <w:top w:val="none" w:sz="0" w:space="0" w:color="auto"/>
            <w:left w:val="none" w:sz="0" w:space="0" w:color="auto"/>
            <w:bottom w:val="none" w:sz="0" w:space="0" w:color="auto"/>
            <w:right w:val="none" w:sz="0" w:space="0" w:color="auto"/>
          </w:divBdr>
        </w:div>
        <w:div w:id="547910131">
          <w:marLeft w:val="0"/>
          <w:marRight w:val="0"/>
          <w:marTop w:val="0"/>
          <w:marBottom w:val="0"/>
          <w:divBdr>
            <w:top w:val="none" w:sz="0" w:space="0" w:color="auto"/>
            <w:left w:val="none" w:sz="0" w:space="0" w:color="auto"/>
            <w:bottom w:val="none" w:sz="0" w:space="0" w:color="auto"/>
            <w:right w:val="none" w:sz="0" w:space="0" w:color="auto"/>
          </w:divBdr>
        </w:div>
        <w:div w:id="581987698">
          <w:marLeft w:val="0"/>
          <w:marRight w:val="0"/>
          <w:marTop w:val="0"/>
          <w:marBottom w:val="0"/>
          <w:divBdr>
            <w:top w:val="none" w:sz="0" w:space="0" w:color="auto"/>
            <w:left w:val="none" w:sz="0" w:space="0" w:color="auto"/>
            <w:bottom w:val="none" w:sz="0" w:space="0" w:color="auto"/>
            <w:right w:val="none" w:sz="0" w:space="0" w:color="auto"/>
          </w:divBdr>
        </w:div>
        <w:div w:id="1743748758">
          <w:marLeft w:val="0"/>
          <w:marRight w:val="0"/>
          <w:marTop w:val="0"/>
          <w:marBottom w:val="0"/>
          <w:divBdr>
            <w:top w:val="none" w:sz="0" w:space="0" w:color="auto"/>
            <w:left w:val="none" w:sz="0" w:space="0" w:color="auto"/>
            <w:bottom w:val="none" w:sz="0" w:space="0" w:color="auto"/>
            <w:right w:val="none" w:sz="0" w:space="0" w:color="auto"/>
          </w:divBdr>
        </w:div>
        <w:div w:id="2139255763">
          <w:marLeft w:val="0"/>
          <w:marRight w:val="0"/>
          <w:marTop w:val="0"/>
          <w:marBottom w:val="0"/>
          <w:divBdr>
            <w:top w:val="none" w:sz="0" w:space="0" w:color="auto"/>
            <w:left w:val="none" w:sz="0" w:space="0" w:color="auto"/>
            <w:bottom w:val="none" w:sz="0" w:space="0" w:color="auto"/>
            <w:right w:val="none" w:sz="0" w:space="0" w:color="auto"/>
          </w:divBdr>
        </w:div>
        <w:div w:id="246618076">
          <w:marLeft w:val="0"/>
          <w:marRight w:val="0"/>
          <w:marTop w:val="0"/>
          <w:marBottom w:val="0"/>
          <w:divBdr>
            <w:top w:val="none" w:sz="0" w:space="0" w:color="auto"/>
            <w:left w:val="none" w:sz="0" w:space="0" w:color="auto"/>
            <w:bottom w:val="none" w:sz="0" w:space="0" w:color="auto"/>
            <w:right w:val="none" w:sz="0" w:space="0" w:color="auto"/>
          </w:divBdr>
        </w:div>
        <w:div w:id="1672488736">
          <w:marLeft w:val="0"/>
          <w:marRight w:val="0"/>
          <w:marTop w:val="0"/>
          <w:marBottom w:val="0"/>
          <w:divBdr>
            <w:top w:val="none" w:sz="0" w:space="0" w:color="auto"/>
            <w:left w:val="none" w:sz="0" w:space="0" w:color="auto"/>
            <w:bottom w:val="none" w:sz="0" w:space="0" w:color="auto"/>
            <w:right w:val="none" w:sz="0" w:space="0" w:color="auto"/>
          </w:divBdr>
        </w:div>
        <w:div w:id="388463209">
          <w:marLeft w:val="0"/>
          <w:marRight w:val="0"/>
          <w:marTop w:val="0"/>
          <w:marBottom w:val="0"/>
          <w:divBdr>
            <w:top w:val="none" w:sz="0" w:space="0" w:color="auto"/>
            <w:left w:val="none" w:sz="0" w:space="0" w:color="auto"/>
            <w:bottom w:val="none" w:sz="0" w:space="0" w:color="auto"/>
            <w:right w:val="none" w:sz="0" w:space="0" w:color="auto"/>
          </w:divBdr>
        </w:div>
        <w:div w:id="1272976971">
          <w:marLeft w:val="0"/>
          <w:marRight w:val="0"/>
          <w:marTop w:val="0"/>
          <w:marBottom w:val="0"/>
          <w:divBdr>
            <w:top w:val="none" w:sz="0" w:space="0" w:color="auto"/>
            <w:left w:val="none" w:sz="0" w:space="0" w:color="auto"/>
            <w:bottom w:val="none" w:sz="0" w:space="0" w:color="auto"/>
            <w:right w:val="none" w:sz="0" w:space="0" w:color="auto"/>
          </w:divBdr>
        </w:div>
        <w:div w:id="1558975599">
          <w:marLeft w:val="0"/>
          <w:marRight w:val="0"/>
          <w:marTop w:val="0"/>
          <w:marBottom w:val="0"/>
          <w:divBdr>
            <w:top w:val="none" w:sz="0" w:space="0" w:color="auto"/>
            <w:left w:val="none" w:sz="0" w:space="0" w:color="auto"/>
            <w:bottom w:val="none" w:sz="0" w:space="0" w:color="auto"/>
            <w:right w:val="none" w:sz="0" w:space="0" w:color="auto"/>
          </w:divBdr>
        </w:div>
        <w:div w:id="2045708159">
          <w:marLeft w:val="0"/>
          <w:marRight w:val="0"/>
          <w:marTop w:val="0"/>
          <w:marBottom w:val="0"/>
          <w:divBdr>
            <w:top w:val="none" w:sz="0" w:space="0" w:color="auto"/>
            <w:left w:val="none" w:sz="0" w:space="0" w:color="auto"/>
            <w:bottom w:val="none" w:sz="0" w:space="0" w:color="auto"/>
            <w:right w:val="none" w:sz="0" w:space="0" w:color="auto"/>
          </w:divBdr>
        </w:div>
        <w:div w:id="306010793">
          <w:marLeft w:val="0"/>
          <w:marRight w:val="0"/>
          <w:marTop w:val="0"/>
          <w:marBottom w:val="0"/>
          <w:divBdr>
            <w:top w:val="none" w:sz="0" w:space="0" w:color="auto"/>
            <w:left w:val="none" w:sz="0" w:space="0" w:color="auto"/>
            <w:bottom w:val="none" w:sz="0" w:space="0" w:color="auto"/>
            <w:right w:val="none" w:sz="0" w:space="0" w:color="auto"/>
          </w:divBdr>
        </w:div>
      </w:divsChild>
    </w:div>
    <w:div w:id="1135415548">
      <w:bodyDiv w:val="1"/>
      <w:marLeft w:val="0"/>
      <w:marRight w:val="0"/>
      <w:marTop w:val="0"/>
      <w:marBottom w:val="0"/>
      <w:divBdr>
        <w:top w:val="none" w:sz="0" w:space="0" w:color="auto"/>
        <w:left w:val="none" w:sz="0" w:space="0" w:color="auto"/>
        <w:bottom w:val="none" w:sz="0" w:space="0" w:color="auto"/>
        <w:right w:val="none" w:sz="0" w:space="0" w:color="auto"/>
      </w:divBdr>
    </w:div>
    <w:div w:id="1137841206">
      <w:bodyDiv w:val="1"/>
      <w:marLeft w:val="0"/>
      <w:marRight w:val="0"/>
      <w:marTop w:val="0"/>
      <w:marBottom w:val="0"/>
      <w:divBdr>
        <w:top w:val="none" w:sz="0" w:space="0" w:color="auto"/>
        <w:left w:val="none" w:sz="0" w:space="0" w:color="auto"/>
        <w:bottom w:val="none" w:sz="0" w:space="0" w:color="auto"/>
        <w:right w:val="none" w:sz="0" w:space="0" w:color="auto"/>
      </w:divBdr>
    </w:div>
    <w:div w:id="1361857392">
      <w:bodyDiv w:val="1"/>
      <w:marLeft w:val="0"/>
      <w:marRight w:val="0"/>
      <w:marTop w:val="0"/>
      <w:marBottom w:val="0"/>
      <w:divBdr>
        <w:top w:val="none" w:sz="0" w:space="0" w:color="auto"/>
        <w:left w:val="none" w:sz="0" w:space="0" w:color="auto"/>
        <w:bottom w:val="none" w:sz="0" w:space="0" w:color="auto"/>
        <w:right w:val="none" w:sz="0" w:space="0" w:color="auto"/>
      </w:divBdr>
      <w:divsChild>
        <w:div w:id="2125878974">
          <w:marLeft w:val="0"/>
          <w:marRight w:val="0"/>
          <w:marTop w:val="0"/>
          <w:marBottom w:val="0"/>
          <w:divBdr>
            <w:top w:val="none" w:sz="0" w:space="0" w:color="auto"/>
            <w:left w:val="none" w:sz="0" w:space="0" w:color="auto"/>
            <w:bottom w:val="none" w:sz="0" w:space="0" w:color="auto"/>
            <w:right w:val="none" w:sz="0" w:space="0" w:color="auto"/>
          </w:divBdr>
          <w:divsChild>
            <w:div w:id="179706822">
              <w:marLeft w:val="0"/>
              <w:marRight w:val="0"/>
              <w:marTop w:val="0"/>
              <w:marBottom w:val="0"/>
              <w:divBdr>
                <w:top w:val="none" w:sz="0" w:space="0" w:color="auto"/>
                <w:left w:val="none" w:sz="0" w:space="0" w:color="auto"/>
                <w:bottom w:val="none" w:sz="0" w:space="0" w:color="auto"/>
                <w:right w:val="none" w:sz="0" w:space="0" w:color="auto"/>
              </w:divBdr>
              <w:divsChild>
                <w:div w:id="1460295246">
                  <w:marLeft w:val="0"/>
                  <w:marRight w:val="0"/>
                  <w:marTop w:val="0"/>
                  <w:marBottom w:val="0"/>
                  <w:divBdr>
                    <w:top w:val="none" w:sz="0" w:space="0" w:color="auto"/>
                    <w:left w:val="none" w:sz="0" w:space="0" w:color="auto"/>
                    <w:bottom w:val="none" w:sz="0" w:space="0" w:color="auto"/>
                    <w:right w:val="none" w:sz="0" w:space="0" w:color="auto"/>
                  </w:divBdr>
                  <w:divsChild>
                    <w:div w:id="1546061720">
                      <w:marLeft w:val="0"/>
                      <w:marRight w:val="0"/>
                      <w:marTop w:val="0"/>
                      <w:marBottom w:val="0"/>
                      <w:divBdr>
                        <w:top w:val="none" w:sz="0" w:space="0" w:color="auto"/>
                        <w:left w:val="none" w:sz="0" w:space="0" w:color="auto"/>
                        <w:bottom w:val="none" w:sz="0" w:space="0" w:color="auto"/>
                        <w:right w:val="none" w:sz="0" w:space="0" w:color="auto"/>
                      </w:divBdr>
                      <w:divsChild>
                        <w:div w:id="1175849083">
                          <w:marLeft w:val="0"/>
                          <w:marRight w:val="0"/>
                          <w:marTop w:val="0"/>
                          <w:marBottom w:val="0"/>
                          <w:divBdr>
                            <w:top w:val="none" w:sz="0" w:space="0" w:color="auto"/>
                            <w:left w:val="none" w:sz="0" w:space="0" w:color="auto"/>
                            <w:bottom w:val="none" w:sz="0" w:space="0" w:color="auto"/>
                            <w:right w:val="none" w:sz="0" w:space="0" w:color="auto"/>
                          </w:divBdr>
                          <w:divsChild>
                            <w:div w:id="572546607">
                              <w:marLeft w:val="0"/>
                              <w:marRight w:val="0"/>
                              <w:marTop w:val="0"/>
                              <w:marBottom w:val="0"/>
                              <w:divBdr>
                                <w:top w:val="none" w:sz="0" w:space="0" w:color="auto"/>
                                <w:left w:val="none" w:sz="0" w:space="0" w:color="auto"/>
                                <w:bottom w:val="none" w:sz="0" w:space="0" w:color="auto"/>
                                <w:right w:val="none" w:sz="0" w:space="0" w:color="auto"/>
                              </w:divBdr>
                              <w:divsChild>
                                <w:div w:id="636377876">
                                  <w:marLeft w:val="0"/>
                                  <w:marRight w:val="0"/>
                                  <w:marTop w:val="0"/>
                                  <w:marBottom w:val="0"/>
                                  <w:divBdr>
                                    <w:top w:val="none" w:sz="0" w:space="0" w:color="auto"/>
                                    <w:left w:val="none" w:sz="0" w:space="0" w:color="auto"/>
                                    <w:bottom w:val="none" w:sz="0" w:space="0" w:color="auto"/>
                                    <w:right w:val="none" w:sz="0" w:space="0" w:color="auto"/>
                                  </w:divBdr>
                                  <w:divsChild>
                                    <w:div w:id="1403718551">
                                      <w:marLeft w:val="60"/>
                                      <w:marRight w:val="0"/>
                                      <w:marTop w:val="0"/>
                                      <w:marBottom w:val="0"/>
                                      <w:divBdr>
                                        <w:top w:val="none" w:sz="0" w:space="0" w:color="auto"/>
                                        <w:left w:val="none" w:sz="0" w:space="0" w:color="auto"/>
                                        <w:bottom w:val="none" w:sz="0" w:space="0" w:color="auto"/>
                                        <w:right w:val="none" w:sz="0" w:space="0" w:color="auto"/>
                                      </w:divBdr>
                                      <w:divsChild>
                                        <w:div w:id="1982612864">
                                          <w:marLeft w:val="0"/>
                                          <w:marRight w:val="0"/>
                                          <w:marTop w:val="0"/>
                                          <w:marBottom w:val="0"/>
                                          <w:divBdr>
                                            <w:top w:val="none" w:sz="0" w:space="0" w:color="auto"/>
                                            <w:left w:val="none" w:sz="0" w:space="0" w:color="auto"/>
                                            <w:bottom w:val="none" w:sz="0" w:space="0" w:color="auto"/>
                                            <w:right w:val="none" w:sz="0" w:space="0" w:color="auto"/>
                                          </w:divBdr>
                                          <w:divsChild>
                                            <w:div w:id="1226140656">
                                              <w:marLeft w:val="0"/>
                                              <w:marRight w:val="0"/>
                                              <w:marTop w:val="0"/>
                                              <w:marBottom w:val="120"/>
                                              <w:divBdr>
                                                <w:top w:val="single" w:sz="6" w:space="0" w:color="F5F5F5"/>
                                                <w:left w:val="single" w:sz="6" w:space="0" w:color="F5F5F5"/>
                                                <w:bottom w:val="single" w:sz="6" w:space="0" w:color="F5F5F5"/>
                                                <w:right w:val="single" w:sz="6" w:space="0" w:color="F5F5F5"/>
                                              </w:divBdr>
                                              <w:divsChild>
                                                <w:div w:id="1497067194">
                                                  <w:marLeft w:val="0"/>
                                                  <w:marRight w:val="0"/>
                                                  <w:marTop w:val="0"/>
                                                  <w:marBottom w:val="0"/>
                                                  <w:divBdr>
                                                    <w:top w:val="none" w:sz="0" w:space="0" w:color="auto"/>
                                                    <w:left w:val="none" w:sz="0" w:space="0" w:color="auto"/>
                                                    <w:bottom w:val="none" w:sz="0" w:space="0" w:color="auto"/>
                                                    <w:right w:val="none" w:sz="0" w:space="0" w:color="auto"/>
                                                  </w:divBdr>
                                                  <w:divsChild>
                                                    <w:div w:id="863322332">
                                                      <w:marLeft w:val="0"/>
                                                      <w:marRight w:val="0"/>
                                                      <w:marTop w:val="0"/>
                                                      <w:marBottom w:val="0"/>
                                                      <w:divBdr>
                                                        <w:top w:val="none" w:sz="0" w:space="0" w:color="auto"/>
                                                        <w:left w:val="none" w:sz="0" w:space="0" w:color="auto"/>
                                                        <w:bottom w:val="none" w:sz="0" w:space="0" w:color="auto"/>
                                                        <w:right w:val="none" w:sz="0" w:space="0" w:color="auto"/>
                                                      </w:divBdr>
                                                    </w:div>
                                                  </w:divsChild>
                                                </w:div>
                                                <w:div w:id="763038679">
                                                  <w:marLeft w:val="0"/>
                                                  <w:marRight w:val="0"/>
                                                  <w:marTop w:val="0"/>
                                                  <w:marBottom w:val="0"/>
                                                  <w:divBdr>
                                                    <w:top w:val="none" w:sz="0" w:space="0" w:color="auto"/>
                                                    <w:left w:val="none" w:sz="0" w:space="0" w:color="auto"/>
                                                    <w:bottom w:val="none" w:sz="0" w:space="0" w:color="auto"/>
                                                    <w:right w:val="none" w:sz="0" w:space="0" w:color="auto"/>
                                                  </w:divBdr>
                                                  <w:divsChild>
                                                    <w:div w:id="19234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007547">
      <w:bodyDiv w:val="1"/>
      <w:marLeft w:val="0"/>
      <w:marRight w:val="0"/>
      <w:marTop w:val="0"/>
      <w:marBottom w:val="0"/>
      <w:divBdr>
        <w:top w:val="none" w:sz="0" w:space="0" w:color="auto"/>
        <w:left w:val="none" w:sz="0" w:space="0" w:color="auto"/>
        <w:bottom w:val="none" w:sz="0" w:space="0" w:color="auto"/>
        <w:right w:val="none" w:sz="0" w:space="0" w:color="auto"/>
      </w:divBdr>
    </w:div>
    <w:div w:id="1544245546">
      <w:bodyDiv w:val="1"/>
      <w:marLeft w:val="0"/>
      <w:marRight w:val="0"/>
      <w:marTop w:val="0"/>
      <w:marBottom w:val="0"/>
      <w:divBdr>
        <w:top w:val="none" w:sz="0" w:space="0" w:color="auto"/>
        <w:left w:val="none" w:sz="0" w:space="0" w:color="auto"/>
        <w:bottom w:val="none" w:sz="0" w:space="0" w:color="auto"/>
        <w:right w:val="none" w:sz="0" w:space="0" w:color="auto"/>
      </w:divBdr>
      <w:divsChild>
        <w:div w:id="155338920">
          <w:marLeft w:val="0"/>
          <w:marRight w:val="0"/>
          <w:marTop w:val="0"/>
          <w:marBottom w:val="0"/>
          <w:divBdr>
            <w:top w:val="none" w:sz="0" w:space="0" w:color="auto"/>
            <w:left w:val="none" w:sz="0" w:space="0" w:color="auto"/>
            <w:bottom w:val="none" w:sz="0" w:space="0" w:color="auto"/>
            <w:right w:val="none" w:sz="0" w:space="0" w:color="auto"/>
          </w:divBdr>
        </w:div>
        <w:div w:id="2013726114">
          <w:marLeft w:val="0"/>
          <w:marRight w:val="0"/>
          <w:marTop w:val="0"/>
          <w:marBottom w:val="0"/>
          <w:divBdr>
            <w:top w:val="none" w:sz="0" w:space="0" w:color="auto"/>
            <w:left w:val="none" w:sz="0" w:space="0" w:color="auto"/>
            <w:bottom w:val="none" w:sz="0" w:space="0" w:color="auto"/>
            <w:right w:val="none" w:sz="0" w:space="0" w:color="auto"/>
          </w:divBdr>
        </w:div>
        <w:div w:id="717121945">
          <w:marLeft w:val="0"/>
          <w:marRight w:val="0"/>
          <w:marTop w:val="0"/>
          <w:marBottom w:val="0"/>
          <w:divBdr>
            <w:top w:val="none" w:sz="0" w:space="0" w:color="auto"/>
            <w:left w:val="none" w:sz="0" w:space="0" w:color="auto"/>
            <w:bottom w:val="none" w:sz="0" w:space="0" w:color="auto"/>
            <w:right w:val="none" w:sz="0" w:space="0" w:color="auto"/>
          </w:divBdr>
        </w:div>
        <w:div w:id="822627640">
          <w:marLeft w:val="0"/>
          <w:marRight w:val="0"/>
          <w:marTop w:val="0"/>
          <w:marBottom w:val="0"/>
          <w:divBdr>
            <w:top w:val="none" w:sz="0" w:space="0" w:color="auto"/>
            <w:left w:val="none" w:sz="0" w:space="0" w:color="auto"/>
            <w:bottom w:val="none" w:sz="0" w:space="0" w:color="auto"/>
            <w:right w:val="none" w:sz="0" w:space="0" w:color="auto"/>
          </w:divBdr>
        </w:div>
        <w:div w:id="23992432">
          <w:marLeft w:val="0"/>
          <w:marRight w:val="0"/>
          <w:marTop w:val="0"/>
          <w:marBottom w:val="0"/>
          <w:divBdr>
            <w:top w:val="none" w:sz="0" w:space="0" w:color="auto"/>
            <w:left w:val="none" w:sz="0" w:space="0" w:color="auto"/>
            <w:bottom w:val="none" w:sz="0" w:space="0" w:color="auto"/>
            <w:right w:val="none" w:sz="0" w:space="0" w:color="auto"/>
          </w:divBdr>
        </w:div>
        <w:div w:id="463351287">
          <w:marLeft w:val="0"/>
          <w:marRight w:val="0"/>
          <w:marTop w:val="0"/>
          <w:marBottom w:val="0"/>
          <w:divBdr>
            <w:top w:val="none" w:sz="0" w:space="0" w:color="auto"/>
            <w:left w:val="none" w:sz="0" w:space="0" w:color="auto"/>
            <w:bottom w:val="none" w:sz="0" w:space="0" w:color="auto"/>
            <w:right w:val="none" w:sz="0" w:space="0" w:color="auto"/>
          </w:divBdr>
        </w:div>
        <w:div w:id="2106460945">
          <w:marLeft w:val="0"/>
          <w:marRight w:val="0"/>
          <w:marTop w:val="0"/>
          <w:marBottom w:val="0"/>
          <w:divBdr>
            <w:top w:val="none" w:sz="0" w:space="0" w:color="auto"/>
            <w:left w:val="none" w:sz="0" w:space="0" w:color="auto"/>
            <w:bottom w:val="none" w:sz="0" w:space="0" w:color="auto"/>
            <w:right w:val="none" w:sz="0" w:space="0" w:color="auto"/>
          </w:divBdr>
        </w:div>
        <w:div w:id="352076736">
          <w:marLeft w:val="0"/>
          <w:marRight w:val="0"/>
          <w:marTop w:val="0"/>
          <w:marBottom w:val="0"/>
          <w:divBdr>
            <w:top w:val="none" w:sz="0" w:space="0" w:color="auto"/>
            <w:left w:val="none" w:sz="0" w:space="0" w:color="auto"/>
            <w:bottom w:val="none" w:sz="0" w:space="0" w:color="auto"/>
            <w:right w:val="none" w:sz="0" w:space="0" w:color="auto"/>
          </w:divBdr>
        </w:div>
        <w:div w:id="1042095442">
          <w:marLeft w:val="0"/>
          <w:marRight w:val="0"/>
          <w:marTop w:val="0"/>
          <w:marBottom w:val="0"/>
          <w:divBdr>
            <w:top w:val="none" w:sz="0" w:space="0" w:color="auto"/>
            <w:left w:val="none" w:sz="0" w:space="0" w:color="auto"/>
            <w:bottom w:val="none" w:sz="0" w:space="0" w:color="auto"/>
            <w:right w:val="none" w:sz="0" w:space="0" w:color="auto"/>
          </w:divBdr>
        </w:div>
        <w:div w:id="1872835835">
          <w:marLeft w:val="0"/>
          <w:marRight w:val="0"/>
          <w:marTop w:val="0"/>
          <w:marBottom w:val="0"/>
          <w:divBdr>
            <w:top w:val="none" w:sz="0" w:space="0" w:color="auto"/>
            <w:left w:val="none" w:sz="0" w:space="0" w:color="auto"/>
            <w:bottom w:val="none" w:sz="0" w:space="0" w:color="auto"/>
            <w:right w:val="none" w:sz="0" w:space="0" w:color="auto"/>
          </w:divBdr>
        </w:div>
        <w:div w:id="716590101">
          <w:marLeft w:val="0"/>
          <w:marRight w:val="0"/>
          <w:marTop w:val="0"/>
          <w:marBottom w:val="0"/>
          <w:divBdr>
            <w:top w:val="none" w:sz="0" w:space="0" w:color="auto"/>
            <w:left w:val="none" w:sz="0" w:space="0" w:color="auto"/>
            <w:bottom w:val="none" w:sz="0" w:space="0" w:color="auto"/>
            <w:right w:val="none" w:sz="0" w:space="0" w:color="auto"/>
          </w:divBdr>
        </w:div>
      </w:divsChild>
    </w:div>
    <w:div w:id="2047214623">
      <w:bodyDiv w:val="1"/>
      <w:marLeft w:val="0"/>
      <w:marRight w:val="0"/>
      <w:marTop w:val="0"/>
      <w:marBottom w:val="0"/>
      <w:divBdr>
        <w:top w:val="none" w:sz="0" w:space="0" w:color="auto"/>
        <w:left w:val="none" w:sz="0" w:space="0" w:color="auto"/>
        <w:bottom w:val="none" w:sz="0" w:space="0" w:color="auto"/>
        <w:right w:val="none" w:sz="0" w:space="0" w:color="auto"/>
      </w:divBdr>
      <w:divsChild>
        <w:div w:id="216091888">
          <w:marLeft w:val="0"/>
          <w:marRight w:val="0"/>
          <w:marTop w:val="0"/>
          <w:marBottom w:val="0"/>
          <w:divBdr>
            <w:top w:val="none" w:sz="0" w:space="0" w:color="auto"/>
            <w:left w:val="none" w:sz="0" w:space="0" w:color="auto"/>
            <w:bottom w:val="none" w:sz="0" w:space="0" w:color="auto"/>
            <w:right w:val="none" w:sz="0" w:space="0" w:color="auto"/>
          </w:divBdr>
        </w:div>
        <w:div w:id="938681483">
          <w:marLeft w:val="0"/>
          <w:marRight w:val="0"/>
          <w:marTop w:val="0"/>
          <w:marBottom w:val="0"/>
          <w:divBdr>
            <w:top w:val="none" w:sz="0" w:space="0" w:color="auto"/>
            <w:left w:val="none" w:sz="0" w:space="0" w:color="auto"/>
            <w:bottom w:val="none" w:sz="0" w:space="0" w:color="auto"/>
            <w:right w:val="none" w:sz="0" w:space="0" w:color="auto"/>
          </w:divBdr>
        </w:div>
        <w:div w:id="2068062816">
          <w:marLeft w:val="0"/>
          <w:marRight w:val="0"/>
          <w:marTop w:val="0"/>
          <w:marBottom w:val="0"/>
          <w:divBdr>
            <w:top w:val="none" w:sz="0" w:space="0" w:color="auto"/>
            <w:left w:val="none" w:sz="0" w:space="0" w:color="auto"/>
            <w:bottom w:val="none" w:sz="0" w:space="0" w:color="auto"/>
            <w:right w:val="none" w:sz="0" w:space="0" w:color="auto"/>
          </w:divBdr>
        </w:div>
        <w:div w:id="1034572266">
          <w:marLeft w:val="0"/>
          <w:marRight w:val="0"/>
          <w:marTop w:val="0"/>
          <w:marBottom w:val="0"/>
          <w:divBdr>
            <w:top w:val="none" w:sz="0" w:space="0" w:color="auto"/>
            <w:left w:val="none" w:sz="0" w:space="0" w:color="auto"/>
            <w:bottom w:val="none" w:sz="0" w:space="0" w:color="auto"/>
            <w:right w:val="none" w:sz="0" w:space="0" w:color="auto"/>
          </w:divBdr>
        </w:div>
        <w:div w:id="790318818">
          <w:marLeft w:val="0"/>
          <w:marRight w:val="0"/>
          <w:marTop w:val="0"/>
          <w:marBottom w:val="0"/>
          <w:divBdr>
            <w:top w:val="none" w:sz="0" w:space="0" w:color="auto"/>
            <w:left w:val="none" w:sz="0" w:space="0" w:color="auto"/>
            <w:bottom w:val="none" w:sz="0" w:space="0" w:color="auto"/>
            <w:right w:val="none" w:sz="0" w:space="0" w:color="auto"/>
          </w:divBdr>
        </w:div>
        <w:div w:id="1263220757">
          <w:marLeft w:val="0"/>
          <w:marRight w:val="0"/>
          <w:marTop w:val="0"/>
          <w:marBottom w:val="0"/>
          <w:divBdr>
            <w:top w:val="none" w:sz="0" w:space="0" w:color="auto"/>
            <w:left w:val="none" w:sz="0" w:space="0" w:color="auto"/>
            <w:bottom w:val="none" w:sz="0" w:space="0" w:color="auto"/>
            <w:right w:val="none" w:sz="0" w:space="0" w:color="auto"/>
          </w:divBdr>
        </w:div>
        <w:div w:id="363364329">
          <w:marLeft w:val="0"/>
          <w:marRight w:val="0"/>
          <w:marTop w:val="0"/>
          <w:marBottom w:val="0"/>
          <w:divBdr>
            <w:top w:val="none" w:sz="0" w:space="0" w:color="auto"/>
            <w:left w:val="none" w:sz="0" w:space="0" w:color="auto"/>
            <w:bottom w:val="none" w:sz="0" w:space="0" w:color="auto"/>
            <w:right w:val="none" w:sz="0" w:space="0" w:color="auto"/>
          </w:divBdr>
        </w:div>
        <w:div w:id="116929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234F6-36E1-4863-96B4-C07FC569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20</Pages>
  <Words>8267</Words>
  <Characters>47128</Characters>
  <Application>Microsoft Office Word</Application>
  <DocSecurity>0</DocSecurity>
  <Lines>392</Lines>
  <Paragraphs>110</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55285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margita.hranaiova@sanofi.com</dc:creator>
  <cp:lastModifiedBy>Grančaiová, Zuzana</cp:lastModifiedBy>
  <cp:revision>73</cp:revision>
  <dcterms:created xsi:type="dcterms:W3CDTF">2016-12-02T07:27:00Z</dcterms:created>
  <dcterms:modified xsi:type="dcterms:W3CDTF">2019-03-25T08:49:00Z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