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6E04D" w14:textId="77777777" w:rsidR="00C8670A" w:rsidRDefault="006C4808" w:rsidP="00181044">
      <w:pPr>
        <w:pStyle w:val="DocumentHeading"/>
        <w:spacing w:after="0"/>
        <w:jc w:val="center"/>
        <w:rPr>
          <w:sz w:val="22"/>
          <w:szCs w:val="22"/>
        </w:rPr>
      </w:pPr>
      <w:bookmarkStart w:id="0" w:name="_GoBack"/>
      <w:bookmarkEnd w:id="0"/>
      <w:r w:rsidRPr="00D76279">
        <w:rPr>
          <w:sz w:val="22"/>
          <w:szCs w:val="22"/>
        </w:rPr>
        <w:t>SÚHRN CHARAKTERISTICKÝCH VLASTNOSTÍ LIEKU</w:t>
      </w:r>
    </w:p>
    <w:p w14:paraId="7367E54D" w14:textId="77777777" w:rsidR="00C8670A" w:rsidRPr="00C029F5" w:rsidRDefault="00C8670A" w:rsidP="00C029F5">
      <w:pPr>
        <w:rPr>
          <w:sz w:val="22"/>
          <w:szCs w:val="22"/>
        </w:rPr>
      </w:pPr>
    </w:p>
    <w:p w14:paraId="4300C063" w14:textId="35414319" w:rsidR="00C8670A" w:rsidRDefault="00B843C6" w:rsidP="00C029F5">
      <w:pPr>
        <w:pStyle w:val="Nadpis1"/>
        <w:spacing w:before="0" w:after="0"/>
        <w:rPr>
          <w:sz w:val="22"/>
          <w:szCs w:val="22"/>
        </w:rPr>
      </w:pPr>
      <w:r w:rsidRPr="00D76279">
        <w:rPr>
          <w:sz w:val="22"/>
          <w:szCs w:val="22"/>
        </w:rPr>
        <w:t>1</w:t>
      </w:r>
      <w:r w:rsidR="00DB3DB3">
        <w:rPr>
          <w:sz w:val="22"/>
          <w:szCs w:val="22"/>
        </w:rPr>
        <w:tab/>
      </w:r>
      <w:r w:rsidR="006C4808" w:rsidRPr="00D76279">
        <w:rPr>
          <w:sz w:val="22"/>
          <w:szCs w:val="22"/>
        </w:rPr>
        <w:t>NÁZOV LIEKU</w:t>
      </w:r>
    </w:p>
    <w:p w14:paraId="0EE17940" w14:textId="77777777" w:rsidR="00C8670A" w:rsidRPr="00C029F5" w:rsidRDefault="00C8670A" w:rsidP="00C029F5">
      <w:pPr>
        <w:pStyle w:val="Normlnysozarkami"/>
        <w:spacing w:after="0"/>
        <w:rPr>
          <w:szCs w:val="22"/>
        </w:rPr>
      </w:pPr>
    </w:p>
    <w:p w14:paraId="7AF53336" w14:textId="60F2341F" w:rsidR="00C8670A" w:rsidRDefault="006C4808" w:rsidP="00181044">
      <w:pPr>
        <w:pStyle w:val="Normlnysozarkami"/>
        <w:spacing w:after="0"/>
        <w:ind w:left="0"/>
        <w:rPr>
          <w:szCs w:val="22"/>
        </w:rPr>
      </w:pPr>
      <w:r w:rsidRPr="00D76279">
        <w:rPr>
          <w:szCs w:val="22"/>
        </w:rPr>
        <w:t>Furosemid Accord 10 mg/ml injekčný</w:t>
      </w:r>
      <w:r w:rsidR="007F297E">
        <w:rPr>
          <w:szCs w:val="22"/>
        </w:rPr>
        <w:t>/</w:t>
      </w:r>
      <w:r w:rsidR="00B843C6" w:rsidRPr="00D76279">
        <w:rPr>
          <w:szCs w:val="22"/>
        </w:rPr>
        <w:t xml:space="preserve">infúzny </w:t>
      </w:r>
      <w:r w:rsidRPr="00D76279">
        <w:rPr>
          <w:szCs w:val="22"/>
        </w:rPr>
        <w:t>roztok</w:t>
      </w:r>
      <w:r w:rsidR="00B843C6" w:rsidRPr="00D76279">
        <w:rPr>
          <w:szCs w:val="22"/>
        </w:rPr>
        <w:t xml:space="preserve"> </w:t>
      </w:r>
    </w:p>
    <w:p w14:paraId="2BBA89D7" w14:textId="77777777" w:rsidR="00C8670A" w:rsidRPr="00C029F5" w:rsidRDefault="00C8670A" w:rsidP="00C029F5">
      <w:pPr>
        <w:pStyle w:val="Normlnysozarkami"/>
        <w:spacing w:after="0"/>
        <w:rPr>
          <w:szCs w:val="22"/>
        </w:rPr>
      </w:pPr>
    </w:p>
    <w:p w14:paraId="2E46D440" w14:textId="77777777" w:rsidR="00C8670A" w:rsidRPr="00C029F5" w:rsidRDefault="00C8670A" w:rsidP="00C029F5">
      <w:pPr>
        <w:pStyle w:val="Normlnysozarkami"/>
        <w:spacing w:after="0"/>
        <w:rPr>
          <w:szCs w:val="22"/>
        </w:rPr>
      </w:pPr>
    </w:p>
    <w:p w14:paraId="6E49583D" w14:textId="46C67E26" w:rsidR="00C8670A" w:rsidRDefault="00B843C6" w:rsidP="00C029F5">
      <w:pPr>
        <w:pStyle w:val="Nadpis1"/>
        <w:spacing w:before="0" w:after="0"/>
        <w:rPr>
          <w:sz w:val="22"/>
          <w:szCs w:val="22"/>
        </w:rPr>
      </w:pPr>
      <w:r w:rsidRPr="00D76279">
        <w:rPr>
          <w:sz w:val="22"/>
          <w:szCs w:val="22"/>
        </w:rPr>
        <w:t>2</w:t>
      </w:r>
      <w:r w:rsidR="00DB3DB3">
        <w:rPr>
          <w:sz w:val="22"/>
          <w:szCs w:val="22"/>
        </w:rPr>
        <w:tab/>
      </w:r>
      <w:r w:rsidR="006C4808" w:rsidRPr="00D76279">
        <w:rPr>
          <w:sz w:val="22"/>
          <w:szCs w:val="22"/>
        </w:rPr>
        <w:t>KVALITATÍVNE A KVANTITATÍVNE ZLOŽENIE</w:t>
      </w:r>
    </w:p>
    <w:p w14:paraId="0ECB16D2" w14:textId="77777777" w:rsidR="00C8670A" w:rsidRPr="00C029F5" w:rsidRDefault="00C8670A" w:rsidP="00C029F5">
      <w:pPr>
        <w:ind w:left="720"/>
        <w:rPr>
          <w:sz w:val="22"/>
          <w:szCs w:val="22"/>
        </w:rPr>
      </w:pPr>
    </w:p>
    <w:p w14:paraId="2037371B" w14:textId="733A6121" w:rsidR="00B843C6" w:rsidRPr="00D76279" w:rsidRDefault="00B843C6" w:rsidP="00181044">
      <w:pPr>
        <w:pStyle w:val="Default"/>
        <w:rPr>
          <w:sz w:val="22"/>
          <w:szCs w:val="22"/>
        </w:rPr>
      </w:pPr>
      <w:r w:rsidRPr="00D76279">
        <w:rPr>
          <w:sz w:val="22"/>
          <w:szCs w:val="22"/>
        </w:rPr>
        <w:t>1</w:t>
      </w:r>
      <w:r w:rsidR="006C4808" w:rsidRPr="00D76279">
        <w:rPr>
          <w:sz w:val="22"/>
          <w:szCs w:val="22"/>
        </w:rPr>
        <w:t xml:space="preserve"> ml roztoku </w:t>
      </w:r>
      <w:r w:rsidRPr="00D76279">
        <w:rPr>
          <w:sz w:val="22"/>
          <w:szCs w:val="22"/>
        </w:rPr>
        <w:t xml:space="preserve">obsahuje 10 mg furosemidu. </w:t>
      </w:r>
    </w:p>
    <w:p w14:paraId="0149BEDC" w14:textId="0A7CCD9F" w:rsidR="00C8670A" w:rsidRPr="000B14DD" w:rsidRDefault="00B843C6" w:rsidP="00181044">
      <w:pPr>
        <w:pStyle w:val="Default"/>
        <w:rPr>
          <w:sz w:val="22"/>
          <w:szCs w:val="22"/>
        </w:rPr>
      </w:pPr>
      <w:r w:rsidRPr="000B14DD">
        <w:rPr>
          <w:sz w:val="22"/>
          <w:szCs w:val="22"/>
        </w:rPr>
        <w:t>Každá 2 ml ampulka obsahuje</w:t>
      </w:r>
      <w:r w:rsidR="006C4808" w:rsidRPr="000B14DD">
        <w:rPr>
          <w:sz w:val="22"/>
          <w:szCs w:val="22"/>
        </w:rPr>
        <w:t xml:space="preserve"> 20 mg furosemidu (</w:t>
      </w:r>
      <w:r w:rsidRPr="00416F87">
        <w:rPr>
          <w:sz w:val="22"/>
          <w:szCs w:val="22"/>
        </w:rPr>
        <w:t>20</w:t>
      </w:r>
      <w:r w:rsidR="006C4808" w:rsidRPr="00416F87">
        <w:rPr>
          <w:sz w:val="22"/>
          <w:szCs w:val="22"/>
        </w:rPr>
        <w:t xml:space="preserve"> mg/</w:t>
      </w:r>
      <w:r w:rsidRPr="000B14DD">
        <w:rPr>
          <w:sz w:val="22"/>
          <w:szCs w:val="22"/>
        </w:rPr>
        <w:t xml:space="preserve">2ml). </w:t>
      </w:r>
    </w:p>
    <w:p w14:paraId="052BAC4E" w14:textId="6F8FD8F4" w:rsidR="00C8670A" w:rsidRPr="000B14DD" w:rsidRDefault="00B843C6" w:rsidP="00181044">
      <w:pPr>
        <w:rPr>
          <w:sz w:val="22"/>
          <w:szCs w:val="22"/>
        </w:rPr>
      </w:pPr>
      <w:r w:rsidRPr="000B14DD">
        <w:rPr>
          <w:sz w:val="22"/>
          <w:szCs w:val="22"/>
        </w:rPr>
        <w:t>Každá 4 ml ampulka obsahuje</w:t>
      </w:r>
      <w:r w:rsidR="006C4808" w:rsidRPr="000B14DD">
        <w:rPr>
          <w:sz w:val="22"/>
          <w:szCs w:val="22"/>
        </w:rPr>
        <w:t xml:space="preserve"> 40 mg furosemidu (</w:t>
      </w:r>
      <w:r w:rsidRPr="000B14DD">
        <w:rPr>
          <w:sz w:val="22"/>
          <w:szCs w:val="22"/>
        </w:rPr>
        <w:t>40</w:t>
      </w:r>
      <w:r w:rsidR="006C4808" w:rsidRPr="000B14DD">
        <w:rPr>
          <w:sz w:val="22"/>
          <w:szCs w:val="22"/>
        </w:rPr>
        <w:t xml:space="preserve"> mg/</w:t>
      </w:r>
      <w:r w:rsidRPr="000B14DD">
        <w:rPr>
          <w:sz w:val="22"/>
          <w:szCs w:val="22"/>
        </w:rPr>
        <w:t>4ml</w:t>
      </w:r>
      <w:r w:rsidR="006C4808" w:rsidRPr="000B14DD">
        <w:rPr>
          <w:sz w:val="22"/>
          <w:szCs w:val="22"/>
        </w:rPr>
        <w:t>).</w:t>
      </w:r>
    </w:p>
    <w:p w14:paraId="35810EE4" w14:textId="5E9117A4" w:rsidR="00C8670A" w:rsidRPr="000B14DD" w:rsidRDefault="00B843C6" w:rsidP="00181044">
      <w:pPr>
        <w:rPr>
          <w:sz w:val="22"/>
          <w:szCs w:val="22"/>
        </w:rPr>
      </w:pPr>
      <w:r w:rsidRPr="000B14DD">
        <w:rPr>
          <w:sz w:val="22"/>
          <w:szCs w:val="22"/>
        </w:rPr>
        <w:t>Každá 5 ml ampulka obsahuje</w:t>
      </w:r>
      <w:r w:rsidR="006C4808" w:rsidRPr="000B14DD">
        <w:rPr>
          <w:sz w:val="22"/>
          <w:szCs w:val="22"/>
        </w:rPr>
        <w:t xml:space="preserve"> 50 mg furosemidu (</w:t>
      </w:r>
      <w:r w:rsidRPr="000B14DD">
        <w:rPr>
          <w:sz w:val="22"/>
          <w:szCs w:val="22"/>
        </w:rPr>
        <w:t>50</w:t>
      </w:r>
      <w:r w:rsidR="006C4808" w:rsidRPr="000B14DD">
        <w:rPr>
          <w:sz w:val="22"/>
          <w:szCs w:val="22"/>
        </w:rPr>
        <w:t xml:space="preserve"> mg</w:t>
      </w:r>
      <w:r w:rsidRPr="000B14DD">
        <w:rPr>
          <w:sz w:val="22"/>
          <w:szCs w:val="22"/>
        </w:rPr>
        <w:t>/5ml</w:t>
      </w:r>
      <w:r w:rsidR="006C4808" w:rsidRPr="000B14DD">
        <w:rPr>
          <w:sz w:val="22"/>
          <w:szCs w:val="22"/>
        </w:rPr>
        <w:t>).</w:t>
      </w:r>
    </w:p>
    <w:p w14:paraId="3325230F" w14:textId="77777777" w:rsidR="00C8670A" w:rsidRPr="00181044" w:rsidRDefault="00C8670A" w:rsidP="000007FF">
      <w:pPr>
        <w:rPr>
          <w:sz w:val="22"/>
          <w:szCs w:val="22"/>
          <w:highlight w:val="yellow"/>
        </w:rPr>
      </w:pPr>
    </w:p>
    <w:p w14:paraId="32BED54F" w14:textId="09037DF0" w:rsidR="00C8670A" w:rsidRPr="00181044" w:rsidRDefault="006C4808" w:rsidP="00181044">
      <w:pPr>
        <w:pStyle w:val="Nadpis4"/>
        <w:tabs>
          <w:tab w:val="left" w:pos="0"/>
        </w:tabs>
        <w:spacing w:before="0" w:after="0"/>
        <w:rPr>
          <w:szCs w:val="22"/>
        </w:rPr>
      </w:pPr>
      <w:r w:rsidRPr="00181044">
        <w:rPr>
          <w:szCs w:val="22"/>
        </w:rPr>
        <w:t>Pomocné látky</w:t>
      </w:r>
      <w:r w:rsidR="00B843C6" w:rsidRPr="00181044">
        <w:rPr>
          <w:szCs w:val="22"/>
        </w:rPr>
        <w:t>:</w:t>
      </w:r>
    </w:p>
    <w:p w14:paraId="5E0A0FE3" w14:textId="1CD6405F" w:rsidR="00B843C6" w:rsidRPr="00181044" w:rsidRDefault="00B843C6" w:rsidP="00181044">
      <w:pPr>
        <w:pStyle w:val="Nadpis4"/>
        <w:tabs>
          <w:tab w:val="left" w:pos="0"/>
        </w:tabs>
        <w:spacing w:before="0" w:after="0"/>
        <w:rPr>
          <w:bCs/>
          <w:szCs w:val="22"/>
        </w:rPr>
      </w:pPr>
      <w:r w:rsidRPr="00181044">
        <w:rPr>
          <w:szCs w:val="22"/>
        </w:rPr>
        <w:t xml:space="preserve">2 ml sterilného roztoku obsahuje </w:t>
      </w:r>
      <w:r w:rsidR="00DB3DB3" w:rsidRPr="00181044">
        <w:rPr>
          <w:szCs w:val="22"/>
        </w:rPr>
        <w:t xml:space="preserve">približne </w:t>
      </w:r>
      <w:r w:rsidRPr="00181044">
        <w:rPr>
          <w:szCs w:val="22"/>
        </w:rPr>
        <w:t xml:space="preserve">7 mg </w:t>
      </w:r>
      <w:r w:rsidR="00DB3DB3" w:rsidRPr="00181044">
        <w:rPr>
          <w:szCs w:val="22"/>
        </w:rPr>
        <w:t>sodíka.</w:t>
      </w:r>
    </w:p>
    <w:p w14:paraId="43106FA6" w14:textId="627032E8" w:rsidR="00B843C6" w:rsidRPr="00181044" w:rsidRDefault="00B843C6" w:rsidP="00181044">
      <w:pPr>
        <w:tabs>
          <w:tab w:val="left" w:pos="0"/>
        </w:tabs>
        <w:rPr>
          <w:sz w:val="22"/>
          <w:szCs w:val="22"/>
        </w:rPr>
      </w:pPr>
      <w:r w:rsidRPr="00181044">
        <w:rPr>
          <w:sz w:val="22"/>
          <w:szCs w:val="22"/>
        </w:rPr>
        <w:t>4 ml sterilného roztoku obsahuje</w:t>
      </w:r>
      <w:r w:rsidR="00DB3DB3" w:rsidRPr="00181044">
        <w:rPr>
          <w:sz w:val="22"/>
          <w:szCs w:val="22"/>
        </w:rPr>
        <w:t xml:space="preserve"> približne</w:t>
      </w:r>
      <w:r w:rsidRPr="00181044">
        <w:rPr>
          <w:sz w:val="22"/>
          <w:szCs w:val="22"/>
        </w:rPr>
        <w:t xml:space="preserve"> 15 mg</w:t>
      </w:r>
      <w:r w:rsidR="00DB3DB3" w:rsidRPr="00181044">
        <w:rPr>
          <w:sz w:val="22"/>
          <w:szCs w:val="22"/>
        </w:rPr>
        <w:t xml:space="preserve"> sodíka.</w:t>
      </w:r>
    </w:p>
    <w:p w14:paraId="68981AA1" w14:textId="391D4D14" w:rsidR="00B843C6" w:rsidRPr="00D76279" w:rsidRDefault="00B843C6" w:rsidP="00181044">
      <w:pPr>
        <w:tabs>
          <w:tab w:val="left" w:pos="0"/>
        </w:tabs>
        <w:rPr>
          <w:sz w:val="22"/>
          <w:szCs w:val="22"/>
        </w:rPr>
      </w:pPr>
      <w:r w:rsidRPr="00181044">
        <w:rPr>
          <w:sz w:val="22"/>
          <w:szCs w:val="22"/>
        </w:rPr>
        <w:t xml:space="preserve">5 ml sterilného roztoku obsahuje </w:t>
      </w:r>
      <w:r w:rsidR="00DB3DB3" w:rsidRPr="00181044">
        <w:rPr>
          <w:sz w:val="22"/>
          <w:szCs w:val="22"/>
        </w:rPr>
        <w:t xml:space="preserve">približne </w:t>
      </w:r>
      <w:r w:rsidRPr="00181044">
        <w:rPr>
          <w:sz w:val="22"/>
          <w:szCs w:val="22"/>
        </w:rPr>
        <w:t xml:space="preserve">19 mg </w:t>
      </w:r>
      <w:r w:rsidR="00DB3DB3" w:rsidRPr="00181044">
        <w:rPr>
          <w:sz w:val="22"/>
          <w:szCs w:val="22"/>
        </w:rPr>
        <w:t>sodíka.</w:t>
      </w:r>
    </w:p>
    <w:p w14:paraId="2E427ED6" w14:textId="77777777" w:rsidR="00B843C6" w:rsidRPr="00D76279" w:rsidRDefault="00B843C6" w:rsidP="00181044">
      <w:pPr>
        <w:tabs>
          <w:tab w:val="left" w:pos="0"/>
        </w:tabs>
        <w:rPr>
          <w:sz w:val="22"/>
          <w:szCs w:val="22"/>
        </w:rPr>
      </w:pPr>
      <w:r w:rsidRPr="00D76279">
        <w:rPr>
          <w:sz w:val="22"/>
          <w:szCs w:val="22"/>
        </w:rPr>
        <w:tab/>
      </w:r>
    </w:p>
    <w:p w14:paraId="0E91C9D3" w14:textId="77777777" w:rsidR="00C8670A" w:rsidRDefault="006C4808" w:rsidP="00181044">
      <w:pPr>
        <w:pStyle w:val="Nadpis4"/>
        <w:tabs>
          <w:tab w:val="left" w:pos="0"/>
        </w:tabs>
        <w:spacing w:before="0" w:after="0"/>
        <w:rPr>
          <w:szCs w:val="22"/>
        </w:rPr>
      </w:pPr>
      <w:r w:rsidRPr="00D76279">
        <w:rPr>
          <w:szCs w:val="22"/>
        </w:rPr>
        <w:t>Úplný zoznam pomocných látok, pozri časť 6.1.</w:t>
      </w:r>
    </w:p>
    <w:p w14:paraId="09F85B54" w14:textId="77777777" w:rsidR="00C8670A" w:rsidRDefault="00C8670A" w:rsidP="000007FF">
      <w:pPr>
        <w:pStyle w:val="Normlnysozarkami"/>
        <w:spacing w:after="0"/>
        <w:rPr>
          <w:szCs w:val="22"/>
        </w:rPr>
      </w:pPr>
    </w:p>
    <w:p w14:paraId="17D4576C" w14:textId="77777777" w:rsidR="00C8670A" w:rsidRDefault="00C8670A" w:rsidP="000007FF">
      <w:pPr>
        <w:rPr>
          <w:sz w:val="22"/>
          <w:szCs w:val="22"/>
        </w:rPr>
      </w:pPr>
    </w:p>
    <w:p w14:paraId="482A7CA9" w14:textId="3422C119" w:rsidR="00C8670A" w:rsidRDefault="00B843C6" w:rsidP="000007FF">
      <w:pPr>
        <w:pStyle w:val="Nadpis1"/>
        <w:spacing w:before="0" w:after="0"/>
        <w:rPr>
          <w:sz w:val="22"/>
          <w:szCs w:val="22"/>
        </w:rPr>
      </w:pPr>
      <w:r w:rsidRPr="00D76279">
        <w:rPr>
          <w:sz w:val="22"/>
          <w:szCs w:val="22"/>
        </w:rPr>
        <w:t>3</w:t>
      </w:r>
      <w:r w:rsidR="00DB3DB3">
        <w:rPr>
          <w:sz w:val="22"/>
          <w:szCs w:val="22"/>
        </w:rPr>
        <w:tab/>
      </w:r>
      <w:r w:rsidR="006C4808" w:rsidRPr="00D76279">
        <w:rPr>
          <w:sz w:val="22"/>
          <w:szCs w:val="22"/>
        </w:rPr>
        <w:t>LIEKOVÁ FORMA</w:t>
      </w:r>
    </w:p>
    <w:p w14:paraId="20FD429A" w14:textId="77777777" w:rsidR="00C8670A" w:rsidRDefault="00C8670A">
      <w:pPr>
        <w:pStyle w:val="Nadpis2"/>
        <w:spacing w:before="0" w:after="0"/>
        <w:ind w:left="720"/>
        <w:rPr>
          <w:sz w:val="22"/>
          <w:szCs w:val="22"/>
        </w:rPr>
      </w:pPr>
    </w:p>
    <w:p w14:paraId="2EF0D44E" w14:textId="2B8BBB0E" w:rsidR="00C8670A" w:rsidRDefault="00C8670A" w:rsidP="00181044">
      <w:pPr>
        <w:pStyle w:val="Nadpis2"/>
        <w:spacing w:before="0" w:after="0"/>
        <w:rPr>
          <w:sz w:val="22"/>
          <w:szCs w:val="22"/>
        </w:rPr>
      </w:pPr>
      <w:r w:rsidRPr="00C029F5">
        <w:rPr>
          <w:b w:val="0"/>
          <w:sz w:val="22"/>
          <w:szCs w:val="22"/>
        </w:rPr>
        <w:t>Injekčný</w:t>
      </w:r>
      <w:r w:rsidR="008B5439">
        <w:rPr>
          <w:b w:val="0"/>
          <w:sz w:val="22"/>
          <w:szCs w:val="22"/>
        </w:rPr>
        <w:t>/</w:t>
      </w:r>
      <w:r w:rsidR="00B843C6" w:rsidRPr="00D76279">
        <w:rPr>
          <w:b w:val="0"/>
          <w:sz w:val="22"/>
          <w:szCs w:val="22"/>
        </w:rPr>
        <w:t xml:space="preserve">infúzny </w:t>
      </w:r>
      <w:r w:rsidRPr="00C029F5">
        <w:rPr>
          <w:b w:val="0"/>
          <w:sz w:val="22"/>
          <w:szCs w:val="22"/>
        </w:rPr>
        <w:t>roztok</w:t>
      </w:r>
      <w:r w:rsidR="00B843C6" w:rsidRPr="00D76279">
        <w:rPr>
          <w:b w:val="0"/>
          <w:sz w:val="22"/>
          <w:szCs w:val="22"/>
        </w:rPr>
        <w:t>.</w:t>
      </w:r>
    </w:p>
    <w:p w14:paraId="680D7D50" w14:textId="2A93D81C" w:rsidR="00C8670A" w:rsidRPr="00C029F5" w:rsidRDefault="006C4808" w:rsidP="00181044">
      <w:pPr>
        <w:rPr>
          <w:b/>
          <w:sz w:val="22"/>
          <w:szCs w:val="22"/>
        </w:rPr>
      </w:pPr>
      <w:r w:rsidRPr="00D76279">
        <w:rPr>
          <w:sz w:val="22"/>
          <w:szCs w:val="22"/>
        </w:rPr>
        <w:t>Číry</w:t>
      </w:r>
      <w:r w:rsidR="00B843C6" w:rsidRPr="00D76279">
        <w:rPr>
          <w:sz w:val="22"/>
          <w:szCs w:val="22"/>
        </w:rPr>
        <w:t>,</w:t>
      </w:r>
      <w:r w:rsidRPr="00D76279">
        <w:rPr>
          <w:sz w:val="22"/>
          <w:szCs w:val="22"/>
        </w:rPr>
        <w:t xml:space="preserve"> bezfarebný až takmer bezfarebný roztok (pH: 8,0 </w:t>
      </w:r>
      <w:r w:rsidR="00B843C6" w:rsidRPr="00D76279">
        <w:rPr>
          <w:sz w:val="22"/>
          <w:szCs w:val="22"/>
          <w:cs/>
        </w:rPr>
        <w:t>–</w:t>
      </w:r>
      <w:r w:rsidRPr="00D76279">
        <w:rPr>
          <w:sz w:val="22"/>
          <w:szCs w:val="22"/>
          <w:cs/>
        </w:rPr>
        <w:t xml:space="preserve"> </w:t>
      </w:r>
      <w:r w:rsidRPr="00D76279">
        <w:rPr>
          <w:sz w:val="22"/>
          <w:szCs w:val="22"/>
        </w:rPr>
        <w:t>9,3).</w:t>
      </w:r>
    </w:p>
    <w:p w14:paraId="688D631E" w14:textId="77777777" w:rsidR="00C8670A" w:rsidRDefault="00C8670A" w:rsidP="00C029F5">
      <w:pPr>
        <w:pStyle w:val="Normlnysozarkami"/>
        <w:spacing w:after="0"/>
        <w:rPr>
          <w:szCs w:val="22"/>
        </w:rPr>
      </w:pPr>
    </w:p>
    <w:p w14:paraId="132055CF" w14:textId="77777777" w:rsidR="00C8670A" w:rsidRDefault="00C8670A" w:rsidP="00C029F5">
      <w:pPr>
        <w:rPr>
          <w:sz w:val="22"/>
          <w:szCs w:val="22"/>
        </w:rPr>
      </w:pPr>
    </w:p>
    <w:p w14:paraId="5A88ACDB" w14:textId="04D683B7" w:rsidR="00C8670A" w:rsidRDefault="00B843C6" w:rsidP="00C029F5">
      <w:pPr>
        <w:pStyle w:val="Nadpis1"/>
        <w:spacing w:before="0" w:after="0"/>
        <w:rPr>
          <w:sz w:val="22"/>
          <w:szCs w:val="22"/>
        </w:rPr>
      </w:pPr>
      <w:r w:rsidRPr="00D76279">
        <w:rPr>
          <w:sz w:val="22"/>
          <w:szCs w:val="22"/>
        </w:rPr>
        <w:t>4</w:t>
      </w:r>
      <w:r w:rsidR="00DB3DB3">
        <w:rPr>
          <w:sz w:val="22"/>
          <w:szCs w:val="22"/>
        </w:rPr>
        <w:tab/>
      </w:r>
      <w:r w:rsidR="006C4808" w:rsidRPr="00D76279">
        <w:rPr>
          <w:sz w:val="22"/>
          <w:szCs w:val="22"/>
        </w:rPr>
        <w:t>KLINICKÉ ÚDAJE</w:t>
      </w:r>
    </w:p>
    <w:p w14:paraId="485C3269" w14:textId="77777777" w:rsidR="00C8670A" w:rsidRPr="00C029F5" w:rsidRDefault="00C8670A" w:rsidP="00C029F5">
      <w:pPr>
        <w:pStyle w:val="Normlnysozarkami"/>
        <w:spacing w:after="0"/>
        <w:rPr>
          <w:szCs w:val="22"/>
        </w:rPr>
      </w:pPr>
    </w:p>
    <w:p w14:paraId="1406D2B8" w14:textId="3487B948" w:rsidR="00C8670A" w:rsidRDefault="006C4808" w:rsidP="00C029F5">
      <w:pPr>
        <w:pStyle w:val="Nadpis2"/>
        <w:spacing w:before="0" w:after="0"/>
        <w:rPr>
          <w:sz w:val="22"/>
          <w:szCs w:val="22"/>
        </w:rPr>
      </w:pPr>
      <w:r w:rsidRPr="00D76279">
        <w:rPr>
          <w:sz w:val="22"/>
          <w:szCs w:val="22"/>
        </w:rPr>
        <w:t>4.1</w:t>
      </w:r>
      <w:r w:rsidR="00280242" w:rsidRPr="00D76279">
        <w:rPr>
          <w:b w:val="0"/>
          <w:sz w:val="22"/>
          <w:szCs w:val="22"/>
        </w:rPr>
        <w:tab/>
      </w:r>
      <w:r w:rsidRPr="00D76279">
        <w:rPr>
          <w:sz w:val="22"/>
          <w:szCs w:val="22"/>
        </w:rPr>
        <w:t>Terapeutické indikácie</w:t>
      </w:r>
    </w:p>
    <w:p w14:paraId="7AF298C3" w14:textId="77777777" w:rsidR="00F920D0" w:rsidRDefault="00F920D0" w:rsidP="00181044">
      <w:pPr>
        <w:pStyle w:val="Default"/>
        <w:jc w:val="both"/>
        <w:rPr>
          <w:sz w:val="22"/>
          <w:szCs w:val="22"/>
        </w:rPr>
      </w:pPr>
    </w:p>
    <w:p w14:paraId="47A7C1AE" w14:textId="45518F6C" w:rsidR="00C8670A" w:rsidRDefault="00B843C6" w:rsidP="0029131D">
      <w:pPr>
        <w:pStyle w:val="Default"/>
        <w:rPr>
          <w:sz w:val="22"/>
          <w:szCs w:val="22"/>
        </w:rPr>
      </w:pPr>
      <w:r w:rsidRPr="00D76279">
        <w:rPr>
          <w:sz w:val="22"/>
          <w:szCs w:val="22"/>
        </w:rPr>
        <w:t>Keď sa vyžaduje rýchla</w:t>
      </w:r>
      <w:r w:rsidR="006C4808" w:rsidRPr="00D76279">
        <w:rPr>
          <w:sz w:val="22"/>
          <w:szCs w:val="22"/>
        </w:rPr>
        <w:t xml:space="preserve"> diuréza.</w:t>
      </w:r>
      <w:r w:rsidRPr="00D76279">
        <w:rPr>
          <w:sz w:val="22"/>
          <w:szCs w:val="22"/>
        </w:rPr>
        <w:t xml:space="preserve"> Použite ho v núdzových prípadoch alebo keď je </w:t>
      </w:r>
      <w:r w:rsidR="006C4808" w:rsidRPr="00D76279">
        <w:rPr>
          <w:sz w:val="22"/>
          <w:szCs w:val="22"/>
        </w:rPr>
        <w:t xml:space="preserve">perorálna liečba </w:t>
      </w:r>
      <w:r w:rsidRPr="00D76279">
        <w:rPr>
          <w:sz w:val="22"/>
          <w:szCs w:val="22"/>
        </w:rPr>
        <w:t>vylúčená</w:t>
      </w:r>
      <w:r w:rsidR="006C4808" w:rsidRPr="00D76279">
        <w:rPr>
          <w:sz w:val="22"/>
          <w:szCs w:val="22"/>
        </w:rPr>
        <w:t xml:space="preserve">. Indikácie zahŕňajú </w:t>
      </w:r>
      <w:r w:rsidRPr="00D76279">
        <w:rPr>
          <w:sz w:val="22"/>
          <w:szCs w:val="22"/>
        </w:rPr>
        <w:t>nasledovné:</w:t>
      </w:r>
      <w:r w:rsidR="006C4808" w:rsidRPr="00D76279">
        <w:rPr>
          <w:sz w:val="22"/>
          <w:szCs w:val="22"/>
        </w:rPr>
        <w:t xml:space="preserve"> </w:t>
      </w:r>
    </w:p>
    <w:p w14:paraId="3B0B8FDB" w14:textId="0D0DCCFE" w:rsidR="00B843C6" w:rsidRPr="00F920D0" w:rsidRDefault="00B843C6" w:rsidP="00181044">
      <w:pPr>
        <w:pStyle w:val="Default"/>
        <w:numPr>
          <w:ilvl w:val="0"/>
          <w:numId w:val="16"/>
        </w:numPr>
        <w:tabs>
          <w:tab w:val="left" w:pos="0"/>
        </w:tabs>
        <w:jc w:val="both"/>
        <w:rPr>
          <w:sz w:val="22"/>
          <w:szCs w:val="22"/>
        </w:rPr>
      </w:pPr>
      <w:r w:rsidRPr="0029131D">
        <w:rPr>
          <w:sz w:val="22"/>
          <w:szCs w:val="22"/>
        </w:rPr>
        <w:t>- edém a/alebo ascites spôsoben</w:t>
      </w:r>
      <w:r w:rsidR="00A41B47" w:rsidRPr="0029131D">
        <w:rPr>
          <w:sz w:val="22"/>
          <w:szCs w:val="22"/>
        </w:rPr>
        <w:t>ý</w:t>
      </w:r>
      <w:r w:rsidRPr="0029131D">
        <w:rPr>
          <w:sz w:val="22"/>
          <w:szCs w:val="22"/>
        </w:rPr>
        <w:t xml:space="preserve"> ochoreniami srdca alebo pečene, </w:t>
      </w:r>
    </w:p>
    <w:p w14:paraId="459A8B5E" w14:textId="77777777" w:rsidR="00B843C6" w:rsidRPr="00F920D0" w:rsidRDefault="00B843C6" w:rsidP="00181044">
      <w:pPr>
        <w:pStyle w:val="Default"/>
        <w:numPr>
          <w:ilvl w:val="0"/>
          <w:numId w:val="16"/>
        </w:numPr>
        <w:tabs>
          <w:tab w:val="left" w:pos="0"/>
        </w:tabs>
        <w:rPr>
          <w:sz w:val="22"/>
          <w:szCs w:val="22"/>
        </w:rPr>
      </w:pPr>
      <w:r w:rsidRPr="0029131D">
        <w:rPr>
          <w:sz w:val="22"/>
          <w:szCs w:val="22"/>
        </w:rPr>
        <w:t xml:space="preserve">- edém spôsobený ochorením obličiek (v prípade nefrotického syndrómu je nevyhnutná liečba základného ochorenia), </w:t>
      </w:r>
    </w:p>
    <w:p w14:paraId="54E16193" w14:textId="77777777" w:rsidR="00B843C6" w:rsidRPr="00F920D0" w:rsidRDefault="00B843C6" w:rsidP="00181044">
      <w:pPr>
        <w:pStyle w:val="Default"/>
        <w:numPr>
          <w:ilvl w:val="0"/>
          <w:numId w:val="16"/>
        </w:numPr>
        <w:tabs>
          <w:tab w:val="left" w:pos="0"/>
        </w:tabs>
        <w:jc w:val="both"/>
        <w:rPr>
          <w:sz w:val="22"/>
          <w:szCs w:val="22"/>
        </w:rPr>
      </w:pPr>
      <w:r w:rsidRPr="0029131D">
        <w:rPr>
          <w:sz w:val="22"/>
          <w:szCs w:val="22"/>
        </w:rPr>
        <w:t xml:space="preserve">- pľúcny edém (napr. v prípade akútneho zlyhania srdca), </w:t>
      </w:r>
    </w:p>
    <w:p w14:paraId="656928BB" w14:textId="657DDBED" w:rsidR="00B843C6" w:rsidRPr="0029131D" w:rsidRDefault="00B843C6" w:rsidP="00181044">
      <w:pPr>
        <w:pStyle w:val="Default"/>
        <w:numPr>
          <w:ilvl w:val="0"/>
          <w:numId w:val="16"/>
        </w:numPr>
        <w:tabs>
          <w:tab w:val="left" w:pos="0"/>
        </w:tabs>
        <w:jc w:val="both"/>
        <w:rPr>
          <w:iCs/>
          <w:sz w:val="22"/>
          <w:szCs w:val="22"/>
        </w:rPr>
      </w:pPr>
      <w:r w:rsidRPr="0029131D">
        <w:rPr>
          <w:sz w:val="22"/>
          <w:szCs w:val="22"/>
        </w:rPr>
        <w:t>- hypertenzná kríza (okrem ďalších terapeutických opatrení).</w:t>
      </w:r>
    </w:p>
    <w:p w14:paraId="0E4C7018" w14:textId="77777777" w:rsidR="00C8670A" w:rsidRDefault="00C8670A" w:rsidP="00C029F5">
      <w:pPr>
        <w:rPr>
          <w:sz w:val="22"/>
          <w:szCs w:val="22"/>
        </w:rPr>
      </w:pPr>
    </w:p>
    <w:p w14:paraId="2574FA40" w14:textId="286B0105" w:rsidR="00C8670A" w:rsidRDefault="006C4808" w:rsidP="00C029F5">
      <w:pPr>
        <w:pStyle w:val="Nadpis2"/>
        <w:spacing w:before="0" w:after="0"/>
        <w:rPr>
          <w:sz w:val="22"/>
          <w:szCs w:val="22"/>
        </w:rPr>
      </w:pPr>
      <w:r w:rsidRPr="00D76279">
        <w:rPr>
          <w:sz w:val="22"/>
          <w:szCs w:val="22"/>
        </w:rPr>
        <w:t>4.2</w:t>
      </w:r>
      <w:r w:rsidR="00761311" w:rsidRPr="00D76279">
        <w:rPr>
          <w:b w:val="0"/>
          <w:sz w:val="22"/>
          <w:szCs w:val="22"/>
        </w:rPr>
        <w:tab/>
      </w:r>
      <w:r w:rsidRPr="00D76279">
        <w:rPr>
          <w:sz w:val="22"/>
          <w:szCs w:val="22"/>
        </w:rPr>
        <w:t>Dávkovanie a spôsob podávania</w:t>
      </w:r>
    </w:p>
    <w:p w14:paraId="13B11F34" w14:textId="77777777" w:rsidR="00C8670A" w:rsidRPr="00C029F5" w:rsidRDefault="00C8670A" w:rsidP="00C029F5">
      <w:pPr>
        <w:pStyle w:val="Normlnysozarkami"/>
        <w:spacing w:after="0"/>
        <w:rPr>
          <w:szCs w:val="22"/>
        </w:rPr>
      </w:pPr>
    </w:p>
    <w:p w14:paraId="01C4BB83" w14:textId="77777777" w:rsidR="00B843C6" w:rsidRPr="00D76279" w:rsidRDefault="00B843C6" w:rsidP="00181044">
      <w:pPr>
        <w:pStyle w:val="Default"/>
        <w:rPr>
          <w:sz w:val="22"/>
          <w:szCs w:val="22"/>
        </w:rPr>
      </w:pPr>
      <w:r w:rsidRPr="00D76279">
        <w:rPr>
          <w:sz w:val="22"/>
          <w:szCs w:val="22"/>
        </w:rPr>
        <w:t xml:space="preserve">Spôsob podávania: intravenózne alebo (vo výnimočných prípadoch) intramuskulárne </w:t>
      </w:r>
    </w:p>
    <w:p w14:paraId="735A3920" w14:textId="77777777" w:rsidR="00B843C6" w:rsidRPr="00D76279" w:rsidRDefault="00B843C6" w:rsidP="00181044">
      <w:pPr>
        <w:pStyle w:val="Default"/>
        <w:rPr>
          <w:sz w:val="22"/>
          <w:szCs w:val="22"/>
        </w:rPr>
      </w:pPr>
    </w:p>
    <w:p w14:paraId="674E64BB" w14:textId="77777777" w:rsidR="00B843C6" w:rsidRPr="00D76279" w:rsidRDefault="00B843C6" w:rsidP="00181044">
      <w:pPr>
        <w:pStyle w:val="Default"/>
        <w:rPr>
          <w:sz w:val="22"/>
          <w:szCs w:val="22"/>
        </w:rPr>
      </w:pPr>
      <w:r w:rsidRPr="00D76279">
        <w:rPr>
          <w:sz w:val="22"/>
          <w:szCs w:val="22"/>
          <w:u w:val="single"/>
        </w:rPr>
        <w:t>Všeobecné:</w:t>
      </w:r>
      <w:r w:rsidRPr="00D76279">
        <w:rPr>
          <w:sz w:val="22"/>
          <w:szCs w:val="22"/>
        </w:rPr>
        <w:t xml:space="preserve"> </w:t>
      </w:r>
    </w:p>
    <w:p w14:paraId="457B3E43" w14:textId="77777777" w:rsidR="00B843C6" w:rsidRPr="00D76279" w:rsidRDefault="00B843C6" w:rsidP="00181044">
      <w:pPr>
        <w:pStyle w:val="Default"/>
        <w:jc w:val="both"/>
        <w:rPr>
          <w:sz w:val="22"/>
          <w:szCs w:val="22"/>
        </w:rPr>
      </w:pPr>
      <w:r w:rsidRPr="00D76279">
        <w:rPr>
          <w:sz w:val="22"/>
          <w:szCs w:val="22"/>
        </w:rPr>
        <w:t xml:space="preserve">Parenterálne podanie furosemidu je indikované v prípadoch, keď orálne podávanie nie je možné alebo nie je účinné (napr. v prípade zníženej črevnej absorpcie) alebo keď sa vyžaduje rýchly účinok. Aby sa dosiahla optimálna účinnosť a aby sa potlačila protiregulácia, zvyčajne sa uprednostňuje kontinuálne infúzia furosemidu pred opakovanými bolusovými injekciami. </w:t>
      </w:r>
    </w:p>
    <w:p w14:paraId="2410727F" w14:textId="77777777" w:rsidR="00B843C6" w:rsidRPr="00D76279" w:rsidRDefault="00B843C6" w:rsidP="00181044">
      <w:pPr>
        <w:pStyle w:val="Default"/>
        <w:jc w:val="both"/>
        <w:rPr>
          <w:sz w:val="22"/>
          <w:szCs w:val="22"/>
        </w:rPr>
      </w:pPr>
    </w:p>
    <w:p w14:paraId="26054A08" w14:textId="5933A621" w:rsidR="00B843C6" w:rsidRPr="00D76279" w:rsidRDefault="00B843C6" w:rsidP="00181044">
      <w:pPr>
        <w:pStyle w:val="Default"/>
        <w:jc w:val="both"/>
        <w:rPr>
          <w:sz w:val="22"/>
          <w:szCs w:val="22"/>
        </w:rPr>
      </w:pPr>
      <w:r w:rsidRPr="00081BF4">
        <w:rPr>
          <w:sz w:val="22"/>
          <w:szCs w:val="22"/>
        </w:rPr>
        <w:t>Je potrebné venovať osobitnú pozornosť súčasným klinickým postupom</w:t>
      </w:r>
      <w:r w:rsidR="00733056" w:rsidRPr="00181044">
        <w:rPr>
          <w:sz w:val="22"/>
          <w:szCs w:val="22"/>
        </w:rPr>
        <w:t xml:space="preserve"> </w:t>
      </w:r>
      <w:r w:rsidRPr="00081BF4">
        <w:rPr>
          <w:sz w:val="22"/>
          <w:szCs w:val="22"/>
        </w:rPr>
        <w:t xml:space="preserve">, </w:t>
      </w:r>
      <w:r w:rsidR="00733056" w:rsidRPr="00181044">
        <w:rPr>
          <w:sz w:val="22"/>
          <w:szCs w:val="22"/>
        </w:rPr>
        <w:t>ak</w:t>
      </w:r>
      <w:r w:rsidRPr="00081BF4">
        <w:rPr>
          <w:sz w:val="22"/>
          <w:szCs w:val="22"/>
        </w:rPr>
        <w:t xml:space="preserve"> sú k dispozícii.</w:t>
      </w:r>
    </w:p>
    <w:p w14:paraId="33F5CADB" w14:textId="77777777" w:rsidR="00B843C6" w:rsidRPr="00D76279" w:rsidRDefault="00B843C6" w:rsidP="000007FF">
      <w:pPr>
        <w:pStyle w:val="Default"/>
        <w:jc w:val="both"/>
        <w:rPr>
          <w:sz w:val="22"/>
          <w:szCs w:val="22"/>
        </w:rPr>
      </w:pPr>
    </w:p>
    <w:p w14:paraId="77740501" w14:textId="77777777" w:rsidR="00B843C6" w:rsidRPr="00D76279" w:rsidRDefault="00B843C6" w:rsidP="00181044">
      <w:pPr>
        <w:pStyle w:val="Default"/>
        <w:jc w:val="both"/>
        <w:rPr>
          <w:sz w:val="22"/>
          <w:szCs w:val="22"/>
        </w:rPr>
      </w:pPr>
      <w:r w:rsidRPr="00D76279">
        <w:rPr>
          <w:sz w:val="22"/>
          <w:szCs w:val="22"/>
        </w:rPr>
        <w:t xml:space="preserve">Tam, kde nie je možné uskutočniť kontinuálnu infúziu furosemidu pri následnej liečbe po jednej alebo viacerých akútnych bolusových dávkach, uprednostňuje sa následný režim s nízkymi dávkami </w:t>
      </w:r>
      <w:r w:rsidRPr="00D76279">
        <w:rPr>
          <w:sz w:val="22"/>
          <w:szCs w:val="22"/>
        </w:rPr>
        <w:lastRenderedPageBreak/>
        <w:t xml:space="preserve">podávanými v krátkych intervaloch (približne 4 hodiny) pred režimom s vyššími bolusovými dávkami podávanými v dlhších intervaloch. </w:t>
      </w:r>
    </w:p>
    <w:p w14:paraId="38F0E236" w14:textId="77777777" w:rsidR="00B843C6" w:rsidRPr="00D76279" w:rsidRDefault="00B843C6" w:rsidP="00181044">
      <w:pPr>
        <w:pStyle w:val="Zkladntext2"/>
        <w:spacing w:after="0" w:line="240" w:lineRule="auto"/>
        <w:jc w:val="both"/>
        <w:rPr>
          <w:szCs w:val="22"/>
        </w:rPr>
      </w:pPr>
      <w:r w:rsidRPr="00D76279">
        <w:rPr>
          <w:szCs w:val="22"/>
        </w:rPr>
        <w:t>Liečba by mala byť individuálna podľa reakcie pacienta, aby sa získala maximálna terapeutická reakcia a aby sa mohla určiť minimálna dávka potrebná na udržanie tejto reakcie.</w:t>
      </w:r>
    </w:p>
    <w:p w14:paraId="0C230C5C" w14:textId="77777777" w:rsidR="00B843C6" w:rsidRPr="00D76279" w:rsidRDefault="00B843C6" w:rsidP="00181044">
      <w:pPr>
        <w:pStyle w:val="Default"/>
        <w:jc w:val="both"/>
        <w:rPr>
          <w:sz w:val="22"/>
          <w:szCs w:val="22"/>
        </w:rPr>
      </w:pPr>
    </w:p>
    <w:p w14:paraId="379DD7A0" w14:textId="77777777" w:rsidR="00B843C6" w:rsidRPr="00D76279" w:rsidRDefault="00B843C6" w:rsidP="00181044">
      <w:pPr>
        <w:pStyle w:val="Default"/>
        <w:jc w:val="both"/>
        <w:rPr>
          <w:sz w:val="22"/>
          <w:szCs w:val="22"/>
        </w:rPr>
      </w:pPr>
      <w:r w:rsidRPr="00D76279">
        <w:rPr>
          <w:sz w:val="22"/>
          <w:szCs w:val="22"/>
        </w:rPr>
        <w:t xml:space="preserve">Intravenózny furosemid sa musí podať pomaly vo forme injekcie alebo infúzie; rýchlosť 4 mg za minútu sa nesmie prekročiť a nikdy sa nesmie podávať spolu s inými liekmi v jednej injekčnej striekačke. </w:t>
      </w:r>
    </w:p>
    <w:p w14:paraId="3D65E36D" w14:textId="77777777" w:rsidR="00B843C6" w:rsidRPr="00D76279" w:rsidRDefault="00B843C6" w:rsidP="00181044">
      <w:pPr>
        <w:pStyle w:val="Default"/>
        <w:jc w:val="both"/>
        <w:rPr>
          <w:sz w:val="22"/>
          <w:szCs w:val="22"/>
        </w:rPr>
      </w:pPr>
    </w:p>
    <w:p w14:paraId="08D29F52" w14:textId="77777777" w:rsidR="00B843C6" w:rsidRPr="00D76279" w:rsidRDefault="00B843C6" w:rsidP="00181044">
      <w:pPr>
        <w:pStyle w:val="Default"/>
        <w:jc w:val="both"/>
        <w:rPr>
          <w:sz w:val="22"/>
          <w:szCs w:val="22"/>
        </w:rPr>
      </w:pPr>
      <w:r w:rsidRPr="00D76279">
        <w:rPr>
          <w:sz w:val="22"/>
          <w:szCs w:val="22"/>
        </w:rPr>
        <w:t xml:space="preserve">Vo všeobecnosti sa má furosemid podávať intravenózne. Intramuskulárne podanie je potrebné obmedziť na výnimočné prípady, kde nie je možné perorálne ani intravenózne podanie. Je potrebné poznamenať, že intramuskulárna injekcia nie je vhodná pri liečbe akútnych stavov, akým je pľúcny edém. </w:t>
      </w:r>
    </w:p>
    <w:p w14:paraId="1336D4A6" w14:textId="77777777" w:rsidR="00B843C6" w:rsidRPr="00D76279" w:rsidRDefault="00B843C6" w:rsidP="00181044">
      <w:pPr>
        <w:pStyle w:val="Default"/>
        <w:jc w:val="both"/>
        <w:rPr>
          <w:sz w:val="22"/>
          <w:szCs w:val="22"/>
        </w:rPr>
      </w:pPr>
    </w:p>
    <w:p w14:paraId="39889F33" w14:textId="77777777" w:rsidR="00B843C6" w:rsidRPr="00D76279" w:rsidRDefault="00B843C6" w:rsidP="00181044">
      <w:pPr>
        <w:pStyle w:val="Default"/>
        <w:jc w:val="both"/>
        <w:rPr>
          <w:sz w:val="22"/>
          <w:szCs w:val="22"/>
        </w:rPr>
      </w:pPr>
      <w:r w:rsidRPr="00D76279">
        <w:rPr>
          <w:sz w:val="22"/>
          <w:szCs w:val="22"/>
        </w:rPr>
        <w:t>Dospelí:</w:t>
      </w:r>
    </w:p>
    <w:p w14:paraId="49503886" w14:textId="2D793494" w:rsidR="00B843C6" w:rsidRPr="00D76279" w:rsidRDefault="00B843C6" w:rsidP="00181044">
      <w:pPr>
        <w:pStyle w:val="Default"/>
        <w:jc w:val="both"/>
        <w:rPr>
          <w:sz w:val="22"/>
          <w:szCs w:val="22"/>
        </w:rPr>
      </w:pPr>
      <w:r w:rsidRPr="00D76279">
        <w:rPr>
          <w:sz w:val="22"/>
          <w:szCs w:val="22"/>
        </w:rPr>
        <w:t>Pri neprítomnosti príznakov, ktoré si vyžadujú zníženú dávku (pozri nižšie) odporúčaná počiatočná dávka pre dospelých a dospievajúc</w:t>
      </w:r>
      <w:r w:rsidR="00346459">
        <w:rPr>
          <w:sz w:val="22"/>
          <w:szCs w:val="22"/>
        </w:rPr>
        <w:t xml:space="preserve">ich od </w:t>
      </w:r>
      <w:r w:rsidRPr="00D76279">
        <w:rPr>
          <w:sz w:val="22"/>
          <w:szCs w:val="22"/>
        </w:rPr>
        <w:t xml:space="preserve">15 rokov je 20 až 40 mg furosemidu podaného intravenózne (vo výnimočných prípadoch intramuskulárne); maximálna dávka sa líši v závislosti od individuálnej reakcie. </w:t>
      </w:r>
    </w:p>
    <w:p w14:paraId="25955415" w14:textId="77777777" w:rsidR="00B843C6" w:rsidRPr="00D76279" w:rsidRDefault="00B843C6" w:rsidP="00181044">
      <w:pPr>
        <w:pStyle w:val="Default"/>
        <w:jc w:val="both"/>
        <w:rPr>
          <w:sz w:val="22"/>
          <w:szCs w:val="22"/>
        </w:rPr>
      </w:pPr>
    </w:p>
    <w:p w14:paraId="6CC77694" w14:textId="553F5894" w:rsidR="00B843C6" w:rsidRPr="00D76279" w:rsidRDefault="00B843C6" w:rsidP="00181044">
      <w:pPr>
        <w:pStyle w:val="Default"/>
        <w:jc w:val="both"/>
        <w:rPr>
          <w:sz w:val="22"/>
          <w:szCs w:val="22"/>
        </w:rPr>
      </w:pPr>
      <w:r w:rsidRPr="00D76279">
        <w:rPr>
          <w:sz w:val="22"/>
          <w:szCs w:val="22"/>
        </w:rPr>
        <w:t>Ak sa vyžaduj</w:t>
      </w:r>
      <w:r w:rsidR="00346459">
        <w:rPr>
          <w:sz w:val="22"/>
          <w:szCs w:val="22"/>
        </w:rPr>
        <w:t>ú</w:t>
      </w:r>
      <w:r w:rsidRPr="00D76279">
        <w:rPr>
          <w:sz w:val="22"/>
          <w:szCs w:val="22"/>
        </w:rPr>
        <w:t xml:space="preserve"> vyššie dávk</w:t>
      </w:r>
      <w:r w:rsidR="00346459">
        <w:rPr>
          <w:sz w:val="22"/>
          <w:szCs w:val="22"/>
        </w:rPr>
        <w:t>y</w:t>
      </w:r>
      <w:r w:rsidRPr="00D76279">
        <w:rPr>
          <w:sz w:val="22"/>
          <w:szCs w:val="22"/>
        </w:rPr>
        <w:t>, m</w:t>
      </w:r>
      <w:r w:rsidR="00346459">
        <w:rPr>
          <w:sz w:val="22"/>
          <w:szCs w:val="22"/>
        </w:rPr>
        <w:t>aj</w:t>
      </w:r>
      <w:r w:rsidR="00B07BB1">
        <w:rPr>
          <w:sz w:val="22"/>
          <w:szCs w:val="22"/>
        </w:rPr>
        <w:t xml:space="preserve">ú </w:t>
      </w:r>
      <w:r w:rsidR="00C51036">
        <w:rPr>
          <w:sz w:val="22"/>
          <w:szCs w:val="22"/>
        </w:rPr>
        <w:t xml:space="preserve">sa </w:t>
      </w:r>
      <w:r w:rsidRPr="00D76279">
        <w:rPr>
          <w:sz w:val="22"/>
          <w:szCs w:val="22"/>
        </w:rPr>
        <w:t>podáva</w:t>
      </w:r>
      <w:r w:rsidR="00C51036">
        <w:rPr>
          <w:sz w:val="22"/>
          <w:szCs w:val="22"/>
        </w:rPr>
        <w:t>ť</w:t>
      </w:r>
      <w:r w:rsidRPr="00D76279">
        <w:rPr>
          <w:sz w:val="22"/>
          <w:szCs w:val="22"/>
        </w:rPr>
        <w:t xml:space="preserve"> v prírastkoch po 20 mg a ne</w:t>
      </w:r>
      <w:r w:rsidR="00346459">
        <w:rPr>
          <w:sz w:val="22"/>
          <w:szCs w:val="22"/>
        </w:rPr>
        <w:t>m</w:t>
      </w:r>
      <w:r w:rsidR="00B07BB1">
        <w:rPr>
          <w:sz w:val="22"/>
          <w:szCs w:val="22"/>
        </w:rPr>
        <w:t>ajú</w:t>
      </w:r>
      <w:r w:rsidRPr="00D76279">
        <w:rPr>
          <w:sz w:val="22"/>
          <w:szCs w:val="22"/>
        </w:rPr>
        <w:t xml:space="preserve"> sa podávať častejšie ako každé dve hodiny. </w:t>
      </w:r>
    </w:p>
    <w:p w14:paraId="3B1CFA83" w14:textId="77777777" w:rsidR="00B843C6" w:rsidRPr="00D76279" w:rsidRDefault="00B843C6" w:rsidP="00181044">
      <w:pPr>
        <w:pStyle w:val="Default"/>
        <w:jc w:val="both"/>
        <w:rPr>
          <w:sz w:val="22"/>
          <w:szCs w:val="22"/>
        </w:rPr>
      </w:pPr>
      <w:r w:rsidRPr="00D76279">
        <w:rPr>
          <w:sz w:val="22"/>
          <w:szCs w:val="22"/>
        </w:rPr>
        <w:t>Pre dospelých je odporúčaná maximálna denná dávka pri podaní furosemidu 1</w:t>
      </w:r>
      <w:r w:rsidR="00710889" w:rsidRPr="00D76279">
        <w:rPr>
          <w:sz w:val="22"/>
          <w:szCs w:val="22"/>
        </w:rPr>
        <w:t xml:space="preserve"> </w:t>
      </w:r>
      <w:r w:rsidRPr="00D76279">
        <w:rPr>
          <w:sz w:val="22"/>
          <w:szCs w:val="22"/>
        </w:rPr>
        <w:t xml:space="preserve">500 mg. </w:t>
      </w:r>
    </w:p>
    <w:p w14:paraId="61C3390C" w14:textId="77777777" w:rsidR="00B843C6" w:rsidRPr="00D76279" w:rsidRDefault="00B843C6" w:rsidP="00181044">
      <w:pPr>
        <w:pStyle w:val="Default"/>
        <w:jc w:val="both"/>
        <w:rPr>
          <w:sz w:val="22"/>
          <w:szCs w:val="22"/>
        </w:rPr>
      </w:pPr>
    </w:p>
    <w:p w14:paraId="197069D0" w14:textId="77777777" w:rsidR="00B843C6" w:rsidRPr="00D76279" w:rsidRDefault="00B843C6" w:rsidP="0029131D">
      <w:pPr>
        <w:pStyle w:val="Default"/>
        <w:rPr>
          <w:sz w:val="22"/>
          <w:szCs w:val="22"/>
        </w:rPr>
      </w:pPr>
      <w:r w:rsidRPr="00D76279">
        <w:rPr>
          <w:sz w:val="22"/>
          <w:szCs w:val="22"/>
        </w:rPr>
        <w:t>Keď sa podáva vo forme infúzie, môže sa furosemid podať neriedený za pomoci infúznej pumpy s konštantnou rýchlosťou, alebo sa roztok môže ďalej riediť s kompatibilnou nosnou kvapalinou, napr. s injekciou chloridu sodného B.P. alebo s Ringerovým roztokom pre injekcie. V oboch prípadoch rýchlosť infúzie nesmie prekročiť 4 mg/min.</w:t>
      </w:r>
    </w:p>
    <w:p w14:paraId="08980BFC" w14:textId="77777777" w:rsidR="00B843C6" w:rsidRPr="00D76279" w:rsidRDefault="00B843C6" w:rsidP="0029131D">
      <w:pPr>
        <w:pStyle w:val="Default"/>
        <w:rPr>
          <w:sz w:val="22"/>
          <w:szCs w:val="22"/>
        </w:rPr>
      </w:pPr>
    </w:p>
    <w:p w14:paraId="4C107798" w14:textId="77777777" w:rsidR="00B843C6" w:rsidRPr="00D76279" w:rsidRDefault="00B843C6" w:rsidP="0029131D">
      <w:pPr>
        <w:pStyle w:val="Default"/>
        <w:rPr>
          <w:sz w:val="22"/>
          <w:szCs w:val="22"/>
        </w:rPr>
      </w:pPr>
      <w:r w:rsidRPr="00D76279">
        <w:rPr>
          <w:sz w:val="22"/>
          <w:szCs w:val="22"/>
        </w:rPr>
        <w:t>Parenterálne podanie furosemidu je indikované v prípadoch, keď orálne podávanie nie je možné alebo nie je účinné (napr. v prípade zníženej črevnej absorpcie) alebo keď sa vyžaduje rýchly účinok. V prípadoch, keď sa používa parenterálne podávanie, odporúča sa prechod na orálne podávanie čo najskôr, ako je to možné.</w:t>
      </w:r>
    </w:p>
    <w:p w14:paraId="2EC8F323" w14:textId="77777777" w:rsidR="00B843C6" w:rsidRPr="00D76279" w:rsidRDefault="00B843C6" w:rsidP="00181044">
      <w:pPr>
        <w:pStyle w:val="Default"/>
        <w:jc w:val="both"/>
        <w:rPr>
          <w:sz w:val="22"/>
          <w:szCs w:val="22"/>
        </w:rPr>
      </w:pPr>
    </w:p>
    <w:p w14:paraId="6E245549" w14:textId="77777777" w:rsidR="00D53F60" w:rsidRDefault="00D53F60" w:rsidP="00181044">
      <w:pPr>
        <w:pStyle w:val="Default"/>
        <w:jc w:val="both"/>
        <w:rPr>
          <w:sz w:val="22"/>
          <w:szCs w:val="22"/>
        </w:rPr>
      </w:pPr>
      <w:r w:rsidRPr="00081BF4">
        <w:rPr>
          <w:sz w:val="22"/>
          <w:szCs w:val="22"/>
        </w:rPr>
        <w:t>Pediatrická populácia:</w:t>
      </w:r>
    </w:p>
    <w:p w14:paraId="02E8CDFB" w14:textId="7A360273" w:rsidR="00B843C6" w:rsidRPr="00D76279" w:rsidRDefault="00B843C6" w:rsidP="0029131D">
      <w:pPr>
        <w:pStyle w:val="Default"/>
        <w:rPr>
          <w:sz w:val="22"/>
          <w:szCs w:val="22"/>
        </w:rPr>
      </w:pPr>
      <w:r w:rsidRPr="00D76279">
        <w:rPr>
          <w:sz w:val="22"/>
          <w:szCs w:val="22"/>
        </w:rPr>
        <w:t>Deti a dospievajúc</w:t>
      </w:r>
      <w:r w:rsidR="00B07BB1">
        <w:rPr>
          <w:sz w:val="22"/>
          <w:szCs w:val="22"/>
        </w:rPr>
        <w:t>i</w:t>
      </w:r>
      <w:r w:rsidRPr="00D76279">
        <w:rPr>
          <w:sz w:val="22"/>
          <w:szCs w:val="22"/>
        </w:rPr>
        <w:t xml:space="preserve"> (do 18 rokov): </w:t>
      </w:r>
    </w:p>
    <w:p w14:paraId="3832BE6C" w14:textId="4208646B" w:rsidR="00B843C6" w:rsidRPr="00D76279" w:rsidRDefault="00B843C6" w:rsidP="0029131D">
      <w:pPr>
        <w:pStyle w:val="Default"/>
        <w:rPr>
          <w:sz w:val="22"/>
          <w:szCs w:val="22"/>
        </w:rPr>
      </w:pPr>
      <w:r w:rsidRPr="00D76279">
        <w:rPr>
          <w:sz w:val="22"/>
          <w:szCs w:val="22"/>
        </w:rPr>
        <w:t xml:space="preserve">Skúsenosti u detí a dospievajúcich sú obmedzené. Intravenózne podanie furosemidu u detí a dospievajúcich mladších ako 15 rokov sa odporúča len vo výnimočných prípadoch. </w:t>
      </w:r>
    </w:p>
    <w:p w14:paraId="0DBFFD79" w14:textId="77777777" w:rsidR="00B843C6" w:rsidRPr="00D76279" w:rsidRDefault="00B843C6" w:rsidP="0029131D">
      <w:pPr>
        <w:pStyle w:val="Default"/>
        <w:rPr>
          <w:sz w:val="22"/>
          <w:szCs w:val="22"/>
        </w:rPr>
      </w:pPr>
      <w:r w:rsidRPr="00D76279">
        <w:rPr>
          <w:sz w:val="22"/>
          <w:szCs w:val="22"/>
        </w:rPr>
        <w:t xml:space="preserve">Dávka bude upravená podľa telesnej hmotnosti a odporúčaná dávka je v rozsahu od 0,5 do 1 mg/kg telesnej hmotnosti denne až po maximálnu dennú dávku 20 mg. </w:t>
      </w:r>
    </w:p>
    <w:p w14:paraId="196BB2F9" w14:textId="77777777" w:rsidR="00B843C6" w:rsidRPr="00D76279" w:rsidRDefault="00B843C6" w:rsidP="0029131D">
      <w:pPr>
        <w:pStyle w:val="Default"/>
        <w:rPr>
          <w:sz w:val="22"/>
          <w:szCs w:val="22"/>
        </w:rPr>
      </w:pPr>
      <w:r w:rsidRPr="00D76279">
        <w:rPr>
          <w:sz w:val="22"/>
          <w:szCs w:val="22"/>
        </w:rPr>
        <w:t>Čo najskôr by sa malo prejsť na orálnu liečbu.</w:t>
      </w:r>
    </w:p>
    <w:p w14:paraId="53BDADC8" w14:textId="77777777" w:rsidR="00B843C6" w:rsidRDefault="00B843C6" w:rsidP="0029131D">
      <w:pPr>
        <w:pStyle w:val="Default"/>
        <w:rPr>
          <w:sz w:val="22"/>
          <w:szCs w:val="22"/>
        </w:rPr>
      </w:pPr>
    </w:p>
    <w:p w14:paraId="6F8D91F9" w14:textId="07C53896" w:rsidR="00733056" w:rsidRDefault="00733056" w:rsidP="00181044">
      <w:pPr>
        <w:pStyle w:val="Default"/>
        <w:jc w:val="both"/>
        <w:rPr>
          <w:sz w:val="22"/>
          <w:szCs w:val="22"/>
        </w:rPr>
      </w:pPr>
      <w:r>
        <w:rPr>
          <w:sz w:val="22"/>
          <w:szCs w:val="22"/>
        </w:rPr>
        <w:t>Osobitné skupiny pacientov</w:t>
      </w:r>
    </w:p>
    <w:p w14:paraId="3AEBEBE3" w14:textId="77777777" w:rsidR="00733056" w:rsidRPr="00D76279" w:rsidRDefault="00733056" w:rsidP="00181044">
      <w:pPr>
        <w:pStyle w:val="Default"/>
        <w:jc w:val="both"/>
        <w:rPr>
          <w:sz w:val="22"/>
          <w:szCs w:val="22"/>
        </w:rPr>
      </w:pPr>
    </w:p>
    <w:p w14:paraId="2EC0BBC2" w14:textId="77777777" w:rsidR="00B843C6" w:rsidRPr="00D76279" w:rsidRDefault="00B843C6" w:rsidP="00181044">
      <w:pPr>
        <w:pStyle w:val="Default"/>
        <w:jc w:val="both"/>
        <w:rPr>
          <w:sz w:val="22"/>
          <w:szCs w:val="22"/>
        </w:rPr>
      </w:pPr>
      <w:r w:rsidRPr="00D76279">
        <w:rPr>
          <w:sz w:val="22"/>
          <w:szCs w:val="22"/>
        </w:rPr>
        <w:t xml:space="preserve">Porucha funkcia obličiek: </w:t>
      </w:r>
    </w:p>
    <w:p w14:paraId="32EFBCBF" w14:textId="77777777" w:rsidR="00B843C6" w:rsidRPr="00D76279" w:rsidRDefault="00B843C6" w:rsidP="00181044">
      <w:pPr>
        <w:pStyle w:val="Default"/>
        <w:jc w:val="both"/>
        <w:rPr>
          <w:sz w:val="22"/>
          <w:szCs w:val="22"/>
        </w:rPr>
      </w:pPr>
      <w:r w:rsidRPr="00D76279">
        <w:rPr>
          <w:sz w:val="22"/>
          <w:szCs w:val="22"/>
        </w:rPr>
        <w:t>U pacientov so závažnou poruchou funkcie obličiek (k</w:t>
      </w:r>
      <w:r w:rsidR="00D52C4B" w:rsidRPr="00D76279">
        <w:rPr>
          <w:sz w:val="22"/>
          <w:szCs w:val="22"/>
        </w:rPr>
        <w:t>oncentrácia kreatinínu v sére &gt;</w:t>
      </w:r>
      <w:r w:rsidRPr="00D76279">
        <w:rPr>
          <w:sz w:val="22"/>
          <w:szCs w:val="22"/>
        </w:rPr>
        <w:t xml:space="preserve">5 mg/dl) sa odporúča, aby sa rýchlosť podávania furosemidu 2,5 mg za minútu neprekročila. </w:t>
      </w:r>
    </w:p>
    <w:p w14:paraId="3228B8DD" w14:textId="77777777" w:rsidR="00C8670A" w:rsidRDefault="00C8670A" w:rsidP="00181044">
      <w:pPr>
        <w:pStyle w:val="Default"/>
        <w:jc w:val="both"/>
        <w:rPr>
          <w:sz w:val="22"/>
          <w:szCs w:val="22"/>
        </w:rPr>
      </w:pPr>
    </w:p>
    <w:p w14:paraId="5F48C914" w14:textId="4F12A546" w:rsidR="00B843C6" w:rsidRPr="00D76279" w:rsidRDefault="00C8670A" w:rsidP="00181044">
      <w:pPr>
        <w:pStyle w:val="Default"/>
        <w:jc w:val="both"/>
        <w:rPr>
          <w:sz w:val="22"/>
          <w:szCs w:val="22"/>
        </w:rPr>
      </w:pPr>
      <w:r w:rsidRPr="00C029F5">
        <w:rPr>
          <w:sz w:val="22"/>
          <w:szCs w:val="22"/>
        </w:rPr>
        <w:t xml:space="preserve">Starší pacienti: </w:t>
      </w:r>
    </w:p>
    <w:p w14:paraId="0656F975" w14:textId="195B4918" w:rsidR="00C8670A" w:rsidRDefault="00B843C6" w:rsidP="00181044">
      <w:pPr>
        <w:pStyle w:val="Default"/>
        <w:jc w:val="both"/>
        <w:rPr>
          <w:sz w:val="22"/>
          <w:szCs w:val="22"/>
        </w:rPr>
      </w:pPr>
      <w:r w:rsidRPr="00D76279">
        <w:rPr>
          <w:sz w:val="22"/>
          <w:szCs w:val="22"/>
        </w:rPr>
        <w:t xml:space="preserve">Odporúčaná počiatočná dávka je 20 mg/denne, ktorá sa má postupne zvyšovať, až </w:t>
      </w:r>
      <w:r w:rsidR="006C4808" w:rsidRPr="00D76279">
        <w:rPr>
          <w:sz w:val="22"/>
          <w:szCs w:val="22"/>
        </w:rPr>
        <w:t xml:space="preserve">kým sa nedosiahne </w:t>
      </w:r>
      <w:r w:rsidRPr="00D76279">
        <w:rPr>
          <w:sz w:val="22"/>
          <w:szCs w:val="22"/>
        </w:rPr>
        <w:t xml:space="preserve">požadovaná reakcia. </w:t>
      </w:r>
    </w:p>
    <w:p w14:paraId="51ACB447" w14:textId="77777777" w:rsidR="00C8670A" w:rsidRDefault="00C8670A" w:rsidP="00181044">
      <w:pPr>
        <w:pStyle w:val="Default"/>
        <w:jc w:val="both"/>
        <w:rPr>
          <w:sz w:val="22"/>
          <w:szCs w:val="22"/>
        </w:rPr>
      </w:pPr>
    </w:p>
    <w:p w14:paraId="698CD92A" w14:textId="1691FF2E" w:rsidR="00B843C6" w:rsidRPr="00D76279" w:rsidRDefault="00B843C6" w:rsidP="00181044">
      <w:pPr>
        <w:pStyle w:val="Default"/>
        <w:jc w:val="both"/>
        <w:rPr>
          <w:sz w:val="22"/>
          <w:szCs w:val="22"/>
        </w:rPr>
      </w:pPr>
      <w:r w:rsidRPr="00D76279">
        <w:rPr>
          <w:sz w:val="22"/>
          <w:szCs w:val="22"/>
          <w:u w:val="single"/>
        </w:rPr>
        <w:t xml:space="preserve">Špeciálne odporúčania pre dávkovanie: </w:t>
      </w:r>
    </w:p>
    <w:p w14:paraId="5B740423" w14:textId="203B68DB" w:rsidR="00B843C6" w:rsidRPr="00D76279" w:rsidRDefault="00B843C6" w:rsidP="00181044">
      <w:pPr>
        <w:pStyle w:val="Default"/>
        <w:jc w:val="both"/>
        <w:rPr>
          <w:sz w:val="22"/>
          <w:szCs w:val="22"/>
        </w:rPr>
      </w:pPr>
      <w:r w:rsidRPr="00D76279">
        <w:rPr>
          <w:sz w:val="22"/>
          <w:szCs w:val="22"/>
        </w:rPr>
        <w:t>U dospelých</w:t>
      </w:r>
      <w:r w:rsidR="006C4808" w:rsidRPr="00D76279">
        <w:rPr>
          <w:sz w:val="22"/>
          <w:szCs w:val="22"/>
        </w:rPr>
        <w:t xml:space="preserve"> sa </w:t>
      </w:r>
      <w:r w:rsidRPr="00D76279">
        <w:rPr>
          <w:sz w:val="22"/>
          <w:szCs w:val="22"/>
        </w:rPr>
        <w:t xml:space="preserve">dávka stanovuje na základe nasledujúcich podmienok: </w:t>
      </w:r>
    </w:p>
    <w:p w14:paraId="0CCF916D" w14:textId="77777777" w:rsidR="00B843C6" w:rsidRPr="00D76279" w:rsidRDefault="00B843C6" w:rsidP="00181044">
      <w:pPr>
        <w:pStyle w:val="Default"/>
        <w:jc w:val="both"/>
        <w:rPr>
          <w:sz w:val="22"/>
          <w:szCs w:val="22"/>
        </w:rPr>
      </w:pPr>
      <w:r w:rsidRPr="00D76279">
        <w:rPr>
          <w:sz w:val="22"/>
          <w:szCs w:val="22"/>
        </w:rPr>
        <w:t xml:space="preserve">- Edém spojený s chronickým alebo akútnym srdcovým zlyhaním. </w:t>
      </w:r>
    </w:p>
    <w:p w14:paraId="120ACCDB" w14:textId="223268C3" w:rsidR="00B843C6" w:rsidRPr="00D76279" w:rsidRDefault="00B843C6" w:rsidP="00181044">
      <w:pPr>
        <w:pStyle w:val="Default"/>
        <w:jc w:val="both"/>
        <w:rPr>
          <w:sz w:val="22"/>
          <w:szCs w:val="22"/>
        </w:rPr>
      </w:pPr>
      <w:r w:rsidRPr="00D76279">
        <w:rPr>
          <w:sz w:val="22"/>
          <w:szCs w:val="22"/>
        </w:rPr>
        <w:lastRenderedPageBreak/>
        <w:t xml:space="preserve">Odporúčaná počiatočná dávka je 20 až 40 mg denne. Táto dávka sa môže upraviť podľa pacientovej reakcie, ak je to potrebné. Dávka sa má rozdeliť </w:t>
      </w:r>
      <w:r w:rsidR="006C4808" w:rsidRPr="00D76279">
        <w:rPr>
          <w:sz w:val="22"/>
          <w:szCs w:val="22"/>
        </w:rPr>
        <w:t xml:space="preserve">do </w:t>
      </w:r>
      <w:r w:rsidRPr="00D76279">
        <w:rPr>
          <w:sz w:val="22"/>
          <w:szCs w:val="22"/>
        </w:rPr>
        <w:t xml:space="preserve">dvoch alebo troch dávok denne pri chronickom kongestívnom srdcovom zlyhaní a ako bolus pri akútnom kongestívnom srdcovom zlyhaní. </w:t>
      </w:r>
    </w:p>
    <w:p w14:paraId="4361A142" w14:textId="77777777" w:rsidR="00B843C6" w:rsidRPr="00D76279" w:rsidRDefault="00B843C6" w:rsidP="00181044">
      <w:pPr>
        <w:pStyle w:val="Default"/>
        <w:jc w:val="both"/>
        <w:rPr>
          <w:sz w:val="22"/>
          <w:szCs w:val="22"/>
        </w:rPr>
      </w:pPr>
    </w:p>
    <w:p w14:paraId="1374478E" w14:textId="77777777" w:rsidR="00B843C6" w:rsidRPr="00D76279" w:rsidRDefault="00B843C6" w:rsidP="00181044">
      <w:pPr>
        <w:pStyle w:val="Default"/>
        <w:jc w:val="both"/>
        <w:rPr>
          <w:sz w:val="22"/>
          <w:szCs w:val="22"/>
        </w:rPr>
      </w:pPr>
      <w:r w:rsidRPr="00D76279">
        <w:rPr>
          <w:sz w:val="22"/>
          <w:szCs w:val="22"/>
        </w:rPr>
        <w:t xml:space="preserve">- Edém spojený s ochorením obličiek  </w:t>
      </w:r>
    </w:p>
    <w:p w14:paraId="6EE9DF9C" w14:textId="77777777" w:rsidR="00B843C6" w:rsidRPr="00D76279" w:rsidRDefault="00B843C6" w:rsidP="0029131D">
      <w:pPr>
        <w:pStyle w:val="Default"/>
        <w:rPr>
          <w:sz w:val="22"/>
          <w:szCs w:val="22"/>
        </w:rPr>
      </w:pPr>
      <w:r w:rsidRPr="00D76279">
        <w:rPr>
          <w:sz w:val="22"/>
          <w:szCs w:val="22"/>
        </w:rPr>
        <w:t xml:space="preserve">Odporúčaná počiatočná dávka je 20 až 40 mg denne. Táto dávka sa môže upraviť podľa </w:t>
      </w:r>
      <w:r w:rsidRPr="00416F87">
        <w:rPr>
          <w:sz w:val="22"/>
          <w:szCs w:val="22"/>
        </w:rPr>
        <w:t>reakcie,</w:t>
      </w:r>
      <w:r w:rsidRPr="00D76279">
        <w:rPr>
          <w:sz w:val="22"/>
          <w:szCs w:val="22"/>
        </w:rPr>
        <w:t xml:space="preserve"> ak je to potrebné. Celková denná dávka sa môže podať ako jedna dávka alebo niekoľko dávok v priebehu dňa. </w:t>
      </w:r>
    </w:p>
    <w:p w14:paraId="1D345963" w14:textId="77777777" w:rsidR="00B843C6" w:rsidRPr="00D76279" w:rsidRDefault="00B843C6" w:rsidP="0029131D">
      <w:pPr>
        <w:pStyle w:val="Default"/>
        <w:rPr>
          <w:sz w:val="22"/>
          <w:szCs w:val="22"/>
        </w:rPr>
      </w:pPr>
      <w:r w:rsidRPr="00D76279">
        <w:rPr>
          <w:sz w:val="22"/>
          <w:szCs w:val="22"/>
        </w:rPr>
        <w:t xml:space="preserve">Ak toto nevedie k optimálnemu zvýšeniu vylučovania tekutín, furosemid sa musí podávať ako kontinuálna intravenózna infúzia s počiatočnou rýchlosťou 50 až 100 mg za hodinu. </w:t>
      </w:r>
    </w:p>
    <w:p w14:paraId="7C55EC39" w14:textId="02E9B418" w:rsidR="00B843C6" w:rsidRPr="00D76279" w:rsidRDefault="00B843C6" w:rsidP="0029131D">
      <w:pPr>
        <w:pStyle w:val="Default"/>
        <w:rPr>
          <w:sz w:val="22"/>
          <w:szCs w:val="22"/>
        </w:rPr>
      </w:pPr>
      <w:r w:rsidRPr="00D76279">
        <w:rPr>
          <w:sz w:val="22"/>
          <w:szCs w:val="22"/>
        </w:rPr>
        <w:t>Pred začiatkom podávania furosemidu je potrebné upraviť hypovolémiu, hypotenziu a acidobázickú a elektrolyt</w:t>
      </w:r>
      <w:r w:rsidR="00077CB9">
        <w:rPr>
          <w:sz w:val="22"/>
          <w:szCs w:val="22"/>
        </w:rPr>
        <w:t>ovú</w:t>
      </w:r>
      <w:r w:rsidRPr="00D76279">
        <w:rPr>
          <w:sz w:val="22"/>
          <w:szCs w:val="22"/>
        </w:rPr>
        <w:t xml:space="preserve"> nerovnováhu. </w:t>
      </w:r>
    </w:p>
    <w:p w14:paraId="07544EEE" w14:textId="5AAEB97C" w:rsidR="00B843C6" w:rsidRPr="00D76279" w:rsidRDefault="00B843C6" w:rsidP="0029131D">
      <w:pPr>
        <w:pStyle w:val="Default"/>
        <w:rPr>
          <w:sz w:val="22"/>
          <w:szCs w:val="22"/>
        </w:rPr>
      </w:pPr>
      <w:r w:rsidRPr="00D76279">
        <w:rPr>
          <w:sz w:val="22"/>
          <w:szCs w:val="22"/>
        </w:rPr>
        <w:t>U dialyzovaných pacientov je zvyčajná udrž</w:t>
      </w:r>
      <w:r w:rsidR="00077CB9">
        <w:rPr>
          <w:sz w:val="22"/>
          <w:szCs w:val="22"/>
        </w:rPr>
        <w:t>ia</w:t>
      </w:r>
      <w:r w:rsidRPr="00D76279">
        <w:rPr>
          <w:sz w:val="22"/>
          <w:szCs w:val="22"/>
        </w:rPr>
        <w:t xml:space="preserve">vacia dávka 250 až 1 500 mg denne. </w:t>
      </w:r>
    </w:p>
    <w:p w14:paraId="4864BCA1" w14:textId="77777777" w:rsidR="00B843C6" w:rsidRPr="00D76279" w:rsidRDefault="00B843C6" w:rsidP="0029131D">
      <w:pPr>
        <w:pStyle w:val="Default"/>
        <w:rPr>
          <w:sz w:val="22"/>
          <w:szCs w:val="22"/>
        </w:rPr>
      </w:pPr>
      <w:r w:rsidRPr="00D76279">
        <w:rPr>
          <w:sz w:val="22"/>
          <w:szCs w:val="22"/>
        </w:rPr>
        <w:t xml:space="preserve">U pacientov s nefrotickým syndrómom je potrebné dávku stanoviť opatrne vzhľadom na riziko zvýšeného výskytu nežiaducich účinkov. </w:t>
      </w:r>
    </w:p>
    <w:p w14:paraId="5BA540DB" w14:textId="77777777" w:rsidR="00B843C6" w:rsidRPr="00D76279" w:rsidRDefault="00B843C6" w:rsidP="0029131D">
      <w:pPr>
        <w:pStyle w:val="Default"/>
        <w:rPr>
          <w:sz w:val="22"/>
          <w:szCs w:val="22"/>
        </w:rPr>
      </w:pPr>
    </w:p>
    <w:p w14:paraId="6DB5FFA0" w14:textId="77777777" w:rsidR="00B843C6" w:rsidRPr="00D76279" w:rsidRDefault="00B843C6" w:rsidP="0029131D">
      <w:pPr>
        <w:pStyle w:val="Default"/>
        <w:rPr>
          <w:sz w:val="22"/>
          <w:szCs w:val="22"/>
        </w:rPr>
      </w:pPr>
      <w:r w:rsidRPr="00D76279">
        <w:rPr>
          <w:sz w:val="22"/>
          <w:szCs w:val="22"/>
        </w:rPr>
        <w:t xml:space="preserve">- Edém spojený s ochorením pečene </w:t>
      </w:r>
    </w:p>
    <w:p w14:paraId="7A1C96CE" w14:textId="77777777" w:rsidR="00B843C6" w:rsidRPr="00D76279" w:rsidRDefault="00B843C6" w:rsidP="0029131D">
      <w:pPr>
        <w:pStyle w:val="Default"/>
        <w:rPr>
          <w:sz w:val="22"/>
          <w:szCs w:val="22"/>
        </w:rPr>
      </w:pPr>
      <w:r w:rsidRPr="00D76279">
        <w:rPr>
          <w:sz w:val="22"/>
          <w:szCs w:val="22"/>
        </w:rPr>
        <w:t xml:space="preserve">Ak je absolútne nevyhnutná intravenózna liečba, počiatočná dávka má byť od 20 od 40 mg. Táto dávka sa môže upraviť podľa reakcie, ak je to potrebné. Celková denná dávka sa môže podať ako jedna dávka alebo niekoľko dávok. </w:t>
      </w:r>
    </w:p>
    <w:p w14:paraId="35D25C71" w14:textId="5A7B2F93" w:rsidR="00B843C6" w:rsidRPr="00D76279" w:rsidRDefault="00B843C6" w:rsidP="0029131D">
      <w:pPr>
        <w:pStyle w:val="Default"/>
        <w:rPr>
          <w:sz w:val="22"/>
          <w:szCs w:val="22"/>
        </w:rPr>
      </w:pPr>
      <w:r w:rsidRPr="00D76279">
        <w:rPr>
          <w:sz w:val="22"/>
          <w:szCs w:val="22"/>
        </w:rPr>
        <w:t xml:space="preserve">Furosemid sa môže používať v kombinácii s antagonistami </w:t>
      </w:r>
      <w:r w:rsidR="00077CB9">
        <w:rPr>
          <w:sz w:val="22"/>
          <w:szCs w:val="22"/>
        </w:rPr>
        <w:t>aldosterónu</w:t>
      </w:r>
      <w:r w:rsidR="00E1340C">
        <w:rPr>
          <w:sz w:val="22"/>
          <w:szCs w:val="22"/>
        </w:rPr>
        <w:t xml:space="preserve"> </w:t>
      </w:r>
      <w:r w:rsidRPr="00D76279">
        <w:rPr>
          <w:sz w:val="22"/>
          <w:szCs w:val="22"/>
        </w:rPr>
        <w:t xml:space="preserve">v tých prípadoch, v ktorých tieto látky v monoterapii nie sú dostatočné. Aby sa predišlo komplikáciám, akou je ortostatická intolerancia, alebo acidobázická alebo elektrolytická nerovnováha, alebo hepatická encefalopatia, je potrebné dávku opatrne upraviť tak, aby sa dosiahla postupná strata tekutín. Dávka môže u dospelých osôb spôsobiť úbytok </w:t>
      </w:r>
      <w:r w:rsidR="006C4808" w:rsidRPr="00D76279">
        <w:rPr>
          <w:sz w:val="22"/>
          <w:szCs w:val="22"/>
        </w:rPr>
        <w:t xml:space="preserve">telesnej hmotnosti </w:t>
      </w:r>
      <w:r w:rsidRPr="00D76279">
        <w:rPr>
          <w:sz w:val="22"/>
          <w:szCs w:val="22"/>
        </w:rPr>
        <w:t xml:space="preserve">približne 0,5 kg denne. </w:t>
      </w:r>
    </w:p>
    <w:p w14:paraId="62311B6A" w14:textId="42DD0E04" w:rsidR="00C8670A" w:rsidRDefault="00B843C6" w:rsidP="0029131D">
      <w:pPr>
        <w:pStyle w:val="Default"/>
        <w:rPr>
          <w:sz w:val="22"/>
          <w:szCs w:val="22"/>
        </w:rPr>
      </w:pPr>
      <w:r w:rsidRPr="00D76279">
        <w:rPr>
          <w:sz w:val="22"/>
          <w:szCs w:val="22"/>
        </w:rPr>
        <w:t xml:space="preserve">V prípadoch </w:t>
      </w:r>
      <w:r w:rsidRPr="00081BF4">
        <w:rPr>
          <w:sz w:val="22"/>
          <w:szCs w:val="22"/>
        </w:rPr>
        <w:t>brušnej vodnateľnosti (ascites) s edémom</w:t>
      </w:r>
      <w:r w:rsidRPr="00D76279">
        <w:rPr>
          <w:sz w:val="22"/>
          <w:szCs w:val="22"/>
        </w:rPr>
        <w:t xml:space="preserve"> úbytok telesnej hmotnosti vyvolaný zvýšenou diurézou nesmie byť vyšší ako 1 kg/</w:t>
      </w:r>
      <w:r w:rsidR="006C4808" w:rsidRPr="00D76279">
        <w:rPr>
          <w:sz w:val="22"/>
          <w:szCs w:val="22"/>
        </w:rPr>
        <w:t>deň.</w:t>
      </w:r>
    </w:p>
    <w:p w14:paraId="10F58C79" w14:textId="77777777" w:rsidR="00C8670A" w:rsidRDefault="00C8670A" w:rsidP="00181044">
      <w:pPr>
        <w:pStyle w:val="Default"/>
        <w:jc w:val="both"/>
        <w:rPr>
          <w:sz w:val="22"/>
          <w:szCs w:val="22"/>
        </w:rPr>
      </w:pPr>
    </w:p>
    <w:p w14:paraId="37AA2F61" w14:textId="6F8575C7" w:rsidR="00B843C6" w:rsidRPr="00D76279" w:rsidRDefault="00B843C6" w:rsidP="00181044">
      <w:pPr>
        <w:pStyle w:val="Default"/>
        <w:jc w:val="both"/>
        <w:rPr>
          <w:sz w:val="22"/>
          <w:szCs w:val="22"/>
        </w:rPr>
      </w:pPr>
      <w:r w:rsidRPr="00D76279">
        <w:rPr>
          <w:sz w:val="22"/>
          <w:szCs w:val="22"/>
        </w:rPr>
        <w:t xml:space="preserve">- Pľúcny edém (v prípade akútneho zlyhania srdca) </w:t>
      </w:r>
    </w:p>
    <w:p w14:paraId="6825BFB5" w14:textId="5C459F86" w:rsidR="00C8670A" w:rsidRDefault="00B843C6" w:rsidP="00181044">
      <w:pPr>
        <w:pStyle w:val="Default"/>
        <w:jc w:val="both"/>
        <w:rPr>
          <w:sz w:val="22"/>
          <w:szCs w:val="22"/>
        </w:rPr>
      </w:pPr>
      <w:r w:rsidRPr="00D76279">
        <w:rPr>
          <w:sz w:val="22"/>
          <w:szCs w:val="22"/>
        </w:rPr>
        <w:t xml:space="preserve">Počiatočná dávka sa podáva v množstve 40 mg </w:t>
      </w:r>
      <w:r w:rsidR="006C4808" w:rsidRPr="00D76279">
        <w:rPr>
          <w:sz w:val="22"/>
          <w:szCs w:val="22"/>
        </w:rPr>
        <w:t xml:space="preserve">furosemidu </w:t>
      </w:r>
      <w:r w:rsidRPr="00D76279">
        <w:rPr>
          <w:sz w:val="22"/>
          <w:szCs w:val="22"/>
        </w:rPr>
        <w:t>podaného intravenózne. Ak to vyžaduje stav</w:t>
      </w:r>
      <w:r w:rsidR="006C4808" w:rsidRPr="00D76279">
        <w:rPr>
          <w:sz w:val="22"/>
          <w:szCs w:val="22"/>
        </w:rPr>
        <w:t xml:space="preserve"> pacienta, </w:t>
      </w:r>
      <w:r w:rsidRPr="00D76279">
        <w:rPr>
          <w:sz w:val="22"/>
          <w:szCs w:val="22"/>
        </w:rPr>
        <w:t>ďalšia injekcia 20 až 40 mg</w:t>
      </w:r>
      <w:r w:rsidR="006C4808" w:rsidRPr="00D76279">
        <w:rPr>
          <w:sz w:val="22"/>
          <w:szCs w:val="22"/>
        </w:rPr>
        <w:t xml:space="preserve"> furosemidu </w:t>
      </w:r>
      <w:r w:rsidRPr="00D76279">
        <w:rPr>
          <w:sz w:val="22"/>
          <w:szCs w:val="22"/>
        </w:rPr>
        <w:t xml:space="preserve">sa podáva po 30-60 minútach. </w:t>
      </w:r>
    </w:p>
    <w:p w14:paraId="5FFB96CF" w14:textId="0B3846EE" w:rsidR="00B843C6" w:rsidRPr="00D76279" w:rsidRDefault="00B843C6" w:rsidP="00181044">
      <w:pPr>
        <w:rPr>
          <w:sz w:val="22"/>
          <w:szCs w:val="22"/>
        </w:rPr>
      </w:pPr>
      <w:r w:rsidRPr="00D76279">
        <w:rPr>
          <w:sz w:val="22"/>
          <w:szCs w:val="22"/>
        </w:rPr>
        <w:t>Furosemid by sa mal používať spolu s ďalšími terapeutickými opatreniami.</w:t>
      </w:r>
    </w:p>
    <w:p w14:paraId="51D56188" w14:textId="77777777" w:rsidR="00B843C6" w:rsidRPr="00D76279" w:rsidRDefault="00B843C6" w:rsidP="00181044">
      <w:pPr>
        <w:rPr>
          <w:sz w:val="22"/>
          <w:szCs w:val="22"/>
        </w:rPr>
      </w:pPr>
    </w:p>
    <w:p w14:paraId="020B928D" w14:textId="77777777" w:rsidR="00C8670A" w:rsidRDefault="00B843C6" w:rsidP="00181044">
      <w:pPr>
        <w:rPr>
          <w:sz w:val="22"/>
          <w:szCs w:val="22"/>
        </w:rPr>
      </w:pPr>
      <w:r w:rsidRPr="00D76279">
        <w:rPr>
          <w:sz w:val="22"/>
          <w:szCs w:val="22"/>
        </w:rPr>
        <w:t>- Hypertenzná kríza (okrem ďalších terapeutických opatrení)</w:t>
      </w:r>
      <w:r w:rsidRPr="00D76279">
        <w:rPr>
          <w:sz w:val="22"/>
          <w:szCs w:val="22"/>
        </w:rPr>
        <w:br/>
        <w:t>Odporúčaná počiatočná dávka pri hypertenznej kríze je 20 až 40 mg podaných ako bolus vo forme intravenóznej injekcie. Táto dávka sa môže upraviť podľa reakcie, ak je to potrebné</w:t>
      </w:r>
      <w:r w:rsidR="006C4808" w:rsidRPr="00D76279">
        <w:rPr>
          <w:sz w:val="22"/>
          <w:szCs w:val="22"/>
        </w:rPr>
        <w:t>.</w:t>
      </w:r>
    </w:p>
    <w:p w14:paraId="1101CD2B" w14:textId="77777777" w:rsidR="00C8670A" w:rsidRDefault="00C8670A" w:rsidP="00C029F5">
      <w:pPr>
        <w:pStyle w:val="Normlnysozarkami"/>
        <w:spacing w:after="0"/>
        <w:rPr>
          <w:szCs w:val="22"/>
        </w:rPr>
      </w:pPr>
    </w:p>
    <w:p w14:paraId="6BE6DB01" w14:textId="0905DD66" w:rsidR="00C8670A" w:rsidRDefault="006C4808" w:rsidP="00C029F5">
      <w:pPr>
        <w:pStyle w:val="Nadpis2"/>
        <w:spacing w:before="0" w:after="0"/>
        <w:rPr>
          <w:sz w:val="22"/>
          <w:szCs w:val="22"/>
        </w:rPr>
      </w:pPr>
      <w:r w:rsidRPr="00D76279">
        <w:rPr>
          <w:sz w:val="22"/>
          <w:szCs w:val="22"/>
        </w:rPr>
        <w:t>4.3</w:t>
      </w:r>
      <w:r w:rsidRPr="00D76279">
        <w:rPr>
          <w:sz w:val="22"/>
          <w:szCs w:val="22"/>
        </w:rPr>
        <w:tab/>
        <w:t>Kontraindikácie</w:t>
      </w:r>
    </w:p>
    <w:p w14:paraId="6AC143FF" w14:textId="61E2B688" w:rsidR="00C8670A" w:rsidRDefault="00B843C6" w:rsidP="0029131D">
      <w:pPr>
        <w:pStyle w:val="Default"/>
        <w:numPr>
          <w:ilvl w:val="0"/>
          <w:numId w:val="17"/>
        </w:numPr>
        <w:rPr>
          <w:sz w:val="22"/>
          <w:szCs w:val="22"/>
        </w:rPr>
      </w:pPr>
      <w:r w:rsidRPr="00D76279">
        <w:rPr>
          <w:sz w:val="22"/>
          <w:szCs w:val="22"/>
        </w:rPr>
        <w:t xml:space="preserve">- </w:t>
      </w:r>
      <w:r w:rsidR="006C4808" w:rsidRPr="00D76279">
        <w:rPr>
          <w:sz w:val="22"/>
          <w:szCs w:val="22"/>
        </w:rPr>
        <w:t>Precitlivenosť na liečivo alebo na ktorúkoľvek z</w:t>
      </w:r>
      <w:r w:rsidRPr="00D76279">
        <w:rPr>
          <w:sz w:val="22"/>
          <w:szCs w:val="22"/>
        </w:rPr>
        <w:t> </w:t>
      </w:r>
      <w:r w:rsidR="006C4808" w:rsidRPr="00D76279">
        <w:rPr>
          <w:sz w:val="22"/>
          <w:szCs w:val="22"/>
        </w:rPr>
        <w:t>pomocných látok</w:t>
      </w:r>
      <w:r w:rsidRPr="00D76279">
        <w:rPr>
          <w:sz w:val="22"/>
          <w:szCs w:val="22"/>
        </w:rPr>
        <w:t>.</w:t>
      </w:r>
    </w:p>
    <w:p w14:paraId="107D1522" w14:textId="629B6BBC" w:rsidR="00B843C6" w:rsidRPr="00D76279" w:rsidRDefault="00B843C6" w:rsidP="0029131D">
      <w:pPr>
        <w:pStyle w:val="Default"/>
        <w:numPr>
          <w:ilvl w:val="0"/>
          <w:numId w:val="17"/>
        </w:numPr>
        <w:rPr>
          <w:sz w:val="22"/>
          <w:szCs w:val="22"/>
        </w:rPr>
      </w:pPr>
      <w:r w:rsidRPr="00D76279">
        <w:rPr>
          <w:sz w:val="22"/>
          <w:szCs w:val="22"/>
        </w:rPr>
        <w:t>- Pacienti s anúriou</w:t>
      </w:r>
      <w:r w:rsidR="006C4808" w:rsidRPr="00D76279">
        <w:rPr>
          <w:sz w:val="22"/>
          <w:szCs w:val="22"/>
        </w:rPr>
        <w:t xml:space="preserve"> alebo </w:t>
      </w:r>
      <w:r w:rsidRPr="00D76279">
        <w:rPr>
          <w:sz w:val="22"/>
          <w:szCs w:val="22"/>
        </w:rPr>
        <w:t>zlyhaním</w:t>
      </w:r>
      <w:r w:rsidR="006C4808" w:rsidRPr="00D76279">
        <w:rPr>
          <w:sz w:val="22"/>
          <w:szCs w:val="22"/>
        </w:rPr>
        <w:t xml:space="preserve"> obličiek s </w:t>
      </w:r>
      <w:r w:rsidRPr="00D76279">
        <w:rPr>
          <w:sz w:val="22"/>
          <w:szCs w:val="22"/>
        </w:rPr>
        <w:t>oligoanúriou</w:t>
      </w:r>
      <w:r w:rsidR="006C4808" w:rsidRPr="00D76279">
        <w:rPr>
          <w:sz w:val="22"/>
          <w:szCs w:val="22"/>
        </w:rPr>
        <w:t>, ktorá nereaguje na furosemid</w:t>
      </w:r>
      <w:r w:rsidRPr="00D76279">
        <w:rPr>
          <w:sz w:val="22"/>
          <w:szCs w:val="22"/>
        </w:rPr>
        <w:t xml:space="preserve">. </w:t>
      </w:r>
    </w:p>
    <w:p w14:paraId="29A083E8" w14:textId="1F8BCB3C" w:rsidR="00C8670A" w:rsidRDefault="00B843C6" w:rsidP="0029131D">
      <w:pPr>
        <w:pStyle w:val="Default"/>
        <w:numPr>
          <w:ilvl w:val="0"/>
          <w:numId w:val="17"/>
        </w:numPr>
        <w:rPr>
          <w:sz w:val="22"/>
          <w:szCs w:val="22"/>
        </w:rPr>
      </w:pPr>
      <w:r w:rsidRPr="00D76279">
        <w:rPr>
          <w:sz w:val="22"/>
          <w:szCs w:val="22"/>
        </w:rPr>
        <w:t>- Zlyhanie</w:t>
      </w:r>
      <w:r w:rsidR="006C4808" w:rsidRPr="00D76279">
        <w:rPr>
          <w:sz w:val="22"/>
          <w:szCs w:val="22"/>
        </w:rPr>
        <w:t xml:space="preserve"> obličiek ako </w:t>
      </w:r>
      <w:r w:rsidRPr="00D76279">
        <w:rPr>
          <w:sz w:val="22"/>
          <w:szCs w:val="22"/>
        </w:rPr>
        <w:t>výsledok</w:t>
      </w:r>
      <w:r w:rsidR="006C4808" w:rsidRPr="00D76279">
        <w:rPr>
          <w:sz w:val="22"/>
          <w:szCs w:val="22"/>
        </w:rPr>
        <w:t xml:space="preserve"> otravy nefrotoxickými alebo hepatotoxickými látkami</w:t>
      </w:r>
      <w:r w:rsidRPr="00D76279">
        <w:rPr>
          <w:sz w:val="22"/>
          <w:szCs w:val="22"/>
        </w:rPr>
        <w:t xml:space="preserve"> </w:t>
      </w:r>
    </w:p>
    <w:p w14:paraId="1DECE475" w14:textId="3A99D743" w:rsidR="00B843C6" w:rsidRPr="00D76279" w:rsidRDefault="00B843C6" w:rsidP="0029131D">
      <w:pPr>
        <w:pStyle w:val="Default"/>
        <w:numPr>
          <w:ilvl w:val="0"/>
          <w:numId w:val="17"/>
        </w:numPr>
        <w:rPr>
          <w:sz w:val="22"/>
          <w:szCs w:val="22"/>
        </w:rPr>
      </w:pPr>
      <w:r w:rsidRPr="00D76279">
        <w:rPr>
          <w:sz w:val="22"/>
          <w:szCs w:val="22"/>
        </w:rPr>
        <w:t>- Zlyhanie obličiek spojené s pečeňovou kómou</w:t>
      </w:r>
    </w:p>
    <w:p w14:paraId="24051886" w14:textId="77777777" w:rsidR="00B843C6" w:rsidRPr="00D76279" w:rsidRDefault="00B843C6" w:rsidP="0029131D">
      <w:pPr>
        <w:pStyle w:val="Default"/>
        <w:numPr>
          <w:ilvl w:val="0"/>
          <w:numId w:val="17"/>
        </w:numPr>
        <w:rPr>
          <w:sz w:val="22"/>
          <w:szCs w:val="22"/>
        </w:rPr>
      </w:pPr>
      <w:r w:rsidRPr="00D76279">
        <w:rPr>
          <w:sz w:val="22"/>
          <w:szCs w:val="22"/>
        </w:rPr>
        <w:t>- Pacienti s vážnou hypokal</w:t>
      </w:r>
      <w:r w:rsidR="00B86E11">
        <w:rPr>
          <w:sz w:val="22"/>
          <w:szCs w:val="22"/>
        </w:rPr>
        <w:t>i</w:t>
      </w:r>
      <w:r w:rsidRPr="00D76279">
        <w:rPr>
          <w:sz w:val="22"/>
          <w:szCs w:val="22"/>
        </w:rPr>
        <w:t>émiou alebo vážnou hyponatr</w:t>
      </w:r>
      <w:r w:rsidR="00B86E11">
        <w:rPr>
          <w:sz w:val="22"/>
          <w:szCs w:val="22"/>
        </w:rPr>
        <w:t>i</w:t>
      </w:r>
      <w:r w:rsidRPr="00D76279">
        <w:rPr>
          <w:sz w:val="22"/>
          <w:szCs w:val="22"/>
        </w:rPr>
        <w:t xml:space="preserve">émiou </w:t>
      </w:r>
    </w:p>
    <w:p w14:paraId="728A931C" w14:textId="77777777" w:rsidR="00B843C6" w:rsidRPr="00D76279" w:rsidRDefault="00B843C6" w:rsidP="0029131D">
      <w:pPr>
        <w:pStyle w:val="Default"/>
        <w:numPr>
          <w:ilvl w:val="0"/>
          <w:numId w:val="17"/>
        </w:numPr>
        <w:rPr>
          <w:sz w:val="22"/>
          <w:szCs w:val="22"/>
        </w:rPr>
      </w:pPr>
      <w:r w:rsidRPr="00D76279">
        <w:rPr>
          <w:sz w:val="22"/>
          <w:szCs w:val="22"/>
        </w:rPr>
        <w:t xml:space="preserve">- Pacienti s hypovolémiou (s hypotenziou alebo bez nej) alebo dehydratovaní </w:t>
      </w:r>
    </w:p>
    <w:p w14:paraId="41A4BD0F" w14:textId="77777777" w:rsidR="00F920D0" w:rsidRDefault="00B843C6" w:rsidP="0029131D">
      <w:pPr>
        <w:pStyle w:val="Default"/>
        <w:numPr>
          <w:ilvl w:val="3"/>
          <w:numId w:val="17"/>
        </w:numPr>
        <w:rPr>
          <w:sz w:val="22"/>
          <w:szCs w:val="22"/>
        </w:rPr>
      </w:pPr>
      <w:r w:rsidRPr="00D76279">
        <w:rPr>
          <w:sz w:val="22"/>
          <w:szCs w:val="22"/>
        </w:rPr>
        <w:t xml:space="preserve">- Pacienti v predkomatóznom alebo komatóznom stave súvisiacom s pečeňovou </w:t>
      </w:r>
    </w:p>
    <w:p w14:paraId="493A8F7C" w14:textId="67F5D0E6" w:rsidR="00B843C6" w:rsidRPr="00D76279" w:rsidRDefault="00B843C6" w:rsidP="0029131D">
      <w:pPr>
        <w:pStyle w:val="Default"/>
        <w:numPr>
          <w:ilvl w:val="3"/>
          <w:numId w:val="17"/>
        </w:numPr>
        <w:rPr>
          <w:sz w:val="22"/>
          <w:szCs w:val="22"/>
        </w:rPr>
      </w:pPr>
      <w:r w:rsidRPr="00D76279">
        <w:rPr>
          <w:sz w:val="22"/>
          <w:szCs w:val="22"/>
        </w:rPr>
        <w:t xml:space="preserve">encefalopatiou </w:t>
      </w:r>
    </w:p>
    <w:p w14:paraId="5C5BE956" w14:textId="77777777" w:rsidR="00F920D0" w:rsidRDefault="00B843C6" w:rsidP="00510712">
      <w:pPr>
        <w:pStyle w:val="Default"/>
        <w:numPr>
          <w:ilvl w:val="1"/>
          <w:numId w:val="17"/>
        </w:numPr>
        <w:rPr>
          <w:sz w:val="22"/>
          <w:szCs w:val="22"/>
        </w:rPr>
      </w:pPr>
      <w:r w:rsidRPr="00D76279">
        <w:rPr>
          <w:sz w:val="22"/>
          <w:szCs w:val="22"/>
        </w:rPr>
        <w:t xml:space="preserve">- Pacienti s precitlivenosťou na sulfónamidy (napr. </w:t>
      </w:r>
      <w:r w:rsidR="00B86E11">
        <w:rPr>
          <w:sz w:val="22"/>
          <w:szCs w:val="22"/>
        </w:rPr>
        <w:t xml:space="preserve">sulfónylmočovina </w:t>
      </w:r>
      <w:r w:rsidRPr="00D76279">
        <w:rPr>
          <w:sz w:val="22"/>
          <w:szCs w:val="22"/>
        </w:rPr>
        <w:t xml:space="preserve">alebo antibiotiká zo </w:t>
      </w:r>
    </w:p>
    <w:p w14:paraId="669F5AB1" w14:textId="4D1363A7" w:rsidR="00B843C6" w:rsidRPr="00D76279" w:rsidRDefault="00B843C6" w:rsidP="00510712">
      <w:pPr>
        <w:pStyle w:val="Default"/>
        <w:numPr>
          <w:ilvl w:val="1"/>
          <w:numId w:val="17"/>
        </w:numPr>
        <w:rPr>
          <w:sz w:val="22"/>
          <w:szCs w:val="22"/>
        </w:rPr>
      </w:pPr>
      <w:r w:rsidRPr="00D76279">
        <w:rPr>
          <w:sz w:val="22"/>
          <w:szCs w:val="22"/>
        </w:rPr>
        <w:t xml:space="preserve">skupiny sulfónamidov) môžu vykazovať </w:t>
      </w:r>
      <w:r w:rsidR="00B86E11">
        <w:rPr>
          <w:sz w:val="22"/>
          <w:szCs w:val="22"/>
        </w:rPr>
        <w:t xml:space="preserve">skríženú </w:t>
      </w:r>
      <w:r w:rsidRPr="00D76279">
        <w:rPr>
          <w:sz w:val="22"/>
          <w:szCs w:val="22"/>
        </w:rPr>
        <w:t xml:space="preserve">citlivosť na furosemid </w:t>
      </w:r>
    </w:p>
    <w:p w14:paraId="0A671F8E" w14:textId="24066881" w:rsidR="00C8670A" w:rsidRDefault="00B843C6" w:rsidP="00510712">
      <w:pPr>
        <w:pStyle w:val="Normlnysozarkami"/>
        <w:spacing w:after="0"/>
        <w:ind w:left="0" w:firstLine="720"/>
        <w:rPr>
          <w:szCs w:val="22"/>
        </w:rPr>
      </w:pPr>
      <w:r w:rsidRPr="00D76279">
        <w:rPr>
          <w:szCs w:val="22"/>
        </w:rPr>
        <w:t>- Dojčenie</w:t>
      </w:r>
      <w:r w:rsidR="006C4808" w:rsidRPr="00D76279">
        <w:rPr>
          <w:szCs w:val="22"/>
        </w:rPr>
        <w:t xml:space="preserve"> (pozri časť 4.6</w:t>
      </w:r>
      <w:r w:rsidRPr="00D76279">
        <w:rPr>
          <w:szCs w:val="22"/>
        </w:rPr>
        <w:t xml:space="preserve">) </w:t>
      </w:r>
    </w:p>
    <w:p w14:paraId="2D60B794" w14:textId="77777777" w:rsidR="00510712" w:rsidRDefault="00510712" w:rsidP="00510712">
      <w:pPr>
        <w:pStyle w:val="Nadpis2"/>
        <w:spacing w:before="0" w:after="0"/>
        <w:rPr>
          <w:sz w:val="22"/>
          <w:szCs w:val="22"/>
        </w:rPr>
      </w:pPr>
    </w:p>
    <w:p w14:paraId="713E6991" w14:textId="3CC783B8" w:rsidR="00C8670A" w:rsidRDefault="006C4808" w:rsidP="00510712">
      <w:pPr>
        <w:pStyle w:val="Nadpis2"/>
        <w:spacing w:before="0" w:after="0"/>
        <w:rPr>
          <w:sz w:val="22"/>
          <w:szCs w:val="22"/>
        </w:rPr>
      </w:pPr>
      <w:r w:rsidRPr="00D76279">
        <w:rPr>
          <w:sz w:val="22"/>
          <w:szCs w:val="22"/>
        </w:rPr>
        <w:t>4.4</w:t>
      </w:r>
      <w:r w:rsidR="00077CB9">
        <w:rPr>
          <w:sz w:val="22"/>
          <w:szCs w:val="22"/>
        </w:rPr>
        <w:tab/>
      </w:r>
      <w:r w:rsidRPr="00D76279">
        <w:rPr>
          <w:sz w:val="22"/>
          <w:szCs w:val="22"/>
        </w:rPr>
        <w:t>Osobitné upozornenia a opatrenia pri používaní</w:t>
      </w:r>
    </w:p>
    <w:p w14:paraId="4BE7C011" w14:textId="77777777" w:rsidR="00F920D0" w:rsidRDefault="00F920D0">
      <w:pPr>
        <w:pStyle w:val="Default"/>
        <w:rPr>
          <w:sz w:val="22"/>
          <w:szCs w:val="22"/>
        </w:rPr>
      </w:pPr>
    </w:p>
    <w:p w14:paraId="6FBD3136" w14:textId="39244ECB" w:rsidR="00B843C6" w:rsidRPr="00D76279" w:rsidRDefault="00B843C6" w:rsidP="00181044">
      <w:pPr>
        <w:pStyle w:val="Default"/>
        <w:rPr>
          <w:sz w:val="22"/>
          <w:szCs w:val="22"/>
        </w:rPr>
      </w:pPr>
      <w:r w:rsidRPr="00D76279">
        <w:rPr>
          <w:sz w:val="22"/>
          <w:szCs w:val="22"/>
        </w:rPr>
        <w:t xml:space="preserve">V nasledujúcich prípadoch </w:t>
      </w:r>
      <w:r w:rsidR="00C8670A" w:rsidRPr="00C029F5">
        <w:rPr>
          <w:sz w:val="22"/>
          <w:szCs w:val="22"/>
        </w:rPr>
        <w:t xml:space="preserve">sa </w:t>
      </w:r>
      <w:r w:rsidRPr="00D76279">
        <w:rPr>
          <w:sz w:val="22"/>
          <w:szCs w:val="22"/>
        </w:rPr>
        <w:t xml:space="preserve">vyžaduje dôsledné sledovanie: </w:t>
      </w:r>
    </w:p>
    <w:p w14:paraId="4815D875" w14:textId="77777777" w:rsidR="00B843C6" w:rsidRPr="00D76279" w:rsidRDefault="00B843C6" w:rsidP="00510712">
      <w:pPr>
        <w:pStyle w:val="Default"/>
        <w:tabs>
          <w:tab w:val="left" w:pos="142"/>
        </w:tabs>
        <w:spacing w:before="240" w:after="60"/>
        <w:ind w:left="142"/>
        <w:rPr>
          <w:sz w:val="22"/>
          <w:szCs w:val="22"/>
        </w:rPr>
      </w:pPr>
      <w:r w:rsidRPr="00D76279">
        <w:rPr>
          <w:sz w:val="22"/>
          <w:szCs w:val="22"/>
        </w:rPr>
        <w:lastRenderedPageBreak/>
        <w:t xml:space="preserve">- Pacienti s čiastočnou obštrukciou výtoku moču (napr. pri hypertrofii prostaty, hydronefróze, ureterostenóze). Je potrebné zabezpečiť výtok moču. </w:t>
      </w:r>
    </w:p>
    <w:p w14:paraId="091DEA62" w14:textId="77777777" w:rsidR="00B843C6" w:rsidRPr="00D76279" w:rsidRDefault="00B843C6" w:rsidP="00510712">
      <w:pPr>
        <w:pStyle w:val="Default"/>
        <w:numPr>
          <w:ilvl w:val="0"/>
          <w:numId w:val="18"/>
        </w:numPr>
        <w:tabs>
          <w:tab w:val="left" w:pos="142"/>
        </w:tabs>
        <w:ind w:left="142" w:hanging="142"/>
        <w:rPr>
          <w:sz w:val="22"/>
          <w:szCs w:val="22"/>
        </w:rPr>
      </w:pPr>
      <w:r w:rsidRPr="00D76279">
        <w:rPr>
          <w:sz w:val="22"/>
          <w:szCs w:val="22"/>
        </w:rPr>
        <w:t xml:space="preserve">- Pacienti s hypotenziou alebo zvýšeným rizikom výrazného poklesu krvného tlaku (pacienti so stenózou koronárnych tepien alebo stenózou mozgovej tepny) </w:t>
      </w:r>
    </w:p>
    <w:p w14:paraId="5BB557F7" w14:textId="77777777" w:rsidR="00B843C6" w:rsidRPr="00D76279" w:rsidRDefault="00B843C6" w:rsidP="00510712">
      <w:pPr>
        <w:pStyle w:val="Default"/>
        <w:numPr>
          <w:ilvl w:val="0"/>
          <w:numId w:val="18"/>
        </w:numPr>
        <w:tabs>
          <w:tab w:val="left" w:pos="142"/>
        </w:tabs>
        <w:ind w:left="142" w:hanging="142"/>
        <w:rPr>
          <w:sz w:val="22"/>
          <w:szCs w:val="22"/>
        </w:rPr>
      </w:pPr>
      <w:r w:rsidRPr="00D76279">
        <w:rPr>
          <w:sz w:val="22"/>
          <w:szCs w:val="22"/>
        </w:rPr>
        <w:t xml:space="preserve">- Pacienti s manifestovaným alebo latentným diabetes mellitus alebo kolísaním glykémie (pravidelné sledovania hladiny glukózy v krvi je nevyhnutné) </w:t>
      </w:r>
    </w:p>
    <w:p w14:paraId="56FC7892" w14:textId="77777777" w:rsidR="00B843C6" w:rsidRPr="00D76279" w:rsidRDefault="00B843C6" w:rsidP="00510712">
      <w:pPr>
        <w:pStyle w:val="Default"/>
        <w:numPr>
          <w:ilvl w:val="0"/>
          <w:numId w:val="18"/>
        </w:numPr>
        <w:tabs>
          <w:tab w:val="left" w:pos="142"/>
        </w:tabs>
        <w:ind w:left="142" w:hanging="142"/>
        <w:rPr>
          <w:sz w:val="22"/>
          <w:szCs w:val="22"/>
        </w:rPr>
      </w:pPr>
      <w:r w:rsidRPr="00D76279">
        <w:rPr>
          <w:sz w:val="22"/>
          <w:szCs w:val="22"/>
        </w:rPr>
        <w:t xml:space="preserve">- Pacienti s dnou a hyperurikémiou (pravidelné sledovanie hladiny kyseliny močovej v sére je nevyhnutné) </w:t>
      </w:r>
    </w:p>
    <w:p w14:paraId="2EAA4AB6" w14:textId="77777777" w:rsidR="00B843C6" w:rsidRPr="00D76279" w:rsidRDefault="00B843C6" w:rsidP="00510712">
      <w:pPr>
        <w:pStyle w:val="Default"/>
        <w:numPr>
          <w:ilvl w:val="0"/>
          <w:numId w:val="18"/>
        </w:numPr>
        <w:tabs>
          <w:tab w:val="left" w:pos="142"/>
        </w:tabs>
        <w:ind w:left="142" w:hanging="142"/>
        <w:rPr>
          <w:sz w:val="22"/>
          <w:szCs w:val="22"/>
        </w:rPr>
      </w:pPr>
      <w:r w:rsidRPr="00D76279">
        <w:rPr>
          <w:sz w:val="22"/>
          <w:szCs w:val="22"/>
        </w:rPr>
        <w:t>- Pacienti s ochorením pečene alebo hepatorenálnym syndrómom (porucha funkcie obličiek spojená s</w:t>
      </w:r>
      <w:r w:rsidR="00571423">
        <w:rPr>
          <w:sz w:val="22"/>
          <w:szCs w:val="22"/>
        </w:rPr>
        <w:t>o</w:t>
      </w:r>
      <w:r w:rsidRPr="00D76279">
        <w:rPr>
          <w:sz w:val="22"/>
          <w:szCs w:val="22"/>
        </w:rPr>
        <w:t xml:space="preserve"> </w:t>
      </w:r>
      <w:r w:rsidR="00571423">
        <w:rPr>
          <w:sz w:val="22"/>
          <w:szCs w:val="22"/>
        </w:rPr>
        <w:t xml:space="preserve">závažným </w:t>
      </w:r>
      <w:r w:rsidRPr="00D76279">
        <w:rPr>
          <w:sz w:val="22"/>
          <w:szCs w:val="22"/>
        </w:rPr>
        <w:t xml:space="preserve">ochorením pečene) </w:t>
      </w:r>
    </w:p>
    <w:p w14:paraId="56010181" w14:textId="77777777" w:rsidR="00B843C6" w:rsidRPr="00D76279" w:rsidRDefault="00B843C6" w:rsidP="00510712">
      <w:pPr>
        <w:pStyle w:val="Default"/>
        <w:numPr>
          <w:ilvl w:val="0"/>
          <w:numId w:val="18"/>
        </w:numPr>
        <w:tabs>
          <w:tab w:val="left" w:pos="142"/>
        </w:tabs>
        <w:ind w:left="142" w:hanging="142"/>
        <w:rPr>
          <w:sz w:val="22"/>
          <w:szCs w:val="22"/>
        </w:rPr>
      </w:pPr>
      <w:r w:rsidRPr="00D76279">
        <w:rPr>
          <w:sz w:val="22"/>
          <w:szCs w:val="22"/>
        </w:rPr>
        <w:t xml:space="preserve">- Hypoproteinémia (spojená s nefrotickým syndrómom, účinok furosemidu môže byť znížený a jeho ototoxicita zvýšená) </w:t>
      </w:r>
    </w:p>
    <w:p w14:paraId="7FA3A673" w14:textId="35661EC7" w:rsidR="00C8670A" w:rsidRPr="00C029F5" w:rsidRDefault="00B843C6" w:rsidP="00510712">
      <w:pPr>
        <w:pStyle w:val="Default"/>
        <w:numPr>
          <w:ilvl w:val="0"/>
          <w:numId w:val="19"/>
        </w:numPr>
        <w:tabs>
          <w:tab w:val="left" w:pos="142"/>
        </w:tabs>
        <w:ind w:left="142" w:hanging="142"/>
        <w:rPr>
          <w:sz w:val="22"/>
          <w:szCs w:val="22"/>
        </w:rPr>
      </w:pPr>
      <w:r w:rsidRPr="00D76279">
        <w:rPr>
          <w:sz w:val="22"/>
          <w:szCs w:val="22"/>
        </w:rPr>
        <w:t>- Spoločné podávanie s</w:t>
      </w:r>
      <w:r w:rsidR="00571423">
        <w:rPr>
          <w:sz w:val="22"/>
          <w:szCs w:val="22"/>
        </w:rPr>
        <w:t xml:space="preserve">o </w:t>
      </w:r>
      <w:r w:rsidRPr="00D76279">
        <w:rPr>
          <w:sz w:val="22"/>
          <w:szCs w:val="22"/>
        </w:rPr>
        <w:t xml:space="preserve">soľami </w:t>
      </w:r>
      <w:r w:rsidR="00571423">
        <w:rPr>
          <w:sz w:val="22"/>
          <w:szCs w:val="22"/>
        </w:rPr>
        <w:t>lítia</w:t>
      </w:r>
      <w:r w:rsidR="00A511A3">
        <w:rPr>
          <w:sz w:val="22"/>
          <w:szCs w:val="22"/>
        </w:rPr>
        <w:t xml:space="preserve"> </w:t>
      </w:r>
      <w:r w:rsidRPr="00D76279">
        <w:rPr>
          <w:sz w:val="22"/>
          <w:szCs w:val="22"/>
        </w:rPr>
        <w:t xml:space="preserve">(sledovanie hladiny lítia je nevyhnutné, </w:t>
      </w:r>
      <w:r w:rsidR="00C8670A" w:rsidRPr="00C029F5">
        <w:rPr>
          <w:sz w:val="22"/>
          <w:szCs w:val="22"/>
        </w:rPr>
        <w:t>pozri časť 4.</w:t>
      </w:r>
      <w:r w:rsidRPr="00D76279">
        <w:rPr>
          <w:sz w:val="22"/>
          <w:szCs w:val="22"/>
        </w:rPr>
        <w:t xml:space="preserve">5) </w:t>
      </w:r>
    </w:p>
    <w:p w14:paraId="52DECC3E" w14:textId="77777777" w:rsidR="00B843C6" w:rsidRPr="00D76279" w:rsidRDefault="00B843C6" w:rsidP="00510712">
      <w:pPr>
        <w:pStyle w:val="Default"/>
        <w:numPr>
          <w:ilvl w:val="0"/>
          <w:numId w:val="19"/>
        </w:numPr>
        <w:tabs>
          <w:tab w:val="left" w:pos="142"/>
        </w:tabs>
        <w:ind w:left="142" w:hanging="142"/>
        <w:rPr>
          <w:sz w:val="22"/>
          <w:szCs w:val="22"/>
        </w:rPr>
      </w:pPr>
      <w:r w:rsidRPr="00D76279">
        <w:rPr>
          <w:sz w:val="22"/>
          <w:szCs w:val="22"/>
        </w:rPr>
        <w:t xml:space="preserve">- Akútna porfýria (použitie diuretík sa považuje za nebezpečné pri akútnej porfýrii a je potrebná opatrnosť) </w:t>
      </w:r>
    </w:p>
    <w:p w14:paraId="484E4E60" w14:textId="77777777" w:rsidR="00B843C6" w:rsidRPr="00D76279" w:rsidRDefault="00B843C6" w:rsidP="00510712">
      <w:pPr>
        <w:pStyle w:val="Default"/>
        <w:numPr>
          <w:ilvl w:val="0"/>
          <w:numId w:val="19"/>
        </w:numPr>
        <w:tabs>
          <w:tab w:val="left" w:pos="142"/>
        </w:tabs>
        <w:ind w:left="142" w:hanging="142"/>
        <w:jc w:val="both"/>
        <w:rPr>
          <w:sz w:val="22"/>
          <w:szCs w:val="22"/>
        </w:rPr>
      </w:pPr>
      <w:r w:rsidRPr="00D76279">
        <w:rPr>
          <w:sz w:val="22"/>
          <w:szCs w:val="22"/>
        </w:rPr>
        <w:t xml:space="preserve">-V prípadoch brušnej vodnateľnosti (ascites) s edémom úbytok telesnej hmotnosti vyvolaný zvýšenou diurézou nesmie byť vyšší ako 1 kg/deň </w:t>
      </w:r>
    </w:p>
    <w:p w14:paraId="7F218945" w14:textId="77777777" w:rsidR="00B843C6" w:rsidRPr="00D76279" w:rsidRDefault="00B843C6" w:rsidP="00510712">
      <w:pPr>
        <w:pStyle w:val="Default"/>
        <w:numPr>
          <w:ilvl w:val="0"/>
          <w:numId w:val="19"/>
        </w:numPr>
        <w:tabs>
          <w:tab w:val="left" w:pos="142"/>
        </w:tabs>
        <w:ind w:left="142" w:hanging="142"/>
        <w:jc w:val="both"/>
        <w:rPr>
          <w:sz w:val="22"/>
          <w:szCs w:val="22"/>
        </w:rPr>
      </w:pPr>
      <w:r w:rsidRPr="00D76279">
        <w:rPr>
          <w:sz w:val="22"/>
          <w:szCs w:val="22"/>
        </w:rPr>
        <w:t xml:space="preserve">- Príliš silná diuréza môže spôsobiť ortostatickú hypotenziu alebo akútne hypotenzné epizódy. </w:t>
      </w:r>
    </w:p>
    <w:p w14:paraId="449C1873" w14:textId="77777777" w:rsidR="00B843C6" w:rsidRPr="00D76279" w:rsidRDefault="00B843C6" w:rsidP="00510712">
      <w:pPr>
        <w:pStyle w:val="Default"/>
        <w:numPr>
          <w:ilvl w:val="0"/>
          <w:numId w:val="19"/>
        </w:numPr>
        <w:tabs>
          <w:tab w:val="left" w:pos="142"/>
        </w:tabs>
        <w:ind w:left="142" w:hanging="142"/>
        <w:jc w:val="both"/>
        <w:rPr>
          <w:sz w:val="22"/>
          <w:szCs w:val="22"/>
        </w:rPr>
      </w:pPr>
      <w:r w:rsidRPr="00D76279">
        <w:rPr>
          <w:sz w:val="22"/>
          <w:szCs w:val="22"/>
          <w:u w:val="single"/>
        </w:rPr>
        <w:t>- NSAID môžu antagonizovať diuretický účinok furosemidu a ďalších diuretík. Použitie NSAID s diuretikami môže zvýšiť riziko nefrotoxicity.</w:t>
      </w:r>
    </w:p>
    <w:p w14:paraId="3362BB56" w14:textId="77777777" w:rsidR="00B843C6" w:rsidRPr="00D76279" w:rsidRDefault="00B843C6" w:rsidP="00510712">
      <w:pPr>
        <w:pStyle w:val="Default"/>
        <w:numPr>
          <w:ilvl w:val="0"/>
          <w:numId w:val="19"/>
        </w:numPr>
        <w:tabs>
          <w:tab w:val="left" w:pos="142"/>
        </w:tabs>
        <w:ind w:left="142" w:hanging="142"/>
        <w:jc w:val="both"/>
        <w:rPr>
          <w:sz w:val="22"/>
          <w:szCs w:val="22"/>
        </w:rPr>
      </w:pPr>
      <w:r w:rsidRPr="00D76279">
        <w:rPr>
          <w:sz w:val="22"/>
          <w:szCs w:val="22"/>
        </w:rPr>
        <w:t xml:space="preserve">- Ak je to uvedené, mali by sa prijať opatrenia na nápravu hypotenzie alebo hypovolémie pred začatím liečby. </w:t>
      </w:r>
    </w:p>
    <w:p w14:paraId="6DB997A0" w14:textId="77777777" w:rsidR="00B843C6" w:rsidRPr="00D76279" w:rsidRDefault="00B843C6" w:rsidP="00510712">
      <w:pPr>
        <w:pStyle w:val="Default"/>
        <w:tabs>
          <w:tab w:val="left" w:pos="0"/>
        </w:tabs>
        <w:rPr>
          <w:sz w:val="22"/>
          <w:szCs w:val="22"/>
        </w:rPr>
      </w:pPr>
    </w:p>
    <w:p w14:paraId="03FAB69C" w14:textId="794467D5" w:rsidR="00B843C6" w:rsidRPr="00D76279" w:rsidRDefault="00B843C6" w:rsidP="00181044">
      <w:pPr>
        <w:pStyle w:val="Default"/>
        <w:jc w:val="both"/>
        <w:rPr>
          <w:sz w:val="22"/>
          <w:szCs w:val="22"/>
        </w:rPr>
      </w:pPr>
      <w:r w:rsidRPr="00D76279">
        <w:rPr>
          <w:sz w:val="22"/>
          <w:szCs w:val="22"/>
        </w:rPr>
        <w:t>Opatrné titrovanie dávky sa vyžaduje pri nasled</w:t>
      </w:r>
      <w:r w:rsidR="00A978BB">
        <w:rPr>
          <w:sz w:val="22"/>
          <w:szCs w:val="22"/>
        </w:rPr>
        <w:t>o</w:t>
      </w:r>
      <w:r w:rsidRPr="00D76279">
        <w:rPr>
          <w:sz w:val="22"/>
          <w:szCs w:val="22"/>
        </w:rPr>
        <w:t xml:space="preserve">vnom: </w:t>
      </w:r>
    </w:p>
    <w:p w14:paraId="443C3E49" w14:textId="5EDD9C7A" w:rsidR="00B843C6" w:rsidRPr="00D76279" w:rsidRDefault="00B843C6" w:rsidP="00510712">
      <w:pPr>
        <w:pStyle w:val="Default"/>
        <w:numPr>
          <w:ilvl w:val="0"/>
          <w:numId w:val="20"/>
        </w:numPr>
        <w:ind w:left="142" w:hanging="142"/>
        <w:rPr>
          <w:sz w:val="22"/>
          <w:szCs w:val="22"/>
        </w:rPr>
      </w:pPr>
      <w:r w:rsidRPr="00D76279">
        <w:rPr>
          <w:sz w:val="22"/>
          <w:szCs w:val="22"/>
        </w:rPr>
        <w:t>- Zmeny elektrolytov (napr. hypokal</w:t>
      </w:r>
      <w:r w:rsidR="00A511A3">
        <w:rPr>
          <w:sz w:val="22"/>
          <w:szCs w:val="22"/>
        </w:rPr>
        <w:t>i</w:t>
      </w:r>
      <w:r w:rsidRPr="00D76279">
        <w:rPr>
          <w:sz w:val="22"/>
          <w:szCs w:val="22"/>
        </w:rPr>
        <w:t>émia, hyponatr</w:t>
      </w:r>
      <w:r w:rsidR="00A511A3">
        <w:rPr>
          <w:sz w:val="22"/>
          <w:szCs w:val="22"/>
        </w:rPr>
        <w:t>i</w:t>
      </w:r>
      <w:r w:rsidRPr="00D76279">
        <w:rPr>
          <w:sz w:val="22"/>
          <w:szCs w:val="22"/>
        </w:rPr>
        <w:t xml:space="preserve">émia). </w:t>
      </w:r>
      <w:r w:rsidRPr="00D76279">
        <w:rPr>
          <w:sz w:val="22"/>
          <w:szCs w:val="22"/>
          <w:u w:val="single"/>
        </w:rPr>
        <w:t>Výživové doplnky s draslíkom a/alebo diétne opatrenia môžu byť potrebné na kontrolu alebo zabránenie vzniku hypokalémie</w:t>
      </w:r>
      <w:r w:rsidRPr="00D76279">
        <w:rPr>
          <w:sz w:val="22"/>
          <w:szCs w:val="22"/>
        </w:rPr>
        <w:t xml:space="preserve"> </w:t>
      </w:r>
    </w:p>
    <w:p w14:paraId="562E5886" w14:textId="77777777" w:rsidR="00B843C6" w:rsidRPr="00D76279" w:rsidRDefault="00B843C6" w:rsidP="00510712">
      <w:pPr>
        <w:pStyle w:val="Default"/>
        <w:numPr>
          <w:ilvl w:val="0"/>
          <w:numId w:val="20"/>
        </w:numPr>
        <w:ind w:left="142" w:hanging="142"/>
        <w:rPr>
          <w:sz w:val="22"/>
          <w:szCs w:val="22"/>
        </w:rPr>
      </w:pPr>
      <w:r w:rsidRPr="00D76279">
        <w:rPr>
          <w:sz w:val="22"/>
          <w:szCs w:val="22"/>
        </w:rPr>
        <w:t xml:space="preserve">- Zmeny tekutín, dehydratácia, zníženie objemu krvi s kolapsom obehu a možnosťou trombózy a embólie, najmä u starších ľudí, ak sa užíva nadmerne </w:t>
      </w:r>
    </w:p>
    <w:p w14:paraId="4B06FCFF" w14:textId="00ECC55B" w:rsidR="00B843C6" w:rsidRPr="00D76279" w:rsidRDefault="00B843C6" w:rsidP="00510712">
      <w:pPr>
        <w:pStyle w:val="Default"/>
        <w:numPr>
          <w:ilvl w:val="0"/>
          <w:numId w:val="20"/>
        </w:numPr>
        <w:ind w:left="142" w:hanging="142"/>
        <w:rPr>
          <w:sz w:val="22"/>
          <w:szCs w:val="22"/>
        </w:rPr>
      </w:pPr>
      <w:r w:rsidRPr="00D76279">
        <w:rPr>
          <w:sz w:val="22"/>
          <w:szCs w:val="22"/>
        </w:rPr>
        <w:t>- Ototoxicita (ak sa podáva rýchlejšie ako 4 mg/min. - ďalšie ototoxické látky podávané súčasne môž</w:t>
      </w:r>
      <w:r w:rsidR="00A511A3">
        <w:rPr>
          <w:sz w:val="22"/>
          <w:szCs w:val="22"/>
        </w:rPr>
        <w:t>u</w:t>
      </w:r>
      <w:r w:rsidRPr="00D76279">
        <w:rPr>
          <w:sz w:val="22"/>
          <w:szCs w:val="22"/>
        </w:rPr>
        <w:t xml:space="preserve"> toto riziko zvýšiť, pozri časť 4.5. </w:t>
      </w:r>
    </w:p>
    <w:p w14:paraId="6624A730" w14:textId="77777777" w:rsidR="00B843C6" w:rsidRPr="00D76279" w:rsidRDefault="00B843C6" w:rsidP="00510712">
      <w:pPr>
        <w:pStyle w:val="Default"/>
        <w:numPr>
          <w:ilvl w:val="0"/>
          <w:numId w:val="20"/>
        </w:numPr>
        <w:ind w:left="142" w:hanging="142"/>
        <w:rPr>
          <w:sz w:val="22"/>
          <w:szCs w:val="22"/>
        </w:rPr>
      </w:pPr>
      <w:r w:rsidRPr="00D76279">
        <w:rPr>
          <w:sz w:val="22"/>
          <w:szCs w:val="22"/>
        </w:rPr>
        <w:t xml:space="preserve">- Podávanie vysokých dávok </w:t>
      </w:r>
    </w:p>
    <w:p w14:paraId="272ED380" w14:textId="165BF639" w:rsidR="00B843C6" w:rsidRPr="00D76279" w:rsidRDefault="00B843C6" w:rsidP="00510712">
      <w:pPr>
        <w:pStyle w:val="Default"/>
        <w:numPr>
          <w:ilvl w:val="0"/>
          <w:numId w:val="20"/>
        </w:numPr>
        <w:ind w:left="142" w:hanging="142"/>
        <w:rPr>
          <w:sz w:val="22"/>
          <w:szCs w:val="22"/>
        </w:rPr>
      </w:pPr>
      <w:r w:rsidRPr="00D76279">
        <w:rPr>
          <w:sz w:val="22"/>
          <w:szCs w:val="22"/>
        </w:rPr>
        <w:t xml:space="preserve">- Podávanie pri progresívnom a </w:t>
      </w:r>
      <w:r w:rsidR="00A511A3">
        <w:rPr>
          <w:sz w:val="22"/>
          <w:szCs w:val="22"/>
        </w:rPr>
        <w:t>zá</w:t>
      </w:r>
      <w:r w:rsidRPr="00D76279">
        <w:rPr>
          <w:sz w:val="22"/>
          <w:szCs w:val="22"/>
        </w:rPr>
        <w:t>v</w:t>
      </w:r>
      <w:r w:rsidR="00C51036">
        <w:rPr>
          <w:sz w:val="22"/>
          <w:szCs w:val="22"/>
        </w:rPr>
        <w:t>a</w:t>
      </w:r>
      <w:r w:rsidRPr="00D76279">
        <w:rPr>
          <w:sz w:val="22"/>
          <w:szCs w:val="22"/>
        </w:rPr>
        <w:t xml:space="preserve">žnom ochorení obličiek </w:t>
      </w:r>
    </w:p>
    <w:p w14:paraId="4A74A107" w14:textId="77777777" w:rsidR="00B843C6" w:rsidRPr="00D76279" w:rsidRDefault="00B843C6" w:rsidP="00510712">
      <w:pPr>
        <w:pStyle w:val="Default"/>
        <w:numPr>
          <w:ilvl w:val="0"/>
          <w:numId w:val="20"/>
        </w:numPr>
        <w:ind w:left="142" w:hanging="142"/>
        <w:rPr>
          <w:sz w:val="22"/>
          <w:szCs w:val="22"/>
        </w:rPr>
      </w:pPr>
      <w:r w:rsidRPr="00D76279">
        <w:rPr>
          <w:sz w:val="22"/>
          <w:szCs w:val="22"/>
        </w:rPr>
        <w:t xml:space="preserve">- Podávanie so sorbitolom Pri súčasnom podávaní oboch látok môže dôjsť k zvýšenej dehydratácii (sorbitol môže spôsobiť dodatočnú stratu tekutín tak, že vyvoláva hnačku) </w:t>
      </w:r>
    </w:p>
    <w:p w14:paraId="775266FA" w14:textId="6101AB18" w:rsidR="00B843C6" w:rsidRPr="00D76279" w:rsidRDefault="00B843C6" w:rsidP="00510712">
      <w:pPr>
        <w:pStyle w:val="Default"/>
        <w:numPr>
          <w:ilvl w:val="0"/>
          <w:numId w:val="20"/>
        </w:numPr>
        <w:ind w:left="142" w:hanging="142"/>
        <w:rPr>
          <w:sz w:val="22"/>
          <w:szCs w:val="22"/>
        </w:rPr>
      </w:pPr>
      <w:r w:rsidRPr="00D76279">
        <w:rPr>
          <w:sz w:val="22"/>
          <w:szCs w:val="22"/>
        </w:rPr>
        <w:t xml:space="preserve">- Podávanie pri </w:t>
      </w:r>
      <w:r w:rsidRPr="00081BF4">
        <w:rPr>
          <w:sz w:val="22"/>
          <w:szCs w:val="22"/>
        </w:rPr>
        <w:t xml:space="preserve">ochorení </w:t>
      </w:r>
      <w:r w:rsidR="00072419" w:rsidRPr="00181044">
        <w:rPr>
          <w:sz w:val="22"/>
          <w:szCs w:val="22"/>
        </w:rPr>
        <w:t>l</w:t>
      </w:r>
      <w:r w:rsidRPr="00081BF4">
        <w:rPr>
          <w:sz w:val="22"/>
          <w:szCs w:val="22"/>
        </w:rPr>
        <w:t xml:space="preserve">upus </w:t>
      </w:r>
      <w:r w:rsidR="00D52C4B" w:rsidRPr="00081BF4">
        <w:rPr>
          <w:sz w:val="22"/>
          <w:szCs w:val="22"/>
        </w:rPr>
        <w:t>e</w:t>
      </w:r>
      <w:r w:rsidRPr="00081BF4">
        <w:rPr>
          <w:sz w:val="22"/>
          <w:szCs w:val="22"/>
        </w:rPr>
        <w:t>rythematosus</w:t>
      </w:r>
      <w:r w:rsidRPr="00D76279">
        <w:rPr>
          <w:sz w:val="22"/>
          <w:szCs w:val="22"/>
        </w:rPr>
        <w:t xml:space="preserve"> </w:t>
      </w:r>
    </w:p>
    <w:p w14:paraId="2F457211" w14:textId="77777777" w:rsidR="00B843C6" w:rsidRPr="00D76279" w:rsidRDefault="00B843C6" w:rsidP="00510712">
      <w:pPr>
        <w:pStyle w:val="Default"/>
        <w:numPr>
          <w:ilvl w:val="0"/>
          <w:numId w:val="20"/>
        </w:numPr>
        <w:ind w:left="142" w:hanging="142"/>
        <w:jc w:val="both"/>
        <w:rPr>
          <w:sz w:val="22"/>
          <w:szCs w:val="22"/>
        </w:rPr>
      </w:pPr>
      <w:r w:rsidRPr="00D76279">
        <w:rPr>
          <w:sz w:val="22"/>
          <w:szCs w:val="22"/>
        </w:rPr>
        <w:t xml:space="preserve">- Lieky, ktoré predlžujú QT interval </w:t>
      </w:r>
    </w:p>
    <w:p w14:paraId="1635C9B9" w14:textId="77777777" w:rsidR="00B843C6" w:rsidRPr="00D76279" w:rsidRDefault="00B843C6" w:rsidP="0029131D">
      <w:pPr>
        <w:pStyle w:val="Default"/>
        <w:rPr>
          <w:sz w:val="22"/>
          <w:szCs w:val="22"/>
        </w:rPr>
      </w:pPr>
    </w:p>
    <w:p w14:paraId="288885FD" w14:textId="77777777" w:rsidR="00B843C6" w:rsidRPr="00D76279" w:rsidRDefault="00B843C6" w:rsidP="0029131D">
      <w:pPr>
        <w:pStyle w:val="Default"/>
        <w:rPr>
          <w:sz w:val="22"/>
          <w:szCs w:val="22"/>
        </w:rPr>
      </w:pPr>
      <w:r w:rsidRPr="00D76279">
        <w:rPr>
          <w:sz w:val="22"/>
          <w:szCs w:val="22"/>
        </w:rPr>
        <w:t>Symptomatická hypotenzia spôsobujúca závraty, mdloby alebo stratu vedomia sa môže objaviť u pacientov liečených furosemidom, najmä u starších pacientov, ktorí užívajú iné lieky, ktoré môžu spôsobiť pokles krvného tlaku, a u pacientov s ďalšími zdravotnými problémami, ktoré sú rizikom pre hypotenziu.</w:t>
      </w:r>
    </w:p>
    <w:p w14:paraId="18891534" w14:textId="77777777" w:rsidR="00B843C6" w:rsidRPr="00D76279" w:rsidRDefault="00B843C6" w:rsidP="0029131D">
      <w:pPr>
        <w:pStyle w:val="Default"/>
        <w:rPr>
          <w:sz w:val="22"/>
          <w:szCs w:val="22"/>
        </w:rPr>
      </w:pPr>
    </w:p>
    <w:p w14:paraId="5DFF1AA5" w14:textId="77777777" w:rsidR="00B843C6" w:rsidRPr="00D76279" w:rsidRDefault="00B843C6" w:rsidP="0029131D">
      <w:pPr>
        <w:pStyle w:val="Default"/>
        <w:rPr>
          <w:sz w:val="22"/>
          <w:szCs w:val="22"/>
        </w:rPr>
      </w:pPr>
      <w:r w:rsidRPr="00D76279">
        <w:rPr>
          <w:sz w:val="22"/>
          <w:szCs w:val="22"/>
        </w:rPr>
        <w:t xml:space="preserve">Predčasne narodené deti (možný vývoj nefrokalcinózy/nefrolitiázy, funkcia obličiek sa musí sledovať a tiež sa musí vykonávať </w:t>
      </w:r>
      <w:r w:rsidR="00A5289A">
        <w:rPr>
          <w:sz w:val="22"/>
          <w:szCs w:val="22"/>
        </w:rPr>
        <w:t>ultra</w:t>
      </w:r>
      <w:r w:rsidRPr="00D76279">
        <w:rPr>
          <w:sz w:val="22"/>
          <w:szCs w:val="22"/>
        </w:rPr>
        <w:t xml:space="preserve">sonografia obličiek). U predčasne narodených detí so syndrómom respiračnej tiesne môže diuretická liečba furosemidom počas prvých týždňov života zvyšovať riziko pretrvávajúceho ductus arteriosus Botalli. </w:t>
      </w:r>
    </w:p>
    <w:p w14:paraId="1EAE12F8" w14:textId="77777777" w:rsidR="00B843C6" w:rsidRPr="00D76279" w:rsidRDefault="00B843C6" w:rsidP="0029131D">
      <w:pPr>
        <w:pStyle w:val="Default"/>
        <w:rPr>
          <w:sz w:val="22"/>
          <w:szCs w:val="22"/>
        </w:rPr>
      </w:pPr>
    </w:p>
    <w:p w14:paraId="171A8492" w14:textId="180D9A84" w:rsidR="00B843C6" w:rsidRPr="00D76279" w:rsidRDefault="00B843C6" w:rsidP="0029131D">
      <w:pPr>
        <w:pStyle w:val="Default"/>
        <w:rPr>
          <w:sz w:val="22"/>
          <w:szCs w:val="22"/>
        </w:rPr>
      </w:pPr>
      <w:r w:rsidRPr="00D76279">
        <w:rPr>
          <w:sz w:val="22"/>
          <w:szCs w:val="22"/>
        </w:rPr>
        <w:t>Je potrebná zvýšená opatrnosť u pacientov, ktorí sú náchylní k nedostatku elektrolyt</w:t>
      </w:r>
      <w:r w:rsidR="00A5289A">
        <w:rPr>
          <w:sz w:val="22"/>
          <w:szCs w:val="22"/>
        </w:rPr>
        <w:t>ov</w:t>
      </w:r>
      <w:r w:rsidRPr="00D76279">
        <w:rPr>
          <w:sz w:val="22"/>
          <w:szCs w:val="22"/>
        </w:rPr>
        <w:t xml:space="preserve">. </w:t>
      </w:r>
    </w:p>
    <w:p w14:paraId="6F5C8BA9" w14:textId="5CED6D34" w:rsidR="00B843C6" w:rsidRDefault="00B843C6" w:rsidP="0029131D">
      <w:pPr>
        <w:pStyle w:val="Default"/>
        <w:rPr>
          <w:sz w:val="22"/>
          <w:szCs w:val="22"/>
        </w:rPr>
      </w:pPr>
      <w:r w:rsidRPr="00D76279">
        <w:rPr>
          <w:sz w:val="22"/>
          <w:szCs w:val="22"/>
        </w:rPr>
        <w:t xml:space="preserve">Pravidelné sledovanie sérového sodíka, draslíka a kreatinínu sa všeobecne odporúča počas liečby furosemidom; obzvlášť je potrebné dôsledné sledovanie pacientov s vysokým rizikom vývoja nerovnováhy elektrolytov alebo v prípade ďalšej výraznej </w:t>
      </w:r>
      <w:r w:rsidRPr="000B14DD">
        <w:rPr>
          <w:sz w:val="22"/>
          <w:szCs w:val="22"/>
        </w:rPr>
        <w:t>strat</w:t>
      </w:r>
      <w:r w:rsidR="00406B18" w:rsidRPr="00181044">
        <w:rPr>
          <w:sz w:val="22"/>
          <w:szCs w:val="22"/>
        </w:rPr>
        <w:t>y</w:t>
      </w:r>
      <w:r w:rsidRPr="00D76279">
        <w:rPr>
          <w:sz w:val="22"/>
          <w:szCs w:val="22"/>
        </w:rPr>
        <w:t xml:space="preserve"> tekutín (napr. v dôsledku vracania alebo hnačky). </w:t>
      </w:r>
    </w:p>
    <w:p w14:paraId="3B215494" w14:textId="77777777" w:rsidR="00F920D0" w:rsidRPr="00D76279" w:rsidRDefault="00F920D0" w:rsidP="0029131D">
      <w:pPr>
        <w:pStyle w:val="Default"/>
        <w:rPr>
          <w:sz w:val="22"/>
          <w:szCs w:val="22"/>
        </w:rPr>
      </w:pPr>
    </w:p>
    <w:p w14:paraId="1C4E8FED" w14:textId="12C1A34F" w:rsidR="00C8670A" w:rsidRDefault="006C4808" w:rsidP="0029131D">
      <w:pPr>
        <w:pStyle w:val="Default"/>
        <w:rPr>
          <w:sz w:val="22"/>
          <w:szCs w:val="22"/>
        </w:rPr>
      </w:pPr>
      <w:r w:rsidRPr="00D76279">
        <w:rPr>
          <w:sz w:val="22"/>
          <w:szCs w:val="22"/>
        </w:rPr>
        <w:t>Hypovolémia</w:t>
      </w:r>
      <w:r w:rsidR="00B843C6" w:rsidRPr="00D76279">
        <w:rPr>
          <w:sz w:val="22"/>
          <w:szCs w:val="22"/>
        </w:rPr>
        <w:t xml:space="preserve"> alebo dehydratácia ako aj všetky podstatné</w:t>
      </w:r>
      <w:r w:rsidRPr="00D76279">
        <w:rPr>
          <w:sz w:val="22"/>
          <w:szCs w:val="22"/>
        </w:rPr>
        <w:t xml:space="preserve"> elektrolytov</w:t>
      </w:r>
      <w:r w:rsidR="00A5289A">
        <w:rPr>
          <w:sz w:val="22"/>
          <w:szCs w:val="22"/>
        </w:rPr>
        <w:t>é</w:t>
      </w:r>
      <w:r w:rsidRPr="00D76279">
        <w:rPr>
          <w:sz w:val="22"/>
          <w:szCs w:val="22"/>
        </w:rPr>
        <w:t xml:space="preserve"> </w:t>
      </w:r>
      <w:r w:rsidR="00B843C6" w:rsidRPr="00D76279">
        <w:rPr>
          <w:sz w:val="22"/>
          <w:szCs w:val="22"/>
        </w:rPr>
        <w:t>a</w:t>
      </w:r>
      <w:r w:rsidR="00A5289A">
        <w:rPr>
          <w:sz w:val="22"/>
          <w:szCs w:val="22"/>
        </w:rPr>
        <w:t> </w:t>
      </w:r>
      <w:r w:rsidR="00B843C6" w:rsidRPr="00D76279">
        <w:rPr>
          <w:sz w:val="22"/>
          <w:szCs w:val="22"/>
        </w:rPr>
        <w:t>acidobázick</w:t>
      </w:r>
      <w:r w:rsidR="00A5289A">
        <w:rPr>
          <w:sz w:val="22"/>
          <w:szCs w:val="22"/>
        </w:rPr>
        <w:t xml:space="preserve">é </w:t>
      </w:r>
      <w:r w:rsidR="00A87F8E">
        <w:rPr>
          <w:sz w:val="22"/>
          <w:szCs w:val="22"/>
        </w:rPr>
        <w:t>nerovnováhy</w:t>
      </w:r>
      <w:r w:rsidR="00A5289A">
        <w:rPr>
          <w:sz w:val="22"/>
          <w:szCs w:val="22"/>
        </w:rPr>
        <w:t xml:space="preserve"> </w:t>
      </w:r>
      <w:r w:rsidR="00C51036">
        <w:rPr>
          <w:sz w:val="22"/>
          <w:szCs w:val="22"/>
        </w:rPr>
        <w:t xml:space="preserve">sa </w:t>
      </w:r>
      <w:r w:rsidR="00B843C6" w:rsidRPr="00D76279">
        <w:rPr>
          <w:sz w:val="22"/>
          <w:szCs w:val="22"/>
        </w:rPr>
        <w:t xml:space="preserve"> </w:t>
      </w:r>
      <w:r w:rsidR="00A87F8E">
        <w:rPr>
          <w:sz w:val="22"/>
          <w:szCs w:val="22"/>
        </w:rPr>
        <w:t>musia uprav</w:t>
      </w:r>
      <w:r w:rsidR="00C51036">
        <w:rPr>
          <w:sz w:val="22"/>
          <w:szCs w:val="22"/>
        </w:rPr>
        <w:t>iť</w:t>
      </w:r>
      <w:r w:rsidR="00B843C6" w:rsidRPr="00D76279">
        <w:rPr>
          <w:sz w:val="22"/>
          <w:szCs w:val="22"/>
        </w:rPr>
        <w:t xml:space="preserve">. Toto si môže vyžadovať dočasné prerušenie liečby furosemidom. </w:t>
      </w:r>
    </w:p>
    <w:p w14:paraId="0CF42EB3" w14:textId="77777777" w:rsidR="00C8670A" w:rsidRDefault="00C8670A" w:rsidP="0029131D">
      <w:pPr>
        <w:pStyle w:val="Default"/>
        <w:rPr>
          <w:sz w:val="22"/>
          <w:szCs w:val="22"/>
        </w:rPr>
      </w:pPr>
    </w:p>
    <w:p w14:paraId="18C64148" w14:textId="6CCB8D3F" w:rsidR="00C8670A" w:rsidRDefault="00B843C6" w:rsidP="0029131D">
      <w:pPr>
        <w:pStyle w:val="Default"/>
        <w:rPr>
          <w:sz w:val="22"/>
          <w:szCs w:val="22"/>
        </w:rPr>
      </w:pPr>
      <w:r w:rsidRPr="00D76279">
        <w:rPr>
          <w:sz w:val="22"/>
          <w:szCs w:val="22"/>
        </w:rPr>
        <w:t>U pacientov, ktorí sú vysoko rizikov</w:t>
      </w:r>
      <w:r w:rsidR="00A87F8E">
        <w:rPr>
          <w:sz w:val="22"/>
          <w:szCs w:val="22"/>
        </w:rPr>
        <w:t>í</w:t>
      </w:r>
      <w:r w:rsidRPr="00D76279">
        <w:rPr>
          <w:sz w:val="22"/>
          <w:szCs w:val="22"/>
        </w:rPr>
        <w:t xml:space="preserve"> pre rádiokontrastnú nefropatiau, sa furosemid </w:t>
      </w:r>
      <w:r w:rsidR="00C8670A" w:rsidRPr="00C029F5">
        <w:rPr>
          <w:sz w:val="22"/>
          <w:szCs w:val="22"/>
        </w:rPr>
        <w:t>neodporúča</w:t>
      </w:r>
      <w:r w:rsidRPr="00D76279">
        <w:rPr>
          <w:sz w:val="22"/>
          <w:szCs w:val="22"/>
        </w:rPr>
        <w:t xml:space="preserve"> pri diuréze ako súčasť</w:t>
      </w:r>
      <w:r w:rsidR="006C4808" w:rsidRPr="00D76279">
        <w:rPr>
          <w:sz w:val="22"/>
          <w:szCs w:val="22"/>
        </w:rPr>
        <w:t xml:space="preserve"> preventívnych opatrení proti </w:t>
      </w:r>
      <w:r w:rsidRPr="00D76279">
        <w:rPr>
          <w:sz w:val="22"/>
          <w:szCs w:val="22"/>
        </w:rPr>
        <w:t xml:space="preserve">rádiokontrastnej indukovanej </w:t>
      </w:r>
      <w:r w:rsidR="006C4808" w:rsidRPr="00D76279">
        <w:rPr>
          <w:sz w:val="22"/>
          <w:szCs w:val="22"/>
        </w:rPr>
        <w:t>nefropatii</w:t>
      </w:r>
      <w:r w:rsidRPr="00D76279">
        <w:rPr>
          <w:sz w:val="22"/>
          <w:szCs w:val="22"/>
        </w:rPr>
        <w:t xml:space="preserve">. </w:t>
      </w:r>
    </w:p>
    <w:p w14:paraId="3AF6C8B8" w14:textId="79FFFF4E" w:rsidR="00B843C6" w:rsidRPr="00D76279" w:rsidRDefault="00B843C6" w:rsidP="00181044">
      <w:pPr>
        <w:pStyle w:val="Default"/>
        <w:jc w:val="both"/>
        <w:rPr>
          <w:sz w:val="22"/>
          <w:szCs w:val="22"/>
        </w:rPr>
      </w:pPr>
    </w:p>
    <w:p w14:paraId="287F0639" w14:textId="77777777" w:rsidR="00B843C6" w:rsidRPr="00D76279" w:rsidRDefault="00B843C6" w:rsidP="00181044">
      <w:pPr>
        <w:rPr>
          <w:color w:val="000000"/>
          <w:sz w:val="22"/>
          <w:szCs w:val="22"/>
        </w:rPr>
      </w:pPr>
      <w:r w:rsidRPr="00D76279">
        <w:rPr>
          <w:b/>
          <w:color w:val="000000"/>
          <w:sz w:val="22"/>
          <w:szCs w:val="22"/>
        </w:rPr>
        <w:t>Súčasné užívanie s risperidónom</w:t>
      </w:r>
    </w:p>
    <w:p w14:paraId="2C1E8835" w14:textId="271FAB05" w:rsidR="00B843C6" w:rsidRPr="00D76279" w:rsidRDefault="00B843C6" w:rsidP="00181044">
      <w:pPr>
        <w:rPr>
          <w:color w:val="000000"/>
          <w:sz w:val="22"/>
          <w:szCs w:val="22"/>
        </w:rPr>
      </w:pPr>
      <w:r w:rsidRPr="00D76279">
        <w:rPr>
          <w:color w:val="000000"/>
          <w:sz w:val="22"/>
          <w:szCs w:val="22"/>
        </w:rPr>
        <w:t xml:space="preserve">V placebom kontrolovaných štúdiách </w:t>
      </w:r>
      <w:r w:rsidR="00A87F8E">
        <w:rPr>
          <w:color w:val="000000"/>
          <w:sz w:val="22"/>
          <w:szCs w:val="22"/>
        </w:rPr>
        <w:t xml:space="preserve">s risperidónom </w:t>
      </w:r>
      <w:r w:rsidRPr="00D76279">
        <w:rPr>
          <w:color w:val="000000"/>
          <w:sz w:val="22"/>
          <w:szCs w:val="22"/>
        </w:rPr>
        <w:t xml:space="preserve">u starších pacientov s demenciou a vyšším výskytom mortality bolo pozorované u pacientov liečených furosemidom a risperidónom (7,3 %; priemerný vek 89 rokov, rozsah 75-97 rokov) v porovnaní s pacientmi liečenými len risperidónom (3,1 %, priemerný vek 84 rokov, rozsah 70-96 rokov) alebo len furosemidom (4,1 %; priemerný vek 80 </w:t>
      </w:r>
      <w:r w:rsidR="00D52C4B" w:rsidRPr="00D76279">
        <w:rPr>
          <w:color w:val="000000"/>
          <w:sz w:val="22"/>
          <w:szCs w:val="22"/>
        </w:rPr>
        <w:t xml:space="preserve">rokov, rozmedzie 67-90 rokov). </w:t>
      </w:r>
      <w:r w:rsidRPr="00D76279">
        <w:rPr>
          <w:color w:val="000000"/>
          <w:sz w:val="22"/>
          <w:szCs w:val="22"/>
        </w:rPr>
        <w:t xml:space="preserve">Súčasné užívanie risperidónu a iných diuretík (najmä tiazidových diuretík užívaných v nízkych dávkach) nebolo spojené s podobnými nálezmi. </w:t>
      </w:r>
    </w:p>
    <w:p w14:paraId="2A5C2861" w14:textId="77777777" w:rsidR="00B843C6" w:rsidRPr="00D76279" w:rsidRDefault="00B843C6" w:rsidP="00181044">
      <w:pPr>
        <w:rPr>
          <w:color w:val="000000"/>
          <w:sz w:val="22"/>
          <w:szCs w:val="22"/>
        </w:rPr>
      </w:pPr>
      <w:r w:rsidRPr="00D76279">
        <w:rPr>
          <w:color w:val="000000"/>
          <w:sz w:val="22"/>
          <w:szCs w:val="22"/>
        </w:rPr>
        <w:t>Žiadny patofyziologický mechanizmus nebol identifikovaný pre vysvetlenie tohto javu a neexistuje žiadny konzistentný vzorec pre príčinu pozorovaných úmrtí. Aj napriek tomu je potrebná zvýšená opatrnosť a riziká a prínosy tejto kombinácie alebo súčasného podávania iných silných diuretík je potrebné zvážiť pred rozhodnutím použiť ju. Nevyskytol sa žiadny zvýšený výskyt úmrtnosti pacientov užívajúcich iné diuretiká v súčasnej liečbe risperidónom. Bez ohľadu na liečbu, dehydratácia bola celkovým rizikovým faktorom pri mortalite, a preto je potrebné vyhnúť sa používaniu tohto lieku u starších osôb s demenciou (pozri časť 4.3 Kontraindikácie).</w:t>
      </w:r>
    </w:p>
    <w:p w14:paraId="2C85E3E3" w14:textId="77777777" w:rsidR="00A87F8E" w:rsidRDefault="00A87F8E" w:rsidP="00181044">
      <w:pPr>
        <w:pStyle w:val="Default"/>
        <w:jc w:val="both"/>
        <w:rPr>
          <w:sz w:val="22"/>
          <w:szCs w:val="22"/>
        </w:rPr>
      </w:pPr>
    </w:p>
    <w:p w14:paraId="27843C5B" w14:textId="77777777" w:rsidR="00B843C6" w:rsidRPr="00D76279" w:rsidRDefault="00B843C6" w:rsidP="0029131D">
      <w:pPr>
        <w:pStyle w:val="Default"/>
        <w:rPr>
          <w:sz w:val="22"/>
          <w:szCs w:val="22"/>
        </w:rPr>
      </w:pPr>
      <w:r w:rsidRPr="00D76279">
        <w:rPr>
          <w:sz w:val="22"/>
          <w:szCs w:val="22"/>
        </w:rPr>
        <w:t xml:space="preserve">Fotosenzitivita: Boli hlásené prípady fotosenzitivity, Ak sa fotosenzitívna reakcia objaví počas liečby, odporúča sa danú liečbu zastaviť. Ak sa bude považovať za potrebné znovu podávať daný liek, odporúča sa chrániť odkryté časti pred slnkom alebo umelým UVA žiarením. </w:t>
      </w:r>
    </w:p>
    <w:p w14:paraId="170C2E13" w14:textId="77777777" w:rsidR="00B843C6" w:rsidRPr="00D76279" w:rsidRDefault="00B843C6" w:rsidP="00181044">
      <w:pPr>
        <w:rPr>
          <w:color w:val="000000"/>
          <w:sz w:val="22"/>
          <w:szCs w:val="22"/>
        </w:rPr>
      </w:pPr>
    </w:p>
    <w:p w14:paraId="2B6D829B" w14:textId="77777777" w:rsidR="00B843C6" w:rsidRPr="00D76279" w:rsidRDefault="00B843C6" w:rsidP="00181044">
      <w:pPr>
        <w:pStyle w:val="Normlnysozarkami"/>
        <w:spacing w:after="0"/>
        <w:ind w:left="0"/>
        <w:rPr>
          <w:szCs w:val="22"/>
        </w:rPr>
      </w:pPr>
      <w:r w:rsidRPr="00D76279">
        <w:rPr>
          <w:szCs w:val="22"/>
        </w:rPr>
        <w:t xml:space="preserve">Tento liek obsahuje menej ako 1 mmol sodíka (23 mg) v jednej ampulke, t. j. je v podstate </w:t>
      </w:r>
      <w:r w:rsidRPr="00D76279">
        <w:rPr>
          <w:szCs w:val="22"/>
          <w:cs/>
        </w:rPr>
        <w:t>„</w:t>
      </w:r>
      <w:r w:rsidRPr="00D76279">
        <w:rPr>
          <w:szCs w:val="22"/>
        </w:rPr>
        <w:t>bez obsahu sodíka</w:t>
      </w:r>
      <w:r w:rsidRPr="00D76279">
        <w:rPr>
          <w:szCs w:val="22"/>
          <w:cs/>
        </w:rPr>
        <w:t>“</w:t>
      </w:r>
      <w:r w:rsidRPr="00D76279">
        <w:rPr>
          <w:szCs w:val="22"/>
        </w:rPr>
        <w:t>.</w:t>
      </w:r>
    </w:p>
    <w:p w14:paraId="23382F81" w14:textId="77777777" w:rsidR="00B843C6" w:rsidRPr="00D76279" w:rsidRDefault="00B843C6" w:rsidP="00B843C6">
      <w:pPr>
        <w:rPr>
          <w:sz w:val="22"/>
          <w:szCs w:val="22"/>
        </w:rPr>
      </w:pPr>
      <w:r w:rsidRPr="00D76279">
        <w:rPr>
          <w:sz w:val="22"/>
          <w:szCs w:val="22"/>
        </w:rPr>
        <w:tab/>
      </w:r>
    </w:p>
    <w:p w14:paraId="6C96C96D" w14:textId="7E7E660D" w:rsidR="00B843C6" w:rsidRPr="00D76279" w:rsidRDefault="00B843C6" w:rsidP="00B843C6">
      <w:pPr>
        <w:pStyle w:val="Nadpis2"/>
        <w:spacing w:before="0" w:after="0"/>
        <w:rPr>
          <w:sz w:val="22"/>
          <w:szCs w:val="22"/>
        </w:rPr>
      </w:pPr>
      <w:r w:rsidRPr="00D76279">
        <w:rPr>
          <w:sz w:val="22"/>
          <w:szCs w:val="22"/>
        </w:rPr>
        <w:t>4.5</w:t>
      </w:r>
      <w:r w:rsidR="00A87F8E">
        <w:rPr>
          <w:sz w:val="22"/>
          <w:szCs w:val="22"/>
        </w:rPr>
        <w:tab/>
      </w:r>
      <w:r w:rsidRPr="00D76279">
        <w:rPr>
          <w:sz w:val="22"/>
          <w:szCs w:val="22"/>
        </w:rPr>
        <w:t>Liekové a iné interakcie</w:t>
      </w:r>
    </w:p>
    <w:p w14:paraId="6FBA4F69" w14:textId="77777777" w:rsidR="00B843C6" w:rsidRPr="00D76279" w:rsidRDefault="00B843C6" w:rsidP="00B843C6">
      <w:pPr>
        <w:rPr>
          <w:sz w:val="22"/>
          <w:szCs w:val="22"/>
        </w:rPr>
      </w:pPr>
    </w:p>
    <w:p w14:paraId="59854FE0" w14:textId="647251B4" w:rsidR="00B843C6" w:rsidRPr="00D76279" w:rsidRDefault="00A87F8E" w:rsidP="00181044">
      <w:pPr>
        <w:pStyle w:val="Default"/>
        <w:jc w:val="both"/>
        <w:rPr>
          <w:sz w:val="22"/>
          <w:szCs w:val="22"/>
          <w:u w:val="single"/>
        </w:rPr>
      </w:pPr>
      <w:r>
        <w:rPr>
          <w:sz w:val="22"/>
          <w:szCs w:val="22"/>
          <w:u w:val="single"/>
        </w:rPr>
        <w:t>Ne</w:t>
      </w:r>
      <w:r w:rsidR="00B843C6" w:rsidRPr="00D76279">
        <w:rPr>
          <w:sz w:val="22"/>
          <w:szCs w:val="22"/>
          <w:u w:val="single"/>
        </w:rPr>
        <w:t xml:space="preserve">odporúčané kombinácie </w:t>
      </w:r>
    </w:p>
    <w:p w14:paraId="6A563165" w14:textId="77777777" w:rsidR="00B843C6" w:rsidRPr="00D76279" w:rsidRDefault="00B843C6" w:rsidP="00181044">
      <w:pPr>
        <w:pStyle w:val="Default"/>
        <w:jc w:val="both"/>
        <w:rPr>
          <w:sz w:val="22"/>
          <w:szCs w:val="22"/>
        </w:rPr>
      </w:pPr>
    </w:p>
    <w:p w14:paraId="07B1D48C" w14:textId="77777777" w:rsidR="00B843C6" w:rsidRPr="00D76279" w:rsidRDefault="00B843C6" w:rsidP="00181044">
      <w:pPr>
        <w:pStyle w:val="Default"/>
        <w:jc w:val="both"/>
        <w:rPr>
          <w:sz w:val="22"/>
          <w:szCs w:val="22"/>
        </w:rPr>
      </w:pPr>
      <w:r w:rsidRPr="00D76279">
        <w:rPr>
          <w:sz w:val="22"/>
          <w:szCs w:val="22"/>
        </w:rPr>
        <w:t xml:space="preserve">Lítium: </w:t>
      </w:r>
    </w:p>
    <w:p w14:paraId="4C33C511" w14:textId="77777777" w:rsidR="00B843C6" w:rsidRPr="00D76279" w:rsidRDefault="00B843C6" w:rsidP="00181044">
      <w:pPr>
        <w:pStyle w:val="Default"/>
        <w:jc w:val="both"/>
        <w:rPr>
          <w:sz w:val="22"/>
          <w:szCs w:val="22"/>
        </w:rPr>
      </w:pPr>
      <w:r w:rsidRPr="00D76279">
        <w:rPr>
          <w:sz w:val="22"/>
          <w:szCs w:val="22"/>
        </w:rPr>
        <w:t xml:space="preserve">Furosemid môže znížiť hladinu vylučovaného lítia. čo vedie k zvýšenému kardiotoxickému účinku a lítiovej toxicite. Z tohto dôvodu sa táto kombinácia neodporúča (pozri časť 4.4). Ak sa táto kombinácia považuje za potrebnú, potom je potrebné dôsledne sledovať hladinu lítia a tiež je potrebné upraviť dávku lítia. </w:t>
      </w:r>
    </w:p>
    <w:p w14:paraId="791BFE94" w14:textId="77777777" w:rsidR="00B843C6" w:rsidRPr="00D76279" w:rsidRDefault="00B843C6" w:rsidP="00181044">
      <w:pPr>
        <w:pStyle w:val="Normlnywebov"/>
        <w:spacing w:before="0" w:beforeAutospacing="0" w:after="0"/>
        <w:rPr>
          <w:sz w:val="22"/>
          <w:szCs w:val="22"/>
        </w:rPr>
      </w:pPr>
    </w:p>
    <w:p w14:paraId="42027910" w14:textId="77777777" w:rsidR="00B843C6" w:rsidRPr="00D76279" w:rsidRDefault="00B843C6" w:rsidP="00181044">
      <w:pPr>
        <w:pStyle w:val="Normlnywebov"/>
        <w:spacing w:before="0" w:beforeAutospacing="0" w:after="0"/>
        <w:rPr>
          <w:sz w:val="22"/>
          <w:szCs w:val="22"/>
        </w:rPr>
      </w:pPr>
      <w:r w:rsidRPr="00D76279">
        <w:rPr>
          <w:sz w:val="22"/>
          <w:szCs w:val="22"/>
        </w:rPr>
        <w:t xml:space="preserve">Risperidón: </w:t>
      </w:r>
    </w:p>
    <w:p w14:paraId="73EB3A0B" w14:textId="4D5010CA" w:rsidR="00B843C6" w:rsidRPr="00D76279" w:rsidRDefault="00B843C6" w:rsidP="00181044">
      <w:pPr>
        <w:pStyle w:val="Normlnywebov"/>
        <w:spacing w:before="0" w:beforeAutospacing="0" w:after="0"/>
        <w:rPr>
          <w:sz w:val="22"/>
          <w:szCs w:val="22"/>
        </w:rPr>
      </w:pPr>
      <w:r w:rsidRPr="00D76279">
        <w:rPr>
          <w:sz w:val="22"/>
          <w:szCs w:val="22"/>
        </w:rPr>
        <w:t>Je potrebná zvýšená opatrnosť a</w:t>
      </w:r>
      <w:r w:rsidR="006147CA">
        <w:rPr>
          <w:sz w:val="22"/>
          <w:szCs w:val="22"/>
        </w:rPr>
        <w:t> pred rozhodnutím o použití sa majú zvážiť</w:t>
      </w:r>
      <w:r w:rsidRPr="00D76279">
        <w:rPr>
          <w:sz w:val="22"/>
          <w:szCs w:val="22"/>
        </w:rPr>
        <w:t xml:space="preserve"> riziká a prínosy tejto kombinácie alebo súčasného podávania s f</w:t>
      </w:r>
      <w:r w:rsidR="00D52C4B" w:rsidRPr="00D76279">
        <w:rPr>
          <w:sz w:val="22"/>
          <w:szCs w:val="22"/>
        </w:rPr>
        <w:t xml:space="preserve">urosemidom alebo s inými </w:t>
      </w:r>
      <w:r w:rsidRPr="00D76279">
        <w:rPr>
          <w:sz w:val="22"/>
          <w:szCs w:val="22"/>
        </w:rPr>
        <w:t xml:space="preserve">silnými diuretikami. </w:t>
      </w:r>
      <w:r w:rsidRPr="00081BF4">
        <w:rPr>
          <w:sz w:val="22"/>
          <w:szCs w:val="22"/>
        </w:rPr>
        <w:t xml:space="preserve">Pozri časť 4.4 Osobitné upozornenia a opatrenia pri používaní, </w:t>
      </w:r>
      <w:r w:rsidR="006147CA" w:rsidRPr="00081BF4">
        <w:rPr>
          <w:sz w:val="22"/>
          <w:szCs w:val="22"/>
        </w:rPr>
        <w:t>týkajúce sa</w:t>
      </w:r>
      <w:r w:rsidRPr="00081BF4">
        <w:rPr>
          <w:sz w:val="22"/>
          <w:szCs w:val="22"/>
        </w:rPr>
        <w:t xml:space="preserve"> zvýšenej úmrtnosti u starších pacientov s demenciou, ktorí súčasne užívajú risperidón.</w:t>
      </w:r>
    </w:p>
    <w:p w14:paraId="221EB308" w14:textId="77777777" w:rsidR="00B843C6" w:rsidRPr="00D76279" w:rsidRDefault="00B843C6" w:rsidP="00181044">
      <w:pPr>
        <w:pStyle w:val="Normlnywebov"/>
        <w:spacing w:before="0" w:beforeAutospacing="0" w:after="0"/>
        <w:rPr>
          <w:sz w:val="22"/>
          <w:szCs w:val="22"/>
        </w:rPr>
      </w:pPr>
    </w:p>
    <w:p w14:paraId="0EC6F747" w14:textId="77777777" w:rsidR="00B843C6" w:rsidRPr="00D76279" w:rsidRDefault="00B843C6" w:rsidP="00181044">
      <w:pPr>
        <w:pStyle w:val="Default"/>
        <w:jc w:val="both"/>
        <w:rPr>
          <w:sz w:val="22"/>
          <w:szCs w:val="22"/>
          <w:u w:val="single"/>
        </w:rPr>
      </w:pPr>
      <w:r w:rsidRPr="00D76279">
        <w:rPr>
          <w:sz w:val="22"/>
          <w:szCs w:val="22"/>
          <w:u w:val="single"/>
        </w:rPr>
        <w:t xml:space="preserve">Kombinácie, ktoré si vyžadujú opatrnosť pri užívaní </w:t>
      </w:r>
    </w:p>
    <w:p w14:paraId="02090935" w14:textId="77777777" w:rsidR="00B843C6" w:rsidRPr="00D76279" w:rsidRDefault="00B843C6" w:rsidP="00181044">
      <w:pPr>
        <w:pStyle w:val="Default"/>
        <w:jc w:val="both"/>
        <w:rPr>
          <w:sz w:val="22"/>
          <w:szCs w:val="22"/>
        </w:rPr>
      </w:pPr>
      <w:r w:rsidRPr="00D76279">
        <w:rPr>
          <w:sz w:val="22"/>
          <w:szCs w:val="22"/>
        </w:rPr>
        <w:t xml:space="preserve">Ototoxické lieky (napr. aminoglykozidy, cisplatina): </w:t>
      </w:r>
    </w:p>
    <w:p w14:paraId="2FB2E263" w14:textId="77777777" w:rsidR="00B843C6" w:rsidRPr="00D76279" w:rsidRDefault="00B843C6" w:rsidP="0029131D">
      <w:pPr>
        <w:pStyle w:val="Default"/>
        <w:rPr>
          <w:sz w:val="22"/>
          <w:szCs w:val="22"/>
        </w:rPr>
      </w:pPr>
      <w:r w:rsidRPr="00D76279">
        <w:rPr>
          <w:sz w:val="22"/>
          <w:szCs w:val="22"/>
        </w:rPr>
        <w:t>Furosemid môže zosilniť ototoxicitu niektorých liekov, ako sú cisplatina alebo aminoglykozidové antibiot</w:t>
      </w:r>
      <w:r w:rsidR="002F5CEC" w:rsidRPr="00D76279">
        <w:rPr>
          <w:sz w:val="22"/>
          <w:szCs w:val="22"/>
        </w:rPr>
        <w:t>ik</w:t>
      </w:r>
      <w:r w:rsidRPr="00D76279">
        <w:rPr>
          <w:sz w:val="22"/>
          <w:szCs w:val="22"/>
        </w:rPr>
        <w:t>á, ako sú kanamycín, gentamicín a tobramycín, a to najmä u paciento</w:t>
      </w:r>
      <w:r w:rsidR="00D52C4B" w:rsidRPr="00D76279">
        <w:rPr>
          <w:sz w:val="22"/>
          <w:szCs w:val="22"/>
        </w:rPr>
        <w:t xml:space="preserve">v s poruchou funkcie obličiek. </w:t>
      </w:r>
      <w:r w:rsidRPr="00D76279">
        <w:rPr>
          <w:sz w:val="22"/>
          <w:szCs w:val="22"/>
        </w:rPr>
        <w:t xml:space="preserve">Keďže to môže viesť k nevratnému poškodeniu, tieto lieky sa môžu používať s furosemidom len vtedy, ak sú na to vážne zdravotné dôvody. </w:t>
      </w:r>
    </w:p>
    <w:p w14:paraId="7CA3C947" w14:textId="77777777" w:rsidR="00B843C6" w:rsidRPr="00D76279" w:rsidRDefault="00B843C6" w:rsidP="00181044">
      <w:pPr>
        <w:pStyle w:val="Default"/>
        <w:jc w:val="both"/>
        <w:rPr>
          <w:sz w:val="22"/>
          <w:szCs w:val="22"/>
        </w:rPr>
      </w:pPr>
    </w:p>
    <w:p w14:paraId="326DAD6B" w14:textId="77777777" w:rsidR="00B843C6" w:rsidRPr="00D76279" w:rsidRDefault="00B843C6" w:rsidP="00181044">
      <w:pPr>
        <w:pStyle w:val="Default"/>
        <w:jc w:val="both"/>
        <w:rPr>
          <w:sz w:val="22"/>
          <w:szCs w:val="22"/>
        </w:rPr>
      </w:pPr>
      <w:r w:rsidRPr="00D76279">
        <w:rPr>
          <w:sz w:val="22"/>
          <w:szCs w:val="22"/>
        </w:rPr>
        <w:t xml:space="preserve">Chloralhydrát: </w:t>
      </w:r>
    </w:p>
    <w:p w14:paraId="34A2A8D4" w14:textId="77777777" w:rsidR="00B843C6" w:rsidRPr="00D76279" w:rsidRDefault="00B843C6" w:rsidP="00181044">
      <w:pPr>
        <w:pStyle w:val="Default"/>
        <w:jc w:val="both"/>
        <w:rPr>
          <w:sz w:val="22"/>
          <w:szCs w:val="22"/>
        </w:rPr>
      </w:pPr>
      <w:r w:rsidRPr="00D76279">
        <w:rPr>
          <w:sz w:val="22"/>
          <w:szCs w:val="22"/>
        </w:rPr>
        <w:t xml:space="preserve">V osobitných prípadoch môže intravenózne podanie furosemidu 24 hodín pred podaním chloralhydrátu spôsobiť začervenanie, nadmerné potenie, úzkosť, nevoľnosť, zvýšenie krvného tlaku a tachykardiu. Preto sa súčasné podávanie furosemidu a chloralhydrátu neodporúča. </w:t>
      </w:r>
    </w:p>
    <w:p w14:paraId="5F33A761" w14:textId="77777777" w:rsidR="00B843C6" w:rsidRPr="00D76279" w:rsidRDefault="00B843C6" w:rsidP="00181044">
      <w:pPr>
        <w:pStyle w:val="Default"/>
        <w:jc w:val="both"/>
        <w:rPr>
          <w:sz w:val="22"/>
          <w:szCs w:val="22"/>
        </w:rPr>
      </w:pPr>
    </w:p>
    <w:p w14:paraId="5BA91053" w14:textId="77777777" w:rsidR="00B843C6" w:rsidRPr="00D76279" w:rsidRDefault="00B843C6" w:rsidP="00181044">
      <w:pPr>
        <w:pStyle w:val="Default"/>
        <w:jc w:val="both"/>
        <w:rPr>
          <w:sz w:val="22"/>
          <w:szCs w:val="22"/>
        </w:rPr>
      </w:pPr>
      <w:r w:rsidRPr="00D76279">
        <w:rPr>
          <w:sz w:val="22"/>
          <w:szCs w:val="22"/>
        </w:rPr>
        <w:t xml:space="preserve">Karbamazepín a aminoglutetimid: </w:t>
      </w:r>
    </w:p>
    <w:p w14:paraId="7FE4230E" w14:textId="77777777" w:rsidR="00B843C6" w:rsidRPr="00D76279" w:rsidRDefault="00B843C6" w:rsidP="00181044">
      <w:pPr>
        <w:pStyle w:val="Default"/>
        <w:jc w:val="both"/>
        <w:rPr>
          <w:sz w:val="22"/>
          <w:szCs w:val="22"/>
        </w:rPr>
      </w:pPr>
      <w:r w:rsidRPr="00D76279">
        <w:rPr>
          <w:sz w:val="22"/>
          <w:szCs w:val="22"/>
        </w:rPr>
        <w:lastRenderedPageBreak/>
        <w:t>Súčasné podávanie karbamazepínu alebo aminoglutetimidu môže zvýšiť riziko hyponatr</w:t>
      </w:r>
      <w:r w:rsidR="005C7E6A">
        <w:rPr>
          <w:sz w:val="22"/>
          <w:szCs w:val="22"/>
        </w:rPr>
        <w:t>i</w:t>
      </w:r>
      <w:r w:rsidRPr="00D76279">
        <w:rPr>
          <w:sz w:val="22"/>
          <w:szCs w:val="22"/>
        </w:rPr>
        <w:t xml:space="preserve">émie. </w:t>
      </w:r>
    </w:p>
    <w:p w14:paraId="6E21C74B" w14:textId="77777777" w:rsidR="00B843C6" w:rsidRPr="00D76279" w:rsidRDefault="00B843C6" w:rsidP="00181044">
      <w:pPr>
        <w:pStyle w:val="Default"/>
        <w:jc w:val="both"/>
        <w:rPr>
          <w:sz w:val="22"/>
          <w:szCs w:val="22"/>
        </w:rPr>
      </w:pPr>
    </w:p>
    <w:p w14:paraId="20E78827" w14:textId="77777777" w:rsidR="00B843C6" w:rsidRPr="00D76279" w:rsidRDefault="00B843C6" w:rsidP="00181044">
      <w:pPr>
        <w:pStyle w:val="Default"/>
        <w:jc w:val="both"/>
        <w:rPr>
          <w:sz w:val="22"/>
          <w:szCs w:val="22"/>
        </w:rPr>
      </w:pPr>
      <w:r w:rsidRPr="00D76279">
        <w:rPr>
          <w:sz w:val="22"/>
          <w:szCs w:val="22"/>
        </w:rPr>
        <w:t xml:space="preserve">Ostatné antihypertenzíva: </w:t>
      </w:r>
    </w:p>
    <w:p w14:paraId="6D5EF60A" w14:textId="77777777" w:rsidR="00B843C6" w:rsidRPr="00D76279" w:rsidRDefault="00B843C6" w:rsidP="00181044">
      <w:pPr>
        <w:pStyle w:val="Default"/>
        <w:jc w:val="both"/>
        <w:rPr>
          <w:sz w:val="22"/>
          <w:szCs w:val="22"/>
        </w:rPr>
      </w:pPr>
      <w:r w:rsidRPr="00D76279">
        <w:rPr>
          <w:sz w:val="22"/>
          <w:szCs w:val="22"/>
        </w:rPr>
        <w:t xml:space="preserve">Účinok určitých antihypertenzív (diuretík a ďalších liekov, ktoré znižujú krvný tlak) môže byť zosilnený súčasným podávaním furosemidu. </w:t>
      </w:r>
    </w:p>
    <w:p w14:paraId="6F11CE79" w14:textId="77777777" w:rsidR="00B843C6" w:rsidRPr="00D76279" w:rsidRDefault="00B843C6" w:rsidP="00181044">
      <w:pPr>
        <w:pStyle w:val="Default"/>
        <w:jc w:val="both"/>
        <w:rPr>
          <w:sz w:val="22"/>
          <w:szCs w:val="22"/>
        </w:rPr>
      </w:pPr>
    </w:p>
    <w:p w14:paraId="77F918F1" w14:textId="210BB39F" w:rsidR="00B843C6" w:rsidRPr="00D76279" w:rsidRDefault="00B843C6" w:rsidP="0029131D">
      <w:pPr>
        <w:pStyle w:val="Default"/>
        <w:rPr>
          <w:sz w:val="22"/>
          <w:szCs w:val="22"/>
        </w:rPr>
      </w:pPr>
      <w:r w:rsidRPr="00D76279">
        <w:rPr>
          <w:sz w:val="22"/>
          <w:szCs w:val="22"/>
        </w:rPr>
        <w:t>Inhibítory angiotenzín konvertujúceho enzýmu (</w:t>
      </w:r>
      <w:r w:rsidR="006C4808" w:rsidRPr="00D76279">
        <w:rPr>
          <w:sz w:val="22"/>
          <w:szCs w:val="22"/>
        </w:rPr>
        <w:t>ACE</w:t>
      </w:r>
      <w:r w:rsidRPr="00D76279">
        <w:rPr>
          <w:sz w:val="22"/>
          <w:szCs w:val="22"/>
        </w:rPr>
        <w:t>)</w:t>
      </w:r>
      <w:r w:rsidR="006C4808" w:rsidRPr="00D76279">
        <w:rPr>
          <w:sz w:val="22"/>
          <w:szCs w:val="22"/>
        </w:rPr>
        <w:t xml:space="preserve"> a antagonisty receptora angiotenzínu II</w:t>
      </w:r>
      <w:r w:rsidRPr="00D76279">
        <w:rPr>
          <w:sz w:val="22"/>
          <w:szCs w:val="22"/>
        </w:rPr>
        <w:t xml:space="preserve">: </w:t>
      </w:r>
    </w:p>
    <w:p w14:paraId="2A3ED6BB" w14:textId="77777777" w:rsidR="00B843C6" w:rsidRPr="00D76279" w:rsidRDefault="00B843C6" w:rsidP="0029131D">
      <w:pPr>
        <w:pStyle w:val="Default"/>
        <w:rPr>
          <w:sz w:val="22"/>
          <w:szCs w:val="22"/>
        </w:rPr>
      </w:pPr>
      <w:r w:rsidRPr="00D76279">
        <w:rPr>
          <w:sz w:val="22"/>
          <w:szCs w:val="22"/>
        </w:rPr>
        <w:t>Účinky iných antihypertenzív sa môžu zvýši</w:t>
      </w:r>
      <w:r w:rsidR="00D52C4B" w:rsidRPr="00D76279">
        <w:rPr>
          <w:sz w:val="22"/>
          <w:szCs w:val="22"/>
        </w:rPr>
        <w:t xml:space="preserve">ť súčasným podaním furosemidu. </w:t>
      </w:r>
      <w:r w:rsidRPr="00D76279">
        <w:rPr>
          <w:sz w:val="22"/>
          <w:szCs w:val="22"/>
        </w:rPr>
        <w:t xml:space="preserve">Závažný pokles krvného tlaku so šokom v extrémnych prípadoch a zhoršenie funkcie obličiek (akútne zlyhanie obličiek v osobitných prípadoch) boli pozorované v kombinácii s ACE inhibítormi, kedy bol inhibítor ACE podávaný prvýkrát alebo prvýkrát vo vysokých dávkach (hypotenzia pri prvej dávke). Ak je to možné, liečba furosemidom by mala byť dočasne prerušená (alebo aspoň sa má znížiť dávka) počas troch dní pred začatím liečby s ACE inhibítormi alebo antagonistami receptora angiotenzínu II, alebo sa dávky ACE inhibítora alebo antagonistov receptora angiotenzínu II zvýšia. </w:t>
      </w:r>
    </w:p>
    <w:p w14:paraId="47C07D1B" w14:textId="77777777" w:rsidR="00B843C6" w:rsidRPr="00D76279" w:rsidRDefault="00B843C6" w:rsidP="0029131D">
      <w:pPr>
        <w:pStyle w:val="Default"/>
        <w:rPr>
          <w:sz w:val="22"/>
          <w:szCs w:val="22"/>
        </w:rPr>
      </w:pPr>
    </w:p>
    <w:p w14:paraId="3E8C3EFD" w14:textId="58F6AF34" w:rsidR="00B843C6" w:rsidRPr="00D76279" w:rsidRDefault="00B843C6" w:rsidP="0029131D">
      <w:pPr>
        <w:pStyle w:val="Default"/>
        <w:rPr>
          <w:sz w:val="22"/>
          <w:szCs w:val="22"/>
        </w:rPr>
      </w:pPr>
      <w:r w:rsidRPr="00D76279">
        <w:rPr>
          <w:sz w:val="22"/>
          <w:szCs w:val="22"/>
        </w:rPr>
        <w:t xml:space="preserve">Pacienti užívajúci diuretiká môžu trpieť výraznou hypotenziou a zhoršením funkcie obličiek; porucha funkcie obličiek sa môže tiež </w:t>
      </w:r>
      <w:r w:rsidR="006C4808" w:rsidRPr="00D76279">
        <w:rPr>
          <w:sz w:val="22"/>
          <w:szCs w:val="22"/>
        </w:rPr>
        <w:t xml:space="preserve">vyskytnúť </w:t>
      </w:r>
      <w:r w:rsidRPr="00D76279">
        <w:rPr>
          <w:sz w:val="22"/>
          <w:szCs w:val="22"/>
        </w:rPr>
        <w:t xml:space="preserve">počas prvého súčasného podávania, alebo pri prvom podaní vysokých dávok ACE alebo antagonistov receptora angiotenzínu II. </w:t>
      </w:r>
    </w:p>
    <w:p w14:paraId="25594302" w14:textId="77777777" w:rsidR="00B843C6" w:rsidRPr="00D76279" w:rsidRDefault="00B843C6" w:rsidP="0029131D">
      <w:pPr>
        <w:pStyle w:val="Default"/>
        <w:rPr>
          <w:sz w:val="22"/>
          <w:szCs w:val="22"/>
        </w:rPr>
      </w:pPr>
    </w:p>
    <w:p w14:paraId="6C6C680F" w14:textId="77777777" w:rsidR="00B843C6" w:rsidRPr="00D76279" w:rsidRDefault="00B843C6" w:rsidP="0029131D">
      <w:pPr>
        <w:pStyle w:val="Default"/>
        <w:rPr>
          <w:sz w:val="22"/>
          <w:szCs w:val="22"/>
        </w:rPr>
      </w:pPr>
      <w:r w:rsidRPr="00D76279">
        <w:rPr>
          <w:sz w:val="22"/>
          <w:szCs w:val="22"/>
        </w:rPr>
        <w:t xml:space="preserve">Tiazidy: </w:t>
      </w:r>
    </w:p>
    <w:p w14:paraId="15E0FA78" w14:textId="77777777" w:rsidR="00B843C6" w:rsidRPr="00D76279" w:rsidRDefault="00B843C6" w:rsidP="0029131D">
      <w:pPr>
        <w:pStyle w:val="Default"/>
        <w:rPr>
          <w:sz w:val="22"/>
          <w:szCs w:val="22"/>
        </w:rPr>
      </w:pPr>
      <w:r w:rsidRPr="00D76279">
        <w:rPr>
          <w:sz w:val="22"/>
          <w:szCs w:val="22"/>
        </w:rPr>
        <w:t>Synergický efekt diurézy nastáva ako výsledok interakcie</w:t>
      </w:r>
      <w:r w:rsidR="006C4808" w:rsidRPr="00D76279">
        <w:rPr>
          <w:sz w:val="22"/>
          <w:szCs w:val="22"/>
        </w:rPr>
        <w:t xml:space="preserve"> furosemidu </w:t>
      </w:r>
      <w:r w:rsidRPr="00D76279">
        <w:rPr>
          <w:sz w:val="22"/>
          <w:szCs w:val="22"/>
        </w:rPr>
        <w:t xml:space="preserve">a tiazidov. </w:t>
      </w:r>
    </w:p>
    <w:p w14:paraId="72F57A2C" w14:textId="77777777" w:rsidR="00B843C6" w:rsidRPr="00D76279" w:rsidRDefault="00B843C6" w:rsidP="0029131D">
      <w:pPr>
        <w:pStyle w:val="Default"/>
        <w:rPr>
          <w:sz w:val="22"/>
          <w:szCs w:val="22"/>
        </w:rPr>
      </w:pPr>
    </w:p>
    <w:p w14:paraId="4E5CED1C" w14:textId="77777777" w:rsidR="00B843C6" w:rsidRPr="00D76279" w:rsidRDefault="00B843C6" w:rsidP="0029131D">
      <w:pPr>
        <w:pStyle w:val="Default"/>
        <w:rPr>
          <w:sz w:val="22"/>
          <w:szCs w:val="22"/>
        </w:rPr>
      </w:pPr>
      <w:r w:rsidRPr="00D76279">
        <w:rPr>
          <w:sz w:val="22"/>
          <w:szCs w:val="22"/>
        </w:rPr>
        <w:t xml:space="preserve">Antidiabetiká: </w:t>
      </w:r>
    </w:p>
    <w:p w14:paraId="5E012037" w14:textId="758E8401" w:rsidR="00C8670A" w:rsidRDefault="00B843C6" w:rsidP="0029131D">
      <w:pPr>
        <w:pStyle w:val="Default"/>
        <w:rPr>
          <w:sz w:val="22"/>
          <w:szCs w:val="22"/>
        </w:rPr>
      </w:pPr>
      <w:r w:rsidRPr="00D76279">
        <w:rPr>
          <w:sz w:val="22"/>
          <w:szCs w:val="22"/>
        </w:rPr>
        <w:t xml:space="preserve">Môže </w:t>
      </w:r>
      <w:r w:rsidR="006C4808" w:rsidRPr="00D76279">
        <w:rPr>
          <w:sz w:val="22"/>
          <w:szCs w:val="22"/>
        </w:rPr>
        <w:t xml:space="preserve">sa </w:t>
      </w:r>
      <w:r w:rsidRPr="00D76279">
        <w:rPr>
          <w:sz w:val="22"/>
          <w:szCs w:val="22"/>
        </w:rPr>
        <w:t>objaviť pokles glukózovej tolerancie, pretože furosemid môže</w:t>
      </w:r>
      <w:r w:rsidR="006C4808" w:rsidRPr="00D76279">
        <w:rPr>
          <w:sz w:val="22"/>
          <w:szCs w:val="22"/>
        </w:rPr>
        <w:t xml:space="preserve"> znížiť</w:t>
      </w:r>
      <w:r w:rsidRPr="00D76279">
        <w:rPr>
          <w:sz w:val="22"/>
          <w:szCs w:val="22"/>
        </w:rPr>
        <w:t xml:space="preserve"> účinok</w:t>
      </w:r>
      <w:r w:rsidR="006C4808" w:rsidRPr="00D76279">
        <w:rPr>
          <w:sz w:val="22"/>
          <w:szCs w:val="22"/>
        </w:rPr>
        <w:t xml:space="preserve"> týchto liekov</w:t>
      </w:r>
      <w:r w:rsidRPr="00D76279">
        <w:rPr>
          <w:sz w:val="22"/>
          <w:szCs w:val="22"/>
        </w:rPr>
        <w:t xml:space="preserve">. </w:t>
      </w:r>
    </w:p>
    <w:p w14:paraId="6C3DBE09" w14:textId="77777777" w:rsidR="00C8670A" w:rsidRDefault="00C8670A" w:rsidP="0029131D">
      <w:pPr>
        <w:pStyle w:val="Default"/>
        <w:rPr>
          <w:sz w:val="22"/>
          <w:szCs w:val="22"/>
        </w:rPr>
      </w:pPr>
    </w:p>
    <w:p w14:paraId="38E65C57" w14:textId="21D56251" w:rsidR="00B843C6" w:rsidRPr="00D76279" w:rsidRDefault="00B843C6" w:rsidP="0029131D">
      <w:pPr>
        <w:pStyle w:val="Default"/>
        <w:rPr>
          <w:sz w:val="22"/>
          <w:szCs w:val="22"/>
        </w:rPr>
      </w:pPr>
      <w:r w:rsidRPr="00D76279">
        <w:rPr>
          <w:sz w:val="22"/>
          <w:szCs w:val="22"/>
        </w:rPr>
        <w:t xml:space="preserve">Metformín: </w:t>
      </w:r>
    </w:p>
    <w:p w14:paraId="78714E64" w14:textId="77777777" w:rsidR="00B843C6" w:rsidRPr="00D76279" w:rsidRDefault="00B843C6" w:rsidP="0029131D">
      <w:pPr>
        <w:pStyle w:val="Default"/>
        <w:rPr>
          <w:sz w:val="22"/>
          <w:szCs w:val="22"/>
        </w:rPr>
      </w:pPr>
      <w:r w:rsidRPr="00D76279">
        <w:rPr>
          <w:sz w:val="22"/>
          <w:szCs w:val="22"/>
        </w:rPr>
        <w:t xml:space="preserve">Furosemid môže zvýšiť hladinu metformínu v krvi. Naopak, metformín môže znížiť koncentráciu furosemidu. Toto riziko je spojené so zvýšeným výskytom laktátovej acidózy pri nedostatočnej funkcii obličiek. </w:t>
      </w:r>
    </w:p>
    <w:p w14:paraId="2DD95BE6" w14:textId="77777777" w:rsidR="00B843C6" w:rsidRPr="00D76279" w:rsidRDefault="00B843C6" w:rsidP="0029131D">
      <w:pPr>
        <w:pStyle w:val="Default"/>
        <w:rPr>
          <w:sz w:val="22"/>
          <w:szCs w:val="22"/>
        </w:rPr>
      </w:pPr>
    </w:p>
    <w:p w14:paraId="06A74CEB" w14:textId="77777777" w:rsidR="00B843C6" w:rsidRPr="00D76279" w:rsidRDefault="00B843C6" w:rsidP="0029131D">
      <w:pPr>
        <w:pStyle w:val="Default"/>
        <w:rPr>
          <w:sz w:val="22"/>
          <w:szCs w:val="22"/>
        </w:rPr>
      </w:pPr>
      <w:r w:rsidRPr="00D76279">
        <w:rPr>
          <w:sz w:val="22"/>
          <w:szCs w:val="22"/>
        </w:rPr>
        <w:t xml:space="preserve">Srdcové glykozidy (napr. digoxín) a iné lieky, ktoré môžu spôsobiť predĺženie QT intervalu: </w:t>
      </w:r>
    </w:p>
    <w:p w14:paraId="5B3E75FD" w14:textId="77777777" w:rsidR="00B843C6" w:rsidRPr="00D76279" w:rsidRDefault="00B843C6" w:rsidP="0029131D">
      <w:pPr>
        <w:pStyle w:val="Default"/>
        <w:rPr>
          <w:sz w:val="22"/>
          <w:szCs w:val="22"/>
        </w:rPr>
      </w:pPr>
    </w:p>
    <w:p w14:paraId="0641419B" w14:textId="77777777" w:rsidR="00B843C6" w:rsidRPr="00D76279" w:rsidRDefault="00B843C6" w:rsidP="0029131D">
      <w:pPr>
        <w:pStyle w:val="Default"/>
        <w:rPr>
          <w:sz w:val="22"/>
          <w:szCs w:val="22"/>
        </w:rPr>
      </w:pPr>
      <w:r w:rsidRPr="00D76279">
        <w:rPr>
          <w:sz w:val="22"/>
          <w:szCs w:val="22"/>
        </w:rPr>
        <w:t xml:space="preserve">Zníženie hladiny draslíka môže zvýšiť digitalisovú toxicitu; z tohto dôvodu by mala byť sledovaná hladina draslíka. </w:t>
      </w:r>
    </w:p>
    <w:p w14:paraId="107E90DB" w14:textId="77777777" w:rsidR="00B843C6" w:rsidRPr="00D76279" w:rsidRDefault="00B843C6" w:rsidP="0029131D">
      <w:pPr>
        <w:pStyle w:val="Default"/>
        <w:rPr>
          <w:sz w:val="22"/>
          <w:szCs w:val="22"/>
        </w:rPr>
      </w:pPr>
      <w:r w:rsidRPr="00D76279">
        <w:rPr>
          <w:sz w:val="22"/>
          <w:szCs w:val="22"/>
        </w:rPr>
        <w:t>Niektoré poruchy elektrolytov môžu zvyšovať toxicitu niektorých súčasne podávaných liekov, ktoré môžu spôsobiť predĺženie QT intervalu, napr. (antiarytmiká triedy Ia a antiarytmiká triedy III, ako sú</w:t>
      </w:r>
      <w:r w:rsidR="00D52C4B" w:rsidRPr="00D76279">
        <w:rPr>
          <w:sz w:val="22"/>
          <w:szCs w:val="22"/>
        </w:rPr>
        <w:t xml:space="preserve"> </w:t>
      </w:r>
      <w:r w:rsidRPr="00D76279">
        <w:rPr>
          <w:sz w:val="22"/>
          <w:szCs w:val="22"/>
        </w:rPr>
        <w:t>amiodarón, sotalol, dof</w:t>
      </w:r>
      <w:r w:rsidR="00D52C4B" w:rsidRPr="00D76279">
        <w:rPr>
          <w:sz w:val="22"/>
          <w:szCs w:val="22"/>
        </w:rPr>
        <w:t xml:space="preserve">etilid, ibutilid a chinolóny). </w:t>
      </w:r>
      <w:r w:rsidRPr="00D76279">
        <w:rPr>
          <w:sz w:val="22"/>
          <w:szCs w:val="22"/>
        </w:rPr>
        <w:t xml:space="preserve">Odporúča sa sledovanie hladiny draslíka v plazme a EKG. </w:t>
      </w:r>
    </w:p>
    <w:p w14:paraId="6287E837" w14:textId="77777777" w:rsidR="00B843C6" w:rsidRPr="00D76279" w:rsidRDefault="00B843C6" w:rsidP="00181044">
      <w:pPr>
        <w:pStyle w:val="Default"/>
        <w:jc w:val="both"/>
        <w:rPr>
          <w:sz w:val="22"/>
          <w:szCs w:val="22"/>
        </w:rPr>
      </w:pPr>
    </w:p>
    <w:p w14:paraId="12E46AD6" w14:textId="77777777" w:rsidR="00B843C6" w:rsidRPr="00D76279" w:rsidRDefault="00B843C6" w:rsidP="00181044">
      <w:pPr>
        <w:pStyle w:val="Default"/>
        <w:jc w:val="both"/>
        <w:rPr>
          <w:sz w:val="22"/>
          <w:szCs w:val="22"/>
        </w:rPr>
      </w:pPr>
      <w:r w:rsidRPr="00D76279">
        <w:rPr>
          <w:sz w:val="22"/>
          <w:szCs w:val="22"/>
        </w:rPr>
        <w:t xml:space="preserve">Fibráty: </w:t>
      </w:r>
    </w:p>
    <w:p w14:paraId="5FE359F3" w14:textId="5CC8A979" w:rsidR="00B843C6" w:rsidRPr="00D76279" w:rsidRDefault="00B843C6" w:rsidP="0029131D">
      <w:pPr>
        <w:pStyle w:val="Default"/>
        <w:rPr>
          <w:sz w:val="22"/>
          <w:szCs w:val="22"/>
        </w:rPr>
      </w:pPr>
      <w:r w:rsidRPr="00D76279">
        <w:rPr>
          <w:sz w:val="22"/>
          <w:szCs w:val="22"/>
        </w:rPr>
        <w:t>Hladina furosemidu a derivátov kyseliny fibrovej (napr. klofibrát a fenofibrát) v krvi sa môže zvýšiť pri súbežnom podávaní (naj</w:t>
      </w:r>
      <w:r w:rsidR="00D52C4B" w:rsidRPr="00D76279">
        <w:rPr>
          <w:sz w:val="22"/>
          <w:szCs w:val="22"/>
        </w:rPr>
        <w:t xml:space="preserve">mä v prípade hypoalbuminémie). </w:t>
      </w:r>
      <w:r w:rsidRPr="00D76279">
        <w:rPr>
          <w:sz w:val="22"/>
          <w:szCs w:val="22"/>
        </w:rPr>
        <w:t>Je potrebné sledovať z</w:t>
      </w:r>
      <w:r w:rsidR="005E46D5">
        <w:rPr>
          <w:sz w:val="22"/>
          <w:szCs w:val="22"/>
        </w:rPr>
        <w:t>výšenie</w:t>
      </w:r>
      <w:r w:rsidRPr="00D76279">
        <w:rPr>
          <w:sz w:val="22"/>
          <w:szCs w:val="22"/>
        </w:rPr>
        <w:t xml:space="preserve"> ich účinku/toxicity. </w:t>
      </w:r>
    </w:p>
    <w:p w14:paraId="2FFEA0AF" w14:textId="77777777" w:rsidR="00B843C6" w:rsidRPr="00D76279" w:rsidRDefault="00B843C6" w:rsidP="0029131D">
      <w:pPr>
        <w:pStyle w:val="Default"/>
        <w:rPr>
          <w:sz w:val="22"/>
          <w:szCs w:val="22"/>
        </w:rPr>
      </w:pPr>
    </w:p>
    <w:p w14:paraId="56673882" w14:textId="77777777" w:rsidR="00B843C6" w:rsidRPr="00D76279" w:rsidRDefault="00B843C6" w:rsidP="0029131D">
      <w:pPr>
        <w:pStyle w:val="Default"/>
        <w:rPr>
          <w:sz w:val="22"/>
          <w:szCs w:val="22"/>
        </w:rPr>
      </w:pPr>
      <w:r w:rsidRPr="00D76279">
        <w:rPr>
          <w:sz w:val="22"/>
          <w:szCs w:val="22"/>
        </w:rPr>
        <w:t xml:space="preserve">Nesteroidné protizápalové látky a vysoké dávky salicylátov: </w:t>
      </w:r>
    </w:p>
    <w:p w14:paraId="053E2355" w14:textId="7F4252A1" w:rsidR="00B843C6" w:rsidRPr="00D76279" w:rsidRDefault="00B843C6" w:rsidP="0029131D">
      <w:pPr>
        <w:pStyle w:val="Default"/>
        <w:rPr>
          <w:sz w:val="22"/>
          <w:szCs w:val="22"/>
        </w:rPr>
      </w:pPr>
      <w:r w:rsidRPr="00D76279">
        <w:rPr>
          <w:sz w:val="22"/>
          <w:szCs w:val="22"/>
        </w:rPr>
        <w:t xml:space="preserve">Nesteroidné protizápalové látky (vrátane koxibov) môžu </w:t>
      </w:r>
      <w:r w:rsidR="006C4808" w:rsidRPr="00D76279">
        <w:rPr>
          <w:sz w:val="22"/>
          <w:szCs w:val="22"/>
        </w:rPr>
        <w:t>vyvolať akútne zlyhanie obličiek v prípadoch už existujúcej</w:t>
      </w:r>
      <w:r w:rsidRPr="00D76279">
        <w:rPr>
          <w:sz w:val="22"/>
          <w:szCs w:val="22"/>
        </w:rPr>
        <w:t xml:space="preserve"> hypovolémie a znížiť diuretický, natriuret</w:t>
      </w:r>
      <w:r w:rsidR="00D52C4B" w:rsidRPr="00D76279">
        <w:rPr>
          <w:sz w:val="22"/>
          <w:szCs w:val="22"/>
        </w:rPr>
        <w:t xml:space="preserve">ický a antihypertenzný účinok. </w:t>
      </w:r>
      <w:r w:rsidRPr="00D76279">
        <w:rPr>
          <w:sz w:val="22"/>
          <w:szCs w:val="22"/>
        </w:rPr>
        <w:t xml:space="preserve">Keď sa podávajú spoločne s vysokými dávkami salicylátov, predispozície pre salicylovú toxicitu sa môžu zvýšiť v dôsledku zníženého vylučovania moču alebo zmenenej funkcie obličiek. </w:t>
      </w:r>
    </w:p>
    <w:p w14:paraId="3BDE2BC7" w14:textId="77777777" w:rsidR="00B843C6" w:rsidRPr="00D76279" w:rsidRDefault="00B843C6" w:rsidP="0029131D">
      <w:pPr>
        <w:pStyle w:val="Default"/>
        <w:rPr>
          <w:sz w:val="22"/>
          <w:szCs w:val="22"/>
        </w:rPr>
      </w:pPr>
    </w:p>
    <w:p w14:paraId="55423819" w14:textId="77777777" w:rsidR="00B843C6" w:rsidRPr="00FE56AA" w:rsidRDefault="00B843C6" w:rsidP="0029131D">
      <w:pPr>
        <w:pStyle w:val="Default"/>
        <w:rPr>
          <w:sz w:val="22"/>
          <w:szCs w:val="22"/>
        </w:rPr>
      </w:pPr>
      <w:r w:rsidRPr="00FE56AA">
        <w:rPr>
          <w:sz w:val="22"/>
          <w:szCs w:val="22"/>
        </w:rPr>
        <w:t xml:space="preserve">Nefrotoxické lieky (napr. polymyxíny, aminoglykozidy, cefalosporíny, organoplatiny, imunosupresíva, jódové kontrastné látky, foskarnet, pentamidín): </w:t>
      </w:r>
    </w:p>
    <w:p w14:paraId="686F09DF" w14:textId="03A50649" w:rsidR="00C8670A" w:rsidRPr="00FE56AA" w:rsidRDefault="006C4808" w:rsidP="00181044">
      <w:pPr>
        <w:rPr>
          <w:sz w:val="22"/>
          <w:szCs w:val="22"/>
        </w:rPr>
      </w:pPr>
      <w:r w:rsidRPr="00FE56AA">
        <w:rPr>
          <w:sz w:val="22"/>
          <w:szCs w:val="22"/>
        </w:rPr>
        <w:t xml:space="preserve">Furosemid môže zosilniť </w:t>
      </w:r>
      <w:r w:rsidR="00B843C6" w:rsidRPr="00FE56AA">
        <w:rPr>
          <w:sz w:val="22"/>
          <w:szCs w:val="22"/>
        </w:rPr>
        <w:t>nefrotoxické účin</w:t>
      </w:r>
      <w:r w:rsidR="00FE56AA">
        <w:rPr>
          <w:sz w:val="22"/>
          <w:szCs w:val="22"/>
        </w:rPr>
        <w:t>ky</w:t>
      </w:r>
      <w:r w:rsidR="00B843C6" w:rsidRPr="00FE56AA">
        <w:rPr>
          <w:sz w:val="22"/>
          <w:szCs w:val="22"/>
        </w:rPr>
        <w:t xml:space="preserve"> nefrotoxických liekov</w:t>
      </w:r>
      <w:r w:rsidRPr="00FE56AA">
        <w:rPr>
          <w:sz w:val="22"/>
          <w:szCs w:val="22"/>
        </w:rPr>
        <w:t>.</w:t>
      </w:r>
    </w:p>
    <w:p w14:paraId="0A79AFC4" w14:textId="6B4A09AC" w:rsidR="00C8670A" w:rsidRPr="002C1A07" w:rsidRDefault="00C8670A">
      <w:pPr>
        <w:rPr>
          <w:color w:val="000000"/>
          <w:sz w:val="22"/>
          <w:szCs w:val="22"/>
        </w:rPr>
      </w:pPr>
      <w:r w:rsidRPr="00FE56AA">
        <w:rPr>
          <w:color w:val="000000"/>
          <w:sz w:val="22"/>
          <w:szCs w:val="22"/>
        </w:rPr>
        <w:t>Antibiotiká</w:t>
      </w:r>
      <w:r w:rsidR="00B843C6" w:rsidRPr="00FE56AA">
        <w:rPr>
          <w:color w:val="000000"/>
          <w:sz w:val="22"/>
          <w:szCs w:val="22"/>
        </w:rPr>
        <w:t>, ako sú cefalosporíny - znížená funkcia obličiek sa môže vyvinúť u</w:t>
      </w:r>
      <w:r w:rsidRPr="00FE56AA">
        <w:rPr>
          <w:color w:val="000000"/>
          <w:sz w:val="22"/>
          <w:szCs w:val="22"/>
        </w:rPr>
        <w:t xml:space="preserve"> pacientov </w:t>
      </w:r>
      <w:r w:rsidR="00B843C6" w:rsidRPr="00F8430A">
        <w:rPr>
          <w:color w:val="000000"/>
          <w:sz w:val="22"/>
          <w:szCs w:val="22"/>
        </w:rPr>
        <w:t>liečených</w:t>
      </w:r>
      <w:r w:rsidRPr="00F8430A">
        <w:rPr>
          <w:color w:val="000000"/>
          <w:sz w:val="22"/>
          <w:szCs w:val="22"/>
        </w:rPr>
        <w:t xml:space="preserve"> furosemidom a vysokými dávkami </w:t>
      </w:r>
      <w:r w:rsidR="00B843C6" w:rsidRPr="002C1A07">
        <w:rPr>
          <w:color w:val="000000"/>
          <w:sz w:val="22"/>
          <w:szCs w:val="22"/>
        </w:rPr>
        <w:t xml:space="preserve">určitých </w:t>
      </w:r>
      <w:r w:rsidRPr="002C1A07">
        <w:rPr>
          <w:color w:val="000000"/>
          <w:sz w:val="22"/>
          <w:szCs w:val="22"/>
        </w:rPr>
        <w:t>cefalosporínov.</w:t>
      </w:r>
    </w:p>
    <w:p w14:paraId="569A1028" w14:textId="11659E8D" w:rsidR="00B843C6" w:rsidRPr="00D76279" w:rsidRDefault="00B843C6">
      <w:pPr>
        <w:rPr>
          <w:b/>
          <w:i/>
          <w:sz w:val="22"/>
          <w:szCs w:val="22"/>
        </w:rPr>
      </w:pPr>
      <w:r w:rsidRPr="00FE56AA">
        <w:rPr>
          <w:color w:val="000000"/>
          <w:sz w:val="22"/>
          <w:szCs w:val="22"/>
        </w:rPr>
        <w:lastRenderedPageBreak/>
        <w:t>Existuje tu riziko cytotoxických účinkov, a</w:t>
      </w:r>
      <w:r w:rsidR="00FE56AA">
        <w:rPr>
          <w:color w:val="000000"/>
          <w:sz w:val="22"/>
          <w:szCs w:val="22"/>
        </w:rPr>
        <w:t>k sa</w:t>
      </w:r>
      <w:r w:rsidRPr="00FE56AA">
        <w:rPr>
          <w:color w:val="000000"/>
          <w:sz w:val="22"/>
          <w:szCs w:val="22"/>
        </w:rPr>
        <w:t xml:space="preserve"> cisplatina a furosemid podávajú súčasne.</w:t>
      </w:r>
    </w:p>
    <w:p w14:paraId="6F6AAAC4" w14:textId="77777777" w:rsidR="00B843C6" w:rsidRPr="00D76279" w:rsidRDefault="00B843C6" w:rsidP="0029131D">
      <w:pPr>
        <w:pStyle w:val="Default"/>
        <w:rPr>
          <w:sz w:val="22"/>
          <w:szCs w:val="22"/>
        </w:rPr>
      </w:pPr>
      <w:r w:rsidRPr="00D76279">
        <w:rPr>
          <w:sz w:val="22"/>
          <w:szCs w:val="22"/>
        </w:rPr>
        <w:t xml:space="preserve"> </w:t>
      </w:r>
    </w:p>
    <w:p w14:paraId="6A26120B" w14:textId="38A642F8" w:rsidR="00C8670A" w:rsidRDefault="00B843C6" w:rsidP="0029131D">
      <w:pPr>
        <w:pStyle w:val="Default"/>
        <w:rPr>
          <w:sz w:val="22"/>
          <w:szCs w:val="22"/>
        </w:rPr>
      </w:pPr>
      <w:r w:rsidRPr="00D76279">
        <w:rPr>
          <w:sz w:val="22"/>
          <w:szCs w:val="22"/>
        </w:rPr>
        <w:t>Okrem toho sa nefrotoxicita</w:t>
      </w:r>
      <w:r w:rsidR="006C4808" w:rsidRPr="00D76279">
        <w:rPr>
          <w:sz w:val="22"/>
          <w:szCs w:val="22"/>
        </w:rPr>
        <w:t xml:space="preserve"> cisplatiny môže </w:t>
      </w:r>
      <w:r w:rsidRPr="00D76279">
        <w:rPr>
          <w:sz w:val="22"/>
          <w:szCs w:val="22"/>
        </w:rPr>
        <w:t>zvýšiť</w:t>
      </w:r>
      <w:r w:rsidR="006C4808" w:rsidRPr="00D76279">
        <w:rPr>
          <w:sz w:val="22"/>
          <w:szCs w:val="22"/>
        </w:rPr>
        <w:t xml:space="preserve">, ak sa furosemid </w:t>
      </w:r>
      <w:r w:rsidRPr="00D76279">
        <w:rPr>
          <w:sz w:val="22"/>
          <w:szCs w:val="22"/>
        </w:rPr>
        <w:t>nepodáva</w:t>
      </w:r>
      <w:r w:rsidR="006C4808" w:rsidRPr="00D76279">
        <w:rPr>
          <w:sz w:val="22"/>
          <w:szCs w:val="22"/>
        </w:rPr>
        <w:t xml:space="preserve"> v</w:t>
      </w:r>
      <w:r w:rsidRPr="00D76279">
        <w:rPr>
          <w:sz w:val="22"/>
          <w:szCs w:val="22"/>
        </w:rPr>
        <w:t xml:space="preserve"> </w:t>
      </w:r>
      <w:r w:rsidR="006C4808" w:rsidRPr="00D76279">
        <w:rPr>
          <w:sz w:val="22"/>
          <w:szCs w:val="22"/>
        </w:rPr>
        <w:t>nízkych dávkach (napr. 40 mg u pacientov s normálnou funkciou obličiek) a</w:t>
      </w:r>
      <w:r w:rsidRPr="00D76279">
        <w:rPr>
          <w:sz w:val="22"/>
          <w:szCs w:val="22"/>
        </w:rPr>
        <w:t xml:space="preserve"> </w:t>
      </w:r>
      <w:r w:rsidR="006C4808" w:rsidRPr="00D76279">
        <w:rPr>
          <w:sz w:val="22"/>
          <w:szCs w:val="22"/>
        </w:rPr>
        <w:t xml:space="preserve">pri pozitívnej rovnováhe tekutín, </w:t>
      </w:r>
      <w:r w:rsidRPr="00D76279">
        <w:rPr>
          <w:sz w:val="22"/>
          <w:szCs w:val="22"/>
        </w:rPr>
        <w:t>keď</w:t>
      </w:r>
      <w:r w:rsidR="006C4808" w:rsidRPr="00D76279">
        <w:rPr>
          <w:sz w:val="22"/>
          <w:szCs w:val="22"/>
        </w:rPr>
        <w:t xml:space="preserve"> sa používa na dosiahnutie nútenej diurézy počas liečby cisplatinou.</w:t>
      </w:r>
      <w:r w:rsidRPr="00D76279">
        <w:rPr>
          <w:sz w:val="22"/>
          <w:szCs w:val="22"/>
        </w:rPr>
        <w:t xml:space="preserve"> </w:t>
      </w:r>
    </w:p>
    <w:p w14:paraId="518F1F1D" w14:textId="77777777" w:rsidR="00C8670A" w:rsidRDefault="00C8670A" w:rsidP="0029131D">
      <w:pPr>
        <w:pStyle w:val="Default"/>
        <w:rPr>
          <w:sz w:val="22"/>
          <w:szCs w:val="22"/>
        </w:rPr>
      </w:pPr>
    </w:p>
    <w:p w14:paraId="4FB60B65" w14:textId="5EBA7005" w:rsidR="00B843C6" w:rsidRPr="00D76279" w:rsidRDefault="00B843C6" w:rsidP="0029131D">
      <w:pPr>
        <w:pStyle w:val="Default"/>
        <w:rPr>
          <w:sz w:val="22"/>
          <w:szCs w:val="22"/>
        </w:rPr>
      </w:pPr>
      <w:r w:rsidRPr="00D76279">
        <w:rPr>
          <w:sz w:val="22"/>
          <w:szCs w:val="22"/>
        </w:rPr>
        <w:t xml:space="preserve">Lieky, ktoré sú vystavené výraznej </w:t>
      </w:r>
      <w:r w:rsidR="002C1A07">
        <w:rPr>
          <w:sz w:val="22"/>
          <w:szCs w:val="22"/>
        </w:rPr>
        <w:t xml:space="preserve">renálnej </w:t>
      </w:r>
      <w:r w:rsidRPr="00D76279">
        <w:rPr>
          <w:sz w:val="22"/>
          <w:szCs w:val="22"/>
        </w:rPr>
        <w:t xml:space="preserve">tubulárnej sekrécii: </w:t>
      </w:r>
    </w:p>
    <w:p w14:paraId="15E00FC4" w14:textId="35AFC95A" w:rsidR="00B843C6" w:rsidRPr="00D76279" w:rsidRDefault="00B843C6" w:rsidP="0029131D">
      <w:pPr>
        <w:pStyle w:val="Default"/>
        <w:rPr>
          <w:sz w:val="22"/>
          <w:szCs w:val="22"/>
        </w:rPr>
      </w:pPr>
      <w:r w:rsidRPr="00D76279">
        <w:rPr>
          <w:sz w:val="22"/>
          <w:szCs w:val="22"/>
        </w:rPr>
        <w:t>Probenecid, metotrexát a ďalšie lieky, ktoré sú podobne ako furosemid vyst</w:t>
      </w:r>
      <w:r w:rsidR="00F8430A">
        <w:rPr>
          <w:sz w:val="22"/>
          <w:szCs w:val="22"/>
        </w:rPr>
        <w:t>a</w:t>
      </w:r>
      <w:r w:rsidRPr="00D76279">
        <w:rPr>
          <w:sz w:val="22"/>
          <w:szCs w:val="22"/>
        </w:rPr>
        <w:t xml:space="preserve">vené výraznej </w:t>
      </w:r>
      <w:r w:rsidR="002C1A07">
        <w:rPr>
          <w:sz w:val="22"/>
          <w:szCs w:val="22"/>
        </w:rPr>
        <w:t xml:space="preserve">renálnej </w:t>
      </w:r>
      <w:r w:rsidRPr="00D76279">
        <w:rPr>
          <w:sz w:val="22"/>
          <w:szCs w:val="22"/>
        </w:rPr>
        <w:t xml:space="preserve">tubulárnej sekrécii, môžu znížiť účinok furosemidu. Naopak, furosemid môže znížiť renálnu elimináciu týchto produktov. V prípade liečby vysokými dávkami (najmä furosemidu a iných liekov) </w:t>
      </w:r>
      <w:r w:rsidR="002C1A07">
        <w:rPr>
          <w:sz w:val="22"/>
          <w:szCs w:val="22"/>
        </w:rPr>
        <w:t xml:space="preserve">to </w:t>
      </w:r>
      <w:r w:rsidRPr="00D76279">
        <w:rPr>
          <w:sz w:val="22"/>
          <w:szCs w:val="22"/>
        </w:rPr>
        <w:t>môže viesť k zvýšeným hladinám v sére a zvýšenému riziku nežiaducich účinkov v dôsledku liečby furosemid</w:t>
      </w:r>
      <w:r w:rsidR="002C1A07">
        <w:rPr>
          <w:sz w:val="22"/>
          <w:szCs w:val="22"/>
        </w:rPr>
        <w:t>om</w:t>
      </w:r>
      <w:r w:rsidRPr="00D76279">
        <w:rPr>
          <w:sz w:val="22"/>
          <w:szCs w:val="22"/>
        </w:rPr>
        <w:t xml:space="preserve"> alebo sú</w:t>
      </w:r>
      <w:r w:rsidR="00993D5A">
        <w:rPr>
          <w:sz w:val="22"/>
          <w:szCs w:val="22"/>
        </w:rPr>
        <w:t>bež</w:t>
      </w:r>
      <w:r w:rsidRPr="00D76279">
        <w:rPr>
          <w:sz w:val="22"/>
          <w:szCs w:val="22"/>
        </w:rPr>
        <w:t>ného podávania lie</w:t>
      </w:r>
      <w:r w:rsidR="00993D5A">
        <w:rPr>
          <w:sz w:val="22"/>
          <w:szCs w:val="22"/>
        </w:rPr>
        <w:t>kov</w:t>
      </w:r>
      <w:r w:rsidRPr="00D76279">
        <w:rPr>
          <w:sz w:val="22"/>
          <w:szCs w:val="22"/>
        </w:rPr>
        <w:t xml:space="preserve">. </w:t>
      </w:r>
    </w:p>
    <w:p w14:paraId="4FC97F29" w14:textId="77777777" w:rsidR="00B843C6" w:rsidRPr="00D76279" w:rsidRDefault="00B843C6" w:rsidP="00181044">
      <w:pPr>
        <w:pStyle w:val="Default"/>
        <w:jc w:val="both"/>
        <w:rPr>
          <w:sz w:val="22"/>
          <w:szCs w:val="22"/>
        </w:rPr>
      </w:pPr>
    </w:p>
    <w:p w14:paraId="00202123" w14:textId="77777777" w:rsidR="00B843C6" w:rsidRPr="00D76279" w:rsidRDefault="00B843C6" w:rsidP="00181044">
      <w:pPr>
        <w:pStyle w:val="Default"/>
        <w:jc w:val="both"/>
        <w:rPr>
          <w:sz w:val="22"/>
          <w:szCs w:val="22"/>
        </w:rPr>
      </w:pPr>
      <w:r w:rsidRPr="00D76279">
        <w:rPr>
          <w:sz w:val="22"/>
          <w:szCs w:val="22"/>
        </w:rPr>
        <w:t xml:space="preserve">Periférne adrenergické inhibítory: </w:t>
      </w:r>
    </w:p>
    <w:p w14:paraId="6BA3FC00" w14:textId="40289C3B" w:rsidR="00B843C6" w:rsidRPr="00D76279" w:rsidRDefault="00B843C6" w:rsidP="00181044">
      <w:pPr>
        <w:pStyle w:val="Default"/>
        <w:jc w:val="both"/>
        <w:rPr>
          <w:sz w:val="22"/>
          <w:szCs w:val="22"/>
        </w:rPr>
      </w:pPr>
      <w:r w:rsidRPr="00D76279">
        <w:rPr>
          <w:sz w:val="22"/>
          <w:szCs w:val="22"/>
        </w:rPr>
        <w:t>Účinky týchto látok sa môžu zvýšiť pri sú</w:t>
      </w:r>
      <w:r w:rsidR="00993D5A">
        <w:rPr>
          <w:sz w:val="22"/>
          <w:szCs w:val="22"/>
        </w:rPr>
        <w:t>bež</w:t>
      </w:r>
      <w:r w:rsidRPr="00D76279">
        <w:rPr>
          <w:sz w:val="22"/>
          <w:szCs w:val="22"/>
        </w:rPr>
        <w:t xml:space="preserve">nom podávaní furosemidu. </w:t>
      </w:r>
    </w:p>
    <w:p w14:paraId="0D07865D" w14:textId="77777777" w:rsidR="00B843C6" w:rsidRPr="00D76279" w:rsidRDefault="00B843C6" w:rsidP="0029131D">
      <w:pPr>
        <w:pStyle w:val="Default"/>
        <w:rPr>
          <w:sz w:val="22"/>
          <w:szCs w:val="22"/>
        </w:rPr>
      </w:pPr>
    </w:p>
    <w:p w14:paraId="74BA511C" w14:textId="77777777" w:rsidR="00B843C6" w:rsidRPr="00D76279" w:rsidRDefault="00B843C6" w:rsidP="0029131D">
      <w:pPr>
        <w:pStyle w:val="Default"/>
        <w:rPr>
          <w:sz w:val="22"/>
          <w:szCs w:val="22"/>
        </w:rPr>
      </w:pPr>
      <w:r w:rsidRPr="00D76279">
        <w:rPr>
          <w:sz w:val="22"/>
          <w:szCs w:val="22"/>
        </w:rPr>
        <w:t xml:space="preserve">Fenobarbital a fenytoín: </w:t>
      </w:r>
    </w:p>
    <w:p w14:paraId="2AC68946" w14:textId="70FE472B" w:rsidR="00B843C6" w:rsidRPr="00D76279" w:rsidRDefault="00B843C6" w:rsidP="0029131D">
      <w:pPr>
        <w:pStyle w:val="Default"/>
        <w:rPr>
          <w:sz w:val="22"/>
          <w:szCs w:val="22"/>
        </w:rPr>
      </w:pPr>
      <w:r w:rsidRPr="00D76279">
        <w:rPr>
          <w:sz w:val="22"/>
          <w:szCs w:val="22"/>
        </w:rPr>
        <w:t>Zoslabenie účinku furosemidu sa môže objaviť po sú</w:t>
      </w:r>
      <w:r w:rsidR="00993D5A">
        <w:rPr>
          <w:sz w:val="22"/>
          <w:szCs w:val="22"/>
        </w:rPr>
        <w:t>bež</w:t>
      </w:r>
      <w:r w:rsidRPr="00D76279">
        <w:rPr>
          <w:sz w:val="22"/>
          <w:szCs w:val="22"/>
        </w:rPr>
        <w:t xml:space="preserve">nom podávaní týchto liekov. </w:t>
      </w:r>
    </w:p>
    <w:p w14:paraId="1D8CFDB3" w14:textId="77777777" w:rsidR="00B843C6" w:rsidRPr="00D76279" w:rsidRDefault="00B843C6" w:rsidP="0029131D">
      <w:pPr>
        <w:pStyle w:val="Default"/>
        <w:rPr>
          <w:sz w:val="22"/>
          <w:szCs w:val="22"/>
        </w:rPr>
      </w:pPr>
    </w:p>
    <w:p w14:paraId="44ED8981" w14:textId="77777777" w:rsidR="00B843C6" w:rsidRPr="00D76279" w:rsidRDefault="00B843C6" w:rsidP="0029131D">
      <w:pPr>
        <w:pStyle w:val="Default"/>
        <w:rPr>
          <w:sz w:val="22"/>
          <w:szCs w:val="22"/>
        </w:rPr>
      </w:pPr>
      <w:r w:rsidRPr="00D76279">
        <w:rPr>
          <w:sz w:val="22"/>
          <w:szCs w:val="22"/>
        </w:rPr>
        <w:t xml:space="preserve">Tubokurarín, deriváty kurarínu a sukcinyl cholín: </w:t>
      </w:r>
    </w:p>
    <w:p w14:paraId="67C0ECA8" w14:textId="77777777" w:rsidR="00B843C6" w:rsidRPr="00D76279" w:rsidRDefault="00B843C6" w:rsidP="0029131D">
      <w:pPr>
        <w:pStyle w:val="Default"/>
        <w:rPr>
          <w:sz w:val="22"/>
          <w:szCs w:val="22"/>
        </w:rPr>
      </w:pPr>
      <w:r w:rsidRPr="00D76279">
        <w:rPr>
          <w:sz w:val="22"/>
          <w:szCs w:val="22"/>
        </w:rPr>
        <w:t>Furosemid môže zvýšiť alebo predĺžiť relaxačný účinok týchto látok na svaly.</w:t>
      </w:r>
    </w:p>
    <w:p w14:paraId="6F43DE37" w14:textId="77777777" w:rsidR="00B843C6" w:rsidRPr="00D76279" w:rsidRDefault="00B843C6" w:rsidP="0029131D">
      <w:pPr>
        <w:pStyle w:val="Default"/>
        <w:rPr>
          <w:sz w:val="22"/>
          <w:szCs w:val="22"/>
        </w:rPr>
      </w:pPr>
      <w:r w:rsidRPr="00D76279">
        <w:rPr>
          <w:sz w:val="22"/>
          <w:szCs w:val="22"/>
        </w:rPr>
        <w:t xml:space="preserve"> </w:t>
      </w:r>
    </w:p>
    <w:p w14:paraId="19B0E77B" w14:textId="77777777" w:rsidR="00B843C6" w:rsidRPr="00D76279" w:rsidRDefault="00B843C6" w:rsidP="0029131D">
      <w:pPr>
        <w:pStyle w:val="Default"/>
        <w:rPr>
          <w:sz w:val="22"/>
          <w:szCs w:val="22"/>
        </w:rPr>
      </w:pPr>
      <w:r w:rsidRPr="00D76279">
        <w:rPr>
          <w:sz w:val="22"/>
          <w:szCs w:val="22"/>
        </w:rPr>
        <w:t xml:space="preserve">Glukokortikoidy, karbenoxolón, amfotericín B, penicilín G, ACTH, laxatíva a sladké drievko: </w:t>
      </w:r>
    </w:p>
    <w:p w14:paraId="32AD2B22" w14:textId="5E33DAE2" w:rsidR="00B843C6" w:rsidRPr="00D76279" w:rsidRDefault="00B843C6" w:rsidP="0029131D">
      <w:pPr>
        <w:pStyle w:val="Default"/>
        <w:rPr>
          <w:sz w:val="22"/>
          <w:szCs w:val="22"/>
        </w:rPr>
      </w:pPr>
      <w:r w:rsidRPr="00D76279">
        <w:rPr>
          <w:sz w:val="22"/>
          <w:szCs w:val="22"/>
        </w:rPr>
        <w:t>Sú</w:t>
      </w:r>
      <w:r w:rsidR="008B3CE2">
        <w:rPr>
          <w:sz w:val="22"/>
          <w:szCs w:val="22"/>
        </w:rPr>
        <w:t>bež</w:t>
      </w:r>
      <w:r w:rsidRPr="00D76279">
        <w:rPr>
          <w:sz w:val="22"/>
          <w:szCs w:val="22"/>
        </w:rPr>
        <w:t>né podávanie furosemidu s glukokortikoidmi, karbenoxolónom, veľkým množstvom sladkého drievka alebo dlh</w:t>
      </w:r>
      <w:r w:rsidR="008B3CE2">
        <w:rPr>
          <w:sz w:val="22"/>
          <w:szCs w:val="22"/>
        </w:rPr>
        <w:t>odob</w:t>
      </w:r>
      <w:r w:rsidRPr="00D76279">
        <w:rPr>
          <w:sz w:val="22"/>
          <w:szCs w:val="22"/>
        </w:rPr>
        <w:t>é používanie laxatív môže zvýšiť strat</w:t>
      </w:r>
      <w:r w:rsidR="008B3CE2">
        <w:rPr>
          <w:sz w:val="22"/>
          <w:szCs w:val="22"/>
        </w:rPr>
        <w:t>y</w:t>
      </w:r>
      <w:r w:rsidRPr="00D76279">
        <w:rPr>
          <w:sz w:val="22"/>
          <w:szCs w:val="22"/>
        </w:rPr>
        <w:t xml:space="preserve"> draslíka. V súvislosti s glukokortikoidmi je potrebné zvážiť hypokal</w:t>
      </w:r>
      <w:r w:rsidR="008B3CE2">
        <w:rPr>
          <w:sz w:val="22"/>
          <w:szCs w:val="22"/>
        </w:rPr>
        <w:t>i</w:t>
      </w:r>
      <w:r w:rsidRPr="00D76279">
        <w:rPr>
          <w:sz w:val="22"/>
          <w:szCs w:val="22"/>
        </w:rPr>
        <w:t xml:space="preserve">émiu a jej zhoršenie </w:t>
      </w:r>
      <w:r w:rsidR="008B3CE2">
        <w:rPr>
          <w:sz w:val="22"/>
          <w:szCs w:val="22"/>
        </w:rPr>
        <w:t>pri nadmernom</w:t>
      </w:r>
      <w:r w:rsidRPr="00D76279">
        <w:rPr>
          <w:sz w:val="22"/>
          <w:szCs w:val="22"/>
        </w:rPr>
        <w:t xml:space="preserve"> užívaní laxatív. Keďže to môže viesť k nevratnému poškodeniu sluchu, táto kombinácia sa môžu používať len vtedy, ak sú na to vážne zdravotné dôvody. </w:t>
      </w:r>
    </w:p>
    <w:p w14:paraId="385C7BD6" w14:textId="77777777" w:rsidR="00B843C6" w:rsidRPr="00D76279" w:rsidRDefault="00B843C6" w:rsidP="0029131D">
      <w:pPr>
        <w:pStyle w:val="Default"/>
        <w:rPr>
          <w:sz w:val="22"/>
          <w:szCs w:val="22"/>
        </w:rPr>
      </w:pPr>
      <w:r w:rsidRPr="00D76279">
        <w:rPr>
          <w:sz w:val="22"/>
          <w:szCs w:val="22"/>
        </w:rPr>
        <w:t xml:space="preserve">Je potrebné sledovať hladinu draslíka. </w:t>
      </w:r>
    </w:p>
    <w:p w14:paraId="4F079B54" w14:textId="77777777" w:rsidR="00B843C6" w:rsidRPr="00D76279" w:rsidRDefault="00B843C6" w:rsidP="0029131D">
      <w:pPr>
        <w:pStyle w:val="Default"/>
        <w:rPr>
          <w:sz w:val="22"/>
          <w:szCs w:val="22"/>
        </w:rPr>
      </w:pPr>
    </w:p>
    <w:p w14:paraId="71DED681" w14:textId="77777777" w:rsidR="00B843C6" w:rsidRPr="00D76279" w:rsidRDefault="00B843C6">
      <w:pPr>
        <w:rPr>
          <w:sz w:val="22"/>
          <w:szCs w:val="22"/>
        </w:rPr>
      </w:pPr>
      <w:r w:rsidRPr="00D76279">
        <w:rPr>
          <w:sz w:val="22"/>
          <w:szCs w:val="22"/>
        </w:rPr>
        <w:t>Sukralfát:</w:t>
      </w:r>
    </w:p>
    <w:p w14:paraId="0CD80FC6" w14:textId="2E8B785A" w:rsidR="00B843C6" w:rsidRPr="00D76279" w:rsidRDefault="00B843C6" w:rsidP="0029131D">
      <w:pPr>
        <w:pStyle w:val="Default"/>
        <w:rPr>
          <w:sz w:val="22"/>
          <w:szCs w:val="22"/>
        </w:rPr>
      </w:pPr>
      <w:r w:rsidRPr="00D76279">
        <w:rPr>
          <w:sz w:val="22"/>
          <w:szCs w:val="22"/>
        </w:rPr>
        <w:t>Súčasné podávanie sukralfátu a furosemidu môže znížiť natriuretický a antihypertenzívny účinok furosemidu. Pacienti užívajúci obidva lieky ma</w:t>
      </w:r>
      <w:r w:rsidR="00D4674F">
        <w:rPr>
          <w:sz w:val="22"/>
          <w:szCs w:val="22"/>
        </w:rPr>
        <w:t>jú</w:t>
      </w:r>
      <w:r w:rsidRPr="00D76279">
        <w:rPr>
          <w:sz w:val="22"/>
          <w:szCs w:val="22"/>
        </w:rPr>
        <w:t xml:space="preserve"> byť dôsledne sledovaní, aby sa mohlo zistiť, či je dosiahnutý požadovaný diuretický a/alebo antihypertenzívny účinok furosemidu. </w:t>
      </w:r>
      <w:r w:rsidR="00D4674F" w:rsidRPr="00181044">
        <w:rPr>
          <w:sz w:val="22"/>
          <w:szCs w:val="22"/>
        </w:rPr>
        <w:t>Medzi podaním</w:t>
      </w:r>
      <w:r w:rsidRPr="00081BF4">
        <w:rPr>
          <w:sz w:val="22"/>
          <w:szCs w:val="22"/>
        </w:rPr>
        <w:t xml:space="preserve"> furosemidu a sukralfátu m</w:t>
      </w:r>
      <w:r w:rsidR="00D4674F" w:rsidRPr="00181044">
        <w:rPr>
          <w:sz w:val="22"/>
          <w:szCs w:val="22"/>
        </w:rPr>
        <w:t>á</w:t>
      </w:r>
      <w:r w:rsidRPr="00081BF4">
        <w:rPr>
          <w:sz w:val="22"/>
          <w:szCs w:val="22"/>
        </w:rPr>
        <w:t xml:space="preserve"> byť odstu</w:t>
      </w:r>
      <w:r w:rsidR="00D4674F" w:rsidRPr="00181044">
        <w:rPr>
          <w:sz w:val="22"/>
          <w:szCs w:val="22"/>
        </w:rPr>
        <w:t>p</w:t>
      </w:r>
      <w:r w:rsidRPr="00081BF4">
        <w:rPr>
          <w:sz w:val="22"/>
          <w:szCs w:val="22"/>
        </w:rPr>
        <w:t xml:space="preserve"> najmenej dve hodiny.</w:t>
      </w:r>
    </w:p>
    <w:p w14:paraId="57E1CA9D" w14:textId="77777777" w:rsidR="00B843C6" w:rsidRPr="00D76279" w:rsidRDefault="00B843C6" w:rsidP="0029131D">
      <w:pPr>
        <w:pStyle w:val="Default"/>
        <w:rPr>
          <w:sz w:val="22"/>
          <w:szCs w:val="22"/>
        </w:rPr>
      </w:pPr>
    </w:p>
    <w:p w14:paraId="0C26BEE8" w14:textId="77777777" w:rsidR="00B843C6" w:rsidRPr="00D76279" w:rsidRDefault="00B843C6">
      <w:pPr>
        <w:rPr>
          <w:sz w:val="22"/>
          <w:szCs w:val="22"/>
        </w:rPr>
      </w:pPr>
      <w:r w:rsidRPr="00D76279">
        <w:rPr>
          <w:sz w:val="22"/>
          <w:szCs w:val="22"/>
        </w:rPr>
        <w:t>Perorálne antikoagulanciá:</w:t>
      </w:r>
    </w:p>
    <w:p w14:paraId="457683E7" w14:textId="77777777" w:rsidR="00B843C6" w:rsidRPr="00D76279" w:rsidRDefault="00B843C6" w:rsidP="0029131D">
      <w:pPr>
        <w:pStyle w:val="Default"/>
        <w:rPr>
          <w:sz w:val="22"/>
          <w:szCs w:val="22"/>
        </w:rPr>
      </w:pPr>
      <w:r w:rsidRPr="00D76279">
        <w:rPr>
          <w:sz w:val="22"/>
          <w:szCs w:val="22"/>
        </w:rPr>
        <w:t xml:space="preserve">Furosemid zvyšuje účinky </w:t>
      </w:r>
      <w:r w:rsidR="008B3CE2">
        <w:rPr>
          <w:sz w:val="22"/>
          <w:szCs w:val="22"/>
        </w:rPr>
        <w:t xml:space="preserve">perorálnych </w:t>
      </w:r>
      <w:r w:rsidRPr="00D76279">
        <w:rPr>
          <w:sz w:val="22"/>
          <w:szCs w:val="22"/>
        </w:rPr>
        <w:t>antikoagulancií.</w:t>
      </w:r>
    </w:p>
    <w:p w14:paraId="6EAF028B" w14:textId="77777777" w:rsidR="00B843C6" w:rsidRPr="00D76279" w:rsidRDefault="00B843C6" w:rsidP="00181044">
      <w:pPr>
        <w:pStyle w:val="Default"/>
        <w:jc w:val="both"/>
        <w:rPr>
          <w:sz w:val="22"/>
          <w:szCs w:val="22"/>
        </w:rPr>
      </w:pPr>
    </w:p>
    <w:p w14:paraId="4B016F3A" w14:textId="77777777" w:rsidR="00B843C6" w:rsidRPr="00D76279" w:rsidRDefault="00B843C6" w:rsidP="00181044">
      <w:pPr>
        <w:pStyle w:val="Default"/>
        <w:jc w:val="both"/>
        <w:rPr>
          <w:sz w:val="22"/>
          <w:szCs w:val="22"/>
        </w:rPr>
      </w:pPr>
      <w:r w:rsidRPr="00D76279">
        <w:rPr>
          <w:sz w:val="22"/>
          <w:szCs w:val="22"/>
        </w:rPr>
        <w:t xml:space="preserve">Teofylín: </w:t>
      </w:r>
    </w:p>
    <w:p w14:paraId="1114F118" w14:textId="63F7F8D3" w:rsidR="00B843C6" w:rsidRPr="00D76279" w:rsidRDefault="00B843C6" w:rsidP="00181044">
      <w:pPr>
        <w:pStyle w:val="Default"/>
        <w:jc w:val="both"/>
        <w:rPr>
          <w:sz w:val="22"/>
          <w:szCs w:val="22"/>
        </w:rPr>
      </w:pPr>
      <w:r w:rsidRPr="00D76279">
        <w:rPr>
          <w:sz w:val="22"/>
          <w:szCs w:val="22"/>
        </w:rPr>
        <w:t>Účinky teofylínu a svalových relaxancií typu kurare môž</w:t>
      </w:r>
      <w:r w:rsidR="008B3CE2">
        <w:rPr>
          <w:sz w:val="22"/>
          <w:szCs w:val="22"/>
        </w:rPr>
        <w:t>u</w:t>
      </w:r>
      <w:r w:rsidRPr="00D76279">
        <w:rPr>
          <w:sz w:val="22"/>
          <w:szCs w:val="22"/>
        </w:rPr>
        <w:t xml:space="preserve"> byť zosilnen</w:t>
      </w:r>
      <w:r w:rsidR="008B3CE2">
        <w:rPr>
          <w:sz w:val="22"/>
          <w:szCs w:val="22"/>
        </w:rPr>
        <w:t>é</w:t>
      </w:r>
      <w:r w:rsidRPr="00D76279">
        <w:rPr>
          <w:sz w:val="22"/>
          <w:szCs w:val="22"/>
        </w:rPr>
        <w:t xml:space="preserve">. </w:t>
      </w:r>
    </w:p>
    <w:p w14:paraId="6B71E435" w14:textId="77777777" w:rsidR="00B843C6" w:rsidRPr="00D76279" w:rsidRDefault="00B843C6" w:rsidP="00181044">
      <w:pPr>
        <w:pStyle w:val="Default"/>
        <w:jc w:val="both"/>
        <w:rPr>
          <w:sz w:val="22"/>
          <w:szCs w:val="22"/>
        </w:rPr>
      </w:pPr>
    </w:p>
    <w:p w14:paraId="0B4CB1D4" w14:textId="77777777" w:rsidR="00B843C6" w:rsidRPr="00D76279" w:rsidRDefault="00B843C6" w:rsidP="00181044">
      <w:pPr>
        <w:pStyle w:val="Default"/>
        <w:jc w:val="both"/>
        <w:rPr>
          <w:sz w:val="22"/>
          <w:szCs w:val="22"/>
        </w:rPr>
      </w:pPr>
      <w:r w:rsidRPr="000B14DD">
        <w:rPr>
          <w:sz w:val="22"/>
          <w:szCs w:val="22"/>
        </w:rPr>
        <w:t>Vazopresory</w:t>
      </w:r>
      <w:r w:rsidRPr="00D76279">
        <w:rPr>
          <w:sz w:val="22"/>
          <w:szCs w:val="22"/>
        </w:rPr>
        <w:t xml:space="preserve"> (napr. adrenalín (epinefrín), noradrenalín (norepinefrín)): </w:t>
      </w:r>
    </w:p>
    <w:p w14:paraId="184ECD23" w14:textId="77777777" w:rsidR="00B843C6" w:rsidRPr="00D76279" w:rsidRDefault="00B843C6" w:rsidP="00181044">
      <w:pPr>
        <w:pStyle w:val="Default"/>
        <w:jc w:val="both"/>
        <w:rPr>
          <w:sz w:val="22"/>
          <w:szCs w:val="22"/>
        </w:rPr>
      </w:pPr>
      <w:r w:rsidRPr="00D76279">
        <w:rPr>
          <w:sz w:val="22"/>
          <w:szCs w:val="22"/>
        </w:rPr>
        <w:t xml:space="preserve">Súčasné užívanie furosemidu môže zmierniť účinky vazopresorov. </w:t>
      </w:r>
    </w:p>
    <w:p w14:paraId="22207742" w14:textId="77777777" w:rsidR="00B843C6" w:rsidRPr="00D76279" w:rsidRDefault="00B843C6" w:rsidP="00181044">
      <w:pPr>
        <w:pStyle w:val="Default"/>
        <w:jc w:val="both"/>
        <w:rPr>
          <w:sz w:val="22"/>
          <w:szCs w:val="22"/>
        </w:rPr>
      </w:pPr>
    </w:p>
    <w:p w14:paraId="528BD3A6" w14:textId="77777777" w:rsidR="00B843C6" w:rsidRPr="00D76279" w:rsidRDefault="00B843C6" w:rsidP="00181044">
      <w:pPr>
        <w:pStyle w:val="Default"/>
        <w:jc w:val="both"/>
        <w:rPr>
          <w:sz w:val="22"/>
          <w:szCs w:val="22"/>
        </w:rPr>
      </w:pPr>
      <w:r w:rsidRPr="00D76279">
        <w:rPr>
          <w:sz w:val="22"/>
          <w:szCs w:val="22"/>
        </w:rPr>
        <w:t xml:space="preserve">Iné interakcie: </w:t>
      </w:r>
    </w:p>
    <w:p w14:paraId="0CEF0C35" w14:textId="3B119E6E" w:rsidR="00C8670A" w:rsidRDefault="00B843C6" w:rsidP="000007FF">
      <w:pPr>
        <w:rPr>
          <w:sz w:val="22"/>
          <w:szCs w:val="22"/>
        </w:rPr>
      </w:pPr>
      <w:r w:rsidRPr="00D76279">
        <w:rPr>
          <w:sz w:val="22"/>
          <w:szCs w:val="22"/>
        </w:rPr>
        <w:t>Súbežné užívanie cyklosporínu a furosemidu je spojené so zvýšeným rizikom dnavej artritídy.</w:t>
      </w:r>
    </w:p>
    <w:p w14:paraId="49B3FB1C" w14:textId="77777777" w:rsidR="00C8670A" w:rsidRDefault="00C8670A" w:rsidP="00C029F5">
      <w:pPr>
        <w:rPr>
          <w:sz w:val="22"/>
          <w:szCs w:val="22"/>
        </w:rPr>
      </w:pPr>
    </w:p>
    <w:p w14:paraId="4E08D80B" w14:textId="40ABDE40" w:rsidR="00C8670A" w:rsidRPr="00C029F5" w:rsidRDefault="00C8670A" w:rsidP="000007FF">
      <w:pPr>
        <w:pStyle w:val="Nadpis2"/>
        <w:spacing w:before="0" w:after="0"/>
        <w:rPr>
          <w:b w:val="0"/>
          <w:sz w:val="22"/>
          <w:szCs w:val="22"/>
        </w:rPr>
      </w:pPr>
      <w:r w:rsidRPr="00C029F5">
        <w:rPr>
          <w:sz w:val="22"/>
          <w:szCs w:val="22"/>
        </w:rPr>
        <w:t>4.6</w:t>
      </w:r>
      <w:r w:rsidRPr="00C029F5">
        <w:rPr>
          <w:sz w:val="22"/>
          <w:szCs w:val="22"/>
        </w:rPr>
        <w:tab/>
        <w:t>Gravidita</w:t>
      </w:r>
      <w:r w:rsidR="00B843C6" w:rsidRPr="00D76279">
        <w:rPr>
          <w:sz w:val="22"/>
          <w:szCs w:val="22"/>
        </w:rPr>
        <w:t xml:space="preserve"> a laktácia </w:t>
      </w:r>
    </w:p>
    <w:p w14:paraId="5C0E4263" w14:textId="77777777" w:rsidR="00F920D0" w:rsidRDefault="00F920D0" w:rsidP="00181044">
      <w:pPr>
        <w:pStyle w:val="Default"/>
        <w:rPr>
          <w:sz w:val="22"/>
          <w:szCs w:val="22"/>
        </w:rPr>
      </w:pPr>
    </w:p>
    <w:p w14:paraId="44550BC4" w14:textId="77777777" w:rsidR="00B843C6" w:rsidRPr="00D76279" w:rsidRDefault="00B843C6" w:rsidP="00181044">
      <w:pPr>
        <w:pStyle w:val="Default"/>
        <w:rPr>
          <w:sz w:val="22"/>
          <w:szCs w:val="22"/>
        </w:rPr>
      </w:pPr>
      <w:r w:rsidRPr="00D76279">
        <w:rPr>
          <w:sz w:val="22"/>
          <w:szCs w:val="22"/>
        </w:rPr>
        <w:t xml:space="preserve">Užívanie počas tehotenstva </w:t>
      </w:r>
    </w:p>
    <w:p w14:paraId="635828D0" w14:textId="51C617D1" w:rsidR="00C8670A" w:rsidRDefault="00B843C6" w:rsidP="0029131D">
      <w:pPr>
        <w:pStyle w:val="Default"/>
        <w:rPr>
          <w:sz w:val="22"/>
          <w:szCs w:val="22"/>
        </w:rPr>
      </w:pPr>
      <w:r w:rsidRPr="00D76279">
        <w:rPr>
          <w:sz w:val="22"/>
          <w:szCs w:val="22"/>
        </w:rPr>
        <w:t xml:space="preserve">Furosemid sa nesmie užívať počas tehotenstva, ak neexistujú závažné zdravotné dôvody. </w:t>
      </w:r>
      <w:r w:rsidR="006C4808" w:rsidRPr="00D76279">
        <w:rPr>
          <w:sz w:val="22"/>
          <w:szCs w:val="22"/>
        </w:rPr>
        <w:t xml:space="preserve">Furosemid prechádza placentou, </w:t>
      </w:r>
      <w:r w:rsidRPr="00D76279">
        <w:rPr>
          <w:sz w:val="22"/>
          <w:szCs w:val="22"/>
        </w:rPr>
        <w:t xml:space="preserve">a preto môže spôsobiť diurézu plodu. </w:t>
      </w:r>
      <w:r w:rsidR="006C4808" w:rsidRPr="00D76279">
        <w:rPr>
          <w:sz w:val="22"/>
          <w:szCs w:val="22"/>
        </w:rPr>
        <w:t xml:space="preserve">Liečba </w:t>
      </w:r>
      <w:r w:rsidRPr="00D76279">
        <w:rPr>
          <w:sz w:val="22"/>
          <w:szCs w:val="22"/>
        </w:rPr>
        <w:t>počas tehotenstva si</w:t>
      </w:r>
      <w:r w:rsidR="006C4808" w:rsidRPr="00D76279">
        <w:rPr>
          <w:sz w:val="22"/>
          <w:szCs w:val="22"/>
        </w:rPr>
        <w:t xml:space="preserve"> vyžaduje sledovanie rastu plodu. </w:t>
      </w:r>
    </w:p>
    <w:p w14:paraId="1E9B58EE" w14:textId="77777777" w:rsidR="00F920D0" w:rsidRDefault="00F920D0" w:rsidP="0029131D">
      <w:pPr>
        <w:pStyle w:val="Default"/>
        <w:rPr>
          <w:sz w:val="22"/>
          <w:szCs w:val="22"/>
        </w:rPr>
      </w:pPr>
    </w:p>
    <w:p w14:paraId="09BC133D" w14:textId="3A836201" w:rsidR="00B843C6" w:rsidRPr="00D76279" w:rsidRDefault="00B843C6" w:rsidP="0029131D">
      <w:pPr>
        <w:pStyle w:val="Default"/>
        <w:rPr>
          <w:sz w:val="22"/>
          <w:szCs w:val="22"/>
        </w:rPr>
      </w:pPr>
      <w:r w:rsidRPr="00D76279">
        <w:rPr>
          <w:sz w:val="22"/>
          <w:szCs w:val="22"/>
        </w:rPr>
        <w:lastRenderedPageBreak/>
        <w:t xml:space="preserve">Liečba tehotenskej hypertenzie a edému sa všeobecne neodporúča, pretože to môže vyvolať fyziologickú hypovolémiu, ktorá spôsobí zníženie placentárnej perfúzie. </w:t>
      </w:r>
    </w:p>
    <w:p w14:paraId="0F3AC53C" w14:textId="6ABFD507" w:rsidR="00B843C6" w:rsidRPr="00D76279" w:rsidRDefault="00B843C6" w:rsidP="0029131D">
      <w:pPr>
        <w:pStyle w:val="Default"/>
        <w:rPr>
          <w:sz w:val="22"/>
          <w:szCs w:val="22"/>
        </w:rPr>
      </w:pPr>
      <w:r w:rsidRPr="00D76279">
        <w:rPr>
          <w:sz w:val="22"/>
          <w:szCs w:val="22"/>
        </w:rPr>
        <w:t>Ak je používanie furosemidu nevyhnutné na liečbu srdcovej alebo obličkovej nedostatočnosti počas tehotenstva, je nevyhnutné dôsledne sledovať elektrolyty, hematokrit a rast plodu</w:t>
      </w:r>
      <w:r w:rsidRPr="00416F87">
        <w:rPr>
          <w:sz w:val="22"/>
          <w:szCs w:val="22"/>
        </w:rPr>
        <w:t>. Pri furosemide je diskutabilné možné odstránenie bilirubínu z väzby na albumín, a tým zvýšen</w:t>
      </w:r>
      <w:r w:rsidR="00C21675" w:rsidRPr="00181044">
        <w:rPr>
          <w:sz w:val="22"/>
          <w:szCs w:val="22"/>
        </w:rPr>
        <w:t>ie</w:t>
      </w:r>
      <w:r w:rsidRPr="00416F87">
        <w:rPr>
          <w:sz w:val="22"/>
          <w:szCs w:val="22"/>
        </w:rPr>
        <w:t xml:space="preserve"> rizika jadrového iktera pri hyperbilirubinémii. Furosemid môže predisponovať plod na hyperkalciúriu,</w:t>
      </w:r>
      <w:r w:rsidRPr="00D76279">
        <w:rPr>
          <w:sz w:val="22"/>
          <w:szCs w:val="22"/>
        </w:rPr>
        <w:t xml:space="preserve"> nefrokalcinózu a sekundárnu hyperparatyreózu. </w:t>
      </w:r>
    </w:p>
    <w:p w14:paraId="5CAD3981" w14:textId="77777777" w:rsidR="00B843C6" w:rsidRPr="00D76279" w:rsidRDefault="00B843C6" w:rsidP="0029131D">
      <w:pPr>
        <w:pStyle w:val="Default"/>
        <w:rPr>
          <w:sz w:val="22"/>
          <w:szCs w:val="22"/>
        </w:rPr>
      </w:pPr>
    </w:p>
    <w:p w14:paraId="7C83F83B" w14:textId="77777777" w:rsidR="00B843C6" w:rsidRPr="00D76279" w:rsidRDefault="00B843C6" w:rsidP="0029131D">
      <w:pPr>
        <w:pStyle w:val="Default"/>
        <w:rPr>
          <w:sz w:val="22"/>
          <w:szCs w:val="22"/>
        </w:rPr>
      </w:pPr>
      <w:r w:rsidRPr="00D76279">
        <w:rPr>
          <w:sz w:val="22"/>
          <w:szCs w:val="22"/>
        </w:rPr>
        <w:t xml:space="preserve">Furosemid dosahuje 100 % koncentráciu v materskom sére v pupočníkovej krvi. K dnešnému dňu neboli hlásené žiadne malformácie u človeka, ktoré by mohli byť spojené s expozíciou furosemidu. Avšak skúsenosti sú obmedzené na to, aby sa mohol presvedčivo vyhodnotiť potenciálny škodlivý vplyv na embryo/plod. </w:t>
      </w:r>
    </w:p>
    <w:p w14:paraId="6DD6DEA0" w14:textId="77777777" w:rsidR="00B843C6" w:rsidRPr="00D76279" w:rsidRDefault="00B843C6" w:rsidP="0029131D">
      <w:pPr>
        <w:pStyle w:val="Default"/>
        <w:rPr>
          <w:sz w:val="22"/>
          <w:szCs w:val="22"/>
        </w:rPr>
      </w:pPr>
    </w:p>
    <w:p w14:paraId="67278F3E" w14:textId="77777777" w:rsidR="00B843C6" w:rsidRPr="00D76279" w:rsidRDefault="00B843C6" w:rsidP="0029131D">
      <w:pPr>
        <w:pStyle w:val="Default"/>
        <w:rPr>
          <w:sz w:val="22"/>
          <w:szCs w:val="22"/>
        </w:rPr>
      </w:pPr>
      <w:r w:rsidRPr="00D76279">
        <w:rPr>
          <w:sz w:val="22"/>
          <w:szCs w:val="22"/>
        </w:rPr>
        <w:t xml:space="preserve">Užívanie počas dojčenia </w:t>
      </w:r>
    </w:p>
    <w:p w14:paraId="73AF25BF" w14:textId="77777777" w:rsidR="00C8670A" w:rsidRDefault="00B843C6" w:rsidP="00181044">
      <w:pPr>
        <w:pStyle w:val="Default"/>
        <w:jc w:val="both"/>
        <w:rPr>
          <w:sz w:val="22"/>
          <w:szCs w:val="22"/>
        </w:rPr>
      </w:pPr>
      <w:r w:rsidRPr="00D76279">
        <w:rPr>
          <w:sz w:val="22"/>
          <w:szCs w:val="22"/>
        </w:rPr>
        <w:t xml:space="preserve">Furosemid </w:t>
      </w:r>
      <w:r w:rsidR="006C4808" w:rsidRPr="00D76279">
        <w:rPr>
          <w:sz w:val="22"/>
          <w:szCs w:val="22"/>
        </w:rPr>
        <w:t>prechádza do materského mlieka a môže inhibovať laktáciu</w:t>
      </w:r>
      <w:r w:rsidR="006C4808" w:rsidRPr="00416F87">
        <w:rPr>
          <w:sz w:val="22"/>
          <w:szCs w:val="22"/>
        </w:rPr>
        <w:t>.</w:t>
      </w:r>
      <w:r w:rsidRPr="00416F87">
        <w:rPr>
          <w:sz w:val="22"/>
          <w:szCs w:val="22"/>
        </w:rPr>
        <w:t xml:space="preserve"> Ženy nesmú dojčiť, ak sú liečené furosemidom (pozri časť 4.3).</w:t>
      </w:r>
      <w:r w:rsidRPr="00D76279">
        <w:rPr>
          <w:sz w:val="22"/>
          <w:szCs w:val="22"/>
        </w:rPr>
        <w:t xml:space="preserve"> </w:t>
      </w:r>
    </w:p>
    <w:p w14:paraId="214803A1" w14:textId="77777777" w:rsidR="00C8670A" w:rsidRDefault="00C8670A" w:rsidP="00181044">
      <w:pPr>
        <w:pStyle w:val="Normlnysozarkami"/>
        <w:ind w:left="0"/>
        <w:rPr>
          <w:szCs w:val="22"/>
        </w:rPr>
      </w:pPr>
    </w:p>
    <w:p w14:paraId="62BFF90C" w14:textId="5D3C347A" w:rsidR="00C8670A" w:rsidRDefault="006C4808" w:rsidP="000007FF">
      <w:pPr>
        <w:pStyle w:val="Nadpis2"/>
        <w:spacing w:before="0" w:after="0"/>
        <w:rPr>
          <w:sz w:val="22"/>
          <w:szCs w:val="22"/>
        </w:rPr>
      </w:pPr>
      <w:r w:rsidRPr="00D76279">
        <w:rPr>
          <w:sz w:val="22"/>
          <w:szCs w:val="22"/>
        </w:rPr>
        <w:t>4.7</w:t>
      </w:r>
      <w:r w:rsidR="00E507A7">
        <w:rPr>
          <w:sz w:val="22"/>
          <w:szCs w:val="22"/>
        </w:rPr>
        <w:tab/>
      </w:r>
      <w:r w:rsidRPr="00D76279">
        <w:rPr>
          <w:sz w:val="22"/>
          <w:szCs w:val="22"/>
        </w:rPr>
        <w:t>Ovplyvnenie schopnosti viesť vozidlá a obsluhovať stroje</w:t>
      </w:r>
    </w:p>
    <w:p w14:paraId="48AF5F74" w14:textId="77777777" w:rsidR="00F920D0" w:rsidRDefault="00F920D0" w:rsidP="00181044">
      <w:pPr>
        <w:pStyle w:val="Default"/>
        <w:jc w:val="both"/>
        <w:rPr>
          <w:sz w:val="22"/>
          <w:szCs w:val="22"/>
        </w:rPr>
      </w:pPr>
    </w:p>
    <w:p w14:paraId="2BFB2741" w14:textId="69B60EB3" w:rsidR="00B843C6" w:rsidRPr="00D76279" w:rsidRDefault="00B843C6" w:rsidP="00181044">
      <w:pPr>
        <w:pStyle w:val="Default"/>
        <w:jc w:val="both"/>
        <w:rPr>
          <w:sz w:val="22"/>
          <w:szCs w:val="22"/>
        </w:rPr>
      </w:pPr>
      <w:r w:rsidRPr="00D76279">
        <w:rPr>
          <w:sz w:val="22"/>
          <w:szCs w:val="22"/>
        </w:rPr>
        <w:t>Furosemid má zanedbateľný vplyv na schopnosť viesť a obsluhovať stroje.</w:t>
      </w:r>
    </w:p>
    <w:p w14:paraId="5D1DB09E" w14:textId="77777777" w:rsidR="00B843C6" w:rsidRPr="00D76279" w:rsidRDefault="00B843C6" w:rsidP="00181044">
      <w:pPr>
        <w:pStyle w:val="Default"/>
        <w:jc w:val="both"/>
        <w:rPr>
          <w:sz w:val="22"/>
          <w:szCs w:val="22"/>
        </w:rPr>
      </w:pPr>
      <w:r w:rsidRPr="00D76279">
        <w:rPr>
          <w:sz w:val="22"/>
          <w:szCs w:val="22"/>
        </w:rPr>
        <w:t xml:space="preserve">Pacienti reagujú individuálne na furosemid. </w:t>
      </w:r>
    </w:p>
    <w:p w14:paraId="570D8C97" w14:textId="73569129" w:rsidR="00C8670A" w:rsidRDefault="00B843C6" w:rsidP="00181044">
      <w:pPr>
        <w:jc w:val="both"/>
        <w:rPr>
          <w:sz w:val="22"/>
          <w:szCs w:val="22"/>
        </w:rPr>
      </w:pPr>
      <w:r w:rsidRPr="00D76279">
        <w:rPr>
          <w:sz w:val="22"/>
          <w:szCs w:val="22"/>
        </w:rPr>
        <w:t>Schopnosť viesť a obsluhovať stroje môže byť náhodne</w:t>
      </w:r>
      <w:r w:rsidR="006C4808" w:rsidRPr="00D76279">
        <w:rPr>
          <w:sz w:val="22"/>
          <w:szCs w:val="22"/>
        </w:rPr>
        <w:t xml:space="preserve"> znížená </w:t>
      </w:r>
      <w:r w:rsidRPr="00D76279">
        <w:rPr>
          <w:sz w:val="22"/>
          <w:szCs w:val="22"/>
        </w:rPr>
        <w:t>z dôvodu liečby furosemidom</w:t>
      </w:r>
      <w:r w:rsidR="006C4808" w:rsidRPr="00D76279">
        <w:rPr>
          <w:sz w:val="22"/>
          <w:szCs w:val="22"/>
        </w:rPr>
        <w:t xml:space="preserve">, najmä na začiatku liečby, </w:t>
      </w:r>
      <w:r w:rsidR="00000C74">
        <w:rPr>
          <w:sz w:val="22"/>
          <w:szCs w:val="22"/>
        </w:rPr>
        <w:t xml:space="preserve">pri </w:t>
      </w:r>
      <w:r w:rsidRPr="00D76279">
        <w:rPr>
          <w:sz w:val="22"/>
          <w:szCs w:val="22"/>
        </w:rPr>
        <w:t>zmen</w:t>
      </w:r>
      <w:r w:rsidR="00000C74">
        <w:rPr>
          <w:sz w:val="22"/>
          <w:szCs w:val="22"/>
        </w:rPr>
        <w:t>e</w:t>
      </w:r>
      <w:r w:rsidRPr="00D76279">
        <w:rPr>
          <w:sz w:val="22"/>
          <w:szCs w:val="22"/>
        </w:rPr>
        <w:t xml:space="preserve"> </w:t>
      </w:r>
      <w:r w:rsidR="00000C74">
        <w:rPr>
          <w:sz w:val="22"/>
          <w:szCs w:val="22"/>
        </w:rPr>
        <w:t>terapie</w:t>
      </w:r>
      <w:r w:rsidRPr="00D76279">
        <w:rPr>
          <w:sz w:val="22"/>
          <w:szCs w:val="22"/>
        </w:rPr>
        <w:t xml:space="preserve"> alebo </w:t>
      </w:r>
      <w:r w:rsidR="006C4808" w:rsidRPr="00D76279">
        <w:rPr>
          <w:sz w:val="22"/>
          <w:szCs w:val="22"/>
        </w:rPr>
        <w:t>v kombinácii s alkoholom.</w:t>
      </w:r>
    </w:p>
    <w:p w14:paraId="3DD76BF9" w14:textId="77777777" w:rsidR="00C8670A" w:rsidRDefault="00C8670A" w:rsidP="00181044">
      <w:pPr>
        <w:pStyle w:val="Normlnysozarkami"/>
        <w:spacing w:after="0"/>
        <w:ind w:left="0"/>
        <w:rPr>
          <w:szCs w:val="22"/>
        </w:rPr>
      </w:pPr>
    </w:p>
    <w:p w14:paraId="0C56179C" w14:textId="6C5A5F5A" w:rsidR="00C8670A" w:rsidRDefault="006C4808" w:rsidP="000007FF">
      <w:pPr>
        <w:pStyle w:val="Nadpis2"/>
        <w:spacing w:before="0" w:after="0"/>
        <w:rPr>
          <w:sz w:val="22"/>
          <w:szCs w:val="22"/>
        </w:rPr>
      </w:pPr>
      <w:r w:rsidRPr="00D76279">
        <w:rPr>
          <w:sz w:val="22"/>
          <w:szCs w:val="22"/>
        </w:rPr>
        <w:t>4.8</w:t>
      </w:r>
      <w:r w:rsidR="00E507A7">
        <w:rPr>
          <w:sz w:val="22"/>
          <w:szCs w:val="22"/>
        </w:rPr>
        <w:tab/>
      </w:r>
      <w:r w:rsidRPr="00D76279">
        <w:rPr>
          <w:sz w:val="22"/>
          <w:szCs w:val="22"/>
        </w:rPr>
        <w:t>Nežiaduce účinky</w:t>
      </w:r>
    </w:p>
    <w:p w14:paraId="0AEDB970" w14:textId="77777777" w:rsidR="00F920D0" w:rsidRDefault="00F920D0" w:rsidP="00181044">
      <w:pPr>
        <w:pStyle w:val="Default"/>
        <w:jc w:val="both"/>
        <w:rPr>
          <w:sz w:val="22"/>
          <w:szCs w:val="22"/>
        </w:rPr>
      </w:pPr>
    </w:p>
    <w:p w14:paraId="3C7BF6AA" w14:textId="5649493E" w:rsidR="00C8670A" w:rsidRDefault="006C4808" w:rsidP="00181044">
      <w:pPr>
        <w:pStyle w:val="Default"/>
        <w:jc w:val="both"/>
        <w:rPr>
          <w:sz w:val="22"/>
          <w:szCs w:val="22"/>
        </w:rPr>
      </w:pPr>
      <w:r w:rsidRPr="00D76279">
        <w:rPr>
          <w:sz w:val="22"/>
          <w:szCs w:val="22"/>
        </w:rPr>
        <w:t xml:space="preserve">Nežiaduce účinky sa môžu vyskytnúť pri nasledovných frekvenciách: </w:t>
      </w:r>
    </w:p>
    <w:p w14:paraId="7AB2A0CF" w14:textId="77777777" w:rsidR="00B843C6" w:rsidRPr="00D76279" w:rsidRDefault="00B843C6" w:rsidP="00181044">
      <w:pPr>
        <w:pStyle w:val="Default"/>
        <w:jc w:val="both"/>
        <w:rPr>
          <w:sz w:val="22"/>
          <w:szCs w:val="22"/>
        </w:rPr>
      </w:pPr>
      <w:r w:rsidRPr="00D76279">
        <w:rPr>
          <w:sz w:val="22"/>
          <w:szCs w:val="22"/>
        </w:rPr>
        <w:t>veľmi časté (</w:t>
      </w:r>
      <w:r w:rsidRPr="00D76279">
        <w:rPr>
          <w:sz w:val="22"/>
          <w:szCs w:val="22"/>
          <w:cs/>
        </w:rPr>
        <w:t>≥</w:t>
      </w:r>
      <w:r w:rsidRPr="00D76279">
        <w:rPr>
          <w:sz w:val="22"/>
          <w:szCs w:val="22"/>
        </w:rPr>
        <w:t xml:space="preserve">1/10), </w:t>
      </w:r>
    </w:p>
    <w:p w14:paraId="31D02939" w14:textId="77777777" w:rsidR="00B843C6" w:rsidRPr="00D76279" w:rsidRDefault="00B843C6" w:rsidP="00181044">
      <w:pPr>
        <w:pStyle w:val="Default"/>
        <w:tabs>
          <w:tab w:val="left" w:pos="4200"/>
        </w:tabs>
        <w:jc w:val="both"/>
        <w:rPr>
          <w:sz w:val="22"/>
          <w:szCs w:val="22"/>
        </w:rPr>
      </w:pPr>
      <w:r w:rsidRPr="00D76279">
        <w:rPr>
          <w:sz w:val="22"/>
          <w:szCs w:val="22"/>
        </w:rPr>
        <w:t>časté (</w:t>
      </w:r>
      <w:r w:rsidRPr="00D76279">
        <w:rPr>
          <w:sz w:val="22"/>
          <w:szCs w:val="22"/>
          <w:cs/>
        </w:rPr>
        <w:t>≥</w:t>
      </w:r>
      <w:r w:rsidRPr="00D76279">
        <w:rPr>
          <w:sz w:val="22"/>
          <w:szCs w:val="22"/>
        </w:rPr>
        <w:t xml:space="preserve">1/100 až &lt;1/10), </w:t>
      </w:r>
    </w:p>
    <w:p w14:paraId="19CA4BA6" w14:textId="77777777" w:rsidR="00B843C6" w:rsidRPr="00D76279" w:rsidRDefault="00B843C6" w:rsidP="00181044">
      <w:pPr>
        <w:pStyle w:val="Default"/>
        <w:jc w:val="both"/>
        <w:rPr>
          <w:sz w:val="22"/>
          <w:szCs w:val="22"/>
        </w:rPr>
      </w:pPr>
      <w:r w:rsidRPr="00D76279">
        <w:rPr>
          <w:sz w:val="22"/>
          <w:szCs w:val="22"/>
        </w:rPr>
        <w:t>menej časté (</w:t>
      </w:r>
      <w:r w:rsidRPr="00D76279">
        <w:rPr>
          <w:sz w:val="22"/>
          <w:szCs w:val="22"/>
          <w:cs/>
        </w:rPr>
        <w:t>≥</w:t>
      </w:r>
      <w:r w:rsidRPr="00D76279">
        <w:rPr>
          <w:sz w:val="22"/>
          <w:szCs w:val="22"/>
        </w:rPr>
        <w:t xml:space="preserve">1/1 000 až &lt;1/100), </w:t>
      </w:r>
    </w:p>
    <w:p w14:paraId="00C4CDEA" w14:textId="77777777" w:rsidR="00B843C6" w:rsidRPr="00D76279" w:rsidRDefault="00B843C6" w:rsidP="00181044">
      <w:pPr>
        <w:pStyle w:val="Default"/>
        <w:jc w:val="both"/>
        <w:rPr>
          <w:sz w:val="22"/>
          <w:szCs w:val="22"/>
        </w:rPr>
      </w:pPr>
      <w:r w:rsidRPr="00D76279">
        <w:rPr>
          <w:sz w:val="22"/>
          <w:szCs w:val="22"/>
        </w:rPr>
        <w:t>zriedkavé (</w:t>
      </w:r>
      <w:r w:rsidRPr="00D76279">
        <w:rPr>
          <w:sz w:val="22"/>
          <w:szCs w:val="22"/>
          <w:cs/>
        </w:rPr>
        <w:t>≥</w:t>
      </w:r>
      <w:r w:rsidRPr="00D76279">
        <w:rPr>
          <w:sz w:val="22"/>
          <w:szCs w:val="22"/>
        </w:rPr>
        <w:t xml:space="preserve">1/10 000 až &lt;1/1 000), </w:t>
      </w:r>
    </w:p>
    <w:p w14:paraId="191C3CBD" w14:textId="77777777" w:rsidR="00B843C6" w:rsidRPr="00D76279" w:rsidRDefault="00B843C6" w:rsidP="00181044">
      <w:pPr>
        <w:pStyle w:val="Default"/>
        <w:jc w:val="both"/>
        <w:rPr>
          <w:sz w:val="22"/>
          <w:szCs w:val="22"/>
        </w:rPr>
      </w:pPr>
      <w:r w:rsidRPr="00D76279">
        <w:rPr>
          <w:sz w:val="22"/>
          <w:szCs w:val="22"/>
        </w:rPr>
        <w:t xml:space="preserve">veľmi zriedkavé (&lt;1/10 000); neznáme (nie je možné ich odhadnúť z dostupných údajov). </w:t>
      </w:r>
    </w:p>
    <w:p w14:paraId="6B52D103" w14:textId="77777777" w:rsidR="00B843C6" w:rsidRPr="00D76279" w:rsidRDefault="00B843C6" w:rsidP="00181044">
      <w:pPr>
        <w:pStyle w:val="Default"/>
        <w:jc w:val="both"/>
        <w:rPr>
          <w:sz w:val="22"/>
          <w:szCs w:val="22"/>
        </w:rPr>
      </w:pPr>
    </w:p>
    <w:p w14:paraId="41B56941" w14:textId="77777777" w:rsidR="00C8670A" w:rsidRPr="00C029F5" w:rsidRDefault="00C8670A" w:rsidP="00181044">
      <w:pPr>
        <w:pStyle w:val="Default"/>
        <w:jc w:val="both"/>
        <w:rPr>
          <w:sz w:val="22"/>
          <w:szCs w:val="22"/>
        </w:rPr>
      </w:pPr>
      <w:r w:rsidRPr="00C029F5">
        <w:rPr>
          <w:sz w:val="22"/>
          <w:szCs w:val="22"/>
          <w:u w:val="single"/>
        </w:rPr>
        <w:t>Poruchy krvi a lymfatického systému</w:t>
      </w:r>
      <w:r w:rsidR="00B843C6" w:rsidRPr="00D76279">
        <w:rPr>
          <w:sz w:val="22"/>
          <w:szCs w:val="22"/>
          <w:u w:val="single"/>
        </w:rPr>
        <w:t xml:space="preserve"> </w:t>
      </w:r>
    </w:p>
    <w:p w14:paraId="26AD4D66" w14:textId="77777777" w:rsidR="00B843C6" w:rsidRPr="00D76279" w:rsidRDefault="00B843C6" w:rsidP="0029131D">
      <w:pPr>
        <w:pStyle w:val="Default"/>
        <w:rPr>
          <w:sz w:val="22"/>
          <w:szCs w:val="22"/>
        </w:rPr>
      </w:pPr>
      <w:r w:rsidRPr="00D76279">
        <w:rPr>
          <w:sz w:val="22"/>
          <w:szCs w:val="22"/>
        </w:rPr>
        <w:t xml:space="preserve">Menej časté: trombocytopénia; trombocytopénia sa môže prejaviť, a to najmä so zvýšeným sklonom ku krvácaniu. </w:t>
      </w:r>
    </w:p>
    <w:p w14:paraId="144A2678" w14:textId="5A9F2E73" w:rsidR="00C8670A" w:rsidRDefault="00C8670A" w:rsidP="0029131D">
      <w:pPr>
        <w:pStyle w:val="Default"/>
        <w:rPr>
          <w:sz w:val="22"/>
          <w:szCs w:val="22"/>
        </w:rPr>
      </w:pPr>
      <w:r w:rsidRPr="00C029F5">
        <w:rPr>
          <w:sz w:val="22"/>
          <w:szCs w:val="22"/>
        </w:rPr>
        <w:t xml:space="preserve">Zriedkavé: </w:t>
      </w:r>
      <w:r w:rsidR="00B843C6" w:rsidRPr="00D76279">
        <w:rPr>
          <w:sz w:val="22"/>
          <w:szCs w:val="22"/>
        </w:rPr>
        <w:t>eozinofília, leukopénia, depresia</w:t>
      </w:r>
      <w:r w:rsidR="006C4808" w:rsidRPr="00D76279">
        <w:rPr>
          <w:sz w:val="22"/>
          <w:szCs w:val="22"/>
        </w:rPr>
        <w:t xml:space="preserve"> kostnej drene</w:t>
      </w:r>
      <w:r w:rsidR="00B843C6" w:rsidRPr="00D76279">
        <w:rPr>
          <w:sz w:val="22"/>
          <w:szCs w:val="22"/>
        </w:rPr>
        <w:t xml:space="preserve">; výskyt tohto príznaku vyžaduje prerušenie liečby. </w:t>
      </w:r>
    </w:p>
    <w:p w14:paraId="2D6CBD81" w14:textId="1BCF8029" w:rsidR="00C8670A" w:rsidRDefault="00C8670A" w:rsidP="0029131D">
      <w:pPr>
        <w:pStyle w:val="Default"/>
        <w:rPr>
          <w:sz w:val="22"/>
          <w:szCs w:val="22"/>
        </w:rPr>
      </w:pPr>
      <w:r w:rsidRPr="00C029F5">
        <w:rPr>
          <w:sz w:val="22"/>
          <w:szCs w:val="22"/>
        </w:rPr>
        <w:t>Veľmi zriedkavé:</w:t>
      </w:r>
      <w:r w:rsidR="006C4808" w:rsidRPr="00D76279">
        <w:rPr>
          <w:sz w:val="22"/>
          <w:szCs w:val="22"/>
        </w:rPr>
        <w:t xml:space="preserve"> hemolytická anémia</w:t>
      </w:r>
      <w:r w:rsidR="00B843C6" w:rsidRPr="00D76279">
        <w:rPr>
          <w:sz w:val="22"/>
          <w:szCs w:val="22"/>
        </w:rPr>
        <w:t xml:space="preserve">, aplastická anémia, agranulocytóza. </w:t>
      </w:r>
    </w:p>
    <w:p w14:paraId="11CE8E5D" w14:textId="131EABFC" w:rsidR="00B843C6" w:rsidRPr="00D76279" w:rsidRDefault="00B843C6" w:rsidP="0029131D">
      <w:pPr>
        <w:pStyle w:val="Default"/>
        <w:rPr>
          <w:sz w:val="22"/>
          <w:szCs w:val="22"/>
        </w:rPr>
      </w:pPr>
      <w:r w:rsidRPr="00D76279">
        <w:rPr>
          <w:sz w:val="22"/>
          <w:szCs w:val="22"/>
        </w:rPr>
        <w:t>Závažná deplécia tekutín môže viesť k hemokoncentrácii so sklonom k trombóze, čo sa rozvíja najmä u starších pacientov.</w:t>
      </w:r>
    </w:p>
    <w:p w14:paraId="3C383763" w14:textId="77777777" w:rsidR="00C8670A" w:rsidRPr="00C029F5" w:rsidRDefault="00C8670A" w:rsidP="0029131D">
      <w:pPr>
        <w:pStyle w:val="Default"/>
        <w:rPr>
          <w:sz w:val="22"/>
          <w:szCs w:val="22"/>
        </w:rPr>
      </w:pPr>
    </w:p>
    <w:p w14:paraId="53B1B43E" w14:textId="1AB88BD6" w:rsidR="00C8670A" w:rsidRPr="00C029F5" w:rsidRDefault="00C8670A" w:rsidP="0029131D">
      <w:pPr>
        <w:pStyle w:val="Default"/>
        <w:rPr>
          <w:sz w:val="22"/>
          <w:szCs w:val="22"/>
        </w:rPr>
      </w:pPr>
      <w:r w:rsidRPr="00C029F5">
        <w:rPr>
          <w:sz w:val="22"/>
          <w:szCs w:val="22"/>
          <w:u w:val="single"/>
        </w:rPr>
        <w:t xml:space="preserve">Poruchy </w:t>
      </w:r>
      <w:r w:rsidR="00B843C6" w:rsidRPr="00D76279">
        <w:rPr>
          <w:sz w:val="22"/>
          <w:szCs w:val="22"/>
          <w:u w:val="single"/>
        </w:rPr>
        <w:t>imunitného</w:t>
      </w:r>
      <w:r w:rsidRPr="00C029F5">
        <w:rPr>
          <w:sz w:val="22"/>
          <w:szCs w:val="22"/>
          <w:u w:val="single"/>
        </w:rPr>
        <w:t xml:space="preserve"> systému</w:t>
      </w:r>
      <w:r w:rsidR="00B843C6" w:rsidRPr="00D76279">
        <w:rPr>
          <w:sz w:val="22"/>
          <w:szCs w:val="22"/>
          <w:u w:val="single"/>
        </w:rPr>
        <w:t xml:space="preserve"> </w:t>
      </w:r>
    </w:p>
    <w:p w14:paraId="08BD7D9C" w14:textId="77777777" w:rsidR="00B843C6" w:rsidRPr="00D76279" w:rsidRDefault="00B843C6" w:rsidP="0029131D">
      <w:pPr>
        <w:pStyle w:val="Default"/>
        <w:rPr>
          <w:sz w:val="22"/>
          <w:szCs w:val="22"/>
        </w:rPr>
      </w:pPr>
      <w:r w:rsidRPr="00D76279">
        <w:rPr>
          <w:sz w:val="22"/>
          <w:szCs w:val="22"/>
        </w:rPr>
        <w:t>Zriedkavé: závažné anafylaktické a anafylaktoidné reakcie, ako je anafylaktický šok (liečbu pozri v časti 4.9).</w:t>
      </w:r>
    </w:p>
    <w:p w14:paraId="68887F05" w14:textId="77777777" w:rsidR="00C8670A" w:rsidRPr="00C029F5" w:rsidRDefault="00C8670A" w:rsidP="0029131D">
      <w:pPr>
        <w:pStyle w:val="Default"/>
        <w:rPr>
          <w:sz w:val="22"/>
          <w:szCs w:val="22"/>
        </w:rPr>
      </w:pPr>
    </w:p>
    <w:p w14:paraId="577DC93E" w14:textId="77777777" w:rsidR="00C8670A" w:rsidRPr="00C029F5" w:rsidRDefault="00C8670A" w:rsidP="0029131D">
      <w:pPr>
        <w:pStyle w:val="Default"/>
        <w:rPr>
          <w:sz w:val="22"/>
          <w:szCs w:val="22"/>
        </w:rPr>
      </w:pPr>
      <w:r w:rsidRPr="00C029F5">
        <w:rPr>
          <w:sz w:val="22"/>
          <w:szCs w:val="22"/>
          <w:u w:val="single"/>
        </w:rPr>
        <w:t>Poruchy endokrinného systému</w:t>
      </w:r>
      <w:r w:rsidR="00B843C6" w:rsidRPr="00D76279">
        <w:rPr>
          <w:sz w:val="22"/>
          <w:szCs w:val="22"/>
          <w:u w:val="single"/>
        </w:rPr>
        <w:t xml:space="preserve"> </w:t>
      </w:r>
    </w:p>
    <w:p w14:paraId="43633269" w14:textId="636293DE" w:rsidR="00C8670A" w:rsidRDefault="00B843C6" w:rsidP="00181044">
      <w:pPr>
        <w:pStyle w:val="Default"/>
        <w:jc w:val="both"/>
        <w:rPr>
          <w:sz w:val="22"/>
          <w:szCs w:val="22"/>
        </w:rPr>
      </w:pPr>
      <w:r w:rsidRPr="00D76279">
        <w:rPr>
          <w:sz w:val="22"/>
          <w:szCs w:val="22"/>
        </w:rPr>
        <w:t>Furosemid</w:t>
      </w:r>
      <w:r w:rsidR="006C4808" w:rsidRPr="00D76279">
        <w:rPr>
          <w:sz w:val="22"/>
          <w:szCs w:val="22"/>
        </w:rPr>
        <w:t xml:space="preserve"> môže znížiť </w:t>
      </w:r>
      <w:r w:rsidRPr="00D76279">
        <w:rPr>
          <w:sz w:val="22"/>
          <w:szCs w:val="22"/>
        </w:rPr>
        <w:t>glukózovú toleranciu</w:t>
      </w:r>
      <w:r w:rsidR="006C4808" w:rsidRPr="00D76279">
        <w:rPr>
          <w:sz w:val="22"/>
          <w:szCs w:val="22"/>
        </w:rPr>
        <w:t>. U</w:t>
      </w:r>
      <w:r w:rsidRPr="00D76279">
        <w:rPr>
          <w:sz w:val="22"/>
          <w:szCs w:val="22"/>
        </w:rPr>
        <w:t xml:space="preserve"> </w:t>
      </w:r>
      <w:r w:rsidR="006C4808" w:rsidRPr="00D76279">
        <w:rPr>
          <w:sz w:val="22"/>
          <w:szCs w:val="22"/>
        </w:rPr>
        <w:t>pacientov s</w:t>
      </w:r>
      <w:r w:rsidRPr="00D76279">
        <w:rPr>
          <w:sz w:val="22"/>
          <w:szCs w:val="22"/>
        </w:rPr>
        <w:t xml:space="preserve"> diabetes</w:t>
      </w:r>
      <w:r w:rsidR="006C4808" w:rsidRPr="00D76279">
        <w:rPr>
          <w:sz w:val="22"/>
          <w:szCs w:val="22"/>
        </w:rPr>
        <w:t xml:space="preserve"> mellitus </w:t>
      </w:r>
      <w:r w:rsidRPr="00D76279">
        <w:rPr>
          <w:sz w:val="22"/>
          <w:szCs w:val="22"/>
        </w:rPr>
        <w:t>toto</w:t>
      </w:r>
      <w:r w:rsidR="006C4808" w:rsidRPr="00D76279">
        <w:rPr>
          <w:sz w:val="22"/>
          <w:szCs w:val="22"/>
        </w:rPr>
        <w:t xml:space="preserve"> môže viesť k</w:t>
      </w:r>
      <w:r w:rsidRPr="00D76279">
        <w:rPr>
          <w:sz w:val="22"/>
          <w:szCs w:val="22"/>
        </w:rPr>
        <w:t xml:space="preserve"> </w:t>
      </w:r>
      <w:r w:rsidR="006C4808" w:rsidRPr="00D76279">
        <w:rPr>
          <w:sz w:val="22"/>
          <w:szCs w:val="22"/>
        </w:rPr>
        <w:t xml:space="preserve">zhoršeniu metabolickej kontroly; </w:t>
      </w:r>
      <w:r w:rsidRPr="00D76279">
        <w:rPr>
          <w:sz w:val="22"/>
          <w:szCs w:val="22"/>
        </w:rPr>
        <w:t xml:space="preserve">môže sa prejaviť </w:t>
      </w:r>
      <w:r w:rsidR="006C4808" w:rsidRPr="00D76279">
        <w:rPr>
          <w:sz w:val="22"/>
          <w:szCs w:val="22"/>
        </w:rPr>
        <w:t>latentný diabetes mellitus.</w:t>
      </w:r>
    </w:p>
    <w:p w14:paraId="4F91CCF2" w14:textId="77777777" w:rsidR="00B843C6" w:rsidRPr="00D76279" w:rsidRDefault="00B843C6" w:rsidP="00181044">
      <w:pPr>
        <w:pStyle w:val="Default"/>
        <w:jc w:val="both"/>
        <w:rPr>
          <w:sz w:val="22"/>
          <w:szCs w:val="22"/>
        </w:rPr>
      </w:pPr>
    </w:p>
    <w:p w14:paraId="277041D9" w14:textId="77777777" w:rsidR="00B843C6" w:rsidRPr="00D76279" w:rsidRDefault="00B843C6" w:rsidP="0029131D">
      <w:pPr>
        <w:pStyle w:val="Default"/>
        <w:rPr>
          <w:sz w:val="22"/>
          <w:szCs w:val="22"/>
        </w:rPr>
      </w:pPr>
      <w:r w:rsidRPr="00D76279">
        <w:rPr>
          <w:sz w:val="22"/>
          <w:szCs w:val="22"/>
          <w:u w:val="single"/>
        </w:rPr>
        <w:t xml:space="preserve">Poruchy metabolizmu a výživy </w:t>
      </w:r>
    </w:p>
    <w:p w14:paraId="189AE4D2" w14:textId="77777777" w:rsidR="00B843C6" w:rsidRPr="00D76279" w:rsidRDefault="00B843C6" w:rsidP="0029131D">
      <w:pPr>
        <w:pStyle w:val="Default"/>
        <w:rPr>
          <w:sz w:val="22"/>
          <w:szCs w:val="22"/>
        </w:rPr>
      </w:pPr>
      <w:r w:rsidRPr="00D76279">
        <w:rPr>
          <w:sz w:val="22"/>
          <w:szCs w:val="22"/>
        </w:rPr>
        <w:t xml:space="preserve">Môže sa objaviť hypokaliémia, hyponatriémia a metabolická alkalóza, a to najmä po dlhodobej liečbe alebo ak sa podávajú vysoké dávky. Preto je indikované pravidelné sledovanie sérových elektrolytov (najmä draslíka, sodíka a vápnika). </w:t>
      </w:r>
    </w:p>
    <w:p w14:paraId="09490E9B" w14:textId="57CF905A" w:rsidR="00B843C6" w:rsidRPr="00D76279" w:rsidRDefault="00B843C6" w:rsidP="0029131D">
      <w:pPr>
        <w:pStyle w:val="Default"/>
        <w:rPr>
          <w:sz w:val="22"/>
          <w:szCs w:val="22"/>
        </w:rPr>
      </w:pPr>
      <w:r w:rsidRPr="00D76279">
        <w:rPr>
          <w:sz w:val="22"/>
          <w:szCs w:val="22"/>
        </w:rPr>
        <w:lastRenderedPageBreak/>
        <w:t xml:space="preserve">Môže sa vyskytnúť deplécia draslíka, najmä v dôsledku stravovania s nízkym obsahom draslíka. Najmä keď sa </w:t>
      </w:r>
      <w:r w:rsidR="00142ABC">
        <w:rPr>
          <w:sz w:val="22"/>
          <w:szCs w:val="22"/>
        </w:rPr>
        <w:t xml:space="preserve">príjem </w:t>
      </w:r>
      <w:r w:rsidRPr="00D76279">
        <w:rPr>
          <w:sz w:val="22"/>
          <w:szCs w:val="22"/>
        </w:rPr>
        <w:t xml:space="preserve">draslíka súčasne redukuje a/alebo sa zvýši extrarenálna strata draslíka (napr. pri vracaní alebo chronickej hnačke), môže dôjsť k hypokaliémii v dôsledku zvýšenej renálnej straty draslíka. </w:t>
      </w:r>
    </w:p>
    <w:p w14:paraId="52C1FA45" w14:textId="7C769F29" w:rsidR="00B843C6" w:rsidRPr="00D76279" w:rsidRDefault="00D4674F" w:rsidP="0029131D">
      <w:pPr>
        <w:pStyle w:val="Default"/>
        <w:rPr>
          <w:sz w:val="22"/>
          <w:szCs w:val="22"/>
        </w:rPr>
      </w:pPr>
      <w:r>
        <w:rPr>
          <w:sz w:val="22"/>
          <w:szCs w:val="22"/>
        </w:rPr>
        <w:t xml:space="preserve">Už existujúce </w:t>
      </w:r>
      <w:r w:rsidR="008F185F">
        <w:rPr>
          <w:sz w:val="22"/>
          <w:szCs w:val="22"/>
        </w:rPr>
        <w:t xml:space="preserve">ochorenia </w:t>
      </w:r>
      <w:r w:rsidR="00B843C6" w:rsidRPr="00D76279">
        <w:rPr>
          <w:sz w:val="22"/>
          <w:szCs w:val="22"/>
        </w:rPr>
        <w:t xml:space="preserve">(napr. cirhózové ochorenia alebo zlyhanie srdca), súčasné podávanie liekov (pozri časť 4.5) a výživa môžu spôsobiť predispozíciu k nedostatku draslíka. V takýchto prípadoch je potrebné adekvátne sledovanie ako aj substitučná liečba. </w:t>
      </w:r>
    </w:p>
    <w:p w14:paraId="76AAF81D" w14:textId="77777777" w:rsidR="00B843C6" w:rsidRPr="00D76279" w:rsidRDefault="00B843C6" w:rsidP="0029131D">
      <w:pPr>
        <w:pStyle w:val="Default"/>
        <w:rPr>
          <w:sz w:val="22"/>
          <w:szCs w:val="22"/>
        </w:rPr>
      </w:pPr>
    </w:p>
    <w:p w14:paraId="17FD6294" w14:textId="6DC4EC71" w:rsidR="00B843C6" w:rsidRPr="00D76279" w:rsidRDefault="00B843C6" w:rsidP="0029131D">
      <w:pPr>
        <w:pStyle w:val="Default"/>
        <w:rPr>
          <w:sz w:val="22"/>
          <w:szCs w:val="22"/>
        </w:rPr>
      </w:pPr>
      <w:r w:rsidRPr="00D76279">
        <w:rPr>
          <w:sz w:val="22"/>
          <w:szCs w:val="22"/>
        </w:rPr>
        <w:t>V dôsledku zvýšených strát sodíka v obličkách sa môž</w:t>
      </w:r>
      <w:r w:rsidR="00142ABC">
        <w:rPr>
          <w:sz w:val="22"/>
          <w:szCs w:val="22"/>
        </w:rPr>
        <w:t>u</w:t>
      </w:r>
      <w:r w:rsidRPr="00D76279">
        <w:rPr>
          <w:sz w:val="22"/>
          <w:szCs w:val="22"/>
        </w:rPr>
        <w:t xml:space="preserve"> objaviť príznaky hyponatriémie, a to najmä v prípade, že zásoba chloridu sodného je obmedzená. </w:t>
      </w:r>
    </w:p>
    <w:p w14:paraId="6EBB8CEC" w14:textId="77777777" w:rsidR="00B843C6" w:rsidRPr="00D76279" w:rsidRDefault="00B843C6" w:rsidP="0029131D">
      <w:pPr>
        <w:pStyle w:val="Default"/>
        <w:rPr>
          <w:sz w:val="22"/>
          <w:szCs w:val="22"/>
        </w:rPr>
      </w:pPr>
    </w:p>
    <w:p w14:paraId="2C1A2CAD" w14:textId="77777777" w:rsidR="00B843C6" w:rsidRPr="00D76279" w:rsidRDefault="00B843C6" w:rsidP="0029131D">
      <w:pPr>
        <w:pStyle w:val="Default"/>
        <w:rPr>
          <w:sz w:val="22"/>
          <w:szCs w:val="22"/>
        </w:rPr>
      </w:pPr>
      <w:r w:rsidRPr="00D76279">
        <w:rPr>
          <w:sz w:val="22"/>
          <w:szCs w:val="22"/>
        </w:rPr>
        <w:t xml:space="preserve">Zvýšené renálne straty vápnika môžu viesť k hypokalcémii, ktorá môže vyvolať tetániu v zriedkavých prípadoch. </w:t>
      </w:r>
    </w:p>
    <w:p w14:paraId="0330B4E7" w14:textId="77777777" w:rsidR="00B843C6" w:rsidRPr="00D76279" w:rsidRDefault="00B843C6" w:rsidP="0029131D">
      <w:pPr>
        <w:pStyle w:val="Default"/>
        <w:rPr>
          <w:sz w:val="22"/>
          <w:szCs w:val="22"/>
        </w:rPr>
      </w:pPr>
    </w:p>
    <w:p w14:paraId="7E98C367" w14:textId="36AF9154" w:rsidR="00B843C6" w:rsidRPr="00D76279" w:rsidRDefault="00B843C6" w:rsidP="0029131D">
      <w:pPr>
        <w:pStyle w:val="Default"/>
        <w:rPr>
          <w:sz w:val="22"/>
          <w:szCs w:val="22"/>
        </w:rPr>
      </w:pPr>
      <w:r w:rsidRPr="00D76279">
        <w:rPr>
          <w:sz w:val="22"/>
          <w:szCs w:val="22"/>
        </w:rPr>
        <w:t>U pacientov so zvýšenými renálnymi stratami horčíka bola</w:t>
      </w:r>
      <w:r w:rsidR="008C75CA">
        <w:rPr>
          <w:sz w:val="22"/>
          <w:szCs w:val="22"/>
        </w:rPr>
        <w:t xml:space="preserve"> </w:t>
      </w:r>
      <w:r w:rsidR="008C75CA" w:rsidRPr="00D76279">
        <w:rPr>
          <w:sz w:val="22"/>
          <w:szCs w:val="22"/>
        </w:rPr>
        <w:t>vo vzácnych prípadoch v dôsledku hypomagn</w:t>
      </w:r>
      <w:r w:rsidR="00E507A7">
        <w:rPr>
          <w:sz w:val="22"/>
          <w:szCs w:val="22"/>
        </w:rPr>
        <w:t>e</w:t>
      </w:r>
      <w:r w:rsidR="008C75CA" w:rsidRPr="00D76279">
        <w:rPr>
          <w:sz w:val="22"/>
          <w:szCs w:val="22"/>
        </w:rPr>
        <w:t>zi</w:t>
      </w:r>
      <w:r w:rsidR="00E507A7">
        <w:rPr>
          <w:sz w:val="22"/>
          <w:szCs w:val="22"/>
        </w:rPr>
        <w:t>émi</w:t>
      </w:r>
      <w:r w:rsidR="008C75CA" w:rsidRPr="00D76279">
        <w:rPr>
          <w:sz w:val="22"/>
          <w:szCs w:val="22"/>
        </w:rPr>
        <w:t>e</w:t>
      </w:r>
      <w:r w:rsidRPr="00D76279">
        <w:rPr>
          <w:sz w:val="22"/>
          <w:szCs w:val="22"/>
        </w:rPr>
        <w:t xml:space="preserve"> pozorovaná tetánia alebo srdcová arytmia. </w:t>
      </w:r>
    </w:p>
    <w:p w14:paraId="458D3D2E" w14:textId="77777777" w:rsidR="00B843C6" w:rsidRPr="00D76279" w:rsidRDefault="00B843C6" w:rsidP="00181044">
      <w:pPr>
        <w:pStyle w:val="Default"/>
        <w:jc w:val="both"/>
        <w:rPr>
          <w:sz w:val="22"/>
          <w:szCs w:val="22"/>
        </w:rPr>
      </w:pPr>
    </w:p>
    <w:p w14:paraId="5670FABB" w14:textId="08671B1C" w:rsidR="00B843C6" w:rsidRPr="00D76279" w:rsidRDefault="00B843C6" w:rsidP="00181044">
      <w:pPr>
        <w:pStyle w:val="Default"/>
        <w:jc w:val="both"/>
        <w:rPr>
          <w:sz w:val="22"/>
          <w:szCs w:val="22"/>
        </w:rPr>
      </w:pPr>
      <w:r w:rsidRPr="00D76279">
        <w:rPr>
          <w:sz w:val="22"/>
          <w:szCs w:val="22"/>
        </w:rPr>
        <w:t>Môže sa zvýšiť hladina kyseliny močovej a môž</w:t>
      </w:r>
      <w:r w:rsidR="008C75CA">
        <w:rPr>
          <w:sz w:val="22"/>
          <w:szCs w:val="22"/>
        </w:rPr>
        <w:t>e</w:t>
      </w:r>
      <w:r w:rsidRPr="00D76279">
        <w:rPr>
          <w:sz w:val="22"/>
          <w:szCs w:val="22"/>
        </w:rPr>
        <w:t xml:space="preserve"> sa objaviť dna. </w:t>
      </w:r>
    </w:p>
    <w:p w14:paraId="474FBCC9" w14:textId="77777777" w:rsidR="00B843C6" w:rsidRPr="00D76279" w:rsidRDefault="00B843C6" w:rsidP="00181044">
      <w:pPr>
        <w:pStyle w:val="Default"/>
        <w:jc w:val="both"/>
        <w:rPr>
          <w:sz w:val="22"/>
          <w:szCs w:val="22"/>
        </w:rPr>
      </w:pPr>
    </w:p>
    <w:p w14:paraId="590A5797" w14:textId="77777777" w:rsidR="00B843C6" w:rsidRPr="00D76279" w:rsidRDefault="00B843C6" w:rsidP="00181044">
      <w:pPr>
        <w:pStyle w:val="Default"/>
        <w:jc w:val="both"/>
        <w:rPr>
          <w:sz w:val="22"/>
          <w:szCs w:val="22"/>
        </w:rPr>
      </w:pPr>
      <w:r w:rsidRPr="00D76279">
        <w:rPr>
          <w:sz w:val="22"/>
          <w:szCs w:val="22"/>
        </w:rPr>
        <w:t>Môže sa vyvinúť metabolická alkalóza alebo už existujúca metabolická alkalóza (napr. pri dekompenzovanej cirhóze pečene) sa môže zhoršiť pri podávaní furosemidu.</w:t>
      </w:r>
    </w:p>
    <w:p w14:paraId="7CCF1D42" w14:textId="77777777" w:rsidR="00B843C6" w:rsidRPr="00D76279" w:rsidRDefault="00B843C6" w:rsidP="00181044">
      <w:pPr>
        <w:pStyle w:val="Default"/>
        <w:jc w:val="both"/>
        <w:rPr>
          <w:sz w:val="22"/>
          <w:szCs w:val="22"/>
        </w:rPr>
      </w:pPr>
    </w:p>
    <w:p w14:paraId="30A27246" w14:textId="77777777" w:rsidR="00B843C6" w:rsidRPr="00D76279" w:rsidRDefault="00B843C6" w:rsidP="00181044">
      <w:pPr>
        <w:pStyle w:val="Default"/>
        <w:jc w:val="both"/>
        <w:rPr>
          <w:sz w:val="22"/>
          <w:szCs w:val="22"/>
        </w:rPr>
      </w:pPr>
      <w:r w:rsidRPr="00D76279">
        <w:rPr>
          <w:sz w:val="22"/>
          <w:szCs w:val="22"/>
          <w:u w:val="single"/>
        </w:rPr>
        <w:t xml:space="preserve">Poruchy nervového systému: </w:t>
      </w:r>
    </w:p>
    <w:p w14:paraId="6306C6A9" w14:textId="77777777" w:rsidR="00B843C6" w:rsidRPr="00D76279" w:rsidRDefault="00B843C6" w:rsidP="00181044">
      <w:pPr>
        <w:pStyle w:val="Default"/>
        <w:jc w:val="both"/>
        <w:rPr>
          <w:sz w:val="22"/>
          <w:szCs w:val="22"/>
        </w:rPr>
      </w:pPr>
      <w:r w:rsidRPr="00D76279">
        <w:rPr>
          <w:sz w:val="22"/>
          <w:szCs w:val="22"/>
        </w:rPr>
        <w:t>Zriedkavé: parestézia, vertigo, závrat, ospalosť, zmätenosť, pocit tlaku v hlave.</w:t>
      </w:r>
    </w:p>
    <w:p w14:paraId="16003C6E" w14:textId="35487A1B" w:rsidR="00B843C6" w:rsidRPr="00D76279" w:rsidRDefault="00B843C6" w:rsidP="0029131D">
      <w:pPr>
        <w:pStyle w:val="Default"/>
        <w:rPr>
          <w:sz w:val="22"/>
          <w:szCs w:val="22"/>
        </w:rPr>
      </w:pPr>
      <w:r w:rsidRPr="00D76279">
        <w:rPr>
          <w:sz w:val="22"/>
          <w:szCs w:val="22"/>
        </w:rPr>
        <w:t>Neznáme: závraty, mdloby a strata vedomia (spôsobené symptomatickou hypotenziou).</w:t>
      </w:r>
    </w:p>
    <w:p w14:paraId="221B052E" w14:textId="77777777" w:rsidR="00C8670A" w:rsidRDefault="00C8670A" w:rsidP="0029131D">
      <w:pPr>
        <w:pStyle w:val="Default"/>
        <w:rPr>
          <w:sz w:val="22"/>
          <w:szCs w:val="22"/>
        </w:rPr>
      </w:pPr>
    </w:p>
    <w:p w14:paraId="01A2788D" w14:textId="77777777" w:rsidR="00C8670A" w:rsidRPr="00C029F5" w:rsidRDefault="00C8670A" w:rsidP="0029131D">
      <w:pPr>
        <w:pStyle w:val="Default"/>
        <w:rPr>
          <w:sz w:val="22"/>
          <w:szCs w:val="22"/>
        </w:rPr>
      </w:pPr>
      <w:r w:rsidRPr="00C029F5">
        <w:rPr>
          <w:sz w:val="22"/>
          <w:szCs w:val="22"/>
          <w:u w:val="single"/>
        </w:rPr>
        <w:t>Poruchy oka</w:t>
      </w:r>
      <w:r w:rsidR="00B843C6" w:rsidRPr="00D76279">
        <w:rPr>
          <w:sz w:val="22"/>
          <w:szCs w:val="22"/>
          <w:u w:val="single"/>
        </w:rPr>
        <w:t xml:space="preserve">: </w:t>
      </w:r>
    </w:p>
    <w:p w14:paraId="3F345F26" w14:textId="511B5F9A" w:rsidR="00C8670A" w:rsidRDefault="00B843C6" w:rsidP="0029131D">
      <w:pPr>
        <w:pStyle w:val="Default"/>
        <w:rPr>
          <w:sz w:val="22"/>
          <w:szCs w:val="22"/>
        </w:rPr>
      </w:pPr>
      <w:r w:rsidRPr="00D76279">
        <w:rPr>
          <w:sz w:val="22"/>
          <w:szCs w:val="22"/>
        </w:rPr>
        <w:t xml:space="preserve">Zriedkavé: zhoršenie myopia, rozmazané videnie; </w:t>
      </w:r>
      <w:r w:rsidR="006C4808" w:rsidRPr="00D76279">
        <w:rPr>
          <w:sz w:val="22"/>
          <w:szCs w:val="22"/>
        </w:rPr>
        <w:t xml:space="preserve">poruchy videnia </w:t>
      </w:r>
      <w:r w:rsidRPr="00D76279">
        <w:rPr>
          <w:sz w:val="22"/>
          <w:szCs w:val="22"/>
        </w:rPr>
        <w:t>s príznakmi hypovolémie.</w:t>
      </w:r>
    </w:p>
    <w:p w14:paraId="57330E91" w14:textId="77777777" w:rsidR="00C8670A" w:rsidRPr="00C029F5" w:rsidRDefault="00C8670A" w:rsidP="0029131D">
      <w:pPr>
        <w:pStyle w:val="Default"/>
        <w:rPr>
          <w:sz w:val="22"/>
          <w:szCs w:val="22"/>
        </w:rPr>
      </w:pPr>
    </w:p>
    <w:p w14:paraId="5CC2C1BE" w14:textId="222F805F" w:rsidR="00C8670A" w:rsidRPr="00C029F5" w:rsidRDefault="00C8670A" w:rsidP="0029131D">
      <w:pPr>
        <w:pStyle w:val="Default"/>
        <w:rPr>
          <w:sz w:val="22"/>
          <w:szCs w:val="22"/>
        </w:rPr>
      </w:pPr>
      <w:r w:rsidRPr="00C029F5">
        <w:rPr>
          <w:sz w:val="22"/>
          <w:szCs w:val="22"/>
          <w:u w:val="single"/>
        </w:rPr>
        <w:t>Poruchy ucha a</w:t>
      </w:r>
      <w:r w:rsidR="00B843C6" w:rsidRPr="00D76279">
        <w:rPr>
          <w:sz w:val="22"/>
          <w:szCs w:val="22"/>
          <w:u w:val="single"/>
        </w:rPr>
        <w:t xml:space="preserve"> </w:t>
      </w:r>
      <w:r w:rsidRPr="00C029F5">
        <w:rPr>
          <w:sz w:val="22"/>
          <w:szCs w:val="22"/>
          <w:u w:val="single"/>
        </w:rPr>
        <w:t>labyrintu</w:t>
      </w:r>
      <w:r w:rsidR="00B843C6" w:rsidRPr="00D76279">
        <w:rPr>
          <w:sz w:val="22"/>
          <w:szCs w:val="22"/>
          <w:u w:val="single"/>
        </w:rPr>
        <w:t xml:space="preserve">: </w:t>
      </w:r>
    </w:p>
    <w:p w14:paraId="38501C9F" w14:textId="4D6600C8" w:rsidR="00B843C6" w:rsidRPr="00D76279" w:rsidRDefault="00B843C6" w:rsidP="0029131D">
      <w:pPr>
        <w:pStyle w:val="Default"/>
        <w:rPr>
          <w:sz w:val="22"/>
          <w:szCs w:val="22"/>
        </w:rPr>
      </w:pPr>
      <w:r w:rsidRPr="00D76279">
        <w:rPr>
          <w:sz w:val="22"/>
          <w:szCs w:val="22"/>
        </w:rPr>
        <w:t xml:space="preserve">Zriedkavé: porucha </w:t>
      </w:r>
      <w:r w:rsidR="006C4808" w:rsidRPr="00D76279">
        <w:rPr>
          <w:sz w:val="22"/>
          <w:szCs w:val="22"/>
        </w:rPr>
        <w:t>sluchu a</w:t>
      </w:r>
      <w:r w:rsidRPr="00D76279">
        <w:rPr>
          <w:sz w:val="22"/>
          <w:szCs w:val="22"/>
        </w:rPr>
        <w:t>/alebo zvonenie v ušiach (</w:t>
      </w:r>
      <w:r w:rsidR="006C4808" w:rsidRPr="00D76279">
        <w:rPr>
          <w:sz w:val="22"/>
          <w:szCs w:val="22"/>
        </w:rPr>
        <w:t>tinnitus</w:t>
      </w:r>
      <w:r w:rsidRPr="00D76279">
        <w:rPr>
          <w:sz w:val="22"/>
          <w:szCs w:val="22"/>
        </w:rPr>
        <w:t xml:space="preserve"> aurium) v dôsledku podávania furosemidu </w:t>
      </w:r>
      <w:r w:rsidR="006C4808" w:rsidRPr="00D76279">
        <w:rPr>
          <w:sz w:val="22"/>
          <w:szCs w:val="22"/>
        </w:rPr>
        <w:t xml:space="preserve">sú </w:t>
      </w:r>
      <w:r w:rsidRPr="00D76279">
        <w:rPr>
          <w:sz w:val="22"/>
          <w:szCs w:val="22"/>
        </w:rPr>
        <w:t xml:space="preserve">zriedkavé a </w:t>
      </w:r>
      <w:r w:rsidR="006C4808" w:rsidRPr="00D76279">
        <w:rPr>
          <w:sz w:val="22"/>
          <w:szCs w:val="22"/>
        </w:rPr>
        <w:t xml:space="preserve">zvyčajne </w:t>
      </w:r>
      <w:r w:rsidRPr="00D76279">
        <w:rPr>
          <w:sz w:val="22"/>
          <w:szCs w:val="22"/>
        </w:rPr>
        <w:t xml:space="preserve">len </w:t>
      </w:r>
      <w:r w:rsidR="006C4808" w:rsidRPr="00D76279">
        <w:rPr>
          <w:sz w:val="22"/>
          <w:szCs w:val="22"/>
        </w:rPr>
        <w:t>prechodné</w:t>
      </w:r>
      <w:r w:rsidRPr="00D76279">
        <w:rPr>
          <w:sz w:val="22"/>
          <w:szCs w:val="22"/>
        </w:rPr>
        <w:t>; incidencia je vyššia pri rýchlom intravenóznom podaní, a to</w:t>
      </w:r>
      <w:r w:rsidR="006C4808" w:rsidRPr="00D76279">
        <w:rPr>
          <w:sz w:val="22"/>
          <w:szCs w:val="22"/>
        </w:rPr>
        <w:t xml:space="preserve"> najmä u</w:t>
      </w:r>
      <w:r w:rsidRPr="00D76279">
        <w:rPr>
          <w:sz w:val="22"/>
          <w:szCs w:val="22"/>
        </w:rPr>
        <w:t xml:space="preserve"> </w:t>
      </w:r>
      <w:r w:rsidR="006C4808" w:rsidRPr="00D76279">
        <w:rPr>
          <w:sz w:val="22"/>
          <w:szCs w:val="22"/>
        </w:rPr>
        <w:t>pacientov so zlyhaním obličiek</w:t>
      </w:r>
      <w:r w:rsidRPr="00D76279">
        <w:rPr>
          <w:sz w:val="22"/>
          <w:szCs w:val="22"/>
        </w:rPr>
        <w:t xml:space="preserve"> alebo</w:t>
      </w:r>
      <w:r w:rsidR="006C4808" w:rsidRPr="00D76279">
        <w:rPr>
          <w:sz w:val="22"/>
          <w:szCs w:val="22"/>
        </w:rPr>
        <w:t xml:space="preserve"> hypoproteinémiou (napr. </w:t>
      </w:r>
      <w:r w:rsidRPr="00D76279">
        <w:rPr>
          <w:sz w:val="22"/>
          <w:szCs w:val="22"/>
        </w:rPr>
        <w:t>pri nefrotickom syndróme).</w:t>
      </w:r>
    </w:p>
    <w:p w14:paraId="7466CF08" w14:textId="77777777" w:rsidR="00B843C6" w:rsidRPr="00D76279" w:rsidRDefault="00B843C6" w:rsidP="0029131D">
      <w:pPr>
        <w:pStyle w:val="Default"/>
        <w:rPr>
          <w:sz w:val="22"/>
          <w:szCs w:val="22"/>
        </w:rPr>
      </w:pPr>
      <w:r w:rsidRPr="00D76279">
        <w:rPr>
          <w:sz w:val="22"/>
          <w:szCs w:val="22"/>
        </w:rPr>
        <w:t>Menej časté: hluchota (niekedy nevratná).</w:t>
      </w:r>
    </w:p>
    <w:p w14:paraId="27216CDB" w14:textId="77777777" w:rsidR="00B843C6" w:rsidRPr="00D76279" w:rsidRDefault="00B843C6" w:rsidP="0029131D">
      <w:pPr>
        <w:pStyle w:val="Default"/>
        <w:rPr>
          <w:sz w:val="22"/>
          <w:szCs w:val="22"/>
        </w:rPr>
      </w:pPr>
    </w:p>
    <w:p w14:paraId="4859C647" w14:textId="77777777" w:rsidR="00B843C6" w:rsidRPr="00D76279" w:rsidRDefault="00B843C6" w:rsidP="0029131D">
      <w:pPr>
        <w:pStyle w:val="Default"/>
        <w:rPr>
          <w:sz w:val="22"/>
          <w:szCs w:val="22"/>
          <w:u w:val="single"/>
        </w:rPr>
      </w:pPr>
      <w:r w:rsidRPr="00D76279">
        <w:rPr>
          <w:sz w:val="22"/>
          <w:szCs w:val="22"/>
          <w:u w:val="single"/>
        </w:rPr>
        <w:t xml:space="preserve">Poruchy srdca </w:t>
      </w:r>
    </w:p>
    <w:p w14:paraId="77A812C2" w14:textId="56AB2A56" w:rsidR="00B843C6" w:rsidRPr="00D76279" w:rsidRDefault="00B843C6" w:rsidP="0029131D">
      <w:pPr>
        <w:pStyle w:val="Default"/>
        <w:rPr>
          <w:sz w:val="22"/>
          <w:szCs w:val="22"/>
        </w:rPr>
      </w:pPr>
      <w:r w:rsidRPr="00D76279">
        <w:rPr>
          <w:sz w:val="22"/>
          <w:szCs w:val="22"/>
        </w:rPr>
        <w:t xml:space="preserve">Najmä na začiatku liečby a </w:t>
      </w:r>
      <w:r w:rsidR="006C4808" w:rsidRPr="00D76279">
        <w:rPr>
          <w:sz w:val="22"/>
          <w:szCs w:val="22"/>
        </w:rPr>
        <w:t xml:space="preserve">u </w:t>
      </w:r>
      <w:r w:rsidRPr="00D76279">
        <w:rPr>
          <w:sz w:val="22"/>
          <w:szCs w:val="22"/>
        </w:rPr>
        <w:t xml:space="preserve">starších pacientov, veľmi intenzívna diuréza môže </w:t>
      </w:r>
      <w:r w:rsidR="006C4808" w:rsidRPr="00D76279">
        <w:rPr>
          <w:sz w:val="22"/>
          <w:szCs w:val="22"/>
        </w:rPr>
        <w:t xml:space="preserve">spôsobiť zníženie krvného tlaku, </w:t>
      </w:r>
      <w:r w:rsidRPr="00D76279">
        <w:rPr>
          <w:sz w:val="22"/>
          <w:szCs w:val="22"/>
        </w:rPr>
        <w:t>ktorý, ak</w:t>
      </w:r>
      <w:r w:rsidR="006C4808" w:rsidRPr="00D76279">
        <w:rPr>
          <w:sz w:val="22"/>
          <w:szCs w:val="22"/>
        </w:rPr>
        <w:t xml:space="preserve"> je </w:t>
      </w:r>
      <w:r w:rsidRPr="00D76279">
        <w:rPr>
          <w:sz w:val="22"/>
          <w:szCs w:val="22"/>
        </w:rPr>
        <w:t>výrazný</w:t>
      </w:r>
      <w:r w:rsidR="006C4808" w:rsidRPr="00D76279">
        <w:rPr>
          <w:sz w:val="22"/>
          <w:szCs w:val="22"/>
        </w:rPr>
        <w:t xml:space="preserve">, môže spôsobiť </w:t>
      </w:r>
      <w:r w:rsidRPr="00D76279">
        <w:rPr>
          <w:sz w:val="22"/>
          <w:szCs w:val="22"/>
        </w:rPr>
        <w:t>znaky</w:t>
      </w:r>
      <w:r w:rsidR="006C4808" w:rsidRPr="00D76279">
        <w:rPr>
          <w:sz w:val="22"/>
          <w:szCs w:val="22"/>
        </w:rPr>
        <w:t xml:space="preserve"> a symptómy</w:t>
      </w:r>
      <w:r w:rsidRPr="00D76279">
        <w:rPr>
          <w:sz w:val="22"/>
          <w:szCs w:val="22"/>
        </w:rPr>
        <w:t>,</w:t>
      </w:r>
      <w:r w:rsidR="006C4808" w:rsidRPr="00D76279">
        <w:rPr>
          <w:sz w:val="22"/>
          <w:szCs w:val="22"/>
        </w:rPr>
        <w:t xml:space="preserve"> ako sú </w:t>
      </w:r>
      <w:r w:rsidRPr="00D76279">
        <w:rPr>
          <w:sz w:val="22"/>
          <w:szCs w:val="22"/>
        </w:rPr>
        <w:t>ortostatická hypotenzia, akútna hypotenzia</w:t>
      </w:r>
      <w:r w:rsidR="006C4808" w:rsidRPr="00D76279">
        <w:rPr>
          <w:sz w:val="22"/>
          <w:szCs w:val="22"/>
        </w:rPr>
        <w:t>, pocit tlaku v</w:t>
      </w:r>
      <w:r w:rsidRPr="00D76279">
        <w:rPr>
          <w:sz w:val="22"/>
          <w:szCs w:val="22"/>
        </w:rPr>
        <w:t xml:space="preserve"> </w:t>
      </w:r>
      <w:r w:rsidR="006C4808" w:rsidRPr="00D76279">
        <w:rPr>
          <w:sz w:val="22"/>
          <w:szCs w:val="22"/>
        </w:rPr>
        <w:t xml:space="preserve">hlave, závrat, </w:t>
      </w:r>
      <w:r w:rsidRPr="00D76279">
        <w:rPr>
          <w:sz w:val="22"/>
          <w:szCs w:val="22"/>
        </w:rPr>
        <w:t>kolaps obehu, tromboflebitída alebo náhla smrť (pri intramuskulárnom alebo intravenóznom podaní).</w:t>
      </w:r>
    </w:p>
    <w:p w14:paraId="05E498F0" w14:textId="77777777" w:rsidR="00B843C6" w:rsidRPr="00D76279" w:rsidRDefault="00B843C6" w:rsidP="0029131D">
      <w:pPr>
        <w:pStyle w:val="Default"/>
        <w:rPr>
          <w:sz w:val="22"/>
          <w:szCs w:val="22"/>
        </w:rPr>
      </w:pPr>
    </w:p>
    <w:p w14:paraId="2DCBD76D" w14:textId="77777777" w:rsidR="00B843C6" w:rsidRPr="00D76279" w:rsidRDefault="00B843C6" w:rsidP="0029131D">
      <w:pPr>
        <w:pStyle w:val="Default"/>
        <w:rPr>
          <w:sz w:val="22"/>
          <w:szCs w:val="22"/>
        </w:rPr>
      </w:pPr>
      <w:r w:rsidRPr="00D76279">
        <w:rPr>
          <w:sz w:val="22"/>
          <w:szCs w:val="22"/>
          <w:u w:val="single"/>
        </w:rPr>
        <w:t xml:space="preserve">Poruchy gastrointestinálneho traktu </w:t>
      </w:r>
    </w:p>
    <w:p w14:paraId="001438D5" w14:textId="3FC78BD9" w:rsidR="00C8670A" w:rsidRDefault="00B843C6" w:rsidP="00181044">
      <w:pPr>
        <w:pStyle w:val="Default"/>
        <w:jc w:val="both"/>
        <w:rPr>
          <w:sz w:val="22"/>
          <w:szCs w:val="22"/>
        </w:rPr>
      </w:pPr>
      <w:r w:rsidRPr="00D76279">
        <w:rPr>
          <w:sz w:val="22"/>
          <w:szCs w:val="22"/>
        </w:rPr>
        <w:t>Zriedkavé: nevoľnosť, vracanie, hnačka, nechutenstvo, žalúdočná úzkosť, zápcha</w:t>
      </w:r>
      <w:r w:rsidR="006C4808" w:rsidRPr="00D76279">
        <w:rPr>
          <w:sz w:val="22"/>
          <w:szCs w:val="22"/>
        </w:rPr>
        <w:t>, sucho v</w:t>
      </w:r>
      <w:r w:rsidRPr="00D76279">
        <w:rPr>
          <w:sz w:val="22"/>
          <w:szCs w:val="22"/>
        </w:rPr>
        <w:t xml:space="preserve"> </w:t>
      </w:r>
      <w:r w:rsidR="006C4808" w:rsidRPr="00D76279">
        <w:rPr>
          <w:sz w:val="22"/>
          <w:szCs w:val="22"/>
        </w:rPr>
        <w:t>ústach.</w:t>
      </w:r>
    </w:p>
    <w:p w14:paraId="22D4FAC1" w14:textId="77777777" w:rsidR="00C8670A" w:rsidRDefault="00C8670A" w:rsidP="00181044">
      <w:pPr>
        <w:pStyle w:val="Default"/>
        <w:jc w:val="both"/>
        <w:rPr>
          <w:sz w:val="22"/>
          <w:szCs w:val="22"/>
        </w:rPr>
      </w:pPr>
    </w:p>
    <w:p w14:paraId="5FA47A81" w14:textId="77777777" w:rsidR="00C8670A" w:rsidRPr="00C029F5" w:rsidRDefault="00C8670A" w:rsidP="00181044">
      <w:pPr>
        <w:pStyle w:val="Default"/>
        <w:jc w:val="both"/>
        <w:rPr>
          <w:sz w:val="22"/>
          <w:szCs w:val="22"/>
        </w:rPr>
      </w:pPr>
      <w:r w:rsidRPr="00C029F5">
        <w:rPr>
          <w:sz w:val="22"/>
          <w:szCs w:val="22"/>
          <w:u w:val="single"/>
        </w:rPr>
        <w:t>Poruchy pečene a žlčových ciest</w:t>
      </w:r>
      <w:r w:rsidR="00B843C6" w:rsidRPr="00D76279">
        <w:rPr>
          <w:sz w:val="22"/>
          <w:szCs w:val="22"/>
          <w:u w:val="single"/>
        </w:rPr>
        <w:t xml:space="preserve"> </w:t>
      </w:r>
    </w:p>
    <w:p w14:paraId="4D3D98E2" w14:textId="3C2B9F9A" w:rsidR="00C8670A" w:rsidRDefault="00B843C6" w:rsidP="0029131D">
      <w:pPr>
        <w:pStyle w:val="Default"/>
        <w:rPr>
          <w:sz w:val="22"/>
          <w:szCs w:val="22"/>
        </w:rPr>
      </w:pPr>
      <w:r w:rsidRPr="00D76279">
        <w:rPr>
          <w:sz w:val="22"/>
          <w:szCs w:val="22"/>
        </w:rPr>
        <w:t>Veľmi zriedkavé: akútna pankreatitída, intrahepatálna</w:t>
      </w:r>
      <w:r w:rsidR="006C4808" w:rsidRPr="00D76279">
        <w:rPr>
          <w:sz w:val="22"/>
          <w:szCs w:val="22"/>
        </w:rPr>
        <w:t xml:space="preserve"> cholestáza, </w:t>
      </w:r>
      <w:r w:rsidRPr="00D76279">
        <w:rPr>
          <w:sz w:val="22"/>
          <w:szCs w:val="22"/>
        </w:rPr>
        <w:t xml:space="preserve">cholestázová žltačka, pečeňová ischémia, </w:t>
      </w:r>
      <w:r w:rsidR="006C4808" w:rsidRPr="00D76279">
        <w:rPr>
          <w:sz w:val="22"/>
          <w:szCs w:val="22"/>
        </w:rPr>
        <w:t xml:space="preserve">zvýšenie </w:t>
      </w:r>
      <w:r w:rsidRPr="00D76279">
        <w:rPr>
          <w:sz w:val="22"/>
          <w:szCs w:val="22"/>
        </w:rPr>
        <w:t>pečeňových</w:t>
      </w:r>
      <w:r w:rsidR="006C4808" w:rsidRPr="00D76279">
        <w:rPr>
          <w:sz w:val="22"/>
          <w:szCs w:val="22"/>
        </w:rPr>
        <w:t xml:space="preserve"> transamináz.</w:t>
      </w:r>
    </w:p>
    <w:p w14:paraId="367819F4" w14:textId="77777777" w:rsidR="00C8670A" w:rsidRDefault="00C8670A" w:rsidP="0029131D">
      <w:pPr>
        <w:pStyle w:val="Default"/>
        <w:rPr>
          <w:sz w:val="22"/>
          <w:szCs w:val="22"/>
        </w:rPr>
      </w:pPr>
    </w:p>
    <w:p w14:paraId="3888889F" w14:textId="77777777" w:rsidR="00C8670A" w:rsidRPr="00C029F5" w:rsidRDefault="00C8670A" w:rsidP="0029131D">
      <w:pPr>
        <w:pStyle w:val="Default"/>
        <w:rPr>
          <w:sz w:val="22"/>
          <w:szCs w:val="22"/>
        </w:rPr>
      </w:pPr>
      <w:r w:rsidRPr="00C029F5">
        <w:rPr>
          <w:sz w:val="22"/>
          <w:szCs w:val="22"/>
          <w:u w:val="single"/>
        </w:rPr>
        <w:t>Poruchy kože a podkožného tkaniva</w:t>
      </w:r>
      <w:r w:rsidR="00B843C6" w:rsidRPr="00D76279">
        <w:rPr>
          <w:sz w:val="22"/>
          <w:szCs w:val="22"/>
          <w:u w:val="single"/>
        </w:rPr>
        <w:t xml:space="preserve"> </w:t>
      </w:r>
    </w:p>
    <w:p w14:paraId="6B61C4F9" w14:textId="735CEEB1" w:rsidR="00B843C6" w:rsidRPr="00081BF4" w:rsidRDefault="00C8670A" w:rsidP="0029131D">
      <w:pPr>
        <w:pStyle w:val="Default"/>
        <w:rPr>
          <w:sz w:val="22"/>
          <w:szCs w:val="22"/>
        </w:rPr>
      </w:pPr>
      <w:r w:rsidRPr="00C029F5">
        <w:rPr>
          <w:sz w:val="22"/>
          <w:szCs w:val="22"/>
        </w:rPr>
        <w:t xml:space="preserve">Menej časté: </w:t>
      </w:r>
      <w:r w:rsidR="00B843C6" w:rsidRPr="00D76279">
        <w:rPr>
          <w:sz w:val="22"/>
          <w:szCs w:val="22"/>
        </w:rPr>
        <w:t>svrbenie,</w:t>
      </w:r>
      <w:r w:rsidR="006C4808" w:rsidRPr="00D76279">
        <w:rPr>
          <w:sz w:val="22"/>
          <w:szCs w:val="22"/>
        </w:rPr>
        <w:t xml:space="preserve"> reakcie</w:t>
      </w:r>
      <w:r w:rsidR="00B843C6" w:rsidRPr="00D76279">
        <w:rPr>
          <w:sz w:val="22"/>
          <w:szCs w:val="22"/>
        </w:rPr>
        <w:t xml:space="preserve"> kože a slizníc (</w:t>
      </w:r>
      <w:r w:rsidR="006C4808" w:rsidRPr="00D76279">
        <w:rPr>
          <w:sz w:val="22"/>
          <w:szCs w:val="22"/>
        </w:rPr>
        <w:t xml:space="preserve">napr. bulózny exantém, </w:t>
      </w:r>
      <w:r w:rsidR="00B843C6" w:rsidRPr="00D76279">
        <w:rPr>
          <w:sz w:val="22"/>
          <w:szCs w:val="22"/>
        </w:rPr>
        <w:t xml:space="preserve">vyrážka, žihľavka, </w:t>
      </w:r>
      <w:r w:rsidR="00B843C6" w:rsidRPr="00081BF4">
        <w:rPr>
          <w:sz w:val="22"/>
          <w:szCs w:val="22"/>
        </w:rPr>
        <w:t xml:space="preserve">purpura, </w:t>
      </w:r>
      <w:r w:rsidR="006C4808" w:rsidRPr="00081BF4">
        <w:rPr>
          <w:sz w:val="22"/>
          <w:szCs w:val="22"/>
        </w:rPr>
        <w:t xml:space="preserve">multiformný erytém, exfoliatívna dermatitída, </w:t>
      </w:r>
      <w:r w:rsidR="00B843C6" w:rsidRPr="00081BF4">
        <w:rPr>
          <w:sz w:val="22"/>
          <w:szCs w:val="22"/>
        </w:rPr>
        <w:t xml:space="preserve">fotosenzitivita). </w:t>
      </w:r>
    </w:p>
    <w:p w14:paraId="20CE6CFC" w14:textId="4F3DE1D4" w:rsidR="00B843C6" w:rsidRPr="00D76279" w:rsidRDefault="00B843C6" w:rsidP="0029131D">
      <w:pPr>
        <w:pStyle w:val="Default"/>
        <w:rPr>
          <w:sz w:val="22"/>
          <w:szCs w:val="22"/>
        </w:rPr>
      </w:pPr>
      <w:r w:rsidRPr="00081BF4">
        <w:rPr>
          <w:sz w:val="22"/>
          <w:szCs w:val="22"/>
        </w:rPr>
        <w:t>Zriedkavé: vaskulitída, exacerbácia pri lupus erythematosus alebo jeho aktiváci</w:t>
      </w:r>
      <w:r w:rsidR="000C057C" w:rsidRPr="00081BF4">
        <w:rPr>
          <w:sz w:val="22"/>
          <w:szCs w:val="22"/>
        </w:rPr>
        <w:t>a</w:t>
      </w:r>
      <w:r w:rsidRPr="00081BF4">
        <w:rPr>
          <w:sz w:val="22"/>
          <w:szCs w:val="22"/>
        </w:rPr>
        <w:t>.</w:t>
      </w:r>
    </w:p>
    <w:p w14:paraId="2A37C203" w14:textId="5221D3D3" w:rsidR="00C8670A" w:rsidRDefault="00B843C6" w:rsidP="0029131D">
      <w:pPr>
        <w:pStyle w:val="Default"/>
        <w:rPr>
          <w:sz w:val="22"/>
          <w:szCs w:val="22"/>
        </w:rPr>
      </w:pPr>
      <w:r w:rsidRPr="00D76279">
        <w:rPr>
          <w:sz w:val="22"/>
          <w:szCs w:val="22"/>
        </w:rPr>
        <w:t xml:space="preserve">Neznáme: </w:t>
      </w:r>
      <w:r w:rsidR="006C4808" w:rsidRPr="00D76279">
        <w:rPr>
          <w:sz w:val="22"/>
          <w:szCs w:val="22"/>
        </w:rPr>
        <w:t>akútna generalizovaná exantematózna pustulóza</w:t>
      </w:r>
      <w:r w:rsidRPr="00D76279">
        <w:rPr>
          <w:sz w:val="22"/>
          <w:szCs w:val="22"/>
        </w:rPr>
        <w:t xml:space="preserve"> (AGEP</w:t>
      </w:r>
      <w:r w:rsidR="006C4808" w:rsidRPr="00D76279">
        <w:rPr>
          <w:sz w:val="22"/>
          <w:szCs w:val="22"/>
        </w:rPr>
        <w:t>).</w:t>
      </w:r>
    </w:p>
    <w:p w14:paraId="381AA4FD" w14:textId="77777777" w:rsidR="00C8670A" w:rsidRDefault="00C8670A" w:rsidP="0029131D">
      <w:pPr>
        <w:pStyle w:val="Default"/>
        <w:rPr>
          <w:sz w:val="22"/>
          <w:szCs w:val="22"/>
        </w:rPr>
      </w:pPr>
    </w:p>
    <w:p w14:paraId="223D2266" w14:textId="0D759C59" w:rsidR="00C8670A" w:rsidRDefault="00C8670A" w:rsidP="0029131D">
      <w:pPr>
        <w:pStyle w:val="Default"/>
        <w:rPr>
          <w:sz w:val="22"/>
          <w:szCs w:val="22"/>
        </w:rPr>
      </w:pPr>
      <w:r w:rsidRPr="00C029F5">
        <w:rPr>
          <w:sz w:val="22"/>
          <w:szCs w:val="22"/>
          <w:u w:val="single"/>
        </w:rPr>
        <w:lastRenderedPageBreak/>
        <w:t xml:space="preserve">Poruchy </w:t>
      </w:r>
      <w:r w:rsidR="00B843C6" w:rsidRPr="00D76279">
        <w:rPr>
          <w:sz w:val="22"/>
          <w:szCs w:val="22"/>
          <w:u w:val="single"/>
        </w:rPr>
        <w:t>kostrovej</w:t>
      </w:r>
      <w:r w:rsidRPr="00C029F5">
        <w:rPr>
          <w:sz w:val="22"/>
          <w:szCs w:val="22"/>
          <w:u w:val="single"/>
        </w:rPr>
        <w:t xml:space="preserve"> a</w:t>
      </w:r>
      <w:r w:rsidR="00B843C6" w:rsidRPr="00D76279">
        <w:rPr>
          <w:sz w:val="22"/>
          <w:szCs w:val="22"/>
          <w:u w:val="single"/>
        </w:rPr>
        <w:t xml:space="preserve"> svalovej sústavy</w:t>
      </w:r>
      <w:r w:rsidRPr="00C029F5">
        <w:rPr>
          <w:sz w:val="22"/>
          <w:szCs w:val="22"/>
          <w:u w:val="single"/>
        </w:rPr>
        <w:t xml:space="preserve"> a </w:t>
      </w:r>
      <w:r w:rsidR="00B843C6" w:rsidRPr="00D76279">
        <w:rPr>
          <w:sz w:val="22"/>
          <w:szCs w:val="22"/>
          <w:u w:val="single"/>
        </w:rPr>
        <w:t xml:space="preserve">spojivového tkaniva </w:t>
      </w:r>
    </w:p>
    <w:p w14:paraId="1DFFCF85" w14:textId="1E5A078F" w:rsidR="00B843C6" w:rsidRPr="00D76279" w:rsidRDefault="00B843C6" w:rsidP="0029131D">
      <w:pPr>
        <w:pStyle w:val="Default"/>
        <w:rPr>
          <w:sz w:val="22"/>
          <w:szCs w:val="22"/>
        </w:rPr>
      </w:pPr>
      <w:r w:rsidRPr="00D76279">
        <w:rPr>
          <w:sz w:val="22"/>
          <w:szCs w:val="22"/>
        </w:rPr>
        <w:t>Zriedkavé: svalové kŕče v nohách, slabosť, chronická artritída.</w:t>
      </w:r>
    </w:p>
    <w:p w14:paraId="79C8F2C3" w14:textId="77777777" w:rsidR="00B843C6" w:rsidRPr="00D76279" w:rsidRDefault="00B843C6" w:rsidP="0029131D">
      <w:pPr>
        <w:pStyle w:val="Default"/>
        <w:rPr>
          <w:sz w:val="22"/>
          <w:szCs w:val="22"/>
        </w:rPr>
      </w:pPr>
    </w:p>
    <w:p w14:paraId="2D160DB0" w14:textId="77777777" w:rsidR="00B843C6" w:rsidRPr="00D76279" w:rsidRDefault="00B843C6" w:rsidP="0029131D">
      <w:pPr>
        <w:pStyle w:val="Default"/>
        <w:rPr>
          <w:sz w:val="22"/>
          <w:szCs w:val="22"/>
        </w:rPr>
      </w:pPr>
      <w:r w:rsidRPr="00D76279">
        <w:rPr>
          <w:sz w:val="22"/>
          <w:szCs w:val="22"/>
          <w:u w:val="single"/>
        </w:rPr>
        <w:t xml:space="preserve">Poruchy obličiek a močových ciest </w:t>
      </w:r>
    </w:p>
    <w:p w14:paraId="381CADD0" w14:textId="4789BC78" w:rsidR="00C8670A" w:rsidRDefault="00B843C6" w:rsidP="0029131D">
      <w:pPr>
        <w:pStyle w:val="Default"/>
        <w:rPr>
          <w:sz w:val="22"/>
          <w:szCs w:val="22"/>
        </w:rPr>
      </w:pPr>
      <w:r w:rsidRPr="00D76279">
        <w:rPr>
          <w:sz w:val="22"/>
          <w:szCs w:val="22"/>
        </w:rPr>
        <w:t>Diuretiká</w:t>
      </w:r>
      <w:r w:rsidR="006C4808" w:rsidRPr="00D76279">
        <w:rPr>
          <w:sz w:val="22"/>
          <w:szCs w:val="22"/>
        </w:rPr>
        <w:t xml:space="preserve"> môžu </w:t>
      </w:r>
      <w:r w:rsidRPr="00D76279">
        <w:rPr>
          <w:sz w:val="22"/>
          <w:szCs w:val="22"/>
        </w:rPr>
        <w:t xml:space="preserve">zhoršiť </w:t>
      </w:r>
      <w:r w:rsidR="006C4808" w:rsidRPr="00D76279">
        <w:rPr>
          <w:sz w:val="22"/>
          <w:szCs w:val="22"/>
        </w:rPr>
        <w:t xml:space="preserve">alebo </w:t>
      </w:r>
      <w:r w:rsidRPr="00D76279">
        <w:rPr>
          <w:sz w:val="22"/>
          <w:szCs w:val="22"/>
        </w:rPr>
        <w:t>odhaliť akútn</w:t>
      </w:r>
      <w:r w:rsidR="00A30B6B">
        <w:rPr>
          <w:sz w:val="22"/>
          <w:szCs w:val="22"/>
        </w:rPr>
        <w:t>e</w:t>
      </w:r>
      <w:r w:rsidRPr="00D76279">
        <w:rPr>
          <w:sz w:val="22"/>
          <w:szCs w:val="22"/>
        </w:rPr>
        <w:t xml:space="preserve"> </w:t>
      </w:r>
      <w:r w:rsidR="00A30B6B">
        <w:rPr>
          <w:sz w:val="22"/>
          <w:szCs w:val="22"/>
        </w:rPr>
        <w:t xml:space="preserve">príznaky </w:t>
      </w:r>
      <w:r w:rsidRPr="00D76279">
        <w:rPr>
          <w:sz w:val="22"/>
          <w:szCs w:val="22"/>
        </w:rPr>
        <w:t>retenci</w:t>
      </w:r>
      <w:r w:rsidR="00A30B6B">
        <w:rPr>
          <w:sz w:val="22"/>
          <w:szCs w:val="22"/>
        </w:rPr>
        <w:t>e</w:t>
      </w:r>
      <w:r w:rsidRPr="00D76279">
        <w:rPr>
          <w:sz w:val="22"/>
          <w:szCs w:val="22"/>
        </w:rPr>
        <w:t xml:space="preserve"> </w:t>
      </w:r>
      <w:r w:rsidRPr="00181044">
        <w:rPr>
          <w:sz w:val="22"/>
          <w:szCs w:val="22"/>
        </w:rPr>
        <w:t>moču (</w:t>
      </w:r>
      <w:r w:rsidR="00A30B6B" w:rsidRPr="00181044">
        <w:rPr>
          <w:sz w:val="22"/>
          <w:szCs w:val="22"/>
        </w:rPr>
        <w:t>poruchy vyprázdňovania</w:t>
      </w:r>
      <w:r w:rsidR="00A30B6B">
        <w:rPr>
          <w:sz w:val="22"/>
          <w:szCs w:val="22"/>
        </w:rPr>
        <w:t xml:space="preserve"> </w:t>
      </w:r>
      <w:r w:rsidRPr="00D76279">
        <w:rPr>
          <w:sz w:val="22"/>
          <w:szCs w:val="22"/>
        </w:rPr>
        <w:t>močového mechúra, hyperplázia prostaty alebo zúženie močovej trubice), vaskulitídu, glykozúriu, prechodné</w:t>
      </w:r>
      <w:r w:rsidR="006C4808" w:rsidRPr="00D76279">
        <w:rPr>
          <w:sz w:val="22"/>
          <w:szCs w:val="22"/>
        </w:rPr>
        <w:t xml:space="preserve"> zvýšenie </w:t>
      </w:r>
      <w:r w:rsidRPr="00D76279">
        <w:rPr>
          <w:sz w:val="22"/>
          <w:szCs w:val="22"/>
        </w:rPr>
        <w:t xml:space="preserve">hladiny </w:t>
      </w:r>
      <w:r w:rsidR="006C4808" w:rsidRPr="00D76279">
        <w:rPr>
          <w:sz w:val="22"/>
          <w:szCs w:val="22"/>
        </w:rPr>
        <w:t>kreatinínu a močoviny v</w:t>
      </w:r>
      <w:r w:rsidRPr="00D76279">
        <w:rPr>
          <w:sz w:val="22"/>
          <w:szCs w:val="22"/>
        </w:rPr>
        <w:t xml:space="preserve"> </w:t>
      </w:r>
      <w:r w:rsidR="006C4808" w:rsidRPr="00D76279">
        <w:rPr>
          <w:sz w:val="22"/>
          <w:szCs w:val="22"/>
        </w:rPr>
        <w:t xml:space="preserve">krvi. </w:t>
      </w:r>
    </w:p>
    <w:p w14:paraId="05FA9F94" w14:textId="6445D750" w:rsidR="00C8670A" w:rsidRDefault="00C8670A" w:rsidP="0029131D">
      <w:pPr>
        <w:pStyle w:val="Default"/>
        <w:rPr>
          <w:sz w:val="22"/>
          <w:szCs w:val="22"/>
        </w:rPr>
      </w:pPr>
      <w:r w:rsidRPr="00C029F5">
        <w:rPr>
          <w:sz w:val="22"/>
          <w:szCs w:val="22"/>
        </w:rPr>
        <w:t>Zriedkavé:</w:t>
      </w:r>
      <w:r w:rsidR="00B843C6" w:rsidRPr="00D76279">
        <w:rPr>
          <w:sz w:val="22"/>
          <w:szCs w:val="22"/>
        </w:rPr>
        <w:t xml:space="preserve"> intersticiálna</w:t>
      </w:r>
      <w:r w:rsidR="006C4808" w:rsidRPr="00D76279">
        <w:rPr>
          <w:sz w:val="22"/>
          <w:szCs w:val="22"/>
        </w:rPr>
        <w:t xml:space="preserve"> nefritída</w:t>
      </w:r>
      <w:r w:rsidR="00B843C6" w:rsidRPr="00D76279">
        <w:rPr>
          <w:sz w:val="22"/>
          <w:szCs w:val="22"/>
        </w:rPr>
        <w:t>.</w:t>
      </w:r>
    </w:p>
    <w:p w14:paraId="7AC89B8C" w14:textId="77777777" w:rsidR="00C8670A" w:rsidRDefault="00C8670A" w:rsidP="0029131D">
      <w:pPr>
        <w:pStyle w:val="Default"/>
        <w:rPr>
          <w:sz w:val="22"/>
          <w:szCs w:val="22"/>
        </w:rPr>
      </w:pPr>
    </w:p>
    <w:p w14:paraId="44F4491B" w14:textId="77777777" w:rsidR="00C8670A" w:rsidRPr="00C029F5" w:rsidRDefault="00C8670A" w:rsidP="0029131D">
      <w:pPr>
        <w:rPr>
          <w:color w:val="000000"/>
          <w:sz w:val="22"/>
          <w:szCs w:val="22"/>
          <w:u w:val="single"/>
        </w:rPr>
      </w:pPr>
      <w:r w:rsidRPr="00C029F5">
        <w:rPr>
          <w:color w:val="000000"/>
          <w:sz w:val="22"/>
          <w:szCs w:val="22"/>
          <w:u w:val="single"/>
        </w:rPr>
        <w:t>Stavy v gravidite, v šestonedelí a perinatálnom období</w:t>
      </w:r>
    </w:p>
    <w:p w14:paraId="6866438D" w14:textId="77777777" w:rsidR="00B843C6" w:rsidRPr="00D76279" w:rsidRDefault="00B843C6" w:rsidP="0029131D">
      <w:pPr>
        <w:rPr>
          <w:color w:val="000000"/>
          <w:sz w:val="22"/>
          <w:szCs w:val="22"/>
        </w:rPr>
      </w:pPr>
      <w:r w:rsidRPr="00D76279">
        <w:rPr>
          <w:color w:val="000000"/>
          <w:sz w:val="22"/>
          <w:szCs w:val="22"/>
        </w:rPr>
        <w:t xml:space="preserve">U predčasne narodených detí liečených furosemidom sa môže vyvinúť nefrokalcinóza a/alebo nefrolitiáza; v dôsledku ukladania vápnika v renálnom tkanive. </w:t>
      </w:r>
    </w:p>
    <w:p w14:paraId="363A5F53" w14:textId="032E1207" w:rsidR="00C8670A" w:rsidRDefault="006C4808" w:rsidP="0029131D">
      <w:pPr>
        <w:pStyle w:val="Default"/>
        <w:rPr>
          <w:sz w:val="22"/>
          <w:szCs w:val="22"/>
        </w:rPr>
      </w:pPr>
      <w:r w:rsidRPr="00D76279">
        <w:rPr>
          <w:sz w:val="22"/>
          <w:szCs w:val="22"/>
        </w:rPr>
        <w:t xml:space="preserve">U predčasne narodených detí so syndrómom </w:t>
      </w:r>
      <w:r w:rsidR="00B843C6" w:rsidRPr="00D76279">
        <w:rPr>
          <w:sz w:val="22"/>
          <w:szCs w:val="22"/>
        </w:rPr>
        <w:t>respiračnej</w:t>
      </w:r>
      <w:r w:rsidRPr="00D76279">
        <w:rPr>
          <w:sz w:val="22"/>
          <w:szCs w:val="22"/>
        </w:rPr>
        <w:t xml:space="preserve"> tiesne </w:t>
      </w:r>
      <w:r w:rsidR="00B843C6" w:rsidRPr="00D76279">
        <w:rPr>
          <w:sz w:val="22"/>
          <w:szCs w:val="22"/>
        </w:rPr>
        <w:t xml:space="preserve">môže diuretická liečba furosemidom počas </w:t>
      </w:r>
      <w:r w:rsidRPr="00D76279">
        <w:rPr>
          <w:sz w:val="22"/>
          <w:szCs w:val="22"/>
        </w:rPr>
        <w:t xml:space="preserve">prvých </w:t>
      </w:r>
      <w:r w:rsidR="00B843C6" w:rsidRPr="00D76279">
        <w:rPr>
          <w:sz w:val="22"/>
          <w:szCs w:val="22"/>
        </w:rPr>
        <w:t>týždňov života zvyšovať</w:t>
      </w:r>
      <w:r w:rsidRPr="00D76279">
        <w:rPr>
          <w:sz w:val="22"/>
          <w:szCs w:val="22"/>
        </w:rPr>
        <w:t xml:space="preserve"> riziko </w:t>
      </w:r>
      <w:r w:rsidR="00B843C6" w:rsidRPr="00D76279">
        <w:rPr>
          <w:sz w:val="22"/>
          <w:szCs w:val="22"/>
        </w:rPr>
        <w:t>pretrvávajúceho</w:t>
      </w:r>
      <w:r w:rsidRPr="00D76279">
        <w:rPr>
          <w:sz w:val="22"/>
          <w:szCs w:val="22"/>
        </w:rPr>
        <w:t xml:space="preserve"> ductus arteriosus</w:t>
      </w:r>
      <w:r w:rsidR="00B843C6" w:rsidRPr="00D76279">
        <w:rPr>
          <w:sz w:val="22"/>
          <w:szCs w:val="22"/>
        </w:rPr>
        <w:t xml:space="preserve"> Botalli</w:t>
      </w:r>
      <w:r w:rsidRPr="00D76279">
        <w:rPr>
          <w:sz w:val="22"/>
          <w:szCs w:val="22"/>
        </w:rPr>
        <w:t>.</w:t>
      </w:r>
    </w:p>
    <w:p w14:paraId="7867CA97" w14:textId="77777777" w:rsidR="00C8670A" w:rsidRDefault="00C8670A" w:rsidP="0029131D">
      <w:pPr>
        <w:pStyle w:val="Default"/>
        <w:rPr>
          <w:sz w:val="22"/>
          <w:szCs w:val="22"/>
        </w:rPr>
      </w:pPr>
    </w:p>
    <w:p w14:paraId="3C3065D1" w14:textId="77777777" w:rsidR="00B843C6" w:rsidRPr="00D76279" w:rsidRDefault="00B843C6" w:rsidP="0029131D">
      <w:pPr>
        <w:pStyle w:val="Default"/>
        <w:rPr>
          <w:sz w:val="22"/>
          <w:szCs w:val="22"/>
        </w:rPr>
      </w:pPr>
      <w:r w:rsidRPr="00D76279">
        <w:rPr>
          <w:sz w:val="22"/>
          <w:szCs w:val="22"/>
          <w:u w:val="single"/>
        </w:rPr>
        <w:t xml:space="preserve">Celkové poruchy a reakcie v mieste podania </w:t>
      </w:r>
    </w:p>
    <w:p w14:paraId="27BEC40A" w14:textId="4685D7A5" w:rsidR="00B843C6" w:rsidRPr="00D76279" w:rsidRDefault="00B843C6" w:rsidP="0029131D">
      <w:pPr>
        <w:pStyle w:val="Default"/>
        <w:rPr>
          <w:sz w:val="22"/>
          <w:szCs w:val="22"/>
        </w:rPr>
      </w:pPr>
      <w:r w:rsidRPr="00D76279">
        <w:rPr>
          <w:sz w:val="22"/>
          <w:szCs w:val="22"/>
        </w:rPr>
        <w:t>Zriedkavé: horúčkovit</w:t>
      </w:r>
      <w:r w:rsidR="00A30B6B">
        <w:rPr>
          <w:sz w:val="22"/>
          <w:szCs w:val="22"/>
        </w:rPr>
        <w:t>é</w:t>
      </w:r>
      <w:r w:rsidRPr="00D76279">
        <w:rPr>
          <w:sz w:val="22"/>
          <w:szCs w:val="22"/>
        </w:rPr>
        <w:t xml:space="preserve"> stav</w:t>
      </w:r>
      <w:r w:rsidR="00A30B6B">
        <w:rPr>
          <w:sz w:val="22"/>
          <w:szCs w:val="22"/>
        </w:rPr>
        <w:t>y</w:t>
      </w:r>
      <w:r w:rsidRPr="00D76279">
        <w:rPr>
          <w:sz w:val="22"/>
          <w:szCs w:val="22"/>
        </w:rPr>
        <w:t>; po intramuskulárnej injekcii sa môžu objaviť lokálne reakcie, ako je bolesť.</w:t>
      </w:r>
    </w:p>
    <w:p w14:paraId="5C73878D" w14:textId="17AEA51E" w:rsidR="00B843C6" w:rsidRPr="00D76279" w:rsidRDefault="00A30B6B" w:rsidP="0029131D">
      <w:pPr>
        <w:pStyle w:val="Default"/>
        <w:rPr>
          <w:sz w:val="22"/>
          <w:szCs w:val="22"/>
        </w:rPr>
      </w:pPr>
      <w:r>
        <w:rPr>
          <w:sz w:val="22"/>
          <w:szCs w:val="22"/>
          <w:u w:val="single"/>
        </w:rPr>
        <w:t>Laboratórne a funkčné v</w:t>
      </w:r>
      <w:r w:rsidR="00B843C6" w:rsidRPr="00D76279">
        <w:rPr>
          <w:sz w:val="22"/>
          <w:szCs w:val="22"/>
          <w:u w:val="single"/>
        </w:rPr>
        <w:t>yšetrenia</w:t>
      </w:r>
    </w:p>
    <w:p w14:paraId="572416D8" w14:textId="77777777" w:rsidR="00B843C6" w:rsidRPr="00D76279" w:rsidRDefault="00B843C6" w:rsidP="0029131D">
      <w:pPr>
        <w:pStyle w:val="Default"/>
        <w:rPr>
          <w:sz w:val="22"/>
          <w:szCs w:val="22"/>
        </w:rPr>
      </w:pPr>
      <w:r w:rsidRPr="00D76279">
        <w:rPr>
          <w:sz w:val="22"/>
          <w:szCs w:val="22"/>
        </w:rPr>
        <w:t xml:space="preserve">Zriedkavé: počas liečby furosemidom sa môže zvýšiť hladina cholesterolu a triglyceridov v sére. </w:t>
      </w:r>
    </w:p>
    <w:p w14:paraId="1E8D4885" w14:textId="77777777" w:rsidR="00A30B6B" w:rsidRDefault="00A30B6B">
      <w:pPr>
        <w:pStyle w:val="Zkladntext2"/>
        <w:spacing w:after="0" w:line="240" w:lineRule="auto"/>
        <w:rPr>
          <w:szCs w:val="22"/>
          <w:u w:val="single"/>
        </w:rPr>
      </w:pPr>
    </w:p>
    <w:p w14:paraId="2D23C6F2" w14:textId="22013103" w:rsidR="00C8670A" w:rsidRDefault="006C4808">
      <w:pPr>
        <w:pStyle w:val="Zkladntext2"/>
        <w:spacing w:after="0" w:line="240" w:lineRule="auto"/>
        <w:rPr>
          <w:szCs w:val="22"/>
          <w:u w:val="single"/>
        </w:rPr>
      </w:pPr>
      <w:r w:rsidRPr="00D76279">
        <w:rPr>
          <w:szCs w:val="22"/>
          <w:u w:val="single"/>
        </w:rPr>
        <w:t xml:space="preserve">Hlásenie podozrení na nežiaduce </w:t>
      </w:r>
      <w:r w:rsidR="00B843C6" w:rsidRPr="00D76279">
        <w:rPr>
          <w:szCs w:val="22"/>
          <w:u w:val="single"/>
        </w:rPr>
        <w:t>účinky</w:t>
      </w:r>
    </w:p>
    <w:p w14:paraId="50940755" w14:textId="505053E2" w:rsidR="00C8670A" w:rsidRDefault="006C4808">
      <w:pPr>
        <w:pStyle w:val="Zkladntext2"/>
        <w:spacing w:after="0" w:line="240" w:lineRule="auto"/>
        <w:rPr>
          <w:szCs w:val="22"/>
        </w:rPr>
      </w:pPr>
      <w:r w:rsidRPr="00D76279">
        <w:rPr>
          <w:szCs w:val="22"/>
        </w:rPr>
        <w:t xml:space="preserve">Hlásenie podozrení na nežiaduce </w:t>
      </w:r>
      <w:r w:rsidR="00B843C6" w:rsidRPr="00D76279">
        <w:rPr>
          <w:szCs w:val="22"/>
        </w:rPr>
        <w:t>účinky</w:t>
      </w:r>
      <w:r w:rsidRPr="00D76279">
        <w:rPr>
          <w:szCs w:val="22"/>
        </w:rPr>
        <w:t xml:space="preserve"> po registrácii lieku je dôležité. Umožňuje priebežné monitorovanie pomeru prínosu a rizika lieku. Od zdravotníckych pracovníkov sa vyžaduje, aby hlásili akékoľvek podozrenia na nežiaduce reakcie </w:t>
      </w:r>
      <w:r w:rsidR="00A30B6B">
        <w:rPr>
          <w:szCs w:val="22"/>
        </w:rPr>
        <w:t xml:space="preserve">na </w:t>
      </w:r>
      <w:r w:rsidRPr="00D76279">
        <w:rPr>
          <w:szCs w:val="22"/>
          <w:highlight w:val="lightGray"/>
        </w:rPr>
        <w:t>národné</w:t>
      </w:r>
      <w:r w:rsidR="00A30B6B">
        <w:rPr>
          <w:szCs w:val="22"/>
          <w:highlight w:val="lightGray"/>
        </w:rPr>
        <w:t xml:space="preserve"> centrum</w:t>
      </w:r>
      <w:r w:rsidRPr="00D76279">
        <w:rPr>
          <w:szCs w:val="22"/>
          <w:highlight w:val="lightGray"/>
        </w:rPr>
        <w:t xml:space="preserve"> hlásenia uvedené v</w:t>
      </w:r>
      <w:r w:rsidR="00B843C6" w:rsidRPr="00D76279">
        <w:rPr>
          <w:szCs w:val="22"/>
          <w:highlight w:val="lightGray"/>
        </w:rPr>
        <w:t xml:space="preserve"> </w:t>
      </w:r>
      <w:hyperlink r:id="rId8" w:history="1">
        <w:r w:rsidR="00B843C6" w:rsidRPr="00A978BB">
          <w:rPr>
            <w:rStyle w:val="Hypertextovprepojenie"/>
            <w:szCs w:val="22"/>
            <w:highlight w:val="lightGray"/>
          </w:rPr>
          <w:t>Prílohe V</w:t>
        </w:r>
      </w:hyperlink>
      <w:r w:rsidR="00B843C6" w:rsidRPr="00D76279">
        <w:rPr>
          <w:szCs w:val="22"/>
        </w:rPr>
        <w:t>.</w:t>
      </w:r>
    </w:p>
    <w:p w14:paraId="3DE7D4CB" w14:textId="77777777" w:rsidR="00F920D0" w:rsidRDefault="00F920D0" w:rsidP="00C029F5">
      <w:pPr>
        <w:pStyle w:val="Nadpis2"/>
        <w:spacing w:before="0" w:after="0"/>
        <w:rPr>
          <w:sz w:val="22"/>
          <w:szCs w:val="22"/>
        </w:rPr>
      </w:pPr>
    </w:p>
    <w:p w14:paraId="0683DCDD" w14:textId="77777777" w:rsidR="00C8670A" w:rsidRDefault="006C4808" w:rsidP="00C029F5">
      <w:pPr>
        <w:pStyle w:val="Nadpis2"/>
        <w:spacing w:before="0" w:after="0"/>
        <w:rPr>
          <w:sz w:val="22"/>
          <w:szCs w:val="22"/>
        </w:rPr>
      </w:pPr>
      <w:r w:rsidRPr="00D76279">
        <w:rPr>
          <w:sz w:val="22"/>
          <w:szCs w:val="22"/>
        </w:rPr>
        <w:t>4.9</w:t>
      </w:r>
      <w:r w:rsidRPr="00D76279">
        <w:rPr>
          <w:sz w:val="22"/>
          <w:szCs w:val="22"/>
        </w:rPr>
        <w:tab/>
        <w:t>Predávkovanie</w:t>
      </w:r>
    </w:p>
    <w:p w14:paraId="0BBCC269" w14:textId="77777777" w:rsidR="00C8670A" w:rsidRPr="00C029F5" w:rsidRDefault="00C8670A" w:rsidP="00C029F5">
      <w:pPr>
        <w:pStyle w:val="Normlnysozarkami"/>
        <w:spacing w:after="0"/>
        <w:rPr>
          <w:szCs w:val="22"/>
        </w:rPr>
      </w:pPr>
    </w:p>
    <w:p w14:paraId="5DE670DB" w14:textId="5E68D31A" w:rsidR="00B843C6" w:rsidRPr="00D76279" w:rsidRDefault="00B843C6" w:rsidP="0029131D">
      <w:pPr>
        <w:pStyle w:val="Default"/>
        <w:tabs>
          <w:tab w:val="left" w:pos="0"/>
          <w:tab w:val="left" w:pos="567"/>
        </w:tabs>
        <w:ind w:right="360"/>
        <w:rPr>
          <w:sz w:val="22"/>
          <w:szCs w:val="22"/>
        </w:rPr>
      </w:pPr>
      <w:r w:rsidRPr="00D76279">
        <w:rPr>
          <w:sz w:val="22"/>
          <w:szCs w:val="22"/>
        </w:rPr>
        <w:t>Klinický obraz pri akútnom alebo chronickom predávkovaní závisí predovšetkým od rozsahu a následkov strát elektrolyt</w:t>
      </w:r>
      <w:r w:rsidR="00A30B6B">
        <w:rPr>
          <w:sz w:val="22"/>
          <w:szCs w:val="22"/>
        </w:rPr>
        <w:t>ov</w:t>
      </w:r>
      <w:r w:rsidRPr="00D76279">
        <w:rPr>
          <w:sz w:val="22"/>
          <w:szCs w:val="22"/>
        </w:rPr>
        <w:t xml:space="preserve"> a tekutín (napr. hypovolémia, dehydratácia, hemokoncentrácia, srdcová arytmia - vrátane AV blokád a fibrilácie komôr), ktoré sú dôsledkom nadmernej diurézy. </w:t>
      </w:r>
    </w:p>
    <w:p w14:paraId="6C84794B" w14:textId="77777777" w:rsidR="00B843C6" w:rsidRPr="00D76279" w:rsidRDefault="00B843C6" w:rsidP="0029131D">
      <w:pPr>
        <w:pStyle w:val="Default"/>
        <w:tabs>
          <w:tab w:val="left" w:pos="0"/>
          <w:tab w:val="left" w:pos="567"/>
        </w:tabs>
        <w:ind w:left="720" w:right="360"/>
        <w:rPr>
          <w:sz w:val="22"/>
          <w:szCs w:val="22"/>
        </w:rPr>
      </w:pPr>
    </w:p>
    <w:p w14:paraId="312E1620" w14:textId="77777777" w:rsidR="00B843C6" w:rsidRPr="00D76279" w:rsidRDefault="00B843C6" w:rsidP="0029131D">
      <w:pPr>
        <w:pStyle w:val="Default"/>
        <w:tabs>
          <w:tab w:val="left" w:pos="0"/>
          <w:tab w:val="left" w:pos="567"/>
        </w:tabs>
        <w:ind w:right="360"/>
        <w:rPr>
          <w:sz w:val="22"/>
          <w:szCs w:val="22"/>
        </w:rPr>
      </w:pPr>
      <w:r w:rsidRPr="00D76279">
        <w:rPr>
          <w:b/>
          <w:sz w:val="22"/>
          <w:szCs w:val="22"/>
        </w:rPr>
        <w:t xml:space="preserve">Príznaky: </w:t>
      </w:r>
    </w:p>
    <w:p w14:paraId="5013A869" w14:textId="60730F78" w:rsidR="00B843C6" w:rsidRPr="00D76279" w:rsidRDefault="00B843C6" w:rsidP="0029131D">
      <w:pPr>
        <w:pStyle w:val="Default"/>
        <w:tabs>
          <w:tab w:val="left" w:pos="0"/>
          <w:tab w:val="left" w:pos="567"/>
        </w:tabs>
        <w:rPr>
          <w:sz w:val="22"/>
          <w:szCs w:val="22"/>
        </w:rPr>
      </w:pPr>
      <w:r w:rsidRPr="00D76279">
        <w:rPr>
          <w:sz w:val="22"/>
          <w:szCs w:val="22"/>
        </w:rPr>
        <w:t xml:space="preserve">K príznakom týchto porúch patrí </w:t>
      </w:r>
      <w:r w:rsidR="00A30B6B">
        <w:rPr>
          <w:sz w:val="22"/>
          <w:szCs w:val="22"/>
        </w:rPr>
        <w:t xml:space="preserve">závažná </w:t>
      </w:r>
      <w:r w:rsidRPr="00D76279">
        <w:rPr>
          <w:sz w:val="22"/>
          <w:szCs w:val="22"/>
        </w:rPr>
        <w:t>hypotenzia (vyvíjajúca sa do šoku), akútne zlyhanie obličiek, trombóza, delirózne stavy, paralýza, apatia a zmät</w:t>
      </w:r>
      <w:r w:rsidR="00FC2066">
        <w:rPr>
          <w:sz w:val="22"/>
          <w:szCs w:val="22"/>
        </w:rPr>
        <w:t>enosť</w:t>
      </w:r>
      <w:r w:rsidRPr="00D76279">
        <w:rPr>
          <w:sz w:val="22"/>
          <w:szCs w:val="22"/>
        </w:rPr>
        <w:t xml:space="preserve">. </w:t>
      </w:r>
    </w:p>
    <w:p w14:paraId="1D30955F" w14:textId="77777777" w:rsidR="00B843C6" w:rsidRPr="00D76279" w:rsidRDefault="00B843C6" w:rsidP="0029131D">
      <w:pPr>
        <w:pStyle w:val="Default"/>
        <w:tabs>
          <w:tab w:val="left" w:pos="0"/>
          <w:tab w:val="left" w:pos="567"/>
        </w:tabs>
        <w:ind w:left="720"/>
        <w:rPr>
          <w:sz w:val="22"/>
          <w:szCs w:val="22"/>
        </w:rPr>
      </w:pPr>
    </w:p>
    <w:p w14:paraId="6BDF0D17" w14:textId="77777777" w:rsidR="00B843C6" w:rsidRPr="00D76279" w:rsidRDefault="00B843C6" w:rsidP="0029131D">
      <w:pPr>
        <w:pStyle w:val="Default"/>
        <w:tabs>
          <w:tab w:val="left" w:pos="0"/>
          <w:tab w:val="left" w:pos="567"/>
        </w:tabs>
        <w:rPr>
          <w:sz w:val="22"/>
          <w:szCs w:val="22"/>
        </w:rPr>
      </w:pPr>
      <w:r w:rsidRPr="00D76279">
        <w:rPr>
          <w:b/>
          <w:sz w:val="22"/>
          <w:szCs w:val="22"/>
        </w:rPr>
        <w:t xml:space="preserve">Liečba: </w:t>
      </w:r>
    </w:p>
    <w:p w14:paraId="6706124E" w14:textId="77777777" w:rsidR="00B843C6" w:rsidRPr="00D76279" w:rsidRDefault="00B843C6" w:rsidP="0029131D">
      <w:pPr>
        <w:pStyle w:val="Default"/>
        <w:tabs>
          <w:tab w:val="left" w:pos="0"/>
          <w:tab w:val="left" w:pos="567"/>
        </w:tabs>
        <w:rPr>
          <w:sz w:val="22"/>
          <w:szCs w:val="22"/>
        </w:rPr>
      </w:pPr>
      <w:r w:rsidRPr="00D76279">
        <w:rPr>
          <w:sz w:val="22"/>
          <w:szCs w:val="22"/>
        </w:rPr>
        <w:t xml:space="preserve">Pri prvých príznakoch šoku (hypotenzia, </w:t>
      </w:r>
      <w:r w:rsidRPr="00416F87">
        <w:rPr>
          <w:sz w:val="22"/>
          <w:szCs w:val="22"/>
        </w:rPr>
        <w:t>sudoréza,</w:t>
      </w:r>
      <w:r w:rsidRPr="00D76279">
        <w:rPr>
          <w:sz w:val="22"/>
          <w:szCs w:val="22"/>
        </w:rPr>
        <w:t xml:space="preserve"> nevoľnosť, cyanóza) treba ihneď prerušiť injekčné podávanie; uložte pacienta dole hlavou a zabezpečte priechodnosť dýchacích ciest </w:t>
      </w:r>
    </w:p>
    <w:p w14:paraId="6EF92A5A" w14:textId="77777777" w:rsidR="00B843C6" w:rsidRPr="00D76279" w:rsidRDefault="00B843C6" w:rsidP="0029131D">
      <w:pPr>
        <w:pStyle w:val="Default"/>
        <w:tabs>
          <w:tab w:val="left" w:pos="0"/>
          <w:tab w:val="left" w:pos="567"/>
        </w:tabs>
        <w:rPr>
          <w:sz w:val="22"/>
          <w:szCs w:val="22"/>
        </w:rPr>
      </w:pPr>
      <w:r w:rsidRPr="00D76279">
        <w:rPr>
          <w:sz w:val="22"/>
          <w:szCs w:val="22"/>
        </w:rPr>
        <w:t xml:space="preserve">Náhrada tekutín a korekcia elektrolytovej nerovnováhy; sledovanie metabolických funkcií a udržiavanie odtoku moču. </w:t>
      </w:r>
    </w:p>
    <w:p w14:paraId="67DAADBD" w14:textId="77777777" w:rsidR="00B843C6" w:rsidRPr="00D76279" w:rsidRDefault="00B843C6" w:rsidP="0029131D">
      <w:pPr>
        <w:pStyle w:val="Default"/>
        <w:tabs>
          <w:tab w:val="left" w:pos="0"/>
          <w:tab w:val="left" w:pos="567"/>
        </w:tabs>
        <w:rPr>
          <w:sz w:val="22"/>
          <w:szCs w:val="22"/>
        </w:rPr>
      </w:pPr>
    </w:p>
    <w:p w14:paraId="4B480CFE" w14:textId="77777777" w:rsidR="00B843C6" w:rsidRPr="00D76279" w:rsidRDefault="00B843C6" w:rsidP="0029131D">
      <w:pPr>
        <w:pStyle w:val="Default"/>
        <w:tabs>
          <w:tab w:val="left" w:pos="0"/>
          <w:tab w:val="left" w:pos="567"/>
        </w:tabs>
        <w:rPr>
          <w:sz w:val="22"/>
          <w:szCs w:val="22"/>
        </w:rPr>
      </w:pPr>
      <w:r w:rsidRPr="00D76279">
        <w:rPr>
          <w:sz w:val="22"/>
          <w:szCs w:val="22"/>
        </w:rPr>
        <w:t xml:space="preserve">Liečba v prípade anafylaktického šoku: rozrieďte 1 ml v pomere 1: 1000 roztoku adrenalínu v 10 ml a pomaly vstrekujte 1 ml roztoku (zodpovedá 0,1 mg adrenalínu), sledujte tep a tlak a prípadnú arytmiu. Podanie adrenalínu sa môže zopakovať, ak je to potrebné. Následne vo forme injekcie intravenózne podajte glukokortikoidy (napr. 250 mg metylprednizolónu), v prípade potreby zopakujte. </w:t>
      </w:r>
    </w:p>
    <w:p w14:paraId="2627443E" w14:textId="77777777" w:rsidR="00B843C6" w:rsidRPr="00D76279" w:rsidRDefault="00B843C6" w:rsidP="0029131D">
      <w:pPr>
        <w:pStyle w:val="Default"/>
        <w:tabs>
          <w:tab w:val="left" w:pos="0"/>
          <w:tab w:val="left" w:pos="567"/>
        </w:tabs>
        <w:rPr>
          <w:sz w:val="22"/>
          <w:szCs w:val="22"/>
        </w:rPr>
      </w:pPr>
    </w:p>
    <w:p w14:paraId="4B71BB71" w14:textId="77777777" w:rsidR="00B843C6" w:rsidRPr="00D76279" w:rsidRDefault="00B843C6" w:rsidP="0029131D">
      <w:pPr>
        <w:pStyle w:val="Default"/>
        <w:tabs>
          <w:tab w:val="left" w:pos="0"/>
          <w:tab w:val="left" w:pos="567"/>
        </w:tabs>
        <w:rPr>
          <w:sz w:val="22"/>
          <w:szCs w:val="22"/>
        </w:rPr>
      </w:pPr>
      <w:r w:rsidRPr="00D76279">
        <w:rPr>
          <w:sz w:val="22"/>
          <w:szCs w:val="22"/>
        </w:rPr>
        <w:t xml:space="preserve">Prispôsobte vyššie uvedené dávky u detí, podľa ich telesnej hmotnosti. </w:t>
      </w:r>
    </w:p>
    <w:p w14:paraId="6530AB60" w14:textId="77777777" w:rsidR="00B843C6" w:rsidRPr="00D76279" w:rsidRDefault="00B843C6" w:rsidP="0029131D">
      <w:pPr>
        <w:pStyle w:val="Default"/>
        <w:tabs>
          <w:tab w:val="left" w:pos="0"/>
          <w:tab w:val="left" w:pos="567"/>
        </w:tabs>
        <w:rPr>
          <w:sz w:val="22"/>
          <w:szCs w:val="22"/>
        </w:rPr>
      </w:pPr>
    </w:p>
    <w:p w14:paraId="172B6D1A" w14:textId="3925679B" w:rsidR="00B843C6" w:rsidRPr="00D76279" w:rsidRDefault="00B843C6" w:rsidP="0029131D">
      <w:pPr>
        <w:pStyle w:val="Default"/>
        <w:tabs>
          <w:tab w:val="left" w:pos="0"/>
          <w:tab w:val="left" w:pos="567"/>
        </w:tabs>
        <w:rPr>
          <w:sz w:val="22"/>
          <w:szCs w:val="22"/>
        </w:rPr>
      </w:pPr>
      <w:r w:rsidRPr="00D76279">
        <w:rPr>
          <w:sz w:val="22"/>
          <w:szCs w:val="22"/>
        </w:rPr>
        <w:t xml:space="preserve">Upravte hypovolémiu dostupnými prostriedkami a doplňte umelou pľúcnou ventiláciou, kyslíkom a v prípade anafylaktického šoku antihistaminikami. </w:t>
      </w:r>
    </w:p>
    <w:p w14:paraId="78052F25" w14:textId="77777777" w:rsidR="00B843C6" w:rsidRPr="00D76279" w:rsidRDefault="00B843C6" w:rsidP="0029131D">
      <w:pPr>
        <w:pStyle w:val="Default"/>
        <w:tabs>
          <w:tab w:val="left" w:pos="0"/>
          <w:tab w:val="left" w:pos="567"/>
        </w:tabs>
        <w:rPr>
          <w:sz w:val="22"/>
          <w:szCs w:val="22"/>
        </w:rPr>
      </w:pPr>
    </w:p>
    <w:p w14:paraId="79EEA130" w14:textId="57FDB231" w:rsidR="00B843C6" w:rsidRPr="00D76279" w:rsidRDefault="00B843C6" w:rsidP="0029131D">
      <w:pPr>
        <w:pStyle w:val="Default"/>
        <w:tabs>
          <w:tab w:val="left" w:pos="0"/>
          <w:tab w:val="left" w:pos="567"/>
        </w:tabs>
        <w:rPr>
          <w:sz w:val="22"/>
          <w:szCs w:val="22"/>
        </w:rPr>
      </w:pPr>
      <w:r w:rsidRPr="00D76279">
        <w:rPr>
          <w:sz w:val="22"/>
          <w:szCs w:val="22"/>
        </w:rPr>
        <w:t>Nie je známe špecifické antidotum k furosemidu. V prípade predávkovania počas parenterálnej liečb</w:t>
      </w:r>
      <w:r w:rsidR="00530AD3">
        <w:rPr>
          <w:sz w:val="22"/>
          <w:szCs w:val="22"/>
        </w:rPr>
        <w:t>y</w:t>
      </w:r>
      <w:r w:rsidRPr="00D76279">
        <w:rPr>
          <w:sz w:val="22"/>
          <w:szCs w:val="22"/>
        </w:rPr>
        <w:t xml:space="preserve"> liečba v podstate pozostáva zo sledovani</w:t>
      </w:r>
      <w:r w:rsidR="00D52C4B" w:rsidRPr="00D76279">
        <w:rPr>
          <w:sz w:val="22"/>
          <w:szCs w:val="22"/>
        </w:rPr>
        <w:t xml:space="preserve">a a podpornej </w:t>
      </w:r>
      <w:r w:rsidR="00530AD3">
        <w:rPr>
          <w:sz w:val="22"/>
          <w:szCs w:val="22"/>
        </w:rPr>
        <w:t>terapie</w:t>
      </w:r>
      <w:r w:rsidR="00D52C4B" w:rsidRPr="00D76279">
        <w:rPr>
          <w:sz w:val="22"/>
          <w:szCs w:val="22"/>
        </w:rPr>
        <w:t xml:space="preserve">. </w:t>
      </w:r>
      <w:r w:rsidRPr="00D76279">
        <w:rPr>
          <w:sz w:val="22"/>
          <w:szCs w:val="22"/>
        </w:rPr>
        <w:t xml:space="preserve">Hemodialýza neurýchľuje elimináciu furosemidu. </w:t>
      </w:r>
    </w:p>
    <w:p w14:paraId="52AAAD4A" w14:textId="77777777" w:rsidR="00B843C6" w:rsidRDefault="00B843C6" w:rsidP="00181044">
      <w:pPr>
        <w:tabs>
          <w:tab w:val="left" w:pos="0"/>
          <w:tab w:val="left" w:pos="567"/>
        </w:tabs>
        <w:rPr>
          <w:sz w:val="22"/>
          <w:szCs w:val="22"/>
        </w:rPr>
      </w:pPr>
    </w:p>
    <w:p w14:paraId="78C6DDA6" w14:textId="77777777" w:rsidR="000007FF" w:rsidRPr="00D76279" w:rsidRDefault="000007FF" w:rsidP="00181044">
      <w:pPr>
        <w:tabs>
          <w:tab w:val="left" w:pos="0"/>
          <w:tab w:val="left" w:pos="567"/>
        </w:tabs>
        <w:rPr>
          <w:sz w:val="22"/>
          <w:szCs w:val="22"/>
        </w:rPr>
      </w:pPr>
    </w:p>
    <w:p w14:paraId="00322D7B" w14:textId="3AA9F3B1" w:rsidR="00C8670A" w:rsidRDefault="00B843C6" w:rsidP="00C029F5">
      <w:pPr>
        <w:pStyle w:val="Nadpis1"/>
        <w:spacing w:before="0" w:after="0"/>
        <w:rPr>
          <w:sz w:val="22"/>
          <w:szCs w:val="22"/>
        </w:rPr>
      </w:pPr>
      <w:r w:rsidRPr="00D76279">
        <w:rPr>
          <w:sz w:val="22"/>
          <w:szCs w:val="22"/>
        </w:rPr>
        <w:t>5</w:t>
      </w:r>
      <w:r w:rsidR="00530AD3">
        <w:rPr>
          <w:sz w:val="22"/>
          <w:szCs w:val="22"/>
        </w:rPr>
        <w:tab/>
      </w:r>
      <w:r w:rsidR="006C4808" w:rsidRPr="00D76279">
        <w:rPr>
          <w:sz w:val="22"/>
          <w:szCs w:val="22"/>
        </w:rPr>
        <w:t>FARMAKOLOGICKÉ VLASTNOSTI</w:t>
      </w:r>
    </w:p>
    <w:p w14:paraId="20078B0C" w14:textId="77777777" w:rsidR="00C8670A" w:rsidRPr="00C029F5" w:rsidRDefault="00C8670A" w:rsidP="00C029F5">
      <w:pPr>
        <w:pStyle w:val="Normlnysozarkami"/>
        <w:spacing w:after="0"/>
        <w:rPr>
          <w:szCs w:val="22"/>
        </w:rPr>
      </w:pPr>
    </w:p>
    <w:p w14:paraId="5C6E0A26" w14:textId="77777777" w:rsidR="00C8670A" w:rsidRDefault="00B843C6" w:rsidP="00C029F5">
      <w:pPr>
        <w:pStyle w:val="Nadpis2"/>
        <w:spacing w:before="0" w:after="0"/>
        <w:rPr>
          <w:sz w:val="22"/>
          <w:szCs w:val="22"/>
        </w:rPr>
      </w:pPr>
      <w:r w:rsidRPr="00D76279">
        <w:rPr>
          <w:sz w:val="22"/>
          <w:szCs w:val="22"/>
        </w:rPr>
        <w:t>5.1</w:t>
      </w:r>
      <w:r w:rsidRPr="00D76279">
        <w:rPr>
          <w:sz w:val="22"/>
          <w:szCs w:val="22"/>
        </w:rPr>
        <w:tab/>
      </w:r>
      <w:r w:rsidR="006C4808" w:rsidRPr="00D76279">
        <w:rPr>
          <w:sz w:val="22"/>
          <w:szCs w:val="22"/>
        </w:rPr>
        <w:t>Farmakodynamické vlastnosti</w:t>
      </w:r>
    </w:p>
    <w:p w14:paraId="01DB4F22" w14:textId="77777777" w:rsidR="00F920D0" w:rsidRDefault="00F920D0" w:rsidP="00181044">
      <w:pPr>
        <w:pStyle w:val="Default"/>
        <w:jc w:val="both"/>
        <w:rPr>
          <w:sz w:val="22"/>
          <w:szCs w:val="22"/>
        </w:rPr>
      </w:pPr>
    </w:p>
    <w:p w14:paraId="7AAFFD8E" w14:textId="0A17ACD8" w:rsidR="00C8670A" w:rsidRDefault="006C4808" w:rsidP="00181044">
      <w:pPr>
        <w:pStyle w:val="Default"/>
        <w:jc w:val="both"/>
        <w:rPr>
          <w:sz w:val="22"/>
          <w:szCs w:val="22"/>
        </w:rPr>
      </w:pPr>
      <w:r w:rsidRPr="00D76279">
        <w:rPr>
          <w:sz w:val="22"/>
          <w:szCs w:val="22"/>
        </w:rPr>
        <w:t xml:space="preserve">Farmakoterapeutická skupina: </w:t>
      </w:r>
      <w:r w:rsidR="00B843C6" w:rsidRPr="00D76279">
        <w:rPr>
          <w:sz w:val="22"/>
          <w:szCs w:val="22"/>
        </w:rPr>
        <w:t>Diureti</w:t>
      </w:r>
      <w:r w:rsidR="00530AD3">
        <w:rPr>
          <w:sz w:val="22"/>
          <w:szCs w:val="22"/>
        </w:rPr>
        <w:t>ká</w:t>
      </w:r>
      <w:r w:rsidR="00B843C6" w:rsidRPr="00D76279">
        <w:rPr>
          <w:sz w:val="22"/>
          <w:szCs w:val="22"/>
        </w:rPr>
        <w:t xml:space="preserve">, </w:t>
      </w:r>
      <w:r w:rsidR="00530AD3">
        <w:rPr>
          <w:sz w:val="22"/>
          <w:szCs w:val="22"/>
        </w:rPr>
        <w:t>S</w:t>
      </w:r>
      <w:r w:rsidR="00B843C6" w:rsidRPr="00D76279">
        <w:rPr>
          <w:sz w:val="22"/>
          <w:szCs w:val="22"/>
        </w:rPr>
        <w:t>ulfónamidy</w:t>
      </w:r>
      <w:r w:rsidR="00530AD3">
        <w:rPr>
          <w:sz w:val="22"/>
          <w:szCs w:val="22"/>
        </w:rPr>
        <w:t xml:space="preserve"> samotné</w:t>
      </w:r>
      <w:r w:rsidR="00B843C6" w:rsidRPr="00D76279">
        <w:rPr>
          <w:sz w:val="22"/>
          <w:szCs w:val="22"/>
        </w:rPr>
        <w:t xml:space="preserve"> </w:t>
      </w:r>
    </w:p>
    <w:p w14:paraId="4C9F1F68" w14:textId="68B06BAA" w:rsidR="00C8670A" w:rsidRDefault="006C4808" w:rsidP="00181044">
      <w:pPr>
        <w:pStyle w:val="Default"/>
        <w:jc w:val="both"/>
        <w:rPr>
          <w:sz w:val="22"/>
          <w:szCs w:val="22"/>
        </w:rPr>
      </w:pPr>
      <w:r w:rsidRPr="00D76279">
        <w:rPr>
          <w:sz w:val="22"/>
          <w:szCs w:val="22"/>
        </w:rPr>
        <w:t xml:space="preserve">ATC kód: </w:t>
      </w:r>
      <w:r w:rsidR="00B843C6" w:rsidRPr="00D76279">
        <w:rPr>
          <w:sz w:val="22"/>
          <w:szCs w:val="22"/>
        </w:rPr>
        <w:t>C</w:t>
      </w:r>
      <w:r w:rsidR="00530AD3">
        <w:rPr>
          <w:sz w:val="22"/>
          <w:szCs w:val="22"/>
        </w:rPr>
        <w:t>0</w:t>
      </w:r>
      <w:r w:rsidR="00B843C6" w:rsidRPr="00D76279">
        <w:rPr>
          <w:sz w:val="22"/>
          <w:szCs w:val="22"/>
        </w:rPr>
        <w:t xml:space="preserve">3C A01 </w:t>
      </w:r>
    </w:p>
    <w:p w14:paraId="55778798" w14:textId="77777777" w:rsidR="00F920D0" w:rsidRDefault="00F920D0" w:rsidP="00181044">
      <w:pPr>
        <w:pStyle w:val="Default"/>
        <w:jc w:val="both"/>
        <w:rPr>
          <w:sz w:val="22"/>
          <w:szCs w:val="22"/>
        </w:rPr>
      </w:pPr>
    </w:p>
    <w:p w14:paraId="322B02D5" w14:textId="5D487D89" w:rsidR="00B843C6" w:rsidRPr="00D76279" w:rsidRDefault="00B843C6" w:rsidP="0029131D">
      <w:pPr>
        <w:pStyle w:val="Default"/>
        <w:rPr>
          <w:sz w:val="22"/>
          <w:szCs w:val="22"/>
        </w:rPr>
      </w:pPr>
      <w:r w:rsidRPr="00D76279">
        <w:rPr>
          <w:sz w:val="22"/>
          <w:szCs w:val="22"/>
        </w:rPr>
        <w:t>Furosemid je rýchle diuretikum s rýchlym účinkom. Z farmakologického hľadiska furosemid inhibuje spoločný transportný systém (reabsorpciu) nasledovných elektrolytov Na</w:t>
      </w:r>
      <w:r w:rsidRPr="00D76279">
        <w:rPr>
          <w:position w:val="10"/>
          <w:sz w:val="22"/>
          <w:szCs w:val="22"/>
          <w:vertAlign w:val="superscript"/>
        </w:rPr>
        <w:t>+</w:t>
      </w:r>
      <w:r w:rsidRPr="00D76279">
        <w:rPr>
          <w:sz w:val="22"/>
          <w:szCs w:val="22"/>
        </w:rPr>
        <w:t>, K</w:t>
      </w:r>
      <w:r w:rsidRPr="00D76279">
        <w:rPr>
          <w:position w:val="10"/>
          <w:sz w:val="22"/>
          <w:szCs w:val="22"/>
          <w:vertAlign w:val="superscript"/>
        </w:rPr>
        <w:t xml:space="preserve">+ </w:t>
      </w:r>
      <w:r w:rsidRPr="00D76279">
        <w:rPr>
          <w:sz w:val="22"/>
          <w:szCs w:val="22"/>
        </w:rPr>
        <w:t>a 2CL</w:t>
      </w:r>
      <w:r w:rsidRPr="00D76279">
        <w:rPr>
          <w:position w:val="10"/>
          <w:sz w:val="22"/>
          <w:szCs w:val="22"/>
          <w:vertAlign w:val="superscript"/>
        </w:rPr>
        <w:t>-</w:t>
      </w:r>
      <w:r w:rsidRPr="00D76279">
        <w:rPr>
          <w:sz w:val="22"/>
          <w:szCs w:val="22"/>
        </w:rPr>
        <w:t xml:space="preserve">, ktoré sa nachádzajú na </w:t>
      </w:r>
      <w:r w:rsidR="002B4BFC" w:rsidRPr="00D76279">
        <w:rPr>
          <w:sz w:val="22"/>
          <w:szCs w:val="22"/>
        </w:rPr>
        <w:t xml:space="preserve">luminálnej </w:t>
      </w:r>
      <w:r w:rsidRPr="00D76279">
        <w:rPr>
          <w:sz w:val="22"/>
          <w:szCs w:val="22"/>
        </w:rPr>
        <w:t>membráne bunky v ascendentnom ramienku Henleho slučky. V dôsledku toho účinok furosemidu závisí od prieniku lieku d</w:t>
      </w:r>
      <w:r w:rsidR="00D52C4B" w:rsidRPr="00D76279">
        <w:rPr>
          <w:sz w:val="22"/>
          <w:szCs w:val="22"/>
        </w:rPr>
        <w:t xml:space="preserve">o </w:t>
      </w:r>
      <w:r w:rsidRPr="00D76279">
        <w:rPr>
          <w:sz w:val="22"/>
          <w:szCs w:val="22"/>
        </w:rPr>
        <w:t xml:space="preserve">lúmenu tubulu prostredníctvom aniónového transportného mechanizmu. Diuretický účinok vyplýva z inhibície reabsorpcie chloridu sodného v tomto úseku Henleho slučky. Následkom toho frakcia vylúčeného sodíka môže vzrásť na 35 % glomerulárnej filtrácie sodíka. Sekundárne účinky zvýšenej eliminácie sodíka sú: </w:t>
      </w:r>
      <w:r w:rsidR="00D52C4B" w:rsidRPr="00D76279">
        <w:rPr>
          <w:sz w:val="22"/>
          <w:szCs w:val="22"/>
        </w:rPr>
        <w:t>zvýšenie</w:t>
      </w:r>
      <w:r w:rsidRPr="00D76279">
        <w:rPr>
          <w:sz w:val="22"/>
          <w:szCs w:val="22"/>
        </w:rPr>
        <w:t xml:space="preserve"> vylučovania moču a zvýšenie sekrécie draslíka v distálnom tubule. Vylučovanie vápnikových a horčíkových solí je tiež zvýšené. </w:t>
      </w:r>
    </w:p>
    <w:p w14:paraId="37187FD1" w14:textId="77777777" w:rsidR="00B843C6" w:rsidRPr="00D76279" w:rsidRDefault="00B843C6" w:rsidP="0029131D">
      <w:pPr>
        <w:pStyle w:val="Default"/>
        <w:rPr>
          <w:sz w:val="22"/>
          <w:szCs w:val="22"/>
        </w:rPr>
      </w:pPr>
    </w:p>
    <w:p w14:paraId="41EC57FB" w14:textId="77777777" w:rsidR="00B843C6" w:rsidRPr="00D76279" w:rsidRDefault="00D52C4B" w:rsidP="0029131D">
      <w:pPr>
        <w:pStyle w:val="Default"/>
        <w:rPr>
          <w:sz w:val="22"/>
          <w:szCs w:val="22"/>
        </w:rPr>
      </w:pPr>
      <w:r w:rsidRPr="00D76279">
        <w:rPr>
          <w:sz w:val="22"/>
          <w:szCs w:val="22"/>
        </w:rPr>
        <w:t>Furosemid in</w:t>
      </w:r>
      <w:r w:rsidR="00B843C6" w:rsidRPr="00D76279">
        <w:rPr>
          <w:sz w:val="22"/>
          <w:szCs w:val="22"/>
        </w:rPr>
        <w:t xml:space="preserve">hibuje spätný mechanizmus v macula densa a spôsobuje od dávky závislú stimuláciu systému renín-angiotenzín-aldosterón. </w:t>
      </w:r>
    </w:p>
    <w:p w14:paraId="22F816F8" w14:textId="77777777" w:rsidR="00B843C6" w:rsidRPr="00D76279" w:rsidRDefault="00B843C6" w:rsidP="0029131D">
      <w:pPr>
        <w:pStyle w:val="Default"/>
        <w:rPr>
          <w:sz w:val="22"/>
          <w:szCs w:val="22"/>
        </w:rPr>
      </w:pPr>
    </w:p>
    <w:p w14:paraId="2295F951" w14:textId="77777777" w:rsidR="00B843C6" w:rsidRPr="00D76279" w:rsidRDefault="00B843C6" w:rsidP="0029131D">
      <w:pPr>
        <w:pStyle w:val="Default"/>
        <w:rPr>
          <w:sz w:val="22"/>
          <w:szCs w:val="22"/>
        </w:rPr>
      </w:pPr>
      <w:r w:rsidRPr="00D76279">
        <w:rPr>
          <w:sz w:val="22"/>
          <w:szCs w:val="22"/>
        </w:rPr>
        <w:t>V prípade zlyhania srdca furosemid vyvoláva akútne zníženie predzáťaže srdca (dilatáciou venózneho kapacitného riečiska). Zdá sa, že tento skorý účinok na cievy je sprostredkovaný prostaglandínmi a predpokladá primeranú funkciu obličiek s aktiváciou systému renín-angiotenzín a nepor</w:t>
      </w:r>
      <w:r w:rsidR="00D52C4B" w:rsidRPr="00D76279">
        <w:rPr>
          <w:sz w:val="22"/>
          <w:szCs w:val="22"/>
        </w:rPr>
        <w:t xml:space="preserve">ušenú syntézu prostaglandínov. </w:t>
      </w:r>
      <w:r w:rsidRPr="00D76279">
        <w:rPr>
          <w:sz w:val="22"/>
          <w:szCs w:val="22"/>
        </w:rPr>
        <w:t xml:space="preserve">Kvôli svojmu natriuretickému účinku furosemid znižuje reaktivitu ciev na katecholamíny, ktorá je zvýšená u pacientov s hypertenziou. </w:t>
      </w:r>
    </w:p>
    <w:p w14:paraId="6E8A6E5E" w14:textId="77777777" w:rsidR="00B843C6" w:rsidRPr="00D76279" w:rsidRDefault="00B843C6" w:rsidP="0029131D">
      <w:pPr>
        <w:pStyle w:val="Default"/>
        <w:rPr>
          <w:sz w:val="22"/>
          <w:szCs w:val="22"/>
        </w:rPr>
      </w:pPr>
    </w:p>
    <w:p w14:paraId="0552F61B" w14:textId="6DD7CE16" w:rsidR="00B843C6" w:rsidRPr="00D76279" w:rsidRDefault="00B843C6" w:rsidP="0029131D">
      <w:pPr>
        <w:pStyle w:val="Default"/>
        <w:rPr>
          <w:sz w:val="22"/>
          <w:szCs w:val="22"/>
        </w:rPr>
      </w:pPr>
      <w:r w:rsidRPr="00D76279">
        <w:rPr>
          <w:sz w:val="22"/>
          <w:szCs w:val="22"/>
        </w:rPr>
        <w:t>Diuretický účinok</w:t>
      </w:r>
      <w:r w:rsidR="00A06027">
        <w:rPr>
          <w:sz w:val="22"/>
          <w:szCs w:val="22"/>
        </w:rPr>
        <w:t xml:space="preserve"> </w:t>
      </w:r>
      <w:r w:rsidR="006C4808" w:rsidRPr="00D76279">
        <w:rPr>
          <w:sz w:val="22"/>
          <w:szCs w:val="22"/>
        </w:rPr>
        <w:t xml:space="preserve">furosemidu </w:t>
      </w:r>
      <w:r w:rsidR="00A06027">
        <w:rPr>
          <w:sz w:val="22"/>
          <w:szCs w:val="22"/>
        </w:rPr>
        <w:t>nastupuje</w:t>
      </w:r>
      <w:r w:rsidRPr="00D76279">
        <w:rPr>
          <w:sz w:val="22"/>
          <w:szCs w:val="22"/>
        </w:rPr>
        <w:t xml:space="preserve"> </w:t>
      </w:r>
      <w:r w:rsidR="00A06027">
        <w:rPr>
          <w:sz w:val="22"/>
          <w:szCs w:val="22"/>
        </w:rPr>
        <w:t>d</w:t>
      </w:r>
      <w:r w:rsidRPr="00D76279">
        <w:rPr>
          <w:sz w:val="22"/>
          <w:szCs w:val="22"/>
        </w:rPr>
        <w:t xml:space="preserve">o 15 minút od intravenózneho podania. </w:t>
      </w:r>
    </w:p>
    <w:p w14:paraId="5AB80C20" w14:textId="77777777" w:rsidR="00B843C6" w:rsidRPr="00D76279" w:rsidRDefault="00B843C6" w:rsidP="0029131D">
      <w:pPr>
        <w:pStyle w:val="Default"/>
        <w:rPr>
          <w:sz w:val="22"/>
          <w:szCs w:val="22"/>
        </w:rPr>
      </w:pPr>
    </w:p>
    <w:p w14:paraId="61B608CE" w14:textId="77777777" w:rsidR="00B843C6" w:rsidRPr="00D76279" w:rsidRDefault="00B843C6" w:rsidP="0029131D">
      <w:pPr>
        <w:pStyle w:val="Default"/>
        <w:rPr>
          <w:sz w:val="22"/>
          <w:szCs w:val="22"/>
        </w:rPr>
      </w:pPr>
      <w:r w:rsidRPr="00D76279">
        <w:rPr>
          <w:sz w:val="22"/>
          <w:szCs w:val="22"/>
        </w:rPr>
        <w:t>Od dávky závislý vzostup diurézy a nátriurézy bol zistený u zdravých jedincov, ktorým sa podával furosemid (dávky od</w:t>
      </w:r>
      <w:r w:rsidR="004A278E" w:rsidRPr="00D76279">
        <w:rPr>
          <w:sz w:val="22"/>
          <w:szCs w:val="22"/>
        </w:rPr>
        <w:t xml:space="preserve"> </w:t>
      </w:r>
      <w:r w:rsidRPr="00D76279">
        <w:rPr>
          <w:sz w:val="22"/>
          <w:szCs w:val="22"/>
        </w:rPr>
        <w:t>10 do 100 mg</w:t>
      </w:r>
      <w:r w:rsidR="00D52C4B" w:rsidRPr="00D76279">
        <w:rPr>
          <w:sz w:val="22"/>
          <w:szCs w:val="22"/>
        </w:rPr>
        <w:t xml:space="preserve">). </w:t>
      </w:r>
      <w:r w:rsidRPr="00D76279">
        <w:rPr>
          <w:sz w:val="22"/>
          <w:szCs w:val="22"/>
        </w:rPr>
        <w:t xml:space="preserve">Trvanie účinku u zdravých jedincov po intravenóznom podaní 20 mg dávky furosemidu je približne 3 hodiny a 3 až 6 hodín po perorálnom podaní 40 mg dávky. </w:t>
      </w:r>
    </w:p>
    <w:p w14:paraId="1F7CB73B" w14:textId="77777777" w:rsidR="00B843C6" w:rsidRPr="00D76279" w:rsidRDefault="00B843C6" w:rsidP="0029131D">
      <w:pPr>
        <w:pStyle w:val="Default"/>
        <w:rPr>
          <w:sz w:val="22"/>
          <w:szCs w:val="22"/>
        </w:rPr>
      </w:pPr>
    </w:p>
    <w:p w14:paraId="0E8E1799" w14:textId="77777777" w:rsidR="00B843C6" w:rsidRPr="00D76279" w:rsidRDefault="00B843C6" w:rsidP="0029131D">
      <w:pPr>
        <w:pStyle w:val="Default"/>
        <w:rPr>
          <w:sz w:val="22"/>
          <w:szCs w:val="22"/>
        </w:rPr>
      </w:pPr>
      <w:r w:rsidRPr="00D76279">
        <w:rPr>
          <w:sz w:val="22"/>
          <w:szCs w:val="22"/>
        </w:rPr>
        <w:t xml:space="preserve">U chorých pacientov vzťah medzi tubulárnou koncentráciou voľného furosemidu a viazaného furosemidu (určený rýchlosťou vylučovania moču) a jeho nátriuretickým účinkom je graficky znázornený krivkou v tvare </w:t>
      </w:r>
      <w:r w:rsidRPr="00D76279">
        <w:rPr>
          <w:sz w:val="22"/>
          <w:szCs w:val="22"/>
          <w:cs/>
        </w:rPr>
        <w:t>„</w:t>
      </w:r>
      <w:r w:rsidRPr="00D76279">
        <w:rPr>
          <w:sz w:val="22"/>
          <w:szCs w:val="22"/>
        </w:rPr>
        <w:t>s</w:t>
      </w:r>
      <w:r w:rsidRPr="00D76279">
        <w:rPr>
          <w:sz w:val="22"/>
          <w:szCs w:val="22"/>
          <w:cs/>
        </w:rPr>
        <w:t>“</w:t>
      </w:r>
      <w:r w:rsidRPr="00D76279">
        <w:rPr>
          <w:sz w:val="22"/>
          <w:szCs w:val="22"/>
        </w:rPr>
        <w:t xml:space="preserve">, s minimálnou rýchlosťou účinného vylučovania približne 10 mikrogramov za minútu. V dôsledku toho je kontinuálna infúzia furosemidu účinnejšia ako opakované bolusové injekcie. Nad určitú dávku podanú vo forme bolusu účinky lieku už významne nevzrastajú. Účinnosť furosemidu je znížená v prípadoch zníženej tubulárnej sekrécie alebo v prípadoch intratubulárnej väzby liečiva na albumín. </w:t>
      </w:r>
    </w:p>
    <w:p w14:paraId="7C2BEECB" w14:textId="77777777" w:rsidR="00B843C6" w:rsidRPr="00D76279" w:rsidRDefault="00B843C6" w:rsidP="00B843C6">
      <w:pPr>
        <w:pStyle w:val="Normlnysozarkami"/>
        <w:spacing w:after="0"/>
        <w:rPr>
          <w:szCs w:val="22"/>
        </w:rPr>
      </w:pPr>
    </w:p>
    <w:p w14:paraId="3C74D403" w14:textId="77777777" w:rsidR="00B843C6" w:rsidRPr="00D76279" w:rsidRDefault="00B843C6" w:rsidP="00B843C6">
      <w:pPr>
        <w:pStyle w:val="Nadpis2"/>
        <w:spacing w:before="0" w:after="0"/>
        <w:rPr>
          <w:sz w:val="22"/>
          <w:szCs w:val="22"/>
        </w:rPr>
      </w:pPr>
      <w:r w:rsidRPr="00D76279">
        <w:rPr>
          <w:sz w:val="22"/>
          <w:szCs w:val="22"/>
        </w:rPr>
        <w:t xml:space="preserve">5.2 </w:t>
      </w:r>
      <w:r w:rsidRPr="00D76279">
        <w:rPr>
          <w:sz w:val="22"/>
          <w:szCs w:val="22"/>
        </w:rPr>
        <w:tab/>
        <w:t>Farmakokinetické vlastnosti</w:t>
      </w:r>
    </w:p>
    <w:p w14:paraId="68F65114" w14:textId="77777777" w:rsidR="000007FF" w:rsidRDefault="000007FF" w:rsidP="00B843C6">
      <w:pPr>
        <w:pStyle w:val="Default"/>
        <w:ind w:left="720"/>
        <w:jc w:val="both"/>
        <w:rPr>
          <w:sz w:val="22"/>
          <w:szCs w:val="22"/>
          <w:u w:val="single"/>
        </w:rPr>
      </w:pPr>
    </w:p>
    <w:p w14:paraId="4C914BE0" w14:textId="77777777" w:rsidR="00B843C6" w:rsidRPr="00D76279" w:rsidRDefault="00B843C6" w:rsidP="00181044">
      <w:pPr>
        <w:pStyle w:val="Default"/>
        <w:jc w:val="both"/>
        <w:rPr>
          <w:sz w:val="22"/>
          <w:szCs w:val="22"/>
        </w:rPr>
      </w:pPr>
      <w:r w:rsidRPr="00D76279">
        <w:rPr>
          <w:sz w:val="22"/>
          <w:szCs w:val="22"/>
          <w:u w:val="single"/>
        </w:rPr>
        <w:t>Distribúcia</w:t>
      </w:r>
    </w:p>
    <w:p w14:paraId="7D18A185" w14:textId="77777777" w:rsidR="00B843C6" w:rsidRPr="00D76279" w:rsidRDefault="00B843C6" w:rsidP="00181044">
      <w:pPr>
        <w:pStyle w:val="Default"/>
        <w:jc w:val="both"/>
        <w:rPr>
          <w:sz w:val="22"/>
          <w:szCs w:val="22"/>
        </w:rPr>
      </w:pPr>
      <w:r w:rsidRPr="00D76279">
        <w:rPr>
          <w:sz w:val="22"/>
          <w:szCs w:val="22"/>
        </w:rPr>
        <w:t xml:space="preserve">Distribučný objem furosemidu je 0,1 až 1,2 litra na kilogram telesnej hmotnosti. Distribučný objem sa môže zvýšiť v závislosti od sprievodných ochorení. </w:t>
      </w:r>
    </w:p>
    <w:p w14:paraId="34F960A8" w14:textId="77777777" w:rsidR="00B843C6" w:rsidRPr="00D76279" w:rsidRDefault="00B843C6" w:rsidP="0029131D">
      <w:pPr>
        <w:pStyle w:val="Default"/>
        <w:rPr>
          <w:sz w:val="22"/>
          <w:szCs w:val="22"/>
        </w:rPr>
      </w:pPr>
      <w:r w:rsidRPr="00D76279">
        <w:rPr>
          <w:sz w:val="22"/>
          <w:szCs w:val="22"/>
        </w:rPr>
        <w:t xml:space="preserve">Väzba na bielkoviny (najmä na albumín) je vyššia ako 98 %.  </w:t>
      </w:r>
    </w:p>
    <w:p w14:paraId="5DFDD1E4" w14:textId="77777777" w:rsidR="00C8670A" w:rsidRDefault="00C8670A" w:rsidP="0029131D">
      <w:pPr>
        <w:pStyle w:val="Default"/>
        <w:rPr>
          <w:sz w:val="22"/>
          <w:szCs w:val="22"/>
        </w:rPr>
      </w:pPr>
    </w:p>
    <w:p w14:paraId="6D69EEE4" w14:textId="77777777" w:rsidR="00B843C6" w:rsidRPr="00D76279" w:rsidRDefault="00C8670A" w:rsidP="0029131D">
      <w:pPr>
        <w:pStyle w:val="Default"/>
        <w:rPr>
          <w:sz w:val="22"/>
          <w:szCs w:val="22"/>
        </w:rPr>
      </w:pPr>
      <w:r w:rsidRPr="00C029F5">
        <w:rPr>
          <w:sz w:val="22"/>
          <w:szCs w:val="22"/>
          <w:u w:val="single"/>
        </w:rPr>
        <w:t>Eliminácia</w:t>
      </w:r>
      <w:r w:rsidR="00B843C6" w:rsidRPr="00D76279">
        <w:rPr>
          <w:sz w:val="22"/>
          <w:szCs w:val="22"/>
          <w:u w:val="single"/>
        </w:rPr>
        <w:t xml:space="preserve"> </w:t>
      </w:r>
    </w:p>
    <w:p w14:paraId="13FEA395" w14:textId="77777777" w:rsidR="00B843C6" w:rsidRPr="00D76279" w:rsidRDefault="00B843C6" w:rsidP="0029131D">
      <w:pPr>
        <w:pStyle w:val="Default"/>
        <w:rPr>
          <w:sz w:val="22"/>
          <w:szCs w:val="22"/>
        </w:rPr>
      </w:pPr>
      <w:r w:rsidRPr="00D76279">
        <w:rPr>
          <w:sz w:val="22"/>
          <w:szCs w:val="22"/>
        </w:rPr>
        <w:t xml:space="preserve">Furosemid sa vylučuje najmä v nekonjugovanej forme, hlavne prostredníctvom sekrécie v proximálnom tubule. Po intravenóznom podaní sa 60 % až 70 % furosemidu eliminuje týmto spôsobom. Glukurónové metabolity furosemidu predstavujú 10 % až 20 % látok nájdených v moči. </w:t>
      </w:r>
      <w:r w:rsidRPr="00D76279">
        <w:rPr>
          <w:sz w:val="22"/>
          <w:szCs w:val="22"/>
        </w:rPr>
        <w:lastRenderedPageBreak/>
        <w:t xml:space="preserve">Zvyšná dávka je vylúčená stolicou, pravdepodobne po sekrécii žlčou. Po intravenóznom podaní plazmatický polčas furosemidu kolíše od 1 do 1,5 hodiny. </w:t>
      </w:r>
    </w:p>
    <w:p w14:paraId="2AD63D42" w14:textId="130BADB1" w:rsidR="00B843C6" w:rsidRPr="00D76279" w:rsidRDefault="00B843C6" w:rsidP="0029131D">
      <w:pPr>
        <w:pStyle w:val="Default"/>
        <w:rPr>
          <w:sz w:val="22"/>
          <w:szCs w:val="22"/>
        </w:rPr>
      </w:pPr>
      <w:r w:rsidRPr="00D76279">
        <w:rPr>
          <w:sz w:val="22"/>
          <w:szCs w:val="22"/>
        </w:rPr>
        <w:t>Furosemid sa vylučuje do materského mlieka</w:t>
      </w:r>
      <w:r w:rsidRPr="00081BF4">
        <w:rPr>
          <w:sz w:val="22"/>
          <w:szCs w:val="22"/>
        </w:rPr>
        <w:t>. Pre</w:t>
      </w:r>
      <w:r w:rsidR="008F185F" w:rsidRPr="00181044">
        <w:rPr>
          <w:sz w:val="22"/>
          <w:szCs w:val="22"/>
        </w:rPr>
        <w:t>stupuje</w:t>
      </w:r>
      <w:r w:rsidRPr="00081BF4">
        <w:rPr>
          <w:sz w:val="22"/>
          <w:szCs w:val="22"/>
        </w:rPr>
        <w:t xml:space="preserve"> placentárnou bariérou a</w:t>
      </w:r>
      <w:r w:rsidR="008F185F" w:rsidRPr="00181044">
        <w:rPr>
          <w:sz w:val="22"/>
          <w:szCs w:val="22"/>
        </w:rPr>
        <w:t> </w:t>
      </w:r>
      <w:r w:rsidRPr="00081BF4">
        <w:rPr>
          <w:sz w:val="22"/>
          <w:szCs w:val="22"/>
        </w:rPr>
        <w:t>pomaly</w:t>
      </w:r>
      <w:r w:rsidR="008F185F" w:rsidRPr="00181044">
        <w:rPr>
          <w:sz w:val="22"/>
          <w:szCs w:val="22"/>
        </w:rPr>
        <w:t xml:space="preserve"> prechádza</w:t>
      </w:r>
      <w:r w:rsidRPr="00081BF4">
        <w:rPr>
          <w:sz w:val="22"/>
          <w:szCs w:val="22"/>
        </w:rPr>
        <w:t xml:space="preserve"> do plodu. Furosemid dosahuje podobné koncentrácie u matky, plodu alebo novorodenca.</w:t>
      </w:r>
      <w:r w:rsidRPr="00D76279">
        <w:rPr>
          <w:sz w:val="22"/>
          <w:szCs w:val="22"/>
        </w:rPr>
        <w:t xml:space="preserve"> </w:t>
      </w:r>
    </w:p>
    <w:p w14:paraId="77F8D44E" w14:textId="77777777" w:rsidR="00C8670A" w:rsidRDefault="00C8670A" w:rsidP="0029131D">
      <w:pPr>
        <w:pStyle w:val="Default"/>
        <w:rPr>
          <w:sz w:val="22"/>
          <w:szCs w:val="22"/>
        </w:rPr>
      </w:pPr>
    </w:p>
    <w:p w14:paraId="1FF5B18B" w14:textId="77777777" w:rsidR="00B843C6" w:rsidRPr="00D76279" w:rsidRDefault="00C8670A" w:rsidP="0029131D">
      <w:pPr>
        <w:pStyle w:val="Default"/>
        <w:rPr>
          <w:sz w:val="22"/>
          <w:szCs w:val="22"/>
        </w:rPr>
      </w:pPr>
      <w:r w:rsidRPr="00C029F5">
        <w:rPr>
          <w:sz w:val="22"/>
          <w:szCs w:val="22"/>
          <w:u w:val="single"/>
        </w:rPr>
        <w:t xml:space="preserve">Porucha </w:t>
      </w:r>
      <w:r w:rsidR="00B843C6" w:rsidRPr="00D76279">
        <w:rPr>
          <w:sz w:val="22"/>
          <w:szCs w:val="22"/>
          <w:u w:val="single"/>
        </w:rPr>
        <w:t xml:space="preserve">funkcia obličiek </w:t>
      </w:r>
    </w:p>
    <w:p w14:paraId="2FA8E90E" w14:textId="48B19587" w:rsidR="00B843C6" w:rsidRPr="00D76279" w:rsidRDefault="00B843C6" w:rsidP="0029131D">
      <w:pPr>
        <w:pStyle w:val="Default"/>
        <w:rPr>
          <w:sz w:val="22"/>
          <w:szCs w:val="22"/>
        </w:rPr>
      </w:pPr>
      <w:r w:rsidRPr="00D76279">
        <w:rPr>
          <w:sz w:val="22"/>
          <w:szCs w:val="22"/>
        </w:rPr>
        <w:t xml:space="preserve">V prípade poruchy funkcie obličiek je vylučovanie furosemidu pomalšie a jeho polčas je dlhší. U pacientov s ochorením obličiek v konečnom štádiu je priemerný polčas 9,7 hodín. </w:t>
      </w:r>
      <w:r w:rsidR="00E774C5">
        <w:rPr>
          <w:sz w:val="22"/>
          <w:szCs w:val="22"/>
        </w:rPr>
        <w:t xml:space="preserve">Pri multiorgánovom zlyhaní môže byť polčas v rozsahu od </w:t>
      </w:r>
      <w:r w:rsidRPr="00081BF4">
        <w:rPr>
          <w:sz w:val="22"/>
          <w:szCs w:val="22"/>
        </w:rPr>
        <w:t xml:space="preserve">20-24 hodín. </w:t>
      </w:r>
    </w:p>
    <w:p w14:paraId="7E018377" w14:textId="77777777" w:rsidR="00B843C6" w:rsidRPr="00D76279" w:rsidRDefault="00B843C6" w:rsidP="0029131D">
      <w:pPr>
        <w:pStyle w:val="Default"/>
        <w:rPr>
          <w:sz w:val="22"/>
          <w:szCs w:val="22"/>
        </w:rPr>
      </w:pPr>
      <w:r w:rsidRPr="00D76279">
        <w:rPr>
          <w:sz w:val="22"/>
          <w:szCs w:val="22"/>
        </w:rPr>
        <w:t xml:space="preserve">V prípade nefrotického syndrómu nižšia koncentrácia plazmatických bielkovín vedie k zvýšeniu koncentrácií voľného furosemidu. Na druhej strane je účinnosť furosemidu u týchto pacientov znížená v dôsledku intratubulárnej väzby na albumín a zníženej tubulárnej sekrécie. </w:t>
      </w:r>
    </w:p>
    <w:p w14:paraId="1B1D7414" w14:textId="77777777" w:rsidR="00B843C6" w:rsidRPr="00D76279" w:rsidRDefault="00B843C6" w:rsidP="0029131D">
      <w:pPr>
        <w:pStyle w:val="Default"/>
        <w:rPr>
          <w:sz w:val="22"/>
          <w:szCs w:val="22"/>
        </w:rPr>
      </w:pPr>
      <w:r w:rsidRPr="00D76279">
        <w:rPr>
          <w:sz w:val="22"/>
          <w:szCs w:val="22"/>
        </w:rPr>
        <w:t xml:space="preserve">Furosemid dovoľuje nízku dialýzu u pacientov podstupujúcich hemodialýzu, peritoneálnu dialýzu alebo CAPD (chronickú ambulantnú peritoneálnu dialýzu). </w:t>
      </w:r>
    </w:p>
    <w:p w14:paraId="57B663E6" w14:textId="77777777" w:rsidR="00E774C5" w:rsidRDefault="00E774C5" w:rsidP="0029131D">
      <w:pPr>
        <w:pStyle w:val="Default"/>
        <w:rPr>
          <w:sz w:val="22"/>
          <w:szCs w:val="22"/>
        </w:rPr>
      </w:pPr>
    </w:p>
    <w:p w14:paraId="5ADEB3BE" w14:textId="5FC23A14" w:rsidR="00B843C6" w:rsidRPr="00D76279" w:rsidRDefault="00C8670A" w:rsidP="0029131D">
      <w:pPr>
        <w:pStyle w:val="Default"/>
        <w:rPr>
          <w:sz w:val="22"/>
          <w:szCs w:val="22"/>
        </w:rPr>
      </w:pPr>
      <w:r w:rsidRPr="00C029F5">
        <w:rPr>
          <w:sz w:val="22"/>
          <w:szCs w:val="22"/>
          <w:u w:val="single"/>
        </w:rPr>
        <w:t xml:space="preserve">Porucha funkcie </w:t>
      </w:r>
      <w:r w:rsidR="00B843C6" w:rsidRPr="00D76279">
        <w:rPr>
          <w:sz w:val="22"/>
          <w:szCs w:val="22"/>
          <w:u w:val="single"/>
        </w:rPr>
        <w:t xml:space="preserve">pečene </w:t>
      </w:r>
    </w:p>
    <w:p w14:paraId="2CA27058" w14:textId="77777777" w:rsidR="00B843C6" w:rsidRPr="00D76279" w:rsidRDefault="00B843C6" w:rsidP="0029131D">
      <w:pPr>
        <w:pStyle w:val="Default"/>
        <w:rPr>
          <w:sz w:val="22"/>
          <w:szCs w:val="22"/>
        </w:rPr>
      </w:pPr>
      <w:r w:rsidRPr="00D76279">
        <w:rPr>
          <w:sz w:val="22"/>
          <w:szCs w:val="22"/>
        </w:rPr>
        <w:t xml:space="preserve">V prípade poškodenia pečene sa predlžuje polčas furosemidu o 30 až 90 %, hlavne v dôsledku väčšieho distribučného objemu. Biliárna eliminácia môže byť znížená (až do 50 %). V tejto skupine pacientov je veľká variabilita farmakokinetických parametrov. </w:t>
      </w:r>
    </w:p>
    <w:p w14:paraId="6EBC9E28" w14:textId="77777777" w:rsidR="00B843C6" w:rsidRPr="00D76279" w:rsidRDefault="00B843C6" w:rsidP="0029131D">
      <w:pPr>
        <w:pStyle w:val="Default"/>
        <w:rPr>
          <w:sz w:val="22"/>
          <w:szCs w:val="22"/>
        </w:rPr>
      </w:pPr>
    </w:p>
    <w:p w14:paraId="550C5B97" w14:textId="77777777" w:rsidR="00B843C6" w:rsidRPr="00D76279" w:rsidRDefault="00B843C6" w:rsidP="0029131D">
      <w:pPr>
        <w:pStyle w:val="Default"/>
        <w:rPr>
          <w:sz w:val="22"/>
          <w:szCs w:val="22"/>
        </w:rPr>
      </w:pPr>
      <w:r w:rsidRPr="00D76279">
        <w:rPr>
          <w:sz w:val="22"/>
          <w:szCs w:val="22"/>
          <w:u w:val="single"/>
        </w:rPr>
        <w:t xml:space="preserve">Kongestívne srdcové zlyhanie, ťažká hypertenzia, starší pacienti </w:t>
      </w:r>
    </w:p>
    <w:p w14:paraId="5622A1D2" w14:textId="241DDF33" w:rsidR="00C8670A" w:rsidRDefault="00B843C6" w:rsidP="0029131D">
      <w:pPr>
        <w:pStyle w:val="Default"/>
        <w:rPr>
          <w:sz w:val="22"/>
          <w:szCs w:val="22"/>
        </w:rPr>
      </w:pPr>
      <w:r w:rsidRPr="00D76279">
        <w:rPr>
          <w:sz w:val="22"/>
          <w:szCs w:val="22"/>
        </w:rPr>
        <w:t xml:space="preserve">Eliminácia furosemidu je pomalšia kvôli zníženej funkcii obličiek u pacientov s kongestívnym srdcovým zlyhaním, ťažkou hypertenziou alebo </w:t>
      </w:r>
      <w:r w:rsidR="006C4808" w:rsidRPr="00D76279">
        <w:rPr>
          <w:sz w:val="22"/>
          <w:szCs w:val="22"/>
        </w:rPr>
        <w:t>u starších pacientov</w:t>
      </w:r>
      <w:r w:rsidRPr="00D76279">
        <w:rPr>
          <w:sz w:val="22"/>
          <w:szCs w:val="22"/>
        </w:rPr>
        <w:t xml:space="preserve">. </w:t>
      </w:r>
    </w:p>
    <w:p w14:paraId="09A6D9B2" w14:textId="77777777" w:rsidR="00C8670A" w:rsidRDefault="00C8670A" w:rsidP="0029131D">
      <w:pPr>
        <w:pStyle w:val="Default"/>
        <w:rPr>
          <w:sz w:val="22"/>
          <w:szCs w:val="22"/>
        </w:rPr>
      </w:pPr>
    </w:p>
    <w:p w14:paraId="46443202" w14:textId="77777777" w:rsidR="00B843C6" w:rsidRPr="00D76279" w:rsidRDefault="00B843C6" w:rsidP="0029131D">
      <w:pPr>
        <w:pStyle w:val="Default"/>
        <w:rPr>
          <w:sz w:val="22"/>
          <w:szCs w:val="22"/>
        </w:rPr>
      </w:pPr>
      <w:r w:rsidRPr="00D76279">
        <w:rPr>
          <w:sz w:val="22"/>
          <w:szCs w:val="22"/>
          <w:u w:val="single"/>
        </w:rPr>
        <w:t xml:space="preserve">Predčasne narodené deti a novorodenci </w:t>
      </w:r>
    </w:p>
    <w:p w14:paraId="413F525D" w14:textId="77777777" w:rsidR="00B843C6" w:rsidRPr="00D76279" w:rsidRDefault="00B843C6" w:rsidP="0029131D">
      <w:pPr>
        <w:rPr>
          <w:sz w:val="22"/>
          <w:szCs w:val="22"/>
        </w:rPr>
      </w:pPr>
      <w:r w:rsidRPr="00D76279">
        <w:rPr>
          <w:sz w:val="22"/>
          <w:szCs w:val="22"/>
        </w:rPr>
        <w:t>V závislosti od zrelosti obličiek môže byť vylučovanie furosemidu pomalé. U detí s nedostatočnou kapacitou glukuronizácie môže byť metabolizmus liečiva taktiež znížený. U novorodencov narodených v termíne je polčas vo všeobecnosti kratší ako 12 hodín.</w:t>
      </w:r>
    </w:p>
    <w:p w14:paraId="3547993F" w14:textId="77777777" w:rsidR="00B843C6" w:rsidRPr="00D76279" w:rsidRDefault="00B843C6" w:rsidP="0029131D">
      <w:pPr>
        <w:ind w:left="720"/>
        <w:rPr>
          <w:sz w:val="22"/>
          <w:szCs w:val="22"/>
        </w:rPr>
      </w:pPr>
    </w:p>
    <w:p w14:paraId="16059B4D" w14:textId="1281F88B" w:rsidR="00C8670A" w:rsidRDefault="00B843C6">
      <w:pPr>
        <w:pStyle w:val="Nadpis2"/>
        <w:spacing w:before="0" w:after="0"/>
        <w:rPr>
          <w:sz w:val="22"/>
          <w:szCs w:val="22"/>
        </w:rPr>
      </w:pPr>
      <w:r w:rsidRPr="00D76279">
        <w:rPr>
          <w:sz w:val="22"/>
          <w:szCs w:val="22"/>
        </w:rPr>
        <w:t>5.3</w:t>
      </w:r>
      <w:r w:rsidR="00327561">
        <w:rPr>
          <w:sz w:val="22"/>
          <w:szCs w:val="22"/>
        </w:rPr>
        <w:tab/>
      </w:r>
      <w:r w:rsidR="006C4808" w:rsidRPr="00D76279">
        <w:rPr>
          <w:sz w:val="22"/>
          <w:szCs w:val="22"/>
        </w:rPr>
        <w:t>Predklinické údaje o</w:t>
      </w:r>
      <w:r w:rsidRPr="00D76279">
        <w:rPr>
          <w:sz w:val="22"/>
          <w:szCs w:val="22"/>
        </w:rPr>
        <w:t xml:space="preserve"> </w:t>
      </w:r>
      <w:r w:rsidR="006C4808" w:rsidRPr="00D76279">
        <w:rPr>
          <w:sz w:val="22"/>
          <w:szCs w:val="22"/>
        </w:rPr>
        <w:t>bezpečnosti</w:t>
      </w:r>
    </w:p>
    <w:p w14:paraId="6599AD8F" w14:textId="77777777" w:rsidR="00F920D0" w:rsidRDefault="00F920D0" w:rsidP="0029131D">
      <w:pPr>
        <w:suppressAutoHyphens/>
        <w:autoSpaceDE w:val="0"/>
        <w:autoSpaceDN w:val="0"/>
        <w:adjustRightInd w:val="0"/>
        <w:rPr>
          <w:sz w:val="22"/>
          <w:szCs w:val="22"/>
        </w:rPr>
      </w:pPr>
    </w:p>
    <w:p w14:paraId="198226B3" w14:textId="77777777" w:rsidR="00B843C6" w:rsidRPr="00D76279" w:rsidRDefault="00B843C6" w:rsidP="0029131D">
      <w:pPr>
        <w:suppressAutoHyphens/>
        <w:autoSpaceDE w:val="0"/>
        <w:autoSpaceDN w:val="0"/>
        <w:adjustRightInd w:val="0"/>
        <w:rPr>
          <w:sz w:val="22"/>
          <w:szCs w:val="22"/>
        </w:rPr>
      </w:pPr>
      <w:r w:rsidRPr="00D76279">
        <w:rPr>
          <w:sz w:val="22"/>
          <w:szCs w:val="22"/>
        </w:rPr>
        <w:t>Štúdie chronickej toxicity u potkanov a psov viedli k renálnym alteráciám (okrem iných k fibróze a kalcifikácii obličiek). Furosemid nepreukázal genotoxický alebo karcinogénny potenciál.</w:t>
      </w:r>
    </w:p>
    <w:p w14:paraId="31134F09" w14:textId="77777777" w:rsidR="00B843C6" w:rsidRPr="00D76279" w:rsidRDefault="00B843C6" w:rsidP="0029131D">
      <w:pPr>
        <w:suppressAutoHyphens/>
        <w:autoSpaceDE w:val="0"/>
        <w:autoSpaceDN w:val="0"/>
        <w:adjustRightInd w:val="0"/>
        <w:rPr>
          <w:sz w:val="22"/>
          <w:szCs w:val="22"/>
        </w:rPr>
      </w:pPr>
      <w:r w:rsidRPr="00327561">
        <w:rPr>
          <w:sz w:val="22"/>
          <w:szCs w:val="22"/>
        </w:rPr>
        <w:t>V štúdiác</w:t>
      </w:r>
      <w:r w:rsidRPr="00D42A9D">
        <w:rPr>
          <w:sz w:val="22"/>
          <w:szCs w:val="22"/>
        </w:rPr>
        <w:t>h reprodukčnej toxikológie u</w:t>
      </w:r>
      <w:r w:rsidRPr="00D76279">
        <w:rPr>
          <w:sz w:val="22"/>
          <w:szCs w:val="22"/>
        </w:rPr>
        <w:t xml:space="preserve"> plodov potkanov sa vyskytol po podaní vysokých dávok znížený počet diferencovaných glomerulov, skeletálne anomálie lopatiek, ramenných kostí a rebier (indukovaných hypokaliémiou) a tiež u plodov myší a králikov sa vyskytla hydronefróza. Výsledky štúdie na myšiach a jednej z troch štúdií na králikoch ukázali zvýšenú incidenciu a závažnosť hydronefrózy (dilatácia obličkovej panvičky a v niektorých prípadoch močovodu) u plodov, pochádzajúcich od liečených samíc v porovnaní s incidenciou u plodov z kontrolnej skupiny. </w:t>
      </w:r>
    </w:p>
    <w:p w14:paraId="4CCBD3FA" w14:textId="77777777" w:rsidR="00B843C6" w:rsidRPr="00D76279" w:rsidRDefault="00B843C6" w:rsidP="0029131D">
      <w:pPr>
        <w:pStyle w:val="Default"/>
        <w:rPr>
          <w:sz w:val="22"/>
          <w:szCs w:val="22"/>
        </w:rPr>
      </w:pPr>
      <w:r w:rsidRPr="00D76279">
        <w:rPr>
          <w:sz w:val="22"/>
          <w:szCs w:val="22"/>
        </w:rPr>
        <w:t>Predčasne narodené králiky, ktorým bol podávaný furosemid, mali vyššiu incidenciu intraventrikulárnej hemoragie, ako mláďatá ošetrené fyziologickým roztokom, pravdepodobne následkom furosemidom indukovanej intrakraniálnej hypotenzie.</w:t>
      </w:r>
    </w:p>
    <w:p w14:paraId="428FF124" w14:textId="77777777" w:rsidR="00B843C6" w:rsidRDefault="00B843C6" w:rsidP="00181044">
      <w:pPr>
        <w:jc w:val="both"/>
        <w:rPr>
          <w:sz w:val="22"/>
          <w:szCs w:val="22"/>
        </w:rPr>
      </w:pPr>
    </w:p>
    <w:p w14:paraId="2722CB52" w14:textId="77777777" w:rsidR="000007FF" w:rsidRPr="00D76279" w:rsidRDefault="000007FF" w:rsidP="00181044">
      <w:pPr>
        <w:jc w:val="both"/>
        <w:rPr>
          <w:sz w:val="22"/>
          <w:szCs w:val="22"/>
        </w:rPr>
      </w:pPr>
    </w:p>
    <w:p w14:paraId="7CDEC913" w14:textId="017E1773" w:rsidR="00C8670A" w:rsidRDefault="00B843C6" w:rsidP="00C029F5">
      <w:pPr>
        <w:pStyle w:val="Nadpis1"/>
        <w:spacing w:before="0" w:after="0"/>
        <w:rPr>
          <w:sz w:val="22"/>
          <w:szCs w:val="22"/>
        </w:rPr>
      </w:pPr>
      <w:r w:rsidRPr="00D76279">
        <w:rPr>
          <w:sz w:val="22"/>
          <w:szCs w:val="22"/>
        </w:rPr>
        <w:t>6</w:t>
      </w:r>
      <w:r w:rsidR="00D42A9D">
        <w:rPr>
          <w:sz w:val="22"/>
          <w:szCs w:val="22"/>
        </w:rPr>
        <w:tab/>
      </w:r>
      <w:r w:rsidR="006C4808" w:rsidRPr="00D76279">
        <w:rPr>
          <w:sz w:val="22"/>
          <w:szCs w:val="22"/>
        </w:rPr>
        <w:t xml:space="preserve">FARMACEUTICKÉ </w:t>
      </w:r>
      <w:r w:rsidRPr="00D76279">
        <w:rPr>
          <w:sz w:val="22"/>
          <w:szCs w:val="22"/>
        </w:rPr>
        <w:t>ÚDAJE</w:t>
      </w:r>
    </w:p>
    <w:p w14:paraId="09D4D844" w14:textId="77777777" w:rsidR="00C8670A" w:rsidRPr="00C029F5" w:rsidRDefault="00C8670A" w:rsidP="00C029F5">
      <w:pPr>
        <w:pStyle w:val="Normlnysozarkami"/>
        <w:spacing w:after="0"/>
        <w:rPr>
          <w:szCs w:val="22"/>
        </w:rPr>
      </w:pPr>
    </w:p>
    <w:p w14:paraId="45794DA5" w14:textId="543A3C77" w:rsidR="00C8670A" w:rsidRDefault="006C4808" w:rsidP="00C029F5">
      <w:pPr>
        <w:pStyle w:val="Nadpis2"/>
        <w:spacing w:before="0" w:after="0"/>
        <w:rPr>
          <w:sz w:val="22"/>
          <w:szCs w:val="22"/>
        </w:rPr>
      </w:pPr>
      <w:r w:rsidRPr="00D76279">
        <w:rPr>
          <w:sz w:val="22"/>
          <w:szCs w:val="22"/>
        </w:rPr>
        <w:t>6.1</w:t>
      </w:r>
      <w:r w:rsidR="00D42A9D">
        <w:rPr>
          <w:sz w:val="22"/>
          <w:szCs w:val="22"/>
        </w:rPr>
        <w:tab/>
      </w:r>
      <w:r w:rsidRPr="00D76279">
        <w:rPr>
          <w:sz w:val="22"/>
          <w:szCs w:val="22"/>
        </w:rPr>
        <w:t>Zoznam pomocných látok</w:t>
      </w:r>
    </w:p>
    <w:p w14:paraId="5AA775C3" w14:textId="77777777" w:rsidR="00F920D0" w:rsidRDefault="00F920D0" w:rsidP="00181044">
      <w:pPr>
        <w:pStyle w:val="Normlnysozarkami"/>
        <w:spacing w:after="0"/>
        <w:ind w:left="0"/>
        <w:rPr>
          <w:szCs w:val="22"/>
        </w:rPr>
      </w:pPr>
    </w:p>
    <w:p w14:paraId="1621A435" w14:textId="77777777" w:rsidR="00C8670A" w:rsidRDefault="006C4808" w:rsidP="00181044">
      <w:pPr>
        <w:pStyle w:val="Normlnysozarkami"/>
        <w:spacing w:after="0"/>
        <w:ind w:left="0"/>
        <w:rPr>
          <w:szCs w:val="22"/>
        </w:rPr>
      </w:pPr>
      <w:r w:rsidRPr="00D76279">
        <w:rPr>
          <w:szCs w:val="22"/>
        </w:rPr>
        <w:t>Chlorid sodný</w:t>
      </w:r>
    </w:p>
    <w:p w14:paraId="23A5312A" w14:textId="592E7AC5" w:rsidR="00C8670A" w:rsidRDefault="006C4808" w:rsidP="00181044">
      <w:pPr>
        <w:pStyle w:val="Normlnysozarkami"/>
        <w:spacing w:after="0"/>
        <w:ind w:left="0"/>
        <w:rPr>
          <w:szCs w:val="22"/>
        </w:rPr>
      </w:pPr>
      <w:r w:rsidRPr="00D76279">
        <w:rPr>
          <w:szCs w:val="22"/>
        </w:rPr>
        <w:t>Hydroxid sodný</w:t>
      </w:r>
    </w:p>
    <w:p w14:paraId="135BDCAC" w14:textId="6728B3BA" w:rsidR="00C8670A" w:rsidRDefault="006C4808" w:rsidP="00181044">
      <w:pPr>
        <w:pStyle w:val="Normlnysozarkami"/>
        <w:spacing w:after="0"/>
        <w:ind w:left="0"/>
        <w:rPr>
          <w:szCs w:val="22"/>
        </w:rPr>
      </w:pPr>
      <w:r w:rsidRPr="00D76279">
        <w:rPr>
          <w:szCs w:val="22"/>
        </w:rPr>
        <w:t xml:space="preserve">Voda na </w:t>
      </w:r>
      <w:r w:rsidR="00B843C6" w:rsidRPr="00D76279">
        <w:rPr>
          <w:szCs w:val="22"/>
        </w:rPr>
        <w:t xml:space="preserve">injekcie </w:t>
      </w:r>
    </w:p>
    <w:p w14:paraId="462D5FBE" w14:textId="77777777" w:rsidR="00C8670A" w:rsidRDefault="00C8670A" w:rsidP="00C029F5">
      <w:pPr>
        <w:pStyle w:val="Normlnysozarkami"/>
        <w:spacing w:after="0"/>
        <w:rPr>
          <w:szCs w:val="22"/>
        </w:rPr>
      </w:pPr>
    </w:p>
    <w:p w14:paraId="55BECAC6" w14:textId="77777777" w:rsidR="00C8670A" w:rsidRDefault="006C4808" w:rsidP="00C029F5">
      <w:pPr>
        <w:pStyle w:val="Nadpis2"/>
        <w:spacing w:before="0" w:after="0"/>
        <w:rPr>
          <w:sz w:val="22"/>
          <w:szCs w:val="22"/>
        </w:rPr>
      </w:pPr>
      <w:r w:rsidRPr="00D76279">
        <w:rPr>
          <w:sz w:val="22"/>
          <w:szCs w:val="22"/>
        </w:rPr>
        <w:t>6.2</w:t>
      </w:r>
      <w:r w:rsidRPr="00D76279">
        <w:rPr>
          <w:sz w:val="22"/>
          <w:szCs w:val="22"/>
        </w:rPr>
        <w:tab/>
        <w:t>Inkompatibility</w:t>
      </w:r>
    </w:p>
    <w:p w14:paraId="655D9061" w14:textId="77777777" w:rsidR="00F920D0" w:rsidRDefault="00F920D0" w:rsidP="00181044">
      <w:pPr>
        <w:rPr>
          <w:sz w:val="22"/>
          <w:szCs w:val="22"/>
        </w:rPr>
      </w:pPr>
    </w:p>
    <w:p w14:paraId="5304B2E8" w14:textId="6431373D" w:rsidR="00C8670A" w:rsidRPr="00181044" w:rsidRDefault="006C4808" w:rsidP="00181044">
      <w:pPr>
        <w:rPr>
          <w:sz w:val="22"/>
          <w:szCs w:val="22"/>
        </w:rPr>
      </w:pPr>
      <w:r w:rsidRPr="00181044">
        <w:rPr>
          <w:sz w:val="22"/>
          <w:szCs w:val="22"/>
        </w:rPr>
        <w:lastRenderedPageBreak/>
        <w:t xml:space="preserve">Furosemid sa </w:t>
      </w:r>
      <w:r w:rsidR="00B843C6" w:rsidRPr="00181044">
        <w:rPr>
          <w:sz w:val="22"/>
          <w:szCs w:val="22"/>
        </w:rPr>
        <w:t>môže vyzrážať z roztoku tekut</w:t>
      </w:r>
      <w:r w:rsidR="004779B2" w:rsidRPr="00181044">
        <w:rPr>
          <w:sz w:val="22"/>
          <w:szCs w:val="22"/>
        </w:rPr>
        <w:t>ín</w:t>
      </w:r>
      <w:r w:rsidRPr="00181044">
        <w:rPr>
          <w:sz w:val="22"/>
          <w:szCs w:val="22"/>
        </w:rPr>
        <w:t xml:space="preserve"> s</w:t>
      </w:r>
      <w:r w:rsidR="00B843C6" w:rsidRPr="00181044">
        <w:rPr>
          <w:sz w:val="22"/>
          <w:szCs w:val="22"/>
        </w:rPr>
        <w:t xml:space="preserve"> n</w:t>
      </w:r>
      <w:r w:rsidR="008F185F" w:rsidRPr="00181044">
        <w:rPr>
          <w:sz w:val="22"/>
          <w:szCs w:val="22"/>
        </w:rPr>
        <w:t>ízkou</w:t>
      </w:r>
      <w:r w:rsidR="00B843C6" w:rsidRPr="00181044">
        <w:rPr>
          <w:sz w:val="22"/>
          <w:szCs w:val="22"/>
        </w:rPr>
        <w:t xml:space="preserve"> hodnotou </w:t>
      </w:r>
      <w:r w:rsidRPr="00181044">
        <w:rPr>
          <w:sz w:val="22"/>
          <w:szCs w:val="22"/>
        </w:rPr>
        <w:t>pH</w:t>
      </w:r>
      <w:r w:rsidR="00B843C6" w:rsidRPr="00181044">
        <w:rPr>
          <w:sz w:val="22"/>
          <w:szCs w:val="22"/>
        </w:rPr>
        <w:t xml:space="preserve">. </w:t>
      </w:r>
      <w:r w:rsidRPr="00181044">
        <w:rPr>
          <w:sz w:val="22"/>
          <w:szCs w:val="22"/>
        </w:rPr>
        <w:t>Tento liek sa nesmie miešať s</w:t>
      </w:r>
      <w:r w:rsidR="00B843C6" w:rsidRPr="00181044">
        <w:rPr>
          <w:sz w:val="22"/>
          <w:szCs w:val="22"/>
        </w:rPr>
        <w:t xml:space="preserve"> </w:t>
      </w:r>
      <w:r w:rsidRPr="00181044">
        <w:rPr>
          <w:sz w:val="22"/>
          <w:szCs w:val="22"/>
        </w:rPr>
        <w:t>inými liekmi okrem tých, ktoré sú uvedené v</w:t>
      </w:r>
      <w:r w:rsidR="00B843C6" w:rsidRPr="00181044">
        <w:rPr>
          <w:sz w:val="22"/>
          <w:szCs w:val="22"/>
        </w:rPr>
        <w:t xml:space="preserve"> </w:t>
      </w:r>
      <w:r w:rsidRPr="00181044">
        <w:rPr>
          <w:sz w:val="22"/>
          <w:szCs w:val="22"/>
        </w:rPr>
        <w:t>časti 6.6.</w:t>
      </w:r>
    </w:p>
    <w:p w14:paraId="022D9074" w14:textId="77777777" w:rsidR="00C8670A" w:rsidRPr="00181044" w:rsidRDefault="00C8670A" w:rsidP="00C029F5">
      <w:pPr>
        <w:pStyle w:val="Normlnysozarkami"/>
        <w:spacing w:after="0"/>
        <w:rPr>
          <w:szCs w:val="22"/>
        </w:rPr>
      </w:pPr>
    </w:p>
    <w:p w14:paraId="290B641F" w14:textId="77777777" w:rsidR="00C8670A" w:rsidRPr="00181044" w:rsidRDefault="006C4808" w:rsidP="00C029F5">
      <w:pPr>
        <w:pStyle w:val="Nadpis2"/>
        <w:spacing w:before="0" w:after="0"/>
        <w:rPr>
          <w:sz w:val="22"/>
          <w:szCs w:val="22"/>
        </w:rPr>
      </w:pPr>
      <w:r w:rsidRPr="00181044">
        <w:rPr>
          <w:sz w:val="22"/>
          <w:szCs w:val="22"/>
        </w:rPr>
        <w:t>6.3</w:t>
      </w:r>
      <w:r w:rsidRPr="00181044">
        <w:rPr>
          <w:sz w:val="22"/>
          <w:szCs w:val="22"/>
        </w:rPr>
        <w:tab/>
        <w:t>Čas použiteľnosti</w:t>
      </w:r>
    </w:p>
    <w:p w14:paraId="5178D193" w14:textId="77777777" w:rsidR="00F920D0" w:rsidRDefault="00F920D0" w:rsidP="00181044">
      <w:pPr>
        <w:pStyle w:val="Normlnysozarkami"/>
        <w:spacing w:after="0"/>
        <w:ind w:left="0"/>
        <w:rPr>
          <w:szCs w:val="22"/>
        </w:rPr>
      </w:pPr>
    </w:p>
    <w:p w14:paraId="432ECD1E" w14:textId="4F210EE1" w:rsidR="00C8670A" w:rsidRPr="00181044" w:rsidRDefault="00B843C6" w:rsidP="00181044">
      <w:pPr>
        <w:pStyle w:val="Normlnysozarkami"/>
        <w:spacing w:after="0"/>
        <w:ind w:left="0"/>
        <w:rPr>
          <w:szCs w:val="22"/>
        </w:rPr>
      </w:pPr>
      <w:r w:rsidRPr="00181044">
        <w:rPr>
          <w:szCs w:val="22"/>
        </w:rPr>
        <w:t>Neotvorené</w:t>
      </w:r>
      <w:r w:rsidR="006C4808" w:rsidRPr="00181044">
        <w:rPr>
          <w:szCs w:val="22"/>
        </w:rPr>
        <w:t>: 3 roky</w:t>
      </w:r>
    </w:p>
    <w:p w14:paraId="757FDBED" w14:textId="5DDDD5F2" w:rsidR="00C8670A" w:rsidRPr="00181044" w:rsidRDefault="006C4808" w:rsidP="00181044">
      <w:pPr>
        <w:pStyle w:val="Normlnysozarkami"/>
        <w:spacing w:after="0"/>
        <w:ind w:left="0"/>
        <w:rPr>
          <w:szCs w:val="22"/>
        </w:rPr>
      </w:pPr>
      <w:r w:rsidRPr="00181044">
        <w:rPr>
          <w:szCs w:val="22"/>
        </w:rPr>
        <w:t xml:space="preserve">Po prvom otvorení: Po otvorení </w:t>
      </w:r>
      <w:r w:rsidR="00B843C6" w:rsidRPr="00181044">
        <w:rPr>
          <w:szCs w:val="22"/>
        </w:rPr>
        <w:t>je potrebné produkt</w:t>
      </w:r>
      <w:r w:rsidRPr="00181044">
        <w:rPr>
          <w:szCs w:val="22"/>
        </w:rPr>
        <w:t xml:space="preserve"> ihneď použiť.</w:t>
      </w:r>
    </w:p>
    <w:p w14:paraId="4524FFBE" w14:textId="2C15F1A2" w:rsidR="00B843C6" w:rsidRPr="00181044" w:rsidRDefault="006C4808" w:rsidP="00181044">
      <w:pPr>
        <w:pStyle w:val="Normlnysozarkami"/>
        <w:spacing w:after="0"/>
        <w:ind w:left="0"/>
        <w:rPr>
          <w:szCs w:val="22"/>
        </w:rPr>
      </w:pPr>
      <w:r w:rsidRPr="00181044">
        <w:rPr>
          <w:szCs w:val="22"/>
        </w:rPr>
        <w:t xml:space="preserve">Po </w:t>
      </w:r>
      <w:r w:rsidR="00B843C6" w:rsidRPr="00181044">
        <w:rPr>
          <w:szCs w:val="22"/>
        </w:rPr>
        <w:t>riedení</w:t>
      </w:r>
      <w:r w:rsidRPr="00181044">
        <w:rPr>
          <w:szCs w:val="22"/>
        </w:rPr>
        <w:t xml:space="preserve">: </w:t>
      </w:r>
      <w:r w:rsidR="00B843C6" w:rsidRPr="00181044">
        <w:rPr>
          <w:szCs w:val="22"/>
        </w:rPr>
        <w:t>Chemická a fyzikálna stabilita p</w:t>
      </w:r>
      <w:r w:rsidR="00452D88" w:rsidRPr="00181044">
        <w:rPr>
          <w:szCs w:val="22"/>
        </w:rPr>
        <w:t>o zriedení</w:t>
      </w:r>
      <w:r w:rsidR="00B843C6" w:rsidRPr="00181044">
        <w:rPr>
          <w:szCs w:val="22"/>
        </w:rPr>
        <w:t xml:space="preserve"> bola preukázaná po dobu 24 hodín pri teplote 25</w:t>
      </w:r>
      <w:r w:rsidR="00D26FBB" w:rsidRPr="00181044">
        <w:rPr>
          <w:szCs w:val="22"/>
        </w:rPr>
        <w:t xml:space="preserve"> </w:t>
      </w:r>
      <w:r w:rsidR="00B843C6" w:rsidRPr="00181044">
        <w:rPr>
          <w:szCs w:val="22"/>
        </w:rPr>
        <w:t>°C</w:t>
      </w:r>
      <w:r w:rsidR="00D42A9D" w:rsidRPr="00181044">
        <w:rPr>
          <w:szCs w:val="22"/>
        </w:rPr>
        <w:t>,</w:t>
      </w:r>
      <w:r w:rsidR="00B843C6" w:rsidRPr="00181044">
        <w:rPr>
          <w:szCs w:val="22"/>
        </w:rPr>
        <w:t xml:space="preserve"> </w:t>
      </w:r>
      <w:r w:rsidR="00452D88" w:rsidRPr="00181044">
        <w:rPr>
          <w:szCs w:val="22"/>
        </w:rPr>
        <w:t xml:space="preserve">ak bol roztok </w:t>
      </w:r>
      <w:r w:rsidR="00B843C6" w:rsidRPr="00181044">
        <w:rPr>
          <w:szCs w:val="22"/>
        </w:rPr>
        <w:t>chránen</w:t>
      </w:r>
      <w:r w:rsidR="00452D88" w:rsidRPr="00181044">
        <w:rPr>
          <w:szCs w:val="22"/>
        </w:rPr>
        <w:t>ý</w:t>
      </w:r>
      <w:r w:rsidR="00B843C6" w:rsidRPr="00181044">
        <w:rPr>
          <w:szCs w:val="22"/>
        </w:rPr>
        <w:t xml:space="preserve"> pred svetlom.</w:t>
      </w:r>
      <w:r w:rsidRPr="00181044">
        <w:rPr>
          <w:szCs w:val="22"/>
        </w:rPr>
        <w:t xml:space="preserve"> </w:t>
      </w:r>
      <w:r w:rsidR="00B843C6" w:rsidRPr="00181044">
        <w:rPr>
          <w:szCs w:val="22"/>
        </w:rPr>
        <w:t xml:space="preserve"> </w:t>
      </w:r>
    </w:p>
    <w:p w14:paraId="3774048D" w14:textId="669F3580" w:rsidR="00C8670A" w:rsidRDefault="006C4808" w:rsidP="00181044">
      <w:pPr>
        <w:pStyle w:val="Normlnysozarkami"/>
        <w:spacing w:after="0"/>
        <w:ind w:left="0"/>
        <w:rPr>
          <w:szCs w:val="22"/>
        </w:rPr>
      </w:pPr>
      <w:r w:rsidRPr="00181044">
        <w:rPr>
          <w:szCs w:val="22"/>
        </w:rPr>
        <w:t>Z</w:t>
      </w:r>
      <w:r w:rsidR="00B843C6" w:rsidRPr="00181044">
        <w:rPr>
          <w:szCs w:val="22"/>
        </w:rPr>
        <w:t xml:space="preserve"> </w:t>
      </w:r>
      <w:r w:rsidRPr="00181044">
        <w:rPr>
          <w:szCs w:val="22"/>
        </w:rPr>
        <w:t xml:space="preserve">mikrobiologického hľadiska sa musí </w:t>
      </w:r>
      <w:r w:rsidR="00D52C4B" w:rsidRPr="00181044">
        <w:rPr>
          <w:szCs w:val="22"/>
        </w:rPr>
        <w:t>produkt ihneď</w:t>
      </w:r>
      <w:r w:rsidRPr="00181044">
        <w:rPr>
          <w:szCs w:val="22"/>
        </w:rPr>
        <w:t xml:space="preserve"> použiť. Ak sa nepoužije</w:t>
      </w:r>
      <w:r w:rsidR="00B843C6" w:rsidRPr="00181044">
        <w:rPr>
          <w:szCs w:val="22"/>
        </w:rPr>
        <w:t xml:space="preserve"> ihneď, za</w:t>
      </w:r>
      <w:r w:rsidRPr="00181044">
        <w:rPr>
          <w:szCs w:val="22"/>
        </w:rPr>
        <w:t xml:space="preserve"> čas</w:t>
      </w:r>
      <w:r w:rsidR="002E5830" w:rsidRPr="00181044">
        <w:rPr>
          <w:szCs w:val="22"/>
        </w:rPr>
        <w:t xml:space="preserve"> </w:t>
      </w:r>
      <w:r w:rsidRPr="00181044">
        <w:rPr>
          <w:szCs w:val="22"/>
        </w:rPr>
        <w:t>a</w:t>
      </w:r>
      <w:r w:rsidRPr="00D76279">
        <w:rPr>
          <w:szCs w:val="22"/>
        </w:rPr>
        <w:t xml:space="preserve"> podmienky </w:t>
      </w:r>
      <w:r w:rsidR="002E5830">
        <w:rPr>
          <w:szCs w:val="22"/>
        </w:rPr>
        <w:t xml:space="preserve">uchovávania </w:t>
      </w:r>
      <w:r w:rsidRPr="00D76279">
        <w:rPr>
          <w:szCs w:val="22"/>
        </w:rPr>
        <w:t xml:space="preserve">pred použitím </w:t>
      </w:r>
      <w:r w:rsidR="00B843C6" w:rsidRPr="00D76279">
        <w:rPr>
          <w:szCs w:val="22"/>
        </w:rPr>
        <w:t>je zodpovedný používateľ</w:t>
      </w:r>
      <w:r w:rsidRPr="00D76279">
        <w:rPr>
          <w:szCs w:val="22"/>
        </w:rPr>
        <w:t xml:space="preserve"> a </w:t>
      </w:r>
      <w:r w:rsidR="00B843C6" w:rsidRPr="00D76279">
        <w:rPr>
          <w:szCs w:val="22"/>
        </w:rPr>
        <w:t>zvyčajne by to nemalo</w:t>
      </w:r>
      <w:r w:rsidRPr="00D76279">
        <w:rPr>
          <w:szCs w:val="22"/>
        </w:rPr>
        <w:t xml:space="preserve"> byť </w:t>
      </w:r>
      <w:r w:rsidR="00B843C6" w:rsidRPr="00D76279">
        <w:rPr>
          <w:szCs w:val="22"/>
        </w:rPr>
        <w:t>viac</w:t>
      </w:r>
      <w:r w:rsidRPr="00D76279">
        <w:rPr>
          <w:szCs w:val="22"/>
        </w:rPr>
        <w:t xml:space="preserve"> ako 24 hodín pri </w:t>
      </w:r>
      <w:r w:rsidR="00B843C6" w:rsidRPr="00D76279">
        <w:rPr>
          <w:szCs w:val="22"/>
        </w:rPr>
        <w:t xml:space="preserve">teplote </w:t>
      </w:r>
      <w:r w:rsidRPr="00D76279">
        <w:rPr>
          <w:szCs w:val="22"/>
        </w:rPr>
        <w:t xml:space="preserve">2 až </w:t>
      </w:r>
      <w:r w:rsidR="00B843C6" w:rsidRPr="00D76279">
        <w:rPr>
          <w:szCs w:val="22"/>
        </w:rPr>
        <w:t>8 °C</w:t>
      </w:r>
      <w:r w:rsidRPr="00D76279">
        <w:rPr>
          <w:szCs w:val="22"/>
        </w:rPr>
        <w:t xml:space="preserve">, pokiaľ </w:t>
      </w:r>
      <w:r w:rsidR="00B843C6" w:rsidRPr="00D76279">
        <w:rPr>
          <w:szCs w:val="22"/>
        </w:rPr>
        <w:t xml:space="preserve">riedenie neprebehlo v </w:t>
      </w:r>
      <w:r w:rsidRPr="00D76279">
        <w:rPr>
          <w:szCs w:val="22"/>
        </w:rPr>
        <w:t>kontrolovaných a</w:t>
      </w:r>
      <w:r w:rsidR="00B843C6" w:rsidRPr="00D76279">
        <w:rPr>
          <w:szCs w:val="22"/>
        </w:rPr>
        <w:t xml:space="preserve"> schválených</w:t>
      </w:r>
      <w:r w:rsidRPr="00D76279">
        <w:rPr>
          <w:szCs w:val="22"/>
        </w:rPr>
        <w:t xml:space="preserve"> aseptických podmienkach.</w:t>
      </w:r>
    </w:p>
    <w:p w14:paraId="78DF579B" w14:textId="77777777" w:rsidR="00C8670A" w:rsidRPr="00C029F5" w:rsidRDefault="00C8670A" w:rsidP="00C029F5">
      <w:pPr>
        <w:pStyle w:val="Normlnysozarkami"/>
        <w:spacing w:after="0"/>
        <w:rPr>
          <w:szCs w:val="22"/>
        </w:rPr>
      </w:pPr>
    </w:p>
    <w:p w14:paraId="2B30D2F7" w14:textId="685FB298" w:rsidR="00C8670A" w:rsidRDefault="006C4808" w:rsidP="00C029F5">
      <w:pPr>
        <w:pStyle w:val="Nadpis2"/>
        <w:spacing w:before="0" w:after="0"/>
        <w:rPr>
          <w:sz w:val="22"/>
          <w:szCs w:val="22"/>
        </w:rPr>
      </w:pPr>
      <w:r w:rsidRPr="00D76279">
        <w:rPr>
          <w:sz w:val="22"/>
          <w:szCs w:val="22"/>
        </w:rPr>
        <w:t>6.4</w:t>
      </w:r>
      <w:r w:rsidR="002E5830">
        <w:rPr>
          <w:sz w:val="22"/>
          <w:szCs w:val="22"/>
        </w:rPr>
        <w:tab/>
      </w:r>
      <w:r w:rsidRPr="00D76279">
        <w:rPr>
          <w:sz w:val="22"/>
          <w:szCs w:val="22"/>
        </w:rPr>
        <w:t xml:space="preserve">Špeciálne </w:t>
      </w:r>
      <w:r w:rsidR="00B843C6" w:rsidRPr="00D76279">
        <w:rPr>
          <w:sz w:val="22"/>
          <w:szCs w:val="22"/>
        </w:rPr>
        <w:t>upozorneni</w:t>
      </w:r>
      <w:r w:rsidR="00D26FBB">
        <w:rPr>
          <w:sz w:val="22"/>
          <w:szCs w:val="22"/>
        </w:rPr>
        <w:t>a</w:t>
      </w:r>
      <w:r w:rsidRPr="00D76279">
        <w:rPr>
          <w:sz w:val="22"/>
          <w:szCs w:val="22"/>
        </w:rPr>
        <w:t xml:space="preserve"> na uchovávanie</w:t>
      </w:r>
    </w:p>
    <w:p w14:paraId="4A8049D3" w14:textId="048633F4" w:rsidR="00D26FBB" w:rsidRDefault="00D26FBB" w:rsidP="00181044">
      <w:pPr>
        <w:pStyle w:val="Normlnysozarkami"/>
        <w:spacing w:after="0"/>
        <w:ind w:left="0"/>
        <w:rPr>
          <w:noProof/>
          <w:szCs w:val="22"/>
        </w:rPr>
      </w:pPr>
    </w:p>
    <w:p w14:paraId="0333B752" w14:textId="2E98D0F7" w:rsidR="00C8670A" w:rsidRDefault="00D26FBB" w:rsidP="00181044">
      <w:pPr>
        <w:pStyle w:val="Normlnysozarkami"/>
        <w:spacing w:after="0"/>
        <w:ind w:left="0"/>
        <w:rPr>
          <w:szCs w:val="22"/>
        </w:rPr>
      </w:pPr>
      <w:r>
        <w:rPr>
          <w:noProof/>
          <w:szCs w:val="22"/>
        </w:rPr>
        <w:t xml:space="preserve">Uchovávajte pri teplote neprevyšujúcej 25 </w:t>
      </w:r>
      <w:r w:rsidRPr="00D76279">
        <w:rPr>
          <w:szCs w:val="22"/>
        </w:rPr>
        <w:t>°C</w:t>
      </w:r>
      <w:r w:rsidR="006C4808" w:rsidRPr="00D76279">
        <w:rPr>
          <w:szCs w:val="22"/>
        </w:rPr>
        <w:t>.</w:t>
      </w:r>
    </w:p>
    <w:p w14:paraId="720C8227" w14:textId="77777777" w:rsidR="00C8670A" w:rsidRPr="00C029F5" w:rsidRDefault="006C4808" w:rsidP="00181044">
      <w:pPr>
        <w:pStyle w:val="Normlnysozarkami"/>
        <w:spacing w:after="0"/>
        <w:ind w:left="0"/>
        <w:rPr>
          <w:szCs w:val="22"/>
        </w:rPr>
      </w:pPr>
      <w:r w:rsidRPr="00D76279">
        <w:rPr>
          <w:szCs w:val="22"/>
        </w:rPr>
        <w:t>Neuchovávajte v mrazničke.</w:t>
      </w:r>
    </w:p>
    <w:p w14:paraId="64EA094E" w14:textId="2B83BED4" w:rsidR="00C8670A" w:rsidRDefault="006C4808" w:rsidP="00181044">
      <w:pPr>
        <w:pStyle w:val="Normlnysozarkami"/>
        <w:spacing w:after="0"/>
        <w:ind w:left="0"/>
        <w:rPr>
          <w:szCs w:val="22"/>
        </w:rPr>
      </w:pPr>
      <w:r w:rsidRPr="00D76279">
        <w:rPr>
          <w:szCs w:val="22"/>
        </w:rPr>
        <w:t>Uchovávajte ampulky vo vonkajšom obale na ochranu pred svetlom.</w:t>
      </w:r>
    </w:p>
    <w:p w14:paraId="0173DEEA" w14:textId="783CA4C7" w:rsidR="00C8670A" w:rsidRDefault="006C4808" w:rsidP="00181044">
      <w:pPr>
        <w:pStyle w:val="Normlnysozarkami"/>
        <w:spacing w:after="0"/>
        <w:ind w:left="0"/>
        <w:rPr>
          <w:szCs w:val="22"/>
        </w:rPr>
      </w:pPr>
      <w:r w:rsidRPr="00D76279">
        <w:rPr>
          <w:szCs w:val="22"/>
        </w:rPr>
        <w:t xml:space="preserve">Podmienky </w:t>
      </w:r>
      <w:r w:rsidR="00B843C6" w:rsidRPr="00D76279">
        <w:rPr>
          <w:szCs w:val="22"/>
        </w:rPr>
        <w:t>na uchovávanie</w:t>
      </w:r>
      <w:r w:rsidRPr="00D76279">
        <w:rPr>
          <w:szCs w:val="22"/>
        </w:rPr>
        <w:t xml:space="preserve"> zriedeného lieku, pozri časť 6.3.</w:t>
      </w:r>
    </w:p>
    <w:p w14:paraId="553B67DC" w14:textId="77777777" w:rsidR="00C8670A" w:rsidRDefault="00C8670A" w:rsidP="00C029F5">
      <w:pPr>
        <w:pStyle w:val="Normlnysozarkami"/>
        <w:spacing w:after="0"/>
        <w:rPr>
          <w:szCs w:val="22"/>
        </w:rPr>
      </w:pPr>
    </w:p>
    <w:p w14:paraId="630C4D3F" w14:textId="315F1B8C" w:rsidR="00C8670A" w:rsidRPr="00C029F5" w:rsidRDefault="006C4808" w:rsidP="00C029F5">
      <w:pPr>
        <w:pStyle w:val="Default"/>
        <w:jc w:val="both"/>
        <w:rPr>
          <w:b/>
          <w:sz w:val="22"/>
          <w:szCs w:val="22"/>
        </w:rPr>
      </w:pPr>
      <w:r w:rsidRPr="00D76279">
        <w:rPr>
          <w:b/>
          <w:sz w:val="22"/>
          <w:szCs w:val="22"/>
        </w:rPr>
        <w:t>6.5</w:t>
      </w:r>
      <w:r w:rsidR="002E5830">
        <w:rPr>
          <w:b/>
          <w:sz w:val="22"/>
          <w:szCs w:val="22"/>
        </w:rPr>
        <w:tab/>
      </w:r>
      <w:r w:rsidRPr="00D76279">
        <w:rPr>
          <w:b/>
          <w:sz w:val="22"/>
          <w:szCs w:val="22"/>
        </w:rPr>
        <w:t>Druh obalu a obsah balenia</w:t>
      </w:r>
    </w:p>
    <w:p w14:paraId="0E040524" w14:textId="77777777" w:rsidR="00C029F5" w:rsidRPr="00D76279" w:rsidRDefault="00C029F5" w:rsidP="0038008B">
      <w:pPr>
        <w:jc w:val="both"/>
        <w:rPr>
          <w:sz w:val="22"/>
          <w:szCs w:val="22"/>
        </w:rPr>
      </w:pPr>
    </w:p>
    <w:p w14:paraId="4B45F94A" w14:textId="0979BC23" w:rsidR="00C8670A" w:rsidRDefault="006C4808" w:rsidP="00181044">
      <w:pPr>
        <w:pStyle w:val="Normlnysozarkami"/>
        <w:spacing w:after="0"/>
        <w:ind w:left="0"/>
        <w:rPr>
          <w:szCs w:val="22"/>
        </w:rPr>
      </w:pPr>
      <w:r w:rsidRPr="00D76279">
        <w:rPr>
          <w:szCs w:val="22"/>
        </w:rPr>
        <w:t xml:space="preserve">20 mg v 2 ml: </w:t>
      </w:r>
      <w:r w:rsidR="00E774C5">
        <w:rPr>
          <w:szCs w:val="22"/>
        </w:rPr>
        <w:t xml:space="preserve">OPC </w:t>
      </w:r>
      <w:r w:rsidR="00E774C5" w:rsidRPr="00D76279">
        <w:rPr>
          <w:szCs w:val="22"/>
        </w:rPr>
        <w:t xml:space="preserve">ampulka </w:t>
      </w:r>
      <w:r w:rsidR="00E774C5">
        <w:rPr>
          <w:szCs w:val="22"/>
        </w:rPr>
        <w:t xml:space="preserve">jantárovej farby </w:t>
      </w:r>
      <w:r w:rsidRPr="00D76279">
        <w:rPr>
          <w:szCs w:val="22"/>
        </w:rPr>
        <w:t>s dvoma bielymi krúžkami a</w:t>
      </w:r>
      <w:r w:rsidR="00B843C6" w:rsidRPr="00D76279">
        <w:rPr>
          <w:szCs w:val="22"/>
        </w:rPr>
        <w:t xml:space="preserve"> </w:t>
      </w:r>
      <w:r w:rsidRPr="00D76279">
        <w:rPr>
          <w:szCs w:val="22"/>
        </w:rPr>
        <w:t>bielou bodkou</w:t>
      </w:r>
      <w:r w:rsidRPr="00D76279">
        <w:rPr>
          <w:szCs w:val="22"/>
          <w:cs/>
        </w:rPr>
        <w:t xml:space="preserve"> </w:t>
      </w:r>
      <w:r w:rsidRPr="00D76279">
        <w:rPr>
          <w:szCs w:val="22"/>
        </w:rPr>
        <w:t>s</w:t>
      </w:r>
      <w:r w:rsidR="00B843C6" w:rsidRPr="00D76279">
        <w:rPr>
          <w:szCs w:val="22"/>
        </w:rPr>
        <w:t xml:space="preserve"> </w:t>
      </w:r>
      <w:r w:rsidRPr="00D76279">
        <w:rPr>
          <w:szCs w:val="22"/>
        </w:rPr>
        <w:t>obsahom 2 ml roztoku.</w:t>
      </w:r>
    </w:p>
    <w:p w14:paraId="56796319" w14:textId="413B5619" w:rsidR="00C8670A" w:rsidRDefault="006C4808" w:rsidP="00181044">
      <w:pPr>
        <w:pStyle w:val="Normlnysozarkami"/>
        <w:spacing w:after="0"/>
        <w:ind w:left="0"/>
        <w:rPr>
          <w:szCs w:val="22"/>
        </w:rPr>
      </w:pPr>
      <w:r w:rsidRPr="00D76279">
        <w:rPr>
          <w:szCs w:val="22"/>
        </w:rPr>
        <w:t>40 mg v</w:t>
      </w:r>
      <w:r w:rsidR="00B843C6" w:rsidRPr="00D76279">
        <w:rPr>
          <w:szCs w:val="22"/>
        </w:rPr>
        <w:t xml:space="preserve"> </w:t>
      </w:r>
      <w:r w:rsidRPr="00D76279">
        <w:rPr>
          <w:szCs w:val="22"/>
        </w:rPr>
        <w:t xml:space="preserve">4 ml: 5 ml </w:t>
      </w:r>
      <w:r w:rsidR="00E774C5" w:rsidRPr="00D76279">
        <w:rPr>
          <w:szCs w:val="22"/>
        </w:rPr>
        <w:t xml:space="preserve">ampulka </w:t>
      </w:r>
      <w:r w:rsidR="00E774C5">
        <w:rPr>
          <w:szCs w:val="22"/>
        </w:rPr>
        <w:t xml:space="preserve">jantárovej farby </w:t>
      </w:r>
      <w:r w:rsidRPr="00D76279">
        <w:rPr>
          <w:szCs w:val="22"/>
        </w:rPr>
        <w:t>s</w:t>
      </w:r>
      <w:r w:rsidR="00B843C6" w:rsidRPr="00D76279">
        <w:rPr>
          <w:szCs w:val="22"/>
        </w:rPr>
        <w:t xml:space="preserve"> </w:t>
      </w:r>
      <w:r w:rsidRPr="00D76279">
        <w:rPr>
          <w:szCs w:val="22"/>
        </w:rPr>
        <w:t>bielym viečkom a</w:t>
      </w:r>
      <w:r w:rsidR="00B843C6" w:rsidRPr="00D76279">
        <w:rPr>
          <w:szCs w:val="22"/>
        </w:rPr>
        <w:t xml:space="preserve"> </w:t>
      </w:r>
      <w:r w:rsidRPr="00D76279">
        <w:rPr>
          <w:szCs w:val="22"/>
        </w:rPr>
        <w:t>modrým krúžkom s</w:t>
      </w:r>
      <w:r w:rsidR="00B843C6" w:rsidRPr="00D76279">
        <w:rPr>
          <w:szCs w:val="22"/>
        </w:rPr>
        <w:t xml:space="preserve"> </w:t>
      </w:r>
      <w:r w:rsidRPr="00D76279">
        <w:rPr>
          <w:szCs w:val="22"/>
        </w:rPr>
        <w:t>obsahom 4</w:t>
      </w:r>
      <w:r w:rsidR="00B843C6" w:rsidRPr="00D76279">
        <w:rPr>
          <w:szCs w:val="22"/>
        </w:rPr>
        <w:t> </w:t>
      </w:r>
      <w:r w:rsidRPr="00D76279">
        <w:rPr>
          <w:szCs w:val="22"/>
        </w:rPr>
        <w:t>ml roztoku.</w:t>
      </w:r>
    </w:p>
    <w:p w14:paraId="09DBA069" w14:textId="6F1664B5" w:rsidR="00C8670A" w:rsidRDefault="006C4808" w:rsidP="00181044">
      <w:pPr>
        <w:pStyle w:val="Normlnysozarkami"/>
        <w:spacing w:after="0"/>
        <w:ind w:left="0"/>
        <w:rPr>
          <w:szCs w:val="22"/>
        </w:rPr>
      </w:pPr>
      <w:r w:rsidRPr="00D76279">
        <w:rPr>
          <w:szCs w:val="22"/>
        </w:rPr>
        <w:t>50 mg v</w:t>
      </w:r>
      <w:r w:rsidR="00B843C6" w:rsidRPr="00D76279">
        <w:rPr>
          <w:szCs w:val="22"/>
        </w:rPr>
        <w:t xml:space="preserve"> </w:t>
      </w:r>
      <w:r w:rsidRPr="00D76279">
        <w:rPr>
          <w:szCs w:val="22"/>
        </w:rPr>
        <w:t xml:space="preserve">5 ml: 5 ml </w:t>
      </w:r>
      <w:r w:rsidR="00E774C5" w:rsidRPr="00D76279">
        <w:rPr>
          <w:szCs w:val="22"/>
        </w:rPr>
        <w:t xml:space="preserve">ampulka </w:t>
      </w:r>
      <w:r w:rsidR="00E774C5">
        <w:rPr>
          <w:szCs w:val="22"/>
        </w:rPr>
        <w:t xml:space="preserve">jantárovej farby </w:t>
      </w:r>
      <w:r w:rsidRPr="00D76279">
        <w:rPr>
          <w:szCs w:val="22"/>
        </w:rPr>
        <w:t>s</w:t>
      </w:r>
      <w:r w:rsidR="00B843C6" w:rsidRPr="00D76279">
        <w:rPr>
          <w:szCs w:val="22"/>
        </w:rPr>
        <w:t xml:space="preserve"> </w:t>
      </w:r>
      <w:r w:rsidRPr="00D76279">
        <w:rPr>
          <w:szCs w:val="22"/>
        </w:rPr>
        <w:t>bielym viečkom a</w:t>
      </w:r>
      <w:r w:rsidR="00B843C6" w:rsidRPr="00D76279">
        <w:rPr>
          <w:szCs w:val="22"/>
        </w:rPr>
        <w:t xml:space="preserve"> </w:t>
      </w:r>
      <w:r w:rsidRPr="00D76279">
        <w:rPr>
          <w:szCs w:val="22"/>
        </w:rPr>
        <w:t>bielym krúžkom s</w:t>
      </w:r>
      <w:r w:rsidR="00B843C6" w:rsidRPr="00D76279">
        <w:rPr>
          <w:szCs w:val="22"/>
        </w:rPr>
        <w:t xml:space="preserve"> </w:t>
      </w:r>
      <w:r w:rsidRPr="00D76279">
        <w:rPr>
          <w:szCs w:val="22"/>
        </w:rPr>
        <w:t>obsahom 5</w:t>
      </w:r>
      <w:r w:rsidR="00B843C6" w:rsidRPr="00D76279">
        <w:rPr>
          <w:szCs w:val="22"/>
        </w:rPr>
        <w:t> </w:t>
      </w:r>
      <w:r w:rsidRPr="00D76279">
        <w:rPr>
          <w:szCs w:val="22"/>
        </w:rPr>
        <w:t>ml roztoku.</w:t>
      </w:r>
    </w:p>
    <w:p w14:paraId="230CC34E" w14:textId="77777777" w:rsidR="00F920D0" w:rsidRDefault="00F920D0" w:rsidP="00181044">
      <w:pPr>
        <w:rPr>
          <w:sz w:val="22"/>
          <w:szCs w:val="22"/>
        </w:rPr>
      </w:pPr>
    </w:p>
    <w:p w14:paraId="319B01E8" w14:textId="77777777" w:rsidR="00C8670A" w:rsidRDefault="006C4808" w:rsidP="00181044">
      <w:pPr>
        <w:rPr>
          <w:sz w:val="22"/>
          <w:szCs w:val="22"/>
        </w:rPr>
      </w:pPr>
      <w:r w:rsidRPr="00D76279">
        <w:rPr>
          <w:sz w:val="22"/>
          <w:szCs w:val="22"/>
        </w:rPr>
        <w:t xml:space="preserve">Veľkosti balenia: </w:t>
      </w:r>
    </w:p>
    <w:p w14:paraId="676D0600" w14:textId="04E30621" w:rsidR="00B843C6" w:rsidRPr="00D76279" w:rsidRDefault="00C029F5" w:rsidP="00181044">
      <w:pPr>
        <w:rPr>
          <w:color w:val="000000"/>
          <w:sz w:val="22"/>
          <w:szCs w:val="22"/>
        </w:rPr>
      </w:pPr>
      <w:r>
        <w:rPr>
          <w:sz w:val="22"/>
          <w:szCs w:val="22"/>
        </w:rPr>
        <w:t xml:space="preserve">5, </w:t>
      </w:r>
      <w:r w:rsidR="00B843C6" w:rsidRPr="00D76279">
        <w:rPr>
          <w:sz w:val="22"/>
          <w:szCs w:val="22"/>
        </w:rPr>
        <w:t>10 x 2 ml ampulky</w:t>
      </w:r>
    </w:p>
    <w:p w14:paraId="5C8C0C2F" w14:textId="146EE261" w:rsidR="00B843C6" w:rsidRPr="00D76279" w:rsidRDefault="00B843C6" w:rsidP="00181044">
      <w:pPr>
        <w:rPr>
          <w:color w:val="000000"/>
          <w:sz w:val="22"/>
          <w:szCs w:val="22"/>
        </w:rPr>
      </w:pPr>
      <w:r w:rsidRPr="00D76279">
        <w:rPr>
          <w:sz w:val="22"/>
          <w:szCs w:val="22"/>
        </w:rPr>
        <w:t xml:space="preserve">1, 5, 10 x </w:t>
      </w:r>
      <w:r w:rsidR="00C029F5">
        <w:rPr>
          <w:sz w:val="22"/>
          <w:szCs w:val="22"/>
        </w:rPr>
        <w:t>4</w:t>
      </w:r>
      <w:r w:rsidRPr="00D76279">
        <w:rPr>
          <w:sz w:val="22"/>
          <w:szCs w:val="22"/>
        </w:rPr>
        <w:t xml:space="preserve"> ml ampulky</w:t>
      </w:r>
    </w:p>
    <w:p w14:paraId="3DCB2838" w14:textId="7CEF542A" w:rsidR="008B5439" w:rsidRPr="0014336F" w:rsidRDefault="00C029F5" w:rsidP="00181044">
      <w:pPr>
        <w:rPr>
          <w:color w:val="000000"/>
          <w:sz w:val="22"/>
          <w:szCs w:val="22"/>
        </w:rPr>
      </w:pPr>
      <w:r>
        <w:rPr>
          <w:sz w:val="22"/>
          <w:szCs w:val="22"/>
        </w:rPr>
        <w:t>5,</w:t>
      </w:r>
      <w:r w:rsidR="00C51036">
        <w:rPr>
          <w:sz w:val="22"/>
          <w:szCs w:val="22"/>
        </w:rPr>
        <w:t xml:space="preserve"> </w:t>
      </w:r>
      <w:r w:rsidRPr="0014336F">
        <w:rPr>
          <w:sz w:val="22"/>
          <w:szCs w:val="22"/>
        </w:rPr>
        <w:t>10 x 5 ml ampulky</w:t>
      </w:r>
    </w:p>
    <w:p w14:paraId="69ED6D57" w14:textId="77777777" w:rsidR="00B843C6" w:rsidRPr="00D76279" w:rsidRDefault="00B843C6" w:rsidP="00181044">
      <w:pPr>
        <w:rPr>
          <w:sz w:val="22"/>
          <w:szCs w:val="22"/>
        </w:rPr>
      </w:pPr>
    </w:p>
    <w:p w14:paraId="149F01A1" w14:textId="64A1208D" w:rsidR="00C8670A" w:rsidRDefault="008B5439" w:rsidP="00181044">
      <w:pPr>
        <w:pStyle w:val="Zarkazkladnhotextu3"/>
        <w:ind w:left="0" w:firstLine="0"/>
        <w:rPr>
          <w:sz w:val="22"/>
          <w:szCs w:val="22"/>
        </w:rPr>
      </w:pPr>
      <w:r>
        <w:rPr>
          <w:sz w:val="22"/>
          <w:szCs w:val="22"/>
        </w:rPr>
        <w:t>Na trh nemusia byť uvedené všetky veľkosti balenia</w:t>
      </w:r>
      <w:r w:rsidR="00B843C6" w:rsidRPr="00D76279">
        <w:rPr>
          <w:sz w:val="22"/>
          <w:szCs w:val="22"/>
        </w:rPr>
        <w:t>.</w:t>
      </w:r>
    </w:p>
    <w:p w14:paraId="330E439F" w14:textId="77777777" w:rsidR="00C8670A" w:rsidRDefault="00C8670A" w:rsidP="00C029F5">
      <w:pPr>
        <w:pStyle w:val="Normlnysozarkami"/>
        <w:spacing w:after="0"/>
        <w:rPr>
          <w:szCs w:val="22"/>
        </w:rPr>
      </w:pPr>
    </w:p>
    <w:p w14:paraId="45450533" w14:textId="09642BDF" w:rsidR="00C8670A" w:rsidRDefault="006C4808" w:rsidP="00C029F5">
      <w:pPr>
        <w:pStyle w:val="Nadpis2"/>
        <w:spacing w:before="0" w:after="0"/>
        <w:rPr>
          <w:sz w:val="22"/>
          <w:szCs w:val="22"/>
        </w:rPr>
      </w:pPr>
      <w:r w:rsidRPr="00D76279">
        <w:rPr>
          <w:sz w:val="22"/>
          <w:szCs w:val="22"/>
        </w:rPr>
        <w:t>6.6</w:t>
      </w:r>
      <w:r w:rsidR="009E7D04">
        <w:rPr>
          <w:sz w:val="22"/>
          <w:szCs w:val="22"/>
        </w:rPr>
        <w:tab/>
      </w:r>
      <w:r w:rsidRPr="00D76279">
        <w:rPr>
          <w:sz w:val="22"/>
          <w:szCs w:val="22"/>
        </w:rPr>
        <w:t xml:space="preserve">Špeciálne </w:t>
      </w:r>
      <w:r w:rsidR="009E7D04" w:rsidRPr="00181044">
        <w:rPr>
          <w:sz w:val="22"/>
          <w:szCs w:val="22"/>
        </w:rPr>
        <w:t>opatrenia</w:t>
      </w:r>
      <w:r w:rsidRPr="009E7D04">
        <w:rPr>
          <w:sz w:val="22"/>
          <w:szCs w:val="22"/>
        </w:rPr>
        <w:t xml:space="preserve"> </w:t>
      </w:r>
      <w:r w:rsidRPr="00D76279">
        <w:rPr>
          <w:sz w:val="22"/>
          <w:szCs w:val="22"/>
        </w:rPr>
        <w:t>na likvidáciu a</w:t>
      </w:r>
      <w:r w:rsidR="00B843C6" w:rsidRPr="00D76279">
        <w:rPr>
          <w:sz w:val="22"/>
          <w:szCs w:val="22"/>
        </w:rPr>
        <w:t xml:space="preserve"> </w:t>
      </w:r>
      <w:r w:rsidRPr="00D76279">
        <w:rPr>
          <w:sz w:val="22"/>
          <w:szCs w:val="22"/>
        </w:rPr>
        <w:t>iné zaobchádzanie s liekom</w:t>
      </w:r>
    </w:p>
    <w:p w14:paraId="10842AEB" w14:textId="77777777" w:rsidR="00C029F5" w:rsidRPr="00D76279" w:rsidRDefault="00C029F5" w:rsidP="0038008B">
      <w:pPr>
        <w:jc w:val="both"/>
        <w:rPr>
          <w:b/>
          <w:sz w:val="22"/>
          <w:szCs w:val="22"/>
        </w:rPr>
      </w:pPr>
    </w:p>
    <w:p w14:paraId="1127C7D3" w14:textId="318C9D4F" w:rsidR="00B843C6" w:rsidRPr="00D76279" w:rsidRDefault="008B5439" w:rsidP="0029131D">
      <w:pPr>
        <w:pStyle w:val="Default"/>
        <w:rPr>
          <w:sz w:val="22"/>
          <w:szCs w:val="22"/>
        </w:rPr>
      </w:pPr>
      <w:r>
        <w:rPr>
          <w:sz w:val="22"/>
          <w:szCs w:val="22"/>
        </w:rPr>
        <w:t>I</w:t>
      </w:r>
      <w:r w:rsidR="00B843C6" w:rsidRPr="00D76279">
        <w:rPr>
          <w:sz w:val="22"/>
          <w:szCs w:val="22"/>
        </w:rPr>
        <w:t xml:space="preserve">njekcia </w:t>
      </w:r>
      <w:r>
        <w:rPr>
          <w:sz w:val="22"/>
          <w:szCs w:val="22"/>
        </w:rPr>
        <w:t xml:space="preserve">furosemidu </w:t>
      </w:r>
      <w:r w:rsidR="00B843C6" w:rsidRPr="00D76279">
        <w:rPr>
          <w:sz w:val="22"/>
          <w:szCs w:val="22"/>
        </w:rPr>
        <w:t>zriedená na 1 mg/ml je kompatibilná s</w:t>
      </w:r>
      <w:r>
        <w:rPr>
          <w:sz w:val="22"/>
          <w:szCs w:val="22"/>
        </w:rPr>
        <w:t xml:space="preserve"> infúznym roztokom </w:t>
      </w:r>
      <w:r w:rsidR="00B843C6" w:rsidRPr="00D76279">
        <w:rPr>
          <w:sz w:val="22"/>
          <w:szCs w:val="22"/>
        </w:rPr>
        <w:t xml:space="preserve">0,9 % </w:t>
      </w:r>
      <w:r>
        <w:rPr>
          <w:sz w:val="22"/>
          <w:szCs w:val="22"/>
        </w:rPr>
        <w:t>chloridu sodného</w:t>
      </w:r>
      <w:r w:rsidR="00B843C6" w:rsidRPr="00D76279">
        <w:rPr>
          <w:sz w:val="22"/>
          <w:szCs w:val="22"/>
        </w:rPr>
        <w:t xml:space="preserve"> </w:t>
      </w:r>
      <w:r w:rsidR="009E7D04">
        <w:rPr>
          <w:sz w:val="22"/>
          <w:szCs w:val="22"/>
        </w:rPr>
        <w:t>a</w:t>
      </w:r>
      <w:r>
        <w:rPr>
          <w:sz w:val="22"/>
          <w:szCs w:val="22"/>
        </w:rPr>
        <w:t> infúznym zloženým roztokom</w:t>
      </w:r>
      <w:r w:rsidR="009E7D04">
        <w:rPr>
          <w:sz w:val="22"/>
          <w:szCs w:val="22"/>
        </w:rPr>
        <w:t xml:space="preserve"> </w:t>
      </w:r>
      <w:r w:rsidR="00B843C6" w:rsidRPr="00D76279">
        <w:rPr>
          <w:sz w:val="22"/>
          <w:szCs w:val="22"/>
        </w:rPr>
        <w:t>mliečnanu sodného po dobu 24 hodín. Riedenie in</w:t>
      </w:r>
      <w:r w:rsidR="00D52C4B" w:rsidRPr="00D76279">
        <w:rPr>
          <w:sz w:val="22"/>
          <w:szCs w:val="22"/>
        </w:rPr>
        <w:t xml:space="preserve">jekčného </w:t>
      </w:r>
      <w:r w:rsidR="00B843C6" w:rsidRPr="00D76279">
        <w:rPr>
          <w:sz w:val="22"/>
          <w:szCs w:val="22"/>
        </w:rPr>
        <w:t>roztoku sa má vykonať v antiseptických podmienkach.</w:t>
      </w:r>
    </w:p>
    <w:p w14:paraId="3E29A692" w14:textId="77777777" w:rsidR="00B843C6" w:rsidRPr="00D76279" w:rsidRDefault="00B843C6" w:rsidP="0029131D">
      <w:pPr>
        <w:pStyle w:val="Default"/>
        <w:rPr>
          <w:sz w:val="22"/>
          <w:szCs w:val="22"/>
        </w:rPr>
      </w:pPr>
    </w:p>
    <w:p w14:paraId="5EE7FC5D" w14:textId="2A9DB96B" w:rsidR="00B843C6" w:rsidRPr="00D76279" w:rsidRDefault="00B843C6" w:rsidP="0029131D">
      <w:pPr>
        <w:pStyle w:val="Default"/>
        <w:rPr>
          <w:sz w:val="22"/>
          <w:szCs w:val="22"/>
        </w:rPr>
      </w:pPr>
      <w:r w:rsidRPr="00D76279">
        <w:rPr>
          <w:sz w:val="22"/>
          <w:szCs w:val="22"/>
        </w:rPr>
        <w:t xml:space="preserve">Roztok sa má pred podaním vizuálne skontrolovať, či neobsahuje častice a či nezmenil farbu. Roztok sa môže použiť len vtedy, ak je číry a bez častíc. </w:t>
      </w:r>
      <w:r w:rsidR="009E7D04">
        <w:rPr>
          <w:sz w:val="22"/>
          <w:szCs w:val="22"/>
        </w:rPr>
        <w:t>Všetok n</w:t>
      </w:r>
      <w:r w:rsidRPr="00D76279">
        <w:rPr>
          <w:sz w:val="22"/>
          <w:szCs w:val="22"/>
        </w:rPr>
        <w:t>epoužitý liek alebo odpad</w:t>
      </w:r>
      <w:r w:rsidR="009E7D04">
        <w:rPr>
          <w:sz w:val="22"/>
          <w:szCs w:val="22"/>
        </w:rPr>
        <w:t xml:space="preserve"> vzniknutý z lieku sa má</w:t>
      </w:r>
      <w:r w:rsidRPr="00D76279">
        <w:rPr>
          <w:sz w:val="22"/>
          <w:szCs w:val="22"/>
        </w:rPr>
        <w:t xml:space="preserve"> zlikvidova</w:t>
      </w:r>
      <w:r w:rsidR="009E7D04">
        <w:rPr>
          <w:sz w:val="22"/>
          <w:szCs w:val="22"/>
        </w:rPr>
        <w:t>ť</w:t>
      </w:r>
      <w:r w:rsidRPr="00D76279">
        <w:rPr>
          <w:sz w:val="22"/>
          <w:szCs w:val="22"/>
        </w:rPr>
        <w:t xml:space="preserve"> v súlade s </w:t>
      </w:r>
      <w:r w:rsidR="009E7D04">
        <w:rPr>
          <w:sz w:val="22"/>
          <w:szCs w:val="22"/>
        </w:rPr>
        <w:t>národným</w:t>
      </w:r>
      <w:r w:rsidRPr="00D76279">
        <w:rPr>
          <w:sz w:val="22"/>
          <w:szCs w:val="22"/>
        </w:rPr>
        <w:t xml:space="preserve">i požiadavkami. Len na jednorazové použitie, po použití zlikvidujte celý zvyšný obsah.  </w:t>
      </w:r>
    </w:p>
    <w:p w14:paraId="04C96703" w14:textId="77777777" w:rsidR="00B843C6" w:rsidRPr="00D76279" w:rsidRDefault="00B843C6" w:rsidP="0029131D">
      <w:pPr>
        <w:pStyle w:val="Default"/>
        <w:rPr>
          <w:sz w:val="22"/>
          <w:szCs w:val="22"/>
        </w:rPr>
      </w:pPr>
    </w:p>
    <w:p w14:paraId="3D818ECB" w14:textId="56B4EB5D" w:rsidR="00B843C6" w:rsidRPr="00D76279" w:rsidRDefault="00B843C6">
      <w:pPr>
        <w:rPr>
          <w:sz w:val="22"/>
          <w:szCs w:val="22"/>
        </w:rPr>
      </w:pPr>
      <w:r w:rsidRPr="00181044">
        <w:rPr>
          <w:sz w:val="22"/>
          <w:szCs w:val="22"/>
        </w:rPr>
        <w:t>Furosemid</w:t>
      </w:r>
      <w:r w:rsidR="00171049" w:rsidRPr="00181044">
        <w:rPr>
          <w:sz w:val="22"/>
          <w:szCs w:val="22"/>
        </w:rPr>
        <w:t xml:space="preserve"> Accord</w:t>
      </w:r>
      <w:r w:rsidRPr="00181044">
        <w:rPr>
          <w:sz w:val="22"/>
          <w:szCs w:val="22"/>
        </w:rPr>
        <w:t xml:space="preserve"> sa nesmie miešať s inými liekmi v jednej</w:t>
      </w:r>
      <w:r w:rsidRPr="00D76279">
        <w:rPr>
          <w:sz w:val="22"/>
          <w:szCs w:val="22"/>
        </w:rPr>
        <w:t xml:space="preserve"> injekčnej </w:t>
      </w:r>
      <w:r w:rsidR="004360DA">
        <w:rPr>
          <w:sz w:val="22"/>
          <w:szCs w:val="22"/>
        </w:rPr>
        <w:t>fľaši</w:t>
      </w:r>
      <w:r w:rsidRPr="00D76279">
        <w:rPr>
          <w:sz w:val="22"/>
          <w:szCs w:val="22"/>
        </w:rPr>
        <w:t>.</w:t>
      </w:r>
    </w:p>
    <w:p w14:paraId="2E4FDE22" w14:textId="77777777" w:rsidR="00B843C6" w:rsidRPr="00D76279" w:rsidRDefault="00B843C6" w:rsidP="00B843C6">
      <w:pPr>
        <w:pStyle w:val="Normlnysozarkami"/>
        <w:spacing w:after="0"/>
        <w:rPr>
          <w:szCs w:val="22"/>
        </w:rPr>
      </w:pPr>
    </w:p>
    <w:p w14:paraId="490996C4" w14:textId="77777777" w:rsidR="00B843C6" w:rsidRPr="00D76279" w:rsidRDefault="00B843C6" w:rsidP="00B843C6">
      <w:pPr>
        <w:rPr>
          <w:sz w:val="22"/>
          <w:szCs w:val="22"/>
        </w:rPr>
      </w:pPr>
    </w:p>
    <w:p w14:paraId="0FE9C3EF" w14:textId="77777777" w:rsidR="00C8670A" w:rsidRDefault="00B843C6" w:rsidP="00C029F5">
      <w:pPr>
        <w:pStyle w:val="Nadpis1"/>
        <w:spacing w:before="0" w:after="0"/>
        <w:rPr>
          <w:sz w:val="22"/>
          <w:szCs w:val="22"/>
        </w:rPr>
      </w:pPr>
      <w:r w:rsidRPr="00D76279">
        <w:rPr>
          <w:sz w:val="22"/>
          <w:szCs w:val="22"/>
        </w:rPr>
        <w:t>7</w:t>
      </w:r>
      <w:r w:rsidRPr="00D76279">
        <w:rPr>
          <w:sz w:val="22"/>
          <w:szCs w:val="22"/>
        </w:rPr>
        <w:tab/>
      </w:r>
      <w:r w:rsidR="006C4808" w:rsidRPr="00D76279">
        <w:rPr>
          <w:sz w:val="22"/>
          <w:szCs w:val="22"/>
        </w:rPr>
        <w:t>DRŽITEĽ ROZHODNUTIA O REGISTRÁCII</w:t>
      </w:r>
    </w:p>
    <w:p w14:paraId="160E5C6D" w14:textId="77777777" w:rsidR="00C029F5" w:rsidRDefault="00C029F5" w:rsidP="00594746">
      <w:pPr>
        <w:tabs>
          <w:tab w:val="num" w:pos="0"/>
        </w:tabs>
        <w:ind w:right="29"/>
        <w:jc w:val="both"/>
        <w:rPr>
          <w:sz w:val="22"/>
          <w:szCs w:val="22"/>
        </w:rPr>
      </w:pPr>
    </w:p>
    <w:p w14:paraId="3FFC88B4" w14:textId="77777777" w:rsidR="00373060" w:rsidRPr="00373060" w:rsidRDefault="00373060" w:rsidP="00181044">
      <w:pPr>
        <w:rPr>
          <w:sz w:val="22"/>
          <w:szCs w:val="22"/>
        </w:rPr>
      </w:pPr>
      <w:r w:rsidRPr="00373060">
        <w:rPr>
          <w:sz w:val="22"/>
          <w:szCs w:val="22"/>
        </w:rPr>
        <w:t>Accord Healthcare Polska Sp. z o.o.</w:t>
      </w:r>
    </w:p>
    <w:p w14:paraId="561549B1" w14:textId="77777777" w:rsidR="00373060" w:rsidRPr="00373060" w:rsidRDefault="00373060" w:rsidP="00181044">
      <w:pPr>
        <w:rPr>
          <w:sz w:val="22"/>
          <w:szCs w:val="22"/>
        </w:rPr>
      </w:pPr>
      <w:r w:rsidRPr="00373060">
        <w:rPr>
          <w:sz w:val="22"/>
          <w:szCs w:val="22"/>
        </w:rPr>
        <w:t>Taśmowa 7</w:t>
      </w:r>
    </w:p>
    <w:p w14:paraId="09B8DF26" w14:textId="77777777" w:rsidR="00373060" w:rsidRPr="00373060" w:rsidRDefault="00373060" w:rsidP="00181044">
      <w:pPr>
        <w:rPr>
          <w:sz w:val="22"/>
          <w:szCs w:val="22"/>
        </w:rPr>
      </w:pPr>
      <w:r w:rsidRPr="00373060">
        <w:rPr>
          <w:sz w:val="22"/>
          <w:szCs w:val="22"/>
        </w:rPr>
        <w:lastRenderedPageBreak/>
        <w:t>02-677 Varšava</w:t>
      </w:r>
    </w:p>
    <w:p w14:paraId="04345547" w14:textId="76BF82A5" w:rsidR="00594746" w:rsidRPr="00D76279" w:rsidRDefault="00373060" w:rsidP="00181044">
      <w:pPr>
        <w:rPr>
          <w:color w:val="000000"/>
          <w:sz w:val="22"/>
          <w:szCs w:val="22"/>
        </w:rPr>
      </w:pPr>
      <w:r w:rsidRPr="00373060">
        <w:rPr>
          <w:sz w:val="22"/>
          <w:szCs w:val="22"/>
        </w:rPr>
        <w:t>Poľsko</w:t>
      </w:r>
    </w:p>
    <w:p w14:paraId="66B82A54" w14:textId="77777777" w:rsidR="00594746" w:rsidRPr="00D76279" w:rsidRDefault="00594746" w:rsidP="00594746">
      <w:pPr>
        <w:jc w:val="both"/>
        <w:rPr>
          <w:b/>
          <w:sz w:val="22"/>
          <w:szCs w:val="22"/>
        </w:rPr>
      </w:pPr>
    </w:p>
    <w:p w14:paraId="423CD8CB" w14:textId="77777777" w:rsidR="00594746" w:rsidRPr="00D76279" w:rsidRDefault="00594746" w:rsidP="00594746">
      <w:pPr>
        <w:jc w:val="both"/>
        <w:rPr>
          <w:b/>
          <w:sz w:val="22"/>
          <w:szCs w:val="22"/>
        </w:rPr>
      </w:pPr>
    </w:p>
    <w:p w14:paraId="3355BC63" w14:textId="2C03FDA9" w:rsidR="00C8670A" w:rsidRDefault="00A330E8" w:rsidP="00C029F5">
      <w:pPr>
        <w:pStyle w:val="Nadpis1"/>
        <w:spacing w:before="0" w:after="0"/>
        <w:rPr>
          <w:sz w:val="22"/>
          <w:szCs w:val="22"/>
        </w:rPr>
      </w:pPr>
      <w:r>
        <w:rPr>
          <w:sz w:val="22"/>
          <w:szCs w:val="22"/>
        </w:rPr>
        <w:t>8.</w:t>
      </w:r>
      <w:r w:rsidR="004779B2">
        <w:rPr>
          <w:sz w:val="22"/>
          <w:szCs w:val="22"/>
        </w:rPr>
        <w:tab/>
      </w:r>
      <w:r w:rsidR="006C4808" w:rsidRPr="00D76279">
        <w:rPr>
          <w:sz w:val="22"/>
          <w:szCs w:val="22"/>
        </w:rPr>
        <w:t>REGISTRAČNÉ ČÍSLO</w:t>
      </w:r>
    </w:p>
    <w:p w14:paraId="7B28F73B" w14:textId="77777777" w:rsidR="00223C5D" w:rsidRPr="00D76279" w:rsidRDefault="00223C5D" w:rsidP="0038008B">
      <w:pPr>
        <w:jc w:val="both"/>
        <w:rPr>
          <w:sz w:val="22"/>
          <w:szCs w:val="22"/>
        </w:rPr>
      </w:pPr>
    </w:p>
    <w:p w14:paraId="6DA18765" w14:textId="77777777" w:rsidR="00602DEC" w:rsidRPr="00D76279" w:rsidRDefault="00223C5D" w:rsidP="00181044">
      <w:pPr>
        <w:jc w:val="both"/>
        <w:rPr>
          <w:sz w:val="22"/>
          <w:szCs w:val="22"/>
        </w:rPr>
      </w:pPr>
      <w:r w:rsidRPr="00D76279">
        <w:rPr>
          <w:sz w:val="22"/>
          <w:szCs w:val="22"/>
        </w:rPr>
        <w:t>50/0469/15-S</w:t>
      </w:r>
    </w:p>
    <w:p w14:paraId="68D41C5C" w14:textId="77777777" w:rsidR="00B51FF0" w:rsidRDefault="00B51FF0" w:rsidP="0038008B">
      <w:pPr>
        <w:jc w:val="both"/>
        <w:rPr>
          <w:sz w:val="22"/>
          <w:szCs w:val="22"/>
        </w:rPr>
      </w:pPr>
    </w:p>
    <w:p w14:paraId="2C50DA34" w14:textId="77777777" w:rsidR="000007FF" w:rsidRPr="00D76279" w:rsidRDefault="000007FF" w:rsidP="0038008B">
      <w:pPr>
        <w:jc w:val="both"/>
        <w:rPr>
          <w:sz w:val="22"/>
          <w:szCs w:val="22"/>
        </w:rPr>
      </w:pPr>
    </w:p>
    <w:p w14:paraId="34CFBC22" w14:textId="65BDD6C7" w:rsidR="00C8670A" w:rsidRDefault="00A330E8" w:rsidP="00C029F5">
      <w:pPr>
        <w:pStyle w:val="Nadpis1"/>
        <w:spacing w:before="0" w:after="0"/>
        <w:ind w:left="720" w:hanging="720"/>
        <w:rPr>
          <w:sz w:val="22"/>
          <w:szCs w:val="22"/>
        </w:rPr>
      </w:pPr>
      <w:r w:rsidRPr="00181044">
        <w:rPr>
          <w:sz w:val="22"/>
          <w:szCs w:val="22"/>
        </w:rPr>
        <w:t>9.</w:t>
      </w:r>
      <w:r w:rsidR="004779B2" w:rsidRPr="00181044">
        <w:rPr>
          <w:sz w:val="22"/>
          <w:szCs w:val="22"/>
        </w:rPr>
        <w:tab/>
      </w:r>
      <w:r w:rsidR="006C4808" w:rsidRPr="00181044">
        <w:rPr>
          <w:sz w:val="22"/>
          <w:szCs w:val="22"/>
        </w:rPr>
        <w:t xml:space="preserve">DÁTUM </w:t>
      </w:r>
      <w:r w:rsidR="00A64D7E" w:rsidRPr="00181044">
        <w:rPr>
          <w:sz w:val="22"/>
          <w:szCs w:val="22"/>
        </w:rPr>
        <w:t xml:space="preserve">PRVEJ </w:t>
      </w:r>
      <w:r w:rsidR="006C4808" w:rsidRPr="00181044">
        <w:rPr>
          <w:sz w:val="22"/>
          <w:szCs w:val="22"/>
        </w:rPr>
        <w:t>REGISTRÁCIE</w:t>
      </w:r>
      <w:r w:rsidR="004779B2" w:rsidRPr="00181044">
        <w:rPr>
          <w:sz w:val="22"/>
          <w:szCs w:val="22"/>
        </w:rPr>
        <w:t>/PREDĹŽENIA REGISTRÁCIE</w:t>
      </w:r>
    </w:p>
    <w:p w14:paraId="20712385" w14:textId="77777777" w:rsidR="00223C5D" w:rsidRPr="00D76279" w:rsidRDefault="00223C5D" w:rsidP="0038008B">
      <w:pPr>
        <w:jc w:val="both"/>
        <w:rPr>
          <w:sz w:val="22"/>
          <w:szCs w:val="22"/>
        </w:rPr>
      </w:pPr>
    </w:p>
    <w:p w14:paraId="2F6C5D84" w14:textId="546CB158" w:rsidR="00B51FF0" w:rsidRPr="00D76279" w:rsidRDefault="008B5439" w:rsidP="00181044">
      <w:pPr>
        <w:jc w:val="both"/>
        <w:rPr>
          <w:sz w:val="22"/>
          <w:szCs w:val="22"/>
        </w:rPr>
      </w:pPr>
      <w:r>
        <w:rPr>
          <w:sz w:val="22"/>
          <w:szCs w:val="22"/>
        </w:rPr>
        <w:t xml:space="preserve">Dátum prvej registrácie: </w:t>
      </w:r>
      <w:r w:rsidR="005C12F3" w:rsidRPr="00D76279">
        <w:rPr>
          <w:sz w:val="22"/>
          <w:szCs w:val="22"/>
        </w:rPr>
        <w:t>12.11.2015</w:t>
      </w:r>
    </w:p>
    <w:p w14:paraId="6B4C4D45" w14:textId="77777777" w:rsidR="006563A2" w:rsidRDefault="006563A2" w:rsidP="0038008B">
      <w:pPr>
        <w:jc w:val="both"/>
        <w:rPr>
          <w:b/>
          <w:sz w:val="22"/>
          <w:szCs w:val="22"/>
        </w:rPr>
      </w:pPr>
    </w:p>
    <w:p w14:paraId="693D325F" w14:textId="77777777" w:rsidR="000007FF" w:rsidRPr="00D76279" w:rsidRDefault="000007FF" w:rsidP="0038008B">
      <w:pPr>
        <w:jc w:val="both"/>
        <w:rPr>
          <w:b/>
          <w:sz w:val="22"/>
          <w:szCs w:val="22"/>
        </w:rPr>
      </w:pPr>
    </w:p>
    <w:p w14:paraId="6BC24C56" w14:textId="064CFC2D" w:rsidR="00C8670A" w:rsidRDefault="00A330E8" w:rsidP="00C029F5">
      <w:pPr>
        <w:pStyle w:val="Nadpis1"/>
        <w:spacing w:before="0" w:after="0"/>
        <w:rPr>
          <w:sz w:val="22"/>
          <w:szCs w:val="22"/>
        </w:rPr>
      </w:pPr>
      <w:r>
        <w:rPr>
          <w:sz w:val="22"/>
          <w:szCs w:val="22"/>
        </w:rPr>
        <w:t>10.</w:t>
      </w:r>
      <w:r w:rsidR="004779B2">
        <w:rPr>
          <w:sz w:val="22"/>
          <w:szCs w:val="22"/>
        </w:rPr>
        <w:tab/>
      </w:r>
      <w:r w:rsidR="006C4808" w:rsidRPr="00D76279">
        <w:rPr>
          <w:sz w:val="22"/>
          <w:szCs w:val="22"/>
        </w:rPr>
        <w:t>DÁTUM REVÍZIE TEXTU</w:t>
      </w:r>
    </w:p>
    <w:p w14:paraId="17F779AE" w14:textId="5273071D" w:rsidR="00373060" w:rsidRDefault="00373060" w:rsidP="00C029F5">
      <w:pPr>
        <w:rPr>
          <w:sz w:val="22"/>
          <w:szCs w:val="22"/>
        </w:rPr>
      </w:pPr>
    </w:p>
    <w:p w14:paraId="6B227CFE" w14:textId="18114913" w:rsidR="006D29B5" w:rsidRDefault="00C51036" w:rsidP="00C029F5">
      <w:pPr>
        <w:rPr>
          <w:sz w:val="22"/>
          <w:szCs w:val="22"/>
        </w:rPr>
      </w:pPr>
      <w:r>
        <w:rPr>
          <w:sz w:val="22"/>
          <w:szCs w:val="22"/>
        </w:rPr>
        <w:t>Marec</w:t>
      </w:r>
      <w:r w:rsidR="00C77981">
        <w:rPr>
          <w:sz w:val="22"/>
          <w:szCs w:val="22"/>
        </w:rPr>
        <w:t xml:space="preserve"> 2019</w:t>
      </w:r>
    </w:p>
    <w:sectPr w:rsidR="006D29B5" w:rsidSect="00181044">
      <w:headerReference w:type="default" r:id="rId9"/>
      <w:footerReference w:type="default" r:id="rId10"/>
      <w:pgSz w:w="11906" w:h="16838"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12220" w14:textId="77777777" w:rsidR="006E599E" w:rsidRDefault="006E599E" w:rsidP="00B843C6">
      <w:r>
        <w:separator/>
      </w:r>
    </w:p>
  </w:endnote>
  <w:endnote w:type="continuationSeparator" w:id="0">
    <w:p w14:paraId="0443712A" w14:textId="77777777" w:rsidR="006E599E" w:rsidRDefault="006E599E" w:rsidP="00B8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319408"/>
      <w:docPartObj>
        <w:docPartGallery w:val="Page Numbers (Bottom of Page)"/>
        <w:docPartUnique/>
      </w:docPartObj>
    </w:sdtPr>
    <w:sdtEndPr>
      <w:rPr>
        <w:sz w:val="18"/>
        <w:szCs w:val="18"/>
      </w:rPr>
    </w:sdtEndPr>
    <w:sdtContent>
      <w:p w14:paraId="276EEBA2" w14:textId="77777777" w:rsidR="00C51036" w:rsidRPr="00181044" w:rsidRDefault="00C51036">
        <w:pPr>
          <w:pStyle w:val="Pta"/>
          <w:jc w:val="center"/>
          <w:rPr>
            <w:sz w:val="18"/>
            <w:szCs w:val="18"/>
          </w:rPr>
        </w:pPr>
        <w:r w:rsidRPr="00181044">
          <w:rPr>
            <w:sz w:val="18"/>
            <w:szCs w:val="18"/>
          </w:rPr>
          <w:fldChar w:fldCharType="begin"/>
        </w:r>
        <w:r w:rsidRPr="00181044">
          <w:rPr>
            <w:sz w:val="18"/>
            <w:szCs w:val="18"/>
          </w:rPr>
          <w:instrText>PAGE   \* MERGEFORMAT</w:instrText>
        </w:r>
        <w:r w:rsidRPr="00181044">
          <w:rPr>
            <w:sz w:val="18"/>
            <w:szCs w:val="18"/>
          </w:rPr>
          <w:fldChar w:fldCharType="separate"/>
        </w:r>
        <w:r w:rsidR="00640DDA">
          <w:rPr>
            <w:noProof/>
            <w:sz w:val="18"/>
            <w:szCs w:val="18"/>
          </w:rPr>
          <w:t>11</w:t>
        </w:r>
        <w:r w:rsidRPr="00181044">
          <w:rPr>
            <w:sz w:val="18"/>
            <w:szCs w:val="18"/>
          </w:rPr>
          <w:fldChar w:fldCharType="end"/>
        </w:r>
      </w:p>
    </w:sdtContent>
  </w:sdt>
  <w:p w14:paraId="65526DB5" w14:textId="77777777" w:rsidR="00C51036" w:rsidRDefault="00C510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95D3" w14:textId="77777777" w:rsidR="006E599E" w:rsidRDefault="006E599E" w:rsidP="00B843C6">
      <w:r>
        <w:separator/>
      </w:r>
    </w:p>
  </w:footnote>
  <w:footnote w:type="continuationSeparator" w:id="0">
    <w:p w14:paraId="229AB85B" w14:textId="77777777" w:rsidR="006E599E" w:rsidRDefault="006E599E" w:rsidP="00B8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CD86" w14:textId="6A2D0D41" w:rsidR="00C51036" w:rsidRPr="00DE5D9B" w:rsidRDefault="00C51036" w:rsidP="000007FF">
    <w:pPr>
      <w:pStyle w:val="Hlavika"/>
      <w:rPr>
        <w:sz w:val="18"/>
        <w:szCs w:val="18"/>
        <w:lang w:eastAsia="ar-SA"/>
      </w:rPr>
    </w:pPr>
    <w:r w:rsidRPr="00DE5D9B">
      <w:rPr>
        <w:sz w:val="18"/>
        <w:szCs w:val="18"/>
      </w:rPr>
      <w:t xml:space="preserve">Schválený text k rozhodnutiu o prevode, ev. č.: </w:t>
    </w:r>
    <w:r>
      <w:rPr>
        <w:sz w:val="18"/>
        <w:szCs w:val="18"/>
      </w:rPr>
      <w:t>2018/08253-TR</w:t>
    </w:r>
  </w:p>
  <w:p w14:paraId="5A09686B" w14:textId="1F7D5F1B" w:rsidR="00C51036" w:rsidRPr="00DE5D9B" w:rsidRDefault="00C51036" w:rsidP="000007FF">
    <w:pPr>
      <w:pStyle w:val="Hlavika"/>
      <w:rPr>
        <w:sz w:val="18"/>
        <w:szCs w:val="18"/>
        <w:lang w:eastAsia="ar-SA"/>
      </w:rPr>
    </w:pPr>
    <w:r w:rsidRPr="00DE5D9B">
      <w:rPr>
        <w:sz w:val="18"/>
        <w:szCs w:val="18"/>
      </w:rPr>
      <w:t>Schválený text k rozhodnutiu o</w:t>
    </w:r>
    <w:r>
      <w:rPr>
        <w:sz w:val="18"/>
        <w:szCs w:val="18"/>
      </w:rPr>
      <w:t xml:space="preserve"> zmene</w:t>
    </w:r>
    <w:r w:rsidRPr="00DE5D9B">
      <w:rPr>
        <w:sz w:val="18"/>
        <w:szCs w:val="18"/>
      </w:rPr>
      <w:t xml:space="preserve">, ev. č.: </w:t>
    </w:r>
    <w:r>
      <w:rPr>
        <w:sz w:val="18"/>
        <w:szCs w:val="18"/>
      </w:rPr>
      <w:t>2015/05337-ZME</w:t>
    </w:r>
  </w:p>
  <w:p w14:paraId="35F7A970" w14:textId="48301F58" w:rsidR="00C51036" w:rsidRDefault="00C51036" w:rsidP="000007FF">
    <w:pPr>
      <w:pStyle w:val="Hlavika"/>
      <w:rPr>
        <w:sz w:val="18"/>
        <w:szCs w:val="18"/>
      </w:rPr>
    </w:pPr>
    <w:r w:rsidRPr="00DE5D9B">
      <w:rPr>
        <w:sz w:val="18"/>
        <w:szCs w:val="18"/>
      </w:rPr>
      <w:t xml:space="preserve">Príloha č. </w:t>
    </w:r>
    <w:r>
      <w:rPr>
        <w:sz w:val="18"/>
        <w:szCs w:val="18"/>
      </w:rPr>
      <w:t>2</w:t>
    </w:r>
    <w:r w:rsidRPr="00DE5D9B">
      <w:rPr>
        <w:sz w:val="18"/>
        <w:szCs w:val="18"/>
      </w:rPr>
      <w:t xml:space="preserve"> k notifikácii o zmene, ev. č.: </w:t>
    </w:r>
    <w:r>
      <w:rPr>
        <w:sz w:val="18"/>
        <w:szCs w:val="18"/>
      </w:rPr>
      <w:t>2016/04608-Z1A</w:t>
    </w:r>
  </w:p>
  <w:p w14:paraId="0FED39CA" w14:textId="77777777" w:rsidR="00C51036" w:rsidRDefault="00C51036" w:rsidP="000007F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1F93D1"/>
    <w:multiLevelType w:val="hybridMultilevel"/>
    <w:tmpl w:val="957908F1"/>
    <w:lvl w:ilvl="0" w:tplc="FEF47916">
      <w:start w:val="1"/>
      <w:numFmt w:val="decimal"/>
      <w:lvlText w:val=""/>
      <w:lvlJc w:val="left"/>
    </w:lvl>
    <w:lvl w:ilvl="1" w:tplc="E53CDA74">
      <w:numFmt w:val="decimal"/>
      <w:lvlText w:val=""/>
      <w:lvlJc w:val="left"/>
    </w:lvl>
    <w:lvl w:ilvl="2" w:tplc="0E3EC90A">
      <w:numFmt w:val="decimal"/>
      <w:lvlText w:val=""/>
      <w:lvlJc w:val="left"/>
    </w:lvl>
    <w:lvl w:ilvl="3" w:tplc="00FE5488">
      <w:numFmt w:val="decimal"/>
      <w:lvlText w:val=""/>
      <w:lvlJc w:val="left"/>
    </w:lvl>
    <w:lvl w:ilvl="4" w:tplc="6B8EADE4">
      <w:numFmt w:val="decimal"/>
      <w:lvlText w:val=""/>
      <w:lvlJc w:val="left"/>
    </w:lvl>
    <w:lvl w:ilvl="5" w:tplc="B91E625C">
      <w:numFmt w:val="decimal"/>
      <w:lvlText w:val=""/>
      <w:lvlJc w:val="left"/>
    </w:lvl>
    <w:lvl w:ilvl="6" w:tplc="FF480DE2">
      <w:numFmt w:val="decimal"/>
      <w:lvlText w:val=""/>
      <w:lvlJc w:val="left"/>
    </w:lvl>
    <w:lvl w:ilvl="7" w:tplc="F392ED48">
      <w:numFmt w:val="decimal"/>
      <w:lvlText w:val=""/>
      <w:lvlJc w:val="left"/>
    </w:lvl>
    <w:lvl w:ilvl="8" w:tplc="68421D8A">
      <w:numFmt w:val="decimal"/>
      <w:lvlText w:val=""/>
      <w:lvlJc w:val="left"/>
    </w:lvl>
  </w:abstractNum>
  <w:abstractNum w:abstractNumId="1" w15:restartNumberingAfterBreak="0">
    <w:nsid w:val="00000001"/>
    <w:multiLevelType w:val="singleLevel"/>
    <w:tmpl w:val="00000001"/>
    <w:name w:val="WW8Num2"/>
    <w:lvl w:ilvl="0">
      <w:start w:val="1"/>
      <w:numFmt w:val="lowerLetter"/>
      <w:lvlText w:val="%1)"/>
      <w:lvlJc w:val="left"/>
      <w:pPr>
        <w:tabs>
          <w:tab w:val="num" w:pos="720"/>
        </w:tabs>
        <w:ind w:left="720" w:hanging="360"/>
      </w:pPr>
      <w:rPr>
        <w:i/>
      </w:rPr>
    </w:lvl>
  </w:abstractNum>
  <w:abstractNum w:abstractNumId="2" w15:restartNumberingAfterBreak="0">
    <w:nsid w:val="00000002"/>
    <w:multiLevelType w:val="multilevel"/>
    <w:tmpl w:val="00000002"/>
    <w:name w:val="WW8Num11"/>
    <w:lvl w:ilvl="0">
      <w:start w:val="5"/>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A2A15AE"/>
    <w:multiLevelType w:val="hybridMultilevel"/>
    <w:tmpl w:val="B9E29904"/>
    <w:lvl w:ilvl="0" w:tplc="6408ECB0">
      <w:start w:val="1"/>
      <w:numFmt w:val="bullet"/>
      <w:lvlText w:val=""/>
      <w:lvlJc w:val="left"/>
      <w:pPr>
        <w:tabs>
          <w:tab w:val="num" w:pos="720"/>
        </w:tabs>
        <w:ind w:left="720" w:hanging="360"/>
      </w:pPr>
      <w:rPr>
        <w:rFonts w:ascii="Symbol" w:hAnsi="Symbol" w:hint="default"/>
      </w:rPr>
    </w:lvl>
    <w:lvl w:ilvl="1" w:tplc="A3E28672" w:tentative="1">
      <w:start w:val="1"/>
      <w:numFmt w:val="bullet"/>
      <w:lvlText w:val="o"/>
      <w:lvlJc w:val="left"/>
      <w:pPr>
        <w:tabs>
          <w:tab w:val="num" w:pos="1440"/>
        </w:tabs>
        <w:ind w:left="1440" w:hanging="360"/>
      </w:pPr>
      <w:rPr>
        <w:rFonts w:ascii="Courier New" w:hAnsi="Courier New" w:hint="default"/>
      </w:rPr>
    </w:lvl>
    <w:lvl w:ilvl="2" w:tplc="5010F448" w:tentative="1">
      <w:start w:val="1"/>
      <w:numFmt w:val="bullet"/>
      <w:lvlText w:val=""/>
      <w:lvlJc w:val="left"/>
      <w:pPr>
        <w:tabs>
          <w:tab w:val="num" w:pos="2160"/>
        </w:tabs>
        <w:ind w:left="2160" w:hanging="360"/>
      </w:pPr>
      <w:rPr>
        <w:rFonts w:ascii="Wingdings" w:hAnsi="Wingdings" w:hint="default"/>
      </w:rPr>
    </w:lvl>
    <w:lvl w:ilvl="3" w:tplc="19ECC17A" w:tentative="1">
      <w:start w:val="1"/>
      <w:numFmt w:val="bullet"/>
      <w:lvlText w:val=""/>
      <w:lvlJc w:val="left"/>
      <w:pPr>
        <w:tabs>
          <w:tab w:val="num" w:pos="2880"/>
        </w:tabs>
        <w:ind w:left="2880" w:hanging="360"/>
      </w:pPr>
      <w:rPr>
        <w:rFonts w:ascii="Symbol" w:hAnsi="Symbol" w:hint="default"/>
      </w:rPr>
    </w:lvl>
    <w:lvl w:ilvl="4" w:tplc="1F381F54" w:tentative="1">
      <w:start w:val="1"/>
      <w:numFmt w:val="bullet"/>
      <w:lvlText w:val="o"/>
      <w:lvlJc w:val="left"/>
      <w:pPr>
        <w:tabs>
          <w:tab w:val="num" w:pos="3600"/>
        </w:tabs>
        <w:ind w:left="3600" w:hanging="360"/>
      </w:pPr>
      <w:rPr>
        <w:rFonts w:ascii="Courier New" w:hAnsi="Courier New" w:hint="default"/>
      </w:rPr>
    </w:lvl>
    <w:lvl w:ilvl="5" w:tplc="2018A280" w:tentative="1">
      <w:start w:val="1"/>
      <w:numFmt w:val="bullet"/>
      <w:lvlText w:val=""/>
      <w:lvlJc w:val="left"/>
      <w:pPr>
        <w:tabs>
          <w:tab w:val="num" w:pos="4320"/>
        </w:tabs>
        <w:ind w:left="4320" w:hanging="360"/>
      </w:pPr>
      <w:rPr>
        <w:rFonts w:ascii="Wingdings" w:hAnsi="Wingdings" w:hint="default"/>
      </w:rPr>
    </w:lvl>
    <w:lvl w:ilvl="6" w:tplc="7462787A" w:tentative="1">
      <w:start w:val="1"/>
      <w:numFmt w:val="bullet"/>
      <w:lvlText w:val=""/>
      <w:lvlJc w:val="left"/>
      <w:pPr>
        <w:tabs>
          <w:tab w:val="num" w:pos="5040"/>
        </w:tabs>
        <w:ind w:left="5040" w:hanging="360"/>
      </w:pPr>
      <w:rPr>
        <w:rFonts w:ascii="Symbol" w:hAnsi="Symbol" w:hint="default"/>
      </w:rPr>
    </w:lvl>
    <w:lvl w:ilvl="7" w:tplc="3C54EEBA" w:tentative="1">
      <w:start w:val="1"/>
      <w:numFmt w:val="bullet"/>
      <w:lvlText w:val="o"/>
      <w:lvlJc w:val="left"/>
      <w:pPr>
        <w:tabs>
          <w:tab w:val="num" w:pos="5760"/>
        </w:tabs>
        <w:ind w:left="5760" w:hanging="360"/>
      </w:pPr>
      <w:rPr>
        <w:rFonts w:ascii="Courier New" w:hAnsi="Courier New" w:hint="default"/>
      </w:rPr>
    </w:lvl>
    <w:lvl w:ilvl="8" w:tplc="DA08E2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75EEB"/>
    <w:multiLevelType w:val="hybridMultilevel"/>
    <w:tmpl w:val="45B0F19A"/>
    <w:lvl w:ilvl="0" w:tplc="38B62F4A">
      <w:start w:val="1"/>
      <w:numFmt w:val="bullet"/>
      <w:lvlText w:val=""/>
      <w:lvlJc w:val="left"/>
      <w:pPr>
        <w:tabs>
          <w:tab w:val="num" w:pos="1215"/>
        </w:tabs>
        <w:ind w:left="1215" w:hanging="360"/>
      </w:pPr>
      <w:rPr>
        <w:rFonts w:ascii="Symbol" w:hAnsi="Symbol" w:hint="default"/>
      </w:rPr>
    </w:lvl>
    <w:lvl w:ilvl="1" w:tplc="8A9C03B0">
      <w:start w:val="1"/>
      <w:numFmt w:val="decimal"/>
      <w:lvlText w:val="%2."/>
      <w:lvlJc w:val="left"/>
      <w:pPr>
        <w:tabs>
          <w:tab w:val="num" w:pos="1440"/>
        </w:tabs>
        <w:ind w:left="1440" w:hanging="360"/>
      </w:pPr>
    </w:lvl>
    <w:lvl w:ilvl="2" w:tplc="E8443218">
      <w:start w:val="1"/>
      <w:numFmt w:val="decimal"/>
      <w:lvlText w:val="%3."/>
      <w:lvlJc w:val="left"/>
      <w:pPr>
        <w:tabs>
          <w:tab w:val="num" w:pos="2160"/>
        </w:tabs>
        <w:ind w:left="2160" w:hanging="360"/>
      </w:pPr>
    </w:lvl>
    <w:lvl w:ilvl="3" w:tplc="20407DCC">
      <w:start w:val="1"/>
      <w:numFmt w:val="decimal"/>
      <w:lvlText w:val="%4."/>
      <w:lvlJc w:val="left"/>
      <w:pPr>
        <w:tabs>
          <w:tab w:val="num" w:pos="2880"/>
        </w:tabs>
        <w:ind w:left="2880" w:hanging="360"/>
      </w:pPr>
    </w:lvl>
    <w:lvl w:ilvl="4" w:tplc="890297D0">
      <w:start w:val="1"/>
      <w:numFmt w:val="decimal"/>
      <w:lvlText w:val="%5."/>
      <w:lvlJc w:val="left"/>
      <w:pPr>
        <w:tabs>
          <w:tab w:val="num" w:pos="3600"/>
        </w:tabs>
        <w:ind w:left="3600" w:hanging="360"/>
      </w:pPr>
    </w:lvl>
    <w:lvl w:ilvl="5" w:tplc="7C32FF0E">
      <w:start w:val="1"/>
      <w:numFmt w:val="decimal"/>
      <w:lvlText w:val="%6."/>
      <w:lvlJc w:val="left"/>
      <w:pPr>
        <w:tabs>
          <w:tab w:val="num" w:pos="4320"/>
        </w:tabs>
        <w:ind w:left="4320" w:hanging="360"/>
      </w:pPr>
    </w:lvl>
    <w:lvl w:ilvl="6" w:tplc="847022A0">
      <w:start w:val="1"/>
      <w:numFmt w:val="decimal"/>
      <w:lvlText w:val="%7."/>
      <w:lvlJc w:val="left"/>
      <w:pPr>
        <w:tabs>
          <w:tab w:val="num" w:pos="5040"/>
        </w:tabs>
        <w:ind w:left="5040" w:hanging="360"/>
      </w:pPr>
    </w:lvl>
    <w:lvl w:ilvl="7" w:tplc="96188C3A">
      <w:start w:val="1"/>
      <w:numFmt w:val="decimal"/>
      <w:lvlText w:val="%8."/>
      <w:lvlJc w:val="left"/>
      <w:pPr>
        <w:tabs>
          <w:tab w:val="num" w:pos="5760"/>
        </w:tabs>
        <w:ind w:left="5760" w:hanging="360"/>
      </w:pPr>
    </w:lvl>
    <w:lvl w:ilvl="8" w:tplc="FE967134">
      <w:start w:val="1"/>
      <w:numFmt w:val="decimal"/>
      <w:lvlText w:val="%9."/>
      <w:lvlJc w:val="left"/>
      <w:pPr>
        <w:tabs>
          <w:tab w:val="num" w:pos="6480"/>
        </w:tabs>
        <w:ind w:left="6480" w:hanging="360"/>
      </w:pPr>
    </w:lvl>
  </w:abstractNum>
  <w:abstractNum w:abstractNumId="6" w15:restartNumberingAfterBreak="0">
    <w:nsid w:val="123C42B4"/>
    <w:multiLevelType w:val="hybridMultilevel"/>
    <w:tmpl w:val="1CBEE3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C64EA4"/>
    <w:multiLevelType w:val="hybridMultilevel"/>
    <w:tmpl w:val="57863D7A"/>
    <w:lvl w:ilvl="0" w:tplc="CE1202FA">
      <w:numFmt w:val="bullet"/>
      <w:lvlText w:val="-"/>
      <w:lvlJc w:val="left"/>
      <w:pPr>
        <w:ind w:left="720" w:hanging="360"/>
      </w:pPr>
      <w:rPr>
        <w:rFonts w:ascii="Times New Roman" w:eastAsia="Times New Roman" w:hAnsi="Times New Roman" w:cs="Times New Roman" w:hint="default"/>
      </w:rPr>
    </w:lvl>
    <w:lvl w:ilvl="1" w:tplc="7DCEE2F8" w:tentative="1">
      <w:start w:val="1"/>
      <w:numFmt w:val="bullet"/>
      <w:lvlText w:val="o"/>
      <w:lvlJc w:val="left"/>
      <w:pPr>
        <w:ind w:left="1440" w:hanging="360"/>
      </w:pPr>
      <w:rPr>
        <w:rFonts w:ascii="Courier New" w:hAnsi="Courier New" w:cs="Courier New" w:hint="default"/>
      </w:rPr>
    </w:lvl>
    <w:lvl w:ilvl="2" w:tplc="C8CE3536" w:tentative="1">
      <w:start w:val="1"/>
      <w:numFmt w:val="bullet"/>
      <w:lvlText w:val=""/>
      <w:lvlJc w:val="left"/>
      <w:pPr>
        <w:ind w:left="2160" w:hanging="360"/>
      </w:pPr>
      <w:rPr>
        <w:rFonts w:ascii="Wingdings" w:hAnsi="Wingdings" w:hint="default"/>
      </w:rPr>
    </w:lvl>
    <w:lvl w:ilvl="3" w:tplc="C3DA02B0" w:tentative="1">
      <w:start w:val="1"/>
      <w:numFmt w:val="bullet"/>
      <w:lvlText w:val=""/>
      <w:lvlJc w:val="left"/>
      <w:pPr>
        <w:ind w:left="2880" w:hanging="360"/>
      </w:pPr>
      <w:rPr>
        <w:rFonts w:ascii="Symbol" w:hAnsi="Symbol" w:hint="default"/>
      </w:rPr>
    </w:lvl>
    <w:lvl w:ilvl="4" w:tplc="689A68F4" w:tentative="1">
      <w:start w:val="1"/>
      <w:numFmt w:val="bullet"/>
      <w:lvlText w:val="o"/>
      <w:lvlJc w:val="left"/>
      <w:pPr>
        <w:ind w:left="3600" w:hanging="360"/>
      </w:pPr>
      <w:rPr>
        <w:rFonts w:ascii="Courier New" w:hAnsi="Courier New" w:cs="Courier New" w:hint="default"/>
      </w:rPr>
    </w:lvl>
    <w:lvl w:ilvl="5" w:tplc="C88C3012" w:tentative="1">
      <w:start w:val="1"/>
      <w:numFmt w:val="bullet"/>
      <w:lvlText w:val=""/>
      <w:lvlJc w:val="left"/>
      <w:pPr>
        <w:ind w:left="4320" w:hanging="360"/>
      </w:pPr>
      <w:rPr>
        <w:rFonts w:ascii="Wingdings" w:hAnsi="Wingdings" w:hint="default"/>
      </w:rPr>
    </w:lvl>
    <w:lvl w:ilvl="6" w:tplc="8E72373A" w:tentative="1">
      <w:start w:val="1"/>
      <w:numFmt w:val="bullet"/>
      <w:lvlText w:val=""/>
      <w:lvlJc w:val="left"/>
      <w:pPr>
        <w:ind w:left="5040" w:hanging="360"/>
      </w:pPr>
      <w:rPr>
        <w:rFonts w:ascii="Symbol" w:hAnsi="Symbol" w:hint="default"/>
      </w:rPr>
    </w:lvl>
    <w:lvl w:ilvl="7" w:tplc="38DC9A98" w:tentative="1">
      <w:start w:val="1"/>
      <w:numFmt w:val="bullet"/>
      <w:lvlText w:val="o"/>
      <w:lvlJc w:val="left"/>
      <w:pPr>
        <w:ind w:left="5760" w:hanging="360"/>
      </w:pPr>
      <w:rPr>
        <w:rFonts w:ascii="Courier New" w:hAnsi="Courier New" w:cs="Courier New" w:hint="default"/>
      </w:rPr>
    </w:lvl>
    <w:lvl w:ilvl="8" w:tplc="1FBCB6E4" w:tentative="1">
      <w:start w:val="1"/>
      <w:numFmt w:val="bullet"/>
      <w:lvlText w:val=""/>
      <w:lvlJc w:val="left"/>
      <w:pPr>
        <w:ind w:left="6480" w:hanging="360"/>
      </w:pPr>
      <w:rPr>
        <w:rFonts w:ascii="Wingdings" w:hAnsi="Wingdings" w:hint="default"/>
      </w:rPr>
    </w:lvl>
  </w:abstractNum>
  <w:abstractNum w:abstractNumId="8" w15:restartNumberingAfterBreak="0">
    <w:nsid w:val="186F0952"/>
    <w:multiLevelType w:val="hybridMultilevel"/>
    <w:tmpl w:val="6132514A"/>
    <w:lvl w:ilvl="0" w:tplc="A45AB136">
      <w:start w:val="1"/>
      <w:numFmt w:val="bullet"/>
      <w:lvlText w:val=""/>
      <w:lvlJc w:val="left"/>
      <w:pPr>
        <w:ind w:left="720" w:hanging="360"/>
      </w:pPr>
      <w:rPr>
        <w:rFonts w:ascii="Symbol" w:hAnsi="Symbol" w:hint="default"/>
      </w:rPr>
    </w:lvl>
    <w:lvl w:ilvl="1" w:tplc="D5662DAE" w:tentative="1">
      <w:start w:val="1"/>
      <w:numFmt w:val="bullet"/>
      <w:lvlText w:val="o"/>
      <w:lvlJc w:val="left"/>
      <w:pPr>
        <w:ind w:left="1440" w:hanging="360"/>
      </w:pPr>
      <w:rPr>
        <w:rFonts w:ascii="Courier New" w:hAnsi="Courier New" w:cs="Courier New" w:hint="default"/>
      </w:rPr>
    </w:lvl>
    <w:lvl w:ilvl="2" w:tplc="F2540434" w:tentative="1">
      <w:start w:val="1"/>
      <w:numFmt w:val="bullet"/>
      <w:lvlText w:val=""/>
      <w:lvlJc w:val="left"/>
      <w:pPr>
        <w:ind w:left="2160" w:hanging="360"/>
      </w:pPr>
      <w:rPr>
        <w:rFonts w:ascii="Wingdings" w:hAnsi="Wingdings" w:hint="default"/>
      </w:rPr>
    </w:lvl>
    <w:lvl w:ilvl="3" w:tplc="7C8C69BC" w:tentative="1">
      <w:start w:val="1"/>
      <w:numFmt w:val="bullet"/>
      <w:lvlText w:val=""/>
      <w:lvlJc w:val="left"/>
      <w:pPr>
        <w:ind w:left="2880" w:hanging="360"/>
      </w:pPr>
      <w:rPr>
        <w:rFonts w:ascii="Symbol" w:hAnsi="Symbol" w:hint="default"/>
      </w:rPr>
    </w:lvl>
    <w:lvl w:ilvl="4" w:tplc="D956527A" w:tentative="1">
      <w:start w:val="1"/>
      <w:numFmt w:val="bullet"/>
      <w:lvlText w:val="o"/>
      <w:lvlJc w:val="left"/>
      <w:pPr>
        <w:ind w:left="3600" w:hanging="360"/>
      </w:pPr>
      <w:rPr>
        <w:rFonts w:ascii="Courier New" w:hAnsi="Courier New" w:cs="Courier New" w:hint="default"/>
      </w:rPr>
    </w:lvl>
    <w:lvl w:ilvl="5" w:tplc="94DC304A" w:tentative="1">
      <w:start w:val="1"/>
      <w:numFmt w:val="bullet"/>
      <w:lvlText w:val=""/>
      <w:lvlJc w:val="left"/>
      <w:pPr>
        <w:ind w:left="4320" w:hanging="360"/>
      </w:pPr>
      <w:rPr>
        <w:rFonts w:ascii="Wingdings" w:hAnsi="Wingdings" w:hint="default"/>
      </w:rPr>
    </w:lvl>
    <w:lvl w:ilvl="6" w:tplc="E9029FDE" w:tentative="1">
      <w:start w:val="1"/>
      <w:numFmt w:val="bullet"/>
      <w:lvlText w:val=""/>
      <w:lvlJc w:val="left"/>
      <w:pPr>
        <w:ind w:left="5040" w:hanging="360"/>
      </w:pPr>
      <w:rPr>
        <w:rFonts w:ascii="Symbol" w:hAnsi="Symbol" w:hint="default"/>
      </w:rPr>
    </w:lvl>
    <w:lvl w:ilvl="7" w:tplc="982EC89A" w:tentative="1">
      <w:start w:val="1"/>
      <w:numFmt w:val="bullet"/>
      <w:lvlText w:val="o"/>
      <w:lvlJc w:val="left"/>
      <w:pPr>
        <w:ind w:left="5760" w:hanging="360"/>
      </w:pPr>
      <w:rPr>
        <w:rFonts w:ascii="Courier New" w:hAnsi="Courier New" w:cs="Courier New" w:hint="default"/>
      </w:rPr>
    </w:lvl>
    <w:lvl w:ilvl="8" w:tplc="6A48B816" w:tentative="1">
      <w:start w:val="1"/>
      <w:numFmt w:val="bullet"/>
      <w:lvlText w:val=""/>
      <w:lvlJc w:val="left"/>
      <w:pPr>
        <w:ind w:left="6480" w:hanging="360"/>
      </w:pPr>
      <w:rPr>
        <w:rFonts w:ascii="Wingdings" w:hAnsi="Wingdings" w:hint="default"/>
      </w:rPr>
    </w:lvl>
  </w:abstractNum>
  <w:abstractNum w:abstractNumId="9" w15:restartNumberingAfterBreak="0">
    <w:nsid w:val="21D51580"/>
    <w:multiLevelType w:val="hybridMultilevel"/>
    <w:tmpl w:val="B1204BD3"/>
    <w:lvl w:ilvl="0" w:tplc="05BE8C56">
      <w:start w:val="1"/>
      <w:numFmt w:val="decimal"/>
      <w:lvlText w:val=""/>
      <w:lvlJc w:val="left"/>
    </w:lvl>
    <w:lvl w:ilvl="1" w:tplc="68029B96">
      <w:numFmt w:val="decimal"/>
      <w:lvlText w:val=""/>
      <w:lvlJc w:val="left"/>
    </w:lvl>
    <w:lvl w:ilvl="2" w:tplc="3F18E730">
      <w:numFmt w:val="decimal"/>
      <w:lvlText w:val=""/>
      <w:lvlJc w:val="left"/>
    </w:lvl>
    <w:lvl w:ilvl="3" w:tplc="DA80EF3A">
      <w:numFmt w:val="decimal"/>
      <w:lvlText w:val=""/>
      <w:lvlJc w:val="left"/>
    </w:lvl>
    <w:lvl w:ilvl="4" w:tplc="1052750A">
      <w:numFmt w:val="decimal"/>
      <w:lvlText w:val=""/>
      <w:lvlJc w:val="left"/>
    </w:lvl>
    <w:lvl w:ilvl="5" w:tplc="94DE82D6">
      <w:numFmt w:val="decimal"/>
      <w:lvlText w:val=""/>
      <w:lvlJc w:val="left"/>
    </w:lvl>
    <w:lvl w:ilvl="6" w:tplc="B6AA4A8C">
      <w:numFmt w:val="decimal"/>
      <w:lvlText w:val=""/>
      <w:lvlJc w:val="left"/>
    </w:lvl>
    <w:lvl w:ilvl="7" w:tplc="71368950">
      <w:numFmt w:val="decimal"/>
      <w:lvlText w:val=""/>
      <w:lvlJc w:val="left"/>
    </w:lvl>
    <w:lvl w:ilvl="8" w:tplc="342ABFA6">
      <w:numFmt w:val="decimal"/>
      <w:lvlText w:val=""/>
      <w:lvlJc w:val="left"/>
    </w:lvl>
  </w:abstractNum>
  <w:abstractNum w:abstractNumId="10" w15:restartNumberingAfterBreak="0">
    <w:nsid w:val="24F03886"/>
    <w:multiLevelType w:val="hybridMultilevel"/>
    <w:tmpl w:val="3E1658CA"/>
    <w:lvl w:ilvl="0" w:tplc="26E0BD6C">
      <w:start w:val="1"/>
      <w:numFmt w:val="bullet"/>
      <w:lvlText w:val=""/>
      <w:lvlJc w:val="left"/>
      <w:pPr>
        <w:ind w:left="360" w:hanging="360"/>
      </w:pPr>
      <w:rPr>
        <w:rFonts w:ascii="Symbol" w:hAnsi="Symbol" w:hint="default"/>
      </w:rPr>
    </w:lvl>
    <w:lvl w:ilvl="1" w:tplc="7F324558" w:tentative="1">
      <w:start w:val="1"/>
      <w:numFmt w:val="bullet"/>
      <w:lvlText w:val="o"/>
      <w:lvlJc w:val="left"/>
      <w:pPr>
        <w:ind w:left="1080" w:hanging="360"/>
      </w:pPr>
      <w:rPr>
        <w:rFonts w:ascii="Courier New" w:hAnsi="Courier New" w:cs="Courier New" w:hint="default"/>
      </w:rPr>
    </w:lvl>
    <w:lvl w:ilvl="2" w:tplc="BCBE3FE6" w:tentative="1">
      <w:start w:val="1"/>
      <w:numFmt w:val="bullet"/>
      <w:lvlText w:val=""/>
      <w:lvlJc w:val="left"/>
      <w:pPr>
        <w:ind w:left="1800" w:hanging="360"/>
      </w:pPr>
      <w:rPr>
        <w:rFonts w:ascii="Wingdings" w:hAnsi="Wingdings" w:hint="default"/>
      </w:rPr>
    </w:lvl>
    <w:lvl w:ilvl="3" w:tplc="D4E4B2E0" w:tentative="1">
      <w:start w:val="1"/>
      <w:numFmt w:val="bullet"/>
      <w:lvlText w:val=""/>
      <w:lvlJc w:val="left"/>
      <w:pPr>
        <w:ind w:left="2520" w:hanging="360"/>
      </w:pPr>
      <w:rPr>
        <w:rFonts w:ascii="Symbol" w:hAnsi="Symbol" w:hint="default"/>
      </w:rPr>
    </w:lvl>
    <w:lvl w:ilvl="4" w:tplc="BF70C00C" w:tentative="1">
      <w:start w:val="1"/>
      <w:numFmt w:val="bullet"/>
      <w:lvlText w:val="o"/>
      <w:lvlJc w:val="left"/>
      <w:pPr>
        <w:ind w:left="3240" w:hanging="360"/>
      </w:pPr>
      <w:rPr>
        <w:rFonts w:ascii="Courier New" w:hAnsi="Courier New" w:cs="Courier New" w:hint="default"/>
      </w:rPr>
    </w:lvl>
    <w:lvl w:ilvl="5" w:tplc="383A9B9E" w:tentative="1">
      <w:start w:val="1"/>
      <w:numFmt w:val="bullet"/>
      <w:lvlText w:val=""/>
      <w:lvlJc w:val="left"/>
      <w:pPr>
        <w:ind w:left="3960" w:hanging="360"/>
      </w:pPr>
      <w:rPr>
        <w:rFonts w:ascii="Wingdings" w:hAnsi="Wingdings" w:hint="default"/>
      </w:rPr>
    </w:lvl>
    <w:lvl w:ilvl="6" w:tplc="9C5A90F8" w:tentative="1">
      <w:start w:val="1"/>
      <w:numFmt w:val="bullet"/>
      <w:lvlText w:val=""/>
      <w:lvlJc w:val="left"/>
      <w:pPr>
        <w:ind w:left="4680" w:hanging="360"/>
      </w:pPr>
      <w:rPr>
        <w:rFonts w:ascii="Symbol" w:hAnsi="Symbol" w:hint="default"/>
      </w:rPr>
    </w:lvl>
    <w:lvl w:ilvl="7" w:tplc="0E100142" w:tentative="1">
      <w:start w:val="1"/>
      <w:numFmt w:val="bullet"/>
      <w:lvlText w:val="o"/>
      <w:lvlJc w:val="left"/>
      <w:pPr>
        <w:ind w:left="5400" w:hanging="360"/>
      </w:pPr>
      <w:rPr>
        <w:rFonts w:ascii="Courier New" w:hAnsi="Courier New" w:cs="Courier New" w:hint="default"/>
      </w:rPr>
    </w:lvl>
    <w:lvl w:ilvl="8" w:tplc="C358A1DA" w:tentative="1">
      <w:start w:val="1"/>
      <w:numFmt w:val="bullet"/>
      <w:lvlText w:val=""/>
      <w:lvlJc w:val="left"/>
      <w:pPr>
        <w:ind w:left="6120" w:hanging="360"/>
      </w:pPr>
      <w:rPr>
        <w:rFonts w:ascii="Wingdings" w:hAnsi="Wingdings" w:hint="default"/>
      </w:rPr>
    </w:lvl>
  </w:abstractNum>
  <w:abstractNum w:abstractNumId="11" w15:restartNumberingAfterBreak="0">
    <w:nsid w:val="2DA43814"/>
    <w:multiLevelType w:val="hybridMultilevel"/>
    <w:tmpl w:val="DEB41D0E"/>
    <w:lvl w:ilvl="0" w:tplc="984072EA">
      <w:start w:val="1"/>
      <w:numFmt w:val="bullet"/>
      <w:lvlText w:val=""/>
      <w:lvlJc w:val="left"/>
      <w:pPr>
        <w:tabs>
          <w:tab w:val="num" w:pos="454"/>
        </w:tabs>
        <w:ind w:left="454" w:hanging="454"/>
      </w:pPr>
      <w:rPr>
        <w:rFonts w:ascii="Symbol" w:hAnsi="Symbol" w:hint="default"/>
      </w:rPr>
    </w:lvl>
    <w:lvl w:ilvl="1" w:tplc="05AAAF12" w:tentative="1">
      <w:start w:val="1"/>
      <w:numFmt w:val="bullet"/>
      <w:lvlText w:val="o"/>
      <w:lvlJc w:val="left"/>
      <w:pPr>
        <w:tabs>
          <w:tab w:val="num" w:pos="1440"/>
        </w:tabs>
        <w:ind w:left="1440" w:hanging="360"/>
      </w:pPr>
      <w:rPr>
        <w:rFonts w:ascii="Courier New" w:hAnsi="Courier New" w:cs="Courier New" w:hint="default"/>
      </w:rPr>
    </w:lvl>
    <w:lvl w:ilvl="2" w:tplc="C86C89DC" w:tentative="1">
      <w:start w:val="1"/>
      <w:numFmt w:val="bullet"/>
      <w:lvlText w:val=""/>
      <w:lvlJc w:val="left"/>
      <w:pPr>
        <w:tabs>
          <w:tab w:val="num" w:pos="2160"/>
        </w:tabs>
        <w:ind w:left="2160" w:hanging="360"/>
      </w:pPr>
      <w:rPr>
        <w:rFonts w:ascii="Wingdings" w:hAnsi="Wingdings" w:hint="default"/>
      </w:rPr>
    </w:lvl>
    <w:lvl w:ilvl="3" w:tplc="61D6C67C" w:tentative="1">
      <w:start w:val="1"/>
      <w:numFmt w:val="bullet"/>
      <w:lvlText w:val=""/>
      <w:lvlJc w:val="left"/>
      <w:pPr>
        <w:tabs>
          <w:tab w:val="num" w:pos="2880"/>
        </w:tabs>
        <w:ind w:left="2880" w:hanging="360"/>
      </w:pPr>
      <w:rPr>
        <w:rFonts w:ascii="Symbol" w:hAnsi="Symbol" w:hint="default"/>
      </w:rPr>
    </w:lvl>
    <w:lvl w:ilvl="4" w:tplc="0EF675C8" w:tentative="1">
      <w:start w:val="1"/>
      <w:numFmt w:val="bullet"/>
      <w:lvlText w:val="o"/>
      <w:lvlJc w:val="left"/>
      <w:pPr>
        <w:tabs>
          <w:tab w:val="num" w:pos="3600"/>
        </w:tabs>
        <w:ind w:left="3600" w:hanging="360"/>
      </w:pPr>
      <w:rPr>
        <w:rFonts w:ascii="Courier New" w:hAnsi="Courier New" w:cs="Courier New" w:hint="default"/>
      </w:rPr>
    </w:lvl>
    <w:lvl w:ilvl="5" w:tplc="EE2A6F2A" w:tentative="1">
      <w:start w:val="1"/>
      <w:numFmt w:val="bullet"/>
      <w:lvlText w:val=""/>
      <w:lvlJc w:val="left"/>
      <w:pPr>
        <w:tabs>
          <w:tab w:val="num" w:pos="4320"/>
        </w:tabs>
        <w:ind w:left="4320" w:hanging="360"/>
      </w:pPr>
      <w:rPr>
        <w:rFonts w:ascii="Wingdings" w:hAnsi="Wingdings" w:hint="default"/>
      </w:rPr>
    </w:lvl>
    <w:lvl w:ilvl="6" w:tplc="078AB806" w:tentative="1">
      <w:start w:val="1"/>
      <w:numFmt w:val="bullet"/>
      <w:lvlText w:val=""/>
      <w:lvlJc w:val="left"/>
      <w:pPr>
        <w:tabs>
          <w:tab w:val="num" w:pos="5040"/>
        </w:tabs>
        <w:ind w:left="5040" w:hanging="360"/>
      </w:pPr>
      <w:rPr>
        <w:rFonts w:ascii="Symbol" w:hAnsi="Symbol" w:hint="default"/>
      </w:rPr>
    </w:lvl>
    <w:lvl w:ilvl="7" w:tplc="65D2B2A6" w:tentative="1">
      <w:start w:val="1"/>
      <w:numFmt w:val="bullet"/>
      <w:lvlText w:val="o"/>
      <w:lvlJc w:val="left"/>
      <w:pPr>
        <w:tabs>
          <w:tab w:val="num" w:pos="5760"/>
        </w:tabs>
        <w:ind w:left="5760" w:hanging="360"/>
      </w:pPr>
      <w:rPr>
        <w:rFonts w:ascii="Courier New" w:hAnsi="Courier New" w:cs="Courier New" w:hint="default"/>
      </w:rPr>
    </w:lvl>
    <w:lvl w:ilvl="8" w:tplc="14CAF1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96F73"/>
    <w:multiLevelType w:val="hybridMultilevel"/>
    <w:tmpl w:val="D34A370E"/>
    <w:lvl w:ilvl="0" w:tplc="D9F89320">
      <w:start w:val="1"/>
      <w:numFmt w:val="bullet"/>
      <w:lvlText w:val=""/>
      <w:lvlJc w:val="left"/>
      <w:pPr>
        <w:tabs>
          <w:tab w:val="num" w:pos="1215"/>
        </w:tabs>
        <w:ind w:left="1215" w:hanging="360"/>
      </w:pPr>
      <w:rPr>
        <w:rFonts w:ascii="Symbol" w:hAnsi="Symbol" w:hint="default"/>
      </w:rPr>
    </w:lvl>
    <w:lvl w:ilvl="1" w:tplc="BA1E9E7E" w:tentative="1">
      <w:start w:val="1"/>
      <w:numFmt w:val="bullet"/>
      <w:lvlText w:val="o"/>
      <w:lvlJc w:val="left"/>
      <w:pPr>
        <w:tabs>
          <w:tab w:val="num" w:pos="1935"/>
        </w:tabs>
        <w:ind w:left="1935" w:hanging="360"/>
      </w:pPr>
      <w:rPr>
        <w:rFonts w:ascii="Courier New" w:hAnsi="Courier New" w:hint="default"/>
      </w:rPr>
    </w:lvl>
    <w:lvl w:ilvl="2" w:tplc="B5865D70" w:tentative="1">
      <w:start w:val="1"/>
      <w:numFmt w:val="bullet"/>
      <w:lvlText w:val=""/>
      <w:lvlJc w:val="left"/>
      <w:pPr>
        <w:tabs>
          <w:tab w:val="num" w:pos="2655"/>
        </w:tabs>
        <w:ind w:left="2655" w:hanging="360"/>
      </w:pPr>
      <w:rPr>
        <w:rFonts w:ascii="Wingdings" w:hAnsi="Wingdings" w:hint="default"/>
      </w:rPr>
    </w:lvl>
    <w:lvl w:ilvl="3" w:tplc="023273B4" w:tentative="1">
      <w:start w:val="1"/>
      <w:numFmt w:val="bullet"/>
      <w:lvlText w:val=""/>
      <w:lvlJc w:val="left"/>
      <w:pPr>
        <w:tabs>
          <w:tab w:val="num" w:pos="3375"/>
        </w:tabs>
        <w:ind w:left="3375" w:hanging="360"/>
      </w:pPr>
      <w:rPr>
        <w:rFonts w:ascii="Symbol" w:hAnsi="Symbol" w:hint="default"/>
      </w:rPr>
    </w:lvl>
    <w:lvl w:ilvl="4" w:tplc="3F5613DA" w:tentative="1">
      <w:start w:val="1"/>
      <w:numFmt w:val="bullet"/>
      <w:lvlText w:val="o"/>
      <w:lvlJc w:val="left"/>
      <w:pPr>
        <w:tabs>
          <w:tab w:val="num" w:pos="4095"/>
        </w:tabs>
        <w:ind w:left="4095" w:hanging="360"/>
      </w:pPr>
      <w:rPr>
        <w:rFonts w:ascii="Courier New" w:hAnsi="Courier New" w:hint="default"/>
      </w:rPr>
    </w:lvl>
    <w:lvl w:ilvl="5" w:tplc="FDE007C0" w:tentative="1">
      <w:start w:val="1"/>
      <w:numFmt w:val="bullet"/>
      <w:lvlText w:val=""/>
      <w:lvlJc w:val="left"/>
      <w:pPr>
        <w:tabs>
          <w:tab w:val="num" w:pos="4815"/>
        </w:tabs>
        <w:ind w:left="4815" w:hanging="360"/>
      </w:pPr>
      <w:rPr>
        <w:rFonts w:ascii="Wingdings" w:hAnsi="Wingdings" w:hint="default"/>
      </w:rPr>
    </w:lvl>
    <w:lvl w:ilvl="6" w:tplc="B89CDA2C" w:tentative="1">
      <w:start w:val="1"/>
      <w:numFmt w:val="bullet"/>
      <w:lvlText w:val=""/>
      <w:lvlJc w:val="left"/>
      <w:pPr>
        <w:tabs>
          <w:tab w:val="num" w:pos="5535"/>
        </w:tabs>
        <w:ind w:left="5535" w:hanging="360"/>
      </w:pPr>
      <w:rPr>
        <w:rFonts w:ascii="Symbol" w:hAnsi="Symbol" w:hint="default"/>
      </w:rPr>
    </w:lvl>
    <w:lvl w:ilvl="7" w:tplc="8CAC3DAC" w:tentative="1">
      <w:start w:val="1"/>
      <w:numFmt w:val="bullet"/>
      <w:lvlText w:val="o"/>
      <w:lvlJc w:val="left"/>
      <w:pPr>
        <w:tabs>
          <w:tab w:val="num" w:pos="6255"/>
        </w:tabs>
        <w:ind w:left="6255" w:hanging="360"/>
      </w:pPr>
      <w:rPr>
        <w:rFonts w:ascii="Courier New" w:hAnsi="Courier New" w:hint="default"/>
      </w:rPr>
    </w:lvl>
    <w:lvl w:ilvl="8" w:tplc="3CDC54FE" w:tentative="1">
      <w:start w:val="1"/>
      <w:numFmt w:val="bullet"/>
      <w:lvlText w:val=""/>
      <w:lvlJc w:val="left"/>
      <w:pPr>
        <w:tabs>
          <w:tab w:val="num" w:pos="6975"/>
        </w:tabs>
        <w:ind w:left="6975" w:hanging="360"/>
      </w:pPr>
      <w:rPr>
        <w:rFonts w:ascii="Wingdings" w:hAnsi="Wingdings" w:hint="default"/>
      </w:rPr>
    </w:lvl>
  </w:abstractNum>
  <w:abstractNum w:abstractNumId="13" w15:restartNumberingAfterBreak="0">
    <w:nsid w:val="43542E86"/>
    <w:multiLevelType w:val="hybridMultilevel"/>
    <w:tmpl w:val="E75E9644"/>
    <w:lvl w:ilvl="0" w:tplc="FBCA2958">
      <w:start w:val="1"/>
      <w:numFmt w:val="bullet"/>
      <w:lvlText w:val=""/>
      <w:lvlJc w:val="left"/>
      <w:pPr>
        <w:ind w:left="360" w:hanging="360"/>
      </w:pPr>
      <w:rPr>
        <w:rFonts w:ascii="Symbol" w:hAnsi="Symbol" w:hint="default"/>
      </w:rPr>
    </w:lvl>
    <w:lvl w:ilvl="1" w:tplc="8DACA134" w:tentative="1">
      <w:start w:val="1"/>
      <w:numFmt w:val="bullet"/>
      <w:lvlText w:val="o"/>
      <w:lvlJc w:val="left"/>
      <w:pPr>
        <w:ind w:left="1080" w:hanging="360"/>
      </w:pPr>
      <w:rPr>
        <w:rFonts w:ascii="Courier New" w:hAnsi="Courier New" w:cs="Courier New" w:hint="default"/>
      </w:rPr>
    </w:lvl>
    <w:lvl w:ilvl="2" w:tplc="F756417A" w:tentative="1">
      <w:start w:val="1"/>
      <w:numFmt w:val="bullet"/>
      <w:lvlText w:val=""/>
      <w:lvlJc w:val="left"/>
      <w:pPr>
        <w:ind w:left="1800" w:hanging="360"/>
      </w:pPr>
      <w:rPr>
        <w:rFonts w:ascii="Wingdings" w:hAnsi="Wingdings" w:hint="default"/>
      </w:rPr>
    </w:lvl>
    <w:lvl w:ilvl="3" w:tplc="7B34F562" w:tentative="1">
      <w:start w:val="1"/>
      <w:numFmt w:val="bullet"/>
      <w:lvlText w:val=""/>
      <w:lvlJc w:val="left"/>
      <w:pPr>
        <w:ind w:left="2520" w:hanging="360"/>
      </w:pPr>
      <w:rPr>
        <w:rFonts w:ascii="Symbol" w:hAnsi="Symbol" w:hint="default"/>
      </w:rPr>
    </w:lvl>
    <w:lvl w:ilvl="4" w:tplc="4E36D332" w:tentative="1">
      <w:start w:val="1"/>
      <w:numFmt w:val="bullet"/>
      <w:lvlText w:val="o"/>
      <w:lvlJc w:val="left"/>
      <w:pPr>
        <w:ind w:left="3240" w:hanging="360"/>
      </w:pPr>
      <w:rPr>
        <w:rFonts w:ascii="Courier New" w:hAnsi="Courier New" w:cs="Courier New" w:hint="default"/>
      </w:rPr>
    </w:lvl>
    <w:lvl w:ilvl="5" w:tplc="D4B6E0AA" w:tentative="1">
      <w:start w:val="1"/>
      <w:numFmt w:val="bullet"/>
      <w:lvlText w:val=""/>
      <w:lvlJc w:val="left"/>
      <w:pPr>
        <w:ind w:left="3960" w:hanging="360"/>
      </w:pPr>
      <w:rPr>
        <w:rFonts w:ascii="Wingdings" w:hAnsi="Wingdings" w:hint="default"/>
      </w:rPr>
    </w:lvl>
    <w:lvl w:ilvl="6" w:tplc="93E2D99C" w:tentative="1">
      <w:start w:val="1"/>
      <w:numFmt w:val="bullet"/>
      <w:lvlText w:val=""/>
      <w:lvlJc w:val="left"/>
      <w:pPr>
        <w:ind w:left="4680" w:hanging="360"/>
      </w:pPr>
      <w:rPr>
        <w:rFonts w:ascii="Symbol" w:hAnsi="Symbol" w:hint="default"/>
      </w:rPr>
    </w:lvl>
    <w:lvl w:ilvl="7" w:tplc="E05CD768" w:tentative="1">
      <w:start w:val="1"/>
      <w:numFmt w:val="bullet"/>
      <w:lvlText w:val="o"/>
      <w:lvlJc w:val="left"/>
      <w:pPr>
        <w:ind w:left="5400" w:hanging="360"/>
      </w:pPr>
      <w:rPr>
        <w:rFonts w:ascii="Courier New" w:hAnsi="Courier New" w:cs="Courier New" w:hint="default"/>
      </w:rPr>
    </w:lvl>
    <w:lvl w:ilvl="8" w:tplc="34A284B2" w:tentative="1">
      <w:start w:val="1"/>
      <w:numFmt w:val="bullet"/>
      <w:lvlText w:val=""/>
      <w:lvlJc w:val="left"/>
      <w:pPr>
        <w:ind w:left="6120" w:hanging="360"/>
      </w:pPr>
      <w:rPr>
        <w:rFonts w:ascii="Wingdings" w:hAnsi="Wingdings" w:hint="default"/>
      </w:rPr>
    </w:lvl>
  </w:abstractNum>
  <w:abstractNum w:abstractNumId="14" w15:restartNumberingAfterBreak="0">
    <w:nsid w:val="45C149C3"/>
    <w:multiLevelType w:val="hybridMultilevel"/>
    <w:tmpl w:val="C49AD6D6"/>
    <w:lvl w:ilvl="0" w:tplc="75EC4B0E">
      <w:numFmt w:val="bullet"/>
      <w:lvlText w:val="•"/>
      <w:lvlJc w:val="left"/>
      <w:pPr>
        <w:ind w:left="720" w:hanging="360"/>
      </w:pPr>
      <w:rPr>
        <w:rFonts w:ascii="Times New Roman" w:eastAsia="Calibri" w:hAnsi="Times New Roman" w:cs="Times New Roman" w:hint="default"/>
      </w:rPr>
    </w:lvl>
    <w:lvl w:ilvl="1" w:tplc="C0D8CCAE" w:tentative="1">
      <w:start w:val="1"/>
      <w:numFmt w:val="bullet"/>
      <w:lvlText w:val="o"/>
      <w:lvlJc w:val="left"/>
      <w:pPr>
        <w:ind w:left="1440" w:hanging="360"/>
      </w:pPr>
      <w:rPr>
        <w:rFonts w:ascii="Courier New" w:hAnsi="Courier New" w:cs="Courier New" w:hint="default"/>
      </w:rPr>
    </w:lvl>
    <w:lvl w:ilvl="2" w:tplc="E65C0132" w:tentative="1">
      <w:start w:val="1"/>
      <w:numFmt w:val="bullet"/>
      <w:lvlText w:val=""/>
      <w:lvlJc w:val="left"/>
      <w:pPr>
        <w:ind w:left="2160" w:hanging="360"/>
      </w:pPr>
      <w:rPr>
        <w:rFonts w:ascii="Wingdings" w:hAnsi="Wingdings" w:hint="default"/>
      </w:rPr>
    </w:lvl>
    <w:lvl w:ilvl="3" w:tplc="55EE0CE2" w:tentative="1">
      <w:start w:val="1"/>
      <w:numFmt w:val="bullet"/>
      <w:lvlText w:val=""/>
      <w:lvlJc w:val="left"/>
      <w:pPr>
        <w:ind w:left="2880" w:hanging="360"/>
      </w:pPr>
      <w:rPr>
        <w:rFonts w:ascii="Symbol" w:hAnsi="Symbol" w:hint="default"/>
      </w:rPr>
    </w:lvl>
    <w:lvl w:ilvl="4" w:tplc="A1BAFA10" w:tentative="1">
      <w:start w:val="1"/>
      <w:numFmt w:val="bullet"/>
      <w:lvlText w:val="o"/>
      <w:lvlJc w:val="left"/>
      <w:pPr>
        <w:ind w:left="3600" w:hanging="360"/>
      </w:pPr>
      <w:rPr>
        <w:rFonts w:ascii="Courier New" w:hAnsi="Courier New" w:cs="Courier New" w:hint="default"/>
      </w:rPr>
    </w:lvl>
    <w:lvl w:ilvl="5" w:tplc="F55201F0" w:tentative="1">
      <w:start w:val="1"/>
      <w:numFmt w:val="bullet"/>
      <w:lvlText w:val=""/>
      <w:lvlJc w:val="left"/>
      <w:pPr>
        <w:ind w:left="4320" w:hanging="360"/>
      </w:pPr>
      <w:rPr>
        <w:rFonts w:ascii="Wingdings" w:hAnsi="Wingdings" w:hint="default"/>
      </w:rPr>
    </w:lvl>
    <w:lvl w:ilvl="6" w:tplc="94921F82" w:tentative="1">
      <w:start w:val="1"/>
      <w:numFmt w:val="bullet"/>
      <w:lvlText w:val=""/>
      <w:lvlJc w:val="left"/>
      <w:pPr>
        <w:ind w:left="5040" w:hanging="360"/>
      </w:pPr>
      <w:rPr>
        <w:rFonts w:ascii="Symbol" w:hAnsi="Symbol" w:hint="default"/>
      </w:rPr>
    </w:lvl>
    <w:lvl w:ilvl="7" w:tplc="2758D9F0" w:tentative="1">
      <w:start w:val="1"/>
      <w:numFmt w:val="bullet"/>
      <w:lvlText w:val="o"/>
      <w:lvlJc w:val="left"/>
      <w:pPr>
        <w:ind w:left="5760" w:hanging="360"/>
      </w:pPr>
      <w:rPr>
        <w:rFonts w:ascii="Courier New" w:hAnsi="Courier New" w:cs="Courier New" w:hint="default"/>
      </w:rPr>
    </w:lvl>
    <w:lvl w:ilvl="8" w:tplc="9026764C" w:tentative="1">
      <w:start w:val="1"/>
      <w:numFmt w:val="bullet"/>
      <w:lvlText w:val=""/>
      <w:lvlJc w:val="left"/>
      <w:pPr>
        <w:ind w:left="6480" w:hanging="360"/>
      </w:pPr>
      <w:rPr>
        <w:rFonts w:ascii="Wingdings" w:hAnsi="Wingdings" w:hint="default"/>
      </w:rPr>
    </w:lvl>
  </w:abstractNum>
  <w:abstractNum w:abstractNumId="15" w15:restartNumberingAfterBreak="0">
    <w:nsid w:val="50D826F9"/>
    <w:multiLevelType w:val="hybridMultilevel"/>
    <w:tmpl w:val="8FE48A48"/>
    <w:lvl w:ilvl="0" w:tplc="281C125C">
      <w:start w:val="1"/>
      <w:numFmt w:val="bullet"/>
      <w:lvlText w:val=""/>
      <w:lvlJc w:val="left"/>
      <w:pPr>
        <w:ind w:left="720" w:hanging="360"/>
      </w:pPr>
      <w:rPr>
        <w:rFonts w:ascii="Symbol" w:hAnsi="Symbol" w:hint="default"/>
      </w:rPr>
    </w:lvl>
    <w:lvl w:ilvl="1" w:tplc="9F0E8DC4" w:tentative="1">
      <w:start w:val="1"/>
      <w:numFmt w:val="bullet"/>
      <w:lvlText w:val="o"/>
      <w:lvlJc w:val="left"/>
      <w:pPr>
        <w:ind w:left="1440" w:hanging="360"/>
      </w:pPr>
      <w:rPr>
        <w:rFonts w:ascii="Courier New" w:hAnsi="Courier New" w:cs="Courier New" w:hint="default"/>
      </w:rPr>
    </w:lvl>
    <w:lvl w:ilvl="2" w:tplc="FD7641AA" w:tentative="1">
      <w:start w:val="1"/>
      <w:numFmt w:val="bullet"/>
      <w:lvlText w:val=""/>
      <w:lvlJc w:val="left"/>
      <w:pPr>
        <w:ind w:left="2160" w:hanging="360"/>
      </w:pPr>
      <w:rPr>
        <w:rFonts w:ascii="Wingdings" w:hAnsi="Wingdings" w:hint="default"/>
      </w:rPr>
    </w:lvl>
    <w:lvl w:ilvl="3" w:tplc="62249E42" w:tentative="1">
      <w:start w:val="1"/>
      <w:numFmt w:val="bullet"/>
      <w:lvlText w:val=""/>
      <w:lvlJc w:val="left"/>
      <w:pPr>
        <w:ind w:left="2880" w:hanging="360"/>
      </w:pPr>
      <w:rPr>
        <w:rFonts w:ascii="Symbol" w:hAnsi="Symbol" w:hint="default"/>
      </w:rPr>
    </w:lvl>
    <w:lvl w:ilvl="4" w:tplc="B100F630" w:tentative="1">
      <w:start w:val="1"/>
      <w:numFmt w:val="bullet"/>
      <w:lvlText w:val="o"/>
      <w:lvlJc w:val="left"/>
      <w:pPr>
        <w:ind w:left="3600" w:hanging="360"/>
      </w:pPr>
      <w:rPr>
        <w:rFonts w:ascii="Courier New" w:hAnsi="Courier New" w:cs="Courier New" w:hint="default"/>
      </w:rPr>
    </w:lvl>
    <w:lvl w:ilvl="5" w:tplc="3F9CA82A" w:tentative="1">
      <w:start w:val="1"/>
      <w:numFmt w:val="bullet"/>
      <w:lvlText w:val=""/>
      <w:lvlJc w:val="left"/>
      <w:pPr>
        <w:ind w:left="4320" w:hanging="360"/>
      </w:pPr>
      <w:rPr>
        <w:rFonts w:ascii="Wingdings" w:hAnsi="Wingdings" w:hint="default"/>
      </w:rPr>
    </w:lvl>
    <w:lvl w:ilvl="6" w:tplc="F432B81A" w:tentative="1">
      <w:start w:val="1"/>
      <w:numFmt w:val="bullet"/>
      <w:lvlText w:val=""/>
      <w:lvlJc w:val="left"/>
      <w:pPr>
        <w:ind w:left="5040" w:hanging="360"/>
      </w:pPr>
      <w:rPr>
        <w:rFonts w:ascii="Symbol" w:hAnsi="Symbol" w:hint="default"/>
      </w:rPr>
    </w:lvl>
    <w:lvl w:ilvl="7" w:tplc="47A02FF2" w:tentative="1">
      <w:start w:val="1"/>
      <w:numFmt w:val="bullet"/>
      <w:lvlText w:val="o"/>
      <w:lvlJc w:val="left"/>
      <w:pPr>
        <w:ind w:left="5760" w:hanging="360"/>
      </w:pPr>
      <w:rPr>
        <w:rFonts w:ascii="Courier New" w:hAnsi="Courier New" w:cs="Courier New" w:hint="default"/>
      </w:rPr>
    </w:lvl>
    <w:lvl w:ilvl="8" w:tplc="B48AC19E" w:tentative="1">
      <w:start w:val="1"/>
      <w:numFmt w:val="bullet"/>
      <w:lvlText w:val=""/>
      <w:lvlJc w:val="left"/>
      <w:pPr>
        <w:ind w:left="6480" w:hanging="360"/>
      </w:pPr>
      <w:rPr>
        <w:rFonts w:ascii="Wingdings" w:hAnsi="Wingdings" w:hint="default"/>
      </w:rPr>
    </w:lvl>
  </w:abstractNum>
  <w:abstractNum w:abstractNumId="16" w15:restartNumberingAfterBreak="0">
    <w:nsid w:val="568E5F2B"/>
    <w:multiLevelType w:val="hybridMultilevel"/>
    <w:tmpl w:val="5A0615FE"/>
    <w:lvl w:ilvl="0" w:tplc="A532F17A">
      <w:start w:val="1"/>
      <w:numFmt w:val="bullet"/>
      <w:lvlText w:val=""/>
      <w:lvlJc w:val="left"/>
      <w:pPr>
        <w:ind w:left="720" w:hanging="360"/>
      </w:pPr>
      <w:rPr>
        <w:rFonts w:ascii="Symbol" w:hAnsi="Symbol" w:hint="default"/>
      </w:rPr>
    </w:lvl>
    <w:lvl w:ilvl="1" w:tplc="796481EE" w:tentative="1">
      <w:start w:val="1"/>
      <w:numFmt w:val="bullet"/>
      <w:lvlText w:val="o"/>
      <w:lvlJc w:val="left"/>
      <w:pPr>
        <w:ind w:left="1440" w:hanging="360"/>
      </w:pPr>
      <w:rPr>
        <w:rFonts w:ascii="Courier New" w:hAnsi="Courier New" w:cs="Courier New" w:hint="default"/>
      </w:rPr>
    </w:lvl>
    <w:lvl w:ilvl="2" w:tplc="F4946394" w:tentative="1">
      <w:start w:val="1"/>
      <w:numFmt w:val="bullet"/>
      <w:lvlText w:val=""/>
      <w:lvlJc w:val="left"/>
      <w:pPr>
        <w:ind w:left="2160" w:hanging="360"/>
      </w:pPr>
      <w:rPr>
        <w:rFonts w:ascii="Wingdings" w:hAnsi="Wingdings" w:hint="default"/>
      </w:rPr>
    </w:lvl>
    <w:lvl w:ilvl="3" w:tplc="7E980490" w:tentative="1">
      <w:start w:val="1"/>
      <w:numFmt w:val="bullet"/>
      <w:lvlText w:val=""/>
      <w:lvlJc w:val="left"/>
      <w:pPr>
        <w:ind w:left="2880" w:hanging="360"/>
      </w:pPr>
      <w:rPr>
        <w:rFonts w:ascii="Symbol" w:hAnsi="Symbol" w:hint="default"/>
      </w:rPr>
    </w:lvl>
    <w:lvl w:ilvl="4" w:tplc="4B58FE0E" w:tentative="1">
      <w:start w:val="1"/>
      <w:numFmt w:val="bullet"/>
      <w:lvlText w:val="o"/>
      <w:lvlJc w:val="left"/>
      <w:pPr>
        <w:ind w:left="3600" w:hanging="360"/>
      </w:pPr>
      <w:rPr>
        <w:rFonts w:ascii="Courier New" w:hAnsi="Courier New" w:cs="Courier New" w:hint="default"/>
      </w:rPr>
    </w:lvl>
    <w:lvl w:ilvl="5" w:tplc="22406616" w:tentative="1">
      <w:start w:val="1"/>
      <w:numFmt w:val="bullet"/>
      <w:lvlText w:val=""/>
      <w:lvlJc w:val="left"/>
      <w:pPr>
        <w:ind w:left="4320" w:hanging="360"/>
      </w:pPr>
      <w:rPr>
        <w:rFonts w:ascii="Wingdings" w:hAnsi="Wingdings" w:hint="default"/>
      </w:rPr>
    </w:lvl>
    <w:lvl w:ilvl="6" w:tplc="CA107614" w:tentative="1">
      <w:start w:val="1"/>
      <w:numFmt w:val="bullet"/>
      <w:lvlText w:val=""/>
      <w:lvlJc w:val="left"/>
      <w:pPr>
        <w:ind w:left="5040" w:hanging="360"/>
      </w:pPr>
      <w:rPr>
        <w:rFonts w:ascii="Symbol" w:hAnsi="Symbol" w:hint="default"/>
      </w:rPr>
    </w:lvl>
    <w:lvl w:ilvl="7" w:tplc="4530AEDC" w:tentative="1">
      <w:start w:val="1"/>
      <w:numFmt w:val="bullet"/>
      <w:lvlText w:val="o"/>
      <w:lvlJc w:val="left"/>
      <w:pPr>
        <w:ind w:left="5760" w:hanging="360"/>
      </w:pPr>
      <w:rPr>
        <w:rFonts w:ascii="Courier New" w:hAnsi="Courier New" w:cs="Courier New" w:hint="default"/>
      </w:rPr>
    </w:lvl>
    <w:lvl w:ilvl="8" w:tplc="B7EC78B4" w:tentative="1">
      <w:start w:val="1"/>
      <w:numFmt w:val="bullet"/>
      <w:lvlText w:val=""/>
      <w:lvlJc w:val="left"/>
      <w:pPr>
        <w:ind w:left="6480" w:hanging="360"/>
      </w:pPr>
      <w:rPr>
        <w:rFonts w:ascii="Wingdings" w:hAnsi="Wingdings" w:hint="default"/>
      </w:rPr>
    </w:lvl>
  </w:abstractNum>
  <w:abstractNum w:abstractNumId="17" w15:restartNumberingAfterBreak="0">
    <w:nsid w:val="570522F8"/>
    <w:multiLevelType w:val="hybridMultilevel"/>
    <w:tmpl w:val="03D7CD2B"/>
    <w:lvl w:ilvl="0" w:tplc="8EA849D4">
      <w:start w:val="1"/>
      <w:numFmt w:val="decimal"/>
      <w:lvlText w:val=""/>
      <w:lvlJc w:val="left"/>
    </w:lvl>
    <w:lvl w:ilvl="1" w:tplc="A39621D8">
      <w:numFmt w:val="decimal"/>
      <w:lvlText w:val=""/>
      <w:lvlJc w:val="left"/>
    </w:lvl>
    <w:lvl w:ilvl="2" w:tplc="C41A98CE">
      <w:numFmt w:val="decimal"/>
      <w:lvlText w:val=""/>
      <w:lvlJc w:val="left"/>
    </w:lvl>
    <w:lvl w:ilvl="3" w:tplc="B4AA56B4">
      <w:numFmt w:val="decimal"/>
      <w:lvlText w:val=""/>
      <w:lvlJc w:val="left"/>
    </w:lvl>
    <w:lvl w:ilvl="4" w:tplc="B5EE0A76">
      <w:numFmt w:val="decimal"/>
      <w:lvlText w:val=""/>
      <w:lvlJc w:val="left"/>
    </w:lvl>
    <w:lvl w:ilvl="5" w:tplc="A9722EF4">
      <w:numFmt w:val="decimal"/>
      <w:lvlText w:val=""/>
      <w:lvlJc w:val="left"/>
    </w:lvl>
    <w:lvl w:ilvl="6" w:tplc="95C40638">
      <w:numFmt w:val="decimal"/>
      <w:lvlText w:val=""/>
      <w:lvlJc w:val="left"/>
    </w:lvl>
    <w:lvl w:ilvl="7" w:tplc="F4B69FA2">
      <w:numFmt w:val="decimal"/>
      <w:lvlText w:val=""/>
      <w:lvlJc w:val="left"/>
    </w:lvl>
    <w:lvl w:ilvl="8" w:tplc="96CCB8A0">
      <w:numFmt w:val="decimal"/>
      <w:lvlText w:val=""/>
      <w:lvlJc w:val="left"/>
    </w:lvl>
  </w:abstractNum>
  <w:abstractNum w:abstractNumId="18" w15:restartNumberingAfterBreak="0">
    <w:nsid w:val="601E1830"/>
    <w:multiLevelType w:val="hybridMultilevel"/>
    <w:tmpl w:val="6D4413A2"/>
    <w:lvl w:ilvl="0" w:tplc="BB0688C0">
      <w:start w:val="1"/>
      <w:numFmt w:val="decimal"/>
      <w:lvlText w:val=""/>
      <w:lvlJc w:val="left"/>
    </w:lvl>
    <w:lvl w:ilvl="1" w:tplc="C1F0B4A6">
      <w:numFmt w:val="decimal"/>
      <w:lvlText w:val=""/>
      <w:lvlJc w:val="left"/>
    </w:lvl>
    <w:lvl w:ilvl="2" w:tplc="F1F8549A">
      <w:numFmt w:val="decimal"/>
      <w:lvlText w:val=""/>
      <w:lvlJc w:val="left"/>
    </w:lvl>
    <w:lvl w:ilvl="3" w:tplc="136C7E72">
      <w:numFmt w:val="decimal"/>
      <w:lvlText w:val=""/>
      <w:lvlJc w:val="left"/>
    </w:lvl>
    <w:lvl w:ilvl="4" w:tplc="432A0564">
      <w:numFmt w:val="decimal"/>
      <w:lvlText w:val=""/>
      <w:lvlJc w:val="left"/>
    </w:lvl>
    <w:lvl w:ilvl="5" w:tplc="3544B96C">
      <w:numFmt w:val="decimal"/>
      <w:lvlText w:val=""/>
      <w:lvlJc w:val="left"/>
    </w:lvl>
    <w:lvl w:ilvl="6" w:tplc="147EA58A">
      <w:numFmt w:val="decimal"/>
      <w:lvlText w:val=""/>
      <w:lvlJc w:val="left"/>
    </w:lvl>
    <w:lvl w:ilvl="7" w:tplc="2ED60C38">
      <w:numFmt w:val="decimal"/>
      <w:lvlText w:val=""/>
      <w:lvlJc w:val="left"/>
    </w:lvl>
    <w:lvl w:ilvl="8" w:tplc="1AD2571A">
      <w:numFmt w:val="decimal"/>
      <w:lvlText w:val=""/>
      <w:lvlJc w:val="left"/>
    </w:lvl>
  </w:abstractNum>
  <w:abstractNum w:abstractNumId="19" w15:restartNumberingAfterBreak="0">
    <w:nsid w:val="67A32B69"/>
    <w:multiLevelType w:val="hybridMultilevel"/>
    <w:tmpl w:val="BDC84A84"/>
    <w:lvl w:ilvl="0" w:tplc="11146BC6">
      <w:start w:val="1"/>
      <w:numFmt w:val="bullet"/>
      <w:lvlText w:val=""/>
      <w:lvlJc w:val="left"/>
      <w:pPr>
        <w:tabs>
          <w:tab w:val="num" w:pos="360"/>
        </w:tabs>
        <w:ind w:left="360" w:hanging="360"/>
      </w:pPr>
      <w:rPr>
        <w:rFonts w:ascii="Symbol" w:hAnsi="Symbol" w:hint="default"/>
      </w:rPr>
    </w:lvl>
    <w:lvl w:ilvl="1" w:tplc="F118E688">
      <w:start w:val="1"/>
      <w:numFmt w:val="decimal"/>
      <w:lvlText w:val="%2."/>
      <w:lvlJc w:val="left"/>
      <w:pPr>
        <w:tabs>
          <w:tab w:val="num" w:pos="585"/>
        </w:tabs>
        <w:ind w:left="585" w:hanging="360"/>
      </w:pPr>
    </w:lvl>
    <w:lvl w:ilvl="2" w:tplc="A590F99E">
      <w:start w:val="1"/>
      <w:numFmt w:val="decimal"/>
      <w:lvlText w:val="%3."/>
      <w:lvlJc w:val="left"/>
      <w:pPr>
        <w:tabs>
          <w:tab w:val="num" w:pos="1305"/>
        </w:tabs>
        <w:ind w:left="1305" w:hanging="360"/>
      </w:pPr>
    </w:lvl>
    <w:lvl w:ilvl="3" w:tplc="C5C821F0">
      <w:start w:val="1"/>
      <w:numFmt w:val="decimal"/>
      <w:lvlText w:val="%4."/>
      <w:lvlJc w:val="left"/>
      <w:pPr>
        <w:tabs>
          <w:tab w:val="num" w:pos="2025"/>
        </w:tabs>
        <w:ind w:left="2025" w:hanging="360"/>
      </w:pPr>
    </w:lvl>
    <w:lvl w:ilvl="4" w:tplc="41DE3E0E">
      <w:start w:val="1"/>
      <w:numFmt w:val="decimal"/>
      <w:lvlText w:val="%5."/>
      <w:lvlJc w:val="left"/>
      <w:pPr>
        <w:tabs>
          <w:tab w:val="num" w:pos="2745"/>
        </w:tabs>
        <w:ind w:left="2745" w:hanging="360"/>
      </w:pPr>
    </w:lvl>
    <w:lvl w:ilvl="5" w:tplc="EDE87368">
      <w:start w:val="1"/>
      <w:numFmt w:val="decimal"/>
      <w:lvlText w:val="%6."/>
      <w:lvlJc w:val="left"/>
      <w:pPr>
        <w:tabs>
          <w:tab w:val="num" w:pos="3465"/>
        </w:tabs>
        <w:ind w:left="3465" w:hanging="360"/>
      </w:pPr>
    </w:lvl>
    <w:lvl w:ilvl="6" w:tplc="CE9A97D0">
      <w:start w:val="1"/>
      <w:numFmt w:val="decimal"/>
      <w:lvlText w:val="%7."/>
      <w:lvlJc w:val="left"/>
      <w:pPr>
        <w:tabs>
          <w:tab w:val="num" w:pos="4185"/>
        </w:tabs>
        <w:ind w:left="4185" w:hanging="360"/>
      </w:pPr>
    </w:lvl>
    <w:lvl w:ilvl="7" w:tplc="A8DC996C">
      <w:start w:val="1"/>
      <w:numFmt w:val="decimal"/>
      <w:lvlText w:val="%8."/>
      <w:lvlJc w:val="left"/>
      <w:pPr>
        <w:tabs>
          <w:tab w:val="num" w:pos="4905"/>
        </w:tabs>
        <w:ind w:left="4905" w:hanging="360"/>
      </w:pPr>
    </w:lvl>
    <w:lvl w:ilvl="8" w:tplc="3910898E">
      <w:start w:val="1"/>
      <w:numFmt w:val="decimal"/>
      <w:lvlText w:val="%9."/>
      <w:lvlJc w:val="left"/>
      <w:pPr>
        <w:tabs>
          <w:tab w:val="num" w:pos="5625"/>
        </w:tabs>
        <w:ind w:left="5625" w:hanging="360"/>
      </w:pPr>
    </w:lvl>
  </w:abstractNum>
  <w:abstractNum w:abstractNumId="20" w15:restartNumberingAfterBreak="0">
    <w:nsid w:val="6C8C7B5A"/>
    <w:multiLevelType w:val="hybridMultilevel"/>
    <w:tmpl w:val="993AE9FC"/>
    <w:lvl w:ilvl="0" w:tplc="52C00230">
      <w:start w:val="1"/>
      <w:numFmt w:val="bullet"/>
      <w:lvlText w:val=""/>
      <w:lvlJc w:val="left"/>
      <w:pPr>
        <w:ind w:left="720" w:hanging="360"/>
      </w:pPr>
      <w:rPr>
        <w:rFonts w:ascii="Symbol" w:hAnsi="Symbol" w:hint="default"/>
      </w:rPr>
    </w:lvl>
    <w:lvl w:ilvl="1" w:tplc="67CEBCF2" w:tentative="1">
      <w:start w:val="1"/>
      <w:numFmt w:val="bullet"/>
      <w:lvlText w:val="o"/>
      <w:lvlJc w:val="left"/>
      <w:pPr>
        <w:ind w:left="1440" w:hanging="360"/>
      </w:pPr>
      <w:rPr>
        <w:rFonts w:ascii="Courier New" w:hAnsi="Courier New" w:cs="Courier New" w:hint="default"/>
      </w:rPr>
    </w:lvl>
    <w:lvl w:ilvl="2" w:tplc="308A6E3E" w:tentative="1">
      <w:start w:val="1"/>
      <w:numFmt w:val="bullet"/>
      <w:lvlText w:val=""/>
      <w:lvlJc w:val="left"/>
      <w:pPr>
        <w:ind w:left="2160" w:hanging="360"/>
      </w:pPr>
      <w:rPr>
        <w:rFonts w:ascii="Wingdings" w:hAnsi="Wingdings" w:hint="default"/>
      </w:rPr>
    </w:lvl>
    <w:lvl w:ilvl="3" w:tplc="BB3A17DA" w:tentative="1">
      <w:start w:val="1"/>
      <w:numFmt w:val="bullet"/>
      <w:lvlText w:val=""/>
      <w:lvlJc w:val="left"/>
      <w:pPr>
        <w:ind w:left="2880" w:hanging="360"/>
      </w:pPr>
      <w:rPr>
        <w:rFonts w:ascii="Symbol" w:hAnsi="Symbol" w:hint="default"/>
      </w:rPr>
    </w:lvl>
    <w:lvl w:ilvl="4" w:tplc="82E87DC8" w:tentative="1">
      <w:start w:val="1"/>
      <w:numFmt w:val="bullet"/>
      <w:lvlText w:val="o"/>
      <w:lvlJc w:val="left"/>
      <w:pPr>
        <w:ind w:left="3600" w:hanging="360"/>
      </w:pPr>
      <w:rPr>
        <w:rFonts w:ascii="Courier New" w:hAnsi="Courier New" w:cs="Courier New" w:hint="default"/>
      </w:rPr>
    </w:lvl>
    <w:lvl w:ilvl="5" w:tplc="DE063012" w:tentative="1">
      <w:start w:val="1"/>
      <w:numFmt w:val="bullet"/>
      <w:lvlText w:val=""/>
      <w:lvlJc w:val="left"/>
      <w:pPr>
        <w:ind w:left="4320" w:hanging="360"/>
      </w:pPr>
      <w:rPr>
        <w:rFonts w:ascii="Wingdings" w:hAnsi="Wingdings" w:hint="default"/>
      </w:rPr>
    </w:lvl>
    <w:lvl w:ilvl="6" w:tplc="955670D4" w:tentative="1">
      <w:start w:val="1"/>
      <w:numFmt w:val="bullet"/>
      <w:lvlText w:val=""/>
      <w:lvlJc w:val="left"/>
      <w:pPr>
        <w:ind w:left="5040" w:hanging="360"/>
      </w:pPr>
      <w:rPr>
        <w:rFonts w:ascii="Symbol" w:hAnsi="Symbol" w:hint="default"/>
      </w:rPr>
    </w:lvl>
    <w:lvl w:ilvl="7" w:tplc="01C64E26" w:tentative="1">
      <w:start w:val="1"/>
      <w:numFmt w:val="bullet"/>
      <w:lvlText w:val="o"/>
      <w:lvlJc w:val="left"/>
      <w:pPr>
        <w:ind w:left="5760" w:hanging="360"/>
      </w:pPr>
      <w:rPr>
        <w:rFonts w:ascii="Courier New" w:hAnsi="Courier New" w:cs="Courier New" w:hint="default"/>
      </w:rPr>
    </w:lvl>
    <w:lvl w:ilvl="8" w:tplc="A04E511C" w:tentative="1">
      <w:start w:val="1"/>
      <w:numFmt w:val="bullet"/>
      <w:lvlText w:val=""/>
      <w:lvlJc w:val="left"/>
      <w:pPr>
        <w:ind w:left="6480" w:hanging="360"/>
      </w:pPr>
      <w:rPr>
        <w:rFonts w:ascii="Wingdings" w:hAnsi="Wingdings" w:hint="default"/>
      </w:rPr>
    </w:lvl>
  </w:abstractNum>
  <w:abstractNum w:abstractNumId="21" w15:restartNumberingAfterBreak="0">
    <w:nsid w:val="72394079"/>
    <w:multiLevelType w:val="hybridMultilevel"/>
    <w:tmpl w:val="2DF8F716"/>
    <w:lvl w:ilvl="0" w:tplc="6D62D548">
      <w:start w:val="1"/>
      <w:numFmt w:val="bullet"/>
      <w:lvlText w:val=""/>
      <w:lvlJc w:val="left"/>
      <w:pPr>
        <w:ind w:left="720" w:hanging="360"/>
      </w:pPr>
      <w:rPr>
        <w:rFonts w:ascii="Symbol" w:hAnsi="Symbol" w:hint="default"/>
      </w:rPr>
    </w:lvl>
    <w:lvl w:ilvl="1" w:tplc="D7462CBA" w:tentative="1">
      <w:start w:val="1"/>
      <w:numFmt w:val="bullet"/>
      <w:lvlText w:val="o"/>
      <w:lvlJc w:val="left"/>
      <w:pPr>
        <w:ind w:left="1440" w:hanging="360"/>
      </w:pPr>
      <w:rPr>
        <w:rFonts w:ascii="Courier New" w:hAnsi="Courier New" w:cs="Courier New" w:hint="default"/>
      </w:rPr>
    </w:lvl>
    <w:lvl w:ilvl="2" w:tplc="5D201E5C" w:tentative="1">
      <w:start w:val="1"/>
      <w:numFmt w:val="bullet"/>
      <w:lvlText w:val=""/>
      <w:lvlJc w:val="left"/>
      <w:pPr>
        <w:ind w:left="2160" w:hanging="360"/>
      </w:pPr>
      <w:rPr>
        <w:rFonts w:ascii="Wingdings" w:hAnsi="Wingdings" w:hint="default"/>
      </w:rPr>
    </w:lvl>
    <w:lvl w:ilvl="3" w:tplc="3782DB66" w:tentative="1">
      <w:start w:val="1"/>
      <w:numFmt w:val="bullet"/>
      <w:lvlText w:val=""/>
      <w:lvlJc w:val="left"/>
      <w:pPr>
        <w:ind w:left="2880" w:hanging="360"/>
      </w:pPr>
      <w:rPr>
        <w:rFonts w:ascii="Symbol" w:hAnsi="Symbol" w:hint="default"/>
      </w:rPr>
    </w:lvl>
    <w:lvl w:ilvl="4" w:tplc="91445A20" w:tentative="1">
      <w:start w:val="1"/>
      <w:numFmt w:val="bullet"/>
      <w:lvlText w:val="o"/>
      <w:lvlJc w:val="left"/>
      <w:pPr>
        <w:ind w:left="3600" w:hanging="360"/>
      </w:pPr>
      <w:rPr>
        <w:rFonts w:ascii="Courier New" w:hAnsi="Courier New" w:cs="Courier New" w:hint="default"/>
      </w:rPr>
    </w:lvl>
    <w:lvl w:ilvl="5" w:tplc="F710C366" w:tentative="1">
      <w:start w:val="1"/>
      <w:numFmt w:val="bullet"/>
      <w:lvlText w:val=""/>
      <w:lvlJc w:val="left"/>
      <w:pPr>
        <w:ind w:left="4320" w:hanging="360"/>
      </w:pPr>
      <w:rPr>
        <w:rFonts w:ascii="Wingdings" w:hAnsi="Wingdings" w:hint="default"/>
      </w:rPr>
    </w:lvl>
    <w:lvl w:ilvl="6" w:tplc="C4E8B0DA" w:tentative="1">
      <w:start w:val="1"/>
      <w:numFmt w:val="bullet"/>
      <w:lvlText w:val=""/>
      <w:lvlJc w:val="left"/>
      <w:pPr>
        <w:ind w:left="5040" w:hanging="360"/>
      </w:pPr>
      <w:rPr>
        <w:rFonts w:ascii="Symbol" w:hAnsi="Symbol" w:hint="default"/>
      </w:rPr>
    </w:lvl>
    <w:lvl w:ilvl="7" w:tplc="2EC212CE" w:tentative="1">
      <w:start w:val="1"/>
      <w:numFmt w:val="bullet"/>
      <w:lvlText w:val="o"/>
      <w:lvlJc w:val="left"/>
      <w:pPr>
        <w:ind w:left="5760" w:hanging="360"/>
      </w:pPr>
      <w:rPr>
        <w:rFonts w:ascii="Courier New" w:hAnsi="Courier New" w:cs="Courier New" w:hint="default"/>
      </w:rPr>
    </w:lvl>
    <w:lvl w:ilvl="8" w:tplc="A4C00352" w:tentative="1">
      <w:start w:val="1"/>
      <w:numFmt w:val="bullet"/>
      <w:lvlText w:val=""/>
      <w:lvlJc w:val="left"/>
      <w:pPr>
        <w:ind w:left="6480" w:hanging="360"/>
      </w:pPr>
      <w:rPr>
        <w:rFonts w:ascii="Wingdings" w:hAnsi="Wingdings" w:hint="default"/>
      </w:rPr>
    </w:lvl>
  </w:abstractNum>
  <w:abstractNum w:abstractNumId="22" w15:restartNumberingAfterBreak="0">
    <w:nsid w:val="76D21E05"/>
    <w:multiLevelType w:val="hybridMultilevel"/>
    <w:tmpl w:val="E44A9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70AECD4"/>
    <w:multiLevelType w:val="hybridMultilevel"/>
    <w:tmpl w:val="F0690DB9"/>
    <w:lvl w:ilvl="0" w:tplc="FC76D4AC">
      <w:start w:val="1"/>
      <w:numFmt w:val="decimal"/>
      <w:lvlText w:val=""/>
      <w:lvlJc w:val="left"/>
    </w:lvl>
    <w:lvl w:ilvl="1" w:tplc="58C00EE2">
      <w:numFmt w:val="decimal"/>
      <w:lvlText w:val=""/>
      <w:lvlJc w:val="left"/>
    </w:lvl>
    <w:lvl w:ilvl="2" w:tplc="3586DB82">
      <w:numFmt w:val="decimal"/>
      <w:lvlText w:val=""/>
      <w:lvlJc w:val="left"/>
    </w:lvl>
    <w:lvl w:ilvl="3" w:tplc="BB3A44B6">
      <w:numFmt w:val="decimal"/>
      <w:lvlText w:val=""/>
      <w:lvlJc w:val="left"/>
    </w:lvl>
    <w:lvl w:ilvl="4" w:tplc="7C7C13B6">
      <w:numFmt w:val="decimal"/>
      <w:lvlText w:val=""/>
      <w:lvlJc w:val="left"/>
    </w:lvl>
    <w:lvl w:ilvl="5" w:tplc="999ED658">
      <w:numFmt w:val="decimal"/>
      <w:lvlText w:val=""/>
      <w:lvlJc w:val="left"/>
    </w:lvl>
    <w:lvl w:ilvl="6" w:tplc="ABF4512A">
      <w:numFmt w:val="decimal"/>
      <w:lvlText w:val=""/>
      <w:lvlJc w:val="left"/>
    </w:lvl>
    <w:lvl w:ilvl="7" w:tplc="41A0E48E">
      <w:numFmt w:val="decimal"/>
      <w:lvlText w:val=""/>
      <w:lvlJc w:val="left"/>
    </w:lvl>
    <w:lvl w:ilvl="8" w:tplc="A29EF4C0">
      <w:numFmt w:val="decimal"/>
      <w:lvlText w:val=""/>
      <w:lvlJc w:val="left"/>
    </w:lvl>
  </w:abstractNum>
  <w:abstractNum w:abstractNumId="24" w15:restartNumberingAfterBreak="0">
    <w:nsid w:val="7C813844"/>
    <w:multiLevelType w:val="hybridMultilevel"/>
    <w:tmpl w:val="7272DE94"/>
    <w:lvl w:ilvl="0" w:tplc="59FE007A">
      <w:start w:val="1"/>
      <w:numFmt w:val="bullet"/>
      <w:lvlText w:val=""/>
      <w:lvlJc w:val="left"/>
      <w:pPr>
        <w:ind w:left="360" w:hanging="360"/>
      </w:pPr>
      <w:rPr>
        <w:rFonts w:ascii="Symbol" w:hAnsi="Symbol" w:hint="default"/>
      </w:rPr>
    </w:lvl>
    <w:lvl w:ilvl="1" w:tplc="7F8202F8" w:tentative="1">
      <w:start w:val="1"/>
      <w:numFmt w:val="bullet"/>
      <w:lvlText w:val="o"/>
      <w:lvlJc w:val="left"/>
      <w:pPr>
        <w:ind w:left="1080" w:hanging="360"/>
      </w:pPr>
      <w:rPr>
        <w:rFonts w:ascii="Courier New" w:hAnsi="Courier New" w:cs="Courier New" w:hint="default"/>
      </w:rPr>
    </w:lvl>
    <w:lvl w:ilvl="2" w:tplc="5F42DA52" w:tentative="1">
      <w:start w:val="1"/>
      <w:numFmt w:val="bullet"/>
      <w:lvlText w:val=""/>
      <w:lvlJc w:val="left"/>
      <w:pPr>
        <w:ind w:left="1800" w:hanging="360"/>
      </w:pPr>
      <w:rPr>
        <w:rFonts w:ascii="Wingdings" w:hAnsi="Wingdings" w:hint="default"/>
      </w:rPr>
    </w:lvl>
    <w:lvl w:ilvl="3" w:tplc="2018A68A" w:tentative="1">
      <w:start w:val="1"/>
      <w:numFmt w:val="bullet"/>
      <w:lvlText w:val=""/>
      <w:lvlJc w:val="left"/>
      <w:pPr>
        <w:ind w:left="2520" w:hanging="360"/>
      </w:pPr>
      <w:rPr>
        <w:rFonts w:ascii="Symbol" w:hAnsi="Symbol" w:hint="default"/>
      </w:rPr>
    </w:lvl>
    <w:lvl w:ilvl="4" w:tplc="A7CA6D0A" w:tentative="1">
      <w:start w:val="1"/>
      <w:numFmt w:val="bullet"/>
      <w:lvlText w:val="o"/>
      <w:lvlJc w:val="left"/>
      <w:pPr>
        <w:ind w:left="3240" w:hanging="360"/>
      </w:pPr>
      <w:rPr>
        <w:rFonts w:ascii="Courier New" w:hAnsi="Courier New" w:cs="Courier New" w:hint="default"/>
      </w:rPr>
    </w:lvl>
    <w:lvl w:ilvl="5" w:tplc="B63A6A82" w:tentative="1">
      <w:start w:val="1"/>
      <w:numFmt w:val="bullet"/>
      <w:lvlText w:val=""/>
      <w:lvlJc w:val="left"/>
      <w:pPr>
        <w:ind w:left="3960" w:hanging="360"/>
      </w:pPr>
      <w:rPr>
        <w:rFonts w:ascii="Wingdings" w:hAnsi="Wingdings" w:hint="default"/>
      </w:rPr>
    </w:lvl>
    <w:lvl w:ilvl="6" w:tplc="8F400624" w:tentative="1">
      <w:start w:val="1"/>
      <w:numFmt w:val="bullet"/>
      <w:lvlText w:val=""/>
      <w:lvlJc w:val="left"/>
      <w:pPr>
        <w:ind w:left="4680" w:hanging="360"/>
      </w:pPr>
      <w:rPr>
        <w:rFonts w:ascii="Symbol" w:hAnsi="Symbol" w:hint="default"/>
      </w:rPr>
    </w:lvl>
    <w:lvl w:ilvl="7" w:tplc="0AEC7492" w:tentative="1">
      <w:start w:val="1"/>
      <w:numFmt w:val="bullet"/>
      <w:lvlText w:val="o"/>
      <w:lvlJc w:val="left"/>
      <w:pPr>
        <w:ind w:left="5400" w:hanging="360"/>
      </w:pPr>
      <w:rPr>
        <w:rFonts w:ascii="Courier New" w:hAnsi="Courier New" w:cs="Courier New" w:hint="default"/>
      </w:rPr>
    </w:lvl>
    <w:lvl w:ilvl="8" w:tplc="67546E90"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3"/>
  </w:num>
  <w:num w:numId="7">
    <w:abstractNumId w:val="16"/>
  </w:num>
  <w:num w:numId="8">
    <w:abstractNumId w:val="21"/>
  </w:num>
  <w:num w:numId="9">
    <w:abstractNumId w:val="20"/>
  </w:num>
  <w:num w:numId="10">
    <w:abstractNumId w:val="24"/>
  </w:num>
  <w:num w:numId="11">
    <w:abstractNumId w:val="11"/>
  </w:num>
  <w:num w:numId="12">
    <w:abstractNumId w:val="10"/>
  </w:num>
  <w:num w:numId="13">
    <w:abstractNumId w:val="15"/>
  </w:num>
  <w:num w:numId="14">
    <w:abstractNumId w:val="14"/>
  </w:num>
  <w:num w:numId="15">
    <w:abstractNumId w:val="8"/>
  </w:num>
  <w:num w:numId="16">
    <w:abstractNumId w:val="9"/>
  </w:num>
  <w:num w:numId="17">
    <w:abstractNumId w:val="18"/>
  </w:num>
  <w:num w:numId="18">
    <w:abstractNumId w:val="17"/>
  </w:num>
  <w:num w:numId="19">
    <w:abstractNumId w:val="23"/>
  </w:num>
  <w:num w:numId="20">
    <w:abstractNumId w:val="0"/>
  </w:num>
  <w:num w:numId="21">
    <w:abstractNumId w:val="1"/>
  </w:num>
  <w:num w:numId="22">
    <w:abstractNumId w:val="2"/>
  </w:num>
  <w:num w:numId="23">
    <w:abstractNumId w:val="3"/>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4611"/>
    <w:rsid w:val="000007FF"/>
    <w:rsid w:val="00000C74"/>
    <w:rsid w:val="00005648"/>
    <w:rsid w:val="0000574B"/>
    <w:rsid w:val="00005E01"/>
    <w:rsid w:val="0001101A"/>
    <w:rsid w:val="00011571"/>
    <w:rsid w:val="00012136"/>
    <w:rsid w:val="00014B99"/>
    <w:rsid w:val="000179CA"/>
    <w:rsid w:val="0002014F"/>
    <w:rsid w:val="0002325F"/>
    <w:rsid w:val="00025464"/>
    <w:rsid w:val="00027D26"/>
    <w:rsid w:val="000354E8"/>
    <w:rsid w:val="00035649"/>
    <w:rsid w:val="00035F13"/>
    <w:rsid w:val="000373CC"/>
    <w:rsid w:val="00041973"/>
    <w:rsid w:val="00045D11"/>
    <w:rsid w:val="0005483D"/>
    <w:rsid w:val="00056A93"/>
    <w:rsid w:val="00062014"/>
    <w:rsid w:val="00063A7D"/>
    <w:rsid w:val="00072419"/>
    <w:rsid w:val="000730EF"/>
    <w:rsid w:val="00073DE6"/>
    <w:rsid w:val="000758A6"/>
    <w:rsid w:val="00077CB9"/>
    <w:rsid w:val="00081BF4"/>
    <w:rsid w:val="00082D4B"/>
    <w:rsid w:val="000846BB"/>
    <w:rsid w:val="00086621"/>
    <w:rsid w:val="00097400"/>
    <w:rsid w:val="000A2001"/>
    <w:rsid w:val="000A62F3"/>
    <w:rsid w:val="000B14DD"/>
    <w:rsid w:val="000B3290"/>
    <w:rsid w:val="000B3EE0"/>
    <w:rsid w:val="000B7DB0"/>
    <w:rsid w:val="000C057C"/>
    <w:rsid w:val="000C2D8C"/>
    <w:rsid w:val="000C4C8D"/>
    <w:rsid w:val="000D0ED5"/>
    <w:rsid w:val="000D241E"/>
    <w:rsid w:val="000D2485"/>
    <w:rsid w:val="000D2BE2"/>
    <w:rsid w:val="000D3A7B"/>
    <w:rsid w:val="000D4211"/>
    <w:rsid w:val="000D6821"/>
    <w:rsid w:val="000E0234"/>
    <w:rsid w:val="000E5254"/>
    <w:rsid w:val="000E6FBB"/>
    <w:rsid w:val="000F3B0C"/>
    <w:rsid w:val="00106726"/>
    <w:rsid w:val="001119CB"/>
    <w:rsid w:val="00112920"/>
    <w:rsid w:val="0012232C"/>
    <w:rsid w:val="00130F3A"/>
    <w:rsid w:val="001321F1"/>
    <w:rsid w:val="00142ABC"/>
    <w:rsid w:val="00143B7C"/>
    <w:rsid w:val="00155225"/>
    <w:rsid w:val="00157526"/>
    <w:rsid w:val="0016269C"/>
    <w:rsid w:val="00164161"/>
    <w:rsid w:val="0016671B"/>
    <w:rsid w:val="00171049"/>
    <w:rsid w:val="00172633"/>
    <w:rsid w:val="0017452A"/>
    <w:rsid w:val="00177050"/>
    <w:rsid w:val="00181044"/>
    <w:rsid w:val="00184F55"/>
    <w:rsid w:val="00187DB3"/>
    <w:rsid w:val="001A638E"/>
    <w:rsid w:val="001C5615"/>
    <w:rsid w:val="001D08FC"/>
    <w:rsid w:val="001D2A46"/>
    <w:rsid w:val="001D3E19"/>
    <w:rsid w:val="001D50F2"/>
    <w:rsid w:val="001D77DD"/>
    <w:rsid w:val="001E2A13"/>
    <w:rsid w:val="001F2165"/>
    <w:rsid w:val="001F38B6"/>
    <w:rsid w:val="00203115"/>
    <w:rsid w:val="00204B58"/>
    <w:rsid w:val="00207B4D"/>
    <w:rsid w:val="00211D8C"/>
    <w:rsid w:val="00216EE5"/>
    <w:rsid w:val="00223C5D"/>
    <w:rsid w:val="002365C1"/>
    <w:rsid w:val="002368C4"/>
    <w:rsid w:val="00242069"/>
    <w:rsid w:val="00245284"/>
    <w:rsid w:val="002514CF"/>
    <w:rsid w:val="00256763"/>
    <w:rsid w:val="002776E4"/>
    <w:rsid w:val="00280242"/>
    <w:rsid w:val="00287EA6"/>
    <w:rsid w:val="0029131D"/>
    <w:rsid w:val="00294B16"/>
    <w:rsid w:val="002A33D3"/>
    <w:rsid w:val="002B0AE6"/>
    <w:rsid w:val="002B0C96"/>
    <w:rsid w:val="002B4BFC"/>
    <w:rsid w:val="002C1A07"/>
    <w:rsid w:val="002C3499"/>
    <w:rsid w:val="002C5065"/>
    <w:rsid w:val="002E34A3"/>
    <w:rsid w:val="002E5830"/>
    <w:rsid w:val="002F5AAD"/>
    <w:rsid w:val="002F5CEC"/>
    <w:rsid w:val="002F78B4"/>
    <w:rsid w:val="002F7DE5"/>
    <w:rsid w:val="00301F11"/>
    <w:rsid w:val="00322C63"/>
    <w:rsid w:val="00327561"/>
    <w:rsid w:val="003342FB"/>
    <w:rsid w:val="00336BCE"/>
    <w:rsid w:val="00346459"/>
    <w:rsid w:val="003467EE"/>
    <w:rsid w:val="0035436B"/>
    <w:rsid w:val="00363080"/>
    <w:rsid w:val="00373060"/>
    <w:rsid w:val="0038008B"/>
    <w:rsid w:val="00382152"/>
    <w:rsid w:val="003A3A4C"/>
    <w:rsid w:val="003A5AAE"/>
    <w:rsid w:val="003A799E"/>
    <w:rsid w:val="003B19B6"/>
    <w:rsid w:val="003B5F27"/>
    <w:rsid w:val="003C1C12"/>
    <w:rsid w:val="003C4BE1"/>
    <w:rsid w:val="003C6C26"/>
    <w:rsid w:val="003D5C63"/>
    <w:rsid w:val="003D65B2"/>
    <w:rsid w:val="003F44DE"/>
    <w:rsid w:val="003F571E"/>
    <w:rsid w:val="003F5FC9"/>
    <w:rsid w:val="003F67A7"/>
    <w:rsid w:val="004023AE"/>
    <w:rsid w:val="00406B18"/>
    <w:rsid w:val="00416F87"/>
    <w:rsid w:val="00435C0C"/>
    <w:rsid w:val="004360DA"/>
    <w:rsid w:val="00440AB6"/>
    <w:rsid w:val="00444611"/>
    <w:rsid w:val="00446F21"/>
    <w:rsid w:val="0045140F"/>
    <w:rsid w:val="00452D88"/>
    <w:rsid w:val="00474834"/>
    <w:rsid w:val="0047634F"/>
    <w:rsid w:val="004779B2"/>
    <w:rsid w:val="00483856"/>
    <w:rsid w:val="00496CD7"/>
    <w:rsid w:val="004A1261"/>
    <w:rsid w:val="004A1E3F"/>
    <w:rsid w:val="004A278E"/>
    <w:rsid w:val="004B6AA8"/>
    <w:rsid w:val="004C520F"/>
    <w:rsid w:val="004C60C8"/>
    <w:rsid w:val="004C729B"/>
    <w:rsid w:val="004D4DFC"/>
    <w:rsid w:val="004D5169"/>
    <w:rsid w:val="004D5892"/>
    <w:rsid w:val="0050330C"/>
    <w:rsid w:val="00510712"/>
    <w:rsid w:val="00522DB0"/>
    <w:rsid w:val="00530020"/>
    <w:rsid w:val="00530AD3"/>
    <w:rsid w:val="00530C75"/>
    <w:rsid w:val="005330B4"/>
    <w:rsid w:val="00536F79"/>
    <w:rsid w:val="00536FD6"/>
    <w:rsid w:val="00555209"/>
    <w:rsid w:val="005601CA"/>
    <w:rsid w:val="005674A5"/>
    <w:rsid w:val="00571423"/>
    <w:rsid w:val="005723C9"/>
    <w:rsid w:val="00576488"/>
    <w:rsid w:val="0057768A"/>
    <w:rsid w:val="00583861"/>
    <w:rsid w:val="00585915"/>
    <w:rsid w:val="005873BA"/>
    <w:rsid w:val="0059028E"/>
    <w:rsid w:val="005902F4"/>
    <w:rsid w:val="00590369"/>
    <w:rsid w:val="00594746"/>
    <w:rsid w:val="005A6808"/>
    <w:rsid w:val="005A6A0F"/>
    <w:rsid w:val="005A6B91"/>
    <w:rsid w:val="005C10F4"/>
    <w:rsid w:val="005C12F3"/>
    <w:rsid w:val="005C4792"/>
    <w:rsid w:val="005C7E6A"/>
    <w:rsid w:val="005E0A27"/>
    <w:rsid w:val="005E46D5"/>
    <w:rsid w:val="005F5189"/>
    <w:rsid w:val="005F59AA"/>
    <w:rsid w:val="005F5CA2"/>
    <w:rsid w:val="005F6E0B"/>
    <w:rsid w:val="00602DEC"/>
    <w:rsid w:val="00607E16"/>
    <w:rsid w:val="006128C0"/>
    <w:rsid w:val="006147CA"/>
    <w:rsid w:val="006154A2"/>
    <w:rsid w:val="006157F2"/>
    <w:rsid w:val="00617D7A"/>
    <w:rsid w:val="00640DDA"/>
    <w:rsid w:val="00643FA7"/>
    <w:rsid w:val="00644A69"/>
    <w:rsid w:val="0065614C"/>
    <w:rsid w:val="006563A2"/>
    <w:rsid w:val="0066315D"/>
    <w:rsid w:val="00663CA5"/>
    <w:rsid w:val="00671A59"/>
    <w:rsid w:val="00674743"/>
    <w:rsid w:val="00687297"/>
    <w:rsid w:val="00691863"/>
    <w:rsid w:val="0069256B"/>
    <w:rsid w:val="00695C9B"/>
    <w:rsid w:val="006A37F4"/>
    <w:rsid w:val="006C2C00"/>
    <w:rsid w:val="006C4808"/>
    <w:rsid w:val="006C6800"/>
    <w:rsid w:val="006D1FB9"/>
    <w:rsid w:val="006D29B5"/>
    <w:rsid w:val="006E0BAA"/>
    <w:rsid w:val="006E599E"/>
    <w:rsid w:val="006E5FED"/>
    <w:rsid w:val="006F30A5"/>
    <w:rsid w:val="006F464A"/>
    <w:rsid w:val="006F5E0E"/>
    <w:rsid w:val="006F7CC9"/>
    <w:rsid w:val="0070326A"/>
    <w:rsid w:val="007038FC"/>
    <w:rsid w:val="00710889"/>
    <w:rsid w:val="007109F5"/>
    <w:rsid w:val="00716941"/>
    <w:rsid w:val="00720284"/>
    <w:rsid w:val="007235A8"/>
    <w:rsid w:val="007262C5"/>
    <w:rsid w:val="00733056"/>
    <w:rsid w:val="00735512"/>
    <w:rsid w:val="0074091B"/>
    <w:rsid w:val="00742C8A"/>
    <w:rsid w:val="007463E6"/>
    <w:rsid w:val="00754A08"/>
    <w:rsid w:val="0075674D"/>
    <w:rsid w:val="00761311"/>
    <w:rsid w:val="00764148"/>
    <w:rsid w:val="0077086A"/>
    <w:rsid w:val="0077390D"/>
    <w:rsid w:val="007848E5"/>
    <w:rsid w:val="007858DA"/>
    <w:rsid w:val="0079221B"/>
    <w:rsid w:val="0079240F"/>
    <w:rsid w:val="007C2550"/>
    <w:rsid w:val="007D5DBE"/>
    <w:rsid w:val="007E74ED"/>
    <w:rsid w:val="007F297E"/>
    <w:rsid w:val="007F31D7"/>
    <w:rsid w:val="007F352A"/>
    <w:rsid w:val="00803425"/>
    <w:rsid w:val="00810BC1"/>
    <w:rsid w:val="00811D97"/>
    <w:rsid w:val="008203F3"/>
    <w:rsid w:val="00824927"/>
    <w:rsid w:val="00827096"/>
    <w:rsid w:val="0083397C"/>
    <w:rsid w:val="00835420"/>
    <w:rsid w:val="00840609"/>
    <w:rsid w:val="008426A3"/>
    <w:rsid w:val="00842AFE"/>
    <w:rsid w:val="00850329"/>
    <w:rsid w:val="00851019"/>
    <w:rsid w:val="0085187A"/>
    <w:rsid w:val="00851E11"/>
    <w:rsid w:val="00852161"/>
    <w:rsid w:val="008700EA"/>
    <w:rsid w:val="008710E6"/>
    <w:rsid w:val="00877160"/>
    <w:rsid w:val="0088252C"/>
    <w:rsid w:val="00887287"/>
    <w:rsid w:val="00896731"/>
    <w:rsid w:val="008B0018"/>
    <w:rsid w:val="008B3CE2"/>
    <w:rsid w:val="008B5439"/>
    <w:rsid w:val="008B6157"/>
    <w:rsid w:val="008C0298"/>
    <w:rsid w:val="008C0532"/>
    <w:rsid w:val="008C12F5"/>
    <w:rsid w:val="008C75CA"/>
    <w:rsid w:val="008D0EC2"/>
    <w:rsid w:val="008D5DBD"/>
    <w:rsid w:val="008E31E9"/>
    <w:rsid w:val="008F185F"/>
    <w:rsid w:val="008F4CED"/>
    <w:rsid w:val="008F4FC1"/>
    <w:rsid w:val="008F57E1"/>
    <w:rsid w:val="00910D76"/>
    <w:rsid w:val="00915441"/>
    <w:rsid w:val="00933E16"/>
    <w:rsid w:val="009435C3"/>
    <w:rsid w:val="0097224E"/>
    <w:rsid w:val="00975C4D"/>
    <w:rsid w:val="00993D5A"/>
    <w:rsid w:val="00994F46"/>
    <w:rsid w:val="009A0875"/>
    <w:rsid w:val="009A4EEB"/>
    <w:rsid w:val="009B4138"/>
    <w:rsid w:val="009B5121"/>
    <w:rsid w:val="009C2849"/>
    <w:rsid w:val="009C4AF1"/>
    <w:rsid w:val="009C7318"/>
    <w:rsid w:val="009E5D92"/>
    <w:rsid w:val="009E7D04"/>
    <w:rsid w:val="00A0082A"/>
    <w:rsid w:val="00A02345"/>
    <w:rsid w:val="00A030E6"/>
    <w:rsid w:val="00A06027"/>
    <w:rsid w:val="00A11B86"/>
    <w:rsid w:val="00A17466"/>
    <w:rsid w:val="00A2032F"/>
    <w:rsid w:val="00A20812"/>
    <w:rsid w:val="00A24DB3"/>
    <w:rsid w:val="00A2734D"/>
    <w:rsid w:val="00A30B6B"/>
    <w:rsid w:val="00A330E8"/>
    <w:rsid w:val="00A345FC"/>
    <w:rsid w:val="00A3672F"/>
    <w:rsid w:val="00A41B47"/>
    <w:rsid w:val="00A43C93"/>
    <w:rsid w:val="00A511A3"/>
    <w:rsid w:val="00A5289A"/>
    <w:rsid w:val="00A5415C"/>
    <w:rsid w:val="00A559E4"/>
    <w:rsid w:val="00A603F7"/>
    <w:rsid w:val="00A608A6"/>
    <w:rsid w:val="00A6402E"/>
    <w:rsid w:val="00A64D7E"/>
    <w:rsid w:val="00A75A79"/>
    <w:rsid w:val="00A84D5E"/>
    <w:rsid w:val="00A86B13"/>
    <w:rsid w:val="00A87F8E"/>
    <w:rsid w:val="00A9097B"/>
    <w:rsid w:val="00A91E7F"/>
    <w:rsid w:val="00A925DD"/>
    <w:rsid w:val="00A9389D"/>
    <w:rsid w:val="00A9505A"/>
    <w:rsid w:val="00A978BB"/>
    <w:rsid w:val="00AA3FE6"/>
    <w:rsid w:val="00AA5015"/>
    <w:rsid w:val="00AA558E"/>
    <w:rsid w:val="00AB3833"/>
    <w:rsid w:val="00AB635E"/>
    <w:rsid w:val="00AC0F51"/>
    <w:rsid w:val="00AD7387"/>
    <w:rsid w:val="00AE3268"/>
    <w:rsid w:val="00AE7003"/>
    <w:rsid w:val="00AF1232"/>
    <w:rsid w:val="00AF6536"/>
    <w:rsid w:val="00AF798B"/>
    <w:rsid w:val="00B07BB1"/>
    <w:rsid w:val="00B218D6"/>
    <w:rsid w:val="00B259F7"/>
    <w:rsid w:val="00B4433C"/>
    <w:rsid w:val="00B51FF0"/>
    <w:rsid w:val="00B62E1E"/>
    <w:rsid w:val="00B71713"/>
    <w:rsid w:val="00B771DB"/>
    <w:rsid w:val="00B80B73"/>
    <w:rsid w:val="00B81330"/>
    <w:rsid w:val="00B843C6"/>
    <w:rsid w:val="00B86E11"/>
    <w:rsid w:val="00B877EF"/>
    <w:rsid w:val="00B90797"/>
    <w:rsid w:val="00B94177"/>
    <w:rsid w:val="00B9697B"/>
    <w:rsid w:val="00BA450F"/>
    <w:rsid w:val="00BB4B25"/>
    <w:rsid w:val="00BC63E2"/>
    <w:rsid w:val="00BC73E4"/>
    <w:rsid w:val="00BD1C5D"/>
    <w:rsid w:val="00BF3154"/>
    <w:rsid w:val="00C015A9"/>
    <w:rsid w:val="00C029F5"/>
    <w:rsid w:val="00C2067A"/>
    <w:rsid w:val="00C21675"/>
    <w:rsid w:val="00C254D6"/>
    <w:rsid w:val="00C34082"/>
    <w:rsid w:val="00C35A0F"/>
    <w:rsid w:val="00C3614F"/>
    <w:rsid w:val="00C4233B"/>
    <w:rsid w:val="00C467F1"/>
    <w:rsid w:val="00C504C1"/>
    <w:rsid w:val="00C51036"/>
    <w:rsid w:val="00C7243B"/>
    <w:rsid w:val="00C74469"/>
    <w:rsid w:val="00C75E2A"/>
    <w:rsid w:val="00C77981"/>
    <w:rsid w:val="00C85102"/>
    <w:rsid w:val="00C8670A"/>
    <w:rsid w:val="00C92EBA"/>
    <w:rsid w:val="00C964DC"/>
    <w:rsid w:val="00CA0344"/>
    <w:rsid w:val="00CA313A"/>
    <w:rsid w:val="00CA73CF"/>
    <w:rsid w:val="00CB0B6A"/>
    <w:rsid w:val="00CB1AB6"/>
    <w:rsid w:val="00CC1ED4"/>
    <w:rsid w:val="00CC75B3"/>
    <w:rsid w:val="00CD66B0"/>
    <w:rsid w:val="00CE0769"/>
    <w:rsid w:val="00CE635A"/>
    <w:rsid w:val="00D03039"/>
    <w:rsid w:val="00D042DF"/>
    <w:rsid w:val="00D171EB"/>
    <w:rsid w:val="00D26FBB"/>
    <w:rsid w:val="00D27A29"/>
    <w:rsid w:val="00D348D8"/>
    <w:rsid w:val="00D41E6E"/>
    <w:rsid w:val="00D42A9D"/>
    <w:rsid w:val="00D433E7"/>
    <w:rsid w:val="00D4674F"/>
    <w:rsid w:val="00D502F6"/>
    <w:rsid w:val="00D52C4B"/>
    <w:rsid w:val="00D53F60"/>
    <w:rsid w:val="00D5510D"/>
    <w:rsid w:val="00D6338E"/>
    <w:rsid w:val="00D76279"/>
    <w:rsid w:val="00D763F0"/>
    <w:rsid w:val="00D918EB"/>
    <w:rsid w:val="00D9311F"/>
    <w:rsid w:val="00DB02B2"/>
    <w:rsid w:val="00DB3983"/>
    <w:rsid w:val="00DB3DB3"/>
    <w:rsid w:val="00DC0711"/>
    <w:rsid w:val="00DC63DB"/>
    <w:rsid w:val="00DE0AC3"/>
    <w:rsid w:val="00DE2A88"/>
    <w:rsid w:val="00DE3828"/>
    <w:rsid w:val="00E00F23"/>
    <w:rsid w:val="00E01354"/>
    <w:rsid w:val="00E102A6"/>
    <w:rsid w:val="00E1340C"/>
    <w:rsid w:val="00E3226E"/>
    <w:rsid w:val="00E33596"/>
    <w:rsid w:val="00E507A7"/>
    <w:rsid w:val="00E51859"/>
    <w:rsid w:val="00E64EBD"/>
    <w:rsid w:val="00E72C3C"/>
    <w:rsid w:val="00E774C5"/>
    <w:rsid w:val="00E81737"/>
    <w:rsid w:val="00E85370"/>
    <w:rsid w:val="00E86D34"/>
    <w:rsid w:val="00E904F4"/>
    <w:rsid w:val="00E945AD"/>
    <w:rsid w:val="00E96CBA"/>
    <w:rsid w:val="00EA0FBC"/>
    <w:rsid w:val="00EA24BC"/>
    <w:rsid w:val="00EB1414"/>
    <w:rsid w:val="00EB5BCD"/>
    <w:rsid w:val="00EC28D1"/>
    <w:rsid w:val="00EC3495"/>
    <w:rsid w:val="00EC4179"/>
    <w:rsid w:val="00ED1260"/>
    <w:rsid w:val="00F0762A"/>
    <w:rsid w:val="00F21407"/>
    <w:rsid w:val="00F2463F"/>
    <w:rsid w:val="00F26ACE"/>
    <w:rsid w:val="00F27CF0"/>
    <w:rsid w:val="00F27F63"/>
    <w:rsid w:val="00F3077E"/>
    <w:rsid w:val="00F35DB8"/>
    <w:rsid w:val="00F3674F"/>
    <w:rsid w:val="00F506F7"/>
    <w:rsid w:val="00F50EAB"/>
    <w:rsid w:val="00F64805"/>
    <w:rsid w:val="00F6497A"/>
    <w:rsid w:val="00F75094"/>
    <w:rsid w:val="00F77931"/>
    <w:rsid w:val="00F8430A"/>
    <w:rsid w:val="00F85AFB"/>
    <w:rsid w:val="00F920D0"/>
    <w:rsid w:val="00F927FB"/>
    <w:rsid w:val="00F92E9D"/>
    <w:rsid w:val="00F93CAF"/>
    <w:rsid w:val="00FA6579"/>
    <w:rsid w:val="00FC012D"/>
    <w:rsid w:val="00FC2066"/>
    <w:rsid w:val="00FD3DBE"/>
    <w:rsid w:val="00FD515D"/>
    <w:rsid w:val="00FD5967"/>
    <w:rsid w:val="00FD6A98"/>
    <w:rsid w:val="00FE0C02"/>
    <w:rsid w:val="00FE1361"/>
    <w:rsid w:val="00FE56AA"/>
    <w:rsid w:val="00FF23E5"/>
    <w:rsid w:val="00FF6DA5"/>
    <w:rsid w:val="00FF7A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64DEE"/>
  <w15:docId w15:val="{7412602C-252F-41CE-926B-997F05CA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3FE6"/>
    <w:rPr>
      <w:sz w:val="24"/>
      <w:szCs w:val="24"/>
      <w:lang w:val="sk-SK" w:eastAsia="sk-SK"/>
    </w:rPr>
  </w:style>
  <w:style w:type="paragraph" w:styleId="Nadpis1">
    <w:name w:val="heading 1"/>
    <w:basedOn w:val="Normlny"/>
    <w:next w:val="Normlnysozarkami"/>
    <w:link w:val="Nadpis1Char"/>
    <w:qFormat/>
    <w:rsid w:val="00AA3FE6"/>
    <w:pPr>
      <w:keepNext/>
      <w:spacing w:before="240" w:after="60"/>
      <w:outlineLvl w:val="0"/>
    </w:pPr>
    <w:rPr>
      <w:b/>
      <w:kern w:val="28"/>
      <w:sz w:val="28"/>
      <w:szCs w:val="20"/>
    </w:rPr>
  </w:style>
  <w:style w:type="paragraph" w:styleId="Nadpis2">
    <w:name w:val="heading 2"/>
    <w:basedOn w:val="Normlny"/>
    <w:next w:val="Normlnysozarkami"/>
    <w:link w:val="Nadpis2Char"/>
    <w:uiPriority w:val="9"/>
    <w:qFormat/>
    <w:rsid w:val="003841C5"/>
    <w:pPr>
      <w:keepNext/>
      <w:spacing w:before="240" w:after="60"/>
      <w:outlineLvl w:val="1"/>
    </w:pPr>
    <w:rPr>
      <w:b/>
      <w:szCs w:val="20"/>
    </w:rPr>
  </w:style>
  <w:style w:type="paragraph" w:styleId="Nadpis3">
    <w:name w:val="heading 3"/>
    <w:basedOn w:val="Normlny"/>
    <w:next w:val="Normlny"/>
    <w:link w:val="Nadpis3Char"/>
    <w:uiPriority w:val="9"/>
    <w:qFormat/>
    <w:rsid w:val="003C6F48"/>
    <w:pPr>
      <w:keepNext/>
      <w:spacing w:before="240" w:after="60"/>
      <w:outlineLvl w:val="2"/>
    </w:pPr>
    <w:rPr>
      <w:rFonts w:ascii="Cambria" w:hAnsi="Cambria"/>
      <w:b/>
      <w:bCs/>
      <w:sz w:val="26"/>
      <w:szCs w:val="26"/>
    </w:rPr>
  </w:style>
  <w:style w:type="paragraph" w:styleId="Nadpis4">
    <w:name w:val="heading 4"/>
    <w:basedOn w:val="Normlny"/>
    <w:next w:val="Normlny"/>
    <w:qFormat/>
    <w:rsid w:val="003841C5"/>
    <w:pPr>
      <w:keepNext/>
      <w:spacing w:before="240" w:after="60"/>
      <w:outlineLvl w:val="3"/>
    </w:pPr>
    <w:rPr>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ocumentHeading">
    <w:name w:val="Document Heading"/>
    <w:basedOn w:val="Normlny"/>
    <w:next w:val="Normlny"/>
    <w:rsid w:val="00444611"/>
    <w:pPr>
      <w:spacing w:after="120"/>
    </w:pPr>
    <w:rPr>
      <w:b/>
      <w:sz w:val="28"/>
      <w:szCs w:val="20"/>
    </w:rPr>
  </w:style>
  <w:style w:type="paragraph" w:styleId="Normlnysozarkami">
    <w:name w:val="Normal Indent"/>
    <w:basedOn w:val="Normlny"/>
    <w:rsid w:val="00444611"/>
    <w:pPr>
      <w:spacing w:after="120"/>
      <w:ind w:left="720"/>
    </w:pPr>
    <w:rPr>
      <w:sz w:val="22"/>
      <w:szCs w:val="20"/>
    </w:rPr>
  </w:style>
  <w:style w:type="paragraph" w:styleId="Zarkazkladnhotextu3">
    <w:name w:val="Body Text Indent 3"/>
    <w:basedOn w:val="Normlny"/>
    <w:rsid w:val="003841C5"/>
    <w:pPr>
      <w:tabs>
        <w:tab w:val="left" w:pos="1260"/>
      </w:tabs>
      <w:ind w:left="1260" w:hanging="1170"/>
    </w:pPr>
    <w:rPr>
      <w:sz w:val="28"/>
      <w:szCs w:val="20"/>
    </w:rPr>
  </w:style>
  <w:style w:type="paragraph" w:styleId="Zkladntext2">
    <w:name w:val="Body Text 2"/>
    <w:basedOn w:val="Normlny"/>
    <w:rsid w:val="003841C5"/>
    <w:pPr>
      <w:spacing w:after="120" w:line="480" w:lineRule="auto"/>
    </w:pPr>
    <w:rPr>
      <w:sz w:val="22"/>
      <w:szCs w:val="20"/>
    </w:rPr>
  </w:style>
  <w:style w:type="paragraph" w:styleId="Textbubliny">
    <w:name w:val="Balloon Text"/>
    <w:basedOn w:val="Normlny"/>
    <w:link w:val="TextbublinyChar"/>
    <w:rsid w:val="00AA3FE6"/>
    <w:rPr>
      <w:rFonts w:ascii="Tahoma" w:hAnsi="Tahoma"/>
      <w:sz w:val="16"/>
      <w:szCs w:val="16"/>
    </w:rPr>
  </w:style>
  <w:style w:type="character" w:customStyle="1" w:styleId="TextbublinyChar">
    <w:name w:val="Text bubliny Char"/>
    <w:link w:val="Textbubliny"/>
    <w:rsid w:val="00E86107"/>
    <w:rPr>
      <w:rFonts w:ascii="Tahoma" w:hAnsi="Tahoma"/>
      <w:sz w:val="16"/>
      <w:szCs w:val="16"/>
      <w:lang w:val="sk-SK" w:eastAsia="sk-SK"/>
    </w:rPr>
  </w:style>
  <w:style w:type="paragraph" w:styleId="Normlnywebov">
    <w:name w:val="Normal (Web)"/>
    <w:basedOn w:val="Normlny"/>
    <w:uiPriority w:val="99"/>
    <w:unhideWhenUsed/>
    <w:rsid w:val="00F10D5B"/>
    <w:pPr>
      <w:spacing w:before="100" w:beforeAutospacing="1" w:after="75"/>
    </w:pPr>
    <w:rPr>
      <w:color w:val="000000"/>
    </w:rPr>
  </w:style>
  <w:style w:type="paragraph" w:customStyle="1" w:styleId="ListParagraph1">
    <w:name w:val="List Paragraph1"/>
    <w:basedOn w:val="Normlny"/>
    <w:uiPriority w:val="34"/>
    <w:qFormat/>
    <w:rsid w:val="003C6F48"/>
    <w:pPr>
      <w:spacing w:after="200" w:line="276" w:lineRule="auto"/>
      <w:ind w:left="720"/>
      <w:contextualSpacing/>
    </w:pPr>
    <w:rPr>
      <w:rFonts w:ascii="Calibri" w:eastAsia="Calibri" w:hAnsi="Calibri"/>
      <w:sz w:val="22"/>
      <w:szCs w:val="22"/>
    </w:rPr>
  </w:style>
  <w:style w:type="paragraph" w:styleId="Zkladntext">
    <w:name w:val="Body Text"/>
    <w:basedOn w:val="Normlny"/>
    <w:link w:val="ZkladntextChar"/>
    <w:rsid w:val="00AA3FE6"/>
    <w:pPr>
      <w:spacing w:after="120"/>
    </w:pPr>
  </w:style>
  <w:style w:type="character" w:customStyle="1" w:styleId="ZkladntextChar">
    <w:name w:val="Základný text Char"/>
    <w:link w:val="Zkladntext"/>
    <w:rsid w:val="003C6F48"/>
    <w:rPr>
      <w:sz w:val="24"/>
      <w:szCs w:val="24"/>
      <w:lang w:val="sk-SK" w:eastAsia="sk-SK"/>
    </w:rPr>
  </w:style>
  <w:style w:type="character" w:customStyle="1" w:styleId="Nadpis3Char">
    <w:name w:val="Nadpis 3 Char"/>
    <w:link w:val="Nadpis3"/>
    <w:uiPriority w:val="9"/>
    <w:semiHidden/>
    <w:rsid w:val="003C6F48"/>
    <w:rPr>
      <w:rFonts w:ascii="Cambria" w:hAnsi="Cambria"/>
      <w:b/>
      <w:bCs/>
      <w:sz w:val="26"/>
      <w:szCs w:val="26"/>
      <w:lang w:val="sk-SK" w:eastAsia="sk-SK"/>
    </w:rPr>
  </w:style>
  <w:style w:type="character" w:styleId="Odkaznakomentr">
    <w:name w:val="annotation reference"/>
    <w:rsid w:val="00DE2272"/>
    <w:rPr>
      <w:sz w:val="16"/>
      <w:szCs w:val="16"/>
      <w:lang w:val="sk-SK" w:eastAsia="sk-SK"/>
    </w:rPr>
  </w:style>
  <w:style w:type="paragraph" w:styleId="Textkomentra">
    <w:name w:val="annotation text"/>
    <w:basedOn w:val="Normlny"/>
    <w:link w:val="TextkomentraChar"/>
    <w:rsid w:val="00DE2272"/>
    <w:rPr>
      <w:sz w:val="20"/>
      <w:szCs w:val="20"/>
    </w:rPr>
  </w:style>
  <w:style w:type="character" w:customStyle="1" w:styleId="TextkomentraChar">
    <w:name w:val="Text komentára Char"/>
    <w:link w:val="Textkomentra"/>
    <w:rsid w:val="00DE2272"/>
    <w:rPr>
      <w:lang w:val="sk-SK" w:eastAsia="sk-SK"/>
    </w:rPr>
  </w:style>
  <w:style w:type="paragraph" w:styleId="Predmetkomentra">
    <w:name w:val="annotation subject"/>
    <w:basedOn w:val="Textkomentra"/>
    <w:next w:val="Textkomentra"/>
    <w:link w:val="PredmetkomentraChar"/>
    <w:rsid w:val="00DE2272"/>
    <w:rPr>
      <w:b/>
      <w:bCs/>
    </w:rPr>
  </w:style>
  <w:style w:type="character" w:customStyle="1" w:styleId="PredmetkomentraChar">
    <w:name w:val="Predmet komentára Char"/>
    <w:link w:val="Predmetkomentra"/>
    <w:rsid w:val="00DE2272"/>
    <w:rPr>
      <w:b/>
      <w:bCs/>
      <w:lang w:val="sk-SK" w:eastAsia="sk-SK"/>
    </w:rPr>
  </w:style>
  <w:style w:type="character" w:customStyle="1" w:styleId="Nadpis2Char">
    <w:name w:val="Nadpis 2 Char"/>
    <w:link w:val="Nadpis2"/>
    <w:uiPriority w:val="9"/>
    <w:rsid w:val="007D37F2"/>
    <w:rPr>
      <w:b/>
      <w:sz w:val="24"/>
      <w:lang w:val="sk-SK" w:eastAsia="sk-SK"/>
    </w:rPr>
  </w:style>
  <w:style w:type="paragraph" w:styleId="Hlavika">
    <w:name w:val="header"/>
    <w:basedOn w:val="Normlny"/>
    <w:link w:val="HlavikaChar"/>
    <w:uiPriority w:val="99"/>
    <w:rsid w:val="00AA3FE6"/>
    <w:pPr>
      <w:tabs>
        <w:tab w:val="center" w:pos="4680"/>
        <w:tab w:val="right" w:pos="9360"/>
      </w:tabs>
    </w:pPr>
  </w:style>
  <w:style w:type="character" w:customStyle="1" w:styleId="HlavikaChar">
    <w:name w:val="Hlavička Char"/>
    <w:link w:val="Hlavika"/>
    <w:uiPriority w:val="99"/>
    <w:rsid w:val="0020049F"/>
    <w:rPr>
      <w:sz w:val="24"/>
      <w:szCs w:val="24"/>
      <w:lang w:val="sk-SK" w:eastAsia="sk-SK"/>
    </w:rPr>
  </w:style>
  <w:style w:type="paragraph" w:styleId="Pta">
    <w:name w:val="footer"/>
    <w:basedOn w:val="Normlny"/>
    <w:link w:val="PtaChar"/>
    <w:uiPriority w:val="99"/>
    <w:rsid w:val="00AA3FE6"/>
    <w:pPr>
      <w:tabs>
        <w:tab w:val="center" w:pos="4680"/>
        <w:tab w:val="right" w:pos="9360"/>
      </w:tabs>
    </w:pPr>
  </w:style>
  <w:style w:type="character" w:customStyle="1" w:styleId="PtaChar">
    <w:name w:val="Päta Char"/>
    <w:link w:val="Pta"/>
    <w:uiPriority w:val="99"/>
    <w:rsid w:val="0020049F"/>
    <w:rPr>
      <w:sz w:val="24"/>
      <w:szCs w:val="24"/>
      <w:lang w:val="sk-SK" w:eastAsia="sk-SK"/>
    </w:rPr>
  </w:style>
  <w:style w:type="paragraph" w:customStyle="1" w:styleId="Default">
    <w:name w:val="Default"/>
    <w:rsid w:val="00255F88"/>
    <w:pPr>
      <w:autoSpaceDE w:val="0"/>
      <w:autoSpaceDN w:val="0"/>
      <w:adjustRightInd w:val="0"/>
    </w:pPr>
    <w:rPr>
      <w:color w:val="000000"/>
      <w:sz w:val="24"/>
      <w:szCs w:val="24"/>
      <w:lang w:val="sk-SK" w:eastAsia="sk-SK"/>
    </w:rPr>
  </w:style>
  <w:style w:type="character" w:customStyle="1" w:styleId="WW8Num1z0">
    <w:name w:val="WW8Num1z0"/>
    <w:rsid w:val="00AA3FE6"/>
    <w:rPr>
      <w:rFonts w:ascii="Arial" w:eastAsia="Times New Roman" w:hAnsi="Arial" w:cs="Arial"/>
    </w:rPr>
  </w:style>
  <w:style w:type="character" w:customStyle="1" w:styleId="WW8Num1z1">
    <w:name w:val="WW8Num1z1"/>
    <w:rsid w:val="00AA3FE6"/>
    <w:rPr>
      <w:rFonts w:ascii="Courier New" w:hAnsi="Courier New" w:cs="Courier New"/>
    </w:rPr>
  </w:style>
  <w:style w:type="character" w:customStyle="1" w:styleId="WW8Num1z2">
    <w:name w:val="WW8Num1z2"/>
    <w:rsid w:val="00AA3FE6"/>
    <w:rPr>
      <w:rFonts w:ascii="Wingdings" w:hAnsi="Wingdings"/>
    </w:rPr>
  </w:style>
  <w:style w:type="character" w:customStyle="1" w:styleId="WW8Num1z3">
    <w:name w:val="WW8Num1z3"/>
    <w:rsid w:val="00AA3FE6"/>
    <w:rPr>
      <w:rFonts w:ascii="Symbol" w:hAnsi="Symbol"/>
    </w:rPr>
  </w:style>
  <w:style w:type="character" w:customStyle="1" w:styleId="WW8Num2z0">
    <w:name w:val="WW8Num2z0"/>
    <w:rsid w:val="00AA3FE6"/>
    <w:rPr>
      <w:i/>
    </w:rPr>
  </w:style>
  <w:style w:type="character" w:customStyle="1" w:styleId="WW8Num3z0">
    <w:name w:val="WW8Num3z0"/>
    <w:rsid w:val="00AA3FE6"/>
    <w:rPr>
      <w:rFonts w:ascii="Arial" w:eastAsia="Times New Roman" w:hAnsi="Arial" w:cs="Arial"/>
    </w:rPr>
  </w:style>
  <w:style w:type="character" w:customStyle="1" w:styleId="WW8Num3z1">
    <w:name w:val="WW8Num3z1"/>
    <w:rsid w:val="00AA3FE6"/>
    <w:rPr>
      <w:rFonts w:ascii="Courier New" w:hAnsi="Courier New" w:cs="Courier New"/>
    </w:rPr>
  </w:style>
  <w:style w:type="character" w:customStyle="1" w:styleId="WW8Num3z2">
    <w:name w:val="WW8Num3z2"/>
    <w:rsid w:val="00AA3FE6"/>
    <w:rPr>
      <w:rFonts w:ascii="Wingdings" w:hAnsi="Wingdings"/>
    </w:rPr>
  </w:style>
  <w:style w:type="character" w:customStyle="1" w:styleId="WW8Num3z3">
    <w:name w:val="WW8Num3z3"/>
    <w:rsid w:val="00AA3FE6"/>
    <w:rPr>
      <w:rFonts w:ascii="Symbol" w:hAnsi="Symbol"/>
    </w:rPr>
  </w:style>
  <w:style w:type="character" w:customStyle="1" w:styleId="WW8Num4z0">
    <w:name w:val="WW8Num4z0"/>
    <w:rsid w:val="00AA3FE6"/>
    <w:rPr>
      <w:rFonts w:ascii="Arial" w:eastAsia="Times New Roman" w:hAnsi="Arial" w:cs="Arial"/>
    </w:rPr>
  </w:style>
  <w:style w:type="character" w:customStyle="1" w:styleId="WW8Num4z1">
    <w:name w:val="WW8Num4z1"/>
    <w:rsid w:val="00AA3FE6"/>
    <w:rPr>
      <w:rFonts w:ascii="Courier New" w:hAnsi="Courier New" w:cs="Courier New"/>
    </w:rPr>
  </w:style>
  <w:style w:type="character" w:customStyle="1" w:styleId="WW8Num4z2">
    <w:name w:val="WW8Num4z2"/>
    <w:rsid w:val="00AA3FE6"/>
    <w:rPr>
      <w:rFonts w:ascii="Wingdings" w:hAnsi="Wingdings"/>
    </w:rPr>
  </w:style>
  <w:style w:type="character" w:customStyle="1" w:styleId="WW8Num4z3">
    <w:name w:val="WW8Num4z3"/>
    <w:rsid w:val="00AA3FE6"/>
    <w:rPr>
      <w:rFonts w:ascii="Symbol" w:hAnsi="Symbol"/>
    </w:rPr>
  </w:style>
  <w:style w:type="character" w:customStyle="1" w:styleId="WW8Num5z0">
    <w:name w:val="WW8Num5z0"/>
    <w:rsid w:val="00AA3FE6"/>
    <w:rPr>
      <w:rFonts w:ascii="Arial" w:eastAsia="Times New Roman" w:hAnsi="Arial" w:cs="Arial"/>
    </w:rPr>
  </w:style>
  <w:style w:type="character" w:customStyle="1" w:styleId="WW8Num5z1">
    <w:name w:val="WW8Num5z1"/>
    <w:rsid w:val="00AA3FE6"/>
    <w:rPr>
      <w:rFonts w:ascii="Courier New" w:hAnsi="Courier New" w:cs="Courier New"/>
    </w:rPr>
  </w:style>
  <w:style w:type="character" w:customStyle="1" w:styleId="WW8Num5z2">
    <w:name w:val="WW8Num5z2"/>
    <w:rsid w:val="00AA3FE6"/>
    <w:rPr>
      <w:rFonts w:ascii="Wingdings" w:hAnsi="Wingdings"/>
    </w:rPr>
  </w:style>
  <w:style w:type="character" w:customStyle="1" w:styleId="WW8Num5z3">
    <w:name w:val="WW8Num5z3"/>
    <w:rsid w:val="00AA3FE6"/>
    <w:rPr>
      <w:rFonts w:ascii="Symbol" w:hAnsi="Symbol"/>
    </w:rPr>
  </w:style>
  <w:style w:type="character" w:customStyle="1" w:styleId="WW8Num6z0">
    <w:name w:val="WW8Num6z0"/>
    <w:rsid w:val="00AA3FE6"/>
    <w:rPr>
      <w:rFonts w:ascii="Arial" w:eastAsia="Times New Roman" w:hAnsi="Arial" w:cs="Arial"/>
    </w:rPr>
  </w:style>
  <w:style w:type="character" w:customStyle="1" w:styleId="WW8Num6z1">
    <w:name w:val="WW8Num6z1"/>
    <w:rsid w:val="00AA3FE6"/>
    <w:rPr>
      <w:rFonts w:ascii="Courier New" w:hAnsi="Courier New" w:cs="Courier New"/>
    </w:rPr>
  </w:style>
  <w:style w:type="character" w:customStyle="1" w:styleId="WW8Num6z2">
    <w:name w:val="WW8Num6z2"/>
    <w:rsid w:val="00AA3FE6"/>
    <w:rPr>
      <w:rFonts w:ascii="Wingdings" w:hAnsi="Wingdings"/>
    </w:rPr>
  </w:style>
  <w:style w:type="character" w:customStyle="1" w:styleId="WW8Num6z3">
    <w:name w:val="WW8Num6z3"/>
    <w:rsid w:val="00AA3FE6"/>
    <w:rPr>
      <w:rFonts w:ascii="Symbol" w:hAnsi="Symbol"/>
    </w:rPr>
  </w:style>
  <w:style w:type="character" w:customStyle="1" w:styleId="WW8Num7z0">
    <w:name w:val="WW8Num7z0"/>
    <w:rsid w:val="00AA3FE6"/>
    <w:rPr>
      <w:rFonts w:ascii="Times New Roman" w:eastAsia="Times New Roman" w:hAnsi="Times New Roman" w:cs="Times New Roman"/>
    </w:rPr>
  </w:style>
  <w:style w:type="character" w:customStyle="1" w:styleId="WW8Num7z1">
    <w:name w:val="WW8Num7z1"/>
    <w:rsid w:val="00AA3FE6"/>
    <w:rPr>
      <w:rFonts w:ascii="Courier New" w:hAnsi="Courier New" w:cs="Courier New"/>
    </w:rPr>
  </w:style>
  <w:style w:type="character" w:customStyle="1" w:styleId="WW8Num7z2">
    <w:name w:val="WW8Num7z2"/>
    <w:rsid w:val="00AA3FE6"/>
    <w:rPr>
      <w:rFonts w:ascii="Wingdings" w:hAnsi="Wingdings"/>
    </w:rPr>
  </w:style>
  <w:style w:type="character" w:customStyle="1" w:styleId="WW8Num7z3">
    <w:name w:val="WW8Num7z3"/>
    <w:rsid w:val="00AA3FE6"/>
    <w:rPr>
      <w:rFonts w:ascii="Symbol" w:hAnsi="Symbol"/>
    </w:rPr>
  </w:style>
  <w:style w:type="character" w:customStyle="1" w:styleId="WW8Num9z0">
    <w:name w:val="WW8Num9z0"/>
    <w:rsid w:val="00AA3FE6"/>
    <w:rPr>
      <w:rFonts w:ascii="Arial" w:eastAsia="Times New Roman" w:hAnsi="Arial" w:cs="Arial"/>
    </w:rPr>
  </w:style>
  <w:style w:type="character" w:customStyle="1" w:styleId="WW8Num9z1">
    <w:name w:val="WW8Num9z1"/>
    <w:rsid w:val="00AA3FE6"/>
    <w:rPr>
      <w:rFonts w:ascii="Courier New" w:hAnsi="Courier New" w:cs="Courier New"/>
    </w:rPr>
  </w:style>
  <w:style w:type="character" w:customStyle="1" w:styleId="WW8Num9z2">
    <w:name w:val="WW8Num9z2"/>
    <w:rsid w:val="00AA3FE6"/>
    <w:rPr>
      <w:rFonts w:ascii="Wingdings" w:hAnsi="Wingdings"/>
    </w:rPr>
  </w:style>
  <w:style w:type="character" w:customStyle="1" w:styleId="WW8Num9z3">
    <w:name w:val="WW8Num9z3"/>
    <w:rsid w:val="00AA3FE6"/>
    <w:rPr>
      <w:rFonts w:ascii="Symbol" w:hAnsi="Symbol"/>
    </w:rPr>
  </w:style>
  <w:style w:type="character" w:customStyle="1" w:styleId="WW8Num10z0">
    <w:name w:val="WW8Num10z0"/>
    <w:rsid w:val="00AA3FE6"/>
    <w:rPr>
      <w:rFonts w:ascii="Arial" w:eastAsia="Times New Roman" w:hAnsi="Arial" w:cs="Arial"/>
    </w:rPr>
  </w:style>
  <w:style w:type="character" w:customStyle="1" w:styleId="WW8Num10z1">
    <w:name w:val="WW8Num10z1"/>
    <w:rsid w:val="00AA3FE6"/>
    <w:rPr>
      <w:rFonts w:ascii="Courier New" w:hAnsi="Courier New" w:cs="Courier New"/>
    </w:rPr>
  </w:style>
  <w:style w:type="character" w:customStyle="1" w:styleId="WW8Num10z2">
    <w:name w:val="WW8Num10z2"/>
    <w:rsid w:val="00AA3FE6"/>
    <w:rPr>
      <w:rFonts w:ascii="Wingdings" w:hAnsi="Wingdings"/>
    </w:rPr>
  </w:style>
  <w:style w:type="character" w:customStyle="1" w:styleId="WW8Num10z3">
    <w:name w:val="WW8Num10z3"/>
    <w:rsid w:val="00AA3FE6"/>
    <w:rPr>
      <w:rFonts w:ascii="Symbol" w:hAnsi="Symbol"/>
    </w:rPr>
  </w:style>
  <w:style w:type="character" w:customStyle="1" w:styleId="WW8Num13z0">
    <w:name w:val="WW8Num13z0"/>
    <w:rsid w:val="00AA3FE6"/>
    <w:rPr>
      <w:rFonts w:ascii="Times New Roman" w:eastAsia="Times New Roman" w:hAnsi="Times New Roman" w:cs="Times New Roman"/>
    </w:rPr>
  </w:style>
  <w:style w:type="character" w:customStyle="1" w:styleId="WW8Num13z1">
    <w:name w:val="WW8Num13z1"/>
    <w:rsid w:val="00AA3FE6"/>
    <w:rPr>
      <w:rFonts w:ascii="Courier New" w:hAnsi="Courier New" w:cs="Courier New"/>
    </w:rPr>
  </w:style>
  <w:style w:type="character" w:customStyle="1" w:styleId="WW8Num13z2">
    <w:name w:val="WW8Num13z2"/>
    <w:rsid w:val="00AA3FE6"/>
    <w:rPr>
      <w:rFonts w:ascii="Wingdings" w:hAnsi="Wingdings"/>
    </w:rPr>
  </w:style>
  <w:style w:type="character" w:customStyle="1" w:styleId="WW8Num13z3">
    <w:name w:val="WW8Num13z3"/>
    <w:rsid w:val="00AA3FE6"/>
    <w:rPr>
      <w:rFonts w:ascii="Symbol" w:hAnsi="Symbol"/>
    </w:rPr>
  </w:style>
  <w:style w:type="character" w:customStyle="1" w:styleId="Predvolenpsmoodseku1">
    <w:name w:val="Predvolené písmo odseku1"/>
    <w:rsid w:val="00AA3FE6"/>
  </w:style>
  <w:style w:type="paragraph" w:customStyle="1" w:styleId="Nadpis">
    <w:name w:val="Nadpis"/>
    <w:basedOn w:val="Normlny"/>
    <w:next w:val="Zkladntext"/>
    <w:rsid w:val="00AA3FE6"/>
    <w:pPr>
      <w:keepNext/>
      <w:suppressAutoHyphens/>
      <w:spacing w:before="240" w:after="120"/>
    </w:pPr>
    <w:rPr>
      <w:rFonts w:ascii="Arial" w:eastAsia="Lucida Sans Unicode" w:hAnsi="Arial" w:cs="Tahoma"/>
      <w:sz w:val="28"/>
      <w:szCs w:val="28"/>
      <w:lang w:eastAsia="ar-SA"/>
    </w:rPr>
  </w:style>
  <w:style w:type="paragraph" w:styleId="Zoznam">
    <w:name w:val="List"/>
    <w:basedOn w:val="Zkladntext"/>
    <w:rsid w:val="00AA3FE6"/>
    <w:pPr>
      <w:suppressAutoHyphens/>
    </w:pPr>
    <w:rPr>
      <w:rFonts w:cs="Tahoma"/>
      <w:lang w:eastAsia="ar-SA"/>
    </w:rPr>
  </w:style>
  <w:style w:type="paragraph" w:customStyle="1" w:styleId="Popisok">
    <w:name w:val="Popisok"/>
    <w:basedOn w:val="Normlny"/>
    <w:rsid w:val="00AA3FE6"/>
    <w:pPr>
      <w:suppressLineNumbers/>
      <w:suppressAutoHyphens/>
      <w:spacing w:before="120" w:after="120"/>
    </w:pPr>
    <w:rPr>
      <w:rFonts w:cs="Tahoma"/>
      <w:i/>
      <w:iCs/>
      <w:lang w:eastAsia="ar-SA"/>
    </w:rPr>
  </w:style>
  <w:style w:type="paragraph" w:customStyle="1" w:styleId="Index">
    <w:name w:val="Index"/>
    <w:basedOn w:val="Normlny"/>
    <w:rsid w:val="00AA3FE6"/>
    <w:pPr>
      <w:suppressLineNumbers/>
      <w:suppressAutoHyphens/>
    </w:pPr>
    <w:rPr>
      <w:rFonts w:cs="Tahoma"/>
      <w:lang w:eastAsia="ar-SA"/>
    </w:rPr>
  </w:style>
  <w:style w:type="paragraph" w:styleId="Zarkazkladnhotextu">
    <w:name w:val="Body Text Indent"/>
    <w:basedOn w:val="Normlny"/>
    <w:link w:val="ZarkazkladnhotextuChar"/>
    <w:rsid w:val="00AA3FE6"/>
    <w:pPr>
      <w:suppressAutoHyphens/>
      <w:spacing w:after="120"/>
      <w:ind w:left="283" w:hanging="567"/>
    </w:pPr>
    <w:rPr>
      <w:sz w:val="22"/>
      <w:lang w:eastAsia="ar-SA"/>
    </w:rPr>
  </w:style>
  <w:style w:type="character" w:customStyle="1" w:styleId="ZarkazkladnhotextuChar">
    <w:name w:val="Zarážka základného textu Char"/>
    <w:basedOn w:val="Predvolenpsmoodseku"/>
    <w:link w:val="Zarkazkladnhotextu"/>
    <w:rsid w:val="00AA3FE6"/>
    <w:rPr>
      <w:sz w:val="22"/>
      <w:szCs w:val="24"/>
      <w:lang w:val="sk-SK" w:eastAsia="ar-SA"/>
    </w:rPr>
  </w:style>
  <w:style w:type="character" w:customStyle="1" w:styleId="Nadpis1Char">
    <w:name w:val="Nadpis 1 Char"/>
    <w:link w:val="Nadpis1"/>
    <w:rsid w:val="00AA3FE6"/>
    <w:rPr>
      <w:b/>
      <w:kern w:val="28"/>
      <w:sz w:val="28"/>
      <w:lang w:val="sk-SK" w:eastAsia="sk-SK"/>
    </w:rPr>
  </w:style>
  <w:style w:type="character" w:customStyle="1" w:styleId="st">
    <w:name w:val="st"/>
    <w:basedOn w:val="Predvolenpsmoodseku"/>
    <w:rsid w:val="00AA3FE6"/>
  </w:style>
  <w:style w:type="character" w:styleId="Zvraznenie">
    <w:name w:val="Emphasis"/>
    <w:uiPriority w:val="20"/>
    <w:qFormat/>
    <w:rsid w:val="00AA3FE6"/>
    <w:rPr>
      <w:i/>
      <w:iCs/>
    </w:rPr>
  </w:style>
  <w:style w:type="character" w:styleId="Hypertextovprepojenie">
    <w:name w:val="Hyperlink"/>
    <w:rsid w:val="00AA3FE6"/>
    <w:rPr>
      <w:color w:val="0000FF"/>
      <w:u w:val="single"/>
    </w:rPr>
  </w:style>
  <w:style w:type="paragraph" w:styleId="Revzia">
    <w:name w:val="Revision"/>
    <w:hidden/>
    <w:uiPriority w:val="99"/>
    <w:semiHidden/>
    <w:rsid w:val="00C029F5"/>
    <w:rPr>
      <w:sz w:val="24"/>
      <w:szCs w:val="24"/>
      <w:lang w:val="sk-SK" w:eastAsia="sk-SK"/>
    </w:rPr>
  </w:style>
  <w:style w:type="character" w:customStyle="1" w:styleId="tm-p-">
    <w:name w:val="tm-p-"/>
    <w:basedOn w:val="Predvolenpsmoodseku"/>
    <w:rsid w:val="002E5830"/>
  </w:style>
  <w:style w:type="character" w:customStyle="1" w:styleId="tm-p-em">
    <w:name w:val="tm-p-em"/>
    <w:basedOn w:val="Predvolenpsmoodseku"/>
    <w:rsid w:val="002E5830"/>
  </w:style>
  <w:style w:type="character" w:styleId="PouitHypertextovPrepojenie">
    <w:name w:val="FollowedHyperlink"/>
    <w:basedOn w:val="Predvolenpsmoodseku"/>
    <w:semiHidden/>
    <w:unhideWhenUsed/>
    <w:rsid w:val="00A978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E29D1-72FD-463D-829D-59558483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5700</Words>
  <Characters>32496</Characters>
  <Application>Microsoft Office Word</Application>
  <DocSecurity>0</DocSecurity>
  <Lines>270</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MHRA</Company>
  <LinksUpToDate>false</LinksUpToDate>
  <CharactersWithSpaces>38120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
  <dc:creator>SYSTEM</dc:creator>
  <cp:keywords/>
  <dc:description/>
  <cp:lastModifiedBy>Kuziaková, Marianna</cp:lastModifiedBy>
  <cp:revision>3</cp:revision>
  <cp:lastPrinted>2012-07-16T07:26:00Z</cp:lastPrinted>
  <dcterms:created xsi:type="dcterms:W3CDTF">2019-03-27T13:44:00Z</dcterms:created>
  <dcterms:modified xsi:type="dcterms:W3CDTF">2019-03-27T13:44:00Z</dcterms:modified>
</cp:coreProperties>
</file>