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72CCA8" w14:textId="77777777" w:rsidR="002C7B52" w:rsidRDefault="002C7B52" w:rsidP="00662267">
      <w:pPr>
        <w:jc w:val="center"/>
        <w:rPr>
          <w:rFonts w:eastAsia="Arial Unicode MS"/>
          <w:b/>
          <w:bCs/>
          <w:caps/>
          <w:sz w:val="22"/>
          <w:szCs w:val="22"/>
        </w:rPr>
      </w:pPr>
      <w:bookmarkStart w:id="0" w:name="_GoBack"/>
      <w:bookmarkEnd w:id="0"/>
    </w:p>
    <w:p w14:paraId="3C221EF9" w14:textId="77777777" w:rsidR="00173B43" w:rsidRPr="002C7B52" w:rsidRDefault="00173B43" w:rsidP="00662267">
      <w:pPr>
        <w:jc w:val="center"/>
        <w:rPr>
          <w:rFonts w:eastAsia="Arial Unicode MS"/>
          <w:b/>
          <w:bCs/>
          <w:caps/>
          <w:sz w:val="22"/>
          <w:szCs w:val="22"/>
        </w:rPr>
      </w:pPr>
      <w:r w:rsidRPr="002C7B52">
        <w:rPr>
          <w:rFonts w:eastAsia="Arial Unicode MS"/>
          <w:b/>
          <w:bCs/>
          <w:caps/>
          <w:sz w:val="22"/>
          <w:szCs w:val="22"/>
        </w:rPr>
        <w:t>Súhrn charakteristických vlastností lieku</w:t>
      </w:r>
    </w:p>
    <w:p w14:paraId="040B1D6A" w14:textId="77777777" w:rsidR="00173B43" w:rsidRPr="002C7B52" w:rsidRDefault="00173B43">
      <w:pPr>
        <w:jc w:val="center"/>
        <w:rPr>
          <w:rFonts w:eastAsia="Arial Unicode MS"/>
          <w:b/>
          <w:sz w:val="22"/>
          <w:szCs w:val="22"/>
        </w:rPr>
      </w:pPr>
    </w:p>
    <w:p w14:paraId="39740EA6" w14:textId="77777777" w:rsidR="00173B43" w:rsidRPr="002C7B52" w:rsidRDefault="00173B43">
      <w:pPr>
        <w:jc w:val="center"/>
        <w:rPr>
          <w:rFonts w:eastAsia="Arial Unicode MS"/>
          <w:b/>
          <w:sz w:val="22"/>
          <w:szCs w:val="22"/>
        </w:rPr>
      </w:pPr>
    </w:p>
    <w:p w14:paraId="3462D76A"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1.</w:t>
      </w:r>
      <w:r w:rsidRPr="002C7B52">
        <w:rPr>
          <w:b/>
          <w:sz w:val="22"/>
          <w:szCs w:val="22"/>
        </w:rPr>
        <w:tab/>
        <w:t>NÁZOV LIEKU</w:t>
      </w:r>
    </w:p>
    <w:p w14:paraId="4EEEC091" w14:textId="77777777" w:rsidR="00173B43" w:rsidRPr="002C7B52" w:rsidRDefault="00173B43">
      <w:pPr>
        <w:keepNext/>
        <w:shd w:val="clear" w:color="auto" w:fill="FFFFFF"/>
        <w:autoSpaceDE w:val="0"/>
        <w:autoSpaceDN w:val="0"/>
        <w:adjustRightInd w:val="0"/>
        <w:rPr>
          <w:b/>
          <w:iCs/>
          <w:sz w:val="22"/>
          <w:szCs w:val="22"/>
        </w:rPr>
      </w:pPr>
    </w:p>
    <w:p w14:paraId="385E6A52" w14:textId="2F57F463" w:rsidR="00173B43" w:rsidRPr="002C7B52" w:rsidRDefault="00554E9B">
      <w:pPr>
        <w:shd w:val="clear" w:color="auto" w:fill="FFFFFF"/>
        <w:autoSpaceDE w:val="0"/>
        <w:autoSpaceDN w:val="0"/>
        <w:adjustRightInd w:val="0"/>
        <w:rPr>
          <w:iCs/>
          <w:sz w:val="22"/>
          <w:szCs w:val="22"/>
        </w:rPr>
      </w:pPr>
      <w:r>
        <w:rPr>
          <w:iCs/>
          <w:sz w:val="22"/>
          <w:szCs w:val="22"/>
        </w:rPr>
        <w:t>F</w:t>
      </w:r>
      <w:r w:rsidR="002E6A09">
        <w:rPr>
          <w:iCs/>
          <w:sz w:val="22"/>
          <w:szCs w:val="22"/>
        </w:rPr>
        <w:t>LECTOR</w:t>
      </w:r>
      <w:r w:rsidR="008C5D12">
        <w:rPr>
          <w:iCs/>
          <w:sz w:val="22"/>
          <w:szCs w:val="22"/>
        </w:rPr>
        <w:t> </w:t>
      </w:r>
      <w:r>
        <w:rPr>
          <w:iCs/>
          <w:sz w:val="22"/>
          <w:szCs w:val="22"/>
        </w:rPr>
        <w:t>EP</w:t>
      </w:r>
      <w:r w:rsidR="00173B43" w:rsidRPr="002C7B52">
        <w:rPr>
          <w:iCs/>
          <w:sz w:val="22"/>
          <w:szCs w:val="22"/>
        </w:rPr>
        <w:t> 12,5 mg mäkké kapsuly</w:t>
      </w:r>
    </w:p>
    <w:p w14:paraId="192197FE" w14:textId="5C47468A" w:rsidR="00173B43" w:rsidRPr="002C7B52" w:rsidRDefault="00554E9B" w:rsidP="004E15EA">
      <w:pPr>
        <w:autoSpaceDE w:val="0"/>
        <w:autoSpaceDN w:val="0"/>
        <w:adjustRightInd w:val="0"/>
        <w:rPr>
          <w:sz w:val="22"/>
          <w:szCs w:val="22"/>
          <w:shd w:val="clear" w:color="auto" w:fill="CCCCCC"/>
        </w:rPr>
      </w:pPr>
      <w:r>
        <w:rPr>
          <w:iCs/>
          <w:sz w:val="22"/>
          <w:szCs w:val="22"/>
        </w:rPr>
        <w:t>F</w:t>
      </w:r>
      <w:r w:rsidR="002E6A09">
        <w:rPr>
          <w:iCs/>
          <w:sz w:val="22"/>
          <w:szCs w:val="22"/>
        </w:rPr>
        <w:t>LECTOR</w:t>
      </w:r>
      <w:r w:rsidR="008C5D12">
        <w:rPr>
          <w:iCs/>
          <w:sz w:val="22"/>
          <w:szCs w:val="22"/>
        </w:rPr>
        <w:t> </w:t>
      </w:r>
      <w:r>
        <w:rPr>
          <w:iCs/>
          <w:sz w:val="22"/>
          <w:szCs w:val="22"/>
        </w:rPr>
        <w:t>EP</w:t>
      </w:r>
      <w:r w:rsidR="00173B43" w:rsidRPr="002C7B52">
        <w:rPr>
          <w:sz w:val="22"/>
          <w:szCs w:val="22"/>
        </w:rPr>
        <w:t> 25 mg mäkké kapsuly</w:t>
      </w:r>
    </w:p>
    <w:p w14:paraId="38D0BAB3" w14:textId="77777777" w:rsidR="00173B43" w:rsidRPr="002C7B52" w:rsidRDefault="00173B43">
      <w:pPr>
        <w:shd w:val="clear" w:color="auto" w:fill="FFFFFF"/>
        <w:autoSpaceDE w:val="0"/>
        <w:autoSpaceDN w:val="0"/>
        <w:adjustRightInd w:val="0"/>
        <w:rPr>
          <w:b/>
          <w:sz w:val="22"/>
          <w:szCs w:val="22"/>
        </w:rPr>
      </w:pPr>
    </w:p>
    <w:p w14:paraId="3A972D2F" w14:textId="77777777" w:rsidR="00173B43" w:rsidRPr="002C7B52" w:rsidRDefault="00173B43">
      <w:pPr>
        <w:shd w:val="clear" w:color="auto" w:fill="FFFFFF"/>
        <w:autoSpaceDE w:val="0"/>
        <w:autoSpaceDN w:val="0"/>
        <w:adjustRightInd w:val="0"/>
        <w:rPr>
          <w:b/>
          <w:sz w:val="22"/>
          <w:szCs w:val="22"/>
        </w:rPr>
      </w:pPr>
    </w:p>
    <w:p w14:paraId="54AD3AD7"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2.</w:t>
      </w:r>
      <w:r w:rsidRPr="002C7B52">
        <w:rPr>
          <w:b/>
          <w:sz w:val="22"/>
          <w:szCs w:val="22"/>
        </w:rPr>
        <w:tab/>
        <w:t>KVALITATÍVNE A KVANTITATÍVNE ZLOŽENIE</w:t>
      </w:r>
    </w:p>
    <w:p w14:paraId="14B730FC" w14:textId="77777777" w:rsidR="00173B43" w:rsidRPr="002C7B52" w:rsidRDefault="00173B43">
      <w:pPr>
        <w:keepNext/>
        <w:shd w:val="clear" w:color="auto" w:fill="FFFFFF"/>
        <w:autoSpaceDE w:val="0"/>
        <w:autoSpaceDN w:val="0"/>
        <w:adjustRightInd w:val="0"/>
        <w:rPr>
          <w:sz w:val="22"/>
          <w:szCs w:val="22"/>
        </w:rPr>
      </w:pPr>
    </w:p>
    <w:p w14:paraId="52DEF615" w14:textId="356A0E66" w:rsidR="00173B43" w:rsidRPr="002C7B52" w:rsidRDefault="00F45BEB">
      <w:pPr>
        <w:shd w:val="clear" w:color="auto" w:fill="FFFFFF"/>
        <w:autoSpaceDE w:val="0"/>
        <w:autoSpaceDN w:val="0"/>
        <w:adjustRightInd w:val="0"/>
        <w:rPr>
          <w:i/>
          <w:sz w:val="22"/>
          <w:szCs w:val="22"/>
        </w:rPr>
      </w:pPr>
      <w:r w:rsidRPr="00332CF3">
        <w:rPr>
          <w:i/>
          <w:iCs/>
          <w:sz w:val="22"/>
          <w:szCs w:val="22"/>
        </w:rPr>
        <w:t>F</w:t>
      </w:r>
      <w:r w:rsidR="002E6A09">
        <w:rPr>
          <w:i/>
          <w:iCs/>
          <w:sz w:val="22"/>
          <w:szCs w:val="22"/>
        </w:rPr>
        <w:t>LECTOR</w:t>
      </w:r>
      <w:r w:rsidR="008C5D12">
        <w:rPr>
          <w:i/>
          <w:iCs/>
          <w:sz w:val="22"/>
          <w:szCs w:val="22"/>
        </w:rPr>
        <w:t> </w:t>
      </w:r>
      <w:r w:rsidRPr="00332CF3">
        <w:rPr>
          <w:i/>
          <w:iCs/>
          <w:sz w:val="22"/>
          <w:szCs w:val="22"/>
        </w:rPr>
        <w:t>EP</w:t>
      </w:r>
      <w:r w:rsidR="00173B43" w:rsidRPr="002C7B52">
        <w:rPr>
          <w:i/>
          <w:sz w:val="22"/>
          <w:szCs w:val="22"/>
        </w:rPr>
        <w:t> 12,5 mg mäkké kapsuly</w:t>
      </w:r>
    </w:p>
    <w:p w14:paraId="4E9368DB" w14:textId="77777777" w:rsidR="00173B43" w:rsidRPr="002C7B52" w:rsidRDefault="00173B43">
      <w:pPr>
        <w:autoSpaceDE w:val="0"/>
        <w:autoSpaceDN w:val="0"/>
        <w:adjustRightInd w:val="0"/>
        <w:rPr>
          <w:sz w:val="22"/>
          <w:szCs w:val="22"/>
        </w:rPr>
      </w:pPr>
      <w:r w:rsidRPr="002C7B52">
        <w:rPr>
          <w:sz w:val="22"/>
          <w:szCs w:val="22"/>
        </w:rPr>
        <w:t xml:space="preserve">Každá mäkká kapsula obsahuje diklofenak vo forme 15,38 mg epolamínovej soli diklofenaku, čo zodpovedá 12,5 mg draselnej soli diklofenaku. </w:t>
      </w:r>
    </w:p>
    <w:p w14:paraId="082A829D" w14:textId="77777777" w:rsidR="00173B43" w:rsidRPr="002C7B52" w:rsidRDefault="00173B43">
      <w:pPr>
        <w:shd w:val="clear" w:color="auto" w:fill="FFFFFF"/>
        <w:autoSpaceDE w:val="0"/>
        <w:autoSpaceDN w:val="0"/>
        <w:adjustRightInd w:val="0"/>
        <w:rPr>
          <w:sz w:val="22"/>
          <w:szCs w:val="22"/>
        </w:rPr>
      </w:pPr>
    </w:p>
    <w:p w14:paraId="61E16779" w14:textId="40B738F8" w:rsidR="00173B43" w:rsidRPr="00F45BEB" w:rsidRDefault="00F45BEB">
      <w:pPr>
        <w:shd w:val="clear" w:color="auto" w:fill="FFFFFF"/>
        <w:autoSpaceDE w:val="0"/>
        <w:autoSpaceDN w:val="0"/>
        <w:adjustRightInd w:val="0"/>
        <w:rPr>
          <w:i/>
          <w:sz w:val="22"/>
          <w:szCs w:val="22"/>
        </w:rPr>
      </w:pPr>
      <w:r w:rsidRPr="00332CF3">
        <w:rPr>
          <w:i/>
          <w:iCs/>
          <w:sz w:val="22"/>
          <w:szCs w:val="22"/>
        </w:rPr>
        <w:t>F</w:t>
      </w:r>
      <w:r w:rsidR="002E6A09">
        <w:rPr>
          <w:i/>
          <w:iCs/>
          <w:sz w:val="22"/>
          <w:szCs w:val="22"/>
        </w:rPr>
        <w:t>LECTOR</w:t>
      </w:r>
      <w:r w:rsidR="008C5D12">
        <w:rPr>
          <w:i/>
          <w:iCs/>
          <w:sz w:val="22"/>
          <w:szCs w:val="22"/>
        </w:rPr>
        <w:t> </w:t>
      </w:r>
      <w:r w:rsidRPr="00332CF3">
        <w:rPr>
          <w:i/>
          <w:iCs/>
          <w:sz w:val="22"/>
          <w:szCs w:val="22"/>
        </w:rPr>
        <w:t>EP</w:t>
      </w:r>
      <w:r w:rsidR="00173B43" w:rsidRPr="00F45BEB">
        <w:rPr>
          <w:i/>
          <w:sz w:val="22"/>
          <w:szCs w:val="22"/>
        </w:rPr>
        <w:t> 25 mg mäkké kapsuly</w:t>
      </w:r>
    </w:p>
    <w:p w14:paraId="1F4B6DC4" w14:textId="77777777" w:rsidR="00173B43" w:rsidRPr="002C7B52" w:rsidRDefault="00173B43">
      <w:pPr>
        <w:autoSpaceDE w:val="0"/>
        <w:autoSpaceDN w:val="0"/>
        <w:adjustRightInd w:val="0"/>
        <w:rPr>
          <w:sz w:val="22"/>
          <w:szCs w:val="22"/>
          <w:shd w:val="clear" w:color="auto" w:fill="CCCCCC"/>
        </w:rPr>
      </w:pPr>
      <w:r w:rsidRPr="002C7B52">
        <w:rPr>
          <w:sz w:val="22"/>
          <w:szCs w:val="22"/>
        </w:rPr>
        <w:t>Každá mäkká kapsula obsahuje diklofenak vo forme 30,76 mg epolamínovej soli diklofenaku, čo zodpovedá 25 mg draselnej soli diklofenaku.</w:t>
      </w:r>
    </w:p>
    <w:p w14:paraId="2BBEC5C1" w14:textId="77777777" w:rsidR="00173B43" w:rsidRPr="002C7B52" w:rsidRDefault="00173B43">
      <w:pPr>
        <w:shd w:val="clear" w:color="auto" w:fill="FFFFFF"/>
        <w:autoSpaceDE w:val="0"/>
        <w:autoSpaceDN w:val="0"/>
        <w:adjustRightInd w:val="0"/>
        <w:rPr>
          <w:sz w:val="22"/>
          <w:szCs w:val="22"/>
          <w:shd w:val="clear" w:color="auto" w:fill="CCCCCC"/>
        </w:rPr>
      </w:pPr>
    </w:p>
    <w:p w14:paraId="50B556E0" w14:textId="77777777" w:rsidR="00173B43" w:rsidRPr="002C7B52" w:rsidRDefault="00173B43">
      <w:pPr>
        <w:shd w:val="clear" w:color="auto" w:fill="FFFFFF"/>
        <w:autoSpaceDE w:val="0"/>
        <w:autoSpaceDN w:val="0"/>
        <w:adjustRightInd w:val="0"/>
        <w:rPr>
          <w:sz w:val="22"/>
          <w:szCs w:val="22"/>
          <w:shd w:val="clear" w:color="auto" w:fill="CCCCCC"/>
        </w:rPr>
      </w:pPr>
    </w:p>
    <w:p w14:paraId="57D2C071" w14:textId="77777777" w:rsidR="00173B43" w:rsidRPr="002C7B52" w:rsidRDefault="00173B43" w:rsidP="004E15EA">
      <w:pPr>
        <w:autoSpaceDE w:val="0"/>
        <w:autoSpaceDN w:val="0"/>
        <w:adjustRightInd w:val="0"/>
        <w:rPr>
          <w:sz w:val="22"/>
          <w:szCs w:val="22"/>
        </w:rPr>
      </w:pPr>
      <w:r w:rsidRPr="002C7B52">
        <w:rPr>
          <w:sz w:val="22"/>
          <w:szCs w:val="22"/>
          <w:u w:val="single"/>
        </w:rPr>
        <w:t>Pomocná látka so známym účinkom</w:t>
      </w:r>
      <w:r w:rsidRPr="002C7B52">
        <w:rPr>
          <w:sz w:val="22"/>
          <w:szCs w:val="22"/>
        </w:rPr>
        <w:t xml:space="preserve">: </w:t>
      </w:r>
    </w:p>
    <w:p w14:paraId="4B2D8C90" w14:textId="77777777" w:rsidR="00173B43" w:rsidRPr="002C7B52" w:rsidRDefault="00173B43" w:rsidP="004E15EA">
      <w:pPr>
        <w:tabs>
          <w:tab w:val="left" w:pos="4395"/>
        </w:tabs>
        <w:autoSpaceDE w:val="0"/>
        <w:autoSpaceDN w:val="0"/>
        <w:adjustRightInd w:val="0"/>
        <w:rPr>
          <w:i/>
          <w:sz w:val="22"/>
          <w:szCs w:val="22"/>
        </w:rPr>
      </w:pPr>
    </w:p>
    <w:p w14:paraId="2D763E2A" w14:textId="50115ABC" w:rsidR="00173B43" w:rsidRPr="00F45BEB" w:rsidRDefault="00F45BEB" w:rsidP="004E15EA">
      <w:pPr>
        <w:tabs>
          <w:tab w:val="left" w:pos="4395"/>
        </w:tabs>
        <w:autoSpaceDE w:val="0"/>
        <w:autoSpaceDN w:val="0"/>
        <w:adjustRightInd w:val="0"/>
        <w:rPr>
          <w:i/>
          <w:sz w:val="22"/>
          <w:szCs w:val="22"/>
        </w:rPr>
      </w:pPr>
      <w:r w:rsidRPr="00332CF3">
        <w:rPr>
          <w:i/>
          <w:iCs/>
          <w:sz w:val="22"/>
          <w:szCs w:val="22"/>
        </w:rPr>
        <w:t>F</w:t>
      </w:r>
      <w:r w:rsidR="002E6A09">
        <w:rPr>
          <w:i/>
          <w:iCs/>
          <w:sz w:val="22"/>
          <w:szCs w:val="22"/>
        </w:rPr>
        <w:t>LECTOR</w:t>
      </w:r>
      <w:r w:rsidR="008C5D12">
        <w:rPr>
          <w:i/>
          <w:iCs/>
          <w:sz w:val="22"/>
          <w:szCs w:val="22"/>
        </w:rPr>
        <w:t> </w:t>
      </w:r>
      <w:r w:rsidRPr="00332CF3">
        <w:rPr>
          <w:i/>
          <w:iCs/>
          <w:sz w:val="22"/>
          <w:szCs w:val="22"/>
        </w:rPr>
        <w:t>EP</w:t>
      </w:r>
      <w:r w:rsidR="00173B43" w:rsidRPr="00F45BEB">
        <w:rPr>
          <w:i/>
          <w:sz w:val="22"/>
          <w:szCs w:val="22"/>
        </w:rPr>
        <w:t> 12,5 mg mäkké kapsuly</w:t>
      </w:r>
    </w:p>
    <w:p w14:paraId="2C3BA089" w14:textId="77777777" w:rsidR="00173B43" w:rsidRPr="002C7B52" w:rsidRDefault="00173B43" w:rsidP="004E15EA">
      <w:pPr>
        <w:tabs>
          <w:tab w:val="left" w:pos="4395"/>
        </w:tabs>
        <w:autoSpaceDE w:val="0"/>
        <w:autoSpaceDN w:val="0"/>
        <w:adjustRightInd w:val="0"/>
        <w:rPr>
          <w:sz w:val="22"/>
          <w:szCs w:val="22"/>
        </w:rPr>
      </w:pPr>
      <w:r w:rsidRPr="002C7B52">
        <w:rPr>
          <w:sz w:val="22"/>
          <w:szCs w:val="22"/>
        </w:rPr>
        <w:t>Sorbitol (E420)</w:t>
      </w:r>
      <w:r w:rsidRPr="002C7B52">
        <w:rPr>
          <w:sz w:val="22"/>
          <w:szCs w:val="22"/>
        </w:rPr>
        <w:tab/>
        <w:t>maximálne 8,02 mg</w:t>
      </w:r>
    </w:p>
    <w:p w14:paraId="068A61FE" w14:textId="77777777" w:rsidR="00173B43" w:rsidRPr="002C7B52" w:rsidRDefault="00173B43" w:rsidP="004E15EA">
      <w:pPr>
        <w:tabs>
          <w:tab w:val="left" w:pos="4395"/>
        </w:tabs>
        <w:autoSpaceDE w:val="0"/>
        <w:autoSpaceDN w:val="0"/>
        <w:adjustRightInd w:val="0"/>
        <w:rPr>
          <w:i/>
          <w:sz w:val="22"/>
          <w:szCs w:val="22"/>
        </w:rPr>
      </w:pPr>
    </w:p>
    <w:p w14:paraId="05DE05EC" w14:textId="44D2B391" w:rsidR="00173B43" w:rsidRPr="00F45BEB" w:rsidRDefault="00F45BEB" w:rsidP="004E15EA">
      <w:pPr>
        <w:tabs>
          <w:tab w:val="left" w:pos="4395"/>
        </w:tabs>
        <w:autoSpaceDE w:val="0"/>
        <w:autoSpaceDN w:val="0"/>
        <w:adjustRightInd w:val="0"/>
        <w:rPr>
          <w:i/>
          <w:sz w:val="22"/>
          <w:szCs w:val="22"/>
        </w:rPr>
      </w:pPr>
      <w:r w:rsidRPr="00332CF3">
        <w:rPr>
          <w:i/>
          <w:iCs/>
          <w:sz w:val="22"/>
          <w:szCs w:val="22"/>
        </w:rPr>
        <w:t>F</w:t>
      </w:r>
      <w:r w:rsidR="002E6A09">
        <w:rPr>
          <w:i/>
          <w:iCs/>
          <w:sz w:val="22"/>
          <w:szCs w:val="22"/>
        </w:rPr>
        <w:t>LECTOR</w:t>
      </w:r>
      <w:r w:rsidR="008C5D12">
        <w:rPr>
          <w:i/>
          <w:iCs/>
          <w:sz w:val="22"/>
          <w:szCs w:val="22"/>
        </w:rPr>
        <w:t> </w:t>
      </w:r>
      <w:r w:rsidRPr="00332CF3">
        <w:rPr>
          <w:i/>
          <w:iCs/>
          <w:sz w:val="22"/>
          <w:szCs w:val="22"/>
        </w:rPr>
        <w:t>EP</w:t>
      </w:r>
      <w:r w:rsidR="00173B43" w:rsidRPr="00F45BEB">
        <w:rPr>
          <w:i/>
          <w:sz w:val="22"/>
          <w:szCs w:val="22"/>
        </w:rPr>
        <w:t xml:space="preserve"> 25 mg mäkké kapsuly </w:t>
      </w:r>
    </w:p>
    <w:p w14:paraId="3195EE80" w14:textId="77777777" w:rsidR="00173B43" w:rsidRPr="002C7B52" w:rsidRDefault="00173B43" w:rsidP="004E15EA">
      <w:pPr>
        <w:tabs>
          <w:tab w:val="left" w:pos="4395"/>
        </w:tabs>
        <w:autoSpaceDE w:val="0"/>
        <w:autoSpaceDN w:val="0"/>
        <w:adjustRightInd w:val="0"/>
        <w:rPr>
          <w:sz w:val="22"/>
          <w:szCs w:val="22"/>
        </w:rPr>
      </w:pPr>
      <w:r w:rsidRPr="002C7B52">
        <w:rPr>
          <w:sz w:val="22"/>
          <w:szCs w:val="22"/>
        </w:rPr>
        <w:t>Sorbitol (E420)</w:t>
      </w:r>
      <w:r w:rsidRPr="002C7B52">
        <w:rPr>
          <w:sz w:val="22"/>
          <w:szCs w:val="22"/>
        </w:rPr>
        <w:tab/>
        <w:t>maximálne 10,07 mg</w:t>
      </w:r>
    </w:p>
    <w:p w14:paraId="5FEB6E14" w14:textId="77777777" w:rsidR="00173B43" w:rsidRPr="002C7B52" w:rsidRDefault="00173B43">
      <w:pPr>
        <w:shd w:val="clear" w:color="auto" w:fill="FFFFFF"/>
        <w:autoSpaceDE w:val="0"/>
        <w:autoSpaceDN w:val="0"/>
        <w:adjustRightInd w:val="0"/>
        <w:rPr>
          <w:sz w:val="22"/>
          <w:szCs w:val="22"/>
        </w:rPr>
      </w:pPr>
    </w:p>
    <w:p w14:paraId="65EADD57" w14:textId="77777777" w:rsidR="00173B43" w:rsidRPr="002C7B52" w:rsidRDefault="00173B43">
      <w:pPr>
        <w:shd w:val="clear" w:color="auto" w:fill="FFFFFF"/>
        <w:autoSpaceDE w:val="0"/>
        <w:autoSpaceDN w:val="0"/>
        <w:adjustRightInd w:val="0"/>
        <w:rPr>
          <w:sz w:val="22"/>
          <w:szCs w:val="22"/>
        </w:rPr>
      </w:pPr>
      <w:r w:rsidRPr="002C7B52">
        <w:rPr>
          <w:sz w:val="22"/>
          <w:szCs w:val="22"/>
        </w:rPr>
        <w:t>Úplný zoznam pomocných látok, pozri časť 6.1.</w:t>
      </w:r>
    </w:p>
    <w:p w14:paraId="7E3A37E8" w14:textId="77777777" w:rsidR="00173B43" w:rsidRPr="002C7B52" w:rsidRDefault="00173B43">
      <w:pPr>
        <w:shd w:val="clear" w:color="auto" w:fill="FFFFFF"/>
        <w:autoSpaceDE w:val="0"/>
        <w:autoSpaceDN w:val="0"/>
        <w:adjustRightInd w:val="0"/>
        <w:rPr>
          <w:b/>
          <w:sz w:val="22"/>
          <w:szCs w:val="22"/>
        </w:rPr>
      </w:pPr>
    </w:p>
    <w:p w14:paraId="1A7FAF4D" w14:textId="77777777" w:rsidR="00173B43" w:rsidRPr="002C7B52" w:rsidRDefault="00173B43">
      <w:pPr>
        <w:shd w:val="clear" w:color="auto" w:fill="FFFFFF"/>
        <w:autoSpaceDE w:val="0"/>
        <w:autoSpaceDN w:val="0"/>
        <w:adjustRightInd w:val="0"/>
        <w:rPr>
          <w:b/>
          <w:sz w:val="22"/>
          <w:szCs w:val="22"/>
        </w:rPr>
      </w:pPr>
    </w:p>
    <w:p w14:paraId="2F74E5B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3.</w:t>
      </w:r>
      <w:r w:rsidRPr="002C7B52">
        <w:rPr>
          <w:b/>
          <w:sz w:val="22"/>
          <w:szCs w:val="22"/>
        </w:rPr>
        <w:tab/>
        <w:t>LIEKOVÁ FORMA</w:t>
      </w:r>
    </w:p>
    <w:p w14:paraId="329DF8B9" w14:textId="77777777" w:rsidR="00173B43" w:rsidRPr="002C7B52" w:rsidRDefault="00173B43">
      <w:pPr>
        <w:keepNext/>
        <w:shd w:val="clear" w:color="auto" w:fill="FFFFFF"/>
        <w:autoSpaceDE w:val="0"/>
        <w:autoSpaceDN w:val="0"/>
        <w:adjustRightInd w:val="0"/>
        <w:rPr>
          <w:sz w:val="22"/>
          <w:szCs w:val="22"/>
        </w:rPr>
      </w:pPr>
    </w:p>
    <w:p w14:paraId="715B971D" w14:textId="77777777" w:rsidR="00173B43" w:rsidRPr="002C7B52" w:rsidRDefault="00173B43">
      <w:pPr>
        <w:shd w:val="clear" w:color="auto" w:fill="FFFFFF"/>
        <w:autoSpaceDE w:val="0"/>
        <w:autoSpaceDN w:val="0"/>
        <w:adjustRightInd w:val="0"/>
        <w:rPr>
          <w:sz w:val="22"/>
          <w:szCs w:val="22"/>
        </w:rPr>
      </w:pPr>
      <w:r w:rsidRPr="002C7B52">
        <w:rPr>
          <w:sz w:val="22"/>
          <w:szCs w:val="22"/>
        </w:rPr>
        <w:t>Mäkká kapsula</w:t>
      </w:r>
    </w:p>
    <w:p w14:paraId="61C11F6E" w14:textId="77777777" w:rsidR="00173B43" w:rsidRPr="002C7B52" w:rsidRDefault="00173B43">
      <w:pPr>
        <w:rPr>
          <w:sz w:val="22"/>
          <w:szCs w:val="22"/>
          <w:shd w:val="clear" w:color="auto" w:fill="C0C0C0"/>
        </w:rPr>
      </w:pPr>
    </w:p>
    <w:p w14:paraId="48DFAE61" w14:textId="623F9046" w:rsidR="00173B43" w:rsidRPr="00F45BEB" w:rsidRDefault="00F45BEB">
      <w:pPr>
        <w:rPr>
          <w:i/>
          <w:sz w:val="22"/>
          <w:szCs w:val="22"/>
        </w:rPr>
      </w:pPr>
      <w:r w:rsidRPr="00332CF3">
        <w:rPr>
          <w:i/>
          <w:iCs/>
          <w:sz w:val="22"/>
          <w:szCs w:val="22"/>
        </w:rPr>
        <w:t>F</w:t>
      </w:r>
      <w:r w:rsidR="002E6A09">
        <w:rPr>
          <w:i/>
          <w:iCs/>
          <w:sz w:val="22"/>
          <w:szCs w:val="22"/>
        </w:rPr>
        <w:t>LECTOR</w:t>
      </w:r>
      <w:r w:rsidR="008C5D12">
        <w:rPr>
          <w:i/>
          <w:iCs/>
          <w:sz w:val="22"/>
          <w:szCs w:val="22"/>
        </w:rPr>
        <w:t> </w:t>
      </w:r>
      <w:r w:rsidRPr="00332CF3">
        <w:rPr>
          <w:i/>
          <w:iCs/>
          <w:sz w:val="22"/>
          <w:szCs w:val="22"/>
        </w:rPr>
        <w:t>EP</w:t>
      </w:r>
      <w:r w:rsidR="00173B43" w:rsidRPr="00F45BEB">
        <w:rPr>
          <w:i/>
          <w:sz w:val="22"/>
          <w:szCs w:val="22"/>
        </w:rPr>
        <w:t> 12,5 mg mäkké kapsuly</w:t>
      </w:r>
    </w:p>
    <w:p w14:paraId="48319CE6" w14:textId="77777777" w:rsidR="00173B43" w:rsidRPr="002C7B52" w:rsidRDefault="00173B43">
      <w:pPr>
        <w:rPr>
          <w:sz w:val="22"/>
          <w:szCs w:val="22"/>
          <w:shd w:val="clear" w:color="auto" w:fill="C0C0C0"/>
        </w:rPr>
      </w:pPr>
      <w:r w:rsidRPr="002C7B52">
        <w:rPr>
          <w:sz w:val="22"/>
          <w:szCs w:val="22"/>
        </w:rPr>
        <w:t>Prie</w:t>
      </w:r>
      <w:r w:rsidR="009A5D5E" w:rsidRPr="002C7B52">
        <w:rPr>
          <w:sz w:val="22"/>
          <w:szCs w:val="22"/>
        </w:rPr>
        <w:t>hľadn</w:t>
      </w:r>
      <w:r w:rsidRPr="002C7B52">
        <w:rPr>
          <w:sz w:val="22"/>
          <w:szCs w:val="22"/>
        </w:rPr>
        <w:t>á, do žlta sfarbená oválna želatínová mäkká kapsula vo veľkosti približne 0,8 cm, ktorá obsahuje mierne viskózny roztok.</w:t>
      </w:r>
    </w:p>
    <w:p w14:paraId="325CFF58" w14:textId="77777777" w:rsidR="00173B43" w:rsidRPr="002C7B52" w:rsidRDefault="00173B43">
      <w:pPr>
        <w:rPr>
          <w:sz w:val="22"/>
          <w:szCs w:val="22"/>
          <w:shd w:val="clear" w:color="auto" w:fill="C0C0C0"/>
        </w:rPr>
      </w:pPr>
    </w:p>
    <w:p w14:paraId="34BC9A00" w14:textId="3B8EBC06" w:rsidR="00173B43" w:rsidRPr="00F45BEB" w:rsidRDefault="00F45BEB">
      <w:pPr>
        <w:rPr>
          <w:i/>
          <w:sz w:val="22"/>
          <w:szCs w:val="22"/>
          <w:lang w:eastAsia="fr-FR"/>
        </w:rPr>
      </w:pPr>
      <w:r w:rsidRPr="00332CF3">
        <w:rPr>
          <w:i/>
          <w:iCs/>
          <w:sz w:val="22"/>
          <w:szCs w:val="22"/>
        </w:rPr>
        <w:t>F</w:t>
      </w:r>
      <w:r w:rsidR="002E6A09">
        <w:rPr>
          <w:i/>
          <w:iCs/>
          <w:sz w:val="22"/>
          <w:szCs w:val="22"/>
        </w:rPr>
        <w:t>LECTOR</w:t>
      </w:r>
      <w:r w:rsidR="008C5D12">
        <w:rPr>
          <w:i/>
          <w:iCs/>
          <w:sz w:val="22"/>
          <w:szCs w:val="22"/>
        </w:rPr>
        <w:t> </w:t>
      </w:r>
      <w:r w:rsidRPr="00332CF3">
        <w:rPr>
          <w:i/>
          <w:iCs/>
          <w:sz w:val="22"/>
          <w:szCs w:val="22"/>
        </w:rPr>
        <w:t>EP</w:t>
      </w:r>
      <w:r w:rsidR="00173B43" w:rsidRPr="00F45BEB">
        <w:rPr>
          <w:i/>
          <w:sz w:val="22"/>
          <w:szCs w:val="22"/>
        </w:rPr>
        <w:t> 25 mg mäkké kapsuly</w:t>
      </w:r>
    </w:p>
    <w:p w14:paraId="426CD355" w14:textId="77777777" w:rsidR="00173B43" w:rsidRPr="002C7B52" w:rsidRDefault="00173B43">
      <w:pPr>
        <w:rPr>
          <w:sz w:val="22"/>
          <w:szCs w:val="22"/>
          <w:shd w:val="clear" w:color="auto" w:fill="C0C0C0"/>
        </w:rPr>
      </w:pPr>
      <w:r w:rsidRPr="002C7B52">
        <w:rPr>
          <w:sz w:val="22"/>
          <w:szCs w:val="22"/>
        </w:rPr>
        <w:t>Prie</w:t>
      </w:r>
      <w:r w:rsidR="009A5D5E" w:rsidRPr="002C7B52">
        <w:rPr>
          <w:sz w:val="22"/>
          <w:szCs w:val="22"/>
        </w:rPr>
        <w:t>hľadn</w:t>
      </w:r>
      <w:r w:rsidRPr="002C7B52">
        <w:rPr>
          <w:sz w:val="22"/>
          <w:szCs w:val="22"/>
        </w:rPr>
        <w:t>á, do žlta sfarbená oválna želatínová mäkká kapsula vo veľkosti približne 1 cm, ktorá obsahuje mierne viskózny roztok.</w:t>
      </w:r>
    </w:p>
    <w:p w14:paraId="63F43BD8" w14:textId="77777777" w:rsidR="00173B43" w:rsidRPr="002C7B52" w:rsidRDefault="00173B43">
      <w:pPr>
        <w:shd w:val="clear" w:color="auto" w:fill="FFFFFF"/>
        <w:autoSpaceDE w:val="0"/>
        <w:autoSpaceDN w:val="0"/>
        <w:adjustRightInd w:val="0"/>
        <w:rPr>
          <w:b/>
          <w:sz w:val="22"/>
          <w:szCs w:val="22"/>
        </w:rPr>
      </w:pPr>
    </w:p>
    <w:p w14:paraId="2BA8B0C0" w14:textId="77777777" w:rsidR="00173B43" w:rsidRPr="002C7B52" w:rsidRDefault="00173B43">
      <w:pPr>
        <w:shd w:val="clear" w:color="auto" w:fill="FFFFFF"/>
        <w:autoSpaceDE w:val="0"/>
        <w:autoSpaceDN w:val="0"/>
        <w:adjustRightInd w:val="0"/>
        <w:rPr>
          <w:b/>
          <w:sz w:val="22"/>
          <w:szCs w:val="22"/>
        </w:rPr>
      </w:pPr>
    </w:p>
    <w:p w14:paraId="01918315"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w:t>
      </w:r>
      <w:r w:rsidRPr="002C7B52">
        <w:rPr>
          <w:b/>
          <w:sz w:val="22"/>
          <w:szCs w:val="22"/>
        </w:rPr>
        <w:tab/>
        <w:t xml:space="preserve">KLINICKÉ ÚDAJE </w:t>
      </w:r>
    </w:p>
    <w:p w14:paraId="465E5B20" w14:textId="77777777" w:rsidR="00173B43" w:rsidRPr="002C7B52" w:rsidRDefault="00173B43">
      <w:pPr>
        <w:keepNext/>
        <w:shd w:val="clear" w:color="auto" w:fill="FFFFFF"/>
        <w:autoSpaceDE w:val="0"/>
        <w:autoSpaceDN w:val="0"/>
        <w:adjustRightInd w:val="0"/>
        <w:rPr>
          <w:b/>
          <w:sz w:val="22"/>
          <w:szCs w:val="22"/>
        </w:rPr>
      </w:pPr>
    </w:p>
    <w:p w14:paraId="2CDAB1B2"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4.1</w:t>
      </w:r>
      <w:r w:rsidRPr="002C7B52">
        <w:rPr>
          <w:b/>
          <w:sz w:val="22"/>
          <w:szCs w:val="22"/>
        </w:rPr>
        <w:tab/>
        <w:t>Terapeutické indikácie</w:t>
      </w:r>
    </w:p>
    <w:p w14:paraId="5CDFBB26" w14:textId="77777777" w:rsidR="00173B43" w:rsidRPr="002C7B52" w:rsidRDefault="00173B43">
      <w:pPr>
        <w:keepNext/>
        <w:rPr>
          <w:sz w:val="22"/>
          <w:szCs w:val="22"/>
        </w:rPr>
      </w:pPr>
    </w:p>
    <w:p w14:paraId="0E1B9792" w14:textId="77777777" w:rsidR="00173B43" w:rsidRPr="002C7B52" w:rsidRDefault="00173B43">
      <w:pPr>
        <w:rPr>
          <w:sz w:val="22"/>
          <w:szCs w:val="22"/>
        </w:rPr>
      </w:pPr>
      <w:r w:rsidRPr="002C7B52">
        <w:rPr>
          <w:sz w:val="22"/>
          <w:szCs w:val="22"/>
        </w:rPr>
        <w:t>Na krátkodobú symptomatickú liečbu:</w:t>
      </w:r>
    </w:p>
    <w:p w14:paraId="53926BB1" w14:textId="77777777" w:rsidR="00173B43" w:rsidRPr="002C7B52" w:rsidRDefault="00173B43" w:rsidP="00B5584B">
      <w:pPr>
        <w:numPr>
          <w:ilvl w:val="0"/>
          <w:numId w:val="20"/>
        </w:numPr>
        <w:tabs>
          <w:tab w:val="clear" w:pos="720"/>
          <w:tab w:val="num" w:pos="567"/>
        </w:tabs>
        <w:ind w:left="567" w:hanging="567"/>
        <w:rPr>
          <w:sz w:val="22"/>
          <w:szCs w:val="22"/>
        </w:rPr>
      </w:pPr>
      <w:r w:rsidRPr="002C7B52">
        <w:rPr>
          <w:sz w:val="22"/>
          <w:szCs w:val="22"/>
        </w:rPr>
        <w:t xml:space="preserve">bolesti (napr. bolesti hlavy, zubov, menštruačných bolestí, reumatických bolestí a bolesti svalov) miernej až stredne </w:t>
      </w:r>
      <w:r w:rsidR="00975DFE" w:rsidRPr="002C7B52">
        <w:rPr>
          <w:sz w:val="22"/>
          <w:szCs w:val="22"/>
        </w:rPr>
        <w:t>siln</w:t>
      </w:r>
      <w:r w:rsidRPr="002C7B52">
        <w:rPr>
          <w:sz w:val="22"/>
          <w:szCs w:val="22"/>
        </w:rPr>
        <w:t>ej intenzity.</w:t>
      </w:r>
    </w:p>
    <w:p w14:paraId="333A5339" w14:textId="77777777" w:rsidR="00173B43" w:rsidRPr="002C7B52" w:rsidRDefault="00173B43">
      <w:pPr>
        <w:shd w:val="clear" w:color="auto" w:fill="FFFFFF"/>
        <w:autoSpaceDE w:val="0"/>
        <w:autoSpaceDN w:val="0"/>
        <w:adjustRightInd w:val="0"/>
        <w:rPr>
          <w:b/>
          <w:sz w:val="22"/>
          <w:szCs w:val="22"/>
        </w:rPr>
      </w:pPr>
    </w:p>
    <w:p w14:paraId="5F977717" w14:textId="77777777" w:rsidR="00173B43" w:rsidRPr="002C7B52" w:rsidRDefault="00173B43">
      <w:pPr>
        <w:keepNext/>
        <w:keepLines/>
        <w:shd w:val="clear" w:color="auto" w:fill="FFFFFF"/>
        <w:tabs>
          <w:tab w:val="left" w:pos="567"/>
        </w:tabs>
        <w:autoSpaceDE w:val="0"/>
        <w:autoSpaceDN w:val="0"/>
        <w:adjustRightInd w:val="0"/>
        <w:ind w:left="567" w:hanging="567"/>
        <w:rPr>
          <w:b/>
          <w:sz w:val="22"/>
          <w:szCs w:val="22"/>
        </w:rPr>
      </w:pPr>
      <w:r w:rsidRPr="002C7B52">
        <w:rPr>
          <w:b/>
          <w:sz w:val="22"/>
          <w:szCs w:val="22"/>
        </w:rPr>
        <w:lastRenderedPageBreak/>
        <w:t>4.2</w:t>
      </w:r>
      <w:r w:rsidRPr="002C7B52">
        <w:rPr>
          <w:b/>
          <w:sz w:val="22"/>
          <w:szCs w:val="22"/>
        </w:rPr>
        <w:tab/>
        <w:t>Dávkovanie a spôsob podávania</w:t>
      </w:r>
    </w:p>
    <w:p w14:paraId="50C08ED6" w14:textId="77777777" w:rsidR="00173B43" w:rsidRPr="002C7B52" w:rsidRDefault="00173B43">
      <w:pPr>
        <w:keepNext/>
        <w:keepLines/>
        <w:shd w:val="clear" w:color="auto" w:fill="FFFFFF"/>
        <w:autoSpaceDE w:val="0"/>
        <w:autoSpaceDN w:val="0"/>
        <w:adjustRightInd w:val="0"/>
        <w:rPr>
          <w:sz w:val="22"/>
          <w:szCs w:val="22"/>
        </w:rPr>
      </w:pPr>
    </w:p>
    <w:p w14:paraId="06348DA6" w14:textId="77777777" w:rsidR="00173B43" w:rsidRPr="002C7B52" w:rsidRDefault="00173B43">
      <w:pPr>
        <w:keepNext/>
        <w:keepLines/>
        <w:shd w:val="clear" w:color="auto" w:fill="FFFFFF"/>
        <w:autoSpaceDE w:val="0"/>
        <w:autoSpaceDN w:val="0"/>
        <w:adjustRightInd w:val="0"/>
        <w:rPr>
          <w:sz w:val="22"/>
          <w:szCs w:val="22"/>
          <w:u w:val="single"/>
        </w:rPr>
      </w:pPr>
      <w:r w:rsidRPr="002C7B52">
        <w:rPr>
          <w:sz w:val="22"/>
          <w:szCs w:val="22"/>
          <w:u w:val="single"/>
        </w:rPr>
        <w:t>Dávkovanie</w:t>
      </w:r>
    </w:p>
    <w:p w14:paraId="292ACDFB" w14:textId="77777777" w:rsidR="00173B43" w:rsidRPr="002C7B52" w:rsidRDefault="00173B43">
      <w:pPr>
        <w:keepNext/>
        <w:keepLines/>
        <w:shd w:val="clear" w:color="auto" w:fill="FFFFFF"/>
        <w:autoSpaceDE w:val="0"/>
        <w:autoSpaceDN w:val="0"/>
        <w:adjustRightInd w:val="0"/>
        <w:rPr>
          <w:sz w:val="22"/>
          <w:szCs w:val="22"/>
        </w:rPr>
      </w:pPr>
    </w:p>
    <w:p w14:paraId="6A2CE442" w14:textId="77777777" w:rsidR="00173B43" w:rsidRPr="002C7B52" w:rsidRDefault="00173B43">
      <w:pPr>
        <w:shd w:val="clear" w:color="auto" w:fill="FFFFFF"/>
        <w:autoSpaceDE w:val="0"/>
        <w:autoSpaceDN w:val="0"/>
        <w:adjustRightInd w:val="0"/>
        <w:rPr>
          <w:sz w:val="22"/>
          <w:szCs w:val="22"/>
        </w:rPr>
      </w:pPr>
      <w:r w:rsidRPr="002C7B52">
        <w:rPr>
          <w:sz w:val="22"/>
          <w:szCs w:val="22"/>
        </w:rPr>
        <w:t>Nežiaduce účinky je možné minimalizovať užívaním najnižšej účinnej dávky počas najkratšieho obdobia potrebného na úpravu príznakov (pozri časť 4.4. Osobitné upozornenia a opatrenia pri používaní).</w:t>
      </w:r>
    </w:p>
    <w:p w14:paraId="573D9C28" w14:textId="77777777" w:rsidR="00173B43" w:rsidRPr="002C7B52" w:rsidRDefault="00173B43">
      <w:pPr>
        <w:shd w:val="clear" w:color="auto" w:fill="FFFFFF"/>
        <w:autoSpaceDE w:val="0"/>
        <w:autoSpaceDN w:val="0"/>
        <w:adjustRightInd w:val="0"/>
        <w:rPr>
          <w:sz w:val="22"/>
          <w:szCs w:val="22"/>
        </w:rPr>
      </w:pPr>
    </w:p>
    <w:p w14:paraId="719C7EBF" w14:textId="6DD00FEA" w:rsidR="00173B43" w:rsidRPr="00F45BEB" w:rsidRDefault="002978FB">
      <w:pPr>
        <w:shd w:val="clear" w:color="auto" w:fill="FFFFFF"/>
        <w:autoSpaceDE w:val="0"/>
        <w:autoSpaceDN w:val="0"/>
        <w:adjustRightInd w:val="0"/>
        <w:rPr>
          <w:i/>
          <w:sz w:val="22"/>
          <w:szCs w:val="22"/>
        </w:rPr>
      </w:pPr>
      <w:r w:rsidRPr="00F45BEB">
        <w:rPr>
          <w:i/>
          <w:sz w:val="22"/>
          <w:szCs w:val="22"/>
        </w:rPr>
        <w:t>Dávkovanie p</w:t>
      </w:r>
      <w:r w:rsidR="00173B43" w:rsidRPr="00F45BEB">
        <w:rPr>
          <w:i/>
          <w:sz w:val="22"/>
          <w:szCs w:val="22"/>
        </w:rPr>
        <w:t xml:space="preserve">re </w:t>
      </w:r>
      <w:r w:rsidR="00F45BEB" w:rsidRPr="00332CF3">
        <w:rPr>
          <w:i/>
          <w:iCs/>
          <w:sz w:val="22"/>
          <w:szCs w:val="22"/>
        </w:rPr>
        <w:t>F</w:t>
      </w:r>
      <w:r w:rsidR="002E6A09">
        <w:rPr>
          <w:i/>
          <w:iCs/>
          <w:sz w:val="22"/>
          <w:szCs w:val="22"/>
        </w:rPr>
        <w:t>LECTOR</w:t>
      </w:r>
      <w:r w:rsidR="008C5D12">
        <w:rPr>
          <w:i/>
          <w:iCs/>
          <w:sz w:val="22"/>
          <w:szCs w:val="22"/>
        </w:rPr>
        <w:t> </w:t>
      </w:r>
      <w:r w:rsidR="00F45BEB" w:rsidRPr="00332CF3">
        <w:rPr>
          <w:i/>
          <w:iCs/>
          <w:sz w:val="22"/>
          <w:szCs w:val="22"/>
        </w:rPr>
        <w:t>EP</w:t>
      </w:r>
      <w:r w:rsidR="00173B43" w:rsidRPr="00F45BEB">
        <w:rPr>
          <w:i/>
          <w:sz w:val="22"/>
          <w:szCs w:val="22"/>
        </w:rPr>
        <w:t> 12,5 mg mäkké kapsuly</w:t>
      </w:r>
    </w:p>
    <w:p w14:paraId="1BB76BE3" w14:textId="77777777" w:rsidR="00173B43" w:rsidRPr="002C7B52" w:rsidRDefault="00173B43">
      <w:pPr>
        <w:shd w:val="clear" w:color="auto" w:fill="FFFFFF"/>
        <w:autoSpaceDE w:val="0"/>
        <w:autoSpaceDN w:val="0"/>
        <w:adjustRightInd w:val="0"/>
        <w:rPr>
          <w:sz w:val="22"/>
          <w:szCs w:val="22"/>
        </w:rPr>
      </w:pPr>
      <w:r w:rsidRPr="002C7B52">
        <w:rPr>
          <w:sz w:val="22"/>
          <w:szCs w:val="22"/>
        </w:rPr>
        <w:t>Pokiaľ lekár nepredpíše inak, dospelí a deti staršie ako 14 rokov majú začať s 1 alebo 2 mäkkými kapsulami a následne užívať 1 alebo 2 mäkké kapsuly každých 4 až 6 hodín podľa potreby. V každom prípade sa za ktorékoľvek obdobie 24 hodín nesmie užiť viac ako 6 mäkkých kapsúl (čo zodpovedá 75 mg draselnej soli diklofenaku).</w:t>
      </w:r>
    </w:p>
    <w:p w14:paraId="66B298BD" w14:textId="77777777" w:rsidR="00173B43" w:rsidRPr="002C7B52" w:rsidRDefault="00173B43">
      <w:pPr>
        <w:shd w:val="clear" w:color="auto" w:fill="FFFFFF"/>
        <w:autoSpaceDE w:val="0"/>
        <w:autoSpaceDN w:val="0"/>
        <w:adjustRightInd w:val="0"/>
        <w:rPr>
          <w:i/>
          <w:sz w:val="22"/>
          <w:szCs w:val="22"/>
        </w:rPr>
      </w:pPr>
    </w:p>
    <w:p w14:paraId="6C9A6A1E" w14:textId="61FF66C3" w:rsidR="00173B43" w:rsidRPr="00F45BEB" w:rsidRDefault="002978FB">
      <w:pPr>
        <w:shd w:val="clear" w:color="auto" w:fill="FFFFFF"/>
        <w:autoSpaceDE w:val="0"/>
        <w:autoSpaceDN w:val="0"/>
        <w:adjustRightInd w:val="0"/>
        <w:rPr>
          <w:i/>
          <w:sz w:val="22"/>
          <w:szCs w:val="22"/>
        </w:rPr>
      </w:pPr>
      <w:r w:rsidRPr="00F45BEB">
        <w:rPr>
          <w:i/>
          <w:sz w:val="22"/>
          <w:szCs w:val="22"/>
        </w:rPr>
        <w:t>Dávkovanie p</w:t>
      </w:r>
      <w:r w:rsidR="00173B43" w:rsidRPr="00F45BEB">
        <w:rPr>
          <w:i/>
          <w:sz w:val="22"/>
          <w:szCs w:val="22"/>
        </w:rPr>
        <w:t xml:space="preserve">re </w:t>
      </w:r>
      <w:r w:rsidR="00F45BEB" w:rsidRPr="00332CF3">
        <w:rPr>
          <w:i/>
          <w:iCs/>
          <w:sz w:val="22"/>
          <w:szCs w:val="22"/>
        </w:rPr>
        <w:t>F</w:t>
      </w:r>
      <w:r w:rsidR="002E6A09">
        <w:rPr>
          <w:i/>
          <w:iCs/>
          <w:sz w:val="22"/>
          <w:szCs w:val="22"/>
        </w:rPr>
        <w:t>LECTOR</w:t>
      </w:r>
      <w:r w:rsidR="008C5D12">
        <w:rPr>
          <w:i/>
          <w:iCs/>
          <w:sz w:val="22"/>
          <w:szCs w:val="22"/>
        </w:rPr>
        <w:t> </w:t>
      </w:r>
      <w:r w:rsidR="00F45BEB" w:rsidRPr="00332CF3">
        <w:rPr>
          <w:i/>
          <w:iCs/>
          <w:sz w:val="22"/>
          <w:szCs w:val="22"/>
        </w:rPr>
        <w:t>EP</w:t>
      </w:r>
      <w:r w:rsidR="00173B43" w:rsidRPr="00F45BEB">
        <w:rPr>
          <w:i/>
          <w:sz w:val="22"/>
          <w:szCs w:val="22"/>
        </w:rPr>
        <w:t xml:space="preserve"> 25 mg mäkké kapsuly </w:t>
      </w:r>
    </w:p>
    <w:p w14:paraId="7AE5EA78" w14:textId="77777777" w:rsidR="00173B43" w:rsidRPr="002C7B52" w:rsidRDefault="00173B43">
      <w:pPr>
        <w:shd w:val="clear" w:color="auto" w:fill="FFFFFF"/>
        <w:autoSpaceDE w:val="0"/>
        <w:autoSpaceDN w:val="0"/>
        <w:adjustRightInd w:val="0"/>
        <w:rPr>
          <w:sz w:val="22"/>
          <w:szCs w:val="22"/>
        </w:rPr>
      </w:pPr>
      <w:r w:rsidRPr="002C7B52">
        <w:rPr>
          <w:sz w:val="22"/>
          <w:szCs w:val="22"/>
        </w:rPr>
        <w:t>Pokiaľ lekár nepredpíše inak, dospelí a deti staršie ako 14 rokov majú začať s 1 mäkkou kapsulou a následne užívať 1 mäkkú kapsulu každých 4 až 6 hodín podľa potreby. V každom prípade sa za ktorékoľvek obdobie 24 hodín nesmie užiť viac ako 3 mäkké kapsuly (čo zodpovedá 75 mg draselnej soli diklofenaku).</w:t>
      </w:r>
    </w:p>
    <w:p w14:paraId="6160FB3F" w14:textId="77777777" w:rsidR="00173B43" w:rsidRPr="002C7B52" w:rsidRDefault="00173B43">
      <w:pPr>
        <w:shd w:val="clear" w:color="auto" w:fill="FFFFFF"/>
        <w:autoSpaceDE w:val="0"/>
        <w:autoSpaceDN w:val="0"/>
        <w:adjustRightInd w:val="0"/>
        <w:rPr>
          <w:sz w:val="22"/>
          <w:szCs w:val="22"/>
          <w:highlight w:val="lightGray"/>
        </w:rPr>
      </w:pPr>
    </w:p>
    <w:p w14:paraId="60939140" w14:textId="1E16301E" w:rsidR="00173B43" w:rsidRPr="002C7B52" w:rsidRDefault="008266F6">
      <w:pPr>
        <w:shd w:val="clear" w:color="auto" w:fill="FFFFFF"/>
        <w:autoSpaceDE w:val="0"/>
        <w:autoSpaceDN w:val="0"/>
        <w:adjustRightInd w:val="0"/>
        <w:rPr>
          <w:sz w:val="22"/>
          <w:szCs w:val="22"/>
        </w:rPr>
      </w:pPr>
      <w:r>
        <w:rPr>
          <w:iCs/>
          <w:sz w:val="22"/>
          <w:szCs w:val="22"/>
        </w:rPr>
        <w:t>F</w:t>
      </w:r>
      <w:r w:rsidR="002E6A09">
        <w:rPr>
          <w:iCs/>
          <w:sz w:val="22"/>
          <w:szCs w:val="22"/>
        </w:rPr>
        <w:t>LECTOR</w:t>
      </w:r>
      <w:r w:rsidR="008C5D12">
        <w:rPr>
          <w:iCs/>
          <w:sz w:val="22"/>
          <w:szCs w:val="22"/>
        </w:rPr>
        <w:t> </w:t>
      </w:r>
      <w:r>
        <w:rPr>
          <w:iCs/>
          <w:sz w:val="22"/>
          <w:szCs w:val="22"/>
        </w:rPr>
        <w:t>EP</w:t>
      </w:r>
      <w:r w:rsidR="00173B43" w:rsidRPr="002C7B52">
        <w:rPr>
          <w:sz w:val="22"/>
          <w:szCs w:val="22"/>
        </w:rPr>
        <w:t xml:space="preserve"> sa má užívať krátkodobo. Liečba má trvať 3 dni. Ak príznaky pretrvávajú alebo sa zhoršia, pacient sa má poradiť s</w:t>
      </w:r>
      <w:r w:rsidR="00AB13FF" w:rsidRPr="002C7B52">
        <w:rPr>
          <w:sz w:val="22"/>
          <w:szCs w:val="22"/>
        </w:rPr>
        <w:t> </w:t>
      </w:r>
      <w:r w:rsidR="00173B43" w:rsidRPr="002C7B52">
        <w:rPr>
          <w:sz w:val="22"/>
          <w:szCs w:val="22"/>
        </w:rPr>
        <w:t>lekárom.</w:t>
      </w:r>
    </w:p>
    <w:p w14:paraId="18383DA3" w14:textId="77777777" w:rsidR="00173B43" w:rsidRPr="002C7B52" w:rsidRDefault="00173B43">
      <w:pPr>
        <w:shd w:val="clear" w:color="auto" w:fill="FFFFFF"/>
        <w:autoSpaceDE w:val="0"/>
        <w:autoSpaceDN w:val="0"/>
        <w:adjustRightInd w:val="0"/>
        <w:rPr>
          <w:sz w:val="22"/>
          <w:szCs w:val="22"/>
        </w:rPr>
      </w:pPr>
    </w:p>
    <w:p w14:paraId="40A15395"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Pediatrická populácia</w:t>
      </w:r>
    </w:p>
    <w:p w14:paraId="08104BE8" w14:textId="5440AA3E" w:rsidR="00173B43" w:rsidRPr="002C7B52" w:rsidRDefault="00173B43">
      <w:pPr>
        <w:shd w:val="clear" w:color="auto" w:fill="FFFFFF"/>
        <w:autoSpaceDE w:val="0"/>
        <w:autoSpaceDN w:val="0"/>
        <w:adjustRightInd w:val="0"/>
        <w:rPr>
          <w:sz w:val="22"/>
          <w:szCs w:val="22"/>
        </w:rPr>
      </w:pPr>
      <w:r w:rsidRPr="002C7B52">
        <w:rPr>
          <w:sz w:val="22"/>
          <w:szCs w:val="22"/>
        </w:rPr>
        <w:t xml:space="preserve">Neodporúča sa užívať </w:t>
      </w:r>
      <w:r w:rsidR="008266F6">
        <w:rPr>
          <w:iCs/>
          <w:sz w:val="22"/>
          <w:szCs w:val="22"/>
        </w:rPr>
        <w:t>F</w:t>
      </w:r>
      <w:r w:rsidR="002E6A09">
        <w:rPr>
          <w:iCs/>
          <w:sz w:val="22"/>
          <w:szCs w:val="22"/>
        </w:rPr>
        <w:t>LECTOR</w:t>
      </w:r>
      <w:r w:rsidR="008C5D12">
        <w:rPr>
          <w:iCs/>
          <w:sz w:val="22"/>
          <w:szCs w:val="22"/>
        </w:rPr>
        <w:t> </w:t>
      </w:r>
      <w:r w:rsidR="008266F6">
        <w:rPr>
          <w:iCs/>
          <w:sz w:val="22"/>
          <w:szCs w:val="22"/>
        </w:rPr>
        <w:t>EP</w:t>
      </w:r>
      <w:r w:rsidRPr="002C7B52">
        <w:rPr>
          <w:sz w:val="22"/>
          <w:szCs w:val="22"/>
        </w:rPr>
        <w:t xml:space="preserve"> u</w:t>
      </w:r>
      <w:r w:rsidR="00AB13FF" w:rsidRPr="002C7B52">
        <w:rPr>
          <w:sz w:val="22"/>
          <w:szCs w:val="22"/>
        </w:rPr>
        <w:t> </w:t>
      </w:r>
      <w:r w:rsidRPr="002C7B52">
        <w:rPr>
          <w:sz w:val="22"/>
          <w:szCs w:val="22"/>
        </w:rPr>
        <w:t>detí a</w:t>
      </w:r>
      <w:r w:rsidR="00AB13FF" w:rsidRPr="002C7B52">
        <w:rPr>
          <w:sz w:val="22"/>
          <w:szCs w:val="22"/>
        </w:rPr>
        <w:t> </w:t>
      </w:r>
      <w:r w:rsidRPr="002C7B52">
        <w:rPr>
          <w:sz w:val="22"/>
          <w:szCs w:val="22"/>
        </w:rPr>
        <w:t>dospievajúcich mladších ako 14 rokov.</w:t>
      </w:r>
    </w:p>
    <w:p w14:paraId="743CAF69" w14:textId="77777777" w:rsidR="00173B43" w:rsidRPr="002C7B52" w:rsidRDefault="00173B43">
      <w:pPr>
        <w:shd w:val="clear" w:color="auto" w:fill="FFFFFF"/>
        <w:autoSpaceDE w:val="0"/>
        <w:autoSpaceDN w:val="0"/>
        <w:adjustRightInd w:val="0"/>
        <w:rPr>
          <w:sz w:val="22"/>
          <w:szCs w:val="22"/>
          <w:u w:val="single"/>
        </w:rPr>
      </w:pPr>
    </w:p>
    <w:p w14:paraId="57224ED2"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Starší pacienti</w:t>
      </w:r>
    </w:p>
    <w:p w14:paraId="5A36BBE8"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Nie je potrebná žiadna osobitná úprava dávkovania. Vzhľadom na profil možných nežiaducich účinkov majú byť starší pacienti zvlášť dôsledne monitorovaní (pozri časť 4.4). </w:t>
      </w:r>
    </w:p>
    <w:p w14:paraId="00D3A986" w14:textId="77777777" w:rsidR="00173B43" w:rsidRPr="002C7B52" w:rsidRDefault="00173B43">
      <w:pPr>
        <w:shd w:val="clear" w:color="auto" w:fill="FFFFFF"/>
        <w:autoSpaceDE w:val="0"/>
        <w:autoSpaceDN w:val="0"/>
        <w:adjustRightInd w:val="0"/>
        <w:rPr>
          <w:sz w:val="22"/>
          <w:szCs w:val="22"/>
        </w:rPr>
      </w:pPr>
    </w:p>
    <w:p w14:paraId="531B1EEB"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Porucha funkcie obličiek</w:t>
      </w:r>
    </w:p>
    <w:p w14:paraId="527E01C6"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je kontraindikovaný u</w:t>
      </w:r>
      <w:r w:rsidR="00AB13FF" w:rsidRPr="002C7B52">
        <w:rPr>
          <w:sz w:val="22"/>
          <w:szCs w:val="22"/>
        </w:rPr>
        <w:t> </w:t>
      </w:r>
      <w:r w:rsidRPr="002C7B52">
        <w:rPr>
          <w:sz w:val="22"/>
          <w:szCs w:val="22"/>
        </w:rPr>
        <w:t>pacientov so závažnou poruchou funkcie obličiek (pozri časť 4.3). U pacientov s</w:t>
      </w:r>
      <w:r w:rsidR="00AB13FF" w:rsidRPr="002C7B52">
        <w:rPr>
          <w:sz w:val="22"/>
          <w:szCs w:val="22"/>
        </w:rPr>
        <w:t> </w:t>
      </w:r>
      <w:r w:rsidRPr="002C7B52">
        <w:rPr>
          <w:sz w:val="22"/>
          <w:szCs w:val="22"/>
        </w:rPr>
        <w:t xml:space="preserve">miernou až stredne závažnou poruchou funkcie obličiek nie je potrebné zníženie dávky. Pri podávaní diklofenaku pacientom s miernou až stredne závažnou poruchou funkcie obličiek sa odporúča postupovať opatrne (pozri časť 4.4). </w:t>
      </w:r>
    </w:p>
    <w:p w14:paraId="4716FD85" w14:textId="77777777" w:rsidR="00173B43" w:rsidRPr="002C7B52" w:rsidRDefault="00173B43">
      <w:pPr>
        <w:shd w:val="clear" w:color="auto" w:fill="FFFFFF"/>
        <w:autoSpaceDE w:val="0"/>
        <w:autoSpaceDN w:val="0"/>
        <w:adjustRightInd w:val="0"/>
        <w:rPr>
          <w:sz w:val="22"/>
          <w:szCs w:val="22"/>
        </w:rPr>
      </w:pPr>
    </w:p>
    <w:p w14:paraId="5808A311" w14:textId="77777777" w:rsidR="00173B43" w:rsidRPr="002C7B52" w:rsidRDefault="00173B43">
      <w:pPr>
        <w:shd w:val="clear" w:color="auto" w:fill="FFFFFF"/>
        <w:autoSpaceDE w:val="0"/>
        <w:autoSpaceDN w:val="0"/>
        <w:adjustRightInd w:val="0"/>
        <w:rPr>
          <w:i/>
          <w:sz w:val="22"/>
          <w:szCs w:val="22"/>
          <w:u w:val="single"/>
        </w:rPr>
      </w:pPr>
      <w:r w:rsidRPr="002C7B52">
        <w:rPr>
          <w:i/>
          <w:sz w:val="22"/>
          <w:szCs w:val="22"/>
          <w:u w:val="single"/>
        </w:rPr>
        <w:t>Porucha funkcie pečene</w:t>
      </w:r>
    </w:p>
    <w:p w14:paraId="5E64B584"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Diklofenak je kontraindikovaný u pacientov so závažnou poruchou funkcie pečene (pozri časť 4.3). U pacientov s miernou až stredne závažnou poruchou funkcie pečene nie je potrebné zníženie dávky. Pri podávaní diklofenaku pacientom s miernou až stredne závažnou poruchou funkcie pečene sa odporúča postupovať opatrne (pozri časť 4.4). </w:t>
      </w:r>
    </w:p>
    <w:p w14:paraId="589469D6" w14:textId="77777777" w:rsidR="00173B43" w:rsidRPr="002C7B52" w:rsidRDefault="00173B43">
      <w:pPr>
        <w:shd w:val="clear" w:color="auto" w:fill="FFFFFF"/>
        <w:autoSpaceDE w:val="0"/>
        <w:autoSpaceDN w:val="0"/>
        <w:adjustRightInd w:val="0"/>
        <w:rPr>
          <w:sz w:val="22"/>
          <w:szCs w:val="22"/>
        </w:rPr>
      </w:pPr>
    </w:p>
    <w:p w14:paraId="50AD0B43"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Spôsob podávania</w:t>
      </w:r>
    </w:p>
    <w:p w14:paraId="1995DEFC" w14:textId="77777777" w:rsidR="00173B43" w:rsidRPr="002C7B52" w:rsidRDefault="00173B43">
      <w:pPr>
        <w:shd w:val="clear" w:color="auto" w:fill="FFFFFF"/>
        <w:autoSpaceDE w:val="0"/>
        <w:autoSpaceDN w:val="0"/>
        <w:adjustRightInd w:val="0"/>
        <w:rPr>
          <w:sz w:val="22"/>
          <w:szCs w:val="22"/>
        </w:rPr>
      </w:pPr>
      <w:r w:rsidRPr="002C7B52">
        <w:rPr>
          <w:sz w:val="22"/>
          <w:szCs w:val="22"/>
        </w:rPr>
        <w:t>Mäkké kapsuly sa majú prehltnúť celé a</w:t>
      </w:r>
      <w:r w:rsidR="00AB13FF" w:rsidRPr="002C7B52">
        <w:rPr>
          <w:sz w:val="22"/>
          <w:szCs w:val="22"/>
        </w:rPr>
        <w:t> </w:t>
      </w:r>
      <w:r w:rsidRPr="002C7B52">
        <w:rPr>
          <w:sz w:val="22"/>
          <w:szCs w:val="22"/>
        </w:rPr>
        <w:t xml:space="preserve">zapiť vodou. </w:t>
      </w:r>
    </w:p>
    <w:p w14:paraId="259834A1" w14:textId="4FCFE0F8" w:rsidR="00173B43" w:rsidRPr="002C7B52" w:rsidRDefault="00173B43">
      <w:pPr>
        <w:shd w:val="clear" w:color="auto" w:fill="FFFFFF"/>
        <w:autoSpaceDE w:val="0"/>
        <w:autoSpaceDN w:val="0"/>
        <w:adjustRightInd w:val="0"/>
        <w:rPr>
          <w:sz w:val="22"/>
          <w:szCs w:val="22"/>
        </w:rPr>
      </w:pPr>
      <w:r w:rsidRPr="002C7B52">
        <w:rPr>
          <w:sz w:val="22"/>
          <w:szCs w:val="22"/>
        </w:rPr>
        <w:t xml:space="preserve">Miera absorpcie diklofenaku sa znižuje, keď sa </w:t>
      </w:r>
      <w:r w:rsidR="008266F6">
        <w:rPr>
          <w:iCs/>
          <w:sz w:val="22"/>
          <w:szCs w:val="22"/>
        </w:rPr>
        <w:t>F</w:t>
      </w:r>
      <w:r w:rsidR="002E6A09">
        <w:rPr>
          <w:iCs/>
          <w:sz w:val="22"/>
          <w:szCs w:val="22"/>
        </w:rPr>
        <w:t>LECTOR</w:t>
      </w:r>
      <w:r w:rsidR="008C5D12">
        <w:rPr>
          <w:iCs/>
          <w:sz w:val="22"/>
          <w:szCs w:val="22"/>
        </w:rPr>
        <w:t> </w:t>
      </w:r>
      <w:r w:rsidR="008266F6">
        <w:rPr>
          <w:iCs/>
          <w:sz w:val="22"/>
          <w:szCs w:val="22"/>
        </w:rPr>
        <w:t>EP</w:t>
      </w:r>
      <w:r w:rsidRPr="002C7B52">
        <w:rPr>
          <w:sz w:val="22"/>
          <w:szCs w:val="22"/>
        </w:rPr>
        <w:t xml:space="preserve"> užíva s jedlom. Preto sa odporúča neužívať mäkké kapsuly počas jedla ani bezprostredne po ňom.</w:t>
      </w:r>
    </w:p>
    <w:p w14:paraId="5B27B81D" w14:textId="77777777" w:rsidR="00173B43" w:rsidRPr="002C7B52" w:rsidRDefault="00173B43">
      <w:pPr>
        <w:shd w:val="clear" w:color="auto" w:fill="FFFFFF"/>
        <w:autoSpaceDE w:val="0"/>
        <w:autoSpaceDN w:val="0"/>
        <w:adjustRightInd w:val="0"/>
        <w:rPr>
          <w:sz w:val="22"/>
          <w:szCs w:val="22"/>
        </w:rPr>
      </w:pPr>
    </w:p>
    <w:p w14:paraId="1DCF1025"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4.3</w:t>
      </w:r>
      <w:r w:rsidRPr="002C7B52">
        <w:rPr>
          <w:b/>
          <w:sz w:val="22"/>
          <w:szCs w:val="22"/>
        </w:rPr>
        <w:tab/>
        <w:t>Kontraindikácie</w:t>
      </w:r>
    </w:p>
    <w:p w14:paraId="2BAB2C97" w14:textId="77777777" w:rsidR="00173B43" w:rsidRPr="002C7B52" w:rsidRDefault="00173B43">
      <w:pPr>
        <w:keepNext/>
        <w:shd w:val="clear" w:color="auto" w:fill="FFFFFF"/>
        <w:autoSpaceDE w:val="0"/>
        <w:autoSpaceDN w:val="0"/>
        <w:adjustRightInd w:val="0"/>
        <w:rPr>
          <w:i/>
          <w:sz w:val="22"/>
          <w:szCs w:val="22"/>
        </w:rPr>
      </w:pPr>
    </w:p>
    <w:p w14:paraId="60DA6BD4"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precitlivenosť na liečivo alebo na ktorúkoľvek z</w:t>
      </w:r>
      <w:r w:rsidR="00AB13FF" w:rsidRPr="002C7B52">
        <w:rPr>
          <w:sz w:val="22"/>
          <w:szCs w:val="22"/>
        </w:rPr>
        <w:t> </w:t>
      </w:r>
      <w:r w:rsidRPr="002C7B52">
        <w:rPr>
          <w:sz w:val="22"/>
          <w:szCs w:val="22"/>
        </w:rPr>
        <w:t>pomocných látok uvedených v</w:t>
      </w:r>
      <w:r w:rsidR="00AB13FF" w:rsidRPr="002C7B52">
        <w:rPr>
          <w:sz w:val="22"/>
          <w:szCs w:val="22"/>
        </w:rPr>
        <w:t> </w:t>
      </w:r>
      <w:r w:rsidRPr="002C7B52">
        <w:rPr>
          <w:sz w:val="22"/>
          <w:szCs w:val="22"/>
        </w:rPr>
        <w:t>časti 6.1.</w:t>
      </w:r>
    </w:p>
    <w:p w14:paraId="36678F17"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aktívny gastrický alebo intestinálny vred, krvácanie alebo perforácia.</w:t>
      </w:r>
    </w:p>
    <w:p w14:paraId="3DE92E7C"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neobjasnené poruchy krvotvorby.</w:t>
      </w:r>
    </w:p>
    <w:p w14:paraId="35A92FAD"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anamnéza gastrointestinálneho krvácania alebo perforácie v</w:t>
      </w:r>
      <w:r w:rsidR="00AB13FF" w:rsidRPr="002C7B52">
        <w:rPr>
          <w:sz w:val="22"/>
          <w:szCs w:val="22"/>
        </w:rPr>
        <w:t> </w:t>
      </w:r>
      <w:r w:rsidRPr="002C7B52">
        <w:rPr>
          <w:sz w:val="22"/>
          <w:szCs w:val="22"/>
        </w:rPr>
        <w:t>súvislosti s</w:t>
      </w:r>
      <w:r w:rsidR="00AB13FF" w:rsidRPr="002C7B52">
        <w:rPr>
          <w:sz w:val="22"/>
          <w:szCs w:val="22"/>
        </w:rPr>
        <w:t> </w:t>
      </w:r>
      <w:r w:rsidRPr="002C7B52">
        <w:rPr>
          <w:sz w:val="22"/>
          <w:szCs w:val="22"/>
        </w:rPr>
        <w:t xml:space="preserve">predchádzajúcou liečbou NSAID. </w:t>
      </w:r>
    </w:p>
    <w:p w14:paraId="3696D784"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 xml:space="preserve">rekurentný peptický vred/hemorágia (dve alebo viac </w:t>
      </w:r>
      <w:r w:rsidR="00975DFE" w:rsidRPr="002C7B52">
        <w:rPr>
          <w:sz w:val="22"/>
          <w:szCs w:val="22"/>
        </w:rPr>
        <w:t>odliš</w:t>
      </w:r>
      <w:r w:rsidRPr="002C7B52">
        <w:rPr>
          <w:sz w:val="22"/>
          <w:szCs w:val="22"/>
        </w:rPr>
        <w:t>ných epizód preukázanej ulcerácie alebo krvácania) v</w:t>
      </w:r>
      <w:r w:rsidR="00AB13FF" w:rsidRPr="002C7B52">
        <w:rPr>
          <w:sz w:val="22"/>
          <w:szCs w:val="22"/>
        </w:rPr>
        <w:t> </w:t>
      </w:r>
      <w:r w:rsidRPr="002C7B52">
        <w:rPr>
          <w:sz w:val="22"/>
          <w:szCs w:val="22"/>
        </w:rPr>
        <w:t>anamnéze.</w:t>
      </w:r>
    </w:p>
    <w:p w14:paraId="53D6AA5C"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lastRenderedPageBreak/>
        <w:t>potvrdené kongestívne zlyhávanie srdca (NYHA trieda II</w:t>
      </w:r>
      <w:r w:rsidRPr="002C7B52">
        <w:rPr>
          <w:sz w:val="22"/>
          <w:szCs w:val="22"/>
        </w:rPr>
        <w:noBreakHyphen/>
        <w:t>IV), ischemická choroba srdca, periférne artériové ochorenie a/alebo cerebrovaskulárne ochorenie.</w:t>
      </w:r>
    </w:p>
    <w:p w14:paraId="6D52693B"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posledný trimester gravidity (pozri časť 4.6).</w:t>
      </w:r>
    </w:p>
    <w:p w14:paraId="0D9BE629" w14:textId="77777777" w:rsidR="00173B43" w:rsidRPr="002C7B52" w:rsidRDefault="00173B43" w:rsidP="00B5584B">
      <w:pPr>
        <w:keepNext/>
        <w:keepLines/>
        <w:numPr>
          <w:ilvl w:val="0"/>
          <w:numId w:val="14"/>
        </w:numPr>
        <w:tabs>
          <w:tab w:val="clear" w:pos="720"/>
          <w:tab w:val="num" w:pos="567"/>
        </w:tabs>
        <w:autoSpaceDE w:val="0"/>
        <w:autoSpaceDN w:val="0"/>
        <w:adjustRightInd w:val="0"/>
        <w:ind w:left="567" w:hanging="567"/>
        <w:rPr>
          <w:sz w:val="22"/>
          <w:szCs w:val="22"/>
        </w:rPr>
      </w:pPr>
      <w:r w:rsidRPr="002C7B52">
        <w:rPr>
          <w:sz w:val="22"/>
          <w:szCs w:val="22"/>
        </w:rPr>
        <w:t>závažná porucha funkcie pečene, obličiek alebo srdca (pozri časť 4.4).</w:t>
      </w:r>
    </w:p>
    <w:p w14:paraId="30D971C3" w14:textId="77777777" w:rsidR="00173B43" w:rsidRPr="002C7B52" w:rsidRDefault="00173B43" w:rsidP="00B5584B">
      <w:pPr>
        <w:numPr>
          <w:ilvl w:val="0"/>
          <w:numId w:val="14"/>
        </w:numPr>
        <w:tabs>
          <w:tab w:val="clear" w:pos="720"/>
          <w:tab w:val="num" w:pos="567"/>
        </w:tabs>
        <w:autoSpaceDE w:val="0"/>
        <w:autoSpaceDN w:val="0"/>
        <w:adjustRightInd w:val="0"/>
        <w:ind w:left="567" w:hanging="567"/>
        <w:rPr>
          <w:sz w:val="22"/>
          <w:szCs w:val="22"/>
        </w:rPr>
      </w:pPr>
      <w:r w:rsidRPr="002C7B52">
        <w:rPr>
          <w:sz w:val="22"/>
          <w:szCs w:val="22"/>
        </w:rPr>
        <w:t>tak ako u</w:t>
      </w:r>
      <w:r w:rsidR="00AB13FF" w:rsidRPr="002C7B52">
        <w:rPr>
          <w:sz w:val="22"/>
          <w:szCs w:val="22"/>
        </w:rPr>
        <w:t> </w:t>
      </w:r>
      <w:r w:rsidRPr="002C7B52">
        <w:rPr>
          <w:sz w:val="22"/>
          <w:szCs w:val="22"/>
        </w:rPr>
        <w:t>iných nesteroidových protizápalových liekov (NSAID) aj diklofenak je kontraindikovaný u</w:t>
      </w:r>
      <w:r w:rsidR="00AB13FF" w:rsidRPr="002C7B52">
        <w:rPr>
          <w:sz w:val="22"/>
          <w:szCs w:val="22"/>
        </w:rPr>
        <w:t> </w:t>
      </w:r>
      <w:r w:rsidRPr="002C7B52">
        <w:rPr>
          <w:sz w:val="22"/>
          <w:szCs w:val="22"/>
        </w:rPr>
        <w:t>pacientov, u</w:t>
      </w:r>
      <w:r w:rsidR="00AB13FF" w:rsidRPr="002C7B52">
        <w:rPr>
          <w:sz w:val="22"/>
          <w:szCs w:val="22"/>
        </w:rPr>
        <w:t> </w:t>
      </w:r>
      <w:r w:rsidRPr="002C7B52">
        <w:rPr>
          <w:sz w:val="22"/>
          <w:szCs w:val="22"/>
        </w:rPr>
        <w:t>ktorých kyselina acetylsalicylová alebo iné NSAID vyvolávajú bronchospazmus, astmu, urtikáriu alebo akútnu nádchu.</w:t>
      </w:r>
    </w:p>
    <w:p w14:paraId="20EE0887" w14:textId="77777777" w:rsidR="00173B43" w:rsidRPr="002C7B52" w:rsidRDefault="00173B43">
      <w:pPr>
        <w:shd w:val="clear" w:color="auto" w:fill="FFFFFF"/>
        <w:autoSpaceDE w:val="0"/>
        <w:autoSpaceDN w:val="0"/>
        <w:adjustRightInd w:val="0"/>
        <w:rPr>
          <w:b/>
          <w:sz w:val="22"/>
          <w:szCs w:val="22"/>
        </w:rPr>
      </w:pPr>
    </w:p>
    <w:p w14:paraId="66C9EFD8"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4.4</w:t>
      </w:r>
      <w:r w:rsidRPr="002C7B52">
        <w:rPr>
          <w:b/>
          <w:sz w:val="22"/>
          <w:szCs w:val="22"/>
        </w:rPr>
        <w:tab/>
        <w:t>Osobitné upozornenia a opatrenia pri používaní</w:t>
      </w:r>
    </w:p>
    <w:p w14:paraId="6C031246" w14:textId="77777777" w:rsidR="00173B43" w:rsidRPr="002C7B52" w:rsidRDefault="00173B43">
      <w:pPr>
        <w:keepNext/>
        <w:rPr>
          <w:sz w:val="22"/>
          <w:szCs w:val="22"/>
        </w:rPr>
      </w:pPr>
    </w:p>
    <w:p w14:paraId="4CE0FB58" w14:textId="77777777" w:rsidR="00173B43" w:rsidRPr="002C7B52" w:rsidRDefault="00173B43">
      <w:pPr>
        <w:autoSpaceDE w:val="0"/>
        <w:autoSpaceDN w:val="0"/>
        <w:adjustRightInd w:val="0"/>
        <w:rPr>
          <w:b/>
          <w:bCs/>
          <w:sz w:val="22"/>
          <w:szCs w:val="22"/>
        </w:rPr>
      </w:pPr>
      <w:r w:rsidRPr="002C7B52">
        <w:rPr>
          <w:b/>
          <w:bCs/>
          <w:sz w:val="22"/>
          <w:szCs w:val="22"/>
        </w:rPr>
        <w:t>Všeobecné upozornenia</w:t>
      </w:r>
    </w:p>
    <w:p w14:paraId="6E1738CE" w14:textId="77777777" w:rsidR="00173B43" w:rsidRPr="002C7B52" w:rsidRDefault="00173B43">
      <w:pPr>
        <w:shd w:val="clear" w:color="auto" w:fill="FFFFFF"/>
        <w:autoSpaceDE w:val="0"/>
        <w:autoSpaceDN w:val="0"/>
        <w:adjustRightInd w:val="0"/>
        <w:rPr>
          <w:sz w:val="22"/>
          <w:szCs w:val="22"/>
        </w:rPr>
      </w:pPr>
      <w:r w:rsidRPr="002C7B52">
        <w:rPr>
          <w:sz w:val="22"/>
          <w:szCs w:val="22"/>
        </w:rPr>
        <w:t>Nežiaduce účinky je možné minimalizovať užívaním najnižšej účinnej dávky počas najkratšieho obdobia potrebného na úpravu príznakov (pozri časť 4.2 a</w:t>
      </w:r>
      <w:r w:rsidR="00AB13FF" w:rsidRPr="002C7B52">
        <w:rPr>
          <w:sz w:val="22"/>
          <w:szCs w:val="22"/>
        </w:rPr>
        <w:t> </w:t>
      </w:r>
      <w:r w:rsidRPr="002C7B52">
        <w:rPr>
          <w:sz w:val="22"/>
          <w:szCs w:val="22"/>
        </w:rPr>
        <w:t>účinky na gastrointestinálny a</w:t>
      </w:r>
      <w:r w:rsidR="00AB13FF" w:rsidRPr="002C7B52">
        <w:rPr>
          <w:sz w:val="22"/>
          <w:szCs w:val="22"/>
        </w:rPr>
        <w:t> </w:t>
      </w:r>
      <w:r w:rsidRPr="002C7B52">
        <w:rPr>
          <w:sz w:val="22"/>
          <w:szCs w:val="22"/>
        </w:rPr>
        <w:t>kardiovaskulárny systém uvedené nižšie).</w:t>
      </w:r>
    </w:p>
    <w:p w14:paraId="0BEB2EE0" w14:textId="77777777" w:rsidR="00173B43" w:rsidRPr="002C7B52" w:rsidRDefault="00173B43">
      <w:pPr>
        <w:rPr>
          <w:sz w:val="22"/>
          <w:szCs w:val="22"/>
        </w:rPr>
      </w:pPr>
    </w:p>
    <w:p w14:paraId="5871FA8D" w14:textId="74F658C4" w:rsidR="00173B43" w:rsidRPr="002C7B52" w:rsidRDefault="00173B43">
      <w:pPr>
        <w:rPr>
          <w:sz w:val="22"/>
          <w:szCs w:val="22"/>
        </w:rPr>
      </w:pPr>
      <w:r w:rsidRPr="002C7B52">
        <w:rPr>
          <w:sz w:val="22"/>
          <w:szCs w:val="22"/>
        </w:rPr>
        <w:t xml:space="preserve">Súbežné užívanie </w:t>
      </w:r>
      <w:r w:rsidR="008266F6">
        <w:rPr>
          <w:iCs/>
          <w:sz w:val="22"/>
          <w:szCs w:val="22"/>
        </w:rPr>
        <w:t>F</w:t>
      </w:r>
      <w:r w:rsidR="002E6A09">
        <w:rPr>
          <w:iCs/>
          <w:sz w:val="22"/>
          <w:szCs w:val="22"/>
        </w:rPr>
        <w:t>LECTORU</w:t>
      </w:r>
      <w:r w:rsidR="008C5D12">
        <w:rPr>
          <w:iCs/>
          <w:sz w:val="22"/>
          <w:szCs w:val="22"/>
        </w:rPr>
        <w:t> </w:t>
      </w:r>
      <w:r w:rsidR="008266F6">
        <w:rPr>
          <w:iCs/>
          <w:sz w:val="22"/>
          <w:szCs w:val="22"/>
        </w:rPr>
        <w:t>EP</w:t>
      </w:r>
      <w:r w:rsidRPr="002C7B52">
        <w:rPr>
          <w:sz w:val="22"/>
          <w:szCs w:val="22"/>
        </w:rPr>
        <w:t xml:space="preserve"> s</w:t>
      </w:r>
      <w:r w:rsidR="00AB13FF" w:rsidRPr="002C7B52">
        <w:rPr>
          <w:sz w:val="22"/>
          <w:szCs w:val="22"/>
        </w:rPr>
        <w:t> </w:t>
      </w:r>
      <w:r w:rsidRPr="002C7B52">
        <w:rPr>
          <w:sz w:val="22"/>
          <w:szCs w:val="22"/>
        </w:rPr>
        <w:t>inými NSAID vrátane selektívnych inhibítorov cyklooxygenázy</w:t>
      </w:r>
      <w:r w:rsidRPr="002C7B52">
        <w:rPr>
          <w:sz w:val="22"/>
          <w:szCs w:val="22"/>
        </w:rPr>
        <w:noBreakHyphen/>
        <w:t>2 (COX</w:t>
      </w:r>
      <w:r w:rsidRPr="002C7B52">
        <w:rPr>
          <w:sz w:val="22"/>
          <w:szCs w:val="22"/>
        </w:rPr>
        <w:noBreakHyphen/>
        <w:t>2) sa má vylúčiť vzhľadom na absenciu dôkazov poukazujúcich na synergické prínosy a</w:t>
      </w:r>
      <w:r w:rsidR="00AB13FF" w:rsidRPr="002C7B52">
        <w:rPr>
          <w:sz w:val="22"/>
          <w:szCs w:val="22"/>
        </w:rPr>
        <w:t> </w:t>
      </w:r>
      <w:r w:rsidRPr="002C7B52">
        <w:rPr>
          <w:sz w:val="22"/>
          <w:szCs w:val="22"/>
        </w:rPr>
        <w:t>potenciál ďalších nežiaducich účinkov (pozri časť 4.5).</w:t>
      </w:r>
    </w:p>
    <w:p w14:paraId="27A5CF63" w14:textId="77777777" w:rsidR="00173B43" w:rsidRPr="002C7B52" w:rsidRDefault="00173B43">
      <w:pPr>
        <w:rPr>
          <w:sz w:val="22"/>
          <w:szCs w:val="22"/>
        </w:rPr>
      </w:pPr>
    </w:p>
    <w:p w14:paraId="1F11CC7A" w14:textId="77777777" w:rsidR="00173B43" w:rsidRPr="002C7B52" w:rsidRDefault="00173B43">
      <w:pPr>
        <w:autoSpaceDE w:val="0"/>
        <w:autoSpaceDN w:val="0"/>
        <w:adjustRightInd w:val="0"/>
        <w:rPr>
          <w:sz w:val="22"/>
          <w:szCs w:val="22"/>
        </w:rPr>
      </w:pPr>
      <w:r w:rsidRPr="002C7B52">
        <w:rPr>
          <w:sz w:val="22"/>
          <w:szCs w:val="22"/>
        </w:rPr>
        <w:t>U starších pacientov je zo zdravotných dôvodov potrebná opatrnosť. Odporúča sa najmä, aby slabší starší pacienti alebo pacienti s</w:t>
      </w:r>
      <w:r w:rsidR="00AB13FF" w:rsidRPr="002C7B52">
        <w:rPr>
          <w:sz w:val="22"/>
          <w:szCs w:val="22"/>
        </w:rPr>
        <w:t> </w:t>
      </w:r>
      <w:r w:rsidRPr="002C7B52">
        <w:rPr>
          <w:sz w:val="22"/>
          <w:szCs w:val="22"/>
        </w:rPr>
        <w:t>nízkou telesnou hmotnosťou užívali najnižšiu účinnú dávku.</w:t>
      </w:r>
    </w:p>
    <w:p w14:paraId="08DE310D" w14:textId="77777777" w:rsidR="00173B43" w:rsidRPr="002C7B52" w:rsidRDefault="00173B43">
      <w:pPr>
        <w:autoSpaceDE w:val="0"/>
        <w:autoSpaceDN w:val="0"/>
        <w:adjustRightInd w:val="0"/>
        <w:rPr>
          <w:sz w:val="22"/>
          <w:szCs w:val="22"/>
        </w:rPr>
      </w:pPr>
    </w:p>
    <w:p w14:paraId="4F0C7333" w14:textId="77777777" w:rsidR="00173B43" w:rsidRPr="002C7B52" w:rsidRDefault="00173B43">
      <w:pPr>
        <w:autoSpaceDE w:val="0"/>
        <w:autoSpaceDN w:val="0"/>
        <w:adjustRightInd w:val="0"/>
        <w:rPr>
          <w:sz w:val="22"/>
          <w:szCs w:val="22"/>
        </w:rPr>
      </w:pPr>
      <w:r w:rsidRPr="002C7B52">
        <w:rPr>
          <w:sz w:val="22"/>
          <w:szCs w:val="22"/>
        </w:rPr>
        <w:t>Tak ako pri iných NSAID, môže v</w:t>
      </w:r>
      <w:r w:rsidR="00AB13FF" w:rsidRPr="002C7B52">
        <w:rPr>
          <w:sz w:val="22"/>
          <w:szCs w:val="22"/>
        </w:rPr>
        <w:t> </w:t>
      </w:r>
      <w:r w:rsidRPr="002C7B52">
        <w:rPr>
          <w:sz w:val="22"/>
          <w:szCs w:val="22"/>
        </w:rPr>
        <w:t>zriedkavých prípadoch dôjsť aj k</w:t>
      </w:r>
      <w:r w:rsidR="00AB13FF" w:rsidRPr="002C7B52">
        <w:rPr>
          <w:sz w:val="22"/>
          <w:szCs w:val="22"/>
        </w:rPr>
        <w:t> </w:t>
      </w:r>
      <w:r w:rsidRPr="002C7B52">
        <w:rPr>
          <w:sz w:val="22"/>
          <w:szCs w:val="22"/>
        </w:rPr>
        <w:t>alergickým reakciám vrátane anafylaktických alebo anafylaktoidných reakcií na diklofenak bez predchádzajúcej expozície lieku.</w:t>
      </w:r>
    </w:p>
    <w:p w14:paraId="2BAC3D33" w14:textId="77777777" w:rsidR="00173B43" w:rsidRPr="002C7B52" w:rsidRDefault="00173B43">
      <w:pPr>
        <w:autoSpaceDE w:val="0"/>
        <w:autoSpaceDN w:val="0"/>
        <w:adjustRightInd w:val="0"/>
        <w:rPr>
          <w:sz w:val="22"/>
          <w:szCs w:val="22"/>
        </w:rPr>
      </w:pPr>
    </w:p>
    <w:p w14:paraId="09B4A6EC" w14:textId="77777777" w:rsidR="00173B43" w:rsidRPr="002C7B52" w:rsidRDefault="00173B43">
      <w:pPr>
        <w:autoSpaceDE w:val="0"/>
        <w:autoSpaceDN w:val="0"/>
        <w:adjustRightInd w:val="0"/>
        <w:rPr>
          <w:sz w:val="22"/>
          <w:szCs w:val="22"/>
        </w:rPr>
      </w:pPr>
      <w:r w:rsidRPr="002C7B52">
        <w:rPr>
          <w:sz w:val="22"/>
          <w:szCs w:val="22"/>
        </w:rPr>
        <w:t>Podobne ako iné NSAID, môže diklofenak vzhľadom na svoje farmakodynamické vlastnosti maskovať prejavy a</w:t>
      </w:r>
      <w:r w:rsidR="00AB13FF" w:rsidRPr="002C7B52">
        <w:rPr>
          <w:sz w:val="22"/>
          <w:szCs w:val="22"/>
        </w:rPr>
        <w:t> </w:t>
      </w:r>
      <w:r w:rsidRPr="002C7B52">
        <w:rPr>
          <w:sz w:val="22"/>
          <w:szCs w:val="22"/>
        </w:rPr>
        <w:t>príznaky infekcie.</w:t>
      </w:r>
    </w:p>
    <w:p w14:paraId="72745398" w14:textId="77777777" w:rsidR="00173B43" w:rsidRPr="002C7B52" w:rsidRDefault="00173B43">
      <w:pPr>
        <w:autoSpaceDE w:val="0"/>
        <w:autoSpaceDN w:val="0"/>
        <w:adjustRightInd w:val="0"/>
        <w:rPr>
          <w:sz w:val="22"/>
          <w:szCs w:val="22"/>
        </w:rPr>
      </w:pPr>
    </w:p>
    <w:p w14:paraId="73B7E055" w14:textId="77777777" w:rsidR="00173B43" w:rsidRPr="002C7B52" w:rsidRDefault="00173B43">
      <w:pPr>
        <w:rPr>
          <w:b/>
          <w:sz w:val="22"/>
          <w:szCs w:val="22"/>
        </w:rPr>
      </w:pPr>
      <w:r w:rsidRPr="002C7B52">
        <w:rPr>
          <w:b/>
          <w:sz w:val="22"/>
          <w:szCs w:val="22"/>
        </w:rPr>
        <w:t xml:space="preserve">Účinky na </w:t>
      </w:r>
      <w:bookmarkStart w:id="1" w:name="OLE_LINK5"/>
      <w:r w:rsidRPr="002C7B52">
        <w:rPr>
          <w:b/>
          <w:sz w:val="22"/>
          <w:szCs w:val="22"/>
        </w:rPr>
        <w:t>gastrointestinálny trakt</w:t>
      </w:r>
    </w:p>
    <w:bookmarkEnd w:id="1"/>
    <w:p w14:paraId="70260F4B" w14:textId="77777777" w:rsidR="00173B43" w:rsidRPr="002C7B52" w:rsidRDefault="00173B43">
      <w:pPr>
        <w:pStyle w:val="Zkladntext"/>
        <w:rPr>
          <w:iCs/>
          <w:szCs w:val="22"/>
        </w:rPr>
      </w:pPr>
      <w:r w:rsidRPr="002C7B52">
        <w:rPr>
          <w:szCs w:val="22"/>
        </w:rPr>
        <w:t>Pri všetkých NSAID vrátane diklofenaku boli hlásené gastrointestinálne (GI)</w:t>
      </w:r>
      <w:r w:rsidRPr="002C7B52">
        <w:rPr>
          <w:iCs/>
          <w:szCs w:val="22"/>
        </w:rPr>
        <w:t xml:space="preserve"> krvácanie, ulcerácia alebo perforácia, ktoré môžu byť fatálne </w:t>
      </w:r>
      <w:r w:rsidRPr="002C7B52">
        <w:rPr>
          <w:szCs w:val="22"/>
        </w:rPr>
        <w:t>a</w:t>
      </w:r>
      <w:r w:rsidR="00AB13FF" w:rsidRPr="002C7B52">
        <w:rPr>
          <w:szCs w:val="22"/>
        </w:rPr>
        <w:t> </w:t>
      </w:r>
      <w:r w:rsidRPr="002C7B52">
        <w:rPr>
          <w:szCs w:val="22"/>
        </w:rPr>
        <w:t xml:space="preserve">môžu sa vyskytnúť </w:t>
      </w:r>
      <w:r w:rsidRPr="002C7B52">
        <w:rPr>
          <w:iCs/>
          <w:szCs w:val="22"/>
        </w:rPr>
        <w:t>kedykoľvek počas liečby s varovnými príznakmi alebo predchádzajúcou anamnézou GI príhod alebo bez nich.</w:t>
      </w:r>
    </w:p>
    <w:p w14:paraId="7F25982B" w14:textId="77777777" w:rsidR="00173B43" w:rsidRPr="002C7B52" w:rsidRDefault="00173B43">
      <w:pPr>
        <w:pStyle w:val="Zkladntext"/>
        <w:rPr>
          <w:iCs/>
          <w:szCs w:val="22"/>
        </w:rPr>
      </w:pPr>
    </w:p>
    <w:p w14:paraId="604BA76D" w14:textId="77777777" w:rsidR="00173B43" w:rsidRPr="002C7B52" w:rsidRDefault="00173B43">
      <w:pPr>
        <w:autoSpaceDE w:val="0"/>
        <w:autoSpaceDN w:val="0"/>
        <w:adjustRightInd w:val="0"/>
        <w:rPr>
          <w:sz w:val="22"/>
          <w:szCs w:val="22"/>
        </w:rPr>
      </w:pPr>
      <w:r w:rsidRPr="002C7B52">
        <w:rPr>
          <w:sz w:val="22"/>
          <w:szCs w:val="22"/>
        </w:rPr>
        <w:t>Vo všeobecnosti majú závažnejšie dôsledky u</w:t>
      </w:r>
      <w:r w:rsidR="00AB13FF" w:rsidRPr="002C7B52">
        <w:rPr>
          <w:sz w:val="22"/>
          <w:szCs w:val="22"/>
        </w:rPr>
        <w:t> </w:t>
      </w:r>
      <w:r w:rsidRPr="002C7B52">
        <w:rPr>
          <w:sz w:val="22"/>
          <w:szCs w:val="22"/>
        </w:rPr>
        <w:t>starších pacientov. Ak sa u pacientov užívajúcich diklofenak vyskytnú gastrointestinálne krvácanie alebo ulcerácia, liek sa má vysadiť.</w:t>
      </w:r>
    </w:p>
    <w:p w14:paraId="5162D989" w14:textId="77777777" w:rsidR="00173B43" w:rsidRPr="002C7B52" w:rsidRDefault="00173B43">
      <w:pPr>
        <w:autoSpaceDE w:val="0"/>
        <w:autoSpaceDN w:val="0"/>
        <w:adjustRightInd w:val="0"/>
        <w:rPr>
          <w:sz w:val="22"/>
          <w:szCs w:val="22"/>
        </w:rPr>
      </w:pPr>
    </w:p>
    <w:p w14:paraId="58404DE9" w14:textId="77777777" w:rsidR="00173B43" w:rsidRPr="002C7B52" w:rsidRDefault="00173B43">
      <w:pPr>
        <w:autoSpaceDE w:val="0"/>
        <w:autoSpaceDN w:val="0"/>
        <w:adjustRightInd w:val="0"/>
        <w:rPr>
          <w:sz w:val="22"/>
          <w:szCs w:val="22"/>
        </w:rPr>
      </w:pPr>
      <w:r w:rsidRPr="002C7B52">
        <w:rPr>
          <w:sz w:val="22"/>
          <w:szCs w:val="22"/>
        </w:rPr>
        <w:t>Tak ako pri všetkých NSAID vrátane diklofenaku je nevyhnutný dôsledný lekársky dohľad a</w:t>
      </w:r>
      <w:r w:rsidR="00AB13FF" w:rsidRPr="002C7B52">
        <w:rPr>
          <w:sz w:val="22"/>
          <w:szCs w:val="22"/>
        </w:rPr>
        <w:t> </w:t>
      </w:r>
      <w:r w:rsidRPr="002C7B52">
        <w:rPr>
          <w:sz w:val="22"/>
          <w:szCs w:val="22"/>
        </w:rPr>
        <w:t>zvlášť opatrne sa má postupovať pri predpisovaní diklofenaku u pacientov s príznakmi, ktoré poukazujú na gastrointestinálne (GI) poruchy, alebo s anamnézou s podozrením na ulceráciu, krvácanie alebo perforáciu v oblasti žalúdka alebo čreva (pozri časť 4.8).</w:t>
      </w:r>
    </w:p>
    <w:p w14:paraId="35F9C820" w14:textId="77777777" w:rsidR="00173B43" w:rsidRPr="002C7B52" w:rsidRDefault="00173B43">
      <w:pPr>
        <w:autoSpaceDE w:val="0"/>
        <w:autoSpaceDN w:val="0"/>
        <w:adjustRightInd w:val="0"/>
        <w:rPr>
          <w:sz w:val="22"/>
          <w:szCs w:val="22"/>
        </w:rPr>
      </w:pPr>
    </w:p>
    <w:p w14:paraId="4A7F3D5B" w14:textId="77777777" w:rsidR="00173B43" w:rsidRPr="002C7B52" w:rsidRDefault="00173B43">
      <w:pPr>
        <w:autoSpaceDE w:val="0"/>
        <w:autoSpaceDN w:val="0"/>
        <w:adjustRightInd w:val="0"/>
        <w:rPr>
          <w:iCs/>
          <w:sz w:val="22"/>
          <w:szCs w:val="22"/>
        </w:rPr>
      </w:pPr>
      <w:r w:rsidRPr="002C7B52">
        <w:rPr>
          <w:sz w:val="22"/>
          <w:szCs w:val="22"/>
        </w:rPr>
        <w:t>Riziko GI krvácania je vyššie so zvyšujúcimi sa dávkami NSAID a</w:t>
      </w:r>
      <w:r w:rsidR="00AB13FF" w:rsidRPr="002C7B52">
        <w:rPr>
          <w:sz w:val="22"/>
          <w:szCs w:val="22"/>
        </w:rPr>
        <w:t> </w:t>
      </w:r>
      <w:r w:rsidRPr="002C7B52">
        <w:rPr>
          <w:sz w:val="22"/>
          <w:szCs w:val="22"/>
        </w:rPr>
        <w:t>u</w:t>
      </w:r>
      <w:r w:rsidR="00AB13FF" w:rsidRPr="002C7B52">
        <w:rPr>
          <w:sz w:val="22"/>
          <w:szCs w:val="22"/>
        </w:rPr>
        <w:t> </w:t>
      </w:r>
      <w:r w:rsidRPr="002C7B52">
        <w:rPr>
          <w:sz w:val="22"/>
          <w:szCs w:val="22"/>
        </w:rPr>
        <w:t>pacientov s</w:t>
      </w:r>
      <w:r w:rsidR="00AB13FF" w:rsidRPr="002C7B52">
        <w:rPr>
          <w:sz w:val="22"/>
          <w:szCs w:val="22"/>
        </w:rPr>
        <w:t> </w:t>
      </w:r>
      <w:r w:rsidRPr="002C7B52">
        <w:rPr>
          <w:sz w:val="22"/>
          <w:szCs w:val="22"/>
        </w:rPr>
        <w:t>vredovým ochorením v</w:t>
      </w:r>
      <w:r w:rsidR="00AB13FF" w:rsidRPr="002C7B52">
        <w:rPr>
          <w:sz w:val="22"/>
          <w:szCs w:val="22"/>
        </w:rPr>
        <w:t> </w:t>
      </w:r>
      <w:r w:rsidRPr="002C7B52">
        <w:rPr>
          <w:sz w:val="22"/>
          <w:szCs w:val="22"/>
        </w:rPr>
        <w:t>anamnéze, najmä ak je komplikované hemorágiou alebo perforáciou.</w:t>
      </w:r>
      <w:r w:rsidRPr="002C7B52">
        <w:rPr>
          <w:iCs/>
          <w:sz w:val="22"/>
          <w:szCs w:val="22"/>
        </w:rPr>
        <w:t xml:space="preserve"> U</w:t>
      </w:r>
      <w:r w:rsidR="00AB13FF" w:rsidRPr="002C7B52">
        <w:rPr>
          <w:iCs/>
          <w:sz w:val="22"/>
          <w:szCs w:val="22"/>
        </w:rPr>
        <w:t> </w:t>
      </w:r>
      <w:r w:rsidRPr="002C7B52">
        <w:rPr>
          <w:iCs/>
          <w:sz w:val="22"/>
          <w:szCs w:val="22"/>
        </w:rPr>
        <w:t>starších pacientov je zvýšená frekvencia nežiaducich reakcií na NSAID, najmä gastrointestinálneho krvácania a</w:t>
      </w:r>
      <w:r w:rsidR="00AB13FF" w:rsidRPr="002C7B52">
        <w:rPr>
          <w:iCs/>
          <w:sz w:val="22"/>
          <w:szCs w:val="22"/>
        </w:rPr>
        <w:t> </w:t>
      </w:r>
      <w:r w:rsidRPr="002C7B52">
        <w:rPr>
          <w:iCs/>
          <w:sz w:val="22"/>
          <w:szCs w:val="22"/>
        </w:rPr>
        <w:t>perforácie, ktoré môžu byť fatálne.</w:t>
      </w:r>
    </w:p>
    <w:p w14:paraId="0E619BB6" w14:textId="77777777" w:rsidR="00173B43" w:rsidRPr="002C7B52" w:rsidRDefault="00173B43">
      <w:pPr>
        <w:autoSpaceDE w:val="0"/>
        <w:autoSpaceDN w:val="0"/>
        <w:adjustRightInd w:val="0"/>
        <w:rPr>
          <w:sz w:val="22"/>
          <w:szCs w:val="22"/>
        </w:rPr>
      </w:pPr>
    </w:p>
    <w:p w14:paraId="519F4BD0" w14:textId="77777777" w:rsidR="00173B43" w:rsidRPr="002C7B52" w:rsidRDefault="00173B43">
      <w:pPr>
        <w:autoSpaceDE w:val="0"/>
        <w:autoSpaceDN w:val="0"/>
        <w:adjustRightInd w:val="0"/>
        <w:rPr>
          <w:sz w:val="22"/>
          <w:szCs w:val="22"/>
        </w:rPr>
      </w:pPr>
      <w:r w:rsidRPr="002C7B52">
        <w:rPr>
          <w:sz w:val="22"/>
          <w:szCs w:val="22"/>
        </w:rPr>
        <w:t>Na zníženie rizika GI toxicity u</w:t>
      </w:r>
      <w:r w:rsidR="00AB13FF" w:rsidRPr="002C7B52">
        <w:rPr>
          <w:sz w:val="22"/>
          <w:szCs w:val="22"/>
        </w:rPr>
        <w:t> </w:t>
      </w:r>
      <w:r w:rsidRPr="002C7B52">
        <w:rPr>
          <w:sz w:val="22"/>
          <w:szCs w:val="22"/>
        </w:rPr>
        <w:t>pacientov s</w:t>
      </w:r>
      <w:r w:rsidR="00AB13FF" w:rsidRPr="002C7B52">
        <w:rPr>
          <w:sz w:val="22"/>
          <w:szCs w:val="22"/>
        </w:rPr>
        <w:t> </w:t>
      </w:r>
      <w:r w:rsidRPr="002C7B52">
        <w:rPr>
          <w:sz w:val="22"/>
          <w:szCs w:val="22"/>
        </w:rPr>
        <w:t>vredovým ochorením v</w:t>
      </w:r>
      <w:r w:rsidR="00AB13FF" w:rsidRPr="002C7B52">
        <w:rPr>
          <w:sz w:val="22"/>
          <w:szCs w:val="22"/>
        </w:rPr>
        <w:t> </w:t>
      </w:r>
      <w:r w:rsidRPr="002C7B52">
        <w:rPr>
          <w:sz w:val="22"/>
          <w:szCs w:val="22"/>
        </w:rPr>
        <w:t>anamnéze, najmä ak je komplikované hemorágiou alebo perforáciou, a</w:t>
      </w:r>
      <w:r w:rsidR="00AB13FF" w:rsidRPr="002C7B52">
        <w:rPr>
          <w:sz w:val="22"/>
          <w:szCs w:val="22"/>
        </w:rPr>
        <w:t> </w:t>
      </w:r>
      <w:r w:rsidRPr="002C7B52">
        <w:rPr>
          <w:sz w:val="22"/>
          <w:szCs w:val="22"/>
        </w:rPr>
        <w:t>u</w:t>
      </w:r>
      <w:r w:rsidR="00AB13FF" w:rsidRPr="002C7B52">
        <w:rPr>
          <w:sz w:val="22"/>
          <w:szCs w:val="22"/>
        </w:rPr>
        <w:t> </w:t>
      </w:r>
      <w:r w:rsidRPr="002C7B52">
        <w:rPr>
          <w:sz w:val="22"/>
          <w:szCs w:val="22"/>
        </w:rPr>
        <w:t>starších pacientov sa má liečba začať a</w:t>
      </w:r>
      <w:r w:rsidR="00AB13FF" w:rsidRPr="002C7B52">
        <w:rPr>
          <w:sz w:val="22"/>
          <w:szCs w:val="22"/>
        </w:rPr>
        <w:t> </w:t>
      </w:r>
      <w:r w:rsidRPr="002C7B52">
        <w:rPr>
          <w:sz w:val="22"/>
          <w:szCs w:val="22"/>
        </w:rPr>
        <w:t>udržiavať pri najnižšej účinnej dávke.</w:t>
      </w:r>
    </w:p>
    <w:p w14:paraId="672C5B54" w14:textId="77777777" w:rsidR="00173B43" w:rsidRPr="002C7B52" w:rsidRDefault="00173B43">
      <w:pPr>
        <w:autoSpaceDE w:val="0"/>
        <w:autoSpaceDN w:val="0"/>
        <w:adjustRightInd w:val="0"/>
        <w:rPr>
          <w:sz w:val="22"/>
          <w:szCs w:val="22"/>
        </w:rPr>
      </w:pPr>
    </w:p>
    <w:p w14:paraId="2BB88D85" w14:textId="77777777" w:rsidR="00173B43" w:rsidRPr="002C7B52" w:rsidRDefault="00173B43">
      <w:pPr>
        <w:autoSpaceDE w:val="0"/>
        <w:autoSpaceDN w:val="0"/>
        <w:adjustRightInd w:val="0"/>
        <w:rPr>
          <w:sz w:val="22"/>
          <w:szCs w:val="22"/>
        </w:rPr>
      </w:pPr>
      <w:r w:rsidRPr="002C7B52">
        <w:rPr>
          <w:sz w:val="22"/>
          <w:szCs w:val="22"/>
        </w:rPr>
        <w:t>U</w:t>
      </w:r>
      <w:r w:rsidR="00AB13FF" w:rsidRPr="002C7B52">
        <w:rPr>
          <w:sz w:val="22"/>
          <w:szCs w:val="22"/>
        </w:rPr>
        <w:t> </w:t>
      </w:r>
      <w:r w:rsidRPr="002C7B52">
        <w:rPr>
          <w:sz w:val="22"/>
          <w:szCs w:val="22"/>
        </w:rPr>
        <w:t>týchto pacientov a</w:t>
      </w:r>
      <w:r w:rsidR="00AB13FF" w:rsidRPr="002C7B52">
        <w:rPr>
          <w:sz w:val="22"/>
          <w:szCs w:val="22"/>
        </w:rPr>
        <w:t> </w:t>
      </w:r>
      <w:r w:rsidRPr="002C7B52">
        <w:rPr>
          <w:sz w:val="22"/>
          <w:szCs w:val="22"/>
        </w:rPr>
        <w:t>tiež u</w:t>
      </w:r>
      <w:r w:rsidR="00AB13FF" w:rsidRPr="002C7B52">
        <w:rPr>
          <w:sz w:val="22"/>
          <w:szCs w:val="22"/>
        </w:rPr>
        <w:t> </w:t>
      </w:r>
      <w:r w:rsidRPr="002C7B52">
        <w:rPr>
          <w:sz w:val="22"/>
          <w:szCs w:val="22"/>
        </w:rPr>
        <w:t>pacientov vyžadujúcich súbežnú liečbu liekmi s</w:t>
      </w:r>
      <w:r w:rsidR="00AB13FF" w:rsidRPr="002C7B52">
        <w:rPr>
          <w:sz w:val="22"/>
          <w:szCs w:val="22"/>
        </w:rPr>
        <w:t> </w:t>
      </w:r>
      <w:r w:rsidRPr="002C7B52">
        <w:rPr>
          <w:sz w:val="22"/>
          <w:szCs w:val="22"/>
        </w:rPr>
        <w:t>obsahom nízkych dávok kyseliny acetylsalicylovej (ASA) alebo iných liekov, pri ktorých sa predpokladá, že zvyšujú gastrointestinálne riziko, je potrebné zvážiť kombinovanú liečbu protektívnymi látkami (napr. inhibítormi protónovej pumpy alebo misoprostolom) (pozri časť 4.5).</w:t>
      </w:r>
    </w:p>
    <w:p w14:paraId="6219DF49" w14:textId="77777777" w:rsidR="00173B43" w:rsidRPr="002C7B52" w:rsidRDefault="00173B43">
      <w:pPr>
        <w:autoSpaceDE w:val="0"/>
        <w:autoSpaceDN w:val="0"/>
        <w:adjustRightInd w:val="0"/>
        <w:rPr>
          <w:sz w:val="22"/>
          <w:szCs w:val="22"/>
        </w:rPr>
      </w:pPr>
    </w:p>
    <w:p w14:paraId="1597E7A9" w14:textId="77777777" w:rsidR="00173B43" w:rsidRPr="002C7B52" w:rsidRDefault="00173B43">
      <w:pPr>
        <w:autoSpaceDE w:val="0"/>
        <w:autoSpaceDN w:val="0"/>
        <w:adjustRightInd w:val="0"/>
        <w:rPr>
          <w:sz w:val="22"/>
          <w:szCs w:val="22"/>
        </w:rPr>
      </w:pPr>
      <w:r w:rsidRPr="002C7B52">
        <w:rPr>
          <w:sz w:val="22"/>
          <w:szCs w:val="22"/>
        </w:rPr>
        <w:t xml:space="preserve">Pacienti s GI toxicitou v anamnéze, najmä starší pacienti, majú hlásiť akékoľvek nezvyčajné abdominálne príznaky (najmä GI krvácanie). </w:t>
      </w:r>
    </w:p>
    <w:p w14:paraId="7F9F06B2" w14:textId="77777777" w:rsidR="00173B43" w:rsidRPr="002C7B52" w:rsidRDefault="00173B43">
      <w:pPr>
        <w:autoSpaceDE w:val="0"/>
        <w:autoSpaceDN w:val="0"/>
        <w:adjustRightInd w:val="0"/>
        <w:rPr>
          <w:sz w:val="22"/>
          <w:szCs w:val="22"/>
        </w:rPr>
      </w:pPr>
    </w:p>
    <w:p w14:paraId="12D0E5BC" w14:textId="77777777" w:rsidR="00173B43" w:rsidRPr="002C7B52" w:rsidRDefault="00173B43">
      <w:pPr>
        <w:autoSpaceDE w:val="0"/>
        <w:autoSpaceDN w:val="0"/>
        <w:adjustRightInd w:val="0"/>
        <w:rPr>
          <w:sz w:val="22"/>
          <w:szCs w:val="22"/>
        </w:rPr>
      </w:pPr>
      <w:r w:rsidRPr="002C7B52">
        <w:rPr>
          <w:sz w:val="22"/>
          <w:szCs w:val="22"/>
        </w:rPr>
        <w:t>Odporúča sa postupovať opatrne u pacientov súbežne liečených liekmi, ktoré môžu zvyšovať riziko ulcerácií alebo krvácania, ako sú systémové kortikosteroidy, antikoagulanciá, antiagreganciá alebo selektívne inhibítory spätného vychytávania s</w:t>
      </w:r>
      <w:r w:rsidR="00975DFE" w:rsidRPr="002C7B52">
        <w:rPr>
          <w:sz w:val="22"/>
          <w:szCs w:val="22"/>
        </w:rPr>
        <w:t>é</w:t>
      </w:r>
      <w:r w:rsidRPr="002C7B52">
        <w:rPr>
          <w:sz w:val="22"/>
          <w:szCs w:val="22"/>
        </w:rPr>
        <w:t>rotonínu (pozri časť 4.5).</w:t>
      </w:r>
    </w:p>
    <w:p w14:paraId="730A1591" w14:textId="77777777" w:rsidR="00173B43" w:rsidRPr="002C7B52" w:rsidRDefault="00173B43">
      <w:pPr>
        <w:autoSpaceDE w:val="0"/>
        <w:autoSpaceDN w:val="0"/>
        <w:adjustRightInd w:val="0"/>
        <w:rPr>
          <w:sz w:val="22"/>
          <w:szCs w:val="22"/>
        </w:rPr>
      </w:pPr>
    </w:p>
    <w:p w14:paraId="64EA4553" w14:textId="77777777" w:rsidR="00173B43" w:rsidRPr="002C7B52" w:rsidRDefault="00173B43">
      <w:pPr>
        <w:autoSpaceDE w:val="0"/>
        <w:autoSpaceDN w:val="0"/>
        <w:adjustRightInd w:val="0"/>
        <w:rPr>
          <w:sz w:val="22"/>
          <w:szCs w:val="22"/>
        </w:rPr>
      </w:pPr>
      <w:r w:rsidRPr="002C7B52">
        <w:rPr>
          <w:sz w:val="22"/>
          <w:szCs w:val="22"/>
        </w:rPr>
        <w:t>Dôsledný lekársky dohľad a</w:t>
      </w:r>
      <w:r w:rsidR="00AB13FF" w:rsidRPr="002C7B52">
        <w:rPr>
          <w:sz w:val="22"/>
          <w:szCs w:val="22"/>
        </w:rPr>
        <w:t> </w:t>
      </w:r>
      <w:r w:rsidRPr="002C7B52">
        <w:rPr>
          <w:sz w:val="22"/>
          <w:szCs w:val="22"/>
        </w:rPr>
        <w:t>opatrnosť sú potrebné aj u pacientov s ulceróznou kolitídou alebo Crohnovou chorobou, pretože môže dôjsť k</w:t>
      </w:r>
      <w:r w:rsidR="00AB13FF" w:rsidRPr="002C7B52">
        <w:rPr>
          <w:sz w:val="22"/>
          <w:szCs w:val="22"/>
        </w:rPr>
        <w:t> </w:t>
      </w:r>
      <w:r w:rsidRPr="002C7B52">
        <w:rPr>
          <w:sz w:val="22"/>
          <w:szCs w:val="22"/>
        </w:rPr>
        <w:t>exacerbácii ich ochorenia (pozri časť 4.8).</w:t>
      </w:r>
    </w:p>
    <w:p w14:paraId="0A725F7E" w14:textId="77777777" w:rsidR="00173B43" w:rsidRPr="002C7B52" w:rsidRDefault="00173B43">
      <w:pPr>
        <w:autoSpaceDE w:val="0"/>
        <w:autoSpaceDN w:val="0"/>
        <w:adjustRightInd w:val="0"/>
        <w:rPr>
          <w:sz w:val="22"/>
          <w:szCs w:val="22"/>
        </w:rPr>
      </w:pPr>
    </w:p>
    <w:p w14:paraId="60C60C2F" w14:textId="77777777" w:rsidR="00173B43" w:rsidRPr="002C7B52" w:rsidRDefault="00173B43">
      <w:pPr>
        <w:autoSpaceDE w:val="0"/>
        <w:autoSpaceDN w:val="0"/>
        <w:adjustRightInd w:val="0"/>
        <w:rPr>
          <w:b/>
          <w:bCs/>
          <w:sz w:val="22"/>
          <w:szCs w:val="22"/>
        </w:rPr>
      </w:pPr>
      <w:r w:rsidRPr="002C7B52">
        <w:rPr>
          <w:b/>
          <w:bCs/>
          <w:sz w:val="22"/>
          <w:szCs w:val="22"/>
        </w:rPr>
        <w:t>Účinky na pečeň</w:t>
      </w:r>
    </w:p>
    <w:p w14:paraId="28CE55BF" w14:textId="77777777" w:rsidR="00173B43" w:rsidRPr="002C7B52" w:rsidRDefault="00173B43">
      <w:pPr>
        <w:autoSpaceDE w:val="0"/>
        <w:autoSpaceDN w:val="0"/>
        <w:adjustRightInd w:val="0"/>
        <w:rPr>
          <w:sz w:val="22"/>
          <w:szCs w:val="22"/>
        </w:rPr>
      </w:pPr>
      <w:r w:rsidRPr="002C7B52">
        <w:rPr>
          <w:sz w:val="22"/>
          <w:szCs w:val="22"/>
        </w:rPr>
        <w:t>Pri predpisovaní diklofenaku pacientom s poruchou funkcie pečene je potrebný dôsledný lekársky dohľad, pretože môže dôjsť k exacerbácii ich ochorenia.</w:t>
      </w:r>
    </w:p>
    <w:p w14:paraId="0EBC3EBB" w14:textId="77777777" w:rsidR="00173B43" w:rsidRPr="002C7B52" w:rsidRDefault="00173B43">
      <w:pPr>
        <w:autoSpaceDE w:val="0"/>
        <w:autoSpaceDN w:val="0"/>
        <w:adjustRightInd w:val="0"/>
        <w:rPr>
          <w:sz w:val="22"/>
          <w:szCs w:val="22"/>
        </w:rPr>
      </w:pPr>
    </w:p>
    <w:p w14:paraId="66BF4434" w14:textId="77777777" w:rsidR="00173B43" w:rsidRPr="002C7B52" w:rsidRDefault="00173B43">
      <w:pPr>
        <w:autoSpaceDE w:val="0"/>
        <w:autoSpaceDN w:val="0"/>
        <w:adjustRightInd w:val="0"/>
        <w:rPr>
          <w:sz w:val="22"/>
          <w:szCs w:val="22"/>
        </w:rPr>
      </w:pPr>
      <w:r w:rsidRPr="002C7B52">
        <w:rPr>
          <w:sz w:val="22"/>
          <w:szCs w:val="22"/>
        </w:rPr>
        <w:t>Tak ako u iných NSAID vrátane diklofenaku môže dôjsť k zvýšeniu hodnôt jedného alebo viacerých pečeňových enzýmov. Počas dlhodobej liečby diklofenakom je ako preventívne opatrenie indikované pravidelné monitorovanie funkcie pečene. Ak pretrvávajú abnormálne hodnoty pečeňových testov alebo sa zhoršujú, ak sa rozvinú klinické prejavy alebo príznaky zhodné s</w:t>
      </w:r>
      <w:r w:rsidR="00AB13FF" w:rsidRPr="002C7B52">
        <w:rPr>
          <w:sz w:val="22"/>
          <w:szCs w:val="22"/>
        </w:rPr>
        <w:t> </w:t>
      </w:r>
      <w:r w:rsidRPr="002C7B52">
        <w:rPr>
          <w:sz w:val="22"/>
          <w:szCs w:val="22"/>
        </w:rPr>
        <w:t>ochorením pečene alebo ak sa vyskytnú iné prejavy (napr. eozinofília, exantém), diklofenak sa má vysadiť. Pri užívaní diklofenaku sa môže vyskytnúť hepatitída bez prodromálnych príznakov.</w:t>
      </w:r>
    </w:p>
    <w:p w14:paraId="52A8688A" w14:textId="77777777" w:rsidR="00173B43" w:rsidRPr="002C7B52" w:rsidRDefault="00173B43">
      <w:pPr>
        <w:autoSpaceDE w:val="0"/>
        <w:autoSpaceDN w:val="0"/>
        <w:adjustRightInd w:val="0"/>
        <w:rPr>
          <w:sz w:val="22"/>
          <w:szCs w:val="22"/>
        </w:rPr>
      </w:pPr>
      <w:r w:rsidRPr="002C7B52">
        <w:rPr>
          <w:sz w:val="22"/>
          <w:szCs w:val="22"/>
        </w:rPr>
        <w:t>Opatrnosť je potrebná, ak diklofenak užívajú pacienti s</w:t>
      </w:r>
      <w:r w:rsidR="00AB13FF" w:rsidRPr="002C7B52">
        <w:rPr>
          <w:sz w:val="22"/>
          <w:szCs w:val="22"/>
        </w:rPr>
        <w:t> </w:t>
      </w:r>
      <w:r w:rsidRPr="002C7B52">
        <w:rPr>
          <w:sz w:val="22"/>
          <w:szCs w:val="22"/>
        </w:rPr>
        <w:t>hepatálnou porfýriou, pretože môže vyvolať záchvat.</w:t>
      </w:r>
    </w:p>
    <w:p w14:paraId="21BF5452" w14:textId="77777777" w:rsidR="00173B43" w:rsidRPr="002C7B52" w:rsidRDefault="00173B43">
      <w:pPr>
        <w:rPr>
          <w:sz w:val="22"/>
          <w:szCs w:val="22"/>
        </w:rPr>
      </w:pPr>
    </w:p>
    <w:p w14:paraId="44128DA1" w14:textId="77777777" w:rsidR="00173B43" w:rsidRPr="002C7B52" w:rsidRDefault="00173B43">
      <w:pPr>
        <w:autoSpaceDE w:val="0"/>
        <w:autoSpaceDN w:val="0"/>
        <w:adjustRightInd w:val="0"/>
        <w:rPr>
          <w:b/>
          <w:bCs/>
          <w:sz w:val="22"/>
          <w:szCs w:val="22"/>
        </w:rPr>
      </w:pPr>
      <w:r w:rsidRPr="002C7B52">
        <w:rPr>
          <w:b/>
          <w:bCs/>
          <w:sz w:val="22"/>
          <w:szCs w:val="22"/>
        </w:rPr>
        <w:t>Účinky na obličky</w:t>
      </w:r>
    </w:p>
    <w:p w14:paraId="16D02A0A" w14:textId="77777777" w:rsidR="00173B43" w:rsidRPr="002C7B52" w:rsidRDefault="00173B43">
      <w:pPr>
        <w:autoSpaceDE w:val="0"/>
        <w:autoSpaceDN w:val="0"/>
        <w:adjustRightInd w:val="0"/>
        <w:rPr>
          <w:sz w:val="22"/>
          <w:szCs w:val="22"/>
        </w:rPr>
      </w:pPr>
      <w:r w:rsidRPr="002C7B52">
        <w:rPr>
          <w:sz w:val="22"/>
          <w:szCs w:val="22"/>
        </w:rPr>
        <w:t>Keďže v</w:t>
      </w:r>
      <w:r w:rsidR="00AB13FF" w:rsidRPr="002C7B52">
        <w:rPr>
          <w:sz w:val="22"/>
          <w:szCs w:val="22"/>
        </w:rPr>
        <w:t> </w:t>
      </w:r>
      <w:r w:rsidRPr="002C7B52">
        <w:rPr>
          <w:sz w:val="22"/>
          <w:szCs w:val="22"/>
        </w:rPr>
        <w:t>súvislosti s</w:t>
      </w:r>
      <w:r w:rsidR="00AB13FF" w:rsidRPr="002C7B52">
        <w:rPr>
          <w:sz w:val="22"/>
          <w:szCs w:val="22"/>
        </w:rPr>
        <w:t> </w:t>
      </w:r>
      <w:r w:rsidRPr="002C7B52">
        <w:rPr>
          <w:sz w:val="22"/>
          <w:szCs w:val="22"/>
        </w:rPr>
        <w:t>liečbou NSAID vrátane diklofenaku boli hlásené retencia tekutín a</w:t>
      </w:r>
      <w:r w:rsidR="00AB13FF" w:rsidRPr="002C7B52">
        <w:rPr>
          <w:sz w:val="22"/>
          <w:szCs w:val="22"/>
        </w:rPr>
        <w:t> </w:t>
      </w:r>
      <w:r w:rsidRPr="002C7B52">
        <w:rPr>
          <w:sz w:val="22"/>
          <w:szCs w:val="22"/>
        </w:rPr>
        <w:t>edém, osobitná opatrnosť sa vyžaduje u pacientov so zhoršenou funkciou srdca alebo obličiek, s anamnézou hypertenzie, u starších pacientov, u pacientov súbežne liečených diuretikami alebo liekmi, ktoré môžu výrazne zhoršiť funkciu obličiek, a u pacientov s významnou extracelulárnou hypovolémiou z akejkoľvek príčiny, napr. pred väčším chirurgickým zákrokom alebo po ňom (pozri časť 4.3). Pri užívaní diklofenaku v takýchto prípadoch sa ako preventívne opatrenie odporúča monitorovanie funkcie obličiek. Po ukončení liečby zvyčajne nasleduje zotavenie na stav pred liečbou.</w:t>
      </w:r>
    </w:p>
    <w:p w14:paraId="4AE97F39" w14:textId="77777777" w:rsidR="00173B43" w:rsidRPr="002C7B52" w:rsidRDefault="00173B43">
      <w:pPr>
        <w:rPr>
          <w:sz w:val="22"/>
          <w:szCs w:val="22"/>
        </w:rPr>
      </w:pPr>
    </w:p>
    <w:p w14:paraId="7AC29362" w14:textId="77777777" w:rsidR="00173B43" w:rsidRPr="002C7B52" w:rsidRDefault="00173B43">
      <w:pPr>
        <w:autoSpaceDE w:val="0"/>
        <w:autoSpaceDN w:val="0"/>
        <w:adjustRightInd w:val="0"/>
        <w:rPr>
          <w:b/>
          <w:bCs/>
          <w:sz w:val="22"/>
          <w:szCs w:val="22"/>
        </w:rPr>
      </w:pPr>
      <w:r w:rsidRPr="002C7B52">
        <w:rPr>
          <w:b/>
          <w:bCs/>
          <w:sz w:val="22"/>
          <w:szCs w:val="22"/>
        </w:rPr>
        <w:t>Účinky na kožu</w:t>
      </w:r>
    </w:p>
    <w:p w14:paraId="159D031A" w14:textId="29B84CC4" w:rsidR="00173B43" w:rsidRPr="002C7B52" w:rsidRDefault="00173B43">
      <w:pPr>
        <w:pStyle w:val="Zkladntext2"/>
        <w:spacing w:after="0"/>
        <w:jc w:val="left"/>
        <w:rPr>
          <w:szCs w:val="22"/>
        </w:rPr>
      </w:pPr>
      <w:r w:rsidRPr="002C7B52">
        <w:rPr>
          <w:szCs w:val="22"/>
        </w:rPr>
        <w:t>V súvislosti s liečbou NSAID boli veľmi zriedkavo hlásené závažné kožné reakcie, niektoré z nich fatálne, vrátane exfoliatívnej dermatitídy, Stevensovho-Johnsonovho syndrómu a toxickej epidermálnej nekrolýzy (pozri časť 4.8). Zdá sa, že najvyššie riziko týchto reakcií pre pacientov je na začiatku liečby – k nástupu reakcií vo väčšine prípadov došlo v</w:t>
      </w:r>
      <w:r w:rsidR="00AB13FF" w:rsidRPr="002C7B52">
        <w:rPr>
          <w:szCs w:val="22"/>
        </w:rPr>
        <w:t> </w:t>
      </w:r>
      <w:r w:rsidRPr="002C7B52">
        <w:rPr>
          <w:szCs w:val="22"/>
        </w:rPr>
        <w:t xml:space="preserve">prvom mesiaci liečby. </w:t>
      </w:r>
      <w:r w:rsidR="008266F6">
        <w:rPr>
          <w:iCs/>
          <w:szCs w:val="22"/>
        </w:rPr>
        <w:t>F</w:t>
      </w:r>
      <w:r w:rsidR="002E6A09">
        <w:rPr>
          <w:iCs/>
          <w:szCs w:val="22"/>
        </w:rPr>
        <w:t>LECTOR</w:t>
      </w:r>
      <w:r w:rsidR="008C5D12">
        <w:rPr>
          <w:iCs/>
          <w:szCs w:val="22"/>
        </w:rPr>
        <w:t> </w:t>
      </w:r>
      <w:r w:rsidR="008266F6">
        <w:rPr>
          <w:iCs/>
          <w:szCs w:val="22"/>
        </w:rPr>
        <w:t>EP</w:t>
      </w:r>
      <w:r w:rsidRPr="002C7B52">
        <w:rPr>
          <w:szCs w:val="22"/>
        </w:rPr>
        <w:t xml:space="preserve"> sa musí vysadiť pri prvom výskyte kožných vyrážok, slizničných lézií alebo iných prejavov hypersenzitivity.</w:t>
      </w:r>
    </w:p>
    <w:p w14:paraId="438CB085" w14:textId="77777777" w:rsidR="00173B43" w:rsidRPr="002C7B52" w:rsidRDefault="00173B43">
      <w:pPr>
        <w:pStyle w:val="Zkladntext2"/>
        <w:spacing w:after="0"/>
        <w:jc w:val="left"/>
        <w:rPr>
          <w:szCs w:val="22"/>
        </w:rPr>
      </w:pPr>
    </w:p>
    <w:p w14:paraId="075CC160" w14:textId="77777777" w:rsidR="00173B43" w:rsidRPr="002C7B52" w:rsidRDefault="00173B43">
      <w:pPr>
        <w:pStyle w:val="Zkladntext2"/>
        <w:spacing w:after="0"/>
        <w:jc w:val="left"/>
        <w:rPr>
          <w:b/>
          <w:bCs/>
          <w:szCs w:val="22"/>
        </w:rPr>
      </w:pPr>
      <w:r w:rsidRPr="002C7B52">
        <w:rPr>
          <w:b/>
          <w:bCs/>
          <w:szCs w:val="22"/>
        </w:rPr>
        <w:t>SLE a</w:t>
      </w:r>
      <w:r w:rsidR="00AB13FF" w:rsidRPr="002C7B52">
        <w:rPr>
          <w:b/>
          <w:bCs/>
          <w:szCs w:val="22"/>
        </w:rPr>
        <w:t> </w:t>
      </w:r>
      <w:r w:rsidRPr="002C7B52">
        <w:rPr>
          <w:b/>
          <w:bCs/>
          <w:szCs w:val="22"/>
        </w:rPr>
        <w:t>zmiešané ochorenie spojivového tkaniva</w:t>
      </w:r>
    </w:p>
    <w:p w14:paraId="0C73384D" w14:textId="77777777" w:rsidR="00173B43" w:rsidRPr="002C7B52" w:rsidRDefault="00173B43">
      <w:pPr>
        <w:pStyle w:val="Zkladntext2"/>
        <w:spacing w:after="0"/>
        <w:jc w:val="left"/>
        <w:rPr>
          <w:szCs w:val="22"/>
        </w:rPr>
      </w:pPr>
      <w:r w:rsidRPr="002C7B52">
        <w:rPr>
          <w:szCs w:val="22"/>
        </w:rPr>
        <w:t>U pacientov so systémovým lupus erythematosus (SLE) a zmiešaným ochorením spojivového tkaniva môže byť zvýšené riziko aseptickej meningitídy (pozri časť 4.8).</w:t>
      </w:r>
    </w:p>
    <w:p w14:paraId="3B438CD5" w14:textId="77777777" w:rsidR="00173B43" w:rsidRPr="002C7B52" w:rsidRDefault="00173B43">
      <w:pPr>
        <w:pStyle w:val="Zkladntext2"/>
        <w:spacing w:after="0"/>
        <w:jc w:val="left"/>
        <w:rPr>
          <w:szCs w:val="22"/>
        </w:rPr>
      </w:pPr>
    </w:p>
    <w:p w14:paraId="297E9D53" w14:textId="77777777" w:rsidR="00173B43" w:rsidRPr="002C7B52" w:rsidRDefault="00173B43">
      <w:pPr>
        <w:rPr>
          <w:b/>
          <w:sz w:val="22"/>
          <w:szCs w:val="22"/>
        </w:rPr>
      </w:pPr>
      <w:r w:rsidRPr="002C7B52">
        <w:rPr>
          <w:b/>
          <w:sz w:val="22"/>
          <w:szCs w:val="22"/>
        </w:rPr>
        <w:t>Účinky na kardiovaskulárny a cerebrovaskulárny systém</w:t>
      </w:r>
    </w:p>
    <w:p w14:paraId="796639BD" w14:textId="77777777" w:rsidR="00173B43" w:rsidRPr="002C7B52" w:rsidRDefault="00173B43">
      <w:pPr>
        <w:rPr>
          <w:sz w:val="22"/>
          <w:szCs w:val="22"/>
        </w:rPr>
      </w:pPr>
      <w:r w:rsidRPr="002C7B52">
        <w:rPr>
          <w:sz w:val="22"/>
          <w:szCs w:val="22"/>
        </w:rPr>
        <w:t>Vhodné monitorovanie a usmernenie sa vyžaduje u pacientov s anamnézou hypertenzie a/alebo miernym kongestívnym zlyhávaním srdca (NYHA trieda I), pretože v súvislosti s liečbou NSAID boli hlásené retencia tekutín a</w:t>
      </w:r>
      <w:r w:rsidR="00AB13FF" w:rsidRPr="002C7B52">
        <w:rPr>
          <w:sz w:val="22"/>
          <w:szCs w:val="22"/>
        </w:rPr>
        <w:t> </w:t>
      </w:r>
      <w:r w:rsidRPr="002C7B52">
        <w:rPr>
          <w:sz w:val="22"/>
          <w:szCs w:val="22"/>
        </w:rPr>
        <w:t xml:space="preserve">edém. </w:t>
      </w:r>
    </w:p>
    <w:p w14:paraId="61C1F787" w14:textId="77777777" w:rsidR="00173B43" w:rsidRPr="002C7B52" w:rsidRDefault="00173B43">
      <w:pPr>
        <w:autoSpaceDE w:val="0"/>
        <w:autoSpaceDN w:val="0"/>
        <w:adjustRightInd w:val="0"/>
        <w:rPr>
          <w:sz w:val="22"/>
          <w:szCs w:val="22"/>
        </w:rPr>
      </w:pPr>
    </w:p>
    <w:p w14:paraId="6941D739" w14:textId="77777777" w:rsidR="00173B43" w:rsidRPr="002C7B52" w:rsidRDefault="00173B43">
      <w:pPr>
        <w:autoSpaceDE w:val="0"/>
        <w:autoSpaceDN w:val="0"/>
        <w:adjustRightInd w:val="0"/>
        <w:rPr>
          <w:sz w:val="22"/>
          <w:szCs w:val="22"/>
        </w:rPr>
      </w:pPr>
      <w:r w:rsidRPr="002C7B52">
        <w:rPr>
          <w:sz w:val="22"/>
          <w:szCs w:val="22"/>
        </w:rPr>
        <w:t>Údaje z klinických štúdii a epidemiologické údaje naznačujú, že užívanie diklofenaku, najmä vo vysokých dávkach (150 mg/deň) a pri dlhodobej liečbe, môže byť spojené s</w:t>
      </w:r>
      <w:r w:rsidR="00AB13FF" w:rsidRPr="002C7B52">
        <w:rPr>
          <w:sz w:val="22"/>
          <w:szCs w:val="22"/>
        </w:rPr>
        <w:t> </w:t>
      </w:r>
      <w:r w:rsidRPr="002C7B52">
        <w:rPr>
          <w:sz w:val="22"/>
          <w:szCs w:val="22"/>
        </w:rPr>
        <w:t xml:space="preserve">malým zvýšením rizika arteriálnych trombotických príhod (napr. infarkt myokardu alebo cievna mozgová príhoda). </w:t>
      </w:r>
    </w:p>
    <w:p w14:paraId="1DEA961A" w14:textId="77777777" w:rsidR="00173B43" w:rsidRPr="002C7B52" w:rsidRDefault="00173B43">
      <w:pPr>
        <w:autoSpaceDE w:val="0"/>
        <w:autoSpaceDN w:val="0"/>
        <w:adjustRightInd w:val="0"/>
        <w:rPr>
          <w:sz w:val="22"/>
          <w:szCs w:val="22"/>
        </w:rPr>
      </w:pPr>
    </w:p>
    <w:p w14:paraId="4B8D289B" w14:textId="77777777" w:rsidR="00173B43" w:rsidRPr="002C7B52" w:rsidRDefault="00173B43">
      <w:pPr>
        <w:autoSpaceDE w:val="0"/>
        <w:autoSpaceDN w:val="0"/>
        <w:adjustRightInd w:val="0"/>
        <w:rPr>
          <w:sz w:val="22"/>
          <w:szCs w:val="22"/>
        </w:rPr>
      </w:pPr>
      <w:r w:rsidRPr="002C7B52">
        <w:rPr>
          <w:sz w:val="22"/>
          <w:szCs w:val="22"/>
        </w:rPr>
        <w:t>Pacienti s významnými rizikovými faktormi pre kardiovaskulárne udalosti (napr. hypertenziou, hyperlipidémiou, diabetom mellitus, fajčiari) sa majú liečiť diklofenakom iba po starostlivom zvážení.</w:t>
      </w:r>
    </w:p>
    <w:p w14:paraId="015B8EE4" w14:textId="77777777" w:rsidR="00173B43" w:rsidRPr="002C7B52" w:rsidRDefault="00173B43">
      <w:pPr>
        <w:autoSpaceDE w:val="0"/>
        <w:autoSpaceDN w:val="0"/>
        <w:adjustRightInd w:val="0"/>
        <w:rPr>
          <w:sz w:val="22"/>
          <w:szCs w:val="22"/>
        </w:rPr>
      </w:pPr>
    </w:p>
    <w:p w14:paraId="3085665E" w14:textId="77777777" w:rsidR="00173B43" w:rsidRPr="002C7B52" w:rsidRDefault="00173B43">
      <w:pPr>
        <w:autoSpaceDE w:val="0"/>
        <w:autoSpaceDN w:val="0"/>
        <w:adjustRightInd w:val="0"/>
        <w:rPr>
          <w:sz w:val="22"/>
          <w:szCs w:val="22"/>
        </w:rPr>
      </w:pPr>
      <w:r w:rsidRPr="002C7B52">
        <w:rPr>
          <w:sz w:val="22"/>
          <w:szCs w:val="22"/>
        </w:rPr>
        <w:t>Vzhľadom na to, že kardiovaskulárne riziká diklofenaku sa môžu zvyšovať s dávkou a trvaním expozície, majú sa použiť najkratšie možné trvanie liečby a</w:t>
      </w:r>
      <w:r w:rsidR="00AB13FF" w:rsidRPr="002C7B52">
        <w:rPr>
          <w:sz w:val="22"/>
          <w:szCs w:val="22"/>
        </w:rPr>
        <w:t> </w:t>
      </w:r>
      <w:r w:rsidRPr="002C7B52">
        <w:rPr>
          <w:sz w:val="22"/>
          <w:szCs w:val="22"/>
        </w:rPr>
        <w:t>najnižšia účinná denná dávka. Pravidelne sa má prehodnocovať potreba symptomatickej liečby u pacienta a jeho reakcia na liečbu.</w:t>
      </w:r>
    </w:p>
    <w:p w14:paraId="08B4FE11" w14:textId="77777777" w:rsidR="00173B43" w:rsidRPr="002C7B52" w:rsidRDefault="00173B43">
      <w:pPr>
        <w:rPr>
          <w:sz w:val="22"/>
          <w:szCs w:val="22"/>
        </w:rPr>
      </w:pPr>
    </w:p>
    <w:p w14:paraId="22838FF5" w14:textId="77777777" w:rsidR="00173B43" w:rsidRPr="002C7B52" w:rsidRDefault="00173B43">
      <w:pPr>
        <w:autoSpaceDE w:val="0"/>
        <w:autoSpaceDN w:val="0"/>
        <w:adjustRightInd w:val="0"/>
        <w:rPr>
          <w:b/>
          <w:bCs/>
          <w:sz w:val="22"/>
          <w:szCs w:val="22"/>
        </w:rPr>
      </w:pPr>
      <w:r w:rsidRPr="002C7B52">
        <w:rPr>
          <w:b/>
          <w:bCs/>
          <w:sz w:val="22"/>
          <w:szCs w:val="22"/>
        </w:rPr>
        <w:t>Už existujúca astma</w:t>
      </w:r>
    </w:p>
    <w:p w14:paraId="2C36678F" w14:textId="77777777" w:rsidR="00173B43" w:rsidRPr="002C7B52" w:rsidRDefault="00173B43">
      <w:pPr>
        <w:autoSpaceDE w:val="0"/>
        <w:autoSpaceDN w:val="0"/>
        <w:adjustRightInd w:val="0"/>
        <w:rPr>
          <w:sz w:val="22"/>
          <w:szCs w:val="22"/>
        </w:rPr>
      </w:pPr>
      <w:r w:rsidRPr="002C7B52">
        <w:rPr>
          <w:sz w:val="22"/>
          <w:szCs w:val="22"/>
        </w:rPr>
        <w:t>U pacientov s astmou, sezónnou alergickou nádchou, edémom nosovej sliznice (napr. nosovými polypmi), chronickou obštrukčnou chorobou pľúc alebo chronickými infekciami respiračného traktu (najmä ak sú pridružené k príznakom podobným alergickej nádche) sú reakcie na NSAID, ako sú exacerbácie astmy (tzv. intolerancia na analgetiká/analgetická astma), Quinckeho edém alebo žihľavka, častejšie ako u iných pacientov. U týchto pacientov sa preto odporúča osobitná opatrnosť (pohotovostná pripravenosť). To platí aj pre pacientov, ktorí sú alergickí na iné látky, napr. s kožnými reakciami, pruritom alebo utrikáriou.</w:t>
      </w:r>
    </w:p>
    <w:p w14:paraId="3E2FA7F6" w14:textId="77777777" w:rsidR="00173B43" w:rsidRPr="002C7B52" w:rsidRDefault="00173B43">
      <w:pPr>
        <w:pStyle w:val="Zkladntext2"/>
        <w:spacing w:after="0"/>
        <w:jc w:val="left"/>
        <w:rPr>
          <w:szCs w:val="22"/>
        </w:rPr>
      </w:pPr>
    </w:p>
    <w:p w14:paraId="454B63BE" w14:textId="77777777" w:rsidR="00173B43" w:rsidRPr="002C7B52" w:rsidRDefault="00173B43">
      <w:pPr>
        <w:pStyle w:val="Zkladntext2"/>
        <w:spacing w:after="0"/>
        <w:jc w:val="left"/>
        <w:rPr>
          <w:szCs w:val="22"/>
        </w:rPr>
      </w:pPr>
      <w:r w:rsidRPr="002C7B52">
        <w:rPr>
          <w:szCs w:val="22"/>
        </w:rPr>
        <w:t>Podobne ako iné lieky, ktoré inhibujú aktivitu syntetázy</w:t>
      </w:r>
      <w:r w:rsidR="00975DFE" w:rsidRPr="002C7B52">
        <w:rPr>
          <w:szCs w:val="22"/>
        </w:rPr>
        <w:t xml:space="preserve"> prostaglandínov</w:t>
      </w:r>
      <w:r w:rsidRPr="002C7B52">
        <w:rPr>
          <w:szCs w:val="22"/>
        </w:rPr>
        <w:t>, môžu epolamínová soľ diklofenaku a iné NSAID vyvolať bronchospazmus, ak sa podávajú pacientom s bronchiálnou astmou alebo s týmto ochorením v predchádzajúcej anamnéze.</w:t>
      </w:r>
    </w:p>
    <w:p w14:paraId="783E4A3C" w14:textId="77777777" w:rsidR="00173B43" w:rsidRPr="002C7B52" w:rsidRDefault="00173B43">
      <w:pPr>
        <w:pStyle w:val="Zkladntext2"/>
        <w:spacing w:after="0"/>
        <w:jc w:val="left"/>
        <w:rPr>
          <w:b/>
          <w:szCs w:val="22"/>
        </w:rPr>
      </w:pPr>
    </w:p>
    <w:p w14:paraId="08B2D450" w14:textId="77777777" w:rsidR="00173B43" w:rsidRPr="002C7B52" w:rsidRDefault="00173B43">
      <w:pPr>
        <w:autoSpaceDE w:val="0"/>
        <w:autoSpaceDN w:val="0"/>
        <w:adjustRightInd w:val="0"/>
        <w:rPr>
          <w:b/>
          <w:bCs/>
          <w:sz w:val="22"/>
          <w:szCs w:val="22"/>
        </w:rPr>
      </w:pPr>
      <w:r w:rsidRPr="002C7B52">
        <w:rPr>
          <w:b/>
          <w:bCs/>
          <w:sz w:val="22"/>
          <w:szCs w:val="22"/>
        </w:rPr>
        <w:t>Hematologické účinky</w:t>
      </w:r>
    </w:p>
    <w:p w14:paraId="4F87C5EC" w14:textId="1E65D4E5" w:rsidR="00173B43" w:rsidRPr="002C7B52" w:rsidRDefault="008266F6">
      <w:pPr>
        <w:autoSpaceDE w:val="0"/>
        <w:autoSpaceDN w:val="0"/>
        <w:adjustRightInd w:val="0"/>
        <w:rPr>
          <w:sz w:val="22"/>
          <w:szCs w:val="22"/>
        </w:rPr>
      </w:pPr>
      <w:r>
        <w:rPr>
          <w:iCs/>
          <w:sz w:val="22"/>
          <w:szCs w:val="22"/>
        </w:rPr>
        <w:t>F</w:t>
      </w:r>
      <w:r w:rsidR="002E6A09">
        <w:rPr>
          <w:iCs/>
          <w:sz w:val="22"/>
          <w:szCs w:val="22"/>
        </w:rPr>
        <w:t>LECTOR</w:t>
      </w:r>
      <w:r w:rsidR="008C5D12">
        <w:rPr>
          <w:iCs/>
          <w:sz w:val="22"/>
          <w:szCs w:val="22"/>
        </w:rPr>
        <w:t> </w:t>
      </w:r>
      <w:r>
        <w:rPr>
          <w:iCs/>
          <w:sz w:val="22"/>
          <w:szCs w:val="22"/>
        </w:rPr>
        <w:t>EP</w:t>
      </w:r>
      <w:r w:rsidR="00173B43" w:rsidRPr="002C7B52">
        <w:rPr>
          <w:sz w:val="22"/>
          <w:szCs w:val="22"/>
        </w:rPr>
        <w:t xml:space="preserve"> je určený na krátkodobé použitie. Počas dlhodobej liečby diklofenakom sa tak ako pri iných NSAID odporúča monitorovanie krvného obrazu.</w:t>
      </w:r>
    </w:p>
    <w:p w14:paraId="26C0C5CE" w14:textId="77777777" w:rsidR="00173B43" w:rsidRPr="002C7B52" w:rsidRDefault="00173B43">
      <w:pPr>
        <w:autoSpaceDE w:val="0"/>
        <w:autoSpaceDN w:val="0"/>
        <w:adjustRightInd w:val="0"/>
        <w:rPr>
          <w:sz w:val="22"/>
          <w:szCs w:val="22"/>
        </w:rPr>
      </w:pPr>
      <w:r w:rsidRPr="002C7B52">
        <w:rPr>
          <w:sz w:val="22"/>
          <w:szCs w:val="22"/>
        </w:rPr>
        <w:t>Tak ako iné NSAID môže aj diklofenak dočasne inhibovať agregáciu doštičiek. Pacienti s poruchami hemostázy, hemoragickou diatézou alebo hematologickými abnormalitami musia byť dôsledne monitorovaní (pozri časť 4.5).</w:t>
      </w:r>
    </w:p>
    <w:p w14:paraId="4C7125DC" w14:textId="77777777" w:rsidR="00173B43" w:rsidRPr="002C7B52" w:rsidRDefault="00173B43">
      <w:pPr>
        <w:autoSpaceDE w:val="0"/>
        <w:autoSpaceDN w:val="0"/>
        <w:adjustRightInd w:val="0"/>
        <w:rPr>
          <w:sz w:val="22"/>
          <w:szCs w:val="22"/>
        </w:rPr>
      </w:pPr>
    </w:p>
    <w:p w14:paraId="2BC64157" w14:textId="77777777" w:rsidR="00173B43" w:rsidRPr="002C7B52" w:rsidRDefault="00173B43">
      <w:pPr>
        <w:tabs>
          <w:tab w:val="left" w:pos="413"/>
        </w:tabs>
        <w:autoSpaceDE w:val="0"/>
        <w:autoSpaceDN w:val="0"/>
        <w:adjustRightInd w:val="0"/>
        <w:rPr>
          <w:b/>
          <w:iCs/>
          <w:sz w:val="22"/>
          <w:szCs w:val="22"/>
        </w:rPr>
      </w:pPr>
      <w:r w:rsidRPr="002C7B52">
        <w:rPr>
          <w:b/>
          <w:iCs/>
          <w:sz w:val="22"/>
          <w:szCs w:val="22"/>
        </w:rPr>
        <w:t>Ďalšie informácie</w:t>
      </w:r>
    </w:p>
    <w:p w14:paraId="6FC566F7" w14:textId="43A518ED" w:rsidR="00173B43" w:rsidRPr="002C7B52" w:rsidRDefault="008266F6">
      <w:pPr>
        <w:rPr>
          <w:sz w:val="22"/>
          <w:szCs w:val="22"/>
        </w:rPr>
      </w:pPr>
      <w:r>
        <w:rPr>
          <w:iCs/>
          <w:sz w:val="22"/>
          <w:szCs w:val="22"/>
        </w:rPr>
        <w:t>F</w:t>
      </w:r>
      <w:r w:rsidR="002E6A09">
        <w:rPr>
          <w:iCs/>
          <w:sz w:val="22"/>
          <w:szCs w:val="22"/>
        </w:rPr>
        <w:t>LECTOR</w:t>
      </w:r>
      <w:r w:rsidR="008C5D12">
        <w:rPr>
          <w:iCs/>
          <w:sz w:val="22"/>
          <w:szCs w:val="22"/>
        </w:rPr>
        <w:t> </w:t>
      </w:r>
      <w:r>
        <w:rPr>
          <w:iCs/>
          <w:sz w:val="22"/>
          <w:szCs w:val="22"/>
        </w:rPr>
        <w:t>EP</w:t>
      </w:r>
      <w:r w:rsidR="00173B43" w:rsidRPr="002C7B52">
        <w:rPr>
          <w:sz w:val="22"/>
          <w:szCs w:val="22"/>
        </w:rPr>
        <w:t xml:space="preserve"> obsahuje sorbitol (E420). Tento liek nemajú užívať pacienti so zriedkavými dedičnými problémami fruktózovej intolerancie.</w:t>
      </w:r>
    </w:p>
    <w:p w14:paraId="030C1310" w14:textId="77777777" w:rsidR="00173B43" w:rsidRPr="002C7B52" w:rsidRDefault="00173B43">
      <w:pPr>
        <w:rPr>
          <w:sz w:val="22"/>
          <w:szCs w:val="22"/>
        </w:rPr>
      </w:pPr>
    </w:p>
    <w:p w14:paraId="0143EDB6"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4.5</w:t>
      </w:r>
      <w:r w:rsidRPr="002C7B52">
        <w:rPr>
          <w:b/>
          <w:sz w:val="22"/>
          <w:szCs w:val="22"/>
        </w:rPr>
        <w:tab/>
        <w:t xml:space="preserve">Liekové a iné interakcie </w:t>
      </w:r>
    </w:p>
    <w:p w14:paraId="260308A2" w14:textId="77777777" w:rsidR="00173B43" w:rsidRPr="002C7B52" w:rsidRDefault="00173B43">
      <w:pPr>
        <w:pStyle w:val="Zarkazkladnhotextu"/>
        <w:keepNext/>
        <w:ind w:left="0"/>
        <w:rPr>
          <w:szCs w:val="22"/>
        </w:rPr>
      </w:pPr>
    </w:p>
    <w:p w14:paraId="5D6EEB16" w14:textId="77777777" w:rsidR="00173B43" w:rsidRPr="002C7B52" w:rsidRDefault="00173B43">
      <w:pPr>
        <w:autoSpaceDE w:val="0"/>
        <w:autoSpaceDN w:val="0"/>
        <w:adjustRightInd w:val="0"/>
        <w:rPr>
          <w:sz w:val="22"/>
          <w:szCs w:val="22"/>
        </w:rPr>
      </w:pPr>
      <w:r w:rsidRPr="002C7B52">
        <w:rPr>
          <w:sz w:val="22"/>
          <w:szCs w:val="22"/>
        </w:rPr>
        <w:t>Nasledujúce interakcie zahŕňajú tie, ktoré boli pozorované pri iných liekových formách diklofenaku.</w:t>
      </w:r>
    </w:p>
    <w:p w14:paraId="033D998E" w14:textId="77777777" w:rsidR="00173B43" w:rsidRPr="002C7B52" w:rsidRDefault="00173B43">
      <w:pPr>
        <w:autoSpaceDE w:val="0"/>
        <w:autoSpaceDN w:val="0"/>
        <w:adjustRightInd w:val="0"/>
        <w:rPr>
          <w:b/>
          <w:bCs/>
          <w:sz w:val="22"/>
          <w:szCs w:val="22"/>
        </w:rPr>
      </w:pPr>
    </w:p>
    <w:p w14:paraId="6D387D41" w14:textId="2FBA1DBB" w:rsidR="00173B43" w:rsidRPr="002C7B52" w:rsidRDefault="00173B43">
      <w:pPr>
        <w:autoSpaceDE w:val="0"/>
        <w:autoSpaceDN w:val="0"/>
        <w:adjustRightInd w:val="0"/>
        <w:rPr>
          <w:sz w:val="22"/>
          <w:szCs w:val="22"/>
        </w:rPr>
      </w:pPr>
      <w:r w:rsidRPr="002C7B52">
        <w:rPr>
          <w:b/>
          <w:bCs/>
          <w:sz w:val="22"/>
          <w:szCs w:val="22"/>
        </w:rPr>
        <w:t xml:space="preserve">Digoxín, fenytoín, lítium: </w:t>
      </w:r>
      <w:r w:rsidRPr="002C7B52">
        <w:rPr>
          <w:sz w:val="22"/>
          <w:szCs w:val="22"/>
        </w:rPr>
        <w:t xml:space="preserve">Pri súbežnom užívaní </w:t>
      </w:r>
      <w:r w:rsidR="008266F6">
        <w:rPr>
          <w:iCs/>
          <w:sz w:val="22"/>
          <w:szCs w:val="22"/>
        </w:rPr>
        <w:t>F</w:t>
      </w:r>
      <w:r w:rsidR="002E6A09">
        <w:rPr>
          <w:iCs/>
          <w:sz w:val="22"/>
          <w:szCs w:val="22"/>
        </w:rPr>
        <w:t>LECTORU</w:t>
      </w:r>
      <w:r w:rsidR="008C5D12">
        <w:rPr>
          <w:iCs/>
          <w:sz w:val="22"/>
          <w:szCs w:val="22"/>
        </w:rPr>
        <w:t> </w:t>
      </w:r>
      <w:r w:rsidR="008266F6">
        <w:rPr>
          <w:iCs/>
          <w:sz w:val="22"/>
          <w:szCs w:val="22"/>
        </w:rPr>
        <w:t>EP</w:t>
      </w:r>
      <w:r w:rsidRPr="002C7B52">
        <w:rPr>
          <w:sz w:val="22"/>
          <w:szCs w:val="22"/>
        </w:rPr>
        <w:t xml:space="preserve"> a</w:t>
      </w:r>
      <w:r w:rsidR="00BE426B" w:rsidRPr="002C7B52">
        <w:rPr>
          <w:sz w:val="22"/>
          <w:szCs w:val="22"/>
        </w:rPr>
        <w:t> </w:t>
      </w:r>
      <w:r w:rsidRPr="002C7B52">
        <w:rPr>
          <w:sz w:val="22"/>
          <w:szCs w:val="22"/>
        </w:rPr>
        <w:t>digoxínu, fenytoínu alebo lítia sa môžu zvýšiť koncentrácie týchto liekov v</w:t>
      </w:r>
      <w:r w:rsidR="00BE426B" w:rsidRPr="002C7B52">
        <w:rPr>
          <w:sz w:val="22"/>
          <w:szCs w:val="22"/>
        </w:rPr>
        <w:t> </w:t>
      </w:r>
      <w:r w:rsidRPr="002C7B52">
        <w:rPr>
          <w:sz w:val="22"/>
          <w:szCs w:val="22"/>
        </w:rPr>
        <w:t>krvi. Sérové koncentrácie lítia sa musia monitorovať. Odporúča sa monitorovať sérové hladiny digoxínu a</w:t>
      </w:r>
      <w:r w:rsidR="00BE426B" w:rsidRPr="002C7B52">
        <w:rPr>
          <w:sz w:val="22"/>
          <w:szCs w:val="22"/>
        </w:rPr>
        <w:t> </w:t>
      </w:r>
      <w:r w:rsidRPr="002C7B52">
        <w:rPr>
          <w:sz w:val="22"/>
          <w:szCs w:val="22"/>
        </w:rPr>
        <w:t>sérové koncentrácie fenytoínu.</w:t>
      </w:r>
    </w:p>
    <w:p w14:paraId="2B2A07F3" w14:textId="77777777" w:rsidR="00173B43" w:rsidRPr="002C7B52" w:rsidRDefault="00173B43">
      <w:pPr>
        <w:autoSpaceDE w:val="0"/>
        <w:autoSpaceDN w:val="0"/>
        <w:adjustRightInd w:val="0"/>
        <w:rPr>
          <w:b/>
          <w:bCs/>
          <w:sz w:val="22"/>
          <w:szCs w:val="22"/>
        </w:rPr>
      </w:pPr>
    </w:p>
    <w:p w14:paraId="067FBDE3" w14:textId="77777777" w:rsidR="00173B43" w:rsidRPr="002C7B52" w:rsidRDefault="00173B43">
      <w:pPr>
        <w:autoSpaceDE w:val="0"/>
        <w:autoSpaceDN w:val="0"/>
        <w:adjustRightInd w:val="0"/>
        <w:rPr>
          <w:sz w:val="22"/>
          <w:szCs w:val="22"/>
        </w:rPr>
      </w:pPr>
      <w:r w:rsidRPr="002C7B52">
        <w:rPr>
          <w:b/>
          <w:bCs/>
          <w:sz w:val="22"/>
          <w:szCs w:val="22"/>
        </w:rPr>
        <w:t>Diuretiká a</w:t>
      </w:r>
      <w:r w:rsidR="00BE426B" w:rsidRPr="002C7B52">
        <w:rPr>
          <w:b/>
          <w:bCs/>
          <w:sz w:val="22"/>
          <w:szCs w:val="22"/>
        </w:rPr>
        <w:t> </w:t>
      </w:r>
      <w:r w:rsidRPr="002C7B52">
        <w:rPr>
          <w:b/>
          <w:bCs/>
          <w:sz w:val="22"/>
          <w:szCs w:val="22"/>
        </w:rPr>
        <w:t xml:space="preserve">antihypertenzíva: </w:t>
      </w:r>
      <w:r w:rsidRPr="002C7B52">
        <w:rPr>
          <w:sz w:val="22"/>
          <w:szCs w:val="22"/>
        </w:rPr>
        <w:t>Podobne ako iné NSAID môže súčasné užívanie diklofenaku s diuretikami alebo antihypertenzívami (napr. betablokátormi, inhibítormi angiotenzín konvertujúceho enzýmu (ACE) spôsobiť zníženie ich antihypertenzného účinku. Túto kombináciu je preto potrebné podávať opatrne a u pacientov, najmä starších, sa má pravidelne monitorovať krvný tlak. Pacienti majú byť dostatočne hydratovaní a</w:t>
      </w:r>
      <w:r w:rsidR="00BE426B" w:rsidRPr="002C7B52">
        <w:rPr>
          <w:sz w:val="22"/>
          <w:szCs w:val="22"/>
        </w:rPr>
        <w:t> </w:t>
      </w:r>
      <w:r w:rsidRPr="002C7B52">
        <w:rPr>
          <w:sz w:val="22"/>
          <w:szCs w:val="22"/>
        </w:rPr>
        <w:t>je potrebné zvážiť monitorovanie renálnych funkcií po začatí súbežnej liečby, potom v</w:t>
      </w:r>
      <w:r w:rsidR="00BE426B" w:rsidRPr="002C7B52">
        <w:rPr>
          <w:sz w:val="22"/>
          <w:szCs w:val="22"/>
        </w:rPr>
        <w:t> </w:t>
      </w:r>
      <w:r w:rsidRPr="002C7B52">
        <w:rPr>
          <w:sz w:val="22"/>
          <w:szCs w:val="22"/>
        </w:rPr>
        <w:t>pravidelných intervaloch, najmä v prípade diuretík a</w:t>
      </w:r>
      <w:r w:rsidR="00BE426B" w:rsidRPr="002C7B52">
        <w:rPr>
          <w:sz w:val="22"/>
          <w:szCs w:val="22"/>
        </w:rPr>
        <w:t> </w:t>
      </w:r>
      <w:r w:rsidRPr="002C7B52">
        <w:rPr>
          <w:sz w:val="22"/>
          <w:szCs w:val="22"/>
        </w:rPr>
        <w:t>inhibítorov ACE vzhľadom na zvýšené riziko nefrotoxicity (pozri časť 4.4). Súbežná liečba draslík šetriacimi liekmi môže byť spojená so</w:t>
      </w:r>
      <w:r w:rsidR="00BE426B" w:rsidRPr="002C7B52">
        <w:rPr>
          <w:sz w:val="22"/>
          <w:szCs w:val="22"/>
        </w:rPr>
        <w:t> </w:t>
      </w:r>
      <w:r w:rsidRPr="002C7B52">
        <w:rPr>
          <w:sz w:val="22"/>
          <w:szCs w:val="22"/>
        </w:rPr>
        <w:t xml:space="preserve">zvýšenými hladinami sérového draslíka, preto sa majú ich hodnoty často monitorovať. </w:t>
      </w:r>
    </w:p>
    <w:p w14:paraId="6DA46150" w14:textId="77777777" w:rsidR="00173B43" w:rsidRPr="002C7B52" w:rsidRDefault="00173B43">
      <w:pPr>
        <w:autoSpaceDE w:val="0"/>
        <w:autoSpaceDN w:val="0"/>
        <w:adjustRightInd w:val="0"/>
        <w:rPr>
          <w:b/>
          <w:bCs/>
          <w:sz w:val="22"/>
          <w:szCs w:val="22"/>
        </w:rPr>
      </w:pPr>
    </w:p>
    <w:p w14:paraId="56362E93" w14:textId="77777777" w:rsidR="00173B43" w:rsidRPr="002C7B52" w:rsidRDefault="00173B43">
      <w:pPr>
        <w:autoSpaceDE w:val="0"/>
        <w:autoSpaceDN w:val="0"/>
        <w:adjustRightInd w:val="0"/>
        <w:rPr>
          <w:sz w:val="22"/>
          <w:szCs w:val="22"/>
        </w:rPr>
      </w:pPr>
      <w:r w:rsidRPr="002C7B52">
        <w:rPr>
          <w:b/>
          <w:bCs/>
          <w:sz w:val="22"/>
          <w:szCs w:val="22"/>
        </w:rPr>
        <w:t>Iné NSAID vrátane selektívnych inhibítorov cyklooxygenázy</w:t>
      </w:r>
      <w:r w:rsidRPr="002C7B52">
        <w:rPr>
          <w:b/>
          <w:bCs/>
          <w:sz w:val="22"/>
          <w:szCs w:val="22"/>
        </w:rPr>
        <w:noBreakHyphen/>
        <w:t xml:space="preserve">2 a kortikosteroidov: </w:t>
      </w:r>
      <w:r w:rsidRPr="002C7B52">
        <w:rPr>
          <w:sz w:val="22"/>
          <w:szCs w:val="22"/>
        </w:rPr>
        <w:t>Súbežné podávanie diklofenaku a</w:t>
      </w:r>
      <w:r w:rsidR="00BE426B" w:rsidRPr="002C7B52">
        <w:rPr>
          <w:sz w:val="22"/>
          <w:szCs w:val="22"/>
        </w:rPr>
        <w:t> </w:t>
      </w:r>
      <w:r w:rsidRPr="002C7B52">
        <w:rPr>
          <w:sz w:val="22"/>
          <w:szCs w:val="22"/>
        </w:rPr>
        <w:t>iných systémových NSAID alebo kortikosteroidov môže zvýšiť frekvenciu gastrointestinálnych nežiaducich účinkov, napríklad ulcerácie alebo krvácania v</w:t>
      </w:r>
      <w:r w:rsidR="00BE426B" w:rsidRPr="002C7B52">
        <w:rPr>
          <w:sz w:val="22"/>
          <w:szCs w:val="22"/>
        </w:rPr>
        <w:t> </w:t>
      </w:r>
      <w:r w:rsidRPr="002C7B52">
        <w:rPr>
          <w:sz w:val="22"/>
          <w:szCs w:val="22"/>
        </w:rPr>
        <w:t>gastrointestinálnom trakte (pozri časť 4.4).</w:t>
      </w:r>
    </w:p>
    <w:p w14:paraId="77A5A89F" w14:textId="77777777" w:rsidR="00173B43" w:rsidRPr="002C7B52" w:rsidRDefault="00173B43">
      <w:pPr>
        <w:autoSpaceDE w:val="0"/>
        <w:autoSpaceDN w:val="0"/>
        <w:adjustRightInd w:val="0"/>
        <w:rPr>
          <w:sz w:val="22"/>
          <w:szCs w:val="22"/>
        </w:rPr>
      </w:pPr>
    </w:p>
    <w:p w14:paraId="2942D932" w14:textId="77777777" w:rsidR="00173B43" w:rsidRPr="002C7B52" w:rsidRDefault="00173B43">
      <w:pPr>
        <w:autoSpaceDE w:val="0"/>
        <w:autoSpaceDN w:val="0"/>
        <w:adjustRightInd w:val="0"/>
        <w:rPr>
          <w:sz w:val="22"/>
          <w:szCs w:val="22"/>
        </w:rPr>
      </w:pPr>
      <w:r w:rsidRPr="002C7B52">
        <w:rPr>
          <w:b/>
          <w:bCs/>
          <w:sz w:val="22"/>
          <w:szCs w:val="22"/>
        </w:rPr>
        <w:t>Antikoagulanciá a</w:t>
      </w:r>
      <w:r w:rsidR="00BE426B" w:rsidRPr="002C7B52">
        <w:rPr>
          <w:b/>
          <w:bCs/>
          <w:sz w:val="22"/>
          <w:szCs w:val="22"/>
        </w:rPr>
        <w:t> </w:t>
      </w:r>
      <w:r w:rsidRPr="002C7B52">
        <w:rPr>
          <w:b/>
          <w:bCs/>
          <w:sz w:val="22"/>
          <w:szCs w:val="22"/>
        </w:rPr>
        <w:t xml:space="preserve">antiagreganciá: </w:t>
      </w:r>
      <w:r w:rsidRPr="002C7B52">
        <w:rPr>
          <w:sz w:val="22"/>
          <w:szCs w:val="22"/>
        </w:rPr>
        <w:t>Odporúča sa postupovať opatrne, pretože súbežné podávanie by mohlo zvýšiť riziko krvácania (pozri časť 4.4). Aj keď klinické vyšetrenia nenaznačujú, že diklofenak ovplyvňuje aktivitu antikoagulancií, existujú jednotlivé hlásenia zvýšeného rizika hemorágie u pacientov užívajúcich súčasne diklofenak a antikoagulanciá. Odporúča sa preto dôsledné monitorovanie takýchto pacientov.</w:t>
      </w:r>
    </w:p>
    <w:p w14:paraId="04930957" w14:textId="77777777" w:rsidR="00173B43" w:rsidRPr="002C7B52" w:rsidRDefault="00173B43">
      <w:pPr>
        <w:autoSpaceDE w:val="0"/>
        <w:autoSpaceDN w:val="0"/>
        <w:adjustRightInd w:val="0"/>
        <w:rPr>
          <w:b/>
          <w:bCs/>
          <w:sz w:val="22"/>
          <w:szCs w:val="22"/>
        </w:rPr>
      </w:pPr>
    </w:p>
    <w:p w14:paraId="17DA0E99" w14:textId="77777777" w:rsidR="00173B43" w:rsidRPr="002C7B52" w:rsidRDefault="00173B43">
      <w:pPr>
        <w:autoSpaceDE w:val="0"/>
        <w:autoSpaceDN w:val="0"/>
        <w:adjustRightInd w:val="0"/>
        <w:rPr>
          <w:sz w:val="22"/>
          <w:szCs w:val="22"/>
        </w:rPr>
      </w:pPr>
      <w:r w:rsidRPr="002C7B52">
        <w:rPr>
          <w:b/>
          <w:bCs/>
          <w:sz w:val="22"/>
          <w:szCs w:val="22"/>
        </w:rPr>
        <w:t xml:space="preserve">Selektívne inhibítory spätného vychytávania serotonínu (SSRI): </w:t>
      </w:r>
      <w:r w:rsidRPr="002C7B52">
        <w:rPr>
          <w:sz w:val="22"/>
          <w:szCs w:val="22"/>
        </w:rPr>
        <w:t>Súbežné podávanie systémových NSAID vrátane diklofenaku a</w:t>
      </w:r>
      <w:r w:rsidR="00BE426B" w:rsidRPr="002C7B52">
        <w:rPr>
          <w:sz w:val="22"/>
          <w:szCs w:val="22"/>
        </w:rPr>
        <w:t> </w:t>
      </w:r>
      <w:r w:rsidRPr="002C7B52">
        <w:rPr>
          <w:sz w:val="22"/>
          <w:szCs w:val="22"/>
        </w:rPr>
        <w:t>SSRI môže zvýšiť riziko gastrointestinálneho krvácania (pozri časť 4.4).</w:t>
      </w:r>
    </w:p>
    <w:p w14:paraId="236EBBB5" w14:textId="77777777" w:rsidR="00173B43" w:rsidRPr="002C7B52" w:rsidRDefault="00173B43">
      <w:pPr>
        <w:autoSpaceDE w:val="0"/>
        <w:autoSpaceDN w:val="0"/>
        <w:adjustRightInd w:val="0"/>
        <w:rPr>
          <w:sz w:val="22"/>
          <w:szCs w:val="22"/>
        </w:rPr>
      </w:pPr>
    </w:p>
    <w:p w14:paraId="6A23C41A" w14:textId="77777777" w:rsidR="00173B43" w:rsidRPr="002C7B52" w:rsidRDefault="00173B43">
      <w:pPr>
        <w:autoSpaceDE w:val="0"/>
        <w:autoSpaceDN w:val="0"/>
        <w:adjustRightInd w:val="0"/>
        <w:rPr>
          <w:sz w:val="22"/>
          <w:szCs w:val="22"/>
        </w:rPr>
      </w:pPr>
      <w:r w:rsidRPr="002C7B52">
        <w:rPr>
          <w:b/>
          <w:bCs/>
          <w:sz w:val="22"/>
          <w:szCs w:val="22"/>
        </w:rPr>
        <w:lastRenderedPageBreak/>
        <w:t xml:space="preserve">Antidiabetiká: </w:t>
      </w:r>
      <w:r w:rsidRPr="002C7B52">
        <w:rPr>
          <w:sz w:val="22"/>
          <w:szCs w:val="22"/>
        </w:rPr>
        <w:t>Klinické štúdie ukázali, že diklofenak sa môže podávať spolu s perorálnymi antidiabetikami bez toho, aby ovplyvnil ich klinický účinok. Ojedinele však boli hlásené hypoglykemické a</w:t>
      </w:r>
      <w:r w:rsidR="00BE426B" w:rsidRPr="002C7B52">
        <w:rPr>
          <w:sz w:val="22"/>
          <w:szCs w:val="22"/>
        </w:rPr>
        <w:t> </w:t>
      </w:r>
      <w:r w:rsidRPr="002C7B52">
        <w:rPr>
          <w:sz w:val="22"/>
          <w:szCs w:val="22"/>
        </w:rPr>
        <w:t>hyperglykemické účinky, ktoré si vyžiadali zmeny v dávkovaní antidiabetík v priebehu liečby diklofenakom. Z</w:t>
      </w:r>
      <w:r w:rsidR="00BE426B" w:rsidRPr="002C7B52">
        <w:rPr>
          <w:sz w:val="22"/>
          <w:szCs w:val="22"/>
        </w:rPr>
        <w:t> </w:t>
      </w:r>
      <w:r w:rsidRPr="002C7B52">
        <w:rPr>
          <w:sz w:val="22"/>
          <w:szCs w:val="22"/>
        </w:rPr>
        <w:t>tohto dôvodu sa počas súbežnej liečby odporúča monitorovanie glykémie ako preventívne opatrenie.</w:t>
      </w:r>
    </w:p>
    <w:p w14:paraId="7926FFDE" w14:textId="77777777" w:rsidR="00173B43" w:rsidRPr="002C7B52" w:rsidRDefault="00173B43">
      <w:pPr>
        <w:autoSpaceDE w:val="0"/>
        <w:autoSpaceDN w:val="0"/>
        <w:adjustRightInd w:val="0"/>
        <w:rPr>
          <w:b/>
          <w:bCs/>
          <w:sz w:val="22"/>
          <w:szCs w:val="22"/>
        </w:rPr>
      </w:pPr>
    </w:p>
    <w:p w14:paraId="6832F376" w14:textId="77777777" w:rsidR="00173B43" w:rsidRPr="002C7B52" w:rsidRDefault="00173B43">
      <w:pPr>
        <w:autoSpaceDE w:val="0"/>
        <w:autoSpaceDN w:val="0"/>
        <w:adjustRightInd w:val="0"/>
        <w:rPr>
          <w:sz w:val="22"/>
          <w:szCs w:val="22"/>
        </w:rPr>
      </w:pPr>
      <w:r w:rsidRPr="002C7B52">
        <w:rPr>
          <w:b/>
          <w:bCs/>
          <w:sz w:val="22"/>
          <w:szCs w:val="22"/>
        </w:rPr>
        <w:t xml:space="preserve">Metotrexát: </w:t>
      </w:r>
      <w:r w:rsidRPr="002C7B52">
        <w:rPr>
          <w:sz w:val="22"/>
          <w:szCs w:val="22"/>
        </w:rPr>
        <w:t>Diklofenak môže inhibovať tubulárny renálny klírens metotrexátu, a</w:t>
      </w:r>
      <w:r w:rsidR="00BE426B" w:rsidRPr="002C7B52">
        <w:rPr>
          <w:sz w:val="22"/>
          <w:szCs w:val="22"/>
        </w:rPr>
        <w:t> </w:t>
      </w:r>
      <w:r w:rsidRPr="002C7B52">
        <w:rPr>
          <w:sz w:val="22"/>
          <w:szCs w:val="22"/>
        </w:rPr>
        <w:t>tým zvyšovať hladiny metotrexátu. Odporúča sa postupovať opatrne pri podávaní NSAID vrátane diklofenaku menej ako 24 hodín pred liečbou metotrexátom alebo po nej, pretože koncentrácie metotrexátu v krvi môžu stúpať a</w:t>
      </w:r>
      <w:r w:rsidR="00BE426B" w:rsidRPr="002C7B52">
        <w:rPr>
          <w:sz w:val="22"/>
          <w:szCs w:val="22"/>
        </w:rPr>
        <w:t> </w:t>
      </w:r>
      <w:r w:rsidRPr="002C7B52">
        <w:rPr>
          <w:sz w:val="22"/>
          <w:szCs w:val="22"/>
        </w:rPr>
        <w:t>môže sa zvýšiť toxicita tejto látky.</w:t>
      </w:r>
    </w:p>
    <w:p w14:paraId="05B2F3FA" w14:textId="77777777" w:rsidR="00173B43" w:rsidRPr="002C7B52" w:rsidRDefault="00173B43">
      <w:pPr>
        <w:autoSpaceDE w:val="0"/>
        <w:autoSpaceDN w:val="0"/>
        <w:adjustRightInd w:val="0"/>
        <w:rPr>
          <w:sz w:val="22"/>
          <w:szCs w:val="22"/>
        </w:rPr>
      </w:pPr>
    </w:p>
    <w:p w14:paraId="3D4665D5" w14:textId="77777777" w:rsidR="00173B43" w:rsidRPr="002C7B52" w:rsidRDefault="00173B43">
      <w:pPr>
        <w:autoSpaceDE w:val="0"/>
        <w:autoSpaceDN w:val="0"/>
        <w:adjustRightInd w:val="0"/>
        <w:rPr>
          <w:sz w:val="22"/>
          <w:szCs w:val="22"/>
        </w:rPr>
      </w:pPr>
      <w:r w:rsidRPr="002C7B52">
        <w:rPr>
          <w:b/>
          <w:sz w:val="22"/>
          <w:szCs w:val="22"/>
        </w:rPr>
        <w:t>Takrolimus:</w:t>
      </w:r>
      <w:r w:rsidRPr="002C7B52">
        <w:rPr>
          <w:sz w:val="22"/>
          <w:szCs w:val="22"/>
        </w:rPr>
        <w:t xml:space="preserve"> Nesteroidové protizápalové lieky (ako je diklofenak) môžu zvyšovať renálnu toxicitu takrolimu.</w:t>
      </w:r>
    </w:p>
    <w:p w14:paraId="50BD7611" w14:textId="77777777" w:rsidR="00173B43" w:rsidRPr="002C7B52" w:rsidRDefault="00173B43">
      <w:pPr>
        <w:autoSpaceDE w:val="0"/>
        <w:autoSpaceDN w:val="0"/>
        <w:adjustRightInd w:val="0"/>
        <w:rPr>
          <w:sz w:val="22"/>
          <w:szCs w:val="22"/>
        </w:rPr>
      </w:pPr>
    </w:p>
    <w:p w14:paraId="0F675447" w14:textId="77777777" w:rsidR="00173B43" w:rsidRPr="002C7B52" w:rsidRDefault="00173B43">
      <w:pPr>
        <w:autoSpaceDE w:val="0"/>
        <w:autoSpaceDN w:val="0"/>
        <w:adjustRightInd w:val="0"/>
        <w:rPr>
          <w:sz w:val="22"/>
          <w:szCs w:val="22"/>
        </w:rPr>
      </w:pPr>
      <w:r w:rsidRPr="002C7B52">
        <w:rPr>
          <w:b/>
          <w:bCs/>
          <w:sz w:val="22"/>
          <w:szCs w:val="22"/>
        </w:rPr>
        <w:t xml:space="preserve">Cyklosporín: </w:t>
      </w:r>
      <w:r w:rsidRPr="002C7B52">
        <w:rPr>
          <w:sz w:val="22"/>
          <w:szCs w:val="22"/>
        </w:rPr>
        <w:t>Diklofenak môže podobne ako iné NSAID zvyšovať nefrotoxicitu cyklosporínu v dôsledku účinku na renálne prostaglandíny. Má sa preto podávať v dávkach nižších ako dávky, ktoré by sa použili u pacientov neužívajúcich cyklosporín.</w:t>
      </w:r>
    </w:p>
    <w:p w14:paraId="0A18E311" w14:textId="77777777" w:rsidR="00173B43" w:rsidRPr="002C7B52" w:rsidRDefault="00173B43">
      <w:pPr>
        <w:autoSpaceDE w:val="0"/>
        <w:autoSpaceDN w:val="0"/>
        <w:adjustRightInd w:val="0"/>
        <w:rPr>
          <w:sz w:val="22"/>
          <w:szCs w:val="22"/>
        </w:rPr>
      </w:pPr>
    </w:p>
    <w:p w14:paraId="77CBAA49" w14:textId="77777777" w:rsidR="00173B43" w:rsidRPr="002C7B52" w:rsidRDefault="00173B43">
      <w:pPr>
        <w:autoSpaceDE w:val="0"/>
        <w:autoSpaceDN w:val="0"/>
        <w:adjustRightInd w:val="0"/>
        <w:rPr>
          <w:sz w:val="22"/>
          <w:szCs w:val="22"/>
        </w:rPr>
      </w:pPr>
      <w:r w:rsidRPr="002C7B52">
        <w:rPr>
          <w:b/>
          <w:bCs/>
          <w:sz w:val="22"/>
          <w:szCs w:val="22"/>
        </w:rPr>
        <w:t xml:space="preserve">Chinolónové antibiotiká: </w:t>
      </w:r>
      <w:r w:rsidRPr="002C7B52">
        <w:rPr>
          <w:sz w:val="22"/>
          <w:szCs w:val="22"/>
        </w:rPr>
        <w:t>Ojedinele boli hlásené prípady kŕčov, ktoré môžu byť v dôsledku súbežného podávania chinolónov a</w:t>
      </w:r>
      <w:r w:rsidR="00BE426B" w:rsidRPr="002C7B52">
        <w:rPr>
          <w:sz w:val="22"/>
          <w:szCs w:val="22"/>
        </w:rPr>
        <w:t> </w:t>
      </w:r>
      <w:r w:rsidRPr="002C7B52">
        <w:rPr>
          <w:sz w:val="22"/>
          <w:szCs w:val="22"/>
        </w:rPr>
        <w:t xml:space="preserve">NSAID. </w:t>
      </w:r>
    </w:p>
    <w:p w14:paraId="5B50ABAD" w14:textId="77777777" w:rsidR="00173B43" w:rsidRPr="002C7B52" w:rsidRDefault="00173B43">
      <w:pPr>
        <w:autoSpaceDE w:val="0"/>
        <w:autoSpaceDN w:val="0"/>
        <w:adjustRightInd w:val="0"/>
        <w:rPr>
          <w:sz w:val="22"/>
          <w:szCs w:val="22"/>
        </w:rPr>
      </w:pPr>
    </w:p>
    <w:p w14:paraId="40D7011C" w14:textId="77777777" w:rsidR="00173B43" w:rsidRPr="002C7B52" w:rsidRDefault="00173B43">
      <w:pPr>
        <w:rPr>
          <w:sz w:val="22"/>
          <w:szCs w:val="22"/>
        </w:rPr>
      </w:pPr>
      <w:r w:rsidRPr="002C7B52">
        <w:rPr>
          <w:b/>
          <w:sz w:val="22"/>
          <w:szCs w:val="22"/>
        </w:rPr>
        <w:t>Kolestipol a</w:t>
      </w:r>
      <w:r w:rsidR="00BE426B" w:rsidRPr="002C7B52">
        <w:rPr>
          <w:b/>
          <w:sz w:val="22"/>
          <w:szCs w:val="22"/>
        </w:rPr>
        <w:t> </w:t>
      </w:r>
      <w:r w:rsidRPr="002C7B52">
        <w:rPr>
          <w:b/>
          <w:sz w:val="22"/>
          <w:szCs w:val="22"/>
        </w:rPr>
        <w:t>cholestyramín:</w:t>
      </w:r>
      <w:r w:rsidRPr="002C7B52">
        <w:rPr>
          <w:sz w:val="22"/>
          <w:szCs w:val="22"/>
        </w:rPr>
        <w:t xml:space="preserve"> Tieto látky môžu vyvolať oneskorenie alebo zníženie absorpcie diklofenaku. Z tohto dôvodu sa odporúča podávať diklofenak najmenej jednu hodinu pred podaním kolestipolu/cholestyramínu alebo 4 až 6</w:t>
      </w:r>
      <w:r w:rsidR="00BE426B" w:rsidRPr="002C7B52">
        <w:rPr>
          <w:sz w:val="22"/>
          <w:szCs w:val="22"/>
        </w:rPr>
        <w:t> </w:t>
      </w:r>
      <w:r w:rsidRPr="002C7B52">
        <w:rPr>
          <w:sz w:val="22"/>
          <w:szCs w:val="22"/>
        </w:rPr>
        <w:t>hodín po jeho podaní.</w:t>
      </w:r>
    </w:p>
    <w:p w14:paraId="13527347" w14:textId="77777777" w:rsidR="00173B43" w:rsidRPr="002C7B52" w:rsidRDefault="00173B43">
      <w:pPr>
        <w:rPr>
          <w:sz w:val="22"/>
          <w:szCs w:val="22"/>
        </w:rPr>
      </w:pPr>
    </w:p>
    <w:p w14:paraId="5D1D380B" w14:textId="77777777" w:rsidR="00173B43" w:rsidRPr="002C7B52" w:rsidRDefault="00173B43">
      <w:pPr>
        <w:rPr>
          <w:sz w:val="22"/>
          <w:szCs w:val="22"/>
        </w:rPr>
      </w:pPr>
      <w:r w:rsidRPr="002C7B52">
        <w:rPr>
          <w:b/>
          <w:sz w:val="22"/>
          <w:szCs w:val="22"/>
        </w:rPr>
        <w:t>Kardioglykozidy:</w:t>
      </w:r>
      <w:r w:rsidRPr="002C7B52">
        <w:rPr>
          <w:sz w:val="22"/>
          <w:szCs w:val="22"/>
        </w:rPr>
        <w:t xml:space="preserve"> Súbežné používanie kardioglykozidov a</w:t>
      </w:r>
      <w:r w:rsidR="00BE426B" w:rsidRPr="002C7B52">
        <w:rPr>
          <w:sz w:val="22"/>
          <w:szCs w:val="22"/>
        </w:rPr>
        <w:t> </w:t>
      </w:r>
      <w:r w:rsidRPr="002C7B52">
        <w:rPr>
          <w:sz w:val="22"/>
          <w:szCs w:val="22"/>
        </w:rPr>
        <w:t>NSAID môže viesť u pacientov k exacerbácii zlyhania srdca, zníženiu rýchlosti glomerulárnej filtrácie (GFR) a</w:t>
      </w:r>
      <w:r w:rsidR="00BE426B" w:rsidRPr="002C7B52">
        <w:rPr>
          <w:sz w:val="22"/>
          <w:szCs w:val="22"/>
        </w:rPr>
        <w:t> </w:t>
      </w:r>
      <w:r w:rsidRPr="002C7B52">
        <w:rPr>
          <w:sz w:val="22"/>
          <w:szCs w:val="22"/>
        </w:rPr>
        <w:t>zvýšeniu hladiny glykozidov v plazme.</w:t>
      </w:r>
    </w:p>
    <w:p w14:paraId="44FBE240" w14:textId="77777777" w:rsidR="00173B43" w:rsidRPr="002C7B52" w:rsidRDefault="00173B43">
      <w:pPr>
        <w:rPr>
          <w:sz w:val="22"/>
          <w:szCs w:val="22"/>
        </w:rPr>
      </w:pPr>
    </w:p>
    <w:p w14:paraId="0E238C71" w14:textId="77777777" w:rsidR="00173B43" w:rsidRPr="002C7B52" w:rsidRDefault="00173B43">
      <w:pPr>
        <w:rPr>
          <w:sz w:val="22"/>
          <w:szCs w:val="22"/>
        </w:rPr>
      </w:pPr>
      <w:r w:rsidRPr="002C7B52">
        <w:rPr>
          <w:b/>
          <w:sz w:val="22"/>
          <w:szCs w:val="22"/>
        </w:rPr>
        <w:t>Mifepristón:</w:t>
      </w:r>
      <w:r w:rsidRPr="002C7B52">
        <w:rPr>
          <w:sz w:val="22"/>
          <w:szCs w:val="22"/>
        </w:rPr>
        <w:t xml:space="preserve"> Nest</w:t>
      </w:r>
      <w:r w:rsidR="006E3B00" w:rsidRPr="002C7B52">
        <w:rPr>
          <w:sz w:val="22"/>
          <w:szCs w:val="22"/>
        </w:rPr>
        <w:t>e</w:t>
      </w:r>
      <w:r w:rsidRPr="002C7B52">
        <w:rPr>
          <w:sz w:val="22"/>
          <w:szCs w:val="22"/>
        </w:rPr>
        <w:t>roidové protizápalové lieky sa nemajú používať počas 8 až 12 dní po podaní mifepristónu, pretože NSAID môžu znížiť účinok mifepristónu.</w:t>
      </w:r>
    </w:p>
    <w:p w14:paraId="04CF80B4" w14:textId="77777777" w:rsidR="00173B43" w:rsidRPr="002C7B52" w:rsidRDefault="00173B43">
      <w:pPr>
        <w:rPr>
          <w:sz w:val="22"/>
          <w:szCs w:val="22"/>
        </w:rPr>
      </w:pPr>
    </w:p>
    <w:p w14:paraId="27892EF7" w14:textId="77777777" w:rsidR="00173B43" w:rsidRPr="002C7B52" w:rsidRDefault="00173B43">
      <w:pPr>
        <w:pStyle w:val="Zarkazkladnhotextu"/>
        <w:ind w:left="0"/>
        <w:rPr>
          <w:szCs w:val="22"/>
        </w:rPr>
      </w:pPr>
      <w:r w:rsidRPr="002C7B52">
        <w:rPr>
          <w:b/>
          <w:szCs w:val="22"/>
        </w:rPr>
        <w:t xml:space="preserve">Silné inhibítory CYP2C9: </w:t>
      </w:r>
      <w:r w:rsidRPr="002C7B52">
        <w:rPr>
          <w:szCs w:val="22"/>
        </w:rPr>
        <w:t>Odporúča sa postupovať opatrne pri súbežnom predpisovaní diklofenaku a</w:t>
      </w:r>
      <w:r w:rsidR="00BE426B" w:rsidRPr="002C7B52">
        <w:rPr>
          <w:szCs w:val="22"/>
        </w:rPr>
        <w:t> </w:t>
      </w:r>
      <w:r w:rsidRPr="002C7B52">
        <w:rPr>
          <w:szCs w:val="22"/>
        </w:rPr>
        <w:t>silných inhibítorov CYP2C9 (ako sú probenecid, sulfinpyrazón a vorikonazol), čo môže viesť k výraznému zvýšeniu maximálnej plazmatickej koncentrácie a</w:t>
      </w:r>
      <w:r w:rsidR="00BE426B" w:rsidRPr="002C7B52">
        <w:rPr>
          <w:szCs w:val="22"/>
        </w:rPr>
        <w:t> </w:t>
      </w:r>
      <w:r w:rsidRPr="002C7B52">
        <w:rPr>
          <w:szCs w:val="22"/>
        </w:rPr>
        <w:t>expozície diklofenaku v dôsledku inhibície metabolizmu diklofenaku.</w:t>
      </w:r>
    </w:p>
    <w:p w14:paraId="54DB8EB3" w14:textId="77777777" w:rsidR="00173B43" w:rsidRPr="002C7B52" w:rsidRDefault="00173B43">
      <w:pPr>
        <w:shd w:val="clear" w:color="auto" w:fill="FFFFFF"/>
        <w:autoSpaceDE w:val="0"/>
        <w:autoSpaceDN w:val="0"/>
        <w:adjustRightInd w:val="0"/>
        <w:rPr>
          <w:b/>
          <w:sz w:val="22"/>
          <w:szCs w:val="22"/>
        </w:rPr>
      </w:pPr>
    </w:p>
    <w:p w14:paraId="05FE421F"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4.6</w:t>
      </w:r>
      <w:r w:rsidRPr="002C7B52">
        <w:rPr>
          <w:b/>
          <w:sz w:val="22"/>
          <w:szCs w:val="22"/>
        </w:rPr>
        <w:tab/>
        <w:t>Fertilita, gravidita a laktácia</w:t>
      </w:r>
    </w:p>
    <w:p w14:paraId="063B519E" w14:textId="77777777" w:rsidR="00173B43" w:rsidRPr="002C7B52" w:rsidRDefault="00173B43">
      <w:pPr>
        <w:keepNext/>
        <w:shd w:val="clear" w:color="auto" w:fill="FFFFFF"/>
        <w:autoSpaceDE w:val="0"/>
        <w:autoSpaceDN w:val="0"/>
        <w:adjustRightInd w:val="0"/>
        <w:rPr>
          <w:sz w:val="22"/>
          <w:szCs w:val="22"/>
          <w:u w:val="single"/>
        </w:rPr>
      </w:pPr>
    </w:p>
    <w:p w14:paraId="2CB6D046" w14:textId="77777777" w:rsidR="00173B43" w:rsidRPr="002C7B52" w:rsidRDefault="00173B43">
      <w:pPr>
        <w:rPr>
          <w:sz w:val="22"/>
          <w:szCs w:val="22"/>
          <w:u w:val="single"/>
        </w:rPr>
      </w:pPr>
      <w:r w:rsidRPr="002C7B52">
        <w:rPr>
          <w:sz w:val="22"/>
          <w:szCs w:val="22"/>
          <w:u w:val="single"/>
        </w:rPr>
        <w:t>Gravidita</w:t>
      </w:r>
    </w:p>
    <w:p w14:paraId="7C60D7E8" w14:textId="77777777" w:rsidR="00173B43" w:rsidRPr="002C7B52" w:rsidRDefault="00173B43">
      <w:pPr>
        <w:pStyle w:val="Zkladntext"/>
        <w:rPr>
          <w:szCs w:val="22"/>
        </w:rPr>
      </w:pPr>
      <w:r w:rsidRPr="002C7B52">
        <w:rPr>
          <w:szCs w:val="22"/>
        </w:rPr>
        <w:t>Inhibícia syntézy prostaglandínov môže nepriaznivo ovplyvňovať graviditu a/alebo embryofetálny vývoj. Údaje z epidemiologických štúdií poukazujú na zvýšené riziko potratu a</w:t>
      </w:r>
      <w:r w:rsidR="00BE426B" w:rsidRPr="002C7B52">
        <w:rPr>
          <w:szCs w:val="22"/>
        </w:rPr>
        <w:t> </w:t>
      </w:r>
      <w:r w:rsidRPr="002C7B52">
        <w:rPr>
          <w:szCs w:val="22"/>
        </w:rPr>
        <w:t>malformácií srdca a gastroschízy po užívaní inhibítorov syntézy prostaglandínov v ranom štádiu gravidity. Absolútne riziko kardiovaskulárnych malformácií sa zvýšilo z</w:t>
      </w:r>
      <w:r w:rsidR="00BE426B" w:rsidRPr="002C7B52">
        <w:rPr>
          <w:szCs w:val="22"/>
        </w:rPr>
        <w:t> </w:t>
      </w:r>
      <w:r w:rsidRPr="002C7B52">
        <w:rPr>
          <w:szCs w:val="22"/>
        </w:rPr>
        <w:t xml:space="preserve">menej ako 1 % na približne 1,5 %. </w:t>
      </w:r>
    </w:p>
    <w:p w14:paraId="2A47CE40" w14:textId="77777777" w:rsidR="00173B43" w:rsidRPr="002C7B52" w:rsidRDefault="00173B43">
      <w:pPr>
        <w:pStyle w:val="Zkladntext"/>
        <w:rPr>
          <w:szCs w:val="22"/>
        </w:rPr>
      </w:pPr>
      <w:r w:rsidRPr="002C7B52">
        <w:rPr>
          <w:szCs w:val="22"/>
        </w:rPr>
        <w:t xml:space="preserve">Predpokladá sa, že riziko sa zvyšuje s dávkou  a dĺžkou liečby. Ukázalo sa, že v prípade zvierat podávanie inhibítorov syntézy prostaglandínov viedlo k zvýšeniu pre- a postimplantačných strát a k embryofetálnej letalite. </w:t>
      </w:r>
    </w:p>
    <w:p w14:paraId="1FC0478A" w14:textId="77777777" w:rsidR="00173B43" w:rsidRPr="002C7B52" w:rsidRDefault="00173B43">
      <w:pPr>
        <w:rPr>
          <w:sz w:val="22"/>
          <w:szCs w:val="22"/>
        </w:rPr>
      </w:pPr>
      <w:r w:rsidRPr="002C7B52">
        <w:rPr>
          <w:sz w:val="22"/>
          <w:szCs w:val="22"/>
        </w:rPr>
        <w:t>Okrem toho bola u zvierat, ktoré dostávali počas organogenézy inhibítory syntézy prostaglandínov, hlásená zvýšená incidencia rôznych malformácií vrátane kardiovaskulárnych.</w:t>
      </w:r>
    </w:p>
    <w:p w14:paraId="2E854E41" w14:textId="77777777" w:rsidR="00173B43" w:rsidRPr="002C7B52" w:rsidRDefault="00173B43">
      <w:pPr>
        <w:rPr>
          <w:sz w:val="22"/>
          <w:szCs w:val="22"/>
        </w:rPr>
      </w:pPr>
      <w:r w:rsidRPr="002C7B52">
        <w:rPr>
          <w:sz w:val="22"/>
          <w:szCs w:val="22"/>
        </w:rPr>
        <w:t>Diklofenak sa nemá podávať počas prvého a</w:t>
      </w:r>
      <w:r w:rsidR="00BE426B" w:rsidRPr="002C7B52">
        <w:rPr>
          <w:sz w:val="22"/>
          <w:szCs w:val="22"/>
        </w:rPr>
        <w:t> </w:t>
      </w:r>
      <w:r w:rsidRPr="002C7B52">
        <w:rPr>
          <w:sz w:val="22"/>
          <w:szCs w:val="22"/>
        </w:rPr>
        <w:t xml:space="preserve">druhého trimestra gravidity, ak to nie je jednoznačne nevyhnutné. </w:t>
      </w:r>
    </w:p>
    <w:p w14:paraId="4B17D447" w14:textId="77777777" w:rsidR="00173B43" w:rsidRPr="002C7B52" w:rsidRDefault="00173B43">
      <w:pPr>
        <w:rPr>
          <w:sz w:val="22"/>
          <w:szCs w:val="22"/>
        </w:rPr>
      </w:pPr>
      <w:r w:rsidRPr="002C7B52">
        <w:rPr>
          <w:sz w:val="22"/>
          <w:szCs w:val="22"/>
        </w:rPr>
        <w:t>Ak diklofenak užíva žena, ktorá sa snaží otehotnieť alebo je v prvom a</w:t>
      </w:r>
      <w:r w:rsidR="00BE426B" w:rsidRPr="002C7B52">
        <w:rPr>
          <w:sz w:val="22"/>
          <w:szCs w:val="22"/>
        </w:rPr>
        <w:t> </w:t>
      </w:r>
      <w:r w:rsidRPr="002C7B52">
        <w:rPr>
          <w:sz w:val="22"/>
          <w:szCs w:val="22"/>
        </w:rPr>
        <w:t>druhom trimestri gravidity, dávku treba udržiavať čo najnižšiu a</w:t>
      </w:r>
      <w:r w:rsidR="00BE426B" w:rsidRPr="002C7B52">
        <w:rPr>
          <w:sz w:val="22"/>
          <w:szCs w:val="22"/>
        </w:rPr>
        <w:t> </w:t>
      </w:r>
      <w:r w:rsidRPr="002C7B52">
        <w:rPr>
          <w:sz w:val="22"/>
          <w:szCs w:val="22"/>
        </w:rPr>
        <w:t xml:space="preserve">liečba má byť čo najkratšia. </w:t>
      </w:r>
    </w:p>
    <w:p w14:paraId="6C377843" w14:textId="77777777" w:rsidR="00173B43" w:rsidRPr="002C7B52" w:rsidRDefault="00173B43">
      <w:pPr>
        <w:rPr>
          <w:sz w:val="22"/>
          <w:szCs w:val="22"/>
        </w:rPr>
      </w:pPr>
    </w:p>
    <w:p w14:paraId="270DA5B1" w14:textId="77777777" w:rsidR="00173B43" w:rsidRPr="002C7B52" w:rsidRDefault="00173B43">
      <w:pPr>
        <w:keepNext/>
        <w:keepLines/>
        <w:rPr>
          <w:sz w:val="22"/>
          <w:szCs w:val="22"/>
        </w:rPr>
      </w:pPr>
      <w:r w:rsidRPr="002C7B52">
        <w:rPr>
          <w:sz w:val="22"/>
          <w:szCs w:val="22"/>
        </w:rPr>
        <w:lastRenderedPageBreak/>
        <w:t xml:space="preserve">Počas tretieho trimestra gravidity môžu všetky inhibítory syntézy prostaglandínov: </w:t>
      </w:r>
    </w:p>
    <w:p w14:paraId="519A3ACF" w14:textId="77777777" w:rsidR="00173B43" w:rsidRPr="002C7B52" w:rsidRDefault="00173B43" w:rsidP="00B5584B">
      <w:pPr>
        <w:numPr>
          <w:ilvl w:val="0"/>
          <w:numId w:val="11"/>
        </w:numPr>
        <w:tabs>
          <w:tab w:val="clear" w:pos="720"/>
          <w:tab w:val="num" w:pos="567"/>
        </w:tabs>
        <w:ind w:left="567" w:hanging="567"/>
        <w:rPr>
          <w:sz w:val="22"/>
          <w:szCs w:val="22"/>
        </w:rPr>
      </w:pPr>
      <w:r w:rsidRPr="002C7B52">
        <w:rPr>
          <w:sz w:val="22"/>
          <w:szCs w:val="22"/>
        </w:rPr>
        <w:t xml:space="preserve">vystaviť </w:t>
      </w:r>
      <w:r w:rsidRPr="002C7B52">
        <w:rPr>
          <w:sz w:val="22"/>
          <w:szCs w:val="22"/>
          <w:u w:val="single"/>
        </w:rPr>
        <w:t>plod</w:t>
      </w:r>
      <w:r w:rsidRPr="002C7B52">
        <w:rPr>
          <w:sz w:val="22"/>
          <w:szCs w:val="22"/>
        </w:rPr>
        <w:t xml:space="preserve"> kardiovaskulárnej toxicite (s  predčasným uzáverom ductus arteriosus a</w:t>
      </w:r>
      <w:r w:rsidR="00BE426B" w:rsidRPr="002C7B52">
        <w:rPr>
          <w:sz w:val="22"/>
          <w:szCs w:val="22"/>
        </w:rPr>
        <w:t> </w:t>
      </w:r>
      <w:r w:rsidRPr="002C7B52">
        <w:rPr>
          <w:sz w:val="22"/>
          <w:szCs w:val="22"/>
        </w:rPr>
        <w:t>pulmonálnou hypertenziou) a</w:t>
      </w:r>
      <w:r w:rsidR="00BE426B" w:rsidRPr="002C7B52">
        <w:rPr>
          <w:sz w:val="22"/>
          <w:szCs w:val="22"/>
        </w:rPr>
        <w:t> </w:t>
      </w:r>
      <w:r w:rsidRPr="002C7B52">
        <w:rPr>
          <w:sz w:val="22"/>
          <w:szCs w:val="22"/>
        </w:rPr>
        <w:t xml:space="preserve">renálnej dysfunkcii, ktorá môže progredovať do zlyhania obličiek s oligohydramniónom, </w:t>
      </w:r>
    </w:p>
    <w:p w14:paraId="24CF0A4B" w14:textId="77777777" w:rsidR="00173B43" w:rsidRPr="002C7B52" w:rsidRDefault="00173B43" w:rsidP="00B5584B">
      <w:pPr>
        <w:numPr>
          <w:ilvl w:val="0"/>
          <w:numId w:val="11"/>
        </w:numPr>
        <w:tabs>
          <w:tab w:val="clear" w:pos="720"/>
          <w:tab w:val="num" w:pos="567"/>
        </w:tabs>
        <w:ind w:left="567" w:hanging="567"/>
        <w:rPr>
          <w:sz w:val="22"/>
          <w:szCs w:val="22"/>
        </w:rPr>
      </w:pPr>
      <w:r w:rsidRPr="002C7B52">
        <w:rPr>
          <w:sz w:val="22"/>
          <w:szCs w:val="22"/>
        </w:rPr>
        <w:t xml:space="preserve">vystaviť </w:t>
      </w:r>
      <w:r w:rsidRPr="002C7B52">
        <w:rPr>
          <w:sz w:val="22"/>
          <w:szCs w:val="22"/>
          <w:u w:val="single"/>
        </w:rPr>
        <w:t>matku a</w:t>
      </w:r>
      <w:r w:rsidR="00BE426B" w:rsidRPr="002C7B52">
        <w:rPr>
          <w:sz w:val="22"/>
          <w:szCs w:val="22"/>
          <w:u w:val="single"/>
        </w:rPr>
        <w:t> </w:t>
      </w:r>
      <w:r w:rsidRPr="002C7B52">
        <w:rPr>
          <w:sz w:val="22"/>
          <w:szCs w:val="22"/>
          <w:u w:val="single"/>
        </w:rPr>
        <w:t>dieťa</w:t>
      </w:r>
      <w:r w:rsidRPr="002C7B52">
        <w:rPr>
          <w:sz w:val="22"/>
          <w:szCs w:val="22"/>
        </w:rPr>
        <w:t xml:space="preserve"> na konci tehotenstva možnému predĺženiu času krvácania a antiagregačnému účinku, ktorý sa môže vyskytnúť aj pri veľmi nízkych dávkach, a inhibícii kontrakcií maternice vedúcich k oneskorenému alebo predĺženému pôrodu. </w:t>
      </w:r>
    </w:p>
    <w:p w14:paraId="35CA92B9" w14:textId="77777777" w:rsidR="00173B43" w:rsidRPr="002C7B52" w:rsidRDefault="00173B43">
      <w:pPr>
        <w:rPr>
          <w:sz w:val="22"/>
          <w:szCs w:val="22"/>
        </w:rPr>
      </w:pPr>
    </w:p>
    <w:p w14:paraId="376B94E1" w14:textId="12135C6A" w:rsidR="00173B43" w:rsidRPr="002C7B52" w:rsidRDefault="00173B43">
      <w:pPr>
        <w:rPr>
          <w:sz w:val="22"/>
          <w:szCs w:val="22"/>
        </w:rPr>
      </w:pPr>
      <w:r w:rsidRPr="002C7B52">
        <w:rPr>
          <w:sz w:val="22"/>
          <w:szCs w:val="22"/>
        </w:rPr>
        <w:t xml:space="preserve">V dôsledku toho je </w:t>
      </w:r>
      <w:r w:rsidR="008266F6">
        <w:rPr>
          <w:iCs/>
          <w:sz w:val="22"/>
          <w:szCs w:val="22"/>
        </w:rPr>
        <w:t>F</w:t>
      </w:r>
      <w:r w:rsidR="002E6A09">
        <w:rPr>
          <w:iCs/>
          <w:sz w:val="22"/>
          <w:szCs w:val="22"/>
        </w:rPr>
        <w:t>LECTOR</w:t>
      </w:r>
      <w:r w:rsidR="008C5D12">
        <w:rPr>
          <w:iCs/>
          <w:sz w:val="22"/>
          <w:szCs w:val="22"/>
        </w:rPr>
        <w:t> </w:t>
      </w:r>
      <w:r w:rsidR="008266F6">
        <w:rPr>
          <w:iCs/>
          <w:sz w:val="22"/>
          <w:szCs w:val="22"/>
        </w:rPr>
        <w:t>EP</w:t>
      </w:r>
      <w:r w:rsidRPr="002C7B52">
        <w:rPr>
          <w:sz w:val="22"/>
          <w:szCs w:val="22"/>
        </w:rPr>
        <w:t xml:space="preserve"> kontraindikovaný počas tretieho trimestra gravidity.</w:t>
      </w:r>
    </w:p>
    <w:p w14:paraId="353B5521" w14:textId="77777777" w:rsidR="00173B43" w:rsidRPr="002C7B52" w:rsidRDefault="00173B43">
      <w:pPr>
        <w:shd w:val="clear" w:color="auto" w:fill="FFFFFF"/>
        <w:autoSpaceDE w:val="0"/>
        <w:autoSpaceDN w:val="0"/>
        <w:adjustRightInd w:val="0"/>
        <w:rPr>
          <w:sz w:val="22"/>
          <w:szCs w:val="22"/>
          <w:u w:val="single"/>
        </w:rPr>
      </w:pPr>
    </w:p>
    <w:p w14:paraId="403DA137"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Dojčenie</w:t>
      </w:r>
    </w:p>
    <w:p w14:paraId="175E86BC" w14:textId="77777777" w:rsidR="00173B43" w:rsidRPr="002C7B52" w:rsidRDefault="00173B43">
      <w:pPr>
        <w:autoSpaceDE w:val="0"/>
        <w:autoSpaceDN w:val="0"/>
        <w:adjustRightInd w:val="0"/>
        <w:rPr>
          <w:sz w:val="22"/>
          <w:szCs w:val="22"/>
        </w:rPr>
      </w:pPr>
      <w:r w:rsidRPr="002C7B52">
        <w:rPr>
          <w:sz w:val="22"/>
          <w:szCs w:val="22"/>
        </w:rPr>
        <w:t>Tak ako iné NSAID</w:t>
      </w:r>
      <w:r w:rsidR="00BE426B" w:rsidRPr="002C7B52">
        <w:rPr>
          <w:sz w:val="22"/>
          <w:szCs w:val="22"/>
        </w:rPr>
        <w:t>,</w:t>
      </w:r>
      <w:r w:rsidRPr="002C7B52">
        <w:rPr>
          <w:sz w:val="22"/>
          <w:szCs w:val="22"/>
        </w:rPr>
        <w:t xml:space="preserve"> diklofenak v malých množstvách prechádza do materského mlieka. Diklofenak sa preto nemá podávať počas dojčenia, aby sa zabránilo vzniku nežiaducich účinkov u</w:t>
      </w:r>
      <w:r w:rsidR="00BE426B" w:rsidRPr="002C7B52">
        <w:rPr>
          <w:sz w:val="22"/>
          <w:szCs w:val="22"/>
        </w:rPr>
        <w:t> </w:t>
      </w:r>
      <w:r w:rsidRPr="002C7B52">
        <w:rPr>
          <w:sz w:val="22"/>
          <w:szCs w:val="22"/>
        </w:rPr>
        <w:t>dieťaťa.</w:t>
      </w:r>
    </w:p>
    <w:p w14:paraId="2063A647" w14:textId="77777777" w:rsidR="00173B43" w:rsidRPr="002C7B52" w:rsidRDefault="00173B43">
      <w:pPr>
        <w:shd w:val="clear" w:color="auto" w:fill="FFFFFF"/>
        <w:autoSpaceDE w:val="0"/>
        <w:autoSpaceDN w:val="0"/>
        <w:adjustRightInd w:val="0"/>
        <w:rPr>
          <w:sz w:val="22"/>
          <w:szCs w:val="22"/>
        </w:rPr>
      </w:pPr>
    </w:p>
    <w:p w14:paraId="29EEAC50" w14:textId="77777777" w:rsidR="00173B43" w:rsidRPr="002C7B52" w:rsidRDefault="00173B43">
      <w:pPr>
        <w:pStyle w:val="Zarkazkladnhotextu"/>
        <w:ind w:left="0"/>
        <w:rPr>
          <w:szCs w:val="22"/>
          <w:u w:val="single"/>
        </w:rPr>
      </w:pPr>
      <w:r w:rsidRPr="002C7B52">
        <w:rPr>
          <w:szCs w:val="22"/>
          <w:u w:val="single"/>
        </w:rPr>
        <w:t>Fertilita:</w:t>
      </w:r>
    </w:p>
    <w:p w14:paraId="44554D95"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Tak ako u iných NSAID môže užívanie diklofenaku poškodiť fertilitu žien, preto sa neodporúča ženám, ktoré sa snažia otehotnieť. U žien, ktoré majú ťažkosti s otehotnením alebo sa u nich vyšetruje neplodnosť, je potrebné zvážiť ukončenie liečby diklofenakom. </w:t>
      </w:r>
    </w:p>
    <w:p w14:paraId="178E22C6" w14:textId="77777777" w:rsidR="00173B43" w:rsidRPr="002C7B52" w:rsidRDefault="00173B43">
      <w:pPr>
        <w:shd w:val="clear" w:color="auto" w:fill="FFFFFF"/>
        <w:autoSpaceDE w:val="0"/>
        <w:autoSpaceDN w:val="0"/>
        <w:adjustRightInd w:val="0"/>
        <w:rPr>
          <w:sz w:val="22"/>
          <w:szCs w:val="22"/>
        </w:rPr>
      </w:pPr>
    </w:p>
    <w:p w14:paraId="42D8D102" w14:textId="77777777" w:rsidR="00173B43" w:rsidRPr="002C7B52" w:rsidRDefault="00173B43">
      <w:pPr>
        <w:keepNext/>
        <w:shd w:val="clear" w:color="auto" w:fill="FFFFFF"/>
        <w:tabs>
          <w:tab w:val="left" w:pos="567"/>
        </w:tabs>
        <w:autoSpaceDE w:val="0"/>
        <w:autoSpaceDN w:val="0"/>
        <w:adjustRightInd w:val="0"/>
        <w:ind w:left="567" w:hanging="567"/>
        <w:rPr>
          <w:sz w:val="22"/>
          <w:szCs w:val="22"/>
        </w:rPr>
      </w:pPr>
      <w:r w:rsidRPr="002C7B52">
        <w:rPr>
          <w:b/>
          <w:sz w:val="22"/>
          <w:szCs w:val="22"/>
        </w:rPr>
        <w:t>4.7</w:t>
      </w:r>
      <w:r w:rsidRPr="002C7B52">
        <w:rPr>
          <w:b/>
          <w:sz w:val="22"/>
          <w:szCs w:val="22"/>
        </w:rPr>
        <w:tab/>
        <w:t>Ovplyvnenie schopnosti viesť vozidlá a</w:t>
      </w:r>
      <w:r w:rsidR="00BE426B" w:rsidRPr="002C7B52">
        <w:rPr>
          <w:b/>
          <w:sz w:val="22"/>
          <w:szCs w:val="22"/>
        </w:rPr>
        <w:t> </w:t>
      </w:r>
      <w:r w:rsidRPr="002C7B52">
        <w:rPr>
          <w:b/>
          <w:sz w:val="22"/>
          <w:szCs w:val="22"/>
        </w:rPr>
        <w:t>obsluhovať stroje</w:t>
      </w:r>
    </w:p>
    <w:p w14:paraId="12D713B8" w14:textId="77777777" w:rsidR="00173B43" w:rsidRPr="002C7B52" w:rsidRDefault="00173B43">
      <w:pPr>
        <w:pStyle w:val="Zarkazkladnhotextu2"/>
        <w:keepNext/>
        <w:ind w:left="0"/>
        <w:rPr>
          <w:color w:val="auto"/>
          <w:szCs w:val="22"/>
        </w:rPr>
      </w:pPr>
    </w:p>
    <w:p w14:paraId="601C3316" w14:textId="77777777" w:rsidR="00173B43" w:rsidRPr="002C7B52" w:rsidRDefault="00173B43">
      <w:pPr>
        <w:shd w:val="clear" w:color="auto" w:fill="FFFFFF"/>
        <w:autoSpaceDE w:val="0"/>
        <w:autoSpaceDN w:val="0"/>
        <w:adjustRightInd w:val="0"/>
        <w:rPr>
          <w:sz w:val="22"/>
          <w:szCs w:val="22"/>
        </w:rPr>
      </w:pPr>
      <w:r w:rsidRPr="002C7B52">
        <w:rPr>
          <w:sz w:val="22"/>
          <w:szCs w:val="22"/>
        </w:rPr>
        <w:t>Pri odporúčaných nízkych dávkach a</w:t>
      </w:r>
      <w:r w:rsidR="00BE426B" w:rsidRPr="002C7B52">
        <w:rPr>
          <w:sz w:val="22"/>
          <w:szCs w:val="22"/>
        </w:rPr>
        <w:t> </w:t>
      </w:r>
      <w:r w:rsidRPr="002C7B52">
        <w:rPr>
          <w:sz w:val="22"/>
          <w:szCs w:val="22"/>
        </w:rPr>
        <w:t>krátkodobom užívaní liek obvykle nemá žiadny vplyv na schopnosť viesť vozidlá a</w:t>
      </w:r>
      <w:r w:rsidR="00BE426B" w:rsidRPr="002C7B52">
        <w:rPr>
          <w:sz w:val="22"/>
          <w:szCs w:val="22"/>
        </w:rPr>
        <w:t> </w:t>
      </w:r>
      <w:r w:rsidRPr="002C7B52">
        <w:rPr>
          <w:sz w:val="22"/>
          <w:szCs w:val="22"/>
        </w:rPr>
        <w:t>obsluhovať stroje.</w:t>
      </w:r>
    </w:p>
    <w:p w14:paraId="34E0CA81" w14:textId="77777777" w:rsidR="00173B43" w:rsidRPr="002C7B52" w:rsidRDefault="00173B43">
      <w:pPr>
        <w:shd w:val="clear" w:color="auto" w:fill="FFFFFF"/>
        <w:autoSpaceDE w:val="0"/>
        <w:autoSpaceDN w:val="0"/>
        <w:adjustRightInd w:val="0"/>
        <w:rPr>
          <w:sz w:val="22"/>
          <w:szCs w:val="22"/>
        </w:rPr>
      </w:pPr>
      <w:r w:rsidRPr="002C7B52">
        <w:rPr>
          <w:sz w:val="22"/>
          <w:szCs w:val="22"/>
        </w:rPr>
        <w:t>Pacienti, u ktorých sa počas liečby diklofenakom vyskytnú poruchy videnia, závrat, vertigo, somnolencia alebo iné poruchy centrálneho nervového systému, nemajú viesť motorové vozidlá a</w:t>
      </w:r>
      <w:r w:rsidR="00BE426B" w:rsidRPr="002C7B52">
        <w:rPr>
          <w:sz w:val="22"/>
          <w:szCs w:val="22"/>
        </w:rPr>
        <w:t> </w:t>
      </w:r>
      <w:r w:rsidRPr="002C7B52">
        <w:rPr>
          <w:sz w:val="22"/>
          <w:szCs w:val="22"/>
        </w:rPr>
        <w:t>obsluhovať stroje.</w:t>
      </w:r>
    </w:p>
    <w:p w14:paraId="2EC585D7" w14:textId="77777777" w:rsidR="00173B43" w:rsidRPr="002C7B52" w:rsidRDefault="00173B43">
      <w:pPr>
        <w:pStyle w:val="Zarkazkladnhotextu2"/>
        <w:ind w:left="0"/>
        <w:rPr>
          <w:color w:val="auto"/>
          <w:szCs w:val="22"/>
        </w:rPr>
      </w:pPr>
    </w:p>
    <w:p w14:paraId="6AAC4DD0"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4.8</w:t>
      </w:r>
      <w:r w:rsidRPr="002C7B52">
        <w:rPr>
          <w:b/>
          <w:sz w:val="22"/>
          <w:szCs w:val="22"/>
        </w:rPr>
        <w:tab/>
        <w:t xml:space="preserve">Nežiaduce účinky </w:t>
      </w:r>
    </w:p>
    <w:p w14:paraId="6F32140E" w14:textId="77777777" w:rsidR="00173B43" w:rsidRPr="002C7B52" w:rsidRDefault="00173B43">
      <w:pPr>
        <w:keepNext/>
        <w:shd w:val="clear" w:color="auto" w:fill="FFFFFF"/>
        <w:autoSpaceDE w:val="0"/>
        <w:autoSpaceDN w:val="0"/>
        <w:adjustRightInd w:val="0"/>
        <w:rPr>
          <w:sz w:val="22"/>
          <w:szCs w:val="22"/>
          <w:u w:val="single"/>
        </w:rPr>
      </w:pPr>
    </w:p>
    <w:p w14:paraId="6F3841B6" w14:textId="77777777" w:rsidR="00173B43" w:rsidRPr="002C7B52" w:rsidRDefault="00173B43">
      <w:pPr>
        <w:pStyle w:val="Zkladntext"/>
        <w:rPr>
          <w:szCs w:val="22"/>
        </w:rPr>
      </w:pPr>
      <w:r w:rsidRPr="002C7B52">
        <w:rPr>
          <w:szCs w:val="22"/>
        </w:rPr>
        <w:t>Najčastejšie pozorované nežiaduce účinky sa týkajú gastrointestinálneho traktu. Môžu sa vyskytnúť peptické vredy, perforácia alebo GI krvácanie, niekedy fatálne, najmä u</w:t>
      </w:r>
      <w:r w:rsidR="00BE426B" w:rsidRPr="002C7B52">
        <w:rPr>
          <w:szCs w:val="22"/>
        </w:rPr>
        <w:t> </w:t>
      </w:r>
      <w:r w:rsidRPr="002C7B52">
        <w:rPr>
          <w:szCs w:val="22"/>
        </w:rPr>
        <w:t xml:space="preserve">starších pacientov (pozri časť 4.4). </w:t>
      </w:r>
    </w:p>
    <w:p w14:paraId="5C3DE138" w14:textId="77777777" w:rsidR="00173B43" w:rsidRPr="002C7B52" w:rsidRDefault="00173B43">
      <w:pPr>
        <w:autoSpaceDE w:val="0"/>
        <w:autoSpaceDN w:val="0"/>
        <w:adjustRightInd w:val="0"/>
        <w:rPr>
          <w:sz w:val="22"/>
          <w:szCs w:val="22"/>
        </w:rPr>
      </w:pPr>
    </w:p>
    <w:p w14:paraId="4CF61628" w14:textId="77777777" w:rsidR="00173B43" w:rsidRPr="002C7B52" w:rsidRDefault="00173B43">
      <w:pPr>
        <w:autoSpaceDE w:val="0"/>
        <w:autoSpaceDN w:val="0"/>
        <w:adjustRightInd w:val="0"/>
        <w:rPr>
          <w:sz w:val="22"/>
          <w:szCs w:val="22"/>
        </w:rPr>
      </w:pPr>
      <w:r w:rsidRPr="002C7B52">
        <w:rPr>
          <w:sz w:val="22"/>
          <w:szCs w:val="22"/>
        </w:rPr>
        <w:t xml:space="preserve">Nežiaduce reakcie (Tabuľka 1) sú zoradené podľa frekvencie, pričom najskôr sú uvedené najčastejšie sa vyskytujúce reakcie na základe nasledujúcej konvencie: veľmi časté: (≥1/10), časté (≥1/100 až &lt;1/10), menej časté (≥1/1 000 až &lt;1/100), zriedkavé (≥1/10 000 až &lt;1/1 000), veľmi zriedkavé (&lt;1/10 000), neznáme: z dostupných údajov. </w:t>
      </w:r>
    </w:p>
    <w:p w14:paraId="17BCDD31" w14:textId="77777777" w:rsidR="00173B43" w:rsidRPr="002C7B52" w:rsidRDefault="00173B43">
      <w:pPr>
        <w:autoSpaceDE w:val="0"/>
        <w:autoSpaceDN w:val="0"/>
        <w:adjustRightInd w:val="0"/>
        <w:rPr>
          <w:sz w:val="22"/>
          <w:szCs w:val="22"/>
          <w:lang w:eastAsia="en-GB"/>
        </w:rPr>
      </w:pPr>
    </w:p>
    <w:p w14:paraId="437E606A" w14:textId="77777777" w:rsidR="00173B43" w:rsidRPr="002C7B52" w:rsidRDefault="00173B43">
      <w:pPr>
        <w:autoSpaceDE w:val="0"/>
        <w:autoSpaceDN w:val="0"/>
        <w:adjustRightInd w:val="0"/>
        <w:rPr>
          <w:b/>
          <w:bCs/>
          <w:sz w:val="22"/>
          <w:szCs w:val="22"/>
        </w:rPr>
      </w:pPr>
      <w:r w:rsidRPr="002C7B52">
        <w:rPr>
          <w:b/>
          <w:bCs/>
          <w:sz w:val="22"/>
          <w:szCs w:val="22"/>
        </w:rPr>
        <w:t xml:space="preserve">Tabuľka 1. Prehľad nežiaducich reakcií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2"/>
        <w:gridCol w:w="5045"/>
      </w:tblGrid>
      <w:tr w:rsidR="00173B43" w:rsidRPr="002C7B52" w14:paraId="24C525E9" w14:textId="77777777" w:rsidTr="007F3EE1">
        <w:tc>
          <w:tcPr>
            <w:tcW w:w="5000" w:type="pct"/>
            <w:gridSpan w:val="2"/>
          </w:tcPr>
          <w:p w14:paraId="6245A483" w14:textId="77777777" w:rsidR="00173B43" w:rsidRPr="002C7B52" w:rsidRDefault="00173B43" w:rsidP="00B5584B">
            <w:pPr>
              <w:autoSpaceDE w:val="0"/>
              <w:autoSpaceDN w:val="0"/>
              <w:adjustRightInd w:val="0"/>
              <w:rPr>
                <w:b/>
                <w:bCs/>
                <w:sz w:val="22"/>
                <w:szCs w:val="22"/>
              </w:rPr>
            </w:pPr>
            <w:r w:rsidRPr="002C7B52">
              <w:rPr>
                <w:b/>
                <w:bCs/>
                <w:sz w:val="22"/>
                <w:szCs w:val="22"/>
              </w:rPr>
              <w:t>Poruchy krvi a lymfatického systému</w:t>
            </w:r>
          </w:p>
        </w:tc>
      </w:tr>
      <w:tr w:rsidR="00173B43" w:rsidRPr="002C7B52" w14:paraId="3F2C7594" w14:textId="77777777" w:rsidTr="007F3EE1">
        <w:tc>
          <w:tcPr>
            <w:tcW w:w="2284" w:type="pct"/>
          </w:tcPr>
          <w:p w14:paraId="3A4C19D6" w14:textId="77777777" w:rsidR="00173B43" w:rsidRPr="002C7B52" w:rsidRDefault="00173B43" w:rsidP="00B5584B">
            <w:pPr>
              <w:autoSpaceDE w:val="0"/>
              <w:autoSpaceDN w:val="0"/>
              <w:adjustRightInd w:val="0"/>
              <w:rPr>
                <w:bCs/>
                <w:sz w:val="22"/>
                <w:szCs w:val="22"/>
              </w:rPr>
            </w:pPr>
            <w:r w:rsidRPr="002C7B52">
              <w:rPr>
                <w:sz w:val="22"/>
                <w:szCs w:val="22"/>
              </w:rPr>
              <w:t>Veľmi zriedkavé</w:t>
            </w:r>
          </w:p>
        </w:tc>
        <w:tc>
          <w:tcPr>
            <w:tcW w:w="2716" w:type="pct"/>
          </w:tcPr>
          <w:p w14:paraId="1487F771" w14:textId="77777777" w:rsidR="00173B43" w:rsidRPr="002C7B52" w:rsidRDefault="00173B43" w:rsidP="00B5584B">
            <w:pPr>
              <w:autoSpaceDE w:val="0"/>
              <w:autoSpaceDN w:val="0"/>
              <w:adjustRightInd w:val="0"/>
              <w:rPr>
                <w:sz w:val="22"/>
                <w:szCs w:val="22"/>
              </w:rPr>
            </w:pPr>
            <w:r w:rsidRPr="002C7B52">
              <w:rPr>
                <w:sz w:val="22"/>
                <w:szCs w:val="22"/>
              </w:rPr>
              <w:t>trombocytopénia, leukopénia, pancytopénia, anémia (vrátane hemolytickej a</w:t>
            </w:r>
            <w:r w:rsidR="00BE426B" w:rsidRPr="002C7B52">
              <w:rPr>
                <w:sz w:val="22"/>
                <w:szCs w:val="22"/>
              </w:rPr>
              <w:t> </w:t>
            </w:r>
            <w:r w:rsidRPr="002C7B52">
              <w:rPr>
                <w:sz w:val="22"/>
                <w:szCs w:val="22"/>
              </w:rPr>
              <w:t>aplastickej anémie), agranulocytóza</w:t>
            </w:r>
          </w:p>
        </w:tc>
      </w:tr>
      <w:tr w:rsidR="00173B43" w:rsidRPr="002C7B52" w14:paraId="48121853" w14:textId="77777777" w:rsidTr="007F3EE1">
        <w:tc>
          <w:tcPr>
            <w:tcW w:w="2284" w:type="pct"/>
          </w:tcPr>
          <w:p w14:paraId="27A78C34" w14:textId="77777777" w:rsidR="00173B43" w:rsidRPr="002C7B52" w:rsidRDefault="00173B43" w:rsidP="00B5584B">
            <w:pPr>
              <w:autoSpaceDE w:val="0"/>
              <w:autoSpaceDN w:val="0"/>
              <w:adjustRightInd w:val="0"/>
              <w:rPr>
                <w:b/>
                <w:bCs/>
                <w:sz w:val="22"/>
                <w:szCs w:val="22"/>
              </w:rPr>
            </w:pPr>
            <w:r w:rsidRPr="002C7B52">
              <w:rPr>
                <w:b/>
                <w:bCs/>
                <w:sz w:val="22"/>
                <w:szCs w:val="22"/>
              </w:rPr>
              <w:t>Poruchy imunitného systému</w:t>
            </w:r>
          </w:p>
        </w:tc>
        <w:tc>
          <w:tcPr>
            <w:tcW w:w="2716" w:type="pct"/>
          </w:tcPr>
          <w:p w14:paraId="61BA6DC5" w14:textId="77777777" w:rsidR="00173B43" w:rsidRPr="002C7B52" w:rsidRDefault="00173B43">
            <w:pPr>
              <w:autoSpaceDE w:val="0"/>
              <w:autoSpaceDN w:val="0"/>
              <w:adjustRightInd w:val="0"/>
              <w:rPr>
                <w:b/>
                <w:bCs/>
                <w:sz w:val="22"/>
                <w:szCs w:val="22"/>
              </w:rPr>
            </w:pPr>
          </w:p>
        </w:tc>
      </w:tr>
      <w:tr w:rsidR="00173B43" w:rsidRPr="002C7B52" w14:paraId="1144DC68" w14:textId="77777777" w:rsidTr="007F3EE1">
        <w:tc>
          <w:tcPr>
            <w:tcW w:w="2284" w:type="pct"/>
          </w:tcPr>
          <w:p w14:paraId="793C085B" w14:textId="77777777" w:rsidR="00173B43" w:rsidRPr="002C7B52" w:rsidRDefault="00173B43" w:rsidP="00B5584B">
            <w:pPr>
              <w:autoSpaceDE w:val="0"/>
              <w:autoSpaceDN w:val="0"/>
              <w:adjustRightInd w:val="0"/>
              <w:rPr>
                <w:sz w:val="22"/>
                <w:szCs w:val="22"/>
              </w:rPr>
            </w:pPr>
            <w:r w:rsidRPr="002C7B52">
              <w:rPr>
                <w:sz w:val="22"/>
                <w:szCs w:val="22"/>
              </w:rPr>
              <w:t>Zriedkavé</w:t>
            </w:r>
          </w:p>
          <w:p w14:paraId="0F1993F5" w14:textId="77777777" w:rsidR="00173B43" w:rsidRPr="002C7B52" w:rsidRDefault="00173B43">
            <w:pPr>
              <w:autoSpaceDE w:val="0"/>
              <w:autoSpaceDN w:val="0"/>
              <w:adjustRightInd w:val="0"/>
              <w:rPr>
                <w:sz w:val="22"/>
                <w:szCs w:val="22"/>
              </w:rPr>
            </w:pPr>
          </w:p>
          <w:p w14:paraId="634DCC15" w14:textId="77777777" w:rsidR="00173B43" w:rsidRPr="002C7B52" w:rsidRDefault="00173B43">
            <w:pPr>
              <w:autoSpaceDE w:val="0"/>
              <w:autoSpaceDN w:val="0"/>
              <w:adjustRightInd w:val="0"/>
              <w:rPr>
                <w:b/>
                <w:bCs/>
                <w:sz w:val="22"/>
                <w:szCs w:val="22"/>
              </w:rPr>
            </w:pPr>
          </w:p>
        </w:tc>
        <w:tc>
          <w:tcPr>
            <w:tcW w:w="2716" w:type="pct"/>
          </w:tcPr>
          <w:p w14:paraId="3A9B36AB" w14:textId="77777777" w:rsidR="00173B43" w:rsidRPr="002C7B52" w:rsidRDefault="00173B43" w:rsidP="00B5584B">
            <w:pPr>
              <w:autoSpaceDE w:val="0"/>
              <w:autoSpaceDN w:val="0"/>
              <w:adjustRightInd w:val="0"/>
              <w:rPr>
                <w:sz w:val="22"/>
                <w:szCs w:val="22"/>
              </w:rPr>
            </w:pPr>
            <w:r w:rsidRPr="002C7B52">
              <w:rPr>
                <w:sz w:val="22"/>
                <w:szCs w:val="22"/>
              </w:rPr>
              <w:t>hypersenzitivita, anafylaktické a</w:t>
            </w:r>
            <w:r w:rsidR="00BE426B" w:rsidRPr="002C7B52">
              <w:rPr>
                <w:sz w:val="22"/>
                <w:szCs w:val="22"/>
              </w:rPr>
              <w:t> </w:t>
            </w:r>
            <w:r w:rsidRPr="002C7B52">
              <w:rPr>
                <w:sz w:val="22"/>
                <w:szCs w:val="22"/>
              </w:rPr>
              <w:t>anafylaktoidné reakcie (vrátane hypotenzie a</w:t>
            </w:r>
            <w:r w:rsidR="00BE426B" w:rsidRPr="002C7B52">
              <w:rPr>
                <w:sz w:val="22"/>
                <w:szCs w:val="22"/>
              </w:rPr>
              <w:t> </w:t>
            </w:r>
            <w:r w:rsidRPr="002C7B52">
              <w:rPr>
                <w:sz w:val="22"/>
                <w:szCs w:val="22"/>
              </w:rPr>
              <w:t>šoku)</w:t>
            </w:r>
          </w:p>
          <w:p w14:paraId="6F8D0D51" w14:textId="77777777" w:rsidR="00173B43" w:rsidRPr="002C7B52" w:rsidRDefault="00173B43" w:rsidP="00B5584B">
            <w:pPr>
              <w:autoSpaceDE w:val="0"/>
              <w:autoSpaceDN w:val="0"/>
              <w:adjustRightInd w:val="0"/>
              <w:rPr>
                <w:sz w:val="22"/>
                <w:szCs w:val="22"/>
              </w:rPr>
            </w:pPr>
            <w:r w:rsidRPr="002C7B52">
              <w:rPr>
                <w:sz w:val="22"/>
                <w:szCs w:val="22"/>
              </w:rPr>
              <w:t>angioneurotický edém (vrátane edému tváre)</w:t>
            </w:r>
          </w:p>
        </w:tc>
      </w:tr>
      <w:tr w:rsidR="00173B43" w:rsidRPr="002C7B52" w14:paraId="53B16223" w14:textId="77777777" w:rsidTr="007F3EE1">
        <w:tc>
          <w:tcPr>
            <w:tcW w:w="2284" w:type="pct"/>
          </w:tcPr>
          <w:p w14:paraId="19C83E8D" w14:textId="77777777" w:rsidR="00173B43" w:rsidRPr="002C7B52" w:rsidRDefault="00173B43" w:rsidP="00B5584B">
            <w:pPr>
              <w:autoSpaceDE w:val="0"/>
              <w:autoSpaceDN w:val="0"/>
              <w:adjustRightInd w:val="0"/>
              <w:rPr>
                <w:b/>
                <w:bCs/>
                <w:sz w:val="22"/>
                <w:szCs w:val="22"/>
              </w:rPr>
            </w:pPr>
            <w:r w:rsidRPr="002C7B52">
              <w:rPr>
                <w:b/>
                <w:bCs/>
                <w:sz w:val="22"/>
                <w:szCs w:val="22"/>
              </w:rPr>
              <w:t>Psychické poruchy</w:t>
            </w:r>
          </w:p>
        </w:tc>
        <w:tc>
          <w:tcPr>
            <w:tcW w:w="2716" w:type="pct"/>
          </w:tcPr>
          <w:p w14:paraId="3214669D" w14:textId="77777777" w:rsidR="00173B43" w:rsidRPr="002C7B52" w:rsidRDefault="00173B43">
            <w:pPr>
              <w:autoSpaceDE w:val="0"/>
              <w:autoSpaceDN w:val="0"/>
              <w:adjustRightInd w:val="0"/>
              <w:rPr>
                <w:b/>
                <w:bCs/>
                <w:sz w:val="22"/>
                <w:szCs w:val="22"/>
              </w:rPr>
            </w:pPr>
          </w:p>
        </w:tc>
      </w:tr>
      <w:tr w:rsidR="00173B43" w:rsidRPr="002C7B52" w14:paraId="49362381" w14:textId="77777777" w:rsidTr="007F3EE1">
        <w:tc>
          <w:tcPr>
            <w:tcW w:w="2284" w:type="pct"/>
          </w:tcPr>
          <w:p w14:paraId="570EAF08"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695DA955" w14:textId="77777777" w:rsidR="00173B43" w:rsidRPr="002C7B52" w:rsidRDefault="00173B43">
            <w:pPr>
              <w:autoSpaceDE w:val="0"/>
              <w:autoSpaceDN w:val="0"/>
              <w:adjustRightInd w:val="0"/>
              <w:rPr>
                <w:sz w:val="22"/>
                <w:szCs w:val="22"/>
              </w:rPr>
            </w:pPr>
            <w:r w:rsidRPr="002C7B52">
              <w:rPr>
                <w:sz w:val="22"/>
                <w:szCs w:val="22"/>
              </w:rPr>
              <w:t>dezorientácia, depresia, insomnia, nočné mory, podráždenosť, psychotická porucha</w:t>
            </w:r>
          </w:p>
        </w:tc>
      </w:tr>
      <w:tr w:rsidR="00173B43" w:rsidRPr="002C7B52" w14:paraId="60D541DC" w14:textId="77777777" w:rsidTr="007F3EE1">
        <w:tc>
          <w:tcPr>
            <w:tcW w:w="2284" w:type="pct"/>
          </w:tcPr>
          <w:p w14:paraId="3CFCEED8" w14:textId="77777777" w:rsidR="00173B43" w:rsidRPr="002C7B52" w:rsidRDefault="00173B43" w:rsidP="00B5584B">
            <w:pPr>
              <w:autoSpaceDE w:val="0"/>
              <w:autoSpaceDN w:val="0"/>
              <w:adjustRightInd w:val="0"/>
              <w:rPr>
                <w:b/>
                <w:bCs/>
                <w:sz w:val="22"/>
                <w:szCs w:val="22"/>
              </w:rPr>
            </w:pPr>
            <w:r w:rsidRPr="002C7B52">
              <w:rPr>
                <w:b/>
                <w:bCs/>
                <w:sz w:val="22"/>
                <w:szCs w:val="22"/>
              </w:rPr>
              <w:t>Poruchy nervového systému</w:t>
            </w:r>
          </w:p>
        </w:tc>
        <w:tc>
          <w:tcPr>
            <w:tcW w:w="2716" w:type="pct"/>
          </w:tcPr>
          <w:p w14:paraId="4E63AC49" w14:textId="77777777" w:rsidR="00173B43" w:rsidRPr="002C7B52" w:rsidRDefault="00173B43">
            <w:pPr>
              <w:autoSpaceDE w:val="0"/>
              <w:autoSpaceDN w:val="0"/>
              <w:adjustRightInd w:val="0"/>
              <w:rPr>
                <w:b/>
                <w:bCs/>
                <w:sz w:val="22"/>
                <w:szCs w:val="22"/>
              </w:rPr>
            </w:pPr>
          </w:p>
        </w:tc>
      </w:tr>
      <w:tr w:rsidR="00173B43" w:rsidRPr="002C7B52" w14:paraId="19D694F7" w14:textId="77777777" w:rsidTr="007F3EE1">
        <w:tc>
          <w:tcPr>
            <w:tcW w:w="2284" w:type="pct"/>
          </w:tcPr>
          <w:p w14:paraId="704C90DA" w14:textId="77777777" w:rsidR="00173B43" w:rsidRPr="002C7B52" w:rsidRDefault="00173B43" w:rsidP="00B5584B">
            <w:pPr>
              <w:autoSpaceDE w:val="0"/>
              <w:autoSpaceDN w:val="0"/>
              <w:adjustRightInd w:val="0"/>
              <w:rPr>
                <w:sz w:val="22"/>
                <w:szCs w:val="22"/>
              </w:rPr>
            </w:pPr>
            <w:r w:rsidRPr="002C7B52">
              <w:rPr>
                <w:sz w:val="22"/>
                <w:szCs w:val="22"/>
              </w:rPr>
              <w:t>Časté</w:t>
            </w:r>
          </w:p>
          <w:p w14:paraId="445DE5AB" w14:textId="77777777" w:rsidR="00173B43" w:rsidRPr="002C7B52" w:rsidRDefault="00173B43" w:rsidP="00B5584B">
            <w:pPr>
              <w:autoSpaceDE w:val="0"/>
              <w:autoSpaceDN w:val="0"/>
              <w:adjustRightInd w:val="0"/>
              <w:rPr>
                <w:sz w:val="22"/>
                <w:szCs w:val="22"/>
              </w:rPr>
            </w:pPr>
            <w:r w:rsidRPr="002C7B52">
              <w:rPr>
                <w:sz w:val="22"/>
                <w:szCs w:val="22"/>
              </w:rPr>
              <w:t>Zriedkavé</w:t>
            </w:r>
          </w:p>
          <w:p w14:paraId="6140AF4E" w14:textId="77777777" w:rsidR="00173B43" w:rsidRPr="002C7B52" w:rsidRDefault="00173B43" w:rsidP="00B5584B">
            <w:pPr>
              <w:autoSpaceDE w:val="0"/>
              <w:autoSpaceDN w:val="0"/>
              <w:adjustRightInd w:val="0"/>
              <w:rPr>
                <w:sz w:val="22"/>
                <w:szCs w:val="22"/>
              </w:rPr>
            </w:pPr>
            <w:r w:rsidRPr="002C7B52">
              <w:rPr>
                <w:sz w:val="22"/>
                <w:szCs w:val="22"/>
              </w:rPr>
              <w:t>Veľmi zriedkavé</w:t>
            </w:r>
          </w:p>
          <w:p w14:paraId="0992298B" w14:textId="77777777" w:rsidR="00173B43" w:rsidRPr="002C7B52" w:rsidRDefault="00173B43">
            <w:pPr>
              <w:autoSpaceDE w:val="0"/>
              <w:autoSpaceDN w:val="0"/>
              <w:adjustRightInd w:val="0"/>
              <w:rPr>
                <w:sz w:val="22"/>
                <w:szCs w:val="22"/>
              </w:rPr>
            </w:pPr>
          </w:p>
          <w:p w14:paraId="475063AE" w14:textId="77777777" w:rsidR="00173B43" w:rsidRPr="002C7B52" w:rsidRDefault="00173B43">
            <w:pPr>
              <w:autoSpaceDE w:val="0"/>
              <w:autoSpaceDN w:val="0"/>
              <w:adjustRightInd w:val="0"/>
              <w:rPr>
                <w:sz w:val="22"/>
                <w:szCs w:val="22"/>
              </w:rPr>
            </w:pPr>
          </w:p>
          <w:p w14:paraId="720CEE2A" w14:textId="77777777" w:rsidR="00173B43" w:rsidRPr="002C7B52" w:rsidRDefault="00173B43">
            <w:pPr>
              <w:autoSpaceDE w:val="0"/>
              <w:autoSpaceDN w:val="0"/>
              <w:adjustRightInd w:val="0"/>
              <w:rPr>
                <w:b/>
                <w:bCs/>
                <w:sz w:val="22"/>
                <w:szCs w:val="22"/>
              </w:rPr>
            </w:pPr>
          </w:p>
        </w:tc>
        <w:tc>
          <w:tcPr>
            <w:tcW w:w="2716" w:type="pct"/>
          </w:tcPr>
          <w:p w14:paraId="7519A6EF" w14:textId="77777777" w:rsidR="00173B43" w:rsidRPr="002C7B52" w:rsidRDefault="00173B43" w:rsidP="00B5584B">
            <w:pPr>
              <w:autoSpaceDE w:val="0"/>
              <w:autoSpaceDN w:val="0"/>
              <w:adjustRightInd w:val="0"/>
              <w:rPr>
                <w:sz w:val="22"/>
                <w:szCs w:val="22"/>
              </w:rPr>
            </w:pPr>
            <w:r w:rsidRPr="002C7B52">
              <w:rPr>
                <w:sz w:val="22"/>
                <w:szCs w:val="22"/>
              </w:rPr>
              <w:t>bolesť hlavy, závrat</w:t>
            </w:r>
          </w:p>
          <w:p w14:paraId="74260B64" w14:textId="77777777" w:rsidR="00173B43" w:rsidRPr="002C7B52" w:rsidRDefault="00173B43" w:rsidP="00B5584B">
            <w:pPr>
              <w:autoSpaceDE w:val="0"/>
              <w:autoSpaceDN w:val="0"/>
              <w:adjustRightInd w:val="0"/>
              <w:rPr>
                <w:sz w:val="22"/>
                <w:szCs w:val="22"/>
              </w:rPr>
            </w:pPr>
            <w:r w:rsidRPr="002C7B52">
              <w:rPr>
                <w:sz w:val="22"/>
                <w:szCs w:val="22"/>
              </w:rPr>
              <w:t>somnolencia</w:t>
            </w:r>
          </w:p>
          <w:p w14:paraId="7290032C" w14:textId="77777777" w:rsidR="00173B43" w:rsidRPr="002C7B52" w:rsidRDefault="00173B43" w:rsidP="00B5584B">
            <w:pPr>
              <w:autoSpaceDE w:val="0"/>
              <w:autoSpaceDN w:val="0"/>
              <w:adjustRightInd w:val="0"/>
              <w:rPr>
                <w:sz w:val="22"/>
                <w:szCs w:val="22"/>
              </w:rPr>
            </w:pPr>
            <w:r w:rsidRPr="002C7B52">
              <w:rPr>
                <w:sz w:val="22"/>
                <w:szCs w:val="22"/>
              </w:rPr>
              <w:t>parestézia, porucha pamäti, kŕče, úzkosť, tras, aseptická meningitída, poruchy chuti, cerebrovaskulárna príhoda</w:t>
            </w:r>
          </w:p>
        </w:tc>
      </w:tr>
      <w:tr w:rsidR="00173B43" w:rsidRPr="002C7B52" w14:paraId="20BCEA76" w14:textId="77777777" w:rsidTr="007F3EE1">
        <w:tc>
          <w:tcPr>
            <w:tcW w:w="2284" w:type="pct"/>
          </w:tcPr>
          <w:p w14:paraId="581D8372" w14:textId="77777777" w:rsidR="00173B43" w:rsidRPr="002C7B52" w:rsidRDefault="00173B43" w:rsidP="00B5584B">
            <w:pPr>
              <w:keepNext/>
              <w:keepLines/>
              <w:autoSpaceDE w:val="0"/>
              <w:autoSpaceDN w:val="0"/>
              <w:adjustRightInd w:val="0"/>
              <w:rPr>
                <w:b/>
                <w:bCs/>
                <w:sz w:val="22"/>
                <w:szCs w:val="22"/>
              </w:rPr>
            </w:pPr>
            <w:r w:rsidRPr="002C7B52">
              <w:rPr>
                <w:b/>
                <w:bCs/>
                <w:sz w:val="22"/>
                <w:szCs w:val="22"/>
              </w:rPr>
              <w:lastRenderedPageBreak/>
              <w:t>Poruchy oka</w:t>
            </w:r>
          </w:p>
        </w:tc>
        <w:tc>
          <w:tcPr>
            <w:tcW w:w="2716" w:type="pct"/>
          </w:tcPr>
          <w:p w14:paraId="7F48A3B2" w14:textId="77777777" w:rsidR="00173B43" w:rsidRPr="002C7B52" w:rsidRDefault="00173B43">
            <w:pPr>
              <w:keepNext/>
              <w:keepLines/>
              <w:autoSpaceDE w:val="0"/>
              <w:autoSpaceDN w:val="0"/>
              <w:adjustRightInd w:val="0"/>
              <w:rPr>
                <w:b/>
                <w:bCs/>
                <w:sz w:val="22"/>
                <w:szCs w:val="22"/>
              </w:rPr>
            </w:pPr>
          </w:p>
        </w:tc>
      </w:tr>
      <w:tr w:rsidR="00173B43" w:rsidRPr="002C7B52" w14:paraId="545F1AAB" w14:textId="77777777" w:rsidTr="007F3EE1">
        <w:tc>
          <w:tcPr>
            <w:tcW w:w="2284" w:type="pct"/>
          </w:tcPr>
          <w:p w14:paraId="0A7B8205"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3F37A26E" w14:textId="77777777" w:rsidR="00173B43" w:rsidRPr="002C7B52" w:rsidRDefault="00173B43" w:rsidP="00B5584B">
            <w:pPr>
              <w:autoSpaceDE w:val="0"/>
              <w:autoSpaceDN w:val="0"/>
              <w:adjustRightInd w:val="0"/>
              <w:rPr>
                <w:sz w:val="22"/>
                <w:szCs w:val="22"/>
              </w:rPr>
            </w:pPr>
            <w:r w:rsidRPr="002C7B52">
              <w:rPr>
                <w:sz w:val="22"/>
                <w:szCs w:val="22"/>
              </w:rPr>
              <w:t>poruchy videnia, rozmazané videnie, diplopia</w:t>
            </w:r>
          </w:p>
        </w:tc>
      </w:tr>
      <w:tr w:rsidR="00173B43" w:rsidRPr="002C7B52" w14:paraId="3947F96D" w14:textId="77777777" w:rsidTr="007F3EE1">
        <w:tc>
          <w:tcPr>
            <w:tcW w:w="2284" w:type="pct"/>
          </w:tcPr>
          <w:p w14:paraId="5F8F019D" w14:textId="77777777" w:rsidR="00173B43" w:rsidRPr="002C7B52" w:rsidRDefault="00173B43" w:rsidP="00B5584B">
            <w:pPr>
              <w:autoSpaceDE w:val="0"/>
              <w:autoSpaceDN w:val="0"/>
              <w:adjustRightInd w:val="0"/>
              <w:rPr>
                <w:b/>
                <w:bCs/>
                <w:sz w:val="22"/>
                <w:szCs w:val="22"/>
              </w:rPr>
            </w:pPr>
            <w:r w:rsidRPr="002C7B52">
              <w:rPr>
                <w:b/>
                <w:bCs/>
                <w:sz w:val="22"/>
                <w:szCs w:val="22"/>
              </w:rPr>
              <w:t>Poruchy ucha a labyrintu</w:t>
            </w:r>
          </w:p>
        </w:tc>
        <w:tc>
          <w:tcPr>
            <w:tcW w:w="2716" w:type="pct"/>
          </w:tcPr>
          <w:p w14:paraId="0C3DC8AB" w14:textId="77777777" w:rsidR="00173B43" w:rsidRPr="002C7B52" w:rsidRDefault="00173B43">
            <w:pPr>
              <w:autoSpaceDE w:val="0"/>
              <w:autoSpaceDN w:val="0"/>
              <w:adjustRightInd w:val="0"/>
              <w:rPr>
                <w:b/>
                <w:bCs/>
                <w:sz w:val="22"/>
                <w:szCs w:val="22"/>
              </w:rPr>
            </w:pPr>
          </w:p>
        </w:tc>
      </w:tr>
      <w:tr w:rsidR="00173B43" w:rsidRPr="002C7B52" w14:paraId="692CA95C" w14:textId="77777777" w:rsidTr="007F3EE1">
        <w:tc>
          <w:tcPr>
            <w:tcW w:w="2284" w:type="pct"/>
          </w:tcPr>
          <w:p w14:paraId="19389202" w14:textId="77777777" w:rsidR="00173B43" w:rsidRPr="002C7B52" w:rsidRDefault="00173B43" w:rsidP="00B5584B">
            <w:pPr>
              <w:autoSpaceDE w:val="0"/>
              <w:autoSpaceDN w:val="0"/>
              <w:adjustRightInd w:val="0"/>
              <w:rPr>
                <w:sz w:val="22"/>
                <w:szCs w:val="22"/>
              </w:rPr>
            </w:pPr>
            <w:r w:rsidRPr="002C7B52">
              <w:rPr>
                <w:sz w:val="22"/>
                <w:szCs w:val="22"/>
              </w:rPr>
              <w:t>Časté</w:t>
            </w:r>
          </w:p>
          <w:p w14:paraId="2A460E2D"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5C9A97B5" w14:textId="77777777" w:rsidR="00173B43" w:rsidRPr="002C7B52" w:rsidRDefault="00173B43" w:rsidP="00B5584B">
            <w:pPr>
              <w:autoSpaceDE w:val="0"/>
              <w:autoSpaceDN w:val="0"/>
              <w:adjustRightInd w:val="0"/>
              <w:rPr>
                <w:sz w:val="22"/>
                <w:szCs w:val="22"/>
              </w:rPr>
            </w:pPr>
            <w:r w:rsidRPr="002C7B52">
              <w:rPr>
                <w:sz w:val="22"/>
                <w:szCs w:val="22"/>
              </w:rPr>
              <w:t>vertigo</w:t>
            </w:r>
          </w:p>
          <w:p w14:paraId="31BADFE9" w14:textId="77777777" w:rsidR="00173B43" w:rsidRPr="002C7B52" w:rsidRDefault="00173B43" w:rsidP="00B5584B">
            <w:pPr>
              <w:autoSpaceDE w:val="0"/>
              <w:autoSpaceDN w:val="0"/>
              <w:adjustRightInd w:val="0"/>
              <w:rPr>
                <w:sz w:val="22"/>
                <w:szCs w:val="22"/>
              </w:rPr>
            </w:pPr>
            <w:r w:rsidRPr="002C7B52">
              <w:rPr>
                <w:sz w:val="22"/>
                <w:szCs w:val="22"/>
              </w:rPr>
              <w:t>tinnitus, porucha sluchu</w:t>
            </w:r>
          </w:p>
        </w:tc>
      </w:tr>
      <w:tr w:rsidR="00173B43" w:rsidRPr="002C7B52" w14:paraId="6D440F95" w14:textId="77777777" w:rsidTr="007F3EE1">
        <w:tc>
          <w:tcPr>
            <w:tcW w:w="2284" w:type="pct"/>
          </w:tcPr>
          <w:p w14:paraId="716A25B4" w14:textId="77777777" w:rsidR="00173B43" w:rsidRPr="002C7B52" w:rsidRDefault="00173B43" w:rsidP="00B5584B">
            <w:pPr>
              <w:autoSpaceDE w:val="0"/>
              <w:autoSpaceDN w:val="0"/>
              <w:adjustRightInd w:val="0"/>
              <w:rPr>
                <w:b/>
                <w:bCs/>
                <w:sz w:val="22"/>
                <w:szCs w:val="22"/>
              </w:rPr>
            </w:pPr>
            <w:r w:rsidRPr="002C7B52">
              <w:rPr>
                <w:b/>
                <w:bCs/>
                <w:sz w:val="22"/>
                <w:szCs w:val="22"/>
              </w:rPr>
              <w:t>Poruchy srdca a srdcovej činnosti</w:t>
            </w:r>
          </w:p>
        </w:tc>
        <w:tc>
          <w:tcPr>
            <w:tcW w:w="2716" w:type="pct"/>
          </w:tcPr>
          <w:p w14:paraId="10357131" w14:textId="77777777" w:rsidR="00173B43" w:rsidRPr="002C7B52" w:rsidRDefault="00173B43">
            <w:pPr>
              <w:autoSpaceDE w:val="0"/>
              <w:autoSpaceDN w:val="0"/>
              <w:adjustRightInd w:val="0"/>
              <w:rPr>
                <w:b/>
                <w:bCs/>
                <w:sz w:val="22"/>
                <w:szCs w:val="22"/>
              </w:rPr>
            </w:pPr>
          </w:p>
        </w:tc>
      </w:tr>
      <w:tr w:rsidR="00173B43" w:rsidRPr="002C7B52" w14:paraId="036F9536" w14:textId="77777777" w:rsidTr="007F3EE1">
        <w:tc>
          <w:tcPr>
            <w:tcW w:w="2284" w:type="pct"/>
          </w:tcPr>
          <w:p w14:paraId="6716BC77"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6E490C73" w14:textId="77777777" w:rsidR="00173B43" w:rsidRPr="002C7B52" w:rsidRDefault="00173B43" w:rsidP="00B5584B">
            <w:pPr>
              <w:autoSpaceDE w:val="0"/>
              <w:autoSpaceDN w:val="0"/>
              <w:adjustRightInd w:val="0"/>
              <w:rPr>
                <w:sz w:val="22"/>
                <w:szCs w:val="22"/>
              </w:rPr>
            </w:pPr>
            <w:r w:rsidRPr="002C7B52">
              <w:rPr>
                <w:sz w:val="22"/>
                <w:szCs w:val="22"/>
              </w:rPr>
              <w:t>palpitácie, bolesť na hrudi, zlyhanie srdca, infarkt myokardu</w:t>
            </w:r>
          </w:p>
        </w:tc>
      </w:tr>
      <w:tr w:rsidR="00173B43" w:rsidRPr="002C7B52" w14:paraId="007D87C9" w14:textId="77777777" w:rsidTr="007F3EE1">
        <w:tc>
          <w:tcPr>
            <w:tcW w:w="2284" w:type="pct"/>
          </w:tcPr>
          <w:p w14:paraId="6ABBEECA" w14:textId="77777777" w:rsidR="00173B43" w:rsidRPr="002C7B52" w:rsidRDefault="00173B43" w:rsidP="00B5584B">
            <w:pPr>
              <w:keepNext/>
              <w:keepLines/>
              <w:autoSpaceDE w:val="0"/>
              <w:autoSpaceDN w:val="0"/>
              <w:adjustRightInd w:val="0"/>
              <w:rPr>
                <w:b/>
                <w:bCs/>
                <w:sz w:val="22"/>
                <w:szCs w:val="22"/>
              </w:rPr>
            </w:pPr>
            <w:r w:rsidRPr="002C7B52">
              <w:rPr>
                <w:b/>
                <w:bCs/>
                <w:sz w:val="22"/>
                <w:szCs w:val="22"/>
              </w:rPr>
              <w:t>Poruchy ciev</w:t>
            </w:r>
          </w:p>
        </w:tc>
        <w:tc>
          <w:tcPr>
            <w:tcW w:w="2716" w:type="pct"/>
          </w:tcPr>
          <w:p w14:paraId="46C4A1BC" w14:textId="77777777" w:rsidR="00173B43" w:rsidRPr="002C7B52" w:rsidRDefault="00173B43">
            <w:pPr>
              <w:keepNext/>
              <w:keepLines/>
              <w:autoSpaceDE w:val="0"/>
              <w:autoSpaceDN w:val="0"/>
              <w:adjustRightInd w:val="0"/>
              <w:rPr>
                <w:b/>
                <w:bCs/>
                <w:sz w:val="22"/>
                <w:szCs w:val="22"/>
              </w:rPr>
            </w:pPr>
          </w:p>
        </w:tc>
      </w:tr>
      <w:tr w:rsidR="00173B43" w:rsidRPr="002C7B52" w14:paraId="6121281A" w14:textId="77777777" w:rsidTr="007F3EE1">
        <w:tc>
          <w:tcPr>
            <w:tcW w:w="2284" w:type="pct"/>
          </w:tcPr>
          <w:p w14:paraId="6ACEDF5E"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1D5BFF94" w14:textId="77777777" w:rsidR="00173B43" w:rsidRPr="002C7B52" w:rsidRDefault="00173B43" w:rsidP="00B5584B">
            <w:pPr>
              <w:autoSpaceDE w:val="0"/>
              <w:autoSpaceDN w:val="0"/>
              <w:adjustRightInd w:val="0"/>
              <w:rPr>
                <w:sz w:val="22"/>
                <w:szCs w:val="22"/>
              </w:rPr>
            </w:pPr>
            <w:r w:rsidRPr="002C7B52">
              <w:rPr>
                <w:sz w:val="22"/>
                <w:szCs w:val="22"/>
              </w:rPr>
              <w:t>hypertenzia, vaskulitída</w:t>
            </w:r>
          </w:p>
          <w:p w14:paraId="6D689B77" w14:textId="77777777" w:rsidR="00173B43" w:rsidRPr="002C7B52" w:rsidRDefault="00173B43">
            <w:pPr>
              <w:autoSpaceDE w:val="0"/>
              <w:autoSpaceDN w:val="0"/>
              <w:adjustRightInd w:val="0"/>
              <w:rPr>
                <w:sz w:val="22"/>
                <w:szCs w:val="22"/>
              </w:rPr>
            </w:pPr>
          </w:p>
        </w:tc>
      </w:tr>
      <w:tr w:rsidR="00173B43" w:rsidRPr="002C7B52" w14:paraId="7D6203B3" w14:textId="77777777" w:rsidTr="007F3EE1">
        <w:tc>
          <w:tcPr>
            <w:tcW w:w="2284" w:type="pct"/>
          </w:tcPr>
          <w:p w14:paraId="500C61A9" w14:textId="77777777" w:rsidR="00173B43" w:rsidRPr="002C7B52" w:rsidRDefault="00173B43" w:rsidP="00B5584B">
            <w:pPr>
              <w:autoSpaceDE w:val="0"/>
              <w:autoSpaceDN w:val="0"/>
              <w:adjustRightInd w:val="0"/>
              <w:rPr>
                <w:b/>
                <w:bCs/>
                <w:sz w:val="22"/>
                <w:szCs w:val="22"/>
              </w:rPr>
            </w:pPr>
            <w:r w:rsidRPr="002C7B52">
              <w:rPr>
                <w:b/>
                <w:bCs/>
                <w:sz w:val="22"/>
                <w:szCs w:val="22"/>
              </w:rPr>
              <w:t>Poruchy dýchacej sústavy, hrudníka a mediastína</w:t>
            </w:r>
          </w:p>
        </w:tc>
        <w:tc>
          <w:tcPr>
            <w:tcW w:w="2716" w:type="pct"/>
          </w:tcPr>
          <w:p w14:paraId="060B5FAC" w14:textId="77777777" w:rsidR="00173B43" w:rsidRPr="002C7B52" w:rsidRDefault="00173B43">
            <w:pPr>
              <w:autoSpaceDE w:val="0"/>
              <w:autoSpaceDN w:val="0"/>
              <w:adjustRightInd w:val="0"/>
              <w:rPr>
                <w:b/>
                <w:bCs/>
                <w:sz w:val="22"/>
                <w:szCs w:val="22"/>
              </w:rPr>
            </w:pPr>
          </w:p>
        </w:tc>
      </w:tr>
      <w:tr w:rsidR="00173B43" w:rsidRPr="002C7B52" w14:paraId="40051211" w14:textId="77777777" w:rsidTr="007F3EE1">
        <w:tc>
          <w:tcPr>
            <w:tcW w:w="2284" w:type="pct"/>
          </w:tcPr>
          <w:p w14:paraId="3434EF67" w14:textId="77777777" w:rsidR="00173B43" w:rsidRPr="002C7B52" w:rsidRDefault="00173B43" w:rsidP="00B5584B">
            <w:pPr>
              <w:autoSpaceDE w:val="0"/>
              <w:autoSpaceDN w:val="0"/>
              <w:adjustRightInd w:val="0"/>
              <w:rPr>
                <w:sz w:val="22"/>
                <w:szCs w:val="22"/>
              </w:rPr>
            </w:pPr>
            <w:r w:rsidRPr="002C7B52">
              <w:rPr>
                <w:sz w:val="22"/>
                <w:szCs w:val="22"/>
              </w:rPr>
              <w:t>Zriedkavé</w:t>
            </w:r>
          </w:p>
          <w:p w14:paraId="6DD1022E"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064D8EA8" w14:textId="77777777" w:rsidR="00173B43" w:rsidRPr="002C7B52" w:rsidRDefault="00173B43" w:rsidP="00B5584B">
            <w:pPr>
              <w:autoSpaceDE w:val="0"/>
              <w:autoSpaceDN w:val="0"/>
              <w:adjustRightInd w:val="0"/>
              <w:rPr>
                <w:sz w:val="22"/>
                <w:szCs w:val="22"/>
              </w:rPr>
            </w:pPr>
            <w:r w:rsidRPr="002C7B52">
              <w:rPr>
                <w:sz w:val="22"/>
                <w:szCs w:val="22"/>
              </w:rPr>
              <w:t>astma (vrátane dyspnoe)</w:t>
            </w:r>
          </w:p>
          <w:p w14:paraId="686684E4" w14:textId="77777777" w:rsidR="00173B43" w:rsidRPr="002C7B52" w:rsidRDefault="00173B43" w:rsidP="00B5584B">
            <w:pPr>
              <w:autoSpaceDE w:val="0"/>
              <w:autoSpaceDN w:val="0"/>
              <w:adjustRightInd w:val="0"/>
              <w:rPr>
                <w:sz w:val="22"/>
                <w:szCs w:val="22"/>
              </w:rPr>
            </w:pPr>
            <w:r w:rsidRPr="002C7B52">
              <w:rPr>
                <w:sz w:val="22"/>
                <w:szCs w:val="22"/>
              </w:rPr>
              <w:t>pneumonitída</w:t>
            </w:r>
          </w:p>
        </w:tc>
      </w:tr>
      <w:tr w:rsidR="00173B43" w:rsidRPr="002C7B52" w14:paraId="4F8AE3AD" w14:textId="77777777" w:rsidTr="007F3EE1">
        <w:tc>
          <w:tcPr>
            <w:tcW w:w="2284" w:type="pct"/>
          </w:tcPr>
          <w:p w14:paraId="1D92FDF4" w14:textId="77777777" w:rsidR="00173B43" w:rsidRPr="002C7B52" w:rsidRDefault="00173B43" w:rsidP="00B5584B">
            <w:pPr>
              <w:autoSpaceDE w:val="0"/>
              <w:autoSpaceDN w:val="0"/>
              <w:adjustRightInd w:val="0"/>
              <w:rPr>
                <w:b/>
                <w:bCs/>
                <w:sz w:val="22"/>
                <w:szCs w:val="22"/>
              </w:rPr>
            </w:pPr>
            <w:r w:rsidRPr="002C7B52">
              <w:rPr>
                <w:b/>
                <w:bCs/>
                <w:sz w:val="22"/>
                <w:szCs w:val="22"/>
              </w:rPr>
              <w:t>Poruchy gastrointestinálneho traktu</w:t>
            </w:r>
          </w:p>
        </w:tc>
        <w:tc>
          <w:tcPr>
            <w:tcW w:w="2716" w:type="pct"/>
          </w:tcPr>
          <w:p w14:paraId="2B254312" w14:textId="77777777" w:rsidR="00173B43" w:rsidRPr="002C7B52" w:rsidRDefault="00173B43">
            <w:pPr>
              <w:autoSpaceDE w:val="0"/>
              <w:autoSpaceDN w:val="0"/>
              <w:adjustRightInd w:val="0"/>
              <w:rPr>
                <w:b/>
                <w:bCs/>
                <w:sz w:val="22"/>
                <w:szCs w:val="22"/>
              </w:rPr>
            </w:pPr>
          </w:p>
        </w:tc>
      </w:tr>
      <w:tr w:rsidR="00173B43" w:rsidRPr="002C7B52" w14:paraId="28CE316F" w14:textId="77777777" w:rsidTr="007F3EE1">
        <w:tc>
          <w:tcPr>
            <w:tcW w:w="2284" w:type="pct"/>
          </w:tcPr>
          <w:p w14:paraId="1E4D5165" w14:textId="77777777" w:rsidR="00173B43" w:rsidRPr="002C7B52" w:rsidRDefault="00173B43" w:rsidP="00B5584B">
            <w:pPr>
              <w:autoSpaceDE w:val="0"/>
              <w:autoSpaceDN w:val="0"/>
              <w:adjustRightInd w:val="0"/>
              <w:rPr>
                <w:sz w:val="22"/>
                <w:szCs w:val="22"/>
              </w:rPr>
            </w:pPr>
            <w:r w:rsidRPr="002C7B52">
              <w:rPr>
                <w:sz w:val="22"/>
                <w:szCs w:val="22"/>
              </w:rPr>
              <w:t>Časté</w:t>
            </w:r>
            <w:r w:rsidRPr="002C7B52">
              <w:rPr>
                <w:sz w:val="22"/>
                <w:szCs w:val="22"/>
              </w:rPr>
              <w:br/>
            </w:r>
          </w:p>
          <w:p w14:paraId="17385899" w14:textId="77777777" w:rsidR="00173B43" w:rsidRPr="002C7B52" w:rsidRDefault="00173B43">
            <w:pPr>
              <w:autoSpaceDE w:val="0"/>
              <w:autoSpaceDN w:val="0"/>
              <w:adjustRightInd w:val="0"/>
              <w:rPr>
                <w:sz w:val="22"/>
                <w:szCs w:val="22"/>
              </w:rPr>
            </w:pPr>
          </w:p>
          <w:p w14:paraId="67ABB54E" w14:textId="77777777" w:rsidR="00173B43" w:rsidRPr="002C7B52" w:rsidRDefault="00173B43" w:rsidP="00B5584B">
            <w:pPr>
              <w:autoSpaceDE w:val="0"/>
              <w:autoSpaceDN w:val="0"/>
              <w:adjustRightInd w:val="0"/>
              <w:rPr>
                <w:sz w:val="22"/>
                <w:szCs w:val="22"/>
              </w:rPr>
            </w:pPr>
            <w:r w:rsidRPr="002C7B52">
              <w:rPr>
                <w:sz w:val="22"/>
                <w:szCs w:val="22"/>
              </w:rPr>
              <w:t>Zriedkavé</w:t>
            </w:r>
            <w:r w:rsidRPr="002C7B52">
              <w:rPr>
                <w:sz w:val="22"/>
                <w:szCs w:val="22"/>
              </w:rPr>
              <w:br/>
            </w:r>
            <w:r w:rsidRPr="002C7B52">
              <w:rPr>
                <w:sz w:val="22"/>
                <w:szCs w:val="22"/>
              </w:rPr>
              <w:br/>
            </w:r>
          </w:p>
          <w:p w14:paraId="4157555E" w14:textId="77777777" w:rsidR="00173B43" w:rsidRPr="002C7B52" w:rsidRDefault="00173B43">
            <w:pPr>
              <w:autoSpaceDE w:val="0"/>
              <w:autoSpaceDN w:val="0"/>
              <w:adjustRightInd w:val="0"/>
              <w:rPr>
                <w:sz w:val="22"/>
                <w:szCs w:val="22"/>
              </w:rPr>
            </w:pPr>
          </w:p>
          <w:p w14:paraId="4E72BD6E" w14:textId="77777777" w:rsidR="00173B43" w:rsidRPr="002C7B52" w:rsidRDefault="00173B43" w:rsidP="00B5584B">
            <w:pPr>
              <w:autoSpaceDE w:val="0"/>
              <w:autoSpaceDN w:val="0"/>
              <w:adjustRightInd w:val="0"/>
              <w:rPr>
                <w:sz w:val="22"/>
                <w:szCs w:val="22"/>
              </w:rPr>
            </w:pPr>
            <w:r w:rsidRPr="002C7B52">
              <w:rPr>
                <w:sz w:val="22"/>
                <w:szCs w:val="22"/>
              </w:rPr>
              <w:t>Veľmi zriedkavé</w:t>
            </w:r>
          </w:p>
          <w:p w14:paraId="22DA0D57" w14:textId="77777777" w:rsidR="00173B43" w:rsidRPr="002C7B52" w:rsidRDefault="00173B43">
            <w:pPr>
              <w:autoSpaceDE w:val="0"/>
              <w:autoSpaceDN w:val="0"/>
              <w:adjustRightInd w:val="0"/>
              <w:rPr>
                <w:sz w:val="22"/>
                <w:szCs w:val="22"/>
              </w:rPr>
            </w:pPr>
          </w:p>
          <w:p w14:paraId="223E770F" w14:textId="77777777" w:rsidR="00173B43" w:rsidRPr="002C7B52" w:rsidRDefault="00173B43">
            <w:pPr>
              <w:autoSpaceDE w:val="0"/>
              <w:autoSpaceDN w:val="0"/>
              <w:adjustRightInd w:val="0"/>
              <w:rPr>
                <w:sz w:val="22"/>
                <w:szCs w:val="22"/>
              </w:rPr>
            </w:pPr>
          </w:p>
          <w:p w14:paraId="516A339E" w14:textId="77777777" w:rsidR="00173B43" w:rsidRPr="002C7B52" w:rsidRDefault="00173B43">
            <w:pPr>
              <w:autoSpaceDE w:val="0"/>
              <w:autoSpaceDN w:val="0"/>
              <w:adjustRightInd w:val="0"/>
              <w:rPr>
                <w:sz w:val="22"/>
                <w:szCs w:val="22"/>
              </w:rPr>
            </w:pPr>
          </w:p>
          <w:p w14:paraId="724B24F0" w14:textId="77777777" w:rsidR="00173B43" w:rsidRPr="002C7B52" w:rsidRDefault="00173B43">
            <w:pPr>
              <w:autoSpaceDE w:val="0"/>
              <w:autoSpaceDN w:val="0"/>
              <w:adjustRightInd w:val="0"/>
              <w:rPr>
                <w:sz w:val="22"/>
                <w:szCs w:val="22"/>
              </w:rPr>
            </w:pPr>
          </w:p>
          <w:p w14:paraId="47D504A5" w14:textId="77777777" w:rsidR="00173B43" w:rsidRPr="002C7B52" w:rsidRDefault="00173B43" w:rsidP="00B5584B">
            <w:pPr>
              <w:autoSpaceDE w:val="0"/>
              <w:autoSpaceDN w:val="0"/>
              <w:adjustRightInd w:val="0"/>
              <w:rPr>
                <w:b/>
                <w:bCs/>
                <w:sz w:val="22"/>
                <w:szCs w:val="22"/>
              </w:rPr>
            </w:pPr>
            <w:r w:rsidRPr="002C7B52">
              <w:rPr>
                <w:sz w:val="22"/>
                <w:szCs w:val="22"/>
              </w:rPr>
              <w:t>Neznáme</w:t>
            </w:r>
          </w:p>
        </w:tc>
        <w:tc>
          <w:tcPr>
            <w:tcW w:w="2716" w:type="pct"/>
          </w:tcPr>
          <w:p w14:paraId="522018B7" w14:textId="77777777" w:rsidR="00173B43" w:rsidRPr="002C7B52" w:rsidRDefault="00173B43" w:rsidP="00B5584B">
            <w:pPr>
              <w:autoSpaceDE w:val="0"/>
              <w:autoSpaceDN w:val="0"/>
              <w:adjustRightInd w:val="0"/>
              <w:rPr>
                <w:sz w:val="22"/>
                <w:szCs w:val="22"/>
              </w:rPr>
            </w:pPr>
            <w:r w:rsidRPr="002C7B52">
              <w:rPr>
                <w:sz w:val="22"/>
                <w:szCs w:val="22"/>
              </w:rPr>
              <w:t>nauzea, vracanie, hnačka, dyspepsia, bolesť brucha, flatulencia, anorexia</w:t>
            </w:r>
          </w:p>
          <w:p w14:paraId="3460F81A" w14:textId="77777777" w:rsidR="00173B43" w:rsidRPr="002C7B52" w:rsidRDefault="00173B43">
            <w:pPr>
              <w:autoSpaceDE w:val="0"/>
              <w:autoSpaceDN w:val="0"/>
              <w:adjustRightInd w:val="0"/>
              <w:rPr>
                <w:sz w:val="22"/>
                <w:szCs w:val="22"/>
              </w:rPr>
            </w:pPr>
          </w:p>
          <w:p w14:paraId="071ACC33" w14:textId="77777777" w:rsidR="00173B43" w:rsidRPr="002C7B52" w:rsidRDefault="00173B43" w:rsidP="00B5584B">
            <w:pPr>
              <w:autoSpaceDE w:val="0"/>
              <w:autoSpaceDN w:val="0"/>
              <w:adjustRightInd w:val="0"/>
              <w:rPr>
                <w:sz w:val="22"/>
                <w:szCs w:val="22"/>
              </w:rPr>
            </w:pPr>
            <w:r w:rsidRPr="002C7B52">
              <w:rPr>
                <w:sz w:val="22"/>
                <w:szCs w:val="22"/>
              </w:rPr>
              <w:t>gastritída, gastrointestinálna hemorágia, hemateméza, hemoragická hnačka, meléna, gastrointestinálny vred (s</w:t>
            </w:r>
            <w:r w:rsidR="00BE426B" w:rsidRPr="002C7B52">
              <w:rPr>
                <w:sz w:val="22"/>
                <w:szCs w:val="22"/>
              </w:rPr>
              <w:t> </w:t>
            </w:r>
            <w:r w:rsidRPr="002C7B52">
              <w:rPr>
                <w:sz w:val="22"/>
                <w:szCs w:val="22"/>
              </w:rPr>
              <w:t>krvácaním alebo perforáciou alebo bez nich)</w:t>
            </w:r>
          </w:p>
          <w:p w14:paraId="2A187055" w14:textId="77777777" w:rsidR="00173B43" w:rsidRPr="002C7B52" w:rsidRDefault="00173B43">
            <w:pPr>
              <w:autoSpaceDE w:val="0"/>
              <w:autoSpaceDN w:val="0"/>
              <w:adjustRightInd w:val="0"/>
              <w:rPr>
                <w:sz w:val="22"/>
                <w:szCs w:val="22"/>
              </w:rPr>
            </w:pPr>
          </w:p>
          <w:p w14:paraId="069A4260" w14:textId="77777777" w:rsidR="00173B43" w:rsidRPr="002C7B52" w:rsidRDefault="00173B43" w:rsidP="00B5584B">
            <w:pPr>
              <w:autoSpaceDE w:val="0"/>
              <w:autoSpaceDN w:val="0"/>
              <w:adjustRightInd w:val="0"/>
              <w:rPr>
                <w:sz w:val="22"/>
                <w:szCs w:val="22"/>
              </w:rPr>
            </w:pPr>
            <w:r w:rsidRPr="002C7B52">
              <w:rPr>
                <w:sz w:val="22"/>
                <w:szCs w:val="22"/>
              </w:rPr>
              <w:t>kolitída (vrátane hemoragickej kolitídy a</w:t>
            </w:r>
            <w:r w:rsidR="00BE426B" w:rsidRPr="002C7B52">
              <w:rPr>
                <w:sz w:val="22"/>
                <w:szCs w:val="22"/>
              </w:rPr>
              <w:t> </w:t>
            </w:r>
            <w:r w:rsidRPr="002C7B52">
              <w:rPr>
                <w:sz w:val="22"/>
                <w:szCs w:val="22"/>
              </w:rPr>
              <w:t>exacerbácie ulceratívnej kolitídy alebo Crohnovej choroby), konstipácia, stomatitída (vrátane ulceratívnej stomatitídy), glositída, ezofageálna porucha, priečne striktúry čreva, pankreatitída</w:t>
            </w:r>
          </w:p>
          <w:p w14:paraId="66F11A04" w14:textId="77777777" w:rsidR="00173B43" w:rsidRPr="002C7B52" w:rsidRDefault="00173B43">
            <w:pPr>
              <w:autoSpaceDE w:val="0"/>
              <w:autoSpaceDN w:val="0"/>
              <w:adjustRightInd w:val="0"/>
              <w:rPr>
                <w:sz w:val="22"/>
                <w:szCs w:val="22"/>
              </w:rPr>
            </w:pPr>
          </w:p>
          <w:p w14:paraId="4A7FEDAF" w14:textId="77777777" w:rsidR="00173B43" w:rsidRPr="002C7B52" w:rsidRDefault="00173B43" w:rsidP="00B5584B">
            <w:pPr>
              <w:autoSpaceDE w:val="0"/>
              <w:autoSpaceDN w:val="0"/>
              <w:adjustRightInd w:val="0"/>
              <w:rPr>
                <w:b/>
                <w:bCs/>
                <w:sz w:val="22"/>
                <w:szCs w:val="22"/>
              </w:rPr>
            </w:pPr>
            <w:r w:rsidRPr="002C7B52">
              <w:rPr>
                <w:sz w:val="22"/>
                <w:szCs w:val="22"/>
              </w:rPr>
              <w:t>ischemická kolitída</w:t>
            </w:r>
          </w:p>
        </w:tc>
      </w:tr>
      <w:tr w:rsidR="00173B43" w:rsidRPr="002C7B52" w14:paraId="253DE742" w14:textId="77777777" w:rsidTr="007F3EE1">
        <w:tc>
          <w:tcPr>
            <w:tcW w:w="2284" w:type="pct"/>
          </w:tcPr>
          <w:p w14:paraId="094B4785" w14:textId="77777777" w:rsidR="00173B43" w:rsidRPr="002C7B52" w:rsidRDefault="00173B43" w:rsidP="00B5584B">
            <w:pPr>
              <w:autoSpaceDE w:val="0"/>
              <w:autoSpaceDN w:val="0"/>
              <w:adjustRightInd w:val="0"/>
              <w:rPr>
                <w:b/>
                <w:bCs/>
                <w:sz w:val="22"/>
                <w:szCs w:val="22"/>
              </w:rPr>
            </w:pPr>
            <w:r w:rsidRPr="002C7B52">
              <w:rPr>
                <w:b/>
                <w:bCs/>
                <w:sz w:val="22"/>
                <w:szCs w:val="22"/>
              </w:rPr>
              <w:t>Poruchy pečene a žlčových ciest</w:t>
            </w:r>
          </w:p>
        </w:tc>
        <w:tc>
          <w:tcPr>
            <w:tcW w:w="2716" w:type="pct"/>
          </w:tcPr>
          <w:p w14:paraId="280364C7" w14:textId="77777777" w:rsidR="00173B43" w:rsidRPr="002C7B52" w:rsidRDefault="00173B43">
            <w:pPr>
              <w:autoSpaceDE w:val="0"/>
              <w:autoSpaceDN w:val="0"/>
              <w:adjustRightInd w:val="0"/>
              <w:rPr>
                <w:b/>
                <w:bCs/>
                <w:sz w:val="22"/>
                <w:szCs w:val="22"/>
              </w:rPr>
            </w:pPr>
          </w:p>
        </w:tc>
      </w:tr>
      <w:tr w:rsidR="00173B43" w:rsidRPr="002C7B52" w14:paraId="2302D59E" w14:textId="77777777" w:rsidTr="007F3EE1">
        <w:tc>
          <w:tcPr>
            <w:tcW w:w="2284" w:type="pct"/>
          </w:tcPr>
          <w:p w14:paraId="52DD94F5" w14:textId="77777777" w:rsidR="00173B43" w:rsidRPr="002C7B52" w:rsidRDefault="00173B43" w:rsidP="00B5584B">
            <w:pPr>
              <w:autoSpaceDE w:val="0"/>
              <w:autoSpaceDN w:val="0"/>
              <w:adjustRightInd w:val="0"/>
              <w:rPr>
                <w:sz w:val="22"/>
                <w:szCs w:val="22"/>
              </w:rPr>
            </w:pPr>
            <w:r w:rsidRPr="002C7B52">
              <w:rPr>
                <w:sz w:val="22"/>
                <w:szCs w:val="22"/>
              </w:rPr>
              <w:t>Menej časté</w:t>
            </w:r>
          </w:p>
          <w:p w14:paraId="19A86DDF" w14:textId="77777777" w:rsidR="00173B43" w:rsidRPr="002C7B52" w:rsidRDefault="00173B43" w:rsidP="00B5584B">
            <w:pPr>
              <w:autoSpaceDE w:val="0"/>
              <w:autoSpaceDN w:val="0"/>
              <w:adjustRightInd w:val="0"/>
              <w:rPr>
                <w:sz w:val="22"/>
                <w:szCs w:val="22"/>
              </w:rPr>
            </w:pPr>
            <w:r w:rsidRPr="002C7B52">
              <w:rPr>
                <w:sz w:val="22"/>
                <w:szCs w:val="22"/>
              </w:rPr>
              <w:t>Zriedkavé</w:t>
            </w:r>
          </w:p>
          <w:p w14:paraId="6D8BC8F1"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26A8C9F3" w14:textId="77777777" w:rsidR="00173B43" w:rsidRPr="002C7B52" w:rsidRDefault="00173B43" w:rsidP="00B5584B">
            <w:pPr>
              <w:autoSpaceDE w:val="0"/>
              <w:autoSpaceDN w:val="0"/>
              <w:adjustRightInd w:val="0"/>
              <w:rPr>
                <w:sz w:val="22"/>
                <w:szCs w:val="22"/>
              </w:rPr>
            </w:pPr>
            <w:r w:rsidRPr="002C7B52">
              <w:rPr>
                <w:sz w:val="22"/>
                <w:szCs w:val="22"/>
              </w:rPr>
              <w:t>zvýšenie transamináz</w:t>
            </w:r>
          </w:p>
          <w:p w14:paraId="3458479E" w14:textId="77777777" w:rsidR="00173B43" w:rsidRPr="002C7B52" w:rsidRDefault="00173B43" w:rsidP="00B5584B">
            <w:pPr>
              <w:autoSpaceDE w:val="0"/>
              <w:autoSpaceDN w:val="0"/>
              <w:adjustRightInd w:val="0"/>
              <w:rPr>
                <w:sz w:val="22"/>
                <w:szCs w:val="22"/>
              </w:rPr>
            </w:pPr>
            <w:r w:rsidRPr="002C7B52">
              <w:rPr>
                <w:sz w:val="22"/>
                <w:szCs w:val="22"/>
              </w:rPr>
              <w:t xml:space="preserve">hepatitída, žltačka </w:t>
            </w:r>
          </w:p>
          <w:p w14:paraId="39C05828" w14:textId="77777777" w:rsidR="00173B43" w:rsidRPr="002C7B52" w:rsidRDefault="00173B43" w:rsidP="00B5584B">
            <w:pPr>
              <w:autoSpaceDE w:val="0"/>
              <w:autoSpaceDN w:val="0"/>
              <w:adjustRightInd w:val="0"/>
              <w:rPr>
                <w:sz w:val="22"/>
                <w:szCs w:val="22"/>
              </w:rPr>
            </w:pPr>
            <w:r w:rsidRPr="002C7B52">
              <w:rPr>
                <w:sz w:val="22"/>
                <w:szCs w:val="22"/>
              </w:rPr>
              <w:t>zlyhanie pečene</w:t>
            </w:r>
          </w:p>
        </w:tc>
      </w:tr>
      <w:tr w:rsidR="00173B43" w:rsidRPr="002C7B52" w14:paraId="513073A6" w14:textId="77777777" w:rsidTr="007F3EE1">
        <w:tc>
          <w:tcPr>
            <w:tcW w:w="2284" w:type="pct"/>
          </w:tcPr>
          <w:p w14:paraId="3EC9D522" w14:textId="77777777" w:rsidR="00173B43" w:rsidRPr="002C7B52" w:rsidRDefault="00173B43" w:rsidP="00B5584B">
            <w:pPr>
              <w:autoSpaceDE w:val="0"/>
              <w:autoSpaceDN w:val="0"/>
              <w:adjustRightInd w:val="0"/>
              <w:rPr>
                <w:b/>
                <w:bCs/>
                <w:sz w:val="22"/>
                <w:szCs w:val="22"/>
              </w:rPr>
            </w:pPr>
            <w:r w:rsidRPr="002C7B52">
              <w:rPr>
                <w:b/>
                <w:bCs/>
                <w:sz w:val="22"/>
                <w:szCs w:val="22"/>
              </w:rPr>
              <w:t>Poruchy kože a podkožného tkaniva</w:t>
            </w:r>
          </w:p>
        </w:tc>
        <w:tc>
          <w:tcPr>
            <w:tcW w:w="2716" w:type="pct"/>
          </w:tcPr>
          <w:p w14:paraId="60023ECF" w14:textId="77777777" w:rsidR="00173B43" w:rsidRPr="002C7B52" w:rsidRDefault="00173B43">
            <w:pPr>
              <w:autoSpaceDE w:val="0"/>
              <w:autoSpaceDN w:val="0"/>
              <w:adjustRightInd w:val="0"/>
              <w:rPr>
                <w:b/>
                <w:bCs/>
                <w:sz w:val="22"/>
                <w:szCs w:val="22"/>
              </w:rPr>
            </w:pPr>
          </w:p>
        </w:tc>
      </w:tr>
      <w:tr w:rsidR="00173B43" w:rsidRPr="002C7B52" w14:paraId="1A94192A" w14:textId="77777777" w:rsidTr="007F3EE1">
        <w:tc>
          <w:tcPr>
            <w:tcW w:w="2284" w:type="pct"/>
          </w:tcPr>
          <w:p w14:paraId="4AD18916" w14:textId="77777777" w:rsidR="00173B43" w:rsidRPr="002C7B52" w:rsidRDefault="00173B43" w:rsidP="00B5584B">
            <w:pPr>
              <w:autoSpaceDE w:val="0"/>
              <w:autoSpaceDN w:val="0"/>
              <w:adjustRightInd w:val="0"/>
              <w:rPr>
                <w:sz w:val="22"/>
                <w:szCs w:val="22"/>
              </w:rPr>
            </w:pPr>
            <w:r w:rsidRPr="002C7B52">
              <w:rPr>
                <w:sz w:val="22"/>
                <w:szCs w:val="22"/>
              </w:rPr>
              <w:t>Časté</w:t>
            </w:r>
          </w:p>
          <w:p w14:paraId="6384EC67" w14:textId="77777777" w:rsidR="00173B43" w:rsidRPr="002C7B52" w:rsidRDefault="00173B43" w:rsidP="00B5584B">
            <w:pPr>
              <w:autoSpaceDE w:val="0"/>
              <w:autoSpaceDN w:val="0"/>
              <w:adjustRightInd w:val="0"/>
              <w:rPr>
                <w:sz w:val="22"/>
                <w:szCs w:val="22"/>
              </w:rPr>
            </w:pPr>
            <w:r w:rsidRPr="002C7B52">
              <w:rPr>
                <w:sz w:val="22"/>
                <w:szCs w:val="22"/>
              </w:rPr>
              <w:t>Zriedkavé</w:t>
            </w:r>
          </w:p>
          <w:p w14:paraId="7D6E1C55"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0441DED2" w14:textId="77777777" w:rsidR="00173B43" w:rsidRPr="002C7B52" w:rsidRDefault="00173B43" w:rsidP="00B5584B">
            <w:pPr>
              <w:autoSpaceDE w:val="0"/>
              <w:autoSpaceDN w:val="0"/>
              <w:adjustRightInd w:val="0"/>
              <w:rPr>
                <w:sz w:val="22"/>
                <w:szCs w:val="22"/>
              </w:rPr>
            </w:pPr>
            <w:r w:rsidRPr="002C7B52">
              <w:rPr>
                <w:sz w:val="22"/>
                <w:szCs w:val="22"/>
              </w:rPr>
              <w:t>exantém, pruritus</w:t>
            </w:r>
          </w:p>
          <w:p w14:paraId="6E0DCE2A" w14:textId="77777777" w:rsidR="00173B43" w:rsidRPr="002C7B52" w:rsidRDefault="00173B43" w:rsidP="00B5584B">
            <w:pPr>
              <w:autoSpaceDE w:val="0"/>
              <w:autoSpaceDN w:val="0"/>
              <w:adjustRightInd w:val="0"/>
              <w:rPr>
                <w:sz w:val="22"/>
                <w:szCs w:val="22"/>
              </w:rPr>
            </w:pPr>
            <w:r w:rsidRPr="002C7B52">
              <w:rPr>
                <w:sz w:val="22"/>
                <w:szCs w:val="22"/>
              </w:rPr>
              <w:t>urtikária</w:t>
            </w:r>
          </w:p>
          <w:p w14:paraId="22AB2416" w14:textId="77777777" w:rsidR="00173B43" w:rsidRPr="002C7B52" w:rsidRDefault="00173B43" w:rsidP="00B5584B">
            <w:pPr>
              <w:autoSpaceDE w:val="0"/>
              <w:autoSpaceDN w:val="0"/>
              <w:adjustRightInd w:val="0"/>
              <w:rPr>
                <w:b/>
                <w:bCs/>
                <w:sz w:val="22"/>
                <w:szCs w:val="22"/>
              </w:rPr>
            </w:pPr>
            <w:r w:rsidRPr="002C7B52">
              <w:rPr>
                <w:sz w:val="22"/>
                <w:szCs w:val="22"/>
              </w:rPr>
              <w:t>bulózne erupcie, ekzém, erytém, multiformný erytém, Stevensov</w:t>
            </w:r>
            <w:r w:rsidRPr="002C7B52">
              <w:rPr>
                <w:sz w:val="22"/>
                <w:szCs w:val="22"/>
              </w:rPr>
              <w:noBreakHyphen/>
              <w:t>Johnsonov syndróm, toxická epidermálna nekrolýza (Lyellov syndróm), exfoliatívna dermatitída, alopécia, fotosenzitívna reakcia, purpura, alergická purpura</w:t>
            </w:r>
          </w:p>
        </w:tc>
      </w:tr>
      <w:tr w:rsidR="00173B43" w:rsidRPr="002C7B52" w14:paraId="30D72C5B" w14:textId="77777777" w:rsidTr="007F3EE1">
        <w:tc>
          <w:tcPr>
            <w:tcW w:w="2284" w:type="pct"/>
          </w:tcPr>
          <w:p w14:paraId="3E962A70" w14:textId="77777777" w:rsidR="00173B43" w:rsidRPr="002C7B52" w:rsidRDefault="00173B43" w:rsidP="00B5584B">
            <w:pPr>
              <w:autoSpaceDE w:val="0"/>
              <w:autoSpaceDN w:val="0"/>
              <w:adjustRightInd w:val="0"/>
              <w:rPr>
                <w:b/>
                <w:bCs/>
                <w:sz w:val="22"/>
                <w:szCs w:val="22"/>
              </w:rPr>
            </w:pPr>
            <w:r w:rsidRPr="002C7B52">
              <w:rPr>
                <w:b/>
                <w:bCs/>
                <w:sz w:val="22"/>
                <w:szCs w:val="22"/>
              </w:rPr>
              <w:t>Poruchy obličiek a močových ciest</w:t>
            </w:r>
          </w:p>
        </w:tc>
        <w:tc>
          <w:tcPr>
            <w:tcW w:w="2716" w:type="pct"/>
          </w:tcPr>
          <w:p w14:paraId="21E6DDC9" w14:textId="77777777" w:rsidR="00173B43" w:rsidRPr="002C7B52" w:rsidRDefault="00173B43">
            <w:pPr>
              <w:autoSpaceDE w:val="0"/>
              <w:autoSpaceDN w:val="0"/>
              <w:adjustRightInd w:val="0"/>
              <w:rPr>
                <w:b/>
                <w:bCs/>
                <w:sz w:val="22"/>
                <w:szCs w:val="22"/>
              </w:rPr>
            </w:pPr>
          </w:p>
        </w:tc>
      </w:tr>
      <w:tr w:rsidR="00173B43" w:rsidRPr="002C7B52" w14:paraId="5B9B7AB4" w14:textId="77777777" w:rsidTr="007F3EE1">
        <w:tc>
          <w:tcPr>
            <w:tcW w:w="2284" w:type="pct"/>
          </w:tcPr>
          <w:p w14:paraId="49CD6BB6" w14:textId="77777777" w:rsidR="00173B43" w:rsidRPr="002C7B52" w:rsidRDefault="00173B43" w:rsidP="00B5584B">
            <w:pPr>
              <w:autoSpaceDE w:val="0"/>
              <w:autoSpaceDN w:val="0"/>
              <w:adjustRightInd w:val="0"/>
              <w:rPr>
                <w:b/>
                <w:bCs/>
                <w:sz w:val="22"/>
                <w:szCs w:val="22"/>
              </w:rPr>
            </w:pPr>
            <w:r w:rsidRPr="002C7B52">
              <w:rPr>
                <w:sz w:val="22"/>
                <w:szCs w:val="22"/>
              </w:rPr>
              <w:t>Veľmi zriedkavé</w:t>
            </w:r>
          </w:p>
        </w:tc>
        <w:tc>
          <w:tcPr>
            <w:tcW w:w="2716" w:type="pct"/>
          </w:tcPr>
          <w:p w14:paraId="68A9F7FC" w14:textId="77777777" w:rsidR="00173B43" w:rsidRPr="002C7B52" w:rsidRDefault="00173B43" w:rsidP="00B5584B">
            <w:pPr>
              <w:autoSpaceDE w:val="0"/>
              <w:autoSpaceDN w:val="0"/>
              <w:adjustRightInd w:val="0"/>
              <w:rPr>
                <w:b/>
                <w:bCs/>
                <w:sz w:val="22"/>
                <w:szCs w:val="22"/>
              </w:rPr>
            </w:pPr>
            <w:r w:rsidRPr="002C7B52">
              <w:rPr>
                <w:sz w:val="22"/>
                <w:szCs w:val="22"/>
              </w:rPr>
              <w:t>akútne renálne zlyhanie, hematúria, proteinúria, nefrotický syndróm, intersticiálna nefritída, renálna papilárna nekróza</w:t>
            </w:r>
          </w:p>
        </w:tc>
      </w:tr>
      <w:tr w:rsidR="00173B43" w:rsidRPr="002C7B52" w14:paraId="6163CA79" w14:textId="77777777" w:rsidTr="007F3EE1">
        <w:tc>
          <w:tcPr>
            <w:tcW w:w="2284" w:type="pct"/>
          </w:tcPr>
          <w:p w14:paraId="76BF2467" w14:textId="77777777" w:rsidR="00173B43" w:rsidRPr="002C7B52" w:rsidRDefault="00173B43" w:rsidP="00B5584B">
            <w:pPr>
              <w:autoSpaceDE w:val="0"/>
              <w:autoSpaceDN w:val="0"/>
              <w:adjustRightInd w:val="0"/>
              <w:rPr>
                <w:b/>
                <w:bCs/>
                <w:sz w:val="22"/>
                <w:szCs w:val="22"/>
              </w:rPr>
            </w:pPr>
            <w:r w:rsidRPr="002C7B52">
              <w:rPr>
                <w:b/>
                <w:bCs/>
                <w:sz w:val="22"/>
                <w:szCs w:val="22"/>
              </w:rPr>
              <w:t>Celkové poruchy a reakcie v mieste podania</w:t>
            </w:r>
          </w:p>
        </w:tc>
        <w:tc>
          <w:tcPr>
            <w:tcW w:w="2716" w:type="pct"/>
          </w:tcPr>
          <w:p w14:paraId="1DE47B88" w14:textId="77777777" w:rsidR="00173B43" w:rsidRPr="002C7B52" w:rsidRDefault="00173B43">
            <w:pPr>
              <w:autoSpaceDE w:val="0"/>
              <w:autoSpaceDN w:val="0"/>
              <w:adjustRightInd w:val="0"/>
              <w:rPr>
                <w:b/>
                <w:bCs/>
                <w:sz w:val="22"/>
                <w:szCs w:val="22"/>
              </w:rPr>
            </w:pPr>
          </w:p>
        </w:tc>
      </w:tr>
      <w:tr w:rsidR="00173B43" w:rsidRPr="002C7B52" w14:paraId="5BAA30DB" w14:textId="77777777" w:rsidTr="007F3EE1">
        <w:tc>
          <w:tcPr>
            <w:tcW w:w="2284" w:type="pct"/>
          </w:tcPr>
          <w:p w14:paraId="4C5B7B64" w14:textId="77777777" w:rsidR="00173B43" w:rsidRPr="002C7B52" w:rsidRDefault="00173B43" w:rsidP="00B5584B">
            <w:pPr>
              <w:autoSpaceDE w:val="0"/>
              <w:autoSpaceDN w:val="0"/>
              <w:adjustRightInd w:val="0"/>
              <w:rPr>
                <w:b/>
                <w:bCs/>
                <w:sz w:val="22"/>
                <w:szCs w:val="22"/>
              </w:rPr>
            </w:pPr>
            <w:r w:rsidRPr="002C7B52">
              <w:rPr>
                <w:sz w:val="22"/>
                <w:szCs w:val="22"/>
              </w:rPr>
              <w:t>Zriedkavé</w:t>
            </w:r>
          </w:p>
        </w:tc>
        <w:tc>
          <w:tcPr>
            <w:tcW w:w="2716" w:type="pct"/>
          </w:tcPr>
          <w:p w14:paraId="6C9999B2" w14:textId="77777777" w:rsidR="00173B43" w:rsidRPr="002C7B52" w:rsidRDefault="00173B43" w:rsidP="00B5584B">
            <w:pPr>
              <w:autoSpaceDE w:val="0"/>
              <w:autoSpaceDN w:val="0"/>
              <w:adjustRightInd w:val="0"/>
              <w:rPr>
                <w:sz w:val="22"/>
                <w:szCs w:val="22"/>
              </w:rPr>
            </w:pPr>
            <w:r w:rsidRPr="002C7B52">
              <w:rPr>
                <w:sz w:val="22"/>
                <w:szCs w:val="22"/>
              </w:rPr>
              <w:t>edém</w:t>
            </w:r>
          </w:p>
        </w:tc>
      </w:tr>
    </w:tbl>
    <w:p w14:paraId="2B2130AE" w14:textId="77777777" w:rsidR="00173B43" w:rsidRPr="002C7B52" w:rsidRDefault="00173B43">
      <w:pPr>
        <w:autoSpaceDE w:val="0"/>
        <w:autoSpaceDN w:val="0"/>
        <w:adjustRightInd w:val="0"/>
        <w:rPr>
          <w:sz w:val="22"/>
          <w:szCs w:val="22"/>
        </w:rPr>
      </w:pPr>
    </w:p>
    <w:p w14:paraId="33554500" w14:textId="77777777" w:rsidR="00173B43" w:rsidRPr="002C7B52" w:rsidRDefault="00173B43">
      <w:pPr>
        <w:autoSpaceDE w:val="0"/>
        <w:autoSpaceDN w:val="0"/>
        <w:adjustRightInd w:val="0"/>
        <w:rPr>
          <w:sz w:val="22"/>
          <w:szCs w:val="22"/>
        </w:rPr>
      </w:pPr>
      <w:r w:rsidRPr="002C7B52">
        <w:rPr>
          <w:sz w:val="22"/>
          <w:szCs w:val="22"/>
        </w:rPr>
        <w:t xml:space="preserve">Údaje z klinických </w:t>
      </w:r>
      <w:r w:rsidR="00BE426B" w:rsidRPr="002C7B52">
        <w:rPr>
          <w:sz w:val="22"/>
          <w:szCs w:val="22"/>
        </w:rPr>
        <w:t>skúšaní</w:t>
      </w:r>
      <w:r w:rsidRPr="002C7B52">
        <w:rPr>
          <w:sz w:val="22"/>
          <w:szCs w:val="22"/>
        </w:rPr>
        <w:t xml:space="preserve"> a</w:t>
      </w:r>
      <w:r w:rsidR="00BE426B" w:rsidRPr="002C7B52">
        <w:rPr>
          <w:sz w:val="22"/>
          <w:szCs w:val="22"/>
        </w:rPr>
        <w:t> </w:t>
      </w:r>
      <w:r w:rsidRPr="002C7B52">
        <w:rPr>
          <w:sz w:val="22"/>
          <w:szCs w:val="22"/>
        </w:rPr>
        <w:t>epidemiologické údaje naznačujú, že užívanie diklofenaku, najmä vo</w:t>
      </w:r>
      <w:r w:rsidR="00BE426B" w:rsidRPr="002C7B52">
        <w:rPr>
          <w:sz w:val="22"/>
          <w:szCs w:val="22"/>
        </w:rPr>
        <w:t> </w:t>
      </w:r>
      <w:r w:rsidRPr="002C7B52">
        <w:rPr>
          <w:sz w:val="22"/>
          <w:szCs w:val="22"/>
        </w:rPr>
        <w:t>vysokých dávkach (150 mg/deň) a</w:t>
      </w:r>
      <w:r w:rsidR="00BE426B" w:rsidRPr="002C7B52">
        <w:rPr>
          <w:sz w:val="22"/>
          <w:szCs w:val="22"/>
        </w:rPr>
        <w:t> </w:t>
      </w:r>
      <w:r w:rsidRPr="002C7B52">
        <w:rPr>
          <w:sz w:val="22"/>
          <w:szCs w:val="22"/>
        </w:rPr>
        <w:t>pri dlhodobej liečbe, môže byť spojené so</w:t>
      </w:r>
      <w:r w:rsidR="00BE426B" w:rsidRPr="002C7B52">
        <w:rPr>
          <w:sz w:val="22"/>
          <w:szCs w:val="22"/>
        </w:rPr>
        <w:t> </w:t>
      </w:r>
      <w:r w:rsidRPr="002C7B52">
        <w:rPr>
          <w:sz w:val="22"/>
          <w:szCs w:val="22"/>
        </w:rPr>
        <w:t>zvýšením rizika arteriálnych trombotických príhod (napr. infarkt myokardu alebo cievna mozgová príhoda) (pozri časti 4.3 Kontraindikácie a 4.4 Osobitné upozornenia a opatrenia pri používaní)</w:t>
      </w:r>
      <w:r w:rsidRPr="002C7B52">
        <w:rPr>
          <w:i/>
          <w:iCs/>
          <w:sz w:val="22"/>
          <w:szCs w:val="22"/>
        </w:rPr>
        <w:t>.</w:t>
      </w:r>
    </w:p>
    <w:p w14:paraId="6944D6E8" w14:textId="77777777" w:rsidR="00173B43" w:rsidRPr="002C7B52" w:rsidRDefault="00173B43">
      <w:pPr>
        <w:autoSpaceDE w:val="0"/>
        <w:autoSpaceDN w:val="0"/>
        <w:adjustRightInd w:val="0"/>
        <w:rPr>
          <w:sz w:val="22"/>
          <w:szCs w:val="22"/>
        </w:rPr>
      </w:pPr>
    </w:p>
    <w:p w14:paraId="10F56E2E" w14:textId="77777777" w:rsidR="00173B43" w:rsidRPr="002C7B52" w:rsidRDefault="00173B43">
      <w:pPr>
        <w:keepNext/>
        <w:keepLines/>
        <w:autoSpaceDE w:val="0"/>
        <w:autoSpaceDN w:val="0"/>
        <w:adjustRightInd w:val="0"/>
        <w:rPr>
          <w:sz w:val="22"/>
          <w:szCs w:val="22"/>
          <w:u w:val="single"/>
        </w:rPr>
      </w:pPr>
      <w:r w:rsidRPr="002C7B52">
        <w:rPr>
          <w:sz w:val="22"/>
          <w:szCs w:val="22"/>
          <w:u w:val="single"/>
        </w:rPr>
        <w:lastRenderedPageBreak/>
        <w:t>Hlásenie podozrení na nežiaduce reakcie</w:t>
      </w:r>
    </w:p>
    <w:p w14:paraId="3290A3C4" w14:textId="77777777" w:rsidR="00173B43" w:rsidRPr="002C7B52" w:rsidRDefault="00173B43">
      <w:pPr>
        <w:keepNext/>
        <w:keepLines/>
        <w:autoSpaceDE w:val="0"/>
        <w:autoSpaceDN w:val="0"/>
        <w:adjustRightInd w:val="0"/>
        <w:rPr>
          <w:sz w:val="22"/>
          <w:szCs w:val="22"/>
        </w:rPr>
      </w:pPr>
      <w:r w:rsidRPr="002C7B52">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2C7B52">
        <w:rPr>
          <w:sz w:val="22"/>
          <w:szCs w:val="22"/>
          <w:highlight w:val="lightGray"/>
        </w:rPr>
        <w:t xml:space="preserve">národné centrum hlásenia uvedené v </w:t>
      </w:r>
      <w:hyperlink r:id="rId8" w:history="1">
        <w:r w:rsidRPr="002C7B52">
          <w:rPr>
            <w:rStyle w:val="Hypertextovprepojenie"/>
            <w:color w:val="auto"/>
            <w:sz w:val="22"/>
            <w:szCs w:val="22"/>
            <w:highlight w:val="lightGray"/>
          </w:rPr>
          <w:t>Prílohe V</w:t>
        </w:r>
      </w:hyperlink>
      <w:r w:rsidRPr="002C7B52">
        <w:rPr>
          <w:sz w:val="22"/>
          <w:szCs w:val="22"/>
        </w:rPr>
        <w:t>.</w:t>
      </w:r>
    </w:p>
    <w:p w14:paraId="71E773DC" w14:textId="77777777" w:rsidR="00173B43" w:rsidRPr="002C7B52" w:rsidRDefault="00173B43">
      <w:pPr>
        <w:autoSpaceDE w:val="0"/>
        <w:autoSpaceDN w:val="0"/>
        <w:adjustRightInd w:val="0"/>
        <w:rPr>
          <w:sz w:val="22"/>
          <w:szCs w:val="22"/>
        </w:rPr>
      </w:pPr>
    </w:p>
    <w:p w14:paraId="5754C112"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4.9</w:t>
      </w:r>
      <w:r w:rsidRPr="002C7B52">
        <w:rPr>
          <w:b/>
          <w:sz w:val="22"/>
          <w:szCs w:val="22"/>
        </w:rPr>
        <w:tab/>
        <w:t>Predávkovanie</w:t>
      </w:r>
    </w:p>
    <w:p w14:paraId="697FBD02" w14:textId="77777777" w:rsidR="00173B43" w:rsidRPr="002C7B52" w:rsidRDefault="00173B43">
      <w:pPr>
        <w:keepNext/>
        <w:shd w:val="clear" w:color="auto" w:fill="FFFFFF"/>
        <w:autoSpaceDE w:val="0"/>
        <w:autoSpaceDN w:val="0"/>
        <w:adjustRightInd w:val="0"/>
        <w:rPr>
          <w:sz w:val="22"/>
          <w:szCs w:val="22"/>
          <w:u w:val="single"/>
        </w:rPr>
      </w:pPr>
    </w:p>
    <w:p w14:paraId="6482DE06" w14:textId="77777777" w:rsidR="00173B43" w:rsidRPr="002C7B52" w:rsidRDefault="00173B43">
      <w:pPr>
        <w:autoSpaceDE w:val="0"/>
        <w:autoSpaceDN w:val="0"/>
        <w:adjustRightInd w:val="0"/>
        <w:rPr>
          <w:b/>
          <w:bCs/>
          <w:sz w:val="22"/>
          <w:szCs w:val="22"/>
        </w:rPr>
      </w:pPr>
      <w:r w:rsidRPr="002C7B52">
        <w:rPr>
          <w:b/>
          <w:bCs/>
          <w:sz w:val="22"/>
          <w:szCs w:val="22"/>
        </w:rPr>
        <w:t>Príznaky</w:t>
      </w:r>
    </w:p>
    <w:p w14:paraId="0B8C8664" w14:textId="77777777" w:rsidR="00173B43" w:rsidRPr="002C7B52" w:rsidRDefault="00173B43">
      <w:pPr>
        <w:autoSpaceDE w:val="0"/>
        <w:autoSpaceDN w:val="0"/>
        <w:adjustRightInd w:val="0"/>
        <w:rPr>
          <w:sz w:val="22"/>
          <w:szCs w:val="22"/>
        </w:rPr>
      </w:pPr>
      <w:r w:rsidRPr="002C7B52">
        <w:rPr>
          <w:sz w:val="22"/>
          <w:szCs w:val="22"/>
        </w:rPr>
        <w:t>Neexistuje typický klinický obraz v</w:t>
      </w:r>
      <w:r w:rsidR="00BE426B" w:rsidRPr="002C7B52">
        <w:rPr>
          <w:sz w:val="22"/>
          <w:szCs w:val="22"/>
        </w:rPr>
        <w:t> </w:t>
      </w:r>
      <w:r w:rsidRPr="002C7B52">
        <w:rPr>
          <w:sz w:val="22"/>
          <w:szCs w:val="22"/>
        </w:rPr>
        <w:t>dôsledku predávkovania diklofenakom. Predávkovanie môže vyvolať príznaky, ako sú nauzea, vracanie, gastrointestinálna hemorágia, hnačka, bolesť hlavy, závrat, ospalosť, tinnitus, bezvedomie alebo kŕče. V</w:t>
      </w:r>
      <w:r w:rsidR="00BE426B" w:rsidRPr="002C7B52">
        <w:rPr>
          <w:sz w:val="22"/>
          <w:szCs w:val="22"/>
        </w:rPr>
        <w:t> </w:t>
      </w:r>
      <w:r w:rsidRPr="002C7B52">
        <w:rPr>
          <w:sz w:val="22"/>
          <w:szCs w:val="22"/>
        </w:rPr>
        <w:t>prípade významnej otravy môže dôjsť k akútnemu zlyhaniu obličiek a</w:t>
      </w:r>
      <w:r w:rsidR="00BE426B" w:rsidRPr="002C7B52">
        <w:rPr>
          <w:sz w:val="22"/>
          <w:szCs w:val="22"/>
        </w:rPr>
        <w:t> </w:t>
      </w:r>
      <w:r w:rsidRPr="002C7B52">
        <w:rPr>
          <w:sz w:val="22"/>
          <w:szCs w:val="22"/>
        </w:rPr>
        <w:t>poškodeniu pečene. Ďalej sa môžu vyskytnúť hypotenzia, respiračná depresia a</w:t>
      </w:r>
      <w:r w:rsidR="00BE426B" w:rsidRPr="002C7B52">
        <w:rPr>
          <w:sz w:val="22"/>
          <w:szCs w:val="22"/>
        </w:rPr>
        <w:t> </w:t>
      </w:r>
      <w:r w:rsidRPr="002C7B52">
        <w:rPr>
          <w:sz w:val="22"/>
          <w:szCs w:val="22"/>
        </w:rPr>
        <w:t>cyanóza.</w:t>
      </w:r>
    </w:p>
    <w:p w14:paraId="290C679F" w14:textId="77777777" w:rsidR="00173B43" w:rsidRPr="002C7B52" w:rsidRDefault="00173B43">
      <w:pPr>
        <w:autoSpaceDE w:val="0"/>
        <w:autoSpaceDN w:val="0"/>
        <w:adjustRightInd w:val="0"/>
        <w:rPr>
          <w:b/>
          <w:bCs/>
          <w:sz w:val="22"/>
          <w:szCs w:val="22"/>
        </w:rPr>
      </w:pPr>
    </w:p>
    <w:p w14:paraId="5BF00891" w14:textId="77777777" w:rsidR="00173B43" w:rsidRPr="002C7B52" w:rsidRDefault="00173B43">
      <w:pPr>
        <w:autoSpaceDE w:val="0"/>
        <w:autoSpaceDN w:val="0"/>
        <w:adjustRightInd w:val="0"/>
        <w:rPr>
          <w:b/>
          <w:bCs/>
          <w:sz w:val="22"/>
          <w:szCs w:val="22"/>
        </w:rPr>
      </w:pPr>
      <w:r w:rsidRPr="002C7B52">
        <w:rPr>
          <w:b/>
          <w:bCs/>
          <w:sz w:val="22"/>
          <w:szCs w:val="22"/>
        </w:rPr>
        <w:t>Terapeutické opatrenia</w:t>
      </w:r>
    </w:p>
    <w:p w14:paraId="2285794C" w14:textId="77777777" w:rsidR="00173B43" w:rsidRPr="002C7B52" w:rsidRDefault="00173B43">
      <w:pPr>
        <w:autoSpaceDE w:val="0"/>
        <w:autoSpaceDN w:val="0"/>
        <w:adjustRightInd w:val="0"/>
        <w:rPr>
          <w:sz w:val="22"/>
          <w:szCs w:val="22"/>
        </w:rPr>
      </w:pPr>
      <w:r w:rsidRPr="002C7B52">
        <w:rPr>
          <w:sz w:val="22"/>
          <w:szCs w:val="22"/>
        </w:rPr>
        <w:t>Liečba akútnej otravy NSAID vrátane diklofenaku v zásade zahŕňa podporné opatrenia a symptomatickú liečbu. Podporné opatrenia a symptomatická liečba sa majú podať pri komplikáciách ako je hypotenzia, zlyhanie obličiek, kŕče, gastrointestinálna porucha a</w:t>
      </w:r>
      <w:r w:rsidR="00BE426B" w:rsidRPr="002C7B52">
        <w:rPr>
          <w:sz w:val="22"/>
          <w:szCs w:val="22"/>
        </w:rPr>
        <w:t> </w:t>
      </w:r>
      <w:r w:rsidRPr="002C7B52">
        <w:rPr>
          <w:sz w:val="22"/>
          <w:szCs w:val="22"/>
        </w:rPr>
        <w:t>respiračná depresia.</w:t>
      </w:r>
    </w:p>
    <w:p w14:paraId="758B0B2F" w14:textId="77777777" w:rsidR="00173B43" w:rsidRPr="002C7B52" w:rsidRDefault="00173B43">
      <w:pPr>
        <w:autoSpaceDE w:val="0"/>
        <w:autoSpaceDN w:val="0"/>
        <w:adjustRightInd w:val="0"/>
        <w:rPr>
          <w:sz w:val="22"/>
          <w:szCs w:val="22"/>
        </w:rPr>
      </w:pPr>
      <w:r w:rsidRPr="002C7B52">
        <w:rPr>
          <w:sz w:val="22"/>
          <w:szCs w:val="22"/>
        </w:rPr>
        <w:t>Osobitné opatrenia, ako sú nútená diuréza, dialýza alebo hemoperfúzia, pravdepodobne nemajú význam pri eliminácii NSAID vrátane diklofenaku vzhľadom na ich silnú väzbu na proteíny a</w:t>
      </w:r>
      <w:r w:rsidR="00BE426B" w:rsidRPr="002C7B52">
        <w:rPr>
          <w:sz w:val="22"/>
          <w:szCs w:val="22"/>
        </w:rPr>
        <w:t> </w:t>
      </w:r>
      <w:r w:rsidRPr="002C7B52">
        <w:rPr>
          <w:sz w:val="22"/>
          <w:szCs w:val="22"/>
        </w:rPr>
        <w:t>extenzívny metabolizmus.</w:t>
      </w:r>
    </w:p>
    <w:p w14:paraId="7238FB37" w14:textId="77777777" w:rsidR="00173B43" w:rsidRPr="002C7B52" w:rsidRDefault="00173B43">
      <w:pPr>
        <w:autoSpaceDE w:val="0"/>
        <w:autoSpaceDN w:val="0"/>
        <w:adjustRightInd w:val="0"/>
        <w:rPr>
          <w:sz w:val="22"/>
          <w:szCs w:val="22"/>
        </w:rPr>
      </w:pPr>
    </w:p>
    <w:p w14:paraId="0F0A519D" w14:textId="77777777" w:rsidR="00173B43" w:rsidRPr="002C7B52" w:rsidRDefault="00173B43">
      <w:pPr>
        <w:autoSpaceDE w:val="0"/>
        <w:autoSpaceDN w:val="0"/>
        <w:adjustRightInd w:val="0"/>
        <w:rPr>
          <w:sz w:val="22"/>
          <w:szCs w:val="22"/>
        </w:rPr>
      </w:pPr>
      <w:r w:rsidRPr="002C7B52">
        <w:rPr>
          <w:sz w:val="22"/>
          <w:szCs w:val="22"/>
        </w:rPr>
        <w:t xml:space="preserve">Po požití potenciálne toxickej nadmernej dávky sa môže zvážiť podanie </w:t>
      </w:r>
      <w:r w:rsidR="00130C86" w:rsidRPr="002C7B52">
        <w:rPr>
          <w:sz w:val="22"/>
          <w:szCs w:val="22"/>
        </w:rPr>
        <w:t>aktívneho</w:t>
      </w:r>
      <w:r w:rsidRPr="002C7B52">
        <w:rPr>
          <w:sz w:val="22"/>
          <w:szCs w:val="22"/>
        </w:rPr>
        <w:t xml:space="preserve"> uhlia a</w:t>
      </w:r>
      <w:r w:rsidR="00BE426B" w:rsidRPr="002C7B52">
        <w:rPr>
          <w:sz w:val="22"/>
          <w:szCs w:val="22"/>
        </w:rPr>
        <w:t> </w:t>
      </w:r>
      <w:r w:rsidRPr="002C7B52">
        <w:rPr>
          <w:sz w:val="22"/>
          <w:szCs w:val="22"/>
        </w:rPr>
        <w:t>po požití potenciálnej život ohrozujúcej nadmernej dávky gastrická dekontaminácia (napr. vracanie, gastrická laváž).</w:t>
      </w:r>
    </w:p>
    <w:p w14:paraId="19E9A56A" w14:textId="77777777" w:rsidR="00173B43" w:rsidRPr="002C7B52" w:rsidRDefault="00173B43">
      <w:pPr>
        <w:shd w:val="clear" w:color="auto" w:fill="FFFFFF"/>
        <w:autoSpaceDE w:val="0"/>
        <w:autoSpaceDN w:val="0"/>
        <w:adjustRightInd w:val="0"/>
        <w:rPr>
          <w:b/>
          <w:sz w:val="22"/>
          <w:szCs w:val="22"/>
        </w:rPr>
      </w:pPr>
    </w:p>
    <w:p w14:paraId="337BA1E2" w14:textId="77777777" w:rsidR="00173B43" w:rsidRPr="002C7B52" w:rsidRDefault="00173B43">
      <w:pPr>
        <w:shd w:val="clear" w:color="auto" w:fill="FFFFFF"/>
        <w:autoSpaceDE w:val="0"/>
        <w:autoSpaceDN w:val="0"/>
        <w:adjustRightInd w:val="0"/>
        <w:rPr>
          <w:b/>
          <w:sz w:val="22"/>
          <w:szCs w:val="22"/>
        </w:rPr>
      </w:pPr>
    </w:p>
    <w:p w14:paraId="28FE34C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w:t>
      </w:r>
      <w:r w:rsidRPr="002C7B52">
        <w:rPr>
          <w:b/>
          <w:sz w:val="22"/>
          <w:szCs w:val="22"/>
        </w:rPr>
        <w:tab/>
        <w:t xml:space="preserve">FARMAKOLOGICKÉ VLASTNOSTI </w:t>
      </w:r>
    </w:p>
    <w:p w14:paraId="3B3C137B" w14:textId="77777777" w:rsidR="00173B43" w:rsidRPr="002C7B52" w:rsidRDefault="00173B43">
      <w:pPr>
        <w:keepNext/>
        <w:shd w:val="clear" w:color="auto" w:fill="FFFFFF"/>
        <w:autoSpaceDE w:val="0"/>
        <w:autoSpaceDN w:val="0"/>
        <w:adjustRightInd w:val="0"/>
        <w:rPr>
          <w:b/>
          <w:sz w:val="22"/>
          <w:szCs w:val="22"/>
        </w:rPr>
      </w:pPr>
    </w:p>
    <w:p w14:paraId="0AC43752"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5.1</w:t>
      </w:r>
      <w:r w:rsidRPr="002C7B52">
        <w:rPr>
          <w:b/>
          <w:sz w:val="22"/>
          <w:szCs w:val="22"/>
        </w:rPr>
        <w:tab/>
        <w:t>Farmakodynamické vlastnosti</w:t>
      </w:r>
    </w:p>
    <w:p w14:paraId="248AEBE7" w14:textId="77777777" w:rsidR="00173B43" w:rsidRPr="002C7B52" w:rsidRDefault="00173B43">
      <w:pPr>
        <w:keepNext/>
        <w:shd w:val="clear" w:color="auto" w:fill="FFFFFF"/>
        <w:autoSpaceDE w:val="0"/>
        <w:autoSpaceDN w:val="0"/>
        <w:adjustRightInd w:val="0"/>
        <w:rPr>
          <w:sz w:val="22"/>
          <w:szCs w:val="22"/>
        </w:rPr>
      </w:pPr>
    </w:p>
    <w:p w14:paraId="0088CFB8" w14:textId="77777777" w:rsidR="00173B43" w:rsidRPr="002C7B52" w:rsidRDefault="00173B43">
      <w:pPr>
        <w:shd w:val="clear" w:color="auto" w:fill="FFFFFF"/>
        <w:autoSpaceDE w:val="0"/>
        <w:autoSpaceDN w:val="0"/>
        <w:adjustRightInd w:val="0"/>
        <w:rPr>
          <w:sz w:val="22"/>
          <w:szCs w:val="22"/>
        </w:rPr>
      </w:pPr>
      <w:r w:rsidRPr="002C7B52">
        <w:rPr>
          <w:sz w:val="22"/>
          <w:szCs w:val="22"/>
        </w:rPr>
        <w:t>Farmakoterapeutická skupina: nesteroidové antiflogistiká a antireumatiká; deriváty kyseliny octovej a</w:t>
      </w:r>
      <w:r w:rsidR="00BE426B" w:rsidRPr="002C7B52">
        <w:rPr>
          <w:sz w:val="22"/>
          <w:szCs w:val="22"/>
        </w:rPr>
        <w:t> </w:t>
      </w:r>
      <w:r w:rsidRPr="002C7B52">
        <w:rPr>
          <w:sz w:val="22"/>
          <w:szCs w:val="22"/>
        </w:rPr>
        <w:t>príbuzné liečivá</w:t>
      </w:r>
    </w:p>
    <w:p w14:paraId="1B956E4F" w14:textId="77777777" w:rsidR="00173B43" w:rsidRPr="002C7B52" w:rsidRDefault="00173B43">
      <w:pPr>
        <w:shd w:val="clear" w:color="auto" w:fill="FFFFFF"/>
        <w:autoSpaceDE w:val="0"/>
        <w:autoSpaceDN w:val="0"/>
        <w:adjustRightInd w:val="0"/>
        <w:rPr>
          <w:sz w:val="22"/>
          <w:szCs w:val="22"/>
        </w:rPr>
      </w:pPr>
    </w:p>
    <w:p w14:paraId="4EB58379" w14:textId="77777777" w:rsidR="00173B43" w:rsidRPr="002C7B52" w:rsidRDefault="00173B43">
      <w:pPr>
        <w:shd w:val="clear" w:color="auto" w:fill="FFFFFF"/>
        <w:autoSpaceDE w:val="0"/>
        <w:autoSpaceDN w:val="0"/>
        <w:adjustRightInd w:val="0"/>
        <w:rPr>
          <w:sz w:val="22"/>
          <w:szCs w:val="22"/>
        </w:rPr>
      </w:pPr>
      <w:r w:rsidRPr="002C7B52">
        <w:rPr>
          <w:sz w:val="22"/>
          <w:szCs w:val="22"/>
        </w:rPr>
        <w:t>ATC kód: M01AB05</w:t>
      </w:r>
    </w:p>
    <w:p w14:paraId="248195D5" w14:textId="77777777" w:rsidR="00173B43" w:rsidRPr="002C7B52" w:rsidRDefault="00173B43">
      <w:pPr>
        <w:shd w:val="clear" w:color="auto" w:fill="FFFFFF"/>
        <w:autoSpaceDE w:val="0"/>
        <w:autoSpaceDN w:val="0"/>
        <w:adjustRightInd w:val="0"/>
        <w:rPr>
          <w:sz w:val="22"/>
          <w:szCs w:val="22"/>
        </w:rPr>
      </w:pPr>
    </w:p>
    <w:p w14:paraId="1A5DD882"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je nesteroidový protizápalový liek (NSAID), o</w:t>
      </w:r>
      <w:r w:rsidR="00BE426B" w:rsidRPr="002C7B52">
        <w:rPr>
          <w:sz w:val="22"/>
          <w:szCs w:val="22"/>
        </w:rPr>
        <w:t> </w:t>
      </w:r>
      <w:r w:rsidRPr="002C7B52">
        <w:rPr>
          <w:sz w:val="22"/>
          <w:szCs w:val="22"/>
        </w:rPr>
        <w:t>ktorom sa v</w:t>
      </w:r>
      <w:r w:rsidR="00BE426B" w:rsidRPr="002C7B52">
        <w:rPr>
          <w:sz w:val="22"/>
          <w:szCs w:val="22"/>
        </w:rPr>
        <w:t> </w:t>
      </w:r>
      <w:r w:rsidRPr="002C7B52">
        <w:rPr>
          <w:sz w:val="22"/>
          <w:szCs w:val="22"/>
        </w:rPr>
        <w:t>rámci obvyklých experimentálnych zvieracích modelov zápalu zistilo, že svoju aktivitu vykonáva inhibovaním syntézy prostaglandínu. U ľudí diklofenak zmierňuje bolesť, opuch a</w:t>
      </w:r>
      <w:r w:rsidR="00BE426B" w:rsidRPr="002C7B52">
        <w:rPr>
          <w:sz w:val="22"/>
          <w:szCs w:val="22"/>
        </w:rPr>
        <w:t> </w:t>
      </w:r>
      <w:r w:rsidRPr="002C7B52">
        <w:rPr>
          <w:sz w:val="22"/>
          <w:szCs w:val="22"/>
        </w:rPr>
        <w:t>horúčku, ktoré súvisia so</w:t>
      </w:r>
      <w:r w:rsidR="00BE426B" w:rsidRPr="002C7B52">
        <w:rPr>
          <w:sz w:val="22"/>
          <w:szCs w:val="22"/>
        </w:rPr>
        <w:t> </w:t>
      </w:r>
      <w:r w:rsidRPr="002C7B52">
        <w:rPr>
          <w:sz w:val="22"/>
          <w:szCs w:val="22"/>
        </w:rPr>
        <w:t>zápalom. Diklofenak taktiež inhibuje agregáciu doštičiek indukovanú ADP a</w:t>
      </w:r>
      <w:r w:rsidR="00BE426B" w:rsidRPr="002C7B52">
        <w:rPr>
          <w:sz w:val="22"/>
          <w:szCs w:val="22"/>
        </w:rPr>
        <w:t> </w:t>
      </w:r>
      <w:r w:rsidRPr="002C7B52">
        <w:rPr>
          <w:sz w:val="22"/>
          <w:szCs w:val="22"/>
        </w:rPr>
        <w:t>kolagénom.</w:t>
      </w:r>
    </w:p>
    <w:p w14:paraId="1D47BBAF" w14:textId="77777777" w:rsidR="00173B43" w:rsidRPr="002C7B52" w:rsidRDefault="00173B43">
      <w:pPr>
        <w:shd w:val="clear" w:color="auto" w:fill="FFFFFF"/>
        <w:autoSpaceDE w:val="0"/>
        <w:autoSpaceDN w:val="0"/>
        <w:adjustRightInd w:val="0"/>
        <w:rPr>
          <w:sz w:val="22"/>
          <w:szCs w:val="22"/>
        </w:rPr>
      </w:pPr>
    </w:p>
    <w:p w14:paraId="63F7F4D9"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pôsobí protizápalovo vďaka inhibícii cyklooxygenázy v mieste pôsobenia. Diklofenak okrem toho pôsobí ako iné analgetiká prostredníctvom centrálneho analgetického a</w:t>
      </w:r>
      <w:r w:rsidR="00BE426B" w:rsidRPr="002C7B52">
        <w:rPr>
          <w:sz w:val="22"/>
          <w:szCs w:val="22"/>
        </w:rPr>
        <w:t> </w:t>
      </w:r>
      <w:r w:rsidRPr="002C7B52">
        <w:rPr>
          <w:sz w:val="22"/>
          <w:szCs w:val="22"/>
        </w:rPr>
        <w:t>antipyretického účinku.</w:t>
      </w:r>
    </w:p>
    <w:p w14:paraId="3A792597" w14:textId="77777777" w:rsidR="00173B43" w:rsidRPr="002C7B52" w:rsidRDefault="00173B43">
      <w:pPr>
        <w:shd w:val="clear" w:color="auto" w:fill="FFFFFF"/>
        <w:autoSpaceDE w:val="0"/>
        <w:autoSpaceDN w:val="0"/>
        <w:adjustRightInd w:val="0"/>
        <w:rPr>
          <w:sz w:val="22"/>
          <w:szCs w:val="22"/>
        </w:rPr>
      </w:pPr>
    </w:p>
    <w:p w14:paraId="54A3D5E4" w14:textId="77777777" w:rsidR="00173B43" w:rsidRPr="002C7B52" w:rsidRDefault="00173B43">
      <w:pPr>
        <w:keepNext/>
        <w:shd w:val="clear" w:color="auto" w:fill="FFFFFF"/>
        <w:tabs>
          <w:tab w:val="left" w:pos="567"/>
        </w:tabs>
        <w:autoSpaceDE w:val="0"/>
        <w:autoSpaceDN w:val="0"/>
        <w:adjustRightInd w:val="0"/>
        <w:ind w:left="567" w:hanging="567"/>
        <w:rPr>
          <w:sz w:val="22"/>
          <w:szCs w:val="22"/>
        </w:rPr>
      </w:pPr>
      <w:r w:rsidRPr="002C7B52">
        <w:rPr>
          <w:b/>
          <w:sz w:val="22"/>
          <w:szCs w:val="22"/>
        </w:rPr>
        <w:t>5.2</w:t>
      </w:r>
      <w:r w:rsidRPr="002C7B52">
        <w:rPr>
          <w:b/>
          <w:sz w:val="22"/>
          <w:szCs w:val="22"/>
        </w:rPr>
        <w:tab/>
        <w:t>Farmakokinetické vlastnosti</w:t>
      </w:r>
    </w:p>
    <w:p w14:paraId="2C5162F9" w14:textId="77777777" w:rsidR="00173B43" w:rsidRPr="002C7B52" w:rsidRDefault="00173B43">
      <w:pPr>
        <w:keepNext/>
        <w:shd w:val="clear" w:color="auto" w:fill="FFFFFF"/>
        <w:autoSpaceDE w:val="0"/>
        <w:autoSpaceDN w:val="0"/>
        <w:adjustRightInd w:val="0"/>
        <w:rPr>
          <w:b/>
          <w:sz w:val="22"/>
          <w:szCs w:val="22"/>
          <w:u w:val="single"/>
        </w:rPr>
      </w:pPr>
    </w:p>
    <w:p w14:paraId="494EA773"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Absorpcia</w:t>
      </w:r>
    </w:p>
    <w:p w14:paraId="697ABB12"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Pri podaní vo forme epolamínovej soli sa diklofenak rýchlo absorbuje. Maximálna plazmatická koncentrácia (stredná hodnota ± SD) 1 129,01 ± 433,60 ng/ml diklofenaku sa dosiahne približne 30 minút (stredná hodnota) po užití. </w:t>
      </w:r>
    </w:p>
    <w:p w14:paraId="246788A4" w14:textId="77777777" w:rsidR="00173B43" w:rsidRPr="002C7B52" w:rsidRDefault="00173B43">
      <w:pPr>
        <w:shd w:val="clear" w:color="auto" w:fill="FFFFFF"/>
        <w:autoSpaceDE w:val="0"/>
        <w:autoSpaceDN w:val="0"/>
        <w:adjustRightInd w:val="0"/>
        <w:rPr>
          <w:sz w:val="22"/>
          <w:szCs w:val="22"/>
        </w:rPr>
      </w:pPr>
    </w:p>
    <w:p w14:paraId="32F1D305" w14:textId="77777777" w:rsidR="00173B43" w:rsidRPr="002C7B52" w:rsidRDefault="00173B43">
      <w:pPr>
        <w:shd w:val="clear" w:color="auto" w:fill="FFFFFF"/>
        <w:autoSpaceDE w:val="0"/>
        <w:autoSpaceDN w:val="0"/>
        <w:adjustRightInd w:val="0"/>
        <w:rPr>
          <w:sz w:val="22"/>
          <w:szCs w:val="22"/>
        </w:rPr>
      </w:pPr>
      <w:r w:rsidRPr="002C7B52">
        <w:rPr>
          <w:sz w:val="22"/>
          <w:szCs w:val="22"/>
        </w:rPr>
        <w:t>Perorálne podaný diklofenak je výrazne metabolizovaný v</w:t>
      </w:r>
      <w:r w:rsidR="00BE426B" w:rsidRPr="002C7B52">
        <w:rPr>
          <w:sz w:val="22"/>
          <w:szCs w:val="22"/>
        </w:rPr>
        <w:t> </w:t>
      </w:r>
      <w:r w:rsidRPr="002C7B52">
        <w:rPr>
          <w:sz w:val="22"/>
          <w:szCs w:val="22"/>
        </w:rPr>
        <w:t>pečeni (first-pass effect (efekt prvého prechodu)). Pri opakovanom podaní sa farmakokinetické správanie nemení. Pri dodržiavaní odporúčaných intervalov dávkovania nedochádza k</w:t>
      </w:r>
      <w:r w:rsidR="00BE426B" w:rsidRPr="002C7B52">
        <w:rPr>
          <w:sz w:val="22"/>
          <w:szCs w:val="22"/>
        </w:rPr>
        <w:t> </w:t>
      </w:r>
      <w:r w:rsidRPr="002C7B52">
        <w:rPr>
          <w:sz w:val="22"/>
          <w:szCs w:val="22"/>
        </w:rPr>
        <w:t>akumulácii.</w:t>
      </w:r>
    </w:p>
    <w:p w14:paraId="02393FAF" w14:textId="77777777" w:rsidR="00173B43" w:rsidRPr="002C7B52" w:rsidRDefault="00173B43">
      <w:pPr>
        <w:shd w:val="clear" w:color="auto" w:fill="FFFFFF"/>
        <w:autoSpaceDE w:val="0"/>
        <w:autoSpaceDN w:val="0"/>
        <w:adjustRightInd w:val="0"/>
        <w:rPr>
          <w:sz w:val="22"/>
          <w:szCs w:val="22"/>
        </w:rPr>
      </w:pPr>
    </w:p>
    <w:p w14:paraId="694CE062" w14:textId="77777777" w:rsidR="00173B43" w:rsidRPr="002C7B52" w:rsidRDefault="00173B43">
      <w:pPr>
        <w:keepNext/>
        <w:shd w:val="clear" w:color="auto" w:fill="FFFFFF"/>
        <w:autoSpaceDE w:val="0"/>
        <w:autoSpaceDN w:val="0"/>
        <w:adjustRightInd w:val="0"/>
        <w:rPr>
          <w:sz w:val="22"/>
          <w:szCs w:val="22"/>
        </w:rPr>
      </w:pPr>
      <w:r w:rsidRPr="002C7B52">
        <w:rPr>
          <w:b/>
          <w:sz w:val="22"/>
          <w:szCs w:val="22"/>
          <w:u w:val="single"/>
        </w:rPr>
        <w:lastRenderedPageBreak/>
        <w:t>Distribúcia</w:t>
      </w:r>
    </w:p>
    <w:p w14:paraId="4548F834" w14:textId="77777777" w:rsidR="00173B43" w:rsidRPr="002C7B52" w:rsidRDefault="00173B43">
      <w:pPr>
        <w:keepNext/>
        <w:shd w:val="clear" w:color="auto" w:fill="FFFFFF"/>
        <w:autoSpaceDE w:val="0"/>
        <w:autoSpaceDN w:val="0"/>
        <w:adjustRightInd w:val="0"/>
        <w:rPr>
          <w:sz w:val="22"/>
          <w:szCs w:val="22"/>
        </w:rPr>
      </w:pPr>
      <w:r w:rsidRPr="002C7B52">
        <w:rPr>
          <w:sz w:val="22"/>
          <w:szCs w:val="22"/>
        </w:rPr>
        <w:t>Diklofenak sa silne viaže na plazmatické proteíny (&gt;99 %) na rozdiel od epolamínu, ktorý sa viaže len slabo (&lt;6 %).</w:t>
      </w:r>
    </w:p>
    <w:p w14:paraId="1B66C340"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vstupuje do synoviálnej tekutiny, kde sú maximálne koncentrácie namerané za 2 až 4 hodiny po dosiahnutí maximálnych hodnôt v plazme. Zjavný polčas eliminácie zo synoviálnej tekutiny je 3 až 6 hodín.</w:t>
      </w:r>
    </w:p>
    <w:p w14:paraId="505D385A" w14:textId="77777777" w:rsidR="00173B43" w:rsidRPr="002C7B52" w:rsidRDefault="00173B43">
      <w:pPr>
        <w:shd w:val="clear" w:color="auto" w:fill="FFFFFF"/>
        <w:autoSpaceDE w:val="0"/>
        <w:autoSpaceDN w:val="0"/>
        <w:adjustRightInd w:val="0"/>
        <w:rPr>
          <w:sz w:val="22"/>
          <w:szCs w:val="22"/>
          <w:u w:val="single"/>
        </w:rPr>
      </w:pPr>
      <w:r w:rsidRPr="002C7B52">
        <w:rPr>
          <w:sz w:val="22"/>
          <w:szCs w:val="22"/>
        </w:rPr>
        <w:t>Diklofenak sa vylučuje v</w:t>
      </w:r>
      <w:r w:rsidR="00BE426B" w:rsidRPr="002C7B52">
        <w:rPr>
          <w:sz w:val="22"/>
          <w:szCs w:val="22"/>
        </w:rPr>
        <w:t> </w:t>
      </w:r>
      <w:r w:rsidRPr="002C7B52">
        <w:rPr>
          <w:sz w:val="22"/>
          <w:szCs w:val="22"/>
        </w:rPr>
        <w:t>malom množstve do materského mlieka, ale nie sú k dispozícii žiadne údaje týkajúce sa epolamínu.</w:t>
      </w:r>
    </w:p>
    <w:p w14:paraId="2347C730" w14:textId="77777777" w:rsidR="00173B43" w:rsidRPr="002C7B52" w:rsidRDefault="00173B43">
      <w:pPr>
        <w:shd w:val="clear" w:color="auto" w:fill="FFFFFF"/>
        <w:autoSpaceDE w:val="0"/>
        <w:autoSpaceDN w:val="0"/>
        <w:adjustRightInd w:val="0"/>
        <w:rPr>
          <w:b/>
          <w:sz w:val="22"/>
          <w:szCs w:val="22"/>
          <w:u w:val="single"/>
        </w:rPr>
      </w:pPr>
    </w:p>
    <w:p w14:paraId="13B144E5"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Biotransformácia</w:t>
      </w:r>
    </w:p>
    <w:p w14:paraId="12ACD179"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sa rýchle a</w:t>
      </w:r>
      <w:r w:rsidR="00BE426B" w:rsidRPr="002C7B52">
        <w:rPr>
          <w:sz w:val="22"/>
          <w:szCs w:val="22"/>
        </w:rPr>
        <w:t> </w:t>
      </w:r>
      <w:r w:rsidRPr="002C7B52">
        <w:rPr>
          <w:sz w:val="22"/>
          <w:szCs w:val="22"/>
        </w:rPr>
        <w:t>takmer úplne metabolizuje, najmä v pečeni. Liek podlieha v</w:t>
      </w:r>
      <w:r w:rsidR="00BE426B" w:rsidRPr="002C7B52">
        <w:rPr>
          <w:sz w:val="22"/>
          <w:szCs w:val="22"/>
        </w:rPr>
        <w:t> </w:t>
      </w:r>
      <w:r w:rsidRPr="002C7B52">
        <w:rPr>
          <w:sz w:val="22"/>
          <w:szCs w:val="22"/>
        </w:rPr>
        <w:t>rozsiahlej miere hydroxylácii a</w:t>
      </w:r>
      <w:r w:rsidR="00BE426B" w:rsidRPr="002C7B52">
        <w:rPr>
          <w:sz w:val="22"/>
          <w:szCs w:val="22"/>
        </w:rPr>
        <w:t> </w:t>
      </w:r>
      <w:r w:rsidRPr="002C7B52">
        <w:rPr>
          <w:sz w:val="22"/>
          <w:szCs w:val="22"/>
        </w:rPr>
        <w:t xml:space="preserve">následnej konjugácii. </w:t>
      </w:r>
    </w:p>
    <w:p w14:paraId="0AECBEFD" w14:textId="77777777" w:rsidR="00173B43" w:rsidRPr="002C7B52" w:rsidRDefault="00173B43">
      <w:pPr>
        <w:shd w:val="clear" w:color="auto" w:fill="FFFFFF"/>
        <w:autoSpaceDE w:val="0"/>
        <w:autoSpaceDN w:val="0"/>
        <w:adjustRightInd w:val="0"/>
        <w:rPr>
          <w:sz w:val="22"/>
          <w:szCs w:val="22"/>
        </w:rPr>
      </w:pPr>
    </w:p>
    <w:p w14:paraId="3767B3F2" w14:textId="77777777" w:rsidR="00173B43" w:rsidRPr="002C7B52" w:rsidRDefault="00173B43">
      <w:pPr>
        <w:pStyle w:val="Zarkazkladnhotextu"/>
        <w:ind w:left="0"/>
        <w:rPr>
          <w:szCs w:val="22"/>
        </w:rPr>
      </w:pPr>
      <w:r w:rsidRPr="002C7B52">
        <w:rPr>
          <w:szCs w:val="22"/>
        </w:rPr>
        <w:t>Epolamín sa silne metabolizuje ako N</w:t>
      </w:r>
      <w:r w:rsidRPr="002C7B52">
        <w:rPr>
          <w:szCs w:val="22"/>
        </w:rPr>
        <w:noBreakHyphen/>
        <w:t>oxid epolamín.</w:t>
      </w:r>
    </w:p>
    <w:p w14:paraId="206F220F" w14:textId="77777777" w:rsidR="00173B43" w:rsidRPr="002C7B52" w:rsidRDefault="00173B43">
      <w:pPr>
        <w:shd w:val="clear" w:color="auto" w:fill="FFFFFF"/>
        <w:autoSpaceDE w:val="0"/>
        <w:autoSpaceDN w:val="0"/>
        <w:adjustRightInd w:val="0"/>
        <w:rPr>
          <w:b/>
          <w:sz w:val="22"/>
          <w:szCs w:val="22"/>
          <w:u w:val="single"/>
        </w:rPr>
      </w:pPr>
    </w:p>
    <w:p w14:paraId="627A5670"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Eliminácia</w:t>
      </w:r>
    </w:p>
    <w:p w14:paraId="0A530159" w14:textId="77777777" w:rsidR="00173B43" w:rsidRPr="002C7B52" w:rsidRDefault="00173B43">
      <w:pPr>
        <w:shd w:val="clear" w:color="auto" w:fill="FFFFFF"/>
        <w:autoSpaceDE w:val="0"/>
        <w:autoSpaceDN w:val="0"/>
        <w:adjustRightInd w:val="0"/>
        <w:rPr>
          <w:sz w:val="22"/>
          <w:szCs w:val="22"/>
        </w:rPr>
      </w:pPr>
      <w:r w:rsidRPr="002C7B52">
        <w:rPr>
          <w:sz w:val="22"/>
          <w:szCs w:val="22"/>
        </w:rPr>
        <w:t>Diklofenak sa vylučuje močom aj stolicou. Menej ako 1 % účinnej látky sa vylúči v nezmenenej forme v moči. Približne 60 % podaného množstva sa vylúči močom vo forme metabolitov, zvyšok sa vylúči v stolici.</w:t>
      </w:r>
    </w:p>
    <w:p w14:paraId="2D677412" w14:textId="77777777" w:rsidR="00173B43" w:rsidRPr="002C7B52" w:rsidRDefault="00173B43">
      <w:pPr>
        <w:shd w:val="clear" w:color="auto" w:fill="FFFFFF"/>
        <w:autoSpaceDE w:val="0"/>
        <w:autoSpaceDN w:val="0"/>
        <w:adjustRightInd w:val="0"/>
        <w:rPr>
          <w:sz w:val="22"/>
          <w:szCs w:val="22"/>
        </w:rPr>
      </w:pPr>
      <w:r w:rsidRPr="002C7B52">
        <w:rPr>
          <w:sz w:val="22"/>
          <w:szCs w:val="22"/>
        </w:rPr>
        <w:t>Polčas plazmatickej eliminácie nezmeneného diklofenaku je približne 1 až 2 hodiny. Celkový plazmatický klírens je približne 263 ml/min.</w:t>
      </w:r>
    </w:p>
    <w:p w14:paraId="74DCADFA" w14:textId="77777777" w:rsidR="00173B43" w:rsidRPr="002C7B52" w:rsidRDefault="00173B43">
      <w:pPr>
        <w:shd w:val="clear" w:color="auto" w:fill="FFFFFF"/>
        <w:autoSpaceDE w:val="0"/>
        <w:autoSpaceDN w:val="0"/>
        <w:adjustRightInd w:val="0"/>
        <w:rPr>
          <w:sz w:val="22"/>
          <w:szCs w:val="22"/>
        </w:rPr>
      </w:pPr>
      <w:r w:rsidRPr="002C7B52">
        <w:rPr>
          <w:sz w:val="22"/>
          <w:szCs w:val="22"/>
        </w:rPr>
        <w:t>Epolamín sa primárne vylučuje vo</w:t>
      </w:r>
      <w:r w:rsidR="00BE426B" w:rsidRPr="002C7B52">
        <w:rPr>
          <w:sz w:val="22"/>
          <w:szCs w:val="22"/>
        </w:rPr>
        <w:t> </w:t>
      </w:r>
      <w:r w:rsidRPr="002C7B52">
        <w:rPr>
          <w:sz w:val="22"/>
          <w:szCs w:val="22"/>
        </w:rPr>
        <w:t>forme metabolitov (93 % množstva) močom. Eliminačný polčas N-oxid epolamínu je 6 až 8 hodín.</w:t>
      </w:r>
    </w:p>
    <w:p w14:paraId="510B4F0C" w14:textId="77777777" w:rsidR="00173B43" w:rsidRPr="002C7B52" w:rsidRDefault="00173B43">
      <w:pPr>
        <w:shd w:val="clear" w:color="auto" w:fill="FFFFFF"/>
        <w:autoSpaceDE w:val="0"/>
        <w:autoSpaceDN w:val="0"/>
        <w:adjustRightInd w:val="0"/>
        <w:rPr>
          <w:sz w:val="22"/>
          <w:szCs w:val="22"/>
        </w:rPr>
      </w:pPr>
    </w:p>
    <w:p w14:paraId="39E469AF"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 xml:space="preserve">Linearita/nelinearita </w:t>
      </w:r>
    </w:p>
    <w:p w14:paraId="0AB72EC0"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Kinetika diklofenaku je lineárna v intervale dávok od 12,5 mg do 150 mg. </w:t>
      </w:r>
    </w:p>
    <w:p w14:paraId="30893CDD" w14:textId="77777777" w:rsidR="00173B43" w:rsidRPr="002C7B52" w:rsidRDefault="00173B43">
      <w:pPr>
        <w:shd w:val="clear" w:color="auto" w:fill="FFFFFF"/>
        <w:autoSpaceDE w:val="0"/>
        <w:autoSpaceDN w:val="0"/>
        <w:adjustRightInd w:val="0"/>
        <w:rPr>
          <w:b/>
          <w:sz w:val="22"/>
          <w:szCs w:val="22"/>
          <w:u w:val="single"/>
        </w:rPr>
      </w:pPr>
    </w:p>
    <w:p w14:paraId="1BF0BE35" w14:textId="77777777" w:rsidR="00173B43" w:rsidRPr="002C7B52" w:rsidRDefault="00173B43">
      <w:pPr>
        <w:shd w:val="clear" w:color="auto" w:fill="FFFFFF"/>
        <w:autoSpaceDE w:val="0"/>
        <w:autoSpaceDN w:val="0"/>
        <w:adjustRightInd w:val="0"/>
        <w:rPr>
          <w:b/>
          <w:sz w:val="22"/>
          <w:szCs w:val="22"/>
          <w:u w:val="single"/>
        </w:rPr>
      </w:pPr>
      <w:r w:rsidRPr="002C7B52">
        <w:rPr>
          <w:b/>
          <w:sz w:val="22"/>
          <w:szCs w:val="22"/>
          <w:u w:val="single"/>
        </w:rPr>
        <w:t>Osobitné skupiny pacientov</w:t>
      </w:r>
    </w:p>
    <w:p w14:paraId="7DBDBB83" w14:textId="77777777" w:rsidR="00173B43" w:rsidRPr="002C7B52" w:rsidRDefault="00173B43">
      <w:pPr>
        <w:shd w:val="clear" w:color="auto" w:fill="FFFFFF"/>
        <w:autoSpaceDE w:val="0"/>
        <w:autoSpaceDN w:val="0"/>
        <w:adjustRightInd w:val="0"/>
        <w:rPr>
          <w:sz w:val="22"/>
          <w:szCs w:val="22"/>
        </w:rPr>
      </w:pPr>
      <w:r w:rsidRPr="002C7B52">
        <w:rPr>
          <w:sz w:val="22"/>
          <w:szCs w:val="22"/>
        </w:rPr>
        <w:t>Neboli pozorované žiadne relevantné rozdiely v</w:t>
      </w:r>
      <w:r w:rsidR="00BE426B" w:rsidRPr="002C7B52">
        <w:rPr>
          <w:sz w:val="22"/>
          <w:szCs w:val="22"/>
        </w:rPr>
        <w:t> </w:t>
      </w:r>
      <w:r w:rsidRPr="002C7B52">
        <w:rPr>
          <w:sz w:val="22"/>
          <w:szCs w:val="22"/>
        </w:rPr>
        <w:t>absorpcii, metabolizme alebo vylučovaní v</w:t>
      </w:r>
      <w:r w:rsidR="00BE426B" w:rsidRPr="002C7B52">
        <w:rPr>
          <w:sz w:val="22"/>
          <w:szCs w:val="22"/>
        </w:rPr>
        <w:t> </w:t>
      </w:r>
      <w:r w:rsidRPr="002C7B52">
        <w:rPr>
          <w:sz w:val="22"/>
          <w:szCs w:val="22"/>
        </w:rPr>
        <w:t>závislosti od</w:t>
      </w:r>
      <w:r w:rsidR="00BE426B" w:rsidRPr="002C7B52">
        <w:rPr>
          <w:sz w:val="22"/>
          <w:szCs w:val="22"/>
        </w:rPr>
        <w:t> </w:t>
      </w:r>
      <w:r w:rsidRPr="002C7B52">
        <w:rPr>
          <w:sz w:val="22"/>
          <w:szCs w:val="22"/>
        </w:rPr>
        <w:t>veku. Farmakokinetické parametre sa nemenia vekom.</w:t>
      </w:r>
    </w:p>
    <w:p w14:paraId="72CF7CA2" w14:textId="77777777" w:rsidR="00173B43" w:rsidRPr="002C7B52" w:rsidRDefault="00173B43">
      <w:pPr>
        <w:shd w:val="clear" w:color="auto" w:fill="FFFFFF"/>
        <w:autoSpaceDE w:val="0"/>
        <w:autoSpaceDN w:val="0"/>
        <w:adjustRightInd w:val="0"/>
        <w:rPr>
          <w:sz w:val="22"/>
          <w:szCs w:val="22"/>
        </w:rPr>
      </w:pPr>
      <w:r w:rsidRPr="002C7B52">
        <w:rPr>
          <w:sz w:val="22"/>
          <w:szCs w:val="22"/>
        </w:rPr>
        <w:t>U pacientov s poruchou funkcie obličiek nemusí dochádzať k akumulácii nezmeneného liečiva na základe kinetiky jednorazovej dávky pri použití obvyklej dávkovacej schémy. Pri klírense kreatinínu menej ako 10</w:t>
      </w:r>
      <w:r w:rsidR="00BE426B" w:rsidRPr="002C7B52">
        <w:rPr>
          <w:sz w:val="22"/>
          <w:szCs w:val="22"/>
        </w:rPr>
        <w:t> </w:t>
      </w:r>
      <w:r w:rsidRPr="002C7B52">
        <w:rPr>
          <w:sz w:val="22"/>
          <w:szCs w:val="22"/>
        </w:rPr>
        <w:t>ml/min sú vypočítané plazmatické hladiny hydroxy metabolitov v rovnovážnom stave asi 4-krát vyššie ako u zdravých jedincov. Metabolity sa však nakoniec eliminujú žlčou.</w:t>
      </w:r>
    </w:p>
    <w:p w14:paraId="1CED505C" w14:textId="77777777" w:rsidR="00173B43" w:rsidRPr="002C7B52" w:rsidRDefault="00173B43">
      <w:pPr>
        <w:shd w:val="clear" w:color="auto" w:fill="FFFFFF"/>
        <w:autoSpaceDE w:val="0"/>
        <w:autoSpaceDN w:val="0"/>
        <w:adjustRightInd w:val="0"/>
        <w:rPr>
          <w:sz w:val="22"/>
          <w:szCs w:val="22"/>
        </w:rPr>
      </w:pPr>
      <w:r w:rsidRPr="002C7B52">
        <w:rPr>
          <w:sz w:val="22"/>
          <w:szCs w:val="22"/>
        </w:rPr>
        <w:t>U pacientov s chronickou hepatitídou alebo nedekompenzovanou cirhózou sú kinetika a metabolizmus diklofenaku rovnaké ako u pacientov bez ochorenia pečene.</w:t>
      </w:r>
    </w:p>
    <w:p w14:paraId="5730967D" w14:textId="77777777" w:rsidR="00173B43" w:rsidRPr="002C7B52" w:rsidRDefault="00173B43">
      <w:pPr>
        <w:shd w:val="clear" w:color="auto" w:fill="FFFFFF"/>
        <w:autoSpaceDE w:val="0"/>
        <w:autoSpaceDN w:val="0"/>
        <w:adjustRightInd w:val="0"/>
        <w:rPr>
          <w:b/>
          <w:sz w:val="22"/>
          <w:szCs w:val="22"/>
        </w:rPr>
      </w:pPr>
    </w:p>
    <w:p w14:paraId="7E0A14A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5.3</w:t>
      </w:r>
      <w:r w:rsidRPr="002C7B52">
        <w:rPr>
          <w:b/>
          <w:sz w:val="22"/>
          <w:szCs w:val="22"/>
        </w:rPr>
        <w:tab/>
        <w:t>Predklinické údaje o bezpečnosti</w:t>
      </w:r>
    </w:p>
    <w:p w14:paraId="63C7ED76" w14:textId="77777777" w:rsidR="00173B43" w:rsidRPr="002C7B52" w:rsidRDefault="00173B43">
      <w:pPr>
        <w:keepNext/>
        <w:shd w:val="clear" w:color="auto" w:fill="FFFFFF"/>
        <w:autoSpaceDE w:val="0"/>
        <w:autoSpaceDN w:val="0"/>
        <w:adjustRightInd w:val="0"/>
        <w:rPr>
          <w:sz w:val="22"/>
          <w:szCs w:val="22"/>
        </w:rPr>
      </w:pPr>
    </w:p>
    <w:p w14:paraId="07EDC620" w14:textId="77777777" w:rsidR="00173B43" w:rsidRPr="002C7B52" w:rsidRDefault="00173B43">
      <w:pPr>
        <w:shd w:val="clear" w:color="auto" w:fill="FFFFFF"/>
        <w:autoSpaceDE w:val="0"/>
        <w:autoSpaceDN w:val="0"/>
        <w:adjustRightInd w:val="0"/>
        <w:rPr>
          <w:sz w:val="22"/>
          <w:szCs w:val="22"/>
        </w:rPr>
      </w:pPr>
      <w:r w:rsidRPr="002C7B52">
        <w:rPr>
          <w:sz w:val="22"/>
          <w:szCs w:val="22"/>
        </w:rPr>
        <w:t>Predklinické údaje zo</w:t>
      </w:r>
      <w:r w:rsidR="00BE426B" w:rsidRPr="002C7B52">
        <w:rPr>
          <w:sz w:val="22"/>
          <w:szCs w:val="22"/>
        </w:rPr>
        <w:t> </w:t>
      </w:r>
      <w:r w:rsidRPr="002C7B52">
        <w:rPr>
          <w:sz w:val="22"/>
          <w:szCs w:val="22"/>
        </w:rPr>
        <w:t>štúdií akútnej toxicity a toxicity opakovaných dávok, ako aj štúdií genotoxicity, mutagenity a</w:t>
      </w:r>
      <w:r w:rsidR="00BE426B" w:rsidRPr="002C7B52">
        <w:rPr>
          <w:sz w:val="22"/>
          <w:szCs w:val="22"/>
        </w:rPr>
        <w:t> </w:t>
      </w:r>
      <w:r w:rsidRPr="002C7B52">
        <w:rPr>
          <w:sz w:val="22"/>
          <w:szCs w:val="22"/>
        </w:rPr>
        <w:t>karcinogenity s</w:t>
      </w:r>
      <w:r w:rsidR="00BE426B" w:rsidRPr="002C7B52">
        <w:rPr>
          <w:sz w:val="22"/>
          <w:szCs w:val="22"/>
        </w:rPr>
        <w:t> </w:t>
      </w:r>
      <w:r w:rsidRPr="002C7B52">
        <w:rPr>
          <w:sz w:val="22"/>
          <w:szCs w:val="22"/>
        </w:rPr>
        <w:t>diklofenakom neukázali žiadne osobitné riziko pre ľudí pri určených terapeutických dávkach. Ukázalo sa, že v</w:t>
      </w:r>
      <w:r w:rsidR="00BE426B" w:rsidRPr="002C7B52">
        <w:rPr>
          <w:sz w:val="22"/>
          <w:szCs w:val="22"/>
        </w:rPr>
        <w:t> </w:t>
      </w:r>
      <w:r w:rsidRPr="002C7B52">
        <w:rPr>
          <w:sz w:val="22"/>
          <w:szCs w:val="22"/>
        </w:rPr>
        <w:t>prípade zvierat perorálne podávanie inhibítorov syntézy prostaglandínov viedlo k zvýšeniu pre- a postimplantačných strát a</w:t>
      </w:r>
      <w:r w:rsidR="00BE426B" w:rsidRPr="002C7B52">
        <w:rPr>
          <w:sz w:val="22"/>
          <w:szCs w:val="22"/>
        </w:rPr>
        <w:t> </w:t>
      </w:r>
      <w:r w:rsidRPr="002C7B52">
        <w:rPr>
          <w:sz w:val="22"/>
          <w:szCs w:val="22"/>
        </w:rPr>
        <w:t>k</w:t>
      </w:r>
      <w:r w:rsidR="00BE426B" w:rsidRPr="002C7B52">
        <w:rPr>
          <w:sz w:val="22"/>
          <w:szCs w:val="22"/>
        </w:rPr>
        <w:t> </w:t>
      </w:r>
      <w:r w:rsidRPr="002C7B52">
        <w:rPr>
          <w:sz w:val="22"/>
          <w:szCs w:val="22"/>
        </w:rPr>
        <w:t>embryofetálnej letalite. Okrem toho boli u</w:t>
      </w:r>
      <w:r w:rsidR="00BE426B" w:rsidRPr="002C7B52">
        <w:rPr>
          <w:sz w:val="22"/>
          <w:szCs w:val="22"/>
        </w:rPr>
        <w:t> </w:t>
      </w:r>
      <w:r w:rsidRPr="002C7B52">
        <w:rPr>
          <w:sz w:val="22"/>
          <w:szCs w:val="22"/>
        </w:rPr>
        <w:t>zvierat, ktoré dostávali počas organogenézy inhibítory syntézy prostaglandínov, hlásené zvýšené incidencie rôznych malformácií vrátane kardiovaskulárnych. Tieto účinky boli vo</w:t>
      </w:r>
      <w:r w:rsidR="00BE426B" w:rsidRPr="002C7B52">
        <w:rPr>
          <w:sz w:val="22"/>
          <w:szCs w:val="22"/>
        </w:rPr>
        <w:t> </w:t>
      </w:r>
      <w:r w:rsidRPr="002C7B52">
        <w:rPr>
          <w:sz w:val="22"/>
          <w:szCs w:val="22"/>
        </w:rPr>
        <w:t>všeobecnosti pozorované pri dávkach toxických pre matku.</w:t>
      </w:r>
    </w:p>
    <w:p w14:paraId="47D66F93" w14:textId="77777777" w:rsidR="00173B43" w:rsidRPr="002C7B52" w:rsidRDefault="00173B43">
      <w:pPr>
        <w:shd w:val="clear" w:color="auto" w:fill="FFFFFF"/>
        <w:autoSpaceDE w:val="0"/>
        <w:autoSpaceDN w:val="0"/>
        <w:adjustRightInd w:val="0"/>
        <w:rPr>
          <w:sz w:val="22"/>
          <w:szCs w:val="22"/>
        </w:rPr>
      </w:pPr>
    </w:p>
    <w:p w14:paraId="08832BDA" w14:textId="77777777" w:rsidR="00173B43" w:rsidRPr="002C7B52" w:rsidRDefault="00173B43">
      <w:pPr>
        <w:shd w:val="clear" w:color="auto" w:fill="FFFFFF"/>
        <w:autoSpaceDE w:val="0"/>
        <w:autoSpaceDN w:val="0"/>
        <w:adjustRightInd w:val="0"/>
        <w:rPr>
          <w:b/>
          <w:sz w:val="22"/>
          <w:szCs w:val="22"/>
        </w:rPr>
      </w:pPr>
    </w:p>
    <w:p w14:paraId="2B360EAE"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w:t>
      </w:r>
      <w:r w:rsidRPr="002C7B52">
        <w:rPr>
          <w:b/>
          <w:sz w:val="22"/>
          <w:szCs w:val="22"/>
        </w:rPr>
        <w:tab/>
        <w:t>FARMACEUTICKÉ INFORMÁCIE</w:t>
      </w:r>
    </w:p>
    <w:p w14:paraId="53DE03CC" w14:textId="77777777" w:rsidR="00173B43" w:rsidRPr="002C7B52" w:rsidRDefault="00173B43">
      <w:pPr>
        <w:keepNext/>
        <w:shd w:val="clear" w:color="auto" w:fill="FFFFFF"/>
        <w:autoSpaceDE w:val="0"/>
        <w:autoSpaceDN w:val="0"/>
        <w:adjustRightInd w:val="0"/>
        <w:rPr>
          <w:b/>
          <w:sz w:val="22"/>
          <w:szCs w:val="22"/>
        </w:rPr>
      </w:pPr>
    </w:p>
    <w:p w14:paraId="07449A1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6.1</w:t>
      </w:r>
      <w:r w:rsidRPr="002C7B52">
        <w:rPr>
          <w:b/>
          <w:sz w:val="22"/>
          <w:szCs w:val="22"/>
        </w:rPr>
        <w:tab/>
        <w:t>Zoznam pomocných látok</w:t>
      </w:r>
    </w:p>
    <w:p w14:paraId="6DD8ADFC" w14:textId="77777777" w:rsidR="00173B43" w:rsidRPr="002C7B52" w:rsidRDefault="00173B43">
      <w:pPr>
        <w:keepNext/>
        <w:shd w:val="clear" w:color="auto" w:fill="FFFFFF"/>
        <w:autoSpaceDE w:val="0"/>
        <w:autoSpaceDN w:val="0"/>
        <w:adjustRightInd w:val="0"/>
        <w:rPr>
          <w:sz w:val="22"/>
          <w:szCs w:val="22"/>
          <w:u w:val="single"/>
        </w:rPr>
      </w:pPr>
    </w:p>
    <w:p w14:paraId="2C9794E2"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t xml:space="preserve">Obsah kapsuly: </w:t>
      </w:r>
    </w:p>
    <w:p w14:paraId="4E377126" w14:textId="77777777" w:rsidR="00173B43" w:rsidRPr="002C7B52" w:rsidRDefault="00173B43">
      <w:pPr>
        <w:shd w:val="clear" w:color="auto" w:fill="FFFFFF"/>
        <w:autoSpaceDE w:val="0"/>
        <w:autoSpaceDN w:val="0"/>
        <w:adjustRightInd w:val="0"/>
        <w:rPr>
          <w:sz w:val="22"/>
          <w:szCs w:val="22"/>
        </w:rPr>
      </w:pPr>
      <w:r w:rsidRPr="002C7B52">
        <w:rPr>
          <w:sz w:val="22"/>
          <w:szCs w:val="22"/>
        </w:rPr>
        <w:t>makrogol 600</w:t>
      </w:r>
    </w:p>
    <w:p w14:paraId="3FFCB0D9" w14:textId="77777777" w:rsidR="00173B43" w:rsidRPr="002C7B52" w:rsidRDefault="00173B43">
      <w:pPr>
        <w:shd w:val="clear" w:color="auto" w:fill="FFFFFF"/>
        <w:autoSpaceDE w:val="0"/>
        <w:autoSpaceDN w:val="0"/>
        <w:adjustRightInd w:val="0"/>
        <w:rPr>
          <w:sz w:val="22"/>
          <w:szCs w:val="22"/>
        </w:rPr>
      </w:pPr>
      <w:r w:rsidRPr="002C7B52">
        <w:rPr>
          <w:sz w:val="22"/>
          <w:szCs w:val="22"/>
        </w:rPr>
        <w:t>glycerol, bezvodý</w:t>
      </w:r>
    </w:p>
    <w:p w14:paraId="5C1939D7" w14:textId="77777777" w:rsidR="00173B43" w:rsidRPr="002C7B52" w:rsidRDefault="00173B43">
      <w:pPr>
        <w:shd w:val="clear" w:color="auto" w:fill="FFFFFF"/>
        <w:autoSpaceDE w:val="0"/>
        <w:autoSpaceDN w:val="0"/>
        <w:adjustRightInd w:val="0"/>
        <w:rPr>
          <w:sz w:val="22"/>
          <w:szCs w:val="22"/>
        </w:rPr>
      </w:pPr>
      <w:r w:rsidRPr="002C7B52">
        <w:rPr>
          <w:sz w:val="22"/>
          <w:szCs w:val="22"/>
        </w:rPr>
        <w:t>čistená voda</w:t>
      </w:r>
    </w:p>
    <w:p w14:paraId="4ECCD21C" w14:textId="77777777" w:rsidR="00173B43" w:rsidRPr="002C7B52" w:rsidRDefault="00173B43">
      <w:pPr>
        <w:shd w:val="clear" w:color="auto" w:fill="FFFFFF"/>
        <w:autoSpaceDE w:val="0"/>
        <w:autoSpaceDN w:val="0"/>
        <w:adjustRightInd w:val="0"/>
        <w:rPr>
          <w:sz w:val="22"/>
          <w:szCs w:val="22"/>
        </w:rPr>
      </w:pPr>
    </w:p>
    <w:p w14:paraId="22A55052" w14:textId="77777777" w:rsidR="00173B43" w:rsidRPr="002C7B52" w:rsidRDefault="00173B43">
      <w:pPr>
        <w:shd w:val="clear" w:color="auto" w:fill="FFFFFF"/>
        <w:autoSpaceDE w:val="0"/>
        <w:autoSpaceDN w:val="0"/>
        <w:adjustRightInd w:val="0"/>
        <w:rPr>
          <w:sz w:val="22"/>
          <w:szCs w:val="22"/>
          <w:u w:val="single"/>
        </w:rPr>
      </w:pPr>
      <w:r w:rsidRPr="002C7B52">
        <w:rPr>
          <w:sz w:val="22"/>
          <w:szCs w:val="22"/>
          <w:u w:val="single"/>
        </w:rPr>
        <w:lastRenderedPageBreak/>
        <w:t>Obal kapsuly:</w:t>
      </w:r>
    </w:p>
    <w:p w14:paraId="3B070C97" w14:textId="77777777" w:rsidR="00173B43" w:rsidRPr="002C7B52" w:rsidRDefault="00173B43">
      <w:pPr>
        <w:shd w:val="clear" w:color="auto" w:fill="FFFFFF"/>
        <w:autoSpaceDE w:val="0"/>
        <w:autoSpaceDN w:val="0"/>
        <w:adjustRightInd w:val="0"/>
        <w:rPr>
          <w:sz w:val="22"/>
          <w:szCs w:val="22"/>
        </w:rPr>
      </w:pPr>
      <w:r w:rsidRPr="002C7B52">
        <w:rPr>
          <w:sz w:val="22"/>
          <w:szCs w:val="22"/>
        </w:rPr>
        <w:t>želatína</w:t>
      </w:r>
    </w:p>
    <w:p w14:paraId="187ADC8B" w14:textId="77777777" w:rsidR="00173B43" w:rsidRPr="002C7B52" w:rsidRDefault="00173B43">
      <w:pPr>
        <w:shd w:val="clear" w:color="auto" w:fill="FFFFFF"/>
        <w:autoSpaceDE w:val="0"/>
        <w:autoSpaceDN w:val="0"/>
        <w:adjustRightInd w:val="0"/>
        <w:rPr>
          <w:sz w:val="22"/>
          <w:szCs w:val="22"/>
        </w:rPr>
      </w:pPr>
      <w:r w:rsidRPr="002C7B52">
        <w:rPr>
          <w:sz w:val="22"/>
          <w:szCs w:val="22"/>
        </w:rPr>
        <w:t>glycerol, bezvodý</w:t>
      </w:r>
    </w:p>
    <w:p w14:paraId="3C6B7240" w14:textId="77777777" w:rsidR="00173B43" w:rsidRPr="002C7B52" w:rsidRDefault="00173B43">
      <w:pPr>
        <w:shd w:val="clear" w:color="auto" w:fill="FFFFFF"/>
        <w:autoSpaceDE w:val="0"/>
        <w:autoSpaceDN w:val="0"/>
        <w:adjustRightInd w:val="0"/>
        <w:rPr>
          <w:sz w:val="22"/>
          <w:szCs w:val="22"/>
        </w:rPr>
      </w:pPr>
      <w:r w:rsidRPr="002C7B52">
        <w:rPr>
          <w:sz w:val="22"/>
          <w:szCs w:val="22"/>
        </w:rPr>
        <w:t>sorbitol tekutý, čiastočne dehydratovaný (E420)</w:t>
      </w:r>
    </w:p>
    <w:p w14:paraId="010ACC1C" w14:textId="77777777" w:rsidR="00173B43" w:rsidRPr="002C7B52" w:rsidRDefault="00173B43">
      <w:pPr>
        <w:shd w:val="clear" w:color="auto" w:fill="FFFFFF"/>
        <w:autoSpaceDE w:val="0"/>
        <w:autoSpaceDN w:val="0"/>
        <w:adjustRightInd w:val="0"/>
        <w:rPr>
          <w:sz w:val="22"/>
          <w:szCs w:val="22"/>
        </w:rPr>
      </w:pPr>
      <w:r w:rsidRPr="002C7B52">
        <w:rPr>
          <w:sz w:val="22"/>
          <w:szCs w:val="22"/>
        </w:rPr>
        <w:t>čistená voda</w:t>
      </w:r>
    </w:p>
    <w:p w14:paraId="1644ECE5" w14:textId="77777777" w:rsidR="00173B43" w:rsidRPr="002C7B52" w:rsidRDefault="00173B43">
      <w:pPr>
        <w:shd w:val="clear" w:color="auto" w:fill="FFFFFF"/>
        <w:autoSpaceDE w:val="0"/>
        <w:autoSpaceDN w:val="0"/>
        <w:adjustRightInd w:val="0"/>
        <w:rPr>
          <w:sz w:val="22"/>
          <w:szCs w:val="22"/>
        </w:rPr>
      </w:pPr>
      <w:r w:rsidRPr="002C7B52">
        <w:rPr>
          <w:sz w:val="22"/>
          <w:szCs w:val="22"/>
        </w:rPr>
        <w:t>hydroxypropylbetadex</w:t>
      </w:r>
    </w:p>
    <w:p w14:paraId="6D40D2CC" w14:textId="77777777" w:rsidR="00173B43" w:rsidRPr="002C7B52" w:rsidRDefault="00173B43">
      <w:pPr>
        <w:shd w:val="clear" w:color="auto" w:fill="FFFFFF"/>
        <w:autoSpaceDE w:val="0"/>
        <w:autoSpaceDN w:val="0"/>
        <w:adjustRightInd w:val="0"/>
        <w:rPr>
          <w:sz w:val="22"/>
          <w:szCs w:val="22"/>
        </w:rPr>
      </w:pPr>
      <w:r w:rsidRPr="002C7B52">
        <w:rPr>
          <w:sz w:val="22"/>
          <w:szCs w:val="22"/>
        </w:rPr>
        <w:t>hydroxid sodný</w:t>
      </w:r>
    </w:p>
    <w:p w14:paraId="6AE3DDFF" w14:textId="77777777" w:rsidR="00173B43" w:rsidRPr="002C7B52" w:rsidRDefault="00173B43">
      <w:pPr>
        <w:shd w:val="clear" w:color="auto" w:fill="FFFFFF"/>
        <w:autoSpaceDE w:val="0"/>
        <w:autoSpaceDN w:val="0"/>
        <w:adjustRightInd w:val="0"/>
        <w:rPr>
          <w:b/>
          <w:sz w:val="22"/>
          <w:szCs w:val="22"/>
        </w:rPr>
      </w:pPr>
    </w:p>
    <w:p w14:paraId="42C867DD"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6.2</w:t>
      </w:r>
      <w:r w:rsidRPr="002C7B52">
        <w:rPr>
          <w:b/>
          <w:sz w:val="22"/>
          <w:szCs w:val="22"/>
        </w:rPr>
        <w:tab/>
        <w:t>Inkompatibility</w:t>
      </w:r>
    </w:p>
    <w:p w14:paraId="1D45563D" w14:textId="77777777" w:rsidR="00173B43" w:rsidRPr="002C7B52" w:rsidRDefault="00173B43">
      <w:pPr>
        <w:keepNext/>
        <w:shd w:val="clear" w:color="auto" w:fill="FFFFFF"/>
        <w:autoSpaceDE w:val="0"/>
        <w:autoSpaceDN w:val="0"/>
        <w:adjustRightInd w:val="0"/>
        <w:rPr>
          <w:iCs/>
          <w:sz w:val="22"/>
          <w:szCs w:val="22"/>
        </w:rPr>
      </w:pPr>
    </w:p>
    <w:p w14:paraId="080A2A8B" w14:textId="77777777" w:rsidR="00173B43" w:rsidRPr="002C7B52" w:rsidRDefault="00173B43">
      <w:pPr>
        <w:shd w:val="clear" w:color="auto" w:fill="FFFFFF"/>
        <w:autoSpaceDE w:val="0"/>
        <w:autoSpaceDN w:val="0"/>
        <w:adjustRightInd w:val="0"/>
        <w:rPr>
          <w:iCs/>
          <w:sz w:val="22"/>
          <w:szCs w:val="22"/>
        </w:rPr>
      </w:pPr>
      <w:r w:rsidRPr="002C7B52">
        <w:rPr>
          <w:iCs/>
          <w:sz w:val="22"/>
          <w:szCs w:val="22"/>
        </w:rPr>
        <w:t>Neaplikovateľné.</w:t>
      </w:r>
    </w:p>
    <w:p w14:paraId="090EDBCF" w14:textId="77777777" w:rsidR="00173B43" w:rsidRPr="002C7B52" w:rsidRDefault="00173B43">
      <w:pPr>
        <w:shd w:val="clear" w:color="auto" w:fill="FFFFFF"/>
        <w:autoSpaceDE w:val="0"/>
        <w:autoSpaceDN w:val="0"/>
        <w:adjustRightInd w:val="0"/>
        <w:rPr>
          <w:b/>
          <w:sz w:val="22"/>
          <w:szCs w:val="22"/>
        </w:rPr>
      </w:pPr>
    </w:p>
    <w:p w14:paraId="1A13485A"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6.3</w:t>
      </w:r>
      <w:r w:rsidRPr="002C7B52">
        <w:rPr>
          <w:b/>
          <w:sz w:val="22"/>
          <w:szCs w:val="22"/>
        </w:rPr>
        <w:tab/>
        <w:t>Čas použiteľnosti</w:t>
      </w:r>
    </w:p>
    <w:p w14:paraId="70CB685A" w14:textId="77777777" w:rsidR="00173B43" w:rsidRPr="002C7B52" w:rsidRDefault="00173B43">
      <w:pPr>
        <w:keepNext/>
        <w:shd w:val="clear" w:color="auto" w:fill="FFFFFF"/>
        <w:autoSpaceDE w:val="0"/>
        <w:autoSpaceDN w:val="0"/>
        <w:adjustRightInd w:val="0"/>
        <w:rPr>
          <w:iCs/>
          <w:sz w:val="22"/>
          <w:szCs w:val="22"/>
        </w:rPr>
      </w:pPr>
    </w:p>
    <w:p w14:paraId="466F45B9" w14:textId="24307067" w:rsidR="00173B43" w:rsidRPr="002C7B52" w:rsidRDefault="002556D1">
      <w:pPr>
        <w:shd w:val="clear" w:color="auto" w:fill="FFFFFF"/>
        <w:autoSpaceDE w:val="0"/>
        <w:autoSpaceDN w:val="0"/>
        <w:adjustRightInd w:val="0"/>
        <w:rPr>
          <w:iCs/>
          <w:sz w:val="22"/>
          <w:szCs w:val="22"/>
        </w:rPr>
      </w:pPr>
      <w:r>
        <w:rPr>
          <w:iCs/>
          <w:sz w:val="22"/>
          <w:szCs w:val="22"/>
        </w:rPr>
        <w:t>3 roky</w:t>
      </w:r>
    </w:p>
    <w:p w14:paraId="35D29BF4" w14:textId="77777777" w:rsidR="00173B43" w:rsidRPr="002C7B52" w:rsidRDefault="00173B43">
      <w:pPr>
        <w:shd w:val="clear" w:color="auto" w:fill="FFFFFF"/>
        <w:autoSpaceDE w:val="0"/>
        <w:autoSpaceDN w:val="0"/>
        <w:adjustRightInd w:val="0"/>
        <w:rPr>
          <w:b/>
          <w:sz w:val="22"/>
          <w:szCs w:val="22"/>
        </w:rPr>
      </w:pPr>
    </w:p>
    <w:p w14:paraId="6BB5BFFF"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6.4</w:t>
      </w:r>
      <w:r w:rsidRPr="002C7B52">
        <w:rPr>
          <w:b/>
          <w:sz w:val="22"/>
          <w:szCs w:val="22"/>
        </w:rPr>
        <w:tab/>
        <w:t>Špeciálne upozornenia na uchovávanie</w:t>
      </w:r>
    </w:p>
    <w:p w14:paraId="36938A1B" w14:textId="77777777" w:rsidR="00173B43" w:rsidRPr="002C7B52" w:rsidRDefault="00173B43">
      <w:pPr>
        <w:keepNext/>
        <w:shd w:val="clear" w:color="auto" w:fill="FFFFFF"/>
        <w:autoSpaceDE w:val="0"/>
        <w:autoSpaceDN w:val="0"/>
        <w:adjustRightInd w:val="0"/>
        <w:rPr>
          <w:sz w:val="22"/>
          <w:szCs w:val="22"/>
        </w:rPr>
      </w:pPr>
    </w:p>
    <w:p w14:paraId="5525FA02" w14:textId="77777777" w:rsidR="00173B43" w:rsidRPr="002C7B52" w:rsidRDefault="00173B43" w:rsidP="00B5584B">
      <w:pPr>
        <w:rPr>
          <w:sz w:val="22"/>
          <w:szCs w:val="22"/>
        </w:rPr>
      </w:pPr>
      <w:r w:rsidRPr="002C7B52">
        <w:rPr>
          <w:rStyle w:val="A2"/>
          <w:b w:val="0"/>
          <w:sz w:val="22"/>
          <w:szCs w:val="22"/>
        </w:rPr>
        <w:t xml:space="preserve">Uchovávajte pri teplote do </w:t>
      </w:r>
      <w:r w:rsidRPr="002C7B52">
        <w:rPr>
          <w:noProof/>
          <w:sz w:val="22"/>
          <w:szCs w:val="22"/>
        </w:rPr>
        <w:t>25</w:t>
      </w:r>
      <w:r w:rsidR="00BE426B" w:rsidRPr="002C7B52">
        <w:rPr>
          <w:noProof/>
          <w:sz w:val="22"/>
          <w:szCs w:val="22"/>
        </w:rPr>
        <w:t> </w:t>
      </w:r>
      <w:r w:rsidRPr="002C7B52">
        <w:rPr>
          <w:noProof/>
          <w:sz w:val="22"/>
          <w:szCs w:val="22"/>
        </w:rPr>
        <w:sym w:font="Symbol" w:char="F0B0"/>
      </w:r>
      <w:r w:rsidRPr="002C7B52">
        <w:rPr>
          <w:noProof/>
          <w:sz w:val="22"/>
          <w:szCs w:val="22"/>
        </w:rPr>
        <w:t>C.</w:t>
      </w:r>
    </w:p>
    <w:p w14:paraId="2CF51484" w14:textId="77777777" w:rsidR="00173B43" w:rsidRPr="002C7B52" w:rsidRDefault="00173B43">
      <w:pPr>
        <w:shd w:val="clear" w:color="auto" w:fill="FFFFFF"/>
        <w:autoSpaceDE w:val="0"/>
        <w:autoSpaceDN w:val="0"/>
        <w:adjustRightInd w:val="0"/>
        <w:rPr>
          <w:sz w:val="22"/>
          <w:szCs w:val="22"/>
        </w:rPr>
      </w:pPr>
      <w:r w:rsidRPr="002C7B52">
        <w:rPr>
          <w:sz w:val="22"/>
          <w:szCs w:val="22"/>
        </w:rPr>
        <w:t>Uchovávajte v</w:t>
      </w:r>
      <w:r w:rsidR="00BE426B" w:rsidRPr="002C7B52">
        <w:rPr>
          <w:sz w:val="22"/>
          <w:szCs w:val="22"/>
        </w:rPr>
        <w:t> </w:t>
      </w:r>
      <w:r w:rsidRPr="002C7B52">
        <w:rPr>
          <w:sz w:val="22"/>
          <w:szCs w:val="22"/>
        </w:rPr>
        <w:t>pôvodnom obale na ochranu pred svetlom a</w:t>
      </w:r>
      <w:r w:rsidR="00BE426B" w:rsidRPr="002C7B52">
        <w:rPr>
          <w:sz w:val="22"/>
          <w:szCs w:val="22"/>
        </w:rPr>
        <w:t> </w:t>
      </w:r>
      <w:r w:rsidRPr="002C7B52">
        <w:rPr>
          <w:sz w:val="22"/>
          <w:szCs w:val="22"/>
        </w:rPr>
        <w:t>vlhkosťou.</w:t>
      </w:r>
    </w:p>
    <w:p w14:paraId="5120D41C" w14:textId="77777777" w:rsidR="00173B43" w:rsidRPr="002C7B52" w:rsidRDefault="00173B43">
      <w:pPr>
        <w:shd w:val="clear" w:color="auto" w:fill="FFFFFF"/>
        <w:autoSpaceDE w:val="0"/>
        <w:autoSpaceDN w:val="0"/>
        <w:adjustRightInd w:val="0"/>
        <w:rPr>
          <w:b/>
          <w:sz w:val="22"/>
          <w:szCs w:val="22"/>
        </w:rPr>
      </w:pPr>
    </w:p>
    <w:p w14:paraId="73760CF0"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6.5</w:t>
      </w:r>
      <w:r w:rsidRPr="002C7B52">
        <w:rPr>
          <w:b/>
          <w:sz w:val="22"/>
          <w:szCs w:val="22"/>
        </w:rPr>
        <w:tab/>
        <w:t>Druh obalu a</w:t>
      </w:r>
      <w:r w:rsidR="00BE426B" w:rsidRPr="002C7B52">
        <w:rPr>
          <w:b/>
          <w:sz w:val="22"/>
          <w:szCs w:val="22"/>
        </w:rPr>
        <w:t> </w:t>
      </w:r>
      <w:r w:rsidRPr="002C7B52">
        <w:rPr>
          <w:b/>
          <w:sz w:val="22"/>
          <w:szCs w:val="22"/>
        </w:rPr>
        <w:t>obsah balenia</w:t>
      </w:r>
    </w:p>
    <w:p w14:paraId="12DB3A11" w14:textId="77777777" w:rsidR="00173B43" w:rsidRPr="002C7B52" w:rsidRDefault="00173B43">
      <w:pPr>
        <w:keepNext/>
        <w:shd w:val="clear" w:color="auto" w:fill="FFFFFF"/>
        <w:autoSpaceDE w:val="0"/>
        <w:autoSpaceDN w:val="0"/>
        <w:adjustRightInd w:val="0"/>
        <w:rPr>
          <w:sz w:val="22"/>
          <w:szCs w:val="22"/>
        </w:rPr>
      </w:pPr>
    </w:p>
    <w:p w14:paraId="7F4F60C9" w14:textId="77777777" w:rsidR="00173B43" w:rsidRPr="002C7B52" w:rsidRDefault="00173B43">
      <w:pPr>
        <w:shd w:val="clear" w:color="auto" w:fill="FFFFFF"/>
        <w:autoSpaceDE w:val="0"/>
        <w:autoSpaceDN w:val="0"/>
        <w:adjustRightInd w:val="0"/>
        <w:rPr>
          <w:sz w:val="22"/>
          <w:szCs w:val="22"/>
        </w:rPr>
      </w:pPr>
      <w:r w:rsidRPr="002C7B52">
        <w:rPr>
          <w:sz w:val="22"/>
          <w:szCs w:val="22"/>
        </w:rPr>
        <w:t>Biely nepriehľadný blister z</w:t>
      </w:r>
      <w:r w:rsidR="00BE426B" w:rsidRPr="002C7B52">
        <w:rPr>
          <w:sz w:val="22"/>
          <w:szCs w:val="22"/>
        </w:rPr>
        <w:t> </w:t>
      </w:r>
      <w:r w:rsidRPr="002C7B52">
        <w:rPr>
          <w:sz w:val="22"/>
          <w:szCs w:val="22"/>
        </w:rPr>
        <w:t>PVC/PE/PVDC/ALU.</w:t>
      </w:r>
    </w:p>
    <w:p w14:paraId="2340EB38" w14:textId="77777777" w:rsidR="00173B43" w:rsidRPr="002C7B52" w:rsidRDefault="00173B43">
      <w:pPr>
        <w:shd w:val="clear" w:color="auto" w:fill="FFFFFF"/>
        <w:autoSpaceDE w:val="0"/>
        <w:autoSpaceDN w:val="0"/>
        <w:adjustRightInd w:val="0"/>
        <w:rPr>
          <w:sz w:val="22"/>
          <w:szCs w:val="22"/>
        </w:rPr>
      </w:pPr>
    </w:p>
    <w:p w14:paraId="0C8C81EA" w14:textId="0BCCFAF2" w:rsidR="00173B43" w:rsidRPr="00DF0BF4" w:rsidRDefault="008266F6">
      <w:pPr>
        <w:shd w:val="clear" w:color="auto" w:fill="FFFFFF"/>
        <w:autoSpaceDE w:val="0"/>
        <w:autoSpaceDN w:val="0"/>
        <w:adjustRightInd w:val="0"/>
        <w:rPr>
          <w:i/>
          <w:sz w:val="22"/>
          <w:szCs w:val="22"/>
        </w:rPr>
      </w:pPr>
      <w:r w:rsidRPr="00332CF3">
        <w:rPr>
          <w:i/>
          <w:iCs/>
          <w:sz w:val="22"/>
          <w:szCs w:val="22"/>
        </w:rPr>
        <w:t>F</w:t>
      </w:r>
      <w:r w:rsidR="002E6A09">
        <w:rPr>
          <w:i/>
          <w:iCs/>
          <w:sz w:val="22"/>
          <w:szCs w:val="22"/>
        </w:rPr>
        <w:t>LECTOR</w:t>
      </w:r>
      <w:r w:rsidR="008C5D12">
        <w:rPr>
          <w:i/>
          <w:iCs/>
          <w:sz w:val="22"/>
          <w:szCs w:val="22"/>
        </w:rPr>
        <w:t> </w:t>
      </w:r>
      <w:r w:rsidRPr="00332CF3">
        <w:rPr>
          <w:i/>
          <w:iCs/>
          <w:sz w:val="22"/>
          <w:szCs w:val="22"/>
        </w:rPr>
        <w:t>EP</w:t>
      </w:r>
      <w:r w:rsidR="00173B43" w:rsidRPr="00DF0BF4">
        <w:rPr>
          <w:i/>
          <w:sz w:val="22"/>
          <w:szCs w:val="22"/>
        </w:rPr>
        <w:t> 12,5 mg mäkké kapsuly</w:t>
      </w:r>
    </w:p>
    <w:p w14:paraId="056094D3" w14:textId="77777777" w:rsidR="00173B43" w:rsidRPr="002C7B52" w:rsidRDefault="00173B43">
      <w:pPr>
        <w:shd w:val="clear" w:color="auto" w:fill="FFFFFF"/>
        <w:autoSpaceDE w:val="0"/>
        <w:autoSpaceDN w:val="0"/>
        <w:adjustRightInd w:val="0"/>
        <w:rPr>
          <w:sz w:val="22"/>
          <w:szCs w:val="22"/>
        </w:rPr>
      </w:pPr>
      <w:r w:rsidRPr="002C7B52">
        <w:rPr>
          <w:sz w:val="22"/>
          <w:szCs w:val="22"/>
        </w:rPr>
        <w:t>10, 20, 30 a 40 mäkkých kapsúl</w:t>
      </w:r>
    </w:p>
    <w:p w14:paraId="653A1993" w14:textId="77777777" w:rsidR="00173B43" w:rsidRPr="002C7B52" w:rsidRDefault="00173B43">
      <w:pPr>
        <w:shd w:val="clear" w:color="auto" w:fill="FFFFFF"/>
        <w:autoSpaceDE w:val="0"/>
        <w:autoSpaceDN w:val="0"/>
        <w:adjustRightInd w:val="0"/>
        <w:rPr>
          <w:sz w:val="22"/>
          <w:szCs w:val="22"/>
        </w:rPr>
      </w:pPr>
    </w:p>
    <w:p w14:paraId="00F3FBB7" w14:textId="51C3BE60" w:rsidR="00173B43" w:rsidRPr="00332CF3" w:rsidRDefault="00DF0BF4">
      <w:pPr>
        <w:shd w:val="clear" w:color="auto" w:fill="FFFFFF"/>
        <w:autoSpaceDE w:val="0"/>
        <w:autoSpaceDN w:val="0"/>
        <w:adjustRightInd w:val="0"/>
        <w:rPr>
          <w:i/>
          <w:iCs/>
          <w:sz w:val="22"/>
          <w:szCs w:val="22"/>
          <w:shd w:val="clear" w:color="auto" w:fill="CCCCCC"/>
        </w:rPr>
      </w:pPr>
      <w:r w:rsidRPr="00332CF3">
        <w:rPr>
          <w:i/>
          <w:iCs/>
          <w:sz w:val="22"/>
          <w:szCs w:val="22"/>
        </w:rPr>
        <w:t>F</w:t>
      </w:r>
      <w:r w:rsidR="002E6A09">
        <w:rPr>
          <w:i/>
          <w:iCs/>
          <w:sz w:val="22"/>
          <w:szCs w:val="22"/>
        </w:rPr>
        <w:t>LECTOR</w:t>
      </w:r>
      <w:r w:rsidR="008C5D12">
        <w:rPr>
          <w:i/>
          <w:iCs/>
          <w:sz w:val="22"/>
          <w:szCs w:val="22"/>
        </w:rPr>
        <w:t> </w:t>
      </w:r>
      <w:r w:rsidRPr="00332CF3">
        <w:rPr>
          <w:i/>
          <w:iCs/>
          <w:sz w:val="22"/>
          <w:szCs w:val="22"/>
        </w:rPr>
        <w:t>EP</w:t>
      </w:r>
      <w:r w:rsidR="00173B43" w:rsidRPr="00DF0BF4">
        <w:rPr>
          <w:i/>
          <w:sz w:val="22"/>
          <w:szCs w:val="22"/>
        </w:rPr>
        <w:t> 25 mg mäkké kapsuly</w:t>
      </w:r>
    </w:p>
    <w:p w14:paraId="2B0C50C2" w14:textId="77777777" w:rsidR="00173B43" w:rsidRPr="002C7B52" w:rsidRDefault="00173B43">
      <w:pPr>
        <w:shd w:val="clear" w:color="auto" w:fill="FFFFFF"/>
        <w:autoSpaceDE w:val="0"/>
        <w:autoSpaceDN w:val="0"/>
        <w:adjustRightInd w:val="0"/>
        <w:rPr>
          <w:b/>
          <w:sz w:val="22"/>
          <w:szCs w:val="22"/>
        </w:rPr>
      </w:pPr>
      <w:r w:rsidRPr="002C7B52">
        <w:rPr>
          <w:sz w:val="22"/>
          <w:szCs w:val="22"/>
        </w:rPr>
        <w:t>10 alebo 20 mäkkých kapsúl</w:t>
      </w:r>
    </w:p>
    <w:p w14:paraId="1282DB94" w14:textId="77777777" w:rsidR="00173B43" w:rsidRPr="002C7B52" w:rsidRDefault="00173B43">
      <w:pPr>
        <w:shd w:val="clear" w:color="auto" w:fill="FFFFFF"/>
        <w:autoSpaceDE w:val="0"/>
        <w:autoSpaceDN w:val="0"/>
        <w:adjustRightInd w:val="0"/>
        <w:rPr>
          <w:sz w:val="22"/>
          <w:szCs w:val="22"/>
        </w:rPr>
      </w:pPr>
    </w:p>
    <w:p w14:paraId="412E651D" w14:textId="77777777" w:rsidR="00173B43" w:rsidRPr="002C7B52" w:rsidRDefault="00173B43">
      <w:pPr>
        <w:shd w:val="clear" w:color="auto" w:fill="FFFFFF"/>
        <w:autoSpaceDE w:val="0"/>
        <w:autoSpaceDN w:val="0"/>
        <w:adjustRightInd w:val="0"/>
        <w:rPr>
          <w:sz w:val="22"/>
          <w:szCs w:val="22"/>
        </w:rPr>
      </w:pPr>
      <w:r w:rsidRPr="002C7B52">
        <w:rPr>
          <w:sz w:val="22"/>
          <w:szCs w:val="22"/>
        </w:rPr>
        <w:t>Na trh nemusia byť uvedené všetky veľkosti balenia.</w:t>
      </w:r>
    </w:p>
    <w:p w14:paraId="2BE9EF67" w14:textId="77777777" w:rsidR="00173B43" w:rsidRPr="002C7B52" w:rsidRDefault="00173B43">
      <w:pPr>
        <w:shd w:val="clear" w:color="auto" w:fill="FFFFFF"/>
        <w:autoSpaceDE w:val="0"/>
        <w:autoSpaceDN w:val="0"/>
        <w:adjustRightInd w:val="0"/>
        <w:rPr>
          <w:sz w:val="22"/>
          <w:szCs w:val="22"/>
        </w:rPr>
      </w:pPr>
    </w:p>
    <w:p w14:paraId="489206C1"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6.6</w:t>
      </w:r>
      <w:r w:rsidRPr="002C7B52">
        <w:rPr>
          <w:b/>
          <w:sz w:val="22"/>
          <w:szCs w:val="22"/>
        </w:rPr>
        <w:tab/>
        <w:t>Špeciálne opatrenia na likvidáciu a iné zaobchádzanie s liekom</w:t>
      </w:r>
    </w:p>
    <w:p w14:paraId="2519E6C4" w14:textId="77777777" w:rsidR="00173B43" w:rsidRPr="002C7B52" w:rsidRDefault="00173B43">
      <w:pPr>
        <w:keepNext/>
        <w:shd w:val="clear" w:color="auto" w:fill="FFFFFF"/>
        <w:autoSpaceDE w:val="0"/>
        <w:autoSpaceDN w:val="0"/>
        <w:adjustRightInd w:val="0"/>
        <w:rPr>
          <w:sz w:val="22"/>
          <w:szCs w:val="22"/>
        </w:rPr>
      </w:pPr>
    </w:p>
    <w:p w14:paraId="6DB6C012" w14:textId="77777777" w:rsidR="00173B43" w:rsidRPr="002C7B52" w:rsidRDefault="00173B43">
      <w:pPr>
        <w:shd w:val="clear" w:color="auto" w:fill="FFFFFF"/>
        <w:autoSpaceDE w:val="0"/>
        <w:autoSpaceDN w:val="0"/>
        <w:adjustRightInd w:val="0"/>
        <w:rPr>
          <w:sz w:val="22"/>
          <w:szCs w:val="22"/>
        </w:rPr>
      </w:pPr>
      <w:r w:rsidRPr="002C7B52">
        <w:rPr>
          <w:sz w:val="22"/>
          <w:szCs w:val="22"/>
        </w:rPr>
        <w:t>Žiadne špeciálne požiadavky.</w:t>
      </w:r>
    </w:p>
    <w:p w14:paraId="16F36EB3" w14:textId="77777777" w:rsidR="00173B43" w:rsidRPr="002C7B52" w:rsidRDefault="00173B43">
      <w:pPr>
        <w:shd w:val="clear" w:color="auto" w:fill="FFFFFF"/>
        <w:autoSpaceDE w:val="0"/>
        <w:autoSpaceDN w:val="0"/>
        <w:adjustRightInd w:val="0"/>
        <w:rPr>
          <w:sz w:val="22"/>
          <w:szCs w:val="22"/>
        </w:rPr>
      </w:pPr>
    </w:p>
    <w:p w14:paraId="13EA7BC2" w14:textId="77777777" w:rsidR="00173B43" w:rsidRPr="002C7B52" w:rsidRDefault="00173B43">
      <w:pPr>
        <w:shd w:val="clear" w:color="auto" w:fill="FFFFFF"/>
        <w:autoSpaceDE w:val="0"/>
        <w:autoSpaceDN w:val="0"/>
        <w:adjustRightInd w:val="0"/>
        <w:rPr>
          <w:sz w:val="22"/>
          <w:szCs w:val="22"/>
        </w:rPr>
      </w:pPr>
    </w:p>
    <w:p w14:paraId="259A73D5"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7.</w:t>
      </w:r>
      <w:r w:rsidRPr="002C7B52">
        <w:rPr>
          <w:b/>
          <w:sz w:val="22"/>
          <w:szCs w:val="22"/>
        </w:rPr>
        <w:tab/>
        <w:t>DRŽITEĽ ROZHODNUTIA O REGISTRÁCII</w:t>
      </w:r>
    </w:p>
    <w:p w14:paraId="315A6841" w14:textId="77777777" w:rsidR="00173B43" w:rsidRPr="002C7B52" w:rsidRDefault="00173B43">
      <w:pPr>
        <w:keepNext/>
        <w:shd w:val="clear" w:color="auto" w:fill="FFFFFF"/>
        <w:autoSpaceDE w:val="0"/>
        <w:autoSpaceDN w:val="0"/>
        <w:adjustRightInd w:val="0"/>
        <w:rPr>
          <w:sz w:val="22"/>
          <w:szCs w:val="22"/>
        </w:rPr>
      </w:pPr>
    </w:p>
    <w:p w14:paraId="745E5017" w14:textId="77777777" w:rsidR="00C11208" w:rsidRPr="00FC3397" w:rsidRDefault="00C11208" w:rsidP="00C11208">
      <w:pPr>
        <w:tabs>
          <w:tab w:val="left" w:pos="1560"/>
        </w:tabs>
        <w:overflowPunct w:val="0"/>
        <w:autoSpaceDE w:val="0"/>
        <w:autoSpaceDN w:val="0"/>
        <w:adjustRightInd w:val="0"/>
        <w:textAlignment w:val="baseline"/>
        <w:rPr>
          <w:sz w:val="22"/>
          <w:szCs w:val="22"/>
          <w:lang w:val="it-CH" w:eastAsia="fr-FR"/>
        </w:rPr>
      </w:pPr>
      <w:r w:rsidRPr="00FC3397">
        <w:rPr>
          <w:sz w:val="22"/>
          <w:szCs w:val="22"/>
        </w:rPr>
        <w:t xml:space="preserve">IBSA </w:t>
      </w:r>
      <w:r>
        <w:rPr>
          <w:sz w:val="22"/>
          <w:szCs w:val="22"/>
        </w:rPr>
        <w:t>Slovakia s.r.o.</w:t>
      </w:r>
    </w:p>
    <w:p w14:paraId="61337153" w14:textId="77777777" w:rsidR="00C11208" w:rsidRPr="00FC3397" w:rsidRDefault="00C11208" w:rsidP="00C11208">
      <w:pPr>
        <w:tabs>
          <w:tab w:val="left" w:pos="1560"/>
        </w:tabs>
        <w:overflowPunct w:val="0"/>
        <w:autoSpaceDE w:val="0"/>
        <w:autoSpaceDN w:val="0"/>
        <w:adjustRightInd w:val="0"/>
        <w:textAlignment w:val="baseline"/>
        <w:rPr>
          <w:sz w:val="22"/>
          <w:szCs w:val="22"/>
          <w:lang w:val="it-CH" w:eastAsia="fr-FR"/>
        </w:rPr>
      </w:pPr>
      <w:r>
        <w:rPr>
          <w:sz w:val="22"/>
          <w:szCs w:val="22"/>
        </w:rPr>
        <w:t>Mýtna 42, 811 05 Bratislava</w:t>
      </w:r>
    </w:p>
    <w:p w14:paraId="0D8F5772" w14:textId="77777777" w:rsidR="00173B43" w:rsidRPr="002C7B52" w:rsidRDefault="00C11208">
      <w:pPr>
        <w:shd w:val="clear" w:color="auto" w:fill="FFFFFF"/>
        <w:autoSpaceDE w:val="0"/>
        <w:autoSpaceDN w:val="0"/>
        <w:adjustRightInd w:val="0"/>
        <w:rPr>
          <w:sz w:val="22"/>
          <w:szCs w:val="22"/>
        </w:rPr>
      </w:pPr>
      <w:r>
        <w:rPr>
          <w:sz w:val="22"/>
          <w:szCs w:val="22"/>
        </w:rPr>
        <w:t>Slovenská republika</w:t>
      </w:r>
    </w:p>
    <w:p w14:paraId="4F1A5F2B" w14:textId="77777777" w:rsidR="00173B43" w:rsidRDefault="00173B43">
      <w:pPr>
        <w:shd w:val="clear" w:color="auto" w:fill="FFFFFF"/>
        <w:autoSpaceDE w:val="0"/>
        <w:autoSpaceDN w:val="0"/>
        <w:adjustRightInd w:val="0"/>
        <w:rPr>
          <w:sz w:val="22"/>
          <w:szCs w:val="22"/>
        </w:rPr>
      </w:pPr>
    </w:p>
    <w:p w14:paraId="41C1DBA6" w14:textId="77777777" w:rsidR="00C11208" w:rsidRPr="002C7B52" w:rsidRDefault="00C11208">
      <w:pPr>
        <w:shd w:val="clear" w:color="auto" w:fill="FFFFFF"/>
        <w:autoSpaceDE w:val="0"/>
        <w:autoSpaceDN w:val="0"/>
        <w:adjustRightInd w:val="0"/>
        <w:rPr>
          <w:sz w:val="22"/>
          <w:szCs w:val="22"/>
        </w:rPr>
      </w:pPr>
    </w:p>
    <w:p w14:paraId="45143FC7"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8.</w:t>
      </w:r>
      <w:r w:rsidRPr="002C7B52">
        <w:rPr>
          <w:b/>
          <w:sz w:val="22"/>
          <w:szCs w:val="22"/>
        </w:rPr>
        <w:tab/>
        <w:t xml:space="preserve">REGISTRAČNÉ ČÍSLO (ČÍSLA) </w:t>
      </w:r>
    </w:p>
    <w:p w14:paraId="34DF9248" w14:textId="77777777" w:rsidR="00173B43" w:rsidRPr="002C7B52" w:rsidRDefault="00173B43">
      <w:pPr>
        <w:keepNext/>
        <w:shd w:val="clear" w:color="auto" w:fill="FFFFFF"/>
        <w:autoSpaceDE w:val="0"/>
        <w:autoSpaceDN w:val="0"/>
        <w:adjustRightInd w:val="0"/>
        <w:rPr>
          <w:sz w:val="22"/>
          <w:szCs w:val="22"/>
        </w:rPr>
      </w:pPr>
    </w:p>
    <w:p w14:paraId="7FFB9797" w14:textId="5D6B4602" w:rsidR="00173B43" w:rsidRPr="002C7B52" w:rsidRDefault="00DF0BF4">
      <w:pPr>
        <w:shd w:val="clear" w:color="auto" w:fill="FFFFFF"/>
        <w:autoSpaceDE w:val="0"/>
        <w:autoSpaceDN w:val="0"/>
        <w:adjustRightInd w:val="0"/>
        <w:rPr>
          <w:sz w:val="22"/>
          <w:szCs w:val="22"/>
        </w:rPr>
      </w:pPr>
      <w:r>
        <w:rPr>
          <w:iCs/>
          <w:sz w:val="22"/>
          <w:szCs w:val="22"/>
        </w:rPr>
        <w:t>F</w:t>
      </w:r>
      <w:r w:rsidR="002E6A09">
        <w:rPr>
          <w:iCs/>
          <w:sz w:val="22"/>
          <w:szCs w:val="22"/>
        </w:rPr>
        <w:t>LECTOR</w:t>
      </w:r>
      <w:r w:rsidR="008C5D12">
        <w:rPr>
          <w:iCs/>
          <w:sz w:val="22"/>
          <w:szCs w:val="22"/>
        </w:rPr>
        <w:t> </w:t>
      </w:r>
      <w:r>
        <w:rPr>
          <w:iCs/>
          <w:sz w:val="22"/>
          <w:szCs w:val="22"/>
        </w:rPr>
        <w:t>EP</w:t>
      </w:r>
      <w:r w:rsidR="00173B43" w:rsidRPr="002C7B52">
        <w:rPr>
          <w:sz w:val="22"/>
          <w:szCs w:val="22"/>
        </w:rPr>
        <w:t xml:space="preserve"> 12,5 mg mäkké kapsuly:</w:t>
      </w:r>
      <w:r w:rsidR="002978FB" w:rsidRPr="002C7B52">
        <w:rPr>
          <w:sz w:val="22"/>
          <w:szCs w:val="22"/>
        </w:rPr>
        <w:t xml:space="preserve"> 29/0249/17-S</w:t>
      </w:r>
    </w:p>
    <w:p w14:paraId="71F367F9" w14:textId="7769B275" w:rsidR="00173B43" w:rsidRPr="002C7B52" w:rsidRDefault="00DF0BF4">
      <w:pPr>
        <w:shd w:val="clear" w:color="auto" w:fill="FFFFFF"/>
        <w:autoSpaceDE w:val="0"/>
        <w:autoSpaceDN w:val="0"/>
        <w:adjustRightInd w:val="0"/>
        <w:rPr>
          <w:sz w:val="22"/>
          <w:szCs w:val="22"/>
        </w:rPr>
      </w:pPr>
      <w:r>
        <w:rPr>
          <w:iCs/>
          <w:sz w:val="22"/>
          <w:szCs w:val="22"/>
        </w:rPr>
        <w:t>F</w:t>
      </w:r>
      <w:r w:rsidR="002E6A09">
        <w:rPr>
          <w:iCs/>
          <w:sz w:val="22"/>
          <w:szCs w:val="22"/>
        </w:rPr>
        <w:t>LECTOR</w:t>
      </w:r>
      <w:r w:rsidR="008C5D12">
        <w:rPr>
          <w:iCs/>
          <w:sz w:val="22"/>
          <w:szCs w:val="22"/>
        </w:rPr>
        <w:t> </w:t>
      </w:r>
      <w:r>
        <w:rPr>
          <w:iCs/>
          <w:sz w:val="22"/>
          <w:szCs w:val="22"/>
        </w:rPr>
        <w:t>EP</w:t>
      </w:r>
      <w:r w:rsidR="00173B43" w:rsidRPr="002C7B52">
        <w:rPr>
          <w:sz w:val="22"/>
          <w:szCs w:val="22"/>
        </w:rPr>
        <w:t xml:space="preserve"> 25 mg mäkké kapsuly:</w:t>
      </w:r>
      <w:r w:rsidR="00173B43" w:rsidRPr="002C7B52">
        <w:rPr>
          <w:sz w:val="22"/>
          <w:szCs w:val="22"/>
        </w:rPr>
        <w:tab/>
      </w:r>
      <w:r w:rsidR="002978FB" w:rsidRPr="002C7B52">
        <w:rPr>
          <w:sz w:val="22"/>
          <w:szCs w:val="22"/>
        </w:rPr>
        <w:t>29/02</w:t>
      </w:r>
      <w:r w:rsidR="00023E6D" w:rsidRPr="002C7B52">
        <w:rPr>
          <w:sz w:val="22"/>
          <w:szCs w:val="22"/>
        </w:rPr>
        <w:t>50</w:t>
      </w:r>
      <w:r w:rsidR="002978FB" w:rsidRPr="002C7B52">
        <w:rPr>
          <w:sz w:val="22"/>
          <w:szCs w:val="22"/>
        </w:rPr>
        <w:t>/17-S</w:t>
      </w:r>
    </w:p>
    <w:p w14:paraId="21E8BFDC" w14:textId="77777777" w:rsidR="00173B43" w:rsidRPr="002C7B52" w:rsidRDefault="00173B43">
      <w:pPr>
        <w:shd w:val="clear" w:color="auto" w:fill="FFFFFF"/>
        <w:autoSpaceDE w:val="0"/>
        <w:autoSpaceDN w:val="0"/>
        <w:adjustRightInd w:val="0"/>
        <w:rPr>
          <w:sz w:val="22"/>
          <w:szCs w:val="22"/>
        </w:rPr>
      </w:pPr>
    </w:p>
    <w:p w14:paraId="79150CE5" w14:textId="77777777" w:rsidR="00173B43" w:rsidRPr="002C7B52" w:rsidRDefault="00173B43">
      <w:pPr>
        <w:shd w:val="clear" w:color="auto" w:fill="FFFFFF"/>
        <w:autoSpaceDE w:val="0"/>
        <w:autoSpaceDN w:val="0"/>
        <w:adjustRightInd w:val="0"/>
        <w:rPr>
          <w:sz w:val="22"/>
          <w:szCs w:val="22"/>
        </w:rPr>
      </w:pPr>
    </w:p>
    <w:p w14:paraId="379CB350"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t>9.</w:t>
      </w:r>
      <w:r w:rsidRPr="002C7B52">
        <w:rPr>
          <w:b/>
          <w:sz w:val="22"/>
          <w:szCs w:val="22"/>
        </w:rPr>
        <w:tab/>
        <w:t>DÁTUM PRVEJ REGISTRÁCIE/PREDĹŽENIA REGISTRÁCIE</w:t>
      </w:r>
    </w:p>
    <w:p w14:paraId="1197E34D" w14:textId="77777777" w:rsidR="00173B43" w:rsidRPr="002C7B52" w:rsidRDefault="00173B43">
      <w:pPr>
        <w:keepNext/>
        <w:shd w:val="clear" w:color="auto" w:fill="FFFFFF"/>
        <w:autoSpaceDE w:val="0"/>
        <w:autoSpaceDN w:val="0"/>
        <w:adjustRightInd w:val="0"/>
        <w:rPr>
          <w:i/>
          <w:sz w:val="22"/>
          <w:szCs w:val="22"/>
        </w:rPr>
      </w:pPr>
    </w:p>
    <w:p w14:paraId="0AF7AF48" w14:textId="77777777" w:rsidR="00173B43" w:rsidRPr="002C7B52" w:rsidRDefault="00173B43">
      <w:pPr>
        <w:shd w:val="clear" w:color="auto" w:fill="FFFFFF"/>
        <w:autoSpaceDE w:val="0"/>
        <w:autoSpaceDN w:val="0"/>
        <w:adjustRightInd w:val="0"/>
        <w:rPr>
          <w:sz w:val="22"/>
          <w:szCs w:val="22"/>
        </w:rPr>
      </w:pPr>
      <w:r w:rsidRPr="002C7B52">
        <w:rPr>
          <w:sz w:val="22"/>
          <w:szCs w:val="22"/>
        </w:rPr>
        <w:t xml:space="preserve">Dátum prvej registrácie: </w:t>
      </w:r>
      <w:r w:rsidR="00F73E1E" w:rsidRPr="002C7B52">
        <w:rPr>
          <w:sz w:val="22"/>
          <w:szCs w:val="22"/>
        </w:rPr>
        <w:t>25. októbra 2017</w:t>
      </w:r>
    </w:p>
    <w:p w14:paraId="5B0C1A5F" w14:textId="77777777" w:rsidR="00173B43" w:rsidRPr="002C7B52" w:rsidRDefault="00173B43">
      <w:pPr>
        <w:shd w:val="clear" w:color="auto" w:fill="FFFFFF"/>
        <w:autoSpaceDE w:val="0"/>
        <w:autoSpaceDN w:val="0"/>
        <w:adjustRightInd w:val="0"/>
        <w:rPr>
          <w:sz w:val="22"/>
          <w:szCs w:val="22"/>
        </w:rPr>
      </w:pPr>
    </w:p>
    <w:p w14:paraId="7A5C97B5" w14:textId="77777777" w:rsidR="00173B43" w:rsidRPr="002C7B52" w:rsidRDefault="00173B43">
      <w:pPr>
        <w:shd w:val="clear" w:color="auto" w:fill="FFFFFF"/>
        <w:autoSpaceDE w:val="0"/>
        <w:autoSpaceDN w:val="0"/>
        <w:adjustRightInd w:val="0"/>
        <w:rPr>
          <w:sz w:val="22"/>
          <w:szCs w:val="22"/>
        </w:rPr>
      </w:pPr>
    </w:p>
    <w:p w14:paraId="4D34FBDB" w14:textId="77777777" w:rsidR="00173B43" w:rsidRPr="002C7B52" w:rsidRDefault="00173B43">
      <w:pPr>
        <w:keepNext/>
        <w:shd w:val="clear" w:color="auto" w:fill="FFFFFF"/>
        <w:tabs>
          <w:tab w:val="left" w:pos="567"/>
        </w:tabs>
        <w:autoSpaceDE w:val="0"/>
        <w:autoSpaceDN w:val="0"/>
        <w:adjustRightInd w:val="0"/>
        <w:ind w:left="567" w:hanging="567"/>
        <w:rPr>
          <w:b/>
          <w:sz w:val="22"/>
          <w:szCs w:val="22"/>
        </w:rPr>
      </w:pPr>
      <w:r w:rsidRPr="002C7B52">
        <w:rPr>
          <w:b/>
          <w:sz w:val="22"/>
          <w:szCs w:val="22"/>
        </w:rPr>
        <w:lastRenderedPageBreak/>
        <w:t>10.</w:t>
      </w:r>
      <w:r w:rsidRPr="002C7B52">
        <w:rPr>
          <w:b/>
          <w:sz w:val="22"/>
          <w:szCs w:val="22"/>
        </w:rPr>
        <w:tab/>
        <w:t>DÁTUM REVÍZIE TEXTU</w:t>
      </w:r>
    </w:p>
    <w:p w14:paraId="04AED934" w14:textId="77777777" w:rsidR="00173B43" w:rsidRPr="002C7B52" w:rsidRDefault="00173B43">
      <w:pPr>
        <w:keepNext/>
        <w:shd w:val="clear" w:color="auto" w:fill="FFFFFF"/>
        <w:autoSpaceDE w:val="0"/>
        <w:autoSpaceDN w:val="0"/>
        <w:adjustRightInd w:val="0"/>
        <w:rPr>
          <w:sz w:val="22"/>
          <w:szCs w:val="22"/>
        </w:rPr>
      </w:pPr>
    </w:p>
    <w:p w14:paraId="42CF4ECC" w14:textId="17574A2C" w:rsidR="00173B43" w:rsidRPr="002C7B52" w:rsidRDefault="002E6A09">
      <w:pPr>
        <w:shd w:val="clear" w:color="auto" w:fill="FFFFFF"/>
        <w:autoSpaceDE w:val="0"/>
        <w:autoSpaceDN w:val="0"/>
        <w:adjustRightInd w:val="0"/>
        <w:rPr>
          <w:sz w:val="22"/>
          <w:szCs w:val="22"/>
        </w:rPr>
      </w:pPr>
      <w:r>
        <w:rPr>
          <w:sz w:val="22"/>
          <w:szCs w:val="22"/>
        </w:rPr>
        <w:t>04</w:t>
      </w:r>
      <w:r w:rsidR="00173B43" w:rsidRPr="002C7B52">
        <w:rPr>
          <w:sz w:val="22"/>
          <w:szCs w:val="22"/>
        </w:rPr>
        <w:t>/201</w:t>
      </w:r>
      <w:r w:rsidR="00E77011">
        <w:rPr>
          <w:sz w:val="22"/>
          <w:szCs w:val="22"/>
        </w:rPr>
        <w:t>9</w:t>
      </w:r>
    </w:p>
    <w:sectPr w:rsidR="00173B43" w:rsidRPr="002C7B52" w:rsidSect="00F73E1E">
      <w:headerReference w:type="even" r:id="rId9"/>
      <w:headerReference w:type="default" r:id="rId10"/>
      <w:footerReference w:type="default" r:id="rId11"/>
      <w:headerReference w:type="first" r:id="rId12"/>
      <w:pgSz w:w="11907" w:h="16840" w:code="9"/>
      <w:pgMar w:top="1134" w:right="1418" w:bottom="1134" w:left="1418" w:header="737" w:footer="737" w:gutter="0"/>
      <w:pgNumType w:start="1"/>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4A8F0" w14:textId="77777777" w:rsidR="00646495" w:rsidRDefault="00646495">
      <w:r>
        <w:separator/>
      </w:r>
    </w:p>
  </w:endnote>
  <w:endnote w:type="continuationSeparator" w:id="0">
    <w:p w14:paraId="711B077C" w14:textId="77777777" w:rsidR="00646495" w:rsidRDefault="0064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0886865"/>
      <w:docPartObj>
        <w:docPartGallery w:val="Page Numbers (Bottom of Page)"/>
        <w:docPartUnique/>
      </w:docPartObj>
    </w:sdtPr>
    <w:sdtEndPr>
      <w:rPr>
        <w:sz w:val="18"/>
        <w:szCs w:val="18"/>
      </w:rPr>
    </w:sdtEndPr>
    <w:sdtContent>
      <w:p w14:paraId="546C9ACD" w14:textId="3525AF67" w:rsidR="002C7B52" w:rsidRDefault="007E3941" w:rsidP="00332CF3">
        <w:pPr>
          <w:pStyle w:val="Pta"/>
          <w:jc w:val="center"/>
        </w:pPr>
        <w:r w:rsidRPr="00ED0FAD">
          <w:rPr>
            <w:sz w:val="18"/>
            <w:szCs w:val="18"/>
          </w:rPr>
          <w:fldChar w:fldCharType="begin"/>
        </w:r>
        <w:r w:rsidRPr="00ED0FAD">
          <w:rPr>
            <w:sz w:val="18"/>
            <w:szCs w:val="18"/>
          </w:rPr>
          <w:instrText>PAGE   \* MERGEFORMAT</w:instrText>
        </w:r>
        <w:r w:rsidRPr="00ED0FAD">
          <w:rPr>
            <w:sz w:val="18"/>
            <w:szCs w:val="18"/>
          </w:rPr>
          <w:fldChar w:fldCharType="separate"/>
        </w:r>
        <w:r w:rsidR="00332CF3">
          <w:rPr>
            <w:noProof/>
            <w:sz w:val="18"/>
            <w:szCs w:val="18"/>
          </w:rPr>
          <w:t>12</w:t>
        </w:r>
        <w:r w:rsidRPr="00ED0FAD">
          <w:rPr>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389D56" w14:textId="77777777" w:rsidR="00646495" w:rsidRDefault="00646495">
      <w:r>
        <w:separator/>
      </w:r>
    </w:p>
  </w:footnote>
  <w:footnote w:type="continuationSeparator" w:id="0">
    <w:p w14:paraId="1CFBCC79" w14:textId="77777777" w:rsidR="00646495" w:rsidRDefault="00646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21F83" w14:textId="77777777" w:rsidR="00173B43" w:rsidRDefault="00EF11E4">
    <w:pPr>
      <w:pStyle w:val="Hlavika"/>
    </w:pPr>
    <w:r>
      <w:rPr>
        <w:rStyle w:val="slostrany"/>
      </w:rPr>
      <w:fldChar w:fldCharType="begin"/>
    </w:r>
    <w:r w:rsidR="00173B43">
      <w:rPr>
        <w:rStyle w:val="slostrany"/>
      </w:rPr>
      <w:instrText xml:space="preserve"> PAGE </w:instrText>
    </w:r>
    <w:r>
      <w:rPr>
        <w:rStyle w:val="slostrany"/>
      </w:rPr>
      <w:fldChar w:fldCharType="separate"/>
    </w:r>
    <w:r w:rsidR="00173B43">
      <w:rPr>
        <w:rStyle w:val="slostrany"/>
        <w:noProof/>
      </w:rPr>
      <w:t>11</w:t>
    </w:r>
    <w:r>
      <w:rPr>
        <w:rStyle w:val="slostrany"/>
      </w:rPr>
      <w:fldChar w:fldCharType="end"/>
    </w:r>
    <w:r>
      <w:rPr>
        <w:rStyle w:val="slostrany"/>
      </w:rPr>
      <w:fldChar w:fldCharType="begin"/>
    </w:r>
    <w:r w:rsidR="00173B43">
      <w:rPr>
        <w:rStyle w:val="slostrany"/>
      </w:rPr>
      <w:instrText xml:space="preserve"> PAGE </w:instrText>
    </w:r>
    <w:r>
      <w:rPr>
        <w:rStyle w:val="slostrany"/>
      </w:rPr>
      <w:fldChar w:fldCharType="separate"/>
    </w:r>
    <w:r w:rsidR="00173B43">
      <w:rPr>
        <w:rStyle w:val="slostrany"/>
        <w:noProof/>
      </w:rPr>
      <w:t>11</w:t>
    </w:r>
    <w:r>
      <w:rPr>
        <w:rStyle w:val="slostrany"/>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73A9E" w14:textId="1971931E" w:rsidR="00C11208" w:rsidRDefault="002556D1">
    <w:pPr>
      <w:pStyle w:val="Hlavika"/>
    </w:pPr>
    <w:r>
      <w:rPr>
        <w:sz w:val="18"/>
        <w:szCs w:val="18"/>
      </w:rPr>
      <w:t xml:space="preserve">Príloha č. </w:t>
    </w:r>
    <w:r w:rsidR="008C7203">
      <w:rPr>
        <w:sz w:val="18"/>
        <w:szCs w:val="18"/>
      </w:rPr>
      <w:t>2</w:t>
    </w:r>
    <w:r>
      <w:rPr>
        <w:sz w:val="18"/>
        <w:szCs w:val="18"/>
      </w:rPr>
      <w:t xml:space="preserve"> k notifikácii o zmene, ev.</w:t>
    </w:r>
    <w:r w:rsidR="007D56DA">
      <w:rPr>
        <w:sz w:val="18"/>
        <w:szCs w:val="18"/>
      </w:rPr>
      <w:t xml:space="preserve"> </w:t>
    </w:r>
    <w:r>
      <w:rPr>
        <w:sz w:val="18"/>
        <w:szCs w:val="18"/>
      </w:rPr>
      <w:t>č.: 201</w:t>
    </w:r>
    <w:r w:rsidR="008C7203">
      <w:rPr>
        <w:sz w:val="18"/>
        <w:szCs w:val="18"/>
      </w:rPr>
      <w:t>9</w:t>
    </w:r>
    <w:r>
      <w:rPr>
        <w:sz w:val="18"/>
        <w:szCs w:val="18"/>
      </w:rPr>
      <w:t>/0</w:t>
    </w:r>
    <w:r w:rsidR="00821228">
      <w:rPr>
        <w:sz w:val="18"/>
        <w:szCs w:val="18"/>
      </w:rPr>
      <w:t>0775</w:t>
    </w:r>
    <w:r>
      <w:rPr>
        <w:sz w:val="18"/>
        <w:szCs w:val="18"/>
      </w:rPr>
      <w:t>-Z1B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0204" w14:textId="77777777" w:rsidR="00173B43" w:rsidRPr="00523201" w:rsidRDefault="00173B43" w:rsidP="008C2CFD">
    <w:pPr>
      <w:pStyle w:val="Hlavika"/>
      <w:rPr>
        <w:sz w:val="18"/>
        <w:szCs w:val="18"/>
      </w:rPr>
    </w:pPr>
    <w:r w:rsidRPr="00523201">
      <w:rPr>
        <w:sz w:val="18"/>
        <w:szCs w:val="18"/>
      </w:rPr>
      <w:t>Schválený text k rozhodnutiu o registrácii, ev.</w:t>
    </w:r>
    <w:r>
      <w:rPr>
        <w:sz w:val="18"/>
        <w:szCs w:val="18"/>
      </w:rPr>
      <w:t xml:space="preserve"> </w:t>
    </w:r>
    <w:r w:rsidRPr="00523201">
      <w:rPr>
        <w:sz w:val="18"/>
        <w:szCs w:val="18"/>
      </w:rPr>
      <w:t>č.: 201</w:t>
    </w:r>
    <w:r w:rsidR="00CE3A0F" w:rsidRPr="00D91F8B">
      <w:rPr>
        <w:sz w:val="18"/>
        <w:szCs w:val="18"/>
      </w:rPr>
      <w:t>5/04745-REG</w:t>
    </w:r>
    <w:r w:rsidR="00890FEF">
      <w:rPr>
        <w:sz w:val="18"/>
        <w:szCs w:val="18"/>
      </w:rPr>
      <w:t xml:space="preserve">, </w:t>
    </w:r>
    <w:r w:rsidR="00CE3A0F" w:rsidRPr="00D91F8B">
      <w:rPr>
        <w:sz w:val="18"/>
        <w:szCs w:val="18"/>
      </w:rPr>
      <w:t>2015/04746-REG</w:t>
    </w:r>
  </w:p>
  <w:p w14:paraId="77C52605" w14:textId="77777777" w:rsidR="00173B43" w:rsidRDefault="00173B4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00005"/>
    <w:name w:val="WW8Num5"/>
    <w:lvl w:ilvl="0">
      <w:start w:val="1"/>
      <w:numFmt w:val="bullet"/>
      <w:lvlText w:val="·"/>
      <w:lvlJc w:val="left"/>
      <w:pPr>
        <w:tabs>
          <w:tab w:val="num" w:pos="454"/>
        </w:tabs>
        <w:ind w:left="454" w:hanging="454"/>
      </w:pPr>
      <w:rPr>
        <w:rFonts w:ascii="Symbol" w:hAnsi="Symbol"/>
      </w:rPr>
    </w:lvl>
  </w:abstractNum>
  <w:abstractNum w:abstractNumId="1">
    <w:nsid w:val="03231231"/>
    <w:multiLevelType w:val="hybridMultilevel"/>
    <w:tmpl w:val="29585A5A"/>
    <w:lvl w:ilvl="0" w:tplc="6FFC76A6">
      <w:start w:val="1"/>
      <w:numFmt w:val="bullet"/>
      <w:lvlRestart w:val="0"/>
      <w:pStyle w:val="-1"/>
      <w:lvlText w:val="-"/>
      <w:lvlJc w:val="left"/>
      <w:pPr>
        <w:tabs>
          <w:tab w:val="num" w:pos="0"/>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341EA2"/>
    <w:multiLevelType w:val="hybridMultilevel"/>
    <w:tmpl w:val="7E3669E0"/>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05C76064"/>
    <w:multiLevelType w:val="hybridMultilevel"/>
    <w:tmpl w:val="308E09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3F844FB"/>
    <w:multiLevelType w:val="hybridMultilevel"/>
    <w:tmpl w:val="04463110"/>
    <w:lvl w:ilvl="0" w:tplc="46965B28">
      <w:numFmt w:val="bullet"/>
      <w:lvlText w:val="-"/>
      <w:lvlJc w:val="left"/>
      <w:pPr>
        <w:tabs>
          <w:tab w:val="num" w:pos="1260"/>
        </w:tabs>
        <w:ind w:left="1260" w:hanging="360"/>
      </w:pPr>
      <w:rPr>
        <w:rFonts w:ascii="Times New Roman" w:eastAsia="Times New Roman" w:hAnsi="Times New Roman"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5">
    <w:nsid w:val="1551002B"/>
    <w:multiLevelType w:val="hybridMultilevel"/>
    <w:tmpl w:val="28D83BF8"/>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15AF0D53"/>
    <w:multiLevelType w:val="hybridMultilevel"/>
    <w:tmpl w:val="C690333C"/>
    <w:lvl w:ilvl="0" w:tplc="E9FCF90C">
      <w:numFmt w:val="bullet"/>
      <w:pStyle w:val="elenco2"/>
      <w:lvlText w:val="-"/>
      <w:lvlJc w:val="left"/>
      <w:pPr>
        <w:tabs>
          <w:tab w:val="num" w:pos="2016"/>
        </w:tabs>
        <w:ind w:left="2016" w:hanging="360"/>
      </w:pPr>
      <w:rPr>
        <w:rFonts w:ascii="Times New Roman" w:eastAsia="Times New Roman" w:hAnsi="Times New Roman" w:hint="default"/>
      </w:rPr>
    </w:lvl>
    <w:lvl w:ilvl="1" w:tplc="F0BE4060" w:tentative="1">
      <w:start w:val="1"/>
      <w:numFmt w:val="bullet"/>
      <w:lvlText w:val="o"/>
      <w:lvlJc w:val="left"/>
      <w:pPr>
        <w:tabs>
          <w:tab w:val="num" w:pos="2736"/>
        </w:tabs>
        <w:ind w:left="2736" w:hanging="360"/>
      </w:pPr>
      <w:rPr>
        <w:rFonts w:ascii="Courier New" w:hAnsi="Courier New" w:hint="default"/>
      </w:rPr>
    </w:lvl>
    <w:lvl w:ilvl="2" w:tplc="2B608A0C" w:tentative="1">
      <w:start w:val="1"/>
      <w:numFmt w:val="bullet"/>
      <w:lvlText w:val=""/>
      <w:lvlJc w:val="left"/>
      <w:pPr>
        <w:tabs>
          <w:tab w:val="num" w:pos="3456"/>
        </w:tabs>
        <w:ind w:left="3456" w:hanging="360"/>
      </w:pPr>
      <w:rPr>
        <w:rFonts w:ascii="Wingdings" w:hAnsi="Wingdings" w:hint="default"/>
      </w:rPr>
    </w:lvl>
    <w:lvl w:ilvl="3" w:tplc="59B4A7BA" w:tentative="1">
      <w:start w:val="1"/>
      <w:numFmt w:val="bullet"/>
      <w:lvlText w:val=""/>
      <w:lvlJc w:val="left"/>
      <w:pPr>
        <w:tabs>
          <w:tab w:val="num" w:pos="4176"/>
        </w:tabs>
        <w:ind w:left="4176" w:hanging="360"/>
      </w:pPr>
      <w:rPr>
        <w:rFonts w:ascii="Symbol" w:hAnsi="Symbol" w:hint="default"/>
      </w:rPr>
    </w:lvl>
    <w:lvl w:ilvl="4" w:tplc="06A651D0" w:tentative="1">
      <w:start w:val="1"/>
      <w:numFmt w:val="bullet"/>
      <w:lvlText w:val="o"/>
      <w:lvlJc w:val="left"/>
      <w:pPr>
        <w:tabs>
          <w:tab w:val="num" w:pos="4896"/>
        </w:tabs>
        <w:ind w:left="4896" w:hanging="360"/>
      </w:pPr>
      <w:rPr>
        <w:rFonts w:ascii="Courier New" w:hAnsi="Courier New" w:hint="default"/>
      </w:rPr>
    </w:lvl>
    <w:lvl w:ilvl="5" w:tplc="20D63ACC" w:tentative="1">
      <w:start w:val="1"/>
      <w:numFmt w:val="bullet"/>
      <w:lvlText w:val=""/>
      <w:lvlJc w:val="left"/>
      <w:pPr>
        <w:tabs>
          <w:tab w:val="num" w:pos="5616"/>
        </w:tabs>
        <w:ind w:left="5616" w:hanging="360"/>
      </w:pPr>
      <w:rPr>
        <w:rFonts w:ascii="Wingdings" w:hAnsi="Wingdings" w:hint="default"/>
      </w:rPr>
    </w:lvl>
    <w:lvl w:ilvl="6" w:tplc="2C227C72" w:tentative="1">
      <w:start w:val="1"/>
      <w:numFmt w:val="bullet"/>
      <w:lvlText w:val=""/>
      <w:lvlJc w:val="left"/>
      <w:pPr>
        <w:tabs>
          <w:tab w:val="num" w:pos="6336"/>
        </w:tabs>
        <w:ind w:left="6336" w:hanging="360"/>
      </w:pPr>
      <w:rPr>
        <w:rFonts w:ascii="Symbol" w:hAnsi="Symbol" w:hint="default"/>
      </w:rPr>
    </w:lvl>
    <w:lvl w:ilvl="7" w:tplc="96E8B532" w:tentative="1">
      <w:start w:val="1"/>
      <w:numFmt w:val="bullet"/>
      <w:lvlText w:val="o"/>
      <w:lvlJc w:val="left"/>
      <w:pPr>
        <w:tabs>
          <w:tab w:val="num" w:pos="7056"/>
        </w:tabs>
        <w:ind w:left="7056" w:hanging="360"/>
      </w:pPr>
      <w:rPr>
        <w:rFonts w:ascii="Courier New" w:hAnsi="Courier New" w:hint="default"/>
      </w:rPr>
    </w:lvl>
    <w:lvl w:ilvl="8" w:tplc="E03018DC" w:tentative="1">
      <w:start w:val="1"/>
      <w:numFmt w:val="bullet"/>
      <w:lvlText w:val=""/>
      <w:lvlJc w:val="left"/>
      <w:pPr>
        <w:tabs>
          <w:tab w:val="num" w:pos="7776"/>
        </w:tabs>
        <w:ind w:left="7776" w:hanging="360"/>
      </w:pPr>
      <w:rPr>
        <w:rFonts w:ascii="Wingdings" w:hAnsi="Wingdings" w:hint="default"/>
      </w:rPr>
    </w:lvl>
  </w:abstractNum>
  <w:abstractNum w:abstractNumId="7">
    <w:nsid w:val="16AF6DF4"/>
    <w:multiLevelType w:val="hybridMultilevel"/>
    <w:tmpl w:val="13CA72F6"/>
    <w:lvl w:ilvl="0" w:tplc="D3FCFEF2">
      <w:start w:val="4"/>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2B830EF8"/>
    <w:multiLevelType w:val="hybridMultilevel"/>
    <w:tmpl w:val="E3720710"/>
    <w:lvl w:ilvl="0" w:tplc="E34C7894">
      <w:start w:val="26"/>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2B854FE9"/>
    <w:multiLevelType w:val="hybridMultilevel"/>
    <w:tmpl w:val="A2E2221C"/>
    <w:lvl w:ilvl="0" w:tplc="D0863356">
      <w:start w:val="1"/>
      <w:numFmt w:val="bullet"/>
      <w:lvlText w:val=""/>
      <w:lvlJc w:val="left"/>
      <w:pPr>
        <w:tabs>
          <w:tab w:val="num" w:pos="720"/>
        </w:tabs>
        <w:ind w:left="720" w:hanging="360"/>
      </w:pPr>
      <w:rPr>
        <w:rFonts w:ascii="Symbol" w:hAnsi="Symbol" w:hint="default"/>
        <w:sz w:val="22"/>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0">
    <w:nsid w:val="3B113D7F"/>
    <w:multiLevelType w:val="hybridMultilevel"/>
    <w:tmpl w:val="0FBCF18A"/>
    <w:lvl w:ilvl="0" w:tplc="34F6336C">
      <w:numFmt w:val="bullet"/>
      <w:lvlText w:val="-"/>
      <w:lvlJc w:val="left"/>
      <w:pPr>
        <w:tabs>
          <w:tab w:val="num" w:pos="644"/>
        </w:tabs>
        <w:ind w:left="644" w:hanging="360"/>
      </w:pPr>
      <w:rPr>
        <w:rFonts w:ascii="Times New Roman" w:eastAsia="Times New Roman" w:hAnsi="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nsid w:val="3D5C3436"/>
    <w:multiLevelType w:val="hybridMultilevel"/>
    <w:tmpl w:val="6BFC1C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421F5467"/>
    <w:multiLevelType w:val="hybridMultilevel"/>
    <w:tmpl w:val="DA0E0452"/>
    <w:lvl w:ilvl="0" w:tplc="03F65DE2">
      <w:start w:val="1"/>
      <w:numFmt w:val="bullet"/>
      <w:lvlText w:val=""/>
      <w:lvlJc w:val="left"/>
      <w:pPr>
        <w:tabs>
          <w:tab w:val="num" w:pos="720"/>
        </w:tabs>
        <w:ind w:left="720" w:hanging="360"/>
      </w:pPr>
      <w:rPr>
        <w:rFonts w:ascii="Symbol" w:hAnsi="Symbol" w:hint="default"/>
        <w:color w:val="auto"/>
        <w:sz w:val="22"/>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nsid w:val="440D74EE"/>
    <w:multiLevelType w:val="hybridMultilevel"/>
    <w:tmpl w:val="636ED594"/>
    <w:lvl w:ilvl="0" w:tplc="46965B28">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nsid w:val="538E4139"/>
    <w:multiLevelType w:val="hybridMultilevel"/>
    <w:tmpl w:val="DD84AC1A"/>
    <w:lvl w:ilvl="0" w:tplc="583C5A8A">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E53A6C"/>
    <w:multiLevelType w:val="hybridMultilevel"/>
    <w:tmpl w:val="C366CC36"/>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6">
    <w:nsid w:val="5B9243E9"/>
    <w:multiLevelType w:val="hybridMultilevel"/>
    <w:tmpl w:val="7C44A462"/>
    <w:lvl w:ilvl="0" w:tplc="5D9ED914">
      <w:start w:val="4"/>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24F1D74"/>
    <w:multiLevelType w:val="hybridMultilevel"/>
    <w:tmpl w:val="3E96792A"/>
    <w:lvl w:ilvl="0" w:tplc="DE04014E">
      <w:start w:val="1"/>
      <w:numFmt w:val="bullet"/>
      <w:pStyle w:val="elenco1"/>
      <w:lvlText w:val=""/>
      <w:lvlJc w:val="left"/>
      <w:pPr>
        <w:tabs>
          <w:tab w:val="num" w:pos="2016"/>
        </w:tabs>
        <w:ind w:left="2016" w:hanging="360"/>
      </w:pPr>
      <w:rPr>
        <w:rFonts w:ascii="Symbol" w:hAnsi="Symbol" w:hint="default"/>
      </w:rPr>
    </w:lvl>
    <w:lvl w:ilvl="1" w:tplc="5AD2BEF8" w:tentative="1">
      <w:start w:val="1"/>
      <w:numFmt w:val="bullet"/>
      <w:lvlText w:val="o"/>
      <w:lvlJc w:val="left"/>
      <w:pPr>
        <w:tabs>
          <w:tab w:val="num" w:pos="2736"/>
        </w:tabs>
        <w:ind w:left="2736" w:hanging="360"/>
      </w:pPr>
      <w:rPr>
        <w:rFonts w:ascii="Courier New" w:hAnsi="Courier New" w:hint="default"/>
      </w:rPr>
    </w:lvl>
    <w:lvl w:ilvl="2" w:tplc="A5F66072" w:tentative="1">
      <w:start w:val="1"/>
      <w:numFmt w:val="bullet"/>
      <w:lvlText w:val=""/>
      <w:lvlJc w:val="left"/>
      <w:pPr>
        <w:tabs>
          <w:tab w:val="num" w:pos="3456"/>
        </w:tabs>
        <w:ind w:left="3456" w:hanging="360"/>
      </w:pPr>
      <w:rPr>
        <w:rFonts w:ascii="Wingdings" w:hAnsi="Wingdings" w:hint="default"/>
      </w:rPr>
    </w:lvl>
    <w:lvl w:ilvl="3" w:tplc="8DE89D5E" w:tentative="1">
      <w:start w:val="1"/>
      <w:numFmt w:val="bullet"/>
      <w:lvlText w:val=""/>
      <w:lvlJc w:val="left"/>
      <w:pPr>
        <w:tabs>
          <w:tab w:val="num" w:pos="4176"/>
        </w:tabs>
        <w:ind w:left="4176" w:hanging="360"/>
      </w:pPr>
      <w:rPr>
        <w:rFonts w:ascii="Symbol" w:hAnsi="Symbol" w:hint="default"/>
      </w:rPr>
    </w:lvl>
    <w:lvl w:ilvl="4" w:tplc="B87C0EC8" w:tentative="1">
      <w:start w:val="1"/>
      <w:numFmt w:val="bullet"/>
      <w:lvlText w:val="o"/>
      <w:lvlJc w:val="left"/>
      <w:pPr>
        <w:tabs>
          <w:tab w:val="num" w:pos="4896"/>
        </w:tabs>
        <w:ind w:left="4896" w:hanging="360"/>
      </w:pPr>
      <w:rPr>
        <w:rFonts w:ascii="Courier New" w:hAnsi="Courier New" w:hint="default"/>
      </w:rPr>
    </w:lvl>
    <w:lvl w:ilvl="5" w:tplc="72B63FB6" w:tentative="1">
      <w:start w:val="1"/>
      <w:numFmt w:val="bullet"/>
      <w:lvlText w:val=""/>
      <w:lvlJc w:val="left"/>
      <w:pPr>
        <w:tabs>
          <w:tab w:val="num" w:pos="5616"/>
        </w:tabs>
        <w:ind w:left="5616" w:hanging="360"/>
      </w:pPr>
      <w:rPr>
        <w:rFonts w:ascii="Wingdings" w:hAnsi="Wingdings" w:hint="default"/>
      </w:rPr>
    </w:lvl>
    <w:lvl w:ilvl="6" w:tplc="AF6657CC" w:tentative="1">
      <w:start w:val="1"/>
      <w:numFmt w:val="bullet"/>
      <w:lvlText w:val=""/>
      <w:lvlJc w:val="left"/>
      <w:pPr>
        <w:tabs>
          <w:tab w:val="num" w:pos="6336"/>
        </w:tabs>
        <w:ind w:left="6336" w:hanging="360"/>
      </w:pPr>
      <w:rPr>
        <w:rFonts w:ascii="Symbol" w:hAnsi="Symbol" w:hint="default"/>
      </w:rPr>
    </w:lvl>
    <w:lvl w:ilvl="7" w:tplc="958EF1C4" w:tentative="1">
      <w:start w:val="1"/>
      <w:numFmt w:val="bullet"/>
      <w:lvlText w:val="o"/>
      <w:lvlJc w:val="left"/>
      <w:pPr>
        <w:tabs>
          <w:tab w:val="num" w:pos="7056"/>
        </w:tabs>
        <w:ind w:left="7056" w:hanging="360"/>
      </w:pPr>
      <w:rPr>
        <w:rFonts w:ascii="Courier New" w:hAnsi="Courier New" w:hint="default"/>
      </w:rPr>
    </w:lvl>
    <w:lvl w:ilvl="8" w:tplc="A3300670" w:tentative="1">
      <w:start w:val="1"/>
      <w:numFmt w:val="bullet"/>
      <w:lvlText w:val=""/>
      <w:lvlJc w:val="left"/>
      <w:pPr>
        <w:tabs>
          <w:tab w:val="num" w:pos="7776"/>
        </w:tabs>
        <w:ind w:left="7776" w:hanging="360"/>
      </w:pPr>
      <w:rPr>
        <w:rFonts w:ascii="Wingdings" w:hAnsi="Wingdings" w:hint="default"/>
      </w:rPr>
    </w:lvl>
  </w:abstractNum>
  <w:abstractNum w:abstractNumId="18">
    <w:nsid w:val="72772296"/>
    <w:multiLevelType w:val="hybridMultilevel"/>
    <w:tmpl w:val="0EF2A24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75841054"/>
    <w:multiLevelType w:val="multilevel"/>
    <w:tmpl w:val="0FAC930A"/>
    <w:lvl w:ilvl="0">
      <w:start w:val="1"/>
      <w:numFmt w:val="decimal"/>
      <w:lvlText w:val="%1"/>
      <w:lvlJc w:val="left"/>
      <w:pPr>
        <w:tabs>
          <w:tab w:val="num" w:pos="705"/>
        </w:tabs>
        <w:ind w:left="705" w:hanging="705"/>
      </w:pPr>
      <w:rPr>
        <w:rFonts w:cs="Times New Roman" w:hint="default"/>
      </w:rPr>
    </w:lvl>
    <w:lvl w:ilvl="1">
      <w:start w:val="3"/>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79574BF9"/>
    <w:multiLevelType w:val="multilevel"/>
    <w:tmpl w:val="DD84AC1A"/>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6"/>
  </w:num>
  <w:num w:numId="3">
    <w:abstractNumId w:val="8"/>
  </w:num>
  <w:num w:numId="4">
    <w:abstractNumId w:val="2"/>
  </w:num>
  <w:num w:numId="5">
    <w:abstractNumId w:val="7"/>
  </w:num>
  <w:num w:numId="6">
    <w:abstractNumId w:val="13"/>
  </w:num>
  <w:num w:numId="7">
    <w:abstractNumId w:val="5"/>
  </w:num>
  <w:num w:numId="8">
    <w:abstractNumId w:val="4"/>
  </w:num>
  <w:num w:numId="9">
    <w:abstractNumId w:val="0"/>
  </w:num>
  <w:num w:numId="10">
    <w:abstractNumId w:val="19"/>
  </w:num>
  <w:num w:numId="11">
    <w:abstractNumId w:val="12"/>
  </w:num>
  <w:num w:numId="12">
    <w:abstractNumId w:val="18"/>
  </w:num>
  <w:num w:numId="13">
    <w:abstractNumId w:val="11"/>
  </w:num>
  <w:num w:numId="14">
    <w:abstractNumId w:val="9"/>
  </w:num>
  <w:num w:numId="15">
    <w:abstractNumId w:val="15"/>
  </w:num>
  <w:num w:numId="16">
    <w:abstractNumId w:val="10"/>
  </w:num>
  <w:num w:numId="17">
    <w:abstractNumId w:val="3"/>
  </w:num>
  <w:num w:numId="18">
    <w:abstractNumId w:val="16"/>
  </w:num>
  <w:num w:numId="19">
    <w:abstractNumId w:val="1"/>
  </w:num>
  <w:num w:numId="20">
    <w:abstractNumId w:val="14"/>
  </w:num>
  <w:num w:numId="21">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stislav Edelstein">
    <w15:presenceInfo w15:providerId="Windows Live" w15:userId="dd159c3a9a9c634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070"/>
    <w:rsid w:val="000010C1"/>
    <w:rsid w:val="00023E6D"/>
    <w:rsid w:val="000250EF"/>
    <w:rsid w:val="000262E0"/>
    <w:rsid w:val="00027F60"/>
    <w:rsid w:val="00033417"/>
    <w:rsid w:val="00033EE3"/>
    <w:rsid w:val="0003633F"/>
    <w:rsid w:val="00037AEA"/>
    <w:rsid w:val="00041229"/>
    <w:rsid w:val="000538C4"/>
    <w:rsid w:val="00060070"/>
    <w:rsid w:val="00062D5F"/>
    <w:rsid w:val="000702FF"/>
    <w:rsid w:val="00070519"/>
    <w:rsid w:val="00075BD1"/>
    <w:rsid w:val="0008383F"/>
    <w:rsid w:val="00085578"/>
    <w:rsid w:val="00085C11"/>
    <w:rsid w:val="000950F3"/>
    <w:rsid w:val="00095ACE"/>
    <w:rsid w:val="000976DB"/>
    <w:rsid w:val="000A0C80"/>
    <w:rsid w:val="000A7FE1"/>
    <w:rsid w:val="000B1AEF"/>
    <w:rsid w:val="000B3F01"/>
    <w:rsid w:val="000C0B7F"/>
    <w:rsid w:val="000C3450"/>
    <w:rsid w:val="000C3624"/>
    <w:rsid w:val="000C4FE7"/>
    <w:rsid w:val="000C686D"/>
    <w:rsid w:val="000D1AEB"/>
    <w:rsid w:val="000D2833"/>
    <w:rsid w:val="000E7367"/>
    <w:rsid w:val="000F2567"/>
    <w:rsid w:val="000F71B7"/>
    <w:rsid w:val="0010077E"/>
    <w:rsid w:val="0010712F"/>
    <w:rsid w:val="0010731A"/>
    <w:rsid w:val="001079B8"/>
    <w:rsid w:val="00110BCE"/>
    <w:rsid w:val="0011726E"/>
    <w:rsid w:val="00130C86"/>
    <w:rsid w:val="0013289A"/>
    <w:rsid w:val="001335D5"/>
    <w:rsid w:val="00140091"/>
    <w:rsid w:val="0014596C"/>
    <w:rsid w:val="00146133"/>
    <w:rsid w:val="001471AA"/>
    <w:rsid w:val="0015307C"/>
    <w:rsid w:val="0015567A"/>
    <w:rsid w:val="00163189"/>
    <w:rsid w:val="0016357D"/>
    <w:rsid w:val="00164E40"/>
    <w:rsid w:val="001676D4"/>
    <w:rsid w:val="00173B43"/>
    <w:rsid w:val="00176788"/>
    <w:rsid w:val="00180D0F"/>
    <w:rsid w:val="00191F5E"/>
    <w:rsid w:val="00194398"/>
    <w:rsid w:val="00194F20"/>
    <w:rsid w:val="001A44EB"/>
    <w:rsid w:val="001A7DE2"/>
    <w:rsid w:val="001B1485"/>
    <w:rsid w:val="001B2ED0"/>
    <w:rsid w:val="001C2403"/>
    <w:rsid w:val="001C6842"/>
    <w:rsid w:val="001C6973"/>
    <w:rsid w:val="001E33C4"/>
    <w:rsid w:val="001E33CE"/>
    <w:rsid w:val="001E7B56"/>
    <w:rsid w:val="001E7C8B"/>
    <w:rsid w:val="001F1316"/>
    <w:rsid w:val="001F5E3F"/>
    <w:rsid w:val="001F7D68"/>
    <w:rsid w:val="00203CA9"/>
    <w:rsid w:val="0021063D"/>
    <w:rsid w:val="00215E8F"/>
    <w:rsid w:val="00216597"/>
    <w:rsid w:val="002203BF"/>
    <w:rsid w:val="0022778D"/>
    <w:rsid w:val="00233816"/>
    <w:rsid w:val="00242A8D"/>
    <w:rsid w:val="00243E26"/>
    <w:rsid w:val="00247D4F"/>
    <w:rsid w:val="0025056E"/>
    <w:rsid w:val="00253A1E"/>
    <w:rsid w:val="002556D1"/>
    <w:rsid w:val="002648F6"/>
    <w:rsid w:val="00273910"/>
    <w:rsid w:val="002978FB"/>
    <w:rsid w:val="002A1F69"/>
    <w:rsid w:val="002A3D4C"/>
    <w:rsid w:val="002A3EBF"/>
    <w:rsid w:val="002A4001"/>
    <w:rsid w:val="002B30EC"/>
    <w:rsid w:val="002B3A5F"/>
    <w:rsid w:val="002B669D"/>
    <w:rsid w:val="002C081E"/>
    <w:rsid w:val="002C4F46"/>
    <w:rsid w:val="002C544D"/>
    <w:rsid w:val="002C665D"/>
    <w:rsid w:val="002C685A"/>
    <w:rsid w:val="002C7B52"/>
    <w:rsid w:val="002D1E9F"/>
    <w:rsid w:val="002D4916"/>
    <w:rsid w:val="002D5628"/>
    <w:rsid w:val="002E0C52"/>
    <w:rsid w:val="002E118C"/>
    <w:rsid w:val="002E145F"/>
    <w:rsid w:val="002E32AF"/>
    <w:rsid w:val="002E6A09"/>
    <w:rsid w:val="002F2C0F"/>
    <w:rsid w:val="00314F6B"/>
    <w:rsid w:val="00320754"/>
    <w:rsid w:val="003236A6"/>
    <w:rsid w:val="00323A3F"/>
    <w:rsid w:val="00332CF3"/>
    <w:rsid w:val="00332F32"/>
    <w:rsid w:val="003331B7"/>
    <w:rsid w:val="00335A7D"/>
    <w:rsid w:val="00341CC6"/>
    <w:rsid w:val="003477F2"/>
    <w:rsid w:val="0035011B"/>
    <w:rsid w:val="00350263"/>
    <w:rsid w:val="00355A38"/>
    <w:rsid w:val="00355AF4"/>
    <w:rsid w:val="00356278"/>
    <w:rsid w:val="00357F99"/>
    <w:rsid w:val="00362CAC"/>
    <w:rsid w:val="00364C87"/>
    <w:rsid w:val="003656D7"/>
    <w:rsid w:val="0037584E"/>
    <w:rsid w:val="003760EA"/>
    <w:rsid w:val="003818B6"/>
    <w:rsid w:val="00384C8E"/>
    <w:rsid w:val="00385DCD"/>
    <w:rsid w:val="0038603B"/>
    <w:rsid w:val="003869B4"/>
    <w:rsid w:val="003873BF"/>
    <w:rsid w:val="003956D6"/>
    <w:rsid w:val="00397C4C"/>
    <w:rsid w:val="003A157A"/>
    <w:rsid w:val="003A482E"/>
    <w:rsid w:val="003A498C"/>
    <w:rsid w:val="003A49C1"/>
    <w:rsid w:val="003A6C81"/>
    <w:rsid w:val="003B2994"/>
    <w:rsid w:val="003C3ECA"/>
    <w:rsid w:val="003C4070"/>
    <w:rsid w:val="003D2D68"/>
    <w:rsid w:val="003D6DE3"/>
    <w:rsid w:val="003D7BA7"/>
    <w:rsid w:val="003E5554"/>
    <w:rsid w:val="003F12F1"/>
    <w:rsid w:val="003F29B6"/>
    <w:rsid w:val="00402986"/>
    <w:rsid w:val="00403BC4"/>
    <w:rsid w:val="0040626A"/>
    <w:rsid w:val="00411448"/>
    <w:rsid w:val="00411EA0"/>
    <w:rsid w:val="004172CD"/>
    <w:rsid w:val="00422E8F"/>
    <w:rsid w:val="00426BEC"/>
    <w:rsid w:val="00433B99"/>
    <w:rsid w:val="0043522E"/>
    <w:rsid w:val="0043529C"/>
    <w:rsid w:val="0044179F"/>
    <w:rsid w:val="004438A1"/>
    <w:rsid w:val="004464F8"/>
    <w:rsid w:val="004556C1"/>
    <w:rsid w:val="0046000B"/>
    <w:rsid w:val="0047226E"/>
    <w:rsid w:val="00473709"/>
    <w:rsid w:val="0047756B"/>
    <w:rsid w:val="004814A9"/>
    <w:rsid w:val="0048310D"/>
    <w:rsid w:val="004914E2"/>
    <w:rsid w:val="0049265B"/>
    <w:rsid w:val="004B4D09"/>
    <w:rsid w:val="004B6C16"/>
    <w:rsid w:val="004C40A1"/>
    <w:rsid w:val="004C4E9C"/>
    <w:rsid w:val="004C5E6C"/>
    <w:rsid w:val="004D54EC"/>
    <w:rsid w:val="004D567D"/>
    <w:rsid w:val="004D7EAB"/>
    <w:rsid w:val="004E15EA"/>
    <w:rsid w:val="004E1BA4"/>
    <w:rsid w:val="004F5DD1"/>
    <w:rsid w:val="00500BB5"/>
    <w:rsid w:val="005010A0"/>
    <w:rsid w:val="00503AB3"/>
    <w:rsid w:val="00503BA9"/>
    <w:rsid w:val="00503D6A"/>
    <w:rsid w:val="00507249"/>
    <w:rsid w:val="00510965"/>
    <w:rsid w:val="00511490"/>
    <w:rsid w:val="005133D2"/>
    <w:rsid w:val="005202C4"/>
    <w:rsid w:val="005207D0"/>
    <w:rsid w:val="00523201"/>
    <w:rsid w:val="00526D56"/>
    <w:rsid w:val="00530047"/>
    <w:rsid w:val="00531835"/>
    <w:rsid w:val="00540486"/>
    <w:rsid w:val="0054063E"/>
    <w:rsid w:val="00541005"/>
    <w:rsid w:val="0054602E"/>
    <w:rsid w:val="005539E3"/>
    <w:rsid w:val="00554E9B"/>
    <w:rsid w:val="00556B7A"/>
    <w:rsid w:val="005572F0"/>
    <w:rsid w:val="00570F94"/>
    <w:rsid w:val="0058470C"/>
    <w:rsid w:val="00585DE3"/>
    <w:rsid w:val="00586391"/>
    <w:rsid w:val="005946C3"/>
    <w:rsid w:val="0059470C"/>
    <w:rsid w:val="00597ACA"/>
    <w:rsid w:val="005B3D68"/>
    <w:rsid w:val="005C1584"/>
    <w:rsid w:val="005C4FDB"/>
    <w:rsid w:val="005C6243"/>
    <w:rsid w:val="005E7162"/>
    <w:rsid w:val="005F26F8"/>
    <w:rsid w:val="005F51F5"/>
    <w:rsid w:val="005F61A0"/>
    <w:rsid w:val="0060160F"/>
    <w:rsid w:val="006020F3"/>
    <w:rsid w:val="00602626"/>
    <w:rsid w:val="006063AB"/>
    <w:rsid w:val="006125BF"/>
    <w:rsid w:val="006158AB"/>
    <w:rsid w:val="00616492"/>
    <w:rsid w:val="00621141"/>
    <w:rsid w:val="00621B1F"/>
    <w:rsid w:val="00623A15"/>
    <w:rsid w:val="00634EA7"/>
    <w:rsid w:val="006367F3"/>
    <w:rsid w:val="00640B01"/>
    <w:rsid w:val="00644F9F"/>
    <w:rsid w:val="00646495"/>
    <w:rsid w:val="00646C08"/>
    <w:rsid w:val="00651C39"/>
    <w:rsid w:val="00653E6C"/>
    <w:rsid w:val="00654458"/>
    <w:rsid w:val="00660D30"/>
    <w:rsid w:val="00662267"/>
    <w:rsid w:val="0066257F"/>
    <w:rsid w:val="00667E60"/>
    <w:rsid w:val="00670F85"/>
    <w:rsid w:val="00674D94"/>
    <w:rsid w:val="0067518B"/>
    <w:rsid w:val="00685072"/>
    <w:rsid w:val="00685AE2"/>
    <w:rsid w:val="00685BFF"/>
    <w:rsid w:val="00693174"/>
    <w:rsid w:val="00695C99"/>
    <w:rsid w:val="006A10C1"/>
    <w:rsid w:val="006A3724"/>
    <w:rsid w:val="006A399B"/>
    <w:rsid w:val="006A55E0"/>
    <w:rsid w:val="006A65AA"/>
    <w:rsid w:val="006A6B23"/>
    <w:rsid w:val="006B01BA"/>
    <w:rsid w:val="006B1513"/>
    <w:rsid w:val="006B2A22"/>
    <w:rsid w:val="006C58F4"/>
    <w:rsid w:val="006C72AA"/>
    <w:rsid w:val="006D2276"/>
    <w:rsid w:val="006D2DB7"/>
    <w:rsid w:val="006D6200"/>
    <w:rsid w:val="006E3B00"/>
    <w:rsid w:val="006E695F"/>
    <w:rsid w:val="006F055A"/>
    <w:rsid w:val="006F242F"/>
    <w:rsid w:val="006F624D"/>
    <w:rsid w:val="00723154"/>
    <w:rsid w:val="00725FB0"/>
    <w:rsid w:val="00727906"/>
    <w:rsid w:val="0073096E"/>
    <w:rsid w:val="007309CD"/>
    <w:rsid w:val="00746D23"/>
    <w:rsid w:val="007538D5"/>
    <w:rsid w:val="007549F5"/>
    <w:rsid w:val="00754A14"/>
    <w:rsid w:val="00754A5F"/>
    <w:rsid w:val="00757A93"/>
    <w:rsid w:val="00760EB1"/>
    <w:rsid w:val="007630A6"/>
    <w:rsid w:val="00770CB0"/>
    <w:rsid w:val="00772761"/>
    <w:rsid w:val="00774331"/>
    <w:rsid w:val="00782358"/>
    <w:rsid w:val="00783133"/>
    <w:rsid w:val="00784793"/>
    <w:rsid w:val="00787294"/>
    <w:rsid w:val="00791083"/>
    <w:rsid w:val="007A0ECF"/>
    <w:rsid w:val="007A39C6"/>
    <w:rsid w:val="007A3F3A"/>
    <w:rsid w:val="007A6D0F"/>
    <w:rsid w:val="007B27DA"/>
    <w:rsid w:val="007B29D2"/>
    <w:rsid w:val="007B5128"/>
    <w:rsid w:val="007B7A8C"/>
    <w:rsid w:val="007B7D36"/>
    <w:rsid w:val="007C63AB"/>
    <w:rsid w:val="007C74E4"/>
    <w:rsid w:val="007C7AC0"/>
    <w:rsid w:val="007D07B0"/>
    <w:rsid w:val="007D500B"/>
    <w:rsid w:val="007D56DA"/>
    <w:rsid w:val="007D5B47"/>
    <w:rsid w:val="007D7D12"/>
    <w:rsid w:val="007E1D03"/>
    <w:rsid w:val="007E1DDB"/>
    <w:rsid w:val="007E3941"/>
    <w:rsid w:val="007E3E62"/>
    <w:rsid w:val="007E6476"/>
    <w:rsid w:val="007E6876"/>
    <w:rsid w:val="007F02BA"/>
    <w:rsid w:val="007F3EE1"/>
    <w:rsid w:val="007F74CC"/>
    <w:rsid w:val="008000C6"/>
    <w:rsid w:val="00802898"/>
    <w:rsid w:val="00805C17"/>
    <w:rsid w:val="00805F37"/>
    <w:rsid w:val="00807084"/>
    <w:rsid w:val="008108E1"/>
    <w:rsid w:val="00815D60"/>
    <w:rsid w:val="00817A48"/>
    <w:rsid w:val="00821228"/>
    <w:rsid w:val="00825973"/>
    <w:rsid w:val="008266F6"/>
    <w:rsid w:val="008302B6"/>
    <w:rsid w:val="00833B55"/>
    <w:rsid w:val="00834F3D"/>
    <w:rsid w:val="008354AE"/>
    <w:rsid w:val="00840627"/>
    <w:rsid w:val="00844445"/>
    <w:rsid w:val="0084465E"/>
    <w:rsid w:val="00844B92"/>
    <w:rsid w:val="00863849"/>
    <w:rsid w:val="00864B9A"/>
    <w:rsid w:val="008657E1"/>
    <w:rsid w:val="00865EEE"/>
    <w:rsid w:val="00866B01"/>
    <w:rsid w:val="008708A4"/>
    <w:rsid w:val="00873F25"/>
    <w:rsid w:val="00876871"/>
    <w:rsid w:val="00884467"/>
    <w:rsid w:val="0088594A"/>
    <w:rsid w:val="00887A42"/>
    <w:rsid w:val="00890FEF"/>
    <w:rsid w:val="00896D17"/>
    <w:rsid w:val="00897473"/>
    <w:rsid w:val="008A026A"/>
    <w:rsid w:val="008A634D"/>
    <w:rsid w:val="008A76CF"/>
    <w:rsid w:val="008C2CFD"/>
    <w:rsid w:val="008C31F1"/>
    <w:rsid w:val="008C5D12"/>
    <w:rsid w:val="008C6683"/>
    <w:rsid w:val="008C7203"/>
    <w:rsid w:val="008D196D"/>
    <w:rsid w:val="008E3B57"/>
    <w:rsid w:val="008E43E7"/>
    <w:rsid w:val="008F3BC3"/>
    <w:rsid w:val="008F4421"/>
    <w:rsid w:val="008F4A4E"/>
    <w:rsid w:val="008F5E88"/>
    <w:rsid w:val="00904BAC"/>
    <w:rsid w:val="009060DF"/>
    <w:rsid w:val="00911F9A"/>
    <w:rsid w:val="00912118"/>
    <w:rsid w:val="009128F3"/>
    <w:rsid w:val="00914A60"/>
    <w:rsid w:val="00916FD3"/>
    <w:rsid w:val="00925C8E"/>
    <w:rsid w:val="00927D0D"/>
    <w:rsid w:val="00933B62"/>
    <w:rsid w:val="00942430"/>
    <w:rsid w:val="009440CD"/>
    <w:rsid w:val="0094498F"/>
    <w:rsid w:val="00950745"/>
    <w:rsid w:val="00952694"/>
    <w:rsid w:val="00954DA6"/>
    <w:rsid w:val="009602B2"/>
    <w:rsid w:val="00962791"/>
    <w:rsid w:val="00967A08"/>
    <w:rsid w:val="00971ECF"/>
    <w:rsid w:val="00973C9D"/>
    <w:rsid w:val="00974D8B"/>
    <w:rsid w:val="00975DFE"/>
    <w:rsid w:val="009871E2"/>
    <w:rsid w:val="00991AA7"/>
    <w:rsid w:val="00992315"/>
    <w:rsid w:val="009923A1"/>
    <w:rsid w:val="00997E16"/>
    <w:rsid w:val="009A5D5E"/>
    <w:rsid w:val="009A5E18"/>
    <w:rsid w:val="009B1289"/>
    <w:rsid w:val="009B2F6D"/>
    <w:rsid w:val="009C20E9"/>
    <w:rsid w:val="009C6F1F"/>
    <w:rsid w:val="009D4037"/>
    <w:rsid w:val="009D6862"/>
    <w:rsid w:val="009D7380"/>
    <w:rsid w:val="009F27B7"/>
    <w:rsid w:val="009F59BF"/>
    <w:rsid w:val="00A04158"/>
    <w:rsid w:val="00A04844"/>
    <w:rsid w:val="00A05383"/>
    <w:rsid w:val="00A06688"/>
    <w:rsid w:val="00A12AED"/>
    <w:rsid w:val="00A23745"/>
    <w:rsid w:val="00A242D5"/>
    <w:rsid w:val="00A266F9"/>
    <w:rsid w:val="00A32C56"/>
    <w:rsid w:val="00A32C9A"/>
    <w:rsid w:val="00A37AA6"/>
    <w:rsid w:val="00A445D9"/>
    <w:rsid w:val="00A464E5"/>
    <w:rsid w:val="00A51F91"/>
    <w:rsid w:val="00A52F35"/>
    <w:rsid w:val="00A53002"/>
    <w:rsid w:val="00A564BD"/>
    <w:rsid w:val="00A62FE7"/>
    <w:rsid w:val="00A72298"/>
    <w:rsid w:val="00A72DF0"/>
    <w:rsid w:val="00A7583A"/>
    <w:rsid w:val="00A80205"/>
    <w:rsid w:val="00A84A39"/>
    <w:rsid w:val="00A8722F"/>
    <w:rsid w:val="00A90BC2"/>
    <w:rsid w:val="00A90CD6"/>
    <w:rsid w:val="00AA53BF"/>
    <w:rsid w:val="00AA7A0F"/>
    <w:rsid w:val="00AB13FF"/>
    <w:rsid w:val="00AB3F6E"/>
    <w:rsid w:val="00AB431A"/>
    <w:rsid w:val="00AC071E"/>
    <w:rsid w:val="00AC56AB"/>
    <w:rsid w:val="00AC58EC"/>
    <w:rsid w:val="00AD47D8"/>
    <w:rsid w:val="00AE36B7"/>
    <w:rsid w:val="00AE38D3"/>
    <w:rsid w:val="00AF0859"/>
    <w:rsid w:val="00AF1A6A"/>
    <w:rsid w:val="00AF1E0B"/>
    <w:rsid w:val="00B01F98"/>
    <w:rsid w:val="00B053FC"/>
    <w:rsid w:val="00B05809"/>
    <w:rsid w:val="00B12CB5"/>
    <w:rsid w:val="00B12D78"/>
    <w:rsid w:val="00B140F2"/>
    <w:rsid w:val="00B15137"/>
    <w:rsid w:val="00B20D21"/>
    <w:rsid w:val="00B22AB2"/>
    <w:rsid w:val="00B22C95"/>
    <w:rsid w:val="00B25047"/>
    <w:rsid w:val="00B35B07"/>
    <w:rsid w:val="00B362E3"/>
    <w:rsid w:val="00B413BC"/>
    <w:rsid w:val="00B43DCD"/>
    <w:rsid w:val="00B462F6"/>
    <w:rsid w:val="00B46FC2"/>
    <w:rsid w:val="00B502D4"/>
    <w:rsid w:val="00B52A9D"/>
    <w:rsid w:val="00B5584B"/>
    <w:rsid w:val="00B609C7"/>
    <w:rsid w:val="00B646AC"/>
    <w:rsid w:val="00B6552E"/>
    <w:rsid w:val="00B70EA4"/>
    <w:rsid w:val="00B7694C"/>
    <w:rsid w:val="00B85C50"/>
    <w:rsid w:val="00B87E0D"/>
    <w:rsid w:val="00B90F13"/>
    <w:rsid w:val="00B910AA"/>
    <w:rsid w:val="00B91110"/>
    <w:rsid w:val="00B918B1"/>
    <w:rsid w:val="00B934A5"/>
    <w:rsid w:val="00B95B18"/>
    <w:rsid w:val="00BA1079"/>
    <w:rsid w:val="00BA518B"/>
    <w:rsid w:val="00BA6A4C"/>
    <w:rsid w:val="00BB0526"/>
    <w:rsid w:val="00BB6317"/>
    <w:rsid w:val="00BC00F0"/>
    <w:rsid w:val="00BC65DA"/>
    <w:rsid w:val="00BC681C"/>
    <w:rsid w:val="00BD0807"/>
    <w:rsid w:val="00BD0FFD"/>
    <w:rsid w:val="00BE2961"/>
    <w:rsid w:val="00BE426B"/>
    <w:rsid w:val="00BF022E"/>
    <w:rsid w:val="00BF5292"/>
    <w:rsid w:val="00BF5436"/>
    <w:rsid w:val="00BF59FF"/>
    <w:rsid w:val="00C012F1"/>
    <w:rsid w:val="00C06658"/>
    <w:rsid w:val="00C11208"/>
    <w:rsid w:val="00C123F0"/>
    <w:rsid w:val="00C13460"/>
    <w:rsid w:val="00C13DFF"/>
    <w:rsid w:val="00C15BEC"/>
    <w:rsid w:val="00C160F1"/>
    <w:rsid w:val="00C17521"/>
    <w:rsid w:val="00C21033"/>
    <w:rsid w:val="00C22389"/>
    <w:rsid w:val="00C25473"/>
    <w:rsid w:val="00C27AF2"/>
    <w:rsid w:val="00C312E8"/>
    <w:rsid w:val="00C314F8"/>
    <w:rsid w:val="00C32201"/>
    <w:rsid w:val="00C3280B"/>
    <w:rsid w:val="00C3501A"/>
    <w:rsid w:val="00C362E8"/>
    <w:rsid w:val="00C37D55"/>
    <w:rsid w:val="00C41779"/>
    <w:rsid w:val="00C41F4F"/>
    <w:rsid w:val="00C428C8"/>
    <w:rsid w:val="00C44044"/>
    <w:rsid w:val="00C45E26"/>
    <w:rsid w:val="00C5146E"/>
    <w:rsid w:val="00C53DE2"/>
    <w:rsid w:val="00C549B1"/>
    <w:rsid w:val="00C807D5"/>
    <w:rsid w:val="00C844E5"/>
    <w:rsid w:val="00C90392"/>
    <w:rsid w:val="00C957E9"/>
    <w:rsid w:val="00CA0E90"/>
    <w:rsid w:val="00CA2452"/>
    <w:rsid w:val="00CB2005"/>
    <w:rsid w:val="00CC2077"/>
    <w:rsid w:val="00CC26DD"/>
    <w:rsid w:val="00CC2C13"/>
    <w:rsid w:val="00CC34EE"/>
    <w:rsid w:val="00CD1EC9"/>
    <w:rsid w:val="00CD50BA"/>
    <w:rsid w:val="00CD584F"/>
    <w:rsid w:val="00CD70FD"/>
    <w:rsid w:val="00CE25A5"/>
    <w:rsid w:val="00CE3A0F"/>
    <w:rsid w:val="00CE4635"/>
    <w:rsid w:val="00CE7BB9"/>
    <w:rsid w:val="00CF1C37"/>
    <w:rsid w:val="00CF7D8E"/>
    <w:rsid w:val="00D07C7D"/>
    <w:rsid w:val="00D11333"/>
    <w:rsid w:val="00D15380"/>
    <w:rsid w:val="00D16C66"/>
    <w:rsid w:val="00D21DE0"/>
    <w:rsid w:val="00D23BCF"/>
    <w:rsid w:val="00D2649B"/>
    <w:rsid w:val="00D2671C"/>
    <w:rsid w:val="00D3227F"/>
    <w:rsid w:val="00D3402F"/>
    <w:rsid w:val="00D40737"/>
    <w:rsid w:val="00D42A2B"/>
    <w:rsid w:val="00D4379E"/>
    <w:rsid w:val="00D50222"/>
    <w:rsid w:val="00D516BA"/>
    <w:rsid w:val="00D52590"/>
    <w:rsid w:val="00D55623"/>
    <w:rsid w:val="00D61D4B"/>
    <w:rsid w:val="00D710D7"/>
    <w:rsid w:val="00D87278"/>
    <w:rsid w:val="00D90C6D"/>
    <w:rsid w:val="00D920E7"/>
    <w:rsid w:val="00D935D0"/>
    <w:rsid w:val="00D94A5F"/>
    <w:rsid w:val="00D9530F"/>
    <w:rsid w:val="00DA00FA"/>
    <w:rsid w:val="00DA1357"/>
    <w:rsid w:val="00DA3C11"/>
    <w:rsid w:val="00DA6544"/>
    <w:rsid w:val="00DB1C44"/>
    <w:rsid w:val="00DB286F"/>
    <w:rsid w:val="00DB5722"/>
    <w:rsid w:val="00DE4C47"/>
    <w:rsid w:val="00DE653C"/>
    <w:rsid w:val="00DE6F57"/>
    <w:rsid w:val="00DE79BC"/>
    <w:rsid w:val="00DF0626"/>
    <w:rsid w:val="00DF0BF4"/>
    <w:rsid w:val="00DF579E"/>
    <w:rsid w:val="00DF638E"/>
    <w:rsid w:val="00DF6E6C"/>
    <w:rsid w:val="00E0015E"/>
    <w:rsid w:val="00E019E6"/>
    <w:rsid w:val="00E01EEC"/>
    <w:rsid w:val="00E03932"/>
    <w:rsid w:val="00E154F5"/>
    <w:rsid w:val="00E20427"/>
    <w:rsid w:val="00E22619"/>
    <w:rsid w:val="00E2491F"/>
    <w:rsid w:val="00E25502"/>
    <w:rsid w:val="00E264C4"/>
    <w:rsid w:val="00E3303D"/>
    <w:rsid w:val="00E402A7"/>
    <w:rsid w:val="00E409A2"/>
    <w:rsid w:val="00E50C9F"/>
    <w:rsid w:val="00E5305C"/>
    <w:rsid w:val="00E54A2A"/>
    <w:rsid w:val="00E55727"/>
    <w:rsid w:val="00E5672D"/>
    <w:rsid w:val="00E569A8"/>
    <w:rsid w:val="00E56BD7"/>
    <w:rsid w:val="00E6197F"/>
    <w:rsid w:val="00E63D6E"/>
    <w:rsid w:val="00E65DC1"/>
    <w:rsid w:val="00E6797B"/>
    <w:rsid w:val="00E76080"/>
    <w:rsid w:val="00E7642F"/>
    <w:rsid w:val="00E77011"/>
    <w:rsid w:val="00E80B3D"/>
    <w:rsid w:val="00E81543"/>
    <w:rsid w:val="00E83039"/>
    <w:rsid w:val="00E83667"/>
    <w:rsid w:val="00E87696"/>
    <w:rsid w:val="00EA338D"/>
    <w:rsid w:val="00EA6ED0"/>
    <w:rsid w:val="00EA7A9B"/>
    <w:rsid w:val="00EB16AF"/>
    <w:rsid w:val="00EB2AA2"/>
    <w:rsid w:val="00EB5EE5"/>
    <w:rsid w:val="00ED0C06"/>
    <w:rsid w:val="00ED0FAD"/>
    <w:rsid w:val="00ED2815"/>
    <w:rsid w:val="00ED4599"/>
    <w:rsid w:val="00EE1D69"/>
    <w:rsid w:val="00EF11E4"/>
    <w:rsid w:val="00EF4C37"/>
    <w:rsid w:val="00EF4F4B"/>
    <w:rsid w:val="00F04667"/>
    <w:rsid w:val="00F07733"/>
    <w:rsid w:val="00F15E81"/>
    <w:rsid w:val="00F16DFE"/>
    <w:rsid w:val="00F216DE"/>
    <w:rsid w:val="00F216F2"/>
    <w:rsid w:val="00F2695F"/>
    <w:rsid w:val="00F26AE6"/>
    <w:rsid w:val="00F26BF0"/>
    <w:rsid w:val="00F331ED"/>
    <w:rsid w:val="00F36253"/>
    <w:rsid w:val="00F36939"/>
    <w:rsid w:val="00F36E9F"/>
    <w:rsid w:val="00F4389C"/>
    <w:rsid w:val="00F4497E"/>
    <w:rsid w:val="00F45BEB"/>
    <w:rsid w:val="00F470DC"/>
    <w:rsid w:val="00F47C34"/>
    <w:rsid w:val="00F5031F"/>
    <w:rsid w:val="00F5310F"/>
    <w:rsid w:val="00F64E6F"/>
    <w:rsid w:val="00F651DA"/>
    <w:rsid w:val="00F67A6A"/>
    <w:rsid w:val="00F709A3"/>
    <w:rsid w:val="00F73E1E"/>
    <w:rsid w:val="00F73F1B"/>
    <w:rsid w:val="00F7479F"/>
    <w:rsid w:val="00F74AA7"/>
    <w:rsid w:val="00F8164B"/>
    <w:rsid w:val="00F83F30"/>
    <w:rsid w:val="00F84A7E"/>
    <w:rsid w:val="00F84DEB"/>
    <w:rsid w:val="00F91718"/>
    <w:rsid w:val="00FA2124"/>
    <w:rsid w:val="00FA3961"/>
    <w:rsid w:val="00FA4A10"/>
    <w:rsid w:val="00FB4871"/>
    <w:rsid w:val="00FB57AA"/>
    <w:rsid w:val="00FB6632"/>
    <w:rsid w:val="00FB7D18"/>
    <w:rsid w:val="00FC0823"/>
    <w:rsid w:val="00FC3124"/>
    <w:rsid w:val="00FD0C8A"/>
    <w:rsid w:val="00FD75C1"/>
    <w:rsid w:val="00FE042E"/>
    <w:rsid w:val="00FE2576"/>
    <w:rsid w:val="00FF22BB"/>
    <w:rsid w:val="00FF5194"/>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FBC4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uiPriority="0"/>
    <w:lsdException w:name="caption" w:locked="1" w:uiPriority="0" w:qFormat="1"/>
    <w:lsdException w:name="List Number" w:locked="1" w:semiHidden="0" w:uiPriority="0" w:unhideWhenUsed="0"/>
    <w:lsdException w:name="List 4" w:locked="1" w:semiHidden="0" w:uiPriority="0"/>
    <w:lsdException w:name="List 5"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lsdException w:name="Date" w:locked="1" w:semiHidden="0" w:uiPriority="0"/>
    <w:lsdException w:name="Body Text First Indent" w:locked="1" w:semiHidden="0"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97473"/>
    <w:rPr>
      <w:sz w:val="24"/>
    </w:rPr>
  </w:style>
  <w:style w:type="paragraph" w:styleId="Nadpis1">
    <w:name w:val="heading 1"/>
    <w:basedOn w:val="Normlny"/>
    <w:next w:val="Normlny"/>
    <w:link w:val="Nadpis1Char"/>
    <w:uiPriority w:val="99"/>
    <w:qFormat/>
    <w:rsid w:val="00897473"/>
    <w:pPr>
      <w:keepNext/>
      <w:shd w:val="clear" w:color="auto" w:fill="FFFFFF"/>
      <w:autoSpaceDE w:val="0"/>
      <w:autoSpaceDN w:val="0"/>
      <w:adjustRightInd w:val="0"/>
      <w:outlineLvl w:val="0"/>
    </w:pPr>
    <w:rPr>
      <w:b/>
      <w:bCs/>
      <w:sz w:val="22"/>
    </w:rPr>
  </w:style>
  <w:style w:type="paragraph" w:styleId="Nadpis2">
    <w:name w:val="heading 2"/>
    <w:basedOn w:val="Normlny"/>
    <w:next w:val="Normlny"/>
    <w:link w:val="Nadpis2Char"/>
    <w:uiPriority w:val="99"/>
    <w:qFormat/>
    <w:rsid w:val="00897473"/>
    <w:pPr>
      <w:keepNext/>
      <w:outlineLvl w:val="1"/>
    </w:pPr>
    <w:rPr>
      <w:b/>
      <w:bCs/>
      <w:i/>
    </w:rPr>
  </w:style>
  <w:style w:type="paragraph" w:styleId="Nadpis3">
    <w:name w:val="heading 3"/>
    <w:basedOn w:val="Normlny"/>
    <w:next w:val="Normlny"/>
    <w:link w:val="Nadpis3Char"/>
    <w:uiPriority w:val="99"/>
    <w:qFormat/>
    <w:rsid w:val="00897473"/>
    <w:pPr>
      <w:keepNext/>
      <w:shd w:val="clear" w:color="auto" w:fill="FFFFFF"/>
      <w:autoSpaceDE w:val="0"/>
      <w:autoSpaceDN w:val="0"/>
      <w:adjustRightInd w:val="0"/>
      <w:ind w:left="360" w:hanging="360"/>
      <w:outlineLvl w:val="2"/>
    </w:pPr>
    <w:rPr>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eastAsia="MS Gothic" w:hAnsi="Cambria" w:cs="Times New Roman"/>
      <w:b/>
      <w:bCs/>
      <w:kern w:val="32"/>
      <w:sz w:val="32"/>
      <w:szCs w:val="32"/>
      <w:lang w:val="sk-SK" w:eastAsia="sk-SK"/>
    </w:rPr>
  </w:style>
  <w:style w:type="character" w:customStyle="1" w:styleId="Nadpis2Char">
    <w:name w:val="Nadpis 2 Char"/>
    <w:link w:val="Nadpis2"/>
    <w:uiPriority w:val="99"/>
    <w:semiHidden/>
    <w:locked/>
    <w:rPr>
      <w:rFonts w:ascii="Cambria" w:eastAsia="MS Gothic" w:hAnsi="Cambria" w:cs="Times New Roman"/>
      <w:b/>
      <w:bCs/>
      <w:i/>
      <w:iCs/>
      <w:sz w:val="28"/>
      <w:szCs w:val="28"/>
      <w:lang w:val="sk-SK" w:eastAsia="sk-SK"/>
    </w:rPr>
  </w:style>
  <w:style w:type="character" w:customStyle="1" w:styleId="Nadpis3Char">
    <w:name w:val="Nadpis 3 Char"/>
    <w:link w:val="Nadpis3"/>
    <w:uiPriority w:val="99"/>
    <w:semiHidden/>
    <w:locked/>
    <w:rPr>
      <w:rFonts w:ascii="Cambria" w:eastAsia="MS Gothic" w:hAnsi="Cambria" w:cs="Times New Roman"/>
      <w:b/>
      <w:bCs/>
      <w:sz w:val="26"/>
      <w:szCs w:val="26"/>
      <w:lang w:val="sk-SK" w:eastAsia="sk-SK"/>
    </w:rPr>
  </w:style>
  <w:style w:type="paragraph" w:styleId="Hlavika">
    <w:name w:val="header"/>
    <w:basedOn w:val="Normlny"/>
    <w:link w:val="HlavikaChar"/>
    <w:uiPriority w:val="99"/>
    <w:rsid w:val="00897473"/>
    <w:pPr>
      <w:tabs>
        <w:tab w:val="center" w:pos="4819"/>
        <w:tab w:val="right" w:pos="9638"/>
      </w:tabs>
    </w:pPr>
  </w:style>
  <w:style w:type="character" w:customStyle="1" w:styleId="HlavikaChar">
    <w:name w:val="Hlavička Char"/>
    <w:link w:val="Hlavika"/>
    <w:uiPriority w:val="99"/>
    <w:locked/>
    <w:rsid w:val="00AE38D3"/>
    <w:rPr>
      <w:rFonts w:cs="Times New Roman"/>
      <w:sz w:val="24"/>
    </w:rPr>
  </w:style>
  <w:style w:type="paragraph" w:styleId="Pta">
    <w:name w:val="footer"/>
    <w:basedOn w:val="Normlny"/>
    <w:link w:val="PtaChar"/>
    <w:uiPriority w:val="99"/>
    <w:rsid w:val="00897473"/>
    <w:pPr>
      <w:tabs>
        <w:tab w:val="center" w:pos="4819"/>
        <w:tab w:val="right" w:pos="9638"/>
      </w:tabs>
    </w:pPr>
  </w:style>
  <w:style w:type="character" w:customStyle="1" w:styleId="PtaChar">
    <w:name w:val="Päta Char"/>
    <w:link w:val="Pta"/>
    <w:uiPriority w:val="99"/>
    <w:locked/>
    <w:rsid w:val="00AE38D3"/>
    <w:rPr>
      <w:rFonts w:cs="Times New Roman"/>
      <w:sz w:val="24"/>
    </w:rPr>
  </w:style>
  <w:style w:type="character" w:styleId="slostrany">
    <w:name w:val="page number"/>
    <w:uiPriority w:val="99"/>
    <w:rsid w:val="00897473"/>
    <w:rPr>
      <w:rFonts w:cs="Times New Roman"/>
    </w:rPr>
  </w:style>
  <w:style w:type="paragraph" w:customStyle="1" w:styleId="elenco1">
    <w:name w:val="elenco1"/>
    <w:basedOn w:val="Normlny"/>
    <w:uiPriority w:val="99"/>
    <w:rsid w:val="00897473"/>
    <w:pPr>
      <w:numPr>
        <w:numId w:val="1"/>
      </w:numPr>
    </w:pPr>
  </w:style>
  <w:style w:type="paragraph" w:customStyle="1" w:styleId="elenco2">
    <w:name w:val="elenco2"/>
    <w:basedOn w:val="Normlny"/>
    <w:uiPriority w:val="99"/>
    <w:rsid w:val="00897473"/>
    <w:pPr>
      <w:numPr>
        <w:numId w:val="2"/>
      </w:numPr>
    </w:pPr>
  </w:style>
  <w:style w:type="paragraph" w:styleId="Oznaitext">
    <w:name w:val="Block Text"/>
    <w:basedOn w:val="Normlny"/>
    <w:uiPriority w:val="99"/>
    <w:rsid w:val="00897473"/>
    <w:pPr>
      <w:shd w:val="clear" w:color="auto" w:fill="FFFFFF"/>
      <w:autoSpaceDE w:val="0"/>
      <w:autoSpaceDN w:val="0"/>
      <w:adjustRightInd w:val="0"/>
      <w:ind w:left="1296" w:right="144"/>
      <w:jc w:val="both"/>
    </w:pPr>
    <w:rPr>
      <w:sz w:val="22"/>
    </w:rPr>
  </w:style>
  <w:style w:type="paragraph" w:styleId="Zarkazkladnhotextu">
    <w:name w:val="Body Text Indent"/>
    <w:basedOn w:val="Normlny"/>
    <w:link w:val="ZarkazkladnhotextuChar"/>
    <w:uiPriority w:val="99"/>
    <w:rsid w:val="00897473"/>
    <w:pPr>
      <w:shd w:val="clear" w:color="auto" w:fill="FFFFFF"/>
      <w:autoSpaceDE w:val="0"/>
      <w:autoSpaceDN w:val="0"/>
      <w:adjustRightInd w:val="0"/>
      <w:ind w:left="1296"/>
    </w:pPr>
    <w:rPr>
      <w:sz w:val="22"/>
    </w:rPr>
  </w:style>
  <w:style w:type="character" w:customStyle="1" w:styleId="ZarkazkladnhotextuChar">
    <w:name w:val="Zarážka základného textu Char"/>
    <w:link w:val="Zarkazkladnhotextu"/>
    <w:uiPriority w:val="99"/>
    <w:semiHidden/>
    <w:locked/>
    <w:rPr>
      <w:rFonts w:cs="Times New Roman"/>
      <w:sz w:val="20"/>
      <w:szCs w:val="20"/>
      <w:lang w:val="sk-SK" w:eastAsia="sk-SK"/>
    </w:rPr>
  </w:style>
  <w:style w:type="paragraph" w:styleId="Zarkazkladnhotextu2">
    <w:name w:val="Body Text Indent 2"/>
    <w:basedOn w:val="Normlny"/>
    <w:link w:val="Zarkazkladnhotextu2Char"/>
    <w:uiPriority w:val="99"/>
    <w:rsid w:val="00897473"/>
    <w:pPr>
      <w:shd w:val="clear" w:color="auto" w:fill="FFFFFF"/>
      <w:autoSpaceDE w:val="0"/>
      <w:autoSpaceDN w:val="0"/>
      <w:adjustRightInd w:val="0"/>
      <w:ind w:left="1296"/>
    </w:pPr>
    <w:rPr>
      <w:color w:val="0000FF"/>
      <w:sz w:val="22"/>
    </w:rPr>
  </w:style>
  <w:style w:type="character" w:customStyle="1" w:styleId="Zarkazkladnhotextu2Char">
    <w:name w:val="Zarážka základného textu 2 Char"/>
    <w:link w:val="Zarkazkladnhotextu2"/>
    <w:uiPriority w:val="99"/>
    <w:semiHidden/>
    <w:locked/>
    <w:rPr>
      <w:rFonts w:cs="Times New Roman"/>
      <w:sz w:val="20"/>
      <w:szCs w:val="20"/>
      <w:lang w:val="sk-SK" w:eastAsia="sk-SK"/>
    </w:rPr>
  </w:style>
  <w:style w:type="paragraph" w:styleId="Zkladntext">
    <w:name w:val="Body Text"/>
    <w:basedOn w:val="Normlny"/>
    <w:link w:val="ZkladntextChar"/>
    <w:uiPriority w:val="99"/>
    <w:rsid w:val="00897473"/>
    <w:pPr>
      <w:shd w:val="clear" w:color="auto" w:fill="FFFFFF"/>
      <w:autoSpaceDE w:val="0"/>
      <w:autoSpaceDN w:val="0"/>
      <w:adjustRightInd w:val="0"/>
    </w:pPr>
    <w:rPr>
      <w:sz w:val="22"/>
    </w:rPr>
  </w:style>
  <w:style w:type="character" w:customStyle="1" w:styleId="ZkladntextChar">
    <w:name w:val="Základný text Char"/>
    <w:link w:val="Zkladntext"/>
    <w:uiPriority w:val="99"/>
    <w:semiHidden/>
    <w:locked/>
    <w:rPr>
      <w:rFonts w:cs="Times New Roman"/>
      <w:sz w:val="20"/>
      <w:szCs w:val="20"/>
      <w:lang w:val="sk-SK" w:eastAsia="sk-SK"/>
    </w:rPr>
  </w:style>
  <w:style w:type="paragraph" w:styleId="Zkladntext2">
    <w:name w:val="Body Text 2"/>
    <w:basedOn w:val="Normlny"/>
    <w:link w:val="Zkladntext2Char"/>
    <w:uiPriority w:val="99"/>
    <w:rsid w:val="00897473"/>
    <w:pPr>
      <w:shd w:val="clear" w:color="auto" w:fill="FFFFFF"/>
      <w:autoSpaceDE w:val="0"/>
      <w:autoSpaceDN w:val="0"/>
      <w:adjustRightInd w:val="0"/>
      <w:spacing w:after="120"/>
      <w:jc w:val="both"/>
    </w:pPr>
    <w:rPr>
      <w:sz w:val="22"/>
    </w:rPr>
  </w:style>
  <w:style w:type="character" w:customStyle="1" w:styleId="Zkladntext2Char">
    <w:name w:val="Základný text 2 Char"/>
    <w:link w:val="Zkladntext2"/>
    <w:uiPriority w:val="99"/>
    <w:semiHidden/>
    <w:locked/>
    <w:rPr>
      <w:rFonts w:cs="Times New Roman"/>
      <w:sz w:val="20"/>
      <w:szCs w:val="20"/>
      <w:lang w:val="sk-SK" w:eastAsia="sk-SK"/>
    </w:rPr>
  </w:style>
  <w:style w:type="paragraph" w:customStyle="1" w:styleId="Testofumetto1">
    <w:name w:val="Testo fumetto1"/>
    <w:basedOn w:val="Normlny"/>
    <w:uiPriority w:val="99"/>
    <w:semiHidden/>
    <w:rsid w:val="00897473"/>
    <w:rPr>
      <w:rFonts w:ascii="Tahoma" w:hAnsi="Tahoma" w:cs="Tahoma"/>
      <w:sz w:val="16"/>
      <w:szCs w:val="16"/>
    </w:rPr>
  </w:style>
  <w:style w:type="paragraph" w:customStyle="1" w:styleId="texte">
    <w:name w:val="texte"/>
    <w:basedOn w:val="Normlny"/>
    <w:link w:val="texteCar"/>
    <w:uiPriority w:val="99"/>
    <w:rsid w:val="00E6197F"/>
    <w:pPr>
      <w:spacing w:before="120" w:after="120"/>
      <w:jc w:val="both"/>
    </w:pPr>
  </w:style>
  <w:style w:type="character" w:customStyle="1" w:styleId="texteCar">
    <w:name w:val="texte Car"/>
    <w:link w:val="texte"/>
    <w:uiPriority w:val="99"/>
    <w:locked/>
    <w:rsid w:val="00E6197F"/>
    <w:rPr>
      <w:sz w:val="24"/>
    </w:rPr>
  </w:style>
  <w:style w:type="paragraph" w:styleId="Textbubliny">
    <w:name w:val="Balloon Text"/>
    <w:basedOn w:val="Normlny"/>
    <w:link w:val="TextbublinyChar"/>
    <w:uiPriority w:val="99"/>
    <w:rsid w:val="004556C1"/>
    <w:rPr>
      <w:rFonts w:ascii="Tahoma" w:hAnsi="Tahoma"/>
      <w:sz w:val="16"/>
      <w:szCs w:val="16"/>
    </w:rPr>
  </w:style>
  <w:style w:type="character" w:customStyle="1" w:styleId="TextbublinyChar">
    <w:name w:val="Text bubliny Char"/>
    <w:link w:val="Textbubliny"/>
    <w:uiPriority w:val="99"/>
    <w:locked/>
    <w:rsid w:val="004556C1"/>
    <w:rPr>
      <w:rFonts w:ascii="Tahoma" w:hAnsi="Tahoma" w:cs="Times New Roman"/>
      <w:sz w:val="16"/>
    </w:rPr>
  </w:style>
  <w:style w:type="character" w:styleId="Odkaznakomentr">
    <w:name w:val="annotation reference"/>
    <w:uiPriority w:val="99"/>
    <w:semiHidden/>
    <w:rsid w:val="00FA4A10"/>
    <w:rPr>
      <w:rFonts w:cs="Times New Roman"/>
      <w:sz w:val="16"/>
    </w:rPr>
  </w:style>
  <w:style w:type="paragraph" w:styleId="Textkomentra">
    <w:name w:val="annotation text"/>
    <w:basedOn w:val="Normlny"/>
    <w:link w:val="TextkomentraChar"/>
    <w:uiPriority w:val="99"/>
    <w:semiHidden/>
    <w:rsid w:val="00FA4A10"/>
    <w:rPr>
      <w:sz w:val="20"/>
    </w:rPr>
  </w:style>
  <w:style w:type="character" w:customStyle="1" w:styleId="TextkomentraChar">
    <w:name w:val="Text komentára Char"/>
    <w:link w:val="Textkomentra"/>
    <w:uiPriority w:val="99"/>
    <w:semiHidden/>
    <w:locked/>
    <w:rPr>
      <w:rFonts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FA4A10"/>
    <w:rPr>
      <w:b/>
      <w:bCs/>
    </w:rPr>
  </w:style>
  <w:style w:type="character" w:customStyle="1" w:styleId="PredmetkomentraChar">
    <w:name w:val="Predmet komentára Char"/>
    <w:link w:val="Predmetkomentra"/>
    <w:uiPriority w:val="99"/>
    <w:semiHidden/>
    <w:locked/>
    <w:rPr>
      <w:rFonts w:cs="Times New Roman"/>
      <w:b/>
      <w:bCs/>
      <w:sz w:val="20"/>
      <w:szCs w:val="20"/>
      <w:lang w:val="sk-SK" w:eastAsia="sk-SK"/>
    </w:rPr>
  </w:style>
  <w:style w:type="table" w:styleId="Mriekatabuky">
    <w:name w:val="Table Grid"/>
    <w:basedOn w:val="Normlnatabuka"/>
    <w:uiPriority w:val="99"/>
    <w:rsid w:val="00AD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C362E8"/>
    <w:rPr>
      <w:color w:val="000000"/>
      <w:sz w:val="26"/>
    </w:rPr>
  </w:style>
  <w:style w:type="paragraph" w:customStyle="1" w:styleId="Default">
    <w:name w:val="Default"/>
    <w:uiPriority w:val="99"/>
    <w:rsid w:val="00C362E8"/>
    <w:pPr>
      <w:autoSpaceDE w:val="0"/>
      <w:autoSpaceDN w:val="0"/>
      <w:adjustRightInd w:val="0"/>
    </w:pPr>
    <w:rPr>
      <w:color w:val="000000"/>
      <w:sz w:val="24"/>
      <w:szCs w:val="24"/>
    </w:rPr>
  </w:style>
  <w:style w:type="character" w:styleId="Hypertextovprepojenie">
    <w:name w:val="Hyperlink"/>
    <w:uiPriority w:val="99"/>
    <w:rsid w:val="008A026A"/>
    <w:rPr>
      <w:rFonts w:cs="Times New Roman"/>
      <w:color w:val="0000FF"/>
      <w:u w:val="single"/>
    </w:rPr>
  </w:style>
  <w:style w:type="paragraph" w:styleId="truktradokumentu">
    <w:name w:val="Document Map"/>
    <w:basedOn w:val="Normlny"/>
    <w:link w:val="truktradokumentuChar"/>
    <w:uiPriority w:val="99"/>
    <w:semiHidden/>
    <w:rsid w:val="00B35B07"/>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locked/>
    <w:rPr>
      <w:rFonts w:cs="Times New Roman"/>
      <w:sz w:val="2"/>
      <w:lang w:val="sk-SK" w:eastAsia="sk-SK"/>
    </w:rPr>
  </w:style>
  <w:style w:type="paragraph" w:styleId="Revzia">
    <w:name w:val="Revision"/>
    <w:hidden/>
    <w:uiPriority w:val="99"/>
    <w:semiHidden/>
    <w:rsid w:val="00D23BCF"/>
    <w:rPr>
      <w:sz w:val="24"/>
    </w:rPr>
  </w:style>
  <w:style w:type="paragraph" w:customStyle="1" w:styleId="ListParagraph1">
    <w:name w:val="List Paragraph1"/>
    <w:basedOn w:val="Normlny"/>
    <w:uiPriority w:val="99"/>
    <w:rsid w:val="000C3624"/>
    <w:pPr>
      <w:spacing w:after="200" w:line="276" w:lineRule="auto"/>
      <w:ind w:left="720"/>
      <w:contextualSpacing/>
    </w:pPr>
    <w:rPr>
      <w:rFonts w:ascii="Calibri" w:hAnsi="Calibri"/>
      <w:sz w:val="22"/>
      <w:szCs w:val="22"/>
    </w:rPr>
  </w:style>
  <w:style w:type="character" w:customStyle="1" w:styleId="hps">
    <w:name w:val="hps"/>
    <w:uiPriority w:val="99"/>
    <w:rsid w:val="000C3624"/>
  </w:style>
  <w:style w:type="paragraph" w:styleId="Odsekzoznamu">
    <w:name w:val="List Paragraph"/>
    <w:basedOn w:val="Normlny"/>
    <w:uiPriority w:val="99"/>
    <w:qFormat/>
    <w:rsid w:val="0010712F"/>
    <w:pPr>
      <w:spacing w:after="200" w:line="276" w:lineRule="auto"/>
      <w:ind w:left="720"/>
      <w:contextualSpacing/>
    </w:pPr>
    <w:rPr>
      <w:rFonts w:ascii="Calibri" w:hAnsi="Calibri"/>
      <w:sz w:val="22"/>
      <w:szCs w:val="22"/>
    </w:rPr>
  </w:style>
  <w:style w:type="paragraph" w:customStyle="1" w:styleId="-1">
    <w:name w:val="-1"/>
    <w:basedOn w:val="Normlny"/>
    <w:uiPriority w:val="99"/>
    <w:rsid w:val="004D7EAB"/>
    <w:pPr>
      <w:numPr>
        <w:numId w:val="19"/>
      </w:numPr>
    </w:pPr>
  </w:style>
  <w:style w:type="character" w:customStyle="1" w:styleId="A2">
    <w:name w:val="A2"/>
    <w:uiPriority w:val="99"/>
    <w:rsid w:val="008C2CFD"/>
    <w:rPr>
      <w:rFonts w:ascii="Times New Roman" w:hAnsi="Times New Roman"/>
      <w:b/>
      <w:color w:val="00000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uiPriority="0"/>
    <w:lsdException w:name="caption" w:locked="1" w:uiPriority="0" w:qFormat="1"/>
    <w:lsdException w:name="List Number" w:locked="1" w:semiHidden="0" w:uiPriority="0" w:unhideWhenUsed="0"/>
    <w:lsdException w:name="List 4" w:locked="1" w:semiHidden="0" w:uiPriority="0"/>
    <w:lsdException w:name="List 5" w:locked="1" w:semiHidden="0" w:uiPriority="0"/>
    <w:lsdException w:name="Title" w:locked="1" w:semiHidden="0" w:uiPriority="0" w:unhideWhenUsed="0" w:qFormat="1"/>
    <w:lsdException w:name="Default Paragraph Font" w:locked="1" w:semiHidden="0" w:uiPriority="0"/>
    <w:lsdException w:name="Subtitle" w:locked="1" w:semiHidden="0" w:uiPriority="0" w:unhideWhenUsed="0" w:qFormat="1"/>
    <w:lsdException w:name="Salutation" w:locked="1" w:semiHidden="0" w:uiPriority="0"/>
    <w:lsdException w:name="Date" w:locked="1" w:semiHidden="0" w:uiPriority="0"/>
    <w:lsdException w:name="Body Text First Indent" w:locked="1" w:semiHidden="0"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97473"/>
    <w:rPr>
      <w:sz w:val="24"/>
    </w:rPr>
  </w:style>
  <w:style w:type="paragraph" w:styleId="Nadpis1">
    <w:name w:val="heading 1"/>
    <w:basedOn w:val="Normlny"/>
    <w:next w:val="Normlny"/>
    <w:link w:val="Nadpis1Char"/>
    <w:uiPriority w:val="99"/>
    <w:qFormat/>
    <w:rsid w:val="00897473"/>
    <w:pPr>
      <w:keepNext/>
      <w:shd w:val="clear" w:color="auto" w:fill="FFFFFF"/>
      <w:autoSpaceDE w:val="0"/>
      <w:autoSpaceDN w:val="0"/>
      <w:adjustRightInd w:val="0"/>
      <w:outlineLvl w:val="0"/>
    </w:pPr>
    <w:rPr>
      <w:b/>
      <w:bCs/>
      <w:sz w:val="22"/>
    </w:rPr>
  </w:style>
  <w:style w:type="paragraph" w:styleId="Nadpis2">
    <w:name w:val="heading 2"/>
    <w:basedOn w:val="Normlny"/>
    <w:next w:val="Normlny"/>
    <w:link w:val="Nadpis2Char"/>
    <w:uiPriority w:val="99"/>
    <w:qFormat/>
    <w:rsid w:val="00897473"/>
    <w:pPr>
      <w:keepNext/>
      <w:outlineLvl w:val="1"/>
    </w:pPr>
    <w:rPr>
      <w:b/>
      <w:bCs/>
      <w:i/>
    </w:rPr>
  </w:style>
  <w:style w:type="paragraph" w:styleId="Nadpis3">
    <w:name w:val="heading 3"/>
    <w:basedOn w:val="Normlny"/>
    <w:next w:val="Normlny"/>
    <w:link w:val="Nadpis3Char"/>
    <w:uiPriority w:val="99"/>
    <w:qFormat/>
    <w:rsid w:val="00897473"/>
    <w:pPr>
      <w:keepNext/>
      <w:shd w:val="clear" w:color="auto" w:fill="FFFFFF"/>
      <w:autoSpaceDE w:val="0"/>
      <w:autoSpaceDN w:val="0"/>
      <w:adjustRightInd w:val="0"/>
      <w:ind w:left="360" w:hanging="360"/>
      <w:outlineLvl w:val="2"/>
    </w:pPr>
    <w:rPr>
      <w:sz w:val="22"/>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9"/>
    <w:locked/>
    <w:rPr>
      <w:rFonts w:ascii="Cambria" w:eastAsia="MS Gothic" w:hAnsi="Cambria" w:cs="Times New Roman"/>
      <w:b/>
      <w:bCs/>
      <w:kern w:val="32"/>
      <w:sz w:val="32"/>
      <w:szCs w:val="32"/>
      <w:lang w:val="sk-SK" w:eastAsia="sk-SK"/>
    </w:rPr>
  </w:style>
  <w:style w:type="character" w:customStyle="1" w:styleId="Nadpis2Char">
    <w:name w:val="Nadpis 2 Char"/>
    <w:link w:val="Nadpis2"/>
    <w:uiPriority w:val="99"/>
    <w:semiHidden/>
    <w:locked/>
    <w:rPr>
      <w:rFonts w:ascii="Cambria" w:eastAsia="MS Gothic" w:hAnsi="Cambria" w:cs="Times New Roman"/>
      <w:b/>
      <w:bCs/>
      <w:i/>
      <w:iCs/>
      <w:sz w:val="28"/>
      <w:szCs w:val="28"/>
      <w:lang w:val="sk-SK" w:eastAsia="sk-SK"/>
    </w:rPr>
  </w:style>
  <w:style w:type="character" w:customStyle="1" w:styleId="Nadpis3Char">
    <w:name w:val="Nadpis 3 Char"/>
    <w:link w:val="Nadpis3"/>
    <w:uiPriority w:val="99"/>
    <w:semiHidden/>
    <w:locked/>
    <w:rPr>
      <w:rFonts w:ascii="Cambria" w:eastAsia="MS Gothic" w:hAnsi="Cambria" w:cs="Times New Roman"/>
      <w:b/>
      <w:bCs/>
      <w:sz w:val="26"/>
      <w:szCs w:val="26"/>
      <w:lang w:val="sk-SK" w:eastAsia="sk-SK"/>
    </w:rPr>
  </w:style>
  <w:style w:type="paragraph" w:styleId="Hlavika">
    <w:name w:val="header"/>
    <w:basedOn w:val="Normlny"/>
    <w:link w:val="HlavikaChar"/>
    <w:uiPriority w:val="99"/>
    <w:rsid w:val="00897473"/>
    <w:pPr>
      <w:tabs>
        <w:tab w:val="center" w:pos="4819"/>
        <w:tab w:val="right" w:pos="9638"/>
      </w:tabs>
    </w:pPr>
  </w:style>
  <w:style w:type="character" w:customStyle="1" w:styleId="HlavikaChar">
    <w:name w:val="Hlavička Char"/>
    <w:link w:val="Hlavika"/>
    <w:uiPriority w:val="99"/>
    <w:locked/>
    <w:rsid w:val="00AE38D3"/>
    <w:rPr>
      <w:rFonts w:cs="Times New Roman"/>
      <w:sz w:val="24"/>
    </w:rPr>
  </w:style>
  <w:style w:type="paragraph" w:styleId="Pta">
    <w:name w:val="footer"/>
    <w:basedOn w:val="Normlny"/>
    <w:link w:val="PtaChar"/>
    <w:uiPriority w:val="99"/>
    <w:rsid w:val="00897473"/>
    <w:pPr>
      <w:tabs>
        <w:tab w:val="center" w:pos="4819"/>
        <w:tab w:val="right" w:pos="9638"/>
      </w:tabs>
    </w:pPr>
  </w:style>
  <w:style w:type="character" w:customStyle="1" w:styleId="PtaChar">
    <w:name w:val="Päta Char"/>
    <w:link w:val="Pta"/>
    <w:uiPriority w:val="99"/>
    <w:locked/>
    <w:rsid w:val="00AE38D3"/>
    <w:rPr>
      <w:rFonts w:cs="Times New Roman"/>
      <w:sz w:val="24"/>
    </w:rPr>
  </w:style>
  <w:style w:type="character" w:styleId="slostrany">
    <w:name w:val="page number"/>
    <w:uiPriority w:val="99"/>
    <w:rsid w:val="00897473"/>
    <w:rPr>
      <w:rFonts w:cs="Times New Roman"/>
    </w:rPr>
  </w:style>
  <w:style w:type="paragraph" w:customStyle="1" w:styleId="elenco1">
    <w:name w:val="elenco1"/>
    <w:basedOn w:val="Normlny"/>
    <w:uiPriority w:val="99"/>
    <w:rsid w:val="00897473"/>
    <w:pPr>
      <w:numPr>
        <w:numId w:val="1"/>
      </w:numPr>
    </w:pPr>
  </w:style>
  <w:style w:type="paragraph" w:customStyle="1" w:styleId="elenco2">
    <w:name w:val="elenco2"/>
    <w:basedOn w:val="Normlny"/>
    <w:uiPriority w:val="99"/>
    <w:rsid w:val="00897473"/>
    <w:pPr>
      <w:numPr>
        <w:numId w:val="2"/>
      </w:numPr>
    </w:pPr>
  </w:style>
  <w:style w:type="paragraph" w:styleId="Oznaitext">
    <w:name w:val="Block Text"/>
    <w:basedOn w:val="Normlny"/>
    <w:uiPriority w:val="99"/>
    <w:rsid w:val="00897473"/>
    <w:pPr>
      <w:shd w:val="clear" w:color="auto" w:fill="FFFFFF"/>
      <w:autoSpaceDE w:val="0"/>
      <w:autoSpaceDN w:val="0"/>
      <w:adjustRightInd w:val="0"/>
      <w:ind w:left="1296" w:right="144"/>
      <w:jc w:val="both"/>
    </w:pPr>
    <w:rPr>
      <w:sz w:val="22"/>
    </w:rPr>
  </w:style>
  <w:style w:type="paragraph" w:styleId="Zarkazkladnhotextu">
    <w:name w:val="Body Text Indent"/>
    <w:basedOn w:val="Normlny"/>
    <w:link w:val="ZarkazkladnhotextuChar"/>
    <w:uiPriority w:val="99"/>
    <w:rsid w:val="00897473"/>
    <w:pPr>
      <w:shd w:val="clear" w:color="auto" w:fill="FFFFFF"/>
      <w:autoSpaceDE w:val="0"/>
      <w:autoSpaceDN w:val="0"/>
      <w:adjustRightInd w:val="0"/>
      <w:ind w:left="1296"/>
    </w:pPr>
    <w:rPr>
      <w:sz w:val="22"/>
    </w:rPr>
  </w:style>
  <w:style w:type="character" w:customStyle="1" w:styleId="ZarkazkladnhotextuChar">
    <w:name w:val="Zarážka základného textu Char"/>
    <w:link w:val="Zarkazkladnhotextu"/>
    <w:uiPriority w:val="99"/>
    <w:semiHidden/>
    <w:locked/>
    <w:rPr>
      <w:rFonts w:cs="Times New Roman"/>
      <w:sz w:val="20"/>
      <w:szCs w:val="20"/>
      <w:lang w:val="sk-SK" w:eastAsia="sk-SK"/>
    </w:rPr>
  </w:style>
  <w:style w:type="paragraph" w:styleId="Zarkazkladnhotextu2">
    <w:name w:val="Body Text Indent 2"/>
    <w:basedOn w:val="Normlny"/>
    <w:link w:val="Zarkazkladnhotextu2Char"/>
    <w:uiPriority w:val="99"/>
    <w:rsid w:val="00897473"/>
    <w:pPr>
      <w:shd w:val="clear" w:color="auto" w:fill="FFFFFF"/>
      <w:autoSpaceDE w:val="0"/>
      <w:autoSpaceDN w:val="0"/>
      <w:adjustRightInd w:val="0"/>
      <w:ind w:left="1296"/>
    </w:pPr>
    <w:rPr>
      <w:color w:val="0000FF"/>
      <w:sz w:val="22"/>
    </w:rPr>
  </w:style>
  <w:style w:type="character" w:customStyle="1" w:styleId="Zarkazkladnhotextu2Char">
    <w:name w:val="Zarážka základného textu 2 Char"/>
    <w:link w:val="Zarkazkladnhotextu2"/>
    <w:uiPriority w:val="99"/>
    <w:semiHidden/>
    <w:locked/>
    <w:rPr>
      <w:rFonts w:cs="Times New Roman"/>
      <w:sz w:val="20"/>
      <w:szCs w:val="20"/>
      <w:lang w:val="sk-SK" w:eastAsia="sk-SK"/>
    </w:rPr>
  </w:style>
  <w:style w:type="paragraph" w:styleId="Zkladntext">
    <w:name w:val="Body Text"/>
    <w:basedOn w:val="Normlny"/>
    <w:link w:val="ZkladntextChar"/>
    <w:uiPriority w:val="99"/>
    <w:rsid w:val="00897473"/>
    <w:pPr>
      <w:shd w:val="clear" w:color="auto" w:fill="FFFFFF"/>
      <w:autoSpaceDE w:val="0"/>
      <w:autoSpaceDN w:val="0"/>
      <w:adjustRightInd w:val="0"/>
    </w:pPr>
    <w:rPr>
      <w:sz w:val="22"/>
    </w:rPr>
  </w:style>
  <w:style w:type="character" w:customStyle="1" w:styleId="ZkladntextChar">
    <w:name w:val="Základný text Char"/>
    <w:link w:val="Zkladntext"/>
    <w:uiPriority w:val="99"/>
    <w:semiHidden/>
    <w:locked/>
    <w:rPr>
      <w:rFonts w:cs="Times New Roman"/>
      <w:sz w:val="20"/>
      <w:szCs w:val="20"/>
      <w:lang w:val="sk-SK" w:eastAsia="sk-SK"/>
    </w:rPr>
  </w:style>
  <w:style w:type="paragraph" w:styleId="Zkladntext2">
    <w:name w:val="Body Text 2"/>
    <w:basedOn w:val="Normlny"/>
    <w:link w:val="Zkladntext2Char"/>
    <w:uiPriority w:val="99"/>
    <w:rsid w:val="00897473"/>
    <w:pPr>
      <w:shd w:val="clear" w:color="auto" w:fill="FFFFFF"/>
      <w:autoSpaceDE w:val="0"/>
      <w:autoSpaceDN w:val="0"/>
      <w:adjustRightInd w:val="0"/>
      <w:spacing w:after="120"/>
      <w:jc w:val="both"/>
    </w:pPr>
    <w:rPr>
      <w:sz w:val="22"/>
    </w:rPr>
  </w:style>
  <w:style w:type="character" w:customStyle="1" w:styleId="Zkladntext2Char">
    <w:name w:val="Základný text 2 Char"/>
    <w:link w:val="Zkladntext2"/>
    <w:uiPriority w:val="99"/>
    <w:semiHidden/>
    <w:locked/>
    <w:rPr>
      <w:rFonts w:cs="Times New Roman"/>
      <w:sz w:val="20"/>
      <w:szCs w:val="20"/>
      <w:lang w:val="sk-SK" w:eastAsia="sk-SK"/>
    </w:rPr>
  </w:style>
  <w:style w:type="paragraph" w:customStyle="1" w:styleId="Testofumetto1">
    <w:name w:val="Testo fumetto1"/>
    <w:basedOn w:val="Normlny"/>
    <w:uiPriority w:val="99"/>
    <w:semiHidden/>
    <w:rsid w:val="00897473"/>
    <w:rPr>
      <w:rFonts w:ascii="Tahoma" w:hAnsi="Tahoma" w:cs="Tahoma"/>
      <w:sz w:val="16"/>
      <w:szCs w:val="16"/>
    </w:rPr>
  </w:style>
  <w:style w:type="paragraph" w:customStyle="1" w:styleId="texte">
    <w:name w:val="texte"/>
    <w:basedOn w:val="Normlny"/>
    <w:link w:val="texteCar"/>
    <w:uiPriority w:val="99"/>
    <w:rsid w:val="00E6197F"/>
    <w:pPr>
      <w:spacing w:before="120" w:after="120"/>
      <w:jc w:val="both"/>
    </w:pPr>
  </w:style>
  <w:style w:type="character" w:customStyle="1" w:styleId="texteCar">
    <w:name w:val="texte Car"/>
    <w:link w:val="texte"/>
    <w:uiPriority w:val="99"/>
    <w:locked/>
    <w:rsid w:val="00E6197F"/>
    <w:rPr>
      <w:sz w:val="24"/>
    </w:rPr>
  </w:style>
  <w:style w:type="paragraph" w:styleId="Textbubliny">
    <w:name w:val="Balloon Text"/>
    <w:basedOn w:val="Normlny"/>
    <w:link w:val="TextbublinyChar"/>
    <w:uiPriority w:val="99"/>
    <w:rsid w:val="004556C1"/>
    <w:rPr>
      <w:rFonts w:ascii="Tahoma" w:hAnsi="Tahoma"/>
      <w:sz w:val="16"/>
      <w:szCs w:val="16"/>
    </w:rPr>
  </w:style>
  <w:style w:type="character" w:customStyle="1" w:styleId="TextbublinyChar">
    <w:name w:val="Text bubliny Char"/>
    <w:link w:val="Textbubliny"/>
    <w:uiPriority w:val="99"/>
    <w:locked/>
    <w:rsid w:val="004556C1"/>
    <w:rPr>
      <w:rFonts w:ascii="Tahoma" w:hAnsi="Tahoma" w:cs="Times New Roman"/>
      <w:sz w:val="16"/>
    </w:rPr>
  </w:style>
  <w:style w:type="character" w:styleId="Odkaznakomentr">
    <w:name w:val="annotation reference"/>
    <w:uiPriority w:val="99"/>
    <w:semiHidden/>
    <w:rsid w:val="00FA4A10"/>
    <w:rPr>
      <w:rFonts w:cs="Times New Roman"/>
      <w:sz w:val="16"/>
    </w:rPr>
  </w:style>
  <w:style w:type="paragraph" w:styleId="Textkomentra">
    <w:name w:val="annotation text"/>
    <w:basedOn w:val="Normlny"/>
    <w:link w:val="TextkomentraChar"/>
    <w:uiPriority w:val="99"/>
    <w:semiHidden/>
    <w:rsid w:val="00FA4A10"/>
    <w:rPr>
      <w:sz w:val="20"/>
    </w:rPr>
  </w:style>
  <w:style w:type="character" w:customStyle="1" w:styleId="TextkomentraChar">
    <w:name w:val="Text komentára Char"/>
    <w:link w:val="Textkomentra"/>
    <w:uiPriority w:val="99"/>
    <w:semiHidden/>
    <w:locked/>
    <w:rPr>
      <w:rFonts w:cs="Times New Roman"/>
      <w:sz w:val="20"/>
      <w:szCs w:val="20"/>
      <w:lang w:val="sk-SK" w:eastAsia="sk-SK"/>
    </w:rPr>
  </w:style>
  <w:style w:type="paragraph" w:styleId="Predmetkomentra">
    <w:name w:val="annotation subject"/>
    <w:basedOn w:val="Textkomentra"/>
    <w:next w:val="Textkomentra"/>
    <w:link w:val="PredmetkomentraChar"/>
    <w:uiPriority w:val="99"/>
    <w:semiHidden/>
    <w:rsid w:val="00FA4A10"/>
    <w:rPr>
      <w:b/>
      <w:bCs/>
    </w:rPr>
  </w:style>
  <w:style w:type="character" w:customStyle="1" w:styleId="PredmetkomentraChar">
    <w:name w:val="Predmet komentára Char"/>
    <w:link w:val="Predmetkomentra"/>
    <w:uiPriority w:val="99"/>
    <w:semiHidden/>
    <w:locked/>
    <w:rPr>
      <w:rFonts w:cs="Times New Roman"/>
      <w:b/>
      <w:bCs/>
      <w:sz w:val="20"/>
      <w:szCs w:val="20"/>
      <w:lang w:val="sk-SK" w:eastAsia="sk-SK"/>
    </w:rPr>
  </w:style>
  <w:style w:type="table" w:styleId="Mriekatabuky">
    <w:name w:val="Table Grid"/>
    <w:basedOn w:val="Normlnatabuka"/>
    <w:uiPriority w:val="99"/>
    <w:rsid w:val="00AD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A4"/>
    <w:uiPriority w:val="99"/>
    <w:rsid w:val="00C362E8"/>
    <w:rPr>
      <w:color w:val="000000"/>
      <w:sz w:val="26"/>
    </w:rPr>
  </w:style>
  <w:style w:type="paragraph" w:customStyle="1" w:styleId="Default">
    <w:name w:val="Default"/>
    <w:uiPriority w:val="99"/>
    <w:rsid w:val="00C362E8"/>
    <w:pPr>
      <w:autoSpaceDE w:val="0"/>
      <w:autoSpaceDN w:val="0"/>
      <w:adjustRightInd w:val="0"/>
    </w:pPr>
    <w:rPr>
      <w:color w:val="000000"/>
      <w:sz w:val="24"/>
      <w:szCs w:val="24"/>
    </w:rPr>
  </w:style>
  <w:style w:type="character" w:styleId="Hypertextovprepojenie">
    <w:name w:val="Hyperlink"/>
    <w:uiPriority w:val="99"/>
    <w:rsid w:val="008A026A"/>
    <w:rPr>
      <w:rFonts w:cs="Times New Roman"/>
      <w:color w:val="0000FF"/>
      <w:u w:val="single"/>
    </w:rPr>
  </w:style>
  <w:style w:type="paragraph" w:styleId="truktradokumentu">
    <w:name w:val="Document Map"/>
    <w:basedOn w:val="Normlny"/>
    <w:link w:val="truktradokumentuChar"/>
    <w:uiPriority w:val="99"/>
    <w:semiHidden/>
    <w:rsid w:val="00B35B07"/>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locked/>
    <w:rPr>
      <w:rFonts w:cs="Times New Roman"/>
      <w:sz w:val="2"/>
      <w:lang w:val="sk-SK" w:eastAsia="sk-SK"/>
    </w:rPr>
  </w:style>
  <w:style w:type="paragraph" w:styleId="Revzia">
    <w:name w:val="Revision"/>
    <w:hidden/>
    <w:uiPriority w:val="99"/>
    <w:semiHidden/>
    <w:rsid w:val="00D23BCF"/>
    <w:rPr>
      <w:sz w:val="24"/>
    </w:rPr>
  </w:style>
  <w:style w:type="paragraph" w:customStyle="1" w:styleId="ListParagraph1">
    <w:name w:val="List Paragraph1"/>
    <w:basedOn w:val="Normlny"/>
    <w:uiPriority w:val="99"/>
    <w:rsid w:val="000C3624"/>
    <w:pPr>
      <w:spacing w:after="200" w:line="276" w:lineRule="auto"/>
      <w:ind w:left="720"/>
      <w:contextualSpacing/>
    </w:pPr>
    <w:rPr>
      <w:rFonts w:ascii="Calibri" w:hAnsi="Calibri"/>
      <w:sz w:val="22"/>
      <w:szCs w:val="22"/>
    </w:rPr>
  </w:style>
  <w:style w:type="character" w:customStyle="1" w:styleId="hps">
    <w:name w:val="hps"/>
    <w:uiPriority w:val="99"/>
    <w:rsid w:val="000C3624"/>
  </w:style>
  <w:style w:type="paragraph" w:styleId="Odsekzoznamu">
    <w:name w:val="List Paragraph"/>
    <w:basedOn w:val="Normlny"/>
    <w:uiPriority w:val="99"/>
    <w:qFormat/>
    <w:rsid w:val="0010712F"/>
    <w:pPr>
      <w:spacing w:after="200" w:line="276" w:lineRule="auto"/>
      <w:ind w:left="720"/>
      <w:contextualSpacing/>
    </w:pPr>
    <w:rPr>
      <w:rFonts w:ascii="Calibri" w:hAnsi="Calibri"/>
      <w:sz w:val="22"/>
      <w:szCs w:val="22"/>
    </w:rPr>
  </w:style>
  <w:style w:type="paragraph" w:customStyle="1" w:styleId="-1">
    <w:name w:val="-1"/>
    <w:basedOn w:val="Normlny"/>
    <w:uiPriority w:val="99"/>
    <w:rsid w:val="004D7EAB"/>
    <w:pPr>
      <w:numPr>
        <w:numId w:val="19"/>
      </w:numPr>
    </w:pPr>
  </w:style>
  <w:style w:type="character" w:customStyle="1" w:styleId="A2">
    <w:name w:val="A2"/>
    <w:uiPriority w:val="99"/>
    <w:rsid w:val="008C2CFD"/>
    <w:rPr>
      <w:rFonts w:ascii="Times New Roman" w:hAnsi="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7048754">
      <w:marLeft w:val="0"/>
      <w:marRight w:val="0"/>
      <w:marTop w:val="0"/>
      <w:marBottom w:val="0"/>
      <w:divBdr>
        <w:top w:val="none" w:sz="0" w:space="0" w:color="auto"/>
        <w:left w:val="none" w:sz="0" w:space="0" w:color="auto"/>
        <w:bottom w:val="none" w:sz="0" w:space="0" w:color="auto"/>
        <w:right w:val="none" w:sz="0" w:space="0" w:color="auto"/>
      </w:divBdr>
    </w:div>
    <w:div w:id="1807048755">
      <w:marLeft w:val="0"/>
      <w:marRight w:val="0"/>
      <w:marTop w:val="0"/>
      <w:marBottom w:val="0"/>
      <w:divBdr>
        <w:top w:val="none" w:sz="0" w:space="0" w:color="auto"/>
        <w:left w:val="none" w:sz="0" w:space="0" w:color="auto"/>
        <w:bottom w:val="none" w:sz="0" w:space="0" w:color="auto"/>
        <w:right w:val="none" w:sz="0" w:space="0" w:color="auto"/>
      </w:divBdr>
    </w:div>
    <w:div w:id="180704875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3854</Words>
  <Characters>25536</Characters>
  <Application>Microsoft Office Word</Application>
  <DocSecurity>0</DocSecurity>
  <Lines>212</Lines>
  <Paragraphs>58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ANNEXE I</vt:lpstr>
      <vt:lpstr>ANNEXE I</vt:lpstr>
    </vt:vector>
  </TitlesOfParts>
  <Company>MHRA</Company>
  <LinksUpToDate>false</LinksUpToDate>
  <CharactersWithSpaces>29332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I</dc:title>
  <dc:creator>Cliente</dc:creator>
  <cp:lastModifiedBy>Uhnáková Milota</cp:lastModifiedBy>
  <cp:revision>2</cp:revision>
  <cp:lastPrinted>2018-06-21T07:42:00Z</cp:lastPrinted>
  <dcterms:created xsi:type="dcterms:W3CDTF">2019-03-29T09:11:00Z</dcterms:created>
  <dcterms:modified xsi:type="dcterms:W3CDTF">2019-03-29T09:11:00Z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me Farmaceutiche">
    <vt:lpwstr>47</vt:lpwstr>
  </property>
  <property fmtid="{D5CDD505-2E9C-101B-9397-08002B2CF9AE}" pid="3" name="Procedura">
    <vt:lpwstr>2</vt:lpwstr>
  </property>
  <property fmtid="{D5CDD505-2E9C-101B-9397-08002B2CF9AE}" pid="4" name="display_urn:schemas-microsoft-com:office:office#Editor">
    <vt:lpwstr>Pasca Valerio</vt:lpwstr>
  </property>
  <property fmtid="{D5CDD505-2E9C-101B-9397-08002B2CF9AE}" pid="5" name="display_urn:schemas-microsoft-com:office:office#Author">
    <vt:lpwstr>Pasca Valerio</vt:lpwstr>
  </property>
  <property fmtid="{D5CDD505-2E9C-101B-9397-08002B2CF9AE}" pid="6" name="Dettaglio Variazione">
    <vt:lpwstr/>
  </property>
  <property fmtid="{D5CDD505-2E9C-101B-9397-08002B2CF9AE}" pid="7" name="Modulo">
    <vt:lpwstr>m1</vt:lpwstr>
  </property>
  <property fmtid="{D5CDD505-2E9C-101B-9397-08002B2CF9AE}" pid="8" name="Eccipiente">
    <vt:lpwstr/>
  </property>
  <property fmtid="{D5CDD505-2E9C-101B-9397-08002B2CF9AE}" pid="9" name="Squenza">
    <vt:lpwstr>0003</vt:lpwstr>
  </property>
  <property fmtid="{D5CDD505-2E9C-101B-9397-08002B2CF9AE}" pid="10" name="Descrizione submission">
    <vt:lpwstr/>
  </property>
  <property fmtid="{D5CDD505-2E9C-101B-9397-08002B2CF9AE}" pid="11" name="Prodotto">
    <vt:lpwstr>144</vt:lpwstr>
  </property>
  <property fmtid="{D5CDD505-2E9C-101B-9397-08002B2CF9AE}" pid="12" name="Forma Farmaceutica">
    <vt:lpwstr>47</vt:lpwstr>
  </property>
  <property fmtid="{D5CDD505-2E9C-101B-9397-08002B2CF9AE}" pid="13" name="Nazioni_Choice">
    <vt:lpwstr>;#CZECH REPUBLIC;#GREECE;#HUNGARY;#ITALY;#POLAND;#SLOVAKIA;#UNITED KINGDOM;#</vt:lpwstr>
  </property>
  <property fmtid="{D5CDD505-2E9C-101B-9397-08002B2CF9AE}" pid="14" name="Study Report">
    <vt:lpwstr/>
  </property>
  <property fmtid="{D5CDD505-2E9C-101B-9397-08002B2CF9AE}" pid="15" name="Submission">
    <vt:lpwstr>Risposte/Richieste Agg.</vt:lpwstr>
  </property>
  <property fmtid="{D5CDD505-2E9C-101B-9397-08002B2CF9AE}" pid="16" name="Stato WA">
    <vt:lpwstr>Pronto</vt:lpwstr>
  </property>
  <property fmtid="{D5CDD505-2E9C-101B-9397-08002B2CF9AE}" pid="17" name="Edizione">
    <vt:lpwstr>0003</vt:lpwstr>
  </property>
  <property fmtid="{D5CDD505-2E9C-101B-9397-08002B2CF9AE}" pid="18" name="Fornitore">
    <vt:lpwstr/>
  </property>
  <property fmtid="{D5CDD505-2E9C-101B-9397-08002B2CF9AE}" pid="19" name="Principio Attivo">
    <vt:lpwstr>6</vt:lpwstr>
  </property>
  <property fmtid="{D5CDD505-2E9C-101B-9397-08002B2CF9AE}" pid="20" name="Sezione">
    <vt:lpwstr>108</vt:lpwstr>
  </property>
  <property fmtid="{D5CDD505-2E9C-101B-9397-08002B2CF9AE}" pid="21" name="Invio/Deposito">
    <vt:lpwstr/>
  </property>
</Properties>
</file>