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116AC" w14:textId="77777777" w:rsidR="00C14318" w:rsidRPr="00C14318" w:rsidRDefault="00C14318" w:rsidP="004037F5">
      <w:pPr>
        <w:jc w:val="center"/>
        <w:rPr>
          <w:b/>
          <w:lang w:val="sk-SK"/>
        </w:rPr>
      </w:pPr>
      <w:bookmarkStart w:id="0" w:name="_GoBack"/>
      <w:bookmarkEnd w:id="0"/>
      <w:r w:rsidRPr="00C14318">
        <w:rPr>
          <w:b/>
          <w:lang w:val="sk-SK"/>
        </w:rPr>
        <w:t>SÚHRN CHARAKTERISTICKÝCH VLASTNOSTÍ LIEKU</w:t>
      </w:r>
    </w:p>
    <w:p w14:paraId="032F71F8" w14:textId="77777777" w:rsidR="00C14318" w:rsidRPr="00C14318" w:rsidRDefault="00C14318" w:rsidP="001B463B">
      <w:pPr>
        <w:spacing w:before="78"/>
        <w:rPr>
          <w:b/>
          <w:lang w:val="sk-SK"/>
        </w:rPr>
      </w:pPr>
    </w:p>
    <w:p w14:paraId="4E33F462" w14:textId="77777777" w:rsidR="00C14318" w:rsidRPr="00C14318" w:rsidRDefault="00C14318" w:rsidP="001B463B">
      <w:pPr>
        <w:spacing w:before="78"/>
        <w:rPr>
          <w:b/>
          <w:lang w:val="sk-SK"/>
        </w:rPr>
      </w:pPr>
    </w:p>
    <w:p w14:paraId="3A3343C6" w14:textId="77777777" w:rsidR="005A7D1A" w:rsidRPr="00C14318" w:rsidRDefault="005A7D1A" w:rsidP="001B463B">
      <w:pPr>
        <w:pStyle w:val="Odsekzoznamu"/>
        <w:numPr>
          <w:ilvl w:val="0"/>
          <w:numId w:val="3"/>
        </w:numPr>
        <w:tabs>
          <w:tab w:val="left" w:pos="682"/>
          <w:tab w:val="left" w:pos="683"/>
        </w:tabs>
        <w:spacing w:before="78"/>
        <w:ind w:hanging="566"/>
        <w:jc w:val="left"/>
        <w:rPr>
          <w:b/>
          <w:lang w:val="sk-SK"/>
        </w:rPr>
      </w:pPr>
      <w:r w:rsidRPr="00C14318">
        <w:rPr>
          <w:b/>
          <w:lang w:val="sk-SK"/>
        </w:rPr>
        <w:t>NÁZOV</w:t>
      </w:r>
      <w:r w:rsidRPr="00C14318">
        <w:rPr>
          <w:b/>
          <w:spacing w:val="-2"/>
          <w:lang w:val="sk-SK"/>
        </w:rPr>
        <w:t xml:space="preserve"> </w:t>
      </w:r>
      <w:r w:rsidRPr="00C14318">
        <w:rPr>
          <w:b/>
          <w:lang w:val="sk-SK"/>
        </w:rPr>
        <w:t>LIEKU</w:t>
      </w:r>
    </w:p>
    <w:p w14:paraId="5BBBCA2F" w14:textId="77777777" w:rsidR="005A7D1A" w:rsidRPr="00C14318" w:rsidRDefault="005A7D1A" w:rsidP="001B463B">
      <w:pPr>
        <w:pStyle w:val="Zkladntext"/>
        <w:spacing w:before="6"/>
        <w:rPr>
          <w:b/>
          <w:lang w:val="sk-SK"/>
        </w:rPr>
      </w:pPr>
    </w:p>
    <w:p w14:paraId="4E48634F" w14:textId="77777777" w:rsidR="005A7D1A" w:rsidRPr="00C14318" w:rsidRDefault="00357BFB" w:rsidP="001B463B">
      <w:pPr>
        <w:pStyle w:val="Zkladntext"/>
        <w:spacing w:before="1"/>
        <w:ind w:left="116"/>
        <w:rPr>
          <w:lang w:val="sk-SK"/>
        </w:rPr>
      </w:pPr>
      <w:r>
        <w:rPr>
          <w:lang w:val="sk-SK"/>
        </w:rPr>
        <w:t>Dronedarón Sandoz 400 mg filmom obalené tablety</w:t>
      </w:r>
    </w:p>
    <w:p w14:paraId="4A16BFAA" w14:textId="77777777" w:rsidR="005A7D1A" w:rsidRPr="00C14318" w:rsidRDefault="005A7D1A" w:rsidP="001B463B">
      <w:pPr>
        <w:pStyle w:val="Zkladntext"/>
        <w:rPr>
          <w:lang w:val="sk-SK"/>
        </w:rPr>
      </w:pPr>
    </w:p>
    <w:p w14:paraId="65C3C129" w14:textId="77777777" w:rsidR="005A7D1A" w:rsidRPr="00C14318" w:rsidRDefault="005A7D1A" w:rsidP="001B463B">
      <w:pPr>
        <w:pStyle w:val="Zkladntext"/>
        <w:spacing w:before="4"/>
        <w:rPr>
          <w:lang w:val="sk-SK"/>
        </w:rPr>
      </w:pPr>
    </w:p>
    <w:p w14:paraId="21D62B05" w14:textId="77777777" w:rsidR="005A7D1A" w:rsidRDefault="005A7D1A" w:rsidP="001B463B">
      <w:pPr>
        <w:pStyle w:val="Nadpis1"/>
        <w:numPr>
          <w:ilvl w:val="0"/>
          <w:numId w:val="3"/>
        </w:numPr>
        <w:tabs>
          <w:tab w:val="left" w:pos="682"/>
          <w:tab w:val="left" w:pos="683"/>
        </w:tabs>
        <w:ind w:hanging="566"/>
        <w:jc w:val="left"/>
        <w:rPr>
          <w:lang w:val="sk-SK"/>
        </w:rPr>
      </w:pPr>
      <w:r w:rsidRPr="00C14318">
        <w:rPr>
          <w:lang w:val="sk-SK"/>
        </w:rPr>
        <w:t>KVALITATÍVNE A KVANTITATÍVNE</w:t>
      </w:r>
      <w:r w:rsidRPr="00C14318">
        <w:rPr>
          <w:spacing w:val="-13"/>
          <w:lang w:val="sk-SK"/>
        </w:rPr>
        <w:t xml:space="preserve"> </w:t>
      </w:r>
      <w:r w:rsidRPr="00C14318">
        <w:rPr>
          <w:lang w:val="sk-SK"/>
        </w:rPr>
        <w:t>ZLOŽENIE</w:t>
      </w:r>
    </w:p>
    <w:p w14:paraId="303D3296" w14:textId="77777777" w:rsidR="00791941" w:rsidRPr="00C14318" w:rsidRDefault="00791941" w:rsidP="001B463B">
      <w:pPr>
        <w:pStyle w:val="Nadpis1"/>
        <w:tabs>
          <w:tab w:val="left" w:pos="682"/>
          <w:tab w:val="left" w:pos="683"/>
        </w:tabs>
        <w:rPr>
          <w:lang w:val="sk-SK"/>
        </w:rPr>
      </w:pPr>
    </w:p>
    <w:p w14:paraId="36CA812E" w14:textId="398586ED" w:rsidR="00791941" w:rsidRDefault="005A7D1A" w:rsidP="001B463B">
      <w:pPr>
        <w:pStyle w:val="Zkladntext"/>
        <w:ind w:left="116" w:right="330"/>
        <w:rPr>
          <w:lang w:val="sk-SK"/>
        </w:rPr>
      </w:pPr>
      <w:r w:rsidRPr="00C14318">
        <w:rPr>
          <w:lang w:val="sk-SK"/>
        </w:rPr>
        <w:t xml:space="preserve">Každá </w:t>
      </w:r>
      <w:r w:rsidR="00791941">
        <w:rPr>
          <w:lang w:val="sk-SK"/>
        </w:rPr>
        <w:t xml:space="preserve">filmom obalená </w:t>
      </w:r>
      <w:r w:rsidRPr="00C14318">
        <w:rPr>
          <w:lang w:val="sk-SK"/>
        </w:rPr>
        <w:t>tableta obsahu</w:t>
      </w:r>
      <w:r w:rsidR="00B63FBC">
        <w:rPr>
          <w:lang w:val="sk-SK"/>
        </w:rPr>
        <w:t xml:space="preserve">je </w:t>
      </w:r>
      <w:r w:rsidR="005909D8">
        <w:rPr>
          <w:lang w:val="sk-SK"/>
        </w:rPr>
        <w:t>dronedarón</w:t>
      </w:r>
      <w:r w:rsidR="00A5264A">
        <w:rPr>
          <w:lang w:val="sk-SK"/>
        </w:rPr>
        <w:t>ium</w:t>
      </w:r>
      <w:r w:rsidR="00791941">
        <w:rPr>
          <w:lang w:val="sk-SK"/>
        </w:rPr>
        <w:t>chlorid</w:t>
      </w:r>
      <w:r w:rsidR="00A5264A">
        <w:rPr>
          <w:lang w:val="sk-SK"/>
        </w:rPr>
        <w:t xml:space="preserve"> vo forme soli</w:t>
      </w:r>
      <w:r w:rsidR="00791941">
        <w:rPr>
          <w:lang w:val="sk-SK"/>
        </w:rPr>
        <w:t>, čo zodpovedá 400 mg dronedarónu.</w:t>
      </w:r>
    </w:p>
    <w:p w14:paraId="11CA8FA4" w14:textId="77777777" w:rsidR="00791941" w:rsidRDefault="00791941" w:rsidP="001B463B">
      <w:pPr>
        <w:pStyle w:val="Zkladntext"/>
        <w:ind w:left="116" w:right="330"/>
        <w:rPr>
          <w:lang w:val="sk-SK"/>
        </w:rPr>
      </w:pPr>
    </w:p>
    <w:p w14:paraId="22F53676" w14:textId="77777777" w:rsidR="005A7D1A" w:rsidRPr="00791941" w:rsidRDefault="00A178AD" w:rsidP="001B463B">
      <w:pPr>
        <w:pStyle w:val="Zkladntext"/>
        <w:ind w:left="116" w:right="330"/>
        <w:rPr>
          <w:u w:val="single"/>
          <w:lang w:val="sk-SK"/>
        </w:rPr>
      </w:pPr>
      <w:r w:rsidRPr="00791941">
        <w:rPr>
          <w:u w:val="single"/>
          <w:lang w:val="sk-SK"/>
        </w:rPr>
        <w:t>Pomocná látka</w:t>
      </w:r>
      <w:r w:rsidR="005A7D1A" w:rsidRPr="00791941">
        <w:rPr>
          <w:u w:val="single"/>
          <w:lang w:val="sk-SK"/>
        </w:rPr>
        <w:t xml:space="preserve"> so známym účinkom:</w:t>
      </w:r>
    </w:p>
    <w:p w14:paraId="343702F7" w14:textId="77777777" w:rsidR="005A7D1A" w:rsidRPr="00C14318" w:rsidRDefault="00191D98" w:rsidP="001B463B">
      <w:pPr>
        <w:pStyle w:val="Zkladntext"/>
        <w:spacing w:line="198" w:lineRule="exact"/>
        <w:ind w:left="116"/>
        <w:rPr>
          <w:lang w:val="sk-SK"/>
        </w:rPr>
      </w:pPr>
      <w:r>
        <w:rPr>
          <w:lang w:val="sk-SK"/>
        </w:rPr>
        <w:t xml:space="preserve">Každá tableta obsahuje </w:t>
      </w:r>
      <w:r w:rsidR="00A178AD">
        <w:rPr>
          <w:lang w:val="sk-SK"/>
        </w:rPr>
        <w:t xml:space="preserve">109 </w:t>
      </w:r>
      <w:r>
        <w:rPr>
          <w:lang w:val="sk-SK"/>
        </w:rPr>
        <w:t>mg</w:t>
      </w:r>
      <w:r w:rsidR="005A7D1A" w:rsidRPr="00C14318">
        <w:rPr>
          <w:lang w:val="sk-SK"/>
        </w:rPr>
        <w:t xml:space="preserve"> laktózy (vo forme monohydrátu).</w:t>
      </w:r>
    </w:p>
    <w:p w14:paraId="3D799D1D" w14:textId="77777777" w:rsidR="005A7D1A" w:rsidRPr="00C14318" w:rsidRDefault="005A7D1A" w:rsidP="001B463B">
      <w:pPr>
        <w:pStyle w:val="Zkladntext"/>
        <w:rPr>
          <w:lang w:val="sk-SK"/>
        </w:rPr>
      </w:pPr>
    </w:p>
    <w:p w14:paraId="7D8D4423" w14:textId="77777777" w:rsidR="005A7D1A" w:rsidRPr="00C14318" w:rsidRDefault="005A7D1A" w:rsidP="001B463B">
      <w:pPr>
        <w:pStyle w:val="Zkladntext"/>
        <w:ind w:left="116"/>
        <w:rPr>
          <w:lang w:val="sk-SK"/>
        </w:rPr>
      </w:pPr>
      <w:r w:rsidRPr="00C14318">
        <w:rPr>
          <w:lang w:val="sk-SK"/>
        </w:rPr>
        <w:t>Úplný zoznam pomocných látok, pozri časť 6.1.</w:t>
      </w:r>
    </w:p>
    <w:p w14:paraId="2F7BF46B" w14:textId="77777777" w:rsidR="005A7D1A" w:rsidRPr="00C14318" w:rsidRDefault="005A7D1A" w:rsidP="001B463B">
      <w:pPr>
        <w:pStyle w:val="Zkladntext"/>
        <w:rPr>
          <w:lang w:val="sk-SK"/>
        </w:rPr>
      </w:pPr>
    </w:p>
    <w:p w14:paraId="415C7088" w14:textId="77777777" w:rsidR="005A7D1A" w:rsidRPr="00C14318" w:rsidRDefault="005A7D1A" w:rsidP="001B463B">
      <w:pPr>
        <w:pStyle w:val="Zkladntext"/>
        <w:spacing w:before="4"/>
        <w:rPr>
          <w:lang w:val="sk-SK"/>
        </w:rPr>
      </w:pPr>
    </w:p>
    <w:p w14:paraId="1255EC13" w14:textId="77777777" w:rsidR="005A7D1A" w:rsidRPr="00C14318" w:rsidRDefault="005A7D1A" w:rsidP="001B463B">
      <w:pPr>
        <w:pStyle w:val="Nadpis1"/>
        <w:numPr>
          <w:ilvl w:val="0"/>
          <w:numId w:val="3"/>
        </w:numPr>
        <w:tabs>
          <w:tab w:val="left" w:pos="682"/>
          <w:tab w:val="left" w:pos="683"/>
        </w:tabs>
        <w:ind w:hanging="566"/>
        <w:jc w:val="left"/>
        <w:rPr>
          <w:lang w:val="sk-SK"/>
        </w:rPr>
      </w:pPr>
      <w:r w:rsidRPr="00C14318">
        <w:rPr>
          <w:lang w:val="sk-SK"/>
        </w:rPr>
        <w:t>LIEKOVÁ FORMA</w:t>
      </w:r>
    </w:p>
    <w:p w14:paraId="054E4024" w14:textId="77777777" w:rsidR="005A7D1A" w:rsidRPr="00C14318" w:rsidRDefault="005A7D1A" w:rsidP="001B463B">
      <w:pPr>
        <w:pStyle w:val="Zkladntext"/>
        <w:spacing w:before="6"/>
        <w:rPr>
          <w:b/>
          <w:lang w:val="sk-SK"/>
        </w:rPr>
      </w:pPr>
    </w:p>
    <w:p w14:paraId="25FF5123" w14:textId="77777777" w:rsidR="005A7D1A" w:rsidRPr="00C14318" w:rsidRDefault="005A7D1A" w:rsidP="001B463B">
      <w:pPr>
        <w:pStyle w:val="Zkladntext"/>
        <w:ind w:left="116"/>
        <w:rPr>
          <w:lang w:val="sk-SK"/>
        </w:rPr>
      </w:pPr>
      <w:r w:rsidRPr="00C14318">
        <w:rPr>
          <w:lang w:val="sk-SK"/>
        </w:rPr>
        <w:t>Filmom obalená tableta (tableta).</w:t>
      </w:r>
    </w:p>
    <w:p w14:paraId="4ED87E0F" w14:textId="77777777" w:rsidR="005A7D1A" w:rsidRPr="00C14318" w:rsidRDefault="005A7D1A" w:rsidP="001B463B">
      <w:pPr>
        <w:pStyle w:val="Zkladntext"/>
        <w:spacing w:before="11"/>
        <w:rPr>
          <w:lang w:val="sk-SK"/>
        </w:rPr>
      </w:pPr>
    </w:p>
    <w:p w14:paraId="6268F730" w14:textId="77777777" w:rsidR="005A7D1A" w:rsidRPr="00C14318" w:rsidRDefault="005A7D1A" w:rsidP="001B463B">
      <w:pPr>
        <w:pStyle w:val="Zkladntext"/>
        <w:ind w:left="116"/>
        <w:rPr>
          <w:lang w:val="sk-SK"/>
        </w:rPr>
      </w:pPr>
      <w:r w:rsidRPr="00C14318">
        <w:rPr>
          <w:lang w:val="sk-SK"/>
        </w:rPr>
        <w:t>Biele tablety podlhovastého tvaru</w:t>
      </w:r>
      <w:r w:rsidR="00A178AD">
        <w:rPr>
          <w:lang w:val="sk-SK"/>
        </w:rPr>
        <w:t xml:space="preserve"> s rozmermi 17,6 x 8,1 mm</w:t>
      </w:r>
      <w:r w:rsidRPr="00C14318">
        <w:rPr>
          <w:lang w:val="sk-SK"/>
        </w:rPr>
        <w:t>.</w:t>
      </w:r>
    </w:p>
    <w:p w14:paraId="6FDFE24C" w14:textId="77777777" w:rsidR="005A7D1A" w:rsidRPr="00C14318" w:rsidRDefault="005A7D1A" w:rsidP="001B463B">
      <w:pPr>
        <w:pStyle w:val="Zkladntext"/>
        <w:rPr>
          <w:lang w:val="sk-SK"/>
        </w:rPr>
      </w:pPr>
    </w:p>
    <w:p w14:paraId="7AF97318" w14:textId="77777777" w:rsidR="005A7D1A" w:rsidRPr="00C14318" w:rsidRDefault="005A7D1A" w:rsidP="001B463B">
      <w:pPr>
        <w:pStyle w:val="Zkladntext"/>
        <w:spacing w:before="3"/>
        <w:rPr>
          <w:lang w:val="sk-SK"/>
        </w:rPr>
      </w:pPr>
    </w:p>
    <w:p w14:paraId="4EC158BA" w14:textId="77777777" w:rsidR="005A7D1A" w:rsidRPr="00C14318" w:rsidRDefault="005A7D1A" w:rsidP="001B463B">
      <w:pPr>
        <w:pStyle w:val="Nadpis1"/>
        <w:numPr>
          <w:ilvl w:val="0"/>
          <w:numId w:val="3"/>
        </w:numPr>
        <w:tabs>
          <w:tab w:val="left" w:pos="682"/>
          <w:tab w:val="left" w:pos="683"/>
        </w:tabs>
        <w:spacing w:before="1"/>
        <w:ind w:hanging="566"/>
        <w:jc w:val="left"/>
        <w:rPr>
          <w:lang w:val="sk-SK"/>
        </w:rPr>
      </w:pPr>
      <w:r w:rsidRPr="00C14318">
        <w:rPr>
          <w:lang w:val="sk-SK"/>
        </w:rPr>
        <w:t>KLINICKÉ</w:t>
      </w:r>
      <w:r w:rsidRPr="00C14318">
        <w:rPr>
          <w:spacing w:val="-4"/>
          <w:lang w:val="sk-SK"/>
        </w:rPr>
        <w:t xml:space="preserve"> </w:t>
      </w:r>
      <w:r w:rsidRPr="00C14318">
        <w:rPr>
          <w:lang w:val="sk-SK"/>
        </w:rPr>
        <w:t>ÚDAJE</w:t>
      </w:r>
    </w:p>
    <w:p w14:paraId="6A75BEE5" w14:textId="77777777" w:rsidR="005A7D1A" w:rsidRPr="00C14318" w:rsidRDefault="005A7D1A" w:rsidP="001B463B">
      <w:pPr>
        <w:pStyle w:val="Zkladntext"/>
        <w:rPr>
          <w:b/>
          <w:lang w:val="sk-SK"/>
        </w:rPr>
      </w:pPr>
    </w:p>
    <w:p w14:paraId="4229438A" w14:textId="77777777" w:rsidR="005A7D1A" w:rsidRPr="00C14318" w:rsidRDefault="005A7D1A" w:rsidP="001B463B">
      <w:pPr>
        <w:pStyle w:val="Odsekzoznamu"/>
        <w:numPr>
          <w:ilvl w:val="1"/>
          <w:numId w:val="3"/>
        </w:numPr>
        <w:tabs>
          <w:tab w:val="left" w:pos="682"/>
          <w:tab w:val="left" w:pos="683"/>
        </w:tabs>
        <w:ind w:hanging="566"/>
        <w:jc w:val="left"/>
        <w:rPr>
          <w:b/>
          <w:lang w:val="sk-SK"/>
        </w:rPr>
      </w:pPr>
      <w:r w:rsidRPr="00C14318">
        <w:rPr>
          <w:b/>
          <w:lang w:val="sk-SK"/>
        </w:rPr>
        <w:t>Terapeutické</w:t>
      </w:r>
      <w:r w:rsidRPr="00C14318">
        <w:rPr>
          <w:b/>
          <w:spacing w:val="-5"/>
          <w:lang w:val="sk-SK"/>
        </w:rPr>
        <w:t xml:space="preserve"> </w:t>
      </w:r>
      <w:r w:rsidRPr="00C14318">
        <w:rPr>
          <w:b/>
          <w:lang w:val="sk-SK"/>
        </w:rPr>
        <w:t>indikácie</w:t>
      </w:r>
    </w:p>
    <w:p w14:paraId="4410D1A2" w14:textId="77777777" w:rsidR="005A7D1A" w:rsidRPr="00C14318" w:rsidRDefault="005A7D1A" w:rsidP="001B463B">
      <w:pPr>
        <w:pStyle w:val="Zkladntext"/>
        <w:spacing w:before="7"/>
        <w:rPr>
          <w:b/>
          <w:lang w:val="sk-SK"/>
        </w:rPr>
      </w:pPr>
    </w:p>
    <w:p w14:paraId="54471F26" w14:textId="52960DA9" w:rsidR="005A7D1A" w:rsidRPr="00C14318" w:rsidRDefault="00C30EF9" w:rsidP="001B463B">
      <w:pPr>
        <w:pStyle w:val="Zkladntext"/>
        <w:ind w:left="116" w:right="330"/>
        <w:rPr>
          <w:lang w:val="sk-SK"/>
        </w:rPr>
      </w:pPr>
      <w:r>
        <w:rPr>
          <w:lang w:val="sk-SK"/>
        </w:rPr>
        <w:t xml:space="preserve">Dronedarón Sandoz </w:t>
      </w:r>
      <w:r w:rsidR="005A7D1A" w:rsidRPr="00C14318">
        <w:rPr>
          <w:lang w:val="sk-SK"/>
        </w:rPr>
        <w:t xml:space="preserve">je indikovaný na udržanie sínusového rytmu po úspešnej kardioverzii u dospelých, klinicky stabilných pacientov s paroxyzmálnou alebo perzistujúcou atriálnou fibriláciou (AF). Pre svoj bezpečnostný profil (pozri časti 4.3 a 4.4) sa má </w:t>
      </w:r>
      <w:r>
        <w:rPr>
          <w:lang w:val="sk-SK"/>
        </w:rPr>
        <w:t xml:space="preserve">Dronedarón Sandoz </w:t>
      </w:r>
      <w:r w:rsidR="005A7D1A" w:rsidRPr="00C14318">
        <w:rPr>
          <w:lang w:val="sk-SK"/>
        </w:rPr>
        <w:t>predpisovať len po zvážení alternatívnych možností liečby.</w:t>
      </w:r>
    </w:p>
    <w:p w14:paraId="4782D2D7" w14:textId="77777777" w:rsidR="005A7D1A" w:rsidRPr="00C14318" w:rsidRDefault="00C30EF9" w:rsidP="001B463B">
      <w:pPr>
        <w:pStyle w:val="Zkladntext"/>
        <w:ind w:left="116" w:right="103"/>
        <w:rPr>
          <w:lang w:val="sk-SK"/>
        </w:rPr>
      </w:pPr>
      <w:r>
        <w:rPr>
          <w:lang w:val="sk-SK"/>
        </w:rPr>
        <w:t xml:space="preserve">Dronedarón Sandoz </w:t>
      </w:r>
      <w:r w:rsidR="005A7D1A" w:rsidRPr="00C14318">
        <w:rPr>
          <w:lang w:val="sk-SK"/>
        </w:rPr>
        <w:t>sa nesmie dávať pacientom</w:t>
      </w:r>
      <w:r w:rsidR="00526B5C">
        <w:rPr>
          <w:lang w:val="sk-SK"/>
        </w:rPr>
        <w:t xml:space="preserve"> so systolickou dysfunkciou</w:t>
      </w:r>
      <w:r w:rsidR="00526B5C" w:rsidRPr="00C14318">
        <w:rPr>
          <w:lang w:val="sk-SK"/>
        </w:rPr>
        <w:t xml:space="preserve"> ľavej komory</w:t>
      </w:r>
      <w:r w:rsidR="00526B5C">
        <w:rPr>
          <w:lang w:val="sk-SK"/>
        </w:rPr>
        <w:t xml:space="preserve"> alebo tým, </w:t>
      </w:r>
      <w:r w:rsidR="005C2465">
        <w:rPr>
          <w:lang w:val="sk-SK"/>
        </w:rPr>
        <w:t xml:space="preserve">ktorí majú </w:t>
      </w:r>
      <w:r w:rsidR="005A7D1A" w:rsidRPr="00C14318">
        <w:rPr>
          <w:lang w:val="sk-SK"/>
        </w:rPr>
        <w:t xml:space="preserve">aktuálne </w:t>
      </w:r>
      <w:r w:rsidR="006A729F">
        <w:rPr>
          <w:lang w:val="sk-SK"/>
        </w:rPr>
        <w:t>pr</w:t>
      </w:r>
      <w:r w:rsidR="005C2465">
        <w:rPr>
          <w:lang w:val="sk-SK"/>
        </w:rPr>
        <w:t>ítomné alebo prekonané epizódy srdcového zlyhávania</w:t>
      </w:r>
      <w:r w:rsidR="00526B5C">
        <w:rPr>
          <w:lang w:val="sk-SK"/>
        </w:rPr>
        <w:t>.</w:t>
      </w:r>
    </w:p>
    <w:p w14:paraId="00DF5A60" w14:textId="77777777" w:rsidR="005A7D1A" w:rsidRPr="00C14318" w:rsidRDefault="005A7D1A" w:rsidP="001B463B">
      <w:pPr>
        <w:pStyle w:val="Zkladntext"/>
        <w:spacing w:before="3"/>
        <w:rPr>
          <w:lang w:val="sk-SK"/>
        </w:rPr>
      </w:pPr>
    </w:p>
    <w:p w14:paraId="139AC74E" w14:textId="77777777" w:rsidR="005A7D1A" w:rsidRPr="00C14318" w:rsidRDefault="005A7D1A" w:rsidP="001B463B">
      <w:pPr>
        <w:pStyle w:val="Nadpis1"/>
        <w:numPr>
          <w:ilvl w:val="1"/>
          <w:numId w:val="3"/>
        </w:numPr>
        <w:tabs>
          <w:tab w:val="left" w:pos="682"/>
          <w:tab w:val="left" w:pos="683"/>
        </w:tabs>
        <w:spacing w:before="1"/>
        <w:ind w:hanging="566"/>
        <w:jc w:val="left"/>
        <w:rPr>
          <w:lang w:val="sk-SK"/>
        </w:rPr>
      </w:pPr>
      <w:r w:rsidRPr="00C14318">
        <w:rPr>
          <w:lang w:val="sk-SK"/>
        </w:rPr>
        <w:t>Dávkovanie a spôsob</w:t>
      </w:r>
      <w:r w:rsidRPr="00C14318">
        <w:rPr>
          <w:spacing w:val="-2"/>
          <w:lang w:val="sk-SK"/>
        </w:rPr>
        <w:t xml:space="preserve"> </w:t>
      </w:r>
      <w:r w:rsidRPr="00C14318">
        <w:rPr>
          <w:lang w:val="sk-SK"/>
        </w:rPr>
        <w:t>podávania</w:t>
      </w:r>
    </w:p>
    <w:p w14:paraId="33DCB82E" w14:textId="77777777" w:rsidR="005A7D1A" w:rsidRPr="00C14318" w:rsidRDefault="005A7D1A" w:rsidP="001B463B">
      <w:pPr>
        <w:pStyle w:val="Zkladntext"/>
        <w:spacing w:before="7"/>
        <w:rPr>
          <w:b/>
          <w:lang w:val="sk-SK"/>
        </w:rPr>
      </w:pPr>
    </w:p>
    <w:p w14:paraId="35928E92" w14:textId="77777777" w:rsidR="005A7D1A" w:rsidRPr="00C14318" w:rsidRDefault="005A7D1A" w:rsidP="001B463B">
      <w:pPr>
        <w:pStyle w:val="Zkladntext"/>
        <w:ind w:left="116" w:right="1506"/>
        <w:rPr>
          <w:lang w:val="sk-SK"/>
        </w:rPr>
      </w:pPr>
      <w:r w:rsidRPr="00C14318">
        <w:rPr>
          <w:lang w:val="sk-SK"/>
        </w:rPr>
        <w:t xml:space="preserve">Liečba sa musí začať a monitorovať pod dohľadom lekára špecialistu (pozri časť 4.4). Liečbu </w:t>
      </w:r>
      <w:r w:rsidR="00C30EF9">
        <w:rPr>
          <w:lang w:val="sk-SK"/>
        </w:rPr>
        <w:t>Dronedarón</w:t>
      </w:r>
      <w:r w:rsidR="004B00C2">
        <w:rPr>
          <w:lang w:val="sk-SK"/>
        </w:rPr>
        <w:t xml:space="preserve">om Sandoz </w:t>
      </w:r>
      <w:r w:rsidRPr="00C14318">
        <w:rPr>
          <w:lang w:val="sk-SK"/>
        </w:rPr>
        <w:t>je možné začať u ambulantných pacientov.</w:t>
      </w:r>
    </w:p>
    <w:p w14:paraId="52744EAB" w14:textId="77777777" w:rsidR="005A7D1A" w:rsidRPr="00C14318" w:rsidRDefault="005A7D1A" w:rsidP="001B463B">
      <w:pPr>
        <w:pStyle w:val="Zkladntext"/>
        <w:spacing w:before="9"/>
        <w:rPr>
          <w:lang w:val="sk-SK"/>
        </w:rPr>
      </w:pPr>
    </w:p>
    <w:p w14:paraId="52FACD30" w14:textId="77777777" w:rsidR="005A7D1A" w:rsidRPr="00C14318" w:rsidRDefault="005A7D1A" w:rsidP="001B463B">
      <w:pPr>
        <w:pStyle w:val="Zkladntext"/>
        <w:spacing w:line="242" w:lineRule="auto"/>
        <w:ind w:left="116" w:right="237"/>
        <w:rPr>
          <w:lang w:val="sk-SK"/>
        </w:rPr>
      </w:pPr>
      <w:r w:rsidRPr="00C14318">
        <w:rPr>
          <w:lang w:val="sk-SK"/>
        </w:rPr>
        <w:t xml:space="preserve">Skôr ako sa začne liečba </w:t>
      </w:r>
      <w:r w:rsidR="00C30EF9">
        <w:rPr>
          <w:lang w:val="sk-SK"/>
        </w:rPr>
        <w:t>Dronedarón</w:t>
      </w:r>
      <w:r w:rsidR="00A178AD">
        <w:rPr>
          <w:lang w:val="sk-SK"/>
        </w:rPr>
        <w:t>om Sandoz</w:t>
      </w:r>
      <w:r w:rsidRPr="00C14318">
        <w:rPr>
          <w:lang w:val="sk-SK"/>
        </w:rPr>
        <w:t>, musí sa ukončiť liečba antiarytmikami triedy I alebo III (ako sú flekainid, propafenón, chinidín, dizopyramid, dofetilid, sotalol, amiodarón).</w:t>
      </w:r>
    </w:p>
    <w:p w14:paraId="7A9E86D2" w14:textId="77777777" w:rsidR="005A7D1A" w:rsidRPr="00C14318" w:rsidRDefault="005A7D1A" w:rsidP="001B463B">
      <w:pPr>
        <w:pStyle w:val="Zkladntext"/>
        <w:ind w:left="116" w:right="276"/>
        <w:rPr>
          <w:lang w:val="sk-SK"/>
        </w:rPr>
      </w:pPr>
      <w:r w:rsidRPr="00C14318">
        <w:rPr>
          <w:lang w:val="sk-SK"/>
        </w:rPr>
        <w:t xml:space="preserve">O optimálnom čase, kedy zmeniť pacientovi liečbu z amiodarónu na </w:t>
      </w:r>
      <w:r w:rsidR="00A178AD">
        <w:rPr>
          <w:lang w:val="sk-SK"/>
        </w:rPr>
        <w:t>Dronedarón Sandoz</w:t>
      </w:r>
      <w:r w:rsidRPr="00C14318">
        <w:rPr>
          <w:lang w:val="sk-SK"/>
        </w:rPr>
        <w:t>, sú len obmedzené informácie. Je potrebné vziať do úvahy skutočnosť, že amiodarón môže mať po ukončení liečby pre svoj dlhý polčas dlhé trvanie účinku. Ak sa počíta s takouto zmenou liečby, musí prebiehať pod dohľadom lekára špecialistu (pozri časti 4.3 a 5.1).</w:t>
      </w:r>
    </w:p>
    <w:p w14:paraId="2EA72512" w14:textId="77777777" w:rsidR="005A7D1A" w:rsidRPr="00C14318" w:rsidRDefault="005A7D1A" w:rsidP="001B463B">
      <w:pPr>
        <w:pStyle w:val="Zkladntext"/>
        <w:spacing w:before="1"/>
        <w:rPr>
          <w:lang w:val="sk-SK"/>
        </w:rPr>
      </w:pPr>
    </w:p>
    <w:p w14:paraId="5D45E3E7" w14:textId="77777777" w:rsidR="005A7D1A" w:rsidRPr="00C14318" w:rsidRDefault="005A7D1A" w:rsidP="001B463B">
      <w:pPr>
        <w:pStyle w:val="Zkladntext"/>
        <w:ind w:left="116"/>
        <w:rPr>
          <w:lang w:val="sk-SK"/>
        </w:rPr>
      </w:pPr>
      <w:r w:rsidRPr="00C14318">
        <w:rPr>
          <w:u w:val="single"/>
          <w:lang w:val="sk-SK"/>
        </w:rPr>
        <w:t>Dávkovanie</w:t>
      </w:r>
    </w:p>
    <w:p w14:paraId="5D44EFE1" w14:textId="77777777" w:rsidR="005A7D1A" w:rsidRPr="00C14318" w:rsidRDefault="005A7D1A" w:rsidP="001B463B">
      <w:pPr>
        <w:pStyle w:val="Zkladntext"/>
        <w:spacing w:line="249" w:lineRule="exact"/>
        <w:ind w:left="116"/>
        <w:rPr>
          <w:lang w:val="sk-SK"/>
        </w:rPr>
      </w:pPr>
      <w:r w:rsidRPr="00C14318">
        <w:rPr>
          <w:lang w:val="sk-SK"/>
        </w:rPr>
        <w:lastRenderedPageBreak/>
        <w:t>Odporúčaná dávka pre dospelých je 400 mg dvakrát denne. Má sa užiť ako</w:t>
      </w:r>
    </w:p>
    <w:p w14:paraId="38B37836" w14:textId="77777777" w:rsidR="005A7D1A" w:rsidRPr="00C14318" w:rsidRDefault="005A7D1A" w:rsidP="001B463B">
      <w:pPr>
        <w:pStyle w:val="Odsekzoznamu"/>
        <w:numPr>
          <w:ilvl w:val="0"/>
          <w:numId w:val="2"/>
        </w:numPr>
        <w:tabs>
          <w:tab w:val="left" w:pos="476"/>
          <w:tab w:val="left" w:pos="477"/>
        </w:tabs>
        <w:spacing w:line="261" w:lineRule="exact"/>
        <w:rPr>
          <w:lang w:val="sk-SK"/>
        </w:rPr>
      </w:pPr>
      <w:r w:rsidRPr="00C14318">
        <w:rPr>
          <w:lang w:val="sk-SK"/>
        </w:rPr>
        <w:t>jedna tableta pri raňajšom jedle</w:t>
      </w:r>
      <w:r w:rsidRPr="00C14318">
        <w:rPr>
          <w:spacing w:val="-7"/>
          <w:lang w:val="sk-SK"/>
        </w:rPr>
        <w:t xml:space="preserve"> </w:t>
      </w:r>
      <w:r w:rsidRPr="00C14318">
        <w:rPr>
          <w:lang w:val="sk-SK"/>
        </w:rPr>
        <w:t>a</w:t>
      </w:r>
    </w:p>
    <w:p w14:paraId="5817718E" w14:textId="77777777" w:rsidR="005A7D1A" w:rsidRDefault="005A7D1A" w:rsidP="001B463B">
      <w:pPr>
        <w:pStyle w:val="Odsekzoznamu"/>
        <w:numPr>
          <w:ilvl w:val="0"/>
          <w:numId w:val="2"/>
        </w:numPr>
        <w:tabs>
          <w:tab w:val="left" w:pos="476"/>
          <w:tab w:val="left" w:pos="477"/>
        </w:tabs>
        <w:spacing w:line="263" w:lineRule="exact"/>
        <w:rPr>
          <w:lang w:val="sk-SK"/>
        </w:rPr>
      </w:pPr>
      <w:r w:rsidRPr="00C14318">
        <w:rPr>
          <w:lang w:val="sk-SK"/>
        </w:rPr>
        <w:t>jedna tableta pri večernom</w:t>
      </w:r>
      <w:r w:rsidRPr="00C14318">
        <w:rPr>
          <w:spacing w:val="-6"/>
          <w:lang w:val="sk-SK"/>
        </w:rPr>
        <w:t xml:space="preserve"> </w:t>
      </w:r>
      <w:r w:rsidRPr="00C14318">
        <w:rPr>
          <w:lang w:val="sk-SK"/>
        </w:rPr>
        <w:t>jedle.</w:t>
      </w:r>
    </w:p>
    <w:p w14:paraId="166C286F" w14:textId="77777777" w:rsidR="006A729F" w:rsidRPr="006A729F" w:rsidRDefault="006A729F" w:rsidP="001B463B">
      <w:pPr>
        <w:tabs>
          <w:tab w:val="left" w:pos="476"/>
          <w:tab w:val="left" w:pos="477"/>
        </w:tabs>
        <w:spacing w:line="263" w:lineRule="exact"/>
        <w:ind w:left="116"/>
        <w:rPr>
          <w:lang w:val="sk-SK"/>
        </w:rPr>
      </w:pPr>
    </w:p>
    <w:p w14:paraId="4E57E79D" w14:textId="77777777" w:rsidR="005A7D1A" w:rsidRPr="00C14318" w:rsidRDefault="005A7D1A" w:rsidP="001B463B">
      <w:pPr>
        <w:pStyle w:val="Zkladntext"/>
        <w:spacing w:line="252" w:lineRule="exact"/>
        <w:ind w:left="116"/>
        <w:rPr>
          <w:lang w:val="sk-SK"/>
        </w:rPr>
      </w:pPr>
      <w:r w:rsidRPr="00C14318">
        <w:rPr>
          <w:lang w:val="sk-SK"/>
        </w:rPr>
        <w:t xml:space="preserve">S </w:t>
      </w:r>
      <w:r w:rsidR="00C30EF9">
        <w:rPr>
          <w:lang w:val="sk-SK"/>
        </w:rPr>
        <w:t>Dronedarón</w:t>
      </w:r>
      <w:r w:rsidR="00A178AD">
        <w:rPr>
          <w:lang w:val="sk-SK"/>
        </w:rPr>
        <w:t xml:space="preserve">om Sandoz </w:t>
      </w:r>
      <w:r w:rsidRPr="00C14318">
        <w:rPr>
          <w:lang w:val="sk-SK"/>
        </w:rPr>
        <w:t>sa nesmie piť grapefruitový džús (pozri časť 4.5).</w:t>
      </w:r>
    </w:p>
    <w:p w14:paraId="1D5D6235" w14:textId="77777777" w:rsidR="005A7D1A" w:rsidRPr="00C14318" w:rsidRDefault="005A7D1A" w:rsidP="001B463B">
      <w:pPr>
        <w:pStyle w:val="Zkladntext"/>
        <w:spacing w:before="1"/>
        <w:rPr>
          <w:lang w:val="sk-SK"/>
        </w:rPr>
      </w:pPr>
    </w:p>
    <w:p w14:paraId="228D3B83" w14:textId="77777777" w:rsidR="00CA170D" w:rsidRDefault="005A7D1A" w:rsidP="001B463B">
      <w:pPr>
        <w:pStyle w:val="Zkladntext"/>
        <w:ind w:left="116" w:right="479"/>
        <w:rPr>
          <w:lang w:val="sk-SK"/>
        </w:rPr>
      </w:pPr>
      <w:r w:rsidRPr="00C14318">
        <w:rPr>
          <w:lang w:val="sk-SK"/>
        </w:rPr>
        <w:t>Ak pacient vynechá dávku, nasledujúcu dávku musí užiť tak, ako bola naplánovaná a nesmie užiť dvojnásobnú dávku.</w:t>
      </w:r>
    </w:p>
    <w:p w14:paraId="1F30C32B" w14:textId="77777777" w:rsidR="006A729F" w:rsidRDefault="006A729F" w:rsidP="001B463B">
      <w:pPr>
        <w:pStyle w:val="Zkladntext"/>
        <w:ind w:left="116" w:right="479"/>
        <w:rPr>
          <w:lang w:val="sk-SK"/>
        </w:rPr>
      </w:pPr>
    </w:p>
    <w:p w14:paraId="2CBC1367" w14:textId="77777777" w:rsidR="005A7D1A" w:rsidRPr="00C14318" w:rsidRDefault="005A7D1A" w:rsidP="001B463B">
      <w:pPr>
        <w:pStyle w:val="Zkladntext"/>
        <w:ind w:left="116" w:right="479"/>
        <w:rPr>
          <w:lang w:val="sk-SK"/>
        </w:rPr>
      </w:pPr>
      <w:r w:rsidRPr="00C14318">
        <w:rPr>
          <w:u w:val="single"/>
          <w:lang w:val="sk-SK"/>
        </w:rPr>
        <w:t>Pediatrická populácia</w:t>
      </w:r>
    </w:p>
    <w:p w14:paraId="46411489" w14:textId="77777777" w:rsidR="005A7D1A" w:rsidRPr="00C14318" w:rsidRDefault="005A7D1A" w:rsidP="001B463B">
      <w:pPr>
        <w:pStyle w:val="Zkladntext"/>
        <w:ind w:left="116" w:right="147"/>
        <w:rPr>
          <w:lang w:val="sk-SK"/>
        </w:rPr>
      </w:pPr>
      <w:r w:rsidRPr="00C14318">
        <w:rPr>
          <w:lang w:val="sk-SK"/>
        </w:rPr>
        <w:t xml:space="preserve">Bezpečnosť a účinnosť </w:t>
      </w:r>
      <w:r w:rsidR="000E7DD3">
        <w:rPr>
          <w:lang w:val="sk-SK"/>
        </w:rPr>
        <w:t xml:space="preserve">dronedarónu </w:t>
      </w:r>
      <w:r w:rsidRPr="00C14318">
        <w:rPr>
          <w:lang w:val="sk-SK"/>
        </w:rPr>
        <w:t>u detí vo veku do 18 rokov ešte nebola stanovená. Nie sú k dispozícii žiadne údaje.</w:t>
      </w:r>
    </w:p>
    <w:p w14:paraId="49BD9580" w14:textId="77777777" w:rsidR="005A7D1A" w:rsidRPr="00C14318" w:rsidRDefault="005A7D1A" w:rsidP="001B463B">
      <w:pPr>
        <w:pStyle w:val="Zkladntext"/>
        <w:rPr>
          <w:lang w:val="sk-SK"/>
        </w:rPr>
      </w:pPr>
    </w:p>
    <w:p w14:paraId="091D1F27" w14:textId="77777777" w:rsidR="005A7D1A" w:rsidRPr="00C14318" w:rsidRDefault="000E7DD3" w:rsidP="001B463B">
      <w:pPr>
        <w:pStyle w:val="Zkladntext"/>
        <w:ind w:left="116"/>
        <w:rPr>
          <w:lang w:val="sk-SK"/>
        </w:rPr>
      </w:pPr>
      <w:r>
        <w:rPr>
          <w:u w:val="single"/>
          <w:lang w:val="sk-SK"/>
        </w:rPr>
        <w:t xml:space="preserve">Starší </w:t>
      </w:r>
      <w:r w:rsidR="00036137">
        <w:rPr>
          <w:u w:val="single"/>
          <w:lang w:val="sk-SK"/>
        </w:rPr>
        <w:t>ľudia</w:t>
      </w:r>
    </w:p>
    <w:p w14:paraId="3D40D1DE" w14:textId="74D79FCB" w:rsidR="005A7D1A" w:rsidRPr="00C14318" w:rsidRDefault="007F3AEE" w:rsidP="001B463B">
      <w:pPr>
        <w:pStyle w:val="Zkladntext"/>
        <w:ind w:left="116" w:right="85"/>
        <w:rPr>
          <w:lang w:val="sk-SK"/>
        </w:rPr>
      </w:pPr>
      <w:r>
        <w:rPr>
          <w:lang w:val="sk-SK"/>
        </w:rPr>
        <w:t>Ú</w:t>
      </w:r>
      <w:r w:rsidR="005A7D1A" w:rsidRPr="00C14318">
        <w:rPr>
          <w:lang w:val="sk-SK"/>
        </w:rPr>
        <w:t xml:space="preserve">činnosť </w:t>
      </w:r>
      <w:r>
        <w:rPr>
          <w:lang w:val="sk-SK"/>
        </w:rPr>
        <w:t xml:space="preserve">a bezpečnosť </w:t>
      </w:r>
      <w:r w:rsidR="005A7D1A" w:rsidRPr="00C14318">
        <w:rPr>
          <w:lang w:val="sk-SK"/>
        </w:rPr>
        <w:t xml:space="preserve">u starších pacientov, ktorí nemajú iné kardiovaskulárne ochorenia a mladších pacientov je porovnateľná. Opatrnosť je potrebná u pacientov vo veku </w:t>
      </w:r>
      <w:r w:rsidR="00270AF6">
        <w:rPr>
          <w:lang w:val="sk-SK"/>
        </w:rPr>
        <w:t xml:space="preserve">nad </w:t>
      </w:r>
      <w:r w:rsidR="005A7D1A" w:rsidRPr="00C14318">
        <w:rPr>
          <w:lang w:val="sk-SK"/>
        </w:rPr>
        <w:t>75 rokov, ak sú prítomné komorbidity (pozri časti 4.3, 4.4 a 5.1). Hoci vo f</w:t>
      </w:r>
      <w:r w:rsidR="00036137">
        <w:rPr>
          <w:lang w:val="sk-SK"/>
        </w:rPr>
        <w:t>armakokinetickej štúdii vykonanej</w:t>
      </w:r>
      <w:r w:rsidR="005A7D1A" w:rsidRPr="00C14318">
        <w:rPr>
          <w:lang w:val="sk-SK"/>
        </w:rPr>
        <w:t xml:space="preserve"> </w:t>
      </w:r>
      <w:r w:rsidR="00036137">
        <w:rPr>
          <w:lang w:val="sk-SK"/>
        </w:rPr>
        <w:t xml:space="preserve">so zdravými </w:t>
      </w:r>
      <w:r w:rsidR="00270AF6">
        <w:rPr>
          <w:lang w:val="sk-SK"/>
        </w:rPr>
        <w:t>osobami</w:t>
      </w:r>
      <w:r w:rsidR="00270AF6" w:rsidRPr="00C14318">
        <w:rPr>
          <w:lang w:val="sk-SK"/>
        </w:rPr>
        <w:t xml:space="preserve"> </w:t>
      </w:r>
      <w:r w:rsidR="005A7D1A" w:rsidRPr="00C14318">
        <w:rPr>
          <w:lang w:val="sk-SK"/>
        </w:rPr>
        <w:t>bola u starších žien zvýšená plazmatická expozícia, upravovanie dávky sa nepovažuje za potrebné (pozri časti 5.1 a 5.2).</w:t>
      </w:r>
    </w:p>
    <w:p w14:paraId="7ABFFC0D" w14:textId="77777777" w:rsidR="005A7D1A" w:rsidRPr="00C14318" w:rsidRDefault="005A7D1A" w:rsidP="001B463B">
      <w:pPr>
        <w:pStyle w:val="Zkladntext"/>
        <w:spacing w:before="11"/>
        <w:rPr>
          <w:lang w:val="sk-SK"/>
        </w:rPr>
      </w:pPr>
    </w:p>
    <w:p w14:paraId="323566B9" w14:textId="77777777" w:rsidR="005A7D1A" w:rsidRPr="00C14318" w:rsidRDefault="00036137" w:rsidP="001B463B">
      <w:pPr>
        <w:pStyle w:val="Zkladntext"/>
        <w:spacing w:line="252" w:lineRule="exact"/>
        <w:ind w:left="116"/>
        <w:rPr>
          <w:lang w:val="sk-SK"/>
        </w:rPr>
      </w:pPr>
      <w:r>
        <w:rPr>
          <w:u w:val="single"/>
          <w:lang w:val="sk-SK"/>
        </w:rPr>
        <w:t>Porucha</w:t>
      </w:r>
      <w:r w:rsidR="007F3AEE">
        <w:rPr>
          <w:u w:val="single"/>
          <w:lang w:val="sk-SK"/>
        </w:rPr>
        <w:t xml:space="preserve"> funkcie</w:t>
      </w:r>
      <w:r w:rsidR="005A7D1A" w:rsidRPr="00C14318">
        <w:rPr>
          <w:u w:val="single"/>
          <w:lang w:val="sk-SK"/>
        </w:rPr>
        <w:t xml:space="preserve"> pečene</w:t>
      </w:r>
    </w:p>
    <w:p w14:paraId="45B2A58B" w14:textId="77777777" w:rsidR="005A7D1A" w:rsidRPr="00C14318" w:rsidRDefault="00C30EF9" w:rsidP="001B463B">
      <w:pPr>
        <w:pStyle w:val="Zkladntext"/>
        <w:ind w:left="116" w:right="462"/>
        <w:rPr>
          <w:lang w:val="sk-SK"/>
        </w:rPr>
      </w:pPr>
      <w:r>
        <w:rPr>
          <w:lang w:val="sk-SK"/>
        </w:rPr>
        <w:t xml:space="preserve">Dronedarón Sandoz </w:t>
      </w:r>
      <w:r w:rsidR="005A7D1A" w:rsidRPr="00C14318">
        <w:rPr>
          <w:lang w:val="sk-SK"/>
        </w:rPr>
        <w:t>je kontr</w:t>
      </w:r>
      <w:r w:rsidR="00854337">
        <w:rPr>
          <w:lang w:val="sk-SK"/>
        </w:rPr>
        <w:t xml:space="preserve">aindikovaný u pacientov so závažnou poruchou </w:t>
      </w:r>
      <w:r w:rsidR="005A7D1A" w:rsidRPr="00C14318">
        <w:rPr>
          <w:lang w:val="sk-SK"/>
        </w:rPr>
        <w:t>funkciou pečene pre chýbajúce údaje (pozri časť 4.3 a 4.4). U pacien</w:t>
      </w:r>
      <w:r w:rsidR="00854337">
        <w:rPr>
          <w:lang w:val="sk-SK"/>
        </w:rPr>
        <w:t>tov s miernou alebo stredne závažnou poruchou funkcie</w:t>
      </w:r>
      <w:r w:rsidR="005A7D1A" w:rsidRPr="00C14318">
        <w:rPr>
          <w:lang w:val="sk-SK"/>
        </w:rPr>
        <w:t xml:space="preserve"> pečene sa úprava dávok nevyžaduje (pozri časť 5.2).</w:t>
      </w:r>
    </w:p>
    <w:p w14:paraId="71859345" w14:textId="77777777" w:rsidR="005A7D1A" w:rsidRPr="00C14318" w:rsidRDefault="005A7D1A" w:rsidP="001B463B">
      <w:pPr>
        <w:pStyle w:val="Zkladntext"/>
        <w:spacing w:before="10"/>
        <w:rPr>
          <w:lang w:val="sk-SK"/>
        </w:rPr>
      </w:pPr>
    </w:p>
    <w:p w14:paraId="2C6FACBD" w14:textId="77777777" w:rsidR="005A7D1A" w:rsidRPr="00C14318" w:rsidRDefault="006A729F" w:rsidP="001B463B">
      <w:pPr>
        <w:pStyle w:val="Zkladntext"/>
        <w:ind w:left="116"/>
        <w:rPr>
          <w:lang w:val="sk-SK"/>
        </w:rPr>
      </w:pPr>
      <w:r>
        <w:rPr>
          <w:u w:val="single"/>
          <w:lang w:val="sk-SK"/>
        </w:rPr>
        <w:t>Porucha funkcie</w:t>
      </w:r>
      <w:r w:rsidR="005A7D1A" w:rsidRPr="00C14318">
        <w:rPr>
          <w:u w:val="single"/>
          <w:lang w:val="sk-SK"/>
        </w:rPr>
        <w:t xml:space="preserve"> obličiek</w:t>
      </w:r>
    </w:p>
    <w:p w14:paraId="53428D13" w14:textId="77777777" w:rsidR="005A7D1A" w:rsidRPr="00C14318" w:rsidRDefault="00036137" w:rsidP="001B463B">
      <w:pPr>
        <w:pStyle w:val="Zkladntext"/>
        <w:spacing w:before="1"/>
        <w:ind w:left="116" w:right="227"/>
        <w:rPr>
          <w:lang w:val="sk-SK"/>
        </w:rPr>
      </w:pPr>
      <w:r>
        <w:rPr>
          <w:lang w:val="sk-SK"/>
        </w:rPr>
        <w:t xml:space="preserve">Dronedarón </w:t>
      </w:r>
      <w:r w:rsidR="005A7D1A" w:rsidRPr="00C14318">
        <w:rPr>
          <w:lang w:val="sk-SK"/>
        </w:rPr>
        <w:t xml:space="preserve">je kontraindikovaný </w:t>
      </w:r>
      <w:r>
        <w:rPr>
          <w:lang w:val="sk-SK"/>
        </w:rPr>
        <w:t>u pacientov so závažnou poruchou f</w:t>
      </w:r>
      <w:r w:rsidR="005A7D1A" w:rsidRPr="00C14318">
        <w:rPr>
          <w:lang w:val="sk-SK"/>
        </w:rPr>
        <w:t>unkciou obličiek (klírens kreatinínu (CrCl) &lt;</w:t>
      </w:r>
      <w:r w:rsidR="00270AF6">
        <w:rPr>
          <w:lang w:val="sk-SK"/>
        </w:rPr>
        <w:t xml:space="preserve"> </w:t>
      </w:r>
      <w:r w:rsidR="005A7D1A" w:rsidRPr="00C14318">
        <w:rPr>
          <w:lang w:val="sk-SK"/>
        </w:rPr>
        <w:t>30 ml/min (pozri časť 4.3). U o</w:t>
      </w:r>
      <w:r w:rsidR="006E4B83">
        <w:rPr>
          <w:lang w:val="sk-SK"/>
        </w:rPr>
        <w:t xml:space="preserve">statných pacientov s poruchou </w:t>
      </w:r>
      <w:r w:rsidR="009C3B03">
        <w:rPr>
          <w:lang w:val="sk-SK"/>
        </w:rPr>
        <w:t>funkcie</w:t>
      </w:r>
      <w:r w:rsidR="005A7D1A" w:rsidRPr="00C14318">
        <w:rPr>
          <w:lang w:val="sk-SK"/>
        </w:rPr>
        <w:t xml:space="preserve"> obličiek sa úprava dávok nevyžaduje (pozri časti 4.4 a 5.2).</w:t>
      </w:r>
    </w:p>
    <w:p w14:paraId="3B2AF781" w14:textId="77777777" w:rsidR="005A7D1A" w:rsidRPr="00C14318" w:rsidRDefault="005A7D1A" w:rsidP="001B463B">
      <w:pPr>
        <w:pStyle w:val="Zkladntext"/>
        <w:spacing w:before="9"/>
        <w:rPr>
          <w:lang w:val="sk-SK"/>
        </w:rPr>
      </w:pPr>
    </w:p>
    <w:p w14:paraId="7A65F563" w14:textId="77777777" w:rsidR="00A178AD" w:rsidRDefault="005A7D1A" w:rsidP="001B463B">
      <w:pPr>
        <w:pStyle w:val="Zkladntext"/>
        <w:ind w:left="116" w:right="7215"/>
        <w:rPr>
          <w:u w:val="single"/>
          <w:lang w:val="sk-SK"/>
        </w:rPr>
      </w:pPr>
      <w:r w:rsidRPr="00C14318">
        <w:rPr>
          <w:u w:val="single"/>
          <w:lang w:val="sk-SK"/>
        </w:rPr>
        <w:t xml:space="preserve">Spôsob podávania </w:t>
      </w:r>
    </w:p>
    <w:p w14:paraId="3483DBE3" w14:textId="0F1A2BF4" w:rsidR="005A7D1A" w:rsidRPr="00C14318" w:rsidRDefault="005A7D1A" w:rsidP="001B463B">
      <w:pPr>
        <w:pStyle w:val="Zkladntext"/>
        <w:ind w:left="116" w:right="7215"/>
        <w:rPr>
          <w:lang w:val="sk-SK"/>
        </w:rPr>
      </w:pPr>
      <w:r w:rsidRPr="00C14318">
        <w:rPr>
          <w:lang w:val="sk-SK"/>
        </w:rPr>
        <w:t xml:space="preserve">Na </w:t>
      </w:r>
      <w:r w:rsidR="00270AF6">
        <w:rPr>
          <w:lang w:val="sk-SK"/>
        </w:rPr>
        <w:t>perorálne</w:t>
      </w:r>
      <w:r w:rsidRPr="00C14318">
        <w:rPr>
          <w:lang w:val="sk-SK"/>
        </w:rPr>
        <w:t xml:space="preserve"> použitie.</w:t>
      </w:r>
    </w:p>
    <w:p w14:paraId="4197764C" w14:textId="77777777" w:rsidR="005A7D1A" w:rsidRPr="00C14318" w:rsidRDefault="005A7D1A" w:rsidP="001B463B">
      <w:pPr>
        <w:pStyle w:val="Zkladntext"/>
        <w:ind w:left="116" w:right="226"/>
        <w:rPr>
          <w:lang w:val="sk-SK"/>
        </w:rPr>
      </w:pPr>
      <w:r w:rsidRPr="00C14318">
        <w:rPr>
          <w:lang w:val="sk-SK"/>
        </w:rPr>
        <w:t>Odporúča sa prehltnúť celú tabletu počas jedla a zapiť vodou. Tableta sa nemôže rozdeliť na rovnaké dávky.</w:t>
      </w:r>
    </w:p>
    <w:p w14:paraId="6AA20B7D" w14:textId="77777777" w:rsidR="005A7D1A" w:rsidRPr="00C14318" w:rsidRDefault="005A7D1A" w:rsidP="001B463B">
      <w:pPr>
        <w:pStyle w:val="Zkladntext"/>
        <w:spacing w:before="9"/>
        <w:rPr>
          <w:lang w:val="sk-SK"/>
        </w:rPr>
      </w:pPr>
    </w:p>
    <w:p w14:paraId="659F97FE" w14:textId="77777777" w:rsidR="005A7D1A" w:rsidRPr="00C14318" w:rsidRDefault="005A7D1A" w:rsidP="001B463B">
      <w:pPr>
        <w:pStyle w:val="Nadpis1"/>
        <w:numPr>
          <w:ilvl w:val="1"/>
          <w:numId w:val="3"/>
        </w:numPr>
        <w:tabs>
          <w:tab w:val="left" w:pos="687"/>
          <w:tab w:val="left" w:pos="688"/>
        </w:tabs>
        <w:ind w:left="687" w:hanging="571"/>
        <w:jc w:val="left"/>
        <w:rPr>
          <w:lang w:val="sk-SK"/>
        </w:rPr>
      </w:pPr>
      <w:r w:rsidRPr="00C14318">
        <w:rPr>
          <w:lang w:val="sk-SK"/>
        </w:rPr>
        <w:t>Kontraindikácie</w:t>
      </w:r>
    </w:p>
    <w:p w14:paraId="3696E675" w14:textId="77777777" w:rsidR="005A7D1A" w:rsidRPr="00C14318" w:rsidRDefault="005A7D1A" w:rsidP="001B463B">
      <w:pPr>
        <w:pStyle w:val="Zkladntext"/>
        <w:spacing w:before="3"/>
        <w:rPr>
          <w:b/>
          <w:lang w:val="sk-SK"/>
        </w:rPr>
      </w:pPr>
    </w:p>
    <w:p w14:paraId="5613E1A8" w14:textId="7A14F732" w:rsidR="005A7D1A" w:rsidRPr="00C14318" w:rsidRDefault="005A7D1A" w:rsidP="001B463B">
      <w:pPr>
        <w:pStyle w:val="Odsekzoznamu"/>
        <w:numPr>
          <w:ilvl w:val="0"/>
          <w:numId w:val="2"/>
        </w:numPr>
        <w:tabs>
          <w:tab w:val="left" w:pos="476"/>
          <w:tab w:val="left" w:pos="477"/>
        </w:tabs>
        <w:spacing w:line="266" w:lineRule="exact"/>
        <w:rPr>
          <w:lang w:val="sk-SK"/>
        </w:rPr>
      </w:pPr>
      <w:r w:rsidRPr="00C14318">
        <w:rPr>
          <w:lang w:val="sk-SK"/>
        </w:rPr>
        <w:t>Precitlivenosť na liečivo alebo na ktorúkoľvek z pomocných látok uvedených v časti</w:t>
      </w:r>
      <w:r w:rsidRPr="00C14318">
        <w:rPr>
          <w:spacing w:val="-18"/>
          <w:lang w:val="sk-SK"/>
        </w:rPr>
        <w:t xml:space="preserve"> </w:t>
      </w:r>
      <w:r w:rsidRPr="00C14318">
        <w:rPr>
          <w:lang w:val="sk-SK"/>
        </w:rPr>
        <w:t>6.1</w:t>
      </w:r>
      <w:r w:rsidR="00B1782B">
        <w:rPr>
          <w:lang w:val="sk-SK"/>
        </w:rPr>
        <w:t>,</w:t>
      </w:r>
    </w:p>
    <w:p w14:paraId="53C4CAFD" w14:textId="1700E047" w:rsidR="005A7D1A" w:rsidRPr="005B792B" w:rsidRDefault="005A7D1A" w:rsidP="001B463B">
      <w:pPr>
        <w:pStyle w:val="Odsekzoznamu"/>
        <w:numPr>
          <w:ilvl w:val="0"/>
          <w:numId w:val="2"/>
        </w:numPr>
        <w:tabs>
          <w:tab w:val="left" w:pos="476"/>
          <w:tab w:val="left" w:pos="477"/>
        </w:tabs>
        <w:spacing w:line="244" w:lineRule="auto"/>
        <w:ind w:right="125"/>
        <w:rPr>
          <w:lang w:val="sk-SK"/>
        </w:rPr>
      </w:pPr>
      <w:r w:rsidRPr="006B7D5E">
        <w:rPr>
          <w:lang w:val="sk-SK"/>
        </w:rPr>
        <w:t>Atrioventrikulárna blokáda druhého alebo tretieho stupňa, úplná ramienková blokáda, distálny blok, dysfunkcia sínusového uzla, poruchy atriálneho vedenia, alebo syndróm chorého sínus</w:t>
      </w:r>
      <w:r w:rsidR="006B7D5E" w:rsidRPr="004E3016">
        <w:rPr>
          <w:lang w:val="sk-SK"/>
        </w:rPr>
        <w:t>u</w:t>
      </w:r>
      <w:r w:rsidRPr="00D72FCC">
        <w:rPr>
          <w:lang w:val="sk-SK"/>
        </w:rPr>
        <w:t xml:space="preserve"> (okrem prípadov, keď sa používa</w:t>
      </w:r>
      <w:r w:rsidRPr="004B0784">
        <w:rPr>
          <w:spacing w:val="-14"/>
          <w:lang w:val="sk-SK"/>
        </w:rPr>
        <w:t xml:space="preserve"> </w:t>
      </w:r>
      <w:r w:rsidRPr="004B0784">
        <w:rPr>
          <w:lang w:val="sk-SK"/>
        </w:rPr>
        <w:t>kardiostimulátor)</w:t>
      </w:r>
      <w:r w:rsidR="00B1782B" w:rsidRPr="004B0784">
        <w:rPr>
          <w:lang w:val="sk-SK"/>
        </w:rPr>
        <w:t>,</w:t>
      </w:r>
    </w:p>
    <w:p w14:paraId="3FAC2766" w14:textId="0CFBC78B" w:rsidR="005A7D1A" w:rsidRPr="00C14318" w:rsidRDefault="005A7D1A" w:rsidP="001B463B">
      <w:pPr>
        <w:pStyle w:val="Odsekzoznamu"/>
        <w:numPr>
          <w:ilvl w:val="0"/>
          <w:numId w:val="2"/>
        </w:numPr>
        <w:tabs>
          <w:tab w:val="left" w:pos="476"/>
          <w:tab w:val="left" w:pos="477"/>
        </w:tabs>
        <w:spacing w:before="4" w:line="252" w:lineRule="exact"/>
        <w:rPr>
          <w:lang w:val="sk-SK"/>
        </w:rPr>
      </w:pPr>
      <w:r w:rsidRPr="00C14318">
        <w:rPr>
          <w:lang w:val="sk-SK"/>
        </w:rPr>
        <w:t>Bradykardia &lt;</w:t>
      </w:r>
      <w:r w:rsidR="00623A4E">
        <w:rPr>
          <w:lang w:val="sk-SK"/>
        </w:rPr>
        <w:t xml:space="preserve"> </w:t>
      </w:r>
      <w:r w:rsidRPr="00C14318">
        <w:rPr>
          <w:lang w:val="sk-SK"/>
        </w:rPr>
        <w:t>50 úderov za</w:t>
      </w:r>
      <w:r w:rsidRPr="00C14318">
        <w:rPr>
          <w:spacing w:val="-9"/>
          <w:lang w:val="sk-SK"/>
        </w:rPr>
        <w:t xml:space="preserve"> </w:t>
      </w:r>
      <w:r w:rsidRPr="00C14318">
        <w:rPr>
          <w:lang w:val="sk-SK"/>
        </w:rPr>
        <w:t>minútu</w:t>
      </w:r>
      <w:r w:rsidR="00B1782B">
        <w:rPr>
          <w:lang w:val="sk-SK"/>
        </w:rPr>
        <w:t>,</w:t>
      </w:r>
    </w:p>
    <w:p w14:paraId="4A704594" w14:textId="77777777" w:rsidR="005A7D1A" w:rsidRPr="00C14318" w:rsidRDefault="005A7D1A" w:rsidP="001B463B">
      <w:pPr>
        <w:pStyle w:val="Odsekzoznamu"/>
        <w:numPr>
          <w:ilvl w:val="0"/>
          <w:numId w:val="2"/>
        </w:numPr>
        <w:tabs>
          <w:tab w:val="left" w:pos="476"/>
          <w:tab w:val="left" w:pos="477"/>
        </w:tabs>
        <w:spacing w:line="244" w:lineRule="auto"/>
        <w:ind w:right="314"/>
        <w:rPr>
          <w:lang w:val="sk-SK"/>
        </w:rPr>
      </w:pPr>
      <w:r w:rsidRPr="00C14318">
        <w:rPr>
          <w:lang w:val="sk-SK"/>
        </w:rPr>
        <w:t>Permanentná AF s trvaním AF ≥ 6 mesiacov (alebo ak je trvanie AF neznáme ) a lekár už nemá v úmysle sa pokúsiť o obnovenie sínusového</w:t>
      </w:r>
      <w:r w:rsidRPr="00C14318">
        <w:rPr>
          <w:spacing w:val="-15"/>
          <w:lang w:val="sk-SK"/>
        </w:rPr>
        <w:t xml:space="preserve"> </w:t>
      </w:r>
      <w:r w:rsidRPr="00C14318">
        <w:rPr>
          <w:lang w:val="sk-SK"/>
        </w:rPr>
        <w:t>rytmu</w:t>
      </w:r>
      <w:r w:rsidR="00B1782B">
        <w:rPr>
          <w:lang w:val="sk-SK"/>
        </w:rPr>
        <w:t>,</w:t>
      </w:r>
    </w:p>
    <w:p w14:paraId="502A0A38" w14:textId="77777777" w:rsidR="005A7D1A" w:rsidRPr="00C14318" w:rsidRDefault="005A7D1A" w:rsidP="001B463B">
      <w:pPr>
        <w:pStyle w:val="Odsekzoznamu"/>
        <w:numPr>
          <w:ilvl w:val="0"/>
          <w:numId w:val="2"/>
        </w:numPr>
        <w:tabs>
          <w:tab w:val="left" w:pos="476"/>
          <w:tab w:val="left" w:pos="477"/>
        </w:tabs>
        <w:spacing w:before="6" w:line="252" w:lineRule="exact"/>
        <w:rPr>
          <w:lang w:val="sk-SK"/>
        </w:rPr>
      </w:pPr>
      <w:r w:rsidRPr="00C14318">
        <w:rPr>
          <w:lang w:val="sk-SK"/>
        </w:rPr>
        <w:t>Pacienti v nestabilnom hemodynamickom</w:t>
      </w:r>
      <w:r w:rsidRPr="00C14318">
        <w:rPr>
          <w:spacing w:val="-12"/>
          <w:lang w:val="sk-SK"/>
        </w:rPr>
        <w:t xml:space="preserve"> </w:t>
      </w:r>
      <w:r w:rsidRPr="00C14318">
        <w:rPr>
          <w:lang w:val="sk-SK"/>
        </w:rPr>
        <w:t>stave</w:t>
      </w:r>
      <w:r w:rsidR="00B1782B">
        <w:rPr>
          <w:lang w:val="sk-SK"/>
        </w:rPr>
        <w:t>,</w:t>
      </w:r>
    </w:p>
    <w:p w14:paraId="77D6DCCF" w14:textId="17A8D146" w:rsidR="005A7D1A" w:rsidRPr="00C14318" w:rsidRDefault="005A7D1A" w:rsidP="001B463B">
      <w:pPr>
        <w:pStyle w:val="Odsekzoznamu"/>
        <w:numPr>
          <w:ilvl w:val="0"/>
          <w:numId w:val="2"/>
        </w:numPr>
        <w:tabs>
          <w:tab w:val="left" w:pos="476"/>
          <w:tab w:val="left" w:pos="477"/>
        </w:tabs>
        <w:spacing w:line="244" w:lineRule="auto"/>
        <w:ind w:right="888"/>
        <w:rPr>
          <w:lang w:val="sk-SK"/>
        </w:rPr>
      </w:pPr>
      <w:r w:rsidRPr="00C14318">
        <w:rPr>
          <w:lang w:val="sk-SK"/>
        </w:rPr>
        <w:t>Pacienti, ktorí majú prekonané alebo aktuálne prítomné srdcové zlyh</w:t>
      </w:r>
      <w:r w:rsidR="00623A4E">
        <w:rPr>
          <w:lang w:val="sk-SK"/>
        </w:rPr>
        <w:t>ávanie</w:t>
      </w:r>
      <w:r w:rsidRPr="00C14318">
        <w:rPr>
          <w:lang w:val="sk-SK"/>
        </w:rPr>
        <w:t xml:space="preserve"> alebo systolickú dysfunkciu ľavej</w:t>
      </w:r>
      <w:r w:rsidRPr="00C14318">
        <w:rPr>
          <w:spacing w:val="-6"/>
          <w:lang w:val="sk-SK"/>
        </w:rPr>
        <w:t xml:space="preserve"> </w:t>
      </w:r>
      <w:r w:rsidRPr="00C14318">
        <w:rPr>
          <w:lang w:val="sk-SK"/>
        </w:rPr>
        <w:t>komory</w:t>
      </w:r>
      <w:r w:rsidR="00B1782B">
        <w:rPr>
          <w:lang w:val="sk-SK"/>
        </w:rPr>
        <w:t>,</w:t>
      </w:r>
    </w:p>
    <w:p w14:paraId="08E1E292" w14:textId="77777777" w:rsidR="005A7D1A" w:rsidRPr="00C14318" w:rsidRDefault="005A7D1A" w:rsidP="001B463B">
      <w:pPr>
        <w:pStyle w:val="Odsekzoznamu"/>
        <w:numPr>
          <w:ilvl w:val="0"/>
          <w:numId w:val="2"/>
        </w:numPr>
        <w:tabs>
          <w:tab w:val="left" w:pos="476"/>
          <w:tab w:val="left" w:pos="477"/>
        </w:tabs>
        <w:spacing w:before="5" w:line="252" w:lineRule="exact"/>
        <w:rPr>
          <w:lang w:val="sk-SK"/>
        </w:rPr>
      </w:pPr>
      <w:r w:rsidRPr="00C14318">
        <w:rPr>
          <w:lang w:val="sk-SK"/>
        </w:rPr>
        <w:t>Pacienti s pečeňovou alebo pľúcnou toxicitou súvisiacou s predchádzajúcim užívaním</w:t>
      </w:r>
      <w:r w:rsidRPr="00C14318">
        <w:rPr>
          <w:spacing w:val="-13"/>
          <w:lang w:val="sk-SK"/>
        </w:rPr>
        <w:t xml:space="preserve"> </w:t>
      </w:r>
      <w:r w:rsidRPr="00C14318">
        <w:rPr>
          <w:lang w:val="sk-SK"/>
        </w:rPr>
        <w:t>amiodarónu</w:t>
      </w:r>
      <w:r w:rsidR="00B1782B">
        <w:rPr>
          <w:lang w:val="sk-SK"/>
        </w:rPr>
        <w:t>,</w:t>
      </w:r>
    </w:p>
    <w:p w14:paraId="5CBDA7C5" w14:textId="77777777" w:rsidR="005A7D1A" w:rsidRPr="00C14318" w:rsidRDefault="00B1782B" w:rsidP="001B463B">
      <w:pPr>
        <w:pStyle w:val="Odsekzoznamu"/>
        <w:numPr>
          <w:ilvl w:val="0"/>
          <w:numId w:val="2"/>
        </w:numPr>
        <w:tabs>
          <w:tab w:val="left" w:pos="476"/>
          <w:tab w:val="left" w:pos="477"/>
        </w:tabs>
        <w:spacing w:line="247" w:lineRule="auto"/>
        <w:ind w:right="360"/>
        <w:rPr>
          <w:lang w:val="sk-SK"/>
        </w:rPr>
      </w:pPr>
      <w:r>
        <w:rPr>
          <w:lang w:val="sk-SK"/>
        </w:rPr>
        <w:t>Súbež</w:t>
      </w:r>
      <w:r w:rsidR="005A7D1A" w:rsidRPr="00C14318">
        <w:rPr>
          <w:lang w:val="sk-SK"/>
        </w:rPr>
        <w:t xml:space="preserve">né podávanie so silnými inhibítormi cytochrómu P 450 (CYP) 3A4 ako je ketokonazol, itrakonazol, vorikonazol, posakonazol, telitromycín, klaritromycín, nefazodón a ritonavir (pozri </w:t>
      </w:r>
      <w:r w:rsidR="005A7D1A" w:rsidRPr="00C14318">
        <w:rPr>
          <w:lang w:val="sk-SK"/>
        </w:rPr>
        <w:lastRenderedPageBreak/>
        <w:t>časť</w:t>
      </w:r>
      <w:r w:rsidR="005A7D1A" w:rsidRPr="00C14318">
        <w:rPr>
          <w:spacing w:val="-2"/>
          <w:lang w:val="sk-SK"/>
        </w:rPr>
        <w:t xml:space="preserve"> </w:t>
      </w:r>
      <w:r w:rsidR="005A7D1A" w:rsidRPr="00C14318">
        <w:rPr>
          <w:lang w:val="sk-SK"/>
        </w:rPr>
        <w:t>4.5)</w:t>
      </w:r>
      <w:r w:rsidR="00526B10">
        <w:rPr>
          <w:lang w:val="sk-SK"/>
        </w:rPr>
        <w:t>,</w:t>
      </w:r>
    </w:p>
    <w:p w14:paraId="72DA1B43" w14:textId="77777777" w:rsidR="005A7D1A" w:rsidRPr="00C14318" w:rsidRDefault="005A7D1A" w:rsidP="001B463B">
      <w:pPr>
        <w:pStyle w:val="Odsekzoznamu"/>
        <w:numPr>
          <w:ilvl w:val="0"/>
          <w:numId w:val="2"/>
        </w:numPr>
        <w:tabs>
          <w:tab w:val="left" w:pos="476"/>
          <w:tab w:val="left" w:pos="477"/>
        </w:tabs>
        <w:spacing w:before="5" w:line="253" w:lineRule="exact"/>
        <w:rPr>
          <w:lang w:val="sk-SK"/>
        </w:rPr>
      </w:pPr>
      <w:r w:rsidRPr="00C14318">
        <w:rPr>
          <w:lang w:val="sk-SK"/>
        </w:rPr>
        <w:t xml:space="preserve">Lieky indukujúce </w:t>
      </w:r>
      <w:r w:rsidRPr="00526B10">
        <w:rPr>
          <w:lang w:val="sk-SK"/>
        </w:rPr>
        <w:t>torsades de pointes</w:t>
      </w:r>
      <w:r w:rsidRPr="00C14318">
        <w:rPr>
          <w:i/>
          <w:lang w:val="sk-SK"/>
        </w:rPr>
        <w:t xml:space="preserve"> </w:t>
      </w:r>
      <w:r w:rsidRPr="00C14318">
        <w:rPr>
          <w:lang w:val="sk-SK"/>
        </w:rPr>
        <w:t>ako sú fenotiazíny, cisaprid, bepridil,</w:t>
      </w:r>
      <w:r w:rsidRPr="00C14318">
        <w:rPr>
          <w:spacing w:val="-32"/>
          <w:lang w:val="sk-SK"/>
        </w:rPr>
        <w:t xml:space="preserve"> </w:t>
      </w:r>
      <w:r w:rsidRPr="00C14318">
        <w:rPr>
          <w:lang w:val="sk-SK"/>
        </w:rPr>
        <w:t>tricyklické</w:t>
      </w:r>
    </w:p>
    <w:p w14:paraId="3454CC5B" w14:textId="77777777" w:rsidR="005A7D1A" w:rsidRPr="00C14318" w:rsidRDefault="005A7D1A" w:rsidP="001B463B">
      <w:pPr>
        <w:pStyle w:val="Zkladntext"/>
        <w:spacing w:before="5" w:line="247" w:lineRule="auto"/>
        <w:ind w:left="476" w:right="173"/>
        <w:rPr>
          <w:lang w:val="sk-SK"/>
        </w:rPr>
      </w:pPr>
      <w:r w:rsidRPr="00C14318">
        <w:rPr>
          <w:lang w:val="sk-SK"/>
        </w:rPr>
        <w:t>antidepresíva, terfenadín a niektoré perorálne makrolidy (ako je erytromycín), antiarytmiká triedy I a III) (pozri časť 4.5)</w:t>
      </w:r>
      <w:r w:rsidR="00B1782B">
        <w:rPr>
          <w:lang w:val="sk-SK"/>
        </w:rPr>
        <w:t>,</w:t>
      </w:r>
    </w:p>
    <w:p w14:paraId="34309201" w14:textId="7E9C99C3" w:rsidR="005A7D1A" w:rsidRPr="00C14318" w:rsidRDefault="005A7D1A" w:rsidP="001B463B">
      <w:pPr>
        <w:pStyle w:val="Odsekzoznamu"/>
        <w:numPr>
          <w:ilvl w:val="0"/>
          <w:numId w:val="2"/>
        </w:numPr>
        <w:tabs>
          <w:tab w:val="left" w:pos="476"/>
          <w:tab w:val="left" w:pos="477"/>
        </w:tabs>
        <w:spacing w:line="247" w:lineRule="exact"/>
        <w:rPr>
          <w:lang w:val="sk-SK"/>
        </w:rPr>
      </w:pPr>
      <w:r w:rsidRPr="00C14318">
        <w:rPr>
          <w:lang w:val="sk-SK"/>
        </w:rPr>
        <w:t xml:space="preserve">QTc interval podľa </w:t>
      </w:r>
      <w:r w:rsidRPr="00D9571D">
        <w:rPr>
          <w:lang w:val="sk-SK"/>
        </w:rPr>
        <w:t>Bazettovho vzorca</w:t>
      </w:r>
      <w:r w:rsidRPr="00C14318">
        <w:rPr>
          <w:lang w:val="sk-SK"/>
        </w:rPr>
        <w:t xml:space="preserve"> ≥</w:t>
      </w:r>
      <w:r w:rsidR="00623A4E">
        <w:rPr>
          <w:lang w:val="sk-SK"/>
        </w:rPr>
        <w:t xml:space="preserve"> </w:t>
      </w:r>
      <w:r w:rsidRPr="00C14318">
        <w:rPr>
          <w:lang w:val="sk-SK"/>
        </w:rPr>
        <w:t>500</w:t>
      </w:r>
      <w:r w:rsidRPr="00C14318">
        <w:rPr>
          <w:spacing w:val="-16"/>
          <w:lang w:val="sk-SK"/>
        </w:rPr>
        <w:t xml:space="preserve"> </w:t>
      </w:r>
      <w:r w:rsidRPr="00C14318">
        <w:rPr>
          <w:lang w:val="sk-SK"/>
        </w:rPr>
        <w:t>milisekúnd</w:t>
      </w:r>
      <w:r w:rsidR="00B1782B">
        <w:rPr>
          <w:lang w:val="sk-SK"/>
        </w:rPr>
        <w:t>,</w:t>
      </w:r>
    </w:p>
    <w:p w14:paraId="465E0D20" w14:textId="77777777" w:rsidR="005A7D1A" w:rsidRPr="00C14318" w:rsidRDefault="00B1782B" w:rsidP="001B463B">
      <w:pPr>
        <w:pStyle w:val="Odsekzoznamu"/>
        <w:numPr>
          <w:ilvl w:val="0"/>
          <w:numId w:val="2"/>
        </w:numPr>
        <w:tabs>
          <w:tab w:val="left" w:pos="476"/>
          <w:tab w:val="left" w:pos="477"/>
        </w:tabs>
        <w:spacing w:line="260" w:lineRule="exact"/>
        <w:rPr>
          <w:lang w:val="sk-SK"/>
        </w:rPr>
      </w:pPr>
      <w:r>
        <w:rPr>
          <w:lang w:val="sk-SK"/>
        </w:rPr>
        <w:t>Závažná porucha funkcie</w:t>
      </w:r>
      <w:r w:rsidR="005A7D1A" w:rsidRPr="00C14318">
        <w:rPr>
          <w:spacing w:val="-1"/>
          <w:lang w:val="sk-SK"/>
        </w:rPr>
        <w:t xml:space="preserve"> </w:t>
      </w:r>
      <w:r w:rsidR="005A7D1A" w:rsidRPr="00C14318">
        <w:rPr>
          <w:lang w:val="sk-SK"/>
        </w:rPr>
        <w:t>pečene</w:t>
      </w:r>
      <w:r>
        <w:rPr>
          <w:lang w:val="sk-SK"/>
        </w:rPr>
        <w:t>,</w:t>
      </w:r>
    </w:p>
    <w:p w14:paraId="212A5985" w14:textId="58C3C3DA" w:rsidR="005A7D1A" w:rsidRPr="00C14318" w:rsidRDefault="00B1782B" w:rsidP="001B463B">
      <w:pPr>
        <w:pStyle w:val="Odsekzoznamu"/>
        <w:numPr>
          <w:ilvl w:val="0"/>
          <w:numId w:val="2"/>
        </w:numPr>
        <w:tabs>
          <w:tab w:val="left" w:pos="476"/>
          <w:tab w:val="left" w:pos="477"/>
        </w:tabs>
        <w:spacing w:line="260" w:lineRule="exact"/>
        <w:rPr>
          <w:lang w:val="sk-SK"/>
        </w:rPr>
      </w:pPr>
      <w:r>
        <w:rPr>
          <w:lang w:val="sk-SK"/>
        </w:rPr>
        <w:t>Závažná porucha funkcie</w:t>
      </w:r>
      <w:r w:rsidR="005A7D1A" w:rsidRPr="00C14318">
        <w:rPr>
          <w:lang w:val="sk-SK"/>
        </w:rPr>
        <w:t xml:space="preserve"> obličiek (klírens kreatinínu &lt;</w:t>
      </w:r>
      <w:r w:rsidR="005A7D1A" w:rsidRPr="00C14318">
        <w:rPr>
          <w:spacing w:val="-16"/>
          <w:lang w:val="sk-SK"/>
        </w:rPr>
        <w:t xml:space="preserve"> </w:t>
      </w:r>
      <w:r w:rsidR="005A7D1A" w:rsidRPr="00C14318">
        <w:rPr>
          <w:lang w:val="sk-SK"/>
        </w:rPr>
        <w:t>30</w:t>
      </w:r>
      <w:r w:rsidR="00623A4E">
        <w:rPr>
          <w:lang w:val="sk-SK"/>
        </w:rPr>
        <w:t xml:space="preserve"> </w:t>
      </w:r>
      <w:r w:rsidR="005A7D1A" w:rsidRPr="00C14318">
        <w:rPr>
          <w:lang w:val="sk-SK"/>
        </w:rPr>
        <w:t>ml/min)</w:t>
      </w:r>
      <w:r>
        <w:rPr>
          <w:lang w:val="sk-SK"/>
        </w:rPr>
        <w:t>,</w:t>
      </w:r>
    </w:p>
    <w:p w14:paraId="70B9156F" w14:textId="427116DD" w:rsidR="005A7D1A" w:rsidRPr="00C14318" w:rsidRDefault="005A7D1A" w:rsidP="001B463B">
      <w:pPr>
        <w:pStyle w:val="Odsekzoznamu"/>
        <w:numPr>
          <w:ilvl w:val="0"/>
          <w:numId w:val="2"/>
        </w:numPr>
        <w:tabs>
          <w:tab w:val="left" w:pos="476"/>
          <w:tab w:val="left" w:pos="477"/>
        </w:tabs>
        <w:spacing w:line="264" w:lineRule="exact"/>
        <w:rPr>
          <w:lang w:val="sk-SK"/>
        </w:rPr>
      </w:pPr>
      <w:r w:rsidRPr="00C14318">
        <w:rPr>
          <w:lang w:val="sk-SK"/>
        </w:rPr>
        <w:t>Súbežné podávanie s</w:t>
      </w:r>
      <w:r w:rsidR="00B1782B">
        <w:rPr>
          <w:spacing w:val="-4"/>
          <w:lang w:val="sk-SK"/>
        </w:rPr>
        <w:t> </w:t>
      </w:r>
      <w:r w:rsidRPr="00C14318">
        <w:rPr>
          <w:lang w:val="sk-SK"/>
        </w:rPr>
        <w:t>dabigatr</w:t>
      </w:r>
      <w:r w:rsidR="00623A4E">
        <w:rPr>
          <w:lang w:val="sk-SK"/>
        </w:rPr>
        <w:t>á</w:t>
      </w:r>
      <w:r w:rsidRPr="00C14318">
        <w:rPr>
          <w:lang w:val="sk-SK"/>
        </w:rPr>
        <w:t>nom</w:t>
      </w:r>
      <w:r w:rsidR="00B1782B">
        <w:rPr>
          <w:lang w:val="sk-SK"/>
        </w:rPr>
        <w:t>.</w:t>
      </w:r>
    </w:p>
    <w:p w14:paraId="07784687" w14:textId="77777777" w:rsidR="005A7D1A" w:rsidRPr="00C14318" w:rsidRDefault="005A7D1A" w:rsidP="001B463B">
      <w:pPr>
        <w:pStyle w:val="Zkladntext"/>
        <w:spacing w:before="9"/>
        <w:rPr>
          <w:lang w:val="sk-SK"/>
        </w:rPr>
      </w:pPr>
    </w:p>
    <w:p w14:paraId="2C365E9E"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Osobitné upozornenia a opatrenia pri</w:t>
      </w:r>
      <w:r w:rsidRPr="00C14318">
        <w:rPr>
          <w:spacing w:val="-9"/>
          <w:lang w:val="sk-SK"/>
        </w:rPr>
        <w:t xml:space="preserve"> </w:t>
      </w:r>
      <w:r w:rsidRPr="00C14318">
        <w:rPr>
          <w:lang w:val="sk-SK"/>
        </w:rPr>
        <w:t>používaní</w:t>
      </w:r>
    </w:p>
    <w:p w14:paraId="3CD8A85E" w14:textId="77777777" w:rsidR="005A7D1A" w:rsidRPr="00C14318" w:rsidRDefault="005A7D1A" w:rsidP="001B463B">
      <w:pPr>
        <w:pStyle w:val="Zkladntext"/>
        <w:spacing w:before="5"/>
        <w:rPr>
          <w:b/>
          <w:lang w:val="sk-SK"/>
        </w:rPr>
      </w:pPr>
    </w:p>
    <w:p w14:paraId="5EBFF73D" w14:textId="77777777" w:rsidR="005A7D1A" w:rsidRPr="00C14318" w:rsidRDefault="005A7D1A" w:rsidP="001B463B">
      <w:pPr>
        <w:pStyle w:val="Zkladntext"/>
        <w:ind w:left="116" w:right="115"/>
        <w:rPr>
          <w:lang w:val="sk-SK"/>
        </w:rPr>
      </w:pPr>
      <w:r w:rsidRPr="00C14318">
        <w:rPr>
          <w:lang w:val="sk-SK"/>
        </w:rPr>
        <w:t>Počas liečby dronedarónom sa odporúča dôkladné monitorovanie s pravidelným vyhodnocovaním funkcie srdca, pečene a pľúc (pozri nižšie). Ak sa opäť objaví AF, je potrebné zvážiť ukončenie liečby dronedarónom. Ak sa u pacienta vyskytne akékoľvek ochorenie, ktoré by viedlo k</w:t>
      </w:r>
      <w:r w:rsidR="00CA170D">
        <w:rPr>
          <w:lang w:val="sk-SK"/>
        </w:rPr>
        <w:t> </w:t>
      </w:r>
      <w:r w:rsidRPr="00C14318">
        <w:rPr>
          <w:lang w:val="sk-SK"/>
        </w:rPr>
        <w:t>niektorej</w:t>
      </w:r>
      <w:r w:rsidR="00CA170D">
        <w:rPr>
          <w:lang w:val="sk-SK"/>
        </w:rPr>
        <w:t xml:space="preserve"> </w:t>
      </w:r>
      <w:r w:rsidRPr="00C14318">
        <w:rPr>
          <w:lang w:val="sk-SK"/>
        </w:rPr>
        <w:t>z kontraindikácií uvedených v časti 4.3, liečba dronedarónom sa musí uko</w:t>
      </w:r>
      <w:r w:rsidR="00803749">
        <w:rPr>
          <w:lang w:val="sk-SK"/>
        </w:rPr>
        <w:t>nčiť. Je nutné monitorovať súbež</w:t>
      </w:r>
      <w:r w:rsidRPr="00C14318">
        <w:rPr>
          <w:lang w:val="sk-SK"/>
        </w:rPr>
        <w:t>né podávanie liekov ako sú digoxín a antikoagulanciá.</w:t>
      </w:r>
    </w:p>
    <w:p w14:paraId="057CB7E1" w14:textId="77777777" w:rsidR="005A7D1A" w:rsidRPr="00C14318" w:rsidRDefault="005A7D1A" w:rsidP="001B463B">
      <w:pPr>
        <w:pStyle w:val="Zkladntext"/>
        <w:rPr>
          <w:lang w:val="sk-SK"/>
        </w:rPr>
      </w:pPr>
    </w:p>
    <w:p w14:paraId="1CA6E89D" w14:textId="77777777" w:rsidR="005A7D1A" w:rsidRPr="00C14318" w:rsidRDefault="005A7D1A" w:rsidP="001B463B">
      <w:pPr>
        <w:pStyle w:val="Zkladntext"/>
        <w:ind w:left="116"/>
        <w:rPr>
          <w:lang w:val="sk-SK"/>
        </w:rPr>
      </w:pPr>
      <w:r w:rsidRPr="00C14318">
        <w:rPr>
          <w:u w:val="single"/>
          <w:lang w:val="sk-SK"/>
        </w:rPr>
        <w:t>Pacienti, u ktorých sa počas liečby rozvinie permanentná AF</w:t>
      </w:r>
    </w:p>
    <w:p w14:paraId="4A369983" w14:textId="0E68EE5D" w:rsidR="005A7D1A" w:rsidRPr="00C14318" w:rsidRDefault="005A7D1A" w:rsidP="001B463B">
      <w:pPr>
        <w:pStyle w:val="Zkladntext"/>
        <w:spacing w:before="8" w:line="247" w:lineRule="auto"/>
        <w:ind w:left="116" w:right="138"/>
        <w:rPr>
          <w:lang w:val="sk-SK"/>
        </w:rPr>
      </w:pPr>
      <w:r w:rsidRPr="00C14318">
        <w:rPr>
          <w:lang w:val="sk-SK"/>
        </w:rPr>
        <w:t>Klinická štúdia u pacientov s permanentnou AF (AF trvala najmenej 6 mesiacov) a kardiovaskulárnymi rizikovými faktormi bola predčasne zastavená pre zvýšený výskyt kardiovaskulárnych úmrtí, mozgových príhod a srdcového zly</w:t>
      </w:r>
      <w:r w:rsidR="00D22651">
        <w:rPr>
          <w:lang w:val="sk-SK"/>
        </w:rPr>
        <w:t>háva</w:t>
      </w:r>
      <w:r w:rsidR="00825D9D">
        <w:rPr>
          <w:lang w:val="sk-SK"/>
        </w:rPr>
        <w:t xml:space="preserve">nia u pacientov dostávajúcich dronedarón </w:t>
      </w:r>
      <w:r w:rsidRPr="00C14318">
        <w:rPr>
          <w:lang w:val="sk-SK"/>
        </w:rPr>
        <w:t xml:space="preserve">(pozri časť 5.1). Odporúča sa pravidelne robiť EKG, najmenej každých 6 mesiacov. Ak sa u pacientov liečených </w:t>
      </w:r>
      <w:r w:rsidR="00825D9D">
        <w:rPr>
          <w:lang w:val="sk-SK"/>
        </w:rPr>
        <w:t xml:space="preserve">dronedarónom </w:t>
      </w:r>
      <w:r w:rsidRPr="00C14318">
        <w:rPr>
          <w:lang w:val="sk-SK"/>
        </w:rPr>
        <w:t xml:space="preserve">vyskytne permanentná AF, liečba </w:t>
      </w:r>
      <w:r w:rsidR="00C30EF9">
        <w:rPr>
          <w:lang w:val="sk-SK"/>
        </w:rPr>
        <w:t>Dronedarón</w:t>
      </w:r>
      <w:r w:rsidR="00A178AD">
        <w:rPr>
          <w:lang w:val="sk-SK"/>
        </w:rPr>
        <w:t xml:space="preserve">om Sandoz </w:t>
      </w:r>
      <w:r w:rsidRPr="00C14318">
        <w:rPr>
          <w:lang w:val="sk-SK"/>
        </w:rPr>
        <w:t>sa musí ukončiť.</w:t>
      </w:r>
    </w:p>
    <w:p w14:paraId="2BAC258F" w14:textId="77777777" w:rsidR="005A7D1A" w:rsidRPr="00C14318" w:rsidRDefault="005A7D1A" w:rsidP="001B463B">
      <w:pPr>
        <w:pStyle w:val="Zkladntext"/>
        <w:spacing w:before="6"/>
        <w:rPr>
          <w:lang w:val="sk-SK"/>
        </w:rPr>
      </w:pPr>
    </w:p>
    <w:p w14:paraId="0629B92B" w14:textId="77777777" w:rsidR="005A7D1A" w:rsidRPr="00C14318" w:rsidRDefault="005A7D1A" w:rsidP="001B463B">
      <w:pPr>
        <w:pStyle w:val="Zkladntext"/>
        <w:spacing w:before="1"/>
        <w:ind w:left="116" w:right="94"/>
        <w:rPr>
          <w:lang w:val="sk-SK"/>
        </w:rPr>
      </w:pPr>
      <w:r w:rsidRPr="00C14318">
        <w:rPr>
          <w:u w:val="single"/>
          <w:lang w:val="sk-SK"/>
        </w:rPr>
        <w:t>Pacienti, ktorí majú v anamnéze alebo</w:t>
      </w:r>
      <w:r w:rsidR="009410C0">
        <w:rPr>
          <w:u w:val="single"/>
          <w:lang w:val="sk-SK"/>
        </w:rPr>
        <w:t xml:space="preserve"> aktuálne prítomné srdcové zlyháva</w:t>
      </w:r>
      <w:r w:rsidRPr="00C14318">
        <w:rPr>
          <w:u w:val="single"/>
          <w:lang w:val="sk-SK"/>
        </w:rPr>
        <w:t>nie alebo systolickú dysfunkciu ľavej komory</w:t>
      </w:r>
    </w:p>
    <w:p w14:paraId="09B14E69" w14:textId="77777777" w:rsidR="005A7D1A" w:rsidRPr="00C14318" w:rsidRDefault="00C30EF9" w:rsidP="001B463B">
      <w:pPr>
        <w:pStyle w:val="Zkladntext"/>
        <w:ind w:left="116" w:right="133"/>
        <w:rPr>
          <w:lang w:val="sk-SK"/>
        </w:rPr>
      </w:pPr>
      <w:r>
        <w:rPr>
          <w:lang w:val="sk-SK"/>
        </w:rPr>
        <w:t xml:space="preserve">Dronedarón Sandoz </w:t>
      </w:r>
      <w:r w:rsidR="005A7D1A" w:rsidRPr="00C14318">
        <w:rPr>
          <w:lang w:val="sk-SK"/>
        </w:rPr>
        <w:t>je kontraindikovaný u pacientov v nestabilnom hemodynamickom stave, u pacientov, ktorí majú v anamnéze alebo aktuálne prítomné srdcové zlyh</w:t>
      </w:r>
      <w:r w:rsidR="009410C0">
        <w:rPr>
          <w:lang w:val="sk-SK"/>
        </w:rPr>
        <w:t>áv</w:t>
      </w:r>
      <w:r w:rsidR="005A7D1A" w:rsidRPr="00C14318">
        <w:rPr>
          <w:lang w:val="sk-SK"/>
        </w:rPr>
        <w:t>anie alebo systolickú dysfunkciu ľavej komory (pozri časť 4.3).</w:t>
      </w:r>
    </w:p>
    <w:p w14:paraId="7219D6ED" w14:textId="49751D22" w:rsidR="005A7D1A" w:rsidRPr="00C14318" w:rsidRDefault="005A7D1A" w:rsidP="001B463B">
      <w:pPr>
        <w:pStyle w:val="Zkladntext"/>
        <w:ind w:left="116" w:right="160"/>
        <w:rPr>
          <w:lang w:val="sk-SK"/>
        </w:rPr>
      </w:pPr>
      <w:r w:rsidRPr="00C14318">
        <w:rPr>
          <w:lang w:val="sk-SK"/>
        </w:rPr>
        <w:t>Pacientov je potrebné dôkladne sledovať, či nemajú príznaky ko</w:t>
      </w:r>
      <w:r w:rsidR="009410C0">
        <w:rPr>
          <w:lang w:val="sk-SK"/>
        </w:rPr>
        <w:t>ngestívneho srdcového zlyháva</w:t>
      </w:r>
      <w:r w:rsidR="00EA4274">
        <w:rPr>
          <w:lang w:val="sk-SK"/>
        </w:rPr>
        <w:t xml:space="preserve">nia. </w:t>
      </w:r>
      <w:r w:rsidRPr="00C14318">
        <w:rPr>
          <w:lang w:val="sk-SK"/>
        </w:rPr>
        <w:t xml:space="preserve">Počas liečby </w:t>
      </w:r>
      <w:r w:rsidR="00EA4274">
        <w:rPr>
          <w:lang w:val="sk-SK"/>
        </w:rPr>
        <w:t>d</w:t>
      </w:r>
      <w:r w:rsidR="00C30EF9">
        <w:rPr>
          <w:lang w:val="sk-SK"/>
        </w:rPr>
        <w:t>ronedarón</w:t>
      </w:r>
      <w:r w:rsidR="00A178AD">
        <w:rPr>
          <w:lang w:val="sk-SK"/>
        </w:rPr>
        <w:t>om</w:t>
      </w:r>
      <w:r w:rsidR="00EA4274">
        <w:rPr>
          <w:lang w:val="sk-SK"/>
        </w:rPr>
        <w:t xml:space="preserve"> </w:t>
      </w:r>
      <w:r w:rsidRPr="00C14318">
        <w:rPr>
          <w:lang w:val="sk-SK"/>
        </w:rPr>
        <w:t>boli spontánne hlásené udalosti nového alebo zhoršené</w:t>
      </w:r>
      <w:r w:rsidR="009410C0">
        <w:rPr>
          <w:lang w:val="sk-SK"/>
        </w:rPr>
        <w:t>ho srdcového zlyháva</w:t>
      </w:r>
      <w:r w:rsidRPr="00C14318">
        <w:rPr>
          <w:lang w:val="sk-SK"/>
        </w:rPr>
        <w:t>nia. Pacientov treba poučiť, aby sa poradili s lekárom v prípade, že sa u nic</w:t>
      </w:r>
      <w:r w:rsidR="00EA4274">
        <w:rPr>
          <w:lang w:val="sk-SK"/>
        </w:rPr>
        <w:t>h rozvinú</w:t>
      </w:r>
      <w:r w:rsidR="00680497">
        <w:rPr>
          <w:lang w:val="sk-SK"/>
        </w:rPr>
        <w:t>,</w:t>
      </w:r>
      <w:r w:rsidR="00EA4274">
        <w:rPr>
          <w:lang w:val="sk-SK"/>
        </w:rPr>
        <w:t xml:space="preserve"> alebo ak pocítia prejavy</w:t>
      </w:r>
      <w:r w:rsidRPr="00C14318">
        <w:rPr>
          <w:lang w:val="sk-SK"/>
        </w:rPr>
        <w:t xml:space="preserve"> alebo príznaky srdcového zlyh</w:t>
      </w:r>
      <w:r w:rsidR="009410C0">
        <w:rPr>
          <w:lang w:val="sk-SK"/>
        </w:rPr>
        <w:t>áv</w:t>
      </w:r>
      <w:r w:rsidRPr="00C14318">
        <w:rPr>
          <w:lang w:val="sk-SK"/>
        </w:rPr>
        <w:t>ania, ako napríklad prírastok hmotnosti, ortostatický edém alebo zvýšené dyspnoe. Ak sa vyskytne srdcové zlyh</w:t>
      </w:r>
      <w:r w:rsidR="009410C0">
        <w:rPr>
          <w:lang w:val="sk-SK"/>
        </w:rPr>
        <w:t>áv</w:t>
      </w:r>
      <w:r w:rsidRPr="00C14318">
        <w:rPr>
          <w:lang w:val="sk-SK"/>
        </w:rPr>
        <w:t>anie</w:t>
      </w:r>
      <w:r w:rsidR="009410C0">
        <w:rPr>
          <w:lang w:val="sk-SK"/>
        </w:rPr>
        <w:t xml:space="preserve">, </w:t>
      </w:r>
      <w:r w:rsidRPr="00C14318">
        <w:rPr>
          <w:lang w:val="sk-SK"/>
        </w:rPr>
        <w:t xml:space="preserve">liečbu </w:t>
      </w:r>
      <w:r w:rsidR="00C30EF9">
        <w:rPr>
          <w:lang w:val="sk-SK"/>
        </w:rPr>
        <w:t>Dronedarón</w:t>
      </w:r>
      <w:r w:rsidR="00A178AD">
        <w:rPr>
          <w:lang w:val="sk-SK"/>
        </w:rPr>
        <w:t xml:space="preserve">om Sandoz </w:t>
      </w:r>
      <w:r w:rsidRPr="00C14318">
        <w:rPr>
          <w:lang w:val="sk-SK"/>
        </w:rPr>
        <w:t>je nutné ukončiť.</w:t>
      </w:r>
    </w:p>
    <w:p w14:paraId="6457388F" w14:textId="77777777" w:rsidR="005A7D1A" w:rsidRPr="00C14318" w:rsidRDefault="005A7D1A" w:rsidP="001B463B">
      <w:pPr>
        <w:pStyle w:val="Zkladntext"/>
        <w:ind w:left="116" w:right="136"/>
        <w:rPr>
          <w:lang w:val="sk-SK"/>
        </w:rPr>
      </w:pPr>
      <w:r w:rsidRPr="00C14318">
        <w:rPr>
          <w:lang w:val="sk-SK"/>
        </w:rPr>
        <w:t xml:space="preserve">Pacientov treba vyšetrovať, či sa u nich počas liečby neobjaví systolická dysfunkcia ľavej komory. Ak sa objaví systolická dysfunkcia ľavej komory, liečba </w:t>
      </w:r>
      <w:r w:rsidR="00C30EF9">
        <w:rPr>
          <w:lang w:val="sk-SK"/>
        </w:rPr>
        <w:t>Dronedarón</w:t>
      </w:r>
      <w:r w:rsidR="00EA4274">
        <w:rPr>
          <w:lang w:val="sk-SK"/>
        </w:rPr>
        <w:t xml:space="preserve">om Sandoz </w:t>
      </w:r>
      <w:r w:rsidRPr="00C14318">
        <w:rPr>
          <w:lang w:val="sk-SK"/>
        </w:rPr>
        <w:t>sa musí ukončiť.</w:t>
      </w:r>
    </w:p>
    <w:p w14:paraId="0121A689" w14:textId="77777777" w:rsidR="005A7D1A" w:rsidRPr="00C14318" w:rsidRDefault="005A7D1A" w:rsidP="001B463B">
      <w:pPr>
        <w:pStyle w:val="Zkladntext"/>
        <w:spacing w:before="1"/>
        <w:rPr>
          <w:lang w:val="sk-SK"/>
        </w:rPr>
      </w:pPr>
    </w:p>
    <w:p w14:paraId="02FE8E6B" w14:textId="77777777" w:rsidR="005A7D1A" w:rsidRPr="00C14318" w:rsidRDefault="005A7D1A" w:rsidP="001B463B">
      <w:pPr>
        <w:pStyle w:val="Zkladntext"/>
        <w:spacing w:line="252" w:lineRule="exact"/>
        <w:ind w:left="116"/>
        <w:rPr>
          <w:lang w:val="sk-SK"/>
        </w:rPr>
      </w:pPr>
      <w:r w:rsidRPr="00C14318">
        <w:rPr>
          <w:u w:val="single"/>
          <w:lang w:val="sk-SK"/>
        </w:rPr>
        <w:t>Pacienti s ischemickou chorobou srdca</w:t>
      </w:r>
    </w:p>
    <w:p w14:paraId="7AAA5EA2" w14:textId="77777777" w:rsidR="005A7D1A" w:rsidRPr="00C14318" w:rsidRDefault="005A7D1A" w:rsidP="001B463B">
      <w:pPr>
        <w:pStyle w:val="Zkladntext"/>
        <w:spacing w:line="252" w:lineRule="exact"/>
        <w:ind w:left="116"/>
        <w:rPr>
          <w:lang w:val="sk-SK"/>
        </w:rPr>
      </w:pPr>
      <w:r w:rsidRPr="00C14318">
        <w:rPr>
          <w:lang w:val="sk-SK"/>
        </w:rPr>
        <w:t>U pacientov s ischemickou chorobou srdca je potrebná opatrnosť.</w:t>
      </w:r>
    </w:p>
    <w:p w14:paraId="74FD684A" w14:textId="77777777" w:rsidR="005A7D1A" w:rsidRPr="00C14318" w:rsidRDefault="005A7D1A" w:rsidP="001B463B">
      <w:pPr>
        <w:pStyle w:val="Zkladntext"/>
        <w:rPr>
          <w:lang w:val="sk-SK"/>
        </w:rPr>
      </w:pPr>
    </w:p>
    <w:p w14:paraId="3896E515" w14:textId="77777777" w:rsidR="005A7D1A" w:rsidRPr="00C14318" w:rsidRDefault="00CA0EF4" w:rsidP="001B463B">
      <w:pPr>
        <w:pStyle w:val="Zkladntext"/>
        <w:spacing w:line="253" w:lineRule="exact"/>
        <w:ind w:left="116"/>
        <w:rPr>
          <w:lang w:val="sk-SK"/>
        </w:rPr>
      </w:pPr>
      <w:r>
        <w:rPr>
          <w:u w:val="single"/>
          <w:lang w:val="sk-SK"/>
        </w:rPr>
        <w:t>Starší ľudia</w:t>
      </w:r>
    </w:p>
    <w:p w14:paraId="0FDF1665" w14:textId="77777777" w:rsidR="005A7D1A" w:rsidRPr="00C14318" w:rsidRDefault="005A7D1A" w:rsidP="001B463B">
      <w:pPr>
        <w:pStyle w:val="Zkladntext"/>
        <w:ind w:left="116" w:right="159"/>
        <w:rPr>
          <w:lang w:val="sk-SK"/>
        </w:rPr>
      </w:pPr>
      <w:r w:rsidRPr="00C14318">
        <w:rPr>
          <w:lang w:val="sk-SK"/>
        </w:rPr>
        <w:t>U starších pacientov vo veku ≥ 75 rokov s viacerými komorbiditami je potrebná opatrnosť (pozri časti 4.2 a 5.1).</w:t>
      </w:r>
    </w:p>
    <w:p w14:paraId="7C6AEA45" w14:textId="77777777" w:rsidR="005A7D1A" w:rsidRPr="00C14318" w:rsidRDefault="005A7D1A" w:rsidP="001B463B">
      <w:pPr>
        <w:pStyle w:val="Zkladntext"/>
        <w:spacing w:before="10"/>
        <w:rPr>
          <w:lang w:val="sk-SK"/>
        </w:rPr>
      </w:pPr>
    </w:p>
    <w:p w14:paraId="2CAA4125" w14:textId="77777777" w:rsidR="005A7D1A" w:rsidRPr="00C14318" w:rsidRDefault="005A7D1A" w:rsidP="001B463B">
      <w:pPr>
        <w:pStyle w:val="Zkladntext"/>
        <w:ind w:left="116"/>
        <w:rPr>
          <w:lang w:val="sk-SK"/>
        </w:rPr>
      </w:pPr>
      <w:r w:rsidRPr="00C14318">
        <w:rPr>
          <w:u w:val="single"/>
          <w:lang w:val="sk-SK"/>
        </w:rPr>
        <w:t>Poškodenie pečene</w:t>
      </w:r>
    </w:p>
    <w:p w14:paraId="1A91E775" w14:textId="5DF66E4E" w:rsidR="005A7D1A" w:rsidRPr="00C14318" w:rsidRDefault="005A7D1A" w:rsidP="001B463B">
      <w:pPr>
        <w:pStyle w:val="Zkladntext"/>
        <w:spacing w:before="1"/>
        <w:ind w:left="116" w:right="114"/>
        <w:rPr>
          <w:lang w:val="sk-SK"/>
        </w:rPr>
      </w:pPr>
      <w:r w:rsidRPr="00C14318">
        <w:rPr>
          <w:lang w:val="sk-SK"/>
        </w:rPr>
        <w:t xml:space="preserve">Po uvedení lieku na trh boli hlásené prípady hepatocelulárneho poškodenia pečene vrátane život ohrozujúceho zlyhávania pečene u pacientov užívajúcich </w:t>
      </w:r>
      <w:r w:rsidR="002D275C">
        <w:rPr>
          <w:lang w:val="sk-SK"/>
        </w:rPr>
        <w:t>dronedarón</w:t>
      </w:r>
      <w:r w:rsidRPr="00C14318">
        <w:rPr>
          <w:lang w:val="sk-SK"/>
        </w:rPr>
        <w:t xml:space="preserve">. Pred začatím liečby dronedarónom, potom po jednom týždni po začatí liečby a po jednom mesiaci po začatí liečby sa majú </w:t>
      </w:r>
      <w:r w:rsidRPr="00C14318">
        <w:rPr>
          <w:lang w:val="sk-SK"/>
        </w:rPr>
        <w:lastRenderedPageBreak/>
        <w:t>urobiť pečeňové testy, ktoré treba opakovať každý mesiac počas 6 mesiacov, potom v 9. a 12. mesiaci a ďalej periodicky.</w:t>
      </w:r>
      <w:r w:rsidR="002D275C">
        <w:rPr>
          <w:lang w:val="sk-SK"/>
        </w:rPr>
        <w:t xml:space="preserve"> </w:t>
      </w:r>
      <w:r w:rsidRPr="00C14318">
        <w:rPr>
          <w:lang w:val="sk-SK"/>
        </w:rPr>
        <w:t>Ak je hladina ALT zvýšená na ≥</w:t>
      </w:r>
      <w:r w:rsidR="00680497">
        <w:rPr>
          <w:lang w:val="sk-SK"/>
        </w:rPr>
        <w:t xml:space="preserve"> </w:t>
      </w:r>
      <w:r w:rsidRPr="00C14318">
        <w:rPr>
          <w:lang w:val="sk-SK"/>
        </w:rPr>
        <w:t xml:space="preserve">3-násobok hornej hranice </w:t>
      </w:r>
      <w:r w:rsidR="00680497">
        <w:rPr>
          <w:lang w:val="sk-SK"/>
        </w:rPr>
        <w:t>normy</w:t>
      </w:r>
      <w:r w:rsidRPr="00C14318">
        <w:rPr>
          <w:lang w:val="sk-SK"/>
        </w:rPr>
        <w:t xml:space="preserve"> (upper limit of normal, ULN), stanovenie hladiny je potrebné zopakovať v priebehu 48 až 72 hodín. Ak sa potvrdí, že hladina ALT je ≥</w:t>
      </w:r>
      <w:r w:rsidR="00680497">
        <w:rPr>
          <w:lang w:val="sk-SK"/>
        </w:rPr>
        <w:t xml:space="preserve"> </w:t>
      </w:r>
      <w:r w:rsidRPr="00C14318">
        <w:rPr>
          <w:lang w:val="sk-SK"/>
        </w:rPr>
        <w:t xml:space="preserve">3-násobok ULN, liečba dronedarónom sa má ukončiť. Primerané vyšetrenia a dôkladné pozorovanie pacientov má pokračovať až dovtedy, kým hladina ALT nie je v </w:t>
      </w:r>
      <w:r w:rsidR="00680497">
        <w:rPr>
          <w:lang w:val="sk-SK"/>
        </w:rPr>
        <w:t>norme</w:t>
      </w:r>
      <w:r w:rsidRPr="00C14318">
        <w:rPr>
          <w:lang w:val="sk-SK"/>
        </w:rPr>
        <w:t>.</w:t>
      </w:r>
    </w:p>
    <w:p w14:paraId="6A694420" w14:textId="51F29E12" w:rsidR="005A7D1A" w:rsidRPr="00C14318" w:rsidRDefault="005A7D1A" w:rsidP="001B463B">
      <w:pPr>
        <w:pStyle w:val="Zkladntext"/>
        <w:spacing w:before="1"/>
        <w:ind w:left="116" w:right="260"/>
        <w:rPr>
          <w:lang w:val="sk-SK"/>
        </w:rPr>
      </w:pPr>
      <w:r w:rsidRPr="00C14318">
        <w:rPr>
          <w:lang w:val="sk-SK"/>
        </w:rPr>
        <w:t xml:space="preserve">Pacienti majú okamžite nahlásiť svojmu lekárovi akékoľvek príznaky možného poškodenia pečene (ako pretrvávajúca novovzniknutá bolesť brucha, anorexia, nevoľnosť, vracanie, horúčka, </w:t>
      </w:r>
      <w:r w:rsidR="00680497">
        <w:rPr>
          <w:lang w:val="sk-SK"/>
        </w:rPr>
        <w:t>celkový pocit choroby</w:t>
      </w:r>
      <w:r w:rsidRPr="00C14318">
        <w:rPr>
          <w:lang w:val="sk-SK"/>
        </w:rPr>
        <w:t>, únava, žltačka, tmavý moč alebo svrbenie).</w:t>
      </w:r>
    </w:p>
    <w:p w14:paraId="63676A8C" w14:textId="77777777" w:rsidR="005A7D1A" w:rsidRPr="00C14318" w:rsidRDefault="005A7D1A" w:rsidP="001B463B">
      <w:pPr>
        <w:pStyle w:val="Zkladntext"/>
        <w:spacing w:before="9"/>
        <w:rPr>
          <w:lang w:val="sk-SK"/>
        </w:rPr>
      </w:pPr>
    </w:p>
    <w:p w14:paraId="116F5E6B" w14:textId="77777777" w:rsidR="005A7D1A" w:rsidRPr="00C14318" w:rsidRDefault="005A7D1A" w:rsidP="001B463B">
      <w:pPr>
        <w:pStyle w:val="Zkladntext"/>
        <w:ind w:left="116"/>
        <w:rPr>
          <w:lang w:val="sk-SK"/>
        </w:rPr>
      </w:pPr>
      <w:r w:rsidRPr="00C14318">
        <w:rPr>
          <w:u w:val="single"/>
          <w:lang w:val="sk-SK"/>
        </w:rPr>
        <w:t>Liečba pri zvýšenej plazmatickej hladine kreatinínu</w:t>
      </w:r>
    </w:p>
    <w:p w14:paraId="7885F560" w14:textId="63A6FC6B" w:rsidR="005A7D1A" w:rsidRPr="00C14318" w:rsidRDefault="005A7D1A" w:rsidP="001B463B">
      <w:pPr>
        <w:pStyle w:val="Zkladntext"/>
        <w:ind w:left="116" w:right="296"/>
        <w:rPr>
          <w:lang w:val="sk-SK"/>
        </w:rPr>
      </w:pPr>
      <w:r w:rsidRPr="00C14318">
        <w:rPr>
          <w:lang w:val="sk-SK"/>
        </w:rPr>
        <w:t xml:space="preserve">Pri dávke 400 mg dronedarónu dvakrát </w:t>
      </w:r>
      <w:r w:rsidR="003122B6">
        <w:rPr>
          <w:lang w:val="sk-SK"/>
        </w:rPr>
        <w:t xml:space="preserve">denne bolo u zdravých </w:t>
      </w:r>
      <w:r w:rsidR="00064E89">
        <w:rPr>
          <w:lang w:val="sk-SK"/>
        </w:rPr>
        <w:t xml:space="preserve">osôb </w:t>
      </w:r>
      <w:r w:rsidRPr="00C14318">
        <w:rPr>
          <w:lang w:val="sk-SK"/>
        </w:rPr>
        <w:t xml:space="preserve">a u pacientov pozorované zvýšenie plazmatického kreatinínu (priemerný nárast 10 μmol/l). U väčšiny pacientov sa toto zvýšenie objavuje skoro po začatí liečby a rovnovážny stav sa dosahuje po 7 dňoch. Odporúča sa merať hodnoty plazmatického kreatinínu pred začatím liečby a na siedmy deň po začatí liečby dronedarónom. </w:t>
      </w:r>
      <w:r w:rsidR="003122B6" w:rsidRPr="00C14318">
        <w:rPr>
          <w:lang w:val="sk-SK"/>
        </w:rPr>
        <w:t>Ak sa zistí vzostup kreatinémie, sérový kreatinín sa musí opäť zmerať po</w:t>
      </w:r>
      <w:r w:rsidR="003122B6">
        <w:rPr>
          <w:lang w:val="sk-SK"/>
        </w:rPr>
        <w:t xml:space="preserve"> ďalších siedmych dňoch. </w:t>
      </w:r>
      <w:r w:rsidR="003122B6" w:rsidRPr="00C14318">
        <w:rPr>
          <w:lang w:val="sk-SK"/>
        </w:rPr>
        <w:t>Ak sa nezistí ďalšie zvýšenie kreatinémie, táto hodnota sa musí použiť ako nový referenčný východiskový bod berúc do úvahy, že pri</w:t>
      </w:r>
      <w:r w:rsidR="003122B6">
        <w:rPr>
          <w:lang w:val="sk-SK"/>
        </w:rPr>
        <w:t xml:space="preserve"> dronedaróne to možno očakávať. Ak </w:t>
      </w:r>
      <w:r w:rsidRPr="00C14318">
        <w:rPr>
          <w:lang w:val="sk-SK"/>
        </w:rPr>
        <w:t>zvyšovanie sérového kreatinínu ďalej pokračuje, treba zvážiť ďalšie vyšetrenia a ukončenie</w:t>
      </w:r>
      <w:r w:rsidRPr="00974BD2">
        <w:rPr>
          <w:lang w:val="sk-SK"/>
        </w:rPr>
        <w:t xml:space="preserve"> </w:t>
      </w:r>
      <w:r w:rsidRPr="00C14318">
        <w:rPr>
          <w:lang w:val="sk-SK"/>
        </w:rPr>
        <w:t>liečby.</w:t>
      </w:r>
    </w:p>
    <w:p w14:paraId="46236128" w14:textId="182E7395" w:rsidR="00631B35" w:rsidRDefault="005A7D1A" w:rsidP="001B463B">
      <w:pPr>
        <w:pStyle w:val="Zkladntext"/>
        <w:ind w:left="116" w:right="296"/>
        <w:rPr>
          <w:lang w:val="sk-SK"/>
        </w:rPr>
      </w:pPr>
      <w:r w:rsidRPr="00C14318">
        <w:rPr>
          <w:lang w:val="sk-SK"/>
        </w:rPr>
        <w:t>Vzostup kreatinémie nemusí nevyhnutne viesť k ukončeniu liečby inhibítormi</w:t>
      </w:r>
      <w:r w:rsidR="00064E89">
        <w:rPr>
          <w:lang w:val="sk-SK"/>
        </w:rPr>
        <w:t xml:space="preserve"> enzýmu konvertujúceho angiotenzín (ACE)</w:t>
      </w:r>
      <w:r w:rsidRPr="00C14318">
        <w:rPr>
          <w:lang w:val="sk-SK"/>
        </w:rPr>
        <w:t xml:space="preserve"> alebo antagonistami </w:t>
      </w:r>
      <w:r w:rsidR="003122B6">
        <w:rPr>
          <w:lang w:val="sk-SK"/>
        </w:rPr>
        <w:t>receptorov angiotenzínu II (ARB</w:t>
      </w:r>
      <w:r w:rsidRPr="00C14318">
        <w:rPr>
          <w:lang w:val="sk-SK"/>
        </w:rPr>
        <w:t>).</w:t>
      </w:r>
      <w:r w:rsidR="00CA170D">
        <w:rPr>
          <w:lang w:val="sk-SK"/>
        </w:rPr>
        <w:t xml:space="preserve"> </w:t>
      </w:r>
    </w:p>
    <w:p w14:paraId="565309FB" w14:textId="4914E562" w:rsidR="005A7D1A" w:rsidRPr="00C14318" w:rsidRDefault="005A7D1A" w:rsidP="001B463B">
      <w:pPr>
        <w:pStyle w:val="Zkladntext"/>
        <w:ind w:left="116" w:right="296"/>
        <w:rPr>
          <w:lang w:val="sk-SK"/>
        </w:rPr>
      </w:pPr>
      <w:r w:rsidRPr="00C14318">
        <w:rPr>
          <w:lang w:val="sk-SK"/>
        </w:rPr>
        <w:t>Po uvedení lieku na trh sa zaznamenali prípady s väčším nárastom kreatinínu po začatí liečby dronedarónom. V niektorých prípadoch bolo hlásené zvýšenie dusíka močoviny v krvi možno kvôli hypoperfúzii, z ktorej sa seku</w:t>
      </w:r>
      <w:r w:rsidR="00AB20C7">
        <w:rPr>
          <w:lang w:val="sk-SK"/>
        </w:rPr>
        <w:t>ndárne vyvinie kongestívne zlyháva</w:t>
      </w:r>
      <w:r w:rsidRPr="00C14318">
        <w:rPr>
          <w:lang w:val="sk-SK"/>
        </w:rPr>
        <w:t xml:space="preserve">nie srdca </w:t>
      </w:r>
      <w:r w:rsidR="00064E89">
        <w:rPr>
          <w:lang w:val="sk-SK"/>
        </w:rPr>
        <w:t>(</w:t>
      </w:r>
      <w:r w:rsidRPr="00C14318">
        <w:rPr>
          <w:lang w:val="sk-SK"/>
        </w:rPr>
        <w:t>CHF</w:t>
      </w:r>
      <w:r w:rsidR="00064E89">
        <w:rPr>
          <w:lang w:val="sk-SK"/>
        </w:rPr>
        <w:t>)</w:t>
      </w:r>
      <w:r w:rsidRPr="00C14318">
        <w:rPr>
          <w:lang w:val="sk-SK"/>
        </w:rPr>
        <w:t xml:space="preserve"> (prerenálna azotémia). V takých prípadoch sa má liečba dronedarónom ukončiť (pozri časti 4.3 a 4.4). Odporúča sa periodické monitorovanie funkcie obličiek a v prípade potreby zvážiť ďalšie vyšetrenia.</w:t>
      </w:r>
    </w:p>
    <w:p w14:paraId="4AB2C2D7" w14:textId="77777777" w:rsidR="005A7D1A" w:rsidRPr="00C14318" w:rsidRDefault="005A7D1A" w:rsidP="001B463B">
      <w:pPr>
        <w:pStyle w:val="Zkladntext"/>
        <w:rPr>
          <w:lang w:val="sk-SK"/>
        </w:rPr>
      </w:pPr>
    </w:p>
    <w:p w14:paraId="46E99815" w14:textId="77777777" w:rsidR="005A7D1A" w:rsidRPr="00C14318" w:rsidRDefault="005A7D1A" w:rsidP="001B463B">
      <w:pPr>
        <w:pStyle w:val="Zkladntext"/>
        <w:spacing w:line="252" w:lineRule="exact"/>
        <w:ind w:left="116"/>
        <w:rPr>
          <w:lang w:val="sk-SK"/>
        </w:rPr>
      </w:pPr>
      <w:r w:rsidRPr="00C14318">
        <w:rPr>
          <w:u w:val="single"/>
          <w:lang w:val="sk-SK"/>
        </w:rPr>
        <w:t>Nerovnováha elektrolytov</w:t>
      </w:r>
    </w:p>
    <w:p w14:paraId="0A7C3FA4" w14:textId="77777777" w:rsidR="005A7D1A" w:rsidRPr="00C14318" w:rsidRDefault="005A7D1A" w:rsidP="001B463B">
      <w:pPr>
        <w:pStyle w:val="Zkladntext"/>
        <w:ind w:left="116" w:right="231"/>
        <w:rPr>
          <w:lang w:val="sk-SK"/>
        </w:rPr>
      </w:pPr>
      <w:r w:rsidRPr="00C14318">
        <w:rPr>
          <w:lang w:val="sk-SK"/>
        </w:rPr>
        <w:t>Keďže u pacientov s hypokaliémiou môžu byť antiarytmiká neúčinné alebo arytmogénne, akýkoľvek deficit draslíka alebo horčíka sa musí pred začatím liečby dronedarónom a počas nej upraviť.</w:t>
      </w:r>
    </w:p>
    <w:p w14:paraId="5BA21A2B" w14:textId="77777777" w:rsidR="005A7D1A" w:rsidRPr="00C14318" w:rsidRDefault="005A7D1A" w:rsidP="001B463B">
      <w:pPr>
        <w:pStyle w:val="Zkladntext"/>
        <w:spacing w:before="1"/>
        <w:rPr>
          <w:lang w:val="sk-SK"/>
        </w:rPr>
      </w:pPr>
    </w:p>
    <w:p w14:paraId="74D2C82C" w14:textId="61B84A7B" w:rsidR="005A7D1A" w:rsidRPr="00C14318" w:rsidRDefault="005A7D1A" w:rsidP="001B463B">
      <w:pPr>
        <w:pStyle w:val="Zkladntext"/>
        <w:spacing w:line="252" w:lineRule="exact"/>
        <w:ind w:left="116"/>
        <w:rPr>
          <w:lang w:val="sk-SK"/>
        </w:rPr>
      </w:pPr>
      <w:r w:rsidRPr="00C14318">
        <w:rPr>
          <w:u w:val="single"/>
          <w:lang w:val="sk-SK"/>
        </w:rPr>
        <w:t xml:space="preserve">Predĺženie </w:t>
      </w:r>
      <w:r w:rsidR="00064E89">
        <w:rPr>
          <w:u w:val="single"/>
          <w:lang w:val="sk-SK"/>
        </w:rPr>
        <w:t xml:space="preserve">intervalu </w:t>
      </w:r>
      <w:r w:rsidRPr="00C14318">
        <w:rPr>
          <w:u w:val="single"/>
          <w:lang w:val="sk-SK"/>
        </w:rPr>
        <w:t>QT</w:t>
      </w:r>
    </w:p>
    <w:p w14:paraId="5556370B" w14:textId="77777777" w:rsidR="005A7D1A" w:rsidRPr="00C14318" w:rsidRDefault="005A7D1A" w:rsidP="001B463B">
      <w:pPr>
        <w:pStyle w:val="Zkladntext"/>
        <w:ind w:left="116" w:right="296"/>
        <w:rPr>
          <w:lang w:val="sk-SK"/>
        </w:rPr>
      </w:pPr>
      <w:r w:rsidRPr="00C14318">
        <w:rPr>
          <w:lang w:val="sk-SK"/>
        </w:rPr>
        <w:t>Farmakologický účinok dronedarónu môže vyvolať stredne veľké predĺženie QTc podľa Bazettovho vzorca (približne 10 milisekúnd) v súvislosti s predĺženou repolarizáciou. Tieto zmeny súvisia s terapeutickým účinkom dronedarónu a nevyjadrujú toxicitu. Počas liečby sa odporúča sledovanie vrátane sledovania EKG (elektrokardiogram). Ak je QTc interval podľa Bazettovho vzorca</w:t>
      </w:r>
    </w:p>
    <w:p w14:paraId="678A92F6" w14:textId="760E3B27" w:rsidR="005A7D1A" w:rsidRPr="00C14318" w:rsidRDefault="005A7D1A" w:rsidP="001B463B">
      <w:pPr>
        <w:pStyle w:val="Zkladntext"/>
        <w:spacing w:before="2" w:line="252" w:lineRule="exact"/>
        <w:ind w:left="116"/>
        <w:rPr>
          <w:lang w:val="sk-SK"/>
        </w:rPr>
      </w:pPr>
      <w:r w:rsidRPr="00C14318">
        <w:rPr>
          <w:lang w:val="sk-SK"/>
        </w:rPr>
        <w:t>≥</w:t>
      </w:r>
      <w:r w:rsidR="00064E89">
        <w:rPr>
          <w:lang w:val="sk-SK"/>
        </w:rPr>
        <w:t xml:space="preserve"> </w:t>
      </w:r>
      <w:r w:rsidRPr="00C14318">
        <w:rPr>
          <w:lang w:val="sk-SK"/>
        </w:rPr>
        <w:t>500 milisekúnd, liečbu dronedarónom je potrebné ukončiť (pozri časť 4.3).</w:t>
      </w:r>
    </w:p>
    <w:p w14:paraId="4A34CBC5" w14:textId="77777777" w:rsidR="005A7D1A" w:rsidRPr="00C14318" w:rsidRDefault="005A7D1A" w:rsidP="001B463B">
      <w:pPr>
        <w:pStyle w:val="Zkladntext"/>
        <w:ind w:left="116" w:right="843"/>
        <w:rPr>
          <w:lang w:val="sk-SK"/>
        </w:rPr>
      </w:pPr>
      <w:r w:rsidRPr="00C14318">
        <w:rPr>
          <w:lang w:val="sk-SK"/>
        </w:rPr>
        <w:t>Na základe klinickej skúsenosti má dronedarón nízky proarytmický účinok a preukázal pokles arytmickej smrti v štúdii ATHENA (pozri časť 5.1).</w:t>
      </w:r>
    </w:p>
    <w:p w14:paraId="667A2DB0" w14:textId="77777777" w:rsidR="005A7D1A" w:rsidRPr="00C14318" w:rsidRDefault="005A7D1A" w:rsidP="001B463B">
      <w:pPr>
        <w:pStyle w:val="Zkladntext"/>
        <w:spacing w:before="2"/>
        <w:ind w:left="116" w:right="300"/>
        <w:rPr>
          <w:lang w:val="sk-SK"/>
        </w:rPr>
      </w:pPr>
      <w:r w:rsidRPr="00C14318">
        <w:rPr>
          <w:lang w:val="sk-SK"/>
        </w:rPr>
        <w:t>V špeciálnych si</w:t>
      </w:r>
      <w:r w:rsidR="003620D6">
        <w:rPr>
          <w:lang w:val="sk-SK"/>
        </w:rPr>
        <w:t>tuáciách, ako je napríklad súbež</w:t>
      </w:r>
      <w:r w:rsidRPr="00C14318">
        <w:rPr>
          <w:lang w:val="sk-SK"/>
        </w:rPr>
        <w:t>né používanie liekov podporujúcich arytmiu a/alebo poruchy elektrolytov (pozri časti 4.4 a 4.5) sa však proarytmické účinky môžu vyskytnúť.</w:t>
      </w:r>
    </w:p>
    <w:p w14:paraId="7837B311" w14:textId="77777777" w:rsidR="005A7D1A" w:rsidRPr="00C14318" w:rsidRDefault="005A7D1A" w:rsidP="001B463B">
      <w:pPr>
        <w:pStyle w:val="Zkladntext"/>
        <w:rPr>
          <w:lang w:val="sk-SK"/>
        </w:rPr>
      </w:pPr>
    </w:p>
    <w:p w14:paraId="0BDD963B" w14:textId="77777777" w:rsidR="005A7D1A" w:rsidRPr="00C14318" w:rsidRDefault="005A7D1A" w:rsidP="001B463B">
      <w:pPr>
        <w:pStyle w:val="Zkladntext"/>
        <w:spacing w:line="252" w:lineRule="exact"/>
        <w:ind w:left="116"/>
        <w:rPr>
          <w:lang w:val="sk-SK"/>
        </w:rPr>
      </w:pPr>
      <w:r w:rsidRPr="00C14318">
        <w:rPr>
          <w:u w:val="single"/>
          <w:lang w:val="sk-SK"/>
        </w:rPr>
        <w:t>Poruchy dýchacej sústavy, hrudníka a mediastína</w:t>
      </w:r>
    </w:p>
    <w:p w14:paraId="4ED8FD12" w14:textId="77777777" w:rsidR="005A7D1A" w:rsidRPr="00C14318" w:rsidRDefault="005A7D1A" w:rsidP="001B463B">
      <w:pPr>
        <w:pStyle w:val="Zkladntext"/>
        <w:ind w:left="116" w:right="224"/>
        <w:rPr>
          <w:lang w:val="sk-SK"/>
        </w:rPr>
      </w:pPr>
      <w:r w:rsidRPr="00C14318">
        <w:rPr>
          <w:lang w:val="sk-SK"/>
        </w:rPr>
        <w:t>Po uvedení lieku na trh boli hlásené prípady intersticiálneho ochorenia pľúc vrátane pneumonitídy a pľúcnej fibrózy. Nástup dyspnoe alebo neproduktívneho kašľa môže byť spojený s pľúcnou toxicitou a pacientov je potrebné dôkladne klinicky vyšetriť. Ak sa pľúcna toxicita potvrdí, liečba sa musí ukončiť.</w:t>
      </w:r>
    </w:p>
    <w:p w14:paraId="757178BF" w14:textId="77777777" w:rsidR="005A7D1A" w:rsidRPr="00C14318" w:rsidRDefault="005A7D1A" w:rsidP="001B463B">
      <w:pPr>
        <w:pStyle w:val="Zkladntext"/>
        <w:spacing w:before="1"/>
        <w:rPr>
          <w:lang w:val="sk-SK"/>
        </w:rPr>
      </w:pPr>
    </w:p>
    <w:p w14:paraId="1D323618" w14:textId="77777777" w:rsidR="005A7D1A" w:rsidRPr="00C14318" w:rsidRDefault="005A7D1A" w:rsidP="001B463B">
      <w:pPr>
        <w:pStyle w:val="Zkladntext"/>
        <w:ind w:left="116"/>
        <w:rPr>
          <w:lang w:val="sk-SK"/>
        </w:rPr>
      </w:pPr>
      <w:r w:rsidRPr="00C14318">
        <w:rPr>
          <w:u w:val="single"/>
          <w:lang w:val="sk-SK"/>
        </w:rPr>
        <w:t>Interakcie (pozri časť 4.5)</w:t>
      </w:r>
    </w:p>
    <w:p w14:paraId="2A51F031" w14:textId="77777777" w:rsidR="005A7D1A" w:rsidRPr="00C14318" w:rsidRDefault="005A7D1A" w:rsidP="001B463B">
      <w:pPr>
        <w:spacing w:before="92" w:line="252" w:lineRule="exact"/>
        <w:ind w:firstLine="116"/>
        <w:rPr>
          <w:i/>
          <w:lang w:val="sk-SK"/>
        </w:rPr>
      </w:pPr>
      <w:r w:rsidRPr="00C14318">
        <w:rPr>
          <w:i/>
          <w:lang w:val="sk-SK"/>
        </w:rPr>
        <w:t>Digoxín</w:t>
      </w:r>
    </w:p>
    <w:p w14:paraId="2478477E" w14:textId="26CA5ACD" w:rsidR="005A7D1A" w:rsidRPr="00C14318" w:rsidRDefault="005A7D1A" w:rsidP="001B463B">
      <w:pPr>
        <w:pStyle w:val="Zkladntext"/>
        <w:ind w:left="116" w:right="202"/>
        <w:rPr>
          <w:lang w:val="sk-SK"/>
        </w:rPr>
      </w:pPr>
      <w:r w:rsidRPr="00C14318">
        <w:rPr>
          <w:lang w:val="sk-SK"/>
        </w:rPr>
        <w:t xml:space="preserve">Podávanie dronedarónu pacientom užívajúcim digoxín spôsobuje zvýšenie plazmatickej koncentrácie </w:t>
      </w:r>
      <w:r w:rsidRPr="00C14318">
        <w:rPr>
          <w:lang w:val="sk-SK"/>
        </w:rPr>
        <w:lastRenderedPageBreak/>
        <w:t>digoxínu</w:t>
      </w:r>
      <w:r w:rsidR="00A42A04">
        <w:rPr>
          <w:lang w:val="sk-SK"/>
        </w:rPr>
        <w:t>,</w:t>
      </w:r>
      <w:r w:rsidRPr="00C14318">
        <w:rPr>
          <w:lang w:val="sk-SK"/>
        </w:rPr>
        <w:t xml:space="preserve"> </w:t>
      </w:r>
      <w:r w:rsidR="00DA0C99">
        <w:rPr>
          <w:lang w:val="sk-SK"/>
        </w:rPr>
        <w:t>a teda zvýrazní príznaky a prejavy</w:t>
      </w:r>
      <w:r w:rsidRPr="00C14318">
        <w:rPr>
          <w:lang w:val="sk-SK"/>
        </w:rPr>
        <w:t xml:space="preserve"> spojené s toxicitou digoxínu. Odporúča sa klinické sledovanie, EKG a biologické sledovanie a dávka digoxínu sa musí znížiť na polovicu. Taktiež je možný synergický účinok na tepovú frekvenciu srdca a atrioventrikulárne vedenie.</w:t>
      </w:r>
    </w:p>
    <w:p w14:paraId="355B6F63" w14:textId="77777777" w:rsidR="005A7D1A" w:rsidRPr="00C14318" w:rsidRDefault="005A7D1A" w:rsidP="001B463B">
      <w:pPr>
        <w:pStyle w:val="Zkladntext"/>
        <w:rPr>
          <w:lang w:val="sk-SK"/>
        </w:rPr>
      </w:pPr>
    </w:p>
    <w:p w14:paraId="0FCCEECD" w14:textId="7CF3AEA5" w:rsidR="005A7D1A" w:rsidRPr="00C14318" w:rsidRDefault="00DA0C99" w:rsidP="001B463B">
      <w:pPr>
        <w:ind w:left="116" w:right="133"/>
        <w:rPr>
          <w:lang w:val="sk-SK"/>
        </w:rPr>
      </w:pPr>
      <w:r>
        <w:rPr>
          <w:lang w:val="sk-SK"/>
        </w:rPr>
        <w:t>Súbež</w:t>
      </w:r>
      <w:r w:rsidR="005A7D1A" w:rsidRPr="00C14318">
        <w:rPr>
          <w:lang w:val="sk-SK"/>
        </w:rPr>
        <w:t>n</w:t>
      </w:r>
      <w:r w:rsidR="004E3016">
        <w:rPr>
          <w:lang w:val="sk-SK"/>
        </w:rPr>
        <w:t>é</w:t>
      </w:r>
      <w:r w:rsidR="005A7D1A" w:rsidRPr="00C14318">
        <w:rPr>
          <w:lang w:val="sk-SK"/>
        </w:rPr>
        <w:t xml:space="preserve"> podáva</w:t>
      </w:r>
      <w:r w:rsidR="004E3016">
        <w:rPr>
          <w:lang w:val="sk-SK"/>
        </w:rPr>
        <w:t>nie</w:t>
      </w:r>
      <w:r w:rsidR="005A7D1A" w:rsidRPr="00C14318">
        <w:rPr>
          <w:lang w:val="sk-SK"/>
        </w:rPr>
        <w:t xml:space="preserve"> </w:t>
      </w:r>
      <w:r w:rsidR="005A7D1A" w:rsidRPr="00DA0C99">
        <w:rPr>
          <w:lang w:val="sk-SK"/>
        </w:rPr>
        <w:t>betablokátor</w:t>
      </w:r>
      <w:r w:rsidR="004E3016">
        <w:rPr>
          <w:lang w:val="sk-SK"/>
        </w:rPr>
        <w:t>ov</w:t>
      </w:r>
      <w:r w:rsidR="005A7D1A" w:rsidRPr="00DA0C99">
        <w:rPr>
          <w:lang w:val="sk-SK"/>
        </w:rPr>
        <w:t xml:space="preserve"> alebo antagonist</w:t>
      </w:r>
      <w:r w:rsidR="004E3016">
        <w:rPr>
          <w:lang w:val="sk-SK"/>
        </w:rPr>
        <w:t>ov</w:t>
      </w:r>
      <w:r w:rsidR="005A7D1A" w:rsidRPr="00DA0C99">
        <w:rPr>
          <w:lang w:val="sk-SK"/>
        </w:rPr>
        <w:t xml:space="preserve"> kalcia s depresívnym účinkom na </w:t>
      </w:r>
      <w:r w:rsidR="005A7D1A" w:rsidRPr="006B7D5E">
        <w:rPr>
          <w:lang w:val="sk-SK"/>
        </w:rPr>
        <w:t>s</w:t>
      </w:r>
      <w:r w:rsidR="00D72FCC" w:rsidRPr="003F6824">
        <w:rPr>
          <w:lang w:val="sk-SK"/>
        </w:rPr>
        <w:t>í</w:t>
      </w:r>
      <w:r w:rsidR="005A7D1A" w:rsidRPr="00D72FCC">
        <w:rPr>
          <w:lang w:val="sk-SK"/>
        </w:rPr>
        <w:t>nusový</w:t>
      </w:r>
      <w:r w:rsidR="005A7D1A" w:rsidRPr="00DA0C99">
        <w:rPr>
          <w:lang w:val="sk-SK"/>
        </w:rPr>
        <w:t xml:space="preserve"> a atrioventrikulárny uzol </w:t>
      </w:r>
      <w:r w:rsidR="005A7D1A" w:rsidRPr="00C14318">
        <w:rPr>
          <w:lang w:val="sk-SK"/>
        </w:rPr>
        <w:t xml:space="preserve">je potrebné </w:t>
      </w:r>
      <w:r w:rsidR="005A7D1A" w:rsidRPr="00D07580">
        <w:rPr>
          <w:lang w:val="sk-SK"/>
        </w:rPr>
        <w:t>robiť</w:t>
      </w:r>
      <w:r w:rsidR="005A7D1A" w:rsidRPr="00C14318">
        <w:rPr>
          <w:lang w:val="sk-SK"/>
        </w:rPr>
        <w:t xml:space="preserve"> s opatrnosťou. Liečba týmito liekmi sa má začínať s nízkymi dávkami a titrácia na vyššie dávky sa musí </w:t>
      </w:r>
      <w:r w:rsidR="00334F48">
        <w:rPr>
          <w:lang w:val="sk-SK"/>
        </w:rPr>
        <w:t>vykovať</w:t>
      </w:r>
      <w:r w:rsidR="00334F48" w:rsidRPr="00C14318">
        <w:rPr>
          <w:lang w:val="sk-SK"/>
        </w:rPr>
        <w:t xml:space="preserve"> </w:t>
      </w:r>
      <w:r w:rsidR="005A7D1A" w:rsidRPr="00C14318">
        <w:rPr>
          <w:lang w:val="sk-SK"/>
        </w:rPr>
        <w:t>len po vyhodnotení EKG. U pacientov, ktorí v čase začatia liečby dronedarónom už užívajú antagonisty kalcia alebo betablokátory, sa musí urobiť EKG a v prípade potreby  upraviť</w:t>
      </w:r>
      <w:r w:rsidR="00334F48">
        <w:rPr>
          <w:lang w:val="sk-SK"/>
        </w:rPr>
        <w:t xml:space="preserve"> dávka</w:t>
      </w:r>
      <w:r w:rsidR="005A7D1A" w:rsidRPr="00C14318">
        <w:rPr>
          <w:lang w:val="sk-SK"/>
        </w:rPr>
        <w:t>.</w:t>
      </w:r>
    </w:p>
    <w:p w14:paraId="43F1ED0A" w14:textId="77777777" w:rsidR="005A7D1A" w:rsidRPr="00C14318" w:rsidRDefault="005A7D1A" w:rsidP="001B463B">
      <w:pPr>
        <w:pStyle w:val="Zkladntext"/>
        <w:rPr>
          <w:lang w:val="sk-SK"/>
        </w:rPr>
      </w:pPr>
    </w:p>
    <w:p w14:paraId="331F65CF" w14:textId="77777777" w:rsidR="005A7D1A" w:rsidRPr="00C14318" w:rsidRDefault="005A7D1A" w:rsidP="001B463B">
      <w:pPr>
        <w:spacing w:line="252" w:lineRule="exact"/>
        <w:ind w:left="116"/>
        <w:rPr>
          <w:i/>
          <w:lang w:val="sk-SK"/>
        </w:rPr>
      </w:pPr>
      <w:r w:rsidRPr="00C14318">
        <w:rPr>
          <w:i/>
          <w:lang w:val="sk-SK"/>
        </w:rPr>
        <w:t>Antikoagulanciá</w:t>
      </w:r>
    </w:p>
    <w:p w14:paraId="5691937C" w14:textId="2B7FE641" w:rsidR="005A7D1A" w:rsidRPr="00C14318" w:rsidRDefault="005A7D1A" w:rsidP="001B463B">
      <w:pPr>
        <w:pStyle w:val="Zkladntext"/>
        <w:ind w:left="116" w:right="544"/>
        <w:rPr>
          <w:lang w:val="sk-SK"/>
        </w:rPr>
      </w:pPr>
      <w:r w:rsidRPr="00C14318">
        <w:rPr>
          <w:lang w:val="sk-SK"/>
        </w:rPr>
        <w:t>Pacientov je potrebné liečiť vhodnou antikoagulačnou liečbou v súlade s klinickými odporúčaniami</w:t>
      </w:r>
      <w:r w:rsidR="00334F48">
        <w:rPr>
          <w:lang w:val="sk-SK"/>
        </w:rPr>
        <w:t xml:space="preserve"> pre AF</w:t>
      </w:r>
      <w:r w:rsidRPr="00C14318">
        <w:rPr>
          <w:lang w:val="sk-SK"/>
        </w:rPr>
        <w:t>. Po začatí liečby dronedarónom u pacientov užívajúcich antagonisty vitamínu K v súlade s ich SPC je nutné dôkladne sledovať medzinárodný normalizovaný pomer (International Normalised Ratio, INR).</w:t>
      </w:r>
    </w:p>
    <w:p w14:paraId="29D3DB5B" w14:textId="77777777" w:rsidR="005A7D1A" w:rsidRPr="00C14318" w:rsidRDefault="005A7D1A" w:rsidP="001B463B">
      <w:pPr>
        <w:pStyle w:val="Zkladntext"/>
        <w:spacing w:before="1"/>
        <w:rPr>
          <w:lang w:val="sk-SK"/>
        </w:rPr>
      </w:pPr>
    </w:p>
    <w:p w14:paraId="3F930DB2" w14:textId="77777777" w:rsidR="005A7D1A" w:rsidRPr="00C14318" w:rsidRDefault="005A7D1A" w:rsidP="001B463B">
      <w:pPr>
        <w:pStyle w:val="Zkladntext"/>
        <w:ind w:left="116" w:right="595"/>
        <w:rPr>
          <w:lang w:val="sk-SK"/>
        </w:rPr>
      </w:pPr>
      <w:r w:rsidRPr="00927609">
        <w:rPr>
          <w:i/>
          <w:lang w:val="sk-SK"/>
        </w:rPr>
        <w:t>Silné induktory CYP3A4</w:t>
      </w:r>
      <w:r w:rsidRPr="00C14318">
        <w:rPr>
          <w:lang w:val="sk-SK"/>
        </w:rPr>
        <w:t xml:space="preserve"> ako je rifampicín, fenobarbital, karbamazepín, fenytoín alebo ľubovník bodkovaný sa neodporúčajú.</w:t>
      </w:r>
    </w:p>
    <w:p w14:paraId="07814520" w14:textId="79E2B139" w:rsidR="005A7D1A" w:rsidRPr="00C14318" w:rsidRDefault="00334F48" w:rsidP="001B463B">
      <w:pPr>
        <w:pStyle w:val="Zkladntext"/>
        <w:spacing w:before="1"/>
        <w:ind w:left="116" w:right="374"/>
        <w:rPr>
          <w:lang w:val="sk-SK"/>
        </w:rPr>
      </w:pPr>
      <w:r>
        <w:rPr>
          <w:i/>
          <w:lang w:val="sk-SK"/>
        </w:rPr>
        <w:t>I</w:t>
      </w:r>
      <w:r w:rsidR="005A7D1A" w:rsidRPr="00191E3B">
        <w:rPr>
          <w:i/>
          <w:lang w:val="sk-SK"/>
        </w:rPr>
        <w:t>nhibítory</w:t>
      </w:r>
      <w:r w:rsidR="005A7D1A" w:rsidRPr="00C14318">
        <w:rPr>
          <w:lang w:val="sk-SK"/>
        </w:rPr>
        <w:t xml:space="preserve"> </w:t>
      </w:r>
      <w:r w:rsidRPr="004E3016">
        <w:rPr>
          <w:i/>
          <w:lang w:val="sk-SK"/>
        </w:rPr>
        <w:t>MAO</w:t>
      </w:r>
      <w:r>
        <w:rPr>
          <w:lang w:val="sk-SK"/>
        </w:rPr>
        <w:t xml:space="preserve"> </w:t>
      </w:r>
      <w:r w:rsidR="005A7D1A" w:rsidRPr="00C14318">
        <w:rPr>
          <w:lang w:val="sk-SK"/>
        </w:rPr>
        <w:t>môžu znížiť klírens aktívneho metabolitu dronedarónu</w:t>
      </w:r>
      <w:r>
        <w:rPr>
          <w:lang w:val="sk-SK"/>
        </w:rPr>
        <w:t>,</w:t>
      </w:r>
      <w:r w:rsidR="005A7D1A" w:rsidRPr="00C14318">
        <w:rPr>
          <w:lang w:val="sk-SK"/>
        </w:rPr>
        <w:t xml:space="preserve"> a preto sa musia používať s opatrnosťou.</w:t>
      </w:r>
    </w:p>
    <w:p w14:paraId="05459FD7" w14:textId="08B5E374" w:rsidR="005A7D1A" w:rsidRPr="00C14318" w:rsidRDefault="005A7D1A" w:rsidP="001B463B">
      <w:pPr>
        <w:pStyle w:val="Zkladntext"/>
        <w:ind w:left="116" w:right="99"/>
        <w:rPr>
          <w:lang w:val="sk-SK"/>
        </w:rPr>
      </w:pPr>
      <w:r w:rsidRPr="00191E3B">
        <w:rPr>
          <w:i/>
          <w:lang w:val="sk-SK"/>
        </w:rPr>
        <w:t>Pri statínoch</w:t>
      </w:r>
      <w:r w:rsidRPr="00C14318">
        <w:rPr>
          <w:lang w:val="sk-SK"/>
        </w:rPr>
        <w:t xml:space="preserve"> je potrebná opatrnosť. Musí sa zvážiť nižšia úvodná dávka a udržiavacie dávky statínov a musia sa monitorovať klinické </w:t>
      </w:r>
      <w:r w:rsidR="00334F48">
        <w:rPr>
          <w:lang w:val="sk-SK"/>
        </w:rPr>
        <w:t>prejavy</w:t>
      </w:r>
      <w:r w:rsidRPr="00C14318">
        <w:rPr>
          <w:lang w:val="sk-SK"/>
        </w:rPr>
        <w:t xml:space="preserve"> muskulárnej toxicity.</w:t>
      </w:r>
    </w:p>
    <w:p w14:paraId="5B11ABF5" w14:textId="77777777" w:rsidR="00CA170D" w:rsidRDefault="005A7D1A" w:rsidP="001B463B">
      <w:pPr>
        <w:pStyle w:val="Zkladntext"/>
        <w:spacing w:before="1"/>
        <w:ind w:left="116" w:right="975"/>
        <w:rPr>
          <w:lang w:val="sk-SK"/>
        </w:rPr>
      </w:pPr>
      <w:r w:rsidRPr="00C14318">
        <w:rPr>
          <w:lang w:val="sk-SK"/>
        </w:rPr>
        <w:t>Pacienti musia byť upozornení na to, aby počas liečby dronedarónom nekonzumovali nápoje obsahujúce grapefruitovú šťavu.</w:t>
      </w:r>
    </w:p>
    <w:p w14:paraId="4FFEC054" w14:textId="77777777" w:rsidR="00CA170D" w:rsidRDefault="00CA170D" w:rsidP="001B463B">
      <w:pPr>
        <w:pStyle w:val="Zkladntext"/>
        <w:spacing w:before="1"/>
        <w:ind w:left="116" w:right="975"/>
        <w:rPr>
          <w:lang w:val="sk-SK"/>
        </w:rPr>
      </w:pPr>
    </w:p>
    <w:p w14:paraId="7B2526B0" w14:textId="77777777" w:rsidR="005A7D1A" w:rsidRPr="00C14318" w:rsidRDefault="005A7D1A" w:rsidP="001B463B">
      <w:pPr>
        <w:pStyle w:val="Zkladntext"/>
        <w:spacing w:before="1"/>
        <w:ind w:left="116" w:right="975"/>
        <w:rPr>
          <w:lang w:val="sk-SK"/>
        </w:rPr>
      </w:pPr>
      <w:r w:rsidRPr="00C14318">
        <w:rPr>
          <w:u w:val="single"/>
          <w:lang w:val="sk-SK"/>
        </w:rPr>
        <w:t>Laktóza</w:t>
      </w:r>
    </w:p>
    <w:p w14:paraId="5B4A156A" w14:textId="77777777" w:rsidR="005A7D1A" w:rsidRPr="00C14318" w:rsidRDefault="00E0526B" w:rsidP="001B463B">
      <w:pPr>
        <w:pStyle w:val="Zkladntext"/>
        <w:ind w:left="116" w:right="778"/>
        <w:rPr>
          <w:lang w:val="sk-SK"/>
        </w:rPr>
      </w:pPr>
      <w:r>
        <w:rPr>
          <w:lang w:val="sk-SK"/>
        </w:rPr>
        <w:t>Tento l</w:t>
      </w:r>
      <w:r w:rsidR="005A7D1A" w:rsidRPr="00C14318">
        <w:rPr>
          <w:lang w:val="sk-SK"/>
        </w:rPr>
        <w:t>iek obsahuje laktózu. Pacienti so zriedkavými dedičnými problémy galak</w:t>
      </w:r>
      <w:r w:rsidR="00191E3B">
        <w:rPr>
          <w:lang w:val="sk-SK"/>
        </w:rPr>
        <w:t>tózovej intolerancie, celkovým deficitom</w:t>
      </w:r>
      <w:r w:rsidR="005A7D1A" w:rsidRPr="00C14318">
        <w:rPr>
          <w:lang w:val="sk-SK"/>
        </w:rPr>
        <w:t xml:space="preserve"> la</w:t>
      </w:r>
      <w:r w:rsidR="00191E3B">
        <w:rPr>
          <w:lang w:val="sk-SK"/>
        </w:rPr>
        <w:t>ktázy alebo glukózo-galaktózovou malabsorpciou</w:t>
      </w:r>
      <w:r w:rsidR="005A7D1A" w:rsidRPr="00C14318">
        <w:rPr>
          <w:lang w:val="sk-SK"/>
        </w:rPr>
        <w:t xml:space="preserve"> nesmú užívať tento liek.</w:t>
      </w:r>
    </w:p>
    <w:p w14:paraId="44245781" w14:textId="77777777" w:rsidR="005A7D1A" w:rsidRPr="00C14318" w:rsidRDefault="005A7D1A" w:rsidP="001B463B">
      <w:pPr>
        <w:pStyle w:val="Zkladntext"/>
        <w:spacing w:before="6"/>
        <w:rPr>
          <w:lang w:val="sk-SK"/>
        </w:rPr>
      </w:pPr>
    </w:p>
    <w:p w14:paraId="413DBB17"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Liekové a iné</w:t>
      </w:r>
      <w:r w:rsidRPr="00C14318">
        <w:rPr>
          <w:spacing w:val="-6"/>
          <w:lang w:val="sk-SK"/>
        </w:rPr>
        <w:t xml:space="preserve"> </w:t>
      </w:r>
      <w:r w:rsidRPr="00C14318">
        <w:rPr>
          <w:lang w:val="sk-SK"/>
        </w:rPr>
        <w:t>interakcie</w:t>
      </w:r>
    </w:p>
    <w:p w14:paraId="783F4947" w14:textId="77777777" w:rsidR="005A7D1A" w:rsidRPr="00C14318" w:rsidRDefault="005A7D1A" w:rsidP="001B463B">
      <w:pPr>
        <w:pStyle w:val="Zkladntext"/>
        <w:spacing w:before="4"/>
        <w:rPr>
          <w:b/>
          <w:lang w:val="sk-SK"/>
        </w:rPr>
      </w:pPr>
    </w:p>
    <w:p w14:paraId="2EEB2686" w14:textId="44E3837A" w:rsidR="005A7D1A" w:rsidRPr="00C14318" w:rsidRDefault="005A7D1A" w:rsidP="00EB2CC0">
      <w:pPr>
        <w:pStyle w:val="Zkladntext"/>
        <w:spacing w:before="1"/>
        <w:ind w:left="116" w:right="424"/>
        <w:rPr>
          <w:lang w:val="sk-SK"/>
        </w:rPr>
      </w:pPr>
      <w:r w:rsidRPr="00C14318">
        <w:rPr>
          <w:lang w:val="sk-SK"/>
        </w:rPr>
        <w:t>Dronedarón sa primárne metabolizuje CYP 3A4 (pozri časť 5.2). Preto majú inhibítory a induktory CYP 3A4 potenciál interakcií s dronedarónom. Dronedarón je stredne silný inhibítor CYP 3A4, mierny inhibítor CYP 2D6 a silný inhibítor P-glykoproteínov (P-gp). Z toho dôvodu má dronedarón potenciál interakcií s li</w:t>
      </w:r>
      <w:r w:rsidR="00D07580">
        <w:rPr>
          <w:lang w:val="sk-SK"/>
        </w:rPr>
        <w:t>ečivami</w:t>
      </w:r>
      <w:r w:rsidRPr="00C14318">
        <w:rPr>
          <w:lang w:val="sk-SK"/>
        </w:rPr>
        <w:t>, ktoré sú substrátmi P-glykoproteínov, CYP 3A4 alebo CYP 2D6.</w:t>
      </w:r>
    </w:p>
    <w:p w14:paraId="0E31B4BB" w14:textId="6FF148B1" w:rsidR="00021118" w:rsidRPr="003F6824" w:rsidRDefault="005A7D1A" w:rsidP="00EB2CC0">
      <w:pPr>
        <w:pStyle w:val="Zkladntext"/>
        <w:spacing w:before="1"/>
        <w:ind w:left="116" w:right="424"/>
        <w:rPr>
          <w:lang w:val="sk-SK"/>
        </w:rPr>
      </w:pPr>
      <w:r w:rsidRPr="00C14318">
        <w:rPr>
          <w:lang w:val="sk-SK"/>
        </w:rPr>
        <w:t>Preukázalo sa, že dronedarón a/alebo jeho metabolity inhibujú aj transport</w:t>
      </w:r>
      <w:r w:rsidR="003F6824">
        <w:rPr>
          <w:lang w:val="sk-SK"/>
        </w:rPr>
        <w:t>né</w:t>
      </w:r>
      <w:r w:rsidRPr="00C14318">
        <w:rPr>
          <w:lang w:val="sk-SK"/>
        </w:rPr>
        <w:t xml:space="preserve"> proteín</w:t>
      </w:r>
      <w:r w:rsidR="003F6824">
        <w:rPr>
          <w:lang w:val="sk-SK"/>
        </w:rPr>
        <w:t>y</w:t>
      </w:r>
      <w:r w:rsidRPr="00C14318">
        <w:rPr>
          <w:lang w:val="sk-SK"/>
        </w:rPr>
        <w:t xml:space="preserve"> skupín organického aniónov</w:t>
      </w:r>
      <w:r w:rsidRPr="003F6824">
        <w:rPr>
          <w:lang w:val="sk-SK"/>
        </w:rPr>
        <w:t>ého transportér</w:t>
      </w:r>
      <w:r w:rsidR="007F023B">
        <w:rPr>
          <w:lang w:val="sk-SK"/>
        </w:rPr>
        <w:t>a</w:t>
      </w:r>
      <w:r w:rsidRPr="003F6824">
        <w:rPr>
          <w:lang w:val="sk-SK"/>
        </w:rPr>
        <w:t xml:space="preserve"> (OAT), polypeptid</w:t>
      </w:r>
      <w:r w:rsidR="003F6824">
        <w:rPr>
          <w:lang w:val="sk-SK"/>
        </w:rPr>
        <w:t>u</w:t>
      </w:r>
      <w:r w:rsidR="003F6824" w:rsidRPr="004E3016">
        <w:rPr>
          <w:lang w:val="sk-SK"/>
        </w:rPr>
        <w:t xml:space="preserve"> transportuj</w:t>
      </w:r>
      <w:r w:rsidR="003F6824" w:rsidRPr="003F6824">
        <w:rPr>
          <w:lang w:val="sk-SK"/>
        </w:rPr>
        <w:t>úceho</w:t>
      </w:r>
      <w:r w:rsidR="003F6824" w:rsidRPr="004E3016">
        <w:rPr>
          <w:lang w:val="sk-SK"/>
        </w:rPr>
        <w:t xml:space="preserve"> organické anióny</w:t>
      </w:r>
      <w:r w:rsidRPr="003F6824">
        <w:rPr>
          <w:lang w:val="sk-SK"/>
        </w:rPr>
        <w:t xml:space="preserve"> (OATP) a organického katiónového transportér</w:t>
      </w:r>
      <w:r w:rsidR="007F023B">
        <w:rPr>
          <w:lang w:val="sk-SK"/>
        </w:rPr>
        <w:t>a</w:t>
      </w:r>
      <w:r w:rsidRPr="003F6824">
        <w:rPr>
          <w:lang w:val="sk-SK"/>
        </w:rPr>
        <w:t xml:space="preserve"> (OCT) </w:t>
      </w:r>
      <w:r w:rsidRPr="004E3016">
        <w:rPr>
          <w:i/>
          <w:lang w:val="sk-SK"/>
        </w:rPr>
        <w:t>in vitro</w:t>
      </w:r>
      <w:r w:rsidRPr="003F6824">
        <w:rPr>
          <w:lang w:val="sk-SK"/>
        </w:rPr>
        <w:t xml:space="preserve">. </w:t>
      </w:r>
    </w:p>
    <w:p w14:paraId="23EF1971" w14:textId="77777777" w:rsidR="005A7D1A" w:rsidRPr="00C14318" w:rsidRDefault="005A7D1A" w:rsidP="00EB2CC0">
      <w:pPr>
        <w:pStyle w:val="Zkladntext"/>
        <w:spacing w:before="1"/>
        <w:ind w:left="116" w:right="424"/>
        <w:rPr>
          <w:lang w:val="sk-SK"/>
        </w:rPr>
      </w:pPr>
      <w:r w:rsidRPr="003F6824">
        <w:rPr>
          <w:lang w:val="sk-SK"/>
        </w:rPr>
        <w:t>Dronedarón nemá významný potenciál inhibície CYP 1A2, CYP 2C9, CYP 2C19, CYP 2C8 a CYP 2B6.</w:t>
      </w:r>
    </w:p>
    <w:p w14:paraId="26AFBDAC" w14:textId="167E90D6" w:rsidR="005A7D1A" w:rsidRPr="00C14318" w:rsidRDefault="005A7D1A" w:rsidP="00EB2CC0">
      <w:pPr>
        <w:pStyle w:val="Zkladntext"/>
        <w:spacing w:before="1"/>
        <w:ind w:left="116" w:right="424"/>
        <w:rPr>
          <w:lang w:val="sk-SK"/>
        </w:rPr>
      </w:pPr>
      <w:r w:rsidRPr="00C14318">
        <w:rPr>
          <w:lang w:val="sk-SK"/>
        </w:rPr>
        <w:t>Potenciálne farmakodynamické interakcie možno tiež očakávať s betablokátormi, antagonistami kalcia a dig</w:t>
      </w:r>
      <w:r w:rsidR="00D07580">
        <w:rPr>
          <w:lang w:val="sk-SK"/>
        </w:rPr>
        <w:t>oxínom</w:t>
      </w:r>
      <w:r w:rsidRPr="00C14318">
        <w:rPr>
          <w:lang w:val="sk-SK"/>
        </w:rPr>
        <w:t>.</w:t>
      </w:r>
    </w:p>
    <w:p w14:paraId="3F0C3D1C" w14:textId="77777777" w:rsidR="005A7D1A" w:rsidRPr="00C14318" w:rsidRDefault="005A7D1A" w:rsidP="001B463B">
      <w:pPr>
        <w:pStyle w:val="Zkladntext"/>
        <w:spacing w:before="10"/>
        <w:rPr>
          <w:lang w:val="sk-SK"/>
        </w:rPr>
      </w:pPr>
    </w:p>
    <w:p w14:paraId="53913BE7" w14:textId="77777777" w:rsidR="005A7D1A" w:rsidRPr="009E2E7D" w:rsidRDefault="005A7D1A" w:rsidP="001B463B">
      <w:pPr>
        <w:ind w:left="135"/>
        <w:rPr>
          <w:u w:val="single"/>
          <w:lang w:val="sk-SK"/>
        </w:rPr>
      </w:pPr>
      <w:r w:rsidRPr="009E2E7D">
        <w:rPr>
          <w:u w:val="single"/>
          <w:lang w:val="sk-SK"/>
        </w:rPr>
        <w:t>Lieky indukujúce torsades de pointes</w:t>
      </w:r>
    </w:p>
    <w:p w14:paraId="05B3F9DE" w14:textId="77777777" w:rsidR="005A7D1A" w:rsidRPr="00C14318" w:rsidRDefault="005A7D1A" w:rsidP="001B463B">
      <w:pPr>
        <w:pStyle w:val="Zkladntext"/>
        <w:spacing w:before="1"/>
        <w:ind w:left="116" w:right="424"/>
        <w:rPr>
          <w:lang w:val="sk-SK"/>
        </w:rPr>
      </w:pPr>
      <w:r w:rsidRPr="00C14318">
        <w:rPr>
          <w:lang w:val="sk-SK"/>
        </w:rPr>
        <w:t xml:space="preserve">Lieky indukujúce </w:t>
      </w:r>
      <w:r w:rsidRPr="009E2E7D">
        <w:rPr>
          <w:lang w:val="sk-SK"/>
        </w:rPr>
        <w:t xml:space="preserve">torsades de pointes </w:t>
      </w:r>
      <w:r w:rsidRPr="00C14318">
        <w:rPr>
          <w:lang w:val="sk-SK"/>
        </w:rPr>
        <w:t>ako napríklad fenotiazíny, cisaprid, bepridil, tricyklické antidepresíva, niektoré perorálne makrolidy (ako je erytromycín), terfenadín a antiarytmiká triedy I a III, sú kontraindikované pre potenciálne riziko proarytmie (pozri časť 4.3). Opatrno</w:t>
      </w:r>
      <w:r w:rsidR="00104211">
        <w:rPr>
          <w:lang w:val="sk-SK"/>
        </w:rPr>
        <w:t>sť je taktiež potrebná pri súbež</w:t>
      </w:r>
      <w:r w:rsidRPr="00C14318">
        <w:rPr>
          <w:lang w:val="sk-SK"/>
        </w:rPr>
        <w:t>nom užívaní betablokátorov alebo digoxínu.</w:t>
      </w:r>
    </w:p>
    <w:p w14:paraId="6485712B" w14:textId="77777777" w:rsidR="005A7D1A" w:rsidRPr="00C14318" w:rsidRDefault="005A7D1A" w:rsidP="001B463B">
      <w:pPr>
        <w:pStyle w:val="Zkladntext"/>
        <w:rPr>
          <w:lang w:val="sk-SK"/>
        </w:rPr>
      </w:pPr>
    </w:p>
    <w:p w14:paraId="6E536F50" w14:textId="10870FD4" w:rsidR="005A7D1A" w:rsidRPr="00C14318" w:rsidRDefault="005A7D1A" w:rsidP="001B463B">
      <w:pPr>
        <w:pStyle w:val="Zkladntext"/>
        <w:spacing w:line="252" w:lineRule="exact"/>
        <w:ind w:left="135"/>
        <w:rPr>
          <w:lang w:val="sk-SK"/>
        </w:rPr>
      </w:pPr>
      <w:r w:rsidRPr="00C14318">
        <w:rPr>
          <w:u w:val="single"/>
          <w:lang w:val="sk-SK"/>
        </w:rPr>
        <w:t>Účinok iných lie</w:t>
      </w:r>
      <w:r w:rsidR="00D07580">
        <w:rPr>
          <w:u w:val="single"/>
          <w:lang w:val="sk-SK"/>
        </w:rPr>
        <w:t>čiv</w:t>
      </w:r>
      <w:r w:rsidRPr="00C14318">
        <w:rPr>
          <w:u w:val="single"/>
          <w:lang w:val="sk-SK"/>
        </w:rPr>
        <w:t xml:space="preserve"> na </w:t>
      </w:r>
      <w:r w:rsidR="00C30EF9">
        <w:rPr>
          <w:u w:val="single"/>
          <w:lang w:val="sk-SK"/>
        </w:rPr>
        <w:t xml:space="preserve">Dronedarón Sandoz </w:t>
      </w:r>
    </w:p>
    <w:p w14:paraId="11E23119" w14:textId="77777777" w:rsidR="005A7D1A" w:rsidRPr="00C14318" w:rsidRDefault="005A7D1A" w:rsidP="001B463B">
      <w:pPr>
        <w:spacing w:line="252" w:lineRule="exact"/>
        <w:ind w:left="135"/>
        <w:rPr>
          <w:i/>
          <w:lang w:val="sk-SK"/>
        </w:rPr>
      </w:pPr>
      <w:r w:rsidRPr="00C14318">
        <w:rPr>
          <w:i/>
          <w:lang w:val="sk-SK"/>
        </w:rPr>
        <w:lastRenderedPageBreak/>
        <w:t>Silné inhibítory CYP 3A4</w:t>
      </w:r>
    </w:p>
    <w:p w14:paraId="2D824840" w14:textId="77777777" w:rsidR="005A7D1A" w:rsidRPr="00C14318" w:rsidRDefault="005A7D1A" w:rsidP="001B463B">
      <w:pPr>
        <w:pStyle w:val="Zkladntext"/>
        <w:spacing w:before="1"/>
        <w:ind w:left="135" w:right="90"/>
        <w:rPr>
          <w:lang w:val="sk-SK"/>
        </w:rPr>
      </w:pPr>
      <w:r w:rsidRPr="00C14318">
        <w:rPr>
          <w:lang w:val="sk-SK"/>
        </w:rPr>
        <w:t>Opakované dávky 200 mg ketokonazolu denne mali za následok 17-násobný vzostup expoz</w:t>
      </w:r>
      <w:r w:rsidR="00D73A04">
        <w:rPr>
          <w:lang w:val="sk-SK"/>
        </w:rPr>
        <w:t>ície dronedarónu. Preto je súbež</w:t>
      </w:r>
      <w:r w:rsidRPr="00C14318">
        <w:rPr>
          <w:lang w:val="sk-SK"/>
        </w:rPr>
        <w:t xml:space="preserve">né užívanie ketokonazolu ako aj ďalších silných inhibítorov CYP 3A4, ako </w:t>
      </w:r>
      <w:r w:rsidR="00D73A04">
        <w:rPr>
          <w:lang w:val="sk-SK"/>
        </w:rPr>
        <w:t>je itrakonazol, vorikonazol, pos</w:t>
      </w:r>
      <w:r w:rsidRPr="00C14318">
        <w:rPr>
          <w:lang w:val="sk-SK"/>
        </w:rPr>
        <w:t>akonazol, ritonavir, telitromycín, klaritromycín alebo nefazodón, kontraindikované (pozri časť 4.3).</w:t>
      </w:r>
    </w:p>
    <w:p w14:paraId="7A1A939E" w14:textId="77777777" w:rsidR="005A7D1A" w:rsidRPr="00C14318" w:rsidRDefault="005A7D1A" w:rsidP="001B463B">
      <w:pPr>
        <w:pStyle w:val="Zkladntext"/>
        <w:spacing w:before="11"/>
        <w:rPr>
          <w:lang w:val="sk-SK"/>
        </w:rPr>
      </w:pPr>
    </w:p>
    <w:p w14:paraId="689E0277" w14:textId="77777777" w:rsidR="00D76CAA" w:rsidRDefault="005A7D1A" w:rsidP="001B463B">
      <w:pPr>
        <w:ind w:left="135" w:right="5676"/>
        <w:rPr>
          <w:i/>
          <w:lang w:val="sk-SK"/>
        </w:rPr>
      </w:pPr>
      <w:r w:rsidRPr="00C14318">
        <w:rPr>
          <w:i/>
          <w:lang w:val="sk-SK"/>
        </w:rPr>
        <w:t xml:space="preserve">Stredne silné/slabé inhibítory CYP 3A4 </w:t>
      </w:r>
    </w:p>
    <w:p w14:paraId="10D188FE" w14:textId="77777777" w:rsidR="005A7D1A" w:rsidRPr="00D76CAA" w:rsidRDefault="005A7D1A" w:rsidP="001B463B">
      <w:pPr>
        <w:pStyle w:val="Odsekzoznamu"/>
        <w:numPr>
          <w:ilvl w:val="0"/>
          <w:numId w:val="4"/>
        </w:numPr>
        <w:ind w:right="5676" w:hanging="713"/>
        <w:rPr>
          <w:lang w:val="sk-SK"/>
        </w:rPr>
      </w:pPr>
      <w:r w:rsidRPr="00D76CAA">
        <w:rPr>
          <w:lang w:val="sk-SK"/>
        </w:rPr>
        <w:t>Erytromycín</w:t>
      </w:r>
    </w:p>
    <w:p w14:paraId="5181321E" w14:textId="254CE896" w:rsidR="005A7D1A" w:rsidRPr="00C14318" w:rsidRDefault="005A7D1A" w:rsidP="001B463B">
      <w:pPr>
        <w:pStyle w:val="Zkladntext"/>
        <w:ind w:left="116" w:right="119"/>
        <w:rPr>
          <w:lang w:val="sk-SK"/>
        </w:rPr>
      </w:pPr>
      <w:r w:rsidRPr="00C14318">
        <w:rPr>
          <w:lang w:val="sk-SK"/>
        </w:rPr>
        <w:t>Erytromycín</w:t>
      </w:r>
      <w:r w:rsidR="00D07580">
        <w:rPr>
          <w:lang w:val="sk-SK"/>
        </w:rPr>
        <w:t>,</w:t>
      </w:r>
      <w:r w:rsidRPr="00C14318">
        <w:rPr>
          <w:lang w:val="sk-SK"/>
        </w:rPr>
        <w:t xml:space="preserve">  peroráln</w:t>
      </w:r>
      <w:r w:rsidR="00D07580">
        <w:rPr>
          <w:lang w:val="sk-SK"/>
        </w:rPr>
        <w:t>e</w:t>
      </w:r>
      <w:r w:rsidRPr="00C14318">
        <w:rPr>
          <w:lang w:val="sk-SK"/>
        </w:rPr>
        <w:t xml:space="preserve"> </w:t>
      </w:r>
      <w:r w:rsidR="00D07580">
        <w:rPr>
          <w:lang w:val="sk-SK"/>
        </w:rPr>
        <w:t xml:space="preserve">užívaný </w:t>
      </w:r>
      <w:r w:rsidRPr="00C14318">
        <w:rPr>
          <w:lang w:val="sk-SK"/>
        </w:rPr>
        <w:t>makrolid</w:t>
      </w:r>
      <w:r w:rsidR="00D07580">
        <w:rPr>
          <w:lang w:val="sk-SK"/>
        </w:rPr>
        <w:t>,</w:t>
      </w:r>
      <w:r w:rsidRPr="00C14318">
        <w:rPr>
          <w:lang w:val="sk-SK"/>
        </w:rPr>
        <w:t xml:space="preserve"> môže indukovať </w:t>
      </w:r>
      <w:r w:rsidRPr="00EB2CC0">
        <w:rPr>
          <w:lang w:val="sk-SK"/>
        </w:rPr>
        <w:t xml:space="preserve">torsades de pointes, </w:t>
      </w:r>
      <w:r w:rsidRPr="00C14318">
        <w:rPr>
          <w:lang w:val="sk-SK"/>
        </w:rPr>
        <w:t>a preto je kontraindikovaný (pozri časť 4.3). Opakované dávky erytromycínu (500 mg trikrát denne počas 10 dní) mali za následok zvýšenie expozície dronedaró</w:t>
      </w:r>
      <w:r w:rsidR="00D07580">
        <w:rPr>
          <w:lang w:val="sk-SK"/>
        </w:rPr>
        <w:t>nu</w:t>
      </w:r>
      <w:r w:rsidRPr="00C14318">
        <w:rPr>
          <w:lang w:val="sk-SK"/>
        </w:rPr>
        <w:t xml:space="preserve"> v rovnovážnom stave  3,8-násob</w:t>
      </w:r>
      <w:r w:rsidR="00D07580">
        <w:rPr>
          <w:lang w:val="sk-SK"/>
        </w:rPr>
        <w:t>ne</w:t>
      </w:r>
      <w:r w:rsidRPr="00C14318">
        <w:rPr>
          <w:lang w:val="sk-SK"/>
        </w:rPr>
        <w:t>.</w:t>
      </w:r>
    </w:p>
    <w:p w14:paraId="646C8B6D" w14:textId="77777777" w:rsidR="005A7D1A" w:rsidRPr="00C14318" w:rsidRDefault="005A7D1A" w:rsidP="001B463B">
      <w:pPr>
        <w:pStyle w:val="Zkladntext"/>
        <w:spacing w:before="1"/>
        <w:rPr>
          <w:lang w:val="sk-SK"/>
        </w:rPr>
      </w:pPr>
    </w:p>
    <w:p w14:paraId="332DCF55" w14:textId="77777777" w:rsidR="005A7D1A" w:rsidRPr="00B62CE8" w:rsidRDefault="005A7D1A" w:rsidP="001B463B">
      <w:pPr>
        <w:pStyle w:val="Odsekzoznamu"/>
        <w:numPr>
          <w:ilvl w:val="0"/>
          <w:numId w:val="8"/>
        </w:numPr>
        <w:spacing w:line="252" w:lineRule="exact"/>
        <w:ind w:hanging="713"/>
        <w:rPr>
          <w:lang w:val="sk-SK"/>
        </w:rPr>
      </w:pPr>
      <w:r w:rsidRPr="00B62CE8">
        <w:rPr>
          <w:lang w:val="sk-SK"/>
        </w:rPr>
        <w:t>Antagonisty kalcia</w:t>
      </w:r>
    </w:p>
    <w:p w14:paraId="7F77B795" w14:textId="12838F99" w:rsidR="005A7D1A" w:rsidRPr="00C14318" w:rsidRDefault="005A7D1A" w:rsidP="001B463B">
      <w:pPr>
        <w:pStyle w:val="Zkladntext"/>
        <w:ind w:left="116" w:right="581"/>
        <w:rPr>
          <w:lang w:val="sk-SK"/>
        </w:rPr>
      </w:pPr>
      <w:r w:rsidRPr="00C14318">
        <w:rPr>
          <w:lang w:val="sk-SK"/>
        </w:rPr>
        <w:t>Antagonisty kalcia, diltiazem a verapamil, sú substráty a/alebo stredne silné inhibítory CYP 3A4. Okrem toho verapamil a diltiaz</w:t>
      </w:r>
      <w:r w:rsidR="008314DA">
        <w:rPr>
          <w:lang w:val="sk-SK"/>
        </w:rPr>
        <w:t>e</w:t>
      </w:r>
      <w:r w:rsidRPr="00C14318">
        <w:rPr>
          <w:lang w:val="sk-SK"/>
        </w:rPr>
        <w:t>m majú pre svoju schopnosť znižovať tepovú frekvenciu srdca potenciál interakcie s dronedarónom z farmakodynamického hľadiska.</w:t>
      </w:r>
    </w:p>
    <w:p w14:paraId="2ECAC8D0" w14:textId="4E4AD957" w:rsidR="005A7D1A" w:rsidRPr="00C14318" w:rsidRDefault="005A7D1A" w:rsidP="001B463B">
      <w:pPr>
        <w:pStyle w:val="Zkladntext"/>
        <w:ind w:left="116" w:right="221"/>
        <w:rPr>
          <w:lang w:val="sk-SK"/>
        </w:rPr>
      </w:pPr>
      <w:r w:rsidRPr="00C14318">
        <w:rPr>
          <w:lang w:val="sk-SK"/>
        </w:rPr>
        <w:t>Opakované dávky diltiazemu (240 mg dvakrát denne) mali za následok vzostup expozície dronedarónu 1,7-násob</w:t>
      </w:r>
      <w:r w:rsidR="008314DA">
        <w:rPr>
          <w:lang w:val="sk-SK"/>
        </w:rPr>
        <w:t>ne</w:t>
      </w:r>
      <w:r w:rsidRPr="00C14318">
        <w:rPr>
          <w:lang w:val="sk-SK"/>
        </w:rPr>
        <w:t>, verapamilu (240 mg jedenkrát denne) 1,4-násob</w:t>
      </w:r>
      <w:r w:rsidR="008314DA">
        <w:rPr>
          <w:lang w:val="sk-SK"/>
        </w:rPr>
        <w:t>ne</w:t>
      </w:r>
      <w:r w:rsidRPr="00C14318">
        <w:rPr>
          <w:lang w:val="sk-SK"/>
        </w:rPr>
        <w:t xml:space="preserve"> a nifedipínu (20 mg dvakrát denne) 1,2-násob</w:t>
      </w:r>
      <w:r w:rsidR="008314DA">
        <w:rPr>
          <w:lang w:val="sk-SK"/>
        </w:rPr>
        <w:t>ne</w:t>
      </w:r>
      <w:r w:rsidRPr="00C14318">
        <w:rPr>
          <w:lang w:val="sk-SK"/>
        </w:rPr>
        <w:t>. Expozícia antagonisto</w:t>
      </w:r>
      <w:r w:rsidR="008314DA">
        <w:rPr>
          <w:lang w:val="sk-SK"/>
        </w:rPr>
        <w:t>m</w:t>
      </w:r>
      <w:r w:rsidRPr="00C14318">
        <w:rPr>
          <w:lang w:val="sk-SK"/>
        </w:rPr>
        <w:t xml:space="preserve"> kalcia bola taktiež zvýšená dronedarónom</w:t>
      </w:r>
    </w:p>
    <w:p w14:paraId="3486ACCE" w14:textId="7262AB19" w:rsidR="005A7D1A" w:rsidRPr="00C14318" w:rsidRDefault="005A7D1A" w:rsidP="001B463B">
      <w:pPr>
        <w:pStyle w:val="Zkladntext"/>
        <w:ind w:left="116" w:right="166"/>
        <w:rPr>
          <w:lang w:val="sk-SK"/>
        </w:rPr>
      </w:pPr>
      <w:r w:rsidRPr="00C14318">
        <w:rPr>
          <w:lang w:val="sk-SK"/>
        </w:rPr>
        <w:t>(400 mg dvakrát denne) (verapamil 1,4-násob</w:t>
      </w:r>
      <w:r w:rsidR="008314DA">
        <w:rPr>
          <w:lang w:val="sk-SK"/>
        </w:rPr>
        <w:t>ne</w:t>
      </w:r>
      <w:r w:rsidRPr="00C14318">
        <w:rPr>
          <w:lang w:val="sk-SK"/>
        </w:rPr>
        <w:t xml:space="preserve"> a </w:t>
      </w:r>
      <w:r w:rsidRPr="008314DA">
        <w:rPr>
          <w:lang w:val="sk-SK"/>
        </w:rPr>
        <w:t>nizoldipín</w:t>
      </w:r>
      <w:r w:rsidRPr="00C14318">
        <w:rPr>
          <w:lang w:val="sk-SK"/>
        </w:rPr>
        <w:t xml:space="preserve"> 1,5-násob</w:t>
      </w:r>
      <w:r w:rsidR="008314DA">
        <w:rPr>
          <w:lang w:val="sk-SK"/>
        </w:rPr>
        <w:t>ne</w:t>
      </w:r>
      <w:r w:rsidRPr="00C14318">
        <w:rPr>
          <w:lang w:val="sk-SK"/>
        </w:rPr>
        <w:t xml:space="preserve">). V klinických štúdiách dostávalo 13 % pacientov </w:t>
      </w:r>
      <w:r w:rsidR="00104BF3">
        <w:rPr>
          <w:lang w:val="sk-SK"/>
        </w:rPr>
        <w:t>liečbu antagonistami kalcia súbež</w:t>
      </w:r>
      <w:r w:rsidRPr="00C14318">
        <w:rPr>
          <w:lang w:val="sk-SK"/>
        </w:rPr>
        <w:t>ne s dronedarónom. Nezaznamenalo sa žiadne zvýšené riziko hypotenzie,</w:t>
      </w:r>
      <w:r w:rsidR="00DF324A">
        <w:rPr>
          <w:lang w:val="sk-SK"/>
        </w:rPr>
        <w:t xml:space="preserve"> bradykardie ani srdcového zlyháva</w:t>
      </w:r>
      <w:r w:rsidRPr="00C14318">
        <w:rPr>
          <w:lang w:val="sk-SK"/>
        </w:rPr>
        <w:t>nia.</w:t>
      </w:r>
    </w:p>
    <w:p w14:paraId="2DA01B20" w14:textId="46144A46" w:rsidR="005A7D1A" w:rsidRPr="00C14318" w:rsidRDefault="005A7D1A" w:rsidP="00A20780">
      <w:pPr>
        <w:pStyle w:val="Zkladntext"/>
        <w:ind w:left="116" w:right="150"/>
        <w:rPr>
          <w:lang w:val="sk-SK"/>
        </w:rPr>
      </w:pPr>
      <w:r w:rsidRPr="00C14318">
        <w:rPr>
          <w:lang w:val="sk-SK"/>
        </w:rPr>
        <w:t>Celkovo vzhľadom na farmakokinetické interakcie a možné farmakodynamické interakcie sa majú antagonisty kalcia s depresívnym účinkom na sínusový a atrioventrikulárny uzol, ako je napríklad verapamil a diltiazem v spojení s dronedarónom užívať s opatrnosťou. Liečba týmito lie</w:t>
      </w:r>
      <w:r w:rsidR="008314DA">
        <w:rPr>
          <w:lang w:val="sk-SK"/>
        </w:rPr>
        <w:t>čivami</w:t>
      </w:r>
      <w:r w:rsidRPr="00C14318">
        <w:rPr>
          <w:lang w:val="sk-SK"/>
        </w:rPr>
        <w:t xml:space="preserve"> sa musí začať s nízkou dávkou a titráciu dávky je potrebné </w:t>
      </w:r>
      <w:r w:rsidR="008314DA">
        <w:rPr>
          <w:lang w:val="sk-SK"/>
        </w:rPr>
        <w:t>vykonať</w:t>
      </w:r>
      <w:r w:rsidRPr="00C14318">
        <w:rPr>
          <w:lang w:val="sk-SK"/>
        </w:rPr>
        <w:t xml:space="preserve"> až po vyhodnotení EKG. U pacientov, ktorí v čase začatia liečby dronedarónom sa už liečia antagonistami kalcia, sa musí urobiť EKG a v prí</w:t>
      </w:r>
      <w:r w:rsidR="00104BF3">
        <w:rPr>
          <w:lang w:val="sk-SK"/>
        </w:rPr>
        <w:t xml:space="preserve">pade potreby upraviť ich dávka </w:t>
      </w:r>
      <w:r w:rsidRPr="00C14318">
        <w:rPr>
          <w:lang w:val="sk-SK"/>
        </w:rPr>
        <w:t>(pozri časť 4.4).</w:t>
      </w:r>
      <w:r w:rsidR="00CA170D">
        <w:rPr>
          <w:lang w:val="sk-SK"/>
        </w:rPr>
        <w:t xml:space="preserve"> </w:t>
      </w:r>
    </w:p>
    <w:p w14:paraId="723D6E9E" w14:textId="77777777" w:rsidR="005A7D1A" w:rsidRPr="00C14318" w:rsidRDefault="005A7D1A" w:rsidP="001B463B">
      <w:pPr>
        <w:pStyle w:val="Zkladntext"/>
        <w:spacing w:before="10"/>
        <w:rPr>
          <w:lang w:val="sk-SK"/>
        </w:rPr>
      </w:pPr>
    </w:p>
    <w:p w14:paraId="39C994FE" w14:textId="77777777" w:rsidR="00D23191" w:rsidRPr="00BC6613" w:rsidRDefault="00D23191" w:rsidP="00D23191">
      <w:pPr>
        <w:pStyle w:val="Odsekzoznamu"/>
        <w:numPr>
          <w:ilvl w:val="0"/>
          <w:numId w:val="11"/>
        </w:numPr>
        <w:spacing w:before="62" w:line="253" w:lineRule="exact"/>
        <w:ind w:left="851" w:hanging="709"/>
        <w:rPr>
          <w:lang w:val="sk-SK"/>
        </w:rPr>
      </w:pPr>
      <w:r w:rsidRPr="00BC6613">
        <w:rPr>
          <w:lang w:val="sk-SK"/>
        </w:rPr>
        <w:t>Ďalšie stredne silné/slabé inhibítory CYP 3A4</w:t>
      </w:r>
    </w:p>
    <w:p w14:paraId="056595D7" w14:textId="77777777" w:rsidR="00D23191" w:rsidRPr="00BC6613" w:rsidRDefault="00D23191" w:rsidP="00D23191">
      <w:pPr>
        <w:pStyle w:val="Zkladntext"/>
        <w:spacing w:line="253" w:lineRule="exact"/>
        <w:ind w:left="116"/>
        <w:rPr>
          <w:lang w:val="sk-SK"/>
        </w:rPr>
      </w:pPr>
      <w:r w:rsidRPr="00BC6613">
        <w:rPr>
          <w:lang w:val="sk-SK"/>
        </w:rPr>
        <w:t xml:space="preserve">Je pravdepodobné, že iné stredne silné inhibítory CYP3A4 </w:t>
      </w:r>
      <w:r w:rsidR="00035B71">
        <w:rPr>
          <w:lang w:val="sk-SK"/>
        </w:rPr>
        <w:t xml:space="preserve">pravdepodobne </w:t>
      </w:r>
      <w:r w:rsidRPr="00BC6613">
        <w:rPr>
          <w:lang w:val="sk-SK"/>
        </w:rPr>
        <w:t>zvyšujú expozíciu dronedarónu.</w:t>
      </w:r>
    </w:p>
    <w:p w14:paraId="25320A1C" w14:textId="77777777" w:rsidR="00D23191" w:rsidRDefault="00D23191" w:rsidP="001B463B">
      <w:pPr>
        <w:ind w:left="135"/>
        <w:rPr>
          <w:i/>
          <w:lang w:val="sk-SK"/>
        </w:rPr>
      </w:pPr>
    </w:p>
    <w:p w14:paraId="0BBAA612" w14:textId="77777777" w:rsidR="005A7D1A" w:rsidRPr="00C14318" w:rsidRDefault="005A7D1A" w:rsidP="001B463B">
      <w:pPr>
        <w:ind w:left="135"/>
        <w:rPr>
          <w:i/>
          <w:lang w:val="sk-SK"/>
        </w:rPr>
      </w:pPr>
      <w:r w:rsidRPr="00C14318">
        <w:rPr>
          <w:i/>
          <w:lang w:val="sk-SK"/>
        </w:rPr>
        <w:t>Induktory CYP 3A4</w:t>
      </w:r>
    </w:p>
    <w:p w14:paraId="1281C879" w14:textId="77777777" w:rsidR="005A7D1A" w:rsidRPr="00C14318" w:rsidRDefault="005A7D1A" w:rsidP="001B463B">
      <w:pPr>
        <w:pStyle w:val="Zkladntext"/>
        <w:spacing w:before="1"/>
        <w:ind w:left="116" w:right="277"/>
        <w:rPr>
          <w:lang w:val="sk-SK"/>
        </w:rPr>
      </w:pPr>
      <w:r w:rsidRPr="00C14318">
        <w:rPr>
          <w:lang w:val="sk-SK"/>
        </w:rPr>
        <w:t xml:space="preserve">Rifampicín (600 mg jedenkrát denne) znižoval expozíciu dronedarónu o 80 % pričom expozícia jeho aktívneho metabolitu </w:t>
      </w:r>
      <w:r w:rsidR="00C76D31">
        <w:rPr>
          <w:lang w:val="sk-SK"/>
        </w:rPr>
        <w:t>sa významne nemenila. Súbež</w:t>
      </w:r>
      <w:r w:rsidRPr="00C14318">
        <w:rPr>
          <w:lang w:val="sk-SK"/>
        </w:rPr>
        <w:t>né podávanie rifampicínu a ďalších silných induktorov CYP 3A4, ako je napríklad fenobarbital, karbamazepín, fenytoín alebo ľubovník</w:t>
      </w:r>
      <w:r w:rsidR="00C76D31">
        <w:rPr>
          <w:lang w:val="sk-SK"/>
        </w:rPr>
        <w:t xml:space="preserve"> bodkovaný</w:t>
      </w:r>
      <w:r w:rsidRPr="00C14318">
        <w:rPr>
          <w:lang w:val="sk-SK"/>
        </w:rPr>
        <w:t xml:space="preserve"> sa neodporúča, keďže znižujú expozíciu dronedarónu.</w:t>
      </w:r>
    </w:p>
    <w:p w14:paraId="17F48BD2" w14:textId="77777777" w:rsidR="005A7D1A" w:rsidRPr="00C14318" w:rsidRDefault="005A7D1A" w:rsidP="001B463B">
      <w:pPr>
        <w:pStyle w:val="Zkladntext"/>
        <w:rPr>
          <w:lang w:val="sk-SK"/>
        </w:rPr>
      </w:pPr>
    </w:p>
    <w:p w14:paraId="1BA4C42B" w14:textId="77777777" w:rsidR="005A7D1A" w:rsidRPr="00C14318" w:rsidRDefault="005A7D1A" w:rsidP="001B463B">
      <w:pPr>
        <w:spacing w:line="252" w:lineRule="exact"/>
        <w:ind w:left="135"/>
        <w:rPr>
          <w:i/>
          <w:lang w:val="sk-SK"/>
        </w:rPr>
      </w:pPr>
      <w:r w:rsidRPr="00C14318">
        <w:rPr>
          <w:i/>
          <w:lang w:val="sk-SK"/>
        </w:rPr>
        <w:t>Inhibítory MAO</w:t>
      </w:r>
    </w:p>
    <w:p w14:paraId="1B066709" w14:textId="77777777" w:rsidR="005A7D1A" w:rsidRPr="00C14318" w:rsidRDefault="005A7D1A" w:rsidP="001B463B">
      <w:pPr>
        <w:pStyle w:val="Zkladntext"/>
        <w:ind w:left="116" w:right="881"/>
        <w:rPr>
          <w:lang w:val="sk-SK"/>
        </w:rPr>
      </w:pPr>
      <w:r w:rsidRPr="00C14318">
        <w:rPr>
          <w:lang w:val="sk-SK"/>
        </w:rPr>
        <w:t xml:space="preserve">V štúdii </w:t>
      </w:r>
      <w:r w:rsidRPr="00C14318">
        <w:rPr>
          <w:i/>
          <w:lang w:val="sk-SK"/>
        </w:rPr>
        <w:t xml:space="preserve">in vitro </w:t>
      </w:r>
      <w:r w:rsidRPr="00C14318">
        <w:rPr>
          <w:lang w:val="sk-SK"/>
        </w:rPr>
        <w:t>MAO prispievali k metabolizmu aktívneho metabolitu dronedarónu. Klinická relevancia tohto pozorovania nie je známa (pozri časti 4.4 a 5.2).</w:t>
      </w:r>
    </w:p>
    <w:p w14:paraId="5FAB8DB3" w14:textId="77777777" w:rsidR="005A7D1A" w:rsidRPr="00C14318" w:rsidRDefault="005A7D1A" w:rsidP="001B463B">
      <w:pPr>
        <w:pStyle w:val="Zkladntext"/>
        <w:spacing w:before="1"/>
        <w:rPr>
          <w:lang w:val="sk-SK"/>
        </w:rPr>
      </w:pPr>
    </w:p>
    <w:p w14:paraId="5367E62A" w14:textId="77777777" w:rsidR="005A7D1A" w:rsidRPr="00C14318" w:rsidRDefault="005A7D1A" w:rsidP="001B463B">
      <w:pPr>
        <w:pStyle w:val="Zkladntext"/>
        <w:ind w:left="135"/>
        <w:rPr>
          <w:lang w:val="sk-SK"/>
        </w:rPr>
      </w:pPr>
      <w:r w:rsidRPr="00C14318">
        <w:rPr>
          <w:u w:val="single"/>
          <w:lang w:val="sk-SK"/>
        </w:rPr>
        <w:t xml:space="preserve">Účinok </w:t>
      </w:r>
      <w:r w:rsidR="00C30EF9">
        <w:rPr>
          <w:u w:val="single"/>
          <w:lang w:val="sk-SK"/>
        </w:rPr>
        <w:t>Dronedarón</w:t>
      </w:r>
      <w:r w:rsidR="00102E8D">
        <w:rPr>
          <w:u w:val="single"/>
          <w:lang w:val="sk-SK"/>
        </w:rPr>
        <w:t xml:space="preserve">u Sandoz </w:t>
      </w:r>
      <w:r w:rsidRPr="00C14318">
        <w:rPr>
          <w:u w:val="single"/>
          <w:lang w:val="sk-SK"/>
        </w:rPr>
        <w:t>na iné lieky</w:t>
      </w:r>
    </w:p>
    <w:p w14:paraId="53F5C6CD" w14:textId="77777777" w:rsidR="005A7D1A" w:rsidRPr="00C14318" w:rsidRDefault="005A7D1A" w:rsidP="001B463B">
      <w:pPr>
        <w:spacing w:before="2" w:line="249" w:lineRule="exact"/>
        <w:ind w:left="135"/>
        <w:rPr>
          <w:i/>
          <w:lang w:val="sk-SK"/>
        </w:rPr>
      </w:pPr>
      <w:r w:rsidRPr="00C14318">
        <w:rPr>
          <w:i/>
          <w:lang w:val="sk-SK"/>
        </w:rPr>
        <w:t>Pôsobenie na lieky, ktoré sa metabolizujú CYP 3A4</w:t>
      </w:r>
    </w:p>
    <w:p w14:paraId="16D895BE" w14:textId="77777777" w:rsidR="005A7D1A" w:rsidRPr="00C14318" w:rsidRDefault="005A7D1A" w:rsidP="001B463B">
      <w:pPr>
        <w:pStyle w:val="Odsekzoznamu"/>
        <w:numPr>
          <w:ilvl w:val="0"/>
          <w:numId w:val="1"/>
        </w:numPr>
        <w:tabs>
          <w:tab w:val="left" w:pos="682"/>
          <w:tab w:val="left" w:pos="683"/>
        </w:tabs>
        <w:spacing w:line="264" w:lineRule="exact"/>
        <w:rPr>
          <w:lang w:val="sk-SK"/>
        </w:rPr>
      </w:pPr>
      <w:r w:rsidRPr="00C14318">
        <w:rPr>
          <w:lang w:val="sk-SK"/>
        </w:rPr>
        <w:t>Statíny</w:t>
      </w:r>
    </w:p>
    <w:p w14:paraId="0DF569C0" w14:textId="62669592" w:rsidR="005A7D1A" w:rsidRPr="00C14318" w:rsidRDefault="005A7D1A" w:rsidP="001B463B">
      <w:pPr>
        <w:pStyle w:val="Zkladntext"/>
        <w:ind w:left="116" w:right="93"/>
        <w:rPr>
          <w:lang w:val="sk-SK"/>
        </w:rPr>
      </w:pPr>
      <w:r w:rsidRPr="00C14318">
        <w:rPr>
          <w:lang w:val="sk-SK"/>
        </w:rPr>
        <w:t>Dronedarón môže zvýšiť expozíciu statíno</w:t>
      </w:r>
      <w:r w:rsidR="008314DA">
        <w:rPr>
          <w:lang w:val="sk-SK"/>
        </w:rPr>
        <w:t>m</w:t>
      </w:r>
      <w:r w:rsidRPr="00C14318">
        <w:rPr>
          <w:lang w:val="sk-SK"/>
        </w:rPr>
        <w:t>, ktoré sú substrátmi CYP 3A4 a/alebo P-glykoproteínov. Dronedarón (400 mg dvakrát denne) zvyšuje expozíciu simvastatínu  4-násob</w:t>
      </w:r>
      <w:r w:rsidR="008314DA">
        <w:rPr>
          <w:lang w:val="sk-SK"/>
        </w:rPr>
        <w:t>ne</w:t>
      </w:r>
      <w:r w:rsidRPr="00C14318">
        <w:rPr>
          <w:lang w:val="sk-SK"/>
        </w:rPr>
        <w:t xml:space="preserve"> a kyseliny simvastatínovej  2-násob</w:t>
      </w:r>
      <w:r w:rsidR="008314DA">
        <w:rPr>
          <w:lang w:val="sk-SK"/>
        </w:rPr>
        <w:t>ne</w:t>
      </w:r>
      <w:r w:rsidRPr="00C14318">
        <w:rPr>
          <w:lang w:val="sk-SK"/>
        </w:rPr>
        <w:t xml:space="preserve">. Predpokladá sa, že dronedarón môže taktiež zvyšovať expozíciu lovastatínu v rovnakom rozsahu ako </w:t>
      </w:r>
      <w:r w:rsidR="008314DA">
        <w:rPr>
          <w:lang w:val="sk-SK"/>
        </w:rPr>
        <w:t>pri</w:t>
      </w:r>
      <w:r w:rsidRPr="00C14318">
        <w:rPr>
          <w:lang w:val="sk-SK"/>
        </w:rPr>
        <w:t xml:space="preserve"> kyselin</w:t>
      </w:r>
      <w:r w:rsidR="008314DA">
        <w:rPr>
          <w:lang w:val="sk-SK"/>
        </w:rPr>
        <w:t>e</w:t>
      </w:r>
      <w:r w:rsidRPr="00C14318">
        <w:rPr>
          <w:lang w:val="sk-SK"/>
        </w:rPr>
        <w:t xml:space="preserve"> simvastatínovej. Slabá interakcia bola medzi </w:t>
      </w:r>
      <w:r w:rsidRPr="00C14318">
        <w:rPr>
          <w:lang w:val="sk-SK"/>
        </w:rPr>
        <w:lastRenderedPageBreak/>
        <w:t>dronedarónom a atorvastatínom (mala za následok v priemere 1,7-násobné zvýšenie expozície atorvastatín</w:t>
      </w:r>
      <w:r w:rsidR="008314DA">
        <w:rPr>
          <w:lang w:val="sk-SK"/>
        </w:rPr>
        <w:t>u</w:t>
      </w:r>
      <w:r w:rsidRPr="00C14318">
        <w:rPr>
          <w:lang w:val="sk-SK"/>
        </w:rPr>
        <w:t>). Slabá interakcia bola medzi dronedarónom a statínmi transportovanými OATP, ako je rosuvastatín (mala za následok v priemere 1,4-násobné zvýšenie expozície rosuvastatín</w:t>
      </w:r>
      <w:r w:rsidR="008314DA">
        <w:rPr>
          <w:lang w:val="sk-SK"/>
        </w:rPr>
        <w:t>u</w:t>
      </w:r>
      <w:r w:rsidRPr="00C14318">
        <w:rPr>
          <w:lang w:val="sk-SK"/>
        </w:rPr>
        <w:t>).</w:t>
      </w:r>
    </w:p>
    <w:p w14:paraId="1AE6A86B" w14:textId="4852F424" w:rsidR="005A7D1A" w:rsidRPr="00C14318" w:rsidRDefault="005A7D1A" w:rsidP="001B463B">
      <w:pPr>
        <w:pStyle w:val="Zkladntext"/>
        <w:spacing w:before="1"/>
        <w:ind w:left="116" w:right="250"/>
        <w:rPr>
          <w:lang w:val="sk-SK"/>
        </w:rPr>
      </w:pPr>
      <w:r w:rsidRPr="00C14318">
        <w:rPr>
          <w:lang w:val="sk-SK"/>
        </w:rPr>
        <w:t xml:space="preserve">V klinických štúdiách, </w:t>
      </w:r>
      <w:r w:rsidR="008314DA">
        <w:rPr>
          <w:lang w:val="sk-SK"/>
        </w:rPr>
        <w:t>v ktorých</w:t>
      </w:r>
      <w:r w:rsidR="00C76D31">
        <w:rPr>
          <w:lang w:val="sk-SK"/>
        </w:rPr>
        <w:t xml:space="preserve"> bol dronedarón podávaný súbež</w:t>
      </w:r>
      <w:r w:rsidRPr="00C14318">
        <w:rPr>
          <w:lang w:val="sk-SK"/>
        </w:rPr>
        <w:t xml:space="preserve">ne so statínmi metabolizujúcimi sa </w:t>
      </w:r>
      <w:r w:rsidR="008314DA">
        <w:rPr>
          <w:lang w:val="sk-SK"/>
        </w:rPr>
        <w:t xml:space="preserve"> </w:t>
      </w:r>
      <w:r w:rsidRPr="00C14318">
        <w:rPr>
          <w:lang w:val="sk-SK"/>
        </w:rPr>
        <w:t>CYP 3A4, neboli preukázané žiadne problémy súvisiace s bezpečnosťou. Napriek tomu sa zaznamenali spontánne hlásenia prípadov rabdomyolýzy pri podávaní dronedarónu v kombinácii so statínom (najmä simvastatínom). Pri súbežnom užívaní dronedarónu so statínmi je preto potrebná opatrnosť. Najnižšia úvodná dávka a udržiavacie dávky statínov sa majú zvážiť podľa odporúčaní uvedených v informácii o konkrétnom statíne a pacienti majú byť monitorovaní pre klinické príznaky muskulárnej toxicity (pozri časť 4.4).</w:t>
      </w:r>
    </w:p>
    <w:p w14:paraId="1DD7D728" w14:textId="77777777" w:rsidR="005A7D1A" w:rsidRPr="00C14318" w:rsidRDefault="005A7D1A" w:rsidP="001B463B">
      <w:pPr>
        <w:pStyle w:val="Zkladntext"/>
        <w:spacing w:before="8"/>
        <w:rPr>
          <w:lang w:val="sk-SK"/>
        </w:rPr>
      </w:pPr>
    </w:p>
    <w:p w14:paraId="7C65DB8A" w14:textId="77777777" w:rsidR="005A7D1A" w:rsidRPr="00C14318" w:rsidRDefault="005A7D1A" w:rsidP="001B463B">
      <w:pPr>
        <w:pStyle w:val="Odsekzoznamu"/>
        <w:numPr>
          <w:ilvl w:val="0"/>
          <w:numId w:val="2"/>
        </w:numPr>
        <w:tabs>
          <w:tab w:val="left" w:pos="682"/>
          <w:tab w:val="left" w:pos="683"/>
        </w:tabs>
        <w:ind w:left="682" w:hanging="566"/>
        <w:rPr>
          <w:lang w:val="sk-SK"/>
        </w:rPr>
      </w:pPr>
      <w:r w:rsidRPr="00C14318">
        <w:rPr>
          <w:lang w:val="sk-SK"/>
        </w:rPr>
        <w:t>Antagonisty</w:t>
      </w:r>
      <w:r w:rsidRPr="00C14318">
        <w:rPr>
          <w:spacing w:val="-4"/>
          <w:lang w:val="sk-SK"/>
        </w:rPr>
        <w:t xml:space="preserve"> </w:t>
      </w:r>
      <w:r w:rsidRPr="00C14318">
        <w:rPr>
          <w:lang w:val="sk-SK"/>
        </w:rPr>
        <w:t>kalcia</w:t>
      </w:r>
    </w:p>
    <w:p w14:paraId="6AA43E4F" w14:textId="316CF3ED" w:rsidR="005A7D1A" w:rsidRPr="00C14318" w:rsidRDefault="005A7D1A" w:rsidP="001B463B">
      <w:pPr>
        <w:pStyle w:val="Zkladntext"/>
        <w:ind w:left="116"/>
        <w:rPr>
          <w:lang w:val="sk-SK"/>
        </w:rPr>
      </w:pPr>
      <w:r w:rsidRPr="00C14318">
        <w:rPr>
          <w:lang w:val="sk-SK"/>
        </w:rPr>
        <w:t>Pôsobenie dronedarónu na antagonist</w:t>
      </w:r>
      <w:r w:rsidR="008314DA">
        <w:rPr>
          <w:lang w:val="sk-SK"/>
        </w:rPr>
        <w:t>y</w:t>
      </w:r>
      <w:r w:rsidRPr="00C14318">
        <w:rPr>
          <w:lang w:val="sk-SK"/>
        </w:rPr>
        <w:t xml:space="preserve"> kalcia je uvedené vyššie (pozri časť 4.4).</w:t>
      </w:r>
    </w:p>
    <w:p w14:paraId="39F73C3C" w14:textId="77777777" w:rsidR="005A7D1A" w:rsidRPr="00C14318" w:rsidRDefault="005A7D1A" w:rsidP="001B463B">
      <w:pPr>
        <w:pStyle w:val="Zkladntext"/>
        <w:spacing w:before="9"/>
        <w:rPr>
          <w:lang w:val="sk-SK"/>
        </w:rPr>
      </w:pPr>
    </w:p>
    <w:p w14:paraId="5CCE93F9" w14:textId="77777777" w:rsidR="005A7D1A" w:rsidRPr="00C14318" w:rsidRDefault="005A7D1A" w:rsidP="001B463B">
      <w:pPr>
        <w:pStyle w:val="Odsekzoznamu"/>
        <w:numPr>
          <w:ilvl w:val="0"/>
          <w:numId w:val="2"/>
        </w:numPr>
        <w:tabs>
          <w:tab w:val="left" w:pos="682"/>
          <w:tab w:val="left" w:pos="683"/>
        </w:tabs>
        <w:spacing w:before="1"/>
        <w:ind w:left="682" w:hanging="566"/>
        <w:rPr>
          <w:lang w:val="sk-SK"/>
        </w:rPr>
      </w:pPr>
      <w:r w:rsidRPr="00C14318">
        <w:rPr>
          <w:lang w:val="sk-SK"/>
        </w:rPr>
        <w:t>Imunosupresíva</w:t>
      </w:r>
    </w:p>
    <w:p w14:paraId="7C0FB0EA" w14:textId="77777777" w:rsidR="005A7D1A" w:rsidRPr="00C14318" w:rsidRDefault="005A7D1A" w:rsidP="001B463B">
      <w:pPr>
        <w:pStyle w:val="Zkladntext"/>
        <w:spacing w:before="1"/>
        <w:ind w:left="116" w:right="225"/>
        <w:rPr>
          <w:lang w:val="sk-SK"/>
        </w:rPr>
      </w:pPr>
      <w:r w:rsidRPr="00C14318">
        <w:rPr>
          <w:lang w:val="sk-SK"/>
        </w:rPr>
        <w:t>Dronedarón môže zvýšiť plazmatické koncentrácie imunosupresív (takrolimus, sirolimus, everolimus</w:t>
      </w:r>
      <w:r w:rsidR="000F7A50">
        <w:rPr>
          <w:lang w:val="sk-SK"/>
        </w:rPr>
        <w:t xml:space="preserve"> a cyklosporín). V prípade súbež</w:t>
      </w:r>
      <w:r w:rsidRPr="00C14318">
        <w:rPr>
          <w:lang w:val="sk-SK"/>
        </w:rPr>
        <w:t>nej liečby spolu s dronedarónom sa odporúča monitorovanie ich plazmatických koncentrácií a vhodná úprava dávok.</w:t>
      </w:r>
    </w:p>
    <w:p w14:paraId="0102EBB6" w14:textId="77777777" w:rsidR="005A7D1A" w:rsidRPr="00C14318" w:rsidRDefault="005A7D1A" w:rsidP="001B463B">
      <w:pPr>
        <w:pStyle w:val="Zkladntext"/>
        <w:spacing w:before="10"/>
        <w:rPr>
          <w:lang w:val="sk-SK"/>
        </w:rPr>
      </w:pPr>
    </w:p>
    <w:p w14:paraId="68194B67" w14:textId="77777777" w:rsidR="005A7D1A" w:rsidRPr="00C14318" w:rsidRDefault="005A7D1A" w:rsidP="001B463B">
      <w:pPr>
        <w:pStyle w:val="Odsekzoznamu"/>
        <w:numPr>
          <w:ilvl w:val="0"/>
          <w:numId w:val="2"/>
        </w:numPr>
        <w:tabs>
          <w:tab w:val="left" w:pos="682"/>
          <w:tab w:val="left" w:pos="683"/>
        </w:tabs>
        <w:ind w:left="682" w:hanging="566"/>
        <w:rPr>
          <w:lang w:val="sk-SK"/>
        </w:rPr>
      </w:pPr>
      <w:r w:rsidRPr="00C14318">
        <w:rPr>
          <w:lang w:val="sk-SK"/>
        </w:rPr>
        <w:t>Perorálne</w:t>
      </w:r>
      <w:r w:rsidRPr="00C14318">
        <w:rPr>
          <w:spacing w:val="-5"/>
          <w:lang w:val="sk-SK"/>
        </w:rPr>
        <w:t xml:space="preserve"> </w:t>
      </w:r>
      <w:r w:rsidRPr="00C14318">
        <w:rPr>
          <w:lang w:val="sk-SK"/>
        </w:rPr>
        <w:t>kontraceptíva</w:t>
      </w:r>
    </w:p>
    <w:p w14:paraId="2D6EA7A8" w14:textId="349F1B91" w:rsidR="005A7D1A" w:rsidRPr="00C14318" w:rsidRDefault="005A7D1A" w:rsidP="001B463B">
      <w:pPr>
        <w:pStyle w:val="Zkladntext"/>
        <w:spacing w:before="1"/>
        <w:ind w:left="116" w:right="225"/>
        <w:rPr>
          <w:lang w:val="sk-SK"/>
        </w:rPr>
      </w:pPr>
      <w:r w:rsidRPr="00C14318">
        <w:rPr>
          <w:lang w:val="sk-SK"/>
        </w:rPr>
        <w:t xml:space="preserve">U zdravých </w:t>
      </w:r>
      <w:r w:rsidR="008314DA">
        <w:rPr>
          <w:lang w:val="sk-SK"/>
        </w:rPr>
        <w:t>osôb</w:t>
      </w:r>
      <w:r w:rsidRPr="00C14318">
        <w:rPr>
          <w:lang w:val="sk-SK"/>
        </w:rPr>
        <w:t>, ktor</w:t>
      </w:r>
      <w:r w:rsidR="008314DA">
        <w:rPr>
          <w:lang w:val="sk-SK"/>
        </w:rPr>
        <w:t>é</w:t>
      </w:r>
      <w:r w:rsidRPr="00C14318">
        <w:rPr>
          <w:lang w:val="sk-SK"/>
        </w:rPr>
        <w:t xml:space="preserve"> užívali droneda</w:t>
      </w:r>
      <w:r w:rsidR="000F7A50">
        <w:rPr>
          <w:lang w:val="sk-SK"/>
        </w:rPr>
        <w:t xml:space="preserve">rón (800 mg dvakrát denne) súbežne s </w:t>
      </w:r>
      <w:r w:rsidRPr="00C14318">
        <w:rPr>
          <w:lang w:val="sk-SK"/>
        </w:rPr>
        <w:t>perorálnymi kontraceptívami, sa nepozoroval žiadny pokles etinylestradiolu a levonorgestrelu.</w:t>
      </w:r>
    </w:p>
    <w:p w14:paraId="092292EE" w14:textId="77777777" w:rsidR="005A7D1A" w:rsidRPr="00C14318" w:rsidRDefault="005A7D1A" w:rsidP="001B463B">
      <w:pPr>
        <w:pStyle w:val="Zkladntext"/>
        <w:spacing w:before="11"/>
        <w:rPr>
          <w:lang w:val="sk-SK"/>
        </w:rPr>
      </w:pPr>
    </w:p>
    <w:p w14:paraId="0E6B5F19" w14:textId="77777777" w:rsidR="005A7D1A" w:rsidRPr="00C14318" w:rsidRDefault="005A7D1A" w:rsidP="001B463B">
      <w:pPr>
        <w:ind w:left="116"/>
        <w:rPr>
          <w:i/>
          <w:lang w:val="sk-SK"/>
        </w:rPr>
      </w:pPr>
      <w:r w:rsidRPr="00C14318">
        <w:rPr>
          <w:i/>
          <w:lang w:val="sk-SK"/>
        </w:rPr>
        <w:t>Pôsobenie na lieky, ktoré sa metabolizujú CYP 2D6: betablokátory, antidepresíva</w:t>
      </w:r>
    </w:p>
    <w:p w14:paraId="482C031F" w14:textId="77777777" w:rsidR="005A7D1A" w:rsidRPr="00C14318" w:rsidRDefault="005A7D1A" w:rsidP="001B463B">
      <w:pPr>
        <w:pStyle w:val="Odsekzoznamu"/>
        <w:numPr>
          <w:ilvl w:val="0"/>
          <w:numId w:val="2"/>
        </w:numPr>
        <w:tabs>
          <w:tab w:val="left" w:pos="682"/>
          <w:tab w:val="left" w:pos="683"/>
        </w:tabs>
        <w:ind w:left="682" w:hanging="566"/>
        <w:rPr>
          <w:lang w:val="sk-SK"/>
        </w:rPr>
      </w:pPr>
      <w:r w:rsidRPr="00C14318">
        <w:rPr>
          <w:lang w:val="sk-SK"/>
        </w:rPr>
        <w:t>Betablokátory</w:t>
      </w:r>
    </w:p>
    <w:p w14:paraId="5B808936" w14:textId="2CBE3B56" w:rsidR="005A7D1A" w:rsidRPr="00C14318" w:rsidRDefault="005A7D1A" w:rsidP="001B463B">
      <w:pPr>
        <w:pStyle w:val="Zkladntext"/>
        <w:spacing w:before="1"/>
        <w:ind w:left="116" w:right="233"/>
        <w:rPr>
          <w:lang w:val="sk-SK"/>
        </w:rPr>
      </w:pPr>
      <w:r w:rsidRPr="00C14318">
        <w:rPr>
          <w:lang w:val="sk-SK"/>
        </w:rPr>
        <w:t xml:space="preserve">Pred začatím liečby </w:t>
      </w:r>
      <w:r w:rsidR="003A2876">
        <w:rPr>
          <w:lang w:val="sk-SK"/>
        </w:rPr>
        <w:t xml:space="preserve">dronedarónom </w:t>
      </w:r>
      <w:r w:rsidRPr="00C14318">
        <w:rPr>
          <w:lang w:val="sk-SK"/>
        </w:rPr>
        <w:t>sa musí ukončiť podávanie sotalolu (pozri časti 4.2 a 4.3). Betablokátory, ktoré sa metabolizujú CYP 2D6, môžu mať expozíciu zvýšenú vplyvom dronedarónu. Okrem toho majú betablokátory potenciál interakcie s dronedarónom aj z farmakodynamického hľadiska. Dronedarón 800 mg denne zvyšoval expozíciu metoprololu 1,6-násob</w:t>
      </w:r>
      <w:r w:rsidR="00B65EE9">
        <w:rPr>
          <w:lang w:val="sk-SK"/>
        </w:rPr>
        <w:t>ne</w:t>
      </w:r>
      <w:r w:rsidRPr="00C14318">
        <w:rPr>
          <w:lang w:val="sk-SK"/>
        </w:rPr>
        <w:t xml:space="preserve"> a propanololu  1,3-násob</w:t>
      </w:r>
      <w:r w:rsidR="00B65EE9">
        <w:rPr>
          <w:lang w:val="sk-SK"/>
        </w:rPr>
        <w:t>ne</w:t>
      </w:r>
      <w:r w:rsidRPr="00C14318">
        <w:rPr>
          <w:lang w:val="sk-SK"/>
        </w:rPr>
        <w:t xml:space="preserve"> (t.j. oveľa menej ako je 6-násobný rozdiel pozorovaný medzi </w:t>
      </w:r>
      <w:r w:rsidR="002F408B">
        <w:rPr>
          <w:lang w:val="sk-SK"/>
        </w:rPr>
        <w:t>pomalými</w:t>
      </w:r>
      <w:r w:rsidRPr="00C14318">
        <w:rPr>
          <w:lang w:val="sk-SK"/>
        </w:rPr>
        <w:t xml:space="preserve"> a </w:t>
      </w:r>
      <w:r w:rsidR="00B65EE9">
        <w:rPr>
          <w:lang w:val="sk-SK"/>
        </w:rPr>
        <w:t>rýchlymi</w:t>
      </w:r>
      <w:r w:rsidR="00B65EE9" w:rsidRPr="00C14318">
        <w:rPr>
          <w:lang w:val="sk-SK"/>
        </w:rPr>
        <w:t xml:space="preserve"> </w:t>
      </w:r>
      <w:r w:rsidRPr="00C14318">
        <w:rPr>
          <w:lang w:val="sk-SK"/>
        </w:rPr>
        <w:t>metaboliz</w:t>
      </w:r>
      <w:r w:rsidR="00B65EE9">
        <w:rPr>
          <w:lang w:val="sk-SK"/>
        </w:rPr>
        <w:t>átormi</w:t>
      </w:r>
      <w:r w:rsidRPr="00C14318">
        <w:rPr>
          <w:lang w:val="sk-SK"/>
        </w:rPr>
        <w:t xml:space="preserve"> CYP 2D6). V klinických štúdiách, </w:t>
      </w:r>
      <w:r w:rsidR="00B65EE9">
        <w:rPr>
          <w:lang w:val="sk-SK"/>
        </w:rPr>
        <w:t>v ktorých</w:t>
      </w:r>
      <w:r w:rsidRPr="00C14318">
        <w:rPr>
          <w:lang w:val="sk-SK"/>
        </w:rPr>
        <w:t xml:space="preserve"> sa dronedarón podával v kombinácii s betablokátormi, sa častejšie pozorovala bradykardia.</w:t>
      </w:r>
    </w:p>
    <w:p w14:paraId="6D1CCB5C" w14:textId="18F7274A" w:rsidR="005A7D1A" w:rsidRPr="00C14318" w:rsidRDefault="00F843D1" w:rsidP="001B463B">
      <w:pPr>
        <w:pStyle w:val="Zkladntext"/>
        <w:ind w:left="116" w:right="98"/>
        <w:rPr>
          <w:lang w:val="sk-SK"/>
        </w:rPr>
      </w:pPr>
      <w:r>
        <w:rPr>
          <w:lang w:val="sk-SK"/>
        </w:rPr>
        <w:t>Pri súbež</w:t>
      </w:r>
      <w:r w:rsidR="005A7D1A" w:rsidRPr="00C14318">
        <w:rPr>
          <w:lang w:val="sk-SK"/>
        </w:rPr>
        <w:t>nom užívaní betablokátorov s dronedarónom je potrebná opatrnosť kvôli farmakokinetickým interakciám a možným farmakodynamickým interakciám. Liečba týmito liekmi sa musí začať  nízkou dávkou a titráciu dávky je potrebné robiť až po vyhodnotení EKG. U pacientov, ktorí v čase začatia</w:t>
      </w:r>
      <w:r w:rsidR="006765D8">
        <w:rPr>
          <w:lang w:val="sk-SK"/>
        </w:rPr>
        <w:t xml:space="preserve"> </w:t>
      </w:r>
      <w:r w:rsidR="005A7D1A" w:rsidRPr="00C14318">
        <w:rPr>
          <w:lang w:val="sk-SK"/>
        </w:rPr>
        <w:t>liečby dronedarónom už užívajú betablokátory, sa musí urobiť EKG a v prípade potreby sa musí ich dávka upraviť (pozri časť 4.4).</w:t>
      </w:r>
    </w:p>
    <w:p w14:paraId="04B27419" w14:textId="77777777" w:rsidR="005A7D1A" w:rsidRPr="00C14318" w:rsidRDefault="005A7D1A" w:rsidP="001B463B">
      <w:pPr>
        <w:pStyle w:val="Zkladntext"/>
        <w:spacing w:before="10"/>
        <w:rPr>
          <w:lang w:val="sk-SK"/>
        </w:rPr>
      </w:pPr>
    </w:p>
    <w:p w14:paraId="4D1C974E" w14:textId="77777777" w:rsidR="005A7D1A" w:rsidRPr="00C14318" w:rsidRDefault="005A7D1A" w:rsidP="001B463B">
      <w:pPr>
        <w:pStyle w:val="Odsekzoznamu"/>
        <w:numPr>
          <w:ilvl w:val="0"/>
          <w:numId w:val="2"/>
        </w:numPr>
        <w:tabs>
          <w:tab w:val="left" w:pos="682"/>
          <w:tab w:val="left" w:pos="683"/>
        </w:tabs>
        <w:ind w:left="682" w:hanging="566"/>
        <w:rPr>
          <w:lang w:val="sk-SK"/>
        </w:rPr>
      </w:pPr>
      <w:r w:rsidRPr="00C14318">
        <w:rPr>
          <w:lang w:val="sk-SK"/>
        </w:rPr>
        <w:t>Antidepresíva</w:t>
      </w:r>
    </w:p>
    <w:p w14:paraId="5CE57C54" w14:textId="77777777" w:rsidR="005A7D1A" w:rsidRPr="00C14318" w:rsidRDefault="005A7D1A" w:rsidP="001B463B">
      <w:pPr>
        <w:pStyle w:val="Zkladntext"/>
        <w:ind w:left="116" w:right="1065"/>
        <w:rPr>
          <w:lang w:val="sk-SK"/>
        </w:rPr>
      </w:pPr>
      <w:r w:rsidRPr="00C14318">
        <w:rPr>
          <w:lang w:val="sk-SK"/>
        </w:rPr>
        <w:t>Keďže je dronedarón slabý inhibítor CYP 2D6 u ľudí, predpokladá sa, že jeho pôsobenie na antidepresíva metabolizované CYP 2D6 je obmedzené.</w:t>
      </w:r>
    </w:p>
    <w:p w14:paraId="6ADF790E" w14:textId="77777777" w:rsidR="005A7D1A" w:rsidRPr="00C14318" w:rsidRDefault="005A7D1A" w:rsidP="001B463B">
      <w:pPr>
        <w:pStyle w:val="Zkladntext"/>
        <w:rPr>
          <w:lang w:val="sk-SK"/>
        </w:rPr>
      </w:pPr>
    </w:p>
    <w:p w14:paraId="1A34066C" w14:textId="5CAAFB94" w:rsidR="005A7D1A" w:rsidRPr="00C14318" w:rsidRDefault="005A7D1A" w:rsidP="001B463B">
      <w:pPr>
        <w:spacing w:line="252" w:lineRule="exact"/>
        <w:ind w:left="116"/>
        <w:rPr>
          <w:i/>
          <w:lang w:val="sk-SK"/>
        </w:rPr>
      </w:pPr>
      <w:r w:rsidRPr="00C14318">
        <w:rPr>
          <w:i/>
          <w:lang w:val="sk-SK"/>
        </w:rPr>
        <w:t xml:space="preserve">Interakcie </w:t>
      </w:r>
      <w:r w:rsidR="00B65EE9">
        <w:rPr>
          <w:i/>
          <w:lang w:val="sk-SK"/>
        </w:rPr>
        <w:t xml:space="preserve">substrátov </w:t>
      </w:r>
      <w:r w:rsidRPr="00C14318">
        <w:rPr>
          <w:i/>
          <w:lang w:val="sk-SK"/>
        </w:rPr>
        <w:t xml:space="preserve">P-gp </w:t>
      </w:r>
    </w:p>
    <w:p w14:paraId="58E72C48" w14:textId="77777777" w:rsidR="005A7D1A" w:rsidRPr="00C14318" w:rsidRDefault="005A7D1A" w:rsidP="001B463B">
      <w:pPr>
        <w:pStyle w:val="Odsekzoznamu"/>
        <w:numPr>
          <w:ilvl w:val="0"/>
          <w:numId w:val="2"/>
        </w:numPr>
        <w:tabs>
          <w:tab w:val="left" w:pos="682"/>
          <w:tab w:val="left" w:pos="683"/>
        </w:tabs>
        <w:spacing w:line="268" w:lineRule="exact"/>
        <w:ind w:left="682" w:hanging="566"/>
        <w:rPr>
          <w:lang w:val="sk-SK"/>
        </w:rPr>
      </w:pPr>
      <w:r w:rsidRPr="00C14318">
        <w:rPr>
          <w:lang w:val="sk-SK"/>
        </w:rPr>
        <w:t>Digoxín</w:t>
      </w:r>
    </w:p>
    <w:p w14:paraId="379AB833" w14:textId="2880B0CE" w:rsidR="005A7D1A" w:rsidRPr="00C14318" w:rsidRDefault="005A7D1A" w:rsidP="001B463B">
      <w:pPr>
        <w:pStyle w:val="Zkladntext"/>
        <w:spacing w:before="1"/>
        <w:ind w:left="116" w:right="448"/>
        <w:rPr>
          <w:lang w:val="sk-SK"/>
        </w:rPr>
      </w:pPr>
      <w:r w:rsidRPr="00C14318">
        <w:rPr>
          <w:lang w:val="sk-SK"/>
        </w:rPr>
        <w:t>Dronedarón (400 mg dvakrát denne) zvyšoval expozíciu digoxínu 2,5-násob</w:t>
      </w:r>
      <w:r w:rsidR="00B65EE9">
        <w:rPr>
          <w:lang w:val="sk-SK"/>
        </w:rPr>
        <w:t>ne</w:t>
      </w:r>
      <w:r w:rsidRPr="00C14318">
        <w:rPr>
          <w:lang w:val="sk-SK"/>
        </w:rPr>
        <w:t xml:space="preserve"> inhibíciou transportéru P-gp. </w:t>
      </w:r>
      <w:r w:rsidR="00B65EE9" w:rsidRPr="00C14318">
        <w:rPr>
          <w:lang w:val="sk-SK"/>
        </w:rPr>
        <w:t>Dig</w:t>
      </w:r>
      <w:r w:rsidR="00B65EE9">
        <w:rPr>
          <w:lang w:val="sk-SK"/>
        </w:rPr>
        <w:t>oxín</w:t>
      </w:r>
      <w:r w:rsidR="00B65EE9" w:rsidRPr="00C14318">
        <w:rPr>
          <w:lang w:val="sk-SK"/>
        </w:rPr>
        <w:t xml:space="preserve"> </w:t>
      </w:r>
      <w:r w:rsidRPr="00C14318">
        <w:rPr>
          <w:lang w:val="sk-SK"/>
        </w:rPr>
        <w:t>má potenciál interakcie s dronedarónom aj z farmakodynamického hľadiska. Je možný synergický účinok na tepovú frekvenciu srdca a atrioventrikulárne vedenie. V klinických št</w:t>
      </w:r>
      <w:r w:rsidR="00E164DF">
        <w:rPr>
          <w:lang w:val="sk-SK"/>
        </w:rPr>
        <w:t xml:space="preserve">údiách, </w:t>
      </w:r>
      <w:r w:rsidR="00B65EE9">
        <w:rPr>
          <w:lang w:val="sk-SK"/>
        </w:rPr>
        <w:t>v ktorých</w:t>
      </w:r>
      <w:r w:rsidR="00E164DF">
        <w:rPr>
          <w:lang w:val="sk-SK"/>
        </w:rPr>
        <w:t xml:space="preserve"> bol dronedarón súbež</w:t>
      </w:r>
      <w:r w:rsidRPr="00C14318">
        <w:rPr>
          <w:lang w:val="sk-SK"/>
        </w:rPr>
        <w:t>ne podávaný s dig</w:t>
      </w:r>
      <w:r w:rsidR="00B65EE9">
        <w:rPr>
          <w:lang w:val="sk-SK"/>
        </w:rPr>
        <w:t>oxínom</w:t>
      </w:r>
      <w:r w:rsidRPr="00C14318">
        <w:rPr>
          <w:lang w:val="sk-SK"/>
        </w:rPr>
        <w:t>, bola pozorovaná zvýšená hladina dig</w:t>
      </w:r>
      <w:r w:rsidR="00B65EE9">
        <w:rPr>
          <w:lang w:val="sk-SK"/>
        </w:rPr>
        <w:t>oxínu</w:t>
      </w:r>
      <w:r w:rsidRPr="00C14318">
        <w:rPr>
          <w:lang w:val="sk-SK"/>
        </w:rPr>
        <w:t xml:space="preserve"> a/alebo gastrointestinálne poruchy indikujúce dig</w:t>
      </w:r>
      <w:r w:rsidR="00B65EE9">
        <w:rPr>
          <w:lang w:val="sk-SK"/>
        </w:rPr>
        <w:t>oxínovú</w:t>
      </w:r>
      <w:r w:rsidRPr="00C14318">
        <w:rPr>
          <w:lang w:val="sk-SK"/>
        </w:rPr>
        <w:t xml:space="preserve"> toxicitu.</w:t>
      </w:r>
    </w:p>
    <w:p w14:paraId="45994189" w14:textId="77777777" w:rsidR="005A7D1A" w:rsidRPr="00C14318" w:rsidRDefault="005A7D1A" w:rsidP="001B463B">
      <w:pPr>
        <w:pStyle w:val="Zkladntext"/>
        <w:ind w:left="116" w:right="689"/>
        <w:rPr>
          <w:lang w:val="sk-SK"/>
        </w:rPr>
      </w:pPr>
      <w:r w:rsidRPr="00C14318">
        <w:rPr>
          <w:lang w:val="sk-SK"/>
        </w:rPr>
        <w:t xml:space="preserve">Dávka digoxínu sa musí zredukovať približne o 50%, sérová hladina digoxínu sa musí dôkladne </w:t>
      </w:r>
      <w:r w:rsidRPr="00C14318">
        <w:rPr>
          <w:lang w:val="sk-SK"/>
        </w:rPr>
        <w:lastRenderedPageBreak/>
        <w:t>monitorovať a odporúča sa klinické sledovanie a monitorovanie EKG.</w:t>
      </w:r>
    </w:p>
    <w:p w14:paraId="237409C6" w14:textId="77777777" w:rsidR="005A7D1A" w:rsidRPr="00C14318" w:rsidRDefault="005A7D1A" w:rsidP="001B463B">
      <w:pPr>
        <w:pStyle w:val="Zkladntext"/>
        <w:spacing w:before="10"/>
        <w:rPr>
          <w:lang w:val="sk-SK"/>
        </w:rPr>
      </w:pPr>
    </w:p>
    <w:p w14:paraId="35A7C513" w14:textId="63E45109" w:rsidR="005A7D1A" w:rsidRPr="00C14318" w:rsidRDefault="005A7D1A" w:rsidP="001B463B">
      <w:pPr>
        <w:pStyle w:val="Odsekzoznamu"/>
        <w:numPr>
          <w:ilvl w:val="0"/>
          <w:numId w:val="2"/>
        </w:numPr>
        <w:tabs>
          <w:tab w:val="left" w:pos="836"/>
          <w:tab w:val="left" w:pos="837"/>
        </w:tabs>
        <w:spacing w:before="1" w:line="269" w:lineRule="exact"/>
        <w:ind w:left="836" w:hanging="720"/>
        <w:rPr>
          <w:lang w:val="sk-SK"/>
        </w:rPr>
      </w:pPr>
      <w:r w:rsidRPr="00C14318">
        <w:rPr>
          <w:lang w:val="sk-SK"/>
        </w:rPr>
        <w:t>Dabigatr</w:t>
      </w:r>
      <w:r w:rsidR="00B65EE9">
        <w:rPr>
          <w:lang w:val="sk-SK"/>
        </w:rPr>
        <w:t>á</w:t>
      </w:r>
      <w:r w:rsidRPr="00C14318">
        <w:rPr>
          <w:lang w:val="sk-SK"/>
        </w:rPr>
        <w:t>n</w:t>
      </w:r>
    </w:p>
    <w:p w14:paraId="00404312" w14:textId="37FCDD5C" w:rsidR="005A7D1A" w:rsidRPr="00C14318" w:rsidRDefault="005A7D1A" w:rsidP="001B463B">
      <w:pPr>
        <w:pStyle w:val="Zkladntext"/>
        <w:ind w:left="116" w:right="203"/>
        <w:rPr>
          <w:lang w:val="sk-SK"/>
        </w:rPr>
      </w:pPr>
      <w:r w:rsidRPr="00C14318">
        <w:rPr>
          <w:lang w:val="sk-SK"/>
        </w:rPr>
        <w:t>Keď sa podával dabigatr</w:t>
      </w:r>
      <w:r w:rsidR="00B65EE9">
        <w:rPr>
          <w:lang w:val="sk-SK"/>
        </w:rPr>
        <w:t>á</w:t>
      </w:r>
      <w:r w:rsidRPr="00C14318">
        <w:rPr>
          <w:lang w:val="sk-SK"/>
        </w:rPr>
        <w:t>netexilát 150 mg jedenkrát den</w:t>
      </w:r>
      <w:r w:rsidR="008E5469">
        <w:rPr>
          <w:lang w:val="sk-SK"/>
        </w:rPr>
        <w:t>ne súbež</w:t>
      </w:r>
      <w:r w:rsidRPr="00C14318">
        <w:rPr>
          <w:lang w:val="sk-SK"/>
        </w:rPr>
        <w:t xml:space="preserve">ne s dronedarónom 400 mg dvakrát denne, zvýšila sa </w:t>
      </w:r>
      <w:r w:rsidR="00B65EE9">
        <w:rPr>
          <w:lang w:val="sk-SK"/>
        </w:rPr>
        <w:t xml:space="preserve">pri </w:t>
      </w:r>
      <w:r w:rsidRPr="00C14318">
        <w:rPr>
          <w:lang w:val="sk-SK"/>
        </w:rPr>
        <w:t>dabigatr</w:t>
      </w:r>
      <w:r w:rsidR="00B65EE9">
        <w:rPr>
          <w:lang w:val="sk-SK"/>
        </w:rPr>
        <w:t>áne</w:t>
      </w:r>
      <w:r w:rsidRPr="00C14318">
        <w:rPr>
          <w:lang w:val="sk-SK"/>
        </w:rPr>
        <w:t xml:space="preserve"> AUC</w:t>
      </w:r>
      <w:r w:rsidRPr="004E3016">
        <w:rPr>
          <w:vertAlign w:val="subscript"/>
          <w:lang w:val="sk-SK"/>
        </w:rPr>
        <w:t>0-24</w:t>
      </w:r>
      <w:r w:rsidRPr="00C14318">
        <w:rPr>
          <w:lang w:val="sk-SK"/>
        </w:rPr>
        <w:t xml:space="preserve"> o 100 % a C</w:t>
      </w:r>
      <w:r w:rsidRPr="006765D8">
        <w:rPr>
          <w:vertAlign w:val="subscript"/>
          <w:lang w:val="sk-SK"/>
        </w:rPr>
        <w:t>max</w:t>
      </w:r>
      <w:r w:rsidRPr="008E5469">
        <w:rPr>
          <w:lang w:val="sk-SK"/>
        </w:rPr>
        <w:t xml:space="preserve"> </w:t>
      </w:r>
      <w:r w:rsidRPr="00C14318">
        <w:rPr>
          <w:lang w:val="sk-SK"/>
        </w:rPr>
        <w:t>o 70 %. N</w:t>
      </w:r>
      <w:r w:rsidR="008E5469">
        <w:rPr>
          <w:lang w:val="sk-SK"/>
        </w:rPr>
        <w:t xml:space="preserve">ie sú k dispozícii žiadne údaje </w:t>
      </w:r>
      <w:r w:rsidR="005C747C">
        <w:rPr>
          <w:lang w:val="sk-SK"/>
        </w:rPr>
        <w:t>o súbež</w:t>
      </w:r>
      <w:r w:rsidRPr="00C14318">
        <w:rPr>
          <w:lang w:val="sk-SK"/>
        </w:rPr>
        <w:t>nom podávaní týchto lie</w:t>
      </w:r>
      <w:r w:rsidR="00B65EE9">
        <w:rPr>
          <w:lang w:val="sk-SK"/>
        </w:rPr>
        <w:t>čiv</w:t>
      </w:r>
      <w:r w:rsidRPr="00C14318">
        <w:rPr>
          <w:lang w:val="sk-SK"/>
        </w:rPr>
        <w:t xml:space="preserve"> pacientom</w:t>
      </w:r>
      <w:r w:rsidR="00E22CE6">
        <w:rPr>
          <w:lang w:val="sk-SK"/>
        </w:rPr>
        <w:t xml:space="preserve"> s AF. Ich súbež</w:t>
      </w:r>
      <w:r w:rsidR="005C747C">
        <w:rPr>
          <w:lang w:val="sk-SK"/>
        </w:rPr>
        <w:t xml:space="preserve">né podávanie je </w:t>
      </w:r>
      <w:r w:rsidRPr="00C14318">
        <w:rPr>
          <w:lang w:val="sk-SK"/>
        </w:rPr>
        <w:t>kontraindikované (pozri časť 4.3).</w:t>
      </w:r>
    </w:p>
    <w:p w14:paraId="3C59C2DC" w14:textId="77777777" w:rsidR="005A7D1A" w:rsidRPr="00C14318" w:rsidRDefault="005A7D1A" w:rsidP="001B463B">
      <w:pPr>
        <w:pStyle w:val="Zkladntext"/>
        <w:ind w:left="116" w:right="266"/>
        <w:rPr>
          <w:lang w:val="sk-SK"/>
        </w:rPr>
      </w:pPr>
    </w:p>
    <w:p w14:paraId="5A954A0A" w14:textId="77777777" w:rsidR="005A7D1A" w:rsidRPr="00C14318" w:rsidRDefault="005A7D1A" w:rsidP="001B463B">
      <w:pPr>
        <w:spacing w:before="1" w:line="252" w:lineRule="exact"/>
        <w:ind w:left="116"/>
        <w:rPr>
          <w:i/>
          <w:lang w:val="sk-SK"/>
        </w:rPr>
      </w:pPr>
      <w:r w:rsidRPr="00C14318">
        <w:rPr>
          <w:i/>
          <w:lang w:val="sk-SK"/>
        </w:rPr>
        <w:t>Pôsobenie na warfarín a losartan (substráty CYP 2C9)</w:t>
      </w:r>
    </w:p>
    <w:p w14:paraId="2C463AE0" w14:textId="77777777" w:rsidR="005A7D1A" w:rsidRPr="00C14318" w:rsidRDefault="005A7D1A" w:rsidP="001B463B">
      <w:pPr>
        <w:pStyle w:val="Odsekzoznamu"/>
        <w:numPr>
          <w:ilvl w:val="0"/>
          <w:numId w:val="2"/>
        </w:numPr>
        <w:tabs>
          <w:tab w:val="left" w:pos="836"/>
          <w:tab w:val="left" w:pos="837"/>
        </w:tabs>
        <w:spacing w:line="268" w:lineRule="exact"/>
        <w:ind w:left="836" w:hanging="720"/>
        <w:rPr>
          <w:lang w:val="sk-SK"/>
        </w:rPr>
      </w:pPr>
      <w:r w:rsidRPr="00C14318">
        <w:rPr>
          <w:lang w:val="sk-SK"/>
        </w:rPr>
        <w:t>Warfarín a iné antagonisty vitamínu</w:t>
      </w:r>
      <w:r w:rsidRPr="00C14318">
        <w:rPr>
          <w:spacing w:val="-12"/>
          <w:lang w:val="sk-SK"/>
        </w:rPr>
        <w:t xml:space="preserve"> </w:t>
      </w:r>
      <w:r w:rsidRPr="00C14318">
        <w:rPr>
          <w:lang w:val="sk-SK"/>
        </w:rPr>
        <w:t>K</w:t>
      </w:r>
    </w:p>
    <w:p w14:paraId="1D4D63AA" w14:textId="1211578A" w:rsidR="005A7D1A" w:rsidRPr="00C14318" w:rsidRDefault="005A7D1A" w:rsidP="001B463B">
      <w:pPr>
        <w:pStyle w:val="Zkladntext"/>
        <w:ind w:left="116" w:right="357"/>
        <w:rPr>
          <w:lang w:val="sk-SK"/>
        </w:rPr>
      </w:pPr>
      <w:r w:rsidRPr="00C14318">
        <w:rPr>
          <w:lang w:val="sk-SK"/>
        </w:rPr>
        <w:t>Dronedarón (600 mg dva</w:t>
      </w:r>
      <w:r w:rsidR="004037F5">
        <w:rPr>
          <w:lang w:val="sk-SK"/>
        </w:rPr>
        <w:t>krát denne) zvyšoval S-warfarín</w:t>
      </w:r>
      <w:r w:rsidRPr="00C14318">
        <w:rPr>
          <w:lang w:val="sk-SK"/>
        </w:rPr>
        <w:t xml:space="preserve"> 1,2-násob</w:t>
      </w:r>
      <w:r w:rsidR="00B65EE9">
        <w:rPr>
          <w:lang w:val="sk-SK"/>
        </w:rPr>
        <w:t>ne</w:t>
      </w:r>
      <w:r w:rsidRPr="00C14318">
        <w:rPr>
          <w:lang w:val="sk-SK"/>
        </w:rPr>
        <w:t xml:space="preserve"> bez zmeny  R-warfarínu a iba s 1,07-násobným nárastom International Normalised Ratio (INR).</w:t>
      </w:r>
    </w:p>
    <w:p w14:paraId="3CF544C1" w14:textId="24C1AEA9" w:rsidR="005A7D1A" w:rsidRPr="00C14318" w:rsidRDefault="005A7D1A" w:rsidP="001B463B">
      <w:pPr>
        <w:pStyle w:val="Zkladntext"/>
        <w:spacing w:before="1"/>
        <w:ind w:left="116" w:right="94"/>
        <w:rPr>
          <w:lang w:val="sk-SK"/>
        </w:rPr>
      </w:pPr>
      <w:r w:rsidRPr="00C14318">
        <w:rPr>
          <w:lang w:val="sk-SK"/>
        </w:rPr>
        <w:t>Avšak u pacientov užívajúcich perorálne antikoagulanciá bolo hlásené klinicky významné zvýšenie INR (≥</w:t>
      </w:r>
      <w:r w:rsidR="00870E52">
        <w:rPr>
          <w:lang w:val="sk-SK"/>
        </w:rPr>
        <w:t xml:space="preserve"> </w:t>
      </w:r>
      <w:r w:rsidRPr="00C14318">
        <w:rPr>
          <w:lang w:val="sk-SK"/>
        </w:rPr>
        <w:t>5) obvykle v priebehu 1 týždňa po začatí liečby dronedarónom. Preto je nutné po začatí liečby dronedarónom u pacientov užívajúcich antagonisty vitamínu K podľa ich označenia dôkladne sledovať INR.</w:t>
      </w:r>
    </w:p>
    <w:p w14:paraId="285B6B58" w14:textId="77777777" w:rsidR="005A7D1A" w:rsidRPr="00C14318" w:rsidRDefault="005A7D1A" w:rsidP="001B463B">
      <w:pPr>
        <w:pStyle w:val="Zkladntext"/>
        <w:rPr>
          <w:lang w:val="sk-SK"/>
        </w:rPr>
      </w:pPr>
    </w:p>
    <w:p w14:paraId="5631D088" w14:textId="7AD75F00" w:rsidR="005A7D1A" w:rsidRPr="00C14318" w:rsidRDefault="00D23191" w:rsidP="001B463B">
      <w:pPr>
        <w:pStyle w:val="Zkladntext"/>
        <w:spacing w:line="252" w:lineRule="exact"/>
        <w:ind w:left="116"/>
        <w:rPr>
          <w:lang w:val="sk-SK"/>
        </w:rPr>
      </w:pPr>
      <w:r>
        <w:rPr>
          <w:lang w:val="sk-SK"/>
        </w:rPr>
        <w:t>Losartan a iné ARB</w:t>
      </w:r>
      <w:r w:rsidR="005A7D1A" w:rsidRPr="00C14318">
        <w:rPr>
          <w:lang w:val="sk-SK"/>
        </w:rPr>
        <w:t xml:space="preserve"> (antagonisty </w:t>
      </w:r>
      <w:r w:rsidR="005A7D1A" w:rsidRPr="005B792B">
        <w:rPr>
          <w:lang w:val="sk-SK"/>
        </w:rPr>
        <w:t>receptor</w:t>
      </w:r>
      <w:r w:rsidR="005B792B" w:rsidRPr="004E3016">
        <w:rPr>
          <w:lang w:val="sk-SK"/>
        </w:rPr>
        <w:t>a</w:t>
      </w:r>
      <w:r w:rsidR="005A7D1A" w:rsidRPr="00B31CA3">
        <w:rPr>
          <w:lang w:val="sk-SK"/>
        </w:rPr>
        <w:t xml:space="preserve"> angiotenzín</w:t>
      </w:r>
      <w:r w:rsidR="005B792B" w:rsidRPr="00B31CA3">
        <w:rPr>
          <w:lang w:val="sk-SK"/>
        </w:rPr>
        <w:t>u</w:t>
      </w:r>
      <w:r w:rsidR="005A7D1A" w:rsidRPr="00B31CA3">
        <w:rPr>
          <w:lang w:val="sk-SK"/>
        </w:rPr>
        <w:t xml:space="preserve"> II)</w:t>
      </w:r>
    </w:p>
    <w:p w14:paraId="5019C8C6" w14:textId="77777777" w:rsidR="005A7D1A" w:rsidRPr="00C14318" w:rsidRDefault="005A7D1A" w:rsidP="001B463B">
      <w:pPr>
        <w:pStyle w:val="Zkladntext"/>
        <w:ind w:left="116" w:right="203"/>
        <w:rPr>
          <w:lang w:val="sk-SK"/>
        </w:rPr>
      </w:pPr>
      <w:r w:rsidRPr="00C14318">
        <w:rPr>
          <w:lang w:val="sk-SK"/>
        </w:rPr>
        <w:t>Medzi dronedarónom a losartanom sa nepozorovali žiadne interakcie a interakcie</w:t>
      </w:r>
      <w:r w:rsidR="00D23191">
        <w:rPr>
          <w:lang w:val="sk-SK"/>
        </w:rPr>
        <w:t xml:space="preserve"> medzi dronedarónom a inými ARB</w:t>
      </w:r>
      <w:r w:rsidRPr="00C14318">
        <w:rPr>
          <w:lang w:val="sk-SK"/>
        </w:rPr>
        <w:t xml:space="preserve"> sa neočakávajú.</w:t>
      </w:r>
    </w:p>
    <w:p w14:paraId="083825D4" w14:textId="77777777" w:rsidR="005A7D1A" w:rsidRPr="00C14318" w:rsidRDefault="005A7D1A" w:rsidP="001B463B">
      <w:pPr>
        <w:pStyle w:val="Zkladntext"/>
        <w:spacing w:before="10"/>
        <w:rPr>
          <w:lang w:val="sk-SK"/>
        </w:rPr>
      </w:pPr>
    </w:p>
    <w:p w14:paraId="6D0FFDF2" w14:textId="03DA87AF" w:rsidR="005A7D1A" w:rsidRPr="00C14318" w:rsidRDefault="005A7D1A" w:rsidP="001B463B">
      <w:pPr>
        <w:ind w:left="116"/>
        <w:rPr>
          <w:i/>
          <w:lang w:val="sk-SK"/>
        </w:rPr>
      </w:pPr>
      <w:r w:rsidRPr="00C14318">
        <w:rPr>
          <w:i/>
          <w:lang w:val="sk-SK"/>
        </w:rPr>
        <w:t>Pôsobenie na teofylín (substrát CYP 1A2)</w:t>
      </w:r>
    </w:p>
    <w:p w14:paraId="198E1524" w14:textId="77777777" w:rsidR="005A7D1A" w:rsidRPr="00C14318" w:rsidRDefault="005A7D1A" w:rsidP="001B463B">
      <w:pPr>
        <w:pStyle w:val="Zkladntext"/>
        <w:spacing w:before="1"/>
        <w:ind w:left="116"/>
        <w:rPr>
          <w:lang w:val="sk-SK"/>
        </w:rPr>
      </w:pPr>
      <w:r w:rsidRPr="00C14318">
        <w:rPr>
          <w:lang w:val="sk-SK"/>
        </w:rPr>
        <w:t>Dronedarón 400 mg dvakrát denne nezvyšuje rovnovážny stav expozície teofylínu.</w:t>
      </w:r>
    </w:p>
    <w:p w14:paraId="7ACDD307" w14:textId="77777777" w:rsidR="005A7D1A" w:rsidRPr="00C14318" w:rsidRDefault="005A7D1A" w:rsidP="001B463B">
      <w:pPr>
        <w:pStyle w:val="Zkladntext"/>
        <w:rPr>
          <w:lang w:val="sk-SK"/>
        </w:rPr>
      </w:pPr>
    </w:p>
    <w:p w14:paraId="4525A249" w14:textId="7193F965" w:rsidR="005A7D1A" w:rsidRPr="00C14318" w:rsidRDefault="005A7D1A" w:rsidP="001B463B">
      <w:pPr>
        <w:spacing w:line="253" w:lineRule="exact"/>
        <w:ind w:left="116"/>
        <w:rPr>
          <w:i/>
          <w:lang w:val="sk-SK"/>
        </w:rPr>
      </w:pPr>
      <w:r w:rsidRPr="00C14318">
        <w:rPr>
          <w:i/>
          <w:lang w:val="sk-SK"/>
        </w:rPr>
        <w:t>Interakcia s metformínom (substrát OCT1 a OCT2)</w:t>
      </w:r>
    </w:p>
    <w:p w14:paraId="4FCFB657" w14:textId="54D39A11" w:rsidR="005A7D1A" w:rsidRPr="00C14318" w:rsidRDefault="005A7D1A" w:rsidP="001B463B">
      <w:pPr>
        <w:ind w:left="116"/>
        <w:rPr>
          <w:lang w:val="sk-SK"/>
        </w:rPr>
      </w:pPr>
      <w:r w:rsidRPr="00C14318">
        <w:rPr>
          <w:lang w:val="sk-SK"/>
        </w:rPr>
        <w:t xml:space="preserve">Medzi dronedarónom a metformínom </w:t>
      </w:r>
      <w:r w:rsidRPr="00C14318">
        <w:rPr>
          <w:i/>
          <w:lang w:val="sk-SK"/>
        </w:rPr>
        <w:t xml:space="preserve">(substrát OCT1 a OCT2) </w:t>
      </w:r>
      <w:r w:rsidRPr="00C14318">
        <w:rPr>
          <w:lang w:val="sk-SK"/>
        </w:rPr>
        <w:t>sa nepozorovala žiadna interakcia.</w:t>
      </w:r>
    </w:p>
    <w:p w14:paraId="6E93100E" w14:textId="77777777" w:rsidR="005A7D1A" w:rsidRPr="00C14318" w:rsidRDefault="005A7D1A" w:rsidP="001B463B">
      <w:pPr>
        <w:pStyle w:val="Zkladntext"/>
        <w:rPr>
          <w:lang w:val="sk-SK"/>
        </w:rPr>
      </w:pPr>
    </w:p>
    <w:p w14:paraId="1ADBCADF" w14:textId="77777777" w:rsidR="005A7D1A" w:rsidRPr="005B277F" w:rsidRDefault="005A7D1A" w:rsidP="001B463B">
      <w:pPr>
        <w:spacing w:before="1" w:line="252" w:lineRule="exact"/>
        <w:ind w:left="116"/>
        <w:rPr>
          <w:lang w:val="sk-SK"/>
        </w:rPr>
      </w:pPr>
      <w:r w:rsidRPr="005B277F">
        <w:rPr>
          <w:lang w:val="sk-SK"/>
        </w:rPr>
        <w:t>Interakcia s omeprazolom (substrát CYP 2C19)</w:t>
      </w:r>
    </w:p>
    <w:p w14:paraId="7D028222" w14:textId="6DA3364B" w:rsidR="005A7D1A" w:rsidRPr="00C14318" w:rsidRDefault="005A7D1A" w:rsidP="001B463B">
      <w:pPr>
        <w:pStyle w:val="Zkladntext"/>
        <w:spacing w:line="252" w:lineRule="exact"/>
        <w:ind w:left="116"/>
        <w:rPr>
          <w:lang w:val="sk-SK"/>
        </w:rPr>
      </w:pPr>
      <w:r w:rsidRPr="00C14318">
        <w:rPr>
          <w:lang w:val="sk-SK"/>
        </w:rPr>
        <w:t>Dronedarón nemá vplyv na farmakokinetiku omeprazolu, substrát</w:t>
      </w:r>
      <w:r w:rsidR="00870E52">
        <w:rPr>
          <w:lang w:val="sk-SK"/>
        </w:rPr>
        <w:t>u</w:t>
      </w:r>
      <w:r w:rsidRPr="00C14318">
        <w:rPr>
          <w:lang w:val="sk-SK"/>
        </w:rPr>
        <w:t xml:space="preserve"> CYP 2C19.</w:t>
      </w:r>
    </w:p>
    <w:p w14:paraId="64474A3C" w14:textId="77777777" w:rsidR="005A7D1A" w:rsidRPr="00C14318" w:rsidRDefault="005A7D1A" w:rsidP="001B463B">
      <w:pPr>
        <w:pStyle w:val="Zkladntext"/>
        <w:rPr>
          <w:lang w:val="sk-SK"/>
        </w:rPr>
      </w:pPr>
    </w:p>
    <w:p w14:paraId="1DF7D19E" w14:textId="77777777" w:rsidR="005A7D1A" w:rsidRPr="00C14318" w:rsidRDefault="005A7D1A" w:rsidP="001B463B">
      <w:pPr>
        <w:spacing w:line="252" w:lineRule="exact"/>
        <w:ind w:left="116"/>
        <w:rPr>
          <w:i/>
          <w:lang w:val="sk-SK"/>
        </w:rPr>
      </w:pPr>
      <w:r w:rsidRPr="00C14318">
        <w:rPr>
          <w:i/>
          <w:lang w:val="sk-SK"/>
        </w:rPr>
        <w:t>Interakcia s klopidogrelom</w:t>
      </w:r>
    </w:p>
    <w:p w14:paraId="47314A81" w14:textId="54CA5A1D" w:rsidR="005A7D1A" w:rsidRPr="00C14318" w:rsidRDefault="005A7D1A" w:rsidP="001B463B">
      <w:pPr>
        <w:pStyle w:val="Zkladntext"/>
        <w:spacing w:line="252" w:lineRule="exact"/>
        <w:ind w:left="116"/>
        <w:rPr>
          <w:lang w:val="sk-SK"/>
        </w:rPr>
      </w:pPr>
      <w:r w:rsidRPr="00C14318">
        <w:rPr>
          <w:lang w:val="sk-SK"/>
        </w:rPr>
        <w:t>Dronedarón nemá vplyv na farmakokinetiku klopidogrelu a jeho aktívn</w:t>
      </w:r>
      <w:r w:rsidR="00870E52">
        <w:rPr>
          <w:lang w:val="sk-SK"/>
        </w:rPr>
        <w:t xml:space="preserve">eho </w:t>
      </w:r>
      <w:r w:rsidRPr="00C14318">
        <w:rPr>
          <w:lang w:val="sk-SK"/>
        </w:rPr>
        <w:t>metabolit</w:t>
      </w:r>
      <w:r w:rsidR="00870E52">
        <w:rPr>
          <w:lang w:val="sk-SK"/>
        </w:rPr>
        <w:t>u</w:t>
      </w:r>
      <w:r w:rsidRPr="00C14318">
        <w:rPr>
          <w:lang w:val="sk-SK"/>
        </w:rPr>
        <w:t>.</w:t>
      </w:r>
    </w:p>
    <w:p w14:paraId="490401DE" w14:textId="77777777" w:rsidR="005A7D1A" w:rsidRPr="00C14318" w:rsidRDefault="005A7D1A" w:rsidP="001B463B">
      <w:pPr>
        <w:pStyle w:val="Zkladntext"/>
        <w:rPr>
          <w:lang w:val="sk-SK"/>
        </w:rPr>
      </w:pPr>
    </w:p>
    <w:p w14:paraId="39C874AB" w14:textId="77777777" w:rsidR="005A7D1A" w:rsidRPr="00C14318" w:rsidRDefault="005A7D1A" w:rsidP="001B463B">
      <w:pPr>
        <w:ind w:left="116"/>
        <w:rPr>
          <w:i/>
          <w:lang w:val="sk-SK"/>
        </w:rPr>
      </w:pPr>
      <w:r w:rsidRPr="00C14318">
        <w:rPr>
          <w:i/>
          <w:lang w:val="sk-SK"/>
        </w:rPr>
        <w:t>Ďalšie informácie</w:t>
      </w:r>
    </w:p>
    <w:p w14:paraId="5A30A7D9" w14:textId="1A5E30F5" w:rsidR="00CA170D" w:rsidRDefault="005A7D1A" w:rsidP="001B463B">
      <w:pPr>
        <w:pStyle w:val="Zkladntext"/>
        <w:ind w:left="116" w:right="799"/>
        <w:rPr>
          <w:lang w:val="sk-SK"/>
        </w:rPr>
      </w:pPr>
      <w:r w:rsidRPr="00C14318">
        <w:rPr>
          <w:lang w:val="sk-SK"/>
        </w:rPr>
        <w:t>Pantoprazol (40 mg jedenkrát denne), lie</w:t>
      </w:r>
      <w:r w:rsidR="00870E52">
        <w:rPr>
          <w:lang w:val="sk-SK"/>
        </w:rPr>
        <w:t>čivo</w:t>
      </w:r>
      <w:r w:rsidRPr="00C14318">
        <w:rPr>
          <w:lang w:val="sk-SK"/>
        </w:rPr>
        <w:t xml:space="preserve"> zvyšujúc</w:t>
      </w:r>
      <w:r w:rsidR="00870E52">
        <w:rPr>
          <w:lang w:val="sk-SK"/>
        </w:rPr>
        <w:t>e</w:t>
      </w:r>
      <w:r w:rsidRPr="00C14318">
        <w:rPr>
          <w:lang w:val="sk-SK"/>
        </w:rPr>
        <w:t xml:space="preserve"> žalúdočné pH bez akéhokoľvek účinku na cytochróm P450, nemal na farmakokinetiku dronedarónu významný vplyv.</w:t>
      </w:r>
    </w:p>
    <w:p w14:paraId="17A426F9" w14:textId="77777777" w:rsidR="00CA170D" w:rsidRDefault="00CA170D" w:rsidP="001B463B">
      <w:pPr>
        <w:pStyle w:val="Zkladntext"/>
        <w:ind w:left="116" w:right="799"/>
        <w:rPr>
          <w:lang w:val="sk-SK"/>
        </w:rPr>
      </w:pPr>
    </w:p>
    <w:p w14:paraId="0F77CA98" w14:textId="77777777" w:rsidR="005A7D1A" w:rsidRPr="00C14318" w:rsidRDefault="005A7D1A" w:rsidP="001B463B">
      <w:pPr>
        <w:pStyle w:val="Zkladntext"/>
        <w:ind w:left="116" w:right="799"/>
        <w:rPr>
          <w:lang w:val="sk-SK"/>
        </w:rPr>
      </w:pPr>
      <w:r w:rsidRPr="00C14318">
        <w:rPr>
          <w:u w:val="single"/>
          <w:lang w:val="sk-SK"/>
        </w:rPr>
        <w:t>Grapefruitový džús (inhibítor CYP 3A4)</w:t>
      </w:r>
    </w:p>
    <w:p w14:paraId="01A3DC2D" w14:textId="77777777" w:rsidR="005A7D1A" w:rsidRPr="00C14318" w:rsidRDefault="005A7D1A" w:rsidP="001B463B">
      <w:pPr>
        <w:pStyle w:val="Zkladntext"/>
        <w:ind w:left="116" w:right="203"/>
        <w:rPr>
          <w:lang w:val="sk-SK"/>
        </w:rPr>
      </w:pPr>
      <w:r w:rsidRPr="00C14318">
        <w:rPr>
          <w:lang w:val="sk-SK"/>
        </w:rPr>
        <w:t>Opakované dávky 300 ml grapefruitového džúsu trikrát denne mali za následok trojnásobné zvýšenie expozície dronedarónu. Preto pacienti musia byť upozornení, aby počas liečby dronedarónom vylúčili konzumáciu nápojov obsahujúcich grapefruitový džús (pozri časť 4.4).</w:t>
      </w:r>
    </w:p>
    <w:p w14:paraId="06424B3F" w14:textId="77777777" w:rsidR="005A7D1A" w:rsidRPr="00C14318" w:rsidRDefault="005A7D1A" w:rsidP="001B463B">
      <w:pPr>
        <w:pStyle w:val="Zkladntext"/>
        <w:spacing w:before="5"/>
        <w:rPr>
          <w:lang w:val="sk-SK"/>
        </w:rPr>
      </w:pPr>
    </w:p>
    <w:p w14:paraId="384D5966"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Fertilita, gravidita a</w:t>
      </w:r>
      <w:r w:rsidRPr="00C14318">
        <w:rPr>
          <w:spacing w:val="-11"/>
          <w:lang w:val="sk-SK"/>
        </w:rPr>
        <w:t xml:space="preserve"> </w:t>
      </w:r>
      <w:r w:rsidRPr="00C14318">
        <w:rPr>
          <w:lang w:val="sk-SK"/>
        </w:rPr>
        <w:t>laktácia</w:t>
      </w:r>
    </w:p>
    <w:p w14:paraId="0A6B7528" w14:textId="77777777" w:rsidR="005A7D1A" w:rsidRPr="00C14318" w:rsidRDefault="005A7D1A" w:rsidP="001B463B">
      <w:pPr>
        <w:pStyle w:val="Zkladntext"/>
        <w:spacing w:before="4"/>
        <w:rPr>
          <w:b/>
          <w:lang w:val="sk-SK"/>
        </w:rPr>
      </w:pPr>
    </w:p>
    <w:p w14:paraId="577A449D" w14:textId="77777777" w:rsidR="005A7D1A" w:rsidRPr="00C14318" w:rsidRDefault="005A7D1A" w:rsidP="001B463B">
      <w:pPr>
        <w:pStyle w:val="Zkladntext"/>
        <w:ind w:left="135"/>
        <w:rPr>
          <w:lang w:val="sk-SK"/>
        </w:rPr>
      </w:pPr>
      <w:r w:rsidRPr="00C14318">
        <w:rPr>
          <w:u w:val="single"/>
          <w:lang w:val="sk-SK"/>
        </w:rPr>
        <w:t>Ženy vo fertilnom veku a gravidita</w:t>
      </w:r>
    </w:p>
    <w:p w14:paraId="08A72703" w14:textId="77777777" w:rsidR="005A7D1A" w:rsidRPr="00C14318" w:rsidRDefault="005A7D1A" w:rsidP="001B463B">
      <w:pPr>
        <w:pStyle w:val="Zkladntext"/>
        <w:spacing w:before="1"/>
        <w:ind w:left="116" w:right="682"/>
        <w:rPr>
          <w:lang w:val="sk-SK"/>
        </w:rPr>
      </w:pPr>
      <w:r w:rsidRPr="00C14318">
        <w:rPr>
          <w:lang w:val="sk-SK"/>
        </w:rPr>
        <w:t>K dispozícii nie sú žiadne údaje alebo je len obmedzené množstvo údajov o použití dronedarónu u gravidných žien. Štúdie na zvieratách preukázali reprodukčnú toxicitu (pozri časť 5.3).</w:t>
      </w:r>
    </w:p>
    <w:p w14:paraId="0F9047C1" w14:textId="77777777" w:rsidR="005A7D1A" w:rsidRPr="00C14318" w:rsidRDefault="00D8308E" w:rsidP="001B463B">
      <w:pPr>
        <w:pStyle w:val="Zkladntext"/>
        <w:spacing w:line="252" w:lineRule="exact"/>
        <w:ind w:left="116"/>
        <w:rPr>
          <w:lang w:val="sk-SK"/>
        </w:rPr>
      </w:pPr>
      <w:r>
        <w:rPr>
          <w:lang w:val="sk-SK"/>
        </w:rPr>
        <w:t xml:space="preserve">Dronedarón </w:t>
      </w:r>
      <w:r w:rsidR="005A7D1A" w:rsidRPr="00C14318">
        <w:rPr>
          <w:lang w:val="sk-SK"/>
        </w:rPr>
        <w:t>sa neodporúča počas gravidity a u žien vo fertilnom veku, ktoré nepoužívajú antikoncepciu.</w:t>
      </w:r>
    </w:p>
    <w:p w14:paraId="2D1D6A4A" w14:textId="77777777" w:rsidR="005A7D1A" w:rsidRPr="00C14318" w:rsidRDefault="005A7D1A" w:rsidP="001B463B">
      <w:pPr>
        <w:pStyle w:val="Zkladntext"/>
        <w:rPr>
          <w:lang w:val="sk-SK"/>
        </w:rPr>
      </w:pPr>
    </w:p>
    <w:p w14:paraId="5C83750B" w14:textId="77777777" w:rsidR="005A7D1A" w:rsidRPr="00C14318" w:rsidRDefault="005A7D1A" w:rsidP="001B463B">
      <w:pPr>
        <w:pStyle w:val="Zkladntext"/>
        <w:ind w:left="135"/>
        <w:rPr>
          <w:lang w:val="sk-SK"/>
        </w:rPr>
      </w:pPr>
      <w:r w:rsidRPr="00C14318">
        <w:rPr>
          <w:u w:val="single"/>
          <w:lang w:val="sk-SK"/>
        </w:rPr>
        <w:t>Dojčenie</w:t>
      </w:r>
    </w:p>
    <w:p w14:paraId="3A2E10DF" w14:textId="77777777" w:rsidR="005A7D1A" w:rsidRPr="00C14318" w:rsidRDefault="005A7D1A" w:rsidP="001B463B">
      <w:pPr>
        <w:pStyle w:val="Zkladntext"/>
        <w:ind w:left="116" w:right="438"/>
        <w:rPr>
          <w:lang w:val="sk-SK"/>
        </w:rPr>
      </w:pPr>
      <w:r w:rsidRPr="00C14318">
        <w:rPr>
          <w:lang w:val="sk-SK"/>
        </w:rPr>
        <w:lastRenderedPageBreak/>
        <w:t xml:space="preserve">Nie je známe, či dronedarón a jeho metabolity prechádzajú do materského mlieka. Dostupné farmakodynamické/toxikologické údaje </w:t>
      </w:r>
      <w:r w:rsidR="00D853CD">
        <w:rPr>
          <w:lang w:val="sk-SK"/>
        </w:rPr>
        <w:t xml:space="preserve">u zvierat </w:t>
      </w:r>
      <w:r w:rsidRPr="00C14318">
        <w:rPr>
          <w:lang w:val="sk-SK"/>
        </w:rPr>
        <w:t>preukázali vylučovanie dronedarónu a jeho metabolitov do mlieka. Nemožno vylúčiť riziko pre novorodencov/dojčatá.</w:t>
      </w:r>
    </w:p>
    <w:p w14:paraId="144A07BE" w14:textId="77777777" w:rsidR="005A7D1A" w:rsidRPr="00C14318" w:rsidRDefault="005A7D1A" w:rsidP="001B463B">
      <w:pPr>
        <w:pStyle w:val="Zkladntext"/>
        <w:ind w:left="116" w:right="950"/>
        <w:rPr>
          <w:lang w:val="sk-SK"/>
        </w:rPr>
      </w:pPr>
      <w:r w:rsidRPr="00C14318">
        <w:rPr>
          <w:lang w:val="sk-SK"/>
        </w:rPr>
        <w:t xml:space="preserve">Je treba prijať rozhodnutie, či ukončiť dojčenie alebo ukončiť liečbu </w:t>
      </w:r>
      <w:r w:rsidR="00D8308E">
        <w:rPr>
          <w:lang w:val="sk-SK"/>
        </w:rPr>
        <w:t>dronedaróno</w:t>
      </w:r>
      <w:r w:rsidRPr="00C14318">
        <w:rPr>
          <w:lang w:val="sk-SK"/>
        </w:rPr>
        <w:t>m, pričom treba zvažovať prínos dojčenia pre dieťa a prínos liečby pre ženu.</w:t>
      </w:r>
    </w:p>
    <w:p w14:paraId="7717B77F" w14:textId="77777777" w:rsidR="005A7D1A" w:rsidRPr="00C14318" w:rsidRDefault="005A7D1A" w:rsidP="001B463B">
      <w:pPr>
        <w:pStyle w:val="Zkladntext"/>
        <w:spacing w:before="11"/>
        <w:rPr>
          <w:lang w:val="sk-SK"/>
        </w:rPr>
      </w:pPr>
    </w:p>
    <w:p w14:paraId="63E77B2C" w14:textId="77777777" w:rsidR="005A7D1A" w:rsidRPr="00C14318" w:rsidRDefault="005A7D1A" w:rsidP="001B463B">
      <w:pPr>
        <w:pStyle w:val="Zkladntext"/>
        <w:spacing w:line="252" w:lineRule="exact"/>
        <w:ind w:left="135"/>
        <w:rPr>
          <w:lang w:val="sk-SK"/>
        </w:rPr>
      </w:pPr>
      <w:r w:rsidRPr="00C14318">
        <w:rPr>
          <w:u w:val="single"/>
          <w:lang w:val="sk-SK"/>
        </w:rPr>
        <w:t>Fertilita</w:t>
      </w:r>
    </w:p>
    <w:p w14:paraId="426D2086" w14:textId="77777777" w:rsidR="005A7D1A" w:rsidRPr="00C14318" w:rsidRDefault="005A7D1A" w:rsidP="001B463B">
      <w:pPr>
        <w:pStyle w:val="Zkladntext"/>
        <w:spacing w:line="252" w:lineRule="exact"/>
        <w:ind w:left="116"/>
        <w:rPr>
          <w:lang w:val="sk-SK"/>
        </w:rPr>
      </w:pPr>
      <w:r w:rsidRPr="00C14318">
        <w:rPr>
          <w:lang w:val="sk-SK"/>
        </w:rPr>
        <w:t>V štúdiách na zvieratách sa nepreukázalo, že by dronedarón zhoršoval fertilitu.</w:t>
      </w:r>
    </w:p>
    <w:p w14:paraId="6F8590D7" w14:textId="77777777" w:rsidR="005A7D1A" w:rsidRPr="00C14318" w:rsidRDefault="005A7D1A" w:rsidP="001B463B">
      <w:pPr>
        <w:pStyle w:val="Zkladntext"/>
        <w:spacing w:before="5"/>
        <w:rPr>
          <w:lang w:val="sk-SK"/>
        </w:rPr>
      </w:pPr>
    </w:p>
    <w:p w14:paraId="721271FA"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Ovplyvnenie schopnosti viesť vozidlá a obsluhovať</w:t>
      </w:r>
      <w:r w:rsidRPr="00C14318">
        <w:rPr>
          <w:spacing w:val="-13"/>
          <w:lang w:val="sk-SK"/>
        </w:rPr>
        <w:t xml:space="preserve"> </w:t>
      </w:r>
      <w:r w:rsidRPr="00C14318">
        <w:rPr>
          <w:lang w:val="sk-SK"/>
        </w:rPr>
        <w:t>stroje</w:t>
      </w:r>
    </w:p>
    <w:p w14:paraId="48AB76FC" w14:textId="77777777" w:rsidR="005A7D1A" w:rsidRPr="00C14318" w:rsidRDefault="005A7D1A" w:rsidP="001B463B">
      <w:pPr>
        <w:pStyle w:val="Zkladntext"/>
        <w:spacing w:before="6"/>
        <w:rPr>
          <w:b/>
          <w:lang w:val="sk-SK"/>
        </w:rPr>
      </w:pPr>
    </w:p>
    <w:p w14:paraId="7500826D" w14:textId="77777777" w:rsidR="005A7D1A" w:rsidRPr="00C14318" w:rsidRDefault="00973E1F" w:rsidP="001B463B">
      <w:pPr>
        <w:pStyle w:val="Zkladntext"/>
        <w:ind w:left="116" w:right="701"/>
        <w:rPr>
          <w:lang w:val="sk-SK"/>
        </w:rPr>
      </w:pPr>
      <w:r>
        <w:rPr>
          <w:lang w:val="sk-SK"/>
        </w:rPr>
        <w:t xml:space="preserve">Dronedarón </w:t>
      </w:r>
      <w:r w:rsidR="005A7D1A" w:rsidRPr="00C14318">
        <w:rPr>
          <w:lang w:val="sk-SK"/>
        </w:rPr>
        <w:t>nemá žiadny alebo má zanedbateľný vplyv na schopnosť viesť vozidlá alebo obsluhovať stroje. Schopnosť viesť vozidlá a obsluhovať stroje môžu však ovplyvniť nežiaduce reakcie ako napríklad únava.</w:t>
      </w:r>
    </w:p>
    <w:p w14:paraId="2F988A7B" w14:textId="77777777" w:rsidR="005A7D1A" w:rsidRPr="00C14318" w:rsidRDefault="005A7D1A" w:rsidP="001B463B">
      <w:pPr>
        <w:pStyle w:val="Zkladntext"/>
        <w:spacing w:before="2"/>
        <w:rPr>
          <w:lang w:val="sk-SK"/>
        </w:rPr>
      </w:pPr>
    </w:p>
    <w:p w14:paraId="0A056655"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Nežiaduce</w:t>
      </w:r>
      <w:r w:rsidRPr="00C14318">
        <w:rPr>
          <w:spacing w:val="-4"/>
          <w:lang w:val="sk-SK"/>
        </w:rPr>
        <w:t xml:space="preserve"> </w:t>
      </w:r>
      <w:r w:rsidRPr="00C14318">
        <w:rPr>
          <w:lang w:val="sk-SK"/>
        </w:rPr>
        <w:t>účinky</w:t>
      </w:r>
    </w:p>
    <w:p w14:paraId="0C336F99" w14:textId="77777777" w:rsidR="005A7D1A" w:rsidRPr="00C14318" w:rsidRDefault="005A7D1A" w:rsidP="001B463B">
      <w:pPr>
        <w:pStyle w:val="Zkladntext"/>
        <w:spacing w:before="6"/>
        <w:rPr>
          <w:b/>
          <w:lang w:val="sk-SK"/>
        </w:rPr>
      </w:pPr>
    </w:p>
    <w:p w14:paraId="2C4CF436" w14:textId="77777777" w:rsidR="005A7D1A" w:rsidRPr="00C14318" w:rsidRDefault="005A7D1A" w:rsidP="001B463B">
      <w:pPr>
        <w:pStyle w:val="Zkladntext"/>
        <w:spacing w:line="252" w:lineRule="exact"/>
        <w:ind w:left="116"/>
        <w:rPr>
          <w:lang w:val="sk-SK"/>
        </w:rPr>
      </w:pPr>
      <w:r w:rsidRPr="00C14318">
        <w:rPr>
          <w:u w:val="single"/>
          <w:lang w:val="sk-SK"/>
        </w:rPr>
        <w:t>Súhrn bezpečnostného profilu</w:t>
      </w:r>
    </w:p>
    <w:p w14:paraId="1F4174DD" w14:textId="77777777" w:rsidR="005A7D1A" w:rsidRPr="00C14318" w:rsidRDefault="005A7D1A" w:rsidP="001B463B">
      <w:pPr>
        <w:pStyle w:val="Zkladntext"/>
        <w:ind w:left="116" w:right="248"/>
        <w:rPr>
          <w:lang w:val="sk-SK"/>
        </w:rPr>
      </w:pPr>
      <w:r w:rsidRPr="00C14318">
        <w:rPr>
          <w:lang w:val="sk-SK"/>
        </w:rPr>
        <w:t>Vyhodnotenie vplyvu prirodzených faktorov ako je pohlavie alebo vek na výskyt akýchkoľvek nežiaducich účinkov súvisiacich s liečbou preukázalo vplyv pohlavia (pacienti ženského pohlavia) na výskyt všetkých nežiaducich účinkov a na závažné nežiaduce účinky.</w:t>
      </w:r>
    </w:p>
    <w:p w14:paraId="2D2D136F" w14:textId="77777777" w:rsidR="005A7D1A" w:rsidRPr="00C14318" w:rsidRDefault="005A7D1A" w:rsidP="001B463B">
      <w:pPr>
        <w:pStyle w:val="Zkladntext"/>
        <w:spacing w:before="1"/>
        <w:rPr>
          <w:lang w:val="sk-SK"/>
        </w:rPr>
      </w:pPr>
    </w:p>
    <w:p w14:paraId="354F584D" w14:textId="77777777" w:rsidR="005A7D1A" w:rsidRPr="00C14318" w:rsidRDefault="005A7D1A" w:rsidP="001B463B">
      <w:pPr>
        <w:pStyle w:val="Zkladntext"/>
        <w:ind w:left="116"/>
        <w:rPr>
          <w:lang w:val="sk-SK"/>
        </w:rPr>
      </w:pPr>
      <w:r w:rsidRPr="00C14318">
        <w:rPr>
          <w:lang w:val="sk-SK"/>
        </w:rPr>
        <w:t>V klinických štúdiách sa zaznamenalo predčasné ukončenie liečby kvôli nežiaducim účinkom</w:t>
      </w:r>
    </w:p>
    <w:p w14:paraId="3FFB46AF" w14:textId="25801BFB" w:rsidR="005A7D1A" w:rsidRPr="00C14318" w:rsidRDefault="005A7D1A" w:rsidP="001B463B">
      <w:pPr>
        <w:pStyle w:val="Zkladntext"/>
        <w:spacing w:before="1"/>
        <w:ind w:left="116" w:right="101"/>
        <w:rPr>
          <w:lang w:val="sk-SK"/>
        </w:rPr>
      </w:pPr>
      <w:r w:rsidRPr="00787679">
        <w:rPr>
          <w:lang w:val="sk-SK"/>
        </w:rPr>
        <w:t>v</w:t>
      </w:r>
      <w:r w:rsidR="00787679">
        <w:rPr>
          <w:lang w:val="sk-SK"/>
        </w:rPr>
        <w:t> </w:t>
      </w:r>
      <w:r w:rsidR="00787679" w:rsidRPr="00787679">
        <w:rPr>
          <w:lang w:val="sk-SK"/>
        </w:rPr>
        <w:t>prípade</w:t>
      </w:r>
      <w:r w:rsidR="00787679">
        <w:rPr>
          <w:lang w:val="sk-SK"/>
        </w:rPr>
        <w:t xml:space="preserve"> </w:t>
      </w:r>
      <w:r w:rsidRPr="00787679">
        <w:rPr>
          <w:lang w:val="sk-SK"/>
        </w:rPr>
        <w:t>11</w:t>
      </w:r>
      <w:r w:rsidRPr="00C14318">
        <w:rPr>
          <w:lang w:val="sk-SK"/>
        </w:rPr>
        <w:t xml:space="preserve">,8 %  pacientov liečených dronedarónom a </w:t>
      </w:r>
      <w:r w:rsidRPr="00787679">
        <w:rPr>
          <w:lang w:val="sk-SK"/>
        </w:rPr>
        <w:t>v</w:t>
      </w:r>
      <w:r w:rsidR="00787679" w:rsidRPr="00787679">
        <w:rPr>
          <w:lang w:val="sk-SK"/>
        </w:rPr>
        <w:t> </w:t>
      </w:r>
      <w:r w:rsidR="00787679" w:rsidRPr="006F701A">
        <w:rPr>
          <w:lang w:val="sk-SK"/>
        </w:rPr>
        <w:t>prípade</w:t>
      </w:r>
      <w:r w:rsidR="00787679">
        <w:rPr>
          <w:lang w:val="sk-SK"/>
        </w:rPr>
        <w:t xml:space="preserve"> </w:t>
      </w:r>
      <w:r w:rsidRPr="00C14318">
        <w:rPr>
          <w:lang w:val="sk-SK"/>
        </w:rPr>
        <w:t xml:space="preserve">7,7 % v skupine s placebom. Najčastejším dôvodom pre ukončenie liečby </w:t>
      </w:r>
      <w:r w:rsidR="00CF5854">
        <w:rPr>
          <w:lang w:val="sk-SK"/>
        </w:rPr>
        <w:t>dronedarón</w:t>
      </w:r>
      <w:r w:rsidRPr="00C14318">
        <w:rPr>
          <w:lang w:val="sk-SK"/>
        </w:rPr>
        <w:t>om boli gastrointestinálne poruchy (3,2 % pacientov oproti 1,8 %</w:t>
      </w:r>
    </w:p>
    <w:p w14:paraId="25D370B5" w14:textId="77777777" w:rsidR="005A7D1A" w:rsidRPr="00C14318" w:rsidRDefault="005A7D1A" w:rsidP="001B463B">
      <w:pPr>
        <w:pStyle w:val="Zkladntext"/>
        <w:spacing w:line="252" w:lineRule="exact"/>
        <w:ind w:left="116"/>
        <w:rPr>
          <w:lang w:val="sk-SK"/>
        </w:rPr>
      </w:pPr>
      <w:r w:rsidRPr="00C14318">
        <w:rPr>
          <w:lang w:val="sk-SK"/>
        </w:rPr>
        <w:t>v skupine s placebom).</w:t>
      </w:r>
    </w:p>
    <w:p w14:paraId="3B978E05" w14:textId="77777777" w:rsidR="005A7D1A" w:rsidRPr="00C14318" w:rsidRDefault="005A7D1A" w:rsidP="001B463B">
      <w:pPr>
        <w:pStyle w:val="Zkladntext"/>
        <w:ind w:left="116" w:right="511"/>
        <w:rPr>
          <w:lang w:val="sk-SK"/>
        </w:rPr>
      </w:pPr>
      <w:r w:rsidRPr="00C14318">
        <w:rPr>
          <w:lang w:val="sk-SK"/>
        </w:rPr>
        <w:t>Najčastejšie nežiaduce účinky, ktoré sa pozorovali pri dronedaróne v dávke 400 mg dvakrát denne v 5 štúdiách, boli hnačka, nevoľnosť a vracanie, únava a asténia.</w:t>
      </w:r>
    </w:p>
    <w:p w14:paraId="40302D7C" w14:textId="77777777" w:rsidR="005A7D1A" w:rsidRPr="00C14318" w:rsidRDefault="005A7D1A" w:rsidP="001B463B">
      <w:pPr>
        <w:pStyle w:val="Zkladntext"/>
        <w:spacing w:before="9"/>
        <w:rPr>
          <w:lang w:val="sk-SK"/>
        </w:rPr>
      </w:pPr>
    </w:p>
    <w:p w14:paraId="134DB575" w14:textId="77777777" w:rsidR="005A7D1A" w:rsidRPr="00C14318" w:rsidRDefault="001D5827" w:rsidP="001B463B">
      <w:pPr>
        <w:pStyle w:val="Zkladntext"/>
        <w:ind w:left="116"/>
        <w:rPr>
          <w:lang w:val="sk-SK"/>
        </w:rPr>
      </w:pPr>
      <w:r>
        <w:rPr>
          <w:u w:val="single"/>
          <w:lang w:val="sk-SK"/>
        </w:rPr>
        <w:t>Tabuľkový z</w:t>
      </w:r>
      <w:r w:rsidR="005A7D1A" w:rsidRPr="00C14318">
        <w:rPr>
          <w:u w:val="single"/>
          <w:lang w:val="sk-SK"/>
        </w:rPr>
        <w:t>oznam nežiaduc</w:t>
      </w:r>
      <w:r>
        <w:rPr>
          <w:u w:val="single"/>
          <w:lang w:val="sk-SK"/>
        </w:rPr>
        <w:t>ich účinkov</w:t>
      </w:r>
    </w:p>
    <w:p w14:paraId="273700F4" w14:textId="77777777" w:rsidR="005A7D1A" w:rsidRPr="00C14318" w:rsidRDefault="005A7D1A" w:rsidP="001B463B">
      <w:pPr>
        <w:pStyle w:val="Zkladntext"/>
        <w:spacing w:before="1"/>
        <w:ind w:left="116" w:right="175"/>
        <w:rPr>
          <w:lang w:val="sk-SK"/>
        </w:rPr>
      </w:pPr>
      <w:r w:rsidRPr="00C14318">
        <w:rPr>
          <w:lang w:val="sk-SK"/>
        </w:rPr>
        <w:t>Bezpečnostný profil dronedarónu 400 mg dvakrát denne u pacientov s atriálnou fibriláciou (AF) alebo atriálnym flutterom (AFL) vychádza z 5 placebom kontrolovaných štúdií, v ktorých bolo randomizovaných celkovo 6 285 pacientov (3 282 pacientov dostávalo 400 mg dronedarónu dvakrát</w:t>
      </w:r>
    </w:p>
    <w:p w14:paraId="042C5401" w14:textId="77777777" w:rsidR="005A7D1A" w:rsidRPr="00C14318" w:rsidRDefault="005A7D1A" w:rsidP="001B463B">
      <w:pPr>
        <w:pStyle w:val="Zkladntext"/>
        <w:spacing w:line="252" w:lineRule="exact"/>
        <w:ind w:left="116"/>
        <w:rPr>
          <w:lang w:val="sk-SK"/>
        </w:rPr>
      </w:pPr>
      <w:r w:rsidRPr="00C14318">
        <w:rPr>
          <w:lang w:val="sk-SK"/>
        </w:rPr>
        <w:t>denne a 2 875 dostávalo placebo).</w:t>
      </w:r>
    </w:p>
    <w:p w14:paraId="339F6927" w14:textId="3EBE352A" w:rsidR="005A7D1A" w:rsidRPr="00C14318" w:rsidRDefault="005A7D1A" w:rsidP="001B463B">
      <w:pPr>
        <w:pStyle w:val="Zkladntext"/>
        <w:ind w:left="116" w:right="285"/>
        <w:rPr>
          <w:lang w:val="sk-SK"/>
        </w:rPr>
      </w:pPr>
      <w:r w:rsidRPr="00C14318">
        <w:rPr>
          <w:lang w:val="sk-SK"/>
        </w:rPr>
        <w:t xml:space="preserve">Priemerná expozícia v rámci štúdií bola 13 mesiacov. V štúdii ATHENA </w:t>
      </w:r>
      <w:r w:rsidRPr="006F701A">
        <w:rPr>
          <w:lang w:val="sk-SK"/>
        </w:rPr>
        <w:t>bol</w:t>
      </w:r>
      <w:r w:rsidR="006F701A">
        <w:rPr>
          <w:lang w:val="sk-SK"/>
        </w:rPr>
        <w:t>a</w:t>
      </w:r>
      <w:r w:rsidRPr="006F701A">
        <w:rPr>
          <w:lang w:val="sk-SK"/>
        </w:rPr>
        <w:t xml:space="preserve"> maximáln</w:t>
      </w:r>
      <w:r w:rsidR="006F701A" w:rsidRPr="004E3016">
        <w:rPr>
          <w:lang w:val="sk-SK"/>
        </w:rPr>
        <w:t>a doba sledovania</w:t>
      </w:r>
      <w:r w:rsidRPr="006F701A">
        <w:rPr>
          <w:lang w:val="sk-SK"/>
        </w:rPr>
        <w:t xml:space="preserve"> </w:t>
      </w:r>
      <w:r w:rsidR="006F701A" w:rsidRPr="004E3016">
        <w:rPr>
          <w:lang w:val="sk-SK"/>
        </w:rPr>
        <w:t>(</w:t>
      </w:r>
      <w:r w:rsidRPr="006F701A">
        <w:rPr>
          <w:lang w:val="sk-SK"/>
        </w:rPr>
        <w:t>follow-up</w:t>
      </w:r>
      <w:r w:rsidR="006F701A" w:rsidRPr="006F701A">
        <w:rPr>
          <w:lang w:val="sk-SK"/>
        </w:rPr>
        <w:t>)</w:t>
      </w:r>
      <w:r w:rsidRPr="00C14318">
        <w:rPr>
          <w:lang w:val="sk-SK"/>
        </w:rPr>
        <w:t xml:space="preserve"> 30 mesiacov. Niektoré nežiaduce reakcie sa zistili taktiež v rámci sledovania lieku po uvedení na trh. Nežiaduce reakcie sú uvedené podľa triedy orgánového systému.</w:t>
      </w:r>
    </w:p>
    <w:p w14:paraId="0591DF41" w14:textId="11861E53" w:rsidR="005A7D1A" w:rsidRPr="00C14318" w:rsidRDefault="005A7D1A" w:rsidP="001B463B">
      <w:pPr>
        <w:pStyle w:val="Zkladntext"/>
        <w:spacing w:before="2"/>
        <w:ind w:left="116" w:right="233"/>
        <w:rPr>
          <w:lang w:val="sk-SK"/>
        </w:rPr>
      </w:pPr>
      <w:r w:rsidRPr="00C14318">
        <w:rPr>
          <w:lang w:val="sk-SK"/>
        </w:rPr>
        <w:t>Definícia frekvencií: veľmi časté (≥</w:t>
      </w:r>
      <w:r w:rsidR="003F6784">
        <w:rPr>
          <w:lang w:val="sk-SK"/>
        </w:rPr>
        <w:t xml:space="preserve"> </w:t>
      </w:r>
      <w:r w:rsidRPr="00C14318">
        <w:rPr>
          <w:lang w:val="sk-SK"/>
        </w:rPr>
        <w:t>1/10), časté (≥</w:t>
      </w:r>
      <w:r w:rsidR="003F6784">
        <w:rPr>
          <w:lang w:val="sk-SK"/>
        </w:rPr>
        <w:t xml:space="preserve"> </w:t>
      </w:r>
      <w:r w:rsidRPr="00C14318">
        <w:rPr>
          <w:lang w:val="sk-SK"/>
        </w:rPr>
        <w:t>1/100 až &lt;</w:t>
      </w:r>
      <w:r w:rsidR="003F6784">
        <w:rPr>
          <w:lang w:val="sk-SK"/>
        </w:rPr>
        <w:t xml:space="preserve"> </w:t>
      </w:r>
      <w:r w:rsidRPr="00C14318">
        <w:rPr>
          <w:lang w:val="sk-SK"/>
        </w:rPr>
        <w:t>1/10); menej časté (≥</w:t>
      </w:r>
      <w:r w:rsidR="003F6784">
        <w:rPr>
          <w:lang w:val="sk-SK"/>
        </w:rPr>
        <w:t xml:space="preserve"> </w:t>
      </w:r>
      <w:r w:rsidRPr="00C14318">
        <w:rPr>
          <w:lang w:val="sk-SK"/>
        </w:rPr>
        <w:t>1/1 000 až &lt;</w:t>
      </w:r>
      <w:r w:rsidR="003F6784">
        <w:rPr>
          <w:lang w:val="sk-SK"/>
        </w:rPr>
        <w:t xml:space="preserve"> </w:t>
      </w:r>
      <w:r w:rsidRPr="00C14318">
        <w:rPr>
          <w:lang w:val="sk-SK"/>
        </w:rPr>
        <w:t>1/100); zriedkavé (≥</w:t>
      </w:r>
      <w:r w:rsidR="003F6784">
        <w:rPr>
          <w:lang w:val="sk-SK"/>
        </w:rPr>
        <w:t xml:space="preserve"> </w:t>
      </w:r>
      <w:r w:rsidRPr="00C14318">
        <w:rPr>
          <w:lang w:val="sk-SK"/>
        </w:rPr>
        <w:t>1/10 000 až &lt;</w:t>
      </w:r>
      <w:r w:rsidR="003F6784">
        <w:rPr>
          <w:lang w:val="sk-SK"/>
        </w:rPr>
        <w:t xml:space="preserve"> </w:t>
      </w:r>
      <w:r w:rsidRPr="00C14318">
        <w:rPr>
          <w:lang w:val="sk-SK"/>
        </w:rPr>
        <w:t>1/1 000); veľmi zriedkavé (&lt;</w:t>
      </w:r>
      <w:r w:rsidR="003F6784">
        <w:rPr>
          <w:lang w:val="sk-SK"/>
        </w:rPr>
        <w:t xml:space="preserve"> </w:t>
      </w:r>
      <w:r w:rsidRPr="00C14318">
        <w:rPr>
          <w:lang w:val="sk-SK"/>
        </w:rPr>
        <w:t>1/10 000), neznáme (</w:t>
      </w:r>
      <w:r w:rsidR="00605671">
        <w:rPr>
          <w:lang w:val="sk-SK"/>
        </w:rPr>
        <w:t xml:space="preserve">nedá sa stanoviť </w:t>
      </w:r>
      <w:r w:rsidRPr="00C14318">
        <w:rPr>
          <w:lang w:val="sk-SK"/>
        </w:rPr>
        <w:t>z dostupných údajov).</w:t>
      </w:r>
    </w:p>
    <w:p w14:paraId="482E6B2C" w14:textId="77777777" w:rsidR="001A015A" w:rsidRDefault="005A7D1A" w:rsidP="001B463B">
      <w:pPr>
        <w:pStyle w:val="Zkladntext"/>
        <w:spacing w:line="252" w:lineRule="exact"/>
        <w:ind w:left="116"/>
        <w:rPr>
          <w:lang w:val="sk-SK"/>
        </w:rPr>
      </w:pPr>
      <w:r w:rsidRPr="00C14318">
        <w:rPr>
          <w:lang w:val="sk-SK"/>
        </w:rPr>
        <w:t>V rámci každej frekvencie výskytu sú nežiaduce účinky uvedené v poradí klesajúcej závažnosti.</w:t>
      </w:r>
    </w:p>
    <w:p w14:paraId="37D2576B" w14:textId="77777777" w:rsidR="001A015A" w:rsidRDefault="001A015A" w:rsidP="001B463B">
      <w:pPr>
        <w:pStyle w:val="Zkladntext"/>
        <w:spacing w:line="252" w:lineRule="exact"/>
        <w:ind w:left="116"/>
        <w:rPr>
          <w:lang w:val="sk-SK"/>
        </w:rPr>
      </w:pPr>
    </w:p>
    <w:p w14:paraId="1B7074F2" w14:textId="33646AB4" w:rsidR="005A7D1A" w:rsidRPr="00B64033" w:rsidRDefault="005A7D1A" w:rsidP="001B463B">
      <w:pPr>
        <w:pStyle w:val="Zkladntext"/>
        <w:spacing w:line="252" w:lineRule="exact"/>
        <w:ind w:left="116"/>
        <w:rPr>
          <w:lang w:val="sk-SK"/>
        </w:rPr>
      </w:pPr>
      <w:r w:rsidRPr="00B64033">
        <w:rPr>
          <w:u w:val="single"/>
          <w:lang w:val="sk-SK"/>
        </w:rPr>
        <w:t>Tabuľka 1:</w:t>
      </w:r>
      <w:r w:rsidR="005310AE" w:rsidRPr="00B64033">
        <w:rPr>
          <w:lang w:val="sk-SK"/>
        </w:rPr>
        <w:t xml:space="preserve"> </w:t>
      </w:r>
      <w:r w:rsidRPr="00B64033">
        <w:rPr>
          <w:lang w:val="sk-SK"/>
        </w:rPr>
        <w:t>Nežiaduce reakcie</w:t>
      </w:r>
    </w:p>
    <w:p w14:paraId="44432FEC" w14:textId="77777777" w:rsidR="005A7D1A" w:rsidRPr="00C14318" w:rsidRDefault="005A7D1A" w:rsidP="001B463B">
      <w:pPr>
        <w:pStyle w:val="Zkladntext"/>
        <w:spacing w:before="4"/>
        <w:rPr>
          <w:i/>
          <w:lang w:val="sk-SK"/>
        </w:rPr>
      </w:pPr>
    </w:p>
    <w:tbl>
      <w:tblPr>
        <w:tblW w:w="973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445"/>
        <w:gridCol w:w="2069"/>
        <w:gridCol w:w="2053"/>
        <w:gridCol w:w="2043"/>
      </w:tblGrid>
      <w:tr w:rsidR="005A7D1A" w:rsidRPr="00C14318" w14:paraId="3F3D7894" w14:textId="77777777" w:rsidTr="008A1848">
        <w:trPr>
          <w:trHeight w:hRule="exact" w:val="787"/>
        </w:trPr>
        <w:tc>
          <w:tcPr>
            <w:tcW w:w="2124" w:type="dxa"/>
          </w:tcPr>
          <w:p w14:paraId="60923990" w14:textId="77777777" w:rsidR="005A7D1A" w:rsidRPr="00C14318" w:rsidRDefault="005A7D1A" w:rsidP="001B463B">
            <w:pPr>
              <w:pStyle w:val="TableParagraph"/>
              <w:spacing w:before="1"/>
              <w:ind w:right="200"/>
              <w:rPr>
                <w:b/>
                <w:lang w:val="sk-SK"/>
              </w:rPr>
            </w:pPr>
            <w:r w:rsidRPr="00C14318">
              <w:rPr>
                <w:b/>
                <w:lang w:val="sk-SK"/>
              </w:rPr>
              <w:t>Trieda orgánového systému</w:t>
            </w:r>
          </w:p>
        </w:tc>
        <w:tc>
          <w:tcPr>
            <w:tcW w:w="1445" w:type="dxa"/>
          </w:tcPr>
          <w:p w14:paraId="64B7386E" w14:textId="77777777" w:rsidR="005A7D1A" w:rsidRPr="00C14318" w:rsidRDefault="005A7D1A" w:rsidP="001B463B">
            <w:pPr>
              <w:pStyle w:val="TableParagraph"/>
              <w:spacing w:before="1" w:line="251" w:lineRule="exact"/>
              <w:rPr>
                <w:b/>
                <w:lang w:val="sk-SK"/>
              </w:rPr>
            </w:pPr>
            <w:r w:rsidRPr="00C14318">
              <w:rPr>
                <w:b/>
                <w:lang w:val="sk-SK"/>
              </w:rPr>
              <w:t>Veľmi časté</w:t>
            </w:r>
          </w:p>
          <w:p w14:paraId="63FCBC1C" w14:textId="614617CA" w:rsidR="005A7D1A" w:rsidRPr="00C14318" w:rsidRDefault="00D15F8B" w:rsidP="001B463B">
            <w:pPr>
              <w:pStyle w:val="TableParagraph"/>
              <w:spacing w:line="267" w:lineRule="exact"/>
              <w:rPr>
                <w:lang w:val="sk-SK"/>
              </w:rPr>
            </w:pPr>
            <w:r>
              <w:rPr>
                <w:lang w:val="sk-SK"/>
              </w:rPr>
              <w:t>(</w:t>
            </w:r>
            <w:r w:rsidRPr="00134F6C">
              <w:rPr>
                <w:rFonts w:ascii="Symbol" w:hAnsi="Symbol"/>
                <w:w w:val="105"/>
                <w:sz w:val="20"/>
                <w:lang w:val="en-GB"/>
              </w:rPr>
              <w:t></w:t>
            </w:r>
            <w:r w:rsidR="003F6784">
              <w:rPr>
                <w:rFonts w:ascii="Symbol" w:hAnsi="Symbol"/>
                <w:w w:val="105"/>
                <w:sz w:val="20"/>
                <w:lang w:val="en-GB"/>
              </w:rPr>
              <w:t></w:t>
            </w:r>
            <w:r w:rsidR="005A7D1A" w:rsidRPr="00C14318">
              <w:rPr>
                <w:lang w:val="sk-SK"/>
              </w:rPr>
              <w:t>1/10)</w:t>
            </w:r>
          </w:p>
        </w:tc>
        <w:tc>
          <w:tcPr>
            <w:tcW w:w="2069" w:type="dxa"/>
          </w:tcPr>
          <w:p w14:paraId="71C96A71" w14:textId="77777777" w:rsidR="005A7D1A" w:rsidRPr="00C14318" w:rsidRDefault="005A7D1A" w:rsidP="001B463B">
            <w:pPr>
              <w:pStyle w:val="TableParagraph"/>
              <w:spacing w:before="1" w:line="251" w:lineRule="exact"/>
              <w:ind w:left="105"/>
              <w:rPr>
                <w:b/>
                <w:lang w:val="sk-SK"/>
              </w:rPr>
            </w:pPr>
            <w:r w:rsidRPr="00C14318">
              <w:rPr>
                <w:b/>
                <w:lang w:val="sk-SK"/>
              </w:rPr>
              <w:t>Časté</w:t>
            </w:r>
          </w:p>
          <w:p w14:paraId="57055CF2" w14:textId="590B7EB7" w:rsidR="005A7D1A" w:rsidRPr="00C14318" w:rsidRDefault="00D15F8B" w:rsidP="001B463B">
            <w:pPr>
              <w:pStyle w:val="TableParagraph"/>
              <w:spacing w:line="267" w:lineRule="exact"/>
              <w:ind w:left="105"/>
              <w:rPr>
                <w:lang w:val="sk-SK"/>
              </w:rPr>
            </w:pPr>
            <w:r>
              <w:rPr>
                <w:lang w:val="sk-SK"/>
              </w:rPr>
              <w:t>(</w:t>
            </w:r>
            <w:r w:rsidRPr="00134F6C">
              <w:rPr>
                <w:rFonts w:ascii="Symbol" w:hAnsi="Symbol"/>
                <w:w w:val="105"/>
                <w:sz w:val="20"/>
                <w:lang w:val="en-GB"/>
              </w:rPr>
              <w:t></w:t>
            </w:r>
            <w:r w:rsidR="003F6784">
              <w:rPr>
                <w:rFonts w:ascii="Symbol" w:hAnsi="Symbol"/>
                <w:w w:val="105"/>
                <w:sz w:val="20"/>
                <w:lang w:val="en-GB"/>
              </w:rPr>
              <w:t></w:t>
            </w:r>
            <w:r w:rsidR="005A7D1A" w:rsidRPr="00C14318">
              <w:rPr>
                <w:lang w:val="sk-SK"/>
              </w:rPr>
              <w:t>1/100 až &lt;1/10)</w:t>
            </w:r>
          </w:p>
        </w:tc>
        <w:tc>
          <w:tcPr>
            <w:tcW w:w="2053" w:type="dxa"/>
          </w:tcPr>
          <w:p w14:paraId="03CB9F56" w14:textId="77777777" w:rsidR="005A7D1A" w:rsidRPr="00C14318" w:rsidRDefault="005A7D1A" w:rsidP="001B463B">
            <w:pPr>
              <w:pStyle w:val="TableParagraph"/>
              <w:spacing w:before="1" w:line="251" w:lineRule="exact"/>
              <w:rPr>
                <w:b/>
                <w:lang w:val="sk-SK"/>
              </w:rPr>
            </w:pPr>
            <w:r w:rsidRPr="00C14318">
              <w:rPr>
                <w:b/>
                <w:lang w:val="sk-SK"/>
              </w:rPr>
              <w:t>Menej časté</w:t>
            </w:r>
          </w:p>
          <w:p w14:paraId="35AC5D8A" w14:textId="2909269F" w:rsidR="005A7D1A" w:rsidRPr="00C14318" w:rsidRDefault="00D15F8B" w:rsidP="001B463B">
            <w:pPr>
              <w:pStyle w:val="TableParagraph"/>
              <w:spacing w:line="266" w:lineRule="exact"/>
              <w:rPr>
                <w:lang w:val="sk-SK"/>
              </w:rPr>
            </w:pPr>
            <w:r>
              <w:rPr>
                <w:lang w:val="sk-SK"/>
              </w:rPr>
              <w:t>(</w:t>
            </w:r>
            <w:r w:rsidRPr="00134F6C">
              <w:rPr>
                <w:rFonts w:ascii="Symbol" w:hAnsi="Symbol"/>
                <w:w w:val="105"/>
                <w:sz w:val="20"/>
                <w:lang w:val="en-GB"/>
              </w:rPr>
              <w:t></w:t>
            </w:r>
            <w:r w:rsidR="003F6784">
              <w:rPr>
                <w:rFonts w:ascii="Symbol" w:hAnsi="Symbol"/>
                <w:w w:val="105"/>
                <w:sz w:val="20"/>
                <w:lang w:val="en-GB"/>
              </w:rPr>
              <w:t></w:t>
            </w:r>
            <w:r w:rsidR="005A7D1A" w:rsidRPr="00C14318">
              <w:rPr>
                <w:lang w:val="sk-SK"/>
              </w:rPr>
              <w:t>1/1 000 až</w:t>
            </w:r>
          </w:p>
          <w:p w14:paraId="308D52EC" w14:textId="5F1B6A11" w:rsidR="005A7D1A" w:rsidRPr="00C14318" w:rsidRDefault="005A7D1A" w:rsidP="001B463B">
            <w:pPr>
              <w:pStyle w:val="TableParagraph"/>
              <w:spacing w:line="252" w:lineRule="exact"/>
              <w:rPr>
                <w:lang w:val="sk-SK"/>
              </w:rPr>
            </w:pPr>
            <w:r w:rsidRPr="00C14318">
              <w:rPr>
                <w:lang w:val="sk-SK"/>
              </w:rPr>
              <w:t>&lt;</w:t>
            </w:r>
            <w:r w:rsidR="003F6784">
              <w:rPr>
                <w:lang w:val="sk-SK"/>
              </w:rPr>
              <w:t xml:space="preserve"> </w:t>
            </w:r>
            <w:r w:rsidRPr="00C14318">
              <w:rPr>
                <w:lang w:val="sk-SK"/>
              </w:rPr>
              <w:t>1/100)</w:t>
            </w:r>
          </w:p>
        </w:tc>
        <w:tc>
          <w:tcPr>
            <w:tcW w:w="2043" w:type="dxa"/>
          </w:tcPr>
          <w:p w14:paraId="38B2EEC4" w14:textId="77777777" w:rsidR="005A7D1A" w:rsidRPr="00C14318" w:rsidRDefault="005A7D1A" w:rsidP="001B463B">
            <w:pPr>
              <w:pStyle w:val="TableParagraph"/>
              <w:spacing w:before="1" w:line="251" w:lineRule="exact"/>
              <w:ind w:left="105"/>
              <w:rPr>
                <w:b/>
                <w:lang w:val="sk-SK"/>
              </w:rPr>
            </w:pPr>
            <w:r w:rsidRPr="00C14318">
              <w:rPr>
                <w:b/>
                <w:lang w:val="sk-SK"/>
              </w:rPr>
              <w:t>Zriedkavé</w:t>
            </w:r>
          </w:p>
          <w:p w14:paraId="437EB689" w14:textId="39C0F2E1" w:rsidR="005A7D1A" w:rsidRPr="00C14318" w:rsidRDefault="00D15F8B" w:rsidP="001B463B">
            <w:pPr>
              <w:pStyle w:val="TableParagraph"/>
              <w:spacing w:line="266" w:lineRule="exact"/>
              <w:ind w:left="105"/>
              <w:rPr>
                <w:lang w:val="sk-SK"/>
              </w:rPr>
            </w:pPr>
            <w:r>
              <w:rPr>
                <w:lang w:val="sk-SK"/>
              </w:rPr>
              <w:t>(</w:t>
            </w:r>
            <w:r w:rsidRPr="00134F6C">
              <w:rPr>
                <w:rFonts w:ascii="Symbol" w:hAnsi="Symbol"/>
                <w:w w:val="105"/>
                <w:sz w:val="20"/>
                <w:lang w:val="en-GB"/>
              </w:rPr>
              <w:t></w:t>
            </w:r>
            <w:r w:rsidR="003F6784">
              <w:rPr>
                <w:rFonts w:ascii="Symbol" w:hAnsi="Symbol"/>
                <w:w w:val="105"/>
                <w:sz w:val="20"/>
                <w:lang w:val="en-GB"/>
              </w:rPr>
              <w:t></w:t>
            </w:r>
            <w:r w:rsidR="005A7D1A" w:rsidRPr="00C14318">
              <w:rPr>
                <w:lang w:val="sk-SK"/>
              </w:rPr>
              <w:t>1/10 000 až</w:t>
            </w:r>
          </w:p>
          <w:p w14:paraId="6F2D7DBC" w14:textId="3A328060" w:rsidR="005A7D1A" w:rsidRPr="00C14318" w:rsidRDefault="005A7D1A" w:rsidP="001B463B">
            <w:pPr>
              <w:pStyle w:val="TableParagraph"/>
              <w:spacing w:line="252" w:lineRule="exact"/>
              <w:ind w:left="105"/>
              <w:rPr>
                <w:lang w:val="sk-SK"/>
              </w:rPr>
            </w:pPr>
            <w:r w:rsidRPr="00C14318">
              <w:rPr>
                <w:lang w:val="sk-SK"/>
              </w:rPr>
              <w:t>&lt;</w:t>
            </w:r>
            <w:r w:rsidR="003F6784">
              <w:rPr>
                <w:lang w:val="sk-SK"/>
              </w:rPr>
              <w:t xml:space="preserve"> </w:t>
            </w:r>
            <w:r w:rsidRPr="00C14318">
              <w:rPr>
                <w:lang w:val="sk-SK"/>
              </w:rPr>
              <w:t>1/1 000)</w:t>
            </w:r>
          </w:p>
        </w:tc>
      </w:tr>
      <w:tr w:rsidR="005A7D1A" w:rsidRPr="00C14318" w14:paraId="40EB291B" w14:textId="77777777" w:rsidTr="008A1848">
        <w:trPr>
          <w:trHeight w:hRule="exact" w:val="768"/>
        </w:trPr>
        <w:tc>
          <w:tcPr>
            <w:tcW w:w="2124" w:type="dxa"/>
          </w:tcPr>
          <w:p w14:paraId="3447932B" w14:textId="77777777" w:rsidR="005A7D1A" w:rsidRPr="00C14318" w:rsidRDefault="005A7D1A" w:rsidP="001B463B">
            <w:pPr>
              <w:pStyle w:val="TableParagraph"/>
              <w:ind w:right="118"/>
              <w:rPr>
                <w:b/>
                <w:lang w:val="sk-SK"/>
              </w:rPr>
            </w:pPr>
            <w:r w:rsidRPr="00C14318">
              <w:rPr>
                <w:b/>
                <w:lang w:val="sk-SK"/>
              </w:rPr>
              <w:lastRenderedPageBreak/>
              <w:t>Poruchy imunitného</w:t>
            </w:r>
            <w:r w:rsidRPr="00C14318">
              <w:rPr>
                <w:b/>
                <w:spacing w:val="-4"/>
                <w:lang w:val="sk-SK"/>
              </w:rPr>
              <w:t xml:space="preserve"> </w:t>
            </w:r>
            <w:r w:rsidRPr="00C14318">
              <w:rPr>
                <w:b/>
                <w:lang w:val="sk-SK"/>
              </w:rPr>
              <w:t>systému</w:t>
            </w:r>
          </w:p>
        </w:tc>
        <w:tc>
          <w:tcPr>
            <w:tcW w:w="1445" w:type="dxa"/>
          </w:tcPr>
          <w:p w14:paraId="38E5A473" w14:textId="77777777" w:rsidR="005A7D1A" w:rsidRPr="00C14318" w:rsidRDefault="005A7D1A" w:rsidP="001B463B">
            <w:pPr>
              <w:rPr>
                <w:lang w:val="sk-SK"/>
              </w:rPr>
            </w:pPr>
          </w:p>
        </w:tc>
        <w:tc>
          <w:tcPr>
            <w:tcW w:w="2069" w:type="dxa"/>
          </w:tcPr>
          <w:p w14:paraId="5CE2A2B9" w14:textId="77777777" w:rsidR="005A7D1A" w:rsidRPr="00C14318" w:rsidRDefault="005A7D1A" w:rsidP="001B463B">
            <w:pPr>
              <w:rPr>
                <w:lang w:val="sk-SK"/>
              </w:rPr>
            </w:pPr>
          </w:p>
        </w:tc>
        <w:tc>
          <w:tcPr>
            <w:tcW w:w="2053" w:type="dxa"/>
          </w:tcPr>
          <w:p w14:paraId="7D896FF7" w14:textId="77777777" w:rsidR="005A7D1A" w:rsidRPr="00C14318" w:rsidRDefault="005A7D1A" w:rsidP="001B463B">
            <w:pPr>
              <w:rPr>
                <w:lang w:val="sk-SK"/>
              </w:rPr>
            </w:pPr>
          </w:p>
        </w:tc>
        <w:tc>
          <w:tcPr>
            <w:tcW w:w="2043" w:type="dxa"/>
          </w:tcPr>
          <w:p w14:paraId="1C9951FD" w14:textId="77777777" w:rsidR="005A7D1A" w:rsidRPr="00C14318" w:rsidRDefault="005A7D1A" w:rsidP="001B463B">
            <w:pPr>
              <w:pStyle w:val="TableParagraph"/>
              <w:ind w:left="105" w:right="570"/>
              <w:rPr>
                <w:lang w:val="sk-SK"/>
              </w:rPr>
            </w:pPr>
            <w:r w:rsidRPr="00C14318">
              <w:rPr>
                <w:lang w:val="sk-SK"/>
              </w:rPr>
              <w:t>Anafylaktické reakcie vrátane angioedému</w:t>
            </w:r>
          </w:p>
        </w:tc>
      </w:tr>
      <w:tr w:rsidR="005A7D1A" w:rsidRPr="00C14318" w14:paraId="63E23B3D" w14:textId="77777777" w:rsidTr="008A1848">
        <w:trPr>
          <w:trHeight w:hRule="exact" w:val="516"/>
        </w:trPr>
        <w:tc>
          <w:tcPr>
            <w:tcW w:w="2124" w:type="dxa"/>
          </w:tcPr>
          <w:p w14:paraId="1894D49E" w14:textId="77777777" w:rsidR="005A7D1A" w:rsidRPr="00C14318" w:rsidRDefault="005A7D1A" w:rsidP="001B463B">
            <w:pPr>
              <w:pStyle w:val="TableParagraph"/>
              <w:ind w:right="164"/>
              <w:rPr>
                <w:b/>
                <w:lang w:val="sk-SK"/>
              </w:rPr>
            </w:pPr>
            <w:r w:rsidRPr="00C14318">
              <w:rPr>
                <w:b/>
                <w:lang w:val="sk-SK"/>
              </w:rPr>
              <w:t>Poruchy nervového systému</w:t>
            </w:r>
          </w:p>
        </w:tc>
        <w:tc>
          <w:tcPr>
            <w:tcW w:w="1445" w:type="dxa"/>
          </w:tcPr>
          <w:p w14:paraId="20AD62C7" w14:textId="77777777" w:rsidR="005A7D1A" w:rsidRPr="00C14318" w:rsidRDefault="005A7D1A" w:rsidP="001B463B">
            <w:pPr>
              <w:rPr>
                <w:lang w:val="sk-SK"/>
              </w:rPr>
            </w:pPr>
          </w:p>
        </w:tc>
        <w:tc>
          <w:tcPr>
            <w:tcW w:w="2069" w:type="dxa"/>
          </w:tcPr>
          <w:p w14:paraId="36B33AAB" w14:textId="77777777" w:rsidR="005A7D1A" w:rsidRPr="00C14318" w:rsidRDefault="005A7D1A" w:rsidP="001B463B">
            <w:pPr>
              <w:rPr>
                <w:lang w:val="sk-SK"/>
              </w:rPr>
            </w:pPr>
          </w:p>
        </w:tc>
        <w:tc>
          <w:tcPr>
            <w:tcW w:w="2053" w:type="dxa"/>
          </w:tcPr>
          <w:p w14:paraId="14DE8BD0" w14:textId="77777777" w:rsidR="005A7D1A" w:rsidRPr="00C14318" w:rsidRDefault="005A7D1A" w:rsidP="001B463B">
            <w:pPr>
              <w:pStyle w:val="TableParagraph"/>
              <w:spacing w:line="247" w:lineRule="exact"/>
              <w:rPr>
                <w:lang w:val="sk-SK"/>
              </w:rPr>
            </w:pPr>
            <w:r w:rsidRPr="00C14318">
              <w:rPr>
                <w:lang w:val="sk-SK"/>
              </w:rPr>
              <w:t>Dysgeúzia</w:t>
            </w:r>
          </w:p>
        </w:tc>
        <w:tc>
          <w:tcPr>
            <w:tcW w:w="2043" w:type="dxa"/>
          </w:tcPr>
          <w:p w14:paraId="38A66E4C" w14:textId="77777777" w:rsidR="005A7D1A" w:rsidRPr="00C14318" w:rsidRDefault="005A7D1A" w:rsidP="001B463B">
            <w:pPr>
              <w:pStyle w:val="TableParagraph"/>
              <w:spacing w:line="247" w:lineRule="exact"/>
              <w:ind w:left="105"/>
              <w:rPr>
                <w:lang w:val="sk-SK"/>
              </w:rPr>
            </w:pPr>
            <w:r w:rsidRPr="00C14318">
              <w:rPr>
                <w:lang w:val="sk-SK"/>
              </w:rPr>
              <w:t>Ageúzia</w:t>
            </w:r>
          </w:p>
        </w:tc>
      </w:tr>
      <w:tr w:rsidR="005A7D1A" w:rsidRPr="00C14318" w14:paraId="1930DEBF" w14:textId="77777777" w:rsidTr="008A1848">
        <w:trPr>
          <w:trHeight w:hRule="exact" w:val="1022"/>
        </w:trPr>
        <w:tc>
          <w:tcPr>
            <w:tcW w:w="2124" w:type="dxa"/>
          </w:tcPr>
          <w:p w14:paraId="790786FF" w14:textId="77777777" w:rsidR="005A7D1A" w:rsidRPr="00C14318" w:rsidRDefault="005A7D1A" w:rsidP="001B463B">
            <w:pPr>
              <w:pStyle w:val="TableParagraph"/>
              <w:ind w:right="408"/>
              <w:rPr>
                <w:b/>
                <w:lang w:val="sk-SK"/>
              </w:rPr>
            </w:pPr>
            <w:r w:rsidRPr="00C14318">
              <w:rPr>
                <w:b/>
                <w:lang w:val="sk-SK"/>
              </w:rPr>
              <w:t>Poruchy srdca a srdcovej činnosti</w:t>
            </w:r>
          </w:p>
        </w:tc>
        <w:tc>
          <w:tcPr>
            <w:tcW w:w="1445" w:type="dxa"/>
          </w:tcPr>
          <w:p w14:paraId="30D2DDCC" w14:textId="77777777" w:rsidR="005A7D1A" w:rsidRPr="00C14318" w:rsidRDefault="005A7D1A" w:rsidP="001B463B">
            <w:pPr>
              <w:pStyle w:val="TableParagraph"/>
              <w:ind w:right="200"/>
              <w:rPr>
                <w:lang w:val="sk-SK"/>
              </w:rPr>
            </w:pPr>
            <w:r w:rsidRPr="00C14318">
              <w:rPr>
                <w:lang w:val="sk-SK"/>
              </w:rPr>
              <w:t>Kongestívne zlyhávanie srdca (pozri nižšie)</w:t>
            </w:r>
          </w:p>
        </w:tc>
        <w:tc>
          <w:tcPr>
            <w:tcW w:w="2069" w:type="dxa"/>
          </w:tcPr>
          <w:p w14:paraId="2493AA03" w14:textId="77777777" w:rsidR="005A7D1A" w:rsidRPr="00C14318" w:rsidRDefault="005A7D1A" w:rsidP="001B463B">
            <w:pPr>
              <w:pStyle w:val="TableParagraph"/>
              <w:spacing w:line="242" w:lineRule="auto"/>
              <w:ind w:left="105" w:right="267"/>
              <w:rPr>
                <w:lang w:val="sk-SK"/>
              </w:rPr>
            </w:pPr>
            <w:r w:rsidRPr="00C14318">
              <w:rPr>
                <w:lang w:val="sk-SK"/>
              </w:rPr>
              <w:t>Bradykardia (pozri časti 4.3 a 4.4)</w:t>
            </w:r>
          </w:p>
        </w:tc>
        <w:tc>
          <w:tcPr>
            <w:tcW w:w="2053" w:type="dxa"/>
          </w:tcPr>
          <w:p w14:paraId="4FEDF2D5" w14:textId="77777777" w:rsidR="005A7D1A" w:rsidRPr="00C14318" w:rsidRDefault="005A7D1A" w:rsidP="001B463B">
            <w:pPr>
              <w:rPr>
                <w:lang w:val="sk-SK"/>
              </w:rPr>
            </w:pPr>
          </w:p>
        </w:tc>
        <w:tc>
          <w:tcPr>
            <w:tcW w:w="2043" w:type="dxa"/>
          </w:tcPr>
          <w:p w14:paraId="7689A2A1" w14:textId="77777777" w:rsidR="005A7D1A" w:rsidRPr="00C14318" w:rsidRDefault="005A7D1A" w:rsidP="001B463B">
            <w:pPr>
              <w:rPr>
                <w:lang w:val="sk-SK"/>
              </w:rPr>
            </w:pPr>
          </w:p>
        </w:tc>
      </w:tr>
      <w:tr w:rsidR="005A7D1A" w:rsidRPr="00C14318" w14:paraId="3141DC2A" w14:textId="77777777" w:rsidTr="008A1848">
        <w:trPr>
          <w:trHeight w:hRule="exact" w:val="769"/>
        </w:trPr>
        <w:tc>
          <w:tcPr>
            <w:tcW w:w="2124" w:type="dxa"/>
          </w:tcPr>
          <w:p w14:paraId="02DDFA5D" w14:textId="77777777" w:rsidR="005A7D1A" w:rsidRPr="00C14318" w:rsidRDefault="005A7D1A" w:rsidP="001B463B">
            <w:pPr>
              <w:pStyle w:val="TableParagraph"/>
              <w:spacing w:line="252" w:lineRule="exact"/>
              <w:rPr>
                <w:b/>
                <w:lang w:val="sk-SK"/>
              </w:rPr>
            </w:pPr>
            <w:r w:rsidRPr="00C14318">
              <w:rPr>
                <w:b/>
                <w:lang w:val="sk-SK"/>
              </w:rPr>
              <w:t>Poruchy ciev</w:t>
            </w:r>
          </w:p>
        </w:tc>
        <w:tc>
          <w:tcPr>
            <w:tcW w:w="1445" w:type="dxa"/>
          </w:tcPr>
          <w:p w14:paraId="18DA8560" w14:textId="77777777" w:rsidR="005A7D1A" w:rsidRPr="00C14318" w:rsidRDefault="005A7D1A" w:rsidP="001B463B">
            <w:pPr>
              <w:rPr>
                <w:lang w:val="sk-SK"/>
              </w:rPr>
            </w:pPr>
          </w:p>
        </w:tc>
        <w:tc>
          <w:tcPr>
            <w:tcW w:w="2069" w:type="dxa"/>
          </w:tcPr>
          <w:p w14:paraId="123B6136" w14:textId="77777777" w:rsidR="005A7D1A" w:rsidRPr="00C14318" w:rsidRDefault="005A7D1A" w:rsidP="001B463B">
            <w:pPr>
              <w:rPr>
                <w:lang w:val="sk-SK"/>
              </w:rPr>
            </w:pPr>
          </w:p>
        </w:tc>
        <w:tc>
          <w:tcPr>
            <w:tcW w:w="2053" w:type="dxa"/>
          </w:tcPr>
          <w:p w14:paraId="0B0D1AFA" w14:textId="77777777" w:rsidR="005A7D1A" w:rsidRPr="00C14318" w:rsidRDefault="005A7D1A" w:rsidP="001B463B">
            <w:pPr>
              <w:rPr>
                <w:lang w:val="sk-SK"/>
              </w:rPr>
            </w:pPr>
          </w:p>
        </w:tc>
        <w:tc>
          <w:tcPr>
            <w:tcW w:w="2043" w:type="dxa"/>
          </w:tcPr>
          <w:p w14:paraId="10D0B1CE" w14:textId="77777777" w:rsidR="005A7D1A" w:rsidRPr="00C14318" w:rsidRDefault="005A7D1A" w:rsidP="001B463B">
            <w:pPr>
              <w:pStyle w:val="TableParagraph"/>
              <w:ind w:left="105" w:right="208"/>
              <w:rPr>
                <w:lang w:val="sk-SK"/>
              </w:rPr>
            </w:pPr>
            <w:r w:rsidRPr="00C14318">
              <w:rPr>
                <w:lang w:val="sk-SK"/>
              </w:rPr>
              <w:t>Vaskulitída vrátane leukocytoklastickej vaskulitídy</w:t>
            </w:r>
          </w:p>
        </w:tc>
      </w:tr>
      <w:tr w:rsidR="005A7D1A" w:rsidRPr="00C14318" w14:paraId="13DB5093" w14:textId="77777777" w:rsidTr="008A1848">
        <w:trPr>
          <w:trHeight w:hRule="exact" w:val="1529"/>
        </w:trPr>
        <w:tc>
          <w:tcPr>
            <w:tcW w:w="2124" w:type="dxa"/>
          </w:tcPr>
          <w:p w14:paraId="46A8172A" w14:textId="77777777" w:rsidR="005A7D1A" w:rsidRPr="00C14318" w:rsidRDefault="005A7D1A" w:rsidP="001B463B">
            <w:pPr>
              <w:pStyle w:val="TableParagraph"/>
              <w:ind w:right="138"/>
              <w:rPr>
                <w:b/>
                <w:lang w:val="sk-SK"/>
              </w:rPr>
            </w:pPr>
            <w:r w:rsidRPr="00C14318">
              <w:rPr>
                <w:b/>
                <w:lang w:val="sk-SK"/>
              </w:rPr>
              <w:t>Poruchy dýchacej sústavy, hrudníka a mediastína</w:t>
            </w:r>
          </w:p>
        </w:tc>
        <w:tc>
          <w:tcPr>
            <w:tcW w:w="1445" w:type="dxa"/>
          </w:tcPr>
          <w:p w14:paraId="398D9347" w14:textId="77777777" w:rsidR="005A7D1A" w:rsidRPr="00C14318" w:rsidRDefault="005A7D1A" w:rsidP="001B463B">
            <w:pPr>
              <w:rPr>
                <w:lang w:val="sk-SK"/>
              </w:rPr>
            </w:pPr>
          </w:p>
        </w:tc>
        <w:tc>
          <w:tcPr>
            <w:tcW w:w="2069" w:type="dxa"/>
          </w:tcPr>
          <w:p w14:paraId="0757EFA6" w14:textId="77777777" w:rsidR="005A7D1A" w:rsidRPr="00C14318" w:rsidRDefault="005A7D1A" w:rsidP="001B463B">
            <w:pPr>
              <w:rPr>
                <w:lang w:val="sk-SK"/>
              </w:rPr>
            </w:pPr>
          </w:p>
        </w:tc>
        <w:tc>
          <w:tcPr>
            <w:tcW w:w="2053" w:type="dxa"/>
          </w:tcPr>
          <w:p w14:paraId="53917983" w14:textId="77777777" w:rsidR="005A7D1A" w:rsidRPr="00C14318" w:rsidRDefault="005A7D1A" w:rsidP="001B463B">
            <w:pPr>
              <w:pStyle w:val="TableParagraph"/>
              <w:ind w:right="545"/>
              <w:rPr>
                <w:lang w:val="sk-SK"/>
              </w:rPr>
            </w:pPr>
            <w:r w:rsidRPr="00C14318">
              <w:rPr>
                <w:lang w:val="sk-SK"/>
              </w:rPr>
              <w:t>Intersticiálne ochorenie pľúc vrátane pneumonitídy a pľúcnej fibrózy (pozri nižšie)</w:t>
            </w:r>
          </w:p>
        </w:tc>
        <w:tc>
          <w:tcPr>
            <w:tcW w:w="2043" w:type="dxa"/>
          </w:tcPr>
          <w:p w14:paraId="0EEF7800" w14:textId="77777777" w:rsidR="005A7D1A" w:rsidRPr="00C14318" w:rsidRDefault="005A7D1A" w:rsidP="001B463B">
            <w:pPr>
              <w:rPr>
                <w:lang w:val="sk-SK"/>
              </w:rPr>
            </w:pPr>
          </w:p>
        </w:tc>
      </w:tr>
      <w:tr w:rsidR="005A7D1A" w:rsidRPr="00C14318" w14:paraId="697591CF" w14:textId="77777777" w:rsidTr="008A1848">
        <w:trPr>
          <w:trHeight w:hRule="exact" w:val="1275"/>
        </w:trPr>
        <w:tc>
          <w:tcPr>
            <w:tcW w:w="2124" w:type="dxa"/>
          </w:tcPr>
          <w:p w14:paraId="5FAED032" w14:textId="77777777" w:rsidR="005A7D1A" w:rsidRPr="00C14318" w:rsidRDefault="005A7D1A" w:rsidP="001B463B">
            <w:pPr>
              <w:pStyle w:val="TableParagraph"/>
              <w:ind w:right="84"/>
              <w:rPr>
                <w:b/>
                <w:lang w:val="sk-SK"/>
              </w:rPr>
            </w:pPr>
            <w:r w:rsidRPr="00C14318">
              <w:rPr>
                <w:b/>
                <w:lang w:val="sk-SK"/>
              </w:rPr>
              <w:t>Poruchy gastrointestinálneho traktu</w:t>
            </w:r>
          </w:p>
        </w:tc>
        <w:tc>
          <w:tcPr>
            <w:tcW w:w="1445" w:type="dxa"/>
          </w:tcPr>
          <w:p w14:paraId="5076023A" w14:textId="77777777" w:rsidR="005A7D1A" w:rsidRPr="00C14318" w:rsidRDefault="005A7D1A" w:rsidP="001B463B">
            <w:pPr>
              <w:rPr>
                <w:lang w:val="sk-SK"/>
              </w:rPr>
            </w:pPr>
          </w:p>
        </w:tc>
        <w:tc>
          <w:tcPr>
            <w:tcW w:w="2069" w:type="dxa"/>
          </w:tcPr>
          <w:p w14:paraId="5A4052C5" w14:textId="77777777" w:rsidR="005A7D1A" w:rsidRPr="00C14318" w:rsidRDefault="005A7D1A" w:rsidP="001B463B">
            <w:pPr>
              <w:pStyle w:val="TableParagraph"/>
              <w:ind w:left="146" w:right="616"/>
              <w:rPr>
                <w:lang w:val="sk-SK"/>
              </w:rPr>
            </w:pPr>
            <w:r w:rsidRPr="00C14318">
              <w:rPr>
                <w:lang w:val="sk-SK"/>
              </w:rPr>
              <w:t>Hnačka Vracanie Nevoľnosť Bolesti brucha Dyspepsia</w:t>
            </w:r>
          </w:p>
        </w:tc>
        <w:tc>
          <w:tcPr>
            <w:tcW w:w="2053" w:type="dxa"/>
          </w:tcPr>
          <w:p w14:paraId="70B43863" w14:textId="77777777" w:rsidR="005A7D1A" w:rsidRPr="00C14318" w:rsidRDefault="005A7D1A" w:rsidP="001B463B">
            <w:pPr>
              <w:rPr>
                <w:lang w:val="sk-SK"/>
              </w:rPr>
            </w:pPr>
          </w:p>
        </w:tc>
        <w:tc>
          <w:tcPr>
            <w:tcW w:w="2043" w:type="dxa"/>
          </w:tcPr>
          <w:p w14:paraId="4CE43296" w14:textId="77777777" w:rsidR="005A7D1A" w:rsidRPr="00C14318" w:rsidRDefault="005A7D1A" w:rsidP="001B463B">
            <w:pPr>
              <w:rPr>
                <w:lang w:val="sk-SK"/>
              </w:rPr>
            </w:pPr>
          </w:p>
        </w:tc>
      </w:tr>
      <w:tr w:rsidR="005A7D1A" w:rsidRPr="00C14318" w14:paraId="4E2D96B4" w14:textId="77777777" w:rsidTr="004E3016">
        <w:trPr>
          <w:trHeight w:hRule="exact" w:val="1990"/>
        </w:trPr>
        <w:tc>
          <w:tcPr>
            <w:tcW w:w="2124" w:type="dxa"/>
          </w:tcPr>
          <w:p w14:paraId="5E67B2ED" w14:textId="77777777" w:rsidR="005A7D1A" w:rsidRPr="00C14318" w:rsidRDefault="005A7D1A" w:rsidP="001B463B">
            <w:pPr>
              <w:pStyle w:val="TableParagraph"/>
              <w:ind w:right="506"/>
              <w:rPr>
                <w:b/>
                <w:lang w:val="sk-SK"/>
              </w:rPr>
            </w:pPr>
            <w:r w:rsidRPr="00C14318">
              <w:rPr>
                <w:b/>
                <w:lang w:val="sk-SK"/>
              </w:rPr>
              <w:t>Poruchy pečene a žlčových ciest</w:t>
            </w:r>
          </w:p>
        </w:tc>
        <w:tc>
          <w:tcPr>
            <w:tcW w:w="1445" w:type="dxa"/>
          </w:tcPr>
          <w:p w14:paraId="4B480A2F" w14:textId="77777777" w:rsidR="005A7D1A" w:rsidRPr="00C14318" w:rsidRDefault="005A7D1A" w:rsidP="001B463B">
            <w:pPr>
              <w:rPr>
                <w:lang w:val="sk-SK"/>
              </w:rPr>
            </w:pPr>
          </w:p>
        </w:tc>
        <w:tc>
          <w:tcPr>
            <w:tcW w:w="2069" w:type="dxa"/>
          </w:tcPr>
          <w:p w14:paraId="25BB8FFB" w14:textId="683A9992" w:rsidR="005A7D1A" w:rsidRPr="00C14318" w:rsidRDefault="003F6784" w:rsidP="001B463B">
            <w:pPr>
              <w:pStyle w:val="TableParagraph"/>
              <w:ind w:left="146" w:right="262"/>
              <w:rPr>
                <w:lang w:val="sk-SK"/>
              </w:rPr>
            </w:pPr>
            <w:r>
              <w:rPr>
                <w:lang w:val="sk-SK"/>
              </w:rPr>
              <w:t>P</w:t>
            </w:r>
            <w:r w:rsidR="005A7D1A" w:rsidRPr="00C14318">
              <w:rPr>
                <w:lang w:val="sk-SK"/>
              </w:rPr>
              <w:t>ečeňo</w:t>
            </w:r>
            <w:r>
              <w:rPr>
                <w:lang w:val="sk-SK"/>
              </w:rPr>
              <w:t>vé</w:t>
            </w:r>
            <w:r w:rsidR="005A7D1A" w:rsidRPr="00C14318">
              <w:rPr>
                <w:lang w:val="sk-SK"/>
              </w:rPr>
              <w:t xml:space="preserve"> test</w:t>
            </w:r>
            <w:r>
              <w:rPr>
                <w:lang w:val="sk-SK"/>
              </w:rPr>
              <w:t>y mimo normy</w:t>
            </w:r>
          </w:p>
        </w:tc>
        <w:tc>
          <w:tcPr>
            <w:tcW w:w="2053" w:type="dxa"/>
          </w:tcPr>
          <w:p w14:paraId="278F6108" w14:textId="77777777" w:rsidR="005A7D1A" w:rsidRPr="00C14318" w:rsidRDefault="005A7D1A" w:rsidP="001B463B">
            <w:pPr>
              <w:rPr>
                <w:lang w:val="sk-SK"/>
              </w:rPr>
            </w:pPr>
          </w:p>
        </w:tc>
        <w:tc>
          <w:tcPr>
            <w:tcW w:w="2043" w:type="dxa"/>
          </w:tcPr>
          <w:p w14:paraId="428A495F" w14:textId="2B22629D" w:rsidR="005A7D1A" w:rsidRPr="00C14318" w:rsidRDefault="005A7D1A" w:rsidP="001B463B">
            <w:pPr>
              <w:pStyle w:val="TableParagraph"/>
              <w:ind w:left="105" w:right="93"/>
              <w:rPr>
                <w:lang w:val="sk-SK"/>
              </w:rPr>
            </w:pPr>
            <w:r w:rsidRPr="00C14318">
              <w:rPr>
                <w:lang w:val="sk-SK"/>
              </w:rPr>
              <w:t>Hepatocelulárne poškodenie pečene vrátane život ohrozujúceho akútneho zlyh</w:t>
            </w:r>
            <w:r w:rsidR="003F6784">
              <w:rPr>
                <w:lang w:val="sk-SK"/>
              </w:rPr>
              <w:t>ania</w:t>
            </w:r>
            <w:r w:rsidRPr="00C14318">
              <w:rPr>
                <w:lang w:val="sk-SK"/>
              </w:rPr>
              <w:t xml:space="preserve"> pečene (pozri časť 4.4)</w:t>
            </w:r>
          </w:p>
        </w:tc>
      </w:tr>
      <w:tr w:rsidR="005A7D1A" w:rsidRPr="00C14318" w14:paraId="2E193A73" w14:textId="77777777" w:rsidTr="008A1848">
        <w:trPr>
          <w:trHeight w:hRule="exact" w:val="2537"/>
        </w:trPr>
        <w:tc>
          <w:tcPr>
            <w:tcW w:w="2124" w:type="dxa"/>
          </w:tcPr>
          <w:p w14:paraId="45FB6563" w14:textId="77777777" w:rsidR="005A7D1A" w:rsidRPr="00C14318" w:rsidRDefault="005A7D1A" w:rsidP="001B463B">
            <w:pPr>
              <w:pStyle w:val="TableParagraph"/>
              <w:ind w:right="90"/>
              <w:rPr>
                <w:b/>
                <w:lang w:val="sk-SK"/>
              </w:rPr>
            </w:pPr>
            <w:r w:rsidRPr="00C14318">
              <w:rPr>
                <w:b/>
                <w:lang w:val="sk-SK"/>
              </w:rPr>
              <w:t>Poruchy kože a podkožného tkaniva</w:t>
            </w:r>
          </w:p>
        </w:tc>
        <w:tc>
          <w:tcPr>
            <w:tcW w:w="1445" w:type="dxa"/>
          </w:tcPr>
          <w:p w14:paraId="586D5351" w14:textId="77777777" w:rsidR="005A7D1A" w:rsidRPr="00C14318" w:rsidRDefault="005A7D1A" w:rsidP="001B463B">
            <w:pPr>
              <w:rPr>
                <w:lang w:val="sk-SK"/>
              </w:rPr>
            </w:pPr>
          </w:p>
        </w:tc>
        <w:tc>
          <w:tcPr>
            <w:tcW w:w="2069" w:type="dxa"/>
          </w:tcPr>
          <w:p w14:paraId="752227C9" w14:textId="77777777" w:rsidR="005A7D1A" w:rsidRPr="00C14318" w:rsidRDefault="00E70318" w:rsidP="001B463B">
            <w:pPr>
              <w:pStyle w:val="TableParagraph"/>
              <w:ind w:left="146" w:right="232"/>
              <w:rPr>
                <w:lang w:val="sk-SK"/>
              </w:rPr>
            </w:pPr>
            <w:r>
              <w:rPr>
                <w:lang w:val="sk-SK"/>
              </w:rPr>
              <w:t>Vyrážky</w:t>
            </w:r>
            <w:r w:rsidR="005A7D1A" w:rsidRPr="00C14318">
              <w:rPr>
                <w:lang w:val="sk-SK"/>
              </w:rPr>
              <w:t xml:space="preserve"> (vrátane generalizovanej, makulárnej, makulopapulárnej) Pruritus</w:t>
            </w:r>
          </w:p>
        </w:tc>
        <w:tc>
          <w:tcPr>
            <w:tcW w:w="2053" w:type="dxa"/>
          </w:tcPr>
          <w:p w14:paraId="3A5D304C" w14:textId="77777777" w:rsidR="005A7D1A" w:rsidRPr="00C14318" w:rsidRDefault="005A7D1A" w:rsidP="001B463B">
            <w:pPr>
              <w:pStyle w:val="TableParagraph"/>
              <w:ind w:left="143" w:right="456"/>
              <w:rPr>
                <w:lang w:val="sk-SK"/>
              </w:rPr>
            </w:pPr>
            <w:r w:rsidRPr="00C14318">
              <w:rPr>
                <w:lang w:val="sk-SK"/>
              </w:rPr>
              <w:t>Erytém (vrátane erytému</w:t>
            </w:r>
          </w:p>
          <w:p w14:paraId="2412AB34" w14:textId="77777777" w:rsidR="005A7D1A" w:rsidRPr="00C14318" w:rsidRDefault="005A7D1A" w:rsidP="001B463B">
            <w:pPr>
              <w:pStyle w:val="TableParagraph"/>
              <w:spacing w:before="5"/>
              <w:ind w:left="136" w:right="499" w:firstLine="7"/>
              <w:rPr>
                <w:lang w:val="sk-SK"/>
              </w:rPr>
            </w:pPr>
            <w:r w:rsidRPr="00C14318">
              <w:rPr>
                <w:lang w:val="sk-SK"/>
              </w:rPr>
              <w:t>a erytematóznej vyrážky) Ekzém Fotosenzitívna reakcia Alergická dermatitída Dermatitída</w:t>
            </w:r>
          </w:p>
        </w:tc>
        <w:tc>
          <w:tcPr>
            <w:tcW w:w="2043" w:type="dxa"/>
          </w:tcPr>
          <w:p w14:paraId="7B3EAA53" w14:textId="77777777" w:rsidR="005A7D1A" w:rsidRPr="00C14318" w:rsidRDefault="005A7D1A" w:rsidP="001B463B">
            <w:pPr>
              <w:rPr>
                <w:lang w:val="sk-SK"/>
              </w:rPr>
            </w:pPr>
          </w:p>
        </w:tc>
      </w:tr>
      <w:tr w:rsidR="00557CAF" w:rsidRPr="00C14318" w14:paraId="09C893F3" w14:textId="77777777" w:rsidTr="008A1848">
        <w:trPr>
          <w:trHeight w:hRule="exact" w:val="1022"/>
        </w:trPr>
        <w:tc>
          <w:tcPr>
            <w:tcW w:w="2124" w:type="dxa"/>
          </w:tcPr>
          <w:p w14:paraId="18E410D7" w14:textId="77777777" w:rsidR="00557CAF" w:rsidRPr="00C14318" w:rsidRDefault="00557CAF" w:rsidP="001B463B">
            <w:pPr>
              <w:pStyle w:val="TableParagraph"/>
              <w:ind w:right="231"/>
              <w:rPr>
                <w:b/>
                <w:lang w:val="sk-SK"/>
              </w:rPr>
            </w:pPr>
            <w:r w:rsidRPr="00C14318">
              <w:rPr>
                <w:b/>
                <w:lang w:val="sk-SK"/>
              </w:rPr>
              <w:t>Celkové poruchy a reakcie v mieste podania</w:t>
            </w:r>
          </w:p>
        </w:tc>
        <w:tc>
          <w:tcPr>
            <w:tcW w:w="1445" w:type="dxa"/>
          </w:tcPr>
          <w:p w14:paraId="0066D164" w14:textId="77777777" w:rsidR="00557CAF" w:rsidRPr="00C14318" w:rsidRDefault="00557CAF" w:rsidP="001B463B">
            <w:pPr>
              <w:rPr>
                <w:lang w:val="sk-SK"/>
              </w:rPr>
            </w:pPr>
          </w:p>
        </w:tc>
        <w:tc>
          <w:tcPr>
            <w:tcW w:w="2069" w:type="dxa"/>
          </w:tcPr>
          <w:p w14:paraId="037B8F2C" w14:textId="77777777" w:rsidR="00557CAF" w:rsidRPr="00C14318" w:rsidRDefault="00557CAF" w:rsidP="001B463B">
            <w:pPr>
              <w:pStyle w:val="TableParagraph"/>
              <w:ind w:left="105" w:right="1262" w:firstLine="40"/>
              <w:rPr>
                <w:lang w:val="sk-SK"/>
              </w:rPr>
            </w:pPr>
            <w:r w:rsidRPr="00C14318">
              <w:rPr>
                <w:lang w:val="sk-SK"/>
              </w:rPr>
              <w:t>Únava Asténia</w:t>
            </w:r>
          </w:p>
        </w:tc>
        <w:tc>
          <w:tcPr>
            <w:tcW w:w="2053" w:type="dxa"/>
          </w:tcPr>
          <w:p w14:paraId="3630340C" w14:textId="77777777" w:rsidR="00557CAF" w:rsidRPr="00C14318" w:rsidRDefault="00557CAF" w:rsidP="001B463B">
            <w:pPr>
              <w:rPr>
                <w:lang w:val="sk-SK"/>
              </w:rPr>
            </w:pPr>
          </w:p>
        </w:tc>
        <w:tc>
          <w:tcPr>
            <w:tcW w:w="2043" w:type="dxa"/>
          </w:tcPr>
          <w:p w14:paraId="724986E2" w14:textId="77777777" w:rsidR="00557CAF" w:rsidRPr="00C14318" w:rsidRDefault="00557CAF" w:rsidP="001B463B">
            <w:pPr>
              <w:rPr>
                <w:lang w:val="sk-SK"/>
              </w:rPr>
            </w:pPr>
          </w:p>
        </w:tc>
      </w:tr>
      <w:tr w:rsidR="00557CAF" w:rsidRPr="00C14318" w14:paraId="730477AB" w14:textId="77777777" w:rsidTr="00557CAF">
        <w:trPr>
          <w:trHeight w:hRule="exact" w:val="2420"/>
        </w:trPr>
        <w:tc>
          <w:tcPr>
            <w:tcW w:w="2124" w:type="dxa"/>
          </w:tcPr>
          <w:p w14:paraId="6EE090E4" w14:textId="77777777" w:rsidR="00557CAF" w:rsidRPr="00C14318" w:rsidRDefault="00557CAF" w:rsidP="001B463B">
            <w:pPr>
              <w:pStyle w:val="TableParagraph"/>
              <w:ind w:right="231"/>
              <w:rPr>
                <w:b/>
                <w:lang w:val="sk-SK"/>
              </w:rPr>
            </w:pPr>
            <w:r>
              <w:rPr>
                <w:b/>
                <w:lang w:val="sk-SK"/>
              </w:rPr>
              <w:lastRenderedPageBreak/>
              <w:t>Laboratórne a funkčné vyšetrenia</w:t>
            </w:r>
          </w:p>
        </w:tc>
        <w:tc>
          <w:tcPr>
            <w:tcW w:w="1445" w:type="dxa"/>
          </w:tcPr>
          <w:p w14:paraId="38235CD6" w14:textId="77777777" w:rsidR="00557CAF" w:rsidRDefault="00557CAF" w:rsidP="001B463B">
            <w:pPr>
              <w:rPr>
                <w:lang w:val="sk-SK"/>
              </w:rPr>
            </w:pPr>
            <w:r>
              <w:rPr>
                <w:lang w:val="sk-SK"/>
              </w:rPr>
              <w:t>Zvýšená hladina kreatinínu v krvi*</w:t>
            </w:r>
          </w:p>
          <w:p w14:paraId="3FAD47B2" w14:textId="77777777" w:rsidR="00557CAF" w:rsidRDefault="00557CAF" w:rsidP="001B463B">
            <w:pPr>
              <w:rPr>
                <w:lang w:val="sk-SK"/>
              </w:rPr>
            </w:pPr>
          </w:p>
          <w:p w14:paraId="75A45C37" w14:textId="77777777" w:rsidR="00557CAF" w:rsidRPr="00C14318" w:rsidRDefault="00557CAF" w:rsidP="001B463B">
            <w:pPr>
              <w:rPr>
                <w:lang w:val="sk-SK"/>
              </w:rPr>
            </w:pPr>
            <w:r>
              <w:rPr>
                <w:lang w:val="sk-SK"/>
              </w:rPr>
              <w:t>Predĺženie QTc intervalu podľa Bazettovho vzorca</w:t>
            </w:r>
            <w:r>
              <w:rPr>
                <w:position w:val="10"/>
                <w:sz w:val="14"/>
              </w:rPr>
              <w:t>#</w:t>
            </w:r>
          </w:p>
        </w:tc>
        <w:tc>
          <w:tcPr>
            <w:tcW w:w="2069" w:type="dxa"/>
          </w:tcPr>
          <w:p w14:paraId="3D72A10B" w14:textId="77777777" w:rsidR="00557CAF" w:rsidRPr="00C14318" w:rsidRDefault="00557CAF" w:rsidP="001B463B">
            <w:pPr>
              <w:pStyle w:val="TableParagraph"/>
              <w:ind w:left="105" w:right="1262" w:firstLine="40"/>
              <w:rPr>
                <w:lang w:val="sk-SK"/>
              </w:rPr>
            </w:pPr>
          </w:p>
        </w:tc>
        <w:tc>
          <w:tcPr>
            <w:tcW w:w="2053" w:type="dxa"/>
          </w:tcPr>
          <w:p w14:paraId="7198EE99" w14:textId="77777777" w:rsidR="00557CAF" w:rsidRPr="00C14318" w:rsidRDefault="00557CAF" w:rsidP="001B463B">
            <w:pPr>
              <w:rPr>
                <w:lang w:val="sk-SK"/>
              </w:rPr>
            </w:pPr>
          </w:p>
        </w:tc>
        <w:tc>
          <w:tcPr>
            <w:tcW w:w="2043" w:type="dxa"/>
          </w:tcPr>
          <w:p w14:paraId="130647FD" w14:textId="77777777" w:rsidR="00557CAF" w:rsidRPr="00C14318" w:rsidRDefault="00557CAF" w:rsidP="001B463B">
            <w:pPr>
              <w:rPr>
                <w:lang w:val="sk-SK"/>
              </w:rPr>
            </w:pPr>
          </w:p>
        </w:tc>
      </w:tr>
    </w:tbl>
    <w:p w14:paraId="0D6FD542" w14:textId="19AD9BE0" w:rsidR="005A7D1A" w:rsidRPr="00C14318" w:rsidRDefault="005A7D1A" w:rsidP="00557CAF">
      <w:pPr>
        <w:pStyle w:val="Zkladntext"/>
        <w:spacing w:before="92" w:line="252" w:lineRule="exact"/>
        <w:ind w:firstLine="216"/>
        <w:rPr>
          <w:lang w:val="sk-SK"/>
        </w:rPr>
      </w:pPr>
      <w:r w:rsidRPr="00C14318">
        <w:rPr>
          <w:lang w:val="sk-SK"/>
        </w:rPr>
        <w:t>* ≥</w:t>
      </w:r>
      <w:r w:rsidR="003F6784">
        <w:rPr>
          <w:lang w:val="sk-SK"/>
        </w:rPr>
        <w:t xml:space="preserve"> </w:t>
      </w:r>
      <w:r w:rsidRPr="00C14318">
        <w:rPr>
          <w:lang w:val="sk-SK"/>
        </w:rPr>
        <w:t>10</w:t>
      </w:r>
      <w:r w:rsidR="003F6784">
        <w:rPr>
          <w:lang w:val="sk-SK"/>
        </w:rPr>
        <w:t xml:space="preserve"> </w:t>
      </w:r>
      <w:r w:rsidRPr="00C14318">
        <w:rPr>
          <w:lang w:val="sk-SK"/>
        </w:rPr>
        <w:t>% päť dní po začatí liečby (pozri časť 4.4)</w:t>
      </w:r>
    </w:p>
    <w:p w14:paraId="1654FB74" w14:textId="3011105D" w:rsidR="005A7D1A" w:rsidRPr="00C14318" w:rsidRDefault="005A7D1A" w:rsidP="001B463B">
      <w:pPr>
        <w:pStyle w:val="Zkladntext"/>
        <w:spacing w:line="252" w:lineRule="exact"/>
        <w:ind w:left="216"/>
        <w:rPr>
          <w:lang w:val="sk-SK"/>
        </w:rPr>
      </w:pPr>
      <w:r w:rsidRPr="00C14318">
        <w:rPr>
          <w:lang w:val="sk-SK"/>
        </w:rPr>
        <w:t># &gt;</w:t>
      </w:r>
      <w:r w:rsidR="003F6784">
        <w:rPr>
          <w:lang w:val="sk-SK"/>
        </w:rPr>
        <w:t xml:space="preserve"> </w:t>
      </w:r>
      <w:r w:rsidRPr="00C14318">
        <w:rPr>
          <w:lang w:val="sk-SK"/>
        </w:rPr>
        <w:t>450 milisekúnd u mužov, &gt;</w:t>
      </w:r>
      <w:r w:rsidR="003F6784">
        <w:rPr>
          <w:lang w:val="sk-SK"/>
        </w:rPr>
        <w:t xml:space="preserve"> </w:t>
      </w:r>
      <w:r w:rsidRPr="00C14318">
        <w:rPr>
          <w:lang w:val="sk-SK"/>
        </w:rPr>
        <w:t>470 milisekúnd u žien (pozri časť 4.4)</w:t>
      </w:r>
    </w:p>
    <w:p w14:paraId="553F46A3" w14:textId="77777777" w:rsidR="005A7D1A" w:rsidRPr="00C14318" w:rsidRDefault="005A7D1A" w:rsidP="001B463B">
      <w:pPr>
        <w:pStyle w:val="Zkladntext"/>
        <w:rPr>
          <w:lang w:val="sk-SK"/>
        </w:rPr>
      </w:pPr>
    </w:p>
    <w:p w14:paraId="7785CF93" w14:textId="77777777" w:rsidR="005A7D1A" w:rsidRPr="00C14318" w:rsidRDefault="005A7D1A" w:rsidP="001B463B">
      <w:pPr>
        <w:pStyle w:val="Zkladntext"/>
        <w:ind w:left="216"/>
        <w:rPr>
          <w:lang w:val="sk-SK"/>
        </w:rPr>
      </w:pPr>
      <w:r w:rsidRPr="00C14318">
        <w:rPr>
          <w:u w:val="single"/>
          <w:lang w:val="sk-SK"/>
        </w:rPr>
        <w:t>Opis vybraných nežiaducich reakcií</w:t>
      </w:r>
    </w:p>
    <w:p w14:paraId="63793DF9" w14:textId="77777777" w:rsidR="005A7D1A" w:rsidRPr="00C14318" w:rsidRDefault="005A7D1A" w:rsidP="001B463B">
      <w:pPr>
        <w:pStyle w:val="Zkladntext"/>
        <w:spacing w:before="1"/>
        <w:ind w:left="216" w:right="1183"/>
        <w:rPr>
          <w:lang w:val="sk-SK"/>
        </w:rPr>
      </w:pPr>
      <w:r w:rsidRPr="00C14318">
        <w:rPr>
          <w:lang w:val="sk-SK"/>
        </w:rPr>
        <w:t>V 5 placebom kontrolovaných štúdiá</w:t>
      </w:r>
      <w:r w:rsidR="00605671">
        <w:rPr>
          <w:lang w:val="sk-SK"/>
        </w:rPr>
        <w:t>ch sa vyskytlo kongestívne zlyháva</w:t>
      </w:r>
      <w:r w:rsidRPr="00C14318">
        <w:rPr>
          <w:lang w:val="sk-SK"/>
        </w:rPr>
        <w:t>nie srdca (CHF) v skupine s dronedarónom v pomere, ktorý je porovnateľný s placebom (veľmi často, 11,2% oproti</w:t>
      </w:r>
      <w:r w:rsidRPr="00C14318">
        <w:rPr>
          <w:spacing w:val="-19"/>
          <w:lang w:val="sk-SK"/>
        </w:rPr>
        <w:t xml:space="preserve"> </w:t>
      </w:r>
      <w:r w:rsidRPr="00C14318">
        <w:rPr>
          <w:lang w:val="sk-SK"/>
        </w:rPr>
        <w:t>10,9%).</w:t>
      </w:r>
    </w:p>
    <w:p w14:paraId="3D4B7829" w14:textId="612DDC14" w:rsidR="005A7D1A" w:rsidRPr="00C14318" w:rsidRDefault="005A7D1A" w:rsidP="001B463B">
      <w:pPr>
        <w:pStyle w:val="Zkladntext"/>
        <w:ind w:left="216" w:right="738"/>
        <w:rPr>
          <w:lang w:val="sk-SK"/>
        </w:rPr>
      </w:pPr>
      <w:r w:rsidRPr="00C14318">
        <w:rPr>
          <w:lang w:val="sk-SK"/>
        </w:rPr>
        <w:t xml:space="preserve">Tento pomer je treba brať do úvahy v kontexte </w:t>
      </w:r>
      <w:r w:rsidR="003F6784">
        <w:rPr>
          <w:lang w:val="sk-SK"/>
        </w:rPr>
        <w:t>primárneho</w:t>
      </w:r>
      <w:r w:rsidR="003F6784" w:rsidRPr="00C14318">
        <w:rPr>
          <w:lang w:val="sk-SK"/>
        </w:rPr>
        <w:t xml:space="preserve"> </w:t>
      </w:r>
      <w:r w:rsidRPr="00C14318">
        <w:rPr>
          <w:lang w:val="sk-SK"/>
        </w:rPr>
        <w:t>zvýšeného výskytu CHF u pacientov s AF. Prípady CHF sa zaznamenali aj po uvedení lieku na trh (neznáma frekvencia) (pozri časť 4.4).</w:t>
      </w:r>
    </w:p>
    <w:p w14:paraId="134D9CA8" w14:textId="77777777" w:rsidR="005A7D1A" w:rsidRPr="00C14318" w:rsidRDefault="005A7D1A" w:rsidP="001B463B">
      <w:pPr>
        <w:pStyle w:val="Zkladntext"/>
        <w:spacing w:before="1"/>
        <w:rPr>
          <w:lang w:val="sk-SK"/>
        </w:rPr>
      </w:pPr>
    </w:p>
    <w:p w14:paraId="237F91C1" w14:textId="77777777" w:rsidR="005A7D1A" w:rsidRPr="00C14318" w:rsidRDefault="005A7D1A" w:rsidP="001B463B">
      <w:pPr>
        <w:pStyle w:val="Zkladntext"/>
        <w:spacing w:line="252" w:lineRule="exact"/>
        <w:ind w:left="216"/>
        <w:rPr>
          <w:lang w:val="sk-SK"/>
        </w:rPr>
      </w:pPr>
      <w:r w:rsidRPr="00C14318">
        <w:rPr>
          <w:lang w:val="sk-SK"/>
        </w:rPr>
        <w:t>V 5 placebom kontrolovaných štúdiách malo pľúcne udalosti 0,6% pacientov v skupine</w:t>
      </w:r>
    </w:p>
    <w:p w14:paraId="70075FD8" w14:textId="3760CA33" w:rsidR="005A7D1A" w:rsidRPr="00C14318" w:rsidRDefault="005A7D1A" w:rsidP="001B463B">
      <w:pPr>
        <w:pStyle w:val="Zkladntext"/>
        <w:ind w:left="216" w:right="667"/>
        <w:rPr>
          <w:lang w:val="sk-SK"/>
        </w:rPr>
      </w:pPr>
      <w:r w:rsidRPr="00C14318">
        <w:rPr>
          <w:lang w:val="sk-SK"/>
        </w:rPr>
        <w:t xml:space="preserve">s dronedarónom oproti 0,8% pacientov dostávajúcich placebo. Po uvedení na trh boli hlásené prípady intersticiálneho ochorenia pľúc vrátane pneumonitídy a pľúcnej fibrózy (frekvencia výskytu neznáma). </w:t>
      </w:r>
      <w:r w:rsidR="003F6784">
        <w:rPr>
          <w:lang w:val="sk-SK"/>
        </w:rPr>
        <w:t>Určitý</w:t>
      </w:r>
      <w:r w:rsidR="003F6784" w:rsidRPr="00C14318">
        <w:rPr>
          <w:lang w:val="sk-SK"/>
        </w:rPr>
        <w:t xml:space="preserve"> </w:t>
      </w:r>
      <w:r w:rsidRPr="00C14318">
        <w:rPr>
          <w:lang w:val="sk-SK"/>
        </w:rPr>
        <w:t>počet pacientov bol predtým vystavený účinku amiodarónu (pozri časť 4.4).</w:t>
      </w:r>
    </w:p>
    <w:p w14:paraId="65F4CD4A" w14:textId="77777777" w:rsidR="005A7D1A" w:rsidRPr="00C14318" w:rsidRDefault="005A7D1A" w:rsidP="001B463B">
      <w:pPr>
        <w:pStyle w:val="Zkladntext"/>
        <w:spacing w:before="1"/>
        <w:rPr>
          <w:lang w:val="sk-SK"/>
        </w:rPr>
      </w:pPr>
    </w:p>
    <w:p w14:paraId="7B747868" w14:textId="77777777" w:rsidR="005A7D1A" w:rsidRPr="00C14318" w:rsidRDefault="005A7D1A" w:rsidP="001B463B">
      <w:pPr>
        <w:pStyle w:val="Zkladntext"/>
        <w:spacing w:line="252" w:lineRule="exact"/>
        <w:ind w:left="216"/>
        <w:rPr>
          <w:lang w:val="sk-SK"/>
        </w:rPr>
      </w:pPr>
      <w:r w:rsidRPr="00C14318">
        <w:rPr>
          <w:u w:val="single"/>
          <w:lang w:val="sk-SK"/>
        </w:rPr>
        <w:t>Hlásenie podozrení na nežiaduce reakcie</w:t>
      </w:r>
    </w:p>
    <w:p w14:paraId="3E3C1688" w14:textId="2EDAB241" w:rsidR="005A7D1A" w:rsidRPr="00C14318" w:rsidRDefault="005A7D1A" w:rsidP="001B463B">
      <w:pPr>
        <w:pStyle w:val="Zkladntext"/>
        <w:ind w:left="216" w:right="753"/>
        <w:rPr>
          <w:lang w:val="sk-SK"/>
        </w:rPr>
      </w:pPr>
      <w:r w:rsidRPr="00C14318">
        <w:rPr>
          <w:noProof/>
          <w:lang w:val="sk-SK" w:eastAsia="sk-SK"/>
        </w:rPr>
        <mc:AlternateContent>
          <mc:Choice Requires="wps">
            <w:drawing>
              <wp:anchor distT="0" distB="0" distL="114300" distR="114300" simplePos="0" relativeHeight="251660288" behindDoc="1" locked="0" layoutInCell="1" allowOverlap="1" wp14:anchorId="75D9B2C9" wp14:editId="3BACC2B4">
                <wp:simplePos x="0" y="0"/>
                <wp:positionH relativeFrom="page">
                  <wp:posOffset>5623560</wp:posOffset>
                </wp:positionH>
                <wp:positionV relativeFrom="paragraph">
                  <wp:posOffset>470535</wp:posOffset>
                </wp:positionV>
                <wp:extent cx="542290" cy="0"/>
                <wp:effectExtent l="13335" t="10160" r="635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FCC9D42"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2.8pt,37.05pt" to="485.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" strokecolor="blue" strokeweight=".48pt">
                <w10:wrap anchorx="page"/>
              </v:line>
            </w:pict>
          </mc:Fallback>
        </mc:AlternateContent>
      </w:r>
      <w:r w:rsidRPr="00C14318">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C14318">
        <w:rPr>
          <w:shd w:val="clear" w:color="auto" w:fill="C0C0C0"/>
          <w:lang w:val="sk-SK"/>
        </w:rPr>
        <w:t>národné centrum hlásenia uvedené v</w:t>
      </w:r>
      <w:r w:rsidR="005310AE">
        <w:rPr>
          <w:shd w:val="clear" w:color="auto" w:fill="C0C0C0"/>
          <w:lang w:val="sk-SK"/>
        </w:rPr>
        <w:t xml:space="preserve"> </w:t>
      </w:r>
      <w:hyperlink r:id="rId8">
        <w:r w:rsidRPr="00C14318">
          <w:rPr>
            <w:color w:val="0000FF"/>
            <w:shd w:val="clear" w:color="auto" w:fill="C0C0C0"/>
            <w:lang w:val="sk-SK"/>
          </w:rPr>
          <w:t>Prílohe V</w:t>
        </w:r>
      </w:hyperlink>
      <w:r w:rsidRPr="00C14318">
        <w:rPr>
          <w:lang w:val="sk-SK"/>
        </w:rPr>
        <w:t>.</w:t>
      </w:r>
    </w:p>
    <w:p w14:paraId="223936DA" w14:textId="77777777" w:rsidR="005A7D1A" w:rsidRPr="00C14318" w:rsidRDefault="005A7D1A" w:rsidP="001B463B">
      <w:pPr>
        <w:pStyle w:val="Zkladntext"/>
        <w:spacing w:before="7"/>
        <w:rPr>
          <w:lang w:val="sk-SK"/>
        </w:rPr>
      </w:pPr>
    </w:p>
    <w:p w14:paraId="07F9FBB3" w14:textId="77777777" w:rsidR="005A7D1A" w:rsidRPr="00C14318" w:rsidRDefault="005A7D1A" w:rsidP="001B463B">
      <w:pPr>
        <w:pStyle w:val="Nadpis1"/>
        <w:numPr>
          <w:ilvl w:val="1"/>
          <w:numId w:val="3"/>
        </w:numPr>
        <w:tabs>
          <w:tab w:val="left" w:pos="782"/>
          <w:tab w:val="left" w:pos="783"/>
        </w:tabs>
        <w:spacing w:before="91"/>
        <w:ind w:left="782" w:hanging="566"/>
        <w:jc w:val="left"/>
        <w:rPr>
          <w:lang w:val="sk-SK"/>
        </w:rPr>
      </w:pPr>
      <w:r w:rsidRPr="00C14318">
        <w:rPr>
          <w:lang w:val="sk-SK"/>
        </w:rPr>
        <w:t>Predávkovanie</w:t>
      </w:r>
    </w:p>
    <w:p w14:paraId="1C39C5D7" w14:textId="77777777" w:rsidR="005A7D1A" w:rsidRPr="00C14318" w:rsidRDefault="005A7D1A" w:rsidP="001B463B">
      <w:pPr>
        <w:pStyle w:val="Zkladntext"/>
        <w:spacing w:before="4"/>
        <w:rPr>
          <w:b/>
          <w:lang w:val="sk-SK"/>
        </w:rPr>
      </w:pPr>
    </w:p>
    <w:p w14:paraId="6F678B57" w14:textId="77777777" w:rsidR="005A7D1A" w:rsidRPr="00C14318" w:rsidRDefault="005A7D1A" w:rsidP="001B463B">
      <w:pPr>
        <w:pStyle w:val="Zkladntext"/>
        <w:spacing w:before="1"/>
        <w:ind w:left="216" w:right="2077"/>
        <w:rPr>
          <w:lang w:val="sk-SK"/>
        </w:rPr>
      </w:pPr>
      <w:r w:rsidRPr="00C14318">
        <w:rPr>
          <w:lang w:val="sk-SK"/>
        </w:rPr>
        <w:t>Nie je známe, či je možné dronedarón a/alebo jeho metabolity odstrániť z tela dialýzou (hemodialýzou, peritoneálnou dialýzou alebo hemofiltráciou).</w:t>
      </w:r>
    </w:p>
    <w:p w14:paraId="72597852" w14:textId="77777777" w:rsidR="005A7D1A" w:rsidRPr="00C14318" w:rsidRDefault="005A7D1A" w:rsidP="001B463B">
      <w:pPr>
        <w:pStyle w:val="Zkladntext"/>
        <w:rPr>
          <w:lang w:val="sk-SK"/>
        </w:rPr>
      </w:pPr>
    </w:p>
    <w:p w14:paraId="6D69DB65" w14:textId="77777777" w:rsidR="005A7D1A" w:rsidRPr="00C14318" w:rsidRDefault="005A7D1A" w:rsidP="001B463B">
      <w:pPr>
        <w:pStyle w:val="Zkladntext"/>
        <w:ind w:left="216" w:right="747"/>
        <w:rPr>
          <w:lang w:val="sk-SK"/>
        </w:rPr>
      </w:pPr>
      <w:r w:rsidRPr="00C14318">
        <w:rPr>
          <w:lang w:val="sk-SK"/>
        </w:rPr>
        <w:t>Nie je k dispozícii žiadne špecifické antidotum. Pri predávkovaní je potrebná podporná liečba a liečba na zmiernenie príznakov.</w:t>
      </w:r>
    </w:p>
    <w:p w14:paraId="1112AA67" w14:textId="77777777" w:rsidR="005A7D1A" w:rsidRPr="00C14318" w:rsidRDefault="005A7D1A" w:rsidP="001B463B">
      <w:pPr>
        <w:pStyle w:val="Zkladntext"/>
        <w:rPr>
          <w:lang w:val="sk-SK"/>
        </w:rPr>
      </w:pPr>
    </w:p>
    <w:p w14:paraId="141FFCE0" w14:textId="77777777" w:rsidR="005A7D1A" w:rsidRPr="00C14318" w:rsidRDefault="005A7D1A" w:rsidP="001B463B">
      <w:pPr>
        <w:pStyle w:val="Zkladntext"/>
        <w:spacing w:before="3"/>
        <w:rPr>
          <w:lang w:val="sk-SK"/>
        </w:rPr>
      </w:pPr>
    </w:p>
    <w:p w14:paraId="2A34CD7B" w14:textId="77777777" w:rsidR="005A7D1A" w:rsidRPr="00C14318" w:rsidRDefault="005A7D1A" w:rsidP="001B463B">
      <w:pPr>
        <w:pStyle w:val="Nadpis1"/>
        <w:numPr>
          <w:ilvl w:val="0"/>
          <w:numId w:val="3"/>
        </w:numPr>
        <w:tabs>
          <w:tab w:val="left" w:pos="782"/>
          <w:tab w:val="left" w:pos="783"/>
        </w:tabs>
        <w:ind w:left="782" w:hanging="566"/>
        <w:jc w:val="left"/>
        <w:rPr>
          <w:lang w:val="sk-SK"/>
        </w:rPr>
      </w:pPr>
      <w:r w:rsidRPr="00C14318">
        <w:rPr>
          <w:lang w:val="sk-SK"/>
        </w:rPr>
        <w:t>FARMAKOLOGICKÉ</w:t>
      </w:r>
      <w:r w:rsidRPr="00C14318">
        <w:rPr>
          <w:spacing w:val="-13"/>
          <w:lang w:val="sk-SK"/>
        </w:rPr>
        <w:t xml:space="preserve"> </w:t>
      </w:r>
      <w:r w:rsidRPr="00C14318">
        <w:rPr>
          <w:lang w:val="sk-SK"/>
        </w:rPr>
        <w:t>VLASTNOSTI</w:t>
      </w:r>
    </w:p>
    <w:p w14:paraId="46BBB2B0" w14:textId="77777777" w:rsidR="005A7D1A" w:rsidRPr="00C14318" w:rsidRDefault="005A7D1A" w:rsidP="001B463B">
      <w:pPr>
        <w:pStyle w:val="Zkladntext"/>
        <w:spacing w:before="11"/>
        <w:rPr>
          <w:b/>
          <w:lang w:val="sk-SK"/>
        </w:rPr>
      </w:pPr>
    </w:p>
    <w:p w14:paraId="29C2DCF6" w14:textId="77777777" w:rsidR="005A7D1A" w:rsidRDefault="005A7D1A" w:rsidP="001B463B">
      <w:pPr>
        <w:pStyle w:val="Odsekzoznamu"/>
        <w:numPr>
          <w:ilvl w:val="1"/>
          <w:numId w:val="3"/>
        </w:numPr>
        <w:tabs>
          <w:tab w:val="left" w:pos="782"/>
          <w:tab w:val="left" w:pos="783"/>
        </w:tabs>
        <w:ind w:left="782" w:hanging="566"/>
        <w:jc w:val="left"/>
        <w:rPr>
          <w:b/>
          <w:lang w:val="sk-SK"/>
        </w:rPr>
      </w:pPr>
      <w:r w:rsidRPr="00C14318">
        <w:rPr>
          <w:b/>
          <w:lang w:val="sk-SK"/>
        </w:rPr>
        <w:t>Farmakodynamické</w:t>
      </w:r>
      <w:r w:rsidRPr="00C14318">
        <w:rPr>
          <w:b/>
          <w:spacing w:val="-6"/>
          <w:lang w:val="sk-SK"/>
        </w:rPr>
        <w:t xml:space="preserve"> </w:t>
      </w:r>
      <w:r w:rsidRPr="00C14318">
        <w:rPr>
          <w:b/>
          <w:lang w:val="sk-SK"/>
        </w:rPr>
        <w:t>vlastnosti</w:t>
      </w:r>
    </w:p>
    <w:p w14:paraId="33A386BC" w14:textId="77777777" w:rsidR="00EF4F6F" w:rsidRPr="00C14318" w:rsidRDefault="00EF4F6F" w:rsidP="00EF4F6F">
      <w:pPr>
        <w:pStyle w:val="Odsekzoznamu"/>
        <w:tabs>
          <w:tab w:val="left" w:pos="782"/>
          <w:tab w:val="left" w:pos="783"/>
        </w:tabs>
        <w:ind w:left="782" w:firstLine="0"/>
        <w:rPr>
          <w:b/>
          <w:lang w:val="sk-SK"/>
        </w:rPr>
      </w:pPr>
    </w:p>
    <w:p w14:paraId="2374AB12" w14:textId="1E947AEB" w:rsidR="001B463B" w:rsidRDefault="005A7D1A" w:rsidP="005310AE">
      <w:pPr>
        <w:pStyle w:val="Zkladntext"/>
        <w:spacing w:line="198" w:lineRule="exact"/>
        <w:ind w:left="142"/>
        <w:rPr>
          <w:lang w:val="sk-SK"/>
        </w:rPr>
      </w:pPr>
      <w:r w:rsidRPr="00C14318">
        <w:rPr>
          <w:lang w:val="sk-SK"/>
        </w:rPr>
        <w:t>Farmakoterapeutická skupina: kardi</w:t>
      </w:r>
      <w:r w:rsidR="00553FA2">
        <w:rPr>
          <w:lang w:val="sk-SK"/>
        </w:rPr>
        <w:t>aká</w:t>
      </w:r>
      <w:r w:rsidRPr="00C14318">
        <w:rPr>
          <w:lang w:val="sk-SK"/>
        </w:rPr>
        <w:t>, ant</w:t>
      </w:r>
      <w:r w:rsidR="00EF4F6F">
        <w:rPr>
          <w:lang w:val="sk-SK"/>
        </w:rPr>
        <w:t>iarytmik</w:t>
      </w:r>
      <w:r w:rsidR="00553FA2">
        <w:rPr>
          <w:lang w:val="sk-SK"/>
        </w:rPr>
        <w:t>á, skupina</w:t>
      </w:r>
      <w:r w:rsidR="00EF4F6F">
        <w:rPr>
          <w:lang w:val="sk-SK"/>
        </w:rPr>
        <w:t xml:space="preserve"> III, ATC kód: </w:t>
      </w:r>
      <w:r w:rsidRPr="00C14318">
        <w:rPr>
          <w:lang w:val="sk-SK"/>
        </w:rPr>
        <w:t xml:space="preserve">C01BD07 </w:t>
      </w:r>
    </w:p>
    <w:p w14:paraId="4DD3A409" w14:textId="77777777" w:rsidR="005A7D1A" w:rsidRPr="00C14318" w:rsidRDefault="005A7D1A" w:rsidP="005310AE">
      <w:pPr>
        <w:pStyle w:val="Zkladntext"/>
        <w:spacing w:before="49" w:line="506" w:lineRule="exact"/>
        <w:ind w:left="142" w:right="1669"/>
        <w:rPr>
          <w:lang w:val="sk-SK"/>
        </w:rPr>
      </w:pPr>
      <w:r w:rsidRPr="00C14318">
        <w:rPr>
          <w:u w:val="single"/>
          <w:lang w:val="sk-SK"/>
        </w:rPr>
        <w:t>Mechanizmus účinku</w:t>
      </w:r>
    </w:p>
    <w:p w14:paraId="4B48C695" w14:textId="77777777" w:rsidR="005A7D1A" w:rsidRPr="00C14318" w:rsidRDefault="005A7D1A" w:rsidP="005310AE">
      <w:pPr>
        <w:pStyle w:val="Zkladntext"/>
        <w:spacing w:line="198" w:lineRule="exact"/>
        <w:ind w:left="142"/>
        <w:rPr>
          <w:lang w:val="sk-SK"/>
        </w:rPr>
      </w:pPr>
      <w:r w:rsidRPr="00C14318">
        <w:rPr>
          <w:lang w:val="sk-SK"/>
        </w:rPr>
        <w:t>U zvierat dronedarón zabraňuje atriálnej fibrilácii alebo obnovuje normálny sínusový rytmus</w:t>
      </w:r>
    </w:p>
    <w:p w14:paraId="41F72FC0" w14:textId="2D186854" w:rsidR="005A7D1A" w:rsidRPr="00C14318" w:rsidRDefault="005A7D1A" w:rsidP="005310AE">
      <w:pPr>
        <w:pStyle w:val="Zkladntext"/>
        <w:spacing w:before="1"/>
        <w:ind w:left="142"/>
        <w:rPr>
          <w:lang w:val="sk-SK"/>
        </w:rPr>
      </w:pPr>
      <w:r w:rsidRPr="00C14318">
        <w:rPr>
          <w:lang w:val="sk-SK"/>
        </w:rPr>
        <w:t xml:space="preserve">v závislosti od použitého modelu. </w:t>
      </w:r>
      <w:r w:rsidR="00460B73">
        <w:rPr>
          <w:lang w:val="sk-SK"/>
        </w:rPr>
        <w:t>Na</w:t>
      </w:r>
      <w:r w:rsidRPr="00C14318">
        <w:rPr>
          <w:lang w:val="sk-SK"/>
        </w:rPr>
        <w:t xml:space="preserve"> niekoľkých zvieracích modeloch zabraňuje taktiež ventrikulárnej</w:t>
      </w:r>
      <w:r w:rsidR="009E1116">
        <w:rPr>
          <w:lang w:val="sk-SK"/>
        </w:rPr>
        <w:t xml:space="preserve"> </w:t>
      </w:r>
      <w:r w:rsidRPr="00C14318">
        <w:rPr>
          <w:lang w:val="sk-SK"/>
        </w:rPr>
        <w:lastRenderedPageBreak/>
        <w:t xml:space="preserve">tachykardii a ventrikulárnej fibrilácii. Tieto účinky najpravdepodobnejšie vyplývajú z jeho elektrofyziologických vlastností patriacich do všetkých štyroch tried klasifikácie </w:t>
      </w:r>
      <w:r w:rsidR="00460B73">
        <w:rPr>
          <w:lang w:val="sk-SK"/>
        </w:rPr>
        <w:t xml:space="preserve">podľa </w:t>
      </w:r>
      <w:r w:rsidRPr="00C14318">
        <w:rPr>
          <w:lang w:val="sk-SK"/>
        </w:rPr>
        <w:t>Vaughan</w:t>
      </w:r>
      <w:r w:rsidR="00460B73">
        <w:rPr>
          <w:lang w:val="sk-SK"/>
        </w:rPr>
        <w:t>a</w:t>
      </w:r>
      <w:r w:rsidRPr="00C14318">
        <w:rPr>
          <w:lang w:val="sk-SK"/>
        </w:rPr>
        <w:t xml:space="preserve">-Williamsa. Dronedarón je multikanálový blokátor inhibujúci </w:t>
      </w:r>
      <w:r w:rsidR="00460B73">
        <w:rPr>
          <w:lang w:val="sk-SK"/>
        </w:rPr>
        <w:t>draslíkové</w:t>
      </w:r>
      <w:r w:rsidR="00460B73" w:rsidRPr="00C14318">
        <w:rPr>
          <w:lang w:val="sk-SK"/>
        </w:rPr>
        <w:t xml:space="preserve"> </w:t>
      </w:r>
      <w:r w:rsidRPr="00C14318">
        <w:rPr>
          <w:lang w:val="sk-SK"/>
        </w:rPr>
        <w:t>kanály (vrátane IK(Ach), IKur, IKr, IKs )</w:t>
      </w:r>
      <w:r w:rsidR="00460B73">
        <w:rPr>
          <w:lang w:val="sk-SK"/>
        </w:rPr>
        <w:t>,</w:t>
      </w:r>
      <w:r w:rsidRPr="00C14318">
        <w:rPr>
          <w:lang w:val="sk-SK"/>
        </w:rPr>
        <w:t xml:space="preserve"> a teda predlžu</w:t>
      </w:r>
      <w:r w:rsidR="00460B73">
        <w:rPr>
          <w:lang w:val="sk-SK"/>
        </w:rPr>
        <w:t>je</w:t>
      </w:r>
      <w:r w:rsidRPr="00C14318">
        <w:rPr>
          <w:lang w:val="sk-SK"/>
        </w:rPr>
        <w:t xml:space="preserve"> akčný potenciál srdca a refraktérne periódy (trieda III). Taktiež inhibuje </w:t>
      </w:r>
      <w:r w:rsidR="00460B73">
        <w:rPr>
          <w:lang w:val="sk-SK"/>
        </w:rPr>
        <w:t>sodíkové</w:t>
      </w:r>
      <w:r w:rsidR="00460B73" w:rsidRPr="00C14318">
        <w:rPr>
          <w:lang w:val="sk-SK"/>
        </w:rPr>
        <w:t xml:space="preserve"> </w:t>
      </w:r>
      <w:r w:rsidRPr="00C14318">
        <w:rPr>
          <w:lang w:val="sk-SK"/>
        </w:rPr>
        <w:t xml:space="preserve">kanály (trieda Ib) a </w:t>
      </w:r>
      <w:r w:rsidR="00460B73">
        <w:rPr>
          <w:lang w:val="sk-SK"/>
        </w:rPr>
        <w:t>vápnikové</w:t>
      </w:r>
      <w:r w:rsidR="00460B73" w:rsidRPr="00C14318">
        <w:rPr>
          <w:lang w:val="sk-SK"/>
        </w:rPr>
        <w:t xml:space="preserve"> </w:t>
      </w:r>
      <w:r w:rsidRPr="00C14318">
        <w:rPr>
          <w:lang w:val="sk-SK"/>
        </w:rPr>
        <w:t>kanály (trieda IV). Nekompetitívne antagonizuje adrenergné účinky (trieda II).</w:t>
      </w:r>
    </w:p>
    <w:p w14:paraId="42EFA8A0" w14:textId="77777777" w:rsidR="005A7D1A" w:rsidRPr="00C14318" w:rsidRDefault="005A7D1A" w:rsidP="001B463B">
      <w:pPr>
        <w:pStyle w:val="Zkladntext"/>
        <w:spacing w:before="9"/>
        <w:rPr>
          <w:lang w:val="sk-SK"/>
        </w:rPr>
      </w:pPr>
    </w:p>
    <w:p w14:paraId="7F24CDB9" w14:textId="77777777" w:rsidR="005A7D1A" w:rsidRPr="00C14318" w:rsidRDefault="005A7D1A" w:rsidP="001B463B">
      <w:pPr>
        <w:pStyle w:val="Zkladntext"/>
        <w:ind w:left="116"/>
        <w:rPr>
          <w:lang w:val="sk-SK"/>
        </w:rPr>
      </w:pPr>
      <w:r w:rsidRPr="00C14318">
        <w:rPr>
          <w:u w:val="single"/>
          <w:lang w:val="sk-SK"/>
        </w:rPr>
        <w:t>Farmakodynamické účinky</w:t>
      </w:r>
    </w:p>
    <w:p w14:paraId="41F53CF9" w14:textId="1C673AD5" w:rsidR="005A7D1A" w:rsidRPr="00C14318" w:rsidRDefault="00460B73" w:rsidP="001B463B">
      <w:pPr>
        <w:pStyle w:val="Zkladntext"/>
        <w:spacing w:before="1"/>
        <w:ind w:left="116" w:right="114"/>
        <w:rPr>
          <w:lang w:val="sk-SK"/>
        </w:rPr>
      </w:pPr>
      <w:r>
        <w:rPr>
          <w:lang w:val="sk-SK"/>
        </w:rPr>
        <w:t>Na</w:t>
      </w:r>
      <w:r w:rsidR="005A7D1A" w:rsidRPr="00C14318">
        <w:rPr>
          <w:lang w:val="sk-SK"/>
        </w:rPr>
        <w:t xml:space="preserve"> zvieracích modeloch dronedarón znižuje tepovú frekvenciu srdca. Predlžuje dĺžku Wenckebachovho cyklu a AH-, PQ-, QT- interval; má nevýznamný účinok alebo slabo predlžuje QTc-interval so žiadnou zmenou v HV- a QRS-intervale. Predlžuje efektívne refraktérne periódy (ERP) predsiene, atrioventrikulárneho uzla a komorové ERP boli mierne predĺžené s minimálnym stupňom reverznej frekvenčnej</w:t>
      </w:r>
      <w:r w:rsidR="005A7D1A" w:rsidRPr="00C14318">
        <w:rPr>
          <w:spacing w:val="-3"/>
          <w:lang w:val="sk-SK"/>
        </w:rPr>
        <w:t xml:space="preserve"> </w:t>
      </w:r>
      <w:r w:rsidR="005A7D1A" w:rsidRPr="00C14318">
        <w:rPr>
          <w:lang w:val="sk-SK"/>
        </w:rPr>
        <w:t>závislosti.</w:t>
      </w:r>
    </w:p>
    <w:p w14:paraId="78310594" w14:textId="77777777" w:rsidR="005A7D1A" w:rsidRPr="00C14318" w:rsidRDefault="005A7D1A" w:rsidP="001B463B">
      <w:pPr>
        <w:pStyle w:val="Zkladntext"/>
        <w:spacing w:before="1"/>
        <w:ind w:left="116" w:right="614"/>
        <w:rPr>
          <w:lang w:val="sk-SK"/>
        </w:rPr>
      </w:pPr>
      <w:r w:rsidRPr="00C14318">
        <w:rPr>
          <w:lang w:val="sk-SK"/>
        </w:rPr>
        <w:t>Dronedarón znižuje artériový krvný tlak a kontraktilitu myokardu (dP/dt max), pričom sa nemení ejekčná frakcia ľavej komory a znižuje spotrebu kyslíka myokardom.</w:t>
      </w:r>
    </w:p>
    <w:p w14:paraId="0BAFF8E7" w14:textId="64E61A03" w:rsidR="005A7D1A" w:rsidRPr="00C14318" w:rsidRDefault="005A7D1A" w:rsidP="001B463B">
      <w:pPr>
        <w:pStyle w:val="Zkladntext"/>
        <w:spacing w:before="1"/>
        <w:ind w:left="116" w:right="309"/>
        <w:rPr>
          <w:lang w:val="sk-SK"/>
        </w:rPr>
      </w:pPr>
      <w:r w:rsidRPr="00C14318">
        <w:rPr>
          <w:lang w:val="sk-SK"/>
        </w:rPr>
        <w:t xml:space="preserve">Dronedarón má vazodilatačné vlastnosti v koronárnych </w:t>
      </w:r>
      <w:r w:rsidR="00460B73" w:rsidRPr="00C14318">
        <w:rPr>
          <w:lang w:val="sk-SK"/>
        </w:rPr>
        <w:t>artériách</w:t>
      </w:r>
      <w:r w:rsidRPr="00C14318">
        <w:rPr>
          <w:lang w:val="sk-SK"/>
        </w:rPr>
        <w:t xml:space="preserve"> (súvisiacu s aktiváciou dráhy oxidu dusnatého) a v periférnych </w:t>
      </w:r>
      <w:r w:rsidR="00460B73" w:rsidRPr="00C14318">
        <w:rPr>
          <w:lang w:val="sk-SK"/>
        </w:rPr>
        <w:t>artériách</w:t>
      </w:r>
      <w:r w:rsidRPr="00C14318">
        <w:rPr>
          <w:lang w:val="sk-SK"/>
        </w:rPr>
        <w:t>.</w:t>
      </w:r>
    </w:p>
    <w:p w14:paraId="78EC6C63" w14:textId="26EAFC61" w:rsidR="005A7D1A" w:rsidRPr="00C14318" w:rsidRDefault="005A7D1A" w:rsidP="001B463B">
      <w:pPr>
        <w:pStyle w:val="Zkladntext"/>
        <w:spacing w:before="1"/>
        <w:ind w:left="116" w:right="284"/>
        <w:rPr>
          <w:lang w:val="sk-SK"/>
        </w:rPr>
      </w:pPr>
      <w:r w:rsidRPr="00C14318">
        <w:rPr>
          <w:lang w:val="sk-SK"/>
        </w:rPr>
        <w:t xml:space="preserve">Dronedarón preukazuje nepriame antiadrenergné účinky a parciálny antagonizmus voči adrenergnej stimulácii. Znižuje alfa-adrenergnú odpoveď krvného tlaku na adrenalín </w:t>
      </w:r>
      <w:r w:rsidRPr="00787679">
        <w:rPr>
          <w:lang w:val="sk-SK"/>
        </w:rPr>
        <w:t>a odpove</w:t>
      </w:r>
      <w:r w:rsidR="00787679">
        <w:rPr>
          <w:lang w:val="sk-SK"/>
        </w:rPr>
        <w:t>ď</w:t>
      </w:r>
      <w:r w:rsidR="00787679" w:rsidRPr="004E3016">
        <w:rPr>
          <w:lang w:val="sk-SK"/>
        </w:rPr>
        <w:t xml:space="preserve"> </w:t>
      </w:r>
      <w:r w:rsidR="00787679" w:rsidRPr="00787679">
        <w:rPr>
          <w:lang w:val="sk-SK"/>
        </w:rPr>
        <w:t>sprostredkovan</w:t>
      </w:r>
      <w:r w:rsidR="00787679">
        <w:rPr>
          <w:lang w:val="sk-SK"/>
        </w:rPr>
        <w:t>ú</w:t>
      </w:r>
      <w:r w:rsidR="00787679" w:rsidRPr="004E3016">
        <w:rPr>
          <w:lang w:val="sk-SK"/>
        </w:rPr>
        <w:t xml:space="preserve"> beta</w:t>
      </w:r>
      <w:r w:rsidR="00787679" w:rsidRPr="004E3016">
        <w:rPr>
          <w:vertAlign w:val="subscript"/>
          <w:lang w:val="sk-SK"/>
        </w:rPr>
        <w:t>1</w:t>
      </w:r>
      <w:r w:rsidR="00787679" w:rsidRPr="004E3016">
        <w:rPr>
          <w:lang w:val="sk-SK"/>
        </w:rPr>
        <w:t xml:space="preserve"> a beta</w:t>
      </w:r>
      <w:r w:rsidR="00787679" w:rsidRPr="004E3016">
        <w:rPr>
          <w:vertAlign w:val="subscript"/>
          <w:lang w:val="sk-SK"/>
        </w:rPr>
        <w:t>2</w:t>
      </w:r>
      <w:r w:rsidRPr="00787679">
        <w:rPr>
          <w:lang w:val="sk-SK"/>
        </w:rPr>
        <w:t xml:space="preserve"> na izoproterenol</w:t>
      </w:r>
      <w:r w:rsidRPr="00C14318">
        <w:rPr>
          <w:lang w:val="sk-SK"/>
        </w:rPr>
        <w:t>.</w:t>
      </w:r>
    </w:p>
    <w:p w14:paraId="21071431" w14:textId="77777777" w:rsidR="005A7D1A" w:rsidRPr="00C14318" w:rsidRDefault="005A7D1A" w:rsidP="001B463B">
      <w:pPr>
        <w:pStyle w:val="Zkladntext"/>
        <w:spacing w:before="11"/>
        <w:rPr>
          <w:lang w:val="sk-SK"/>
        </w:rPr>
      </w:pPr>
    </w:p>
    <w:p w14:paraId="279E69F4" w14:textId="77777777" w:rsidR="005A7D1A" w:rsidRPr="00C14318" w:rsidRDefault="005A7D1A" w:rsidP="001B463B">
      <w:pPr>
        <w:pStyle w:val="Zkladntext"/>
        <w:ind w:left="116"/>
        <w:rPr>
          <w:lang w:val="sk-SK"/>
        </w:rPr>
      </w:pPr>
      <w:r w:rsidRPr="00C14318">
        <w:rPr>
          <w:u w:val="single"/>
          <w:lang w:val="sk-SK"/>
        </w:rPr>
        <w:t>Klinická účinnosť a bezpečnosť</w:t>
      </w:r>
    </w:p>
    <w:p w14:paraId="03537A6E" w14:textId="77777777" w:rsidR="005A7D1A" w:rsidRPr="00C14318" w:rsidRDefault="005A7D1A" w:rsidP="001B463B">
      <w:pPr>
        <w:spacing w:before="1" w:line="252" w:lineRule="exact"/>
        <w:ind w:left="116"/>
        <w:rPr>
          <w:i/>
          <w:lang w:val="sk-SK"/>
        </w:rPr>
      </w:pPr>
      <w:r w:rsidRPr="00C14318">
        <w:rPr>
          <w:i/>
          <w:lang w:val="sk-SK"/>
        </w:rPr>
        <w:t>Redukcia rizika hospitalizácií súvisiacich s AF</w:t>
      </w:r>
    </w:p>
    <w:p w14:paraId="348C77B2" w14:textId="77777777" w:rsidR="005A7D1A" w:rsidRPr="00C14318" w:rsidRDefault="005A7D1A" w:rsidP="001B463B">
      <w:pPr>
        <w:pStyle w:val="Zkladntext"/>
        <w:ind w:left="116" w:right="319"/>
        <w:rPr>
          <w:lang w:val="sk-SK"/>
        </w:rPr>
      </w:pPr>
      <w:r w:rsidRPr="00C14318">
        <w:rPr>
          <w:lang w:val="sk-SK"/>
        </w:rPr>
        <w:t>Účinnosť dronedarónu pri redukcii rizika hospitalizácie súvisiacej s AF bola preukázaná u pacientov s AF alebo s anamnézou AF a prídavnými rizikovými faktormi v multicentrickej, multinárodnej, dvojito zaslepenej, randomizovanej a placebom kontrolovanej štúdii ATHENA.</w:t>
      </w:r>
    </w:p>
    <w:p w14:paraId="0BD8C82D" w14:textId="77777777" w:rsidR="005A7D1A" w:rsidRPr="00C14318" w:rsidRDefault="005A7D1A" w:rsidP="001B463B">
      <w:pPr>
        <w:pStyle w:val="Zkladntext"/>
        <w:ind w:left="116" w:right="162"/>
        <w:rPr>
          <w:lang w:val="sk-SK"/>
        </w:rPr>
      </w:pPr>
      <w:r w:rsidRPr="00C14318">
        <w:rPr>
          <w:lang w:val="sk-SK"/>
        </w:rPr>
        <w:t>Pacienti mali aspoň jeden rizikový faktor (vrátane veku, hypertenzie, diabetu, prekonanej mozgovo- cievnej príhody, priemeru ľavej predsiene ≥50 mm alebo LVEF &lt; 0,40) spolu s AF/AFL a sínusovým rytmom, pričom obidva boli zaznamenané v priebehu posledných 6 mesiacov. Pacienti, ktorí dostávali amiodarón v priebehu 4 týždňov pred randomizáciou, neboli zaradení. Pacienti mohli mať AF/AFL alebo sínusový rytmus po spontánnej konverzii alebo po liečbe.</w:t>
      </w:r>
    </w:p>
    <w:p w14:paraId="16842F08" w14:textId="77777777" w:rsidR="005A7D1A" w:rsidRPr="00C14318" w:rsidRDefault="005A7D1A" w:rsidP="001B463B">
      <w:pPr>
        <w:pStyle w:val="Zkladntext"/>
        <w:rPr>
          <w:lang w:val="sk-SK"/>
        </w:rPr>
      </w:pPr>
    </w:p>
    <w:p w14:paraId="680D00B9" w14:textId="761AA4DE" w:rsidR="005A7D1A" w:rsidRPr="00C14318" w:rsidRDefault="005A7D1A" w:rsidP="001B463B">
      <w:pPr>
        <w:pStyle w:val="Zkladntext"/>
        <w:spacing w:before="1"/>
        <w:ind w:left="116" w:right="328"/>
        <w:rPr>
          <w:lang w:val="sk-SK"/>
        </w:rPr>
      </w:pPr>
      <w:r w:rsidRPr="00C14318">
        <w:rPr>
          <w:lang w:val="sk-SK"/>
        </w:rPr>
        <w:t>Štyritisícšesťstodvadsaťosem (4</w:t>
      </w:r>
      <w:r w:rsidR="003C2D7A">
        <w:rPr>
          <w:lang w:val="sk-SK"/>
        </w:rPr>
        <w:t xml:space="preserve"> </w:t>
      </w:r>
      <w:r w:rsidRPr="00C14318">
        <w:rPr>
          <w:lang w:val="sk-SK"/>
        </w:rPr>
        <w:t>628) pacientov bolo randomizovaných a liečených maximálne do 30 mesiacov (medián sledovania: 22 mesiacov) buď dronedarónom 400 mg dvakrát denne (2</w:t>
      </w:r>
      <w:r w:rsidR="003C2D7A">
        <w:rPr>
          <w:lang w:val="sk-SK"/>
        </w:rPr>
        <w:t xml:space="preserve"> </w:t>
      </w:r>
      <w:r w:rsidRPr="00C14318">
        <w:rPr>
          <w:lang w:val="sk-SK"/>
        </w:rPr>
        <w:t>301 pacientov) alebo placebom (2</w:t>
      </w:r>
      <w:r w:rsidR="003C2D7A">
        <w:rPr>
          <w:lang w:val="sk-SK"/>
        </w:rPr>
        <w:t xml:space="preserve"> </w:t>
      </w:r>
      <w:r w:rsidRPr="00C14318">
        <w:rPr>
          <w:lang w:val="sk-SK"/>
        </w:rPr>
        <w:t xml:space="preserve">327 pacientov) </w:t>
      </w:r>
      <w:r w:rsidR="003C2D7A">
        <w:rPr>
          <w:lang w:val="sk-SK"/>
        </w:rPr>
        <w:t>pridané</w:t>
      </w:r>
      <w:r w:rsidRPr="00C14318">
        <w:rPr>
          <w:lang w:val="sk-SK"/>
        </w:rPr>
        <w:t xml:space="preserve"> ku konvenčnej liečbe vrátane betablokátorov (71 %), ACE inhibítorov alebo </w:t>
      </w:r>
      <w:r w:rsidRPr="00B31CA3">
        <w:rPr>
          <w:lang w:val="sk-SK"/>
        </w:rPr>
        <w:t>antagonist</w:t>
      </w:r>
      <w:r w:rsidR="00903E8D" w:rsidRPr="00B31CA3">
        <w:rPr>
          <w:lang w:val="sk-SK"/>
        </w:rPr>
        <w:t>ov receptor</w:t>
      </w:r>
      <w:r w:rsidR="00B31CA3" w:rsidRPr="004E3016">
        <w:rPr>
          <w:lang w:val="sk-SK"/>
        </w:rPr>
        <w:t>a</w:t>
      </w:r>
      <w:r w:rsidR="00903E8D" w:rsidRPr="00B31CA3">
        <w:rPr>
          <w:lang w:val="sk-SK"/>
        </w:rPr>
        <w:t xml:space="preserve"> angiotenzín</w:t>
      </w:r>
      <w:r w:rsidR="00B31CA3" w:rsidRPr="004E3016">
        <w:rPr>
          <w:lang w:val="sk-SK"/>
        </w:rPr>
        <w:t>u</w:t>
      </w:r>
      <w:r w:rsidR="00903E8D" w:rsidRPr="00B31CA3">
        <w:rPr>
          <w:lang w:val="sk-SK"/>
        </w:rPr>
        <w:t xml:space="preserve"> II ARB</w:t>
      </w:r>
      <w:r w:rsidR="00903E8D">
        <w:rPr>
          <w:lang w:val="sk-SK"/>
        </w:rPr>
        <w:t xml:space="preserve"> </w:t>
      </w:r>
      <w:r w:rsidRPr="00C14318">
        <w:rPr>
          <w:lang w:val="sk-SK"/>
        </w:rPr>
        <w:t>(69 %) dig</w:t>
      </w:r>
      <w:r w:rsidR="003C2D7A">
        <w:rPr>
          <w:lang w:val="sk-SK"/>
        </w:rPr>
        <w:t>oxínu</w:t>
      </w:r>
      <w:r w:rsidRPr="00C14318">
        <w:rPr>
          <w:lang w:val="sk-SK"/>
        </w:rPr>
        <w:t xml:space="preserve"> (14 %), antagonistov kalcia (14 %), statínov (39 %), perorálnych antikoagulancií (60 %), dlhodobej liečby </w:t>
      </w:r>
      <w:r w:rsidR="003C2D7A">
        <w:rPr>
          <w:lang w:val="sk-SK"/>
        </w:rPr>
        <w:t xml:space="preserve">antitrombotikami </w:t>
      </w:r>
      <w:r w:rsidRPr="00C14318">
        <w:rPr>
          <w:lang w:val="sk-SK"/>
        </w:rPr>
        <w:t>(6 %) a/alebo diuretík (54 %).</w:t>
      </w:r>
    </w:p>
    <w:p w14:paraId="55E1A999" w14:textId="77777777" w:rsidR="005A7D1A" w:rsidRPr="00C14318" w:rsidRDefault="005A7D1A" w:rsidP="001B463B">
      <w:pPr>
        <w:pStyle w:val="Zkladntext"/>
        <w:spacing w:before="9"/>
        <w:rPr>
          <w:lang w:val="sk-SK"/>
        </w:rPr>
      </w:pPr>
    </w:p>
    <w:p w14:paraId="4D343E1B" w14:textId="77777777" w:rsidR="005A7D1A" w:rsidRPr="00C14318" w:rsidRDefault="005A7D1A" w:rsidP="001B463B">
      <w:pPr>
        <w:pStyle w:val="Zkladntext"/>
        <w:spacing w:line="242" w:lineRule="auto"/>
        <w:ind w:left="116" w:right="641"/>
        <w:rPr>
          <w:lang w:val="sk-SK"/>
        </w:rPr>
      </w:pPr>
      <w:r w:rsidRPr="00C14318">
        <w:rPr>
          <w:lang w:val="sk-SK"/>
        </w:rPr>
        <w:t>Primárnym koncovým ukazovateľom štúdie bol čas do prvej hospitalizácie z kardiovaskulárnych dôvodov alebo smrti z akejkoľvek príčiny.</w:t>
      </w:r>
    </w:p>
    <w:p w14:paraId="683F5E62" w14:textId="77777777" w:rsidR="005A7D1A" w:rsidRPr="00C14318" w:rsidRDefault="005A7D1A" w:rsidP="001B463B">
      <w:pPr>
        <w:pStyle w:val="Zkladntext"/>
        <w:spacing w:line="242" w:lineRule="auto"/>
        <w:ind w:left="116" w:right="410"/>
        <w:rPr>
          <w:lang w:val="sk-SK"/>
        </w:rPr>
      </w:pPr>
      <w:r w:rsidRPr="00C14318">
        <w:rPr>
          <w:lang w:val="sk-SK"/>
        </w:rPr>
        <w:t>Vek pacientov bol od 23 do 97 rokov a 42 % pacientov bolo vo veku nad 75 rokov. Štyridsaťsedem percent (47 %) bolo ženského pohlavia a väčšina bola bielej rasy (89 %).</w:t>
      </w:r>
    </w:p>
    <w:p w14:paraId="6214C7DE" w14:textId="77777777" w:rsidR="005A7D1A" w:rsidRPr="00C14318" w:rsidRDefault="005A7D1A" w:rsidP="001B463B">
      <w:pPr>
        <w:pStyle w:val="Zkladntext"/>
        <w:spacing w:before="2"/>
        <w:rPr>
          <w:lang w:val="sk-SK"/>
        </w:rPr>
      </w:pPr>
    </w:p>
    <w:p w14:paraId="52446990" w14:textId="77777777" w:rsidR="005A7D1A" w:rsidRPr="00C14318" w:rsidRDefault="005A7D1A" w:rsidP="001B463B">
      <w:pPr>
        <w:pStyle w:val="Zkladntext"/>
        <w:ind w:left="116" w:right="359"/>
        <w:rPr>
          <w:lang w:val="sk-SK"/>
        </w:rPr>
      </w:pPr>
      <w:r w:rsidRPr="00C14318">
        <w:rPr>
          <w:lang w:val="sk-SK"/>
        </w:rPr>
        <w:t>Väčšina pacientov mala hypertenziu (86 %) a štrukturálne zmeny srdca (60 %) (vrátane ischemickej choroby srdca: 30 %; kongest</w:t>
      </w:r>
      <w:r w:rsidR="00903E8D">
        <w:rPr>
          <w:lang w:val="sk-SK"/>
        </w:rPr>
        <w:t>ívneho srdcového zlyháva</w:t>
      </w:r>
      <w:r w:rsidRPr="00C14318">
        <w:rPr>
          <w:lang w:val="sk-SK"/>
        </w:rPr>
        <w:t>nia (CHF): 30 % ; LVEF &lt; 45 %: 12 %).</w:t>
      </w:r>
    </w:p>
    <w:p w14:paraId="259291F4" w14:textId="77777777" w:rsidR="005A7D1A" w:rsidRPr="00C14318" w:rsidRDefault="005A7D1A" w:rsidP="001B463B">
      <w:pPr>
        <w:pStyle w:val="Zkladntext"/>
        <w:spacing w:line="252" w:lineRule="exact"/>
        <w:ind w:left="116"/>
        <w:rPr>
          <w:lang w:val="sk-SK"/>
        </w:rPr>
      </w:pPr>
      <w:r w:rsidRPr="00C14318">
        <w:rPr>
          <w:lang w:val="sk-SK"/>
        </w:rPr>
        <w:t>Dvadsaťpäť percent (25 %) pacientov malo na začiatku štúdie AF.</w:t>
      </w:r>
    </w:p>
    <w:p w14:paraId="02F612EA" w14:textId="77777777" w:rsidR="005A7D1A" w:rsidRPr="00C14318" w:rsidRDefault="005A7D1A" w:rsidP="001B463B">
      <w:pPr>
        <w:pStyle w:val="Zkladntext"/>
        <w:rPr>
          <w:lang w:val="sk-SK"/>
        </w:rPr>
      </w:pPr>
    </w:p>
    <w:p w14:paraId="3540433F" w14:textId="77777777" w:rsidR="005A7D1A" w:rsidRPr="00C14318" w:rsidRDefault="005A7D1A" w:rsidP="001B463B">
      <w:pPr>
        <w:pStyle w:val="Zkladntext"/>
        <w:ind w:left="116" w:right="867"/>
        <w:rPr>
          <w:lang w:val="sk-SK"/>
        </w:rPr>
      </w:pPr>
      <w:r w:rsidRPr="00C14318">
        <w:rPr>
          <w:lang w:val="sk-SK"/>
        </w:rPr>
        <w:t>Dronedarón znižoval výskyt kardiovaskulárnej hospitalizácie alebo smrti z akejkoľvek príčiny o 24,2 % v porovnaní s placebom (p&lt;0,0001).</w:t>
      </w:r>
    </w:p>
    <w:p w14:paraId="7D60901E" w14:textId="77777777" w:rsidR="005A7D1A" w:rsidRPr="00C14318" w:rsidRDefault="005A7D1A" w:rsidP="001B463B">
      <w:pPr>
        <w:pStyle w:val="Zkladntext"/>
        <w:spacing w:before="9"/>
        <w:rPr>
          <w:lang w:val="sk-SK"/>
        </w:rPr>
      </w:pPr>
    </w:p>
    <w:p w14:paraId="7C85C3A2" w14:textId="3BEE17D8" w:rsidR="00CA170D" w:rsidRDefault="005A7D1A" w:rsidP="001B463B">
      <w:pPr>
        <w:pStyle w:val="Zkladntext"/>
        <w:ind w:left="116" w:right="128"/>
        <w:rPr>
          <w:lang w:val="sk-SK"/>
        </w:rPr>
      </w:pPr>
      <w:r w:rsidRPr="00C14318">
        <w:rPr>
          <w:lang w:val="sk-SK"/>
        </w:rPr>
        <w:lastRenderedPageBreak/>
        <w:t xml:space="preserve">Redukcia kardiovaskulárnej hospitalizácie alebo smrti z akejkoľvek príčiny bola </w:t>
      </w:r>
      <w:r w:rsidR="003C2D7A">
        <w:rPr>
          <w:lang w:val="sk-SK"/>
        </w:rPr>
        <w:t>zhodná</w:t>
      </w:r>
      <w:r w:rsidR="003C2D7A" w:rsidRPr="00C14318">
        <w:rPr>
          <w:lang w:val="sk-SK"/>
        </w:rPr>
        <w:t xml:space="preserve"> </w:t>
      </w:r>
      <w:r w:rsidRPr="00C14318">
        <w:rPr>
          <w:lang w:val="sk-SK"/>
        </w:rPr>
        <w:t>vo všetkých podskupinách bez ohľadu na základnú charakteristiku alebo</w:t>
      </w:r>
      <w:r w:rsidR="003C2D7A">
        <w:rPr>
          <w:lang w:val="sk-SK"/>
        </w:rPr>
        <w:t>liečbu</w:t>
      </w:r>
      <w:r w:rsidRPr="00C14318">
        <w:rPr>
          <w:lang w:val="sk-SK"/>
        </w:rPr>
        <w:t xml:space="preserve"> (ACE inhibítory alebo antagonist</w:t>
      </w:r>
      <w:r w:rsidR="009E6373">
        <w:rPr>
          <w:lang w:val="sk-SK"/>
        </w:rPr>
        <w:t xml:space="preserve">y </w:t>
      </w:r>
      <w:r w:rsidR="009E6373" w:rsidRPr="00B31CA3">
        <w:rPr>
          <w:lang w:val="sk-SK"/>
        </w:rPr>
        <w:t>receptor</w:t>
      </w:r>
      <w:r w:rsidR="00B31CA3" w:rsidRPr="004E3016">
        <w:rPr>
          <w:lang w:val="sk-SK"/>
        </w:rPr>
        <w:t>a</w:t>
      </w:r>
      <w:r w:rsidR="009E6373" w:rsidRPr="00B31CA3">
        <w:rPr>
          <w:lang w:val="sk-SK"/>
        </w:rPr>
        <w:t xml:space="preserve"> angiotenzín</w:t>
      </w:r>
      <w:r w:rsidR="00B31CA3" w:rsidRPr="004E3016">
        <w:rPr>
          <w:lang w:val="sk-SK"/>
        </w:rPr>
        <w:t>u</w:t>
      </w:r>
      <w:r w:rsidR="009E6373" w:rsidRPr="00B31CA3">
        <w:rPr>
          <w:lang w:val="sk-SK"/>
        </w:rPr>
        <w:t xml:space="preserve"> II (ARB</w:t>
      </w:r>
      <w:r w:rsidRPr="00C14318">
        <w:rPr>
          <w:lang w:val="sk-SK"/>
        </w:rPr>
        <w:t>); betablokátory, dig</w:t>
      </w:r>
      <w:r w:rsidR="003C2D7A">
        <w:rPr>
          <w:lang w:val="sk-SK"/>
        </w:rPr>
        <w:t>oxín</w:t>
      </w:r>
      <w:r w:rsidRPr="00C14318">
        <w:rPr>
          <w:lang w:val="sk-SK"/>
        </w:rPr>
        <w:t>, statíny, antagonisty kalcia, diuretiká) (pozri obrázok</w:t>
      </w:r>
      <w:r w:rsidRPr="00C14318">
        <w:rPr>
          <w:spacing w:val="-7"/>
          <w:lang w:val="sk-SK"/>
        </w:rPr>
        <w:t xml:space="preserve"> </w:t>
      </w:r>
      <w:r w:rsidRPr="00C14318">
        <w:rPr>
          <w:lang w:val="sk-SK"/>
        </w:rPr>
        <w:t>1).</w:t>
      </w:r>
    </w:p>
    <w:p w14:paraId="32AF1E0E" w14:textId="77777777" w:rsidR="00CA170D" w:rsidRDefault="00CA170D" w:rsidP="001B463B">
      <w:pPr>
        <w:pStyle w:val="Zkladntext"/>
        <w:ind w:left="116" w:right="128"/>
        <w:rPr>
          <w:lang w:val="sk-SK"/>
        </w:rPr>
      </w:pPr>
    </w:p>
    <w:p w14:paraId="0320D0D6" w14:textId="77777777" w:rsidR="005A7D1A" w:rsidRPr="001B463B" w:rsidRDefault="005A7D1A" w:rsidP="001B463B">
      <w:pPr>
        <w:pStyle w:val="Zkladntext"/>
        <w:ind w:left="116" w:right="128"/>
        <w:rPr>
          <w:lang w:val="sk-SK"/>
        </w:rPr>
      </w:pPr>
      <w:r w:rsidRPr="001B463B">
        <w:rPr>
          <w:u w:val="single"/>
          <w:lang w:val="sk-SK"/>
        </w:rPr>
        <w:t xml:space="preserve">Obrázok 1 </w:t>
      </w:r>
      <w:r w:rsidRPr="001B463B">
        <w:rPr>
          <w:lang w:val="sk-SK"/>
        </w:rPr>
        <w:t>– Relatívne riziko (dronedarón 400 mg dvakrát denne oproti placebu) odhadované</w:t>
      </w:r>
    </w:p>
    <w:p w14:paraId="1CF85BBD" w14:textId="77777777" w:rsidR="008A1848" w:rsidRDefault="005A7D1A" w:rsidP="009E6373">
      <w:pPr>
        <w:pStyle w:val="Zkladntext"/>
        <w:ind w:left="116" w:right="128"/>
        <w:rPr>
          <w:lang w:val="sk-SK"/>
        </w:rPr>
      </w:pPr>
      <w:r w:rsidRPr="001B463B">
        <w:rPr>
          <w:lang w:val="sk-SK"/>
        </w:rPr>
        <w:t xml:space="preserve">s intervalom spoľahlivosti 95% podľa vybraných bazálnych charakteristík- prvá </w:t>
      </w:r>
    </w:p>
    <w:p w14:paraId="7EE42BC3" w14:textId="77777777" w:rsidR="00DE06D4" w:rsidRDefault="005A7D1A" w:rsidP="00DE06D4">
      <w:pPr>
        <w:pStyle w:val="Zkladntext"/>
        <w:ind w:left="116" w:right="990"/>
        <w:rPr>
          <w:lang w:val="sk-SK"/>
        </w:rPr>
      </w:pPr>
      <w:r w:rsidRPr="001B463B">
        <w:rPr>
          <w:lang w:val="sk-SK"/>
        </w:rPr>
        <w:t xml:space="preserve">kardiovaskulárna hospitalizácia alebo smrť z </w:t>
      </w:r>
      <w:r w:rsidR="008A1848">
        <w:rPr>
          <w:lang w:val="sk-SK"/>
        </w:rPr>
        <w:t>akejkoľvek príčiny</w:t>
      </w:r>
    </w:p>
    <w:p w14:paraId="126FE156" w14:textId="77777777" w:rsidR="008A1848" w:rsidRDefault="00DE06D4" w:rsidP="008A1848">
      <w:pPr>
        <w:pStyle w:val="Zkladntext"/>
        <w:ind w:left="116" w:right="990"/>
        <w:rPr>
          <w:lang w:val="sk-SK"/>
        </w:rPr>
      </w:pPr>
      <w:r w:rsidRPr="001B463B">
        <w:rPr>
          <w:noProof/>
          <w:lang w:val="sk-SK" w:eastAsia="sk-SK"/>
        </w:rPr>
        <w:drawing>
          <wp:anchor distT="0" distB="0" distL="0" distR="0" simplePos="0" relativeHeight="251662336" behindDoc="0" locked="0" layoutInCell="1" allowOverlap="1" wp14:anchorId="6DB64CA1" wp14:editId="05A6A325">
            <wp:simplePos x="0" y="0"/>
            <wp:positionH relativeFrom="page">
              <wp:posOffset>914400</wp:posOffset>
            </wp:positionH>
            <wp:positionV relativeFrom="paragraph">
              <wp:posOffset>158115</wp:posOffset>
            </wp:positionV>
            <wp:extent cx="6076950" cy="4470400"/>
            <wp:effectExtent l="0" t="0" r="635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grayscl/>
                      <a:extLst>
                        <a:ext uri="{BEBA8EAE-BF5A-486C-A8C5-ECC9F3942E4B}">
                          <a14:imgProps xmlns:a14="http://schemas.microsoft.com/office/drawing/2010/main">
                            <a14:imgLayer r:embed="rId10">
                              <a14:imgEffect>
                                <a14:colorTemperature colorTemp="1823"/>
                              </a14:imgEffect>
                              <a14:imgEffect>
                                <a14:brightnessContrast bright="1000"/>
                              </a14:imgEffect>
                            </a14:imgLayer>
                          </a14:imgProps>
                        </a:ext>
                      </a:extLst>
                    </a:blip>
                    <a:stretch>
                      <a:fillRect/>
                    </a:stretch>
                  </pic:blipFill>
                  <pic:spPr>
                    <a:xfrm>
                      <a:off x="0" y="0"/>
                      <a:ext cx="6076950" cy="4470400"/>
                    </a:xfrm>
                    <a:prstGeom prst="rect">
                      <a:avLst/>
                    </a:prstGeom>
                  </pic:spPr>
                </pic:pic>
              </a:graphicData>
            </a:graphic>
            <wp14:sizeRelH relativeFrom="margin">
              <wp14:pctWidth>0</wp14:pctWidth>
            </wp14:sizeRelH>
            <wp14:sizeRelV relativeFrom="margin">
              <wp14:pctHeight>0</wp14:pctHeight>
            </wp14:sizeRelV>
          </wp:anchor>
        </w:drawing>
      </w:r>
      <w:r w:rsidR="008A1848">
        <w:rPr>
          <w:lang w:val="sk-SK"/>
        </w:rPr>
        <w:t xml:space="preserve"> </w:t>
      </w:r>
    </w:p>
    <w:p w14:paraId="69245FB4" w14:textId="2273B785" w:rsidR="00156F88" w:rsidRPr="008A1848" w:rsidRDefault="008A1848" w:rsidP="008A1848">
      <w:pPr>
        <w:pStyle w:val="Zkladntext"/>
        <w:ind w:left="116" w:right="990"/>
        <w:rPr>
          <w:sz w:val="18"/>
          <w:szCs w:val="18"/>
          <w:lang w:val="sk-SK"/>
        </w:rPr>
      </w:pPr>
      <w:r w:rsidRPr="006F701A">
        <w:rPr>
          <w:sz w:val="18"/>
          <w:szCs w:val="18"/>
          <w:lang w:val="sk-SK"/>
        </w:rPr>
        <w:t xml:space="preserve">a stanovené </w:t>
      </w:r>
      <w:r w:rsidR="006F701A">
        <w:rPr>
          <w:sz w:val="18"/>
          <w:szCs w:val="18"/>
          <w:lang w:val="sk-SK"/>
        </w:rPr>
        <w:t>na základe Coxovho regresného modelu</w:t>
      </w:r>
    </w:p>
    <w:p w14:paraId="337876D3" w14:textId="7B35E0F3" w:rsidR="005A7D1A" w:rsidRPr="008A1848" w:rsidRDefault="005A7D1A" w:rsidP="001B463B">
      <w:pPr>
        <w:spacing w:line="206" w:lineRule="exact"/>
        <w:ind w:left="116"/>
        <w:rPr>
          <w:sz w:val="18"/>
          <w:szCs w:val="18"/>
          <w:lang w:val="sk-SK"/>
        </w:rPr>
      </w:pPr>
      <w:r w:rsidRPr="008A1848">
        <w:rPr>
          <w:sz w:val="18"/>
          <w:szCs w:val="18"/>
          <w:lang w:val="sk-SK"/>
        </w:rPr>
        <w:t>b</w:t>
      </w:r>
      <w:r w:rsidR="004037F5">
        <w:rPr>
          <w:sz w:val="18"/>
          <w:szCs w:val="18"/>
          <w:lang w:val="sk-SK"/>
        </w:rPr>
        <w:t xml:space="preserve"> </w:t>
      </w:r>
      <w:r w:rsidR="006F701A">
        <w:rPr>
          <w:sz w:val="18"/>
          <w:szCs w:val="18"/>
          <w:lang w:val="sk-SK"/>
        </w:rPr>
        <w:t>H</w:t>
      </w:r>
      <w:r w:rsidRPr="008A1848">
        <w:rPr>
          <w:sz w:val="18"/>
          <w:szCs w:val="18"/>
          <w:lang w:val="sk-SK"/>
        </w:rPr>
        <w:t>odnota</w:t>
      </w:r>
      <w:r w:rsidR="006F701A">
        <w:rPr>
          <w:sz w:val="18"/>
          <w:szCs w:val="18"/>
          <w:lang w:val="sk-SK"/>
        </w:rPr>
        <w:t xml:space="preserve"> P</w:t>
      </w:r>
      <w:r w:rsidRPr="008A1848">
        <w:rPr>
          <w:sz w:val="18"/>
          <w:szCs w:val="18"/>
          <w:lang w:val="sk-SK"/>
        </w:rPr>
        <w:t xml:space="preserve"> </w:t>
      </w:r>
      <w:r w:rsidR="006F701A">
        <w:rPr>
          <w:sz w:val="18"/>
          <w:szCs w:val="18"/>
          <w:lang w:val="sk-SK"/>
        </w:rPr>
        <w:t>je založená na Coxovom regresnom modele a vyjadruje interakciu medzi hodnotou východiskovej charakteristiky a liečbou</w:t>
      </w:r>
    </w:p>
    <w:p w14:paraId="2F734EDA" w14:textId="77777777" w:rsidR="008A1848" w:rsidRDefault="005A7D1A" w:rsidP="001B463B">
      <w:pPr>
        <w:spacing w:line="207" w:lineRule="exact"/>
        <w:ind w:left="116"/>
        <w:rPr>
          <w:sz w:val="18"/>
          <w:szCs w:val="18"/>
          <w:lang w:val="sk-SK"/>
        </w:rPr>
      </w:pPr>
      <w:r w:rsidRPr="008A1848">
        <w:rPr>
          <w:sz w:val="18"/>
          <w:szCs w:val="18"/>
          <w:lang w:val="sk-SK"/>
        </w:rPr>
        <w:t xml:space="preserve">c antagonisty kalcia s účinkami znižujúcimi tepovú frekvenciu srdca obmedzené na </w:t>
      </w:r>
      <w:r w:rsidR="00945012" w:rsidRPr="008A1848">
        <w:rPr>
          <w:sz w:val="18"/>
          <w:szCs w:val="18"/>
          <w:lang w:val="sk-SK"/>
        </w:rPr>
        <w:t>diltiazem, verapamil a</w:t>
      </w:r>
      <w:r w:rsidR="00CA170D" w:rsidRPr="008A1848">
        <w:rPr>
          <w:sz w:val="18"/>
          <w:szCs w:val="18"/>
          <w:lang w:val="sk-SK"/>
        </w:rPr>
        <w:t> </w:t>
      </w:r>
      <w:r w:rsidR="00945012" w:rsidRPr="008A1848">
        <w:rPr>
          <w:sz w:val="18"/>
          <w:szCs w:val="18"/>
          <w:lang w:val="sk-SK"/>
        </w:rPr>
        <w:t>bepridil</w:t>
      </w:r>
      <w:r w:rsidR="00CA170D" w:rsidRPr="008A1848">
        <w:rPr>
          <w:sz w:val="18"/>
          <w:szCs w:val="18"/>
          <w:lang w:val="sk-SK"/>
        </w:rPr>
        <w:t xml:space="preserve">. </w:t>
      </w:r>
    </w:p>
    <w:p w14:paraId="75A4BEA2" w14:textId="77777777" w:rsidR="008A1848" w:rsidRPr="008A1848" w:rsidRDefault="008A1848" w:rsidP="001B463B">
      <w:pPr>
        <w:spacing w:line="207" w:lineRule="exact"/>
        <w:ind w:left="116"/>
        <w:rPr>
          <w:sz w:val="18"/>
          <w:szCs w:val="18"/>
          <w:lang w:val="sk-SK"/>
        </w:rPr>
      </w:pPr>
    </w:p>
    <w:p w14:paraId="4C324AF5" w14:textId="77777777" w:rsidR="005A7D1A" w:rsidRPr="00C14318" w:rsidRDefault="005A7D1A" w:rsidP="001B463B">
      <w:pPr>
        <w:spacing w:line="207" w:lineRule="exact"/>
        <w:ind w:left="116"/>
        <w:rPr>
          <w:lang w:val="sk-SK"/>
        </w:rPr>
      </w:pPr>
      <w:r w:rsidRPr="00C14318">
        <w:rPr>
          <w:lang w:val="sk-SK"/>
        </w:rPr>
        <w:t>Podobné výsledky sa získali pri výskyte kardiovaskulárnej hospitalizácie so znížením rizika o 25,5 % (p&lt;0,0001).</w:t>
      </w:r>
    </w:p>
    <w:p w14:paraId="40726774" w14:textId="77777777" w:rsidR="005A7D1A" w:rsidRPr="00C14318" w:rsidRDefault="005A7D1A" w:rsidP="001B463B">
      <w:pPr>
        <w:pStyle w:val="Zkladntext"/>
        <w:spacing w:line="252" w:lineRule="exact"/>
        <w:ind w:left="116"/>
        <w:rPr>
          <w:lang w:val="sk-SK"/>
        </w:rPr>
      </w:pPr>
      <w:r w:rsidRPr="00C14318">
        <w:rPr>
          <w:lang w:val="sk-SK"/>
        </w:rPr>
        <w:t>Počas</w:t>
      </w:r>
      <w:r w:rsidR="003E64D8">
        <w:rPr>
          <w:lang w:val="sk-SK"/>
        </w:rPr>
        <w:t xml:space="preserve"> trvania štúdie bol počet úmrtí </w:t>
      </w:r>
      <w:r w:rsidRPr="00C14318">
        <w:rPr>
          <w:lang w:val="sk-SK"/>
        </w:rPr>
        <w:t xml:space="preserve">z akejkoľvek príčiny </w:t>
      </w:r>
      <w:r w:rsidR="008A1848">
        <w:rPr>
          <w:lang w:val="sk-SK"/>
        </w:rPr>
        <w:t xml:space="preserve">v skupine s dronedarónom (116/2 </w:t>
      </w:r>
      <w:r w:rsidRPr="00C14318">
        <w:rPr>
          <w:lang w:val="sk-SK"/>
        </w:rPr>
        <w:t>301) porovnateľný so skupinou s placebom (139/2 327).</w:t>
      </w:r>
    </w:p>
    <w:p w14:paraId="7FF7ADCB" w14:textId="77777777" w:rsidR="005A7D1A" w:rsidRPr="00C14318" w:rsidRDefault="005A7D1A" w:rsidP="001B463B">
      <w:pPr>
        <w:pStyle w:val="Zkladntext"/>
        <w:spacing w:before="1"/>
        <w:rPr>
          <w:lang w:val="sk-SK"/>
        </w:rPr>
      </w:pPr>
    </w:p>
    <w:p w14:paraId="5BD35116" w14:textId="77777777" w:rsidR="005A7D1A" w:rsidRPr="00C14318" w:rsidRDefault="005A7D1A" w:rsidP="001B463B">
      <w:pPr>
        <w:spacing w:line="252" w:lineRule="exact"/>
        <w:ind w:left="116"/>
        <w:rPr>
          <w:i/>
          <w:lang w:val="sk-SK"/>
        </w:rPr>
      </w:pPr>
      <w:r w:rsidRPr="00C14318">
        <w:rPr>
          <w:i/>
          <w:lang w:val="sk-SK"/>
        </w:rPr>
        <w:t>Udržiavanie sínusového rytmu</w:t>
      </w:r>
    </w:p>
    <w:p w14:paraId="54DA9B13" w14:textId="67E691D9" w:rsidR="005A7D1A" w:rsidRPr="00C14318" w:rsidRDefault="005A7D1A" w:rsidP="001B463B">
      <w:pPr>
        <w:pStyle w:val="Zkladntext"/>
        <w:spacing w:line="252" w:lineRule="exact"/>
        <w:ind w:left="116"/>
        <w:rPr>
          <w:lang w:val="sk-SK"/>
        </w:rPr>
      </w:pPr>
      <w:r w:rsidRPr="00C14318">
        <w:rPr>
          <w:lang w:val="sk-SK"/>
        </w:rPr>
        <w:t>V štúdiách EURIDIS a ADONIS bolo randomizovaných celkovo 1</w:t>
      </w:r>
      <w:r w:rsidR="003C2D7A">
        <w:rPr>
          <w:lang w:val="sk-SK"/>
        </w:rPr>
        <w:t xml:space="preserve"> </w:t>
      </w:r>
      <w:r w:rsidRPr="00C14318">
        <w:rPr>
          <w:lang w:val="sk-SK"/>
        </w:rPr>
        <w:t>237 ambulantných pacientov</w:t>
      </w:r>
    </w:p>
    <w:p w14:paraId="617BF8D3" w14:textId="680F5984" w:rsidR="005A7D1A" w:rsidRPr="00C14318" w:rsidRDefault="005A7D1A" w:rsidP="001B463B">
      <w:pPr>
        <w:pStyle w:val="Zkladntext"/>
        <w:ind w:left="116" w:right="105"/>
        <w:rPr>
          <w:lang w:val="sk-SK"/>
        </w:rPr>
      </w:pPr>
      <w:r w:rsidRPr="00C14318">
        <w:rPr>
          <w:lang w:val="sk-SK"/>
        </w:rPr>
        <w:t xml:space="preserve">s predošlou epizódou AF alebo AFL, liečených buď dronedarónom 400 mg dvakrát denne (n = 828) alebo placebom (n = 409) popri konvenčnej liečbe (vrátane perorálnych antikoagulancií, </w:t>
      </w:r>
      <w:r w:rsidRPr="00C14318">
        <w:rPr>
          <w:lang w:val="sk-SK"/>
        </w:rPr>
        <w:lastRenderedPageBreak/>
        <w:t>betablokátorov, ACE inhibítorov alebo antagonistov receptor</w:t>
      </w:r>
      <w:r w:rsidR="00B31CA3">
        <w:rPr>
          <w:lang w:val="sk-SK"/>
        </w:rPr>
        <w:t>a</w:t>
      </w:r>
      <w:r w:rsidRPr="00C14318">
        <w:rPr>
          <w:lang w:val="sk-SK"/>
        </w:rPr>
        <w:t xml:space="preserve"> angiotenzín</w:t>
      </w:r>
      <w:r w:rsidR="00B31CA3">
        <w:rPr>
          <w:lang w:val="sk-SK"/>
        </w:rPr>
        <w:t>u</w:t>
      </w:r>
      <w:r w:rsidRPr="00C14318">
        <w:rPr>
          <w:lang w:val="sk-SK"/>
        </w:rPr>
        <w:t xml:space="preserve"> II (A</w:t>
      </w:r>
      <w:r w:rsidR="006200DE">
        <w:rPr>
          <w:lang w:val="sk-SK"/>
        </w:rPr>
        <w:t>RB</w:t>
      </w:r>
      <w:r w:rsidRPr="00C14318">
        <w:rPr>
          <w:lang w:val="sk-SK"/>
        </w:rPr>
        <w:t>), dlhodobej  liečby</w:t>
      </w:r>
      <w:r w:rsidR="003C2D7A">
        <w:rPr>
          <w:lang w:val="sk-SK"/>
        </w:rPr>
        <w:t xml:space="preserve"> antitrombotikami</w:t>
      </w:r>
      <w:r w:rsidRPr="00C14318">
        <w:rPr>
          <w:lang w:val="sk-SK"/>
        </w:rPr>
        <w:t>, diuretík, statínov, dig</w:t>
      </w:r>
      <w:r w:rsidR="003C2D7A">
        <w:rPr>
          <w:lang w:val="sk-SK"/>
        </w:rPr>
        <w:t>oxínu</w:t>
      </w:r>
      <w:r w:rsidRPr="00C14318">
        <w:rPr>
          <w:lang w:val="sk-SK"/>
        </w:rPr>
        <w:t xml:space="preserve"> a antagonistov kalcia). Pacienti mali aspoň raz epizódu AF/AFL zdokumentovanú na EKG v priebehu posledných 3 mesiacov a mali sínusový rytmus najmenej jednu hodinu, čas sledovania bol 12 mesiacov. U pacientov užívajúcich amiodarón sa robilo EKG približne 4 hodiny po prvom podaní na overenie dobrej tolera</w:t>
      </w:r>
      <w:r w:rsidR="003C2D7A">
        <w:rPr>
          <w:lang w:val="sk-SK"/>
        </w:rPr>
        <w:t>ncie</w:t>
      </w:r>
      <w:r w:rsidRPr="00C14318">
        <w:rPr>
          <w:lang w:val="sk-SK"/>
        </w:rPr>
        <w:t>. Iné antiarytmiká sa museli vysadiť najmenej na dobu zodpovedajúcu 5 plazmatickým polčasom pred prvým podaním.</w:t>
      </w:r>
    </w:p>
    <w:p w14:paraId="6C059715" w14:textId="77777777" w:rsidR="005A7D1A" w:rsidRPr="00C14318" w:rsidRDefault="005A7D1A" w:rsidP="001B463B">
      <w:pPr>
        <w:pStyle w:val="Zkladntext"/>
        <w:spacing w:before="1"/>
        <w:ind w:left="116" w:right="264"/>
        <w:rPr>
          <w:lang w:val="sk-SK"/>
        </w:rPr>
      </w:pPr>
      <w:r w:rsidRPr="00C14318">
        <w:rPr>
          <w:lang w:val="sk-SK"/>
        </w:rPr>
        <w:t>Vekový rozsah pacientov bol od 20 do 88 rokov s prevahou pacientov bielej rasy (97 %) a mužského pohlavia (69 %). Najčastejšie komorbidity boli hypertenzia (56,8 %) a štrukturálne zmeny srdca (41,5 %) vrátane ischemickej choroby srdca (21,8 %).</w:t>
      </w:r>
    </w:p>
    <w:p w14:paraId="2D81F811" w14:textId="77777777" w:rsidR="005A7D1A" w:rsidRPr="00C14318" w:rsidRDefault="005A7D1A" w:rsidP="001B463B">
      <w:pPr>
        <w:pStyle w:val="Zkladntext"/>
        <w:spacing w:before="9"/>
        <w:rPr>
          <w:lang w:val="sk-SK"/>
        </w:rPr>
      </w:pPr>
    </w:p>
    <w:p w14:paraId="6D46CFA5" w14:textId="4F302FFB" w:rsidR="005A7D1A" w:rsidRPr="00C14318" w:rsidRDefault="005A7D1A" w:rsidP="004E3016">
      <w:pPr>
        <w:pStyle w:val="Zkladntext"/>
        <w:ind w:left="116" w:right="317"/>
        <w:rPr>
          <w:lang w:val="sk-SK"/>
        </w:rPr>
      </w:pPr>
      <w:r w:rsidRPr="00C14318">
        <w:rPr>
          <w:lang w:val="sk-SK"/>
        </w:rPr>
        <w:t xml:space="preserve">Podľa údajov získaných zo štúdií EURIDIS a ADONIS ako aj z jednotlivých skúšaní dronedarón </w:t>
      </w:r>
      <w:r w:rsidR="003C2D7A">
        <w:rPr>
          <w:lang w:val="sk-SK"/>
        </w:rPr>
        <w:t xml:space="preserve">zhodne </w:t>
      </w:r>
      <w:r w:rsidRPr="00C14318">
        <w:rPr>
          <w:lang w:val="sk-SK"/>
        </w:rPr>
        <w:t>oddialil čas do prvého opätovného výskytu AF/AFL (primárny koncový ukazovateľ). Dronedarón znižoval riziko prvého opätovného výskytu AF/AFL počas 12 mesačného sledovaného časového obdobia o 25 % v porovnaní s placebom (p = 0,00007). Priemerný čas od randomizácie do prvého opätovného výskytu AF/AFL v skupine s dronedarónom bol 116 dní, t.j. 2,2-násobokv porovnaní so skupinou s placebom (53 dní).</w:t>
      </w:r>
    </w:p>
    <w:p w14:paraId="5098D3F8" w14:textId="77777777" w:rsidR="005A7D1A" w:rsidRPr="00C14318" w:rsidRDefault="005A7D1A" w:rsidP="001B463B">
      <w:pPr>
        <w:pStyle w:val="Zkladntext"/>
        <w:rPr>
          <w:lang w:val="sk-SK"/>
        </w:rPr>
      </w:pPr>
    </w:p>
    <w:p w14:paraId="1208A1A5" w14:textId="77777777" w:rsidR="005A7D1A" w:rsidRPr="00C14318" w:rsidRDefault="005A7D1A" w:rsidP="001B463B">
      <w:pPr>
        <w:pStyle w:val="Zkladntext"/>
        <w:ind w:left="116" w:right="184"/>
        <w:rPr>
          <w:lang w:val="sk-SK"/>
        </w:rPr>
      </w:pPr>
      <w:r w:rsidRPr="00C14318">
        <w:rPr>
          <w:lang w:val="sk-SK"/>
        </w:rPr>
        <w:t>Štúdia DIONYSOS porovnávala účinnosť a bezpečnosť dronedarónu (400 mg dvakrát denne) oproti amiodarónu (600 mg denne počas 28 dní, potom 200 mg denne) po dobu 6 mesiacov. Celkovo bolo randomizovaných 504 pacientov so zdokumentovanou AF, 249 dostávalo dronedarón a 255 dostávalo amiodarón. Vek pacientov sa pohyboval v rozmedzí od 28 do 90 rokov, 49 % bolo starších ako</w:t>
      </w:r>
    </w:p>
    <w:p w14:paraId="702DF488" w14:textId="77777777" w:rsidR="005A7D1A" w:rsidRPr="00C14318" w:rsidRDefault="005A7D1A" w:rsidP="001B463B">
      <w:pPr>
        <w:pStyle w:val="Zkladntext"/>
        <w:spacing w:before="1"/>
        <w:ind w:left="116" w:right="270"/>
        <w:rPr>
          <w:lang w:val="sk-SK"/>
        </w:rPr>
      </w:pPr>
      <w:r w:rsidRPr="00C14318">
        <w:rPr>
          <w:lang w:val="sk-SK"/>
        </w:rPr>
        <w:t>65 rokov. Výskyt primárneho koncového ukazovateľa pre účinnosť definovaného ako prvý opätovný výskyt AF alebo predčasné ukončenie užívania skúšaného lieku pre intoleranciu alebo nedostatočnú účinnosť za 12 mesiacov bol 75 % v skupine s dronedarónom a 59 % v skupine s amiodarónom (hazard ratio=1,59, log-rank p-hodnota &lt;0,0001). Opätovný výskyt AF bol 63,5 % v skupine</w:t>
      </w:r>
    </w:p>
    <w:p w14:paraId="2E0AEB16" w14:textId="77777777" w:rsidR="005A7D1A" w:rsidRPr="00C14318" w:rsidRDefault="005A7D1A" w:rsidP="001B463B">
      <w:pPr>
        <w:pStyle w:val="Zkladntext"/>
        <w:ind w:left="116" w:right="130"/>
        <w:rPr>
          <w:lang w:val="sk-SK"/>
        </w:rPr>
      </w:pPr>
      <w:r w:rsidRPr="00C14318">
        <w:rPr>
          <w:lang w:val="sk-SK"/>
        </w:rPr>
        <w:t>s dronedarónom oproti 42 % v skupine s amiodarónom. Opätovný výskyt AF (vrátane absencie konverzie) bol častejší v skupine s dronedarónom, kým predčasné ukončenie užívania skúšaného lieku pre intoleranciu bol častejší v skupine s amiodarónom. Výskyt hlavného koncového ukazovateľa pre bezpečnosť definovaného ako výskyt tyroidných, pečeňových, pľúcnych, neurologických, kožných, zrakových alebo gastrointestinálnych udalostí alebo predčasné ukončenie užívania skúšaného lieku po akejkoľvek nežiaducej udalosti bol nižší o 20 % v skupine s dronedarónom v porovnaní so skupinou</w:t>
      </w:r>
    </w:p>
    <w:p w14:paraId="73E97132" w14:textId="77777777" w:rsidR="005A7D1A" w:rsidRPr="00C14318" w:rsidRDefault="005A7D1A" w:rsidP="001B463B">
      <w:pPr>
        <w:pStyle w:val="Zkladntext"/>
        <w:spacing w:before="3"/>
        <w:ind w:left="116" w:right="288"/>
        <w:rPr>
          <w:lang w:val="sk-SK"/>
        </w:rPr>
      </w:pPr>
      <w:r w:rsidRPr="00C14318">
        <w:rPr>
          <w:lang w:val="sk-SK"/>
        </w:rPr>
        <w:t>s amiodarónom (p=0,129). Toto zníženie bolo spôsobené tým, že sa vyskytlo signifikantne menej tyroidných a neurologických udalostí s tendenciou k menšiemu výskytu kožných a očných udalostí a menším počtom predčasne ukončeného užívania skúšaného lieku v porovnaní so skupinou</w:t>
      </w:r>
    </w:p>
    <w:p w14:paraId="5DA892EF" w14:textId="77777777" w:rsidR="005A7D1A" w:rsidRPr="00C14318" w:rsidRDefault="005A7D1A" w:rsidP="001B463B">
      <w:pPr>
        <w:pStyle w:val="Zkladntext"/>
        <w:spacing w:line="252" w:lineRule="exact"/>
        <w:ind w:left="116"/>
        <w:rPr>
          <w:lang w:val="sk-SK"/>
        </w:rPr>
      </w:pPr>
      <w:r w:rsidRPr="00C14318">
        <w:rPr>
          <w:lang w:val="sk-SK"/>
        </w:rPr>
        <w:t>s amiodarónom.</w:t>
      </w:r>
    </w:p>
    <w:p w14:paraId="2719B9C3" w14:textId="77777777" w:rsidR="005A7D1A" w:rsidRPr="00C14318" w:rsidRDefault="005A7D1A" w:rsidP="001B463B">
      <w:pPr>
        <w:pStyle w:val="Zkladntext"/>
        <w:spacing w:before="1"/>
        <w:ind w:left="116" w:right="1462"/>
        <w:rPr>
          <w:lang w:val="sk-SK"/>
        </w:rPr>
      </w:pPr>
      <w:r w:rsidRPr="00C14318">
        <w:rPr>
          <w:lang w:val="sk-SK"/>
        </w:rPr>
        <w:t>Viac gastrointestinálnych nežiaducich účinkov, najmä hnačky, sa pozorovalo v skupine s dronedarónom (12,9 % oproti 5,1 %).</w:t>
      </w:r>
    </w:p>
    <w:p w14:paraId="20F826A3" w14:textId="77777777" w:rsidR="005A7D1A" w:rsidRPr="00C14318" w:rsidRDefault="005A7D1A" w:rsidP="001B463B">
      <w:pPr>
        <w:pStyle w:val="Zkladntext"/>
        <w:rPr>
          <w:lang w:val="sk-SK"/>
        </w:rPr>
      </w:pPr>
    </w:p>
    <w:p w14:paraId="6AEF08EA" w14:textId="4C2D077D" w:rsidR="005A7D1A" w:rsidRPr="00C14318" w:rsidRDefault="005A7D1A" w:rsidP="001B463B">
      <w:pPr>
        <w:ind w:left="116" w:right="887"/>
        <w:rPr>
          <w:i/>
          <w:lang w:val="sk-SK"/>
        </w:rPr>
      </w:pPr>
      <w:r w:rsidRPr="00C14318">
        <w:rPr>
          <w:i/>
          <w:lang w:val="sk-SK"/>
        </w:rPr>
        <w:t>Paci</w:t>
      </w:r>
      <w:r w:rsidR="0071517D">
        <w:rPr>
          <w:i/>
          <w:lang w:val="sk-SK"/>
        </w:rPr>
        <w:t>enti s príznakmi srdcového zlyháva</w:t>
      </w:r>
      <w:r w:rsidRPr="00C14318">
        <w:rPr>
          <w:i/>
          <w:lang w:val="sk-SK"/>
        </w:rPr>
        <w:t>nia v pokoji alebo pri minimálnej námahe v priebehu predchádzajúceho mesiaca alebo pacienti hospital</w:t>
      </w:r>
      <w:r w:rsidR="0071517D">
        <w:rPr>
          <w:i/>
          <w:lang w:val="sk-SK"/>
        </w:rPr>
        <w:t xml:space="preserve">izovaní z dôvodu srdcového </w:t>
      </w:r>
      <w:r w:rsidR="00CE4AAD">
        <w:rPr>
          <w:i/>
          <w:lang w:val="sk-SK"/>
        </w:rPr>
        <w:t>zlyháva</w:t>
      </w:r>
      <w:r w:rsidR="00CE4AAD" w:rsidRPr="00C14318">
        <w:rPr>
          <w:i/>
          <w:lang w:val="sk-SK"/>
        </w:rPr>
        <w:t>nia</w:t>
      </w:r>
      <w:r w:rsidRPr="00C14318">
        <w:rPr>
          <w:i/>
          <w:lang w:val="sk-SK"/>
        </w:rPr>
        <w:t xml:space="preserve"> počas prechádzajúceho mesiaca.</w:t>
      </w:r>
    </w:p>
    <w:p w14:paraId="6F35E0B5" w14:textId="77777777" w:rsidR="005A7D1A" w:rsidRPr="00C14318" w:rsidRDefault="005A7D1A" w:rsidP="001B463B">
      <w:pPr>
        <w:pStyle w:val="Zkladntext"/>
        <w:ind w:left="116" w:right="127"/>
        <w:rPr>
          <w:lang w:val="sk-SK"/>
        </w:rPr>
      </w:pPr>
      <w:r w:rsidRPr="00C14318">
        <w:rPr>
          <w:lang w:val="sk-SK"/>
        </w:rPr>
        <w:t>V štúdii ANDROMEDA bolo 627 pacientov s dysfunkciou ľavej komory, hospitalizovaných pre n</w:t>
      </w:r>
      <w:r w:rsidR="0071517D">
        <w:rPr>
          <w:lang w:val="sk-SK"/>
        </w:rPr>
        <w:t>ové alebo zhoršené srdcové zlyháva</w:t>
      </w:r>
      <w:r w:rsidRPr="00C14318">
        <w:rPr>
          <w:lang w:val="sk-SK"/>
        </w:rPr>
        <w:t>nie, ktorí mali najmenej jednu epizódu sťaženého dýchania pri minimálnej námahe alebo v pokoji (podľa klasifikácie NYHA trieda III alebo IV) alebo paroxyzmálnu nočnú dýchavicu v priebehu jedného mesiaca pred hospitalizáciou. Vek pacientov sa pohyboval</w:t>
      </w:r>
    </w:p>
    <w:p w14:paraId="00FA6895" w14:textId="77777777" w:rsidR="005A7D1A" w:rsidRPr="00C14318" w:rsidRDefault="005A7D1A" w:rsidP="001B463B">
      <w:pPr>
        <w:pStyle w:val="Zkladntext"/>
        <w:spacing w:before="2"/>
        <w:ind w:left="116"/>
        <w:rPr>
          <w:lang w:val="sk-SK"/>
        </w:rPr>
      </w:pPr>
      <w:r w:rsidRPr="00C14318">
        <w:rPr>
          <w:lang w:val="sk-SK"/>
        </w:rPr>
        <w:t>v rozmedzí od 27 do 96 rokov, 68 % bolo starších ako 65 rokov.</w:t>
      </w:r>
      <w:r w:rsidR="009E1116">
        <w:rPr>
          <w:lang w:val="sk-SK"/>
        </w:rPr>
        <w:t xml:space="preserve"> Štúdia bola predčasne ukončená </w:t>
      </w:r>
      <w:r w:rsidRPr="00C14318">
        <w:rPr>
          <w:lang w:val="sk-SK"/>
        </w:rPr>
        <w:t>pre</w:t>
      </w:r>
      <w:r w:rsidR="00A27E87">
        <w:rPr>
          <w:lang w:val="sk-SK"/>
        </w:rPr>
        <w:t xml:space="preserve"> </w:t>
      </w:r>
      <w:r w:rsidRPr="00C14318">
        <w:rPr>
          <w:lang w:val="sk-SK"/>
        </w:rPr>
        <w:t>zistenú nerovnováhu úmrtí v skupine s dronedarónom [n = 25 oproti 12 (placebo), p = 0,027] (pozri časti 4.3 a 4.4).</w:t>
      </w:r>
    </w:p>
    <w:p w14:paraId="218AD41A" w14:textId="77777777" w:rsidR="005A7D1A" w:rsidRPr="00C14318" w:rsidRDefault="005A7D1A" w:rsidP="001B463B">
      <w:pPr>
        <w:pStyle w:val="Zkladntext"/>
        <w:rPr>
          <w:lang w:val="sk-SK"/>
        </w:rPr>
      </w:pPr>
    </w:p>
    <w:p w14:paraId="65F7B738" w14:textId="77777777" w:rsidR="005A7D1A" w:rsidRPr="00C14318" w:rsidRDefault="005A7D1A" w:rsidP="001B463B">
      <w:pPr>
        <w:spacing w:line="252" w:lineRule="exact"/>
        <w:ind w:left="116"/>
        <w:rPr>
          <w:lang w:val="sk-SK"/>
        </w:rPr>
      </w:pPr>
      <w:r w:rsidRPr="00C14318">
        <w:rPr>
          <w:i/>
          <w:lang w:val="sk-SK"/>
        </w:rPr>
        <w:t>Pacienti s permanentnou atriálnou fibriláciou</w:t>
      </w:r>
      <w:r w:rsidRPr="00C14318">
        <w:rPr>
          <w:lang w:val="sk-SK"/>
        </w:rPr>
        <w:t>:</w:t>
      </w:r>
    </w:p>
    <w:p w14:paraId="6B3CD983" w14:textId="77777777" w:rsidR="005A7D1A" w:rsidRPr="00C14318" w:rsidRDefault="005A7D1A" w:rsidP="001B463B">
      <w:pPr>
        <w:pStyle w:val="Zkladntext"/>
        <w:spacing w:line="252" w:lineRule="exact"/>
        <w:ind w:left="116"/>
        <w:rPr>
          <w:lang w:val="sk-SK"/>
        </w:rPr>
      </w:pPr>
      <w:r w:rsidRPr="00C14318">
        <w:rPr>
          <w:lang w:val="sk-SK"/>
        </w:rPr>
        <w:t>Randomizovaná, placebom kontrolovaná štúdia PALLAS skúmala klinický prínos dronedarónu</w:t>
      </w:r>
    </w:p>
    <w:p w14:paraId="187169FB" w14:textId="77777777" w:rsidR="005A7D1A" w:rsidRPr="00C14318" w:rsidRDefault="005A7D1A" w:rsidP="001B463B">
      <w:pPr>
        <w:pStyle w:val="Zkladntext"/>
        <w:spacing w:before="2"/>
        <w:ind w:left="116" w:right="229"/>
        <w:rPr>
          <w:lang w:val="sk-SK"/>
        </w:rPr>
      </w:pPr>
      <w:r w:rsidRPr="00C14318">
        <w:rPr>
          <w:lang w:val="sk-SK"/>
        </w:rPr>
        <w:lastRenderedPageBreak/>
        <w:t>v dávke 400 mg dvakrát denne pridanej k štandardnej liečbe u pacientov s permanentnou atriálnou fibriláciou a ďalšími rizikovými faktorm</w:t>
      </w:r>
      <w:r w:rsidR="00EE364B">
        <w:rPr>
          <w:lang w:val="sk-SK"/>
        </w:rPr>
        <w:t>i (pacienti s kongestívnym zlyháva</w:t>
      </w:r>
      <w:r w:rsidRPr="00C14318">
        <w:rPr>
          <w:lang w:val="sk-SK"/>
        </w:rPr>
        <w:t>ním srdca ~ 69 %, ischemickou chorobou srdca ~ 41 %, predchádzajúcou mozgovou príhodou alebo TIA ~ 27 %; LVEF</w:t>
      </w:r>
    </w:p>
    <w:p w14:paraId="51FB9188" w14:textId="77777777" w:rsidR="005A7D1A" w:rsidRPr="00C14318" w:rsidRDefault="005A7D1A" w:rsidP="001B463B">
      <w:pPr>
        <w:pStyle w:val="Zkladntext"/>
        <w:spacing w:before="1"/>
        <w:ind w:left="116" w:right="314"/>
        <w:rPr>
          <w:lang w:val="sk-SK"/>
        </w:rPr>
      </w:pPr>
      <w:r w:rsidRPr="00C14318">
        <w:rPr>
          <w:lang w:val="sk-SK"/>
        </w:rPr>
        <w:t>≤ 40 % ~ 20,7 % a pacienti ≥ 75 rokov s hypertenziou a diabetom ~ 18 %). Štúdia bola predčasne ukončená po randomizácii 3149 pacientov (placebo=1577; dronedarón=1572) pre významný nárast srdcových zlyhaní (placebo=33; dronedarón=80; HR=2,49 (1,66-3,74)]; mozgových príhod [placebo=8; dronedarón=17; HR= 2,14 (0,92-4,96)] a úmrtí z kardiovaskulárnych príčin [placebo=6; dronedarón=15; HR= 2,53 (0,98-6,53)] (pozri časti 4.3 a 4.4).</w:t>
      </w:r>
    </w:p>
    <w:p w14:paraId="3B0AF5F5" w14:textId="77777777" w:rsidR="005A7D1A" w:rsidRPr="00C14318" w:rsidRDefault="005A7D1A" w:rsidP="001B463B">
      <w:pPr>
        <w:pStyle w:val="Zkladntext"/>
        <w:spacing w:before="5"/>
        <w:rPr>
          <w:lang w:val="sk-SK"/>
        </w:rPr>
      </w:pPr>
    </w:p>
    <w:p w14:paraId="2E8A92E5"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Farmakokinetické</w:t>
      </w:r>
      <w:r w:rsidRPr="00C14318">
        <w:rPr>
          <w:spacing w:val="-7"/>
          <w:lang w:val="sk-SK"/>
        </w:rPr>
        <w:t xml:space="preserve"> </w:t>
      </w:r>
      <w:r w:rsidRPr="00C14318">
        <w:rPr>
          <w:lang w:val="sk-SK"/>
        </w:rPr>
        <w:t>vlastnosti</w:t>
      </w:r>
    </w:p>
    <w:p w14:paraId="15321B55" w14:textId="77777777" w:rsidR="005A7D1A" w:rsidRPr="00C14318" w:rsidRDefault="005A7D1A" w:rsidP="001B463B">
      <w:pPr>
        <w:pStyle w:val="Zkladntext"/>
        <w:spacing w:before="6"/>
        <w:rPr>
          <w:b/>
          <w:lang w:val="sk-SK"/>
        </w:rPr>
      </w:pPr>
    </w:p>
    <w:p w14:paraId="3E4F51F0" w14:textId="77777777" w:rsidR="005A7D1A" w:rsidRPr="00C14318" w:rsidRDefault="005A7D1A" w:rsidP="001B463B">
      <w:pPr>
        <w:pStyle w:val="Zkladntext"/>
        <w:spacing w:before="1"/>
        <w:ind w:left="116"/>
        <w:rPr>
          <w:lang w:val="sk-SK"/>
        </w:rPr>
      </w:pPr>
      <w:r w:rsidRPr="00C14318">
        <w:rPr>
          <w:u w:val="single"/>
          <w:lang w:val="sk-SK"/>
        </w:rPr>
        <w:t>Absorpcia</w:t>
      </w:r>
    </w:p>
    <w:p w14:paraId="040737A9" w14:textId="5216A58A" w:rsidR="005A7D1A" w:rsidRPr="00C14318" w:rsidRDefault="005A7D1A" w:rsidP="001B463B">
      <w:pPr>
        <w:pStyle w:val="Zkladntext"/>
        <w:spacing w:before="1"/>
        <w:ind w:left="116" w:right="156"/>
        <w:rPr>
          <w:lang w:val="sk-SK"/>
        </w:rPr>
      </w:pPr>
      <w:r w:rsidRPr="00C14318">
        <w:rPr>
          <w:lang w:val="sk-SK"/>
        </w:rPr>
        <w:t>Po perorálnom užití v stave nasýtenia sa dronedarón dobre vstrebáva (najmenej 70 %). Avšak absolútna biologická dostupnosť dronedarónu z dôvodu presystémového prvého prechodu pečeňou (“first</w:t>
      </w:r>
      <w:r w:rsidR="0006433C">
        <w:rPr>
          <w:lang w:val="sk-SK"/>
        </w:rPr>
        <w:t>-</w:t>
      </w:r>
      <w:r w:rsidRPr="00C14318">
        <w:rPr>
          <w:lang w:val="sk-SK"/>
        </w:rPr>
        <w:t>pass metaboli</w:t>
      </w:r>
      <w:r w:rsidR="00140F83">
        <w:rPr>
          <w:lang w:val="sk-SK"/>
        </w:rPr>
        <w:t>zmus</w:t>
      </w:r>
      <w:r w:rsidRPr="00C14318">
        <w:rPr>
          <w:lang w:val="sk-SK"/>
        </w:rPr>
        <w:t>”) je 15 % (a</w:t>
      </w:r>
      <w:r w:rsidR="00F71624">
        <w:rPr>
          <w:lang w:val="sk-SK"/>
        </w:rPr>
        <w:t>k sa podáva s jedlom). Pri súbež</w:t>
      </w:r>
      <w:r w:rsidRPr="00C14318">
        <w:rPr>
          <w:lang w:val="sk-SK"/>
        </w:rPr>
        <w:t xml:space="preserve">nej konzumácii jedla sa zvyšuje biologická dostupnosť dronedarónu v priemere </w:t>
      </w:r>
      <w:r w:rsidR="0006433C">
        <w:rPr>
          <w:lang w:val="sk-SK"/>
        </w:rPr>
        <w:t> </w:t>
      </w:r>
      <w:r w:rsidRPr="00C14318">
        <w:rPr>
          <w:lang w:val="sk-SK"/>
        </w:rPr>
        <w:t>2</w:t>
      </w:r>
      <w:r w:rsidR="0006433C">
        <w:rPr>
          <w:lang w:val="sk-SK"/>
        </w:rPr>
        <w:t>-</w:t>
      </w:r>
      <w:r w:rsidRPr="00C14318">
        <w:rPr>
          <w:lang w:val="sk-SK"/>
        </w:rPr>
        <w:t xml:space="preserve"> až 4-násob</w:t>
      </w:r>
      <w:r w:rsidR="0006433C">
        <w:rPr>
          <w:lang w:val="sk-SK"/>
        </w:rPr>
        <w:t>ne</w:t>
      </w:r>
      <w:r w:rsidRPr="00C14318">
        <w:rPr>
          <w:lang w:val="sk-SK"/>
        </w:rPr>
        <w:t>. Po perorálnom podaní v stave nasýtenia sa dosahuje maximálna plazmatická koncentrácia dronedarónu a hlavného cirkulujúceho aktívneho metabolitu (N-debutyl</w:t>
      </w:r>
      <w:r w:rsidR="0006433C">
        <w:rPr>
          <w:lang w:val="sk-SK"/>
        </w:rPr>
        <w:t>ovaného metabolitu</w:t>
      </w:r>
      <w:r w:rsidRPr="00C14318">
        <w:rPr>
          <w:lang w:val="sk-SK"/>
        </w:rPr>
        <w:t>) v priebehu 3 až 6 hodín. Po opakovanom podaní 400 mg dvakrát denne sa dosahuje rovnovážny stav v priebehu 4 až 8 dní liečby a priemerný pomer akumulácie pre dronedarón sa pohybuje v rozsahu od 2,6 do 4,5. Priemerná koncentrácia dronedarónu v rovnovážnom stave C</w:t>
      </w:r>
      <w:r w:rsidRPr="004E3016">
        <w:rPr>
          <w:position w:val="-2"/>
          <w:vertAlign w:val="subscript"/>
          <w:lang w:val="sk-SK"/>
        </w:rPr>
        <w:t xml:space="preserve">max </w:t>
      </w:r>
      <w:r w:rsidR="00A17F59">
        <w:rPr>
          <w:position w:val="-2"/>
          <w:vertAlign w:val="subscript"/>
          <w:lang w:val="sk-SK"/>
        </w:rPr>
        <w:t xml:space="preserve"> </w:t>
      </w:r>
      <w:r w:rsidRPr="00C14318">
        <w:rPr>
          <w:lang w:val="sk-SK"/>
        </w:rPr>
        <w:t>je 84-147 ng/ml a expozícia hlavného N-debutyl</w:t>
      </w:r>
      <w:r w:rsidR="00A17F59">
        <w:rPr>
          <w:lang w:val="sk-SK"/>
        </w:rPr>
        <w:t>ovaného metabolitu</w:t>
      </w:r>
      <w:r w:rsidRPr="00C14318">
        <w:rPr>
          <w:lang w:val="sk-SK"/>
        </w:rPr>
        <w:t xml:space="preserve"> je podobná ako </w:t>
      </w:r>
      <w:r w:rsidR="00A17F59">
        <w:rPr>
          <w:lang w:val="sk-SK"/>
        </w:rPr>
        <w:t>pri</w:t>
      </w:r>
      <w:r w:rsidRPr="00C14318">
        <w:rPr>
          <w:lang w:val="sk-SK"/>
        </w:rPr>
        <w:t xml:space="preserve"> materskej zlúčenin</w:t>
      </w:r>
      <w:r w:rsidR="00A17F59">
        <w:rPr>
          <w:lang w:val="sk-SK"/>
        </w:rPr>
        <w:t>e</w:t>
      </w:r>
      <w:r w:rsidRPr="00C14318">
        <w:rPr>
          <w:lang w:val="sk-SK"/>
        </w:rPr>
        <w:t>. Farmakokinetika dronedarónu a jeho hlavného N-debutyl</w:t>
      </w:r>
      <w:r w:rsidR="00A17F59">
        <w:rPr>
          <w:lang w:val="sk-SK"/>
        </w:rPr>
        <w:t>ovaného metabolitu</w:t>
      </w:r>
      <w:r w:rsidRPr="00C14318">
        <w:rPr>
          <w:lang w:val="sk-SK"/>
        </w:rPr>
        <w:t xml:space="preserve"> sa mierne odchyľuje od dávkovej proporcionality: 2-násobné zvýšenie dávky sa prejaví v približne 2,5- až 3,0-násobnom zvýšení C</w:t>
      </w:r>
      <w:r w:rsidRPr="00E530D0">
        <w:rPr>
          <w:position w:val="-2"/>
          <w:vertAlign w:val="subscript"/>
          <w:lang w:val="sk-SK"/>
        </w:rPr>
        <w:t>max</w:t>
      </w:r>
      <w:r w:rsidRPr="00C14318">
        <w:rPr>
          <w:position w:val="-2"/>
          <w:lang w:val="sk-SK"/>
        </w:rPr>
        <w:t xml:space="preserve"> </w:t>
      </w:r>
      <w:r w:rsidRPr="00C14318">
        <w:rPr>
          <w:lang w:val="sk-SK"/>
        </w:rPr>
        <w:t>a AUC.</w:t>
      </w:r>
    </w:p>
    <w:p w14:paraId="23EF0F36" w14:textId="77777777" w:rsidR="005A7D1A" w:rsidRPr="00C14318" w:rsidRDefault="005A7D1A" w:rsidP="001B463B">
      <w:pPr>
        <w:pStyle w:val="Zkladntext"/>
        <w:spacing w:before="10"/>
        <w:rPr>
          <w:lang w:val="sk-SK"/>
        </w:rPr>
      </w:pPr>
    </w:p>
    <w:p w14:paraId="252742AA" w14:textId="77777777" w:rsidR="005A7D1A" w:rsidRPr="00C14318" w:rsidRDefault="005A7D1A" w:rsidP="001B463B">
      <w:pPr>
        <w:pStyle w:val="Zkladntext"/>
        <w:spacing w:line="252" w:lineRule="exact"/>
        <w:ind w:left="116"/>
        <w:rPr>
          <w:lang w:val="sk-SK"/>
        </w:rPr>
      </w:pPr>
      <w:r w:rsidRPr="00C14318">
        <w:rPr>
          <w:u w:val="single"/>
          <w:lang w:val="sk-SK"/>
        </w:rPr>
        <w:t>Distribúcia</w:t>
      </w:r>
    </w:p>
    <w:p w14:paraId="6E354880" w14:textId="10B22C8C" w:rsidR="005A7D1A" w:rsidRPr="00C14318" w:rsidRDefault="005A7D1A" w:rsidP="001B463B">
      <w:pPr>
        <w:pStyle w:val="Zkladntext"/>
        <w:ind w:left="116" w:right="230"/>
        <w:rPr>
          <w:lang w:val="sk-SK"/>
        </w:rPr>
      </w:pPr>
      <w:r w:rsidRPr="00C14318">
        <w:rPr>
          <w:lang w:val="sk-SK"/>
        </w:rPr>
        <w:t>Viazanie dronedarónu a jeho hlavného N-debutyl</w:t>
      </w:r>
      <w:r w:rsidR="00140F83">
        <w:rPr>
          <w:lang w:val="sk-SK"/>
        </w:rPr>
        <w:t>ovaného metabolitu</w:t>
      </w:r>
      <w:r w:rsidRPr="00C14318">
        <w:rPr>
          <w:lang w:val="sk-SK"/>
        </w:rPr>
        <w:t xml:space="preserve"> na proteíny v plazme </w:t>
      </w:r>
      <w:r w:rsidRPr="00C14318">
        <w:rPr>
          <w:i/>
          <w:lang w:val="sk-SK"/>
        </w:rPr>
        <w:t xml:space="preserve">in vitro </w:t>
      </w:r>
      <w:r w:rsidRPr="00C14318">
        <w:rPr>
          <w:lang w:val="sk-SK"/>
        </w:rPr>
        <w:t>je 99,7 % v prípade dronedarónu a 98,5 % v prípade N-debutyl</w:t>
      </w:r>
      <w:r w:rsidR="00140F83">
        <w:rPr>
          <w:lang w:val="sk-SK"/>
        </w:rPr>
        <w:t>ovaného metabolitu</w:t>
      </w:r>
      <w:r w:rsidRPr="00C14318">
        <w:rPr>
          <w:lang w:val="sk-SK"/>
        </w:rPr>
        <w:t xml:space="preserve"> a nie je </w:t>
      </w:r>
      <w:r w:rsidR="00140F83">
        <w:rPr>
          <w:lang w:val="sk-SK"/>
        </w:rPr>
        <w:t>saturovateľné</w:t>
      </w:r>
      <w:r w:rsidRPr="00C14318">
        <w:rPr>
          <w:lang w:val="sk-SK"/>
        </w:rPr>
        <w:t>. Obidve zlúčeniny sa viažu najmä na albumín. Po intravenóznom (</w:t>
      </w:r>
      <w:r w:rsidR="00140F83">
        <w:rPr>
          <w:lang w:val="sk-SK"/>
        </w:rPr>
        <w:t>i.v.</w:t>
      </w:r>
      <w:r w:rsidRPr="00C14318">
        <w:rPr>
          <w:lang w:val="sk-SK"/>
        </w:rPr>
        <w:t>) podaní sa distribučný objem v rovnovážnom stave (Vss) pohybuje v rozsahu 1</w:t>
      </w:r>
      <w:r w:rsidR="00140F83">
        <w:rPr>
          <w:lang w:val="sk-SK"/>
        </w:rPr>
        <w:t xml:space="preserve"> </w:t>
      </w:r>
      <w:r w:rsidRPr="00C14318">
        <w:rPr>
          <w:lang w:val="sk-SK"/>
        </w:rPr>
        <w:t>200 až 1</w:t>
      </w:r>
      <w:r w:rsidR="00140F83">
        <w:rPr>
          <w:lang w:val="sk-SK"/>
        </w:rPr>
        <w:t xml:space="preserve"> </w:t>
      </w:r>
      <w:r w:rsidRPr="00C14318">
        <w:rPr>
          <w:lang w:val="sk-SK"/>
        </w:rPr>
        <w:t>400 l.</w:t>
      </w:r>
    </w:p>
    <w:p w14:paraId="0D2B410D" w14:textId="77777777" w:rsidR="005A7D1A" w:rsidRPr="00C14318" w:rsidRDefault="005A7D1A" w:rsidP="001B463B">
      <w:pPr>
        <w:pStyle w:val="Zkladntext"/>
        <w:spacing w:before="1"/>
        <w:rPr>
          <w:lang w:val="sk-SK"/>
        </w:rPr>
      </w:pPr>
    </w:p>
    <w:p w14:paraId="4F6B4E96" w14:textId="77777777" w:rsidR="005A7D1A" w:rsidRPr="00C14318" w:rsidRDefault="005A7D1A" w:rsidP="001B463B">
      <w:pPr>
        <w:pStyle w:val="Zkladntext"/>
        <w:ind w:left="116"/>
        <w:rPr>
          <w:lang w:val="sk-SK"/>
        </w:rPr>
      </w:pPr>
      <w:r w:rsidRPr="00C14318">
        <w:rPr>
          <w:u w:val="single"/>
          <w:lang w:val="sk-SK"/>
        </w:rPr>
        <w:t>Biotransformácia</w:t>
      </w:r>
    </w:p>
    <w:p w14:paraId="7D84D64B" w14:textId="7233E3C5" w:rsidR="005A7D1A" w:rsidRPr="00C14318" w:rsidRDefault="005A7D1A" w:rsidP="004E3016">
      <w:pPr>
        <w:pStyle w:val="Zkladntext"/>
        <w:spacing w:before="1"/>
        <w:ind w:left="135" w:right="233"/>
        <w:rPr>
          <w:lang w:val="sk-SK"/>
        </w:rPr>
      </w:pPr>
      <w:r w:rsidRPr="00C14318">
        <w:rPr>
          <w:lang w:val="sk-SK"/>
        </w:rPr>
        <w:t>Dronedarón sa extenzívne metabolizuje, najmä CYP 3A4 (pozri časť 4.5). Hlavnú metabolickú dráhu predstavuje N-debutylácia, čím vzniká hlavný cirkulujúci aktívny metabolit, potom dochádza k oxidácii, oxidačnej deaminácii s tvorbou neaktívneho metabolitu kyseliny propiónovej, nasleduje oxidácia a priama oxidácia. Monoaminooxidázy čiastočne prispievajú k metabolizmu aktívneho metabolitu dronedarónu (pozri časť 4.5).</w:t>
      </w:r>
      <w:r w:rsidR="004C54AB">
        <w:rPr>
          <w:lang w:val="sk-SK"/>
        </w:rPr>
        <w:t xml:space="preserve"> </w:t>
      </w:r>
      <w:r w:rsidRPr="00C14318">
        <w:rPr>
          <w:lang w:val="sk-SK"/>
        </w:rPr>
        <w:t>N-debutyl</w:t>
      </w:r>
      <w:r w:rsidR="00140F83">
        <w:rPr>
          <w:lang w:val="sk-SK"/>
        </w:rPr>
        <w:t>ovaný metabolit</w:t>
      </w:r>
      <w:r w:rsidRPr="00C14318">
        <w:rPr>
          <w:lang w:val="sk-SK"/>
        </w:rPr>
        <w:t xml:space="preserve"> vykazuje farmakodynamickú aktivitu, ale je 3</w:t>
      </w:r>
      <w:r w:rsidR="00140F83">
        <w:rPr>
          <w:lang w:val="sk-SK"/>
        </w:rPr>
        <w:t>-</w:t>
      </w:r>
      <w:r w:rsidRPr="00C14318">
        <w:rPr>
          <w:lang w:val="sk-SK"/>
        </w:rPr>
        <w:t xml:space="preserve"> až 10-krát menej účinný ako dronedarón. Tento metabolit prispieva k farmakologickej aktivite dronedarónu u ľudí.</w:t>
      </w:r>
    </w:p>
    <w:p w14:paraId="6C1E026A" w14:textId="77777777" w:rsidR="005A7D1A" w:rsidRPr="00C14318" w:rsidRDefault="005A7D1A" w:rsidP="001B463B">
      <w:pPr>
        <w:pStyle w:val="Zkladntext"/>
        <w:rPr>
          <w:lang w:val="sk-SK"/>
        </w:rPr>
      </w:pPr>
    </w:p>
    <w:p w14:paraId="564F906C" w14:textId="77777777" w:rsidR="005A7D1A" w:rsidRPr="00C14318" w:rsidRDefault="005A7D1A" w:rsidP="001B463B">
      <w:pPr>
        <w:pStyle w:val="Zkladntext"/>
        <w:spacing w:line="252" w:lineRule="exact"/>
        <w:ind w:left="116"/>
        <w:rPr>
          <w:lang w:val="sk-SK"/>
        </w:rPr>
      </w:pPr>
      <w:r w:rsidRPr="00C14318">
        <w:rPr>
          <w:u w:val="single"/>
          <w:lang w:val="sk-SK"/>
        </w:rPr>
        <w:t>Eliminácia</w:t>
      </w:r>
    </w:p>
    <w:p w14:paraId="45645913" w14:textId="1690E6AB" w:rsidR="00027FF1" w:rsidRDefault="005A7D1A" w:rsidP="001B463B">
      <w:pPr>
        <w:pStyle w:val="Zkladntext"/>
        <w:ind w:left="135" w:right="106"/>
        <w:rPr>
          <w:lang w:val="sk-SK"/>
        </w:rPr>
      </w:pPr>
      <w:r w:rsidRPr="00C14318">
        <w:rPr>
          <w:lang w:val="sk-SK"/>
        </w:rPr>
        <w:t>Po perorálnom podaní sa približne 6 % označenej dávky vylučuje močom najmä vo forme metabolitov (nezmenená materská zlúčenina v moči nebola) a 84 % sa vylučuje stolicou najmä vo forme metabolitov. Po intravenóznom podaní sa klírens dronedarónu v plazme pohybuje v rozsahu od 130 do 150 l/h. Terminálny</w:t>
      </w:r>
      <w:r w:rsidR="002D3BAC">
        <w:rPr>
          <w:lang w:val="sk-SK"/>
        </w:rPr>
        <w:t xml:space="preserve"> eliminačný</w:t>
      </w:r>
      <w:r w:rsidRPr="00C14318">
        <w:rPr>
          <w:lang w:val="sk-SK"/>
        </w:rPr>
        <w:t xml:space="preserve"> polčas  dronedarónu je približne 25-30 hodín a jeho N-debutyl</w:t>
      </w:r>
      <w:r w:rsidR="002D3BAC">
        <w:rPr>
          <w:lang w:val="sk-SK"/>
        </w:rPr>
        <w:t>ovaného metabolitu</w:t>
      </w:r>
      <w:r w:rsidRPr="00C14318">
        <w:rPr>
          <w:lang w:val="sk-SK"/>
        </w:rPr>
        <w:t xml:space="preserve"> približne 20-25 hodín. U pacientov sa dronedarón a jeho metabolity úplne vylučujú z plazmy v priebehu 2 týždňov po ukončení liečby dávkami 400 mg dvakrát denne.</w:t>
      </w:r>
    </w:p>
    <w:p w14:paraId="35B9FF93" w14:textId="77777777" w:rsidR="00027FF1" w:rsidRDefault="00027FF1" w:rsidP="001B463B">
      <w:pPr>
        <w:pStyle w:val="Zkladntext"/>
        <w:ind w:left="135" w:right="106"/>
        <w:rPr>
          <w:lang w:val="sk-SK"/>
        </w:rPr>
      </w:pPr>
    </w:p>
    <w:p w14:paraId="3B8E83CB" w14:textId="4FEDF1B5" w:rsidR="005A7D1A" w:rsidRPr="00C14318" w:rsidRDefault="002D3BAC" w:rsidP="001B463B">
      <w:pPr>
        <w:pStyle w:val="Zkladntext"/>
        <w:ind w:left="135" w:right="106"/>
        <w:rPr>
          <w:lang w:val="sk-SK"/>
        </w:rPr>
      </w:pPr>
      <w:r>
        <w:rPr>
          <w:u w:val="single"/>
          <w:lang w:val="sk-SK"/>
        </w:rPr>
        <w:t>Osobitné</w:t>
      </w:r>
      <w:r w:rsidRPr="00C14318">
        <w:rPr>
          <w:u w:val="single"/>
          <w:lang w:val="sk-SK"/>
        </w:rPr>
        <w:t xml:space="preserve"> </w:t>
      </w:r>
      <w:r w:rsidR="005A7D1A" w:rsidRPr="00C14318">
        <w:rPr>
          <w:u w:val="single"/>
          <w:lang w:val="sk-SK"/>
        </w:rPr>
        <w:t>skupiny pacientov</w:t>
      </w:r>
    </w:p>
    <w:p w14:paraId="6562D0F8" w14:textId="0B225C8A" w:rsidR="005A7D1A" w:rsidRPr="00C14318" w:rsidRDefault="005A7D1A" w:rsidP="001B463B">
      <w:pPr>
        <w:pStyle w:val="Zkladntext"/>
        <w:ind w:left="116" w:right="164"/>
        <w:rPr>
          <w:lang w:val="sk-SK"/>
        </w:rPr>
      </w:pPr>
      <w:r w:rsidRPr="00C14318">
        <w:rPr>
          <w:lang w:val="sk-SK"/>
        </w:rPr>
        <w:t xml:space="preserve">Farmakokinetika dronedarónu u pacientov s AF je </w:t>
      </w:r>
      <w:r w:rsidR="002D3BAC">
        <w:rPr>
          <w:lang w:val="sk-SK"/>
        </w:rPr>
        <w:t>zhodná</w:t>
      </w:r>
      <w:r w:rsidR="002D3BAC" w:rsidRPr="00C14318">
        <w:rPr>
          <w:lang w:val="sk-SK"/>
        </w:rPr>
        <w:t xml:space="preserve"> </w:t>
      </w:r>
      <w:r w:rsidR="002D3BAC">
        <w:rPr>
          <w:lang w:val="sk-SK"/>
        </w:rPr>
        <w:t>so </w:t>
      </w:r>
      <w:r w:rsidRPr="00C14318">
        <w:rPr>
          <w:lang w:val="sk-SK"/>
        </w:rPr>
        <w:t>zdravý</w:t>
      </w:r>
      <w:r w:rsidR="002D3BAC">
        <w:rPr>
          <w:lang w:val="sk-SK"/>
        </w:rPr>
        <w:t>mi osobami.</w:t>
      </w:r>
      <w:r w:rsidRPr="00C14318">
        <w:rPr>
          <w:lang w:val="sk-SK"/>
        </w:rPr>
        <w:t xml:space="preserve"> Faktory </w:t>
      </w:r>
      <w:r w:rsidRPr="00C14318">
        <w:rPr>
          <w:lang w:val="sk-SK"/>
        </w:rPr>
        <w:lastRenderedPageBreak/>
        <w:t>ovplyvňujúce farmakokinetiku dronedarónu sú pohlavie, vek a hmotnosť. Každý z týchto faktorov má na dronedarón obmedzený vplyv.</w:t>
      </w:r>
    </w:p>
    <w:p w14:paraId="1AF7AC36" w14:textId="77777777" w:rsidR="005A7D1A" w:rsidRPr="00C14318" w:rsidRDefault="005A7D1A" w:rsidP="001B463B">
      <w:pPr>
        <w:pStyle w:val="Zkladntext"/>
        <w:rPr>
          <w:lang w:val="sk-SK"/>
        </w:rPr>
      </w:pPr>
    </w:p>
    <w:p w14:paraId="2A965F99" w14:textId="77777777" w:rsidR="005A7D1A" w:rsidRPr="00C14318" w:rsidRDefault="005A7D1A" w:rsidP="001B463B">
      <w:pPr>
        <w:spacing w:line="252" w:lineRule="exact"/>
        <w:ind w:left="116"/>
        <w:rPr>
          <w:i/>
          <w:lang w:val="sk-SK"/>
        </w:rPr>
      </w:pPr>
      <w:r w:rsidRPr="00C14318">
        <w:rPr>
          <w:i/>
          <w:lang w:val="sk-SK"/>
        </w:rPr>
        <w:t>Pohlavie</w:t>
      </w:r>
    </w:p>
    <w:p w14:paraId="65DE2B19" w14:textId="28BC2E42" w:rsidR="005A7D1A" w:rsidRPr="00C14318" w:rsidRDefault="005A7D1A" w:rsidP="001B463B">
      <w:pPr>
        <w:pStyle w:val="Zkladntext"/>
        <w:ind w:left="116" w:right="533"/>
        <w:rPr>
          <w:lang w:val="sk-SK"/>
        </w:rPr>
      </w:pPr>
      <w:r w:rsidRPr="00C14318">
        <w:rPr>
          <w:lang w:val="sk-SK"/>
        </w:rPr>
        <w:t>U žien je expozícia dronedarónu a jeho N-debutyl</w:t>
      </w:r>
      <w:r w:rsidR="002D3BAC">
        <w:rPr>
          <w:lang w:val="sk-SK"/>
        </w:rPr>
        <w:t>ovaného metabolitu</w:t>
      </w:r>
      <w:r w:rsidRPr="00C14318">
        <w:rPr>
          <w:lang w:val="sk-SK"/>
        </w:rPr>
        <w:t xml:space="preserve"> v porovnaní s pacientmi mužského pohlavia v priemere 1,3</w:t>
      </w:r>
      <w:r w:rsidR="002D3BAC">
        <w:rPr>
          <w:lang w:val="sk-SK"/>
        </w:rPr>
        <w:t>-</w:t>
      </w:r>
      <w:r w:rsidRPr="00C14318">
        <w:rPr>
          <w:lang w:val="sk-SK"/>
        </w:rPr>
        <w:t xml:space="preserve"> až 1,9-násobne vyššia.</w:t>
      </w:r>
    </w:p>
    <w:p w14:paraId="172858F8" w14:textId="77777777" w:rsidR="005A7D1A" w:rsidRPr="00C14318" w:rsidRDefault="005A7D1A" w:rsidP="001B463B">
      <w:pPr>
        <w:pStyle w:val="Zkladntext"/>
        <w:spacing w:before="1"/>
        <w:rPr>
          <w:lang w:val="sk-SK"/>
        </w:rPr>
      </w:pPr>
    </w:p>
    <w:p w14:paraId="01E9D161" w14:textId="77777777" w:rsidR="005A7D1A" w:rsidRPr="00C14318" w:rsidRDefault="00F71624" w:rsidP="001B463B">
      <w:pPr>
        <w:ind w:left="116"/>
        <w:rPr>
          <w:i/>
          <w:lang w:val="sk-SK"/>
        </w:rPr>
      </w:pPr>
      <w:r>
        <w:rPr>
          <w:i/>
          <w:lang w:val="sk-SK"/>
        </w:rPr>
        <w:t>Starší ľudia</w:t>
      </w:r>
    </w:p>
    <w:p w14:paraId="02121AF5" w14:textId="7E4E0D26" w:rsidR="005A7D1A" w:rsidRPr="00C14318" w:rsidRDefault="005A7D1A" w:rsidP="001B463B">
      <w:pPr>
        <w:pStyle w:val="Zkladntext"/>
        <w:ind w:left="116" w:right="154"/>
        <w:rPr>
          <w:lang w:val="sk-SK"/>
        </w:rPr>
      </w:pPr>
      <w:r w:rsidRPr="00C14318">
        <w:rPr>
          <w:lang w:val="sk-SK"/>
        </w:rPr>
        <w:t xml:space="preserve">Z celkového počtu </w:t>
      </w:r>
      <w:r w:rsidR="002D3BAC">
        <w:rPr>
          <w:lang w:val="sk-SK"/>
        </w:rPr>
        <w:t>osôb</w:t>
      </w:r>
      <w:r w:rsidR="002D3BAC" w:rsidRPr="00C14318">
        <w:rPr>
          <w:lang w:val="sk-SK"/>
        </w:rPr>
        <w:t xml:space="preserve"> </w:t>
      </w:r>
      <w:r w:rsidRPr="00C14318">
        <w:rPr>
          <w:lang w:val="sk-SK"/>
        </w:rPr>
        <w:t xml:space="preserve">v klinických štúdiách s dronedarónom bolo 73 % vo veku 65 rokov a </w:t>
      </w:r>
      <w:r w:rsidR="002D3BAC">
        <w:rPr>
          <w:lang w:val="sk-SK"/>
        </w:rPr>
        <w:t>starších</w:t>
      </w:r>
      <w:r w:rsidR="002D3BAC" w:rsidRPr="00C14318">
        <w:rPr>
          <w:lang w:val="sk-SK"/>
        </w:rPr>
        <w:t xml:space="preserve"> </w:t>
      </w:r>
      <w:r w:rsidRPr="00C14318">
        <w:rPr>
          <w:lang w:val="sk-SK"/>
        </w:rPr>
        <w:t xml:space="preserve">a 34 % bolo vo veku 75 rokov a </w:t>
      </w:r>
      <w:r w:rsidR="002D3BAC">
        <w:rPr>
          <w:lang w:val="sk-SK"/>
        </w:rPr>
        <w:t>starších</w:t>
      </w:r>
      <w:r w:rsidRPr="00C14318">
        <w:rPr>
          <w:lang w:val="sk-SK"/>
        </w:rPr>
        <w:t xml:space="preserve">. U pacientov vo veku 65 rokov a </w:t>
      </w:r>
      <w:r w:rsidR="002D3BAC">
        <w:rPr>
          <w:lang w:val="sk-SK"/>
        </w:rPr>
        <w:t>starších</w:t>
      </w:r>
      <w:r w:rsidRPr="00C14318">
        <w:rPr>
          <w:lang w:val="sk-SK"/>
        </w:rPr>
        <w:t xml:space="preserve"> bola expozícia dronedarónu v porovnaní s pacientmi vo veku do 65 rokov o 23 % vyššia.</w:t>
      </w:r>
    </w:p>
    <w:p w14:paraId="0BA0DCA3" w14:textId="77777777" w:rsidR="005A7D1A" w:rsidRPr="00C14318" w:rsidRDefault="005A7D1A" w:rsidP="001B463B">
      <w:pPr>
        <w:pStyle w:val="Zkladntext"/>
        <w:rPr>
          <w:lang w:val="sk-SK"/>
        </w:rPr>
      </w:pPr>
    </w:p>
    <w:p w14:paraId="353D0319" w14:textId="77777777" w:rsidR="005A7D1A" w:rsidRPr="00C14318" w:rsidRDefault="00F71624" w:rsidP="001B463B">
      <w:pPr>
        <w:ind w:left="116"/>
        <w:rPr>
          <w:i/>
          <w:lang w:val="sk-SK"/>
        </w:rPr>
      </w:pPr>
      <w:r>
        <w:rPr>
          <w:i/>
          <w:lang w:val="sk-SK"/>
        </w:rPr>
        <w:t>Porucha</w:t>
      </w:r>
      <w:r w:rsidR="005A7D1A" w:rsidRPr="00C14318">
        <w:rPr>
          <w:i/>
          <w:lang w:val="sk-SK"/>
        </w:rPr>
        <w:t xml:space="preserve"> funkcia pečene</w:t>
      </w:r>
    </w:p>
    <w:p w14:paraId="00AC968B" w14:textId="06266F63" w:rsidR="005A7D1A" w:rsidRPr="00C14318" w:rsidRDefault="00F71624" w:rsidP="001B463B">
      <w:pPr>
        <w:pStyle w:val="Zkladntext"/>
        <w:spacing w:before="1"/>
        <w:ind w:left="135" w:right="105"/>
        <w:rPr>
          <w:lang w:val="sk-SK"/>
        </w:rPr>
      </w:pPr>
      <w:r>
        <w:rPr>
          <w:lang w:val="sk-SK"/>
        </w:rPr>
        <w:t>U pacientov so stredne závažnou poruchou funkcie</w:t>
      </w:r>
      <w:r w:rsidR="005A7D1A" w:rsidRPr="00C14318">
        <w:rPr>
          <w:lang w:val="sk-SK"/>
        </w:rPr>
        <w:t xml:space="preserve"> pečene je expozícia voľné</w:t>
      </w:r>
      <w:r w:rsidR="002D3BAC">
        <w:rPr>
          <w:lang w:val="sk-SK"/>
        </w:rPr>
        <w:t>mu</w:t>
      </w:r>
      <w:r w:rsidR="005A7D1A" w:rsidRPr="00C14318">
        <w:rPr>
          <w:lang w:val="sk-SK"/>
        </w:rPr>
        <w:t xml:space="preserve"> dronedarónu zvýšená  2-násob</w:t>
      </w:r>
      <w:r w:rsidR="002D3BAC">
        <w:rPr>
          <w:lang w:val="sk-SK"/>
        </w:rPr>
        <w:t>ne</w:t>
      </w:r>
      <w:r w:rsidR="005A7D1A" w:rsidRPr="00C14318">
        <w:rPr>
          <w:lang w:val="sk-SK"/>
        </w:rPr>
        <w:t xml:space="preserve">. </w:t>
      </w:r>
      <w:r w:rsidR="002D3BAC">
        <w:rPr>
          <w:lang w:val="sk-SK"/>
        </w:rPr>
        <w:t>Pri</w:t>
      </w:r>
      <w:r w:rsidR="005A7D1A" w:rsidRPr="00C14318">
        <w:rPr>
          <w:lang w:val="sk-SK"/>
        </w:rPr>
        <w:t xml:space="preserve"> aktívn</w:t>
      </w:r>
      <w:r w:rsidR="002D3BAC">
        <w:rPr>
          <w:lang w:val="sk-SK"/>
        </w:rPr>
        <w:t>om</w:t>
      </w:r>
      <w:r w:rsidR="005A7D1A" w:rsidRPr="00C14318">
        <w:rPr>
          <w:lang w:val="sk-SK"/>
        </w:rPr>
        <w:t xml:space="preserve"> metabolit</w:t>
      </w:r>
      <w:r w:rsidR="002D3BAC">
        <w:rPr>
          <w:lang w:val="sk-SK"/>
        </w:rPr>
        <w:t>e</w:t>
      </w:r>
      <w:r w:rsidR="005A7D1A" w:rsidRPr="00C14318">
        <w:rPr>
          <w:lang w:val="sk-SK"/>
        </w:rPr>
        <w:t xml:space="preserve"> je znížená o 47 % (pozri časť 4.2).</w:t>
      </w:r>
    </w:p>
    <w:p w14:paraId="78180632" w14:textId="77777777" w:rsidR="005A7D1A" w:rsidRPr="00C14318" w:rsidRDefault="00F71624" w:rsidP="001B463B">
      <w:pPr>
        <w:pStyle w:val="Zkladntext"/>
        <w:spacing w:before="1"/>
        <w:ind w:left="135"/>
        <w:rPr>
          <w:lang w:val="sk-SK"/>
        </w:rPr>
      </w:pPr>
      <w:r>
        <w:rPr>
          <w:lang w:val="sk-SK"/>
        </w:rPr>
        <w:t xml:space="preserve">Účinok závažnej poruchy </w:t>
      </w:r>
      <w:r w:rsidR="005A7D1A" w:rsidRPr="00C14318">
        <w:rPr>
          <w:lang w:val="sk-SK"/>
        </w:rPr>
        <w:t>funkcie pečene na farmakokinetiku sa nevyhodnocoval (pozri časť 4.3).</w:t>
      </w:r>
    </w:p>
    <w:p w14:paraId="4CB292BE" w14:textId="77777777" w:rsidR="005A7D1A" w:rsidRPr="00C14318" w:rsidRDefault="005A7D1A" w:rsidP="001B463B">
      <w:pPr>
        <w:pStyle w:val="Zkladntext"/>
        <w:spacing w:before="9"/>
        <w:rPr>
          <w:lang w:val="sk-SK"/>
        </w:rPr>
      </w:pPr>
    </w:p>
    <w:p w14:paraId="79B45BA9" w14:textId="77777777" w:rsidR="005A7D1A" w:rsidRPr="00C14318" w:rsidRDefault="00F71624" w:rsidP="001B463B">
      <w:pPr>
        <w:ind w:left="116"/>
        <w:rPr>
          <w:i/>
          <w:lang w:val="sk-SK"/>
        </w:rPr>
      </w:pPr>
      <w:r>
        <w:rPr>
          <w:i/>
          <w:lang w:val="sk-SK"/>
        </w:rPr>
        <w:t>Porucha</w:t>
      </w:r>
      <w:r w:rsidR="005A7D1A" w:rsidRPr="00C14318">
        <w:rPr>
          <w:i/>
          <w:lang w:val="sk-SK"/>
        </w:rPr>
        <w:t xml:space="preserve"> funkcia obličiek</w:t>
      </w:r>
    </w:p>
    <w:p w14:paraId="172D5E07" w14:textId="1CB88425" w:rsidR="005A7D1A" w:rsidRPr="00C14318" w:rsidRDefault="002D3BAC" w:rsidP="001B463B">
      <w:pPr>
        <w:pStyle w:val="Zkladntext"/>
        <w:spacing w:before="1"/>
        <w:ind w:left="135" w:right="116"/>
        <w:rPr>
          <w:lang w:val="sk-SK"/>
        </w:rPr>
      </w:pPr>
      <w:r>
        <w:rPr>
          <w:lang w:val="sk-SK"/>
        </w:rPr>
        <w:t xml:space="preserve">Vplyv </w:t>
      </w:r>
      <w:r w:rsidR="00F71624">
        <w:rPr>
          <w:lang w:val="sk-SK"/>
        </w:rPr>
        <w:t>poruchy</w:t>
      </w:r>
      <w:r w:rsidR="005A7D1A" w:rsidRPr="00C14318">
        <w:rPr>
          <w:lang w:val="sk-SK"/>
        </w:rPr>
        <w:t xml:space="preserve"> funkcie obličiek na farmakokinetiku dronedarónu sa v špecifickej štúdii neskúmal. Neočakáva sa, že by </w:t>
      </w:r>
      <w:r>
        <w:rPr>
          <w:lang w:val="sk-SK"/>
        </w:rPr>
        <w:t>porucha</w:t>
      </w:r>
      <w:r w:rsidRPr="00C14318">
        <w:rPr>
          <w:lang w:val="sk-SK"/>
        </w:rPr>
        <w:t xml:space="preserve"> </w:t>
      </w:r>
      <w:r w:rsidR="005A7D1A" w:rsidRPr="00C14318">
        <w:rPr>
          <w:lang w:val="sk-SK"/>
        </w:rPr>
        <w:t>funkci</w:t>
      </w:r>
      <w:r>
        <w:rPr>
          <w:lang w:val="sk-SK"/>
        </w:rPr>
        <w:t>e</w:t>
      </w:r>
      <w:r w:rsidR="005A7D1A" w:rsidRPr="00C14318">
        <w:rPr>
          <w:lang w:val="sk-SK"/>
        </w:rPr>
        <w:t xml:space="preserve"> obličiek menila farmakokinetiku dronedarónu, pretože močom sa dronedarón v nezmenenej forme nevylučuje a vo forme metabolitov sa vylúčilo močom iba približne 6 % dávky (pozri časť</w:t>
      </w:r>
      <w:r w:rsidR="005A7D1A" w:rsidRPr="00C14318">
        <w:rPr>
          <w:spacing w:val="-7"/>
          <w:lang w:val="sk-SK"/>
        </w:rPr>
        <w:t xml:space="preserve"> </w:t>
      </w:r>
      <w:r w:rsidR="005A7D1A" w:rsidRPr="00C14318">
        <w:rPr>
          <w:lang w:val="sk-SK"/>
        </w:rPr>
        <w:t>4.2).</w:t>
      </w:r>
    </w:p>
    <w:p w14:paraId="427D014B" w14:textId="77777777" w:rsidR="005A7D1A" w:rsidRPr="00C14318" w:rsidRDefault="005A7D1A" w:rsidP="001B463B">
      <w:pPr>
        <w:pStyle w:val="Zkladntext"/>
        <w:spacing w:before="9"/>
        <w:rPr>
          <w:lang w:val="sk-SK"/>
        </w:rPr>
      </w:pPr>
    </w:p>
    <w:p w14:paraId="50A7706A" w14:textId="77777777" w:rsidR="005A7D1A" w:rsidRPr="00C14318" w:rsidRDefault="005A7D1A" w:rsidP="001B463B">
      <w:pPr>
        <w:pStyle w:val="Nadpis1"/>
        <w:numPr>
          <w:ilvl w:val="1"/>
          <w:numId w:val="3"/>
        </w:numPr>
        <w:tabs>
          <w:tab w:val="left" w:pos="687"/>
          <w:tab w:val="left" w:pos="688"/>
        </w:tabs>
        <w:spacing w:before="1"/>
        <w:ind w:left="687" w:hanging="571"/>
        <w:jc w:val="left"/>
        <w:rPr>
          <w:lang w:val="sk-SK"/>
        </w:rPr>
      </w:pPr>
      <w:r w:rsidRPr="00C14318">
        <w:rPr>
          <w:lang w:val="sk-SK"/>
        </w:rPr>
        <w:t>Predklinické údaje o</w:t>
      </w:r>
      <w:r w:rsidRPr="00C14318">
        <w:rPr>
          <w:spacing w:val="-6"/>
          <w:lang w:val="sk-SK"/>
        </w:rPr>
        <w:t xml:space="preserve"> </w:t>
      </w:r>
      <w:r w:rsidRPr="00C14318">
        <w:rPr>
          <w:lang w:val="sk-SK"/>
        </w:rPr>
        <w:t>bezpečnosti</w:t>
      </w:r>
    </w:p>
    <w:p w14:paraId="42906800" w14:textId="77777777" w:rsidR="005A7D1A" w:rsidRPr="00C14318" w:rsidRDefault="005A7D1A" w:rsidP="001B463B">
      <w:pPr>
        <w:pStyle w:val="Zkladntext"/>
        <w:spacing w:before="10"/>
        <w:rPr>
          <w:b/>
          <w:lang w:val="sk-SK"/>
        </w:rPr>
      </w:pPr>
    </w:p>
    <w:p w14:paraId="38F2AB81" w14:textId="77777777" w:rsidR="005A7D1A" w:rsidRPr="00C14318" w:rsidRDefault="005A7D1A" w:rsidP="001B463B">
      <w:pPr>
        <w:pStyle w:val="Zkladntext"/>
        <w:ind w:left="116" w:right="185"/>
        <w:rPr>
          <w:lang w:val="sk-SK"/>
        </w:rPr>
      </w:pPr>
      <w:r w:rsidRPr="00C14318">
        <w:rPr>
          <w:lang w:val="sk-SK"/>
        </w:rPr>
        <w:t xml:space="preserve">Na základe výsledkov mikronukleárneho testu na myšiach </w:t>
      </w:r>
      <w:r w:rsidRPr="00C14318">
        <w:rPr>
          <w:i/>
          <w:lang w:val="sk-SK"/>
        </w:rPr>
        <w:t xml:space="preserve">in vivo </w:t>
      </w:r>
      <w:r w:rsidRPr="00C14318">
        <w:rPr>
          <w:lang w:val="sk-SK"/>
        </w:rPr>
        <w:t xml:space="preserve">a štyroch testov </w:t>
      </w:r>
      <w:r w:rsidRPr="00C14318">
        <w:rPr>
          <w:i/>
          <w:lang w:val="sk-SK"/>
        </w:rPr>
        <w:t xml:space="preserve">in vitro </w:t>
      </w:r>
      <w:r w:rsidRPr="00C14318">
        <w:rPr>
          <w:lang w:val="sk-SK"/>
        </w:rPr>
        <w:t>dronedarón nemá žiadne genotoxické účinky.</w:t>
      </w:r>
    </w:p>
    <w:p w14:paraId="50AA5618" w14:textId="6DB233D0" w:rsidR="005A7D1A" w:rsidRDefault="005A7D1A" w:rsidP="001B463B">
      <w:pPr>
        <w:pStyle w:val="Zkladntext"/>
        <w:ind w:left="135" w:right="808"/>
        <w:rPr>
          <w:lang w:val="sk-SK"/>
        </w:rPr>
      </w:pPr>
      <w:r w:rsidRPr="00C14318">
        <w:rPr>
          <w:lang w:val="sk-SK"/>
        </w:rPr>
        <w:t xml:space="preserve">V dvojročných štúdiách karcinogenity </w:t>
      </w:r>
      <w:r w:rsidR="00132AB6">
        <w:rPr>
          <w:lang w:val="sk-SK"/>
        </w:rPr>
        <w:t xml:space="preserve">po perorálnom použití </w:t>
      </w:r>
      <w:r w:rsidRPr="00C14318">
        <w:rPr>
          <w:lang w:val="sk-SK"/>
        </w:rPr>
        <w:t>najvyššia dávka dronedarónu podávaného 24 mesiacov bola 70 mg/kg/deň u potkanov a 300 mg/kg/deň u myší.</w:t>
      </w:r>
    </w:p>
    <w:p w14:paraId="31B5B594" w14:textId="77777777" w:rsidR="001B463B" w:rsidRPr="00C14318" w:rsidRDefault="001B463B" w:rsidP="001B463B">
      <w:pPr>
        <w:pStyle w:val="Zkladntext"/>
        <w:ind w:left="135" w:right="808"/>
        <w:rPr>
          <w:lang w:val="sk-SK"/>
        </w:rPr>
      </w:pPr>
    </w:p>
    <w:p w14:paraId="2303C6F5" w14:textId="687AB17D" w:rsidR="005A7D1A" w:rsidRPr="00C14318" w:rsidRDefault="005A7D1A" w:rsidP="001B463B">
      <w:pPr>
        <w:pStyle w:val="Zkladntext"/>
        <w:ind w:left="116" w:right="258"/>
        <w:rPr>
          <w:lang w:val="sk-SK"/>
        </w:rPr>
      </w:pPr>
      <w:r w:rsidRPr="00C14318">
        <w:rPr>
          <w:lang w:val="sk-SK"/>
        </w:rPr>
        <w:t>Pozoroval sa zvýšený výskyt tumorov prsnej žľazy u samíc myší, histiocytové sarkómy u myší a hemangiómy v mezenterických lymfatických uzlinách u potkanov, všetko len pri najvyššej skúmanej dávke (zodpovedá expozícii o</w:t>
      </w:r>
      <w:r w:rsidR="00132AB6">
        <w:rPr>
          <w:lang w:val="sk-SK"/>
        </w:rPr>
        <w:t> </w:t>
      </w:r>
      <w:r w:rsidRPr="00C14318">
        <w:rPr>
          <w:lang w:val="sk-SK"/>
        </w:rPr>
        <w:t>5</w:t>
      </w:r>
      <w:r w:rsidR="00132AB6">
        <w:rPr>
          <w:lang w:val="sk-SK"/>
        </w:rPr>
        <w:t>-</w:t>
      </w:r>
      <w:r w:rsidRPr="00C14318">
        <w:rPr>
          <w:lang w:val="sk-SK"/>
        </w:rPr>
        <w:t xml:space="preserve"> až 10-krát vyššej ako je expozícia terapeutickej dávke u ľudí).</w:t>
      </w:r>
    </w:p>
    <w:p w14:paraId="62F476D3" w14:textId="77777777" w:rsidR="005A7D1A" w:rsidRPr="00C14318" w:rsidRDefault="005A7D1A" w:rsidP="001B463B">
      <w:pPr>
        <w:pStyle w:val="Zkladntext"/>
        <w:ind w:left="116" w:right="259"/>
        <w:rPr>
          <w:lang w:val="sk-SK"/>
        </w:rPr>
      </w:pPr>
      <w:r w:rsidRPr="00C14318">
        <w:rPr>
          <w:lang w:val="sk-SK"/>
        </w:rPr>
        <w:t>Hemangiómy nie sú prekanceróznymi zmenami a netransformujú sa na malígne hemangiokarcinómy ani u zvierat ani u človeka. Žiadne z uvedených pozorovaní sa nepovažuje za relevantné pre ľudí.</w:t>
      </w:r>
    </w:p>
    <w:p w14:paraId="577F63FA" w14:textId="77777777" w:rsidR="005A7D1A" w:rsidRPr="00C14318" w:rsidRDefault="005A7D1A" w:rsidP="001B463B">
      <w:pPr>
        <w:pStyle w:val="Zkladntext"/>
        <w:spacing w:before="1"/>
        <w:rPr>
          <w:lang w:val="sk-SK"/>
        </w:rPr>
      </w:pPr>
    </w:p>
    <w:p w14:paraId="4D2B5A2B" w14:textId="77777777" w:rsidR="005A7D1A" w:rsidRPr="00C14318" w:rsidRDefault="005A7D1A" w:rsidP="001B463B">
      <w:pPr>
        <w:pStyle w:val="Zkladntext"/>
        <w:ind w:left="116" w:right="283"/>
        <w:rPr>
          <w:lang w:val="sk-SK"/>
        </w:rPr>
      </w:pPr>
      <w:r w:rsidRPr="00C14318">
        <w:rPr>
          <w:lang w:val="sk-SK"/>
        </w:rPr>
        <w:t>V štúdiách chronickej toxicity sa pozorovala mierna a reverzibilná fosfolipidóza (akumulácia penových makrofágov) v mezenterických lymfatických uzlinách hlavne u potkanov. Tento účinok sa považuje za druhovo špecifický a pre ľudí nerelevantný.</w:t>
      </w:r>
    </w:p>
    <w:p w14:paraId="132EF020" w14:textId="77777777" w:rsidR="005A7D1A" w:rsidRPr="00C14318" w:rsidRDefault="005A7D1A" w:rsidP="001B463B">
      <w:pPr>
        <w:pStyle w:val="Zkladntext"/>
        <w:rPr>
          <w:lang w:val="sk-SK"/>
        </w:rPr>
      </w:pPr>
    </w:p>
    <w:p w14:paraId="0ABEC090" w14:textId="45F7FD39" w:rsidR="005A7D1A" w:rsidRPr="00C14318" w:rsidRDefault="005A7D1A" w:rsidP="001B463B">
      <w:pPr>
        <w:pStyle w:val="Zkladntext"/>
        <w:ind w:left="116" w:right="222"/>
        <w:rPr>
          <w:lang w:val="sk-SK"/>
        </w:rPr>
      </w:pPr>
      <w:r w:rsidRPr="00C14318">
        <w:rPr>
          <w:lang w:val="sk-SK"/>
        </w:rPr>
        <w:t>Dronedarón vo vysokých dávkach má u potkanov výrazné účinky na embryo-fetálny výv</w:t>
      </w:r>
      <w:r w:rsidR="00132AB6">
        <w:rPr>
          <w:lang w:val="sk-SK"/>
        </w:rPr>
        <w:t>in</w:t>
      </w:r>
      <w:r w:rsidRPr="00C14318">
        <w:rPr>
          <w:lang w:val="sk-SK"/>
        </w:rPr>
        <w:t xml:space="preserve"> ako napríklad zvýšené postimplantačné straty, zníženie hmotnosti plodu a placenty a externé, viscerálne a kostrové malformácie.</w:t>
      </w:r>
    </w:p>
    <w:p w14:paraId="52EE0BFC" w14:textId="77777777" w:rsidR="005A7D1A" w:rsidRPr="00C14318" w:rsidRDefault="005A7D1A" w:rsidP="001B463B">
      <w:pPr>
        <w:pStyle w:val="Zkladntext"/>
        <w:rPr>
          <w:lang w:val="sk-SK"/>
        </w:rPr>
      </w:pPr>
    </w:p>
    <w:p w14:paraId="114E9AD1" w14:textId="77777777" w:rsidR="005A7D1A" w:rsidRPr="00C14318" w:rsidRDefault="005A7D1A" w:rsidP="001B463B">
      <w:pPr>
        <w:pStyle w:val="Zkladntext"/>
        <w:spacing w:before="3"/>
        <w:rPr>
          <w:lang w:val="sk-SK"/>
        </w:rPr>
      </w:pPr>
    </w:p>
    <w:p w14:paraId="0F95F65B" w14:textId="77777777" w:rsidR="005A7D1A" w:rsidRPr="00C14318" w:rsidRDefault="005A7D1A" w:rsidP="001B463B">
      <w:pPr>
        <w:pStyle w:val="Nadpis1"/>
        <w:numPr>
          <w:ilvl w:val="0"/>
          <w:numId w:val="3"/>
        </w:numPr>
        <w:tabs>
          <w:tab w:val="left" w:pos="682"/>
          <w:tab w:val="left" w:pos="683"/>
        </w:tabs>
        <w:ind w:hanging="566"/>
        <w:jc w:val="left"/>
        <w:rPr>
          <w:lang w:val="sk-SK"/>
        </w:rPr>
      </w:pPr>
      <w:r w:rsidRPr="00C14318">
        <w:rPr>
          <w:lang w:val="sk-SK"/>
        </w:rPr>
        <w:t>FARMACEUTICKÉ</w:t>
      </w:r>
      <w:r w:rsidRPr="00C14318">
        <w:rPr>
          <w:spacing w:val="-5"/>
          <w:lang w:val="sk-SK"/>
        </w:rPr>
        <w:t xml:space="preserve"> </w:t>
      </w:r>
      <w:r w:rsidRPr="00C14318">
        <w:rPr>
          <w:lang w:val="sk-SK"/>
        </w:rPr>
        <w:t>INFORMÁCIE</w:t>
      </w:r>
    </w:p>
    <w:p w14:paraId="0718BDE7" w14:textId="77777777" w:rsidR="005A7D1A" w:rsidRPr="00C14318" w:rsidRDefault="005A7D1A" w:rsidP="001B463B">
      <w:pPr>
        <w:pStyle w:val="Zkladntext"/>
        <w:spacing w:before="11"/>
        <w:rPr>
          <w:b/>
          <w:lang w:val="sk-SK"/>
        </w:rPr>
      </w:pPr>
    </w:p>
    <w:p w14:paraId="5B3A0D46" w14:textId="77777777" w:rsidR="005A7D1A" w:rsidRPr="00C14318" w:rsidRDefault="005A7D1A" w:rsidP="001B463B">
      <w:pPr>
        <w:pStyle w:val="Odsekzoznamu"/>
        <w:numPr>
          <w:ilvl w:val="1"/>
          <w:numId w:val="3"/>
        </w:numPr>
        <w:tabs>
          <w:tab w:val="left" w:pos="682"/>
          <w:tab w:val="left" w:pos="683"/>
        </w:tabs>
        <w:ind w:hanging="566"/>
        <w:jc w:val="left"/>
        <w:rPr>
          <w:b/>
          <w:lang w:val="sk-SK"/>
        </w:rPr>
      </w:pPr>
      <w:r w:rsidRPr="00C14318">
        <w:rPr>
          <w:b/>
          <w:lang w:val="sk-SK"/>
        </w:rPr>
        <w:t>Zoznam pomocných</w:t>
      </w:r>
      <w:r w:rsidRPr="00C14318">
        <w:rPr>
          <w:b/>
          <w:spacing w:val="-2"/>
          <w:lang w:val="sk-SK"/>
        </w:rPr>
        <w:t xml:space="preserve"> </w:t>
      </w:r>
      <w:r w:rsidRPr="00C14318">
        <w:rPr>
          <w:b/>
          <w:lang w:val="sk-SK"/>
        </w:rPr>
        <w:t>látok</w:t>
      </w:r>
    </w:p>
    <w:p w14:paraId="5D1C25C6" w14:textId="77777777" w:rsidR="005A7D1A" w:rsidRPr="00C14318" w:rsidRDefault="005A7D1A" w:rsidP="001B463B">
      <w:pPr>
        <w:pStyle w:val="Zkladntext"/>
        <w:spacing w:before="6"/>
        <w:rPr>
          <w:b/>
          <w:lang w:val="sk-SK"/>
        </w:rPr>
      </w:pPr>
    </w:p>
    <w:p w14:paraId="1BE1F3A0" w14:textId="77777777" w:rsidR="00FC4522" w:rsidRDefault="005A7D1A" w:rsidP="001B463B">
      <w:pPr>
        <w:pStyle w:val="Zkladntext"/>
        <w:ind w:left="116" w:right="283"/>
        <w:rPr>
          <w:lang w:val="sk-SK"/>
        </w:rPr>
      </w:pPr>
      <w:r w:rsidRPr="00CD1A6E">
        <w:rPr>
          <w:lang w:val="sk-SK"/>
        </w:rPr>
        <w:t>Jadro tablety</w:t>
      </w:r>
      <w:r w:rsidRPr="00FC4522">
        <w:rPr>
          <w:lang w:val="sk-SK"/>
        </w:rPr>
        <w:t xml:space="preserve"> </w:t>
      </w:r>
    </w:p>
    <w:p w14:paraId="464BFAAB" w14:textId="77777777" w:rsidR="00FC4522" w:rsidRDefault="005A7D1A" w:rsidP="001B463B">
      <w:pPr>
        <w:pStyle w:val="Zkladntext"/>
        <w:ind w:left="116" w:right="283"/>
        <w:rPr>
          <w:lang w:val="sk-SK"/>
        </w:rPr>
      </w:pPr>
      <w:r w:rsidRPr="00C14318">
        <w:rPr>
          <w:lang w:val="sk-SK"/>
        </w:rPr>
        <w:t>hyprome</w:t>
      </w:r>
      <w:r w:rsidR="000E69F2">
        <w:rPr>
          <w:lang w:val="sk-SK"/>
        </w:rPr>
        <w:t>lóza</w:t>
      </w:r>
      <w:r w:rsidR="00CD1A6E">
        <w:rPr>
          <w:lang w:val="sk-SK"/>
        </w:rPr>
        <w:t xml:space="preserve">, </w:t>
      </w:r>
    </w:p>
    <w:p w14:paraId="6BDC5F24" w14:textId="55BA545D" w:rsidR="00CD1A6E" w:rsidRDefault="00CD1A6E" w:rsidP="001B463B">
      <w:pPr>
        <w:pStyle w:val="Zkladntext"/>
        <w:ind w:left="116" w:right="283"/>
        <w:rPr>
          <w:lang w:val="sk-SK"/>
        </w:rPr>
      </w:pPr>
      <w:r>
        <w:rPr>
          <w:lang w:val="sk-SK"/>
        </w:rPr>
        <w:lastRenderedPageBreak/>
        <w:t>kukuričný škrob, predž</w:t>
      </w:r>
      <w:r w:rsidR="00D9571D">
        <w:rPr>
          <w:lang w:val="sk-SK"/>
        </w:rPr>
        <w:t>e</w:t>
      </w:r>
      <w:r>
        <w:rPr>
          <w:lang w:val="sk-SK"/>
        </w:rPr>
        <w:t>latinovaný</w:t>
      </w:r>
      <w:r w:rsidR="00132AB6">
        <w:rPr>
          <w:lang w:val="sk-SK"/>
        </w:rPr>
        <w:t>,</w:t>
      </w:r>
    </w:p>
    <w:p w14:paraId="003ACCF0" w14:textId="77777777" w:rsidR="00FC4522" w:rsidRDefault="000E69F2" w:rsidP="001B463B">
      <w:pPr>
        <w:pStyle w:val="Zkladntext"/>
        <w:ind w:left="116" w:right="283"/>
        <w:rPr>
          <w:lang w:val="sk-SK"/>
        </w:rPr>
      </w:pPr>
      <w:r>
        <w:rPr>
          <w:lang w:val="sk-SK"/>
        </w:rPr>
        <w:t>krospovidón</w:t>
      </w:r>
      <w:r w:rsidR="005A7D1A" w:rsidRPr="00C14318">
        <w:rPr>
          <w:lang w:val="sk-SK"/>
        </w:rPr>
        <w:t xml:space="preserve">, </w:t>
      </w:r>
    </w:p>
    <w:p w14:paraId="6AD4B32E" w14:textId="77777777" w:rsidR="00CA170D" w:rsidRDefault="005A7D1A" w:rsidP="001B463B">
      <w:pPr>
        <w:pStyle w:val="Zkladntext"/>
        <w:ind w:left="116" w:right="283"/>
        <w:rPr>
          <w:lang w:val="sk-SK"/>
        </w:rPr>
      </w:pPr>
      <w:r w:rsidRPr="00C14318">
        <w:rPr>
          <w:lang w:val="sk-SK"/>
        </w:rPr>
        <w:t>monohydrát laktózy,</w:t>
      </w:r>
    </w:p>
    <w:p w14:paraId="7CEADB0D" w14:textId="77777777" w:rsidR="000E69F2" w:rsidRDefault="000E69F2" w:rsidP="001B463B">
      <w:pPr>
        <w:pStyle w:val="Zkladntext"/>
        <w:ind w:left="116" w:right="283"/>
        <w:rPr>
          <w:lang w:val="sk-SK"/>
        </w:rPr>
      </w:pPr>
      <w:r>
        <w:rPr>
          <w:lang w:val="sk-SK"/>
        </w:rPr>
        <w:t xml:space="preserve">koloidný bezvodý </w:t>
      </w:r>
      <w:r w:rsidR="005A7D1A" w:rsidRPr="00C14318">
        <w:rPr>
          <w:lang w:val="sk-SK"/>
        </w:rPr>
        <w:t xml:space="preserve">oxid </w:t>
      </w:r>
      <w:r>
        <w:rPr>
          <w:lang w:val="sk-SK"/>
        </w:rPr>
        <w:t>kremičitý,</w:t>
      </w:r>
    </w:p>
    <w:p w14:paraId="58E28D2A" w14:textId="684359C3" w:rsidR="005A7D1A" w:rsidRPr="00C14318" w:rsidRDefault="00132AB6" w:rsidP="001B463B">
      <w:pPr>
        <w:pStyle w:val="Zkladntext"/>
        <w:ind w:left="116" w:right="283"/>
        <w:rPr>
          <w:lang w:val="sk-SK"/>
        </w:rPr>
      </w:pPr>
      <w:r>
        <w:rPr>
          <w:lang w:val="sk-SK"/>
        </w:rPr>
        <w:t>stearan horečnatý.</w:t>
      </w:r>
    </w:p>
    <w:p w14:paraId="064E5F73" w14:textId="77777777" w:rsidR="005A7D1A" w:rsidRPr="00C14318" w:rsidRDefault="005A7D1A" w:rsidP="001B463B">
      <w:pPr>
        <w:pStyle w:val="Zkladntext"/>
        <w:rPr>
          <w:lang w:val="sk-SK"/>
        </w:rPr>
      </w:pPr>
    </w:p>
    <w:p w14:paraId="07B0746E" w14:textId="77777777" w:rsidR="000E69F2" w:rsidRDefault="000E69F2" w:rsidP="001B463B">
      <w:pPr>
        <w:ind w:left="116" w:right="6814"/>
        <w:rPr>
          <w:lang w:val="sk-SK"/>
        </w:rPr>
      </w:pPr>
      <w:r>
        <w:rPr>
          <w:lang w:val="sk-SK"/>
        </w:rPr>
        <w:t>Obal tablety</w:t>
      </w:r>
    </w:p>
    <w:p w14:paraId="176F558A" w14:textId="77777777" w:rsidR="005A7D1A" w:rsidRPr="00C14318" w:rsidRDefault="005A7D1A" w:rsidP="001B463B">
      <w:pPr>
        <w:ind w:left="116" w:right="6814"/>
        <w:rPr>
          <w:lang w:val="sk-SK"/>
        </w:rPr>
      </w:pPr>
      <w:r w:rsidRPr="00C14318">
        <w:rPr>
          <w:lang w:val="sk-SK"/>
        </w:rPr>
        <w:t>h</w:t>
      </w:r>
      <w:r w:rsidR="005B5667">
        <w:rPr>
          <w:lang w:val="sk-SK"/>
        </w:rPr>
        <w:t xml:space="preserve">ypromelóza (E464), makrogol </w:t>
      </w:r>
      <w:r w:rsidR="000E69F2">
        <w:rPr>
          <w:lang w:val="sk-SK"/>
        </w:rPr>
        <w:t>(E</w:t>
      </w:r>
      <w:r w:rsidR="005B5667">
        <w:rPr>
          <w:lang w:val="sk-SK"/>
        </w:rPr>
        <w:t>1521</w:t>
      </w:r>
      <w:r w:rsidR="000E69F2">
        <w:rPr>
          <w:lang w:val="sk-SK"/>
        </w:rPr>
        <w:t>)</w:t>
      </w:r>
      <w:r w:rsidRPr="00C14318">
        <w:rPr>
          <w:lang w:val="sk-SK"/>
        </w:rPr>
        <w:t>,</w:t>
      </w:r>
    </w:p>
    <w:p w14:paraId="25313DBD" w14:textId="77777777" w:rsidR="005A7D1A" w:rsidRPr="00C14318" w:rsidRDefault="005B5667" w:rsidP="001B463B">
      <w:pPr>
        <w:pStyle w:val="Zkladntext"/>
        <w:ind w:left="116" w:right="6588"/>
        <w:rPr>
          <w:lang w:val="sk-SK"/>
        </w:rPr>
      </w:pPr>
      <w:r>
        <w:rPr>
          <w:lang w:val="sk-SK"/>
        </w:rPr>
        <w:t>oxid titaničitý (E171).</w:t>
      </w:r>
    </w:p>
    <w:p w14:paraId="6D1A54BF" w14:textId="77777777" w:rsidR="005A7D1A" w:rsidRPr="00C14318" w:rsidRDefault="005A7D1A" w:rsidP="001B463B">
      <w:pPr>
        <w:pStyle w:val="Zkladntext"/>
        <w:spacing w:before="6"/>
        <w:rPr>
          <w:lang w:val="sk-SK"/>
        </w:rPr>
      </w:pPr>
    </w:p>
    <w:p w14:paraId="26322278"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Inkompatibility</w:t>
      </w:r>
    </w:p>
    <w:p w14:paraId="6C610B77" w14:textId="77777777" w:rsidR="005A7D1A" w:rsidRPr="00C14318" w:rsidRDefault="005A7D1A" w:rsidP="001B463B">
      <w:pPr>
        <w:pStyle w:val="Zkladntext"/>
        <w:spacing w:before="6"/>
        <w:rPr>
          <w:b/>
          <w:lang w:val="sk-SK"/>
        </w:rPr>
      </w:pPr>
    </w:p>
    <w:p w14:paraId="6201C512" w14:textId="77777777" w:rsidR="005A7D1A" w:rsidRPr="00C14318" w:rsidRDefault="005A7D1A" w:rsidP="001B463B">
      <w:pPr>
        <w:pStyle w:val="Zkladntext"/>
        <w:ind w:left="116"/>
        <w:rPr>
          <w:lang w:val="sk-SK"/>
        </w:rPr>
      </w:pPr>
      <w:r w:rsidRPr="00C14318">
        <w:rPr>
          <w:lang w:val="sk-SK"/>
        </w:rPr>
        <w:t>Neaplikovateľné.</w:t>
      </w:r>
    </w:p>
    <w:p w14:paraId="78F232A8" w14:textId="77777777" w:rsidR="005A7D1A" w:rsidRPr="00C14318" w:rsidRDefault="005A7D1A" w:rsidP="001B463B">
      <w:pPr>
        <w:pStyle w:val="Zkladntext"/>
        <w:spacing w:before="4"/>
        <w:rPr>
          <w:lang w:val="sk-SK"/>
        </w:rPr>
      </w:pPr>
    </w:p>
    <w:p w14:paraId="7E8E3F2E"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Čas</w:t>
      </w:r>
      <w:r w:rsidRPr="00C14318">
        <w:rPr>
          <w:spacing w:val="-5"/>
          <w:lang w:val="sk-SK"/>
        </w:rPr>
        <w:t xml:space="preserve"> </w:t>
      </w:r>
      <w:r w:rsidRPr="00C14318">
        <w:rPr>
          <w:lang w:val="sk-SK"/>
        </w:rPr>
        <w:t>použiteľnosti</w:t>
      </w:r>
    </w:p>
    <w:p w14:paraId="321AB422" w14:textId="77777777" w:rsidR="005A7D1A" w:rsidRPr="00C14318" w:rsidRDefault="005A7D1A" w:rsidP="001B463B">
      <w:pPr>
        <w:pStyle w:val="Zkladntext"/>
        <w:spacing w:before="7"/>
        <w:rPr>
          <w:b/>
          <w:lang w:val="sk-SK"/>
        </w:rPr>
      </w:pPr>
    </w:p>
    <w:p w14:paraId="457D4FE6" w14:textId="77777777" w:rsidR="005A7D1A" w:rsidRPr="00C14318" w:rsidRDefault="001F7CD1" w:rsidP="001B463B">
      <w:pPr>
        <w:pStyle w:val="Zkladntext"/>
        <w:ind w:left="116"/>
        <w:rPr>
          <w:lang w:val="sk-SK"/>
        </w:rPr>
      </w:pPr>
      <w:r>
        <w:rPr>
          <w:lang w:val="sk-SK"/>
        </w:rPr>
        <w:t>3</w:t>
      </w:r>
      <w:r w:rsidR="005B5667">
        <w:rPr>
          <w:lang w:val="sk-SK"/>
        </w:rPr>
        <w:t>0 mesiacov</w:t>
      </w:r>
    </w:p>
    <w:p w14:paraId="736EF255" w14:textId="77777777" w:rsidR="005A7D1A" w:rsidRPr="00C14318" w:rsidRDefault="005A7D1A" w:rsidP="001B463B">
      <w:pPr>
        <w:pStyle w:val="Zkladntext"/>
        <w:spacing w:before="5"/>
        <w:rPr>
          <w:lang w:val="sk-SK"/>
        </w:rPr>
      </w:pPr>
    </w:p>
    <w:p w14:paraId="0253A789"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Špeciálne upozornenia na</w:t>
      </w:r>
      <w:r w:rsidRPr="00C14318">
        <w:rPr>
          <w:spacing w:val="-8"/>
          <w:lang w:val="sk-SK"/>
        </w:rPr>
        <w:t xml:space="preserve"> </w:t>
      </w:r>
      <w:r w:rsidRPr="00C14318">
        <w:rPr>
          <w:lang w:val="sk-SK"/>
        </w:rPr>
        <w:t>uchovávanie</w:t>
      </w:r>
    </w:p>
    <w:p w14:paraId="5E4EE199" w14:textId="77777777" w:rsidR="005A7D1A" w:rsidRPr="00C14318" w:rsidRDefault="005A7D1A" w:rsidP="001B463B">
      <w:pPr>
        <w:pStyle w:val="Zkladntext"/>
        <w:spacing w:before="4"/>
        <w:rPr>
          <w:b/>
          <w:lang w:val="sk-SK"/>
        </w:rPr>
      </w:pPr>
    </w:p>
    <w:p w14:paraId="13319895" w14:textId="77777777" w:rsidR="005A7D1A" w:rsidRPr="00C14318" w:rsidRDefault="005A7D1A" w:rsidP="001B463B">
      <w:pPr>
        <w:pStyle w:val="Zkladntext"/>
        <w:ind w:left="116"/>
        <w:rPr>
          <w:lang w:val="sk-SK"/>
        </w:rPr>
      </w:pPr>
      <w:r w:rsidRPr="00C14318">
        <w:rPr>
          <w:lang w:val="sk-SK"/>
        </w:rPr>
        <w:t>Tento liek nevyžaduje žiadne zvláštne podmienky na uchovávanie.</w:t>
      </w:r>
    </w:p>
    <w:p w14:paraId="70B7491E" w14:textId="77777777" w:rsidR="005A7D1A" w:rsidRPr="00C14318" w:rsidRDefault="005A7D1A" w:rsidP="001B463B">
      <w:pPr>
        <w:pStyle w:val="Zkladntext"/>
        <w:spacing w:before="4"/>
        <w:rPr>
          <w:lang w:val="sk-SK"/>
        </w:rPr>
      </w:pPr>
    </w:p>
    <w:p w14:paraId="427CFE8E"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Druh obalu a obsah</w:t>
      </w:r>
      <w:r w:rsidRPr="00C14318">
        <w:rPr>
          <w:spacing w:val="-5"/>
          <w:lang w:val="sk-SK"/>
        </w:rPr>
        <w:t xml:space="preserve"> </w:t>
      </w:r>
      <w:r w:rsidRPr="00C14318">
        <w:rPr>
          <w:lang w:val="sk-SK"/>
        </w:rPr>
        <w:t>balenia</w:t>
      </w:r>
    </w:p>
    <w:p w14:paraId="503E74C3" w14:textId="77777777" w:rsidR="005A7D1A" w:rsidRPr="00C14318" w:rsidRDefault="005A7D1A" w:rsidP="001B463B">
      <w:pPr>
        <w:pStyle w:val="Zkladntext"/>
        <w:spacing w:before="6"/>
        <w:rPr>
          <w:b/>
          <w:lang w:val="sk-SK"/>
        </w:rPr>
      </w:pPr>
    </w:p>
    <w:p w14:paraId="07123B41" w14:textId="77530D38" w:rsidR="005A7D1A" w:rsidRDefault="00FC4522" w:rsidP="001B463B">
      <w:pPr>
        <w:pStyle w:val="Zkladntext"/>
        <w:ind w:left="116" w:right="646"/>
        <w:rPr>
          <w:lang w:val="sk-SK"/>
        </w:rPr>
      </w:pPr>
      <w:r>
        <w:rPr>
          <w:lang w:val="sk-SK"/>
        </w:rPr>
        <w:t>Nepriehľadné PVC-</w:t>
      </w:r>
      <w:r w:rsidR="00132AB6">
        <w:rPr>
          <w:lang w:val="sk-SK"/>
        </w:rPr>
        <w:t>hliníkové</w:t>
      </w:r>
      <w:r w:rsidR="00132AB6" w:rsidRPr="00C14318">
        <w:rPr>
          <w:lang w:val="sk-SK"/>
        </w:rPr>
        <w:t xml:space="preserve"> </w:t>
      </w:r>
      <w:r>
        <w:rPr>
          <w:lang w:val="sk-SK"/>
        </w:rPr>
        <w:t xml:space="preserve">alebo </w:t>
      </w:r>
      <w:r w:rsidR="006651C3">
        <w:rPr>
          <w:lang w:val="sk-SK"/>
        </w:rPr>
        <w:t xml:space="preserve">nepriehľadné </w:t>
      </w:r>
      <w:r w:rsidR="004037F5">
        <w:rPr>
          <w:lang w:val="sk-SK"/>
        </w:rPr>
        <w:t>PVC/PE/PVDC-</w:t>
      </w:r>
      <w:r w:rsidR="00132AB6">
        <w:rPr>
          <w:lang w:val="sk-SK"/>
        </w:rPr>
        <w:t xml:space="preserve">hliníkové </w:t>
      </w:r>
      <w:r>
        <w:rPr>
          <w:lang w:val="sk-SK"/>
        </w:rPr>
        <w:t>blistre</w:t>
      </w:r>
      <w:r w:rsidR="005A7D1A" w:rsidRPr="00C14318">
        <w:rPr>
          <w:lang w:val="sk-SK"/>
        </w:rPr>
        <w:t>.</w:t>
      </w:r>
    </w:p>
    <w:p w14:paraId="6177DAFE" w14:textId="77777777" w:rsidR="00FC4522" w:rsidRPr="00C14318" w:rsidRDefault="00FC4522" w:rsidP="001B463B">
      <w:pPr>
        <w:pStyle w:val="Zkladntext"/>
        <w:ind w:left="116" w:right="646"/>
        <w:rPr>
          <w:lang w:val="sk-SK"/>
        </w:rPr>
      </w:pPr>
    </w:p>
    <w:p w14:paraId="4E192CD2" w14:textId="726912DC" w:rsidR="005A7D1A" w:rsidRPr="00C14318" w:rsidRDefault="00FC4522" w:rsidP="001B463B">
      <w:pPr>
        <w:pStyle w:val="Zkladntext"/>
        <w:spacing w:before="1"/>
        <w:ind w:left="116" w:right="347"/>
        <w:rPr>
          <w:lang w:val="sk-SK"/>
        </w:rPr>
      </w:pPr>
      <w:r>
        <w:rPr>
          <w:lang w:val="sk-SK"/>
        </w:rPr>
        <w:t>Dronedarón Sandoz 400 mg fil</w:t>
      </w:r>
      <w:r w:rsidR="00993CFB">
        <w:rPr>
          <w:lang w:val="sk-SK"/>
        </w:rPr>
        <w:t xml:space="preserve">mom obalené tablety </w:t>
      </w:r>
      <w:r w:rsidR="00CE33CA">
        <w:rPr>
          <w:lang w:val="sk-SK"/>
        </w:rPr>
        <w:t xml:space="preserve">je dodávaný </w:t>
      </w:r>
      <w:r w:rsidR="00993CFB">
        <w:rPr>
          <w:lang w:val="sk-SK"/>
        </w:rPr>
        <w:t xml:space="preserve">v baleniach po </w:t>
      </w:r>
      <w:r>
        <w:rPr>
          <w:lang w:val="sk-SK"/>
        </w:rPr>
        <w:t>20, 20x1, 50, 50x1, 60, 60x1, 100 a</w:t>
      </w:r>
      <w:r w:rsidR="002E760C">
        <w:rPr>
          <w:lang w:val="sk-SK"/>
        </w:rPr>
        <w:t xml:space="preserve"> </w:t>
      </w:r>
      <w:r>
        <w:rPr>
          <w:lang w:val="sk-SK"/>
        </w:rPr>
        <w:t xml:space="preserve">100x1 filmom obalených tabliet </w:t>
      </w:r>
      <w:r w:rsidR="004121E1">
        <w:rPr>
          <w:lang w:val="sk-SK"/>
        </w:rPr>
        <w:t xml:space="preserve">v blistroch </w:t>
      </w:r>
      <w:r>
        <w:rPr>
          <w:lang w:val="sk-SK"/>
        </w:rPr>
        <w:t>a v</w:t>
      </w:r>
      <w:r w:rsidR="00132AB6">
        <w:rPr>
          <w:lang w:val="sk-SK"/>
        </w:rPr>
        <w:t> </w:t>
      </w:r>
      <w:r>
        <w:rPr>
          <w:lang w:val="sk-SK"/>
        </w:rPr>
        <w:t>perforovaných</w:t>
      </w:r>
      <w:r w:rsidR="00132AB6">
        <w:rPr>
          <w:lang w:val="sk-SK"/>
        </w:rPr>
        <w:t xml:space="preserve"> blistroch s jednotlivými dávkami.</w:t>
      </w:r>
    </w:p>
    <w:p w14:paraId="36D9595E" w14:textId="77777777" w:rsidR="005A7D1A" w:rsidRPr="00C14318" w:rsidRDefault="005A7D1A" w:rsidP="001B463B">
      <w:pPr>
        <w:pStyle w:val="Zkladntext"/>
        <w:rPr>
          <w:lang w:val="sk-SK"/>
        </w:rPr>
      </w:pPr>
    </w:p>
    <w:p w14:paraId="4B464643" w14:textId="77777777" w:rsidR="005A7D1A" w:rsidRPr="00C14318" w:rsidRDefault="005A7D1A" w:rsidP="001B463B">
      <w:pPr>
        <w:pStyle w:val="Zkladntext"/>
        <w:spacing w:before="1"/>
        <w:ind w:left="116"/>
        <w:rPr>
          <w:lang w:val="sk-SK"/>
        </w:rPr>
      </w:pPr>
      <w:r w:rsidRPr="00C14318">
        <w:rPr>
          <w:lang w:val="sk-SK"/>
        </w:rPr>
        <w:t>Na trh nemusia byť uvedené všetky veľkosti balenia.</w:t>
      </w:r>
    </w:p>
    <w:p w14:paraId="62024D62" w14:textId="77777777" w:rsidR="005A7D1A" w:rsidRPr="00C14318" w:rsidRDefault="005A7D1A" w:rsidP="001B463B">
      <w:pPr>
        <w:pStyle w:val="Zkladntext"/>
        <w:spacing w:before="5"/>
        <w:rPr>
          <w:lang w:val="sk-SK"/>
        </w:rPr>
      </w:pPr>
    </w:p>
    <w:p w14:paraId="0D5F88AA" w14:textId="77777777" w:rsidR="005A7D1A" w:rsidRPr="00C14318" w:rsidRDefault="005A7D1A" w:rsidP="001B463B">
      <w:pPr>
        <w:pStyle w:val="Nadpis1"/>
        <w:numPr>
          <w:ilvl w:val="1"/>
          <w:numId w:val="3"/>
        </w:numPr>
        <w:tabs>
          <w:tab w:val="left" w:pos="682"/>
          <w:tab w:val="left" w:pos="683"/>
        </w:tabs>
        <w:ind w:hanging="566"/>
        <w:jc w:val="left"/>
        <w:rPr>
          <w:lang w:val="sk-SK"/>
        </w:rPr>
      </w:pPr>
      <w:r w:rsidRPr="00C14318">
        <w:rPr>
          <w:lang w:val="sk-SK"/>
        </w:rPr>
        <w:t>Špeciálne opatrenia na likvidáciu a iné zaobchádzanie s</w:t>
      </w:r>
      <w:r w:rsidRPr="00C14318">
        <w:rPr>
          <w:spacing w:val="-17"/>
          <w:lang w:val="sk-SK"/>
        </w:rPr>
        <w:t xml:space="preserve"> </w:t>
      </w:r>
      <w:r w:rsidRPr="00C14318">
        <w:rPr>
          <w:lang w:val="sk-SK"/>
        </w:rPr>
        <w:t>liekom</w:t>
      </w:r>
    </w:p>
    <w:p w14:paraId="250A8FFE" w14:textId="77777777" w:rsidR="005A7D1A" w:rsidRPr="00C14318" w:rsidRDefault="005A7D1A" w:rsidP="001B463B">
      <w:pPr>
        <w:pStyle w:val="Zkladntext"/>
        <w:spacing w:before="6"/>
        <w:rPr>
          <w:b/>
          <w:lang w:val="sk-SK"/>
        </w:rPr>
      </w:pPr>
    </w:p>
    <w:p w14:paraId="2142B986" w14:textId="77777777" w:rsidR="005A7D1A" w:rsidRPr="00C14318" w:rsidRDefault="005A7D1A" w:rsidP="001B463B">
      <w:pPr>
        <w:pStyle w:val="Zkladntext"/>
        <w:ind w:left="116" w:right="586"/>
        <w:rPr>
          <w:lang w:val="sk-SK"/>
        </w:rPr>
      </w:pPr>
      <w:r w:rsidRPr="00C14318">
        <w:rPr>
          <w:lang w:val="sk-SK"/>
        </w:rPr>
        <w:t>Všetok nepoužitý liek alebo odpad vzniknutý z lieku sa má zlikvidovať v súlade s národnými požiadavkami.</w:t>
      </w:r>
    </w:p>
    <w:p w14:paraId="17D410A4" w14:textId="77777777" w:rsidR="005A7D1A" w:rsidRPr="00C14318" w:rsidRDefault="005A7D1A" w:rsidP="001B463B">
      <w:pPr>
        <w:pStyle w:val="Zkladntext"/>
        <w:rPr>
          <w:lang w:val="sk-SK"/>
        </w:rPr>
      </w:pPr>
    </w:p>
    <w:p w14:paraId="3D8F1794" w14:textId="77777777" w:rsidR="005A7D1A" w:rsidRPr="00C14318" w:rsidRDefault="005A7D1A" w:rsidP="001B463B">
      <w:pPr>
        <w:pStyle w:val="Zkladntext"/>
        <w:spacing w:before="3"/>
        <w:rPr>
          <w:lang w:val="sk-SK"/>
        </w:rPr>
      </w:pPr>
    </w:p>
    <w:p w14:paraId="358864DA" w14:textId="77777777" w:rsidR="005A7D1A" w:rsidRPr="00C14318" w:rsidRDefault="005A7D1A" w:rsidP="001B463B">
      <w:pPr>
        <w:pStyle w:val="Nadpis1"/>
        <w:numPr>
          <w:ilvl w:val="0"/>
          <w:numId w:val="3"/>
        </w:numPr>
        <w:tabs>
          <w:tab w:val="left" w:pos="682"/>
          <w:tab w:val="left" w:pos="683"/>
        </w:tabs>
        <w:ind w:hanging="566"/>
        <w:jc w:val="left"/>
        <w:rPr>
          <w:lang w:val="sk-SK"/>
        </w:rPr>
      </w:pPr>
      <w:r w:rsidRPr="00C14318">
        <w:rPr>
          <w:lang w:val="sk-SK"/>
        </w:rPr>
        <w:t>DRŽITEĽ ROZHODNUTIA O</w:t>
      </w:r>
      <w:r w:rsidRPr="00C14318">
        <w:rPr>
          <w:spacing w:val="-17"/>
          <w:lang w:val="sk-SK"/>
        </w:rPr>
        <w:t xml:space="preserve"> </w:t>
      </w:r>
      <w:r w:rsidRPr="00C14318">
        <w:rPr>
          <w:lang w:val="sk-SK"/>
        </w:rPr>
        <w:t>REGISTRÁCII</w:t>
      </w:r>
    </w:p>
    <w:p w14:paraId="4C91E21A" w14:textId="77777777" w:rsidR="005A7D1A" w:rsidRPr="00C14318" w:rsidRDefault="005A7D1A" w:rsidP="001B463B">
      <w:pPr>
        <w:pStyle w:val="Zkladntext"/>
        <w:spacing w:before="6"/>
        <w:rPr>
          <w:b/>
          <w:lang w:val="sk-SK"/>
        </w:rPr>
      </w:pPr>
    </w:p>
    <w:p w14:paraId="139BD04C" w14:textId="77777777" w:rsidR="005A7D1A" w:rsidRDefault="009E15DE" w:rsidP="001B463B">
      <w:pPr>
        <w:pStyle w:val="Zkladntext"/>
        <w:ind w:left="142"/>
        <w:rPr>
          <w:lang w:val="sk-SK"/>
        </w:rPr>
      </w:pPr>
      <w:r>
        <w:rPr>
          <w:lang w:val="sk-SK"/>
        </w:rPr>
        <w:t>Sandoz Pharmaceutical</w:t>
      </w:r>
      <w:r w:rsidR="00616FED">
        <w:rPr>
          <w:lang w:val="sk-SK"/>
        </w:rPr>
        <w:t>s</w:t>
      </w:r>
      <w:r>
        <w:rPr>
          <w:lang w:val="sk-SK"/>
        </w:rPr>
        <w:t xml:space="preserve"> d.d.</w:t>
      </w:r>
    </w:p>
    <w:p w14:paraId="5B92A6B6" w14:textId="77777777" w:rsidR="009E15DE" w:rsidRDefault="009E15DE" w:rsidP="001B463B">
      <w:pPr>
        <w:pStyle w:val="Zkladntext"/>
        <w:ind w:left="142"/>
        <w:rPr>
          <w:lang w:val="sk-SK"/>
        </w:rPr>
      </w:pPr>
      <w:r>
        <w:rPr>
          <w:lang w:val="sk-SK"/>
        </w:rPr>
        <w:t>Verovškova 57</w:t>
      </w:r>
    </w:p>
    <w:p w14:paraId="24126950" w14:textId="161F8288" w:rsidR="009E15DE" w:rsidRDefault="00CC3A4D" w:rsidP="001B463B">
      <w:pPr>
        <w:pStyle w:val="Zkladntext"/>
        <w:ind w:left="142"/>
        <w:rPr>
          <w:lang w:val="sk-SK"/>
        </w:rPr>
      </w:pPr>
      <w:r>
        <w:rPr>
          <w:lang w:val="sk-SK"/>
        </w:rPr>
        <w:t>1000 Ľ</w:t>
      </w:r>
      <w:r w:rsidR="009E15DE">
        <w:rPr>
          <w:lang w:val="sk-SK"/>
        </w:rPr>
        <w:t>ubľana</w:t>
      </w:r>
    </w:p>
    <w:p w14:paraId="715EE9B1" w14:textId="77777777" w:rsidR="009E15DE" w:rsidRPr="00C14318" w:rsidRDefault="009E15DE" w:rsidP="001B463B">
      <w:pPr>
        <w:pStyle w:val="Zkladntext"/>
        <w:ind w:left="142"/>
        <w:rPr>
          <w:lang w:val="sk-SK"/>
        </w:rPr>
      </w:pPr>
      <w:r>
        <w:rPr>
          <w:lang w:val="sk-SK"/>
        </w:rPr>
        <w:t>Slovinsko</w:t>
      </w:r>
    </w:p>
    <w:p w14:paraId="61381E04" w14:textId="77777777" w:rsidR="005A7D1A" w:rsidRPr="00C14318" w:rsidRDefault="005A7D1A" w:rsidP="001B463B">
      <w:pPr>
        <w:pStyle w:val="Zkladntext"/>
        <w:spacing w:before="3"/>
        <w:rPr>
          <w:lang w:val="sk-SK"/>
        </w:rPr>
      </w:pPr>
    </w:p>
    <w:p w14:paraId="40E45CE4" w14:textId="44058618" w:rsidR="005A7D1A" w:rsidRPr="00C14318" w:rsidRDefault="005A7D1A" w:rsidP="001B463B">
      <w:pPr>
        <w:pStyle w:val="Nadpis1"/>
        <w:numPr>
          <w:ilvl w:val="0"/>
          <w:numId w:val="3"/>
        </w:numPr>
        <w:tabs>
          <w:tab w:val="left" w:pos="682"/>
          <w:tab w:val="left" w:pos="683"/>
        </w:tabs>
        <w:spacing w:before="1"/>
        <w:ind w:hanging="566"/>
        <w:jc w:val="left"/>
        <w:rPr>
          <w:lang w:val="sk-SK"/>
        </w:rPr>
      </w:pPr>
      <w:r w:rsidRPr="00C14318">
        <w:rPr>
          <w:lang w:val="sk-SK"/>
        </w:rPr>
        <w:t>REGISTRAČNÉ</w:t>
      </w:r>
      <w:r w:rsidRPr="00C14318">
        <w:rPr>
          <w:spacing w:val="-8"/>
          <w:lang w:val="sk-SK"/>
        </w:rPr>
        <w:t xml:space="preserve"> </w:t>
      </w:r>
      <w:r w:rsidRPr="00C14318">
        <w:rPr>
          <w:lang w:val="sk-SK"/>
        </w:rPr>
        <w:t>ČÍSL</w:t>
      </w:r>
      <w:r w:rsidR="006A4678">
        <w:rPr>
          <w:lang w:val="sk-SK"/>
        </w:rPr>
        <w:t>O</w:t>
      </w:r>
    </w:p>
    <w:p w14:paraId="13CC5DB7" w14:textId="77777777" w:rsidR="009E1116" w:rsidRDefault="009E1116" w:rsidP="001B463B">
      <w:pPr>
        <w:pStyle w:val="Zkladntext"/>
        <w:spacing w:before="6"/>
        <w:rPr>
          <w:lang w:val="sk-SK"/>
        </w:rPr>
      </w:pPr>
    </w:p>
    <w:p w14:paraId="2233E284" w14:textId="75354003" w:rsidR="009E1116" w:rsidRDefault="00BC7AAA" w:rsidP="00BC7AAA">
      <w:pPr>
        <w:pStyle w:val="Zkladntext"/>
        <w:spacing w:before="6"/>
        <w:ind w:left="116"/>
        <w:rPr>
          <w:lang w:val="sk-SK"/>
        </w:rPr>
      </w:pPr>
      <w:r w:rsidRPr="00BC7AAA">
        <w:rPr>
          <w:lang w:val="sk-SK"/>
        </w:rPr>
        <w:t>13/0099/19-S</w:t>
      </w:r>
    </w:p>
    <w:p w14:paraId="3F25D012" w14:textId="77777777" w:rsidR="00BC7AAA" w:rsidRPr="00C14318" w:rsidRDefault="00BC7AAA" w:rsidP="001B463B">
      <w:pPr>
        <w:pStyle w:val="Zkladntext"/>
        <w:spacing w:before="6"/>
        <w:rPr>
          <w:lang w:val="sk-SK"/>
        </w:rPr>
      </w:pPr>
    </w:p>
    <w:p w14:paraId="3B859BCC" w14:textId="77777777" w:rsidR="005A7D1A" w:rsidRPr="00C14318" w:rsidRDefault="005A7D1A" w:rsidP="001B463B">
      <w:pPr>
        <w:pStyle w:val="Nadpis1"/>
        <w:numPr>
          <w:ilvl w:val="0"/>
          <w:numId w:val="3"/>
        </w:numPr>
        <w:tabs>
          <w:tab w:val="left" w:pos="682"/>
          <w:tab w:val="left" w:pos="683"/>
        </w:tabs>
        <w:ind w:hanging="566"/>
        <w:jc w:val="left"/>
        <w:rPr>
          <w:lang w:val="sk-SK"/>
        </w:rPr>
      </w:pPr>
      <w:r w:rsidRPr="00C14318">
        <w:rPr>
          <w:lang w:val="sk-SK"/>
        </w:rPr>
        <w:lastRenderedPageBreak/>
        <w:t>DÁTUM PRVEJ REGISTRÁCIE/ PREDĹŽENIA</w:t>
      </w:r>
      <w:r w:rsidRPr="00C14318">
        <w:rPr>
          <w:spacing w:val="-23"/>
          <w:lang w:val="sk-SK"/>
        </w:rPr>
        <w:t xml:space="preserve"> </w:t>
      </w:r>
      <w:r w:rsidRPr="00C14318">
        <w:rPr>
          <w:lang w:val="sk-SK"/>
        </w:rPr>
        <w:t>REGISTRÁCIE</w:t>
      </w:r>
    </w:p>
    <w:p w14:paraId="0FB6C3A5" w14:textId="77777777" w:rsidR="005A7D1A" w:rsidRPr="00C14318" w:rsidRDefault="005A7D1A" w:rsidP="001B463B">
      <w:pPr>
        <w:pStyle w:val="Zkladntext"/>
        <w:spacing w:before="4"/>
        <w:rPr>
          <w:b/>
          <w:lang w:val="sk-SK"/>
        </w:rPr>
      </w:pPr>
    </w:p>
    <w:p w14:paraId="717C3EF2" w14:textId="77777777" w:rsidR="003E03EE" w:rsidRDefault="005A7D1A" w:rsidP="001B463B">
      <w:pPr>
        <w:pStyle w:val="Zkladntext"/>
        <w:ind w:left="116"/>
        <w:rPr>
          <w:lang w:val="sk-SK"/>
        </w:rPr>
      </w:pPr>
      <w:r w:rsidRPr="00C14318">
        <w:rPr>
          <w:lang w:val="sk-SK"/>
        </w:rPr>
        <w:t>Dátum prve</w:t>
      </w:r>
      <w:r w:rsidR="003C68EB">
        <w:rPr>
          <w:lang w:val="sk-SK"/>
        </w:rPr>
        <w:t>j registrácie:</w:t>
      </w:r>
    </w:p>
    <w:p w14:paraId="4687B7FC" w14:textId="77777777" w:rsidR="003E03EE" w:rsidRDefault="003E03EE" w:rsidP="001B463B">
      <w:pPr>
        <w:pStyle w:val="Zkladntext"/>
        <w:ind w:left="116"/>
        <w:rPr>
          <w:lang w:val="sk-SK"/>
        </w:rPr>
      </w:pPr>
    </w:p>
    <w:p w14:paraId="5FAA11F1" w14:textId="77777777" w:rsidR="003E03EE" w:rsidRPr="00C14318" w:rsidRDefault="003E03EE" w:rsidP="001B463B">
      <w:pPr>
        <w:pStyle w:val="Zkladntext"/>
        <w:spacing w:before="6"/>
        <w:rPr>
          <w:lang w:val="sk-SK"/>
        </w:rPr>
      </w:pPr>
    </w:p>
    <w:p w14:paraId="1A7F2AC3" w14:textId="77777777" w:rsidR="003E03EE" w:rsidRPr="00C14318" w:rsidRDefault="003E03EE" w:rsidP="001B463B">
      <w:pPr>
        <w:pStyle w:val="Nadpis1"/>
        <w:numPr>
          <w:ilvl w:val="0"/>
          <w:numId w:val="3"/>
        </w:numPr>
        <w:tabs>
          <w:tab w:val="left" w:pos="682"/>
          <w:tab w:val="left" w:pos="683"/>
        </w:tabs>
        <w:ind w:hanging="566"/>
        <w:jc w:val="left"/>
        <w:rPr>
          <w:lang w:val="sk-SK"/>
        </w:rPr>
      </w:pPr>
      <w:r w:rsidRPr="00C14318">
        <w:rPr>
          <w:lang w:val="sk-SK"/>
        </w:rPr>
        <w:t>DÁT</w:t>
      </w:r>
      <w:r>
        <w:rPr>
          <w:lang w:val="sk-SK"/>
        </w:rPr>
        <w:t>UM REVÍZIE TEXTU</w:t>
      </w:r>
    </w:p>
    <w:p w14:paraId="1B983703" w14:textId="77777777" w:rsidR="005A7D1A" w:rsidRPr="00C14318" w:rsidRDefault="005A7D1A" w:rsidP="001B463B">
      <w:pPr>
        <w:pStyle w:val="Zkladntext"/>
        <w:rPr>
          <w:b/>
          <w:lang w:val="sk-SK"/>
        </w:rPr>
      </w:pPr>
    </w:p>
    <w:p w14:paraId="39831C19" w14:textId="268A286C" w:rsidR="00FF5FC9" w:rsidRPr="00C14318" w:rsidRDefault="00132AB6" w:rsidP="00463059">
      <w:pPr>
        <w:ind w:firstLine="116"/>
        <w:rPr>
          <w:lang w:val="sk-SK"/>
        </w:rPr>
      </w:pPr>
      <w:r>
        <w:rPr>
          <w:lang w:val="sk-SK"/>
        </w:rPr>
        <w:t>04/2019</w:t>
      </w:r>
    </w:p>
    <w:sectPr w:rsidR="00FF5FC9" w:rsidRPr="00C143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E740B" w14:textId="77777777" w:rsidR="007E2C06" w:rsidRDefault="007E2C06" w:rsidP="00C14318">
      <w:r>
        <w:separator/>
      </w:r>
    </w:p>
  </w:endnote>
  <w:endnote w:type="continuationSeparator" w:id="0">
    <w:p w14:paraId="4AFF5FD8" w14:textId="77777777" w:rsidR="007E2C06" w:rsidRDefault="007E2C06" w:rsidP="00C1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859D8" w14:textId="38A3AAA6" w:rsidR="003F6824" w:rsidRPr="007D0169" w:rsidRDefault="003F6824">
    <w:pPr>
      <w:pStyle w:val="Pta"/>
      <w:tabs>
        <w:tab w:val="clear" w:pos="4703"/>
      </w:tabs>
      <w:jc w:val="center"/>
      <w:rPr>
        <w:caps/>
        <w:noProof/>
        <w:sz w:val="18"/>
        <w:szCs w:val="18"/>
      </w:rPr>
    </w:pPr>
    <w:r w:rsidRPr="007D0169">
      <w:rPr>
        <w:caps/>
        <w:sz w:val="18"/>
        <w:szCs w:val="18"/>
      </w:rPr>
      <w:fldChar w:fldCharType="begin"/>
    </w:r>
    <w:r w:rsidRPr="007D0169">
      <w:rPr>
        <w:caps/>
        <w:sz w:val="18"/>
        <w:szCs w:val="18"/>
      </w:rPr>
      <w:instrText xml:space="preserve"> PAGE   \* MERGEFORMAT </w:instrText>
    </w:r>
    <w:r w:rsidRPr="007D0169">
      <w:rPr>
        <w:caps/>
        <w:sz w:val="18"/>
        <w:szCs w:val="18"/>
      </w:rPr>
      <w:fldChar w:fldCharType="separate"/>
    </w:r>
    <w:r w:rsidR="00B64033">
      <w:rPr>
        <w:caps/>
        <w:noProof/>
        <w:sz w:val="18"/>
        <w:szCs w:val="18"/>
      </w:rPr>
      <w:t>18</w:t>
    </w:r>
    <w:r w:rsidRPr="007D0169">
      <w:rPr>
        <w:caps/>
        <w:noProof/>
        <w:sz w:val="18"/>
        <w:szCs w:val="18"/>
      </w:rPr>
      <w:fldChar w:fldCharType="end"/>
    </w:r>
  </w:p>
  <w:p w14:paraId="110BB612" w14:textId="77777777" w:rsidR="003F6824" w:rsidRDefault="003F682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26B05" w14:textId="77777777" w:rsidR="007E2C06" w:rsidRDefault="007E2C06" w:rsidP="00C14318">
      <w:r>
        <w:separator/>
      </w:r>
    </w:p>
  </w:footnote>
  <w:footnote w:type="continuationSeparator" w:id="0">
    <w:p w14:paraId="0CF95884" w14:textId="77777777" w:rsidR="007E2C06" w:rsidRDefault="007E2C06" w:rsidP="00C14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C53BA" w14:textId="5323F564" w:rsidR="003F6824" w:rsidRPr="00C14318" w:rsidRDefault="003F6824">
    <w:pPr>
      <w:pStyle w:val="Hlavika"/>
      <w:rPr>
        <w:sz w:val="18"/>
        <w:szCs w:val="18"/>
      </w:rPr>
    </w:pPr>
    <w:proofErr w:type="spellStart"/>
    <w:r w:rsidRPr="00C14318">
      <w:rPr>
        <w:sz w:val="18"/>
        <w:szCs w:val="18"/>
      </w:rPr>
      <w:t>Schválený</w:t>
    </w:r>
    <w:proofErr w:type="spellEnd"/>
    <w:r w:rsidRPr="00C14318">
      <w:rPr>
        <w:sz w:val="18"/>
        <w:szCs w:val="18"/>
      </w:rPr>
      <w:t xml:space="preserve"> text k </w:t>
    </w:r>
    <w:proofErr w:type="spellStart"/>
    <w:r w:rsidRPr="00C14318">
      <w:rPr>
        <w:sz w:val="18"/>
        <w:szCs w:val="18"/>
      </w:rPr>
      <w:t>rozhodnutiu</w:t>
    </w:r>
    <w:proofErr w:type="spellEnd"/>
    <w:r w:rsidRPr="00C14318">
      <w:rPr>
        <w:sz w:val="18"/>
        <w:szCs w:val="18"/>
      </w:rPr>
      <w:t xml:space="preserve"> o </w:t>
    </w:r>
    <w:proofErr w:type="spellStart"/>
    <w:r w:rsidRPr="00C14318">
      <w:rPr>
        <w:sz w:val="18"/>
        <w:szCs w:val="18"/>
      </w:rPr>
      <w:t>registrácii</w:t>
    </w:r>
    <w:proofErr w:type="spellEnd"/>
    <w:r w:rsidRPr="00C14318">
      <w:rPr>
        <w:sz w:val="18"/>
        <w:szCs w:val="18"/>
      </w:rPr>
      <w:t xml:space="preserve">, </w:t>
    </w:r>
    <w:proofErr w:type="spellStart"/>
    <w:r w:rsidRPr="00C14318">
      <w:rPr>
        <w:sz w:val="18"/>
        <w:szCs w:val="18"/>
      </w:rPr>
      <w:t>ev</w:t>
    </w:r>
    <w:proofErr w:type="spellEnd"/>
    <w:r w:rsidRPr="00C14318">
      <w:rPr>
        <w:sz w:val="18"/>
        <w:szCs w:val="18"/>
      </w:rPr>
      <w:t>.</w:t>
    </w:r>
    <w:r w:rsidR="004037F5">
      <w:rPr>
        <w:sz w:val="18"/>
        <w:szCs w:val="18"/>
      </w:rPr>
      <w:t xml:space="preserve"> </w:t>
    </w:r>
    <w:r w:rsidRPr="00C14318">
      <w:rPr>
        <w:sz w:val="18"/>
        <w:szCs w:val="18"/>
      </w:rPr>
      <w:t xml:space="preserve">č.: </w:t>
    </w:r>
    <w:r>
      <w:rPr>
        <w:sz w:val="18"/>
        <w:szCs w:val="18"/>
      </w:rPr>
      <w:t>2018/01345-REG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7F64"/>
    <w:multiLevelType w:val="hybridMultilevel"/>
    <w:tmpl w:val="C2FCF630"/>
    <w:lvl w:ilvl="0" w:tplc="2B92FAA2">
      <w:numFmt w:val="bullet"/>
      <w:lvlText w:val="-"/>
      <w:lvlJc w:val="left"/>
      <w:pPr>
        <w:ind w:left="476" w:hanging="360"/>
      </w:pPr>
      <w:rPr>
        <w:rFonts w:ascii="Times New Roman" w:eastAsia="Times New Roman" w:hAnsi="Times New Roman" w:cs="Times New Roman"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 w15:restartNumberingAfterBreak="0">
    <w:nsid w:val="06F64D58"/>
    <w:multiLevelType w:val="hybridMultilevel"/>
    <w:tmpl w:val="C9ECFF6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1BA37147"/>
    <w:multiLevelType w:val="hybridMultilevel"/>
    <w:tmpl w:val="FC9EF11A"/>
    <w:lvl w:ilvl="0" w:tplc="3D4887B0">
      <w:numFmt w:val="bullet"/>
      <w:lvlText w:val=""/>
      <w:lvlJc w:val="left"/>
      <w:pPr>
        <w:ind w:left="682" w:hanging="480"/>
      </w:pPr>
      <w:rPr>
        <w:rFonts w:ascii="Symbol" w:eastAsia="Symbol" w:hAnsi="Symbol" w:cs="Symbol" w:hint="default"/>
        <w:w w:val="100"/>
        <w:sz w:val="22"/>
        <w:szCs w:val="22"/>
      </w:rPr>
    </w:lvl>
    <w:lvl w:ilvl="1" w:tplc="ECFC194C">
      <w:numFmt w:val="bullet"/>
      <w:lvlText w:val="•"/>
      <w:lvlJc w:val="left"/>
      <w:pPr>
        <w:ind w:left="1540" w:hanging="480"/>
      </w:pPr>
      <w:rPr>
        <w:rFonts w:hint="default"/>
      </w:rPr>
    </w:lvl>
    <w:lvl w:ilvl="2" w:tplc="02C49480">
      <w:numFmt w:val="bullet"/>
      <w:lvlText w:val="•"/>
      <w:lvlJc w:val="left"/>
      <w:pPr>
        <w:ind w:left="2401" w:hanging="480"/>
      </w:pPr>
      <w:rPr>
        <w:rFonts w:hint="default"/>
      </w:rPr>
    </w:lvl>
    <w:lvl w:ilvl="3" w:tplc="67B60806">
      <w:numFmt w:val="bullet"/>
      <w:lvlText w:val="•"/>
      <w:lvlJc w:val="left"/>
      <w:pPr>
        <w:ind w:left="3261" w:hanging="480"/>
      </w:pPr>
      <w:rPr>
        <w:rFonts w:hint="default"/>
      </w:rPr>
    </w:lvl>
    <w:lvl w:ilvl="4" w:tplc="43EAD5E0">
      <w:numFmt w:val="bullet"/>
      <w:lvlText w:val="•"/>
      <w:lvlJc w:val="left"/>
      <w:pPr>
        <w:ind w:left="4122" w:hanging="480"/>
      </w:pPr>
      <w:rPr>
        <w:rFonts w:hint="default"/>
      </w:rPr>
    </w:lvl>
    <w:lvl w:ilvl="5" w:tplc="AED6D8CE">
      <w:numFmt w:val="bullet"/>
      <w:lvlText w:val="•"/>
      <w:lvlJc w:val="left"/>
      <w:pPr>
        <w:ind w:left="4983" w:hanging="480"/>
      </w:pPr>
      <w:rPr>
        <w:rFonts w:hint="default"/>
      </w:rPr>
    </w:lvl>
    <w:lvl w:ilvl="6" w:tplc="EEAE1794">
      <w:numFmt w:val="bullet"/>
      <w:lvlText w:val="•"/>
      <w:lvlJc w:val="left"/>
      <w:pPr>
        <w:ind w:left="5843" w:hanging="480"/>
      </w:pPr>
      <w:rPr>
        <w:rFonts w:hint="default"/>
      </w:rPr>
    </w:lvl>
    <w:lvl w:ilvl="7" w:tplc="FE2EF216">
      <w:numFmt w:val="bullet"/>
      <w:lvlText w:val="•"/>
      <w:lvlJc w:val="left"/>
      <w:pPr>
        <w:ind w:left="6704" w:hanging="480"/>
      </w:pPr>
      <w:rPr>
        <w:rFonts w:hint="default"/>
      </w:rPr>
    </w:lvl>
    <w:lvl w:ilvl="8" w:tplc="D5DC0046">
      <w:numFmt w:val="bullet"/>
      <w:lvlText w:val="•"/>
      <w:lvlJc w:val="left"/>
      <w:pPr>
        <w:ind w:left="7565" w:hanging="480"/>
      </w:pPr>
      <w:rPr>
        <w:rFonts w:hint="default"/>
      </w:rPr>
    </w:lvl>
  </w:abstractNum>
  <w:abstractNum w:abstractNumId="3" w15:restartNumberingAfterBreak="0">
    <w:nsid w:val="1E794BD3"/>
    <w:multiLevelType w:val="hybridMultilevel"/>
    <w:tmpl w:val="41500AA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267B006C"/>
    <w:multiLevelType w:val="multilevel"/>
    <w:tmpl w:val="6F6CF024"/>
    <w:lvl w:ilvl="0">
      <w:start w:val="1"/>
      <w:numFmt w:val="decimal"/>
      <w:lvlText w:val="%1."/>
      <w:lvlJc w:val="left"/>
      <w:pPr>
        <w:ind w:left="682"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1716" w:hanging="567"/>
      </w:pPr>
      <w:rPr>
        <w:rFonts w:hint="default"/>
      </w:rPr>
    </w:lvl>
    <w:lvl w:ilvl="3">
      <w:numFmt w:val="bullet"/>
      <w:lvlText w:val="•"/>
      <w:lvlJc w:val="left"/>
      <w:pPr>
        <w:ind w:left="2652" w:hanging="567"/>
      </w:pPr>
      <w:rPr>
        <w:rFonts w:hint="default"/>
      </w:rPr>
    </w:lvl>
    <w:lvl w:ilvl="4">
      <w:numFmt w:val="bullet"/>
      <w:lvlText w:val="•"/>
      <w:lvlJc w:val="left"/>
      <w:pPr>
        <w:ind w:left="3588" w:hanging="567"/>
      </w:pPr>
      <w:rPr>
        <w:rFonts w:hint="default"/>
      </w:rPr>
    </w:lvl>
    <w:lvl w:ilvl="5">
      <w:numFmt w:val="bullet"/>
      <w:lvlText w:val="•"/>
      <w:lvlJc w:val="left"/>
      <w:pPr>
        <w:ind w:left="4525" w:hanging="567"/>
      </w:pPr>
      <w:rPr>
        <w:rFonts w:hint="default"/>
      </w:rPr>
    </w:lvl>
    <w:lvl w:ilvl="6">
      <w:numFmt w:val="bullet"/>
      <w:lvlText w:val="•"/>
      <w:lvlJc w:val="left"/>
      <w:pPr>
        <w:ind w:left="5461" w:hanging="567"/>
      </w:pPr>
      <w:rPr>
        <w:rFonts w:hint="default"/>
      </w:rPr>
    </w:lvl>
    <w:lvl w:ilvl="7">
      <w:numFmt w:val="bullet"/>
      <w:lvlText w:val="•"/>
      <w:lvlJc w:val="left"/>
      <w:pPr>
        <w:ind w:left="6397" w:hanging="567"/>
      </w:pPr>
      <w:rPr>
        <w:rFonts w:hint="default"/>
      </w:rPr>
    </w:lvl>
    <w:lvl w:ilvl="8">
      <w:numFmt w:val="bullet"/>
      <w:lvlText w:val="•"/>
      <w:lvlJc w:val="left"/>
      <w:pPr>
        <w:ind w:left="7333" w:hanging="567"/>
      </w:pPr>
      <w:rPr>
        <w:rFonts w:hint="default"/>
      </w:rPr>
    </w:lvl>
  </w:abstractNum>
  <w:abstractNum w:abstractNumId="5" w15:restartNumberingAfterBreak="0">
    <w:nsid w:val="364832A6"/>
    <w:multiLevelType w:val="hybridMultilevel"/>
    <w:tmpl w:val="8D9281AC"/>
    <w:lvl w:ilvl="0" w:tplc="1764D366">
      <w:numFmt w:val="bullet"/>
      <w:lvlText w:val=""/>
      <w:lvlJc w:val="left"/>
      <w:pPr>
        <w:ind w:left="667" w:hanging="535"/>
      </w:pPr>
      <w:rPr>
        <w:rFonts w:ascii="Symbol" w:eastAsia="Symbol" w:hAnsi="Symbol" w:cs="Symbol" w:hint="default"/>
        <w:w w:val="103"/>
        <w:sz w:val="20"/>
        <w:szCs w:val="20"/>
      </w:rPr>
    </w:lvl>
    <w:lvl w:ilvl="1" w:tplc="B16269B0">
      <w:numFmt w:val="bullet"/>
      <w:lvlText w:val=""/>
      <w:lvlJc w:val="left"/>
      <w:pPr>
        <w:ind w:left="810" w:hanging="196"/>
      </w:pPr>
      <w:rPr>
        <w:rFonts w:ascii="Symbol" w:eastAsia="Symbol" w:hAnsi="Symbol" w:cs="Symbol" w:hint="default"/>
        <w:w w:val="103"/>
        <w:sz w:val="20"/>
        <w:szCs w:val="20"/>
      </w:rPr>
    </w:lvl>
    <w:lvl w:ilvl="2" w:tplc="1DE0907C">
      <w:numFmt w:val="bullet"/>
      <w:lvlText w:val="•"/>
      <w:lvlJc w:val="left"/>
      <w:pPr>
        <w:ind w:left="1706" w:hanging="196"/>
      </w:pPr>
      <w:rPr>
        <w:rFonts w:hint="default"/>
      </w:rPr>
    </w:lvl>
    <w:lvl w:ilvl="3" w:tplc="79984B34">
      <w:numFmt w:val="bullet"/>
      <w:lvlText w:val="•"/>
      <w:lvlJc w:val="left"/>
      <w:pPr>
        <w:ind w:left="2593" w:hanging="196"/>
      </w:pPr>
      <w:rPr>
        <w:rFonts w:hint="default"/>
      </w:rPr>
    </w:lvl>
    <w:lvl w:ilvl="4" w:tplc="610EC372">
      <w:numFmt w:val="bullet"/>
      <w:lvlText w:val="•"/>
      <w:lvlJc w:val="left"/>
      <w:pPr>
        <w:ind w:left="3480" w:hanging="196"/>
      </w:pPr>
      <w:rPr>
        <w:rFonts w:hint="default"/>
      </w:rPr>
    </w:lvl>
    <w:lvl w:ilvl="5" w:tplc="75909A68">
      <w:numFmt w:val="bullet"/>
      <w:lvlText w:val="•"/>
      <w:lvlJc w:val="left"/>
      <w:pPr>
        <w:ind w:left="4366" w:hanging="196"/>
      </w:pPr>
      <w:rPr>
        <w:rFonts w:hint="default"/>
      </w:rPr>
    </w:lvl>
    <w:lvl w:ilvl="6" w:tplc="27CC2844">
      <w:numFmt w:val="bullet"/>
      <w:lvlText w:val="•"/>
      <w:lvlJc w:val="left"/>
      <w:pPr>
        <w:ind w:left="5253" w:hanging="196"/>
      </w:pPr>
      <w:rPr>
        <w:rFonts w:hint="default"/>
      </w:rPr>
    </w:lvl>
    <w:lvl w:ilvl="7" w:tplc="267CDC5A">
      <w:numFmt w:val="bullet"/>
      <w:lvlText w:val="•"/>
      <w:lvlJc w:val="left"/>
      <w:pPr>
        <w:ind w:left="6140" w:hanging="196"/>
      </w:pPr>
      <w:rPr>
        <w:rFonts w:hint="default"/>
      </w:rPr>
    </w:lvl>
    <w:lvl w:ilvl="8" w:tplc="031826A2">
      <w:numFmt w:val="bullet"/>
      <w:lvlText w:val="•"/>
      <w:lvlJc w:val="left"/>
      <w:pPr>
        <w:ind w:left="7026" w:hanging="196"/>
      </w:pPr>
      <w:rPr>
        <w:rFonts w:hint="default"/>
      </w:rPr>
    </w:lvl>
  </w:abstractNum>
  <w:abstractNum w:abstractNumId="6" w15:restartNumberingAfterBreak="0">
    <w:nsid w:val="4EE32AB1"/>
    <w:multiLevelType w:val="hybridMultilevel"/>
    <w:tmpl w:val="11149940"/>
    <w:lvl w:ilvl="0" w:tplc="04090001">
      <w:start w:val="1"/>
      <w:numFmt w:val="bullet"/>
      <w:lvlText w:val=""/>
      <w:lvlJc w:val="left"/>
      <w:pPr>
        <w:ind w:left="476" w:hanging="360"/>
      </w:pPr>
      <w:rPr>
        <w:rFonts w:ascii="Symbol" w:hAnsi="Symbo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7" w15:restartNumberingAfterBreak="0">
    <w:nsid w:val="5E761F5D"/>
    <w:multiLevelType w:val="hybridMultilevel"/>
    <w:tmpl w:val="AEA8025C"/>
    <w:lvl w:ilvl="0" w:tplc="D29C5346">
      <w:numFmt w:val="bullet"/>
      <w:lvlText w:val=""/>
      <w:lvlJc w:val="left"/>
      <w:pPr>
        <w:ind w:left="476" w:hanging="360"/>
      </w:pPr>
      <w:rPr>
        <w:rFonts w:ascii="Symbol" w:eastAsia="Symbol" w:hAnsi="Symbol" w:cs="Symbol" w:hint="default"/>
        <w:w w:val="100"/>
        <w:sz w:val="22"/>
        <w:szCs w:val="22"/>
      </w:rPr>
    </w:lvl>
    <w:lvl w:ilvl="1" w:tplc="1CFA06FE">
      <w:numFmt w:val="bullet"/>
      <w:lvlText w:val=""/>
      <w:lvlJc w:val="left"/>
      <w:pPr>
        <w:ind w:left="682" w:hanging="207"/>
      </w:pPr>
      <w:rPr>
        <w:rFonts w:ascii="Symbol" w:eastAsia="Symbol" w:hAnsi="Symbol" w:cs="Symbol" w:hint="default"/>
        <w:w w:val="100"/>
        <w:sz w:val="22"/>
        <w:szCs w:val="22"/>
      </w:rPr>
    </w:lvl>
    <w:lvl w:ilvl="2" w:tplc="A344F33A">
      <w:numFmt w:val="bullet"/>
      <w:lvlText w:val="•"/>
      <w:lvlJc w:val="left"/>
      <w:pPr>
        <w:ind w:left="1627" w:hanging="207"/>
      </w:pPr>
      <w:rPr>
        <w:rFonts w:hint="default"/>
      </w:rPr>
    </w:lvl>
    <w:lvl w:ilvl="3" w:tplc="AC281038">
      <w:numFmt w:val="bullet"/>
      <w:lvlText w:val="•"/>
      <w:lvlJc w:val="left"/>
      <w:pPr>
        <w:ind w:left="2574" w:hanging="207"/>
      </w:pPr>
      <w:rPr>
        <w:rFonts w:hint="default"/>
      </w:rPr>
    </w:lvl>
    <w:lvl w:ilvl="4" w:tplc="78D8650C">
      <w:numFmt w:val="bullet"/>
      <w:lvlText w:val="•"/>
      <w:lvlJc w:val="left"/>
      <w:pPr>
        <w:ind w:left="3522" w:hanging="207"/>
      </w:pPr>
      <w:rPr>
        <w:rFonts w:hint="default"/>
      </w:rPr>
    </w:lvl>
    <w:lvl w:ilvl="5" w:tplc="FCF2784A">
      <w:numFmt w:val="bullet"/>
      <w:lvlText w:val="•"/>
      <w:lvlJc w:val="left"/>
      <w:pPr>
        <w:ind w:left="4469" w:hanging="207"/>
      </w:pPr>
      <w:rPr>
        <w:rFonts w:hint="default"/>
      </w:rPr>
    </w:lvl>
    <w:lvl w:ilvl="6" w:tplc="1B168B98">
      <w:numFmt w:val="bullet"/>
      <w:lvlText w:val="•"/>
      <w:lvlJc w:val="left"/>
      <w:pPr>
        <w:ind w:left="5416" w:hanging="207"/>
      </w:pPr>
      <w:rPr>
        <w:rFonts w:hint="default"/>
      </w:rPr>
    </w:lvl>
    <w:lvl w:ilvl="7" w:tplc="B81824A6">
      <w:numFmt w:val="bullet"/>
      <w:lvlText w:val="•"/>
      <w:lvlJc w:val="left"/>
      <w:pPr>
        <w:ind w:left="6364" w:hanging="207"/>
      </w:pPr>
      <w:rPr>
        <w:rFonts w:hint="default"/>
      </w:rPr>
    </w:lvl>
    <w:lvl w:ilvl="8" w:tplc="72AED83E">
      <w:numFmt w:val="bullet"/>
      <w:lvlText w:val="•"/>
      <w:lvlJc w:val="left"/>
      <w:pPr>
        <w:ind w:left="7311" w:hanging="207"/>
      </w:pPr>
      <w:rPr>
        <w:rFonts w:hint="default"/>
      </w:rPr>
    </w:lvl>
  </w:abstractNum>
  <w:abstractNum w:abstractNumId="8" w15:restartNumberingAfterBreak="0">
    <w:nsid w:val="5EC02CE3"/>
    <w:multiLevelType w:val="hybridMultilevel"/>
    <w:tmpl w:val="7CD2FF9A"/>
    <w:lvl w:ilvl="0" w:tplc="C478C2AA">
      <w:numFmt w:val="bullet"/>
      <w:lvlText w:val="-"/>
      <w:lvlJc w:val="left"/>
      <w:pPr>
        <w:ind w:left="715" w:hanging="58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9" w15:restartNumberingAfterBreak="0">
    <w:nsid w:val="704D1454"/>
    <w:multiLevelType w:val="hybridMultilevel"/>
    <w:tmpl w:val="BB3458D8"/>
    <w:lvl w:ilvl="0" w:tplc="4552C2C6">
      <w:start w:val="400"/>
      <w:numFmt w:val="bullet"/>
      <w:lvlText w:val="-"/>
      <w:lvlJc w:val="left"/>
      <w:pPr>
        <w:ind w:left="476" w:hanging="360"/>
      </w:pPr>
      <w:rPr>
        <w:rFonts w:ascii="Times New Roman" w:eastAsia="Times New Roman" w:hAnsi="Times New Roman" w:cs="Times New Roman"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0" w15:restartNumberingAfterBreak="0">
    <w:nsid w:val="7D8B16A9"/>
    <w:multiLevelType w:val="hybridMultilevel"/>
    <w:tmpl w:val="22A68F46"/>
    <w:lvl w:ilvl="0" w:tplc="0409000F">
      <w:start w:val="1"/>
      <w:numFmt w:val="decimal"/>
      <w:lvlText w:val="%1."/>
      <w:lvlJc w:val="left"/>
      <w:pPr>
        <w:ind w:left="476" w:hanging="360"/>
      </w:p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num w:numId="1">
    <w:abstractNumId w:val="2"/>
  </w:num>
  <w:num w:numId="2">
    <w:abstractNumId w:val="7"/>
  </w:num>
  <w:num w:numId="3">
    <w:abstractNumId w:val="4"/>
  </w:num>
  <w:num w:numId="4">
    <w:abstractNumId w:val="1"/>
  </w:num>
  <w:num w:numId="5">
    <w:abstractNumId w:val="8"/>
  </w:num>
  <w:num w:numId="6">
    <w:abstractNumId w:val="0"/>
  </w:num>
  <w:num w:numId="7">
    <w:abstractNumId w:val="10"/>
  </w:num>
  <w:num w:numId="8">
    <w:abstractNumId w:val="3"/>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1A"/>
    <w:rsid w:val="0001703D"/>
    <w:rsid w:val="00021118"/>
    <w:rsid w:val="0002125D"/>
    <w:rsid w:val="00027FF1"/>
    <w:rsid w:val="00035B71"/>
    <w:rsid w:val="00036137"/>
    <w:rsid w:val="000404B8"/>
    <w:rsid w:val="0006433C"/>
    <w:rsid w:val="00064E89"/>
    <w:rsid w:val="000872BD"/>
    <w:rsid w:val="00087450"/>
    <w:rsid w:val="00096C6B"/>
    <w:rsid w:val="000A5CA7"/>
    <w:rsid w:val="000E69F2"/>
    <w:rsid w:val="000E7D3D"/>
    <w:rsid w:val="000E7DD3"/>
    <w:rsid w:val="000F7A50"/>
    <w:rsid w:val="00102E8D"/>
    <w:rsid w:val="00104211"/>
    <w:rsid w:val="00104BF3"/>
    <w:rsid w:val="00123C89"/>
    <w:rsid w:val="00132AB6"/>
    <w:rsid w:val="00140F83"/>
    <w:rsid w:val="00142EAE"/>
    <w:rsid w:val="001438AE"/>
    <w:rsid w:val="00153F12"/>
    <w:rsid w:val="00155560"/>
    <w:rsid w:val="00156F88"/>
    <w:rsid w:val="00191D98"/>
    <w:rsid w:val="00191E3B"/>
    <w:rsid w:val="00195FBC"/>
    <w:rsid w:val="001A015A"/>
    <w:rsid w:val="001B463B"/>
    <w:rsid w:val="001D5827"/>
    <w:rsid w:val="001E0E71"/>
    <w:rsid w:val="001F3A30"/>
    <w:rsid w:val="001F7CD1"/>
    <w:rsid w:val="001F7D5B"/>
    <w:rsid w:val="00203804"/>
    <w:rsid w:val="00210716"/>
    <w:rsid w:val="00270AF6"/>
    <w:rsid w:val="002C261E"/>
    <w:rsid w:val="002D275C"/>
    <w:rsid w:val="002D3BAC"/>
    <w:rsid w:val="002E760C"/>
    <w:rsid w:val="002F408B"/>
    <w:rsid w:val="003122B6"/>
    <w:rsid w:val="0033051D"/>
    <w:rsid w:val="00334F48"/>
    <w:rsid w:val="003570A4"/>
    <w:rsid w:val="00357BFB"/>
    <w:rsid w:val="003620D6"/>
    <w:rsid w:val="003808C0"/>
    <w:rsid w:val="00385BF1"/>
    <w:rsid w:val="003A2876"/>
    <w:rsid w:val="003B5986"/>
    <w:rsid w:val="003C2D7A"/>
    <w:rsid w:val="003C68EB"/>
    <w:rsid w:val="003D4413"/>
    <w:rsid w:val="003E03EE"/>
    <w:rsid w:val="003E64D8"/>
    <w:rsid w:val="003F0403"/>
    <w:rsid w:val="003F6784"/>
    <w:rsid w:val="003F6824"/>
    <w:rsid w:val="004037F5"/>
    <w:rsid w:val="004121E1"/>
    <w:rsid w:val="00445C71"/>
    <w:rsid w:val="00452508"/>
    <w:rsid w:val="00460B73"/>
    <w:rsid w:val="00463059"/>
    <w:rsid w:val="00480CDF"/>
    <w:rsid w:val="004B00C2"/>
    <w:rsid w:val="004B0784"/>
    <w:rsid w:val="004C54AB"/>
    <w:rsid w:val="004D0E76"/>
    <w:rsid w:val="004E0187"/>
    <w:rsid w:val="004E3016"/>
    <w:rsid w:val="00526B10"/>
    <w:rsid w:val="00526B5C"/>
    <w:rsid w:val="005310AE"/>
    <w:rsid w:val="00553FA2"/>
    <w:rsid w:val="00557CAF"/>
    <w:rsid w:val="00565D8C"/>
    <w:rsid w:val="005909D8"/>
    <w:rsid w:val="005A7D1A"/>
    <w:rsid w:val="005B277F"/>
    <w:rsid w:val="005B5667"/>
    <w:rsid w:val="005B792B"/>
    <w:rsid w:val="005C10C6"/>
    <w:rsid w:val="005C245E"/>
    <w:rsid w:val="005C2465"/>
    <w:rsid w:val="005C747C"/>
    <w:rsid w:val="005F1F2F"/>
    <w:rsid w:val="00605671"/>
    <w:rsid w:val="00616FED"/>
    <w:rsid w:val="006200DE"/>
    <w:rsid w:val="00623A4E"/>
    <w:rsid w:val="00623BE4"/>
    <w:rsid w:val="00631B35"/>
    <w:rsid w:val="006651C3"/>
    <w:rsid w:val="006765D8"/>
    <w:rsid w:val="00680497"/>
    <w:rsid w:val="006A4678"/>
    <w:rsid w:val="006A4B3B"/>
    <w:rsid w:val="006A729F"/>
    <w:rsid w:val="006B7D5E"/>
    <w:rsid w:val="006D3EA7"/>
    <w:rsid w:val="006E4B83"/>
    <w:rsid w:val="006F701A"/>
    <w:rsid w:val="0071517D"/>
    <w:rsid w:val="00736CD1"/>
    <w:rsid w:val="00750752"/>
    <w:rsid w:val="00764625"/>
    <w:rsid w:val="00787679"/>
    <w:rsid w:val="00791941"/>
    <w:rsid w:val="007A1A94"/>
    <w:rsid w:val="007A7247"/>
    <w:rsid w:val="007B447E"/>
    <w:rsid w:val="007D0169"/>
    <w:rsid w:val="007E2C06"/>
    <w:rsid w:val="007F023B"/>
    <w:rsid w:val="007F3AEE"/>
    <w:rsid w:val="00803749"/>
    <w:rsid w:val="00825D9D"/>
    <w:rsid w:val="008314DA"/>
    <w:rsid w:val="00854337"/>
    <w:rsid w:val="00860680"/>
    <w:rsid w:val="00870E52"/>
    <w:rsid w:val="008A1848"/>
    <w:rsid w:val="008E5469"/>
    <w:rsid w:val="00903E8D"/>
    <w:rsid w:val="00927609"/>
    <w:rsid w:val="009410C0"/>
    <w:rsid w:val="00945012"/>
    <w:rsid w:val="00973E1F"/>
    <w:rsid w:val="00974BD2"/>
    <w:rsid w:val="00993CFB"/>
    <w:rsid w:val="009979DD"/>
    <w:rsid w:val="009C3B03"/>
    <w:rsid w:val="009E1116"/>
    <w:rsid w:val="009E15DE"/>
    <w:rsid w:val="009E2E7D"/>
    <w:rsid w:val="009E6373"/>
    <w:rsid w:val="00A178AD"/>
    <w:rsid w:val="00A17F59"/>
    <w:rsid w:val="00A20780"/>
    <w:rsid w:val="00A27E87"/>
    <w:rsid w:val="00A42A04"/>
    <w:rsid w:val="00A50BA5"/>
    <w:rsid w:val="00A5264A"/>
    <w:rsid w:val="00A86B44"/>
    <w:rsid w:val="00A96B04"/>
    <w:rsid w:val="00AB20C7"/>
    <w:rsid w:val="00AE1F8C"/>
    <w:rsid w:val="00AE521E"/>
    <w:rsid w:val="00B12A17"/>
    <w:rsid w:val="00B1782B"/>
    <w:rsid w:val="00B277ED"/>
    <w:rsid w:val="00B31CA3"/>
    <w:rsid w:val="00B62CE8"/>
    <w:rsid w:val="00B63FBC"/>
    <w:rsid w:val="00B64033"/>
    <w:rsid w:val="00B65EE9"/>
    <w:rsid w:val="00B929ED"/>
    <w:rsid w:val="00BB7530"/>
    <w:rsid w:val="00BC3CDC"/>
    <w:rsid w:val="00BC523C"/>
    <w:rsid w:val="00BC6613"/>
    <w:rsid w:val="00BC7AAA"/>
    <w:rsid w:val="00BF384B"/>
    <w:rsid w:val="00C14318"/>
    <w:rsid w:val="00C30EF9"/>
    <w:rsid w:val="00C75B48"/>
    <w:rsid w:val="00C76D31"/>
    <w:rsid w:val="00CA0EF4"/>
    <w:rsid w:val="00CA170D"/>
    <w:rsid w:val="00CB188F"/>
    <w:rsid w:val="00CB7628"/>
    <w:rsid w:val="00CC3A4D"/>
    <w:rsid w:val="00CC4E23"/>
    <w:rsid w:val="00CD1A6E"/>
    <w:rsid w:val="00CE33CA"/>
    <w:rsid w:val="00CE4AAD"/>
    <w:rsid w:val="00CF5854"/>
    <w:rsid w:val="00D07580"/>
    <w:rsid w:val="00D10246"/>
    <w:rsid w:val="00D15F8B"/>
    <w:rsid w:val="00D22651"/>
    <w:rsid w:val="00D23191"/>
    <w:rsid w:val="00D72FCC"/>
    <w:rsid w:val="00D7327E"/>
    <w:rsid w:val="00D73A04"/>
    <w:rsid w:val="00D76CAA"/>
    <w:rsid w:val="00D7709A"/>
    <w:rsid w:val="00D8308E"/>
    <w:rsid w:val="00D853CD"/>
    <w:rsid w:val="00D9571D"/>
    <w:rsid w:val="00DA0C99"/>
    <w:rsid w:val="00DD6997"/>
    <w:rsid w:val="00DE06D4"/>
    <w:rsid w:val="00DF324A"/>
    <w:rsid w:val="00E0526B"/>
    <w:rsid w:val="00E164DF"/>
    <w:rsid w:val="00E22CE6"/>
    <w:rsid w:val="00E433C9"/>
    <w:rsid w:val="00E530D0"/>
    <w:rsid w:val="00E70318"/>
    <w:rsid w:val="00E70DB2"/>
    <w:rsid w:val="00E736E9"/>
    <w:rsid w:val="00EA4274"/>
    <w:rsid w:val="00EB2CC0"/>
    <w:rsid w:val="00EE364B"/>
    <w:rsid w:val="00EE7160"/>
    <w:rsid w:val="00EF4F6F"/>
    <w:rsid w:val="00F31F85"/>
    <w:rsid w:val="00F3752B"/>
    <w:rsid w:val="00F562A5"/>
    <w:rsid w:val="00F65B15"/>
    <w:rsid w:val="00F71624"/>
    <w:rsid w:val="00F843D1"/>
    <w:rsid w:val="00FC4522"/>
    <w:rsid w:val="00FD0A68"/>
    <w:rsid w:val="00FF153C"/>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CF9E"/>
  <w15:chartTrackingRefBased/>
  <w15:docId w15:val="{72D369AC-D4DF-44E3-9A38-85E31055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5A7D1A"/>
    <w:pPr>
      <w:widowControl w:val="0"/>
      <w:autoSpaceDE w:val="0"/>
      <w:autoSpaceDN w:val="0"/>
      <w:spacing w:after="0" w:line="240" w:lineRule="auto"/>
    </w:pPr>
    <w:rPr>
      <w:rFonts w:ascii="Times New Roman" w:eastAsia="Times New Roman" w:hAnsi="Times New Roman" w:cs="Times New Roman"/>
      <w:sz w:val="22"/>
      <w:szCs w:val="22"/>
    </w:rPr>
  </w:style>
  <w:style w:type="paragraph" w:styleId="Nadpis1">
    <w:name w:val="heading 1"/>
    <w:basedOn w:val="Normlny"/>
    <w:link w:val="Nadpis1Char"/>
    <w:uiPriority w:val="1"/>
    <w:qFormat/>
    <w:rsid w:val="005A7D1A"/>
    <w:pPr>
      <w:ind w:left="682"/>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5A7D1A"/>
    <w:rPr>
      <w:rFonts w:ascii="Times New Roman" w:eastAsia="Times New Roman" w:hAnsi="Times New Roman" w:cs="Times New Roman"/>
      <w:b/>
      <w:bCs/>
      <w:sz w:val="22"/>
      <w:szCs w:val="22"/>
    </w:rPr>
  </w:style>
  <w:style w:type="paragraph" w:styleId="Zkladntext">
    <w:name w:val="Body Text"/>
    <w:basedOn w:val="Normlny"/>
    <w:link w:val="ZkladntextChar"/>
    <w:uiPriority w:val="1"/>
    <w:qFormat/>
    <w:rsid w:val="005A7D1A"/>
  </w:style>
  <w:style w:type="character" w:customStyle="1" w:styleId="ZkladntextChar">
    <w:name w:val="Základný text Char"/>
    <w:basedOn w:val="Predvolenpsmoodseku"/>
    <w:link w:val="Zkladntext"/>
    <w:uiPriority w:val="1"/>
    <w:rsid w:val="005A7D1A"/>
    <w:rPr>
      <w:rFonts w:ascii="Times New Roman" w:eastAsia="Times New Roman" w:hAnsi="Times New Roman" w:cs="Times New Roman"/>
      <w:sz w:val="22"/>
      <w:szCs w:val="22"/>
    </w:rPr>
  </w:style>
  <w:style w:type="paragraph" w:styleId="Odsekzoznamu">
    <w:name w:val="List Paragraph"/>
    <w:basedOn w:val="Normlny"/>
    <w:uiPriority w:val="1"/>
    <w:qFormat/>
    <w:rsid w:val="005A7D1A"/>
    <w:pPr>
      <w:ind w:left="682" w:hanging="566"/>
    </w:pPr>
  </w:style>
  <w:style w:type="paragraph" w:customStyle="1" w:styleId="TableParagraph">
    <w:name w:val="Table Paragraph"/>
    <w:basedOn w:val="Normlny"/>
    <w:uiPriority w:val="1"/>
    <w:qFormat/>
    <w:rsid w:val="005A7D1A"/>
    <w:pPr>
      <w:ind w:left="103"/>
    </w:pPr>
  </w:style>
  <w:style w:type="paragraph" w:styleId="Hlavika">
    <w:name w:val="header"/>
    <w:basedOn w:val="Normlny"/>
    <w:link w:val="HlavikaChar"/>
    <w:uiPriority w:val="99"/>
    <w:unhideWhenUsed/>
    <w:rsid w:val="00C14318"/>
    <w:pPr>
      <w:tabs>
        <w:tab w:val="center" w:pos="4703"/>
        <w:tab w:val="right" w:pos="9406"/>
      </w:tabs>
    </w:pPr>
  </w:style>
  <w:style w:type="character" w:customStyle="1" w:styleId="HlavikaChar">
    <w:name w:val="Hlavička Char"/>
    <w:basedOn w:val="Predvolenpsmoodseku"/>
    <w:link w:val="Hlavika"/>
    <w:uiPriority w:val="99"/>
    <w:rsid w:val="00C14318"/>
    <w:rPr>
      <w:rFonts w:ascii="Times New Roman" w:eastAsia="Times New Roman" w:hAnsi="Times New Roman" w:cs="Times New Roman"/>
      <w:sz w:val="22"/>
      <w:szCs w:val="22"/>
    </w:rPr>
  </w:style>
  <w:style w:type="paragraph" w:styleId="Pta">
    <w:name w:val="footer"/>
    <w:basedOn w:val="Normlny"/>
    <w:link w:val="PtaChar"/>
    <w:uiPriority w:val="99"/>
    <w:unhideWhenUsed/>
    <w:rsid w:val="00C14318"/>
    <w:pPr>
      <w:tabs>
        <w:tab w:val="center" w:pos="4703"/>
        <w:tab w:val="right" w:pos="9406"/>
      </w:tabs>
    </w:pPr>
  </w:style>
  <w:style w:type="character" w:customStyle="1" w:styleId="PtaChar">
    <w:name w:val="Päta Char"/>
    <w:basedOn w:val="Predvolenpsmoodseku"/>
    <w:link w:val="Pta"/>
    <w:uiPriority w:val="99"/>
    <w:rsid w:val="00C14318"/>
    <w:rPr>
      <w:rFonts w:ascii="Times New Roman" w:eastAsia="Times New Roman" w:hAnsi="Times New Roman" w:cs="Times New Roman"/>
      <w:sz w:val="22"/>
      <w:szCs w:val="22"/>
    </w:rPr>
  </w:style>
  <w:style w:type="character" w:styleId="Odkaznakomentr">
    <w:name w:val="annotation reference"/>
    <w:basedOn w:val="Predvolenpsmoodseku"/>
    <w:uiPriority w:val="99"/>
    <w:semiHidden/>
    <w:unhideWhenUsed/>
    <w:rsid w:val="00A5264A"/>
    <w:rPr>
      <w:sz w:val="16"/>
      <w:szCs w:val="16"/>
    </w:rPr>
  </w:style>
  <w:style w:type="paragraph" w:styleId="Textkomentra">
    <w:name w:val="annotation text"/>
    <w:basedOn w:val="Normlny"/>
    <w:link w:val="TextkomentraChar"/>
    <w:uiPriority w:val="99"/>
    <w:semiHidden/>
    <w:unhideWhenUsed/>
    <w:rsid w:val="00A5264A"/>
    <w:rPr>
      <w:sz w:val="20"/>
      <w:szCs w:val="20"/>
    </w:rPr>
  </w:style>
  <w:style w:type="character" w:customStyle="1" w:styleId="TextkomentraChar">
    <w:name w:val="Text komentára Char"/>
    <w:basedOn w:val="Predvolenpsmoodseku"/>
    <w:link w:val="Textkomentra"/>
    <w:uiPriority w:val="99"/>
    <w:semiHidden/>
    <w:rsid w:val="00A5264A"/>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A5264A"/>
    <w:rPr>
      <w:b/>
      <w:bCs/>
    </w:rPr>
  </w:style>
  <w:style w:type="character" w:customStyle="1" w:styleId="PredmetkomentraChar">
    <w:name w:val="Predmet komentára Char"/>
    <w:basedOn w:val="TextkomentraChar"/>
    <w:link w:val="Predmetkomentra"/>
    <w:uiPriority w:val="99"/>
    <w:semiHidden/>
    <w:rsid w:val="00A5264A"/>
    <w:rPr>
      <w:rFonts w:ascii="Times New Roman" w:eastAsia="Times New Roman" w:hAnsi="Times New Roman" w:cs="Times New Roman"/>
      <w:b/>
      <w:bCs/>
    </w:rPr>
  </w:style>
  <w:style w:type="paragraph" w:styleId="Textbubliny">
    <w:name w:val="Balloon Text"/>
    <w:basedOn w:val="Normlny"/>
    <w:link w:val="TextbublinyChar"/>
    <w:uiPriority w:val="99"/>
    <w:semiHidden/>
    <w:unhideWhenUsed/>
    <w:rsid w:val="00A5264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26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87D8B-B870-407C-92F4-D558A910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6676</Words>
  <Characters>38055</Characters>
  <Application>Microsoft Office Word</Application>
  <DocSecurity>0</DocSecurity>
  <Lines>317</Lines>
  <Paragraphs>89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Novartis</Company>
  <LinksUpToDate>false</LinksUpToDate>
  <CharactersWithSpaces>44642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Zemberova, Dominika</dc:creator>
  <cp:keywords/>
  <dc:description/>
  <cp:lastModifiedBy>Petriková, Miroslava</cp:lastModifiedBy>
  <cp:revision>205</cp:revision>
  <dcterms:created xsi:type="dcterms:W3CDTF">2019-02-27T08:59:00Z</dcterms:created>
  <dcterms:modified xsi:type="dcterms:W3CDTF">2019-04-03T11:04:00Z</dcterms:modified>
</cp:coreProperties>
</file>