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C91ED" w14:textId="77777777" w:rsidR="006B2416" w:rsidRPr="00CF1575" w:rsidRDefault="006B2416" w:rsidP="005324F6">
      <w:pPr>
        <w:pStyle w:val="Nadpis6"/>
        <w:keepNext w:val="0"/>
        <w:rPr>
          <w:rFonts w:ascii="Times New Roman" w:hAnsi="Times New Roman"/>
          <w:sz w:val="22"/>
          <w:szCs w:val="22"/>
        </w:rPr>
      </w:pPr>
    </w:p>
    <w:p w14:paraId="73B6E0F9" w14:textId="77777777" w:rsidR="006B2416" w:rsidRPr="004143F6" w:rsidRDefault="00572DCD" w:rsidP="005A7871">
      <w:pPr>
        <w:jc w:val="center"/>
        <w:rPr>
          <w:rFonts w:ascii="Times New Roman" w:hAnsi="Times New Roman"/>
          <w:b/>
          <w:sz w:val="22"/>
          <w:szCs w:val="22"/>
        </w:rPr>
      </w:pPr>
      <w:r w:rsidRPr="004143F6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49E1B348" w14:textId="77777777" w:rsidR="006B2416" w:rsidRPr="00EA5814" w:rsidRDefault="006B2416" w:rsidP="009234FB">
      <w:pPr>
        <w:rPr>
          <w:rFonts w:ascii="Times New Roman" w:hAnsi="Times New Roman"/>
          <w:b/>
          <w:sz w:val="22"/>
          <w:szCs w:val="22"/>
        </w:rPr>
      </w:pPr>
    </w:p>
    <w:p w14:paraId="72A7B0B0" w14:textId="77777777" w:rsidR="00572DCD" w:rsidRPr="004463D0" w:rsidRDefault="00572DCD" w:rsidP="009234FB">
      <w:pPr>
        <w:rPr>
          <w:rFonts w:ascii="Times New Roman" w:hAnsi="Times New Roman"/>
          <w:b/>
          <w:sz w:val="22"/>
          <w:szCs w:val="22"/>
        </w:rPr>
      </w:pPr>
    </w:p>
    <w:p w14:paraId="2632407B" w14:textId="77777777" w:rsidR="006B2416" w:rsidRPr="007A0A39" w:rsidRDefault="006B2416" w:rsidP="005324F6">
      <w:pPr>
        <w:pStyle w:val="Nadpis1"/>
        <w:jc w:val="left"/>
        <w:rPr>
          <w:caps/>
          <w:sz w:val="22"/>
          <w:szCs w:val="22"/>
        </w:rPr>
      </w:pPr>
      <w:r w:rsidRPr="007A0A39">
        <w:rPr>
          <w:caps/>
          <w:sz w:val="22"/>
          <w:szCs w:val="22"/>
        </w:rPr>
        <w:t>1.</w:t>
      </w:r>
      <w:r w:rsidRPr="007A0A39">
        <w:rPr>
          <w:caps/>
          <w:sz w:val="22"/>
          <w:szCs w:val="22"/>
        </w:rPr>
        <w:tab/>
        <w:t>Názov lieku</w:t>
      </w:r>
    </w:p>
    <w:p w14:paraId="70E081ED" w14:textId="77777777" w:rsidR="006B2416" w:rsidRPr="00A1183C" w:rsidRDefault="006B2416" w:rsidP="005324F6">
      <w:pPr>
        <w:pStyle w:val="Nadpis2"/>
        <w:rPr>
          <w:sz w:val="22"/>
          <w:szCs w:val="22"/>
        </w:rPr>
      </w:pPr>
    </w:p>
    <w:p w14:paraId="6FE559BB" w14:textId="77777777" w:rsidR="006B2416" w:rsidRDefault="006B2416" w:rsidP="005A7871">
      <w:pPr>
        <w:pStyle w:val="Nadpis2"/>
        <w:keepNext w:val="0"/>
        <w:rPr>
          <w:sz w:val="22"/>
          <w:szCs w:val="22"/>
        </w:rPr>
      </w:pPr>
      <w:r w:rsidRPr="003356F5">
        <w:rPr>
          <w:sz w:val="22"/>
          <w:szCs w:val="22"/>
        </w:rPr>
        <w:t>Sustanon</w:t>
      </w:r>
      <w:r w:rsidR="00A03110" w:rsidRPr="003356F5">
        <w:rPr>
          <w:sz w:val="22"/>
          <w:szCs w:val="22"/>
        </w:rPr>
        <w:t> </w:t>
      </w:r>
      <w:r w:rsidRPr="003356F5">
        <w:rPr>
          <w:sz w:val="22"/>
          <w:szCs w:val="22"/>
        </w:rPr>
        <w:t>250</w:t>
      </w:r>
    </w:p>
    <w:p w14:paraId="3129F9B3" w14:textId="77777777" w:rsidR="00014C73" w:rsidRPr="006F1717" w:rsidRDefault="00014C73" w:rsidP="008C058B">
      <w:pPr>
        <w:pStyle w:val="Nadpis2"/>
        <w:rPr>
          <w:sz w:val="22"/>
          <w:szCs w:val="22"/>
        </w:rPr>
      </w:pPr>
    </w:p>
    <w:p w14:paraId="4CB045DB" w14:textId="77777777" w:rsidR="00B02A3C" w:rsidRPr="00484E2F" w:rsidRDefault="00526611" w:rsidP="009234FB">
      <w:pPr>
        <w:rPr>
          <w:rFonts w:ascii="Times New Roman" w:hAnsi="Times New Roman"/>
          <w:sz w:val="22"/>
          <w:szCs w:val="22"/>
        </w:rPr>
      </w:pPr>
      <w:r w:rsidRPr="00484E2F">
        <w:rPr>
          <w:rFonts w:ascii="Times New Roman" w:hAnsi="Times New Roman"/>
          <w:sz w:val="22"/>
          <w:szCs w:val="22"/>
        </w:rPr>
        <w:t>250 mg/ml i</w:t>
      </w:r>
      <w:r w:rsidR="00B02A3C" w:rsidRPr="00484E2F">
        <w:rPr>
          <w:rFonts w:ascii="Times New Roman" w:hAnsi="Times New Roman"/>
          <w:sz w:val="22"/>
          <w:szCs w:val="22"/>
        </w:rPr>
        <w:t>njekčný roztok</w:t>
      </w:r>
    </w:p>
    <w:p w14:paraId="2174C431" w14:textId="77777777" w:rsidR="006B2416" w:rsidRPr="00484E2F" w:rsidRDefault="006B2416" w:rsidP="005324F6">
      <w:pPr>
        <w:rPr>
          <w:rFonts w:ascii="Times New Roman" w:hAnsi="Times New Roman"/>
          <w:b/>
          <w:sz w:val="22"/>
          <w:szCs w:val="22"/>
        </w:rPr>
      </w:pPr>
    </w:p>
    <w:p w14:paraId="17975948" w14:textId="77777777" w:rsidR="006B2416" w:rsidRPr="00484E2F" w:rsidRDefault="006B2416" w:rsidP="005324F6">
      <w:pPr>
        <w:rPr>
          <w:rFonts w:ascii="Times New Roman" w:hAnsi="Times New Roman"/>
          <w:b/>
          <w:sz w:val="22"/>
          <w:szCs w:val="22"/>
        </w:rPr>
      </w:pPr>
    </w:p>
    <w:p w14:paraId="2448CB97" w14:textId="77777777" w:rsidR="006B2416" w:rsidRPr="00A529AF" w:rsidRDefault="006B2416" w:rsidP="005A7871">
      <w:pPr>
        <w:rPr>
          <w:rFonts w:ascii="Times New Roman" w:hAnsi="Times New Roman"/>
          <w:b/>
          <w:bCs/>
          <w:caps/>
          <w:sz w:val="22"/>
          <w:szCs w:val="22"/>
        </w:rPr>
      </w:pPr>
      <w:r w:rsidRPr="00A529AF">
        <w:rPr>
          <w:rFonts w:ascii="Times New Roman" w:hAnsi="Times New Roman"/>
          <w:b/>
          <w:bCs/>
          <w:caps/>
          <w:sz w:val="22"/>
          <w:szCs w:val="22"/>
        </w:rPr>
        <w:t>2.</w:t>
      </w:r>
      <w:r w:rsidRPr="00A529AF">
        <w:rPr>
          <w:rFonts w:ascii="Times New Roman" w:hAnsi="Times New Roman"/>
          <w:b/>
          <w:bCs/>
          <w:caps/>
          <w:sz w:val="22"/>
          <w:szCs w:val="22"/>
        </w:rPr>
        <w:tab/>
        <w:t>Kvalitatívne a kvantitatívne zloženie</w:t>
      </w:r>
    </w:p>
    <w:p w14:paraId="17B72EAF" w14:textId="77777777" w:rsidR="006B2416" w:rsidRPr="000E314E" w:rsidRDefault="006B2416" w:rsidP="00783F13">
      <w:pPr>
        <w:pStyle w:val="Nadpis3"/>
        <w:jc w:val="left"/>
        <w:rPr>
          <w:sz w:val="22"/>
          <w:szCs w:val="22"/>
        </w:rPr>
      </w:pPr>
    </w:p>
    <w:p w14:paraId="6986A658" w14:textId="1A22199B" w:rsidR="00400C44" w:rsidRPr="00224836" w:rsidRDefault="00400C44" w:rsidP="00783F13">
      <w:pPr>
        <w:pStyle w:val="Nadpis3"/>
        <w:keepNext w:val="0"/>
        <w:jc w:val="left"/>
        <w:rPr>
          <w:sz w:val="22"/>
          <w:szCs w:val="22"/>
        </w:rPr>
      </w:pPr>
      <w:r w:rsidRPr="00BA5C70">
        <w:rPr>
          <w:sz w:val="22"/>
          <w:szCs w:val="22"/>
        </w:rPr>
        <w:t>Sustanon 250 je olejový roztok</w:t>
      </w:r>
      <w:r w:rsidRPr="00224836">
        <w:rPr>
          <w:sz w:val="22"/>
          <w:szCs w:val="22"/>
        </w:rPr>
        <w:t xml:space="preserve">. </w:t>
      </w:r>
      <w:r w:rsidR="006B2416" w:rsidRPr="00224836">
        <w:rPr>
          <w:sz w:val="22"/>
          <w:szCs w:val="22"/>
        </w:rPr>
        <w:t xml:space="preserve">Každá </w:t>
      </w:r>
      <w:r w:rsidR="00232E97" w:rsidRPr="00224836">
        <w:rPr>
          <w:sz w:val="22"/>
          <w:szCs w:val="22"/>
        </w:rPr>
        <w:t xml:space="preserve">ampulka </w:t>
      </w:r>
      <w:r w:rsidR="006B2416" w:rsidRPr="00224836">
        <w:rPr>
          <w:sz w:val="22"/>
          <w:szCs w:val="22"/>
        </w:rPr>
        <w:t xml:space="preserve">obsahuje </w:t>
      </w:r>
      <w:r w:rsidRPr="00224836">
        <w:rPr>
          <w:sz w:val="22"/>
          <w:szCs w:val="22"/>
        </w:rPr>
        <w:t>1</w:t>
      </w:r>
      <w:r w:rsidR="00014C73">
        <w:rPr>
          <w:sz w:val="22"/>
          <w:szCs w:val="22"/>
        </w:rPr>
        <w:t> </w:t>
      </w:r>
      <w:r w:rsidRPr="00224836">
        <w:rPr>
          <w:sz w:val="22"/>
          <w:szCs w:val="22"/>
        </w:rPr>
        <w:t>ml podzemnicového oleja, ktorý obsahuje nasledovné liečivá:</w:t>
      </w:r>
    </w:p>
    <w:p w14:paraId="6DA875B4" w14:textId="77777777" w:rsidR="00400C44" w:rsidRPr="007A0A39" w:rsidRDefault="00400C44" w:rsidP="000236E8">
      <w:pPr>
        <w:pStyle w:val="Nadpis3"/>
        <w:keepNext w:val="0"/>
        <w:numPr>
          <w:ilvl w:val="0"/>
          <w:numId w:val="6"/>
        </w:numPr>
        <w:jc w:val="left"/>
        <w:rPr>
          <w:sz w:val="22"/>
          <w:szCs w:val="22"/>
        </w:rPr>
      </w:pPr>
      <w:r w:rsidRPr="007A0A39">
        <w:rPr>
          <w:sz w:val="22"/>
          <w:szCs w:val="22"/>
        </w:rPr>
        <w:t>30</w:t>
      </w:r>
      <w:r w:rsidR="00232E97" w:rsidRPr="007A0A39">
        <w:rPr>
          <w:sz w:val="22"/>
          <w:szCs w:val="22"/>
        </w:rPr>
        <w:t> </w:t>
      </w:r>
      <w:r w:rsidRPr="007A0A39">
        <w:rPr>
          <w:sz w:val="22"/>
          <w:szCs w:val="22"/>
        </w:rPr>
        <w:t xml:space="preserve">mg </w:t>
      </w:r>
      <w:r w:rsidR="00A4287A" w:rsidRPr="007A0A39">
        <w:rPr>
          <w:sz w:val="22"/>
          <w:szCs w:val="22"/>
        </w:rPr>
        <w:t>testosterónpropionát</w:t>
      </w:r>
      <w:r w:rsidRPr="007A0A39">
        <w:rPr>
          <w:sz w:val="22"/>
          <w:szCs w:val="22"/>
        </w:rPr>
        <w:t>u,</w:t>
      </w:r>
    </w:p>
    <w:p w14:paraId="72B85E44" w14:textId="77777777" w:rsidR="00400C44" w:rsidRPr="00A1183C" w:rsidRDefault="00400C44" w:rsidP="001F1285">
      <w:pPr>
        <w:pStyle w:val="Nadpis3"/>
        <w:keepNext w:val="0"/>
        <w:numPr>
          <w:ilvl w:val="0"/>
          <w:numId w:val="6"/>
        </w:numPr>
        <w:jc w:val="left"/>
        <w:rPr>
          <w:sz w:val="22"/>
          <w:szCs w:val="22"/>
        </w:rPr>
      </w:pPr>
      <w:r w:rsidRPr="00A1183C">
        <w:rPr>
          <w:sz w:val="22"/>
          <w:szCs w:val="22"/>
        </w:rPr>
        <w:t>6</w:t>
      </w:r>
      <w:r w:rsidR="006B2416" w:rsidRPr="00A1183C">
        <w:rPr>
          <w:sz w:val="22"/>
          <w:szCs w:val="22"/>
        </w:rPr>
        <w:t>0</w:t>
      </w:r>
      <w:r w:rsidR="00A03110" w:rsidRPr="00A1183C">
        <w:rPr>
          <w:sz w:val="22"/>
          <w:szCs w:val="22"/>
        </w:rPr>
        <w:t> </w:t>
      </w:r>
      <w:r w:rsidR="006B2416" w:rsidRPr="00A1183C">
        <w:rPr>
          <w:sz w:val="22"/>
          <w:szCs w:val="22"/>
        </w:rPr>
        <w:t xml:space="preserve">mg </w:t>
      </w:r>
      <w:r w:rsidR="00A4287A" w:rsidRPr="00A1183C">
        <w:rPr>
          <w:sz w:val="22"/>
          <w:szCs w:val="22"/>
        </w:rPr>
        <w:t>testosterónfenylpropionát</w:t>
      </w:r>
      <w:r w:rsidRPr="00A1183C">
        <w:rPr>
          <w:sz w:val="22"/>
          <w:szCs w:val="22"/>
        </w:rPr>
        <w:t>u</w:t>
      </w:r>
      <w:r w:rsidR="007C5249" w:rsidRPr="00A1183C">
        <w:rPr>
          <w:sz w:val="22"/>
          <w:szCs w:val="22"/>
        </w:rPr>
        <w:t>,</w:t>
      </w:r>
    </w:p>
    <w:p w14:paraId="26055BDA" w14:textId="77777777" w:rsidR="00400C44" w:rsidRPr="00484E2F" w:rsidRDefault="006B2416" w:rsidP="00042AC1">
      <w:pPr>
        <w:pStyle w:val="Nadpis3"/>
        <w:keepNext w:val="0"/>
        <w:numPr>
          <w:ilvl w:val="0"/>
          <w:numId w:val="6"/>
        </w:numPr>
        <w:jc w:val="left"/>
        <w:rPr>
          <w:sz w:val="22"/>
          <w:szCs w:val="22"/>
        </w:rPr>
      </w:pPr>
      <w:r w:rsidRPr="003356F5">
        <w:rPr>
          <w:sz w:val="22"/>
          <w:szCs w:val="22"/>
        </w:rPr>
        <w:t>60</w:t>
      </w:r>
      <w:r w:rsidR="00A03110" w:rsidRPr="003356F5">
        <w:rPr>
          <w:sz w:val="22"/>
          <w:szCs w:val="22"/>
        </w:rPr>
        <w:t> </w:t>
      </w:r>
      <w:r w:rsidRPr="003356F5">
        <w:rPr>
          <w:sz w:val="22"/>
          <w:szCs w:val="22"/>
        </w:rPr>
        <w:t xml:space="preserve">mg </w:t>
      </w:r>
      <w:r w:rsidR="00A4287A" w:rsidRPr="003356F5">
        <w:rPr>
          <w:sz w:val="22"/>
          <w:szCs w:val="22"/>
        </w:rPr>
        <w:t>testosterón</w:t>
      </w:r>
      <w:r w:rsidR="00400C44" w:rsidRPr="003356F5">
        <w:rPr>
          <w:sz w:val="22"/>
          <w:szCs w:val="22"/>
        </w:rPr>
        <w:t>i</w:t>
      </w:r>
      <w:r w:rsidR="00A4287A" w:rsidRPr="003356F5">
        <w:rPr>
          <w:sz w:val="22"/>
          <w:szCs w:val="22"/>
        </w:rPr>
        <w:t>zokaproát</w:t>
      </w:r>
      <w:r w:rsidR="00400C44" w:rsidRPr="003356F5">
        <w:rPr>
          <w:sz w:val="22"/>
          <w:szCs w:val="22"/>
        </w:rPr>
        <w:t>u</w:t>
      </w:r>
      <w:r w:rsidR="007C5249" w:rsidRPr="003356F5">
        <w:rPr>
          <w:sz w:val="22"/>
          <w:szCs w:val="22"/>
        </w:rPr>
        <w:t>,</w:t>
      </w:r>
    </w:p>
    <w:p w14:paraId="36A18B7E" w14:textId="77777777" w:rsidR="00400C44" w:rsidRPr="00A529AF" w:rsidRDefault="00400C44" w:rsidP="00CE313A">
      <w:pPr>
        <w:pStyle w:val="Nadpis3"/>
        <w:keepNext w:val="0"/>
        <w:numPr>
          <w:ilvl w:val="0"/>
          <w:numId w:val="6"/>
        </w:numPr>
        <w:jc w:val="left"/>
        <w:rPr>
          <w:sz w:val="22"/>
          <w:szCs w:val="22"/>
        </w:rPr>
      </w:pPr>
      <w:r w:rsidRPr="00484E2F">
        <w:rPr>
          <w:sz w:val="22"/>
          <w:szCs w:val="22"/>
        </w:rPr>
        <w:t>100 mg</w:t>
      </w:r>
      <w:r w:rsidR="006B2416" w:rsidRPr="00484E2F">
        <w:rPr>
          <w:sz w:val="22"/>
          <w:szCs w:val="22"/>
        </w:rPr>
        <w:t> </w:t>
      </w:r>
      <w:r w:rsidR="00A4287A" w:rsidRPr="00A529AF">
        <w:rPr>
          <w:sz w:val="22"/>
          <w:szCs w:val="22"/>
        </w:rPr>
        <w:t>testosteróndekanoát</w:t>
      </w:r>
      <w:r w:rsidRPr="00A529AF">
        <w:rPr>
          <w:sz w:val="22"/>
          <w:szCs w:val="22"/>
        </w:rPr>
        <w:t>u</w:t>
      </w:r>
      <w:r w:rsidR="006B2416" w:rsidRPr="00A529AF">
        <w:rPr>
          <w:sz w:val="22"/>
          <w:szCs w:val="22"/>
        </w:rPr>
        <w:t>.</w:t>
      </w:r>
    </w:p>
    <w:p w14:paraId="6E713DAF" w14:textId="77777777" w:rsidR="00400C44" w:rsidRPr="000E314E" w:rsidRDefault="00400C44" w:rsidP="00512D96">
      <w:pPr>
        <w:pStyle w:val="Nadpis3"/>
        <w:keepNext w:val="0"/>
        <w:jc w:val="left"/>
        <w:rPr>
          <w:sz w:val="22"/>
          <w:szCs w:val="22"/>
        </w:rPr>
      </w:pPr>
    </w:p>
    <w:p w14:paraId="09584569" w14:textId="77777777" w:rsidR="006B2416" w:rsidRPr="00BA5C70" w:rsidRDefault="006B2416" w:rsidP="009234FB">
      <w:pPr>
        <w:pStyle w:val="Nadpis3"/>
        <w:keepNext w:val="0"/>
        <w:jc w:val="left"/>
        <w:rPr>
          <w:sz w:val="22"/>
          <w:szCs w:val="22"/>
        </w:rPr>
      </w:pPr>
      <w:r w:rsidRPr="00BA5C70">
        <w:rPr>
          <w:sz w:val="22"/>
          <w:szCs w:val="22"/>
        </w:rPr>
        <w:t xml:space="preserve">Všetky štyri zložky sú estery prirodzeného hormónu testosterónu. Celkové množstvo testosterónu </w:t>
      </w:r>
      <w:r w:rsidR="00572DCD" w:rsidRPr="00BA5C70">
        <w:rPr>
          <w:sz w:val="22"/>
          <w:szCs w:val="22"/>
        </w:rPr>
        <w:t xml:space="preserve">v jednom </w:t>
      </w:r>
      <w:r w:rsidRPr="00BA5C70">
        <w:rPr>
          <w:sz w:val="22"/>
          <w:szCs w:val="22"/>
        </w:rPr>
        <w:t>ml je 176</w:t>
      </w:r>
      <w:r w:rsidR="00A03110" w:rsidRPr="00BA5C70">
        <w:rPr>
          <w:sz w:val="22"/>
          <w:szCs w:val="22"/>
        </w:rPr>
        <w:t> </w:t>
      </w:r>
      <w:r w:rsidRPr="00BA5C70">
        <w:rPr>
          <w:sz w:val="22"/>
          <w:szCs w:val="22"/>
        </w:rPr>
        <w:t>mg.</w:t>
      </w:r>
    </w:p>
    <w:p w14:paraId="1A6B70BD" w14:textId="77777777" w:rsidR="006B2416" w:rsidRDefault="006B2416" w:rsidP="009234FB">
      <w:pPr>
        <w:rPr>
          <w:rFonts w:ascii="Times New Roman" w:hAnsi="Times New Roman"/>
          <w:sz w:val="22"/>
          <w:szCs w:val="22"/>
        </w:rPr>
      </w:pPr>
    </w:p>
    <w:p w14:paraId="1184F49F" w14:textId="1851BA44" w:rsidR="005255C0" w:rsidRDefault="005255C0" w:rsidP="009234FB">
      <w:pPr>
        <w:rPr>
          <w:rFonts w:ascii="Times New Roman" w:hAnsi="Times New Roman"/>
          <w:sz w:val="22"/>
          <w:szCs w:val="22"/>
          <w:u w:val="single"/>
        </w:rPr>
      </w:pPr>
      <w:r w:rsidRPr="008C058B">
        <w:rPr>
          <w:rFonts w:ascii="Times New Roman" w:hAnsi="Times New Roman"/>
          <w:sz w:val="22"/>
          <w:szCs w:val="22"/>
          <w:u w:val="single"/>
        </w:rPr>
        <w:t>Pomocn</w:t>
      </w:r>
      <w:r>
        <w:rPr>
          <w:rFonts w:ascii="Times New Roman" w:hAnsi="Times New Roman"/>
          <w:sz w:val="22"/>
          <w:szCs w:val="22"/>
          <w:u w:val="single"/>
        </w:rPr>
        <w:t>é</w:t>
      </w:r>
      <w:r w:rsidRPr="008C058B">
        <w:rPr>
          <w:rFonts w:ascii="Times New Roman" w:hAnsi="Times New Roman"/>
          <w:sz w:val="22"/>
          <w:szCs w:val="22"/>
          <w:u w:val="single"/>
        </w:rPr>
        <w:t xml:space="preserve"> látk</w:t>
      </w:r>
      <w:r>
        <w:rPr>
          <w:rFonts w:ascii="Times New Roman" w:hAnsi="Times New Roman"/>
          <w:sz w:val="22"/>
          <w:szCs w:val="22"/>
          <w:u w:val="single"/>
        </w:rPr>
        <w:t>y</w:t>
      </w:r>
      <w:r w:rsidRPr="008C058B">
        <w:rPr>
          <w:rFonts w:ascii="Times New Roman" w:hAnsi="Times New Roman"/>
          <w:sz w:val="22"/>
          <w:szCs w:val="22"/>
          <w:u w:val="single"/>
        </w:rPr>
        <w:t xml:space="preserve"> so známym účinkom</w:t>
      </w:r>
    </w:p>
    <w:p w14:paraId="009561FC" w14:textId="6C30E704" w:rsidR="005255C0" w:rsidRDefault="005255C0" w:rsidP="009234FB">
      <w:pPr>
        <w:rPr>
          <w:rFonts w:ascii="Times New Roman" w:hAnsi="Times New Roman"/>
          <w:bCs/>
          <w:sz w:val="22"/>
          <w:szCs w:val="22"/>
        </w:rPr>
      </w:pPr>
      <w:r w:rsidRPr="008C058B">
        <w:rPr>
          <w:rFonts w:ascii="Times New Roman" w:hAnsi="Times New Roman"/>
          <w:bCs/>
          <w:sz w:val="22"/>
          <w:szCs w:val="22"/>
        </w:rPr>
        <w:t>Sustanon 250 obsahuje 100 mg benzylakoholu v 1 ml roztoku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535908AF" w14:textId="23CBF0A5" w:rsidR="005255C0" w:rsidRPr="005255C0" w:rsidRDefault="005255C0" w:rsidP="009234FB">
      <w:pPr>
        <w:rPr>
          <w:rFonts w:ascii="Times New Roman" w:hAnsi="Times New Roman"/>
          <w:sz w:val="22"/>
          <w:szCs w:val="22"/>
        </w:rPr>
      </w:pPr>
      <w:r w:rsidRPr="005255C0">
        <w:rPr>
          <w:rFonts w:ascii="Times New Roman" w:hAnsi="Times New Roman"/>
          <w:sz w:val="22"/>
          <w:szCs w:val="22"/>
        </w:rPr>
        <w:t>Každá ampulka obsahuje 1 ml podzemnicového oleja</w:t>
      </w:r>
      <w:r>
        <w:rPr>
          <w:rFonts w:ascii="Times New Roman" w:hAnsi="Times New Roman"/>
          <w:sz w:val="22"/>
          <w:szCs w:val="22"/>
        </w:rPr>
        <w:t>.</w:t>
      </w:r>
    </w:p>
    <w:p w14:paraId="3A834E77" w14:textId="77777777" w:rsidR="005255C0" w:rsidRPr="00C51902" w:rsidRDefault="005255C0" w:rsidP="009234FB">
      <w:pPr>
        <w:rPr>
          <w:rFonts w:ascii="Times New Roman" w:hAnsi="Times New Roman"/>
          <w:sz w:val="22"/>
          <w:szCs w:val="22"/>
        </w:rPr>
      </w:pPr>
    </w:p>
    <w:p w14:paraId="26D0C0DA" w14:textId="77777777" w:rsidR="006B2416" w:rsidRPr="002D4D65" w:rsidRDefault="006B2416" w:rsidP="009234FB">
      <w:pPr>
        <w:rPr>
          <w:rFonts w:ascii="Times New Roman" w:hAnsi="Times New Roman"/>
          <w:sz w:val="22"/>
          <w:szCs w:val="22"/>
        </w:rPr>
      </w:pPr>
      <w:r w:rsidRPr="004D6C39">
        <w:rPr>
          <w:rFonts w:ascii="Times New Roman" w:hAnsi="Times New Roman"/>
          <w:sz w:val="22"/>
          <w:szCs w:val="22"/>
        </w:rPr>
        <w:t>Úplný zoznam pomocných látok, pozri časť</w:t>
      </w:r>
      <w:r w:rsidR="00A03110" w:rsidRPr="004D6C39">
        <w:rPr>
          <w:rFonts w:ascii="Times New Roman" w:hAnsi="Times New Roman"/>
          <w:sz w:val="22"/>
          <w:szCs w:val="22"/>
        </w:rPr>
        <w:t> </w:t>
      </w:r>
      <w:r w:rsidRPr="002D4D65">
        <w:rPr>
          <w:rFonts w:ascii="Times New Roman" w:hAnsi="Times New Roman"/>
          <w:sz w:val="22"/>
          <w:szCs w:val="22"/>
        </w:rPr>
        <w:t>6.1.</w:t>
      </w:r>
    </w:p>
    <w:p w14:paraId="31833BE5" w14:textId="77777777" w:rsidR="006B2416" w:rsidRPr="0083453B" w:rsidRDefault="006B2416" w:rsidP="009234FB">
      <w:pPr>
        <w:rPr>
          <w:rFonts w:ascii="Times New Roman" w:hAnsi="Times New Roman"/>
          <w:sz w:val="22"/>
          <w:szCs w:val="22"/>
        </w:rPr>
      </w:pPr>
    </w:p>
    <w:p w14:paraId="129D8BB9" w14:textId="77777777" w:rsidR="006B2416" w:rsidRPr="00F67A8D" w:rsidRDefault="006B2416" w:rsidP="009234FB">
      <w:pPr>
        <w:rPr>
          <w:rFonts w:ascii="Times New Roman" w:hAnsi="Times New Roman"/>
          <w:sz w:val="22"/>
          <w:szCs w:val="22"/>
        </w:rPr>
      </w:pPr>
    </w:p>
    <w:p w14:paraId="4105EF48" w14:textId="77777777" w:rsidR="006B2416" w:rsidRPr="00F930BC" w:rsidRDefault="006B2416" w:rsidP="009234FB">
      <w:pPr>
        <w:keepNext/>
        <w:rPr>
          <w:rFonts w:ascii="Times New Roman" w:hAnsi="Times New Roman"/>
          <w:b/>
          <w:bCs/>
          <w:caps/>
          <w:sz w:val="22"/>
          <w:szCs w:val="22"/>
        </w:rPr>
      </w:pPr>
      <w:r w:rsidRPr="00F930BC">
        <w:rPr>
          <w:rFonts w:ascii="Times New Roman" w:hAnsi="Times New Roman"/>
          <w:b/>
          <w:bCs/>
          <w:caps/>
          <w:sz w:val="22"/>
          <w:szCs w:val="22"/>
        </w:rPr>
        <w:t>3.</w:t>
      </w:r>
      <w:r w:rsidRPr="00F930BC">
        <w:rPr>
          <w:rFonts w:ascii="Times New Roman" w:hAnsi="Times New Roman"/>
          <w:b/>
          <w:bCs/>
          <w:caps/>
          <w:sz w:val="22"/>
          <w:szCs w:val="22"/>
        </w:rPr>
        <w:tab/>
        <w:t>Lieková forma</w:t>
      </w:r>
    </w:p>
    <w:p w14:paraId="1BB9640A" w14:textId="77777777" w:rsidR="006B2416" w:rsidRPr="00011803" w:rsidRDefault="006B2416" w:rsidP="009234FB">
      <w:pPr>
        <w:pStyle w:val="Nadpis3"/>
        <w:jc w:val="left"/>
        <w:rPr>
          <w:sz w:val="22"/>
          <w:szCs w:val="22"/>
        </w:rPr>
      </w:pPr>
    </w:p>
    <w:p w14:paraId="323FA707" w14:textId="77777777" w:rsidR="006B2416" w:rsidRPr="00F83459" w:rsidRDefault="006B2416" w:rsidP="009234FB">
      <w:pPr>
        <w:pStyle w:val="Nadpis3"/>
        <w:keepNext w:val="0"/>
        <w:jc w:val="left"/>
        <w:rPr>
          <w:sz w:val="22"/>
          <w:szCs w:val="22"/>
        </w:rPr>
      </w:pPr>
      <w:r w:rsidRPr="005830EC">
        <w:rPr>
          <w:sz w:val="22"/>
          <w:szCs w:val="22"/>
        </w:rPr>
        <w:t>Injekčný roztok</w:t>
      </w:r>
      <w:r w:rsidR="00A4287A" w:rsidRPr="005830EC">
        <w:rPr>
          <w:sz w:val="22"/>
          <w:szCs w:val="22"/>
        </w:rPr>
        <w:t>.</w:t>
      </w:r>
    </w:p>
    <w:p w14:paraId="4EF797C0" w14:textId="77777777" w:rsidR="006B2416" w:rsidRPr="00773904" w:rsidRDefault="006B2416" w:rsidP="009234FB">
      <w:pPr>
        <w:rPr>
          <w:rFonts w:ascii="Times New Roman" w:hAnsi="Times New Roman"/>
          <w:sz w:val="22"/>
          <w:szCs w:val="22"/>
        </w:rPr>
      </w:pPr>
    </w:p>
    <w:p w14:paraId="0B858349" w14:textId="77777777" w:rsidR="006B2416" w:rsidRPr="007B6606" w:rsidRDefault="006B2416" w:rsidP="009234FB">
      <w:pPr>
        <w:rPr>
          <w:rFonts w:ascii="Times New Roman" w:hAnsi="Times New Roman"/>
          <w:sz w:val="22"/>
          <w:szCs w:val="22"/>
        </w:rPr>
      </w:pPr>
      <w:r w:rsidRPr="007B6606">
        <w:rPr>
          <w:rFonts w:ascii="Times New Roman" w:hAnsi="Times New Roman"/>
          <w:sz w:val="22"/>
          <w:szCs w:val="22"/>
        </w:rPr>
        <w:t>Číry, bledožltý roztok.</w:t>
      </w:r>
    </w:p>
    <w:p w14:paraId="1C0A3587" w14:textId="77777777" w:rsidR="006B2416" w:rsidRPr="0007786F" w:rsidRDefault="006B2416" w:rsidP="009234FB">
      <w:pPr>
        <w:rPr>
          <w:rFonts w:ascii="Times New Roman" w:hAnsi="Times New Roman"/>
          <w:b/>
          <w:sz w:val="22"/>
          <w:szCs w:val="22"/>
        </w:rPr>
      </w:pPr>
    </w:p>
    <w:p w14:paraId="4EB443C0" w14:textId="77777777" w:rsidR="006B2416" w:rsidRPr="00697768" w:rsidRDefault="006B2416" w:rsidP="009234FB">
      <w:pPr>
        <w:rPr>
          <w:rFonts w:ascii="Times New Roman" w:hAnsi="Times New Roman"/>
          <w:b/>
          <w:sz w:val="22"/>
          <w:szCs w:val="22"/>
        </w:rPr>
      </w:pPr>
    </w:p>
    <w:p w14:paraId="7497F011" w14:textId="77777777" w:rsidR="006B2416" w:rsidRPr="00D70349" w:rsidRDefault="006B2416" w:rsidP="009234FB">
      <w:pPr>
        <w:keepNext/>
        <w:rPr>
          <w:rFonts w:ascii="Times New Roman" w:hAnsi="Times New Roman"/>
          <w:b/>
          <w:bCs/>
          <w:caps/>
          <w:sz w:val="22"/>
          <w:szCs w:val="22"/>
        </w:rPr>
      </w:pPr>
      <w:r w:rsidRPr="00D70349">
        <w:rPr>
          <w:rFonts w:ascii="Times New Roman" w:hAnsi="Times New Roman"/>
          <w:b/>
          <w:bCs/>
          <w:caps/>
          <w:sz w:val="22"/>
          <w:szCs w:val="22"/>
        </w:rPr>
        <w:t>4.</w:t>
      </w:r>
      <w:r w:rsidRPr="00D70349">
        <w:rPr>
          <w:rFonts w:ascii="Times New Roman" w:hAnsi="Times New Roman"/>
          <w:b/>
          <w:bCs/>
          <w:caps/>
          <w:sz w:val="22"/>
          <w:szCs w:val="22"/>
        </w:rPr>
        <w:tab/>
        <w:t>Klinické údaje</w:t>
      </w:r>
    </w:p>
    <w:p w14:paraId="03E1BBC8" w14:textId="77777777" w:rsidR="006B2416" w:rsidRPr="008425D2" w:rsidRDefault="006B2416" w:rsidP="009234FB">
      <w:pPr>
        <w:keepNext/>
        <w:rPr>
          <w:rFonts w:ascii="Times New Roman" w:hAnsi="Times New Roman"/>
          <w:sz w:val="22"/>
          <w:szCs w:val="22"/>
        </w:rPr>
      </w:pPr>
    </w:p>
    <w:p w14:paraId="05EDA806" w14:textId="77777777" w:rsidR="006B2416" w:rsidRPr="00CF1575" w:rsidRDefault="006B2416" w:rsidP="009234FB">
      <w:pPr>
        <w:pStyle w:val="Nadpis4"/>
        <w:jc w:val="left"/>
        <w:rPr>
          <w:sz w:val="22"/>
          <w:szCs w:val="22"/>
        </w:rPr>
      </w:pPr>
      <w:r w:rsidRPr="00DA1C11">
        <w:rPr>
          <w:sz w:val="22"/>
          <w:szCs w:val="22"/>
        </w:rPr>
        <w:t>4.1</w:t>
      </w:r>
      <w:r w:rsidRPr="00DA1C11">
        <w:rPr>
          <w:sz w:val="22"/>
          <w:szCs w:val="22"/>
        </w:rPr>
        <w:tab/>
        <w:t>Terapeutické indikácie</w:t>
      </w:r>
    </w:p>
    <w:p w14:paraId="0953A2C8" w14:textId="77777777" w:rsidR="006B2416" w:rsidRPr="004143F6" w:rsidRDefault="006B2416" w:rsidP="009234FB">
      <w:pPr>
        <w:pStyle w:val="Zkladntext"/>
        <w:keepNext/>
        <w:jc w:val="left"/>
        <w:rPr>
          <w:sz w:val="22"/>
          <w:szCs w:val="22"/>
        </w:rPr>
      </w:pPr>
    </w:p>
    <w:p w14:paraId="689899C3" w14:textId="77777777" w:rsidR="00401127" w:rsidRPr="000A0868" w:rsidRDefault="00401127" w:rsidP="000A0868">
      <w:pPr>
        <w:rPr>
          <w:rFonts w:ascii="Times New Roman" w:eastAsia="SimSun" w:hAnsi="Times New Roman"/>
          <w:sz w:val="22"/>
          <w:szCs w:val="22"/>
          <w:lang w:eastAsia="zh-CN"/>
        </w:rPr>
      </w:pPr>
      <w:r w:rsidRPr="00EA5814">
        <w:rPr>
          <w:rFonts w:ascii="Times New Roman" w:eastAsia="SimSun" w:hAnsi="Times New Roman"/>
          <w:sz w:val="22"/>
          <w:szCs w:val="22"/>
          <w:lang w:eastAsia="zh-CN"/>
        </w:rPr>
        <w:t>Testosterónová substitučná liečba mužského h</w:t>
      </w:r>
      <w:r w:rsidRPr="004463D0">
        <w:rPr>
          <w:rFonts w:ascii="Times New Roman" w:eastAsia="SimSun" w:hAnsi="Times New Roman"/>
          <w:sz w:val="22"/>
          <w:szCs w:val="22"/>
          <w:lang w:eastAsia="zh-CN"/>
        </w:rPr>
        <w:t>ypogonadizmu v prípade potvrdenia nedostatku testosterónu na základe klinických prejavov a biochemických testov.</w:t>
      </w:r>
    </w:p>
    <w:p w14:paraId="414FB624" w14:textId="77777777" w:rsidR="006B2416" w:rsidRPr="00CF1575" w:rsidRDefault="006B2416" w:rsidP="000A0868">
      <w:pPr>
        <w:pStyle w:val="Pta"/>
        <w:rPr>
          <w:sz w:val="22"/>
          <w:szCs w:val="22"/>
        </w:rPr>
      </w:pPr>
    </w:p>
    <w:p w14:paraId="2A0B56ED" w14:textId="77777777" w:rsidR="006B2416" w:rsidRPr="00CF1575" w:rsidRDefault="006B2416" w:rsidP="000A0868">
      <w:pPr>
        <w:keepLines/>
        <w:numPr>
          <w:ilvl w:val="12"/>
          <w:numId w:val="0"/>
        </w:numPr>
        <w:rPr>
          <w:rFonts w:ascii="Times New Roman" w:hAnsi="Times New Roman"/>
          <w:b/>
          <w:bCs/>
          <w:sz w:val="22"/>
          <w:szCs w:val="22"/>
        </w:rPr>
      </w:pPr>
      <w:r w:rsidRPr="00CF1575">
        <w:rPr>
          <w:rFonts w:ascii="Times New Roman" w:hAnsi="Times New Roman"/>
          <w:b/>
          <w:bCs/>
          <w:sz w:val="22"/>
          <w:szCs w:val="22"/>
        </w:rPr>
        <w:t>4.2</w:t>
      </w:r>
      <w:r w:rsidRPr="00CF1575">
        <w:rPr>
          <w:rFonts w:ascii="Times New Roman" w:hAnsi="Times New Roman"/>
          <w:b/>
          <w:bCs/>
          <w:sz w:val="22"/>
          <w:szCs w:val="22"/>
        </w:rPr>
        <w:tab/>
        <w:t>Dávkovanie a spôsob podávania</w:t>
      </w:r>
    </w:p>
    <w:p w14:paraId="10127F64" w14:textId="77777777" w:rsidR="006B2416" w:rsidRPr="004143F6" w:rsidRDefault="006B2416" w:rsidP="000A0868">
      <w:pPr>
        <w:keepLines/>
        <w:numPr>
          <w:ilvl w:val="12"/>
          <w:numId w:val="0"/>
        </w:numPr>
        <w:rPr>
          <w:sz w:val="22"/>
          <w:szCs w:val="22"/>
        </w:rPr>
      </w:pPr>
    </w:p>
    <w:p w14:paraId="30ADE922" w14:textId="293D1E96" w:rsidR="00400C44" w:rsidRPr="00EA5814" w:rsidRDefault="00400C44" w:rsidP="000A086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u w:val="single"/>
        </w:rPr>
      </w:pPr>
      <w:r w:rsidRPr="00EA5814">
        <w:rPr>
          <w:rFonts w:ascii="Times New Roman" w:hAnsi="Times New Roman"/>
          <w:bCs/>
          <w:sz w:val="22"/>
          <w:szCs w:val="22"/>
          <w:u w:val="single"/>
        </w:rPr>
        <w:t>Dávkovanie</w:t>
      </w:r>
    </w:p>
    <w:p w14:paraId="1AD593F9" w14:textId="77777777" w:rsidR="00400C44" w:rsidRPr="004463D0" w:rsidRDefault="00400C44" w:rsidP="000A086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0E9A6A09" w14:textId="07FA91B2" w:rsidR="00400C44" w:rsidRPr="00224836" w:rsidRDefault="00400C44" w:rsidP="00A125BE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  <w:r w:rsidRPr="00224836">
        <w:rPr>
          <w:rFonts w:ascii="Times New Roman" w:hAnsi="Times New Roman"/>
          <w:bCs/>
          <w:sz w:val="22"/>
          <w:szCs w:val="22"/>
        </w:rPr>
        <w:t>Vo všeobecnosti sa má dávka upraviť podľa odpovede u</w:t>
      </w:r>
      <w:r w:rsidR="000A0868">
        <w:rPr>
          <w:rFonts w:ascii="Times New Roman" w:hAnsi="Times New Roman"/>
          <w:bCs/>
          <w:sz w:val="22"/>
          <w:szCs w:val="22"/>
        </w:rPr>
        <w:t> </w:t>
      </w:r>
      <w:r w:rsidRPr="00224836">
        <w:rPr>
          <w:rFonts w:ascii="Times New Roman" w:hAnsi="Times New Roman"/>
          <w:bCs/>
          <w:sz w:val="22"/>
          <w:szCs w:val="22"/>
        </w:rPr>
        <w:t>individuálneho</w:t>
      </w:r>
      <w:r w:rsidR="000A0868">
        <w:rPr>
          <w:rFonts w:ascii="Times New Roman" w:hAnsi="Times New Roman"/>
          <w:bCs/>
          <w:sz w:val="22"/>
          <w:szCs w:val="22"/>
        </w:rPr>
        <w:t xml:space="preserve"> </w:t>
      </w:r>
      <w:r w:rsidRPr="00224836">
        <w:rPr>
          <w:rFonts w:ascii="Times New Roman" w:hAnsi="Times New Roman"/>
          <w:bCs/>
          <w:sz w:val="22"/>
          <w:szCs w:val="22"/>
        </w:rPr>
        <w:t>pacienta</w:t>
      </w:r>
      <w:bookmarkStart w:id="0" w:name="_GoBack"/>
      <w:bookmarkEnd w:id="0"/>
      <w:r w:rsidRPr="00224836">
        <w:rPr>
          <w:rFonts w:ascii="Times New Roman" w:hAnsi="Times New Roman"/>
          <w:bCs/>
          <w:sz w:val="22"/>
          <w:szCs w:val="22"/>
        </w:rPr>
        <w:t>.</w:t>
      </w:r>
      <w:r w:rsidR="00EA70CC">
        <w:rPr>
          <w:rFonts w:ascii="Times New Roman" w:hAnsi="Times New Roman"/>
          <w:bCs/>
          <w:sz w:val="22"/>
          <w:szCs w:val="22"/>
        </w:rPr>
        <w:t xml:space="preserve"> </w:t>
      </w:r>
    </w:p>
    <w:p w14:paraId="54E2A60C" w14:textId="77777777" w:rsidR="00400C44" w:rsidRPr="007A0A39" w:rsidRDefault="00400C44" w:rsidP="000A086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1608FED7" w14:textId="428B172E" w:rsidR="00400C44" w:rsidRPr="008C058B" w:rsidRDefault="00400C44" w:rsidP="000A0868">
      <w:pPr>
        <w:numPr>
          <w:ilvl w:val="12"/>
          <w:numId w:val="0"/>
        </w:numPr>
        <w:rPr>
          <w:rFonts w:ascii="Times New Roman" w:hAnsi="Times New Roman"/>
          <w:bCs/>
          <w:i/>
          <w:sz w:val="22"/>
          <w:szCs w:val="22"/>
        </w:rPr>
      </w:pPr>
      <w:r w:rsidRPr="008C058B">
        <w:rPr>
          <w:rFonts w:ascii="Times New Roman" w:hAnsi="Times New Roman"/>
          <w:bCs/>
          <w:i/>
          <w:sz w:val="22"/>
          <w:szCs w:val="22"/>
        </w:rPr>
        <w:t>Dospelí (vrátane starších pacientov)</w:t>
      </w:r>
    </w:p>
    <w:p w14:paraId="722547D5" w14:textId="77777777" w:rsidR="00400C44" w:rsidRPr="004143F6" w:rsidRDefault="00400C44" w:rsidP="000A086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1B41AC65" w14:textId="7D43C497" w:rsidR="006B2416" w:rsidRPr="004463D0" w:rsidRDefault="006B2416" w:rsidP="000A0868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  <w:r w:rsidRPr="00EA5814">
        <w:rPr>
          <w:rFonts w:ascii="Times New Roman" w:hAnsi="Times New Roman"/>
          <w:bCs/>
          <w:sz w:val="22"/>
          <w:szCs w:val="22"/>
        </w:rPr>
        <w:t xml:space="preserve">Zvyčajne sa podáva </w:t>
      </w:r>
      <w:r w:rsidR="00400C44" w:rsidRPr="004463D0">
        <w:rPr>
          <w:rFonts w:ascii="Times New Roman" w:hAnsi="Times New Roman"/>
          <w:bCs/>
          <w:sz w:val="22"/>
          <w:szCs w:val="22"/>
        </w:rPr>
        <w:t>jedna</w:t>
      </w:r>
      <w:r w:rsidR="00A4287A" w:rsidRPr="004463D0">
        <w:rPr>
          <w:rFonts w:ascii="Times New Roman" w:hAnsi="Times New Roman"/>
          <w:bCs/>
          <w:sz w:val="22"/>
          <w:szCs w:val="22"/>
        </w:rPr>
        <w:t> </w:t>
      </w:r>
      <w:r w:rsidRPr="004463D0">
        <w:rPr>
          <w:rFonts w:ascii="Times New Roman" w:hAnsi="Times New Roman"/>
          <w:bCs/>
          <w:sz w:val="22"/>
          <w:szCs w:val="22"/>
        </w:rPr>
        <w:t>injekcia s</w:t>
      </w:r>
      <w:r w:rsidR="00A4287A" w:rsidRPr="004463D0">
        <w:rPr>
          <w:rFonts w:ascii="Times New Roman" w:hAnsi="Times New Roman"/>
          <w:bCs/>
          <w:sz w:val="22"/>
          <w:szCs w:val="22"/>
        </w:rPr>
        <w:t> </w:t>
      </w:r>
      <w:r w:rsidRPr="004463D0">
        <w:rPr>
          <w:rFonts w:ascii="Times New Roman" w:hAnsi="Times New Roman"/>
          <w:bCs/>
          <w:sz w:val="22"/>
          <w:szCs w:val="22"/>
        </w:rPr>
        <w:t>1</w:t>
      </w:r>
      <w:r w:rsidR="00A4287A" w:rsidRPr="004463D0">
        <w:rPr>
          <w:rFonts w:ascii="Times New Roman" w:hAnsi="Times New Roman"/>
          <w:bCs/>
          <w:sz w:val="22"/>
          <w:szCs w:val="22"/>
        </w:rPr>
        <w:t> </w:t>
      </w:r>
      <w:r w:rsidRPr="004463D0">
        <w:rPr>
          <w:rFonts w:ascii="Times New Roman" w:hAnsi="Times New Roman"/>
          <w:bCs/>
          <w:sz w:val="22"/>
          <w:szCs w:val="22"/>
        </w:rPr>
        <w:t>ml každé 3</w:t>
      </w:r>
      <w:r w:rsidR="00A4287A" w:rsidRPr="004463D0">
        <w:rPr>
          <w:rFonts w:ascii="Times New Roman" w:hAnsi="Times New Roman"/>
          <w:bCs/>
          <w:sz w:val="22"/>
          <w:szCs w:val="22"/>
        </w:rPr>
        <w:t> </w:t>
      </w:r>
      <w:r w:rsidRPr="004463D0">
        <w:rPr>
          <w:rFonts w:ascii="Times New Roman" w:hAnsi="Times New Roman"/>
          <w:bCs/>
          <w:sz w:val="22"/>
          <w:szCs w:val="22"/>
        </w:rPr>
        <w:t>týždne.</w:t>
      </w:r>
      <w:r w:rsidR="00A125BE">
        <w:rPr>
          <w:rFonts w:ascii="Times New Roman" w:hAnsi="Times New Roman"/>
          <w:bCs/>
          <w:sz w:val="22"/>
          <w:szCs w:val="22"/>
        </w:rPr>
        <w:t xml:space="preserve"> </w:t>
      </w:r>
      <w:r w:rsidR="00A125BE" w:rsidRPr="00A125BE">
        <w:rPr>
          <w:rFonts w:ascii="Times New Roman" w:hAnsi="Times New Roman"/>
          <w:bCs/>
          <w:sz w:val="22"/>
          <w:szCs w:val="22"/>
        </w:rPr>
        <w:t>U pacientov vo veku nad 65 rokov existujú iba obmedzené skúsenosti s bezpečnosťou a účinnosťou používania Sustanonu</w:t>
      </w:r>
      <w:r w:rsidR="00014C73">
        <w:rPr>
          <w:rFonts w:ascii="Times New Roman" w:hAnsi="Times New Roman"/>
          <w:bCs/>
          <w:sz w:val="22"/>
          <w:szCs w:val="22"/>
        </w:rPr>
        <w:t xml:space="preserve"> 250</w:t>
      </w:r>
      <w:r w:rsidR="00A125BE" w:rsidRPr="00A125BE">
        <w:rPr>
          <w:rFonts w:ascii="Times New Roman" w:hAnsi="Times New Roman"/>
          <w:bCs/>
          <w:sz w:val="22"/>
          <w:szCs w:val="22"/>
        </w:rPr>
        <w:t>. V súčasnosti neexistuje zhoda názorov ohľadom referenčných hodnôt hladiny testosterónu v krvi podľa veku. Treba však vziať do úvahy, že fyziologicky sa hladina testosterónu v sére so zvyšovaním veku znižuje.</w:t>
      </w:r>
    </w:p>
    <w:p w14:paraId="417F5577" w14:textId="77777777" w:rsidR="00A4287A" w:rsidRPr="00224836" w:rsidRDefault="00A4287A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4CFE879A" w14:textId="6D05095D" w:rsidR="00400C44" w:rsidRPr="008C058B" w:rsidRDefault="00232E97" w:rsidP="009234FB">
      <w:pPr>
        <w:numPr>
          <w:ilvl w:val="12"/>
          <w:numId w:val="0"/>
        </w:numPr>
        <w:rPr>
          <w:rFonts w:ascii="Times New Roman" w:hAnsi="Times New Roman"/>
          <w:bCs/>
          <w:i/>
          <w:sz w:val="22"/>
          <w:szCs w:val="22"/>
        </w:rPr>
      </w:pPr>
      <w:r w:rsidRPr="008C058B">
        <w:rPr>
          <w:rFonts w:ascii="Times New Roman" w:hAnsi="Times New Roman"/>
          <w:bCs/>
          <w:i/>
          <w:sz w:val="22"/>
          <w:szCs w:val="22"/>
        </w:rPr>
        <w:t> Pediatrická populácia</w:t>
      </w:r>
    </w:p>
    <w:p w14:paraId="5BA502D3" w14:textId="77777777" w:rsidR="00400C44" w:rsidRPr="00CF1575" w:rsidRDefault="00400C44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646A375C" w14:textId="77777777" w:rsidR="00400C44" w:rsidRDefault="00400C44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  <w:r w:rsidRPr="00CF1575">
        <w:rPr>
          <w:rFonts w:ascii="Times New Roman" w:hAnsi="Times New Roman"/>
          <w:bCs/>
          <w:sz w:val="22"/>
          <w:szCs w:val="22"/>
        </w:rPr>
        <w:t>Bezpečnosť a účinnosť u detí a dospievajúcich neboli dostatočne stanovené. Deti v</w:t>
      </w:r>
      <w:r w:rsidR="00232E97" w:rsidRPr="00CF1575">
        <w:rPr>
          <w:rFonts w:ascii="Times New Roman" w:hAnsi="Times New Roman"/>
          <w:bCs/>
          <w:sz w:val="22"/>
          <w:szCs w:val="22"/>
        </w:rPr>
        <w:t> </w:t>
      </w:r>
      <w:r w:rsidRPr="00CF1575">
        <w:rPr>
          <w:rFonts w:ascii="Times New Roman" w:hAnsi="Times New Roman"/>
          <w:bCs/>
          <w:sz w:val="22"/>
          <w:szCs w:val="22"/>
        </w:rPr>
        <w:t>predpubertálnom veku liečené Sustanonom 250 sa majú liečiť s</w:t>
      </w:r>
      <w:r w:rsidR="00232E97" w:rsidRPr="00CF1575">
        <w:rPr>
          <w:rFonts w:ascii="Times New Roman" w:hAnsi="Times New Roman"/>
          <w:bCs/>
          <w:sz w:val="22"/>
          <w:szCs w:val="22"/>
        </w:rPr>
        <w:t> </w:t>
      </w:r>
      <w:r w:rsidRPr="00CF1575">
        <w:rPr>
          <w:rFonts w:ascii="Times New Roman" w:hAnsi="Times New Roman"/>
          <w:bCs/>
          <w:sz w:val="22"/>
          <w:szCs w:val="22"/>
        </w:rPr>
        <w:t>opatrnosťou (pozri časť 4.4).</w:t>
      </w:r>
    </w:p>
    <w:p w14:paraId="7ACA6EB4" w14:textId="77777777" w:rsidR="00014C73" w:rsidRDefault="00014C73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59DAB50A" w14:textId="77777777" w:rsidR="0080047A" w:rsidRPr="008C058B" w:rsidRDefault="00234196" w:rsidP="009234FB">
      <w:pPr>
        <w:numPr>
          <w:ilvl w:val="12"/>
          <w:numId w:val="0"/>
        </w:numPr>
        <w:rPr>
          <w:rFonts w:ascii="Times New Roman" w:hAnsi="Times New Roman"/>
          <w:i/>
          <w:sz w:val="22"/>
          <w:szCs w:val="22"/>
        </w:rPr>
      </w:pPr>
      <w:r w:rsidRPr="008C058B">
        <w:rPr>
          <w:rFonts w:ascii="Times New Roman" w:hAnsi="Times New Roman"/>
          <w:i/>
          <w:sz w:val="22"/>
          <w:szCs w:val="22"/>
        </w:rPr>
        <w:t>Tehotenstvo</w:t>
      </w:r>
    </w:p>
    <w:p w14:paraId="36601AB3" w14:textId="77777777" w:rsidR="00234196" w:rsidRDefault="00234196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1FED053E" w14:textId="6FC9B62B" w:rsidR="0080047A" w:rsidRPr="00F76B98" w:rsidRDefault="0080047A" w:rsidP="0080047A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A0868">
        <w:rPr>
          <w:sz w:val="22"/>
          <w:szCs w:val="22"/>
        </w:rPr>
        <w:t>Sustanon 250 nie je určený na liečbu u žien</w:t>
      </w:r>
      <w:r w:rsidRPr="00A35DC2">
        <w:rPr>
          <w:sz w:val="22"/>
          <w:szCs w:val="22"/>
        </w:rPr>
        <w:t xml:space="preserve">, a preto sa nesmie používať u gravidných žien alebo počas laktácie. Ak sa </w:t>
      </w:r>
      <w:r w:rsidRPr="00730746">
        <w:rPr>
          <w:sz w:val="22"/>
          <w:szCs w:val="22"/>
        </w:rPr>
        <w:t>počas gravidity použije, Sustanon</w:t>
      </w:r>
      <w:r w:rsidRPr="00F76B98">
        <w:rPr>
          <w:sz w:val="22"/>
          <w:szCs w:val="22"/>
        </w:rPr>
        <w:t xml:space="preserve"> 250 predstavuje riziko virilizácie plodu</w:t>
      </w:r>
      <w:r w:rsidR="00457A85">
        <w:rPr>
          <w:sz w:val="22"/>
          <w:szCs w:val="22"/>
          <w:lang w:val="sk-SK"/>
        </w:rPr>
        <w:t xml:space="preserve"> (pozri časť 4.6)</w:t>
      </w:r>
      <w:r w:rsidRPr="00F76B98">
        <w:rPr>
          <w:sz w:val="22"/>
          <w:szCs w:val="22"/>
        </w:rPr>
        <w:t>.</w:t>
      </w:r>
    </w:p>
    <w:p w14:paraId="26F32098" w14:textId="77777777" w:rsidR="00400C44" w:rsidRPr="004143F6" w:rsidRDefault="00400C44" w:rsidP="009234FB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</w:rPr>
      </w:pPr>
    </w:p>
    <w:p w14:paraId="2ED34588" w14:textId="787C5D58" w:rsidR="005073A4" w:rsidRPr="004143F6" w:rsidRDefault="00400C44" w:rsidP="009234FB">
      <w:pPr>
        <w:keepNext/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u w:val="single"/>
        </w:rPr>
      </w:pPr>
      <w:r w:rsidRPr="004143F6">
        <w:rPr>
          <w:rFonts w:ascii="Times New Roman" w:hAnsi="Times New Roman"/>
          <w:bCs/>
          <w:sz w:val="22"/>
          <w:szCs w:val="22"/>
          <w:u w:val="single"/>
        </w:rPr>
        <w:t>Spôsob pod</w:t>
      </w:r>
      <w:r w:rsidR="00232E97" w:rsidRPr="004143F6">
        <w:rPr>
          <w:rFonts w:ascii="Times New Roman" w:hAnsi="Times New Roman"/>
          <w:bCs/>
          <w:sz w:val="22"/>
          <w:szCs w:val="22"/>
          <w:u w:val="single"/>
        </w:rPr>
        <w:t>áv</w:t>
      </w:r>
      <w:r w:rsidRPr="004143F6">
        <w:rPr>
          <w:rFonts w:ascii="Times New Roman" w:hAnsi="Times New Roman"/>
          <w:bCs/>
          <w:sz w:val="22"/>
          <w:szCs w:val="22"/>
          <w:u w:val="single"/>
        </w:rPr>
        <w:t>ania</w:t>
      </w:r>
    </w:p>
    <w:p w14:paraId="7A1F2F65" w14:textId="23BFE1D6" w:rsidR="006B2416" w:rsidRPr="008C058B" w:rsidRDefault="005073A4" w:rsidP="001B007D">
      <w:pPr>
        <w:keepNext/>
        <w:numPr>
          <w:ilvl w:val="12"/>
          <w:numId w:val="0"/>
        </w:numPr>
        <w:rPr>
          <w:rFonts w:ascii="Times New Roman" w:hAnsi="Times New Roman"/>
          <w:iCs/>
          <w:sz w:val="22"/>
          <w:szCs w:val="22"/>
        </w:rPr>
      </w:pPr>
      <w:r w:rsidRPr="008C058B">
        <w:rPr>
          <w:rFonts w:ascii="Times New Roman" w:hAnsi="Times New Roman"/>
          <w:iCs/>
          <w:sz w:val="22"/>
          <w:szCs w:val="22"/>
        </w:rPr>
        <w:t>Tento liek má podávať iba lekár alebo zdravotná sestra.</w:t>
      </w:r>
      <w:r w:rsidRPr="008C058B" w:rsidDel="005073A4">
        <w:rPr>
          <w:rFonts w:ascii="Times New Roman" w:hAnsi="Times New Roman"/>
          <w:sz w:val="22"/>
          <w:szCs w:val="22"/>
          <w:lang w:val="es-ES_tradnl"/>
        </w:rPr>
        <w:t xml:space="preserve"> </w:t>
      </w:r>
      <w:r w:rsidRPr="002652FF">
        <w:rPr>
          <w:rFonts w:ascii="Times New Roman" w:hAnsi="Times New Roman"/>
          <w:sz w:val="22"/>
          <w:szCs w:val="22"/>
        </w:rPr>
        <w:t>S</w:t>
      </w:r>
      <w:r w:rsidR="006B2416" w:rsidRPr="002652FF">
        <w:rPr>
          <w:rFonts w:ascii="Times New Roman" w:hAnsi="Times New Roman"/>
          <w:sz w:val="22"/>
          <w:szCs w:val="22"/>
        </w:rPr>
        <w:t>ustanon</w:t>
      </w:r>
      <w:r w:rsidR="00A4287A" w:rsidRPr="002652FF">
        <w:rPr>
          <w:rFonts w:ascii="Times New Roman" w:hAnsi="Times New Roman"/>
          <w:sz w:val="22"/>
          <w:szCs w:val="22"/>
        </w:rPr>
        <w:t> </w:t>
      </w:r>
      <w:r w:rsidR="006B2416" w:rsidRPr="002652FF">
        <w:rPr>
          <w:rFonts w:ascii="Times New Roman" w:hAnsi="Times New Roman"/>
          <w:sz w:val="22"/>
          <w:szCs w:val="22"/>
        </w:rPr>
        <w:t>250 sa má podávať hlbokou intramuskulárnou injekciou</w:t>
      </w:r>
      <w:r w:rsidR="00224836" w:rsidRPr="002652FF">
        <w:rPr>
          <w:rFonts w:ascii="Times New Roman" w:hAnsi="Times New Roman"/>
          <w:sz w:val="22"/>
          <w:szCs w:val="22"/>
        </w:rPr>
        <w:t>.</w:t>
      </w:r>
    </w:p>
    <w:p w14:paraId="196A305A" w14:textId="77777777" w:rsidR="006B2416" w:rsidRPr="002652FF" w:rsidRDefault="006B2416" w:rsidP="00512D9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9CDAD83" w14:textId="77777777" w:rsidR="006B2416" w:rsidRPr="002652FF" w:rsidRDefault="0046264B" w:rsidP="009234FB">
      <w:pPr>
        <w:pStyle w:val="Zkladntext2"/>
        <w:keepLines/>
        <w:jc w:val="left"/>
        <w:rPr>
          <w:b/>
          <w:sz w:val="22"/>
          <w:szCs w:val="22"/>
        </w:rPr>
      </w:pPr>
      <w:r w:rsidRPr="002652FF">
        <w:rPr>
          <w:b/>
          <w:sz w:val="22"/>
          <w:szCs w:val="22"/>
        </w:rPr>
        <w:t>4.3</w:t>
      </w:r>
      <w:r w:rsidRPr="002652FF">
        <w:rPr>
          <w:b/>
          <w:sz w:val="22"/>
          <w:szCs w:val="22"/>
        </w:rPr>
        <w:tab/>
      </w:r>
      <w:r w:rsidR="006B2416" w:rsidRPr="002652FF">
        <w:rPr>
          <w:b/>
          <w:sz w:val="22"/>
          <w:szCs w:val="22"/>
        </w:rPr>
        <w:t>Kontraindikácie</w:t>
      </w:r>
    </w:p>
    <w:p w14:paraId="028632A4" w14:textId="77777777" w:rsidR="00D27A4A" w:rsidRPr="002652FF" w:rsidRDefault="00D27A4A" w:rsidP="009234FB">
      <w:pPr>
        <w:pStyle w:val="Zkladntext2"/>
        <w:keepLines/>
        <w:jc w:val="left"/>
        <w:rPr>
          <w:b/>
          <w:sz w:val="22"/>
          <w:szCs w:val="22"/>
        </w:rPr>
      </w:pPr>
    </w:p>
    <w:p w14:paraId="71516BF5" w14:textId="13479EEB" w:rsidR="005073A4" w:rsidRPr="008C058B" w:rsidRDefault="005073A4" w:rsidP="008C058B">
      <w:pPr>
        <w:numPr>
          <w:ilvl w:val="0"/>
          <w:numId w:val="12"/>
        </w:numPr>
        <w:ind w:left="425" w:hanging="425"/>
        <w:rPr>
          <w:rFonts w:ascii="Times New Roman" w:hAnsi="Times New Roman"/>
          <w:iCs/>
          <w:sz w:val="22"/>
          <w:szCs w:val="22"/>
        </w:rPr>
      </w:pPr>
      <w:r w:rsidRPr="008C058B">
        <w:rPr>
          <w:rFonts w:ascii="Times New Roman" w:hAnsi="Times New Roman"/>
          <w:iCs/>
          <w:sz w:val="22"/>
          <w:szCs w:val="22"/>
        </w:rPr>
        <w:t>Sustanon 250 nie je určený na použitie u</w:t>
      </w:r>
      <w:r w:rsidR="001425BF" w:rsidRPr="008C058B">
        <w:rPr>
          <w:rFonts w:ascii="Times New Roman" w:hAnsi="Times New Roman"/>
          <w:iCs/>
          <w:sz w:val="22"/>
          <w:szCs w:val="22"/>
        </w:rPr>
        <w:t> </w:t>
      </w:r>
      <w:r w:rsidRPr="008C058B">
        <w:rPr>
          <w:rFonts w:ascii="Times New Roman" w:hAnsi="Times New Roman"/>
          <w:iCs/>
          <w:sz w:val="22"/>
          <w:szCs w:val="22"/>
        </w:rPr>
        <w:t>žien</w:t>
      </w:r>
      <w:r w:rsidR="001425BF" w:rsidRPr="008C058B">
        <w:rPr>
          <w:rFonts w:ascii="Times New Roman" w:hAnsi="Times New Roman"/>
          <w:iCs/>
          <w:sz w:val="22"/>
          <w:szCs w:val="22"/>
        </w:rPr>
        <w:t>.</w:t>
      </w:r>
    </w:p>
    <w:p w14:paraId="43FB9D61" w14:textId="77777777" w:rsidR="006B2416" w:rsidRPr="004463D0" w:rsidRDefault="00400C44" w:rsidP="009234FB">
      <w:pPr>
        <w:pStyle w:val="Zkladntext2"/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left"/>
        <w:rPr>
          <w:sz w:val="22"/>
          <w:szCs w:val="22"/>
        </w:rPr>
      </w:pPr>
      <w:r w:rsidRPr="007877A0">
        <w:rPr>
          <w:sz w:val="22"/>
          <w:szCs w:val="22"/>
        </w:rPr>
        <w:t>Známy karcinóm p</w:t>
      </w:r>
      <w:r w:rsidR="006B2416" w:rsidRPr="007877A0">
        <w:rPr>
          <w:sz w:val="22"/>
          <w:szCs w:val="22"/>
        </w:rPr>
        <w:t xml:space="preserve">rostaty </w:t>
      </w:r>
      <w:r w:rsidR="009D5ECE" w:rsidRPr="007877A0">
        <w:rPr>
          <w:sz w:val="22"/>
          <w:szCs w:val="22"/>
        </w:rPr>
        <w:t>alebo prsníka</w:t>
      </w:r>
      <w:r w:rsidR="009D5ECE" w:rsidRPr="004143F6">
        <w:rPr>
          <w:sz w:val="22"/>
          <w:szCs w:val="22"/>
        </w:rPr>
        <w:t xml:space="preserve"> </w:t>
      </w:r>
      <w:r w:rsidR="006B2416" w:rsidRPr="004143F6">
        <w:rPr>
          <w:sz w:val="22"/>
          <w:szCs w:val="22"/>
        </w:rPr>
        <w:t xml:space="preserve">alebo </w:t>
      </w:r>
      <w:r w:rsidR="007C5249" w:rsidRPr="004143F6">
        <w:rPr>
          <w:sz w:val="22"/>
          <w:szCs w:val="22"/>
        </w:rPr>
        <w:t xml:space="preserve">podozrenie na prítomnosť karcinómu prostaty </w:t>
      </w:r>
      <w:r w:rsidR="009D5ECE" w:rsidRPr="00EA5814">
        <w:rPr>
          <w:sz w:val="22"/>
          <w:szCs w:val="22"/>
        </w:rPr>
        <w:t xml:space="preserve">alebo prsníka </w:t>
      </w:r>
      <w:r w:rsidR="007C5249" w:rsidRPr="004463D0">
        <w:rPr>
          <w:sz w:val="22"/>
          <w:szCs w:val="22"/>
        </w:rPr>
        <w:t>(pozri časť 4.4).</w:t>
      </w:r>
    </w:p>
    <w:p w14:paraId="26D16B41" w14:textId="77777777" w:rsidR="006B2416" w:rsidRPr="007877A0" w:rsidRDefault="006B2416" w:rsidP="005324F6">
      <w:pPr>
        <w:pStyle w:val="Zkladntext2"/>
        <w:numPr>
          <w:ilvl w:val="0"/>
          <w:numId w:val="3"/>
        </w:numPr>
        <w:tabs>
          <w:tab w:val="left" w:pos="426"/>
        </w:tabs>
        <w:ind w:left="425" w:hanging="425"/>
        <w:jc w:val="left"/>
        <w:rPr>
          <w:sz w:val="22"/>
          <w:szCs w:val="22"/>
        </w:rPr>
      </w:pPr>
      <w:r w:rsidRPr="00224836">
        <w:rPr>
          <w:sz w:val="22"/>
          <w:szCs w:val="22"/>
        </w:rPr>
        <w:t>Prec</w:t>
      </w:r>
      <w:r w:rsidRPr="00CA25E6">
        <w:rPr>
          <w:sz w:val="22"/>
          <w:szCs w:val="22"/>
        </w:rPr>
        <w:t xml:space="preserve">itlivenosť na liečivo alebo na </w:t>
      </w:r>
      <w:r w:rsidR="00EA2D56" w:rsidRPr="00CA25E6">
        <w:rPr>
          <w:sz w:val="22"/>
          <w:szCs w:val="22"/>
        </w:rPr>
        <w:t>ktorúkoľvek</w:t>
      </w:r>
      <w:r w:rsidRPr="00CA25E6">
        <w:rPr>
          <w:sz w:val="22"/>
          <w:szCs w:val="22"/>
        </w:rPr>
        <w:t xml:space="preserve"> z</w:t>
      </w:r>
      <w:r w:rsidR="00EA2D56" w:rsidRPr="00CA25E6">
        <w:rPr>
          <w:sz w:val="22"/>
          <w:szCs w:val="22"/>
        </w:rPr>
        <w:t> </w:t>
      </w:r>
      <w:r w:rsidRPr="00CA25E6">
        <w:rPr>
          <w:sz w:val="22"/>
          <w:szCs w:val="22"/>
        </w:rPr>
        <w:t>pomocných látok</w:t>
      </w:r>
      <w:r w:rsidR="00383C49" w:rsidRPr="00CA25E6">
        <w:rPr>
          <w:sz w:val="22"/>
          <w:szCs w:val="22"/>
        </w:rPr>
        <w:t xml:space="preserve"> vrátane </w:t>
      </w:r>
      <w:r w:rsidR="00902841" w:rsidRPr="00CA25E6">
        <w:rPr>
          <w:sz w:val="22"/>
          <w:szCs w:val="22"/>
        </w:rPr>
        <w:t xml:space="preserve">podzemnicového </w:t>
      </w:r>
      <w:r w:rsidR="00383C49" w:rsidRPr="00CA25E6">
        <w:rPr>
          <w:sz w:val="22"/>
          <w:szCs w:val="22"/>
        </w:rPr>
        <w:t>oleja</w:t>
      </w:r>
      <w:r w:rsidR="00400C44" w:rsidRPr="00CA25E6">
        <w:rPr>
          <w:sz w:val="22"/>
          <w:szCs w:val="22"/>
        </w:rPr>
        <w:t xml:space="preserve"> uvedených v časti 6.1</w:t>
      </w:r>
      <w:r w:rsidR="00383C49" w:rsidRPr="007A0A39">
        <w:rPr>
          <w:sz w:val="22"/>
          <w:szCs w:val="22"/>
        </w:rPr>
        <w:t>. Sustanon</w:t>
      </w:r>
      <w:r w:rsidR="00E4683C" w:rsidRPr="007A0A39">
        <w:rPr>
          <w:sz w:val="22"/>
          <w:szCs w:val="22"/>
        </w:rPr>
        <w:t> 250</w:t>
      </w:r>
      <w:r w:rsidR="00383C49" w:rsidRPr="00DB5CA4">
        <w:rPr>
          <w:sz w:val="22"/>
          <w:szCs w:val="22"/>
        </w:rPr>
        <w:t xml:space="preserve"> je preto kontraindikovaný u pacientov </w:t>
      </w:r>
      <w:r w:rsidR="000F3462" w:rsidRPr="00DB5CA4">
        <w:rPr>
          <w:sz w:val="22"/>
          <w:szCs w:val="22"/>
        </w:rPr>
        <w:t>s</w:t>
      </w:r>
      <w:r w:rsidR="00232E97" w:rsidRPr="0002562E">
        <w:rPr>
          <w:sz w:val="22"/>
          <w:szCs w:val="22"/>
        </w:rPr>
        <w:t> </w:t>
      </w:r>
      <w:r w:rsidR="00383C49" w:rsidRPr="0002562E">
        <w:rPr>
          <w:sz w:val="22"/>
          <w:szCs w:val="22"/>
        </w:rPr>
        <w:t>alergi</w:t>
      </w:r>
      <w:r w:rsidR="000F3462" w:rsidRPr="0002562E">
        <w:rPr>
          <w:sz w:val="22"/>
          <w:szCs w:val="22"/>
        </w:rPr>
        <w:t>ou</w:t>
      </w:r>
      <w:r w:rsidR="00383C49" w:rsidRPr="00AC53ED">
        <w:rPr>
          <w:sz w:val="22"/>
          <w:szCs w:val="22"/>
        </w:rPr>
        <w:t xml:space="preserve"> na </w:t>
      </w:r>
      <w:r w:rsidR="008A74A3" w:rsidRPr="00D937E2">
        <w:rPr>
          <w:sz w:val="22"/>
          <w:szCs w:val="22"/>
        </w:rPr>
        <w:t>arašidy</w:t>
      </w:r>
      <w:r w:rsidR="00383C49" w:rsidRPr="00D937E2">
        <w:rPr>
          <w:sz w:val="22"/>
          <w:szCs w:val="22"/>
        </w:rPr>
        <w:t xml:space="preserve"> alebo sóju (pozri časť 4.4)</w:t>
      </w:r>
      <w:r w:rsidR="00EA2D56" w:rsidRPr="007877A0">
        <w:rPr>
          <w:sz w:val="22"/>
          <w:szCs w:val="22"/>
        </w:rPr>
        <w:t>.</w:t>
      </w:r>
    </w:p>
    <w:p w14:paraId="4B0C6E5C" w14:textId="77777777" w:rsidR="006B2416" w:rsidRPr="00A1183C" w:rsidRDefault="006B2416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6F29FC8" w14:textId="77777777" w:rsidR="006B2416" w:rsidRPr="00A1183C" w:rsidRDefault="0046264B" w:rsidP="005A7871">
      <w:pPr>
        <w:pStyle w:val="Zkladntext2"/>
        <w:keepNext/>
        <w:jc w:val="left"/>
        <w:rPr>
          <w:b/>
          <w:sz w:val="22"/>
          <w:szCs w:val="22"/>
        </w:rPr>
      </w:pPr>
      <w:r w:rsidRPr="00A1183C">
        <w:rPr>
          <w:b/>
          <w:sz w:val="22"/>
          <w:szCs w:val="22"/>
        </w:rPr>
        <w:t>4.4</w:t>
      </w:r>
      <w:r w:rsidRPr="00A1183C">
        <w:rPr>
          <w:b/>
          <w:sz w:val="22"/>
          <w:szCs w:val="22"/>
        </w:rPr>
        <w:tab/>
      </w:r>
      <w:r w:rsidR="006B2416" w:rsidRPr="00A1183C">
        <w:rPr>
          <w:b/>
          <w:sz w:val="22"/>
          <w:szCs w:val="22"/>
        </w:rPr>
        <w:t>Osobitné upozornenia a opatrenia pri používaní</w:t>
      </w:r>
    </w:p>
    <w:p w14:paraId="14E885C3" w14:textId="77777777" w:rsidR="006B2416" w:rsidRPr="00E3515E" w:rsidRDefault="006B2416" w:rsidP="00783F13">
      <w:pPr>
        <w:pStyle w:val="Zkladntext2"/>
        <w:keepNext/>
        <w:jc w:val="left"/>
        <w:rPr>
          <w:b/>
          <w:sz w:val="22"/>
          <w:szCs w:val="22"/>
        </w:rPr>
      </w:pPr>
    </w:p>
    <w:p w14:paraId="376055F8" w14:textId="7F3D8EF7" w:rsidR="000F3462" w:rsidRPr="008C058B" w:rsidRDefault="000F3462" w:rsidP="000236E8">
      <w:pPr>
        <w:pStyle w:val="Zkladntext2"/>
        <w:jc w:val="left"/>
        <w:rPr>
          <w:bCs/>
          <w:sz w:val="22"/>
          <w:szCs w:val="22"/>
          <w:u w:val="single"/>
          <w:lang w:val="sk-SK"/>
        </w:rPr>
      </w:pPr>
      <w:r w:rsidRPr="003356F5">
        <w:rPr>
          <w:bCs/>
          <w:sz w:val="22"/>
          <w:szCs w:val="22"/>
          <w:u w:val="single"/>
        </w:rPr>
        <w:t>Lekárske vyšetrenie</w:t>
      </w:r>
    </w:p>
    <w:p w14:paraId="05CED38E" w14:textId="77777777" w:rsidR="000F3462" w:rsidRPr="00484E2F" w:rsidRDefault="000F3462" w:rsidP="001F1285">
      <w:pPr>
        <w:pStyle w:val="Zkladntext2"/>
        <w:jc w:val="left"/>
        <w:rPr>
          <w:bCs/>
          <w:sz w:val="22"/>
          <w:szCs w:val="22"/>
        </w:rPr>
      </w:pPr>
    </w:p>
    <w:p w14:paraId="6A96947F" w14:textId="77777777" w:rsidR="00890FCC" w:rsidRPr="00484E2F" w:rsidRDefault="00890FCC" w:rsidP="00890FCC">
      <w:pPr>
        <w:rPr>
          <w:rFonts w:ascii="Times New Roman" w:eastAsia="SimSun" w:hAnsi="Times New Roman"/>
          <w:sz w:val="22"/>
          <w:szCs w:val="22"/>
          <w:lang w:eastAsia="zh-CN"/>
        </w:rPr>
      </w:pPr>
      <w:r w:rsidRPr="00484E2F">
        <w:rPr>
          <w:rFonts w:ascii="Times New Roman" w:eastAsia="SimSun" w:hAnsi="Times New Roman"/>
          <w:sz w:val="22"/>
          <w:szCs w:val="22"/>
          <w:lang w:eastAsia="zh-CN"/>
        </w:rPr>
        <w:t>Hladina testosterónu sa má sledovať na začiatku liečby a v pravidelných intervaloch počas liečby. Lekári majú upravovať dávkovanie individuálne, aby sa zaručilo udržiavanie eugonadálnych hladín testosterónu.</w:t>
      </w:r>
    </w:p>
    <w:p w14:paraId="2DCBC8E5" w14:textId="77777777" w:rsidR="00890FCC" w:rsidRPr="00484E2F" w:rsidRDefault="00890FCC" w:rsidP="001F1285">
      <w:pPr>
        <w:pStyle w:val="Zkladntext2"/>
        <w:jc w:val="left"/>
        <w:rPr>
          <w:bCs/>
          <w:sz w:val="22"/>
          <w:szCs w:val="22"/>
        </w:rPr>
      </w:pPr>
    </w:p>
    <w:p w14:paraId="7DE6BD39" w14:textId="77777777" w:rsidR="006B2416" w:rsidRPr="007B6508" w:rsidRDefault="006B2416" w:rsidP="001F1285">
      <w:pPr>
        <w:pStyle w:val="Zkladntext2"/>
        <w:jc w:val="left"/>
        <w:rPr>
          <w:bCs/>
          <w:sz w:val="22"/>
          <w:szCs w:val="22"/>
        </w:rPr>
      </w:pPr>
      <w:r w:rsidRPr="00484E2F">
        <w:rPr>
          <w:bCs/>
          <w:sz w:val="22"/>
          <w:szCs w:val="22"/>
        </w:rPr>
        <w:t xml:space="preserve">Lekári majú zvážiť možnosť sledovania </w:t>
      </w:r>
      <w:r w:rsidR="000F3462" w:rsidRPr="00A529AF">
        <w:rPr>
          <w:bCs/>
          <w:sz w:val="22"/>
          <w:szCs w:val="22"/>
        </w:rPr>
        <w:t>pacientov</w:t>
      </w:r>
      <w:r w:rsidRPr="00A529AF">
        <w:rPr>
          <w:bCs/>
          <w:sz w:val="22"/>
          <w:szCs w:val="22"/>
        </w:rPr>
        <w:t xml:space="preserve"> liečených Sustanonom</w:t>
      </w:r>
      <w:r w:rsidR="00EA2D56" w:rsidRPr="00A529AF">
        <w:rPr>
          <w:bCs/>
          <w:sz w:val="22"/>
          <w:szCs w:val="22"/>
        </w:rPr>
        <w:t> </w:t>
      </w:r>
      <w:r w:rsidRPr="00A529AF">
        <w:rPr>
          <w:bCs/>
          <w:sz w:val="22"/>
          <w:szCs w:val="22"/>
        </w:rPr>
        <w:t>250 pred začiatkom liečby v štvrťročných intervaloch počas prvých 12</w:t>
      </w:r>
      <w:r w:rsidR="00EA2D56" w:rsidRPr="007B6508">
        <w:rPr>
          <w:bCs/>
          <w:sz w:val="22"/>
          <w:szCs w:val="22"/>
        </w:rPr>
        <w:t> </w:t>
      </w:r>
      <w:r w:rsidRPr="007B6508">
        <w:rPr>
          <w:bCs/>
          <w:sz w:val="22"/>
          <w:szCs w:val="22"/>
        </w:rPr>
        <w:t>mesiacov a následne raz ročne podľa nasledovných parametrov:</w:t>
      </w:r>
    </w:p>
    <w:p w14:paraId="17F63137" w14:textId="77777777" w:rsidR="006B2416" w:rsidRPr="000E314E" w:rsidRDefault="006B2416" w:rsidP="00042AC1">
      <w:pPr>
        <w:pStyle w:val="Zkladntext2"/>
        <w:jc w:val="left"/>
        <w:rPr>
          <w:bCs/>
          <w:sz w:val="22"/>
          <w:szCs w:val="22"/>
        </w:rPr>
      </w:pPr>
    </w:p>
    <w:p w14:paraId="5ACAC80C" w14:textId="77777777" w:rsidR="006B2416" w:rsidRPr="00234196" w:rsidRDefault="006B2416" w:rsidP="008C058B">
      <w:pPr>
        <w:pStyle w:val="Zkladntext2"/>
        <w:numPr>
          <w:ilvl w:val="0"/>
          <w:numId w:val="4"/>
        </w:numPr>
        <w:ind w:left="425" w:hanging="425"/>
        <w:jc w:val="left"/>
        <w:rPr>
          <w:bCs/>
          <w:sz w:val="22"/>
          <w:szCs w:val="22"/>
        </w:rPr>
      </w:pPr>
      <w:r w:rsidRPr="000E314E">
        <w:rPr>
          <w:bCs/>
          <w:sz w:val="22"/>
          <w:szCs w:val="22"/>
        </w:rPr>
        <w:t>Digitálne rektálne vyšetrenie (DRE) prostaty a prostatického špecifického antigénu (PSA) na vylúčenie benígnej hyperplázie prostaty alebo subklinického karcinómu prostaty</w:t>
      </w:r>
      <w:r w:rsidR="000F3462" w:rsidRPr="00BA5C70">
        <w:rPr>
          <w:bCs/>
          <w:sz w:val="22"/>
          <w:szCs w:val="22"/>
        </w:rPr>
        <w:t xml:space="preserve"> (pozri časť 4.3)</w:t>
      </w:r>
      <w:r w:rsidRPr="00BA5C70">
        <w:rPr>
          <w:bCs/>
          <w:sz w:val="22"/>
          <w:szCs w:val="22"/>
        </w:rPr>
        <w:t>.</w:t>
      </w:r>
      <w:r w:rsidR="007251DF">
        <w:rPr>
          <w:bCs/>
          <w:sz w:val="22"/>
          <w:szCs w:val="22"/>
        </w:rPr>
        <w:t xml:space="preserve"> </w:t>
      </w:r>
    </w:p>
    <w:p w14:paraId="30694FA0" w14:textId="02AC6FEC" w:rsidR="00234196" w:rsidRPr="00234196" w:rsidRDefault="00234196" w:rsidP="008C058B">
      <w:pPr>
        <w:numPr>
          <w:ilvl w:val="0"/>
          <w:numId w:val="4"/>
        </w:numPr>
        <w:ind w:left="425" w:hanging="425"/>
        <w:rPr>
          <w:rFonts w:ascii="Times New Roman" w:hAnsi="Times New Roman"/>
          <w:sz w:val="22"/>
          <w:szCs w:val="22"/>
          <w:lang w:val="en-US"/>
        </w:rPr>
      </w:pPr>
      <w:r w:rsidRPr="00234196">
        <w:rPr>
          <w:rFonts w:ascii="Times New Roman" w:hAnsi="Times New Roman"/>
          <w:sz w:val="22"/>
          <w:szCs w:val="22"/>
          <w:lang w:val="en-US"/>
        </w:rPr>
        <w:t>Lekárske vyšetrenie prsníka, napríklad mamografické</w:t>
      </w:r>
      <w:r w:rsidR="00BC45AB">
        <w:rPr>
          <w:rFonts w:ascii="Times New Roman" w:hAnsi="Times New Roman"/>
          <w:sz w:val="22"/>
          <w:szCs w:val="22"/>
          <w:lang w:val="en-US"/>
        </w:rPr>
        <w:t>.</w:t>
      </w:r>
    </w:p>
    <w:p w14:paraId="532069BE" w14:textId="77777777" w:rsidR="006B2416" w:rsidRPr="007251DF" w:rsidRDefault="006B2416" w:rsidP="008C058B">
      <w:pPr>
        <w:pStyle w:val="Zkladntext2"/>
        <w:numPr>
          <w:ilvl w:val="0"/>
          <w:numId w:val="4"/>
        </w:numPr>
        <w:ind w:left="426" w:hanging="426"/>
        <w:jc w:val="left"/>
        <w:rPr>
          <w:bCs/>
          <w:sz w:val="22"/>
          <w:szCs w:val="22"/>
        </w:rPr>
      </w:pPr>
      <w:r w:rsidRPr="007251DF">
        <w:rPr>
          <w:bCs/>
          <w:sz w:val="22"/>
          <w:szCs w:val="22"/>
        </w:rPr>
        <w:t>Hematokrit a hemoglobín na vylúčenie polycytémie.</w:t>
      </w:r>
    </w:p>
    <w:p w14:paraId="1D8575D8" w14:textId="77777777" w:rsidR="006B2416" w:rsidRPr="007A0A39" w:rsidRDefault="006B2416" w:rsidP="009234FB">
      <w:pPr>
        <w:pStyle w:val="Zkladntext2"/>
        <w:jc w:val="left"/>
        <w:rPr>
          <w:bCs/>
          <w:sz w:val="22"/>
          <w:szCs w:val="22"/>
        </w:rPr>
      </w:pPr>
    </w:p>
    <w:p w14:paraId="24068E73" w14:textId="77777777" w:rsidR="00890FCC" w:rsidRDefault="00890FCC" w:rsidP="00890FCC">
      <w:pPr>
        <w:rPr>
          <w:rFonts w:ascii="Times New Roman" w:eastAsia="SimSun" w:hAnsi="Times New Roman"/>
          <w:sz w:val="22"/>
          <w:szCs w:val="22"/>
          <w:lang w:eastAsia="zh-CN"/>
        </w:rPr>
      </w:pPr>
      <w:r w:rsidRPr="007877A0">
        <w:rPr>
          <w:rFonts w:ascii="Times New Roman" w:eastAsia="SimSun" w:hAnsi="Times New Roman"/>
          <w:sz w:val="22"/>
          <w:szCs w:val="22"/>
          <w:lang w:eastAsia="zh-CN"/>
        </w:rPr>
        <w:t>U pacientov podstupujúcich dlhodobú liečbu androgénmi treba tiež pravidelne sledovať nasledujúce laboratórne parametre: hemoglobín a hematokrit, pečeňové testy a lipidový profil.</w:t>
      </w:r>
    </w:p>
    <w:p w14:paraId="5CAE5E29" w14:textId="77777777" w:rsidR="00890FCC" w:rsidRPr="00A1183C" w:rsidRDefault="00890FCC" w:rsidP="009234FB">
      <w:pPr>
        <w:pStyle w:val="Zkladntext2"/>
        <w:jc w:val="left"/>
        <w:rPr>
          <w:bCs/>
          <w:sz w:val="22"/>
          <w:szCs w:val="22"/>
          <w:u w:val="single"/>
        </w:rPr>
      </w:pPr>
    </w:p>
    <w:p w14:paraId="285F2A21" w14:textId="77A2845A" w:rsidR="000F3462" w:rsidRPr="008C058B" w:rsidRDefault="009D5ECE" w:rsidP="009234FB">
      <w:pPr>
        <w:pStyle w:val="Zkladntext2"/>
        <w:jc w:val="left"/>
        <w:rPr>
          <w:bCs/>
          <w:sz w:val="22"/>
          <w:szCs w:val="22"/>
          <w:u w:val="single"/>
          <w:lang w:val="sk-SK"/>
        </w:rPr>
      </w:pPr>
      <w:r w:rsidRPr="00A1183C">
        <w:rPr>
          <w:bCs/>
          <w:sz w:val="22"/>
          <w:szCs w:val="22"/>
          <w:u w:val="single"/>
        </w:rPr>
        <w:t>Ochorenia</w:t>
      </w:r>
      <w:r w:rsidR="000F3462" w:rsidRPr="00A1183C">
        <w:rPr>
          <w:bCs/>
          <w:sz w:val="22"/>
          <w:szCs w:val="22"/>
          <w:u w:val="single"/>
        </w:rPr>
        <w:t>, ktoré si vyžadujú dohľad</w:t>
      </w:r>
    </w:p>
    <w:p w14:paraId="65E008A8" w14:textId="77777777" w:rsidR="009D5ECE" w:rsidRPr="00E3515E" w:rsidRDefault="009D5ECE" w:rsidP="009234FB">
      <w:pPr>
        <w:pStyle w:val="Zkladntext2"/>
        <w:jc w:val="left"/>
        <w:rPr>
          <w:bCs/>
          <w:sz w:val="22"/>
          <w:szCs w:val="22"/>
        </w:rPr>
      </w:pPr>
    </w:p>
    <w:p w14:paraId="5EB8F89C" w14:textId="77777777" w:rsidR="000F3462" w:rsidRPr="003356F5" w:rsidRDefault="009D5ECE" w:rsidP="009234FB">
      <w:pPr>
        <w:pStyle w:val="Zkladntext2"/>
        <w:jc w:val="left"/>
        <w:rPr>
          <w:bCs/>
          <w:sz w:val="22"/>
          <w:szCs w:val="22"/>
        </w:rPr>
      </w:pPr>
      <w:r w:rsidRPr="003356F5">
        <w:rPr>
          <w:bCs/>
          <w:sz w:val="22"/>
          <w:szCs w:val="22"/>
        </w:rPr>
        <w:t>U pacientov</w:t>
      </w:r>
      <w:r w:rsidR="000F3462" w:rsidRPr="003356F5">
        <w:rPr>
          <w:bCs/>
          <w:sz w:val="22"/>
          <w:szCs w:val="22"/>
        </w:rPr>
        <w:t>, najmä starší</w:t>
      </w:r>
      <w:r w:rsidRPr="003356F5">
        <w:rPr>
          <w:bCs/>
          <w:sz w:val="22"/>
          <w:szCs w:val="22"/>
        </w:rPr>
        <w:t>ch pacientov</w:t>
      </w:r>
      <w:r w:rsidR="000F3462" w:rsidRPr="003356F5">
        <w:rPr>
          <w:bCs/>
          <w:sz w:val="22"/>
          <w:szCs w:val="22"/>
        </w:rPr>
        <w:t xml:space="preserve">, s nasledovnými </w:t>
      </w:r>
      <w:r w:rsidRPr="003356F5">
        <w:rPr>
          <w:bCs/>
          <w:sz w:val="22"/>
          <w:szCs w:val="22"/>
        </w:rPr>
        <w:t xml:space="preserve">ochoreniami, </w:t>
      </w:r>
      <w:r w:rsidR="000F3462" w:rsidRPr="003356F5">
        <w:rPr>
          <w:bCs/>
          <w:sz w:val="22"/>
          <w:szCs w:val="22"/>
        </w:rPr>
        <w:t>sa majú sledovať:</w:t>
      </w:r>
    </w:p>
    <w:p w14:paraId="792661DE" w14:textId="77777777" w:rsidR="000F3462" w:rsidRPr="00484E2F" w:rsidRDefault="000F3462" w:rsidP="009234FB">
      <w:pPr>
        <w:pStyle w:val="Zkladntext2"/>
        <w:jc w:val="left"/>
        <w:rPr>
          <w:bCs/>
          <w:sz w:val="22"/>
          <w:szCs w:val="22"/>
        </w:rPr>
      </w:pPr>
    </w:p>
    <w:p w14:paraId="508582C0" w14:textId="30BC5CD1" w:rsidR="000F3462" w:rsidRPr="00A1183C" w:rsidRDefault="000F3462" w:rsidP="009234FB">
      <w:pPr>
        <w:pStyle w:val="Zkladntext2"/>
        <w:numPr>
          <w:ilvl w:val="0"/>
          <w:numId w:val="9"/>
        </w:numPr>
        <w:jc w:val="left"/>
        <w:rPr>
          <w:bCs/>
          <w:sz w:val="22"/>
          <w:szCs w:val="22"/>
        </w:rPr>
      </w:pPr>
      <w:r w:rsidRPr="00484E2F">
        <w:rPr>
          <w:b/>
          <w:bCs/>
          <w:sz w:val="22"/>
          <w:szCs w:val="22"/>
        </w:rPr>
        <w:t>Nádory</w:t>
      </w:r>
      <w:r w:rsidRPr="00484E2F">
        <w:rPr>
          <w:bCs/>
          <w:sz w:val="22"/>
          <w:szCs w:val="22"/>
        </w:rPr>
        <w:t xml:space="preserve"> – karcinóm prsníka</w:t>
      </w:r>
      <w:r w:rsidR="007B7549">
        <w:rPr>
          <w:bCs/>
          <w:sz w:val="22"/>
          <w:szCs w:val="22"/>
          <w:lang w:val="en-IE"/>
        </w:rPr>
        <w:t xml:space="preserve"> </w:t>
      </w:r>
      <w:r w:rsidRPr="007251DF">
        <w:rPr>
          <w:bCs/>
          <w:sz w:val="22"/>
          <w:szCs w:val="22"/>
        </w:rPr>
        <w:t xml:space="preserve"> hypernefróm, karcinóm priedušiek a metastázy do kostí. U týchto pacientov sa môže spontánne objaviť hyperkalciémia, t</w:t>
      </w:r>
      <w:r w:rsidR="00EE1D24" w:rsidRPr="007A0A39">
        <w:rPr>
          <w:bCs/>
          <w:sz w:val="22"/>
          <w:szCs w:val="22"/>
        </w:rPr>
        <w:t>iež počas liečby androgénmi. Hyperkalciémia môže poukazovať na pozitívnu odpoveď nádoru na hormonálnu liečbu. Napriek tomu sa má najprv náležite lieč</w:t>
      </w:r>
      <w:r w:rsidR="00EE1D24" w:rsidRPr="007877A0">
        <w:rPr>
          <w:bCs/>
          <w:sz w:val="22"/>
          <w:szCs w:val="22"/>
        </w:rPr>
        <w:t>iť hyperkalciémia a </w:t>
      </w:r>
      <w:r w:rsidR="007C5249" w:rsidRPr="007877A0">
        <w:rPr>
          <w:bCs/>
          <w:sz w:val="22"/>
          <w:szCs w:val="22"/>
        </w:rPr>
        <w:t xml:space="preserve">s hormonálnou liečbou sa má začať </w:t>
      </w:r>
      <w:r w:rsidR="00EE1D24" w:rsidRPr="007877A0">
        <w:rPr>
          <w:bCs/>
          <w:sz w:val="22"/>
          <w:szCs w:val="22"/>
        </w:rPr>
        <w:t>po obnovení normálnych hladín vápnika.</w:t>
      </w:r>
    </w:p>
    <w:p w14:paraId="2CF5D864" w14:textId="77777777" w:rsidR="00EE1D24" w:rsidRPr="00A1183C" w:rsidRDefault="00EE1D24" w:rsidP="009234FB">
      <w:pPr>
        <w:pStyle w:val="Zkladntext2"/>
        <w:jc w:val="left"/>
        <w:rPr>
          <w:bCs/>
          <w:sz w:val="22"/>
          <w:szCs w:val="22"/>
        </w:rPr>
      </w:pPr>
    </w:p>
    <w:p w14:paraId="6E7B4998" w14:textId="77777777" w:rsidR="007C5249" w:rsidRPr="00484E2F" w:rsidRDefault="00EE1D24" w:rsidP="00890FCC">
      <w:pPr>
        <w:numPr>
          <w:ilvl w:val="0"/>
          <w:numId w:val="10"/>
        </w:numPr>
        <w:rPr>
          <w:rFonts w:ascii="Times New Roman" w:eastAsia="SimSun" w:hAnsi="Times New Roman"/>
          <w:szCs w:val="18"/>
          <w:lang w:eastAsia="zh-CN"/>
        </w:rPr>
      </w:pPr>
      <w:r w:rsidRPr="00E3515E">
        <w:rPr>
          <w:rFonts w:ascii="Times New Roman" w:hAnsi="Times New Roman"/>
          <w:b/>
          <w:bCs/>
          <w:sz w:val="22"/>
          <w:szCs w:val="22"/>
        </w:rPr>
        <w:t>Vopred existujúce ochorenia</w:t>
      </w:r>
      <w:r w:rsidRPr="00E3515E">
        <w:rPr>
          <w:rFonts w:ascii="Times New Roman" w:hAnsi="Times New Roman"/>
          <w:bCs/>
          <w:sz w:val="22"/>
          <w:szCs w:val="22"/>
        </w:rPr>
        <w:t xml:space="preserve"> - </w:t>
      </w:r>
      <w:r w:rsidR="00EC03CD" w:rsidRPr="00E3515E">
        <w:rPr>
          <w:rFonts w:ascii="Times New Roman" w:eastAsia="SimSun" w:hAnsi="Times New Roman"/>
          <w:sz w:val="22"/>
          <w:szCs w:val="22"/>
          <w:lang w:eastAsia="zh-CN"/>
        </w:rPr>
        <w:t>u</w:t>
      </w:r>
      <w:r w:rsidR="00890FCC" w:rsidRPr="00E3515E">
        <w:rPr>
          <w:rFonts w:ascii="Times New Roman" w:eastAsia="SimSun" w:hAnsi="Times New Roman"/>
          <w:sz w:val="22"/>
          <w:szCs w:val="22"/>
          <w:lang w:eastAsia="zh-CN"/>
        </w:rPr>
        <w:t xml:space="preserve"> pacientov trpiacich závažnou insuficienciou srdca, pečene alebo obličiek alebo s ischemickou chorobou srdca môže liečba test</w:t>
      </w:r>
      <w:r w:rsidR="00890FCC" w:rsidRPr="003356F5">
        <w:rPr>
          <w:rFonts w:ascii="Times New Roman" w:eastAsia="SimSun" w:hAnsi="Times New Roman"/>
          <w:sz w:val="22"/>
          <w:szCs w:val="22"/>
          <w:lang w:eastAsia="zh-CN"/>
        </w:rPr>
        <w:t>osterónom spôsobiť závažné komplikácie charakterizované vznikom edému s možným kongestívnym zlyhaním srdca. V takom prípade sa musí liečba okamžite ukončiť.</w:t>
      </w:r>
    </w:p>
    <w:p w14:paraId="0AC3412F" w14:textId="77777777" w:rsidR="007C5249" w:rsidRPr="00484E2F" w:rsidRDefault="007C5249" w:rsidP="005324F6">
      <w:pPr>
        <w:pStyle w:val="Zkladntext2"/>
        <w:jc w:val="left"/>
        <w:rPr>
          <w:bCs/>
          <w:sz w:val="22"/>
          <w:szCs w:val="22"/>
        </w:rPr>
      </w:pPr>
    </w:p>
    <w:p w14:paraId="7FA87060" w14:textId="77777777" w:rsidR="00EE1D24" w:rsidRPr="00A529AF" w:rsidRDefault="00EE1D24" w:rsidP="005324F6">
      <w:pPr>
        <w:pStyle w:val="Zkladntext2"/>
        <w:ind w:left="360"/>
        <w:jc w:val="left"/>
        <w:rPr>
          <w:bCs/>
          <w:sz w:val="22"/>
          <w:szCs w:val="22"/>
        </w:rPr>
      </w:pPr>
      <w:r w:rsidRPr="00484E2F">
        <w:rPr>
          <w:bCs/>
          <w:sz w:val="22"/>
          <w:szCs w:val="22"/>
        </w:rPr>
        <w:t>Pacienti, u</w:t>
      </w:r>
      <w:r w:rsidR="00232E97" w:rsidRPr="00484E2F">
        <w:rPr>
          <w:bCs/>
          <w:sz w:val="22"/>
          <w:szCs w:val="22"/>
        </w:rPr>
        <w:t> </w:t>
      </w:r>
      <w:r w:rsidRPr="00484E2F">
        <w:rPr>
          <w:bCs/>
          <w:sz w:val="22"/>
          <w:szCs w:val="22"/>
        </w:rPr>
        <w:t>ktorých sa objaví infarkt myokardu, insuficiencia srdca, pečene alebo obličiek, hypert</w:t>
      </w:r>
      <w:r w:rsidRPr="00A529AF">
        <w:rPr>
          <w:bCs/>
          <w:sz w:val="22"/>
          <w:szCs w:val="22"/>
        </w:rPr>
        <w:t>enzia, epilepsia alebo migréna, sa musia sledovať pre riziko zhoršenia alebo opätovného výskytu ochorenia. V takýchto prípadoch sa musí liečba okamžite zastaviť.</w:t>
      </w:r>
    </w:p>
    <w:p w14:paraId="7BEC1DF0" w14:textId="77777777" w:rsidR="00890FCC" w:rsidRPr="007B6508" w:rsidRDefault="00890FCC" w:rsidP="005324F6">
      <w:pPr>
        <w:pStyle w:val="Zkladntext2"/>
        <w:ind w:left="360"/>
        <w:jc w:val="left"/>
        <w:rPr>
          <w:bCs/>
          <w:sz w:val="22"/>
          <w:szCs w:val="22"/>
        </w:rPr>
      </w:pPr>
    </w:p>
    <w:p w14:paraId="2C458530" w14:textId="198646EC" w:rsidR="00890FCC" w:rsidRPr="000E314E" w:rsidRDefault="00890FCC" w:rsidP="00890FCC">
      <w:pPr>
        <w:ind w:left="360"/>
        <w:rPr>
          <w:bCs/>
          <w:sz w:val="22"/>
          <w:szCs w:val="22"/>
        </w:rPr>
      </w:pPr>
      <w:r w:rsidRPr="007B6508">
        <w:rPr>
          <w:rFonts w:ascii="Times New Roman" w:eastAsia="SimSun" w:hAnsi="Times New Roman"/>
          <w:sz w:val="22"/>
          <w:szCs w:val="22"/>
          <w:lang w:eastAsia="zh-CN"/>
        </w:rPr>
        <w:t>Testosterón môže spôsobiť zvýšenie krvného tlaku, preto sa má Sustanon</w:t>
      </w:r>
      <w:r w:rsidR="00F77136">
        <w:rPr>
          <w:rFonts w:ascii="Times New Roman" w:eastAsia="SimSun" w:hAnsi="Times New Roman"/>
          <w:sz w:val="22"/>
          <w:szCs w:val="22"/>
          <w:lang w:eastAsia="zh-CN"/>
        </w:rPr>
        <w:t xml:space="preserve"> 250</w:t>
      </w:r>
      <w:r w:rsidRPr="007B6508">
        <w:rPr>
          <w:rFonts w:ascii="Times New Roman" w:eastAsia="SimSun" w:hAnsi="Times New Roman"/>
          <w:sz w:val="22"/>
          <w:szCs w:val="22"/>
          <w:lang w:eastAsia="zh-CN"/>
        </w:rPr>
        <w:t xml:space="preserve"> používať u mužov s hypertenziou opatrne.</w:t>
      </w:r>
    </w:p>
    <w:p w14:paraId="021345CD" w14:textId="77777777" w:rsidR="00EE1D24" w:rsidRPr="000E314E" w:rsidRDefault="00EE1D24" w:rsidP="005324F6">
      <w:pPr>
        <w:pStyle w:val="Zkladntext2"/>
        <w:jc w:val="left"/>
        <w:rPr>
          <w:bCs/>
          <w:sz w:val="22"/>
          <w:szCs w:val="22"/>
        </w:rPr>
      </w:pPr>
    </w:p>
    <w:p w14:paraId="38698843" w14:textId="77777777" w:rsidR="006B2416" w:rsidRPr="00BA5C70" w:rsidRDefault="00EE1D24" w:rsidP="005324F6">
      <w:pPr>
        <w:pStyle w:val="Zkladntext2"/>
        <w:numPr>
          <w:ilvl w:val="0"/>
          <w:numId w:val="9"/>
        </w:numPr>
        <w:ind w:left="426" w:hanging="426"/>
        <w:jc w:val="left"/>
        <w:rPr>
          <w:bCs/>
          <w:sz w:val="22"/>
          <w:szCs w:val="22"/>
        </w:rPr>
      </w:pPr>
      <w:r w:rsidRPr="00BA5C70">
        <w:rPr>
          <w:b/>
          <w:bCs/>
          <w:sz w:val="22"/>
          <w:szCs w:val="22"/>
        </w:rPr>
        <w:t xml:space="preserve">Diabetes mellitus – </w:t>
      </w:r>
      <w:r w:rsidRPr="00BA5C70">
        <w:rPr>
          <w:bCs/>
          <w:sz w:val="22"/>
          <w:szCs w:val="22"/>
        </w:rPr>
        <w:t>u pacientov s</w:t>
      </w:r>
      <w:r w:rsidR="00232E97" w:rsidRPr="00BA5C70">
        <w:rPr>
          <w:bCs/>
          <w:sz w:val="22"/>
          <w:szCs w:val="22"/>
        </w:rPr>
        <w:t> </w:t>
      </w:r>
      <w:r w:rsidRPr="00BA5C70">
        <w:rPr>
          <w:bCs/>
          <w:sz w:val="22"/>
          <w:szCs w:val="22"/>
        </w:rPr>
        <w:t xml:space="preserve">diabetes mellitus androgény vo všeobecnosti a Sustanon 250 môžu </w:t>
      </w:r>
      <w:r w:rsidR="006B2416" w:rsidRPr="00BA5C70">
        <w:rPr>
          <w:bCs/>
          <w:sz w:val="22"/>
          <w:szCs w:val="22"/>
        </w:rPr>
        <w:t>zlepšiť toleranciu glukózy</w:t>
      </w:r>
      <w:r w:rsidRPr="00BA5C70">
        <w:rPr>
          <w:bCs/>
          <w:sz w:val="22"/>
          <w:szCs w:val="22"/>
        </w:rPr>
        <w:t xml:space="preserve"> </w:t>
      </w:r>
      <w:r w:rsidR="006B2416" w:rsidRPr="00BA5C70">
        <w:rPr>
          <w:bCs/>
          <w:sz w:val="22"/>
          <w:szCs w:val="22"/>
        </w:rPr>
        <w:t>(pozri časť</w:t>
      </w:r>
      <w:r w:rsidR="00EA2D56" w:rsidRPr="00BA5C70">
        <w:rPr>
          <w:bCs/>
          <w:sz w:val="22"/>
          <w:szCs w:val="22"/>
        </w:rPr>
        <w:t> </w:t>
      </w:r>
      <w:r w:rsidR="006B2416" w:rsidRPr="00BA5C70">
        <w:rPr>
          <w:bCs/>
          <w:sz w:val="22"/>
          <w:szCs w:val="22"/>
        </w:rPr>
        <w:t>4.5).</w:t>
      </w:r>
    </w:p>
    <w:p w14:paraId="439D546C" w14:textId="77777777" w:rsidR="00EE1D24" w:rsidRPr="00BA5C70" w:rsidRDefault="00EE1D24" w:rsidP="005A7871">
      <w:pPr>
        <w:pStyle w:val="Zkladntext2"/>
        <w:jc w:val="left"/>
        <w:rPr>
          <w:bCs/>
          <w:sz w:val="22"/>
          <w:szCs w:val="22"/>
        </w:rPr>
      </w:pPr>
    </w:p>
    <w:p w14:paraId="05BC9B2A" w14:textId="77777777" w:rsidR="00EE1D24" w:rsidRPr="00C51902" w:rsidRDefault="00EE1D24" w:rsidP="009234FB">
      <w:pPr>
        <w:pStyle w:val="Zkladntext2"/>
        <w:numPr>
          <w:ilvl w:val="0"/>
          <w:numId w:val="9"/>
        </w:numPr>
        <w:jc w:val="left"/>
        <w:rPr>
          <w:b/>
          <w:sz w:val="22"/>
          <w:szCs w:val="22"/>
        </w:rPr>
      </w:pPr>
      <w:r w:rsidRPr="00BA5C70">
        <w:rPr>
          <w:b/>
          <w:bCs/>
          <w:sz w:val="22"/>
          <w:szCs w:val="22"/>
        </w:rPr>
        <w:t xml:space="preserve">Liečba antikoagulanciami - </w:t>
      </w:r>
      <w:r w:rsidRPr="00BA5C70">
        <w:rPr>
          <w:bCs/>
          <w:sz w:val="22"/>
          <w:szCs w:val="22"/>
        </w:rPr>
        <w:t>androgény vo všeobecnosti a Sustanon 250 môžu z</w:t>
      </w:r>
      <w:r w:rsidR="007C5249" w:rsidRPr="00C51902">
        <w:rPr>
          <w:bCs/>
          <w:sz w:val="22"/>
          <w:szCs w:val="22"/>
        </w:rPr>
        <w:t xml:space="preserve">osilniť </w:t>
      </w:r>
      <w:r w:rsidRPr="00C51902">
        <w:rPr>
          <w:bCs/>
          <w:sz w:val="22"/>
          <w:szCs w:val="22"/>
        </w:rPr>
        <w:t>antikoagulačný účinok liečiv kumarínového typu (pozri časť 4.5)</w:t>
      </w:r>
      <w:r w:rsidR="00232E97" w:rsidRPr="00C51902">
        <w:rPr>
          <w:bCs/>
          <w:sz w:val="22"/>
          <w:szCs w:val="22"/>
        </w:rPr>
        <w:t>.</w:t>
      </w:r>
    </w:p>
    <w:p w14:paraId="2F994B43" w14:textId="77777777" w:rsidR="00E040C9" w:rsidRPr="004D6C39" w:rsidRDefault="00E040C9" w:rsidP="009234FB">
      <w:pPr>
        <w:pStyle w:val="Odsekzoznamu"/>
        <w:ind w:left="0"/>
        <w:rPr>
          <w:rFonts w:ascii="Times New Roman" w:hAnsi="Times New Roman"/>
          <w:b/>
          <w:sz w:val="22"/>
          <w:szCs w:val="22"/>
        </w:rPr>
      </w:pPr>
    </w:p>
    <w:p w14:paraId="26E91B3D" w14:textId="77777777" w:rsidR="006B2416" w:rsidRPr="00F930BC" w:rsidRDefault="00E040C9" w:rsidP="009234FB">
      <w:pPr>
        <w:pStyle w:val="Zkladntext2"/>
        <w:numPr>
          <w:ilvl w:val="0"/>
          <w:numId w:val="9"/>
        </w:numPr>
        <w:ind w:left="426" w:hanging="426"/>
        <w:jc w:val="left"/>
        <w:rPr>
          <w:bCs/>
          <w:sz w:val="22"/>
          <w:szCs w:val="22"/>
        </w:rPr>
      </w:pPr>
      <w:r w:rsidRPr="004D6C39">
        <w:rPr>
          <w:b/>
          <w:bCs/>
          <w:sz w:val="22"/>
          <w:szCs w:val="22"/>
        </w:rPr>
        <w:t xml:space="preserve">Apnoe počas spánku - </w:t>
      </w:r>
      <w:r w:rsidRPr="004D6C39">
        <w:rPr>
          <w:bCs/>
          <w:sz w:val="22"/>
          <w:szCs w:val="22"/>
        </w:rPr>
        <w:t>n</w:t>
      </w:r>
      <w:r w:rsidR="006B2416" w:rsidRPr="002D4D65">
        <w:rPr>
          <w:bCs/>
          <w:sz w:val="22"/>
          <w:szCs w:val="22"/>
        </w:rPr>
        <w:t xml:space="preserve">a odporúčanie </w:t>
      </w:r>
      <w:r w:rsidRPr="002D4D65">
        <w:rPr>
          <w:bCs/>
          <w:sz w:val="22"/>
          <w:szCs w:val="22"/>
        </w:rPr>
        <w:t xml:space="preserve">týkajúce sa bezpečnosti </w:t>
      </w:r>
      <w:r w:rsidR="006B2416" w:rsidRPr="002D4D65">
        <w:rPr>
          <w:bCs/>
          <w:sz w:val="22"/>
          <w:szCs w:val="22"/>
        </w:rPr>
        <w:t>liečby estermi testosterónu u</w:t>
      </w:r>
      <w:r w:rsidRPr="002D4D65">
        <w:rPr>
          <w:bCs/>
          <w:sz w:val="22"/>
          <w:szCs w:val="22"/>
        </w:rPr>
        <w:t xml:space="preserve"> mužov </w:t>
      </w:r>
      <w:r w:rsidR="006B2416" w:rsidRPr="0083453B">
        <w:rPr>
          <w:bCs/>
          <w:sz w:val="22"/>
          <w:szCs w:val="22"/>
        </w:rPr>
        <w:t>s apnoe počas spánku nie je dos</w:t>
      </w:r>
      <w:r w:rsidRPr="0083453B">
        <w:rPr>
          <w:bCs/>
          <w:sz w:val="22"/>
          <w:szCs w:val="22"/>
        </w:rPr>
        <w:t>tatočné množstvo</w:t>
      </w:r>
      <w:r w:rsidR="006B2416" w:rsidRPr="0083453B">
        <w:rPr>
          <w:bCs/>
          <w:sz w:val="22"/>
          <w:szCs w:val="22"/>
        </w:rPr>
        <w:t xml:space="preserve"> dôkazov. U </w:t>
      </w:r>
      <w:r w:rsidRPr="00F67A8D">
        <w:rPr>
          <w:bCs/>
          <w:sz w:val="22"/>
          <w:szCs w:val="22"/>
        </w:rPr>
        <w:t>pacientov</w:t>
      </w:r>
      <w:r w:rsidR="006B2416" w:rsidRPr="00F67A8D">
        <w:rPr>
          <w:bCs/>
          <w:sz w:val="22"/>
          <w:szCs w:val="22"/>
        </w:rPr>
        <w:t xml:space="preserve"> s rizikovými faktormi</w:t>
      </w:r>
      <w:r w:rsidR="00EA2D56" w:rsidRPr="00F930BC">
        <w:rPr>
          <w:bCs/>
          <w:sz w:val="22"/>
          <w:szCs w:val="22"/>
        </w:rPr>
        <w:t>,</w:t>
      </w:r>
      <w:r w:rsidR="006B2416" w:rsidRPr="00F930BC">
        <w:rPr>
          <w:bCs/>
          <w:sz w:val="22"/>
          <w:szCs w:val="22"/>
        </w:rPr>
        <w:t xml:space="preserve"> ako </w:t>
      </w:r>
      <w:r w:rsidRPr="00F930BC">
        <w:rPr>
          <w:bCs/>
          <w:sz w:val="22"/>
          <w:szCs w:val="22"/>
        </w:rPr>
        <w:t xml:space="preserve">napr. </w:t>
      </w:r>
      <w:r w:rsidR="006B2416" w:rsidRPr="00F930BC">
        <w:rPr>
          <w:bCs/>
          <w:sz w:val="22"/>
          <w:szCs w:val="22"/>
        </w:rPr>
        <w:t>adipozita alebo chronické pľúcne ochorenie</w:t>
      </w:r>
      <w:r w:rsidR="00EA2D56" w:rsidRPr="00F930BC">
        <w:rPr>
          <w:bCs/>
          <w:sz w:val="22"/>
          <w:szCs w:val="22"/>
        </w:rPr>
        <w:t>,</w:t>
      </w:r>
      <w:r w:rsidR="006B2416" w:rsidRPr="00F930BC">
        <w:rPr>
          <w:bCs/>
          <w:sz w:val="22"/>
          <w:szCs w:val="22"/>
        </w:rPr>
        <w:t xml:space="preserve"> je potrebn</w:t>
      </w:r>
      <w:r w:rsidR="00040128" w:rsidRPr="00F930BC">
        <w:rPr>
          <w:bCs/>
          <w:sz w:val="22"/>
          <w:szCs w:val="22"/>
        </w:rPr>
        <w:t>é</w:t>
      </w:r>
      <w:r w:rsidR="006B2416" w:rsidRPr="00F930BC">
        <w:rPr>
          <w:bCs/>
          <w:sz w:val="22"/>
          <w:szCs w:val="22"/>
        </w:rPr>
        <w:t xml:space="preserve"> správne klinické zhodnotenie a opatrnosť.</w:t>
      </w:r>
    </w:p>
    <w:p w14:paraId="57C6BB17" w14:textId="77777777" w:rsidR="007C5249" w:rsidRPr="00011803" w:rsidRDefault="007C5249" w:rsidP="005324F6">
      <w:pPr>
        <w:pStyle w:val="Zkladntext2"/>
        <w:jc w:val="left"/>
        <w:rPr>
          <w:sz w:val="22"/>
          <w:szCs w:val="22"/>
          <w:u w:val="single"/>
        </w:rPr>
      </w:pPr>
    </w:p>
    <w:p w14:paraId="7E044994" w14:textId="6E43DDC8" w:rsidR="00E040C9" w:rsidRPr="001B007D" w:rsidRDefault="00E040C9" w:rsidP="005324F6">
      <w:pPr>
        <w:pStyle w:val="Zkladntext2"/>
        <w:keepNext/>
        <w:jc w:val="left"/>
        <w:rPr>
          <w:bCs/>
          <w:sz w:val="22"/>
          <w:szCs w:val="22"/>
          <w:u w:val="single"/>
          <w:lang w:val="en-IE"/>
        </w:rPr>
      </w:pPr>
      <w:r w:rsidRPr="00011803">
        <w:rPr>
          <w:bCs/>
          <w:sz w:val="22"/>
          <w:szCs w:val="22"/>
          <w:u w:val="single"/>
        </w:rPr>
        <w:t xml:space="preserve">Nežiaduce </w:t>
      </w:r>
      <w:r w:rsidR="00BC6C7A">
        <w:rPr>
          <w:bCs/>
          <w:sz w:val="22"/>
          <w:szCs w:val="22"/>
          <w:u w:val="single"/>
          <w:lang w:val="en-IE"/>
        </w:rPr>
        <w:t>reakci</w:t>
      </w:r>
      <w:r w:rsidR="00B81EEE">
        <w:rPr>
          <w:bCs/>
          <w:sz w:val="22"/>
          <w:szCs w:val="22"/>
          <w:u w:val="single"/>
          <w:lang w:val="en-IE"/>
        </w:rPr>
        <w:t>e</w:t>
      </w:r>
    </w:p>
    <w:p w14:paraId="0587A602" w14:textId="77777777" w:rsidR="007C5249" w:rsidRPr="00EA5814" w:rsidRDefault="007C5249" w:rsidP="005A7871">
      <w:pPr>
        <w:pStyle w:val="Zkladntext2"/>
        <w:keepNext/>
        <w:jc w:val="left"/>
        <w:rPr>
          <w:bCs/>
          <w:sz w:val="22"/>
          <w:szCs w:val="22"/>
        </w:rPr>
      </w:pPr>
    </w:p>
    <w:p w14:paraId="3FF85C4A" w14:textId="77777777" w:rsidR="00BC6C7A" w:rsidRPr="008C058B" w:rsidRDefault="00BC6C7A" w:rsidP="00BC6C7A">
      <w:pPr>
        <w:rPr>
          <w:rFonts w:ascii="Times New Roman" w:hAnsi="Times New Roman"/>
          <w:iCs/>
          <w:sz w:val="22"/>
          <w:szCs w:val="22"/>
        </w:rPr>
      </w:pPr>
      <w:r w:rsidRPr="008C058B">
        <w:rPr>
          <w:rFonts w:ascii="Times New Roman" w:hAnsi="Times New Roman"/>
          <w:iCs/>
          <w:sz w:val="22"/>
          <w:szCs w:val="22"/>
        </w:rPr>
        <w:t>Ak sa vyskytnú nežiaduce reakcie súvisiace s androgénmi (pozri časť 4.8), podávanie Sustanonu 250 sa má prerušiť. Je na rozhodnutí predpisujúceho lekára, aby určil pomer prínosu a rizika opätovného podávania lieku Sustanon 250 po tom, čo sa vyriešia všetky reakcie súvisiace s androgénmi.</w:t>
      </w:r>
    </w:p>
    <w:p w14:paraId="3A081B26" w14:textId="77777777" w:rsidR="007C5249" w:rsidRPr="002652FF" w:rsidRDefault="007C5249" w:rsidP="005324F6">
      <w:pPr>
        <w:pStyle w:val="Zkladntext2"/>
        <w:jc w:val="left"/>
        <w:rPr>
          <w:bCs/>
          <w:sz w:val="22"/>
          <w:szCs w:val="22"/>
        </w:rPr>
      </w:pPr>
    </w:p>
    <w:p w14:paraId="640648BC" w14:textId="3793A00F" w:rsidR="00EA2D56" w:rsidRPr="008C058B" w:rsidRDefault="00997445" w:rsidP="005324F6">
      <w:pPr>
        <w:pStyle w:val="Zkladntext2"/>
        <w:keepNext/>
        <w:jc w:val="left"/>
        <w:rPr>
          <w:bCs/>
          <w:sz w:val="22"/>
          <w:szCs w:val="22"/>
          <w:u w:val="single"/>
          <w:lang w:val="sk-SK"/>
        </w:rPr>
      </w:pPr>
      <w:r w:rsidRPr="002652FF">
        <w:rPr>
          <w:bCs/>
          <w:sz w:val="22"/>
          <w:szCs w:val="22"/>
          <w:u w:val="single"/>
          <w:lang w:val="sk-SK"/>
        </w:rPr>
        <w:t>U</w:t>
      </w:r>
      <w:r w:rsidR="00E040C9" w:rsidRPr="002652FF">
        <w:rPr>
          <w:bCs/>
          <w:sz w:val="22"/>
          <w:szCs w:val="22"/>
          <w:u w:val="single"/>
        </w:rPr>
        <w:t>žívanie u</w:t>
      </w:r>
      <w:r w:rsidR="007C5249" w:rsidRPr="002652FF">
        <w:rPr>
          <w:bCs/>
          <w:sz w:val="22"/>
          <w:szCs w:val="22"/>
          <w:u w:val="single"/>
        </w:rPr>
        <w:t> </w:t>
      </w:r>
      <w:r w:rsidR="00E040C9" w:rsidRPr="002652FF">
        <w:rPr>
          <w:bCs/>
          <w:sz w:val="22"/>
          <w:szCs w:val="22"/>
          <w:u w:val="single"/>
        </w:rPr>
        <w:t>športovcov</w:t>
      </w:r>
    </w:p>
    <w:p w14:paraId="60213C85" w14:textId="77777777" w:rsidR="007C5249" w:rsidRPr="002652FF" w:rsidRDefault="007C5249" w:rsidP="005A7871">
      <w:pPr>
        <w:keepNext/>
        <w:numPr>
          <w:ilvl w:val="12"/>
          <w:numId w:val="0"/>
        </w:numPr>
        <w:ind w:right="-2"/>
        <w:rPr>
          <w:rFonts w:ascii="Times New Roman" w:hAnsi="Times New Roman"/>
          <w:bCs/>
          <w:sz w:val="22"/>
          <w:szCs w:val="22"/>
        </w:rPr>
      </w:pPr>
    </w:p>
    <w:p w14:paraId="761BAD8E" w14:textId="35702249" w:rsidR="005073A4" w:rsidRPr="008C058B" w:rsidRDefault="005073A4" w:rsidP="005073A4">
      <w:pPr>
        <w:rPr>
          <w:rFonts w:ascii="Times New Roman" w:hAnsi="Times New Roman"/>
          <w:iCs/>
          <w:sz w:val="22"/>
          <w:szCs w:val="22"/>
          <w:lang w:val="en-IE"/>
        </w:rPr>
      </w:pPr>
      <w:r w:rsidRPr="008C058B">
        <w:rPr>
          <w:rFonts w:ascii="Times New Roman" w:hAnsi="Times New Roman"/>
          <w:iCs/>
          <w:sz w:val="22"/>
          <w:szCs w:val="22"/>
          <w:lang w:val="en-IE"/>
        </w:rPr>
        <w:t>Pacienti zapájajúci sa do súťaží, ktoré sú pod dohľadom Svetovej antidopingovej agentúry (</w:t>
      </w:r>
      <w:r w:rsidR="002652FF">
        <w:rPr>
          <w:rFonts w:ascii="Times New Roman" w:hAnsi="Times New Roman"/>
          <w:iCs/>
          <w:sz w:val="22"/>
          <w:szCs w:val="22"/>
          <w:lang w:val="en-IE"/>
        </w:rPr>
        <w:t>World Anti</w:t>
      </w:r>
      <w:r w:rsidR="009F020C">
        <w:rPr>
          <w:rFonts w:ascii="Times New Roman" w:hAnsi="Times New Roman"/>
          <w:iCs/>
          <w:sz w:val="22"/>
          <w:szCs w:val="22"/>
          <w:lang w:val="en-IE"/>
        </w:rPr>
        <w:t>-</w:t>
      </w:r>
      <w:r w:rsidR="002652FF">
        <w:rPr>
          <w:rFonts w:ascii="Times New Roman" w:hAnsi="Times New Roman"/>
          <w:iCs/>
          <w:sz w:val="22"/>
          <w:szCs w:val="22"/>
          <w:lang w:val="en-IE"/>
        </w:rPr>
        <w:t xml:space="preserve">Doping Agency, </w:t>
      </w:r>
      <w:r w:rsidRPr="008C058B">
        <w:rPr>
          <w:rFonts w:ascii="Times New Roman" w:hAnsi="Times New Roman"/>
          <w:iCs/>
          <w:sz w:val="22"/>
          <w:szCs w:val="22"/>
          <w:lang w:val="en-IE"/>
        </w:rPr>
        <w:t>WADA), si musia prečítať kódex WADA a informovať svojho lekára, ktorý následne predpisuje Sustanon</w:t>
      </w:r>
      <w:r w:rsidR="009F020C">
        <w:rPr>
          <w:rFonts w:ascii="Times New Roman" w:hAnsi="Times New Roman"/>
          <w:iCs/>
          <w:sz w:val="22"/>
          <w:szCs w:val="22"/>
          <w:lang w:val="en-IE"/>
        </w:rPr>
        <w:t xml:space="preserve"> 250</w:t>
      </w:r>
      <w:r w:rsidR="00997445" w:rsidRPr="008C058B">
        <w:rPr>
          <w:rFonts w:ascii="Times New Roman" w:hAnsi="Times New Roman"/>
          <w:iCs/>
          <w:sz w:val="22"/>
          <w:szCs w:val="22"/>
          <w:lang w:val="en-IE"/>
        </w:rPr>
        <w:t>.</w:t>
      </w:r>
      <w:r w:rsidRPr="008C058B">
        <w:rPr>
          <w:rFonts w:ascii="Times New Roman" w:hAnsi="Times New Roman"/>
          <w:iCs/>
          <w:sz w:val="22"/>
          <w:szCs w:val="22"/>
          <w:lang w:val="en-IE"/>
        </w:rPr>
        <w:t xml:space="preserve"> </w:t>
      </w:r>
    </w:p>
    <w:p w14:paraId="1EDE085D" w14:textId="16515E1E" w:rsidR="006B2416" w:rsidRPr="004143F6" w:rsidRDefault="00E040C9" w:rsidP="009234FB">
      <w:pPr>
        <w:keepNext/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CF1575">
        <w:rPr>
          <w:rFonts w:ascii="Times New Roman" w:hAnsi="Times New Roman"/>
          <w:bCs/>
          <w:sz w:val="22"/>
          <w:szCs w:val="22"/>
        </w:rPr>
        <w:t>Sustanon 250 môže interferovať s</w:t>
      </w:r>
      <w:r w:rsidR="00B11A0B" w:rsidRPr="00CF1575">
        <w:rPr>
          <w:rFonts w:ascii="Times New Roman" w:hAnsi="Times New Roman"/>
          <w:bCs/>
          <w:sz w:val="22"/>
          <w:szCs w:val="22"/>
        </w:rPr>
        <w:t> </w:t>
      </w:r>
      <w:r w:rsidRPr="00CF1575">
        <w:rPr>
          <w:rFonts w:ascii="Times New Roman" w:hAnsi="Times New Roman"/>
          <w:bCs/>
          <w:sz w:val="22"/>
          <w:szCs w:val="22"/>
        </w:rPr>
        <w:t xml:space="preserve">vyšetrením dopingu. </w:t>
      </w:r>
      <w:r w:rsidR="006B2416" w:rsidRPr="00CF1575">
        <w:rPr>
          <w:rFonts w:ascii="Times New Roman" w:hAnsi="Times New Roman"/>
          <w:sz w:val="22"/>
          <w:szCs w:val="22"/>
        </w:rPr>
        <w:t>Zneužívanie androgénov na zvýšenie športovej výkonnosti vedie k </w:t>
      </w:r>
      <w:r w:rsidRPr="00CF1575">
        <w:rPr>
          <w:rFonts w:ascii="Times New Roman" w:hAnsi="Times New Roman"/>
          <w:bCs/>
          <w:sz w:val="22"/>
          <w:szCs w:val="22"/>
        </w:rPr>
        <w:t>zá</w:t>
      </w:r>
      <w:r w:rsidR="006B2416" w:rsidRPr="004143F6">
        <w:rPr>
          <w:rFonts w:ascii="Times New Roman" w:hAnsi="Times New Roman"/>
          <w:bCs/>
          <w:sz w:val="22"/>
          <w:szCs w:val="22"/>
        </w:rPr>
        <w:t>v</w:t>
      </w:r>
      <w:r w:rsidRPr="004143F6">
        <w:rPr>
          <w:rFonts w:ascii="Times New Roman" w:hAnsi="Times New Roman"/>
          <w:bCs/>
          <w:sz w:val="22"/>
          <w:szCs w:val="22"/>
        </w:rPr>
        <w:t>a</w:t>
      </w:r>
      <w:r w:rsidR="006B2416" w:rsidRPr="004143F6">
        <w:rPr>
          <w:rFonts w:ascii="Times New Roman" w:hAnsi="Times New Roman"/>
          <w:bCs/>
          <w:sz w:val="22"/>
          <w:szCs w:val="22"/>
        </w:rPr>
        <w:t>žn</w:t>
      </w:r>
      <w:r w:rsidRPr="004143F6">
        <w:rPr>
          <w:rFonts w:ascii="Times New Roman" w:hAnsi="Times New Roman"/>
          <w:bCs/>
          <w:sz w:val="22"/>
          <w:szCs w:val="22"/>
        </w:rPr>
        <w:t>ý</w:t>
      </w:r>
      <w:r w:rsidR="006B2416" w:rsidRPr="004143F6">
        <w:rPr>
          <w:rFonts w:ascii="Times New Roman" w:hAnsi="Times New Roman"/>
          <w:bCs/>
          <w:sz w:val="22"/>
          <w:szCs w:val="22"/>
        </w:rPr>
        <w:t>m</w:t>
      </w:r>
      <w:r w:rsidR="006B2416" w:rsidRPr="004143F6">
        <w:rPr>
          <w:rFonts w:ascii="Times New Roman" w:hAnsi="Times New Roman"/>
          <w:sz w:val="22"/>
          <w:szCs w:val="22"/>
        </w:rPr>
        <w:t xml:space="preserve"> zdravotným rizikám, a preto sa neodporúča.</w:t>
      </w:r>
    </w:p>
    <w:p w14:paraId="46F3A14A" w14:textId="77777777" w:rsidR="00EA47EB" w:rsidRPr="00360E33" w:rsidRDefault="00EA47EB" w:rsidP="005324F6">
      <w:pPr>
        <w:pStyle w:val="Zkladntext2"/>
        <w:jc w:val="left"/>
        <w:rPr>
          <w:bCs/>
          <w:sz w:val="22"/>
          <w:szCs w:val="22"/>
        </w:rPr>
      </w:pPr>
    </w:p>
    <w:p w14:paraId="0B7F74FE" w14:textId="4A946124" w:rsidR="0085560E" w:rsidRPr="008C058B" w:rsidRDefault="004A0DFC" w:rsidP="0085560E">
      <w:pPr>
        <w:pStyle w:val="Zkladntext2"/>
        <w:jc w:val="left"/>
        <w:rPr>
          <w:bCs/>
          <w:sz w:val="22"/>
          <w:szCs w:val="22"/>
          <w:u w:val="single"/>
          <w:lang w:val="sk-SK"/>
        </w:rPr>
      </w:pPr>
      <w:r w:rsidRPr="00EA5814">
        <w:rPr>
          <w:bCs/>
          <w:sz w:val="22"/>
          <w:szCs w:val="22"/>
          <w:u w:val="single"/>
        </w:rPr>
        <w:t xml:space="preserve">Nadmerné používanie </w:t>
      </w:r>
      <w:r w:rsidR="002D7294" w:rsidRPr="004463D0">
        <w:rPr>
          <w:bCs/>
          <w:sz w:val="22"/>
          <w:szCs w:val="22"/>
          <w:u w:val="single"/>
        </w:rPr>
        <w:t xml:space="preserve">a </w:t>
      </w:r>
      <w:r w:rsidR="0085560E" w:rsidRPr="004463D0">
        <w:rPr>
          <w:bCs/>
          <w:sz w:val="22"/>
          <w:szCs w:val="22"/>
          <w:u w:val="single"/>
        </w:rPr>
        <w:t>závislosť</w:t>
      </w:r>
      <w:r w:rsidR="002D7294" w:rsidRPr="00224836">
        <w:rPr>
          <w:bCs/>
          <w:sz w:val="22"/>
          <w:szCs w:val="22"/>
          <w:u w:val="single"/>
        </w:rPr>
        <w:t xml:space="preserve"> od liekov</w:t>
      </w:r>
    </w:p>
    <w:p w14:paraId="33B7F756" w14:textId="77777777" w:rsidR="0085560E" w:rsidRPr="007251DF" w:rsidRDefault="0085560E" w:rsidP="0085560E">
      <w:pPr>
        <w:pStyle w:val="Zkladntext2"/>
        <w:jc w:val="left"/>
        <w:rPr>
          <w:bCs/>
          <w:sz w:val="22"/>
          <w:szCs w:val="22"/>
        </w:rPr>
      </w:pPr>
    </w:p>
    <w:p w14:paraId="33986786" w14:textId="07E73F61" w:rsidR="0085560E" w:rsidRPr="00732B6D" w:rsidRDefault="0085560E" w:rsidP="0085560E">
      <w:pPr>
        <w:pStyle w:val="Zkladntext2"/>
        <w:jc w:val="left"/>
        <w:rPr>
          <w:bCs/>
          <w:sz w:val="22"/>
          <w:szCs w:val="22"/>
        </w:rPr>
      </w:pPr>
      <w:r w:rsidRPr="007251DF">
        <w:rPr>
          <w:bCs/>
          <w:sz w:val="22"/>
          <w:szCs w:val="22"/>
        </w:rPr>
        <w:t xml:space="preserve">Testosterón </w:t>
      </w:r>
      <w:r w:rsidR="009324A9">
        <w:rPr>
          <w:bCs/>
          <w:sz w:val="22"/>
          <w:szCs w:val="22"/>
        </w:rPr>
        <w:t>je</w:t>
      </w:r>
      <w:r w:rsidRPr="007251DF">
        <w:rPr>
          <w:bCs/>
          <w:sz w:val="22"/>
          <w:szCs w:val="22"/>
        </w:rPr>
        <w:t xml:space="preserve"> </w:t>
      </w:r>
      <w:r w:rsidR="002D7294" w:rsidRPr="007251DF">
        <w:rPr>
          <w:bCs/>
          <w:sz w:val="22"/>
          <w:szCs w:val="22"/>
        </w:rPr>
        <w:t>zvyčajne v</w:t>
      </w:r>
      <w:r w:rsidR="004A0DFC" w:rsidRPr="007251DF">
        <w:rPr>
          <w:bCs/>
          <w:sz w:val="22"/>
          <w:szCs w:val="22"/>
        </w:rPr>
        <w:t>o</w:t>
      </w:r>
      <w:r w:rsidR="002D7294" w:rsidRPr="007A0A39">
        <w:rPr>
          <w:bCs/>
          <w:sz w:val="22"/>
          <w:szCs w:val="22"/>
        </w:rPr>
        <w:t xml:space="preserve"> </w:t>
      </w:r>
      <w:r w:rsidR="004A0DFC" w:rsidRPr="007A0A39">
        <w:rPr>
          <w:bCs/>
          <w:sz w:val="22"/>
          <w:szCs w:val="22"/>
        </w:rPr>
        <w:t xml:space="preserve">vyšších </w:t>
      </w:r>
      <w:r w:rsidR="002D7294" w:rsidRPr="007A0A39">
        <w:rPr>
          <w:bCs/>
          <w:sz w:val="22"/>
          <w:szCs w:val="22"/>
        </w:rPr>
        <w:t>dávk</w:t>
      </w:r>
      <w:r w:rsidR="002D7294" w:rsidRPr="0002562E">
        <w:rPr>
          <w:bCs/>
          <w:sz w:val="22"/>
          <w:szCs w:val="22"/>
        </w:rPr>
        <w:t xml:space="preserve">ach ako </w:t>
      </w:r>
      <w:r w:rsidR="004A0DFC" w:rsidRPr="0002562E">
        <w:rPr>
          <w:bCs/>
          <w:sz w:val="22"/>
          <w:szCs w:val="22"/>
        </w:rPr>
        <w:t xml:space="preserve">sa </w:t>
      </w:r>
      <w:r w:rsidR="002D7294" w:rsidRPr="0002562E">
        <w:rPr>
          <w:bCs/>
          <w:sz w:val="22"/>
          <w:szCs w:val="22"/>
        </w:rPr>
        <w:t>odporúča</w:t>
      </w:r>
      <w:r w:rsidR="004A0DFC" w:rsidRPr="0002562E">
        <w:rPr>
          <w:bCs/>
          <w:sz w:val="22"/>
          <w:szCs w:val="22"/>
        </w:rPr>
        <w:t>jú v </w:t>
      </w:r>
      <w:r w:rsidR="002D7294" w:rsidRPr="00AC53ED">
        <w:rPr>
          <w:bCs/>
          <w:sz w:val="22"/>
          <w:szCs w:val="22"/>
        </w:rPr>
        <w:t>schválen</w:t>
      </w:r>
      <w:r w:rsidR="004A0DFC" w:rsidRPr="00AC53ED">
        <w:rPr>
          <w:bCs/>
          <w:sz w:val="22"/>
          <w:szCs w:val="22"/>
        </w:rPr>
        <w:t xml:space="preserve">ých </w:t>
      </w:r>
      <w:r w:rsidR="002D7294" w:rsidRPr="00AC53ED">
        <w:rPr>
          <w:bCs/>
          <w:sz w:val="22"/>
          <w:szCs w:val="22"/>
        </w:rPr>
        <w:t>indikáci</w:t>
      </w:r>
      <w:r w:rsidR="004A0DFC" w:rsidRPr="00D937E2">
        <w:rPr>
          <w:bCs/>
          <w:sz w:val="22"/>
          <w:szCs w:val="22"/>
        </w:rPr>
        <w:t xml:space="preserve">ách </w:t>
      </w:r>
      <w:r w:rsidR="002D7294" w:rsidRPr="00D937E2">
        <w:rPr>
          <w:bCs/>
          <w:sz w:val="22"/>
          <w:szCs w:val="22"/>
        </w:rPr>
        <w:t xml:space="preserve">a v kombinácii s inými androgénnymi anabolickými steroidmi </w:t>
      </w:r>
      <w:r w:rsidRPr="007877A0">
        <w:rPr>
          <w:bCs/>
          <w:sz w:val="22"/>
          <w:szCs w:val="22"/>
        </w:rPr>
        <w:t xml:space="preserve">predmetom </w:t>
      </w:r>
      <w:r w:rsidR="004A0DFC" w:rsidRPr="007877A0">
        <w:rPr>
          <w:bCs/>
          <w:sz w:val="22"/>
          <w:szCs w:val="22"/>
        </w:rPr>
        <w:t>nadmerného pou</w:t>
      </w:r>
      <w:r w:rsidRPr="008E1F73">
        <w:rPr>
          <w:bCs/>
          <w:sz w:val="22"/>
          <w:szCs w:val="22"/>
        </w:rPr>
        <w:t>ž</w:t>
      </w:r>
      <w:r w:rsidR="001E2C0B" w:rsidRPr="008E1F73">
        <w:rPr>
          <w:bCs/>
          <w:sz w:val="22"/>
          <w:szCs w:val="22"/>
        </w:rPr>
        <w:t>ívania</w:t>
      </w:r>
      <w:r w:rsidRPr="008E1F73">
        <w:rPr>
          <w:bCs/>
          <w:sz w:val="22"/>
          <w:szCs w:val="22"/>
        </w:rPr>
        <w:t xml:space="preserve">. </w:t>
      </w:r>
      <w:r w:rsidR="004A0DFC" w:rsidRPr="000D616A">
        <w:rPr>
          <w:bCs/>
          <w:sz w:val="22"/>
          <w:szCs w:val="22"/>
        </w:rPr>
        <w:t>Nadmerné použ</w:t>
      </w:r>
      <w:r w:rsidR="001E2C0B" w:rsidRPr="000D616A">
        <w:rPr>
          <w:bCs/>
          <w:sz w:val="22"/>
          <w:szCs w:val="22"/>
        </w:rPr>
        <w:t xml:space="preserve">ívanie </w:t>
      </w:r>
      <w:r w:rsidRPr="000D616A">
        <w:rPr>
          <w:bCs/>
          <w:sz w:val="22"/>
          <w:szCs w:val="22"/>
        </w:rPr>
        <w:t>testosterónu a iných androgénných anabolických steroidov môže viesť k závažn</w:t>
      </w:r>
      <w:r w:rsidR="001E2C0B" w:rsidRPr="000D616A">
        <w:rPr>
          <w:bCs/>
          <w:sz w:val="22"/>
          <w:szCs w:val="22"/>
        </w:rPr>
        <w:t>ý</w:t>
      </w:r>
      <w:r w:rsidRPr="000D616A">
        <w:rPr>
          <w:bCs/>
          <w:sz w:val="22"/>
          <w:szCs w:val="22"/>
        </w:rPr>
        <w:t xml:space="preserve">m nežiaducim účinkom vrátane: kardiovaskulárnych (v niektorých prípadoch s fatálnymi následkami), pečeňových </w:t>
      </w:r>
      <w:r w:rsidRPr="00A1183C">
        <w:rPr>
          <w:bCs/>
          <w:sz w:val="22"/>
          <w:szCs w:val="22"/>
        </w:rPr>
        <w:t>a/alebo psychi</w:t>
      </w:r>
      <w:r w:rsidR="002D7294" w:rsidRPr="00A1183C">
        <w:rPr>
          <w:bCs/>
          <w:sz w:val="22"/>
          <w:szCs w:val="22"/>
        </w:rPr>
        <w:t xml:space="preserve">ckých </w:t>
      </w:r>
      <w:r w:rsidRPr="00A1183C">
        <w:rPr>
          <w:bCs/>
          <w:sz w:val="22"/>
          <w:szCs w:val="22"/>
        </w:rPr>
        <w:t xml:space="preserve">príhod. </w:t>
      </w:r>
      <w:r w:rsidR="008D58B0" w:rsidRPr="00A1183C">
        <w:rPr>
          <w:bCs/>
          <w:sz w:val="22"/>
          <w:szCs w:val="22"/>
        </w:rPr>
        <w:t>Nadmerné používanie</w:t>
      </w:r>
      <w:r w:rsidR="001E2C0B" w:rsidRPr="00A1183C">
        <w:rPr>
          <w:bCs/>
          <w:sz w:val="22"/>
          <w:szCs w:val="22"/>
        </w:rPr>
        <w:t xml:space="preserve"> </w:t>
      </w:r>
      <w:r w:rsidRPr="00A1183C">
        <w:rPr>
          <w:bCs/>
          <w:sz w:val="22"/>
          <w:szCs w:val="22"/>
        </w:rPr>
        <w:t>testosterónu môže</w:t>
      </w:r>
      <w:r w:rsidR="002D7294" w:rsidRPr="00A1183C">
        <w:rPr>
          <w:bCs/>
          <w:sz w:val="22"/>
          <w:szCs w:val="22"/>
        </w:rPr>
        <w:t xml:space="preserve"> spôsobiť </w:t>
      </w:r>
      <w:r w:rsidRPr="00C80F6F">
        <w:rPr>
          <w:bCs/>
          <w:sz w:val="22"/>
          <w:szCs w:val="22"/>
        </w:rPr>
        <w:t xml:space="preserve">závislosť a príznaky </w:t>
      </w:r>
      <w:r w:rsidR="002D7294" w:rsidRPr="00C80F6F">
        <w:rPr>
          <w:bCs/>
          <w:sz w:val="22"/>
          <w:szCs w:val="22"/>
        </w:rPr>
        <w:t xml:space="preserve">z vysadenia </w:t>
      </w:r>
      <w:r w:rsidRPr="00C80F6F">
        <w:rPr>
          <w:bCs/>
          <w:sz w:val="22"/>
          <w:szCs w:val="22"/>
        </w:rPr>
        <w:t xml:space="preserve">po významnom znížení dávky alebo náhlom prerušení užívania. </w:t>
      </w:r>
      <w:r w:rsidR="00234196" w:rsidRPr="00234196">
        <w:rPr>
          <w:sz w:val="22"/>
          <w:szCs w:val="22"/>
          <w:lang w:val="en-US"/>
        </w:rPr>
        <w:t>Nadmerné používanie testosterónu ako aj ďalších androgénnych anabolických steroidov prináša závážné zdravotné riziká a treba sa mu podľa možnosti vyhnúť</w:t>
      </w:r>
      <w:r w:rsidRPr="00732B6D">
        <w:rPr>
          <w:bCs/>
          <w:sz w:val="22"/>
          <w:szCs w:val="22"/>
        </w:rPr>
        <w:t>(pozri časť 4.8)</w:t>
      </w:r>
      <w:r w:rsidR="00646F82" w:rsidRPr="00732B6D">
        <w:rPr>
          <w:bCs/>
          <w:sz w:val="22"/>
          <w:szCs w:val="22"/>
        </w:rPr>
        <w:t>.</w:t>
      </w:r>
    </w:p>
    <w:p w14:paraId="78C84BE1" w14:textId="77777777" w:rsidR="0085560E" w:rsidRPr="009324A9" w:rsidRDefault="0085560E" w:rsidP="005324F6">
      <w:pPr>
        <w:pStyle w:val="Zkladntext2"/>
        <w:jc w:val="left"/>
        <w:rPr>
          <w:bCs/>
          <w:sz w:val="22"/>
          <w:szCs w:val="22"/>
        </w:rPr>
      </w:pPr>
    </w:p>
    <w:p w14:paraId="3713EC87" w14:textId="4D772F4C" w:rsidR="00E040C9" w:rsidRPr="008C058B" w:rsidRDefault="00E040C9" w:rsidP="005324F6">
      <w:pPr>
        <w:pStyle w:val="Zkladntext2"/>
        <w:jc w:val="left"/>
        <w:rPr>
          <w:bCs/>
          <w:sz w:val="22"/>
          <w:szCs w:val="22"/>
          <w:u w:val="single"/>
          <w:lang w:val="sk-SK"/>
        </w:rPr>
      </w:pPr>
      <w:r w:rsidRPr="00D901C1">
        <w:rPr>
          <w:bCs/>
          <w:sz w:val="22"/>
          <w:szCs w:val="22"/>
          <w:u w:val="single"/>
        </w:rPr>
        <w:t>Pomocné látky</w:t>
      </w:r>
    </w:p>
    <w:p w14:paraId="1265BF34" w14:textId="77777777" w:rsidR="007C5249" w:rsidRPr="00E3515E" w:rsidRDefault="007C5249" w:rsidP="005A7871">
      <w:pPr>
        <w:pStyle w:val="Zkladntext2"/>
        <w:jc w:val="left"/>
        <w:rPr>
          <w:bCs/>
          <w:sz w:val="22"/>
          <w:szCs w:val="22"/>
        </w:rPr>
      </w:pPr>
    </w:p>
    <w:p w14:paraId="6464DE4B" w14:textId="2969B0CC" w:rsidR="00383C49" w:rsidRPr="000D616A" w:rsidRDefault="00383C49" w:rsidP="005A7871">
      <w:pPr>
        <w:pStyle w:val="Zkladntext2"/>
        <w:jc w:val="left"/>
        <w:rPr>
          <w:bCs/>
          <w:sz w:val="22"/>
          <w:szCs w:val="22"/>
        </w:rPr>
      </w:pPr>
      <w:r w:rsidRPr="003356F5">
        <w:rPr>
          <w:bCs/>
          <w:sz w:val="22"/>
          <w:szCs w:val="22"/>
        </w:rPr>
        <w:t>Sustanon</w:t>
      </w:r>
      <w:r w:rsidR="00E4683C" w:rsidRPr="003356F5">
        <w:rPr>
          <w:bCs/>
          <w:sz w:val="22"/>
          <w:szCs w:val="22"/>
        </w:rPr>
        <w:t> 250</w:t>
      </w:r>
      <w:r w:rsidRPr="003356F5">
        <w:rPr>
          <w:bCs/>
          <w:sz w:val="22"/>
          <w:szCs w:val="22"/>
        </w:rPr>
        <w:t xml:space="preserve"> obsahuje </w:t>
      </w:r>
      <w:r w:rsidR="00902841" w:rsidRPr="003356F5">
        <w:rPr>
          <w:bCs/>
          <w:sz w:val="22"/>
          <w:szCs w:val="22"/>
        </w:rPr>
        <w:t xml:space="preserve">podzemnicový </w:t>
      </w:r>
      <w:r w:rsidRPr="003356F5">
        <w:rPr>
          <w:bCs/>
          <w:sz w:val="22"/>
          <w:szCs w:val="22"/>
        </w:rPr>
        <w:t xml:space="preserve">olej </w:t>
      </w:r>
      <w:r w:rsidR="008A74A3" w:rsidRPr="003356F5">
        <w:rPr>
          <w:bCs/>
          <w:sz w:val="22"/>
          <w:szCs w:val="22"/>
        </w:rPr>
        <w:t xml:space="preserve">(arašidový olej) </w:t>
      </w:r>
      <w:r w:rsidRPr="003356F5">
        <w:rPr>
          <w:bCs/>
          <w:sz w:val="22"/>
          <w:szCs w:val="22"/>
        </w:rPr>
        <w:t xml:space="preserve">a nemá sa </w:t>
      </w:r>
      <w:r w:rsidR="009324A9">
        <w:rPr>
          <w:bCs/>
          <w:sz w:val="22"/>
          <w:szCs w:val="22"/>
        </w:rPr>
        <w:t>aplikovať</w:t>
      </w:r>
      <w:r w:rsidR="005255C0">
        <w:rPr>
          <w:bCs/>
          <w:sz w:val="22"/>
          <w:szCs w:val="22"/>
          <w:lang w:val="sk-SK"/>
        </w:rPr>
        <w:t xml:space="preserve"> </w:t>
      </w:r>
      <w:r w:rsidRPr="007877A0">
        <w:rPr>
          <w:bCs/>
          <w:sz w:val="22"/>
          <w:szCs w:val="22"/>
        </w:rPr>
        <w:t>pacientom</w:t>
      </w:r>
      <w:r w:rsidR="00E040C9" w:rsidRPr="007877A0">
        <w:rPr>
          <w:bCs/>
          <w:sz w:val="22"/>
          <w:szCs w:val="22"/>
        </w:rPr>
        <w:t>, o ktorých je známe, že sú a</w:t>
      </w:r>
      <w:r w:rsidRPr="007877A0">
        <w:rPr>
          <w:bCs/>
          <w:sz w:val="22"/>
          <w:szCs w:val="22"/>
        </w:rPr>
        <w:t>lergi</w:t>
      </w:r>
      <w:r w:rsidR="00E040C9" w:rsidRPr="007877A0">
        <w:rPr>
          <w:bCs/>
          <w:sz w:val="22"/>
          <w:szCs w:val="22"/>
        </w:rPr>
        <w:t>ckí na</w:t>
      </w:r>
      <w:r w:rsidRPr="008E1F73">
        <w:rPr>
          <w:bCs/>
          <w:sz w:val="22"/>
          <w:szCs w:val="22"/>
        </w:rPr>
        <w:t xml:space="preserve"> </w:t>
      </w:r>
      <w:r w:rsidR="008A74A3" w:rsidRPr="008E1F73">
        <w:rPr>
          <w:bCs/>
          <w:sz w:val="22"/>
          <w:szCs w:val="22"/>
        </w:rPr>
        <w:t>arašidy</w:t>
      </w:r>
      <w:r w:rsidRPr="008E1F73">
        <w:rPr>
          <w:bCs/>
          <w:sz w:val="22"/>
          <w:szCs w:val="22"/>
        </w:rPr>
        <w:t>. Keďže e</w:t>
      </w:r>
      <w:r w:rsidR="0046264B" w:rsidRPr="008E1F73">
        <w:rPr>
          <w:bCs/>
          <w:sz w:val="22"/>
          <w:szCs w:val="22"/>
        </w:rPr>
        <w:t>xistuje</w:t>
      </w:r>
      <w:r w:rsidRPr="008E1F73">
        <w:rPr>
          <w:bCs/>
          <w:sz w:val="22"/>
          <w:szCs w:val="22"/>
        </w:rPr>
        <w:t xml:space="preserve"> možný vzťah medzi alergiou na </w:t>
      </w:r>
      <w:r w:rsidR="008A74A3" w:rsidRPr="008E1F73">
        <w:rPr>
          <w:bCs/>
          <w:sz w:val="22"/>
          <w:szCs w:val="22"/>
        </w:rPr>
        <w:t>arašidy</w:t>
      </w:r>
      <w:r w:rsidR="00902841" w:rsidRPr="008E1F73">
        <w:rPr>
          <w:bCs/>
          <w:sz w:val="22"/>
          <w:szCs w:val="22"/>
        </w:rPr>
        <w:t xml:space="preserve"> </w:t>
      </w:r>
      <w:r w:rsidRPr="000D616A">
        <w:rPr>
          <w:bCs/>
          <w:sz w:val="22"/>
          <w:szCs w:val="22"/>
        </w:rPr>
        <w:t>a alergiou na sóju</w:t>
      </w:r>
      <w:r w:rsidR="008A74A3" w:rsidRPr="000D616A">
        <w:rPr>
          <w:bCs/>
          <w:sz w:val="22"/>
          <w:szCs w:val="22"/>
        </w:rPr>
        <w:t>,</w:t>
      </w:r>
      <w:r w:rsidRPr="000D616A">
        <w:rPr>
          <w:bCs/>
          <w:sz w:val="22"/>
          <w:szCs w:val="22"/>
        </w:rPr>
        <w:t xml:space="preserve"> pacienti s alergiou na sóju sa majú Sustanonu</w:t>
      </w:r>
      <w:r w:rsidR="00E4683C" w:rsidRPr="000D616A">
        <w:rPr>
          <w:bCs/>
          <w:sz w:val="22"/>
          <w:szCs w:val="22"/>
        </w:rPr>
        <w:t> 250</w:t>
      </w:r>
      <w:r w:rsidRPr="000D616A">
        <w:rPr>
          <w:bCs/>
          <w:sz w:val="22"/>
          <w:szCs w:val="22"/>
        </w:rPr>
        <w:t xml:space="preserve"> </w:t>
      </w:r>
      <w:r w:rsidR="0046264B" w:rsidRPr="000D616A">
        <w:rPr>
          <w:bCs/>
          <w:sz w:val="22"/>
          <w:szCs w:val="22"/>
        </w:rPr>
        <w:t xml:space="preserve">vyhnúť </w:t>
      </w:r>
      <w:r w:rsidRPr="000D616A">
        <w:rPr>
          <w:bCs/>
          <w:sz w:val="22"/>
          <w:szCs w:val="22"/>
        </w:rPr>
        <w:t>(pozri časť 4.3).</w:t>
      </w:r>
    </w:p>
    <w:p w14:paraId="0CB0CA20" w14:textId="77777777" w:rsidR="00383C49" w:rsidRPr="000D616A" w:rsidRDefault="00383C49" w:rsidP="00783F13">
      <w:pPr>
        <w:pStyle w:val="Zkladntext2"/>
        <w:jc w:val="left"/>
        <w:rPr>
          <w:bCs/>
          <w:sz w:val="22"/>
          <w:szCs w:val="22"/>
        </w:rPr>
      </w:pPr>
    </w:p>
    <w:p w14:paraId="52161B58" w14:textId="77777777" w:rsidR="00B51632" w:rsidRDefault="00383C49" w:rsidP="000236E8">
      <w:pPr>
        <w:pStyle w:val="Zkladntext2"/>
        <w:jc w:val="left"/>
        <w:rPr>
          <w:bCs/>
          <w:sz w:val="22"/>
          <w:szCs w:val="22"/>
          <w:lang w:val="sk-SK"/>
        </w:rPr>
      </w:pPr>
      <w:r w:rsidRPr="000D616A">
        <w:rPr>
          <w:bCs/>
          <w:sz w:val="22"/>
          <w:szCs w:val="22"/>
        </w:rPr>
        <w:t>Sustanon</w:t>
      </w:r>
      <w:r w:rsidR="00E4683C" w:rsidRPr="000D616A">
        <w:rPr>
          <w:bCs/>
          <w:sz w:val="22"/>
          <w:szCs w:val="22"/>
        </w:rPr>
        <w:t> 250</w:t>
      </w:r>
      <w:r w:rsidRPr="000D616A">
        <w:rPr>
          <w:bCs/>
          <w:sz w:val="22"/>
          <w:szCs w:val="22"/>
        </w:rPr>
        <w:t xml:space="preserve"> obsahuje 100 mg benzylakoholu </w:t>
      </w:r>
      <w:r w:rsidR="006B4C60" w:rsidRPr="000D616A">
        <w:rPr>
          <w:bCs/>
          <w:sz w:val="22"/>
          <w:szCs w:val="22"/>
        </w:rPr>
        <w:t>v 1 </w:t>
      </w:r>
      <w:r w:rsidRPr="000D616A">
        <w:rPr>
          <w:bCs/>
          <w:sz w:val="22"/>
          <w:szCs w:val="22"/>
        </w:rPr>
        <w:t>ml roztoku</w:t>
      </w:r>
      <w:r w:rsidR="00B51632">
        <w:rPr>
          <w:bCs/>
          <w:sz w:val="22"/>
          <w:szCs w:val="22"/>
          <w:lang w:val="sk-SK"/>
        </w:rPr>
        <w:t>.</w:t>
      </w:r>
    </w:p>
    <w:p w14:paraId="2F820353" w14:textId="2AF59FBC" w:rsidR="00B51632" w:rsidRDefault="00B51632" w:rsidP="000236E8">
      <w:pPr>
        <w:pStyle w:val="Zkladntext2"/>
        <w:jc w:val="left"/>
        <w:rPr>
          <w:bCs/>
          <w:sz w:val="22"/>
          <w:szCs w:val="22"/>
          <w:lang w:val="sk-SK"/>
        </w:rPr>
      </w:pPr>
      <w:r w:rsidRPr="008E1F73">
        <w:rPr>
          <w:bCs/>
          <w:sz w:val="22"/>
          <w:szCs w:val="22"/>
        </w:rPr>
        <w:t xml:space="preserve">Benzylalkohol môže spôsobiť </w:t>
      </w:r>
      <w:r w:rsidR="005D178B">
        <w:rPr>
          <w:bCs/>
          <w:sz w:val="22"/>
          <w:szCs w:val="22"/>
          <w:lang w:val="sk-SK"/>
        </w:rPr>
        <w:t>alergické reakcie</w:t>
      </w:r>
      <w:r w:rsidR="005D178B" w:rsidRPr="00B51632">
        <w:rPr>
          <w:bCs/>
          <w:sz w:val="22"/>
          <w:szCs w:val="22"/>
          <w:lang w:val="sk-SK"/>
        </w:rPr>
        <w:t xml:space="preserve"> </w:t>
      </w:r>
      <w:r w:rsidR="005D178B">
        <w:rPr>
          <w:bCs/>
          <w:sz w:val="22"/>
          <w:szCs w:val="22"/>
          <w:lang w:val="sk-SK"/>
        </w:rPr>
        <w:t>a</w:t>
      </w:r>
      <w:r w:rsidR="005D178B" w:rsidRPr="00B51632">
        <w:rPr>
          <w:bCs/>
          <w:sz w:val="22"/>
          <w:szCs w:val="22"/>
          <w:lang w:val="sk-SK"/>
        </w:rPr>
        <w:t xml:space="preserve"> </w:t>
      </w:r>
      <w:r w:rsidRPr="00B51632">
        <w:rPr>
          <w:bCs/>
          <w:sz w:val="22"/>
          <w:szCs w:val="22"/>
          <w:lang w:val="sk-SK"/>
        </w:rPr>
        <w:t>mierne miestne podráždenie.</w:t>
      </w:r>
    </w:p>
    <w:p w14:paraId="7546F029" w14:textId="074B9EFB" w:rsidR="00383C49" w:rsidRPr="000D616A" w:rsidRDefault="00B51632" w:rsidP="000236E8">
      <w:pPr>
        <w:pStyle w:val="Zkladntext2"/>
        <w:jc w:val="left"/>
        <w:rPr>
          <w:bCs/>
          <w:sz w:val="22"/>
          <w:szCs w:val="22"/>
        </w:rPr>
      </w:pPr>
      <w:r>
        <w:rPr>
          <w:bCs/>
          <w:sz w:val="22"/>
          <w:szCs w:val="22"/>
          <w:lang w:val="sk-SK"/>
        </w:rPr>
        <w:t>Sustanon 250 sa n</w:t>
      </w:r>
      <w:r w:rsidR="00383C49" w:rsidRPr="000D616A">
        <w:rPr>
          <w:bCs/>
          <w:sz w:val="22"/>
          <w:szCs w:val="22"/>
        </w:rPr>
        <w:t xml:space="preserve">esmie </w:t>
      </w:r>
      <w:r w:rsidR="009324A9">
        <w:rPr>
          <w:bCs/>
          <w:sz w:val="22"/>
          <w:szCs w:val="22"/>
        </w:rPr>
        <w:t xml:space="preserve">aplikovať </w:t>
      </w:r>
      <w:r w:rsidR="00383C49" w:rsidRPr="008E1F73">
        <w:rPr>
          <w:bCs/>
          <w:sz w:val="22"/>
          <w:szCs w:val="22"/>
        </w:rPr>
        <w:t>predčasne narodeným deťom alebo novorodencom. Benzylalkohol môže spôsobiť toxické</w:t>
      </w:r>
      <w:r w:rsidR="00AB10D0">
        <w:rPr>
          <w:bCs/>
          <w:sz w:val="22"/>
          <w:szCs w:val="22"/>
          <w:lang w:val="sk-SK"/>
        </w:rPr>
        <w:t xml:space="preserve"> </w:t>
      </w:r>
      <w:r w:rsidR="00383C49" w:rsidRPr="008E1F73">
        <w:rPr>
          <w:bCs/>
          <w:sz w:val="22"/>
          <w:szCs w:val="22"/>
        </w:rPr>
        <w:t>a anafylakt</w:t>
      </w:r>
      <w:r w:rsidR="008474BF" w:rsidRPr="000D616A">
        <w:rPr>
          <w:bCs/>
          <w:sz w:val="22"/>
          <w:szCs w:val="22"/>
        </w:rPr>
        <w:t>oidné</w:t>
      </w:r>
      <w:r w:rsidR="00383C49" w:rsidRPr="000D616A">
        <w:rPr>
          <w:bCs/>
          <w:sz w:val="22"/>
          <w:szCs w:val="22"/>
        </w:rPr>
        <w:t xml:space="preserve"> reakcie u</w:t>
      </w:r>
      <w:r w:rsidR="00902841" w:rsidRPr="000D616A">
        <w:rPr>
          <w:bCs/>
          <w:sz w:val="22"/>
          <w:szCs w:val="22"/>
        </w:rPr>
        <w:t> dojčiat a u detí do 3 rokov</w:t>
      </w:r>
      <w:r>
        <w:rPr>
          <w:bCs/>
          <w:sz w:val="22"/>
          <w:szCs w:val="22"/>
          <w:lang w:val="sk-SK"/>
        </w:rPr>
        <w:t>, u malých detí je zvýšené riziko kvôli akumulácii</w:t>
      </w:r>
      <w:r w:rsidR="00902841" w:rsidRPr="000D616A">
        <w:rPr>
          <w:bCs/>
          <w:sz w:val="22"/>
          <w:szCs w:val="22"/>
        </w:rPr>
        <w:t>.</w:t>
      </w:r>
    </w:p>
    <w:p w14:paraId="3D783A20" w14:textId="5E516842" w:rsidR="00383C49" w:rsidRDefault="00B51632" w:rsidP="001F1285">
      <w:pPr>
        <w:pStyle w:val="Zkladntext2"/>
        <w:jc w:val="left"/>
        <w:rPr>
          <w:bCs/>
          <w:sz w:val="22"/>
          <w:szCs w:val="22"/>
          <w:lang w:val="sk-SK"/>
        </w:rPr>
      </w:pPr>
      <w:r w:rsidRPr="00B51632">
        <w:rPr>
          <w:bCs/>
          <w:sz w:val="22"/>
          <w:szCs w:val="22"/>
          <w:lang w:val="sk-SK"/>
        </w:rPr>
        <w:t>Vysoké množstvá sa majú používať s opatrnosťou a len ak je to nevyhnutné, najmä u osôb s poruchou funkcie pečene alebo obličiek kvôli riziku akumulácie a toxicity (metabolická acidóza).</w:t>
      </w:r>
    </w:p>
    <w:p w14:paraId="6491CC4C" w14:textId="77777777" w:rsidR="00B51632" w:rsidRPr="00A1183C" w:rsidRDefault="00B51632" w:rsidP="001F1285">
      <w:pPr>
        <w:pStyle w:val="Zkladntext2"/>
        <w:jc w:val="left"/>
        <w:rPr>
          <w:bCs/>
          <w:sz w:val="22"/>
          <w:szCs w:val="22"/>
        </w:rPr>
      </w:pPr>
    </w:p>
    <w:p w14:paraId="485AA063" w14:textId="7B1EC03F" w:rsidR="00E040C9" w:rsidRPr="008C058B" w:rsidRDefault="00B11A0B" w:rsidP="001F1285">
      <w:pPr>
        <w:pStyle w:val="Zkladntext2"/>
        <w:jc w:val="left"/>
        <w:rPr>
          <w:bCs/>
          <w:sz w:val="22"/>
          <w:szCs w:val="22"/>
          <w:u w:val="single"/>
          <w:lang w:val="sk-SK"/>
        </w:rPr>
      </w:pPr>
      <w:r w:rsidRPr="00A1183C">
        <w:rPr>
          <w:bCs/>
          <w:sz w:val="22"/>
          <w:szCs w:val="22"/>
          <w:u w:val="single"/>
        </w:rPr>
        <w:t>Pediatrická populácia</w:t>
      </w:r>
    </w:p>
    <w:p w14:paraId="57C7C9BC" w14:textId="77777777" w:rsidR="007C5249" w:rsidRPr="00C80F6F" w:rsidRDefault="007C5249" w:rsidP="00042AC1">
      <w:pPr>
        <w:pStyle w:val="Zkladntext2"/>
        <w:jc w:val="left"/>
        <w:rPr>
          <w:bCs/>
          <w:sz w:val="22"/>
          <w:szCs w:val="22"/>
        </w:rPr>
      </w:pPr>
    </w:p>
    <w:p w14:paraId="26930DFC" w14:textId="77777777" w:rsidR="00E040C9" w:rsidRPr="00732B6D" w:rsidRDefault="00E040C9" w:rsidP="00CE313A">
      <w:pPr>
        <w:pStyle w:val="Zkladntext2"/>
        <w:jc w:val="left"/>
        <w:rPr>
          <w:bCs/>
          <w:sz w:val="22"/>
          <w:szCs w:val="22"/>
        </w:rPr>
      </w:pPr>
      <w:r w:rsidRPr="00732B6D">
        <w:rPr>
          <w:bCs/>
          <w:sz w:val="22"/>
          <w:szCs w:val="22"/>
        </w:rPr>
        <w:t>U</w:t>
      </w:r>
      <w:r w:rsidR="00B901C0" w:rsidRPr="00732B6D">
        <w:rPr>
          <w:bCs/>
          <w:sz w:val="22"/>
          <w:szCs w:val="22"/>
        </w:rPr>
        <w:t xml:space="preserve"> detí v </w:t>
      </w:r>
      <w:r w:rsidRPr="00732B6D">
        <w:rPr>
          <w:bCs/>
          <w:sz w:val="22"/>
          <w:szCs w:val="22"/>
        </w:rPr>
        <w:t>predpubertáln</w:t>
      </w:r>
      <w:r w:rsidR="00B901C0" w:rsidRPr="00732B6D">
        <w:rPr>
          <w:bCs/>
          <w:sz w:val="22"/>
          <w:szCs w:val="22"/>
        </w:rPr>
        <w:t>om</w:t>
      </w:r>
      <w:r w:rsidRPr="00732B6D">
        <w:rPr>
          <w:bCs/>
          <w:sz w:val="22"/>
          <w:szCs w:val="22"/>
        </w:rPr>
        <w:t xml:space="preserve"> </w:t>
      </w:r>
      <w:r w:rsidR="00B901C0" w:rsidRPr="00732B6D">
        <w:rPr>
          <w:bCs/>
          <w:sz w:val="22"/>
          <w:szCs w:val="22"/>
        </w:rPr>
        <w:t xml:space="preserve">veku </w:t>
      </w:r>
      <w:r w:rsidRPr="00732B6D">
        <w:rPr>
          <w:bCs/>
          <w:sz w:val="22"/>
          <w:szCs w:val="22"/>
        </w:rPr>
        <w:t>sa má sledovať telesný rast a pohlavný vývoj, pretože androgény vo všeobecnosti a Sustanon 250 vo vysokých dávkach môžu urýchliť uzavretie epifyzárnych štrbín a pohlavné dospievanie.</w:t>
      </w:r>
    </w:p>
    <w:p w14:paraId="728C4A78" w14:textId="77777777" w:rsidR="00890FCC" w:rsidRPr="009324A9" w:rsidRDefault="00890FCC" w:rsidP="00CE313A">
      <w:pPr>
        <w:pStyle w:val="Zkladntext2"/>
        <w:jc w:val="left"/>
        <w:rPr>
          <w:bCs/>
          <w:sz w:val="22"/>
          <w:szCs w:val="22"/>
        </w:rPr>
      </w:pPr>
    </w:p>
    <w:p w14:paraId="7EFEB0BE" w14:textId="77777777" w:rsidR="00B51632" w:rsidRDefault="00890FCC" w:rsidP="00890FCC">
      <w:pPr>
        <w:rPr>
          <w:rFonts w:ascii="Times New Roman" w:eastAsia="SimSun" w:hAnsi="Times New Roman"/>
          <w:sz w:val="22"/>
          <w:szCs w:val="22"/>
          <w:u w:val="single"/>
          <w:lang w:eastAsia="zh-CN"/>
        </w:rPr>
      </w:pPr>
      <w:r w:rsidRPr="009324A9">
        <w:rPr>
          <w:rFonts w:ascii="Times New Roman" w:eastAsia="SimSun" w:hAnsi="Times New Roman"/>
          <w:sz w:val="22"/>
          <w:szCs w:val="22"/>
          <w:u w:val="single"/>
          <w:lang w:eastAsia="zh-CN"/>
        </w:rPr>
        <w:t>Pacient</w:t>
      </w:r>
      <w:r w:rsidR="00EC03CD" w:rsidRPr="009324A9">
        <w:rPr>
          <w:rFonts w:ascii="Times New Roman" w:eastAsia="SimSun" w:hAnsi="Times New Roman"/>
          <w:sz w:val="22"/>
          <w:szCs w:val="22"/>
          <w:u w:val="single"/>
          <w:lang w:eastAsia="zh-CN"/>
        </w:rPr>
        <w:t>i</w:t>
      </w:r>
      <w:r w:rsidRPr="009324A9">
        <w:rPr>
          <w:rFonts w:ascii="Times New Roman" w:eastAsia="SimSun" w:hAnsi="Times New Roman"/>
          <w:sz w:val="22"/>
          <w:szCs w:val="22"/>
          <w:u w:val="single"/>
          <w:lang w:eastAsia="zh-CN"/>
        </w:rPr>
        <w:t xml:space="preserve"> vo veku nad 65 rokov</w:t>
      </w:r>
    </w:p>
    <w:p w14:paraId="0B11DA34" w14:textId="65C23283" w:rsidR="00890FCC" w:rsidRPr="00A35DC2" w:rsidRDefault="00890FCC" w:rsidP="00890FCC">
      <w:pPr>
        <w:rPr>
          <w:rFonts w:ascii="Times New Roman" w:eastAsia="SimSun" w:hAnsi="Times New Roman"/>
          <w:sz w:val="22"/>
          <w:szCs w:val="22"/>
          <w:u w:val="single"/>
          <w:lang w:eastAsia="zh-CN"/>
        </w:rPr>
      </w:pPr>
    </w:p>
    <w:p w14:paraId="46ECB310" w14:textId="4F5B941D" w:rsidR="00890FCC" w:rsidRPr="00CF1575" w:rsidRDefault="00890FCC" w:rsidP="00890FCC">
      <w:pPr>
        <w:rPr>
          <w:rFonts w:ascii="Times New Roman" w:eastAsia="SimSun" w:hAnsi="Times New Roman"/>
          <w:sz w:val="22"/>
          <w:szCs w:val="22"/>
          <w:lang w:eastAsia="zh-CN"/>
        </w:rPr>
      </w:pPr>
      <w:r w:rsidRPr="00730746">
        <w:rPr>
          <w:rFonts w:ascii="Times New Roman" w:eastAsia="SimSun" w:hAnsi="Times New Roman"/>
          <w:sz w:val="22"/>
          <w:szCs w:val="22"/>
          <w:lang w:eastAsia="zh-CN"/>
        </w:rPr>
        <w:t xml:space="preserve">U pacientov vo veku nad 65 rokov existujú iba obmedzené skúsenosti s bezpečnosťou a účinnosťou používania </w:t>
      </w:r>
      <w:r w:rsidRPr="00CF1575">
        <w:rPr>
          <w:rFonts w:ascii="Times New Roman" w:eastAsia="SimSun" w:hAnsi="Times New Roman"/>
          <w:sz w:val="22"/>
          <w:szCs w:val="22"/>
          <w:lang w:eastAsia="zh-CN"/>
        </w:rPr>
        <w:t>Sustanon</w:t>
      </w:r>
      <w:r w:rsidR="000839D9" w:rsidRPr="00CF1575">
        <w:rPr>
          <w:rFonts w:ascii="Times New Roman" w:eastAsia="SimSun" w:hAnsi="Times New Roman"/>
          <w:sz w:val="22"/>
          <w:szCs w:val="22"/>
          <w:lang w:eastAsia="zh-CN"/>
        </w:rPr>
        <w:t>u</w:t>
      </w:r>
      <w:r w:rsidR="00F77136">
        <w:rPr>
          <w:rFonts w:ascii="Times New Roman" w:eastAsia="SimSun" w:hAnsi="Times New Roman"/>
          <w:sz w:val="22"/>
          <w:szCs w:val="22"/>
          <w:lang w:eastAsia="zh-CN"/>
        </w:rPr>
        <w:t xml:space="preserve"> 250</w:t>
      </w:r>
      <w:r w:rsidR="00D97ADE" w:rsidRPr="00CF1575">
        <w:rPr>
          <w:rFonts w:ascii="Times New Roman" w:eastAsia="SimSun" w:hAnsi="Times New Roman"/>
          <w:sz w:val="22"/>
          <w:szCs w:val="22"/>
          <w:lang w:eastAsia="zh-CN"/>
        </w:rPr>
        <w:t>.</w:t>
      </w:r>
      <w:r w:rsidRPr="00CF1575">
        <w:rPr>
          <w:rFonts w:ascii="Times New Roman" w:eastAsia="SimSun" w:hAnsi="Times New Roman"/>
          <w:sz w:val="22"/>
          <w:szCs w:val="22"/>
          <w:lang w:eastAsia="zh-CN"/>
        </w:rPr>
        <w:t xml:space="preserve"> V súčasnosti neexistuje zhoda názorov ohľadom referenčných hodnôt hladiny testosterónu v krvi podľa veku. Treba však vziať do úvahy, že fyziologicky sa hladina testosterónu v sére so zvyšovaním veku znižuje.</w:t>
      </w:r>
    </w:p>
    <w:p w14:paraId="019E532B" w14:textId="77777777" w:rsidR="003328C6" w:rsidRPr="004143F6" w:rsidRDefault="003328C6" w:rsidP="00890FCC">
      <w:pPr>
        <w:rPr>
          <w:rFonts w:ascii="Times New Roman" w:eastAsia="SimSun" w:hAnsi="Times New Roman"/>
          <w:sz w:val="22"/>
          <w:szCs w:val="22"/>
          <w:lang w:eastAsia="zh-CN"/>
        </w:rPr>
      </w:pPr>
    </w:p>
    <w:p w14:paraId="2FB3FFDB" w14:textId="77777777" w:rsidR="00B51632" w:rsidRDefault="003328C6" w:rsidP="003328C6">
      <w:pPr>
        <w:rPr>
          <w:rFonts w:ascii="Times New Roman" w:eastAsia="SimSun" w:hAnsi="Times New Roman"/>
          <w:sz w:val="22"/>
          <w:szCs w:val="22"/>
          <w:u w:val="single"/>
          <w:lang w:eastAsia="zh-CN"/>
        </w:rPr>
      </w:pPr>
      <w:r w:rsidRPr="004143F6">
        <w:rPr>
          <w:rFonts w:ascii="Times New Roman" w:eastAsia="SimSun" w:hAnsi="Times New Roman"/>
          <w:sz w:val="22"/>
          <w:szCs w:val="22"/>
          <w:u w:val="single"/>
          <w:lang w:eastAsia="zh-CN"/>
        </w:rPr>
        <w:t>Poruchy zrážanlivosti krvi</w:t>
      </w:r>
    </w:p>
    <w:p w14:paraId="31E950BE" w14:textId="6618AEB8" w:rsidR="003328C6" w:rsidRPr="004143F6" w:rsidRDefault="003328C6" w:rsidP="003328C6">
      <w:pPr>
        <w:rPr>
          <w:rFonts w:ascii="Times New Roman" w:eastAsia="SimSun" w:hAnsi="Times New Roman"/>
          <w:sz w:val="22"/>
          <w:szCs w:val="22"/>
          <w:u w:val="single"/>
          <w:lang w:eastAsia="zh-CN"/>
        </w:rPr>
      </w:pPr>
    </w:p>
    <w:p w14:paraId="5ECB64BC" w14:textId="77777777" w:rsidR="003328C6" w:rsidRPr="00360E33" w:rsidRDefault="003328C6" w:rsidP="003328C6">
      <w:pPr>
        <w:rPr>
          <w:rFonts w:ascii="Times New Roman" w:eastAsia="SimSun" w:hAnsi="Times New Roman"/>
          <w:sz w:val="22"/>
          <w:szCs w:val="22"/>
          <w:lang w:eastAsia="zh-CN"/>
        </w:rPr>
      </w:pPr>
      <w:r w:rsidRPr="00360E33">
        <w:rPr>
          <w:rFonts w:ascii="Times New Roman" w:eastAsia="SimSun" w:hAnsi="Times New Roman"/>
          <w:sz w:val="22"/>
          <w:szCs w:val="22"/>
          <w:lang w:eastAsia="zh-CN"/>
        </w:rPr>
        <w:t>Testosterón sa má používať s opatrnosťou u pacientov s trombofíliou, keďže sa u týchto pacientov v skúšaniach a hláseniach po uvedení lieku na trh vyskytli počas liečby testosterónom trombotické príhody.</w:t>
      </w:r>
    </w:p>
    <w:p w14:paraId="3BE4723A" w14:textId="77777777" w:rsidR="00E040C9" w:rsidRPr="00360E33" w:rsidRDefault="00E040C9" w:rsidP="009234FB">
      <w:pPr>
        <w:numPr>
          <w:ilvl w:val="12"/>
          <w:numId w:val="0"/>
        </w:numPr>
        <w:ind w:right="-2"/>
        <w:rPr>
          <w:rFonts w:ascii="Times New Roman" w:hAnsi="Times New Roman"/>
          <w:bCs/>
          <w:sz w:val="22"/>
          <w:szCs w:val="22"/>
        </w:rPr>
      </w:pPr>
    </w:p>
    <w:p w14:paraId="45FEE8D9" w14:textId="77777777" w:rsidR="006B2416" w:rsidRPr="004463D0" w:rsidRDefault="0046264B" w:rsidP="005324F6">
      <w:pPr>
        <w:pStyle w:val="Zkladntext2"/>
        <w:keepNext/>
        <w:jc w:val="left"/>
        <w:rPr>
          <w:b/>
          <w:sz w:val="22"/>
          <w:szCs w:val="22"/>
        </w:rPr>
      </w:pPr>
      <w:r w:rsidRPr="00EA5814">
        <w:rPr>
          <w:b/>
          <w:sz w:val="22"/>
          <w:szCs w:val="22"/>
        </w:rPr>
        <w:t>4.5</w:t>
      </w:r>
      <w:r w:rsidRPr="00EA5814">
        <w:rPr>
          <w:b/>
          <w:sz w:val="22"/>
          <w:szCs w:val="22"/>
        </w:rPr>
        <w:tab/>
      </w:r>
      <w:r w:rsidR="006B2416" w:rsidRPr="004463D0">
        <w:rPr>
          <w:b/>
          <w:sz w:val="22"/>
          <w:szCs w:val="22"/>
        </w:rPr>
        <w:t>Liekové a iné interakcie</w:t>
      </w:r>
    </w:p>
    <w:p w14:paraId="5F379523" w14:textId="77777777" w:rsidR="006B2416" w:rsidRPr="00224836" w:rsidRDefault="006B2416" w:rsidP="005324F6">
      <w:pPr>
        <w:pStyle w:val="Zkladntext2"/>
        <w:keepNext/>
        <w:jc w:val="left"/>
        <w:rPr>
          <w:b/>
          <w:sz w:val="22"/>
          <w:szCs w:val="22"/>
        </w:rPr>
      </w:pPr>
    </w:p>
    <w:p w14:paraId="7261446A" w14:textId="77777777" w:rsidR="006B2416" w:rsidRPr="007877A0" w:rsidRDefault="006B2416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7251DF">
        <w:rPr>
          <w:sz w:val="22"/>
          <w:szCs w:val="22"/>
        </w:rPr>
        <w:t>Látky indukujúce aktivitu enzýmov môžu znižovať a látky inhibujúce aktivitu enzýmov môžu zvyšovať hladiny testosterónu. Preto môže byť potrebná úprava dávky Sustanonu</w:t>
      </w:r>
      <w:r w:rsidR="00FC3C10" w:rsidRPr="007251DF">
        <w:rPr>
          <w:sz w:val="22"/>
          <w:szCs w:val="22"/>
        </w:rPr>
        <w:t> </w:t>
      </w:r>
      <w:r w:rsidRPr="007251DF">
        <w:rPr>
          <w:sz w:val="22"/>
          <w:szCs w:val="22"/>
        </w:rPr>
        <w:t>250. Androgény môžu zlepšovať toleranciu glukózy a znižovať potrebu inzulí</w:t>
      </w:r>
      <w:r w:rsidRPr="007A0A39">
        <w:rPr>
          <w:sz w:val="22"/>
          <w:szCs w:val="22"/>
        </w:rPr>
        <w:t>nu alebo iných antidiabetík u jedincov s diabetom (pozri časť</w:t>
      </w:r>
      <w:r w:rsidR="00FC3C10" w:rsidRPr="007877A0">
        <w:rPr>
          <w:sz w:val="22"/>
          <w:szCs w:val="22"/>
        </w:rPr>
        <w:t> </w:t>
      </w:r>
      <w:r w:rsidRPr="007877A0">
        <w:rPr>
          <w:sz w:val="22"/>
          <w:szCs w:val="22"/>
        </w:rPr>
        <w:t>4.4).</w:t>
      </w:r>
    </w:p>
    <w:p w14:paraId="188A9B82" w14:textId="77777777" w:rsidR="006B2416" w:rsidRPr="008E1F73" w:rsidRDefault="006B2416" w:rsidP="005A7871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87C8D97" w14:textId="5BF3AE98" w:rsidR="00513490" w:rsidRPr="008C058B" w:rsidRDefault="00513490" w:rsidP="00783F13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0D616A">
        <w:rPr>
          <w:sz w:val="22"/>
          <w:szCs w:val="22"/>
          <w:u w:val="single"/>
        </w:rPr>
        <w:t>Inzulín a ostatné antidiabetiká</w:t>
      </w:r>
    </w:p>
    <w:p w14:paraId="7D5098A4" w14:textId="77777777" w:rsidR="007C5249" w:rsidRPr="000D616A" w:rsidRDefault="007C5249" w:rsidP="000236E8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17FCD406" w14:textId="77777777" w:rsidR="00513490" w:rsidRPr="00C80F6F" w:rsidRDefault="00D2631D" w:rsidP="000236E8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  <w:r w:rsidRPr="00A1183C">
        <w:rPr>
          <w:bCs/>
          <w:sz w:val="22"/>
          <w:szCs w:val="22"/>
        </w:rPr>
        <w:t>U</w:t>
      </w:r>
      <w:r w:rsidR="00513490" w:rsidRPr="00A1183C">
        <w:rPr>
          <w:bCs/>
          <w:sz w:val="22"/>
          <w:szCs w:val="22"/>
        </w:rPr>
        <w:t xml:space="preserve"> pacientov s diabetes mellitus môžu androgény zlepšiť toleranciu glukózy a znížiť potrebu inzulínu alebo iných antidiabetík (pozri časť 4.4). </w:t>
      </w:r>
      <w:r w:rsidR="00513490" w:rsidRPr="00C80F6F">
        <w:rPr>
          <w:bCs/>
          <w:sz w:val="22"/>
          <w:szCs w:val="22"/>
        </w:rPr>
        <w:t>Na začiatku liečby alebo na konci liečby a v pravidelných intervaloch počas liečby Sustanonom 250 sa majú preto pacienti s diabetes mellitus sledovať.</w:t>
      </w:r>
    </w:p>
    <w:p w14:paraId="595EBB2D" w14:textId="77777777" w:rsidR="00513490" w:rsidRPr="00732B6D" w:rsidRDefault="00513490" w:rsidP="001F1285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223F94C0" w14:textId="2E7DF0AF" w:rsidR="00513490" w:rsidRPr="008C058B" w:rsidRDefault="00513490" w:rsidP="00042AC1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9324A9">
        <w:rPr>
          <w:sz w:val="22"/>
          <w:szCs w:val="22"/>
          <w:u w:val="single"/>
        </w:rPr>
        <w:t>Liečba antikoagulanciami</w:t>
      </w:r>
    </w:p>
    <w:p w14:paraId="7C3A56B3" w14:textId="77777777" w:rsidR="007C5249" w:rsidRPr="009324A9" w:rsidRDefault="007C5249" w:rsidP="00CE313A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51CFFC5" w14:textId="77777777" w:rsidR="006B2416" w:rsidRPr="003356F5" w:rsidRDefault="006B2416" w:rsidP="00CE313A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D901C1">
        <w:rPr>
          <w:sz w:val="22"/>
          <w:szCs w:val="22"/>
        </w:rPr>
        <w:t>Vysoké dávky androgénov môžu zvyšovať antikoagulačný účinok l</w:t>
      </w:r>
      <w:r w:rsidR="00513490" w:rsidRPr="00D901C1">
        <w:rPr>
          <w:sz w:val="22"/>
          <w:szCs w:val="22"/>
        </w:rPr>
        <w:t>iečiv</w:t>
      </w:r>
      <w:r w:rsidRPr="00D901C1">
        <w:rPr>
          <w:sz w:val="22"/>
          <w:szCs w:val="22"/>
        </w:rPr>
        <w:t xml:space="preserve"> kumarínového typu</w:t>
      </w:r>
      <w:r w:rsidR="00513490" w:rsidRPr="00D901C1">
        <w:rPr>
          <w:sz w:val="22"/>
          <w:szCs w:val="22"/>
        </w:rPr>
        <w:t xml:space="preserve"> (pozri časť 4.4). Počas liečby je preto potrebné pozorne sledovať protrombínový čas a ak je to potrebné</w:t>
      </w:r>
      <w:r w:rsidR="00D2631D" w:rsidRPr="00E3515E">
        <w:rPr>
          <w:sz w:val="22"/>
          <w:szCs w:val="22"/>
        </w:rPr>
        <w:t>,</w:t>
      </w:r>
      <w:r w:rsidR="00513490" w:rsidRPr="00E3515E">
        <w:rPr>
          <w:sz w:val="22"/>
          <w:szCs w:val="22"/>
        </w:rPr>
        <w:t xml:space="preserve"> dávka antikoagulancia sa má znížiť</w:t>
      </w:r>
      <w:r w:rsidRPr="003356F5">
        <w:rPr>
          <w:sz w:val="22"/>
          <w:szCs w:val="22"/>
        </w:rPr>
        <w:t>.</w:t>
      </w:r>
    </w:p>
    <w:p w14:paraId="248D1464" w14:textId="77777777" w:rsidR="006B2416" w:rsidRPr="00484E2F" w:rsidRDefault="006B2416" w:rsidP="00512D9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5354026A" w14:textId="30873FE5" w:rsidR="00513490" w:rsidRPr="008C058B" w:rsidRDefault="00513490" w:rsidP="00512D96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484E2F">
        <w:rPr>
          <w:sz w:val="22"/>
          <w:szCs w:val="22"/>
          <w:u w:val="single"/>
        </w:rPr>
        <w:t>ACTH alebo kortikosteroidy</w:t>
      </w:r>
    </w:p>
    <w:p w14:paraId="58ED7E4A" w14:textId="77777777" w:rsidR="007C5249" w:rsidRPr="00484E2F" w:rsidRDefault="007C5249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2A12B84C" w14:textId="77777777" w:rsidR="00513490" w:rsidRPr="00484E2F" w:rsidRDefault="00513490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484E2F">
        <w:rPr>
          <w:sz w:val="22"/>
          <w:szCs w:val="22"/>
        </w:rPr>
        <w:t>Súbežné podávanie testosterónu s ACTH alebo kortikosteroidmi môže zvýšiť tvorbu edému, a preto sa liečivá majú podávať s opatrnosťou, najmä u pacientov s ochorením srdca alebo pečene alebo u pacientov s predispozíciou na vznik edému (pozri časť 4.4).</w:t>
      </w:r>
    </w:p>
    <w:p w14:paraId="2B35062A" w14:textId="77777777" w:rsidR="00513490" w:rsidRPr="00A529AF" w:rsidRDefault="00513490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2C3A48D5" w14:textId="4FAAF142" w:rsidR="00513490" w:rsidRPr="008C058B" w:rsidRDefault="00513490" w:rsidP="009234FB">
      <w:pPr>
        <w:pStyle w:val="Zkladntext2"/>
        <w:keepNext/>
        <w:keepLines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A529AF">
        <w:rPr>
          <w:sz w:val="22"/>
          <w:szCs w:val="22"/>
          <w:u w:val="single"/>
        </w:rPr>
        <w:t>Interakcie s laboratórnymi vyšetreniami</w:t>
      </w:r>
    </w:p>
    <w:p w14:paraId="5308E978" w14:textId="77777777" w:rsidR="007C5249" w:rsidRPr="00A529AF" w:rsidRDefault="007C5249" w:rsidP="009234FB">
      <w:pPr>
        <w:pStyle w:val="Zkladntext2"/>
        <w:keepNext/>
        <w:keepLines/>
        <w:numPr>
          <w:ilvl w:val="12"/>
          <w:numId w:val="0"/>
        </w:numPr>
        <w:jc w:val="left"/>
        <w:rPr>
          <w:sz w:val="22"/>
          <w:szCs w:val="22"/>
        </w:rPr>
      </w:pPr>
    </w:p>
    <w:p w14:paraId="17F1957C" w14:textId="77777777" w:rsidR="00513490" w:rsidRPr="007B6508" w:rsidRDefault="00513490" w:rsidP="009234FB">
      <w:pPr>
        <w:pStyle w:val="Zkladntext2"/>
        <w:keepNext/>
        <w:keepLines/>
        <w:numPr>
          <w:ilvl w:val="12"/>
          <w:numId w:val="0"/>
        </w:numPr>
        <w:jc w:val="left"/>
        <w:rPr>
          <w:sz w:val="22"/>
          <w:szCs w:val="22"/>
        </w:rPr>
      </w:pPr>
      <w:r w:rsidRPr="00A529AF">
        <w:rPr>
          <w:sz w:val="22"/>
          <w:szCs w:val="22"/>
        </w:rPr>
        <w:t xml:space="preserve">Androgény môžu znížiť hladiny globulínu viažuceho tyroxín, čo má za následok pokles sérovej hladiny celkového T4 a zvýšené </w:t>
      </w:r>
      <w:r w:rsidR="00505F6C" w:rsidRPr="00A529AF">
        <w:rPr>
          <w:sz w:val="22"/>
          <w:szCs w:val="22"/>
        </w:rPr>
        <w:t>vychytávanie T3 a T4 živicou. Hladiny voľného tyr</w:t>
      </w:r>
      <w:r w:rsidR="004D30EE" w:rsidRPr="007B6508">
        <w:rPr>
          <w:sz w:val="22"/>
          <w:szCs w:val="22"/>
        </w:rPr>
        <w:t>e</w:t>
      </w:r>
      <w:r w:rsidR="00505F6C" w:rsidRPr="007B6508">
        <w:rPr>
          <w:sz w:val="22"/>
          <w:szCs w:val="22"/>
        </w:rPr>
        <w:t>oidálneho hormónu však zostávajú nezmenené a neexistuje žiadny klinický dôkaz porušenej funkcie štítnej žľazy.</w:t>
      </w:r>
    </w:p>
    <w:p w14:paraId="2A007750" w14:textId="77777777" w:rsidR="00513490" w:rsidRPr="000E314E" w:rsidRDefault="00513490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EEDF38E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0E314E">
        <w:rPr>
          <w:b/>
          <w:sz w:val="22"/>
          <w:szCs w:val="22"/>
        </w:rPr>
        <w:t>4.6</w:t>
      </w:r>
      <w:r w:rsidRPr="000E314E">
        <w:rPr>
          <w:b/>
          <w:sz w:val="22"/>
          <w:szCs w:val="22"/>
        </w:rPr>
        <w:tab/>
      </w:r>
      <w:r w:rsidR="00505F6C" w:rsidRPr="000E314E">
        <w:rPr>
          <w:b/>
          <w:sz w:val="22"/>
          <w:szCs w:val="22"/>
        </w:rPr>
        <w:t xml:space="preserve">Fertilita, </w:t>
      </w:r>
      <w:r w:rsidR="00505F6C" w:rsidRPr="001B007D">
        <w:rPr>
          <w:b/>
          <w:sz w:val="22"/>
          <w:szCs w:val="22"/>
        </w:rPr>
        <w:t>g</w:t>
      </w:r>
      <w:r w:rsidRPr="001B007D">
        <w:rPr>
          <w:b/>
          <w:sz w:val="22"/>
          <w:szCs w:val="22"/>
        </w:rPr>
        <w:t>ravidita a</w:t>
      </w:r>
      <w:r w:rsidR="00FC3C10" w:rsidRPr="001B007D">
        <w:rPr>
          <w:b/>
          <w:sz w:val="22"/>
          <w:szCs w:val="22"/>
        </w:rPr>
        <w:t> </w:t>
      </w:r>
      <w:r w:rsidRPr="001B007D">
        <w:rPr>
          <w:b/>
          <w:sz w:val="22"/>
          <w:szCs w:val="22"/>
        </w:rPr>
        <w:t>laktácia</w:t>
      </w:r>
    </w:p>
    <w:p w14:paraId="39A570F8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1AEBA09B" w14:textId="62D7A323" w:rsidR="00505F6C" w:rsidRPr="008C058B" w:rsidRDefault="00505F6C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0A0868">
        <w:rPr>
          <w:sz w:val="22"/>
          <w:szCs w:val="22"/>
          <w:u w:val="single"/>
        </w:rPr>
        <w:t>Gravidita a</w:t>
      </w:r>
      <w:r w:rsidR="00497061" w:rsidRPr="001B007D">
        <w:rPr>
          <w:sz w:val="22"/>
          <w:szCs w:val="22"/>
          <w:u w:val="single"/>
          <w:lang w:eastAsia="sk-SK"/>
        </w:rPr>
        <w:t xml:space="preserve"> </w:t>
      </w:r>
      <w:r w:rsidR="00497061" w:rsidRPr="000A0868">
        <w:rPr>
          <w:sz w:val="22"/>
          <w:szCs w:val="22"/>
          <w:u w:val="single"/>
        </w:rPr>
        <w:t>dojčenie</w:t>
      </w:r>
    </w:p>
    <w:p w14:paraId="5C7D0ADC" w14:textId="77777777" w:rsidR="00505F6C" w:rsidRPr="000A0868" w:rsidRDefault="00505F6C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44168EBC" w14:textId="77777777" w:rsidR="00505F6C" w:rsidRPr="00F76B98" w:rsidRDefault="00505F6C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A0868">
        <w:rPr>
          <w:sz w:val="22"/>
          <w:szCs w:val="22"/>
        </w:rPr>
        <w:t>Sustanon 250 nie je určený na liečbu u žien</w:t>
      </w:r>
      <w:r w:rsidRPr="00A35DC2">
        <w:rPr>
          <w:sz w:val="22"/>
          <w:szCs w:val="22"/>
        </w:rPr>
        <w:t>, a preto sa nesmie používať u</w:t>
      </w:r>
      <w:r w:rsidR="00B11A0B" w:rsidRPr="00A35DC2">
        <w:rPr>
          <w:sz w:val="22"/>
          <w:szCs w:val="22"/>
        </w:rPr>
        <w:t> </w:t>
      </w:r>
      <w:r w:rsidRPr="00A35DC2">
        <w:rPr>
          <w:sz w:val="22"/>
          <w:szCs w:val="22"/>
        </w:rPr>
        <w:t xml:space="preserve">gravidných žien alebo počas laktácie. Ak sa </w:t>
      </w:r>
      <w:r w:rsidRPr="00730746">
        <w:rPr>
          <w:sz w:val="22"/>
          <w:szCs w:val="22"/>
        </w:rPr>
        <w:t>počas gravidity použije, Sustanon</w:t>
      </w:r>
      <w:r w:rsidRPr="00F76B98">
        <w:rPr>
          <w:sz w:val="22"/>
          <w:szCs w:val="22"/>
        </w:rPr>
        <w:t xml:space="preserve"> 250 predstavuje riziko virilizácie plodu.</w:t>
      </w:r>
    </w:p>
    <w:p w14:paraId="306EA2F5" w14:textId="77777777" w:rsidR="00505F6C" w:rsidRPr="00CF1575" w:rsidRDefault="00505F6C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F6E509F" w14:textId="059A73F9" w:rsidR="006B2416" w:rsidRPr="008C058B" w:rsidRDefault="00505F6C" w:rsidP="005A7871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CF1575">
        <w:rPr>
          <w:sz w:val="22"/>
          <w:szCs w:val="22"/>
          <w:u w:val="single"/>
        </w:rPr>
        <w:t>Fertilita</w:t>
      </w:r>
    </w:p>
    <w:p w14:paraId="66179F67" w14:textId="77777777" w:rsidR="007C5249" w:rsidRPr="00CF1575" w:rsidRDefault="007C5249" w:rsidP="00783F13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34B22BD" w14:textId="77777777" w:rsidR="00AA5277" w:rsidRPr="004143F6" w:rsidRDefault="00505F6C" w:rsidP="000236E8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4143F6">
        <w:rPr>
          <w:sz w:val="22"/>
          <w:szCs w:val="22"/>
        </w:rPr>
        <w:t>Liečba androgénmi u mužov môže viesť k poruchám fertility</w:t>
      </w:r>
      <w:r w:rsidR="00AA5277" w:rsidRPr="004143F6">
        <w:rPr>
          <w:sz w:val="22"/>
          <w:szCs w:val="22"/>
        </w:rPr>
        <w:t>, ktoré sa prejavujú na tvorbe spermií (pozri časť 4.8).</w:t>
      </w:r>
    </w:p>
    <w:p w14:paraId="64806AD9" w14:textId="77777777" w:rsidR="006B2416" w:rsidRPr="00360E33" w:rsidRDefault="006B2416" w:rsidP="001F1285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2D8FFDE5" w14:textId="77777777" w:rsidR="006B2416" w:rsidRPr="00EA5814" w:rsidRDefault="006B2416" w:rsidP="00042AC1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EA5814">
        <w:rPr>
          <w:b/>
          <w:sz w:val="22"/>
          <w:szCs w:val="22"/>
        </w:rPr>
        <w:t>4.7</w:t>
      </w:r>
      <w:r w:rsidRPr="00EA5814">
        <w:rPr>
          <w:b/>
          <w:sz w:val="22"/>
          <w:szCs w:val="22"/>
        </w:rPr>
        <w:tab/>
        <w:t>Ovplyvnenie schopnosti viesť vozidlá a obsluhovať stroje</w:t>
      </w:r>
    </w:p>
    <w:p w14:paraId="080C05B9" w14:textId="77777777" w:rsidR="006B2416" w:rsidRPr="004463D0" w:rsidRDefault="006B2416" w:rsidP="00CE313A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50444147" w14:textId="77777777" w:rsidR="006B2416" w:rsidRPr="00CA25E6" w:rsidRDefault="00AA5277" w:rsidP="00CE313A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224836">
        <w:rPr>
          <w:sz w:val="22"/>
          <w:szCs w:val="22"/>
        </w:rPr>
        <w:t>Sustanon 250 nemá žiadny vplyv na schopnosť viesť vozidlá a obsluhovať stroje.</w:t>
      </w:r>
    </w:p>
    <w:p w14:paraId="65892E09" w14:textId="77777777" w:rsidR="00AA5277" w:rsidRPr="007251DF" w:rsidRDefault="00AA5277" w:rsidP="00512D96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5AB80907" w14:textId="77777777" w:rsidR="006B2416" w:rsidRPr="007251DF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7251DF">
        <w:rPr>
          <w:b/>
          <w:sz w:val="22"/>
          <w:szCs w:val="22"/>
        </w:rPr>
        <w:t>4.8</w:t>
      </w:r>
      <w:r w:rsidRPr="007251DF">
        <w:rPr>
          <w:b/>
          <w:sz w:val="22"/>
          <w:szCs w:val="22"/>
        </w:rPr>
        <w:tab/>
        <w:t>Nežiaduce účinky</w:t>
      </w:r>
    </w:p>
    <w:p w14:paraId="613F31C0" w14:textId="77777777" w:rsidR="006B2416" w:rsidRPr="007A0A39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50647548" w14:textId="77777777" w:rsidR="006B2416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2562E">
        <w:rPr>
          <w:sz w:val="22"/>
          <w:szCs w:val="22"/>
        </w:rPr>
        <w:t>Vzhľadom na povahu Sustanonu</w:t>
      </w:r>
      <w:r w:rsidR="00527E05" w:rsidRPr="0002562E">
        <w:rPr>
          <w:sz w:val="22"/>
          <w:szCs w:val="22"/>
        </w:rPr>
        <w:t> </w:t>
      </w:r>
      <w:r w:rsidRPr="0002562E">
        <w:rPr>
          <w:sz w:val="22"/>
          <w:szCs w:val="22"/>
        </w:rPr>
        <w:t>250</w:t>
      </w:r>
      <w:r w:rsidR="00AA5277" w:rsidRPr="0002562E">
        <w:rPr>
          <w:sz w:val="22"/>
          <w:szCs w:val="22"/>
        </w:rPr>
        <w:t xml:space="preserve"> nie je možné nežiaduce účinky</w:t>
      </w:r>
      <w:r w:rsidRPr="0002562E">
        <w:rPr>
          <w:sz w:val="22"/>
          <w:szCs w:val="22"/>
        </w:rPr>
        <w:t xml:space="preserve"> </w:t>
      </w:r>
      <w:r w:rsidR="00AA5277" w:rsidRPr="0002562E">
        <w:rPr>
          <w:sz w:val="22"/>
          <w:szCs w:val="22"/>
        </w:rPr>
        <w:t xml:space="preserve">rýchlo </w:t>
      </w:r>
      <w:r w:rsidRPr="0002562E">
        <w:rPr>
          <w:sz w:val="22"/>
          <w:szCs w:val="22"/>
        </w:rPr>
        <w:t>zvrátiť prerušením liečby. Injekcie vo všeobecnosti môžu spôsobiť lokáln</w:t>
      </w:r>
      <w:r w:rsidR="00AA5277" w:rsidRPr="00EE3AFF">
        <w:rPr>
          <w:sz w:val="22"/>
          <w:szCs w:val="22"/>
        </w:rPr>
        <w:t>u</w:t>
      </w:r>
      <w:r w:rsidRPr="00EE3AFF">
        <w:rPr>
          <w:sz w:val="22"/>
          <w:szCs w:val="22"/>
        </w:rPr>
        <w:t xml:space="preserve"> reakci</w:t>
      </w:r>
      <w:r w:rsidR="00AA5277" w:rsidRPr="00EE3AFF">
        <w:rPr>
          <w:sz w:val="22"/>
          <w:szCs w:val="22"/>
        </w:rPr>
        <w:t>u</w:t>
      </w:r>
      <w:r w:rsidRPr="00EE3AFF">
        <w:rPr>
          <w:sz w:val="22"/>
          <w:szCs w:val="22"/>
        </w:rPr>
        <w:t xml:space="preserve"> v mieste podania</w:t>
      </w:r>
      <w:r w:rsidR="00AA5277" w:rsidRPr="00EE3AFF">
        <w:rPr>
          <w:sz w:val="22"/>
          <w:szCs w:val="22"/>
        </w:rPr>
        <w:t xml:space="preserve"> injekcie</w:t>
      </w:r>
      <w:r w:rsidRPr="00EE3AFF">
        <w:rPr>
          <w:sz w:val="22"/>
          <w:szCs w:val="22"/>
        </w:rPr>
        <w:t>.</w:t>
      </w:r>
    </w:p>
    <w:p w14:paraId="38F41F87" w14:textId="77777777" w:rsidR="00B5519A" w:rsidRDefault="00B5519A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086A45C1" w14:textId="77777777" w:rsidR="00B5519A" w:rsidRPr="008C058B" w:rsidRDefault="00B5519A" w:rsidP="00B5519A">
      <w:pPr>
        <w:rPr>
          <w:rFonts w:ascii="Times New Roman" w:hAnsi="Times New Roman"/>
        </w:rPr>
      </w:pPr>
      <w:r w:rsidRPr="008C058B">
        <w:rPr>
          <w:rFonts w:ascii="Times New Roman" w:hAnsi="Times New Roman"/>
        </w:rPr>
        <w:t xml:space="preserve">Na klasifikáciu frekvencie </w:t>
      </w:r>
      <w:r w:rsidRPr="008C058B">
        <w:rPr>
          <w:rFonts w:ascii="Times New Roman" w:hAnsi="Times New Roman"/>
          <w:szCs w:val="22"/>
        </w:rPr>
        <w:t xml:space="preserve">nežiaducich účinkov </w:t>
      </w:r>
      <w:r w:rsidRPr="008C058B">
        <w:rPr>
          <w:rFonts w:ascii="Times New Roman" w:hAnsi="Times New Roman"/>
        </w:rPr>
        <w:t xml:space="preserve">sa použilo nasledujúce pravidlo: </w:t>
      </w:r>
      <w:r w:rsidRPr="008C058B">
        <w:rPr>
          <w:rFonts w:ascii="Times New Roman" w:hAnsi="Times New Roman"/>
          <w:szCs w:val="22"/>
        </w:rPr>
        <w:t>veľmi</w:t>
      </w:r>
      <w:r w:rsidRPr="008C058B">
        <w:rPr>
          <w:rFonts w:ascii="Times New Roman" w:hAnsi="Times New Roman"/>
        </w:rPr>
        <w:t xml:space="preserve"> časté </w:t>
      </w:r>
      <w:r w:rsidRPr="008C058B">
        <w:rPr>
          <w:rFonts w:ascii="Times New Roman" w:hAnsi="Times New Roman"/>
          <w:szCs w:val="22"/>
        </w:rPr>
        <w:t>(</w:t>
      </w:r>
      <w:r w:rsidRPr="008C058B">
        <w:rPr>
          <w:rFonts w:ascii="Times New Roman" w:hAnsi="Times New Roman"/>
          <w:szCs w:val="22"/>
        </w:rPr>
        <w:sym w:font="Symbol" w:char="F0B3"/>
      </w:r>
      <w:r w:rsidRPr="008C058B">
        <w:rPr>
          <w:rFonts w:ascii="Times New Roman" w:hAnsi="Times New Roman"/>
          <w:szCs w:val="22"/>
        </w:rPr>
        <w:t> </w:t>
      </w:r>
      <w:r w:rsidRPr="008C058B">
        <w:rPr>
          <w:rFonts w:ascii="Times New Roman" w:hAnsi="Times New Roman"/>
        </w:rPr>
        <w:t>1/10</w:t>
      </w:r>
      <w:r w:rsidRPr="008C058B">
        <w:rPr>
          <w:rFonts w:ascii="Times New Roman" w:hAnsi="Times New Roman"/>
          <w:szCs w:val="22"/>
        </w:rPr>
        <w:t>),</w:t>
      </w:r>
      <w:r w:rsidRPr="008C058B">
        <w:rPr>
          <w:rFonts w:ascii="Times New Roman" w:hAnsi="Times New Roman"/>
        </w:rPr>
        <w:t xml:space="preserve"> časté </w:t>
      </w:r>
      <w:r w:rsidRPr="008C058B">
        <w:rPr>
          <w:rFonts w:ascii="Times New Roman" w:hAnsi="Times New Roman"/>
          <w:szCs w:val="22"/>
        </w:rPr>
        <w:t>(</w:t>
      </w:r>
      <w:r w:rsidRPr="008C058B">
        <w:rPr>
          <w:rFonts w:ascii="Times New Roman" w:hAnsi="Times New Roman"/>
          <w:szCs w:val="22"/>
        </w:rPr>
        <w:sym w:font="Symbol" w:char="F0B3"/>
      </w:r>
      <w:r w:rsidRPr="008C058B">
        <w:rPr>
          <w:rFonts w:ascii="Times New Roman" w:hAnsi="Times New Roman"/>
          <w:szCs w:val="22"/>
        </w:rPr>
        <w:t> </w:t>
      </w:r>
      <w:r w:rsidRPr="008C058B">
        <w:rPr>
          <w:rFonts w:ascii="Times New Roman" w:hAnsi="Times New Roman"/>
        </w:rPr>
        <w:t>1/100 až &lt;</w:t>
      </w:r>
      <w:r w:rsidRPr="008C058B">
        <w:rPr>
          <w:rFonts w:ascii="Times New Roman" w:hAnsi="Times New Roman"/>
          <w:szCs w:val="22"/>
        </w:rPr>
        <w:t> </w:t>
      </w:r>
      <w:r w:rsidRPr="008C058B">
        <w:rPr>
          <w:rFonts w:ascii="Times New Roman" w:hAnsi="Times New Roman"/>
        </w:rPr>
        <w:t>1/10</w:t>
      </w:r>
      <w:r w:rsidRPr="008C058B">
        <w:rPr>
          <w:rFonts w:ascii="Times New Roman" w:hAnsi="Times New Roman"/>
          <w:szCs w:val="22"/>
        </w:rPr>
        <w:t>),</w:t>
      </w:r>
      <w:r w:rsidRPr="008C058B">
        <w:rPr>
          <w:rFonts w:ascii="Times New Roman" w:hAnsi="Times New Roman"/>
        </w:rPr>
        <w:t xml:space="preserve"> menej časté </w:t>
      </w:r>
      <w:r w:rsidRPr="008C058B">
        <w:rPr>
          <w:rFonts w:ascii="Times New Roman" w:hAnsi="Times New Roman"/>
          <w:szCs w:val="22"/>
        </w:rPr>
        <w:t>(</w:t>
      </w:r>
      <w:r w:rsidRPr="008C058B">
        <w:rPr>
          <w:rFonts w:ascii="Times New Roman" w:hAnsi="Times New Roman"/>
          <w:szCs w:val="22"/>
        </w:rPr>
        <w:sym w:font="Symbol" w:char="F0B3"/>
      </w:r>
      <w:r w:rsidRPr="008C058B">
        <w:rPr>
          <w:rFonts w:ascii="Times New Roman" w:hAnsi="Times New Roman"/>
          <w:szCs w:val="22"/>
        </w:rPr>
        <w:t> </w:t>
      </w:r>
      <w:r w:rsidRPr="008C058B">
        <w:rPr>
          <w:rFonts w:ascii="Times New Roman" w:hAnsi="Times New Roman"/>
        </w:rPr>
        <w:t>1/</w:t>
      </w:r>
      <w:r w:rsidRPr="008C058B">
        <w:rPr>
          <w:rFonts w:ascii="Times New Roman" w:hAnsi="Times New Roman"/>
          <w:szCs w:val="22"/>
        </w:rPr>
        <w:t>1 000</w:t>
      </w:r>
      <w:r w:rsidRPr="008C058B">
        <w:rPr>
          <w:rFonts w:ascii="Times New Roman" w:hAnsi="Times New Roman"/>
        </w:rPr>
        <w:t xml:space="preserve"> až &lt;</w:t>
      </w:r>
      <w:r w:rsidRPr="008C058B">
        <w:rPr>
          <w:rFonts w:ascii="Times New Roman" w:hAnsi="Times New Roman"/>
          <w:szCs w:val="22"/>
        </w:rPr>
        <w:t> </w:t>
      </w:r>
      <w:r w:rsidRPr="008C058B">
        <w:rPr>
          <w:rFonts w:ascii="Times New Roman" w:hAnsi="Times New Roman"/>
        </w:rPr>
        <w:t>1/100</w:t>
      </w:r>
      <w:r w:rsidRPr="008C058B">
        <w:rPr>
          <w:rFonts w:ascii="Times New Roman" w:hAnsi="Times New Roman"/>
          <w:szCs w:val="22"/>
        </w:rPr>
        <w:t>),</w:t>
      </w:r>
      <w:r w:rsidRPr="008C058B">
        <w:rPr>
          <w:rFonts w:ascii="Times New Roman" w:hAnsi="Times New Roman"/>
        </w:rPr>
        <w:t xml:space="preserve"> zriedkavé </w:t>
      </w:r>
      <w:r w:rsidRPr="008C058B">
        <w:rPr>
          <w:rFonts w:ascii="Times New Roman" w:hAnsi="Times New Roman"/>
          <w:szCs w:val="22"/>
        </w:rPr>
        <w:t>(</w:t>
      </w:r>
      <w:r w:rsidRPr="008C058B">
        <w:rPr>
          <w:rFonts w:ascii="Times New Roman" w:hAnsi="Times New Roman"/>
          <w:szCs w:val="22"/>
        </w:rPr>
        <w:sym w:font="Symbol" w:char="F0B3"/>
      </w:r>
      <w:r w:rsidRPr="008C058B">
        <w:rPr>
          <w:rFonts w:ascii="Times New Roman" w:hAnsi="Times New Roman"/>
          <w:szCs w:val="22"/>
        </w:rPr>
        <w:t> </w:t>
      </w:r>
      <w:r w:rsidRPr="008C058B">
        <w:rPr>
          <w:rFonts w:ascii="Times New Roman" w:hAnsi="Times New Roman"/>
        </w:rPr>
        <w:t>1/10</w:t>
      </w:r>
      <w:r w:rsidRPr="008C058B">
        <w:rPr>
          <w:rFonts w:ascii="Times New Roman" w:hAnsi="Times New Roman"/>
          <w:szCs w:val="22"/>
        </w:rPr>
        <w:t> </w:t>
      </w:r>
      <w:r w:rsidRPr="008C058B">
        <w:rPr>
          <w:rFonts w:ascii="Times New Roman" w:hAnsi="Times New Roman"/>
        </w:rPr>
        <w:t>000 až &lt;</w:t>
      </w:r>
      <w:r w:rsidRPr="008C058B">
        <w:rPr>
          <w:rFonts w:ascii="Times New Roman" w:hAnsi="Times New Roman"/>
          <w:szCs w:val="22"/>
        </w:rPr>
        <w:t> </w:t>
      </w:r>
      <w:r w:rsidRPr="008C058B">
        <w:rPr>
          <w:rFonts w:ascii="Times New Roman" w:hAnsi="Times New Roman"/>
        </w:rPr>
        <w:t>1/</w:t>
      </w:r>
      <w:r w:rsidRPr="008C058B">
        <w:rPr>
          <w:rFonts w:ascii="Times New Roman" w:hAnsi="Times New Roman"/>
          <w:szCs w:val="22"/>
        </w:rPr>
        <w:t>1 000),</w:t>
      </w:r>
      <w:r w:rsidRPr="008C058B">
        <w:rPr>
          <w:rFonts w:ascii="Times New Roman" w:hAnsi="Times New Roman"/>
        </w:rPr>
        <w:t xml:space="preserve"> veľmi zriedkavé </w:t>
      </w:r>
      <w:r w:rsidRPr="008C058B">
        <w:rPr>
          <w:rFonts w:ascii="Times New Roman" w:hAnsi="Times New Roman"/>
          <w:szCs w:val="22"/>
        </w:rPr>
        <w:t>(&lt; </w:t>
      </w:r>
      <w:r w:rsidRPr="008C058B">
        <w:rPr>
          <w:rFonts w:ascii="Times New Roman" w:hAnsi="Times New Roman"/>
        </w:rPr>
        <w:t>1/10 000</w:t>
      </w:r>
      <w:r w:rsidRPr="008C058B">
        <w:rPr>
          <w:rFonts w:ascii="Times New Roman" w:hAnsi="Times New Roman"/>
          <w:szCs w:val="22"/>
        </w:rPr>
        <w:t>),</w:t>
      </w:r>
      <w:r w:rsidRPr="008C058B">
        <w:rPr>
          <w:rFonts w:ascii="Times New Roman" w:hAnsi="Times New Roman"/>
        </w:rPr>
        <w:t xml:space="preserve"> neznáme (z</w:t>
      </w:r>
      <w:r w:rsidRPr="008C058B">
        <w:rPr>
          <w:rFonts w:ascii="Times New Roman" w:hAnsi="Times New Roman"/>
          <w:szCs w:val="22"/>
        </w:rPr>
        <w:t xml:space="preserve"> </w:t>
      </w:r>
      <w:r w:rsidRPr="008C058B">
        <w:rPr>
          <w:rFonts w:ascii="Times New Roman" w:hAnsi="Times New Roman"/>
        </w:rPr>
        <w:t>dostupných údajov).</w:t>
      </w:r>
    </w:p>
    <w:p w14:paraId="7002AA11" w14:textId="77777777" w:rsidR="00B5519A" w:rsidRPr="00EE3AFF" w:rsidRDefault="00B5519A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1434DC8" w14:textId="77777777" w:rsidR="006B2416" w:rsidRPr="007877A0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E0BB204" w14:textId="77777777" w:rsidR="006B2416" w:rsidRPr="00407D89" w:rsidRDefault="00AA5277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  <w:r w:rsidRPr="007877A0">
        <w:rPr>
          <w:sz w:val="22"/>
          <w:szCs w:val="22"/>
        </w:rPr>
        <w:t>Vo v</w:t>
      </w:r>
      <w:r w:rsidR="006B2416" w:rsidRPr="007877A0">
        <w:rPr>
          <w:sz w:val="22"/>
          <w:szCs w:val="22"/>
        </w:rPr>
        <w:t>šeobecn</w:t>
      </w:r>
      <w:r w:rsidRPr="008E1F73">
        <w:rPr>
          <w:sz w:val="22"/>
          <w:szCs w:val="22"/>
        </w:rPr>
        <w:t>osti</w:t>
      </w:r>
      <w:r w:rsidR="006B2416" w:rsidRPr="008E1F73">
        <w:rPr>
          <w:sz w:val="22"/>
          <w:szCs w:val="22"/>
        </w:rPr>
        <w:t xml:space="preserve"> s</w:t>
      </w:r>
      <w:r w:rsidRPr="008E1F73">
        <w:rPr>
          <w:sz w:val="22"/>
          <w:szCs w:val="22"/>
        </w:rPr>
        <w:t>ú</w:t>
      </w:r>
      <w:r w:rsidR="006B2416" w:rsidRPr="00407D89">
        <w:rPr>
          <w:sz w:val="22"/>
          <w:szCs w:val="22"/>
        </w:rPr>
        <w:t xml:space="preserve"> s</w:t>
      </w:r>
      <w:r w:rsidR="00527E05" w:rsidRPr="00407D89">
        <w:rPr>
          <w:sz w:val="22"/>
          <w:szCs w:val="22"/>
        </w:rPr>
        <w:t> </w:t>
      </w:r>
      <w:r w:rsidR="006B2416" w:rsidRPr="00407D89">
        <w:rPr>
          <w:sz w:val="22"/>
          <w:szCs w:val="22"/>
        </w:rPr>
        <w:t>liečbou androgénmi sp</w:t>
      </w:r>
      <w:r w:rsidRPr="00407D89">
        <w:rPr>
          <w:sz w:val="22"/>
          <w:szCs w:val="22"/>
        </w:rPr>
        <w:t>ojené</w:t>
      </w:r>
      <w:r w:rsidR="006B2416" w:rsidRPr="00407D89">
        <w:rPr>
          <w:sz w:val="22"/>
          <w:szCs w:val="22"/>
        </w:rPr>
        <w:t xml:space="preserve"> nasledovné nežiaduce účinky:</w:t>
      </w:r>
    </w:p>
    <w:p w14:paraId="21B944C8" w14:textId="77777777" w:rsidR="006B2416" w:rsidRPr="000D616A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2686"/>
        <w:gridCol w:w="2686"/>
      </w:tblGrid>
      <w:tr w:rsidR="00890FCC" w:rsidRPr="00484E2F" w14:paraId="25D261CC" w14:textId="77777777" w:rsidTr="00F17DB7">
        <w:trPr>
          <w:cantSplit/>
          <w:tblHeader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3E9" w14:textId="77777777" w:rsidR="00890FCC" w:rsidRPr="000D616A" w:rsidRDefault="00890FCC" w:rsidP="009234FB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0D616A">
              <w:rPr>
                <w:rFonts w:ascii="Times New Roman" w:hAnsi="Times New Roman"/>
                <w:b/>
                <w:szCs w:val="22"/>
                <w:lang w:val="sk-SK"/>
              </w:rPr>
              <w:t>Trieda orgánových systémov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7E1" w14:textId="115FCD69" w:rsidR="00890FCC" w:rsidRPr="00A1183C" w:rsidRDefault="00890FCC" w:rsidP="00182BA3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A1183C">
              <w:rPr>
                <w:rFonts w:ascii="Times New Roman" w:hAnsi="Times New Roman"/>
                <w:b/>
                <w:szCs w:val="22"/>
                <w:lang w:val="sk-SK"/>
              </w:rPr>
              <w:t>Terminológia podľa MedDRA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4B4" w14:textId="77777777" w:rsidR="00890FCC" w:rsidRPr="00C80F6F" w:rsidRDefault="005066D3" w:rsidP="005066D3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80F6F">
              <w:rPr>
                <w:rFonts w:ascii="Times New Roman" w:hAnsi="Times New Roman"/>
                <w:b/>
                <w:szCs w:val="22"/>
                <w:lang w:val="sk-SK"/>
              </w:rPr>
              <w:t>F</w:t>
            </w:r>
            <w:r w:rsidR="00890FCC" w:rsidRPr="00C80F6F">
              <w:rPr>
                <w:rFonts w:ascii="Times New Roman" w:hAnsi="Times New Roman"/>
                <w:b/>
                <w:szCs w:val="22"/>
                <w:lang w:val="sk-SK"/>
              </w:rPr>
              <w:t>rekvencia</w:t>
            </w:r>
          </w:p>
        </w:tc>
      </w:tr>
      <w:tr w:rsidR="00890FCC" w:rsidRPr="00484E2F" w14:paraId="559CE1E5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1E0" w14:textId="77777777" w:rsidR="00890FCC" w:rsidRPr="00484E2F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4E2F">
              <w:rPr>
                <w:rFonts w:ascii="Times New Roman" w:hAnsi="Times New Roman"/>
                <w:szCs w:val="22"/>
                <w:lang w:val="sk-SK"/>
              </w:rPr>
              <w:t>Benígne a malígne nádory, vrátane nešpecifikovaných novotvarov (cysty a polypy)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BC8" w14:textId="77777777" w:rsidR="00890FCC" w:rsidRPr="00704FCB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704FCB">
              <w:rPr>
                <w:rFonts w:ascii="Times New Roman" w:hAnsi="Times New Roman"/>
                <w:szCs w:val="22"/>
                <w:lang w:val="sk-SK"/>
              </w:rPr>
              <w:t>karcinóm prostaty</w:t>
            </w:r>
            <w:r w:rsidRPr="00704FCB">
              <w:rPr>
                <w:rFonts w:ascii="Times New Roman" w:hAnsi="Times New Roman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457" w14:textId="2357E03B" w:rsidR="00890FCC" w:rsidRPr="00484E2F" w:rsidRDefault="00E3515E" w:rsidP="00E3515E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1B007D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</w:tc>
      </w:tr>
      <w:tr w:rsidR="00890FCC" w:rsidRPr="00484E2F" w14:paraId="14A0B9C5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46E" w14:textId="77777777" w:rsidR="00890FCC" w:rsidRPr="00484E2F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4E2F">
              <w:rPr>
                <w:rFonts w:ascii="Times New Roman" w:hAnsi="Times New Roman"/>
                <w:szCs w:val="22"/>
                <w:lang w:val="sk-SK"/>
              </w:rPr>
              <w:t>Poruchy krvi a lymfatického systému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2C9" w14:textId="77777777" w:rsidR="00890FCC" w:rsidRPr="0021409A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21409A">
              <w:rPr>
                <w:rFonts w:ascii="Times New Roman" w:hAnsi="Times New Roman"/>
                <w:szCs w:val="22"/>
                <w:lang w:val="sk-SK"/>
              </w:rPr>
              <w:t>polycytémia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88E" w14:textId="7D41FBEA" w:rsidR="00890FCC" w:rsidRPr="00484E2F" w:rsidRDefault="00E3515E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077C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</w:tc>
      </w:tr>
      <w:tr w:rsidR="00890FCC" w:rsidRPr="00484E2F" w14:paraId="5B73C791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74C" w14:textId="77777777" w:rsidR="00890FCC" w:rsidRPr="0021409A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4E2F">
              <w:rPr>
                <w:rFonts w:ascii="Times New Roman" w:hAnsi="Times New Roman"/>
                <w:szCs w:val="22"/>
                <w:lang w:val="sk-SK"/>
              </w:rPr>
              <w:t>Poruchy met</w:t>
            </w:r>
            <w:r w:rsidRPr="0021409A">
              <w:rPr>
                <w:rFonts w:ascii="Times New Roman" w:hAnsi="Times New Roman"/>
                <w:szCs w:val="22"/>
                <w:lang w:val="sk-SK"/>
              </w:rPr>
              <w:t>abolizmu a výživy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94F" w14:textId="77777777" w:rsidR="00890FCC" w:rsidRPr="00704FCB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704FCB">
              <w:rPr>
                <w:rFonts w:ascii="Times New Roman" w:hAnsi="Times New Roman"/>
                <w:szCs w:val="22"/>
                <w:lang w:val="sk-SK"/>
              </w:rPr>
              <w:t>zadržiavanie tekutín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85A" w14:textId="676A40F5" w:rsidR="00890FCC" w:rsidRPr="00484E2F" w:rsidRDefault="00E3515E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077C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</w:tc>
      </w:tr>
      <w:tr w:rsidR="00890FCC" w:rsidRPr="00484E2F" w14:paraId="3304C576" w14:textId="77777777" w:rsidTr="00482353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B79" w14:textId="77777777" w:rsidR="00890FCC" w:rsidRPr="00482353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2353">
              <w:rPr>
                <w:rFonts w:ascii="Times New Roman" w:hAnsi="Times New Roman"/>
                <w:szCs w:val="22"/>
                <w:lang w:val="sk-SK"/>
              </w:rPr>
              <w:t>Psychické poruchy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39B" w14:textId="77777777" w:rsidR="00890FCC" w:rsidRPr="0021409A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21409A">
              <w:rPr>
                <w:rFonts w:ascii="Times New Roman" w:hAnsi="Times New Roman"/>
                <w:szCs w:val="22"/>
                <w:lang w:val="sk-SK"/>
              </w:rPr>
              <w:t>depresia</w:t>
            </w:r>
          </w:p>
          <w:p w14:paraId="0CFD296C" w14:textId="77777777" w:rsidR="00890FCC" w:rsidRPr="00704FCB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704FCB">
              <w:rPr>
                <w:rFonts w:ascii="Times New Roman" w:hAnsi="Times New Roman"/>
                <w:szCs w:val="22"/>
                <w:lang w:val="sk-SK"/>
              </w:rPr>
              <w:t>nervozita</w:t>
            </w:r>
          </w:p>
          <w:p w14:paraId="672ACE3A" w14:textId="77777777" w:rsidR="00890FCC" w:rsidRPr="00EA08AF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A08AF">
              <w:rPr>
                <w:rFonts w:ascii="Times New Roman" w:hAnsi="Times New Roman"/>
                <w:szCs w:val="22"/>
                <w:lang w:val="sk-SK"/>
              </w:rPr>
              <w:t>zmeny nálady</w:t>
            </w:r>
          </w:p>
          <w:p w14:paraId="70367789" w14:textId="77777777" w:rsidR="00890FCC" w:rsidRPr="00A35DC2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A35DC2">
              <w:rPr>
                <w:rFonts w:ascii="Times New Roman" w:hAnsi="Times New Roman"/>
                <w:szCs w:val="22"/>
                <w:lang w:val="sk-SK"/>
              </w:rPr>
              <w:t>zvýšené libido</w:t>
            </w:r>
          </w:p>
          <w:p w14:paraId="7494B542" w14:textId="77777777" w:rsidR="00890FCC" w:rsidRPr="00A35DC2" w:rsidRDefault="00890FCC" w:rsidP="005A787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A35DC2">
              <w:rPr>
                <w:rFonts w:ascii="Times New Roman" w:hAnsi="Times New Roman"/>
                <w:szCs w:val="22"/>
                <w:lang w:val="sk-SK"/>
              </w:rPr>
              <w:t>znížené libido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3CD" w14:textId="724AE811" w:rsidR="00890FCC" w:rsidRPr="00484E2F" w:rsidRDefault="00E3515E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077C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</w:tc>
      </w:tr>
      <w:tr w:rsidR="00890FCC" w:rsidRPr="00484E2F" w14:paraId="2EECDDAB" w14:textId="77777777" w:rsidTr="00482353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D3A" w14:textId="77777777" w:rsidR="00890FCC" w:rsidRPr="00482353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2353">
              <w:rPr>
                <w:rFonts w:ascii="Times New Roman" w:hAnsi="Times New Roman"/>
                <w:szCs w:val="22"/>
                <w:lang w:val="sk-SK"/>
              </w:rPr>
              <w:t>Poruchy ciev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05A" w14:textId="77777777" w:rsidR="00890FCC" w:rsidRPr="00704FCB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704FCB">
              <w:rPr>
                <w:rFonts w:ascii="Times New Roman" w:hAnsi="Times New Roman"/>
                <w:szCs w:val="22"/>
                <w:lang w:val="sk-SK"/>
              </w:rPr>
              <w:t>hypertenzia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CDDA" w14:textId="3EB5D80D" w:rsidR="00890FCC" w:rsidRPr="00484E2F" w:rsidRDefault="00E3515E" w:rsidP="00890B8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077C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</w:tc>
      </w:tr>
      <w:tr w:rsidR="00890FCC" w:rsidRPr="00484E2F" w14:paraId="3839E3A4" w14:textId="77777777" w:rsidTr="00482353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8CF" w14:textId="77777777" w:rsidR="00890FCC" w:rsidRPr="00482353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2353">
              <w:rPr>
                <w:rFonts w:ascii="Times New Roman" w:hAnsi="Times New Roman"/>
                <w:szCs w:val="22"/>
                <w:lang w:val="sk-SK"/>
              </w:rPr>
              <w:t>Poruchy gastrointestinálneho traktu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F62C" w14:textId="77777777" w:rsidR="00890FCC" w:rsidRPr="000A0868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0A0868">
              <w:rPr>
                <w:rFonts w:ascii="Times New Roman" w:hAnsi="Times New Roman"/>
                <w:szCs w:val="22"/>
                <w:lang w:val="sk-SK"/>
              </w:rPr>
              <w:t>nauzea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E22F" w14:textId="612E3892" w:rsidR="00890FCC" w:rsidRPr="00484E2F" w:rsidRDefault="00E3515E" w:rsidP="00890B8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077C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</w:tc>
      </w:tr>
      <w:tr w:rsidR="00890FCC" w:rsidRPr="00484E2F" w14:paraId="32CB576C" w14:textId="77777777" w:rsidTr="00482353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7C2" w14:textId="77777777" w:rsidR="00890FCC" w:rsidRPr="00482353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2353">
              <w:rPr>
                <w:rFonts w:ascii="Times New Roman" w:hAnsi="Times New Roman"/>
                <w:szCs w:val="22"/>
                <w:lang w:val="sk-SK"/>
              </w:rPr>
              <w:t>Poruchy pečene a žlčových ciest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466" w14:textId="77777777" w:rsidR="00890FCC" w:rsidRPr="0021409A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21409A">
              <w:rPr>
                <w:rFonts w:ascii="Times New Roman" w:hAnsi="Times New Roman"/>
                <w:szCs w:val="22"/>
                <w:lang w:val="sk-SK"/>
              </w:rPr>
              <w:t>abnormálna funkcia pečene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C5E" w14:textId="453D2EAD" w:rsidR="00890FCC" w:rsidRPr="00484E2F" w:rsidRDefault="00E3515E" w:rsidP="00E3515E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077C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</w:tc>
      </w:tr>
      <w:tr w:rsidR="00890FCC" w:rsidRPr="00484E2F" w14:paraId="52D1FFE2" w14:textId="77777777" w:rsidTr="00482353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9B2" w14:textId="77777777" w:rsidR="00890FCC" w:rsidRPr="00482353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2353">
              <w:rPr>
                <w:rFonts w:ascii="Times New Roman" w:hAnsi="Times New Roman"/>
                <w:szCs w:val="22"/>
                <w:lang w:val="sk-SK"/>
              </w:rPr>
              <w:t>Poruchy kože a podkožného tkaniva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4E0" w14:textId="77777777" w:rsidR="00890FCC" w:rsidRPr="0021409A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21409A">
              <w:rPr>
                <w:rFonts w:ascii="Times New Roman" w:hAnsi="Times New Roman"/>
                <w:szCs w:val="22"/>
                <w:lang w:val="sk-SK"/>
              </w:rPr>
              <w:t>pruritus</w:t>
            </w:r>
          </w:p>
          <w:p w14:paraId="11126C98" w14:textId="77777777" w:rsidR="00890FCC" w:rsidRPr="00704FCB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704FCB">
              <w:rPr>
                <w:rFonts w:ascii="Times New Roman" w:hAnsi="Times New Roman"/>
                <w:szCs w:val="22"/>
                <w:lang w:val="sk-SK"/>
              </w:rPr>
              <w:t>akné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72F" w14:textId="5734836E" w:rsidR="00890FCC" w:rsidRPr="00484E2F" w:rsidRDefault="00E3515E" w:rsidP="00890B8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077C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</w:tc>
      </w:tr>
      <w:tr w:rsidR="00890FCC" w:rsidRPr="00484E2F" w14:paraId="18B94F37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893" w14:textId="77777777" w:rsidR="00890FCC" w:rsidRPr="00484E2F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4E2F">
              <w:rPr>
                <w:rFonts w:ascii="Times New Roman" w:hAnsi="Times New Roman"/>
                <w:szCs w:val="22"/>
                <w:lang w:val="sk-SK"/>
              </w:rPr>
              <w:t>Poruchy kostrovej a svalovej sústavy a spojivového tkaniva</w:t>
            </w:r>
            <w:r w:rsidRPr="001B007D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9B0" w14:textId="77777777" w:rsidR="00890FCC" w:rsidRPr="0021409A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21409A">
              <w:rPr>
                <w:rFonts w:ascii="Times New Roman" w:hAnsi="Times New Roman"/>
                <w:szCs w:val="22"/>
                <w:lang w:val="sk-SK"/>
              </w:rPr>
              <w:t>myalgia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932" w14:textId="14A2F1F9" w:rsidR="00890FCC" w:rsidRPr="00484E2F" w:rsidRDefault="00E3515E" w:rsidP="00890B8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077C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</w:tc>
      </w:tr>
      <w:tr w:rsidR="00890FCC" w:rsidRPr="00484E2F" w14:paraId="50E37595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A19D" w14:textId="77777777" w:rsidR="00890FCC" w:rsidRPr="00484E2F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4E2F">
              <w:rPr>
                <w:rFonts w:ascii="Times New Roman" w:hAnsi="Times New Roman"/>
                <w:szCs w:val="22"/>
                <w:lang w:val="sk-SK"/>
              </w:rPr>
              <w:t>Poruchy reprodukčného systému a prsníkov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317" w14:textId="77777777" w:rsidR="00890FCC" w:rsidRPr="0021409A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21409A">
              <w:rPr>
                <w:rFonts w:ascii="Times New Roman" w:hAnsi="Times New Roman"/>
                <w:szCs w:val="22"/>
                <w:lang w:val="sk-SK"/>
              </w:rPr>
              <w:t>gynekomastia</w:t>
            </w:r>
          </w:p>
          <w:p w14:paraId="7EB755E3" w14:textId="77777777" w:rsidR="00890FCC" w:rsidRPr="00704FCB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704FCB">
              <w:rPr>
                <w:rFonts w:ascii="Times New Roman" w:hAnsi="Times New Roman"/>
                <w:szCs w:val="22"/>
                <w:lang w:val="sk-SK"/>
              </w:rPr>
              <w:t>oligozoospermia</w:t>
            </w:r>
          </w:p>
          <w:p w14:paraId="5A66F22E" w14:textId="77777777" w:rsidR="00890FCC" w:rsidRPr="00EA08AF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A08AF">
              <w:rPr>
                <w:rFonts w:ascii="Times New Roman" w:hAnsi="Times New Roman"/>
                <w:szCs w:val="22"/>
                <w:lang w:val="sk-SK"/>
              </w:rPr>
              <w:t>priapizmus</w:t>
            </w:r>
          </w:p>
          <w:p w14:paraId="3A65AD59" w14:textId="77777777" w:rsidR="00890FCC" w:rsidRPr="00A35DC2" w:rsidRDefault="00890FCC" w:rsidP="005A787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A35DC2">
              <w:rPr>
                <w:rFonts w:ascii="Times New Roman" w:hAnsi="Times New Roman"/>
                <w:szCs w:val="22"/>
                <w:lang w:val="sk-SK"/>
              </w:rPr>
              <w:t>benígna hyperplázia prostaty</w:t>
            </w:r>
            <w:r w:rsidRPr="00A35DC2">
              <w:rPr>
                <w:rFonts w:ascii="Times New Roman" w:hAnsi="Times New Roman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29E" w14:textId="4A299D39" w:rsidR="00890FCC" w:rsidRPr="00484E2F" w:rsidRDefault="00E3515E" w:rsidP="00890B81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077C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</w:tc>
      </w:tr>
      <w:tr w:rsidR="00890FCC" w:rsidRPr="00484E2F" w14:paraId="5F770E61" w14:textId="77777777" w:rsidTr="00F17DB7">
        <w:trPr>
          <w:cantSplit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BB55" w14:textId="77777777" w:rsidR="00890FCC" w:rsidRPr="00484E2F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84E2F">
              <w:rPr>
                <w:rFonts w:ascii="Times New Roman" w:hAnsi="Times New Roman"/>
                <w:szCs w:val="22"/>
                <w:lang w:val="sk-SK"/>
              </w:rPr>
              <w:t>Laboratórne a funkčné vyšetrenia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C6D" w14:textId="77777777" w:rsidR="00890FCC" w:rsidRPr="00704FCB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21409A">
              <w:rPr>
                <w:rFonts w:ascii="Times New Roman" w:hAnsi="Times New Roman"/>
                <w:szCs w:val="22"/>
                <w:lang w:val="sk-SK"/>
              </w:rPr>
              <w:t>abnormálne hladiny lipidov</w:t>
            </w:r>
            <w:r w:rsidRPr="0021409A">
              <w:rPr>
                <w:rFonts w:ascii="Times New Roman" w:hAnsi="Times New Roman"/>
                <w:szCs w:val="22"/>
                <w:vertAlign w:val="superscript"/>
                <w:lang w:val="sk-SK"/>
              </w:rPr>
              <w:t>3</w:t>
            </w:r>
          </w:p>
          <w:p w14:paraId="0BA7458E" w14:textId="77777777" w:rsidR="00890FCC" w:rsidRPr="00A35DC2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A08AF">
              <w:rPr>
                <w:rFonts w:ascii="Times New Roman" w:hAnsi="Times New Roman"/>
                <w:szCs w:val="22"/>
                <w:lang w:val="sk-SK"/>
              </w:rPr>
              <w:t>zvýšená hladina prostatického špecifického antigénu</w:t>
            </w:r>
          </w:p>
          <w:p w14:paraId="2B24180D" w14:textId="77777777" w:rsidR="00890FCC" w:rsidRPr="00A35DC2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22BB7ECB" w14:textId="77777777" w:rsidR="00890FCC" w:rsidRPr="00730746" w:rsidRDefault="00890FCC" w:rsidP="00890FCC">
            <w:pPr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730746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Zvýšený hematokrit, zvýšený počet červených krviniek, zvýšený hemoglobín</w:t>
            </w:r>
          </w:p>
          <w:p w14:paraId="0DFC03F2" w14:textId="77777777" w:rsidR="00890FCC" w:rsidRPr="00CF157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85C" w14:textId="77777777" w:rsidR="00890FCC" w:rsidRPr="00CF1575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082332CE" w14:textId="39815D4A" w:rsidR="00890FCC" w:rsidRPr="00484E2F" w:rsidRDefault="00E3515E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E077CF"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Neznám</w:t>
            </w:r>
            <w:r>
              <w:rPr>
                <w:rFonts w:ascii="Times New Roman" w:hAnsi="Times New Roman"/>
                <w:color w:val="212121"/>
                <w:szCs w:val="22"/>
                <w:lang w:val="sk-SK" w:eastAsia="en-IE"/>
              </w:rPr>
              <w:t>a</w:t>
            </w:r>
          </w:p>
          <w:p w14:paraId="4960B0D9" w14:textId="77777777" w:rsidR="00890FCC" w:rsidRPr="0021409A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1D6D4E86" w14:textId="77777777" w:rsidR="00890FCC" w:rsidRPr="00704FCB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056A2E6B" w14:textId="77777777" w:rsidR="00890FCC" w:rsidRPr="00EA08AF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55837A23" w14:textId="77777777" w:rsidR="00890FCC" w:rsidRPr="00A35DC2" w:rsidRDefault="00890FCC" w:rsidP="005324F6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  <w:p w14:paraId="2FF1848E" w14:textId="21FDC356" w:rsidR="00890FCC" w:rsidRPr="0021409A" w:rsidRDefault="00674A1C" w:rsidP="00641332">
            <w:pPr>
              <w:rPr>
                <w:rFonts w:ascii="Times New Roman" w:hAnsi="Times New Roman"/>
                <w:szCs w:val="22"/>
              </w:rPr>
            </w:pPr>
            <w:r w:rsidRPr="00BC45AB">
              <w:rPr>
                <w:rFonts w:ascii="Times New Roman" w:hAnsi="Times New Roman"/>
                <w:color w:val="212121"/>
                <w:sz w:val="22"/>
                <w:szCs w:val="22"/>
                <w:lang w:eastAsia="en-IE"/>
              </w:rPr>
              <w:t xml:space="preserve">Častá </w:t>
            </w:r>
          </w:p>
        </w:tc>
      </w:tr>
      <w:tr w:rsidR="00890FCC" w:rsidRPr="00484E2F" w14:paraId="0F2B7194" w14:textId="77777777" w:rsidTr="00F17DB7">
        <w:trPr>
          <w:cantSplit/>
          <w:jc w:val="center"/>
        </w:trPr>
        <w:tc>
          <w:tcPr>
            <w:tcW w:w="6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DF6BC" w14:textId="77777777" w:rsidR="00890FCC" w:rsidRPr="001B007D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1B007D">
              <w:rPr>
                <w:rFonts w:ascii="Times New Roman" w:hAnsi="Times New Roman"/>
                <w:szCs w:val="22"/>
                <w:vertAlign w:val="superscript"/>
                <w:lang w:val="sk-SK"/>
              </w:rPr>
              <w:t xml:space="preserve">1 </w:t>
            </w:r>
            <w:r w:rsidRPr="001B007D">
              <w:rPr>
                <w:rFonts w:ascii="Times New Roman" w:hAnsi="Times New Roman"/>
                <w:szCs w:val="22"/>
                <w:lang w:val="sk-SK"/>
              </w:rPr>
              <w:t>Progresia subklinického karcinómu prostaty</w:t>
            </w:r>
          </w:p>
          <w:p w14:paraId="4B0F5BBE" w14:textId="77777777" w:rsidR="00890FCC" w:rsidRPr="001B007D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1B007D">
              <w:rPr>
                <w:rFonts w:ascii="Times New Roman" w:hAnsi="Times New Roman"/>
                <w:szCs w:val="22"/>
                <w:vertAlign w:val="superscript"/>
                <w:lang w:val="sk-SK"/>
              </w:rPr>
              <w:t xml:space="preserve">2 </w:t>
            </w:r>
            <w:r w:rsidRPr="001B007D">
              <w:rPr>
                <w:rFonts w:ascii="Times New Roman" w:hAnsi="Times New Roman"/>
                <w:szCs w:val="22"/>
                <w:lang w:val="sk-SK"/>
              </w:rPr>
              <w:t>Rast prostaty (do eugonádalného štádia)</w:t>
            </w:r>
          </w:p>
          <w:p w14:paraId="273F72DF" w14:textId="77777777" w:rsidR="00890FCC" w:rsidRPr="000A0868" w:rsidRDefault="00890FCC" w:rsidP="005324F6">
            <w:pPr>
              <w:pStyle w:val="Indent1"/>
              <w:spacing w:after="0" w:line="240" w:lineRule="auto"/>
              <w:ind w:left="144" w:hanging="144"/>
              <w:rPr>
                <w:rFonts w:ascii="Times New Roman" w:hAnsi="Times New Roman"/>
                <w:szCs w:val="22"/>
                <w:lang w:val="sk-SK"/>
              </w:rPr>
            </w:pPr>
            <w:r w:rsidRPr="001B007D">
              <w:rPr>
                <w:rFonts w:ascii="Times New Roman" w:hAnsi="Times New Roman"/>
                <w:szCs w:val="22"/>
                <w:vertAlign w:val="superscript"/>
                <w:lang w:val="sk-SK"/>
              </w:rPr>
              <w:t xml:space="preserve">3 </w:t>
            </w:r>
            <w:r w:rsidRPr="001B007D">
              <w:rPr>
                <w:rFonts w:ascii="Times New Roman" w:hAnsi="Times New Roman"/>
                <w:szCs w:val="22"/>
                <w:lang w:val="sk-SK"/>
              </w:rPr>
              <w:t>Zníženie sérovej hladiny LDL-C, HDL-C a triglyceridov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6AF9A" w14:textId="77777777" w:rsidR="00890FCC" w:rsidRPr="001B007D" w:rsidRDefault="00890FCC" w:rsidP="005324F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vertAlign w:val="superscript"/>
                <w:lang w:val="sk-SK"/>
              </w:rPr>
            </w:pPr>
          </w:p>
        </w:tc>
      </w:tr>
    </w:tbl>
    <w:p w14:paraId="12CB2E5E" w14:textId="77777777" w:rsidR="00AA5277" w:rsidRPr="0021409A" w:rsidRDefault="00AA5277" w:rsidP="00BA5A21">
      <w:pPr>
        <w:pStyle w:val="Zkladntext2"/>
        <w:numPr>
          <w:ilvl w:val="12"/>
          <w:numId w:val="0"/>
        </w:numPr>
        <w:jc w:val="left"/>
        <w:rPr>
          <w:b/>
          <w:sz w:val="22"/>
          <w:szCs w:val="22"/>
        </w:rPr>
      </w:pPr>
    </w:p>
    <w:p w14:paraId="17BE89F8" w14:textId="1412C994" w:rsidR="0085560E" w:rsidRPr="00704FCB" w:rsidRDefault="00F9163F" w:rsidP="00826F94">
      <w:pPr>
        <w:rPr>
          <w:rFonts w:ascii="Times New Roman" w:eastAsia="Calibri" w:hAnsi="Times New Roman"/>
          <w:sz w:val="22"/>
          <w:szCs w:val="22"/>
          <w:u w:val="single"/>
        </w:rPr>
      </w:pPr>
      <w:r w:rsidRPr="00704FCB">
        <w:rPr>
          <w:rFonts w:ascii="Times New Roman" w:eastAsia="Calibri" w:hAnsi="Times New Roman"/>
          <w:sz w:val="22"/>
          <w:szCs w:val="22"/>
          <w:u w:val="single"/>
        </w:rPr>
        <w:t xml:space="preserve">Nadmerné používanie </w:t>
      </w:r>
      <w:r w:rsidR="00BA5A21" w:rsidRPr="00704FCB">
        <w:rPr>
          <w:rFonts w:ascii="Times New Roman" w:eastAsia="Calibri" w:hAnsi="Times New Roman"/>
          <w:sz w:val="22"/>
          <w:szCs w:val="22"/>
          <w:u w:val="single"/>
        </w:rPr>
        <w:t>a </w:t>
      </w:r>
      <w:r w:rsidR="0085560E" w:rsidRPr="00704FCB">
        <w:rPr>
          <w:rFonts w:ascii="Times New Roman" w:eastAsia="Calibri" w:hAnsi="Times New Roman"/>
          <w:sz w:val="22"/>
          <w:szCs w:val="22"/>
          <w:u w:val="single"/>
        </w:rPr>
        <w:t>závislosť</w:t>
      </w:r>
      <w:r w:rsidR="00BA5A21" w:rsidRPr="00704FCB">
        <w:rPr>
          <w:rFonts w:ascii="Times New Roman" w:eastAsia="Calibri" w:hAnsi="Times New Roman"/>
          <w:sz w:val="22"/>
          <w:szCs w:val="22"/>
          <w:u w:val="single"/>
        </w:rPr>
        <w:t xml:space="preserve"> od liekov</w:t>
      </w:r>
    </w:p>
    <w:p w14:paraId="03BF9CF4" w14:textId="12A80DEF" w:rsidR="0085560E" w:rsidRPr="00730746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704FCB">
        <w:rPr>
          <w:rFonts w:ascii="Times New Roman" w:eastAsia="Calibri" w:hAnsi="Times New Roman"/>
          <w:sz w:val="22"/>
          <w:szCs w:val="22"/>
        </w:rPr>
        <w:t>Testosterón</w:t>
      </w:r>
      <w:r w:rsidR="00BA5A21" w:rsidRPr="00704FCB">
        <w:rPr>
          <w:rFonts w:ascii="Times New Roman" w:eastAsia="Calibri" w:hAnsi="Times New Roman"/>
          <w:sz w:val="22"/>
          <w:szCs w:val="22"/>
        </w:rPr>
        <w:t xml:space="preserve"> </w:t>
      </w:r>
      <w:r w:rsidR="00E3515E">
        <w:rPr>
          <w:rFonts w:ascii="Times New Roman" w:eastAsia="Calibri" w:hAnsi="Times New Roman"/>
          <w:sz w:val="22"/>
          <w:szCs w:val="22"/>
        </w:rPr>
        <w:t>je</w:t>
      </w:r>
      <w:r w:rsidR="00BA5A21" w:rsidRPr="0021409A">
        <w:rPr>
          <w:rFonts w:ascii="Times New Roman" w:eastAsia="Calibri" w:hAnsi="Times New Roman"/>
          <w:sz w:val="22"/>
          <w:szCs w:val="22"/>
        </w:rPr>
        <w:t xml:space="preserve"> </w:t>
      </w:r>
      <w:r w:rsidR="00C22F5D" w:rsidRPr="0021409A">
        <w:rPr>
          <w:rFonts w:ascii="Times New Roman" w:eastAsia="Calibri" w:hAnsi="Times New Roman"/>
          <w:sz w:val="22"/>
          <w:szCs w:val="22"/>
        </w:rPr>
        <w:t xml:space="preserve">vo vyšších dávkach ako sa odporúčajú v schválených indikáciách a </w:t>
      </w:r>
      <w:r w:rsidRPr="0021409A">
        <w:rPr>
          <w:rFonts w:ascii="Times New Roman" w:eastAsia="Calibri" w:hAnsi="Times New Roman"/>
          <w:sz w:val="22"/>
          <w:szCs w:val="22"/>
        </w:rPr>
        <w:t xml:space="preserve">často v kombinácii s inými androgénnymi anabolickými steroidmi (AAS) predmetom </w:t>
      </w:r>
      <w:r w:rsidR="00135801" w:rsidRPr="0021409A">
        <w:rPr>
          <w:rFonts w:ascii="Times New Roman" w:eastAsia="Calibri" w:hAnsi="Times New Roman"/>
          <w:sz w:val="22"/>
          <w:szCs w:val="22"/>
        </w:rPr>
        <w:t>nadmerného po</w:t>
      </w:r>
      <w:r w:rsidRPr="0021409A">
        <w:rPr>
          <w:rFonts w:ascii="Times New Roman" w:eastAsia="Calibri" w:hAnsi="Times New Roman"/>
          <w:sz w:val="22"/>
          <w:szCs w:val="22"/>
        </w:rPr>
        <w:t>už</w:t>
      </w:r>
      <w:r w:rsidR="00BA5A21" w:rsidRPr="0021409A">
        <w:rPr>
          <w:rFonts w:ascii="Times New Roman" w:eastAsia="Calibri" w:hAnsi="Times New Roman"/>
          <w:sz w:val="22"/>
          <w:szCs w:val="22"/>
        </w:rPr>
        <w:t xml:space="preserve">ívania </w:t>
      </w:r>
      <w:r w:rsidRPr="00704FCB">
        <w:rPr>
          <w:rFonts w:ascii="Times New Roman" w:eastAsia="Calibri" w:hAnsi="Times New Roman"/>
          <w:sz w:val="22"/>
          <w:szCs w:val="22"/>
        </w:rPr>
        <w:t>(pozri časť 4.4). V</w:t>
      </w:r>
      <w:r w:rsidR="00B041DC" w:rsidRPr="00704FCB">
        <w:rPr>
          <w:rFonts w:ascii="Times New Roman" w:eastAsia="Calibri" w:hAnsi="Times New Roman"/>
          <w:sz w:val="22"/>
          <w:szCs w:val="22"/>
        </w:rPr>
        <w:t> súvislosti s</w:t>
      </w:r>
      <w:r w:rsidR="00135801" w:rsidRPr="00704FCB">
        <w:rPr>
          <w:rFonts w:ascii="Times New Roman" w:eastAsia="Calibri" w:hAnsi="Times New Roman"/>
          <w:sz w:val="22"/>
          <w:szCs w:val="22"/>
        </w:rPr>
        <w:t> nadmerným po</w:t>
      </w:r>
      <w:r w:rsidRPr="00EA08AF">
        <w:rPr>
          <w:rFonts w:ascii="Times New Roman" w:eastAsia="Calibri" w:hAnsi="Times New Roman"/>
          <w:sz w:val="22"/>
          <w:szCs w:val="22"/>
        </w:rPr>
        <w:t>užívan</w:t>
      </w:r>
      <w:r w:rsidR="00B041DC" w:rsidRPr="00EA08AF">
        <w:rPr>
          <w:rFonts w:ascii="Times New Roman" w:eastAsia="Calibri" w:hAnsi="Times New Roman"/>
          <w:sz w:val="22"/>
          <w:szCs w:val="22"/>
        </w:rPr>
        <w:t xml:space="preserve">ím </w:t>
      </w:r>
      <w:r w:rsidRPr="00A35DC2">
        <w:rPr>
          <w:rFonts w:ascii="Times New Roman" w:eastAsia="Calibri" w:hAnsi="Times New Roman"/>
          <w:sz w:val="22"/>
          <w:szCs w:val="22"/>
        </w:rPr>
        <w:t xml:space="preserve">testosterónu/AAS </w:t>
      </w:r>
      <w:r w:rsidR="00B041DC" w:rsidRPr="00A35DC2">
        <w:rPr>
          <w:rFonts w:ascii="Times New Roman" w:eastAsia="Calibri" w:hAnsi="Times New Roman"/>
          <w:sz w:val="22"/>
          <w:szCs w:val="22"/>
        </w:rPr>
        <w:t xml:space="preserve">sa </w:t>
      </w:r>
      <w:r w:rsidRPr="00A35DC2">
        <w:rPr>
          <w:rFonts w:ascii="Times New Roman" w:eastAsia="Calibri" w:hAnsi="Times New Roman"/>
          <w:sz w:val="22"/>
          <w:szCs w:val="22"/>
        </w:rPr>
        <w:t>hlás</w:t>
      </w:r>
      <w:r w:rsidR="00B041DC" w:rsidRPr="00A35DC2">
        <w:rPr>
          <w:rFonts w:ascii="Times New Roman" w:eastAsia="Calibri" w:hAnsi="Times New Roman"/>
          <w:sz w:val="22"/>
          <w:szCs w:val="22"/>
        </w:rPr>
        <w:t xml:space="preserve">ili </w:t>
      </w:r>
      <w:r w:rsidRPr="00A35DC2">
        <w:rPr>
          <w:rFonts w:ascii="Times New Roman" w:eastAsia="Calibri" w:hAnsi="Times New Roman"/>
          <w:sz w:val="22"/>
          <w:szCs w:val="22"/>
        </w:rPr>
        <w:t xml:space="preserve">nasledujúce nežiaduce účinky: </w:t>
      </w:r>
    </w:p>
    <w:p w14:paraId="189DF5B6" w14:textId="77777777" w:rsidR="00C22F5D" w:rsidRPr="00CF1575" w:rsidRDefault="00C22F5D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7EE7F93E" w14:textId="77777777" w:rsidR="0085560E" w:rsidRPr="004143F6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CF1575">
        <w:rPr>
          <w:rFonts w:ascii="Times New Roman" w:eastAsia="Calibri" w:hAnsi="Times New Roman"/>
          <w:i/>
          <w:sz w:val="22"/>
          <w:szCs w:val="22"/>
        </w:rPr>
        <w:t>Poruchy endokrinného systému:</w:t>
      </w:r>
      <w:r w:rsidRPr="004143F6">
        <w:rPr>
          <w:rFonts w:ascii="Times New Roman" w:eastAsia="Calibri" w:hAnsi="Times New Roman"/>
          <w:sz w:val="22"/>
          <w:szCs w:val="22"/>
        </w:rPr>
        <w:t xml:space="preserve"> </w:t>
      </w:r>
      <w:r w:rsidR="00B041DC" w:rsidRPr="004143F6">
        <w:rPr>
          <w:rFonts w:ascii="Times New Roman" w:eastAsia="Calibri" w:hAnsi="Times New Roman"/>
          <w:sz w:val="22"/>
          <w:szCs w:val="22"/>
        </w:rPr>
        <w:t>s</w:t>
      </w:r>
      <w:r w:rsidRPr="004143F6">
        <w:rPr>
          <w:rFonts w:ascii="Times New Roman" w:eastAsia="Calibri" w:hAnsi="Times New Roman"/>
          <w:sz w:val="22"/>
          <w:szCs w:val="22"/>
        </w:rPr>
        <w:t>ekundárny hypogonadizmus</w:t>
      </w:r>
      <w:r w:rsidRPr="004143F6">
        <w:rPr>
          <w:rFonts w:ascii="Times New Roman" w:eastAsia="Calibri" w:hAnsi="Times New Roman"/>
          <w:sz w:val="22"/>
          <w:szCs w:val="22"/>
          <w:vertAlign w:val="superscript"/>
        </w:rPr>
        <w:t>1</w:t>
      </w:r>
    </w:p>
    <w:p w14:paraId="2451AD38" w14:textId="77777777" w:rsidR="00BA5A21" w:rsidRPr="004143F6" w:rsidRDefault="00BA5A21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6C6F142F" w14:textId="77777777" w:rsidR="0085560E" w:rsidRPr="00704FCB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360E33">
        <w:rPr>
          <w:rFonts w:ascii="Times New Roman" w:eastAsia="Calibri" w:hAnsi="Times New Roman"/>
          <w:i/>
          <w:sz w:val="22"/>
          <w:szCs w:val="22"/>
        </w:rPr>
        <w:t>Psychické poruchy:</w:t>
      </w:r>
      <w:r w:rsidRPr="00360E33">
        <w:rPr>
          <w:rFonts w:ascii="Times New Roman" w:eastAsia="Calibri" w:hAnsi="Times New Roman"/>
          <w:sz w:val="22"/>
          <w:szCs w:val="22"/>
        </w:rPr>
        <w:t xml:space="preserve"> </w:t>
      </w:r>
      <w:r w:rsidR="00B041DC" w:rsidRPr="00360E33">
        <w:rPr>
          <w:rFonts w:ascii="Times New Roman" w:eastAsia="Calibri" w:hAnsi="Times New Roman"/>
          <w:sz w:val="22"/>
          <w:szCs w:val="22"/>
        </w:rPr>
        <w:t>n</w:t>
      </w:r>
      <w:r w:rsidRPr="00EA5814">
        <w:rPr>
          <w:rFonts w:ascii="Times New Roman" w:eastAsia="Calibri" w:hAnsi="Times New Roman"/>
          <w:sz w:val="22"/>
          <w:szCs w:val="22"/>
        </w:rPr>
        <w:t>epriateľstvo, agresivita</w:t>
      </w:r>
      <w:r w:rsidRPr="004463D0">
        <w:rPr>
          <w:rFonts w:ascii="Times New Roman" w:eastAsia="Calibri" w:hAnsi="Times New Roman"/>
          <w:sz w:val="22"/>
          <w:szCs w:val="22"/>
          <w:vertAlign w:val="superscript"/>
        </w:rPr>
        <w:t>1,</w:t>
      </w:r>
      <w:r w:rsidRPr="00224836">
        <w:rPr>
          <w:rFonts w:ascii="Times New Roman" w:eastAsia="Calibri" w:hAnsi="Times New Roman"/>
          <w:sz w:val="22"/>
          <w:szCs w:val="22"/>
        </w:rPr>
        <w:t>, psychotické poruchy</w:t>
      </w:r>
      <w:r w:rsidRPr="00CA25E6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CA25E6">
        <w:rPr>
          <w:rFonts w:ascii="Times New Roman" w:eastAsia="Calibri" w:hAnsi="Times New Roman"/>
          <w:sz w:val="22"/>
          <w:szCs w:val="22"/>
        </w:rPr>
        <w:t>, mánia, parano</w:t>
      </w:r>
      <w:r w:rsidR="00B041DC" w:rsidRPr="00CA25E6">
        <w:rPr>
          <w:rFonts w:ascii="Times New Roman" w:eastAsia="Calibri" w:hAnsi="Times New Roman"/>
          <w:sz w:val="22"/>
          <w:szCs w:val="22"/>
        </w:rPr>
        <w:t>j</w:t>
      </w:r>
      <w:r w:rsidRPr="00CA25E6">
        <w:rPr>
          <w:rFonts w:ascii="Times New Roman" w:eastAsia="Calibri" w:hAnsi="Times New Roman"/>
          <w:sz w:val="22"/>
          <w:szCs w:val="22"/>
        </w:rPr>
        <w:t xml:space="preserve">a a </w:t>
      </w:r>
      <w:r w:rsidR="00B041DC" w:rsidRPr="007251DF">
        <w:rPr>
          <w:rFonts w:ascii="Times New Roman" w:eastAsia="Calibri" w:hAnsi="Times New Roman"/>
          <w:sz w:val="22"/>
          <w:szCs w:val="22"/>
        </w:rPr>
        <w:t>blud</w:t>
      </w:r>
      <w:r w:rsidR="00704FCB">
        <w:rPr>
          <w:rFonts w:ascii="Times New Roman" w:eastAsia="Calibri" w:hAnsi="Times New Roman"/>
          <w:sz w:val="22"/>
          <w:szCs w:val="22"/>
        </w:rPr>
        <w:t>y</w:t>
      </w:r>
    </w:p>
    <w:p w14:paraId="7C663CEA" w14:textId="77777777" w:rsidR="00BA5A21" w:rsidRPr="00704FCB" w:rsidRDefault="00BA5A21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793BE84C" w14:textId="783A7BBA" w:rsidR="0085560E" w:rsidRPr="00AC53ED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EA08AF">
        <w:rPr>
          <w:rFonts w:ascii="Times New Roman" w:eastAsia="Calibri" w:hAnsi="Times New Roman"/>
          <w:i/>
          <w:sz w:val="22"/>
          <w:szCs w:val="22"/>
        </w:rPr>
        <w:t>Poruch</w:t>
      </w:r>
      <w:r w:rsidRPr="00A35DC2">
        <w:rPr>
          <w:rFonts w:ascii="Times New Roman" w:eastAsia="Calibri" w:hAnsi="Times New Roman"/>
          <w:i/>
          <w:sz w:val="22"/>
          <w:szCs w:val="22"/>
        </w:rPr>
        <w:t>y srdca a</w:t>
      </w:r>
      <w:r w:rsidR="001A0D14" w:rsidRPr="00A35DC2">
        <w:rPr>
          <w:rFonts w:ascii="Times New Roman" w:eastAsia="Calibri" w:hAnsi="Times New Roman"/>
          <w:i/>
          <w:sz w:val="22"/>
          <w:szCs w:val="22"/>
        </w:rPr>
        <w:t> srdcovej činnosti</w:t>
      </w:r>
      <w:r w:rsidRPr="00A35DC2">
        <w:rPr>
          <w:rFonts w:ascii="Times New Roman" w:eastAsia="Calibri" w:hAnsi="Times New Roman"/>
          <w:i/>
          <w:sz w:val="22"/>
          <w:szCs w:val="22"/>
        </w:rPr>
        <w:t xml:space="preserve">: </w:t>
      </w:r>
      <w:r w:rsidR="001A0D14" w:rsidRPr="00A35DC2">
        <w:rPr>
          <w:rFonts w:ascii="Times New Roman" w:eastAsia="Calibri" w:hAnsi="Times New Roman"/>
          <w:sz w:val="22"/>
          <w:szCs w:val="22"/>
        </w:rPr>
        <w:t>i</w:t>
      </w:r>
      <w:r w:rsidRPr="00A35DC2">
        <w:rPr>
          <w:rFonts w:ascii="Times New Roman" w:eastAsia="Calibri" w:hAnsi="Times New Roman"/>
          <w:sz w:val="22"/>
          <w:szCs w:val="22"/>
        </w:rPr>
        <w:t>nfarkt myokardu</w:t>
      </w:r>
      <w:r w:rsidRPr="00A35DC2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A35DC2">
        <w:rPr>
          <w:rFonts w:ascii="Times New Roman" w:eastAsia="Calibri" w:hAnsi="Times New Roman"/>
          <w:sz w:val="22"/>
          <w:szCs w:val="22"/>
        </w:rPr>
        <w:t>, srdcové zlyhanie</w:t>
      </w:r>
      <w:r w:rsidRPr="00730746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730746">
        <w:rPr>
          <w:rFonts w:ascii="Times New Roman" w:eastAsia="Calibri" w:hAnsi="Times New Roman"/>
          <w:sz w:val="22"/>
          <w:szCs w:val="22"/>
        </w:rPr>
        <w:t>, chronické srdcové zlyhanie</w:t>
      </w:r>
      <w:r w:rsidRPr="00730746">
        <w:rPr>
          <w:rFonts w:ascii="Times New Roman" w:eastAsia="Calibri" w:hAnsi="Times New Roman"/>
          <w:sz w:val="22"/>
          <w:szCs w:val="22"/>
          <w:vertAlign w:val="superscript"/>
        </w:rPr>
        <w:t>1,2</w:t>
      </w:r>
      <w:r w:rsidRPr="00CF1575">
        <w:rPr>
          <w:rFonts w:ascii="Times New Roman" w:eastAsia="Calibri" w:hAnsi="Times New Roman"/>
          <w:sz w:val="22"/>
          <w:szCs w:val="22"/>
        </w:rPr>
        <w:t>, zástava srdca, náhla srdcová smrť, hypertrofia srdca</w:t>
      </w:r>
      <w:r w:rsidRPr="00CF1575">
        <w:rPr>
          <w:rFonts w:ascii="Times New Roman" w:eastAsia="Calibri" w:hAnsi="Times New Roman"/>
          <w:sz w:val="22"/>
          <w:szCs w:val="22"/>
          <w:vertAlign w:val="superscript"/>
        </w:rPr>
        <w:t>1,2</w:t>
      </w:r>
      <w:r w:rsidRPr="00CF1575">
        <w:rPr>
          <w:rFonts w:ascii="Times New Roman" w:eastAsia="Calibri" w:hAnsi="Times New Roman"/>
          <w:sz w:val="22"/>
          <w:szCs w:val="22"/>
        </w:rPr>
        <w:t>, kardiomyopatia</w:t>
      </w:r>
      <w:r w:rsidRPr="00CF157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CF1575">
        <w:rPr>
          <w:rFonts w:ascii="Times New Roman" w:eastAsia="Calibri" w:hAnsi="Times New Roman"/>
          <w:sz w:val="22"/>
          <w:szCs w:val="22"/>
        </w:rPr>
        <w:t>, ventrikulárna arytmia, ventrikulárna tachykardia</w:t>
      </w:r>
      <w:r w:rsidRPr="00CF1575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4143F6">
        <w:rPr>
          <w:rFonts w:ascii="Times New Roman" w:eastAsia="Calibri" w:hAnsi="Times New Roman"/>
          <w:sz w:val="22"/>
          <w:szCs w:val="22"/>
        </w:rPr>
        <w:t>, venózne/arteriálne trombotické a embolické príhody (vrátane hlbokej žilovej trombózy</w:t>
      </w:r>
      <w:r w:rsidRPr="004143F6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4143F6">
        <w:rPr>
          <w:rFonts w:ascii="Times New Roman" w:eastAsia="Calibri" w:hAnsi="Times New Roman"/>
          <w:sz w:val="22"/>
          <w:szCs w:val="22"/>
        </w:rPr>
        <w:t>, pľúcnej embólie</w:t>
      </w:r>
      <w:r w:rsidRPr="004143F6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360E33">
        <w:rPr>
          <w:rFonts w:ascii="Times New Roman" w:eastAsia="Calibri" w:hAnsi="Times New Roman"/>
          <w:sz w:val="22"/>
          <w:szCs w:val="22"/>
        </w:rPr>
        <w:t>, trombózy koronárnych artérií, okl</w:t>
      </w:r>
      <w:r w:rsidR="001402B4" w:rsidRPr="00360E33">
        <w:rPr>
          <w:rFonts w:ascii="Times New Roman" w:eastAsia="Calibri" w:hAnsi="Times New Roman"/>
          <w:sz w:val="22"/>
          <w:szCs w:val="22"/>
        </w:rPr>
        <w:t>ú</w:t>
      </w:r>
      <w:r w:rsidRPr="00360E33">
        <w:rPr>
          <w:rFonts w:ascii="Times New Roman" w:eastAsia="Calibri" w:hAnsi="Times New Roman"/>
          <w:sz w:val="22"/>
          <w:szCs w:val="22"/>
        </w:rPr>
        <w:t>zi</w:t>
      </w:r>
      <w:r w:rsidR="001402B4" w:rsidRPr="00360E33">
        <w:rPr>
          <w:rFonts w:ascii="Times New Roman" w:eastAsia="Calibri" w:hAnsi="Times New Roman"/>
          <w:sz w:val="22"/>
          <w:szCs w:val="22"/>
        </w:rPr>
        <w:t>a</w:t>
      </w:r>
      <w:r w:rsidRPr="00360E33">
        <w:rPr>
          <w:rFonts w:ascii="Times New Roman" w:eastAsia="Calibri" w:hAnsi="Times New Roman"/>
          <w:sz w:val="22"/>
          <w:szCs w:val="22"/>
        </w:rPr>
        <w:t xml:space="preserve"> karotíd</w:t>
      </w:r>
      <w:r w:rsidR="001402B4" w:rsidRPr="00EA5814">
        <w:rPr>
          <w:rFonts w:ascii="Times New Roman" w:eastAsia="Calibri" w:hAnsi="Times New Roman"/>
          <w:sz w:val="22"/>
          <w:szCs w:val="22"/>
        </w:rPr>
        <w:t>y</w:t>
      </w:r>
      <w:r w:rsidRPr="004463D0">
        <w:rPr>
          <w:rFonts w:ascii="Times New Roman" w:eastAsia="Calibri" w:hAnsi="Times New Roman"/>
          <w:sz w:val="22"/>
          <w:szCs w:val="22"/>
          <w:vertAlign w:val="superscript"/>
        </w:rPr>
        <w:t>1,2</w:t>
      </w:r>
      <w:r w:rsidRPr="00224836">
        <w:rPr>
          <w:rFonts w:ascii="Times New Roman" w:eastAsia="Calibri" w:hAnsi="Times New Roman"/>
          <w:sz w:val="22"/>
          <w:szCs w:val="22"/>
        </w:rPr>
        <w:t>, trombóz</w:t>
      </w:r>
      <w:r w:rsidR="001402B4" w:rsidRPr="007251DF">
        <w:rPr>
          <w:rFonts w:ascii="Times New Roman" w:eastAsia="Calibri" w:hAnsi="Times New Roman"/>
          <w:sz w:val="22"/>
          <w:szCs w:val="22"/>
        </w:rPr>
        <w:t>a</w:t>
      </w:r>
      <w:r w:rsidRPr="007251DF">
        <w:rPr>
          <w:rFonts w:ascii="Times New Roman" w:eastAsia="Calibri" w:hAnsi="Times New Roman"/>
          <w:sz w:val="22"/>
          <w:szCs w:val="22"/>
        </w:rPr>
        <w:t xml:space="preserve"> intrakraniálnych </w:t>
      </w:r>
      <w:r w:rsidR="00262315" w:rsidRPr="007A0A39">
        <w:rPr>
          <w:rFonts w:ascii="Times New Roman" w:eastAsia="Calibri" w:hAnsi="Times New Roman"/>
          <w:sz w:val="22"/>
          <w:szCs w:val="22"/>
        </w:rPr>
        <w:t xml:space="preserve">venóznych </w:t>
      </w:r>
      <w:r w:rsidRPr="0002562E">
        <w:rPr>
          <w:rFonts w:ascii="Times New Roman" w:eastAsia="Calibri" w:hAnsi="Times New Roman"/>
          <w:sz w:val="22"/>
          <w:szCs w:val="22"/>
        </w:rPr>
        <w:t>s</w:t>
      </w:r>
      <w:r w:rsidR="00262315" w:rsidRPr="0002562E">
        <w:rPr>
          <w:rFonts w:ascii="Times New Roman" w:eastAsia="Calibri" w:hAnsi="Times New Roman"/>
          <w:sz w:val="22"/>
          <w:szCs w:val="22"/>
        </w:rPr>
        <w:t>ínusov</w:t>
      </w:r>
      <w:r w:rsidRPr="0002562E">
        <w:rPr>
          <w:rFonts w:ascii="Times New Roman" w:eastAsia="Calibri" w:hAnsi="Times New Roman"/>
          <w:sz w:val="22"/>
          <w:szCs w:val="22"/>
          <w:vertAlign w:val="superscript"/>
        </w:rPr>
        <w:t>1,2</w:t>
      </w:r>
      <w:r w:rsidRPr="0002562E">
        <w:rPr>
          <w:rFonts w:ascii="Times New Roman" w:eastAsia="Calibri" w:hAnsi="Times New Roman"/>
          <w:sz w:val="22"/>
          <w:szCs w:val="22"/>
        </w:rPr>
        <w:t>), cerebrovaskulárne príhody a ischemická cievna mo</w:t>
      </w:r>
      <w:r w:rsidR="00190CF4" w:rsidRPr="00EE3AFF">
        <w:rPr>
          <w:rFonts w:ascii="Times New Roman" w:eastAsia="Calibri" w:hAnsi="Times New Roman"/>
          <w:sz w:val="22"/>
          <w:szCs w:val="22"/>
        </w:rPr>
        <w:t>zg</w:t>
      </w:r>
      <w:r w:rsidRPr="00EE3AFF">
        <w:rPr>
          <w:rFonts w:ascii="Times New Roman" w:eastAsia="Calibri" w:hAnsi="Times New Roman"/>
          <w:sz w:val="22"/>
          <w:szCs w:val="22"/>
        </w:rPr>
        <w:t>ová príhoda</w:t>
      </w:r>
    </w:p>
    <w:p w14:paraId="0A4B9F3A" w14:textId="77777777" w:rsidR="00BA5A21" w:rsidRPr="007877A0" w:rsidRDefault="00BA5A21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1228320A" w14:textId="76A997B0" w:rsidR="0085560E" w:rsidRPr="00407D89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7877A0">
        <w:rPr>
          <w:rFonts w:ascii="Times New Roman" w:eastAsia="Calibri" w:hAnsi="Times New Roman"/>
          <w:i/>
          <w:sz w:val="22"/>
          <w:szCs w:val="22"/>
        </w:rPr>
        <w:t>Po</w:t>
      </w:r>
      <w:r w:rsidRPr="008E1F73">
        <w:rPr>
          <w:rFonts w:ascii="Times New Roman" w:eastAsia="Calibri" w:hAnsi="Times New Roman"/>
          <w:i/>
          <w:sz w:val="22"/>
          <w:szCs w:val="22"/>
        </w:rPr>
        <w:t>ruchy pečene a žlčových ciest:</w:t>
      </w:r>
      <w:r w:rsidRPr="00407D89">
        <w:rPr>
          <w:rFonts w:ascii="Times New Roman" w:eastAsia="Calibri" w:hAnsi="Times New Roman"/>
          <w:sz w:val="22"/>
          <w:szCs w:val="22"/>
        </w:rPr>
        <w:t xml:space="preserve"> </w:t>
      </w:r>
      <w:r w:rsidR="0086527E" w:rsidRPr="00407D89">
        <w:rPr>
          <w:rFonts w:ascii="Times New Roman" w:eastAsia="Calibri" w:hAnsi="Times New Roman"/>
          <w:sz w:val="22"/>
          <w:szCs w:val="22"/>
        </w:rPr>
        <w:t>p</w:t>
      </w:r>
      <w:r w:rsidRPr="00407D89">
        <w:rPr>
          <w:rFonts w:ascii="Times New Roman" w:eastAsia="Calibri" w:hAnsi="Times New Roman"/>
          <w:sz w:val="22"/>
          <w:szCs w:val="22"/>
        </w:rPr>
        <w:t>elióza pečene</w:t>
      </w:r>
      <w:r w:rsidRPr="00407D89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407D89">
        <w:rPr>
          <w:rFonts w:ascii="Times New Roman" w:eastAsia="Calibri" w:hAnsi="Times New Roman"/>
          <w:sz w:val="22"/>
          <w:szCs w:val="22"/>
        </w:rPr>
        <w:t>, cholestáza, poškodenie pečene, žltačka</w:t>
      </w:r>
      <w:r w:rsidRPr="00407D89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407D89">
        <w:rPr>
          <w:rFonts w:ascii="Times New Roman" w:eastAsia="Calibri" w:hAnsi="Times New Roman"/>
          <w:sz w:val="22"/>
          <w:szCs w:val="22"/>
        </w:rPr>
        <w:t xml:space="preserve"> a zlyhanie pečene</w:t>
      </w:r>
    </w:p>
    <w:p w14:paraId="2B14656D" w14:textId="77777777" w:rsidR="00BA5A21" w:rsidRPr="000D616A" w:rsidRDefault="00BA5A21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4883DE7D" w14:textId="77777777" w:rsidR="0085560E" w:rsidRPr="00A5456B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0D616A">
        <w:rPr>
          <w:rFonts w:ascii="Times New Roman" w:eastAsia="Calibri" w:hAnsi="Times New Roman"/>
          <w:i/>
          <w:sz w:val="22"/>
          <w:szCs w:val="22"/>
        </w:rPr>
        <w:t>Poruchy kože a podkožného tkaniva:</w:t>
      </w:r>
      <w:r w:rsidRPr="00A5456B">
        <w:rPr>
          <w:rFonts w:ascii="Times New Roman" w:eastAsia="Calibri" w:hAnsi="Times New Roman"/>
          <w:sz w:val="22"/>
          <w:szCs w:val="22"/>
        </w:rPr>
        <w:t xml:space="preserve"> </w:t>
      </w:r>
      <w:r w:rsidR="0086527E" w:rsidRPr="00A5456B">
        <w:rPr>
          <w:rFonts w:ascii="Times New Roman" w:eastAsia="Calibri" w:hAnsi="Times New Roman"/>
          <w:sz w:val="22"/>
          <w:szCs w:val="22"/>
        </w:rPr>
        <w:t>a</w:t>
      </w:r>
      <w:r w:rsidRPr="00A5456B">
        <w:rPr>
          <w:rFonts w:ascii="Times New Roman" w:eastAsia="Calibri" w:hAnsi="Times New Roman"/>
          <w:sz w:val="22"/>
          <w:szCs w:val="22"/>
        </w:rPr>
        <w:t>lopécia</w:t>
      </w:r>
      <w:r w:rsidRPr="00A5456B">
        <w:rPr>
          <w:rFonts w:ascii="Times New Roman" w:eastAsia="Calibri" w:hAnsi="Times New Roman"/>
          <w:sz w:val="22"/>
          <w:szCs w:val="22"/>
          <w:vertAlign w:val="superscript"/>
        </w:rPr>
        <w:t>1</w:t>
      </w:r>
    </w:p>
    <w:p w14:paraId="05FB3DBA" w14:textId="77777777" w:rsidR="00BA5A21" w:rsidRPr="00A1183C" w:rsidRDefault="00BA5A21" w:rsidP="00826F94">
      <w:pPr>
        <w:rPr>
          <w:rFonts w:ascii="Times New Roman" w:eastAsia="Calibri" w:hAnsi="Times New Roman"/>
          <w:i/>
          <w:sz w:val="22"/>
          <w:szCs w:val="22"/>
        </w:rPr>
      </w:pPr>
    </w:p>
    <w:p w14:paraId="127BB3A8" w14:textId="77777777" w:rsidR="0085560E" w:rsidRPr="00704FCB" w:rsidRDefault="0085560E" w:rsidP="00826F94">
      <w:pPr>
        <w:rPr>
          <w:rFonts w:ascii="Times New Roman" w:eastAsia="Calibri" w:hAnsi="Times New Roman"/>
          <w:sz w:val="22"/>
          <w:szCs w:val="22"/>
        </w:rPr>
      </w:pPr>
      <w:r w:rsidRPr="00A1183C">
        <w:rPr>
          <w:rFonts w:ascii="Times New Roman" w:eastAsia="Calibri" w:hAnsi="Times New Roman"/>
          <w:i/>
          <w:sz w:val="22"/>
          <w:szCs w:val="22"/>
        </w:rPr>
        <w:t>Poruchy reprodukčného systému a prsníkov:</w:t>
      </w:r>
      <w:r w:rsidRPr="00C80F6F">
        <w:rPr>
          <w:rFonts w:ascii="Times New Roman" w:eastAsia="Calibri" w:hAnsi="Times New Roman"/>
          <w:sz w:val="22"/>
          <w:szCs w:val="22"/>
        </w:rPr>
        <w:t xml:space="preserve"> </w:t>
      </w:r>
      <w:r w:rsidR="00997FEC" w:rsidRPr="00C80F6F">
        <w:rPr>
          <w:rFonts w:ascii="Times New Roman" w:eastAsia="Calibri" w:hAnsi="Times New Roman"/>
          <w:sz w:val="22"/>
          <w:szCs w:val="22"/>
        </w:rPr>
        <w:t>testikulárna a</w:t>
      </w:r>
      <w:r w:rsidRPr="00732B6D">
        <w:rPr>
          <w:rFonts w:ascii="Times New Roman" w:eastAsia="Calibri" w:hAnsi="Times New Roman"/>
          <w:sz w:val="22"/>
          <w:szCs w:val="22"/>
        </w:rPr>
        <w:t>trofia, azoospermia, neplodnosť (u</w:t>
      </w:r>
      <w:r w:rsidRPr="009324A9">
        <w:rPr>
          <w:rFonts w:ascii="Times New Roman" w:eastAsia="Calibri" w:hAnsi="Times New Roman"/>
          <w:sz w:val="22"/>
          <w:szCs w:val="22"/>
        </w:rPr>
        <w:t xml:space="preserve"> mužov), zväčšenie klitorisu a atrofia prsníkov (u žien)</w:t>
      </w:r>
    </w:p>
    <w:p w14:paraId="2EA7F884" w14:textId="77777777" w:rsidR="00997FEC" w:rsidRPr="00704FCB" w:rsidRDefault="00997FEC" w:rsidP="00BA5A21">
      <w:pPr>
        <w:rPr>
          <w:rFonts w:ascii="Times New Roman" w:eastAsia="Calibri" w:hAnsi="Times New Roman"/>
          <w:sz w:val="22"/>
          <w:szCs w:val="22"/>
          <w:vertAlign w:val="superscript"/>
        </w:rPr>
      </w:pPr>
    </w:p>
    <w:p w14:paraId="7CF5BA8A" w14:textId="249028AA" w:rsidR="0085560E" w:rsidRPr="00730746" w:rsidRDefault="0085560E" w:rsidP="00BA5A21">
      <w:pPr>
        <w:rPr>
          <w:rFonts w:ascii="Times New Roman" w:eastAsia="Calibri" w:hAnsi="Times New Roman"/>
          <w:sz w:val="22"/>
          <w:szCs w:val="22"/>
        </w:rPr>
      </w:pPr>
      <w:r w:rsidRPr="00EA08AF">
        <w:rPr>
          <w:rFonts w:ascii="Times New Roman" w:eastAsia="Calibri" w:hAnsi="Times New Roman"/>
          <w:sz w:val="22"/>
          <w:szCs w:val="22"/>
          <w:vertAlign w:val="superscript"/>
        </w:rPr>
        <w:t>1</w:t>
      </w:r>
      <w:r w:rsidRPr="00A35DC2">
        <w:rPr>
          <w:rFonts w:ascii="Times New Roman" w:eastAsia="Calibri" w:hAnsi="Times New Roman"/>
          <w:sz w:val="22"/>
          <w:szCs w:val="22"/>
        </w:rPr>
        <w:t xml:space="preserve"> </w:t>
      </w:r>
      <w:r w:rsidR="00BA5A21" w:rsidRPr="00A35DC2">
        <w:rPr>
          <w:rFonts w:ascii="Times New Roman" w:eastAsia="Calibri" w:hAnsi="Times New Roman"/>
          <w:sz w:val="22"/>
          <w:szCs w:val="22"/>
        </w:rPr>
        <w:t>H</w:t>
      </w:r>
      <w:r w:rsidRPr="00A35DC2">
        <w:rPr>
          <w:rFonts w:ascii="Times New Roman" w:eastAsia="Calibri" w:hAnsi="Times New Roman"/>
          <w:sz w:val="22"/>
          <w:szCs w:val="22"/>
        </w:rPr>
        <w:t>lás</w:t>
      </w:r>
      <w:r w:rsidR="00BA5A21" w:rsidRPr="00A35DC2">
        <w:rPr>
          <w:rFonts w:ascii="Times New Roman" w:eastAsia="Calibri" w:hAnsi="Times New Roman"/>
          <w:sz w:val="22"/>
          <w:szCs w:val="22"/>
        </w:rPr>
        <w:t xml:space="preserve">ilo sa </w:t>
      </w:r>
      <w:r w:rsidR="00BD74DD" w:rsidRPr="00730746">
        <w:rPr>
          <w:rFonts w:ascii="Times New Roman" w:eastAsia="Calibri" w:hAnsi="Times New Roman"/>
          <w:sz w:val="22"/>
          <w:szCs w:val="22"/>
        </w:rPr>
        <w:t xml:space="preserve">v súvislosti </w:t>
      </w:r>
      <w:r w:rsidR="00BA5A21" w:rsidRPr="00730746">
        <w:rPr>
          <w:rFonts w:ascii="Times New Roman" w:eastAsia="Calibri" w:hAnsi="Times New Roman"/>
          <w:sz w:val="22"/>
          <w:szCs w:val="22"/>
        </w:rPr>
        <w:t xml:space="preserve">s </w:t>
      </w:r>
      <w:r w:rsidRPr="00730746">
        <w:rPr>
          <w:rFonts w:ascii="Times New Roman" w:eastAsia="Calibri" w:hAnsi="Times New Roman"/>
          <w:sz w:val="22"/>
          <w:szCs w:val="22"/>
        </w:rPr>
        <w:t>liekom Sustanon</w:t>
      </w:r>
      <w:r w:rsidR="005255C0">
        <w:rPr>
          <w:rFonts w:ascii="Times New Roman" w:eastAsia="Calibri" w:hAnsi="Times New Roman"/>
          <w:sz w:val="22"/>
          <w:szCs w:val="22"/>
        </w:rPr>
        <w:t xml:space="preserve"> 250</w:t>
      </w:r>
    </w:p>
    <w:p w14:paraId="7A02311F" w14:textId="77777777" w:rsidR="0085560E" w:rsidRPr="00CF1575" w:rsidRDefault="0085560E" w:rsidP="00BA5A21">
      <w:pPr>
        <w:rPr>
          <w:rFonts w:ascii="Times New Roman" w:eastAsia="Calibri" w:hAnsi="Times New Roman"/>
          <w:sz w:val="22"/>
          <w:szCs w:val="22"/>
        </w:rPr>
      </w:pPr>
      <w:r w:rsidRPr="00CF1575">
        <w:rPr>
          <w:rFonts w:ascii="Times New Roman" w:eastAsia="Calibri" w:hAnsi="Times New Roman"/>
          <w:sz w:val="22"/>
          <w:szCs w:val="22"/>
          <w:vertAlign w:val="superscript"/>
        </w:rPr>
        <w:t>2</w:t>
      </w:r>
      <w:r w:rsidRPr="00CF1575">
        <w:rPr>
          <w:rFonts w:ascii="Times New Roman" w:eastAsia="Calibri" w:hAnsi="Times New Roman"/>
          <w:sz w:val="22"/>
          <w:szCs w:val="22"/>
        </w:rPr>
        <w:t xml:space="preserve"> V niektorých prípadoch </w:t>
      </w:r>
      <w:r w:rsidR="00997FEC" w:rsidRPr="00CF1575">
        <w:rPr>
          <w:rFonts w:ascii="Times New Roman" w:eastAsia="Calibri" w:hAnsi="Times New Roman"/>
          <w:sz w:val="22"/>
          <w:szCs w:val="22"/>
        </w:rPr>
        <w:t xml:space="preserve">s </w:t>
      </w:r>
      <w:r w:rsidRPr="00CF1575">
        <w:rPr>
          <w:rFonts w:ascii="Times New Roman" w:eastAsia="Calibri" w:hAnsi="Times New Roman"/>
          <w:sz w:val="22"/>
          <w:szCs w:val="22"/>
        </w:rPr>
        <w:t>fatálnymi následkami</w:t>
      </w:r>
    </w:p>
    <w:p w14:paraId="41236F2B" w14:textId="77777777" w:rsidR="0085560E" w:rsidRPr="00CF1575" w:rsidRDefault="0085560E" w:rsidP="00BA5A21">
      <w:pPr>
        <w:pStyle w:val="Zkladntext2"/>
        <w:numPr>
          <w:ilvl w:val="12"/>
          <w:numId w:val="0"/>
        </w:numPr>
        <w:jc w:val="left"/>
        <w:rPr>
          <w:b/>
          <w:sz w:val="22"/>
          <w:szCs w:val="22"/>
        </w:rPr>
      </w:pPr>
    </w:p>
    <w:p w14:paraId="076C96AC" w14:textId="632D245C" w:rsidR="00AA5277" w:rsidRPr="004143F6" w:rsidRDefault="00B11A0B" w:rsidP="00BA5A21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</w:rPr>
      </w:pPr>
      <w:r w:rsidRPr="004143F6">
        <w:rPr>
          <w:sz w:val="22"/>
          <w:szCs w:val="22"/>
          <w:u w:val="single"/>
        </w:rPr>
        <w:t>Pediatrická populácia</w:t>
      </w:r>
      <w:r w:rsidR="00AA5277" w:rsidRPr="004143F6">
        <w:rPr>
          <w:sz w:val="22"/>
          <w:szCs w:val="22"/>
          <w:u w:val="single"/>
        </w:rPr>
        <w:t>:</w:t>
      </w:r>
    </w:p>
    <w:p w14:paraId="6BDCF3FD" w14:textId="77777777" w:rsidR="001677E1" w:rsidRPr="004143F6" w:rsidRDefault="001677E1" w:rsidP="006C4805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68910E5" w14:textId="77777777" w:rsidR="00AA5277" w:rsidRPr="004143F6" w:rsidRDefault="0022649C" w:rsidP="00783F13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4143F6">
        <w:rPr>
          <w:sz w:val="22"/>
          <w:szCs w:val="22"/>
        </w:rPr>
        <w:t>U</w:t>
      </w:r>
      <w:r w:rsidR="00B901C0" w:rsidRPr="00360E33">
        <w:rPr>
          <w:sz w:val="22"/>
          <w:szCs w:val="22"/>
        </w:rPr>
        <w:t> detí v</w:t>
      </w:r>
      <w:r w:rsidR="00B11A0B" w:rsidRPr="00360E33">
        <w:rPr>
          <w:sz w:val="22"/>
          <w:szCs w:val="22"/>
        </w:rPr>
        <w:t> </w:t>
      </w:r>
      <w:r w:rsidRPr="00360E33">
        <w:rPr>
          <w:sz w:val="22"/>
          <w:szCs w:val="22"/>
        </w:rPr>
        <w:t>p</w:t>
      </w:r>
      <w:r w:rsidR="00854CD3" w:rsidRPr="00360E33">
        <w:rPr>
          <w:sz w:val="22"/>
          <w:szCs w:val="22"/>
        </w:rPr>
        <w:t>r</w:t>
      </w:r>
      <w:r w:rsidR="00AA5277" w:rsidRPr="00360E33">
        <w:rPr>
          <w:sz w:val="22"/>
          <w:szCs w:val="22"/>
        </w:rPr>
        <w:t>edpubertáln</w:t>
      </w:r>
      <w:r w:rsidR="00B901C0" w:rsidRPr="00EA5814">
        <w:rPr>
          <w:sz w:val="22"/>
          <w:szCs w:val="22"/>
        </w:rPr>
        <w:t>om</w:t>
      </w:r>
      <w:r w:rsidR="00854CD3" w:rsidRPr="004463D0">
        <w:rPr>
          <w:sz w:val="22"/>
          <w:szCs w:val="22"/>
        </w:rPr>
        <w:t xml:space="preserve"> </w:t>
      </w:r>
      <w:r w:rsidR="00B901C0" w:rsidRPr="00224836">
        <w:rPr>
          <w:sz w:val="22"/>
          <w:szCs w:val="22"/>
        </w:rPr>
        <w:t xml:space="preserve">veku, ktoré </w:t>
      </w:r>
      <w:r w:rsidR="00854CD3" w:rsidRPr="00CA25E6">
        <w:rPr>
          <w:sz w:val="22"/>
          <w:szCs w:val="22"/>
        </w:rPr>
        <w:t>používajú</w:t>
      </w:r>
      <w:r w:rsidR="00B901C0" w:rsidRPr="00CA25E6">
        <w:rPr>
          <w:sz w:val="22"/>
          <w:szCs w:val="22"/>
        </w:rPr>
        <w:t xml:space="preserve"> androgény</w:t>
      </w:r>
      <w:r w:rsidR="00B901C0" w:rsidRPr="00730746">
        <w:rPr>
          <w:sz w:val="22"/>
          <w:szCs w:val="22"/>
        </w:rPr>
        <w:t>,</w:t>
      </w:r>
      <w:r w:rsidR="00854CD3" w:rsidRPr="00730746">
        <w:rPr>
          <w:sz w:val="22"/>
          <w:szCs w:val="22"/>
        </w:rPr>
        <w:t xml:space="preserve"> sa hlásili nasledovné nežiaduce účinky</w:t>
      </w:r>
      <w:r w:rsidR="00B901C0" w:rsidRPr="00730746">
        <w:rPr>
          <w:sz w:val="22"/>
          <w:szCs w:val="22"/>
        </w:rPr>
        <w:t xml:space="preserve"> (pozri časť</w:t>
      </w:r>
      <w:r w:rsidR="00B901C0" w:rsidRPr="00CF1575">
        <w:rPr>
          <w:sz w:val="22"/>
          <w:szCs w:val="22"/>
        </w:rPr>
        <w:t> 4.4)</w:t>
      </w:r>
      <w:r w:rsidR="00854CD3" w:rsidRPr="00CF1575">
        <w:rPr>
          <w:sz w:val="22"/>
          <w:szCs w:val="22"/>
        </w:rPr>
        <w:t>: predčasný sexuálny vývin, zvýšená frekvencia erekcií, zväčšenie penisu</w:t>
      </w:r>
      <w:r w:rsidR="00722FAA" w:rsidRPr="00CF1575">
        <w:rPr>
          <w:sz w:val="22"/>
          <w:szCs w:val="22"/>
        </w:rPr>
        <w:t xml:space="preserve"> a</w:t>
      </w:r>
      <w:r w:rsidR="00B11A0B" w:rsidRPr="00CF1575">
        <w:rPr>
          <w:sz w:val="22"/>
          <w:szCs w:val="22"/>
        </w:rPr>
        <w:t> </w:t>
      </w:r>
      <w:r w:rsidR="00722FAA" w:rsidRPr="00CF1575">
        <w:rPr>
          <w:sz w:val="22"/>
          <w:szCs w:val="22"/>
        </w:rPr>
        <w:t>predčasné uzatvorenie epifyzárnych štrbín</w:t>
      </w:r>
      <w:r w:rsidR="00854CD3" w:rsidRPr="00CF1575">
        <w:rPr>
          <w:sz w:val="22"/>
          <w:szCs w:val="22"/>
        </w:rPr>
        <w:t>.</w:t>
      </w:r>
    </w:p>
    <w:p w14:paraId="2359EEE5" w14:textId="77777777" w:rsidR="00AA5277" w:rsidRPr="004143F6" w:rsidRDefault="00AA5277" w:rsidP="000236E8">
      <w:pPr>
        <w:pStyle w:val="Zkladntext2"/>
        <w:numPr>
          <w:ilvl w:val="12"/>
          <w:numId w:val="0"/>
        </w:numPr>
        <w:jc w:val="left"/>
        <w:rPr>
          <w:b/>
          <w:sz w:val="22"/>
          <w:szCs w:val="22"/>
        </w:rPr>
      </w:pPr>
    </w:p>
    <w:p w14:paraId="4C2E8887" w14:textId="77777777" w:rsidR="00BF032C" w:rsidRPr="000A0868" w:rsidRDefault="00BF032C" w:rsidP="001F1285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1B007D">
        <w:rPr>
          <w:rFonts w:ascii="Times New Roman" w:hAnsi="Times New Roman"/>
          <w:sz w:val="22"/>
          <w:szCs w:val="22"/>
          <w:u w:val="single"/>
        </w:rPr>
        <w:t>Hlásenie podozrení na nežiaduce reakcie</w:t>
      </w:r>
    </w:p>
    <w:p w14:paraId="30388BDE" w14:textId="77777777" w:rsidR="00BF032C" w:rsidRPr="001B007D" w:rsidRDefault="00BF032C" w:rsidP="00042AC1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1B007D">
        <w:rPr>
          <w:rFonts w:ascii="Times New Roman" w:hAnsi="Times New Roman"/>
          <w:sz w:val="22"/>
          <w:szCs w:val="22"/>
        </w:rPr>
        <w:t>Hlásenie podozrení na nežiaduce reakcie po registrácii lieku je dôležité.</w:t>
      </w:r>
      <w:r w:rsidRPr="000A0868">
        <w:rPr>
          <w:rFonts w:ascii="Times New Roman" w:hAnsi="Times New Roman"/>
          <w:sz w:val="22"/>
          <w:szCs w:val="22"/>
        </w:rPr>
        <w:t xml:space="preserve"> </w:t>
      </w:r>
      <w:r w:rsidRPr="001B007D">
        <w:rPr>
          <w:rFonts w:ascii="Times New Roman" w:hAnsi="Times New Roman"/>
          <w:sz w:val="22"/>
          <w:szCs w:val="22"/>
        </w:rPr>
        <w:t>Umožňuje priebežné monitorovanie pomeru prínosu a rizika lieku.</w:t>
      </w:r>
      <w:r w:rsidRPr="000A0868">
        <w:rPr>
          <w:rFonts w:ascii="Times New Roman" w:hAnsi="Times New Roman"/>
          <w:sz w:val="22"/>
          <w:szCs w:val="22"/>
        </w:rPr>
        <w:t xml:space="preserve"> Od </w:t>
      </w:r>
      <w:r w:rsidRPr="001B007D">
        <w:rPr>
          <w:rFonts w:ascii="Times New Roman" w:hAnsi="Times New Roman"/>
          <w:sz w:val="22"/>
          <w:szCs w:val="22"/>
        </w:rPr>
        <w:t xml:space="preserve">zdravotníckych pracovníkov sa vyžaduje, aby hlásili akékoľvek podozrenia na nežiaduce reakcie </w:t>
      </w:r>
      <w:r w:rsidR="0031053D" w:rsidRPr="001B007D">
        <w:rPr>
          <w:rFonts w:ascii="Times New Roman" w:hAnsi="Times New Roman"/>
          <w:sz w:val="22"/>
          <w:szCs w:val="22"/>
        </w:rPr>
        <w:t xml:space="preserve">na </w:t>
      </w:r>
      <w:r w:rsidR="0031053D" w:rsidRPr="001B007D">
        <w:rPr>
          <w:rFonts w:ascii="Times New Roman" w:hAnsi="Times New Roman"/>
          <w:sz w:val="22"/>
          <w:szCs w:val="22"/>
          <w:highlight w:val="lightGray"/>
        </w:rPr>
        <w:t xml:space="preserve">národné centrum hlásenia uvedené </w:t>
      </w:r>
      <w:r w:rsidRPr="001B007D">
        <w:rPr>
          <w:rFonts w:ascii="Times New Roman" w:hAnsi="Times New Roman"/>
          <w:sz w:val="22"/>
          <w:szCs w:val="22"/>
          <w:highlight w:val="lightGray"/>
        </w:rPr>
        <w:t>v </w:t>
      </w:r>
      <w:hyperlink r:id="rId11" w:history="1">
        <w:r w:rsidRPr="001B007D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Prílohe V</w:t>
        </w:r>
      </w:hyperlink>
      <w:r w:rsidRPr="001B007D">
        <w:rPr>
          <w:rFonts w:ascii="Times New Roman" w:hAnsi="Times New Roman"/>
          <w:sz w:val="22"/>
          <w:szCs w:val="22"/>
        </w:rPr>
        <w:t>.</w:t>
      </w:r>
    </w:p>
    <w:p w14:paraId="045AA1EA" w14:textId="77777777" w:rsidR="00BF032C" w:rsidRPr="000A0868" w:rsidRDefault="00BF032C" w:rsidP="00CE313A">
      <w:pPr>
        <w:pStyle w:val="Zkladntext2"/>
        <w:numPr>
          <w:ilvl w:val="12"/>
          <w:numId w:val="0"/>
        </w:numPr>
        <w:jc w:val="left"/>
        <w:rPr>
          <w:b/>
          <w:sz w:val="22"/>
          <w:szCs w:val="22"/>
        </w:rPr>
      </w:pPr>
    </w:p>
    <w:p w14:paraId="24022E74" w14:textId="77777777" w:rsidR="006B2416" w:rsidRPr="00407D89" w:rsidRDefault="006B2416" w:rsidP="00512D96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0A0868">
        <w:rPr>
          <w:b/>
          <w:sz w:val="22"/>
          <w:szCs w:val="22"/>
        </w:rPr>
        <w:t>4.9</w:t>
      </w:r>
      <w:r w:rsidRPr="000A0868">
        <w:rPr>
          <w:b/>
          <w:sz w:val="22"/>
          <w:szCs w:val="22"/>
        </w:rPr>
        <w:tab/>
        <w:t>Predávkovanie</w:t>
      </w:r>
    </w:p>
    <w:p w14:paraId="02BCE492" w14:textId="77777777" w:rsidR="006B2416" w:rsidRPr="000D616A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23997302" w14:textId="77777777" w:rsidR="00305138" w:rsidRPr="00A5456B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D616A">
        <w:rPr>
          <w:sz w:val="22"/>
          <w:szCs w:val="22"/>
        </w:rPr>
        <w:t>Akútna toxicita testosterónu je nízka.</w:t>
      </w:r>
    </w:p>
    <w:p w14:paraId="50DDCF85" w14:textId="77777777" w:rsidR="00305138" w:rsidRPr="00A1183C" w:rsidRDefault="00305138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86F1035" w14:textId="77777777" w:rsidR="006B2416" w:rsidRPr="00407D89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A1183C">
        <w:rPr>
          <w:sz w:val="22"/>
          <w:szCs w:val="22"/>
        </w:rPr>
        <w:t xml:space="preserve">Ak sa </w:t>
      </w:r>
      <w:r w:rsidR="00854CD3" w:rsidRPr="00C80F6F">
        <w:rPr>
          <w:sz w:val="22"/>
          <w:szCs w:val="22"/>
        </w:rPr>
        <w:t>objavia</w:t>
      </w:r>
      <w:r w:rsidRPr="00C80F6F">
        <w:rPr>
          <w:sz w:val="22"/>
          <w:szCs w:val="22"/>
        </w:rPr>
        <w:t xml:space="preserve"> príznaky chronického predávkovania (napr. polycytémia, priapizmus), liečba sa má prerušiť a</w:t>
      </w:r>
      <w:r w:rsidR="00854CD3" w:rsidRPr="00732B6D">
        <w:rPr>
          <w:sz w:val="22"/>
          <w:szCs w:val="22"/>
        </w:rPr>
        <w:t> opätovne zač</w:t>
      </w:r>
      <w:r w:rsidR="00854CD3" w:rsidRPr="009324A9">
        <w:rPr>
          <w:sz w:val="22"/>
          <w:szCs w:val="22"/>
        </w:rPr>
        <w:t xml:space="preserve">ať </w:t>
      </w:r>
      <w:r w:rsidRPr="009324A9">
        <w:rPr>
          <w:sz w:val="22"/>
          <w:szCs w:val="22"/>
        </w:rPr>
        <w:t>po vymiznutí príznakov s nižšou dávkou.</w:t>
      </w:r>
    </w:p>
    <w:p w14:paraId="07CDBADE" w14:textId="77777777" w:rsidR="006B2416" w:rsidRPr="000D616A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A86828E" w14:textId="77777777" w:rsidR="006B2416" w:rsidRPr="000D616A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54B6C5D" w14:textId="77777777" w:rsidR="006B2416" w:rsidRPr="00A1183C" w:rsidRDefault="00F365E2" w:rsidP="009234FB">
      <w:pPr>
        <w:pStyle w:val="Zkladntext2"/>
        <w:keepNext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  <w:r w:rsidRPr="00A1183C">
        <w:rPr>
          <w:b/>
          <w:caps/>
          <w:sz w:val="22"/>
          <w:szCs w:val="22"/>
        </w:rPr>
        <w:t>5.</w:t>
      </w:r>
      <w:r w:rsidR="006B2416" w:rsidRPr="00A1183C">
        <w:rPr>
          <w:b/>
          <w:caps/>
          <w:sz w:val="22"/>
          <w:szCs w:val="22"/>
        </w:rPr>
        <w:tab/>
        <w:t>Farmakologické vlastnosti</w:t>
      </w:r>
    </w:p>
    <w:p w14:paraId="0988D91F" w14:textId="77777777" w:rsidR="006B2416" w:rsidRPr="00C80F6F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61FE299D" w14:textId="77777777" w:rsidR="006B2416" w:rsidRPr="00732B6D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732B6D">
        <w:rPr>
          <w:b/>
          <w:sz w:val="22"/>
          <w:szCs w:val="22"/>
        </w:rPr>
        <w:t>5.1</w:t>
      </w:r>
      <w:r w:rsidRPr="00732B6D">
        <w:rPr>
          <w:b/>
          <w:sz w:val="22"/>
          <w:szCs w:val="22"/>
        </w:rPr>
        <w:tab/>
        <w:t>Farmakodynamické vlastnosti</w:t>
      </w:r>
    </w:p>
    <w:p w14:paraId="6E8F6471" w14:textId="77777777" w:rsidR="006B2416" w:rsidRPr="009324A9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0E0D3F49" w14:textId="55D8CD24" w:rsidR="00305138" w:rsidRPr="009324A9" w:rsidRDefault="00305138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9324A9">
        <w:rPr>
          <w:bCs/>
          <w:sz w:val="22"/>
          <w:szCs w:val="22"/>
        </w:rPr>
        <w:t xml:space="preserve">Farmakoterapeutická skupina: </w:t>
      </w:r>
      <w:r w:rsidR="005255C0">
        <w:rPr>
          <w:bCs/>
          <w:sz w:val="22"/>
          <w:szCs w:val="22"/>
          <w:lang w:val="sk-SK"/>
        </w:rPr>
        <w:t>Pohlavné h</w:t>
      </w:r>
      <w:r w:rsidRPr="009324A9">
        <w:rPr>
          <w:bCs/>
          <w:sz w:val="22"/>
          <w:szCs w:val="22"/>
        </w:rPr>
        <w:t>ormóny</w:t>
      </w:r>
      <w:r w:rsidR="005255C0">
        <w:rPr>
          <w:bCs/>
          <w:sz w:val="22"/>
          <w:szCs w:val="22"/>
          <w:lang w:val="sk-SK"/>
        </w:rPr>
        <w:t xml:space="preserve"> a modulátory genitálneho systému</w:t>
      </w:r>
      <w:r w:rsidRPr="009324A9">
        <w:rPr>
          <w:bCs/>
          <w:sz w:val="22"/>
          <w:szCs w:val="22"/>
        </w:rPr>
        <w:t xml:space="preserve">, androgény, </w:t>
      </w:r>
      <w:r w:rsidRPr="009324A9">
        <w:rPr>
          <w:sz w:val="22"/>
          <w:szCs w:val="22"/>
        </w:rPr>
        <w:t>ATC kód: G03BA03</w:t>
      </w:r>
    </w:p>
    <w:p w14:paraId="2D418D4A" w14:textId="77777777" w:rsidR="00305138" w:rsidRPr="00D901C1" w:rsidRDefault="00305138" w:rsidP="009234FB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214D8CE8" w14:textId="159FBF7A" w:rsidR="0047208C" w:rsidRPr="00730746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D901C1">
        <w:rPr>
          <w:sz w:val="22"/>
          <w:szCs w:val="22"/>
        </w:rPr>
        <w:t>Liečba hypogon</w:t>
      </w:r>
      <w:r w:rsidR="006B4C60" w:rsidRPr="00D901C1">
        <w:rPr>
          <w:sz w:val="22"/>
          <w:szCs w:val="22"/>
        </w:rPr>
        <w:t>a</w:t>
      </w:r>
      <w:r w:rsidRPr="00E3515E">
        <w:rPr>
          <w:sz w:val="22"/>
          <w:szCs w:val="22"/>
        </w:rPr>
        <w:t>d</w:t>
      </w:r>
      <w:r w:rsidR="006B4C60" w:rsidRPr="00E3515E">
        <w:rPr>
          <w:sz w:val="22"/>
          <w:szCs w:val="22"/>
        </w:rPr>
        <w:t>á</w:t>
      </w:r>
      <w:r w:rsidRPr="00E3515E">
        <w:rPr>
          <w:sz w:val="22"/>
          <w:szCs w:val="22"/>
        </w:rPr>
        <w:t>ln</w:t>
      </w:r>
      <w:r w:rsidR="00722FAA" w:rsidRPr="00E3515E">
        <w:rPr>
          <w:sz w:val="22"/>
          <w:szCs w:val="22"/>
        </w:rPr>
        <w:t>ych</w:t>
      </w:r>
      <w:r w:rsidRPr="00E3515E">
        <w:rPr>
          <w:sz w:val="22"/>
          <w:szCs w:val="22"/>
        </w:rPr>
        <w:t xml:space="preserve"> muž</w:t>
      </w:r>
      <w:r w:rsidR="00722FAA" w:rsidRPr="00E3515E">
        <w:rPr>
          <w:sz w:val="22"/>
          <w:szCs w:val="22"/>
        </w:rPr>
        <w:t>ov</w:t>
      </w:r>
      <w:r w:rsidRPr="00E3515E">
        <w:rPr>
          <w:sz w:val="22"/>
          <w:szCs w:val="22"/>
        </w:rPr>
        <w:t xml:space="preserve"> Sustanonom</w:t>
      </w:r>
      <w:r w:rsidR="00765CFF" w:rsidRPr="00E3515E">
        <w:rPr>
          <w:sz w:val="22"/>
          <w:szCs w:val="22"/>
        </w:rPr>
        <w:t> </w:t>
      </w:r>
      <w:r w:rsidRPr="00E3515E">
        <w:rPr>
          <w:sz w:val="22"/>
          <w:szCs w:val="22"/>
        </w:rPr>
        <w:t>250 vedie ku klinicky signifikantnému zvýšeniu plazmatických hladín testosterónu, dihydrotestosterónu, estradiolu a androstendionu a súčasne dochádza k poklesu hladiny SHBG (</w:t>
      </w:r>
      <w:r w:rsidRPr="00DC1CD9">
        <w:rPr>
          <w:i/>
          <w:sz w:val="22"/>
          <w:szCs w:val="22"/>
        </w:rPr>
        <w:t>sex hormon binding globulin</w:t>
      </w:r>
      <w:r w:rsidRPr="00DC1CD9">
        <w:rPr>
          <w:sz w:val="22"/>
          <w:szCs w:val="22"/>
        </w:rPr>
        <w:t xml:space="preserve"> – globulín viažuci pohlavné hormóny). Luteinizačný hormón (LH) a folikuly stimulujúci hormón (</w:t>
      </w:r>
      <w:r w:rsidRPr="003356F5">
        <w:rPr>
          <w:sz w:val="22"/>
          <w:szCs w:val="22"/>
        </w:rPr>
        <w:t>FSH) sa vracajú do normálneho rozmedzia. U hypogonádalných mužov sa liečba Sustanonom</w:t>
      </w:r>
      <w:r w:rsidR="00765CFF" w:rsidRPr="00484E2F">
        <w:rPr>
          <w:sz w:val="22"/>
          <w:szCs w:val="22"/>
        </w:rPr>
        <w:t> </w:t>
      </w:r>
      <w:r w:rsidRPr="00484E2F">
        <w:rPr>
          <w:sz w:val="22"/>
          <w:szCs w:val="22"/>
        </w:rPr>
        <w:t xml:space="preserve">250 prejavuje zlepšením príznakov deficitu testosterónu. Liečba okrem toho zvyšuje denzitu kostných minerálov, zvyšuje podiel svalovej hmoty a znižuje telesnú tukovú vrstvu. Liečba tiež zlepšuje sexuálnu funkciu vrátane libida a erektilnej funkcie. Liečba znižuje hladinu LDL-C, HDL-C a triglyceridov v sére a zvyšuje hemoglobín a hematokrit, pričom sa nehlásili žiadne klinicky relevantné zmeny v hodnotách pečeňových enzýmov a PSA. Liečba môže mať za následok zväčšenie prostaty, avšak iné nežiaduce účinky na príznaky prostaty sa nepozorovali. Pri užívaní androgénov hypogonádalnými pacientmi s diabetom sa hlásilo zlepšenie citlivosti na inzulín a/alebo zníženie hladiny glukózy v krvi. U chlapcov s vrodeným oneskorením rastu a puberty liečba </w:t>
      </w:r>
      <w:r w:rsidR="00854CD3" w:rsidRPr="00A529AF">
        <w:rPr>
          <w:sz w:val="22"/>
          <w:szCs w:val="22"/>
        </w:rPr>
        <w:t>Sustanonom 250</w:t>
      </w:r>
      <w:r w:rsidRPr="00A529AF">
        <w:rPr>
          <w:sz w:val="22"/>
          <w:szCs w:val="22"/>
        </w:rPr>
        <w:t xml:space="preserve"> urýchľuje rast a vyvoláva vývoj sekundárnych pohlavných znakov</w:t>
      </w:r>
      <w:r w:rsidRPr="00730746">
        <w:rPr>
          <w:sz w:val="22"/>
          <w:szCs w:val="22"/>
        </w:rPr>
        <w:t>.</w:t>
      </w:r>
      <w:r w:rsidR="00765CFF" w:rsidRPr="00730746">
        <w:rPr>
          <w:sz w:val="22"/>
          <w:szCs w:val="22"/>
        </w:rPr>
        <w:t xml:space="preserve"> </w:t>
      </w:r>
      <w:r w:rsidR="001B2C05" w:rsidRPr="00BC45AB">
        <w:rPr>
          <w:iCs/>
          <w:color w:val="222222"/>
          <w:sz w:val="22"/>
          <w:szCs w:val="22"/>
          <w:shd w:val="clear" w:color="auto" w:fill="FFFFFF"/>
        </w:rPr>
        <w:t xml:space="preserve">U transsexuálov, ktorí </w:t>
      </w:r>
      <w:r w:rsidR="00180FA1" w:rsidRPr="00BC45AB">
        <w:rPr>
          <w:iCs/>
          <w:color w:val="222222"/>
          <w:sz w:val="22"/>
          <w:szCs w:val="22"/>
          <w:shd w:val="clear" w:color="auto" w:fill="FFFFFF"/>
        </w:rPr>
        <w:t xml:space="preserve">podstupujú hormonálnu terapiu  </w:t>
      </w:r>
      <w:r w:rsidR="001B2C05" w:rsidRPr="00BC45AB">
        <w:rPr>
          <w:iCs/>
          <w:color w:val="222222"/>
          <w:sz w:val="22"/>
          <w:szCs w:val="22"/>
          <w:shd w:val="clear" w:color="auto" w:fill="FFFFFF"/>
        </w:rPr>
        <w:t xml:space="preserve">zo ženy </w:t>
      </w:r>
      <w:r w:rsidR="00180FA1" w:rsidRPr="00BC45AB">
        <w:rPr>
          <w:iCs/>
          <w:color w:val="222222"/>
          <w:sz w:val="22"/>
          <w:szCs w:val="22"/>
          <w:shd w:val="clear" w:color="auto" w:fill="FFFFFF"/>
          <w:lang w:val="en-IE"/>
        </w:rPr>
        <w:t xml:space="preserve">na </w:t>
      </w:r>
      <w:r w:rsidR="001B2C05" w:rsidRPr="00BC45AB">
        <w:rPr>
          <w:iCs/>
          <w:color w:val="222222"/>
          <w:sz w:val="22"/>
          <w:szCs w:val="22"/>
          <w:shd w:val="clear" w:color="auto" w:fill="FFFFFF"/>
        </w:rPr>
        <w:t>muž</w:t>
      </w:r>
      <w:r w:rsidR="00180FA1" w:rsidRPr="00BC45AB">
        <w:rPr>
          <w:iCs/>
          <w:color w:val="222222"/>
          <w:sz w:val="22"/>
          <w:szCs w:val="22"/>
          <w:shd w:val="clear" w:color="auto" w:fill="FFFFFF"/>
          <w:lang w:val="en-IE"/>
        </w:rPr>
        <w:t>a</w:t>
      </w:r>
      <w:r w:rsidR="001B2C05" w:rsidRPr="00BC45AB">
        <w:rPr>
          <w:iCs/>
          <w:color w:val="222222"/>
          <w:sz w:val="22"/>
          <w:szCs w:val="22"/>
          <w:shd w:val="clear" w:color="auto" w:fill="FFFFFF"/>
        </w:rPr>
        <w:t>, liečba Sustanonom</w:t>
      </w:r>
      <w:r w:rsidR="005255C0" w:rsidRPr="008C058B">
        <w:rPr>
          <w:iCs/>
          <w:color w:val="222222"/>
          <w:sz w:val="22"/>
          <w:szCs w:val="22"/>
          <w:shd w:val="clear" w:color="auto" w:fill="FFFFFF"/>
        </w:rPr>
        <w:t xml:space="preserve"> 250</w:t>
      </w:r>
      <w:r w:rsidR="001B2C05" w:rsidRPr="00BC45AB">
        <w:rPr>
          <w:iCs/>
          <w:color w:val="222222"/>
          <w:sz w:val="22"/>
          <w:szCs w:val="22"/>
          <w:shd w:val="clear" w:color="auto" w:fill="FFFFFF"/>
        </w:rPr>
        <w:t xml:space="preserve"> indukuje maskulinizáciu’.</w:t>
      </w:r>
      <w:r w:rsidR="00A32489" w:rsidRPr="00A32489">
        <w:rPr>
          <w:iCs/>
          <w:color w:val="222222"/>
          <w:sz w:val="22"/>
          <w:szCs w:val="22"/>
          <w:shd w:val="clear" w:color="auto" w:fill="FFFFFF"/>
        </w:rPr>
        <w:t xml:space="preserve"> </w:t>
      </w:r>
    </w:p>
    <w:p w14:paraId="3723679D" w14:textId="77777777" w:rsidR="006B2416" w:rsidRPr="00730746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44AC8E0" w14:textId="77777777" w:rsidR="006B2416" w:rsidRPr="00730746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730746">
        <w:rPr>
          <w:b/>
          <w:sz w:val="22"/>
          <w:szCs w:val="22"/>
        </w:rPr>
        <w:t>5.2</w:t>
      </w:r>
      <w:r w:rsidRPr="00730746">
        <w:rPr>
          <w:b/>
          <w:sz w:val="22"/>
          <w:szCs w:val="22"/>
        </w:rPr>
        <w:tab/>
        <w:t>Farmakokinetické vlastnosti</w:t>
      </w:r>
    </w:p>
    <w:p w14:paraId="24092739" w14:textId="77777777" w:rsidR="006B2416" w:rsidRPr="00CF1575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0E327420" w14:textId="77777777" w:rsidR="006B2416" w:rsidRPr="004143F6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CF1575">
        <w:rPr>
          <w:sz w:val="22"/>
          <w:szCs w:val="22"/>
        </w:rPr>
        <w:t>Sustanon</w:t>
      </w:r>
      <w:r w:rsidR="00765CFF" w:rsidRPr="00CF1575">
        <w:rPr>
          <w:sz w:val="22"/>
          <w:szCs w:val="22"/>
        </w:rPr>
        <w:t> </w:t>
      </w:r>
      <w:r w:rsidRPr="00CF1575">
        <w:rPr>
          <w:sz w:val="22"/>
          <w:szCs w:val="22"/>
        </w:rPr>
        <w:t>250 obsahuje štyri estery test</w:t>
      </w:r>
      <w:r w:rsidRPr="004143F6">
        <w:rPr>
          <w:sz w:val="22"/>
          <w:szCs w:val="22"/>
        </w:rPr>
        <w:t xml:space="preserve">osterónu s rôznou dĺžkou trvania účinku. Estery sú hydrolyzované na prirodzený hormón testosterón hneď, ako sa dostanú do </w:t>
      </w:r>
      <w:r w:rsidR="00854CD3" w:rsidRPr="004143F6">
        <w:rPr>
          <w:sz w:val="22"/>
          <w:szCs w:val="22"/>
        </w:rPr>
        <w:t xml:space="preserve">celkovej </w:t>
      </w:r>
      <w:r w:rsidRPr="004143F6">
        <w:rPr>
          <w:sz w:val="22"/>
          <w:szCs w:val="22"/>
        </w:rPr>
        <w:t>cirkulácie.</w:t>
      </w:r>
    </w:p>
    <w:p w14:paraId="409DAEDD" w14:textId="77777777" w:rsidR="006B2416" w:rsidRPr="004143F6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C4A39CF" w14:textId="2C8170A1" w:rsidR="0067282F" w:rsidRPr="008C058B" w:rsidRDefault="0067282F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360E33">
        <w:rPr>
          <w:sz w:val="22"/>
          <w:szCs w:val="22"/>
          <w:u w:val="single"/>
        </w:rPr>
        <w:t>Absorpcia</w:t>
      </w:r>
    </w:p>
    <w:p w14:paraId="4698BF1F" w14:textId="7CCAAB00" w:rsidR="006B2416" w:rsidRPr="00CF1575" w:rsidRDefault="001677E1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EA5814">
        <w:rPr>
          <w:sz w:val="22"/>
          <w:szCs w:val="22"/>
        </w:rPr>
        <w:t>J</w:t>
      </w:r>
      <w:r w:rsidR="006B2416" w:rsidRPr="004463D0">
        <w:rPr>
          <w:sz w:val="22"/>
          <w:szCs w:val="22"/>
        </w:rPr>
        <w:t xml:space="preserve">ednorazová </w:t>
      </w:r>
      <w:r w:rsidR="00AC53ED">
        <w:rPr>
          <w:sz w:val="22"/>
          <w:szCs w:val="22"/>
        </w:rPr>
        <w:t xml:space="preserve">intramuskulárna </w:t>
      </w:r>
      <w:r w:rsidR="006B2416" w:rsidRPr="004463D0">
        <w:rPr>
          <w:sz w:val="22"/>
          <w:szCs w:val="22"/>
        </w:rPr>
        <w:t>dávka Sustanonu</w:t>
      </w:r>
      <w:r w:rsidR="0067282F" w:rsidRPr="00224836">
        <w:rPr>
          <w:sz w:val="22"/>
          <w:szCs w:val="22"/>
        </w:rPr>
        <w:t> </w:t>
      </w:r>
      <w:r w:rsidR="006B2416" w:rsidRPr="00CA25E6">
        <w:rPr>
          <w:sz w:val="22"/>
          <w:szCs w:val="22"/>
        </w:rPr>
        <w:t>250 vedie k</w:t>
      </w:r>
      <w:r w:rsidR="0067282F" w:rsidRPr="00CA25E6">
        <w:rPr>
          <w:sz w:val="22"/>
          <w:szCs w:val="22"/>
        </w:rPr>
        <w:t xml:space="preserve"> </w:t>
      </w:r>
      <w:r w:rsidR="006B2416" w:rsidRPr="00CA25E6">
        <w:rPr>
          <w:sz w:val="22"/>
          <w:szCs w:val="22"/>
        </w:rPr>
        <w:t xml:space="preserve">zvýšeniu celkovej </w:t>
      </w:r>
      <w:r w:rsidR="0067282F" w:rsidRPr="00CA25E6">
        <w:rPr>
          <w:sz w:val="22"/>
          <w:szCs w:val="22"/>
        </w:rPr>
        <w:t xml:space="preserve">plazmatickej </w:t>
      </w:r>
      <w:r w:rsidR="006B2416" w:rsidRPr="00CA25E6">
        <w:rPr>
          <w:sz w:val="22"/>
          <w:szCs w:val="22"/>
        </w:rPr>
        <w:t xml:space="preserve">hladiny testosterónu s maximálnou koncentráciou </w:t>
      </w:r>
      <w:r w:rsidR="00854CD3" w:rsidRPr="007251DF">
        <w:rPr>
          <w:sz w:val="22"/>
          <w:szCs w:val="22"/>
        </w:rPr>
        <w:t>približne</w:t>
      </w:r>
      <w:r w:rsidR="006B2416" w:rsidRPr="007251DF">
        <w:rPr>
          <w:sz w:val="22"/>
          <w:szCs w:val="22"/>
        </w:rPr>
        <w:t xml:space="preserve"> 70</w:t>
      </w:r>
      <w:r w:rsidR="0067282F" w:rsidRPr="007A0A39">
        <w:rPr>
          <w:sz w:val="22"/>
          <w:szCs w:val="22"/>
        </w:rPr>
        <w:t> </w:t>
      </w:r>
      <w:r w:rsidR="006B2416" w:rsidRPr="0002562E">
        <w:rPr>
          <w:sz w:val="22"/>
          <w:szCs w:val="22"/>
        </w:rPr>
        <w:t>nmol/l (C</w:t>
      </w:r>
      <w:r w:rsidR="006B2416" w:rsidRPr="00EE3AFF">
        <w:rPr>
          <w:sz w:val="22"/>
          <w:szCs w:val="22"/>
          <w:vertAlign w:val="subscript"/>
        </w:rPr>
        <w:t>max</w:t>
      </w:r>
      <w:r w:rsidR="006B2416" w:rsidRPr="00AC53ED">
        <w:rPr>
          <w:sz w:val="22"/>
          <w:szCs w:val="22"/>
        </w:rPr>
        <w:t>), ktorá sa dosiahne približne za 24</w:t>
      </w:r>
      <w:r w:rsidR="00854CD3" w:rsidRPr="00AC53ED">
        <w:rPr>
          <w:sz w:val="22"/>
          <w:szCs w:val="22"/>
        </w:rPr>
        <w:t xml:space="preserve"> – </w:t>
      </w:r>
      <w:r w:rsidR="006B2416" w:rsidRPr="00AC53ED">
        <w:rPr>
          <w:sz w:val="22"/>
          <w:szCs w:val="22"/>
        </w:rPr>
        <w:t>48</w:t>
      </w:r>
      <w:r w:rsidR="0067282F" w:rsidRPr="00AC53ED">
        <w:rPr>
          <w:sz w:val="22"/>
          <w:szCs w:val="22"/>
        </w:rPr>
        <w:t> </w:t>
      </w:r>
      <w:r w:rsidR="006B2416" w:rsidRPr="00AC53ED">
        <w:rPr>
          <w:sz w:val="22"/>
          <w:szCs w:val="22"/>
        </w:rPr>
        <w:t>hodín (t</w:t>
      </w:r>
      <w:r w:rsidR="006B2416" w:rsidRPr="00AC53ED">
        <w:rPr>
          <w:sz w:val="22"/>
          <w:szCs w:val="22"/>
          <w:vertAlign w:val="subscript"/>
        </w:rPr>
        <w:t>max</w:t>
      </w:r>
      <w:r w:rsidR="006B2416" w:rsidRPr="00AC53ED">
        <w:rPr>
          <w:sz w:val="22"/>
          <w:szCs w:val="22"/>
        </w:rPr>
        <w:t xml:space="preserve">) po </w:t>
      </w:r>
      <w:r w:rsidR="00D901C1">
        <w:rPr>
          <w:sz w:val="22"/>
          <w:szCs w:val="22"/>
        </w:rPr>
        <w:t>aplikácii</w:t>
      </w:r>
      <w:r w:rsidR="006B2416" w:rsidRPr="00730746">
        <w:rPr>
          <w:sz w:val="22"/>
          <w:szCs w:val="22"/>
        </w:rPr>
        <w:t>. Plazmatické hladiny testosterónu u mužov sa vracajú k dolnej hranici normy približne po 21</w:t>
      </w:r>
      <w:r w:rsidR="0067282F" w:rsidRPr="00CF1575">
        <w:rPr>
          <w:sz w:val="22"/>
          <w:szCs w:val="22"/>
        </w:rPr>
        <w:t> </w:t>
      </w:r>
      <w:r w:rsidR="006B2416" w:rsidRPr="00CF1575">
        <w:rPr>
          <w:sz w:val="22"/>
          <w:szCs w:val="22"/>
        </w:rPr>
        <w:t>dňoch.</w:t>
      </w:r>
    </w:p>
    <w:p w14:paraId="6CE8EB17" w14:textId="77777777" w:rsidR="006B2416" w:rsidRPr="00CF157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E8FC199" w14:textId="060F0907" w:rsidR="006B2416" w:rsidRPr="008C058B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4143F6">
        <w:rPr>
          <w:sz w:val="22"/>
          <w:szCs w:val="22"/>
          <w:u w:val="single"/>
        </w:rPr>
        <w:t>Distribúcia</w:t>
      </w:r>
    </w:p>
    <w:p w14:paraId="2C02E852" w14:textId="77777777" w:rsidR="006B2416" w:rsidRPr="00CA25E6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4143F6">
        <w:rPr>
          <w:sz w:val="22"/>
          <w:szCs w:val="22"/>
        </w:rPr>
        <w:t>V </w:t>
      </w:r>
      <w:r w:rsidRPr="004143F6">
        <w:rPr>
          <w:i/>
          <w:iCs/>
          <w:sz w:val="22"/>
          <w:szCs w:val="22"/>
        </w:rPr>
        <w:t>in vitro</w:t>
      </w:r>
      <w:r w:rsidRPr="00360E33">
        <w:rPr>
          <w:sz w:val="22"/>
          <w:szCs w:val="22"/>
        </w:rPr>
        <w:t xml:space="preserve"> testoch testosterón </w:t>
      </w:r>
      <w:r w:rsidR="00854CD3" w:rsidRPr="00360E33">
        <w:rPr>
          <w:sz w:val="22"/>
          <w:szCs w:val="22"/>
        </w:rPr>
        <w:t>vykazuje</w:t>
      </w:r>
      <w:r w:rsidRPr="00360E33">
        <w:rPr>
          <w:sz w:val="22"/>
          <w:szCs w:val="22"/>
        </w:rPr>
        <w:t xml:space="preserve"> vysok</w:t>
      </w:r>
      <w:r w:rsidR="00854CD3" w:rsidRPr="00EA5814">
        <w:rPr>
          <w:sz w:val="22"/>
          <w:szCs w:val="22"/>
        </w:rPr>
        <w:t>ú</w:t>
      </w:r>
      <w:r w:rsidRPr="004463D0">
        <w:rPr>
          <w:sz w:val="22"/>
          <w:szCs w:val="22"/>
        </w:rPr>
        <w:t xml:space="preserve"> (</w:t>
      </w:r>
      <w:r w:rsidR="00854CD3" w:rsidRPr="00224836">
        <w:rPr>
          <w:sz w:val="22"/>
          <w:szCs w:val="22"/>
        </w:rPr>
        <w:t>viac ako</w:t>
      </w:r>
      <w:r w:rsidRPr="00CA25E6">
        <w:rPr>
          <w:sz w:val="22"/>
          <w:szCs w:val="22"/>
        </w:rPr>
        <w:t xml:space="preserve"> 97</w:t>
      </w:r>
      <w:r w:rsidR="0067282F" w:rsidRPr="00CA25E6">
        <w:rPr>
          <w:sz w:val="22"/>
          <w:szCs w:val="22"/>
        </w:rPr>
        <w:t> </w:t>
      </w:r>
      <w:r w:rsidRPr="00CA25E6">
        <w:rPr>
          <w:sz w:val="22"/>
          <w:szCs w:val="22"/>
        </w:rPr>
        <w:t>%) nešpecifick</w:t>
      </w:r>
      <w:r w:rsidR="00854CD3" w:rsidRPr="00CA25E6">
        <w:rPr>
          <w:sz w:val="22"/>
          <w:szCs w:val="22"/>
        </w:rPr>
        <w:t xml:space="preserve">ú </w:t>
      </w:r>
      <w:r w:rsidRPr="00CA25E6">
        <w:rPr>
          <w:sz w:val="22"/>
          <w:szCs w:val="22"/>
        </w:rPr>
        <w:t>väzbu na plazmatické bielkoviny a globulín viažuci pohlavný hormón.</w:t>
      </w:r>
    </w:p>
    <w:p w14:paraId="06974E2F" w14:textId="77777777" w:rsidR="006B2416" w:rsidRPr="007251DF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59F23FB" w14:textId="09DA05EC" w:rsidR="006B2416" w:rsidRPr="008C058B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7251DF">
        <w:rPr>
          <w:sz w:val="22"/>
          <w:szCs w:val="22"/>
          <w:u w:val="single"/>
        </w:rPr>
        <w:t>Biotransformácia</w:t>
      </w:r>
    </w:p>
    <w:p w14:paraId="75345C40" w14:textId="77777777" w:rsidR="006B2416" w:rsidRPr="007877A0" w:rsidRDefault="006B2416" w:rsidP="009234F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E3AFF">
        <w:rPr>
          <w:rFonts w:ascii="Times New Roman" w:hAnsi="Times New Roman"/>
          <w:sz w:val="22"/>
          <w:szCs w:val="22"/>
        </w:rPr>
        <w:t xml:space="preserve">Testosterón sa metabolizuje </w:t>
      </w:r>
      <w:r w:rsidRPr="00AC53ED">
        <w:rPr>
          <w:rFonts w:ascii="Times New Roman" w:hAnsi="Times New Roman"/>
          <w:sz w:val="22"/>
          <w:szCs w:val="22"/>
          <w:lang w:eastAsia="sk-SK"/>
        </w:rPr>
        <w:t>na dihydrotestosterón a estradiol</w:t>
      </w:r>
      <w:r w:rsidRPr="00AC53ED">
        <w:rPr>
          <w:rFonts w:ascii="Times New Roman" w:hAnsi="Times New Roman"/>
          <w:sz w:val="22"/>
          <w:szCs w:val="22"/>
        </w:rPr>
        <w:t>, ktoré sa ďalej metabolizujú normálnymi elimi</w:t>
      </w:r>
      <w:r w:rsidRPr="007877A0">
        <w:rPr>
          <w:rFonts w:ascii="Times New Roman" w:hAnsi="Times New Roman"/>
          <w:sz w:val="22"/>
          <w:szCs w:val="22"/>
        </w:rPr>
        <w:t>načnými cestami.</w:t>
      </w:r>
    </w:p>
    <w:p w14:paraId="74C3FE0E" w14:textId="77777777" w:rsidR="006B2416" w:rsidRPr="007877A0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1DF65434" w14:textId="0C21E0F1" w:rsidR="006B2416" w:rsidRPr="008C058B" w:rsidRDefault="00854CD3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u w:val="single"/>
          <w:lang w:val="sk-SK"/>
        </w:rPr>
      </w:pPr>
      <w:r w:rsidRPr="008E1F73">
        <w:rPr>
          <w:sz w:val="22"/>
          <w:szCs w:val="22"/>
          <w:u w:val="single"/>
        </w:rPr>
        <w:t>Eliminácia</w:t>
      </w:r>
    </w:p>
    <w:p w14:paraId="0E08FEC6" w14:textId="77777777" w:rsidR="006B2416" w:rsidRPr="00407D89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407D89">
        <w:rPr>
          <w:sz w:val="22"/>
          <w:szCs w:val="22"/>
        </w:rPr>
        <w:t>Vylučovanie prebieha hlavne močom vo forme konjugátov etiocholanolónu a androsterónu.</w:t>
      </w:r>
    </w:p>
    <w:p w14:paraId="0A22A808" w14:textId="77777777" w:rsidR="0067282F" w:rsidRPr="00407D89" w:rsidRDefault="0067282F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E94F3ED" w14:textId="77777777" w:rsidR="006B2416" w:rsidRPr="00A5456B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0D616A">
        <w:rPr>
          <w:b/>
          <w:sz w:val="22"/>
          <w:szCs w:val="22"/>
        </w:rPr>
        <w:t>5.3</w:t>
      </w:r>
      <w:r w:rsidRPr="000D616A">
        <w:rPr>
          <w:b/>
          <w:sz w:val="22"/>
          <w:szCs w:val="22"/>
        </w:rPr>
        <w:tab/>
        <w:t>Predklinické údaje o</w:t>
      </w:r>
      <w:r w:rsidR="0067282F" w:rsidRPr="000D616A">
        <w:rPr>
          <w:b/>
          <w:sz w:val="22"/>
          <w:szCs w:val="22"/>
        </w:rPr>
        <w:t> </w:t>
      </w:r>
      <w:r w:rsidRPr="00A5456B">
        <w:rPr>
          <w:b/>
          <w:sz w:val="22"/>
          <w:szCs w:val="22"/>
        </w:rPr>
        <w:t>bezpečnosti</w:t>
      </w:r>
    </w:p>
    <w:p w14:paraId="635EADB4" w14:textId="77777777" w:rsidR="006B2416" w:rsidRPr="00A1183C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423AADBA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1B007D">
        <w:rPr>
          <w:sz w:val="22"/>
          <w:szCs w:val="22"/>
        </w:rPr>
        <w:t xml:space="preserve">Predklinické údaje </w:t>
      </w:r>
      <w:r w:rsidR="00854CD3" w:rsidRPr="001B007D">
        <w:rPr>
          <w:sz w:val="22"/>
          <w:szCs w:val="22"/>
        </w:rPr>
        <w:t>s androgénmi vo všeobecnosti neodhalili žiadne nebezpečenstvá pre ľudí. Preukázalo sa, že použitie androgénov pri rôznych druhoch vedie k virilizácii vonkajších pohlavných orgánov plodov ženského pohlavia.</w:t>
      </w:r>
    </w:p>
    <w:p w14:paraId="6027A284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B929C02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277F4CE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  <w:r w:rsidRPr="000A0868">
        <w:rPr>
          <w:b/>
          <w:caps/>
          <w:sz w:val="22"/>
          <w:szCs w:val="22"/>
        </w:rPr>
        <w:t>6.</w:t>
      </w:r>
      <w:r w:rsidRPr="000A0868">
        <w:rPr>
          <w:b/>
          <w:caps/>
          <w:sz w:val="22"/>
          <w:szCs w:val="22"/>
        </w:rPr>
        <w:tab/>
        <w:t>Farmaceutické informácie</w:t>
      </w:r>
    </w:p>
    <w:p w14:paraId="7EF77B3E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b/>
          <w:sz w:val="22"/>
          <w:szCs w:val="22"/>
        </w:rPr>
      </w:pPr>
    </w:p>
    <w:p w14:paraId="773FF5D4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0A0868">
        <w:rPr>
          <w:b/>
          <w:sz w:val="22"/>
          <w:szCs w:val="22"/>
        </w:rPr>
        <w:t>6.1</w:t>
      </w:r>
      <w:r w:rsidRPr="000A0868">
        <w:rPr>
          <w:b/>
          <w:sz w:val="22"/>
          <w:szCs w:val="22"/>
        </w:rPr>
        <w:tab/>
        <w:t>Zoznam pomocných látok</w:t>
      </w:r>
    </w:p>
    <w:p w14:paraId="6BC6AD0A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3FE94F8B" w14:textId="0ABF257E" w:rsidR="00854CD3" w:rsidRPr="000A0868" w:rsidRDefault="005255C0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  <w:lang w:val="sk-SK"/>
        </w:rPr>
        <w:t>p</w:t>
      </w:r>
      <w:r w:rsidR="006B2416" w:rsidRPr="000A0868">
        <w:rPr>
          <w:sz w:val="22"/>
          <w:szCs w:val="22"/>
        </w:rPr>
        <w:t>odzemnicový olej</w:t>
      </w:r>
    </w:p>
    <w:p w14:paraId="749D6B86" w14:textId="620DFF21" w:rsidR="006B2416" w:rsidRPr="000A0868" w:rsidRDefault="005255C0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  <w:lang w:val="sk-SK"/>
        </w:rPr>
        <w:t>b</w:t>
      </w:r>
      <w:r w:rsidR="006B2416" w:rsidRPr="000A0868">
        <w:rPr>
          <w:sz w:val="22"/>
          <w:szCs w:val="22"/>
        </w:rPr>
        <w:t>enzylalkohol</w:t>
      </w:r>
    </w:p>
    <w:p w14:paraId="5632E053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8D4B8AD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0A0868">
        <w:rPr>
          <w:b/>
          <w:sz w:val="22"/>
          <w:szCs w:val="22"/>
        </w:rPr>
        <w:t>6.2</w:t>
      </w:r>
      <w:r w:rsidRPr="000A0868">
        <w:rPr>
          <w:b/>
          <w:sz w:val="22"/>
          <w:szCs w:val="22"/>
        </w:rPr>
        <w:tab/>
        <w:t>Inkompatibility</w:t>
      </w:r>
    </w:p>
    <w:p w14:paraId="13BDAD9A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6EB99E05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A0868">
        <w:rPr>
          <w:sz w:val="22"/>
          <w:szCs w:val="22"/>
        </w:rPr>
        <w:t>Neaplikovateľné.</w:t>
      </w:r>
    </w:p>
    <w:p w14:paraId="61F0250B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54CA0152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0A0868">
        <w:rPr>
          <w:b/>
          <w:sz w:val="22"/>
          <w:szCs w:val="22"/>
        </w:rPr>
        <w:t>6.3</w:t>
      </w:r>
      <w:r w:rsidRPr="000A0868">
        <w:rPr>
          <w:b/>
          <w:sz w:val="22"/>
          <w:szCs w:val="22"/>
        </w:rPr>
        <w:tab/>
        <w:t>Čas použiteľnosti</w:t>
      </w:r>
    </w:p>
    <w:p w14:paraId="64A176F6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215DA2D8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A0868">
        <w:rPr>
          <w:sz w:val="22"/>
          <w:szCs w:val="22"/>
        </w:rPr>
        <w:t>Čas použiteľnosti Sustanonu</w:t>
      </w:r>
      <w:r w:rsidR="0067282F" w:rsidRPr="000A0868">
        <w:rPr>
          <w:sz w:val="22"/>
          <w:szCs w:val="22"/>
        </w:rPr>
        <w:t> </w:t>
      </w:r>
      <w:r w:rsidRPr="000A0868">
        <w:rPr>
          <w:sz w:val="22"/>
          <w:szCs w:val="22"/>
        </w:rPr>
        <w:t xml:space="preserve">250 pri uvedených podmienkach uchovávania je </w:t>
      </w:r>
      <w:r w:rsidR="0067282F" w:rsidRPr="000A0868">
        <w:rPr>
          <w:sz w:val="22"/>
          <w:szCs w:val="22"/>
        </w:rPr>
        <w:t>3 </w:t>
      </w:r>
      <w:r w:rsidRPr="000A0868">
        <w:rPr>
          <w:sz w:val="22"/>
          <w:szCs w:val="22"/>
        </w:rPr>
        <w:t>rok</w:t>
      </w:r>
      <w:r w:rsidR="0067282F" w:rsidRPr="000A0868">
        <w:rPr>
          <w:sz w:val="22"/>
          <w:szCs w:val="22"/>
        </w:rPr>
        <w:t>y</w:t>
      </w:r>
      <w:r w:rsidRPr="000A0868">
        <w:rPr>
          <w:sz w:val="22"/>
          <w:szCs w:val="22"/>
        </w:rPr>
        <w:t>.</w:t>
      </w:r>
    </w:p>
    <w:p w14:paraId="203D0C64" w14:textId="77777777" w:rsidR="00E84984" w:rsidRPr="000A0868" w:rsidRDefault="00E84984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61111C96" w14:textId="77777777" w:rsidR="0067282F" w:rsidRPr="000A0868" w:rsidRDefault="00E84984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A0868">
        <w:rPr>
          <w:sz w:val="22"/>
          <w:szCs w:val="22"/>
        </w:rPr>
        <w:t>Keďže otvorenú ampulku nemožno opäť uzatvoriť takým spôsobom, aby sa aj naďalej mohla zaručiť sterilita obsahu</w:t>
      </w:r>
      <w:r w:rsidR="006C321C" w:rsidRPr="000A0868">
        <w:rPr>
          <w:sz w:val="22"/>
          <w:szCs w:val="22"/>
        </w:rPr>
        <w:t>, roztok sa má použiť okamžite.</w:t>
      </w:r>
    </w:p>
    <w:p w14:paraId="68829289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A0868">
        <w:rPr>
          <w:sz w:val="22"/>
          <w:szCs w:val="22"/>
        </w:rPr>
        <w:t>Sustanon</w:t>
      </w:r>
      <w:r w:rsidR="0067282F" w:rsidRPr="000A0868">
        <w:rPr>
          <w:sz w:val="22"/>
          <w:szCs w:val="22"/>
        </w:rPr>
        <w:t> </w:t>
      </w:r>
      <w:r w:rsidRPr="000A0868">
        <w:rPr>
          <w:sz w:val="22"/>
          <w:szCs w:val="22"/>
        </w:rPr>
        <w:t xml:space="preserve">250 </w:t>
      </w:r>
      <w:r w:rsidR="00854CD3" w:rsidRPr="000A0868">
        <w:rPr>
          <w:sz w:val="22"/>
          <w:szCs w:val="22"/>
        </w:rPr>
        <w:t xml:space="preserve">sa </w:t>
      </w:r>
      <w:r w:rsidRPr="000A0868">
        <w:rPr>
          <w:sz w:val="22"/>
          <w:szCs w:val="22"/>
        </w:rPr>
        <w:t>m</w:t>
      </w:r>
      <w:r w:rsidR="00854CD3" w:rsidRPr="000A0868">
        <w:rPr>
          <w:sz w:val="22"/>
          <w:szCs w:val="22"/>
        </w:rPr>
        <w:t>ôže</w:t>
      </w:r>
      <w:r w:rsidRPr="000A0868">
        <w:rPr>
          <w:sz w:val="22"/>
          <w:szCs w:val="22"/>
        </w:rPr>
        <w:t xml:space="preserve"> použ</w:t>
      </w:r>
      <w:r w:rsidR="00854CD3" w:rsidRPr="000A0868">
        <w:rPr>
          <w:sz w:val="22"/>
          <w:szCs w:val="22"/>
        </w:rPr>
        <w:t>ívať</w:t>
      </w:r>
      <w:r w:rsidRPr="000A0868">
        <w:rPr>
          <w:sz w:val="22"/>
          <w:szCs w:val="22"/>
        </w:rPr>
        <w:t xml:space="preserve"> do dátumu exspirácie, ktorý je uvedený na obale.</w:t>
      </w:r>
    </w:p>
    <w:p w14:paraId="743C8F1F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524B940B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0A0868">
        <w:rPr>
          <w:b/>
          <w:sz w:val="22"/>
          <w:szCs w:val="22"/>
        </w:rPr>
        <w:t>6.4</w:t>
      </w:r>
      <w:r w:rsidRPr="000A0868">
        <w:rPr>
          <w:b/>
          <w:sz w:val="22"/>
          <w:szCs w:val="22"/>
        </w:rPr>
        <w:tab/>
      </w:r>
      <w:r w:rsidRPr="001B007D">
        <w:rPr>
          <w:b/>
          <w:sz w:val="22"/>
          <w:szCs w:val="22"/>
        </w:rPr>
        <w:t>Špeciálne upozornenia na uchovávanie</w:t>
      </w:r>
    </w:p>
    <w:p w14:paraId="387B4689" w14:textId="77777777" w:rsidR="0080282C" w:rsidRPr="000A0868" w:rsidRDefault="0080282C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6C4DB5C2" w14:textId="4E018335" w:rsidR="00263CA4" w:rsidRPr="00F76B98" w:rsidRDefault="0080282C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A0868">
        <w:rPr>
          <w:sz w:val="22"/>
          <w:szCs w:val="22"/>
        </w:rPr>
        <w:t>Uchováva</w:t>
      </w:r>
      <w:r w:rsidR="00263CA4" w:rsidRPr="000A0868">
        <w:rPr>
          <w:sz w:val="22"/>
          <w:szCs w:val="22"/>
        </w:rPr>
        <w:t>jte</w:t>
      </w:r>
      <w:r w:rsidRPr="000A0868">
        <w:rPr>
          <w:sz w:val="22"/>
          <w:szCs w:val="22"/>
        </w:rPr>
        <w:t xml:space="preserve"> pri teplote </w:t>
      </w:r>
      <w:r w:rsidR="00970283" w:rsidRPr="000A0868">
        <w:rPr>
          <w:sz w:val="22"/>
          <w:szCs w:val="22"/>
        </w:rPr>
        <w:t xml:space="preserve">do </w:t>
      </w:r>
      <w:r w:rsidR="00854CD3" w:rsidRPr="000A0868">
        <w:rPr>
          <w:sz w:val="22"/>
          <w:szCs w:val="22"/>
        </w:rPr>
        <w:t>30</w:t>
      </w:r>
      <w:r w:rsidR="005D178B">
        <w:rPr>
          <w:sz w:val="22"/>
          <w:szCs w:val="22"/>
          <w:lang w:val="sk-SK"/>
        </w:rPr>
        <w:t> </w:t>
      </w:r>
      <w:r w:rsidRPr="000A0868">
        <w:rPr>
          <w:sz w:val="22"/>
          <w:szCs w:val="22"/>
        </w:rPr>
        <w:t>°C</w:t>
      </w:r>
      <w:r w:rsidR="00854CD3" w:rsidRPr="000A0868">
        <w:rPr>
          <w:sz w:val="22"/>
          <w:szCs w:val="22"/>
        </w:rPr>
        <w:t>,</w:t>
      </w:r>
      <w:r w:rsidR="00263CA4" w:rsidRPr="000A0868">
        <w:rPr>
          <w:sz w:val="22"/>
          <w:szCs w:val="22"/>
        </w:rPr>
        <w:t xml:space="preserve"> neuchovávajte v chladničke alebo mrazničke</w:t>
      </w:r>
      <w:r w:rsidRPr="000A0868">
        <w:rPr>
          <w:sz w:val="22"/>
          <w:szCs w:val="22"/>
        </w:rPr>
        <w:t>.</w:t>
      </w:r>
      <w:r w:rsidR="00854CD3" w:rsidRPr="000A0868">
        <w:rPr>
          <w:sz w:val="22"/>
          <w:szCs w:val="22"/>
        </w:rPr>
        <w:t xml:space="preserve"> </w:t>
      </w:r>
      <w:r w:rsidR="00263CA4" w:rsidRPr="000A0868">
        <w:rPr>
          <w:sz w:val="22"/>
          <w:szCs w:val="22"/>
        </w:rPr>
        <w:t>Uchovávajte v pôvodnom obale a obal</w:t>
      </w:r>
      <w:r w:rsidR="00263CA4" w:rsidRPr="00F76B98">
        <w:rPr>
          <w:sz w:val="22"/>
          <w:szCs w:val="22"/>
        </w:rPr>
        <w:t xml:space="preserve"> udržiavajte vo vonkajšej škatuli.</w:t>
      </w:r>
    </w:p>
    <w:p w14:paraId="7C42B1F5" w14:textId="77777777" w:rsidR="006B2416" w:rsidRPr="00CF1575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25B20628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CF1575">
        <w:rPr>
          <w:b/>
          <w:sz w:val="22"/>
          <w:szCs w:val="22"/>
        </w:rPr>
        <w:t>6.5</w:t>
      </w:r>
      <w:r w:rsidRPr="00CF1575">
        <w:rPr>
          <w:b/>
          <w:sz w:val="22"/>
          <w:szCs w:val="22"/>
        </w:rPr>
        <w:tab/>
      </w:r>
      <w:r w:rsidRPr="001B007D">
        <w:rPr>
          <w:b/>
          <w:sz w:val="22"/>
          <w:szCs w:val="22"/>
        </w:rPr>
        <w:t>Druh obalu a</w:t>
      </w:r>
      <w:r w:rsidR="00263CA4" w:rsidRPr="001B007D">
        <w:rPr>
          <w:b/>
          <w:sz w:val="22"/>
          <w:szCs w:val="22"/>
        </w:rPr>
        <w:t> </w:t>
      </w:r>
      <w:r w:rsidRPr="001B007D">
        <w:rPr>
          <w:b/>
          <w:sz w:val="22"/>
          <w:szCs w:val="22"/>
        </w:rPr>
        <w:t>obsah balenia</w:t>
      </w:r>
    </w:p>
    <w:p w14:paraId="39A2F3A4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3B699C84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A0868">
        <w:rPr>
          <w:sz w:val="22"/>
          <w:szCs w:val="22"/>
        </w:rPr>
        <w:t xml:space="preserve">Každá </w:t>
      </w:r>
      <w:r w:rsidR="00E84984" w:rsidRPr="000A0868">
        <w:rPr>
          <w:sz w:val="22"/>
          <w:szCs w:val="22"/>
        </w:rPr>
        <w:t xml:space="preserve">ampulka </w:t>
      </w:r>
      <w:r w:rsidR="00263CA4" w:rsidRPr="000A0868">
        <w:rPr>
          <w:sz w:val="22"/>
          <w:szCs w:val="22"/>
        </w:rPr>
        <w:t xml:space="preserve">z </w:t>
      </w:r>
      <w:r w:rsidR="00E84984" w:rsidRPr="000A0868">
        <w:rPr>
          <w:sz w:val="22"/>
          <w:szCs w:val="22"/>
        </w:rPr>
        <w:t xml:space="preserve">bezfarebného </w:t>
      </w:r>
      <w:r w:rsidR="00263CA4" w:rsidRPr="000A0868">
        <w:rPr>
          <w:sz w:val="22"/>
          <w:szCs w:val="22"/>
        </w:rPr>
        <w:t xml:space="preserve">skla </w:t>
      </w:r>
      <w:r w:rsidRPr="000A0868">
        <w:rPr>
          <w:sz w:val="22"/>
          <w:szCs w:val="22"/>
        </w:rPr>
        <w:t>je naplnená 1</w:t>
      </w:r>
      <w:r w:rsidR="00263CA4" w:rsidRPr="000A0868">
        <w:rPr>
          <w:sz w:val="22"/>
          <w:szCs w:val="22"/>
        </w:rPr>
        <w:t> </w:t>
      </w:r>
      <w:r w:rsidRPr="000A0868">
        <w:rPr>
          <w:sz w:val="22"/>
          <w:szCs w:val="22"/>
        </w:rPr>
        <w:t xml:space="preserve">ml </w:t>
      </w:r>
      <w:r w:rsidR="006B4C60" w:rsidRPr="000A0868">
        <w:rPr>
          <w:sz w:val="22"/>
          <w:szCs w:val="22"/>
        </w:rPr>
        <w:t xml:space="preserve">roztoku </w:t>
      </w:r>
      <w:r w:rsidRPr="000A0868">
        <w:rPr>
          <w:sz w:val="22"/>
          <w:szCs w:val="22"/>
        </w:rPr>
        <w:t>Sustanonu</w:t>
      </w:r>
      <w:r w:rsidR="00263CA4" w:rsidRPr="000A0868">
        <w:rPr>
          <w:sz w:val="22"/>
          <w:szCs w:val="22"/>
        </w:rPr>
        <w:t> </w:t>
      </w:r>
      <w:r w:rsidRPr="000A0868">
        <w:rPr>
          <w:sz w:val="22"/>
          <w:szCs w:val="22"/>
        </w:rPr>
        <w:t>250.</w:t>
      </w:r>
    </w:p>
    <w:p w14:paraId="5DA647CC" w14:textId="77777777" w:rsidR="00263CA4" w:rsidRPr="000A0868" w:rsidRDefault="00263CA4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4F1D40C3" w14:textId="77777777" w:rsidR="00263CA4" w:rsidRPr="000A0868" w:rsidRDefault="00263CA4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A0868">
        <w:rPr>
          <w:sz w:val="22"/>
          <w:szCs w:val="22"/>
        </w:rPr>
        <w:t>Škatuľa Sustanonu 250 obsahuje 1 </w:t>
      </w:r>
      <w:r w:rsidR="00E84984" w:rsidRPr="000A0868">
        <w:rPr>
          <w:sz w:val="22"/>
          <w:szCs w:val="22"/>
        </w:rPr>
        <w:t>ampulku</w:t>
      </w:r>
      <w:r w:rsidRPr="000A0868">
        <w:rPr>
          <w:sz w:val="22"/>
          <w:szCs w:val="22"/>
        </w:rPr>
        <w:t>.</w:t>
      </w:r>
    </w:p>
    <w:p w14:paraId="304A6902" w14:textId="77777777" w:rsidR="006B2416" w:rsidRPr="000A0868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1AB4858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b/>
          <w:sz w:val="22"/>
          <w:szCs w:val="22"/>
        </w:rPr>
      </w:pPr>
      <w:r w:rsidRPr="000A0868">
        <w:rPr>
          <w:b/>
          <w:sz w:val="22"/>
          <w:szCs w:val="22"/>
        </w:rPr>
        <w:t>6.6</w:t>
      </w:r>
      <w:r w:rsidRPr="000A0868">
        <w:rPr>
          <w:b/>
          <w:sz w:val="22"/>
          <w:szCs w:val="22"/>
        </w:rPr>
        <w:tab/>
      </w:r>
      <w:r w:rsidR="000F4BD7" w:rsidRPr="000A0868">
        <w:rPr>
          <w:b/>
          <w:sz w:val="22"/>
          <w:szCs w:val="22"/>
        </w:rPr>
        <w:t>Špeciálne opatrenia na likvidáciu</w:t>
      </w:r>
      <w:r w:rsidR="00854CD3" w:rsidRPr="000A0868">
        <w:rPr>
          <w:b/>
          <w:sz w:val="22"/>
          <w:szCs w:val="22"/>
        </w:rPr>
        <w:t xml:space="preserve"> a iné zaobchádzanie s</w:t>
      </w:r>
      <w:r w:rsidR="00E84984" w:rsidRPr="000A0868">
        <w:rPr>
          <w:b/>
          <w:sz w:val="22"/>
          <w:szCs w:val="22"/>
        </w:rPr>
        <w:t> </w:t>
      </w:r>
      <w:r w:rsidR="00854CD3" w:rsidRPr="000A0868">
        <w:rPr>
          <w:b/>
          <w:sz w:val="22"/>
          <w:szCs w:val="22"/>
        </w:rPr>
        <w:t>liekom</w:t>
      </w:r>
    </w:p>
    <w:p w14:paraId="130330E9" w14:textId="77777777" w:rsidR="006B2416" w:rsidRPr="000A0868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sz w:val="22"/>
          <w:szCs w:val="22"/>
        </w:rPr>
      </w:pPr>
    </w:p>
    <w:p w14:paraId="7C78256B" w14:textId="127BEA25" w:rsidR="006B2416" w:rsidRPr="001B007D" w:rsidRDefault="005D178B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  <w:lang w:val="sk-SK"/>
        </w:rPr>
        <w:t>Všetok n</w:t>
      </w:r>
      <w:r w:rsidR="006B2416" w:rsidRPr="001B007D">
        <w:rPr>
          <w:sz w:val="22"/>
          <w:szCs w:val="22"/>
        </w:rPr>
        <w:t>epoužitý liek alebo odpad vzniknutý z lieku</w:t>
      </w:r>
      <w:r>
        <w:rPr>
          <w:sz w:val="22"/>
          <w:szCs w:val="22"/>
          <w:lang w:val="sk-SK"/>
        </w:rPr>
        <w:t xml:space="preserve"> sa má zlikvidovať v súlade s národnými požiadavkami</w:t>
      </w:r>
      <w:r w:rsidR="006B2416" w:rsidRPr="001B007D">
        <w:rPr>
          <w:sz w:val="22"/>
          <w:szCs w:val="22"/>
        </w:rPr>
        <w:t>.</w:t>
      </w:r>
    </w:p>
    <w:p w14:paraId="284084B7" w14:textId="77777777" w:rsidR="000F4BD7" w:rsidRPr="000A0868" w:rsidRDefault="000F4BD7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4E302A49" w14:textId="77777777" w:rsidR="006B2416" w:rsidRPr="00D937E2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  <w:r w:rsidRPr="000A0868">
        <w:rPr>
          <w:sz w:val="22"/>
          <w:szCs w:val="22"/>
        </w:rPr>
        <w:t>Pozri</w:t>
      </w:r>
      <w:r w:rsidR="000F4BD7" w:rsidRPr="000A0868">
        <w:rPr>
          <w:sz w:val="22"/>
          <w:szCs w:val="22"/>
        </w:rPr>
        <w:t xml:space="preserve"> tiež</w:t>
      </w:r>
      <w:r w:rsidRPr="000A0868">
        <w:rPr>
          <w:sz w:val="22"/>
          <w:szCs w:val="22"/>
        </w:rPr>
        <w:t xml:space="preserve"> </w:t>
      </w:r>
      <w:r w:rsidR="000F4BD7" w:rsidRPr="000A0868">
        <w:rPr>
          <w:sz w:val="22"/>
          <w:szCs w:val="22"/>
        </w:rPr>
        <w:t>„</w:t>
      </w:r>
      <w:r w:rsidRPr="000A0868">
        <w:rPr>
          <w:sz w:val="22"/>
          <w:szCs w:val="22"/>
        </w:rPr>
        <w:t>Špeciálne upozornenia na uchovávanie</w:t>
      </w:r>
      <w:r w:rsidR="000F4BD7" w:rsidRPr="000A0868">
        <w:rPr>
          <w:sz w:val="22"/>
          <w:szCs w:val="22"/>
        </w:rPr>
        <w:t>“</w:t>
      </w:r>
      <w:r w:rsidRPr="000A0868">
        <w:rPr>
          <w:sz w:val="22"/>
          <w:szCs w:val="22"/>
        </w:rPr>
        <w:t xml:space="preserve"> a</w:t>
      </w:r>
      <w:r w:rsidR="000F4BD7" w:rsidRPr="000A0868">
        <w:rPr>
          <w:sz w:val="22"/>
          <w:szCs w:val="22"/>
        </w:rPr>
        <w:t> „</w:t>
      </w:r>
      <w:r w:rsidRPr="000A0868">
        <w:rPr>
          <w:sz w:val="22"/>
          <w:szCs w:val="22"/>
        </w:rPr>
        <w:t>Dávkovanie a spôsob podávania</w:t>
      </w:r>
      <w:r w:rsidR="000F4BD7" w:rsidRPr="00D937E2">
        <w:rPr>
          <w:sz w:val="22"/>
          <w:szCs w:val="22"/>
        </w:rPr>
        <w:t>“</w:t>
      </w:r>
      <w:r w:rsidRPr="00D937E2">
        <w:rPr>
          <w:sz w:val="22"/>
          <w:szCs w:val="22"/>
        </w:rPr>
        <w:t>.</w:t>
      </w:r>
    </w:p>
    <w:p w14:paraId="28D30923" w14:textId="77777777" w:rsidR="006B2416" w:rsidRPr="007877A0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43125CA8" w14:textId="77777777" w:rsidR="006B2416" w:rsidRPr="007877A0" w:rsidRDefault="006B2416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27963D0" w14:textId="77777777" w:rsidR="006B2416" w:rsidRPr="008E1F73" w:rsidRDefault="006B2416" w:rsidP="009234FB">
      <w:pPr>
        <w:pStyle w:val="Zkladntext2"/>
        <w:keepNext/>
        <w:keepLines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  <w:r w:rsidRPr="008E1F73">
        <w:rPr>
          <w:b/>
          <w:caps/>
          <w:sz w:val="22"/>
          <w:szCs w:val="22"/>
        </w:rPr>
        <w:t>7.</w:t>
      </w:r>
      <w:r w:rsidRPr="008E1F73">
        <w:rPr>
          <w:b/>
          <w:caps/>
          <w:sz w:val="22"/>
          <w:szCs w:val="22"/>
        </w:rPr>
        <w:tab/>
        <w:t>Držiteľ rozhodnutia o registrácii</w:t>
      </w:r>
    </w:p>
    <w:p w14:paraId="75F6E0AD" w14:textId="77777777" w:rsidR="006B2416" w:rsidRPr="00407D89" w:rsidRDefault="006B2416" w:rsidP="009234FB">
      <w:pPr>
        <w:pStyle w:val="Zkladntext2"/>
        <w:keepNext/>
        <w:keepLines/>
        <w:numPr>
          <w:ilvl w:val="12"/>
          <w:numId w:val="0"/>
        </w:numPr>
        <w:jc w:val="left"/>
        <w:rPr>
          <w:sz w:val="22"/>
          <w:szCs w:val="22"/>
        </w:rPr>
      </w:pPr>
    </w:p>
    <w:p w14:paraId="1B163CF1" w14:textId="77777777" w:rsidR="00CE313A" w:rsidRPr="00407D89" w:rsidRDefault="00CE313A" w:rsidP="00CE313A">
      <w:pPr>
        <w:pStyle w:val="Zkladntext2"/>
        <w:keepNext/>
        <w:keepLines/>
        <w:numPr>
          <w:ilvl w:val="12"/>
          <w:numId w:val="0"/>
        </w:numPr>
        <w:rPr>
          <w:sz w:val="22"/>
          <w:szCs w:val="22"/>
        </w:rPr>
      </w:pPr>
      <w:r w:rsidRPr="00407D89">
        <w:rPr>
          <w:sz w:val="22"/>
          <w:szCs w:val="22"/>
        </w:rPr>
        <w:t>Aspen Pharma Trading Limited</w:t>
      </w:r>
    </w:p>
    <w:p w14:paraId="3F2CB933" w14:textId="77777777" w:rsidR="00CE313A" w:rsidRPr="000D616A" w:rsidRDefault="00CE313A" w:rsidP="00CE313A">
      <w:pPr>
        <w:pStyle w:val="Zkladntext2"/>
        <w:keepNext/>
        <w:keepLines/>
        <w:numPr>
          <w:ilvl w:val="12"/>
          <w:numId w:val="0"/>
        </w:numPr>
        <w:rPr>
          <w:sz w:val="22"/>
          <w:szCs w:val="22"/>
        </w:rPr>
      </w:pPr>
      <w:r w:rsidRPr="000D616A">
        <w:rPr>
          <w:sz w:val="22"/>
          <w:szCs w:val="22"/>
        </w:rPr>
        <w:t>3016 Lake Drive</w:t>
      </w:r>
    </w:p>
    <w:p w14:paraId="31C9B697" w14:textId="77777777" w:rsidR="00CE313A" w:rsidRPr="000D616A" w:rsidRDefault="00CE313A" w:rsidP="00CE313A">
      <w:pPr>
        <w:pStyle w:val="Zkladntext2"/>
        <w:keepNext/>
        <w:keepLines/>
        <w:numPr>
          <w:ilvl w:val="12"/>
          <w:numId w:val="0"/>
        </w:numPr>
        <w:rPr>
          <w:sz w:val="22"/>
          <w:szCs w:val="22"/>
        </w:rPr>
      </w:pPr>
      <w:r w:rsidRPr="000D616A">
        <w:rPr>
          <w:sz w:val="22"/>
          <w:szCs w:val="22"/>
        </w:rPr>
        <w:t>Citywest Business Campus</w:t>
      </w:r>
    </w:p>
    <w:p w14:paraId="226E8943" w14:textId="77777777" w:rsidR="00CE313A" w:rsidRPr="00A1183C" w:rsidRDefault="00CE313A" w:rsidP="00CE313A">
      <w:pPr>
        <w:pStyle w:val="Zkladntext2"/>
        <w:keepNext/>
        <w:keepLines/>
        <w:numPr>
          <w:ilvl w:val="12"/>
          <w:numId w:val="0"/>
        </w:numPr>
        <w:rPr>
          <w:sz w:val="22"/>
          <w:szCs w:val="22"/>
        </w:rPr>
      </w:pPr>
      <w:r w:rsidRPr="00A1183C">
        <w:rPr>
          <w:sz w:val="22"/>
          <w:szCs w:val="22"/>
        </w:rPr>
        <w:t>Dublin 24</w:t>
      </w:r>
    </w:p>
    <w:p w14:paraId="059490FB" w14:textId="77777777" w:rsidR="006B2416" w:rsidRPr="00C80F6F" w:rsidRDefault="00CE313A" w:rsidP="009234FB">
      <w:pPr>
        <w:pStyle w:val="Zkladntext2"/>
        <w:keepNext/>
        <w:keepLines/>
        <w:numPr>
          <w:ilvl w:val="12"/>
          <w:numId w:val="0"/>
        </w:numPr>
        <w:jc w:val="left"/>
        <w:rPr>
          <w:sz w:val="22"/>
          <w:szCs w:val="22"/>
        </w:rPr>
      </w:pPr>
      <w:r w:rsidRPr="00A1183C">
        <w:rPr>
          <w:sz w:val="22"/>
          <w:szCs w:val="22"/>
        </w:rPr>
        <w:t>Írsko</w:t>
      </w:r>
    </w:p>
    <w:p w14:paraId="2F8AA528" w14:textId="77777777" w:rsidR="006B2416" w:rsidRDefault="006B2416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  <w:lang w:val="sk-SK"/>
        </w:rPr>
      </w:pPr>
    </w:p>
    <w:p w14:paraId="080774BC" w14:textId="77777777" w:rsidR="00BC45AB" w:rsidRPr="008C058B" w:rsidRDefault="00BC45AB" w:rsidP="005324F6">
      <w:pPr>
        <w:pStyle w:val="Zkladntext2"/>
        <w:numPr>
          <w:ilvl w:val="12"/>
          <w:numId w:val="0"/>
        </w:numPr>
        <w:jc w:val="left"/>
        <w:rPr>
          <w:sz w:val="22"/>
          <w:szCs w:val="22"/>
          <w:lang w:val="sk-SK"/>
        </w:rPr>
      </w:pPr>
    </w:p>
    <w:p w14:paraId="74EEBD4E" w14:textId="77777777" w:rsidR="006B2416" w:rsidRPr="009324A9" w:rsidRDefault="006B2416" w:rsidP="005324F6">
      <w:pPr>
        <w:pStyle w:val="Zkladntext2"/>
        <w:keepNext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  <w:r w:rsidRPr="009324A9">
        <w:rPr>
          <w:b/>
          <w:caps/>
          <w:sz w:val="22"/>
          <w:szCs w:val="22"/>
        </w:rPr>
        <w:t>8.</w:t>
      </w:r>
      <w:r w:rsidRPr="009324A9">
        <w:rPr>
          <w:b/>
          <w:caps/>
          <w:sz w:val="22"/>
          <w:szCs w:val="22"/>
        </w:rPr>
        <w:tab/>
        <w:t>Registračné číslo</w:t>
      </w:r>
    </w:p>
    <w:p w14:paraId="05E14802" w14:textId="77777777" w:rsidR="006B2416" w:rsidRPr="009324A9" w:rsidRDefault="006B2416" w:rsidP="005A7871">
      <w:pPr>
        <w:pStyle w:val="Zkladntext2"/>
        <w:keepNext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2E943325" w14:textId="36D255D3" w:rsidR="006B2416" w:rsidRPr="00D901C1" w:rsidRDefault="006B2416" w:rsidP="00783F13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  <w:r w:rsidRPr="00D901C1">
        <w:rPr>
          <w:bCs/>
          <w:sz w:val="22"/>
          <w:szCs w:val="22"/>
        </w:rPr>
        <w:t>56/0357/91-CS</w:t>
      </w:r>
    </w:p>
    <w:p w14:paraId="067AD1AF" w14:textId="77777777" w:rsidR="006B2416" w:rsidRPr="00D901C1" w:rsidRDefault="006B2416" w:rsidP="000236E8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30CAE5BD" w14:textId="77777777" w:rsidR="006B2416" w:rsidRPr="00D901C1" w:rsidRDefault="006B2416" w:rsidP="001F1285">
      <w:pPr>
        <w:pStyle w:val="Zkladntext2"/>
        <w:numPr>
          <w:ilvl w:val="12"/>
          <w:numId w:val="0"/>
        </w:numPr>
        <w:jc w:val="left"/>
        <w:rPr>
          <w:sz w:val="22"/>
          <w:szCs w:val="22"/>
        </w:rPr>
      </w:pPr>
    </w:p>
    <w:p w14:paraId="72DC6238" w14:textId="77777777" w:rsidR="006B2416" w:rsidRPr="00E3515E" w:rsidRDefault="006B2416" w:rsidP="00042AC1">
      <w:pPr>
        <w:pStyle w:val="Zkladntext2"/>
        <w:keepNext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  <w:r w:rsidRPr="00D901C1">
        <w:rPr>
          <w:b/>
          <w:caps/>
          <w:sz w:val="22"/>
          <w:szCs w:val="22"/>
        </w:rPr>
        <w:t>9.</w:t>
      </w:r>
      <w:r w:rsidRPr="00D901C1">
        <w:rPr>
          <w:b/>
          <w:caps/>
          <w:sz w:val="22"/>
          <w:szCs w:val="22"/>
        </w:rPr>
        <w:tab/>
        <w:t xml:space="preserve">Dátum </w:t>
      </w:r>
      <w:r w:rsidR="000F4BD7" w:rsidRPr="00D901C1">
        <w:rPr>
          <w:b/>
          <w:caps/>
          <w:sz w:val="22"/>
          <w:szCs w:val="22"/>
        </w:rPr>
        <w:t xml:space="preserve">PRVEJ </w:t>
      </w:r>
      <w:r w:rsidRPr="00E3515E">
        <w:rPr>
          <w:b/>
          <w:caps/>
          <w:sz w:val="22"/>
          <w:szCs w:val="22"/>
        </w:rPr>
        <w:t>registrácie</w:t>
      </w:r>
      <w:r w:rsidR="0095021A" w:rsidRPr="00E3515E">
        <w:rPr>
          <w:b/>
          <w:caps/>
          <w:sz w:val="22"/>
          <w:szCs w:val="22"/>
        </w:rPr>
        <w:t>/PREDĹŽENIA REGISTRÁCIE</w:t>
      </w:r>
    </w:p>
    <w:p w14:paraId="0BB0E107" w14:textId="77777777" w:rsidR="006B2416" w:rsidRPr="00DC1CD9" w:rsidRDefault="006B2416" w:rsidP="00CE313A">
      <w:pPr>
        <w:pStyle w:val="Zkladntext2"/>
        <w:keepNext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1BB58590" w14:textId="3E3344F6" w:rsidR="00E25608" w:rsidRPr="00484E2F" w:rsidRDefault="00E25608" w:rsidP="00512D96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  <w:r w:rsidRPr="003356F5">
        <w:rPr>
          <w:bCs/>
          <w:sz w:val="22"/>
          <w:szCs w:val="22"/>
        </w:rPr>
        <w:t xml:space="preserve">Dátum prvej registrácie: </w:t>
      </w:r>
      <w:r w:rsidR="006B2416" w:rsidRPr="003356F5">
        <w:rPr>
          <w:bCs/>
          <w:sz w:val="22"/>
          <w:szCs w:val="22"/>
        </w:rPr>
        <w:t>3.</w:t>
      </w:r>
      <w:r w:rsidR="0046264B" w:rsidRPr="003356F5">
        <w:rPr>
          <w:bCs/>
          <w:sz w:val="22"/>
          <w:szCs w:val="22"/>
        </w:rPr>
        <w:t xml:space="preserve"> decembr</w:t>
      </w:r>
      <w:r w:rsidR="005D178B">
        <w:rPr>
          <w:bCs/>
          <w:sz w:val="22"/>
          <w:szCs w:val="22"/>
          <w:lang w:val="sk-SK"/>
        </w:rPr>
        <w:t>a</w:t>
      </w:r>
      <w:r w:rsidR="0046264B" w:rsidRPr="003356F5">
        <w:rPr>
          <w:bCs/>
          <w:sz w:val="22"/>
          <w:szCs w:val="22"/>
        </w:rPr>
        <w:t xml:space="preserve"> </w:t>
      </w:r>
      <w:r w:rsidR="006B2416" w:rsidRPr="00484E2F">
        <w:rPr>
          <w:bCs/>
          <w:sz w:val="22"/>
          <w:szCs w:val="22"/>
        </w:rPr>
        <w:t>1991</w:t>
      </w:r>
    </w:p>
    <w:p w14:paraId="1DD1ABBF" w14:textId="48DC80C3" w:rsidR="006B2416" w:rsidRPr="00484E2F" w:rsidRDefault="00E25608" w:rsidP="00512D96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  <w:r w:rsidRPr="00484E2F">
        <w:rPr>
          <w:bCs/>
          <w:sz w:val="22"/>
          <w:szCs w:val="22"/>
        </w:rPr>
        <w:t>Dátum posledného predĺženia</w:t>
      </w:r>
      <w:r w:rsidR="005D178B">
        <w:rPr>
          <w:bCs/>
          <w:sz w:val="22"/>
          <w:szCs w:val="22"/>
          <w:lang w:val="sk-SK"/>
        </w:rPr>
        <w:t xml:space="preserve"> registrácie</w:t>
      </w:r>
      <w:r w:rsidRPr="00484E2F">
        <w:rPr>
          <w:bCs/>
          <w:sz w:val="22"/>
          <w:szCs w:val="22"/>
        </w:rPr>
        <w:t xml:space="preserve">: 13. </w:t>
      </w:r>
      <w:r w:rsidR="005D178B">
        <w:rPr>
          <w:bCs/>
          <w:sz w:val="22"/>
          <w:szCs w:val="22"/>
          <w:lang w:val="sk-SK"/>
        </w:rPr>
        <w:t>n</w:t>
      </w:r>
      <w:r w:rsidRPr="00484E2F">
        <w:rPr>
          <w:bCs/>
          <w:sz w:val="22"/>
          <w:szCs w:val="22"/>
        </w:rPr>
        <w:t>ovembr</w:t>
      </w:r>
      <w:r w:rsidR="005D178B">
        <w:rPr>
          <w:bCs/>
          <w:sz w:val="22"/>
          <w:szCs w:val="22"/>
          <w:lang w:val="sk-SK"/>
        </w:rPr>
        <w:t>a</w:t>
      </w:r>
      <w:r w:rsidRPr="00484E2F">
        <w:rPr>
          <w:bCs/>
          <w:sz w:val="22"/>
          <w:szCs w:val="22"/>
        </w:rPr>
        <w:t xml:space="preserve"> 2007</w:t>
      </w:r>
    </w:p>
    <w:p w14:paraId="0FB68E57" w14:textId="77777777" w:rsidR="006B2416" w:rsidRPr="00A529AF" w:rsidRDefault="006B2416" w:rsidP="009234FB">
      <w:pPr>
        <w:pStyle w:val="Zkladntext2"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</w:p>
    <w:p w14:paraId="697F4BD0" w14:textId="77777777" w:rsidR="006B2416" w:rsidRPr="00A529AF" w:rsidRDefault="006B2416" w:rsidP="009234FB">
      <w:pPr>
        <w:pStyle w:val="Zkladntext2"/>
        <w:numPr>
          <w:ilvl w:val="12"/>
          <w:numId w:val="0"/>
        </w:numPr>
        <w:jc w:val="left"/>
        <w:rPr>
          <w:b/>
          <w:caps/>
          <w:sz w:val="22"/>
          <w:szCs w:val="22"/>
        </w:rPr>
      </w:pPr>
    </w:p>
    <w:p w14:paraId="538C4AD8" w14:textId="77777777" w:rsidR="006B2416" w:rsidRPr="00A529AF" w:rsidRDefault="006B2416" w:rsidP="009234FB">
      <w:pPr>
        <w:pStyle w:val="Zkladntext2"/>
        <w:keepNext/>
        <w:numPr>
          <w:ilvl w:val="12"/>
          <w:numId w:val="0"/>
        </w:numPr>
        <w:jc w:val="left"/>
        <w:rPr>
          <w:caps/>
          <w:sz w:val="22"/>
          <w:szCs w:val="22"/>
        </w:rPr>
      </w:pPr>
      <w:r w:rsidRPr="00A529AF">
        <w:rPr>
          <w:b/>
          <w:caps/>
          <w:sz w:val="22"/>
          <w:szCs w:val="22"/>
        </w:rPr>
        <w:t>10.</w:t>
      </w:r>
      <w:r w:rsidRPr="00A529AF">
        <w:rPr>
          <w:b/>
          <w:caps/>
          <w:sz w:val="22"/>
          <w:szCs w:val="22"/>
        </w:rPr>
        <w:tab/>
        <w:t>Dátum revízie textu</w:t>
      </w:r>
    </w:p>
    <w:p w14:paraId="482029F8" w14:textId="77777777" w:rsidR="006B2416" w:rsidRPr="00A529AF" w:rsidRDefault="006B2416" w:rsidP="00EC03CD">
      <w:pPr>
        <w:pStyle w:val="Zkladntext2"/>
        <w:numPr>
          <w:ilvl w:val="12"/>
          <w:numId w:val="0"/>
        </w:numPr>
        <w:jc w:val="left"/>
        <w:rPr>
          <w:bCs/>
          <w:sz w:val="22"/>
          <w:szCs w:val="22"/>
        </w:rPr>
      </w:pPr>
    </w:p>
    <w:p w14:paraId="14F6DF58" w14:textId="4E449381" w:rsidR="00BB1C37" w:rsidRPr="008C058B" w:rsidRDefault="006F1717" w:rsidP="009234FB">
      <w:pPr>
        <w:pStyle w:val="Zkladntext2"/>
        <w:numPr>
          <w:ilvl w:val="12"/>
          <w:numId w:val="0"/>
        </w:numPr>
        <w:jc w:val="left"/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04/2019</w:t>
      </w:r>
    </w:p>
    <w:sectPr w:rsidR="00BB1C37" w:rsidRPr="008C058B" w:rsidSect="00F365E2">
      <w:headerReference w:type="default" r:id="rId12"/>
      <w:footerReference w:type="even" r:id="rId13"/>
      <w:footerReference w:type="default" r:id="rId14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E2FB0C" w15:done="0"/>
  <w15:commentEx w15:paraId="67C5F185" w15:paraIdParent="5DE2FB0C" w15:done="0"/>
  <w15:commentEx w15:paraId="42FCE3D1" w15:done="0"/>
  <w15:commentEx w15:paraId="2F81049D" w15:paraIdParent="42FCE3D1" w15:done="0"/>
  <w15:commentEx w15:paraId="3D7DE8B2" w15:done="0"/>
  <w15:commentEx w15:paraId="0A56E664" w15:paraIdParent="3D7DE8B2" w15:done="0"/>
  <w15:commentEx w15:paraId="2254CECE" w15:done="0"/>
  <w15:commentEx w15:paraId="2A8E7C05" w15:paraIdParent="2254CECE" w15:done="0"/>
  <w15:commentEx w15:paraId="373894B9" w15:paraIdParent="2254CECE" w15:done="0"/>
  <w15:commentEx w15:paraId="10AE4C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6DE27" w14:textId="77777777" w:rsidR="000D30BB" w:rsidRDefault="000D30BB">
      <w:r>
        <w:separator/>
      </w:r>
    </w:p>
  </w:endnote>
  <w:endnote w:type="continuationSeparator" w:id="0">
    <w:p w14:paraId="4E724A4C" w14:textId="77777777" w:rsidR="000D30BB" w:rsidRDefault="000D30BB">
      <w:r>
        <w:continuationSeparator/>
      </w:r>
    </w:p>
  </w:endnote>
  <w:endnote w:type="continuationNotice" w:id="1">
    <w:p w14:paraId="3C6658C8" w14:textId="77777777" w:rsidR="000D30BB" w:rsidRDefault="000D3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5AFB3" w14:textId="77777777" w:rsidR="0059174C" w:rsidRDefault="0059174C" w:rsidP="00F365E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EE238E5" w14:textId="77777777" w:rsidR="0059174C" w:rsidRDefault="0059174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206B" w14:textId="192A76CB" w:rsidR="0059174C" w:rsidRPr="009234FB" w:rsidRDefault="0059174C" w:rsidP="005324F6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9234FB">
      <w:rPr>
        <w:rStyle w:val="slostrany"/>
        <w:rFonts w:ascii="Times New Roman" w:hAnsi="Times New Roman"/>
        <w:sz w:val="18"/>
        <w:szCs w:val="18"/>
      </w:rPr>
      <w:fldChar w:fldCharType="begin"/>
    </w:r>
    <w:r w:rsidRPr="009234F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234FB">
      <w:rPr>
        <w:rStyle w:val="slostrany"/>
        <w:rFonts w:ascii="Times New Roman" w:hAnsi="Times New Roman"/>
        <w:sz w:val="18"/>
        <w:szCs w:val="18"/>
      </w:rPr>
      <w:fldChar w:fldCharType="separate"/>
    </w:r>
    <w:r w:rsidR="008C058B">
      <w:rPr>
        <w:rStyle w:val="slostrany"/>
        <w:rFonts w:ascii="Times New Roman" w:hAnsi="Times New Roman"/>
        <w:noProof/>
        <w:sz w:val="18"/>
        <w:szCs w:val="18"/>
      </w:rPr>
      <w:t>4</w:t>
    </w:r>
    <w:r w:rsidRPr="009234FB">
      <w:rPr>
        <w:rStyle w:val="slostrany"/>
        <w:rFonts w:ascii="Times New Roman" w:hAnsi="Times New Roman"/>
        <w:sz w:val="18"/>
        <w:szCs w:val="18"/>
      </w:rPr>
      <w:fldChar w:fldCharType="end"/>
    </w:r>
  </w:p>
  <w:p w14:paraId="6BC1A7F2" w14:textId="77777777" w:rsidR="0059174C" w:rsidRDefault="0059174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CEA0F" w14:textId="77777777" w:rsidR="000D30BB" w:rsidRDefault="000D30BB">
      <w:r>
        <w:separator/>
      </w:r>
    </w:p>
  </w:footnote>
  <w:footnote w:type="continuationSeparator" w:id="0">
    <w:p w14:paraId="6C5DA0AE" w14:textId="77777777" w:rsidR="000D30BB" w:rsidRDefault="000D30BB">
      <w:r>
        <w:continuationSeparator/>
      </w:r>
    </w:p>
  </w:footnote>
  <w:footnote w:type="continuationNotice" w:id="1">
    <w:p w14:paraId="54DDF3A4" w14:textId="77777777" w:rsidR="000D30BB" w:rsidRDefault="000D30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D5C80" w14:textId="22BC6856" w:rsidR="00014C73" w:rsidRPr="008C058B" w:rsidRDefault="00014C73">
    <w:pPr>
      <w:pStyle w:val="Hlavika"/>
      <w:rPr>
        <w:rFonts w:ascii="Times New Roman" w:hAnsi="Times New Roman"/>
        <w:sz w:val="18"/>
        <w:szCs w:val="18"/>
      </w:rPr>
    </w:pPr>
    <w:r w:rsidRPr="008C058B">
      <w:rPr>
        <w:rFonts w:ascii="Times New Roman" w:hAnsi="Times New Roman"/>
        <w:sz w:val="18"/>
        <w:szCs w:val="18"/>
      </w:rPr>
      <w:t>Schválený text k rozhodnutiu o zmene, ev. č.: 2017/04024-ZME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8667E2"/>
    <w:lvl w:ilvl="0">
      <w:numFmt w:val="decimal"/>
      <w:lvlText w:val="*"/>
      <w:lvlJc w:val="left"/>
    </w:lvl>
  </w:abstractNum>
  <w:abstractNum w:abstractNumId="1">
    <w:nsid w:val="10C63950"/>
    <w:multiLevelType w:val="hybridMultilevel"/>
    <w:tmpl w:val="F9F499D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4F7385"/>
    <w:multiLevelType w:val="hybridMultilevel"/>
    <w:tmpl w:val="D62CDC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637F29"/>
    <w:multiLevelType w:val="hybridMultilevel"/>
    <w:tmpl w:val="A6488E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E10D48"/>
    <w:multiLevelType w:val="hybridMultilevel"/>
    <w:tmpl w:val="8FF2D91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085A6E"/>
    <w:multiLevelType w:val="hybridMultilevel"/>
    <w:tmpl w:val="E530FF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61C0D"/>
    <w:multiLevelType w:val="hybridMultilevel"/>
    <w:tmpl w:val="8490F3A6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96344C4"/>
    <w:multiLevelType w:val="multilevel"/>
    <w:tmpl w:val="910ADA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1884366"/>
    <w:multiLevelType w:val="hybridMultilevel"/>
    <w:tmpl w:val="A93275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8062A7"/>
    <w:multiLevelType w:val="hybridMultilevel"/>
    <w:tmpl w:val="D70A1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D7601"/>
    <w:multiLevelType w:val="hybridMultilevel"/>
    <w:tmpl w:val="D06EBA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7E76C2"/>
    <w:multiLevelType w:val="hybridMultilevel"/>
    <w:tmpl w:val="8EB8981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jana Nehhozina">
    <w15:presenceInfo w15:providerId="AD" w15:userId="S-1-5-21-435510443-2808960289-1678710667-87154"/>
  </w15:person>
  <w15:person w15:author="Daniela DiCosmo">
    <w15:presenceInfo w15:providerId="AD" w15:userId="S-1-5-21-435510443-2808960289-1678710667-97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16"/>
    <w:rsid w:val="00011803"/>
    <w:rsid w:val="00014C73"/>
    <w:rsid w:val="000236E8"/>
    <w:rsid w:val="0002562E"/>
    <w:rsid w:val="00030DD8"/>
    <w:rsid w:val="00037010"/>
    <w:rsid w:val="00040128"/>
    <w:rsid w:val="00042AC1"/>
    <w:rsid w:val="00043F19"/>
    <w:rsid w:val="0005037A"/>
    <w:rsid w:val="00061800"/>
    <w:rsid w:val="00066833"/>
    <w:rsid w:val="0007786F"/>
    <w:rsid w:val="00082AB3"/>
    <w:rsid w:val="000839D9"/>
    <w:rsid w:val="000947F0"/>
    <w:rsid w:val="000A0868"/>
    <w:rsid w:val="000A241C"/>
    <w:rsid w:val="000B47FC"/>
    <w:rsid w:val="000B605E"/>
    <w:rsid w:val="000D30BB"/>
    <w:rsid w:val="000D616A"/>
    <w:rsid w:val="000D686D"/>
    <w:rsid w:val="000E314E"/>
    <w:rsid w:val="000F3088"/>
    <w:rsid w:val="000F3462"/>
    <w:rsid w:val="000F4BD7"/>
    <w:rsid w:val="00100349"/>
    <w:rsid w:val="00104022"/>
    <w:rsid w:val="001176FF"/>
    <w:rsid w:val="00124074"/>
    <w:rsid w:val="00135801"/>
    <w:rsid w:val="001402B4"/>
    <w:rsid w:val="001425BF"/>
    <w:rsid w:val="00164374"/>
    <w:rsid w:val="001677E1"/>
    <w:rsid w:val="001724AA"/>
    <w:rsid w:val="001726A4"/>
    <w:rsid w:val="001765E9"/>
    <w:rsid w:val="00180FA1"/>
    <w:rsid w:val="00182BA3"/>
    <w:rsid w:val="00187E17"/>
    <w:rsid w:val="00190CF4"/>
    <w:rsid w:val="00190F55"/>
    <w:rsid w:val="001A0D14"/>
    <w:rsid w:val="001A23EE"/>
    <w:rsid w:val="001A63D8"/>
    <w:rsid w:val="001B007D"/>
    <w:rsid w:val="001B09FB"/>
    <w:rsid w:val="001B2C05"/>
    <w:rsid w:val="001B5535"/>
    <w:rsid w:val="001C7685"/>
    <w:rsid w:val="001D1113"/>
    <w:rsid w:val="001E2C0B"/>
    <w:rsid w:val="001F1285"/>
    <w:rsid w:val="001F2F6B"/>
    <w:rsid w:val="001F4C9C"/>
    <w:rsid w:val="001F7DAE"/>
    <w:rsid w:val="00206DE5"/>
    <w:rsid w:val="0021409A"/>
    <w:rsid w:val="00216070"/>
    <w:rsid w:val="00222ACF"/>
    <w:rsid w:val="00224836"/>
    <w:rsid w:val="0022649C"/>
    <w:rsid w:val="00232E97"/>
    <w:rsid w:val="00234196"/>
    <w:rsid w:val="00242188"/>
    <w:rsid w:val="00247750"/>
    <w:rsid w:val="00247BD6"/>
    <w:rsid w:val="0025339F"/>
    <w:rsid w:val="00262315"/>
    <w:rsid w:val="00263CA4"/>
    <w:rsid w:val="002652FF"/>
    <w:rsid w:val="00274DAB"/>
    <w:rsid w:val="0028199B"/>
    <w:rsid w:val="002867A3"/>
    <w:rsid w:val="00287C0B"/>
    <w:rsid w:val="002B717B"/>
    <w:rsid w:val="002D4C0C"/>
    <w:rsid w:val="002D4D65"/>
    <w:rsid w:val="002D7294"/>
    <w:rsid w:val="002E35CC"/>
    <w:rsid w:val="00305138"/>
    <w:rsid w:val="0031053D"/>
    <w:rsid w:val="003166AC"/>
    <w:rsid w:val="00317F13"/>
    <w:rsid w:val="00331275"/>
    <w:rsid w:val="003318E6"/>
    <w:rsid w:val="003328C6"/>
    <w:rsid w:val="0033322F"/>
    <w:rsid w:val="00333595"/>
    <w:rsid w:val="003343D9"/>
    <w:rsid w:val="003356F5"/>
    <w:rsid w:val="00342B35"/>
    <w:rsid w:val="003457B4"/>
    <w:rsid w:val="003467F5"/>
    <w:rsid w:val="00350881"/>
    <w:rsid w:val="00350F1E"/>
    <w:rsid w:val="00360E33"/>
    <w:rsid w:val="00383C49"/>
    <w:rsid w:val="003842A3"/>
    <w:rsid w:val="0038561A"/>
    <w:rsid w:val="003863BA"/>
    <w:rsid w:val="00390159"/>
    <w:rsid w:val="0039798D"/>
    <w:rsid w:val="003A768D"/>
    <w:rsid w:val="003B1B4F"/>
    <w:rsid w:val="003B1C68"/>
    <w:rsid w:val="003D1EBB"/>
    <w:rsid w:val="003D663B"/>
    <w:rsid w:val="003E2067"/>
    <w:rsid w:val="003E3F28"/>
    <w:rsid w:val="003F3E2E"/>
    <w:rsid w:val="00400C44"/>
    <w:rsid w:val="00401127"/>
    <w:rsid w:val="00403C52"/>
    <w:rsid w:val="00405264"/>
    <w:rsid w:val="00407D89"/>
    <w:rsid w:val="004134A0"/>
    <w:rsid w:val="004140A7"/>
    <w:rsid w:val="004143F6"/>
    <w:rsid w:val="0042151E"/>
    <w:rsid w:val="004463D0"/>
    <w:rsid w:val="00450EE2"/>
    <w:rsid w:val="004531C5"/>
    <w:rsid w:val="004545D8"/>
    <w:rsid w:val="00457A85"/>
    <w:rsid w:val="0046264B"/>
    <w:rsid w:val="00462C54"/>
    <w:rsid w:val="0047208C"/>
    <w:rsid w:val="00482353"/>
    <w:rsid w:val="00482740"/>
    <w:rsid w:val="00484E2F"/>
    <w:rsid w:val="00485A6C"/>
    <w:rsid w:val="00497061"/>
    <w:rsid w:val="004A0DFC"/>
    <w:rsid w:val="004A281A"/>
    <w:rsid w:val="004A32F0"/>
    <w:rsid w:val="004B2F5F"/>
    <w:rsid w:val="004B4B6C"/>
    <w:rsid w:val="004D0D41"/>
    <w:rsid w:val="004D1A17"/>
    <w:rsid w:val="004D2D54"/>
    <w:rsid w:val="004D30EE"/>
    <w:rsid w:val="004D48DF"/>
    <w:rsid w:val="004D6C39"/>
    <w:rsid w:val="004F26F6"/>
    <w:rsid w:val="00501E82"/>
    <w:rsid w:val="00504CD3"/>
    <w:rsid w:val="00505295"/>
    <w:rsid w:val="00505F6C"/>
    <w:rsid w:val="005066D3"/>
    <w:rsid w:val="005073A4"/>
    <w:rsid w:val="00512D96"/>
    <w:rsid w:val="00513490"/>
    <w:rsid w:val="005255C0"/>
    <w:rsid w:val="00526611"/>
    <w:rsid w:val="00527E05"/>
    <w:rsid w:val="005324F6"/>
    <w:rsid w:val="005507DF"/>
    <w:rsid w:val="00572DCD"/>
    <w:rsid w:val="00573B2D"/>
    <w:rsid w:val="005829B5"/>
    <w:rsid w:val="005830EC"/>
    <w:rsid w:val="0059174C"/>
    <w:rsid w:val="005A7871"/>
    <w:rsid w:val="005C113F"/>
    <w:rsid w:val="005C7ECC"/>
    <w:rsid w:val="005C7F03"/>
    <w:rsid w:val="005D178B"/>
    <w:rsid w:val="005E65A6"/>
    <w:rsid w:val="00600498"/>
    <w:rsid w:val="00605D56"/>
    <w:rsid w:val="00607513"/>
    <w:rsid w:val="006246D5"/>
    <w:rsid w:val="00637B8C"/>
    <w:rsid w:val="00641332"/>
    <w:rsid w:val="00646F82"/>
    <w:rsid w:val="00646F95"/>
    <w:rsid w:val="00653A8A"/>
    <w:rsid w:val="0065490F"/>
    <w:rsid w:val="00662387"/>
    <w:rsid w:val="0067282F"/>
    <w:rsid w:val="00673F73"/>
    <w:rsid w:val="00674A1C"/>
    <w:rsid w:val="0067642C"/>
    <w:rsid w:val="006814B9"/>
    <w:rsid w:val="00685014"/>
    <w:rsid w:val="00695D20"/>
    <w:rsid w:val="00697768"/>
    <w:rsid w:val="006A5B7C"/>
    <w:rsid w:val="006A6456"/>
    <w:rsid w:val="006A7A52"/>
    <w:rsid w:val="006B2416"/>
    <w:rsid w:val="006B44A6"/>
    <w:rsid w:val="006B4C60"/>
    <w:rsid w:val="006C22D4"/>
    <w:rsid w:val="006C321C"/>
    <w:rsid w:val="006C4805"/>
    <w:rsid w:val="006D67B5"/>
    <w:rsid w:val="006E11A5"/>
    <w:rsid w:val="006F1717"/>
    <w:rsid w:val="006F5716"/>
    <w:rsid w:val="00702907"/>
    <w:rsid w:val="007035C5"/>
    <w:rsid w:val="00704FCB"/>
    <w:rsid w:val="00707E86"/>
    <w:rsid w:val="00722FAA"/>
    <w:rsid w:val="007251DF"/>
    <w:rsid w:val="00730746"/>
    <w:rsid w:val="0073107C"/>
    <w:rsid w:val="00732B6D"/>
    <w:rsid w:val="007353B1"/>
    <w:rsid w:val="00735CC7"/>
    <w:rsid w:val="00744A89"/>
    <w:rsid w:val="00751C8D"/>
    <w:rsid w:val="0076329D"/>
    <w:rsid w:val="00765CFF"/>
    <w:rsid w:val="00771FAA"/>
    <w:rsid w:val="00773904"/>
    <w:rsid w:val="00783F13"/>
    <w:rsid w:val="00785D55"/>
    <w:rsid w:val="007877A0"/>
    <w:rsid w:val="007A0A39"/>
    <w:rsid w:val="007B5370"/>
    <w:rsid w:val="007B6508"/>
    <w:rsid w:val="007B6606"/>
    <w:rsid w:val="007B7549"/>
    <w:rsid w:val="007B7E2F"/>
    <w:rsid w:val="007C5249"/>
    <w:rsid w:val="007E3B30"/>
    <w:rsid w:val="0080047A"/>
    <w:rsid w:val="00800757"/>
    <w:rsid w:val="0080282C"/>
    <w:rsid w:val="00820BF1"/>
    <w:rsid w:val="00823158"/>
    <w:rsid w:val="008247DF"/>
    <w:rsid w:val="00826F94"/>
    <w:rsid w:val="0083453B"/>
    <w:rsid w:val="00836E53"/>
    <w:rsid w:val="008425D2"/>
    <w:rsid w:val="00843AB3"/>
    <w:rsid w:val="008474BF"/>
    <w:rsid w:val="00851767"/>
    <w:rsid w:val="00854CD3"/>
    <w:rsid w:val="0085560E"/>
    <w:rsid w:val="008600C6"/>
    <w:rsid w:val="00862238"/>
    <w:rsid w:val="0086527E"/>
    <w:rsid w:val="00890B81"/>
    <w:rsid w:val="00890FCC"/>
    <w:rsid w:val="00897777"/>
    <w:rsid w:val="008A60F5"/>
    <w:rsid w:val="008A74A3"/>
    <w:rsid w:val="008A7640"/>
    <w:rsid w:val="008C058B"/>
    <w:rsid w:val="008C0C6D"/>
    <w:rsid w:val="008D2820"/>
    <w:rsid w:val="008D58B0"/>
    <w:rsid w:val="008E1F73"/>
    <w:rsid w:val="008E3664"/>
    <w:rsid w:val="00902841"/>
    <w:rsid w:val="0090504B"/>
    <w:rsid w:val="009051BA"/>
    <w:rsid w:val="0090574F"/>
    <w:rsid w:val="00920562"/>
    <w:rsid w:val="009234FB"/>
    <w:rsid w:val="00927B0D"/>
    <w:rsid w:val="009324A9"/>
    <w:rsid w:val="00933FD6"/>
    <w:rsid w:val="00940554"/>
    <w:rsid w:val="0095021A"/>
    <w:rsid w:val="00950237"/>
    <w:rsid w:val="009558EE"/>
    <w:rsid w:val="00970283"/>
    <w:rsid w:val="00973BB3"/>
    <w:rsid w:val="00980845"/>
    <w:rsid w:val="00997445"/>
    <w:rsid w:val="00997FEC"/>
    <w:rsid w:val="009A4C95"/>
    <w:rsid w:val="009C6960"/>
    <w:rsid w:val="009D09DB"/>
    <w:rsid w:val="009D5ECE"/>
    <w:rsid w:val="009D6615"/>
    <w:rsid w:val="009F020C"/>
    <w:rsid w:val="009F0609"/>
    <w:rsid w:val="00A03110"/>
    <w:rsid w:val="00A0642E"/>
    <w:rsid w:val="00A1183C"/>
    <w:rsid w:val="00A125BE"/>
    <w:rsid w:val="00A1523E"/>
    <w:rsid w:val="00A2003A"/>
    <w:rsid w:val="00A25750"/>
    <w:rsid w:val="00A27382"/>
    <w:rsid w:val="00A316D8"/>
    <w:rsid w:val="00A31A9E"/>
    <w:rsid w:val="00A32489"/>
    <w:rsid w:val="00A33489"/>
    <w:rsid w:val="00A35DC2"/>
    <w:rsid w:val="00A4287A"/>
    <w:rsid w:val="00A529AF"/>
    <w:rsid w:val="00A5456B"/>
    <w:rsid w:val="00A808EF"/>
    <w:rsid w:val="00A83621"/>
    <w:rsid w:val="00A84451"/>
    <w:rsid w:val="00A93269"/>
    <w:rsid w:val="00AA01D5"/>
    <w:rsid w:val="00AA2C52"/>
    <w:rsid w:val="00AA5277"/>
    <w:rsid w:val="00AA78B5"/>
    <w:rsid w:val="00AB10D0"/>
    <w:rsid w:val="00AC53ED"/>
    <w:rsid w:val="00AD4343"/>
    <w:rsid w:val="00AD4DE4"/>
    <w:rsid w:val="00AD6D02"/>
    <w:rsid w:val="00AE130D"/>
    <w:rsid w:val="00AE4213"/>
    <w:rsid w:val="00AE5AFE"/>
    <w:rsid w:val="00AE7BC7"/>
    <w:rsid w:val="00B01EEA"/>
    <w:rsid w:val="00B02A3C"/>
    <w:rsid w:val="00B041DC"/>
    <w:rsid w:val="00B1085C"/>
    <w:rsid w:val="00B11A0B"/>
    <w:rsid w:val="00B34791"/>
    <w:rsid w:val="00B36291"/>
    <w:rsid w:val="00B42D4C"/>
    <w:rsid w:val="00B50EB1"/>
    <w:rsid w:val="00B51129"/>
    <w:rsid w:val="00B51632"/>
    <w:rsid w:val="00B55153"/>
    <w:rsid w:val="00B5519A"/>
    <w:rsid w:val="00B561DC"/>
    <w:rsid w:val="00B755B1"/>
    <w:rsid w:val="00B77CBC"/>
    <w:rsid w:val="00B81EEE"/>
    <w:rsid w:val="00B901C0"/>
    <w:rsid w:val="00BA5A21"/>
    <w:rsid w:val="00BA5C70"/>
    <w:rsid w:val="00BB1C37"/>
    <w:rsid w:val="00BB6AE8"/>
    <w:rsid w:val="00BC0C37"/>
    <w:rsid w:val="00BC13FE"/>
    <w:rsid w:val="00BC45AB"/>
    <w:rsid w:val="00BC6C7A"/>
    <w:rsid w:val="00BD46CC"/>
    <w:rsid w:val="00BD47F6"/>
    <w:rsid w:val="00BD74DD"/>
    <w:rsid w:val="00BE3688"/>
    <w:rsid w:val="00BF032C"/>
    <w:rsid w:val="00BF3813"/>
    <w:rsid w:val="00C134E3"/>
    <w:rsid w:val="00C15047"/>
    <w:rsid w:val="00C15CCC"/>
    <w:rsid w:val="00C22F5D"/>
    <w:rsid w:val="00C36B49"/>
    <w:rsid w:val="00C50978"/>
    <w:rsid w:val="00C51902"/>
    <w:rsid w:val="00C80186"/>
    <w:rsid w:val="00C80F6F"/>
    <w:rsid w:val="00C82DFF"/>
    <w:rsid w:val="00C87609"/>
    <w:rsid w:val="00C903C7"/>
    <w:rsid w:val="00CA25E6"/>
    <w:rsid w:val="00CC3FE3"/>
    <w:rsid w:val="00CC6B19"/>
    <w:rsid w:val="00CD7A46"/>
    <w:rsid w:val="00CE313A"/>
    <w:rsid w:val="00CF1575"/>
    <w:rsid w:val="00CF182A"/>
    <w:rsid w:val="00D0211A"/>
    <w:rsid w:val="00D02763"/>
    <w:rsid w:val="00D03FD7"/>
    <w:rsid w:val="00D11B0A"/>
    <w:rsid w:val="00D22C74"/>
    <w:rsid w:val="00D244B3"/>
    <w:rsid w:val="00D259F9"/>
    <w:rsid w:val="00D2631D"/>
    <w:rsid w:val="00D27A4A"/>
    <w:rsid w:val="00D4715B"/>
    <w:rsid w:val="00D70349"/>
    <w:rsid w:val="00D7152F"/>
    <w:rsid w:val="00D901C1"/>
    <w:rsid w:val="00D937E2"/>
    <w:rsid w:val="00D97ADE"/>
    <w:rsid w:val="00DA1C11"/>
    <w:rsid w:val="00DA20B2"/>
    <w:rsid w:val="00DB5CA4"/>
    <w:rsid w:val="00DC1CD9"/>
    <w:rsid w:val="00DE4DFF"/>
    <w:rsid w:val="00DF6CD1"/>
    <w:rsid w:val="00E009FF"/>
    <w:rsid w:val="00E040C9"/>
    <w:rsid w:val="00E112E0"/>
    <w:rsid w:val="00E11D14"/>
    <w:rsid w:val="00E16990"/>
    <w:rsid w:val="00E25608"/>
    <w:rsid w:val="00E3515E"/>
    <w:rsid w:val="00E42A27"/>
    <w:rsid w:val="00E42D30"/>
    <w:rsid w:val="00E43398"/>
    <w:rsid w:val="00E44AAB"/>
    <w:rsid w:val="00E4683C"/>
    <w:rsid w:val="00E54106"/>
    <w:rsid w:val="00E63C6D"/>
    <w:rsid w:val="00E716C4"/>
    <w:rsid w:val="00E80167"/>
    <w:rsid w:val="00E823B3"/>
    <w:rsid w:val="00E84984"/>
    <w:rsid w:val="00EA08AF"/>
    <w:rsid w:val="00EA2D56"/>
    <w:rsid w:val="00EA3FE8"/>
    <w:rsid w:val="00EA47EB"/>
    <w:rsid w:val="00EA5814"/>
    <w:rsid w:val="00EA6FD6"/>
    <w:rsid w:val="00EA70CC"/>
    <w:rsid w:val="00EB1F6C"/>
    <w:rsid w:val="00EC03CD"/>
    <w:rsid w:val="00EC1C65"/>
    <w:rsid w:val="00ED0470"/>
    <w:rsid w:val="00ED71AC"/>
    <w:rsid w:val="00EE1D24"/>
    <w:rsid w:val="00EE3AFF"/>
    <w:rsid w:val="00EF5555"/>
    <w:rsid w:val="00F108BB"/>
    <w:rsid w:val="00F10ED9"/>
    <w:rsid w:val="00F1299C"/>
    <w:rsid w:val="00F17DB7"/>
    <w:rsid w:val="00F3179E"/>
    <w:rsid w:val="00F365E2"/>
    <w:rsid w:val="00F43B9D"/>
    <w:rsid w:val="00F67A8D"/>
    <w:rsid w:val="00F7026D"/>
    <w:rsid w:val="00F76B98"/>
    <w:rsid w:val="00F77136"/>
    <w:rsid w:val="00F83459"/>
    <w:rsid w:val="00F91040"/>
    <w:rsid w:val="00F9163F"/>
    <w:rsid w:val="00F930BC"/>
    <w:rsid w:val="00F94A89"/>
    <w:rsid w:val="00FA3028"/>
    <w:rsid w:val="00FC3C10"/>
    <w:rsid w:val="00FC5139"/>
    <w:rsid w:val="00FE097A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E35F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Times New Roman" w:hAnsi="Times New Roman"/>
      <w:b/>
      <w:sz w:val="36"/>
      <w:szCs w:val="20"/>
    </w:rPr>
  </w:style>
  <w:style w:type="paragraph" w:styleId="Nadpis2">
    <w:name w:val="heading 2"/>
    <w:basedOn w:val="Normlny"/>
    <w:next w:val="Normlny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Times New Roman" w:hAnsi="Times New Roman"/>
      <w:sz w:val="32"/>
      <w:szCs w:val="20"/>
    </w:rPr>
  </w:style>
  <w:style w:type="paragraph" w:styleId="Nadpis4">
    <w:name w:val="heading 4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</w:rPr>
  </w:style>
  <w:style w:type="paragraph" w:styleId="Nadpis6">
    <w:name w:val="heading 6"/>
    <w:basedOn w:val="Normlny"/>
    <w:next w:val="Normlny"/>
    <w:link w:val="Nadpis6Char"/>
    <w:qFormat/>
    <w:pPr>
      <w:keepNext/>
      <w:outlineLvl w:val="5"/>
    </w:pPr>
    <w:rPr>
      <w:b/>
      <w:caps/>
      <w:sz w:val="1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32"/>
      <w:szCs w:val="20"/>
    </w:rPr>
  </w:style>
  <w:style w:type="paragraph" w:styleId="Zkladntext2">
    <w:name w:val="Body Text 2"/>
    <w:basedOn w:val="Normlny"/>
    <w:link w:val="Zkladntext2Char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0"/>
      <w:lang w:val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Paragraph">
    <w:name w:val="Paragraph"/>
    <w:basedOn w:val="Normlny"/>
    <w:pPr>
      <w:spacing w:after="120" w:line="300" w:lineRule="atLeast"/>
    </w:pPr>
    <w:rPr>
      <w:sz w:val="22"/>
      <w:szCs w:val="20"/>
      <w:lang w:val="en-GB"/>
    </w:rPr>
  </w:style>
  <w:style w:type="paragraph" w:customStyle="1" w:styleId="Indent1">
    <w:name w:val="Indent1"/>
    <w:basedOn w:val="Normlny"/>
    <w:pPr>
      <w:spacing w:after="120" w:line="300" w:lineRule="atLeast"/>
      <w:ind w:left="709"/>
    </w:pPr>
    <w:rPr>
      <w:sz w:val="22"/>
      <w:szCs w:val="20"/>
      <w:lang w:val="en-GB"/>
    </w:rPr>
  </w:style>
  <w:style w:type="paragraph" w:styleId="Textbubliny">
    <w:name w:val="Balloon Text"/>
    <w:basedOn w:val="Normlny"/>
    <w:semiHidden/>
    <w:rsid w:val="00AA2C5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365E2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3E20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E040C9"/>
    <w:pPr>
      <w:ind w:left="708"/>
    </w:pPr>
  </w:style>
  <w:style w:type="character" w:styleId="Odkaznakomentr">
    <w:name w:val="annotation reference"/>
    <w:rsid w:val="00D2631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2631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D2631D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2631D"/>
    <w:rPr>
      <w:b/>
      <w:bCs/>
    </w:rPr>
  </w:style>
  <w:style w:type="character" w:customStyle="1" w:styleId="PredmetkomentraChar">
    <w:name w:val="Predmet komentára Char"/>
    <w:link w:val="Predmetkomentra"/>
    <w:rsid w:val="00D2631D"/>
    <w:rPr>
      <w:rFonts w:ascii="Arial" w:hAnsi="Arial"/>
      <w:b/>
      <w:bCs/>
      <w:lang w:eastAsia="en-US"/>
    </w:rPr>
  </w:style>
  <w:style w:type="character" w:customStyle="1" w:styleId="Nadpis6Char">
    <w:name w:val="Nadpis 6 Char"/>
    <w:link w:val="Nadpis6"/>
    <w:rsid w:val="00E84984"/>
    <w:rPr>
      <w:rFonts w:ascii="Arial" w:hAnsi="Arial" w:cs="Arial"/>
      <w:b/>
      <w:caps/>
      <w:sz w:val="16"/>
      <w:szCs w:val="24"/>
      <w:lang w:eastAsia="en-US"/>
    </w:rPr>
  </w:style>
  <w:style w:type="character" w:customStyle="1" w:styleId="Zkladntext2Char">
    <w:name w:val="Základný text 2 Char"/>
    <w:link w:val="Zkladntext2"/>
    <w:rsid w:val="00E84984"/>
    <w:rPr>
      <w:sz w:val="28"/>
      <w:lang w:eastAsia="en-US"/>
    </w:rPr>
  </w:style>
  <w:style w:type="character" w:styleId="Hypertextovprepojenie">
    <w:name w:val="Hyperlink"/>
    <w:rsid w:val="00BF032C"/>
    <w:rPr>
      <w:color w:val="0000FF"/>
      <w:u w:val="single"/>
    </w:rPr>
  </w:style>
  <w:style w:type="character" w:styleId="PouitHypertextovPrepojenie">
    <w:name w:val="FollowedHyperlink"/>
    <w:rsid w:val="00BF032C"/>
    <w:rPr>
      <w:color w:val="800080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90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rsid w:val="00890FCC"/>
    <w:rPr>
      <w:rFonts w:ascii="Courier New" w:hAnsi="Courier New" w:cs="Courier New"/>
    </w:rPr>
  </w:style>
  <w:style w:type="character" w:customStyle="1" w:styleId="HlavikaChar">
    <w:name w:val="Hlavička Char"/>
    <w:link w:val="Hlavika"/>
    <w:rsid w:val="005E65A6"/>
    <w:rPr>
      <w:rFonts w:ascii="Arial" w:hAnsi="Arial"/>
      <w:sz w:val="24"/>
      <w:szCs w:val="24"/>
      <w:lang w:val="sk-SK" w:eastAsia="en-US"/>
    </w:rPr>
  </w:style>
  <w:style w:type="paragraph" w:styleId="Revzia">
    <w:name w:val="Revision"/>
    <w:hidden/>
    <w:uiPriority w:val="99"/>
    <w:semiHidden/>
    <w:rsid w:val="000A0868"/>
    <w:rPr>
      <w:rFonts w:ascii="Arial" w:hAnsi="Arial"/>
      <w:sz w:val="24"/>
      <w:szCs w:val="24"/>
      <w:lang w:val="sk-SK" w:eastAsia="en-US"/>
    </w:rPr>
  </w:style>
  <w:style w:type="character" w:customStyle="1" w:styleId="PtaChar">
    <w:name w:val="Päta Char"/>
    <w:link w:val="Pta"/>
    <w:uiPriority w:val="99"/>
    <w:rsid w:val="000A0868"/>
    <w:rPr>
      <w:rFonts w:ascii="Arial" w:hAnsi="Arial"/>
      <w:sz w:val="24"/>
      <w:szCs w:val="24"/>
      <w:lang w:val="sk-SK" w:eastAsia="en-US"/>
    </w:rPr>
  </w:style>
  <w:style w:type="paragraph" w:customStyle="1" w:styleId="Default">
    <w:name w:val="Default"/>
    <w:rsid w:val="000A086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AU"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Times New Roman" w:hAnsi="Times New Roman"/>
      <w:b/>
      <w:sz w:val="36"/>
      <w:szCs w:val="20"/>
    </w:rPr>
  </w:style>
  <w:style w:type="paragraph" w:styleId="Nadpis2">
    <w:name w:val="heading 2"/>
    <w:basedOn w:val="Normlny"/>
    <w:next w:val="Normlny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Times New Roman" w:hAnsi="Times New Roman"/>
      <w:sz w:val="32"/>
      <w:szCs w:val="20"/>
    </w:rPr>
  </w:style>
  <w:style w:type="paragraph" w:styleId="Nadpis4">
    <w:name w:val="heading 4"/>
    <w:basedOn w:val="Normlny"/>
    <w:next w:val="Norm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</w:rPr>
  </w:style>
  <w:style w:type="paragraph" w:styleId="Nadpis6">
    <w:name w:val="heading 6"/>
    <w:basedOn w:val="Normlny"/>
    <w:next w:val="Normlny"/>
    <w:link w:val="Nadpis6Char"/>
    <w:qFormat/>
    <w:pPr>
      <w:keepNext/>
      <w:outlineLvl w:val="5"/>
    </w:pPr>
    <w:rPr>
      <w:b/>
      <w:caps/>
      <w:sz w:val="1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32"/>
      <w:szCs w:val="20"/>
    </w:rPr>
  </w:style>
  <w:style w:type="paragraph" w:styleId="Zkladntext2">
    <w:name w:val="Body Text 2"/>
    <w:basedOn w:val="Normlny"/>
    <w:link w:val="Zkladntext2Char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0"/>
      <w:lang w:val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Paragraph">
    <w:name w:val="Paragraph"/>
    <w:basedOn w:val="Normlny"/>
    <w:pPr>
      <w:spacing w:after="120" w:line="300" w:lineRule="atLeast"/>
    </w:pPr>
    <w:rPr>
      <w:sz w:val="22"/>
      <w:szCs w:val="20"/>
      <w:lang w:val="en-GB"/>
    </w:rPr>
  </w:style>
  <w:style w:type="paragraph" w:customStyle="1" w:styleId="Indent1">
    <w:name w:val="Indent1"/>
    <w:basedOn w:val="Normlny"/>
    <w:pPr>
      <w:spacing w:after="120" w:line="300" w:lineRule="atLeast"/>
      <w:ind w:left="709"/>
    </w:pPr>
    <w:rPr>
      <w:sz w:val="22"/>
      <w:szCs w:val="20"/>
      <w:lang w:val="en-GB"/>
    </w:rPr>
  </w:style>
  <w:style w:type="paragraph" w:styleId="Textbubliny">
    <w:name w:val="Balloon Text"/>
    <w:basedOn w:val="Normlny"/>
    <w:semiHidden/>
    <w:rsid w:val="00AA2C5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365E2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3E20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E040C9"/>
    <w:pPr>
      <w:ind w:left="708"/>
    </w:pPr>
  </w:style>
  <w:style w:type="character" w:styleId="Odkaznakomentr">
    <w:name w:val="annotation reference"/>
    <w:rsid w:val="00D2631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2631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D2631D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2631D"/>
    <w:rPr>
      <w:b/>
      <w:bCs/>
    </w:rPr>
  </w:style>
  <w:style w:type="character" w:customStyle="1" w:styleId="PredmetkomentraChar">
    <w:name w:val="Predmet komentára Char"/>
    <w:link w:val="Predmetkomentra"/>
    <w:rsid w:val="00D2631D"/>
    <w:rPr>
      <w:rFonts w:ascii="Arial" w:hAnsi="Arial"/>
      <w:b/>
      <w:bCs/>
      <w:lang w:eastAsia="en-US"/>
    </w:rPr>
  </w:style>
  <w:style w:type="character" w:customStyle="1" w:styleId="Nadpis6Char">
    <w:name w:val="Nadpis 6 Char"/>
    <w:link w:val="Nadpis6"/>
    <w:rsid w:val="00E84984"/>
    <w:rPr>
      <w:rFonts w:ascii="Arial" w:hAnsi="Arial" w:cs="Arial"/>
      <w:b/>
      <w:caps/>
      <w:sz w:val="16"/>
      <w:szCs w:val="24"/>
      <w:lang w:eastAsia="en-US"/>
    </w:rPr>
  </w:style>
  <w:style w:type="character" w:customStyle="1" w:styleId="Zkladntext2Char">
    <w:name w:val="Základný text 2 Char"/>
    <w:link w:val="Zkladntext2"/>
    <w:rsid w:val="00E84984"/>
    <w:rPr>
      <w:sz w:val="28"/>
      <w:lang w:eastAsia="en-US"/>
    </w:rPr>
  </w:style>
  <w:style w:type="character" w:styleId="Hypertextovprepojenie">
    <w:name w:val="Hyperlink"/>
    <w:rsid w:val="00BF032C"/>
    <w:rPr>
      <w:color w:val="0000FF"/>
      <w:u w:val="single"/>
    </w:rPr>
  </w:style>
  <w:style w:type="character" w:styleId="PouitHypertextovPrepojenie">
    <w:name w:val="FollowedHyperlink"/>
    <w:rsid w:val="00BF032C"/>
    <w:rPr>
      <w:color w:val="800080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90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rsid w:val="00890FCC"/>
    <w:rPr>
      <w:rFonts w:ascii="Courier New" w:hAnsi="Courier New" w:cs="Courier New"/>
    </w:rPr>
  </w:style>
  <w:style w:type="character" w:customStyle="1" w:styleId="HlavikaChar">
    <w:name w:val="Hlavička Char"/>
    <w:link w:val="Hlavika"/>
    <w:rsid w:val="005E65A6"/>
    <w:rPr>
      <w:rFonts w:ascii="Arial" w:hAnsi="Arial"/>
      <w:sz w:val="24"/>
      <w:szCs w:val="24"/>
      <w:lang w:val="sk-SK" w:eastAsia="en-US"/>
    </w:rPr>
  </w:style>
  <w:style w:type="paragraph" w:styleId="Revzia">
    <w:name w:val="Revision"/>
    <w:hidden/>
    <w:uiPriority w:val="99"/>
    <w:semiHidden/>
    <w:rsid w:val="000A0868"/>
    <w:rPr>
      <w:rFonts w:ascii="Arial" w:hAnsi="Arial"/>
      <w:sz w:val="24"/>
      <w:szCs w:val="24"/>
      <w:lang w:val="sk-SK" w:eastAsia="en-US"/>
    </w:rPr>
  </w:style>
  <w:style w:type="character" w:customStyle="1" w:styleId="PtaChar">
    <w:name w:val="Päta Char"/>
    <w:link w:val="Pta"/>
    <w:uiPriority w:val="99"/>
    <w:rsid w:val="000A0868"/>
    <w:rPr>
      <w:rFonts w:ascii="Arial" w:hAnsi="Arial"/>
      <w:sz w:val="24"/>
      <w:szCs w:val="24"/>
      <w:lang w:val="sk-SK" w:eastAsia="en-US"/>
    </w:rPr>
  </w:style>
  <w:style w:type="paragraph" w:customStyle="1" w:styleId="Default">
    <w:name w:val="Default"/>
    <w:rsid w:val="000A086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AU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3A9732614BD4481CF9611F16A5FFB" ma:contentTypeVersion="0" ma:contentTypeDescription="Create a new document." ma:contentTypeScope="" ma:versionID="6816d5059513da2bb929ede567b0c0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BE61E-309F-4096-ADDC-4D9EE9B3F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18C43C-B679-445D-9074-939C1092A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A02BA-44B8-4342-B6E0-FF120E87CA42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2464</Words>
  <Characters>16129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roztok pre i</vt:lpstr>
      <vt:lpstr>roztok pre i</vt:lpstr>
    </vt:vector>
  </TitlesOfParts>
  <Company>Merck</Company>
  <LinksUpToDate>false</LinksUpToDate>
  <CharactersWithSpaces>18556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roztok pre i</dc:title>
  <dc:creator>EMKAPE</dc:creator>
  <cp:lastModifiedBy>Miroslava Slahúčková</cp:lastModifiedBy>
  <cp:revision>2</cp:revision>
  <cp:lastPrinted>2012-05-16T06:17:00Z</cp:lastPrinted>
  <dcterms:created xsi:type="dcterms:W3CDTF">2019-04-04T07:23:00Z</dcterms:created>
  <dcterms:modified xsi:type="dcterms:W3CDTF">2019-04-04T07:23:00Z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