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A367E" w14:textId="77777777" w:rsidR="00F8662C" w:rsidRPr="00E114F1" w:rsidRDefault="00F8662C" w:rsidP="007049B5">
      <w:pPr>
        <w:pStyle w:val="SPCnadpis"/>
        <w:rPr>
          <w:lang w:val="sk-SK"/>
        </w:rPr>
      </w:pPr>
    </w:p>
    <w:p w14:paraId="7F69746F" w14:textId="77777777" w:rsidR="000C3C2C" w:rsidRPr="00E114F1" w:rsidRDefault="000C3C2C" w:rsidP="007049B5">
      <w:pPr>
        <w:pStyle w:val="SPCnadpis"/>
        <w:rPr>
          <w:lang w:val="sk-SK"/>
        </w:rPr>
      </w:pPr>
      <w:r w:rsidRPr="00E114F1">
        <w:rPr>
          <w:lang w:val="sk-SK"/>
        </w:rPr>
        <w:t>SÚHRN CHARAKTERISTICKÝCH VLASTNOSTÍ LIEKU</w:t>
      </w:r>
    </w:p>
    <w:p w14:paraId="0BA4BF69" w14:textId="77777777" w:rsidR="00FE67CF" w:rsidRPr="00E114F1" w:rsidRDefault="000C3C2C" w:rsidP="00405A33">
      <w:pPr>
        <w:pStyle w:val="Styl1"/>
        <w:rPr>
          <w:lang w:val="sk-SK"/>
        </w:rPr>
      </w:pPr>
      <w:r w:rsidRPr="00E114F1">
        <w:rPr>
          <w:lang w:val="sk-SK"/>
        </w:rPr>
        <w:t>NÁZOV LIEKU</w:t>
      </w:r>
    </w:p>
    <w:p w14:paraId="4A4FE700" w14:textId="77777777" w:rsidR="00A562CD" w:rsidRPr="00E114F1" w:rsidRDefault="00A562CD" w:rsidP="00A562CD">
      <w:pPr>
        <w:pStyle w:val="Normlndobloku"/>
        <w:rPr>
          <w:lang w:val="sk-SK"/>
        </w:rPr>
      </w:pPr>
      <w:r w:rsidRPr="00E114F1">
        <w:rPr>
          <w:lang w:val="sk-SK"/>
        </w:rPr>
        <w:t>M</w:t>
      </w:r>
      <w:r w:rsidR="008904ED">
        <w:rPr>
          <w:lang w:val="sk-SK"/>
        </w:rPr>
        <w:t>EDOCIPRIN</w:t>
      </w:r>
      <w:r w:rsidR="000C3C2C" w:rsidRPr="00E114F1">
        <w:rPr>
          <w:lang w:val="sk-SK"/>
        </w:rPr>
        <w:t xml:space="preserve"> 250</w:t>
      </w:r>
      <w:r w:rsidR="00FC55AA" w:rsidRPr="00E114F1">
        <w:rPr>
          <w:lang w:val="sk-SK"/>
        </w:rPr>
        <w:t> </w:t>
      </w:r>
      <w:r w:rsidR="000C3C2C" w:rsidRPr="00E114F1">
        <w:rPr>
          <w:lang w:val="sk-SK"/>
        </w:rPr>
        <w:t>mg</w:t>
      </w:r>
    </w:p>
    <w:p w14:paraId="765DCC41" w14:textId="77777777" w:rsidR="00FC55AA" w:rsidRPr="00E114F1" w:rsidRDefault="00A562CD" w:rsidP="007049B5">
      <w:pPr>
        <w:pStyle w:val="Normlndobloku"/>
        <w:rPr>
          <w:lang w:val="sk-SK"/>
        </w:rPr>
      </w:pPr>
      <w:r w:rsidRPr="00E114F1">
        <w:rPr>
          <w:lang w:val="sk-SK"/>
        </w:rPr>
        <w:t>M</w:t>
      </w:r>
      <w:r w:rsidR="00FC55AA" w:rsidRPr="00E114F1">
        <w:rPr>
          <w:lang w:val="sk-SK"/>
        </w:rPr>
        <w:t>EDOCIPRIN</w:t>
      </w:r>
      <w:r w:rsidR="000C3C2C" w:rsidRPr="00E114F1">
        <w:rPr>
          <w:lang w:val="sk-SK"/>
        </w:rPr>
        <w:t xml:space="preserve"> 500</w:t>
      </w:r>
      <w:r w:rsidR="00FC55AA" w:rsidRPr="00E114F1">
        <w:rPr>
          <w:lang w:val="sk-SK"/>
        </w:rPr>
        <w:t> </w:t>
      </w:r>
      <w:r w:rsidR="000C3C2C" w:rsidRPr="00E114F1">
        <w:rPr>
          <w:lang w:val="sk-SK"/>
        </w:rPr>
        <w:t>mg</w:t>
      </w:r>
    </w:p>
    <w:p w14:paraId="0771D0FA" w14:textId="77777777" w:rsidR="00A15F35" w:rsidRPr="00E114F1" w:rsidRDefault="00A562CD" w:rsidP="007049B5">
      <w:pPr>
        <w:pStyle w:val="Normlndobloku"/>
        <w:rPr>
          <w:lang w:val="sk-SK"/>
        </w:rPr>
      </w:pPr>
      <w:r w:rsidRPr="00E114F1">
        <w:rPr>
          <w:lang w:val="sk-SK"/>
        </w:rPr>
        <w:t>filmom obalené tablety</w:t>
      </w:r>
    </w:p>
    <w:p w14:paraId="346AC7EF" w14:textId="77777777" w:rsidR="00FE67CF" w:rsidRPr="00E114F1" w:rsidRDefault="000C3C2C" w:rsidP="00405A33">
      <w:pPr>
        <w:pStyle w:val="Styl1"/>
        <w:rPr>
          <w:lang w:val="sk-SK"/>
        </w:rPr>
      </w:pPr>
      <w:r w:rsidRPr="00E114F1">
        <w:rPr>
          <w:lang w:val="sk-SK"/>
        </w:rPr>
        <w:t>KVALITATÍVNE A</w:t>
      </w:r>
      <w:r w:rsidR="00FC55AA" w:rsidRPr="00E114F1">
        <w:rPr>
          <w:lang w:val="sk-SK"/>
        </w:rPr>
        <w:t> </w:t>
      </w:r>
      <w:r w:rsidRPr="00E114F1">
        <w:rPr>
          <w:lang w:val="sk-SK"/>
        </w:rPr>
        <w:t>KVANTITATÍVNE ZLOŽENIE</w:t>
      </w:r>
    </w:p>
    <w:p w14:paraId="7F84EFBE" w14:textId="4183922C" w:rsidR="00FE67CF" w:rsidRPr="00E100D6" w:rsidRDefault="000C3C2C" w:rsidP="007049B5">
      <w:pPr>
        <w:pStyle w:val="Normlndobloku"/>
        <w:rPr>
          <w:lang w:val="sk-SK"/>
        </w:rPr>
      </w:pPr>
      <w:r w:rsidRPr="00B169AD">
        <w:rPr>
          <w:lang w:val="sk-SK"/>
        </w:rPr>
        <w:t xml:space="preserve">Liečivo: </w:t>
      </w:r>
      <w:r w:rsidR="00916D9F">
        <w:rPr>
          <w:lang w:val="sk-SK"/>
        </w:rPr>
        <w:t>Ciprofloxacíniumchlorid</w:t>
      </w:r>
      <w:r w:rsidRPr="00B169AD">
        <w:rPr>
          <w:lang w:val="sk-SK"/>
        </w:rPr>
        <w:t xml:space="preserve"> </w:t>
      </w:r>
      <w:r w:rsidR="00916D9F">
        <w:rPr>
          <w:lang w:val="sk-SK"/>
        </w:rPr>
        <w:t>vo forme monohydrátu</w:t>
      </w:r>
      <w:r w:rsidRPr="00B169AD">
        <w:rPr>
          <w:lang w:val="sk-SK"/>
        </w:rPr>
        <w:t xml:space="preserve"> 291,5</w:t>
      </w:r>
      <w:r w:rsidR="005F69AE" w:rsidRPr="00B169AD">
        <w:rPr>
          <w:lang w:val="sk-SK"/>
        </w:rPr>
        <w:t> </w:t>
      </w:r>
      <w:r w:rsidRPr="00B169AD">
        <w:rPr>
          <w:lang w:val="sk-SK"/>
        </w:rPr>
        <w:t>mg alebo 583,0</w:t>
      </w:r>
      <w:r w:rsidR="005F69AE" w:rsidRPr="00B169AD">
        <w:rPr>
          <w:lang w:val="sk-SK"/>
        </w:rPr>
        <w:t> </w:t>
      </w:r>
      <w:r w:rsidRPr="00B169AD">
        <w:rPr>
          <w:lang w:val="sk-SK"/>
        </w:rPr>
        <w:t xml:space="preserve">mg </w:t>
      </w:r>
      <w:r w:rsidR="00916D9F">
        <w:rPr>
          <w:lang w:val="sk-SK"/>
        </w:rPr>
        <w:t xml:space="preserve">čo </w:t>
      </w:r>
      <w:r w:rsidRPr="00B169AD">
        <w:rPr>
          <w:lang w:val="sk-SK"/>
        </w:rPr>
        <w:t>zodpovedá  250</w:t>
      </w:r>
      <w:r w:rsidR="005F69AE" w:rsidRPr="00B169AD">
        <w:rPr>
          <w:lang w:val="sk-SK"/>
        </w:rPr>
        <w:t> </w:t>
      </w:r>
      <w:r w:rsidRPr="00B169AD">
        <w:rPr>
          <w:lang w:val="sk-SK"/>
        </w:rPr>
        <w:t>mg alebo 500</w:t>
      </w:r>
      <w:r w:rsidR="005F69AE" w:rsidRPr="00B169AD">
        <w:rPr>
          <w:lang w:val="sk-SK"/>
        </w:rPr>
        <w:t> </w:t>
      </w:r>
      <w:r w:rsidRPr="00B169AD">
        <w:rPr>
          <w:lang w:val="sk-SK"/>
        </w:rPr>
        <w:t xml:space="preserve">mg </w:t>
      </w:r>
      <w:r w:rsidR="00916D9F">
        <w:rPr>
          <w:lang w:val="sk-SK"/>
        </w:rPr>
        <w:t xml:space="preserve">ciprofloxacínu </w:t>
      </w:r>
      <w:r w:rsidRPr="00B169AD">
        <w:rPr>
          <w:lang w:val="sk-SK"/>
        </w:rPr>
        <w:t>v</w:t>
      </w:r>
      <w:r w:rsidR="005F69AE" w:rsidRPr="00B169AD">
        <w:rPr>
          <w:lang w:val="sk-SK"/>
        </w:rPr>
        <w:t> </w:t>
      </w:r>
      <w:r w:rsidRPr="00B169AD">
        <w:rPr>
          <w:lang w:val="sk-SK"/>
        </w:rPr>
        <w:t xml:space="preserve">1 </w:t>
      </w:r>
      <w:r w:rsidR="00C74BDC" w:rsidRPr="00B169AD">
        <w:rPr>
          <w:lang w:val="sk-SK"/>
        </w:rPr>
        <w:t xml:space="preserve">filmom obalenej </w:t>
      </w:r>
      <w:r w:rsidRPr="00B169AD">
        <w:rPr>
          <w:lang w:val="sk-SK"/>
        </w:rPr>
        <w:t>tablete.</w:t>
      </w:r>
    </w:p>
    <w:p w14:paraId="29EE36A6" w14:textId="77777777" w:rsidR="00FE67CF" w:rsidRPr="00E114F1" w:rsidRDefault="000C3C2C" w:rsidP="007049B5">
      <w:pPr>
        <w:pStyle w:val="Normlndobloku"/>
        <w:rPr>
          <w:lang w:val="sk-SK"/>
        </w:rPr>
      </w:pPr>
      <w:r w:rsidRPr="00E114F1">
        <w:rPr>
          <w:lang w:val="sk-SK"/>
        </w:rPr>
        <w:t>Úplný zoznam pomocných látok, pozri časť 6.1.</w:t>
      </w:r>
    </w:p>
    <w:p w14:paraId="32B34410" w14:textId="77777777" w:rsidR="00FE67CF" w:rsidRPr="00E114F1" w:rsidRDefault="000C3C2C" w:rsidP="00405A33">
      <w:pPr>
        <w:pStyle w:val="Styl1"/>
        <w:rPr>
          <w:lang w:val="sk-SK"/>
        </w:rPr>
      </w:pPr>
      <w:r w:rsidRPr="00E114F1">
        <w:rPr>
          <w:lang w:val="sk-SK"/>
        </w:rPr>
        <w:t>LIEKOVÁ FORMA</w:t>
      </w:r>
    </w:p>
    <w:p w14:paraId="2246F7C6" w14:textId="77777777" w:rsidR="00FE67CF" w:rsidRPr="00E114F1" w:rsidRDefault="000C3C2C" w:rsidP="007049B5">
      <w:pPr>
        <w:pStyle w:val="Normlndobloku"/>
        <w:rPr>
          <w:lang w:val="sk-SK"/>
        </w:rPr>
      </w:pPr>
      <w:r w:rsidRPr="00E114F1">
        <w:rPr>
          <w:lang w:val="sk-SK"/>
        </w:rPr>
        <w:t>Filmom obalen</w:t>
      </w:r>
      <w:r w:rsidR="00FC55AA" w:rsidRPr="00E114F1">
        <w:rPr>
          <w:lang w:val="sk-SK"/>
        </w:rPr>
        <w:t>á</w:t>
      </w:r>
      <w:r w:rsidRPr="00E114F1">
        <w:rPr>
          <w:lang w:val="sk-SK"/>
        </w:rPr>
        <w:t xml:space="preserve"> tablet</w:t>
      </w:r>
      <w:r w:rsidR="00FC55AA" w:rsidRPr="00E114F1">
        <w:rPr>
          <w:lang w:val="sk-SK"/>
        </w:rPr>
        <w:t>a</w:t>
      </w:r>
    </w:p>
    <w:p w14:paraId="179C383B" w14:textId="77777777" w:rsidR="00924AE5" w:rsidRPr="00E114F1" w:rsidRDefault="00EB7858" w:rsidP="00EB7858">
      <w:pPr>
        <w:pStyle w:val="Normlndobloku"/>
        <w:rPr>
          <w:lang w:val="sk-SK"/>
        </w:rPr>
      </w:pPr>
      <w:r w:rsidRPr="00E114F1">
        <w:rPr>
          <w:lang w:val="sk-SK"/>
        </w:rPr>
        <w:t>M</w:t>
      </w:r>
      <w:r w:rsidR="00FC55AA" w:rsidRPr="00E114F1">
        <w:rPr>
          <w:lang w:val="sk-SK"/>
        </w:rPr>
        <w:t>EDOCIPRIN</w:t>
      </w:r>
      <w:r w:rsidRPr="00E114F1">
        <w:rPr>
          <w:lang w:val="sk-SK"/>
        </w:rPr>
        <w:t xml:space="preserve"> 250</w:t>
      </w:r>
      <w:r w:rsidR="00FC55AA" w:rsidRPr="00E114F1">
        <w:rPr>
          <w:lang w:val="sk-SK"/>
        </w:rPr>
        <w:t> </w:t>
      </w:r>
      <w:r w:rsidRPr="00E114F1">
        <w:rPr>
          <w:lang w:val="sk-SK"/>
        </w:rPr>
        <w:t xml:space="preserve">mg: Biele, </w:t>
      </w:r>
      <w:r w:rsidR="00924AE5" w:rsidRPr="00E114F1">
        <w:rPr>
          <w:lang w:val="sk-SK"/>
        </w:rPr>
        <w:t>guľaté</w:t>
      </w:r>
      <w:r w:rsidRPr="00E114F1">
        <w:rPr>
          <w:lang w:val="sk-SK"/>
        </w:rPr>
        <w:t xml:space="preserve">, konvexné </w:t>
      </w:r>
      <w:r w:rsidR="00924AE5" w:rsidRPr="00E114F1">
        <w:rPr>
          <w:lang w:val="sk-SK"/>
        </w:rPr>
        <w:t>filmom obalené tablety s priemerom jadra 10,3</w:t>
      </w:r>
      <w:r w:rsidR="00FC55AA" w:rsidRPr="00E114F1">
        <w:rPr>
          <w:lang w:val="sk-SK"/>
        </w:rPr>
        <w:t> </w:t>
      </w:r>
      <w:r w:rsidR="00924AE5" w:rsidRPr="00E114F1">
        <w:rPr>
          <w:lang w:val="sk-SK"/>
        </w:rPr>
        <w:t>mm</w:t>
      </w:r>
      <w:r w:rsidR="00C74BDC" w:rsidRPr="00E114F1">
        <w:rPr>
          <w:lang w:val="sk-SK"/>
        </w:rPr>
        <w:t>.</w:t>
      </w:r>
    </w:p>
    <w:p w14:paraId="5F25E5FB" w14:textId="77777777" w:rsidR="004E6251" w:rsidRPr="00E114F1" w:rsidRDefault="00A562CD" w:rsidP="004E6251">
      <w:pPr>
        <w:pStyle w:val="Normlndobloku"/>
        <w:rPr>
          <w:lang w:val="sk-SK"/>
        </w:rPr>
      </w:pPr>
      <w:r w:rsidRPr="00E114F1">
        <w:rPr>
          <w:lang w:val="sk-SK"/>
        </w:rPr>
        <w:t>M</w:t>
      </w:r>
      <w:r w:rsidR="00FC55AA" w:rsidRPr="00E114F1">
        <w:rPr>
          <w:lang w:val="sk-SK"/>
        </w:rPr>
        <w:t>EDOCIPRIN</w:t>
      </w:r>
      <w:r w:rsidR="00EB7858" w:rsidRPr="00E114F1">
        <w:rPr>
          <w:lang w:val="sk-SK"/>
        </w:rPr>
        <w:t xml:space="preserve"> 500</w:t>
      </w:r>
      <w:r w:rsidR="00FC55AA" w:rsidRPr="00E114F1">
        <w:rPr>
          <w:lang w:val="sk-SK"/>
        </w:rPr>
        <w:t> </w:t>
      </w:r>
      <w:r w:rsidR="00EB7858" w:rsidRPr="00E114F1">
        <w:rPr>
          <w:lang w:val="sk-SK"/>
        </w:rPr>
        <w:t xml:space="preserve">mg: </w:t>
      </w:r>
      <w:r w:rsidR="004E6251" w:rsidRPr="00E114F1">
        <w:rPr>
          <w:lang w:val="sk-SK"/>
        </w:rPr>
        <w:t>Biele</w:t>
      </w:r>
      <w:r w:rsidR="00EB7858" w:rsidRPr="00E114F1">
        <w:rPr>
          <w:lang w:val="sk-SK"/>
        </w:rPr>
        <w:t xml:space="preserve">, </w:t>
      </w:r>
      <w:r w:rsidR="0009676D" w:rsidRPr="00E114F1">
        <w:rPr>
          <w:lang w:val="sk-SK"/>
        </w:rPr>
        <w:t>konvexné, filmom obalené tablety v</w:t>
      </w:r>
      <w:r w:rsidR="00FC55AA" w:rsidRPr="00E114F1">
        <w:rPr>
          <w:lang w:val="sk-SK"/>
        </w:rPr>
        <w:t> </w:t>
      </w:r>
      <w:r w:rsidR="0009676D" w:rsidRPr="00E114F1">
        <w:rPr>
          <w:lang w:val="sk-SK"/>
        </w:rPr>
        <w:t>tvare kapsuly, s deliacou ryhou</w:t>
      </w:r>
      <w:r w:rsidR="00EB7858" w:rsidRPr="00E114F1">
        <w:rPr>
          <w:lang w:val="sk-SK"/>
        </w:rPr>
        <w:t xml:space="preserve">, </w:t>
      </w:r>
      <w:r w:rsidR="0009676D" w:rsidRPr="00E114F1">
        <w:rPr>
          <w:lang w:val="sk-SK"/>
        </w:rPr>
        <w:t>s</w:t>
      </w:r>
      <w:r w:rsidR="00A03082" w:rsidRPr="00E114F1">
        <w:rPr>
          <w:lang w:val="sk-SK"/>
        </w:rPr>
        <w:t xml:space="preserve"> označením </w:t>
      </w:r>
      <w:r w:rsidR="00EB7858" w:rsidRPr="00E114F1">
        <w:rPr>
          <w:lang w:val="sk-SK"/>
        </w:rPr>
        <w:t>“MC”</w:t>
      </w:r>
      <w:r w:rsidR="0009676D" w:rsidRPr="00E114F1">
        <w:rPr>
          <w:lang w:val="sk-SK"/>
        </w:rPr>
        <w:t>, r</w:t>
      </w:r>
      <w:r w:rsidR="004E6251" w:rsidRPr="00E114F1">
        <w:rPr>
          <w:lang w:val="sk-SK"/>
        </w:rPr>
        <w:t>ozmery jadra 17,5 x 8</w:t>
      </w:r>
      <w:r w:rsidR="00FC55AA" w:rsidRPr="00E114F1">
        <w:rPr>
          <w:lang w:val="sk-SK"/>
        </w:rPr>
        <w:t> </w:t>
      </w:r>
      <w:r w:rsidR="004E6251" w:rsidRPr="00E114F1">
        <w:rPr>
          <w:lang w:val="sk-SK"/>
        </w:rPr>
        <w:t>mm</w:t>
      </w:r>
      <w:r w:rsidR="00A03082" w:rsidRPr="00E114F1">
        <w:rPr>
          <w:lang w:val="sk-SK"/>
        </w:rPr>
        <w:t>.</w:t>
      </w:r>
    </w:p>
    <w:p w14:paraId="4BF4B103" w14:textId="77777777" w:rsidR="00D147AD" w:rsidRPr="00BF5AB0" w:rsidRDefault="00D147AD" w:rsidP="00D147AD">
      <w:r w:rsidRPr="00891D76">
        <w:t>Deliaca ryha iba pomáha rozlomiť tabletu, aby sa dala ľahšie prehltnúť</w:t>
      </w:r>
      <w:r>
        <w:t>,</w:t>
      </w:r>
      <w:r w:rsidRPr="00891D76">
        <w:t xml:space="preserve"> a</w:t>
      </w:r>
      <w:r>
        <w:t> </w:t>
      </w:r>
      <w:r w:rsidRPr="00BF5AB0">
        <w:t>neslúži na rozdelenie na</w:t>
      </w:r>
      <w:r>
        <w:t xml:space="preserve"> rovnaké dávky.</w:t>
      </w:r>
    </w:p>
    <w:p w14:paraId="0537B056" w14:textId="77777777" w:rsidR="000C3C2C" w:rsidRPr="00E114F1" w:rsidRDefault="000C3C2C" w:rsidP="00405A33">
      <w:pPr>
        <w:pStyle w:val="Styl1"/>
        <w:rPr>
          <w:lang w:val="sk-SK"/>
        </w:rPr>
      </w:pPr>
      <w:r w:rsidRPr="00E114F1">
        <w:rPr>
          <w:lang w:val="sk-SK"/>
        </w:rPr>
        <w:t>KLINICKÉ ÚDAJE</w:t>
      </w:r>
    </w:p>
    <w:p w14:paraId="44748A77" w14:textId="77777777" w:rsidR="009E6B93" w:rsidRPr="00E114F1" w:rsidRDefault="009E6B93" w:rsidP="007049B5">
      <w:pPr>
        <w:pStyle w:val="Styl2"/>
        <w:rPr>
          <w:lang w:val="sk-SK"/>
        </w:rPr>
      </w:pPr>
      <w:r w:rsidRPr="00E114F1">
        <w:rPr>
          <w:lang w:val="sk-SK"/>
        </w:rPr>
        <w:t>Terapeutické indikácie</w:t>
      </w:r>
    </w:p>
    <w:p w14:paraId="45F0CC0D" w14:textId="77777777" w:rsidR="009E6B93" w:rsidRPr="00E114F1" w:rsidRDefault="00A562CD" w:rsidP="007049B5">
      <w:pPr>
        <w:pStyle w:val="Normlndobloku"/>
        <w:rPr>
          <w:lang w:val="sk-SK"/>
        </w:rPr>
      </w:pPr>
      <w:r w:rsidRPr="00E114F1">
        <w:rPr>
          <w:lang w:val="sk-SK"/>
        </w:rPr>
        <w:t>M</w:t>
      </w:r>
      <w:r w:rsidR="00FC55AA" w:rsidRPr="00E114F1">
        <w:rPr>
          <w:lang w:val="sk-SK"/>
        </w:rPr>
        <w:t>EDOCIPRIN</w:t>
      </w:r>
      <w:r w:rsidR="009E6B93" w:rsidRPr="00E114F1">
        <w:rPr>
          <w:lang w:val="sk-SK"/>
        </w:rPr>
        <w:t xml:space="preserve"> filmom obalené tablety sú indikované na liečbu nasledovných infekcií (pozri časti 4.4 a</w:t>
      </w:r>
      <w:r w:rsidR="00FC55AA" w:rsidRPr="00E114F1">
        <w:rPr>
          <w:lang w:val="sk-SK"/>
        </w:rPr>
        <w:t> </w:t>
      </w:r>
      <w:r w:rsidR="009E6B93" w:rsidRPr="00E114F1">
        <w:rPr>
          <w:lang w:val="sk-SK"/>
        </w:rPr>
        <w:t>5.1).</w:t>
      </w:r>
      <w:r w:rsidR="009E6B93" w:rsidRPr="00E114F1">
        <w:rPr>
          <w:rFonts w:eastAsia="Batang"/>
          <w:lang w:val="sk-SK"/>
        </w:rPr>
        <w:t xml:space="preserve"> Pred začatím liečby je potrebné venovať osobitnú pozornosť dostupným informáciám o rezistencii na ciprofloxacín.</w:t>
      </w:r>
    </w:p>
    <w:p w14:paraId="41D0D9E0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Je potrebné zohľadniť oficiálne odporúčania týkajúce sa náležitého použitia antibakteriálnych látok.</w:t>
      </w:r>
    </w:p>
    <w:p w14:paraId="04434756" w14:textId="77777777" w:rsidR="009E6B93" w:rsidRPr="00E114F1" w:rsidRDefault="009E6B93" w:rsidP="00F91CB2">
      <w:pPr>
        <w:pStyle w:val="Styl30"/>
      </w:pPr>
      <w:r w:rsidRPr="00E114F1">
        <w:t>Dospelí</w:t>
      </w:r>
    </w:p>
    <w:p w14:paraId="2414635E" w14:textId="77777777" w:rsidR="009E6B93" w:rsidRPr="00E114F1" w:rsidRDefault="00DE1B35" w:rsidP="00A14744">
      <w:pPr>
        <w:pStyle w:val="Normlndoblokusodrkami"/>
        <w:rPr>
          <w:lang w:val="sk-SK"/>
        </w:rPr>
      </w:pPr>
      <w:r w:rsidRPr="00DE1B35">
        <w:rPr>
          <w:lang w:val="sk-SK"/>
        </w:rPr>
        <w:t>Infekcie dolných dýchacích ciest spôsobené gramnegatívnymi baktériami:</w:t>
      </w:r>
    </w:p>
    <w:p w14:paraId="3D34DEAC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- exacerbácie chronického obštrukčného ochorenia pľúc</w:t>
      </w:r>
    </w:p>
    <w:p w14:paraId="304F37F0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- infekcie priedušiek a pľúc pri cystickej fibróze alebo pri bronchiektázii</w:t>
      </w:r>
    </w:p>
    <w:p w14:paraId="6A21C8A7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- zápal pľúc</w:t>
      </w:r>
    </w:p>
    <w:p w14:paraId="2D1BA009" w14:textId="77777777" w:rsidR="009E6B93" w:rsidRPr="00E114F1" w:rsidRDefault="00DE1B35" w:rsidP="00A14744">
      <w:pPr>
        <w:pStyle w:val="Normlndoblokusodrkami"/>
        <w:rPr>
          <w:lang w:val="sk-SK"/>
        </w:rPr>
      </w:pPr>
      <w:r w:rsidRPr="00DE1B35">
        <w:rPr>
          <w:lang w:val="sk-SK"/>
        </w:rPr>
        <w:t>Chronický hnisavý zápal stredného ucha</w:t>
      </w:r>
    </w:p>
    <w:p w14:paraId="17D74C4B" w14:textId="77777777" w:rsidR="009E6B93" w:rsidRPr="00E114F1" w:rsidRDefault="00DE1B35" w:rsidP="00A14744">
      <w:pPr>
        <w:pStyle w:val="Normlndoblokusodrkami"/>
        <w:rPr>
          <w:lang w:val="sk-SK"/>
        </w:rPr>
      </w:pPr>
      <w:r w:rsidRPr="00DE1B35">
        <w:rPr>
          <w:lang w:val="sk-SK"/>
        </w:rPr>
        <w:t>Akútna exacerbácia chronickej sínusitídy, najmä ak je spôsobená gramnegatívnymi baktériami</w:t>
      </w:r>
    </w:p>
    <w:p w14:paraId="3996969D" w14:textId="77777777" w:rsidR="009E6B93" w:rsidRPr="00E114F1" w:rsidRDefault="00DE1B35" w:rsidP="00A14744">
      <w:pPr>
        <w:pStyle w:val="Normlndoblokusodrkami"/>
        <w:rPr>
          <w:lang w:val="sk-SK"/>
        </w:rPr>
      </w:pPr>
      <w:r w:rsidRPr="00DE1B35">
        <w:rPr>
          <w:lang w:val="sk-SK"/>
        </w:rPr>
        <w:t>Infekcie močových ciest</w:t>
      </w:r>
    </w:p>
    <w:p w14:paraId="611CD5CE" w14:textId="77777777" w:rsidR="009E6B93" w:rsidRPr="00E114F1" w:rsidRDefault="00DE1B35" w:rsidP="00A14744">
      <w:pPr>
        <w:pStyle w:val="Normlndoblokusodrkami"/>
        <w:rPr>
          <w:lang w:val="sk-SK"/>
        </w:rPr>
      </w:pPr>
      <w:r w:rsidRPr="00DE1B35">
        <w:rPr>
          <w:lang w:val="sk-SK"/>
        </w:rPr>
        <w:lastRenderedPageBreak/>
        <w:t>Gonokoková uretritída a cervicitída</w:t>
      </w:r>
    </w:p>
    <w:p w14:paraId="2A4338B2" w14:textId="77777777" w:rsidR="009E6B93" w:rsidRPr="00E114F1" w:rsidRDefault="00DE1B35" w:rsidP="00A14744">
      <w:pPr>
        <w:pStyle w:val="Normlndoblokusodrkami"/>
        <w:rPr>
          <w:lang w:val="sk-SK"/>
        </w:rPr>
      </w:pPr>
      <w:r w:rsidRPr="00DE1B35">
        <w:rPr>
          <w:lang w:val="sk-SK"/>
        </w:rPr>
        <w:t>Epididymoorchitída vrátane prípadov vyvolaných Neisseria gonorrhoeae</w:t>
      </w:r>
    </w:p>
    <w:p w14:paraId="6FE2DDFA" w14:textId="77777777" w:rsidR="009E6B93" w:rsidRPr="00E114F1" w:rsidRDefault="00DE1B35" w:rsidP="00A14744">
      <w:pPr>
        <w:pStyle w:val="Normlndoblokusodrkami"/>
        <w:rPr>
          <w:lang w:val="sk-SK"/>
        </w:rPr>
      </w:pPr>
      <w:r w:rsidRPr="00DE1B35">
        <w:rPr>
          <w:lang w:val="sk-SK"/>
        </w:rPr>
        <w:t>Zápalové ochorenie panvy vrátane prípadov vyvolaných Neisseria gonorrhoeae</w:t>
      </w:r>
    </w:p>
    <w:p w14:paraId="6D6AAD70" w14:textId="77777777" w:rsidR="009E6B93" w:rsidRPr="00E114F1" w:rsidRDefault="009E6B93" w:rsidP="007049B5">
      <w:pPr>
        <w:pStyle w:val="Normlndobloku"/>
        <w:rPr>
          <w:rFonts w:eastAsia="Batang"/>
          <w:lang w:val="sk-SK"/>
        </w:rPr>
      </w:pPr>
      <w:r w:rsidRPr="00E114F1">
        <w:rPr>
          <w:rFonts w:eastAsia="Batang"/>
          <w:lang w:val="sk-SK"/>
        </w:rPr>
        <w:t xml:space="preserve">Ak sa u vyššie uvedených infekcií pohlavného traktu predpokladá alebo je známe, že sú spôsobené </w:t>
      </w:r>
      <w:r w:rsidRPr="00E114F1">
        <w:rPr>
          <w:rStyle w:val="BacilChar"/>
          <w:rFonts w:eastAsia="Batang"/>
          <w:lang w:val="sk-SK"/>
        </w:rPr>
        <w:t>Neisseria gonorrhoeae</w:t>
      </w:r>
      <w:r w:rsidRPr="00E114F1">
        <w:rPr>
          <w:rFonts w:eastAsia="Batang"/>
          <w:lang w:val="sk-SK"/>
        </w:rPr>
        <w:t>,</w:t>
      </w:r>
      <w:r w:rsidRPr="00E114F1">
        <w:rPr>
          <w:rStyle w:val="BacilChar"/>
          <w:rFonts w:eastAsia="Batang"/>
          <w:lang w:val="sk-SK"/>
        </w:rPr>
        <w:t xml:space="preserve"> </w:t>
      </w:r>
      <w:r w:rsidRPr="00E114F1">
        <w:rPr>
          <w:rFonts w:eastAsia="Batang"/>
          <w:lang w:val="sk-SK"/>
        </w:rPr>
        <w:t>je obzvlášť dôležité získať miestne informácie o prevalencii rezistencie na ciprofloxacín a potvrdiť citlivosť na základe laboratórnych testov.</w:t>
      </w:r>
    </w:p>
    <w:p w14:paraId="308C9800" w14:textId="77777777" w:rsidR="009E6B93" w:rsidRPr="00E114F1" w:rsidRDefault="00DE1B35" w:rsidP="00A14744">
      <w:pPr>
        <w:pStyle w:val="Normlndoblokusodrkami"/>
        <w:rPr>
          <w:lang w:val="sk-SK"/>
        </w:rPr>
      </w:pPr>
      <w:r w:rsidRPr="00DE1B35">
        <w:rPr>
          <w:lang w:val="sk-SK"/>
        </w:rPr>
        <w:t>Infekcie gastrointestinálneho traktu (napr. hnačka cestovateľov)</w:t>
      </w:r>
    </w:p>
    <w:p w14:paraId="1CB00AA6" w14:textId="77777777" w:rsidR="009E6B93" w:rsidRPr="00E114F1" w:rsidRDefault="00DE1B35" w:rsidP="00A14744">
      <w:pPr>
        <w:pStyle w:val="Normlndoblokusodrkami"/>
        <w:rPr>
          <w:lang w:val="sk-SK"/>
        </w:rPr>
      </w:pPr>
      <w:r w:rsidRPr="00DE1B35">
        <w:rPr>
          <w:lang w:val="sk-SK"/>
        </w:rPr>
        <w:t>Intraabdominálne infekcie</w:t>
      </w:r>
    </w:p>
    <w:p w14:paraId="28954332" w14:textId="77777777" w:rsidR="009E6B93" w:rsidRPr="00E114F1" w:rsidRDefault="00DE1B35" w:rsidP="00A14744">
      <w:pPr>
        <w:pStyle w:val="Normlndoblokusodrkami"/>
        <w:rPr>
          <w:lang w:val="sk-SK"/>
        </w:rPr>
      </w:pPr>
      <w:r w:rsidRPr="00DE1B35">
        <w:rPr>
          <w:lang w:val="sk-SK"/>
        </w:rPr>
        <w:t>Infekcie kože a mäkkých tkanív spôsobené gramnegatívnymi baktériami</w:t>
      </w:r>
    </w:p>
    <w:p w14:paraId="013F942F" w14:textId="77777777" w:rsidR="009E6B93" w:rsidRPr="00E114F1" w:rsidRDefault="00DE1B35" w:rsidP="00A14744">
      <w:pPr>
        <w:pStyle w:val="Normlndoblokusodrkami"/>
        <w:rPr>
          <w:lang w:val="sk-SK"/>
        </w:rPr>
      </w:pPr>
      <w:r w:rsidRPr="00DE1B35">
        <w:rPr>
          <w:lang w:val="sk-SK"/>
        </w:rPr>
        <w:t>Malígny zápal vonkajšieho ucha</w:t>
      </w:r>
    </w:p>
    <w:p w14:paraId="7F247955" w14:textId="77777777" w:rsidR="009E6B93" w:rsidRPr="00E114F1" w:rsidRDefault="00DE1B35" w:rsidP="00A14744">
      <w:pPr>
        <w:pStyle w:val="Normlndoblokusodrkami"/>
        <w:rPr>
          <w:lang w:val="sk-SK"/>
        </w:rPr>
      </w:pPr>
      <w:r w:rsidRPr="00DE1B35">
        <w:rPr>
          <w:lang w:val="sk-SK"/>
        </w:rPr>
        <w:t>Infekcie kostí a kĺbov</w:t>
      </w:r>
    </w:p>
    <w:p w14:paraId="354F9CCE" w14:textId="77777777" w:rsidR="009E6B93" w:rsidRPr="00E114F1" w:rsidRDefault="00DE1B35" w:rsidP="00A14744">
      <w:pPr>
        <w:pStyle w:val="Normlndoblokusodrkami"/>
        <w:rPr>
          <w:lang w:val="sk-SK"/>
        </w:rPr>
      </w:pPr>
      <w:r w:rsidRPr="00DE1B35">
        <w:rPr>
          <w:lang w:val="sk-SK"/>
        </w:rPr>
        <w:t>Liečba infekcií u pacientov s neutropéniou</w:t>
      </w:r>
    </w:p>
    <w:p w14:paraId="4A3F51A5" w14:textId="77777777" w:rsidR="009E6B93" w:rsidRPr="00E114F1" w:rsidRDefault="00DE1B35" w:rsidP="00A14744">
      <w:pPr>
        <w:pStyle w:val="Normlndoblokusodrkami"/>
        <w:rPr>
          <w:lang w:val="sk-SK"/>
        </w:rPr>
      </w:pPr>
      <w:r w:rsidRPr="00DE1B35">
        <w:rPr>
          <w:lang w:val="sk-SK"/>
        </w:rPr>
        <w:t>Profylaxia infekcií u pacientov s neutropéniou</w:t>
      </w:r>
    </w:p>
    <w:p w14:paraId="7A2BF35D" w14:textId="77777777" w:rsidR="009E6B93" w:rsidRPr="00E114F1" w:rsidRDefault="00DE1B35" w:rsidP="00A14744">
      <w:pPr>
        <w:pStyle w:val="Normlndoblokusodrkami"/>
        <w:rPr>
          <w:lang w:val="sk-SK"/>
        </w:rPr>
      </w:pPr>
      <w:r w:rsidRPr="00DE1B35">
        <w:rPr>
          <w:lang w:val="sk-SK"/>
        </w:rPr>
        <w:t>Profylaxia invazívnych infekcií spôsobených Neisseria meningitidis</w:t>
      </w:r>
    </w:p>
    <w:p w14:paraId="0324417B" w14:textId="77777777" w:rsidR="009E6B93" w:rsidRPr="00E114F1" w:rsidRDefault="00DE1B35" w:rsidP="00A14744">
      <w:pPr>
        <w:pStyle w:val="Normlndoblokusodrkami"/>
        <w:rPr>
          <w:lang w:val="sk-SK"/>
        </w:rPr>
      </w:pPr>
      <w:r w:rsidRPr="00DE1B35">
        <w:rPr>
          <w:bCs/>
          <w:iCs/>
          <w:lang w:val="sk-SK"/>
        </w:rPr>
        <w:t>Inhalačný antrax</w:t>
      </w:r>
      <w:r w:rsidRPr="00DE1B35">
        <w:rPr>
          <w:lang w:val="sk-SK"/>
        </w:rPr>
        <w:t xml:space="preserve"> (poexpozičná profylaxia a následná liečba)</w:t>
      </w:r>
    </w:p>
    <w:p w14:paraId="20F0C78E" w14:textId="77777777" w:rsidR="009E6B93" w:rsidRPr="00E114F1" w:rsidRDefault="00B329D8" w:rsidP="00F91CB2">
      <w:pPr>
        <w:pStyle w:val="Styl30"/>
      </w:pPr>
      <w:r>
        <w:t>Deti a dospievajúci</w:t>
      </w:r>
    </w:p>
    <w:p w14:paraId="50244B15" w14:textId="77777777" w:rsidR="009E6B93" w:rsidRPr="00E114F1" w:rsidRDefault="00DE1B35" w:rsidP="00A14744">
      <w:pPr>
        <w:pStyle w:val="Normlndoblokusodrkami"/>
        <w:rPr>
          <w:lang w:val="sk-SK"/>
        </w:rPr>
      </w:pPr>
      <w:r w:rsidRPr="00DE1B35">
        <w:rPr>
          <w:lang w:val="sk-SK"/>
        </w:rPr>
        <w:t xml:space="preserve">Infekcie priedušiek a pľúc pri cystickej fibróze spôsobené </w:t>
      </w:r>
      <w:r w:rsidRPr="00DE1B35">
        <w:rPr>
          <w:i/>
          <w:lang w:val="sk-SK"/>
        </w:rPr>
        <w:t>Pseudomonas aeruginosa</w:t>
      </w:r>
    </w:p>
    <w:p w14:paraId="1B6153D3" w14:textId="77777777" w:rsidR="009E6B93" w:rsidRPr="00E114F1" w:rsidRDefault="00DE1B35" w:rsidP="00A14744">
      <w:pPr>
        <w:pStyle w:val="Normlndoblokusodrkami"/>
        <w:rPr>
          <w:lang w:val="sk-SK"/>
        </w:rPr>
      </w:pPr>
      <w:r w:rsidRPr="00DE1B35">
        <w:rPr>
          <w:lang w:val="sk-SK"/>
        </w:rPr>
        <w:t>Komplikované infekcie močových ciest a pyelonefritída</w:t>
      </w:r>
    </w:p>
    <w:p w14:paraId="7FD98E67" w14:textId="77777777" w:rsidR="009E6B93" w:rsidRPr="00E114F1" w:rsidRDefault="00DE1B35" w:rsidP="00A14744">
      <w:pPr>
        <w:pStyle w:val="Normlndoblokusodrkami"/>
        <w:rPr>
          <w:lang w:val="sk-SK"/>
        </w:rPr>
      </w:pPr>
      <w:r w:rsidRPr="00DE1B35">
        <w:rPr>
          <w:bCs/>
          <w:iCs/>
          <w:lang w:val="sk-SK"/>
        </w:rPr>
        <w:t>Inhalačný antrax</w:t>
      </w:r>
      <w:r w:rsidRPr="00DE1B35">
        <w:rPr>
          <w:lang w:val="sk-SK"/>
        </w:rPr>
        <w:t xml:space="preserve"> (poexpozičná profylaxia a následná liečba)</w:t>
      </w:r>
    </w:p>
    <w:p w14:paraId="583913EE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Ak sa to považuje za nevyhnutné, ciprofloxacín možno u detí a</w:t>
      </w:r>
      <w:r w:rsidR="00405287" w:rsidRPr="00E114F1">
        <w:rPr>
          <w:lang w:val="sk-SK"/>
        </w:rPr>
        <w:t> dospievajúcich</w:t>
      </w:r>
      <w:r w:rsidRPr="00E114F1">
        <w:rPr>
          <w:lang w:val="sk-SK"/>
        </w:rPr>
        <w:t xml:space="preserve"> použiť aj na liečbu ťažkých infekcií.</w:t>
      </w:r>
    </w:p>
    <w:p w14:paraId="20BE7DE2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Liečbu majú začínať iba lekári so skúsenosťami s</w:t>
      </w:r>
      <w:r w:rsidR="00405287" w:rsidRPr="00E114F1">
        <w:rPr>
          <w:lang w:val="sk-SK"/>
        </w:rPr>
        <w:t> </w:t>
      </w:r>
      <w:r w:rsidRPr="00E114F1">
        <w:rPr>
          <w:lang w:val="sk-SK"/>
        </w:rPr>
        <w:t>liečbou cystickej fibrózy a/alebo závažných infekcií u</w:t>
      </w:r>
      <w:r w:rsidR="00405287" w:rsidRPr="00E114F1">
        <w:rPr>
          <w:lang w:val="sk-SK"/>
        </w:rPr>
        <w:t> </w:t>
      </w:r>
      <w:r w:rsidRPr="00E114F1">
        <w:rPr>
          <w:lang w:val="sk-SK"/>
        </w:rPr>
        <w:t>detí a</w:t>
      </w:r>
      <w:r w:rsidR="00405287" w:rsidRPr="00E114F1">
        <w:rPr>
          <w:lang w:val="sk-SK"/>
        </w:rPr>
        <w:t> dospievajúcich</w:t>
      </w:r>
      <w:r w:rsidRPr="00E114F1">
        <w:rPr>
          <w:lang w:val="sk-SK"/>
        </w:rPr>
        <w:t xml:space="preserve"> (pozri časti 4.4 a</w:t>
      </w:r>
      <w:r w:rsidR="00405287" w:rsidRPr="00E114F1">
        <w:rPr>
          <w:lang w:val="sk-SK"/>
        </w:rPr>
        <w:t> </w:t>
      </w:r>
      <w:r w:rsidRPr="00E114F1">
        <w:rPr>
          <w:lang w:val="sk-SK"/>
        </w:rPr>
        <w:t>5.1).</w:t>
      </w:r>
    </w:p>
    <w:p w14:paraId="46F01A92" w14:textId="77777777" w:rsidR="009E6B93" w:rsidRPr="00E114F1" w:rsidRDefault="009E6B93" w:rsidP="007049B5">
      <w:pPr>
        <w:pStyle w:val="Styl2"/>
        <w:rPr>
          <w:lang w:val="sk-SK"/>
        </w:rPr>
      </w:pPr>
      <w:r w:rsidRPr="00E114F1">
        <w:rPr>
          <w:lang w:val="sk-SK"/>
        </w:rPr>
        <w:t>Dávkovanie a spôsob podávania</w:t>
      </w:r>
    </w:p>
    <w:p w14:paraId="04383A38" w14:textId="77777777" w:rsidR="00D07F1D" w:rsidRDefault="00405287">
      <w:pPr>
        <w:pStyle w:val="tlStyl3NiejeKurzva"/>
      </w:pPr>
      <w:r w:rsidRPr="005F69AE">
        <w:t>Dávkovanie</w:t>
      </w:r>
    </w:p>
    <w:p w14:paraId="7C1E2E63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Dávkovanie sa určuje podľa indikácie, závažnosti a miesta infekcie, citlivosti mikroorganizmu (mikroorganizmov) spôsobujúceho ochorenie na ciprofloxacín, funkcie obličiek pacienta a u detí a </w:t>
      </w:r>
      <w:r w:rsidR="00405287" w:rsidRPr="00E114F1">
        <w:rPr>
          <w:lang w:val="sk-SK"/>
        </w:rPr>
        <w:t>dospievajúcich</w:t>
      </w:r>
      <w:r w:rsidRPr="00E114F1">
        <w:rPr>
          <w:lang w:val="sk-SK"/>
        </w:rPr>
        <w:t xml:space="preserve"> podľa telesnej hmotnosti.</w:t>
      </w:r>
    </w:p>
    <w:p w14:paraId="2CE68713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Dĺžka liečby závisí od závažnosti ochorenia a klinického a mikrobiologického priebehu ochorenia.</w:t>
      </w:r>
    </w:p>
    <w:p w14:paraId="22D8A82A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Liečba infekcií spôsobená určitou baktériou (napr.</w:t>
      </w:r>
      <w:r w:rsidR="00405287" w:rsidRPr="00E114F1">
        <w:rPr>
          <w:lang w:val="sk-SK"/>
        </w:rPr>
        <w:t> </w:t>
      </w:r>
      <w:r w:rsidRPr="00E114F1">
        <w:rPr>
          <w:rStyle w:val="BacilChar"/>
          <w:lang w:val="sk-SK"/>
        </w:rPr>
        <w:t>Pseudomonas aeruginosa</w:t>
      </w:r>
      <w:r w:rsidRPr="00E114F1">
        <w:rPr>
          <w:lang w:val="sk-SK"/>
        </w:rPr>
        <w:t xml:space="preserve">, </w:t>
      </w:r>
      <w:r w:rsidRPr="00E114F1">
        <w:rPr>
          <w:rStyle w:val="BacilChar"/>
          <w:lang w:val="sk-SK"/>
        </w:rPr>
        <w:t xml:space="preserve">Acinetobacter </w:t>
      </w:r>
      <w:r w:rsidRPr="00E114F1">
        <w:rPr>
          <w:iCs/>
          <w:lang w:val="sk-SK"/>
        </w:rPr>
        <w:t>alebo</w:t>
      </w:r>
      <w:r w:rsidRPr="00E114F1">
        <w:rPr>
          <w:rStyle w:val="BacilChar"/>
          <w:lang w:val="sk-SK"/>
        </w:rPr>
        <w:t xml:space="preserve"> Stafylococci)</w:t>
      </w:r>
      <w:r w:rsidRPr="00E114F1">
        <w:rPr>
          <w:lang w:val="sk-SK"/>
        </w:rPr>
        <w:t xml:space="preserve"> si môže vyžadovať vyššie dávky ciprofloxacínu a súbežné podávanie inej vhodnej antibakteriálnej látky (látok).</w:t>
      </w:r>
    </w:p>
    <w:p w14:paraId="6CB818F0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Liečba niektorých infekcií (napr.</w:t>
      </w:r>
      <w:r w:rsidR="00405287" w:rsidRPr="00E114F1">
        <w:rPr>
          <w:lang w:val="sk-SK"/>
        </w:rPr>
        <w:t> </w:t>
      </w:r>
      <w:r w:rsidRPr="00E114F1">
        <w:rPr>
          <w:lang w:val="sk-SK"/>
        </w:rPr>
        <w:t>zápalové ochorenie panvy, intraabdominálne infekcie, infekcie u pacientov s neutropéniou a infekcie kostí a kĺbov) si môžu vyžadovať súbežné podávanie s inými vhodnými antibakteriálnymi látkami v závislosti od prítomných patogénov.</w:t>
      </w:r>
    </w:p>
    <w:p w14:paraId="6DA1AC8A" w14:textId="77777777" w:rsidR="009E6B93" w:rsidRPr="00E114F1" w:rsidRDefault="009E6B93" w:rsidP="00F91CB2">
      <w:pPr>
        <w:pStyle w:val="Styl30"/>
      </w:pPr>
      <w:r w:rsidRPr="00E114F1">
        <w:t>Dospelí</w:t>
      </w:r>
    </w:p>
    <w:tbl>
      <w:tblPr>
        <w:tblW w:w="9791" w:type="dxa"/>
        <w:tblInd w:w="120" w:type="dxa"/>
        <w:tblBorders>
          <w:top w:val="single" w:sz="12" w:space="0" w:color="auto"/>
          <w:left w:val="single" w:sz="6" w:space="0" w:color="auto"/>
          <w:bottom w:val="single" w:sz="12" w:space="0" w:color="auto"/>
          <w:right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10"/>
        <w:gridCol w:w="2400"/>
        <w:gridCol w:w="10"/>
        <w:gridCol w:w="2966"/>
        <w:gridCol w:w="10"/>
      </w:tblGrid>
      <w:tr w:rsidR="009E6B93" w:rsidRPr="00E114F1" w14:paraId="231B5D48" w14:textId="77777777" w:rsidTr="00C26C47">
        <w:trPr>
          <w:tblHeader/>
        </w:trPr>
        <w:tc>
          <w:tcPr>
            <w:tcW w:w="44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6525FD" w14:textId="77777777" w:rsidR="009E6B93" w:rsidRPr="00E114F1" w:rsidRDefault="009E6B93" w:rsidP="007049B5">
            <w:r w:rsidRPr="00E114F1">
              <w:lastRenderedPageBreak/>
              <w:t>Indikácie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6F3E7E" w14:textId="77777777" w:rsidR="009E6B93" w:rsidRPr="00E114F1" w:rsidRDefault="009E6B93" w:rsidP="007049B5">
            <w:r w:rsidRPr="00E114F1">
              <w:t>Denná dávka v</w:t>
            </w:r>
            <w:r w:rsidR="00405287" w:rsidRPr="00E114F1">
              <w:t> </w:t>
            </w:r>
            <w:r w:rsidRPr="00E114F1">
              <w:t>mg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BD2AAE" w14:textId="77777777" w:rsidR="009E6B93" w:rsidRPr="00E114F1" w:rsidRDefault="009E6B93" w:rsidP="007049B5">
            <w:r w:rsidRPr="00E114F1">
              <w:t>Celková dĺžka liečby (potenciálne zahŕňajúca úvodnú parenterálnu liečbu ciprofloxacínom)</w:t>
            </w:r>
          </w:p>
        </w:tc>
      </w:tr>
      <w:tr w:rsidR="009E6B93" w:rsidRPr="00E114F1" w14:paraId="5340C5B9" w14:textId="77777777" w:rsidTr="00C26C47">
        <w:tc>
          <w:tcPr>
            <w:tcW w:w="440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6799" w14:textId="77777777" w:rsidR="009E6B93" w:rsidRPr="00E114F1" w:rsidRDefault="009E6B93" w:rsidP="007049B5">
            <w:r w:rsidRPr="00E114F1">
              <w:t>Infekcie dolných dýchacích ciest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14D9F" w14:textId="77777777" w:rsidR="009E6B93" w:rsidRPr="00E114F1" w:rsidRDefault="009E6B93" w:rsidP="007049B5">
            <w:r w:rsidRPr="00E114F1">
              <w:t>500 mg dvakrát denne až 750 mg dvakrát denne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9C1D" w14:textId="77777777" w:rsidR="009E6B93" w:rsidRPr="00E114F1" w:rsidRDefault="009E6B93" w:rsidP="007049B5">
            <w:r w:rsidRPr="00E114F1">
              <w:t>7 až 14 dní</w:t>
            </w:r>
          </w:p>
        </w:tc>
      </w:tr>
      <w:tr w:rsidR="009E6B93" w:rsidRPr="00E114F1" w14:paraId="0D8C57AA" w14:textId="77777777" w:rsidTr="00C26C47">
        <w:trPr>
          <w:cantSplit/>
          <w:trHeight w:val="24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E2518" w14:textId="77777777" w:rsidR="009E6B93" w:rsidRPr="00E114F1" w:rsidRDefault="009E6B93" w:rsidP="007049B5">
            <w:r w:rsidRPr="00E114F1">
              <w:t>Infekcie horných dýchacích ciest</w:t>
            </w:r>
          </w:p>
        </w:tc>
        <w:tc>
          <w:tcPr>
            <w:tcW w:w="227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11F039" w14:textId="77777777" w:rsidR="009E6B93" w:rsidRPr="00E114F1" w:rsidRDefault="009E6B93" w:rsidP="007049B5">
            <w:r w:rsidRPr="00E114F1">
              <w:t>Akútna exacerbácia chronickej sínusitídy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3980C4" w14:textId="77777777" w:rsidR="009E6B93" w:rsidRPr="00E114F1" w:rsidRDefault="009E6B93" w:rsidP="007049B5">
            <w:r w:rsidRPr="00E114F1">
              <w:t>500 mg dvakrát denne až 750 mg dvakrát denne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0DB2AD" w14:textId="77777777" w:rsidR="009E6B93" w:rsidRPr="00E114F1" w:rsidRDefault="009E6B93" w:rsidP="007049B5">
            <w:r w:rsidRPr="00E114F1">
              <w:t>7 až 14 dní</w:t>
            </w:r>
          </w:p>
        </w:tc>
      </w:tr>
      <w:tr w:rsidR="009E6B93" w:rsidRPr="00E114F1" w14:paraId="5D563D31" w14:textId="77777777" w:rsidTr="00C26C47">
        <w:trPr>
          <w:cantSplit/>
          <w:trHeight w:val="300"/>
        </w:trPr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BCCCE" w14:textId="77777777" w:rsidR="009E6B93" w:rsidRPr="00E114F1" w:rsidRDefault="009E6B93" w:rsidP="007049B5"/>
        </w:tc>
        <w:tc>
          <w:tcPr>
            <w:tcW w:w="22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BCCF94" w14:textId="77777777" w:rsidR="009E6B93" w:rsidRPr="00E114F1" w:rsidRDefault="009E6B93" w:rsidP="007049B5">
            <w:r w:rsidRPr="00E114F1">
              <w:t>Chronický hnisavý zápal stredného ucha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744B51" w14:textId="77777777" w:rsidR="009E6B93" w:rsidRPr="00E114F1" w:rsidRDefault="009E6B93" w:rsidP="007049B5">
            <w:r w:rsidRPr="00E114F1">
              <w:t>500 mg dvakrát denne až 750 mg dvakrát denne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7A2123" w14:textId="77777777" w:rsidR="009E6B93" w:rsidRPr="00E114F1" w:rsidRDefault="009E6B93" w:rsidP="007049B5">
            <w:r w:rsidRPr="00E114F1">
              <w:t>7 až 14 dní</w:t>
            </w:r>
          </w:p>
        </w:tc>
      </w:tr>
      <w:tr w:rsidR="009E6B93" w:rsidRPr="00E114F1" w14:paraId="4DB672F9" w14:textId="77777777" w:rsidTr="00C26C47">
        <w:trPr>
          <w:cantSplit/>
          <w:trHeight w:val="480"/>
        </w:trPr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655D8" w14:textId="77777777" w:rsidR="009E6B93" w:rsidRPr="00E114F1" w:rsidRDefault="009E6B93" w:rsidP="007049B5"/>
        </w:tc>
        <w:tc>
          <w:tcPr>
            <w:tcW w:w="227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1F86" w14:textId="77777777" w:rsidR="009E6B93" w:rsidRPr="00E114F1" w:rsidRDefault="009E6B93" w:rsidP="007049B5">
            <w:r w:rsidRPr="00E114F1">
              <w:t>Malígny zápal vonkajšieho ucha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52A4" w14:textId="77777777" w:rsidR="009E6B93" w:rsidRPr="00E114F1" w:rsidRDefault="009E6B93" w:rsidP="007049B5">
            <w:r w:rsidRPr="00E114F1">
              <w:t>750 mg dvakrát denne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513D3" w14:textId="77777777" w:rsidR="009E6B93" w:rsidRPr="00E114F1" w:rsidRDefault="009E6B93" w:rsidP="007049B5">
            <w:r w:rsidRPr="00E114F1">
              <w:t>28 dní až 3 mesiace</w:t>
            </w:r>
          </w:p>
        </w:tc>
      </w:tr>
      <w:tr w:rsidR="009E6B93" w:rsidRPr="00E114F1" w14:paraId="0E00837B" w14:textId="77777777" w:rsidTr="00C26C47">
        <w:trPr>
          <w:cantSplit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594E5" w14:textId="77777777" w:rsidR="009E6B93" w:rsidRPr="00E114F1" w:rsidRDefault="009E6B93" w:rsidP="00405287">
            <w:r w:rsidRPr="00E114F1">
              <w:t>Infekcie močových ciest</w:t>
            </w:r>
          </w:p>
        </w:tc>
        <w:tc>
          <w:tcPr>
            <w:tcW w:w="22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DF83F" w14:textId="77777777" w:rsidR="009E6B93" w:rsidRPr="00E114F1" w:rsidRDefault="009E6B93" w:rsidP="007049B5">
            <w:pPr>
              <w:rPr>
                <w:spacing w:val="-2"/>
              </w:rPr>
            </w:pPr>
            <w:r w:rsidRPr="00E114F1">
              <w:t>Nekomplikovaná cystitída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967D2" w14:textId="77777777" w:rsidR="009E6B93" w:rsidRPr="00E114F1" w:rsidRDefault="009E6B93" w:rsidP="007049B5">
            <w:r w:rsidRPr="00E114F1">
              <w:t>250 mg dvakrát denne až 500 mg dvakrát denne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C273" w14:textId="77777777" w:rsidR="009E6B93" w:rsidRPr="00E114F1" w:rsidRDefault="009E6B93" w:rsidP="007049B5">
            <w:r w:rsidRPr="00E114F1">
              <w:t>3 dni</w:t>
            </w:r>
          </w:p>
        </w:tc>
      </w:tr>
      <w:tr w:rsidR="009E6B93" w:rsidRPr="00E114F1" w14:paraId="2989D6EA" w14:textId="77777777" w:rsidTr="00C26C47">
        <w:trPr>
          <w:cantSplit/>
        </w:trPr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0C705" w14:textId="77777777" w:rsidR="009E6B93" w:rsidRPr="00E114F1" w:rsidRDefault="009E6B93" w:rsidP="007049B5"/>
        </w:tc>
        <w:tc>
          <w:tcPr>
            <w:tcW w:w="227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FF3A4" w14:textId="77777777" w:rsidR="009E6B93" w:rsidRPr="00E114F1" w:rsidRDefault="009E6B93" w:rsidP="007049B5"/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2B8D7" w14:textId="77777777" w:rsidR="009E6B93" w:rsidRPr="00E114F1" w:rsidRDefault="009E6B93" w:rsidP="007049B5">
            <w:r w:rsidRPr="00E114F1">
              <w:t>U</w:t>
            </w:r>
            <w:r w:rsidR="00405287" w:rsidRPr="00E114F1">
              <w:t> </w:t>
            </w:r>
            <w:r w:rsidRPr="00E114F1">
              <w:t xml:space="preserve">premenopauzálnych žien možno použiť jednorazovú dávku 500 mg </w:t>
            </w:r>
          </w:p>
        </w:tc>
      </w:tr>
      <w:tr w:rsidR="009E6B93" w:rsidRPr="00E114F1" w14:paraId="38DCDFCF" w14:textId="77777777" w:rsidTr="00C26C47">
        <w:trPr>
          <w:cantSplit/>
          <w:trHeight w:val="363"/>
        </w:trPr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69B70" w14:textId="77777777" w:rsidR="009E6B93" w:rsidRPr="00E114F1" w:rsidRDefault="009E6B93" w:rsidP="007049B5"/>
        </w:tc>
        <w:tc>
          <w:tcPr>
            <w:tcW w:w="2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D5A8" w14:textId="77777777" w:rsidR="009E6B93" w:rsidRPr="00E114F1" w:rsidRDefault="009E6B93" w:rsidP="007049B5">
            <w:pPr>
              <w:rPr>
                <w:spacing w:val="-2"/>
              </w:rPr>
            </w:pPr>
            <w:r w:rsidRPr="00E114F1">
              <w:t>Komplikovaná cystitída, nekomplikovaná pyelonefritída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249D3" w14:textId="77777777" w:rsidR="009E6B93" w:rsidRPr="00E114F1" w:rsidRDefault="009E6B93" w:rsidP="007049B5">
            <w:r w:rsidRPr="00E114F1">
              <w:t>500 mg dvakrát denne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6FB8B" w14:textId="77777777" w:rsidR="009E6B93" w:rsidRPr="00E114F1" w:rsidRDefault="009E6B93" w:rsidP="007049B5">
            <w:r w:rsidRPr="00E114F1">
              <w:t>7 dní</w:t>
            </w:r>
          </w:p>
        </w:tc>
      </w:tr>
      <w:tr w:rsidR="009E6B93" w:rsidRPr="00E114F1" w14:paraId="5002A589" w14:textId="77777777" w:rsidTr="00C26C47">
        <w:trPr>
          <w:cantSplit/>
        </w:trPr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2D9A6" w14:textId="77777777" w:rsidR="009E6B93" w:rsidRPr="00E114F1" w:rsidRDefault="009E6B93" w:rsidP="007049B5"/>
        </w:tc>
        <w:tc>
          <w:tcPr>
            <w:tcW w:w="2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79CB" w14:textId="77777777" w:rsidR="009E6B93" w:rsidRPr="00E114F1" w:rsidRDefault="009E6B93" w:rsidP="007049B5">
            <w:pPr>
              <w:rPr>
                <w:spacing w:val="-2"/>
              </w:rPr>
            </w:pPr>
            <w:r w:rsidRPr="00E114F1">
              <w:t xml:space="preserve">Komplikovaná pyelonefritída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14F8" w14:textId="77777777" w:rsidR="009E6B93" w:rsidRPr="00E114F1" w:rsidRDefault="009E6B93" w:rsidP="007049B5">
            <w:r w:rsidRPr="00E114F1">
              <w:t>500 mg dvakrát denne až 750 mg dvakrát denne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E5F16" w14:textId="77777777" w:rsidR="009E6B93" w:rsidRPr="00E114F1" w:rsidRDefault="009E6B93" w:rsidP="007049B5">
            <w:r w:rsidRPr="00E114F1">
              <w:t>minimálne 10 dní, v niektorých špecifických prípadoch možno pokračovať dlhšie než 21 dní (napr.</w:t>
            </w:r>
            <w:r w:rsidR="00405287" w:rsidRPr="00E114F1">
              <w:t> </w:t>
            </w:r>
            <w:r w:rsidRPr="00E114F1">
              <w:t>pri abscesoch)</w:t>
            </w:r>
          </w:p>
        </w:tc>
      </w:tr>
      <w:tr w:rsidR="009E6B93" w:rsidRPr="00E114F1" w14:paraId="48012E50" w14:textId="77777777" w:rsidTr="00C26C47">
        <w:trPr>
          <w:cantSplit/>
        </w:trPr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54ABF" w14:textId="77777777" w:rsidR="009E6B93" w:rsidRPr="00E114F1" w:rsidRDefault="009E6B93" w:rsidP="007049B5"/>
        </w:tc>
        <w:tc>
          <w:tcPr>
            <w:tcW w:w="2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29EC" w14:textId="77777777" w:rsidR="009E6B93" w:rsidRPr="00E114F1" w:rsidRDefault="009E6B93" w:rsidP="007049B5">
            <w:pPr>
              <w:rPr>
                <w:spacing w:val="-2"/>
              </w:rPr>
            </w:pPr>
            <w:r w:rsidRPr="00E114F1">
              <w:t>Prostatitída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226D8" w14:textId="77777777" w:rsidR="009E6B93" w:rsidRPr="00E114F1" w:rsidRDefault="009E6B93" w:rsidP="007049B5">
            <w:r w:rsidRPr="00E114F1">
              <w:t>500 mg dvakrát denne až 750 mg dvakrát denne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D35B" w14:textId="77777777" w:rsidR="009E6B93" w:rsidRPr="00E114F1" w:rsidRDefault="009E6B93" w:rsidP="007049B5">
            <w:pPr>
              <w:rPr>
                <w:spacing w:val="-2"/>
              </w:rPr>
            </w:pPr>
            <w:r w:rsidRPr="00E114F1">
              <w:t>2 až 4 týždne (akútna) až po 4 až 6 týždňov (chronická)</w:t>
            </w:r>
          </w:p>
        </w:tc>
      </w:tr>
      <w:tr w:rsidR="009E6B93" w:rsidRPr="00E114F1" w14:paraId="78A16CED" w14:textId="77777777" w:rsidTr="00C26C47">
        <w:trPr>
          <w:cantSplit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A8E3F" w14:textId="77777777" w:rsidR="009E6B93" w:rsidRPr="00E114F1" w:rsidRDefault="009E6B93" w:rsidP="007049B5">
            <w:r w:rsidRPr="00E114F1">
              <w:t>Infekcie pohlavného traktu</w:t>
            </w:r>
          </w:p>
        </w:tc>
        <w:tc>
          <w:tcPr>
            <w:tcW w:w="2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00943" w14:textId="77777777" w:rsidR="009E6B93" w:rsidRPr="00E114F1" w:rsidRDefault="009E6B93" w:rsidP="007049B5">
            <w:r w:rsidRPr="00E114F1">
              <w:t>Gonokoková uretritída a cervicitída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02B47" w14:textId="77777777" w:rsidR="009E6B93" w:rsidRPr="00E114F1" w:rsidRDefault="009E6B93" w:rsidP="007049B5">
            <w:r w:rsidRPr="00E114F1">
              <w:t xml:space="preserve">500 mg ako jednorazová dávka 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917C2" w14:textId="77777777" w:rsidR="009E6B93" w:rsidRPr="00E114F1" w:rsidRDefault="009E6B93" w:rsidP="007049B5">
            <w:r w:rsidRPr="00E114F1">
              <w:t>1 deň (jednorazová dávka)</w:t>
            </w:r>
          </w:p>
        </w:tc>
      </w:tr>
      <w:tr w:rsidR="009E6B93" w:rsidRPr="00E114F1" w14:paraId="078CD19A" w14:textId="77777777" w:rsidTr="00C26C47">
        <w:trPr>
          <w:cantSplit/>
        </w:trPr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CBF40" w14:textId="77777777" w:rsidR="009E6B93" w:rsidRPr="00E114F1" w:rsidRDefault="009E6B93" w:rsidP="007049B5"/>
        </w:tc>
        <w:tc>
          <w:tcPr>
            <w:tcW w:w="2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1DD88" w14:textId="77777777" w:rsidR="009E6B93" w:rsidRPr="00E114F1" w:rsidRDefault="009E6B93" w:rsidP="007049B5">
            <w:r w:rsidRPr="00E114F1">
              <w:t>Epididymoorchitída a zápalové ochorenia panvy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77BC" w14:textId="77777777" w:rsidR="009E6B93" w:rsidRPr="00E114F1" w:rsidRDefault="009E6B93" w:rsidP="007049B5">
            <w:r w:rsidRPr="00E114F1">
              <w:t>500 mg dvakrát denne až 750 mg dvakrát denne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A2C29" w14:textId="77777777" w:rsidR="009E6B93" w:rsidRPr="00E114F1" w:rsidRDefault="009E6B93" w:rsidP="007049B5">
            <w:r w:rsidRPr="00E114F1">
              <w:t>minimálne 14 dní</w:t>
            </w:r>
          </w:p>
        </w:tc>
      </w:tr>
      <w:tr w:rsidR="009E6B93" w:rsidRPr="00E114F1" w14:paraId="477CA96A" w14:textId="77777777" w:rsidTr="00C26C47">
        <w:trPr>
          <w:cantSplit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B6F8" w14:textId="77777777" w:rsidR="009E6B93" w:rsidRPr="00E114F1" w:rsidRDefault="009E6B93" w:rsidP="007049B5">
            <w:pPr>
              <w:rPr>
                <w:spacing w:val="-2"/>
              </w:rPr>
            </w:pPr>
            <w:r w:rsidRPr="00E114F1">
              <w:t>Infekcie gastrointestinálneho traktu a intraabdominálne infekcie</w:t>
            </w:r>
          </w:p>
        </w:tc>
        <w:tc>
          <w:tcPr>
            <w:tcW w:w="2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2083" w14:textId="77777777" w:rsidR="009E6B93" w:rsidRPr="00E114F1" w:rsidRDefault="009E6B93" w:rsidP="007049B5">
            <w:r w:rsidRPr="00E114F1">
              <w:t xml:space="preserve">Hnačka spôsobená bakteriálnymi patogénmi vrátane </w:t>
            </w:r>
            <w:r w:rsidRPr="00E114F1">
              <w:rPr>
                <w:rStyle w:val="BacilChar"/>
              </w:rPr>
              <w:t>Shigella spp.</w:t>
            </w:r>
            <w:r w:rsidRPr="00E114F1">
              <w:t xml:space="preserve"> inými než </w:t>
            </w:r>
            <w:r w:rsidRPr="00E114F1">
              <w:rPr>
                <w:rStyle w:val="BacilChar"/>
              </w:rPr>
              <w:t>Shigella dysenteriae</w:t>
            </w:r>
            <w:r w:rsidRPr="00E114F1">
              <w:t xml:space="preserve"> typu 1 a empirická liečba ťažkej cestovateľskej hnačky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D01F5" w14:textId="77777777" w:rsidR="009E6B93" w:rsidRPr="00E114F1" w:rsidRDefault="009E6B93" w:rsidP="007049B5">
            <w:r w:rsidRPr="00E114F1">
              <w:t>500 mg dvakrát denne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0C89B" w14:textId="77777777" w:rsidR="009E6B93" w:rsidRPr="00E114F1" w:rsidRDefault="009E6B93" w:rsidP="007049B5">
            <w:r w:rsidRPr="00E114F1">
              <w:t>1 deň</w:t>
            </w:r>
          </w:p>
        </w:tc>
      </w:tr>
      <w:tr w:rsidR="009E6B93" w:rsidRPr="00E114F1" w14:paraId="79FE7550" w14:textId="77777777" w:rsidTr="00C26C47">
        <w:trPr>
          <w:cantSplit/>
        </w:trPr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C2FD0" w14:textId="77777777" w:rsidR="009E6B93" w:rsidRPr="00E114F1" w:rsidRDefault="009E6B93" w:rsidP="007049B5"/>
        </w:tc>
        <w:tc>
          <w:tcPr>
            <w:tcW w:w="2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2EC0A" w14:textId="77777777" w:rsidR="009E6B93" w:rsidRPr="00E114F1" w:rsidRDefault="009E6B93" w:rsidP="007049B5">
            <w:r w:rsidRPr="00E114F1">
              <w:t xml:space="preserve">Hnačka spôsobená </w:t>
            </w:r>
            <w:r w:rsidRPr="00E114F1">
              <w:rPr>
                <w:rStyle w:val="BacilChar"/>
              </w:rPr>
              <w:t>Shigella dysenteriae</w:t>
            </w:r>
            <w:r w:rsidRPr="00E114F1">
              <w:t xml:space="preserve"> typu 1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645A6" w14:textId="77777777" w:rsidR="009E6B93" w:rsidRPr="00E114F1" w:rsidRDefault="009E6B93" w:rsidP="007049B5">
            <w:r w:rsidRPr="00E114F1">
              <w:t>500 mg dvakrát denne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AE19F" w14:textId="77777777" w:rsidR="009E6B93" w:rsidRPr="00E114F1" w:rsidRDefault="009E6B93" w:rsidP="007049B5">
            <w:r w:rsidRPr="00E114F1">
              <w:t>5 dní</w:t>
            </w:r>
          </w:p>
        </w:tc>
      </w:tr>
      <w:tr w:rsidR="009E6B93" w:rsidRPr="00E114F1" w14:paraId="27456D67" w14:textId="77777777" w:rsidTr="00C26C47">
        <w:trPr>
          <w:cantSplit/>
        </w:trPr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77520" w14:textId="77777777" w:rsidR="009E6B93" w:rsidRPr="00E114F1" w:rsidRDefault="009E6B93" w:rsidP="007049B5"/>
        </w:tc>
        <w:tc>
          <w:tcPr>
            <w:tcW w:w="2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5183B" w14:textId="77777777" w:rsidR="009E6B93" w:rsidRPr="00E114F1" w:rsidRDefault="009E6B93" w:rsidP="007049B5">
            <w:r w:rsidRPr="00E114F1">
              <w:t xml:space="preserve">Hnačka spôsobená </w:t>
            </w:r>
            <w:r w:rsidRPr="00E114F1">
              <w:rPr>
                <w:rStyle w:val="BacilChar"/>
              </w:rPr>
              <w:t>Vibrio cholerae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4D79" w14:textId="77777777" w:rsidR="009E6B93" w:rsidRPr="00E114F1" w:rsidRDefault="009E6B93" w:rsidP="007049B5">
            <w:r w:rsidRPr="00E114F1">
              <w:t>500 mg dvakrát denne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0415" w14:textId="77777777" w:rsidR="009E6B93" w:rsidRPr="00E114F1" w:rsidRDefault="009E6B93" w:rsidP="007049B5">
            <w:r w:rsidRPr="00E114F1">
              <w:t>3 dni</w:t>
            </w:r>
          </w:p>
        </w:tc>
      </w:tr>
      <w:tr w:rsidR="009E6B93" w:rsidRPr="00E114F1" w14:paraId="44A8CFAD" w14:textId="77777777" w:rsidTr="00C26C47">
        <w:trPr>
          <w:cantSplit/>
        </w:trPr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2BEBE" w14:textId="77777777" w:rsidR="009E6B93" w:rsidRPr="00E114F1" w:rsidRDefault="009E6B93" w:rsidP="007049B5"/>
        </w:tc>
        <w:tc>
          <w:tcPr>
            <w:tcW w:w="2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4CF4" w14:textId="77777777" w:rsidR="009E6B93" w:rsidRPr="00E114F1" w:rsidRDefault="009E6B93" w:rsidP="007049B5">
            <w:r w:rsidRPr="00E114F1">
              <w:t xml:space="preserve">Týfusová horúčka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0DC86" w14:textId="77777777" w:rsidR="009E6B93" w:rsidRPr="00E114F1" w:rsidRDefault="009E6B93" w:rsidP="007049B5">
            <w:r w:rsidRPr="00E114F1">
              <w:t>500 mg dvakrát denne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B6C6" w14:textId="77777777" w:rsidR="009E6B93" w:rsidRPr="00E114F1" w:rsidRDefault="009E6B93" w:rsidP="007049B5">
            <w:r w:rsidRPr="00E114F1">
              <w:t>7 dní</w:t>
            </w:r>
          </w:p>
        </w:tc>
      </w:tr>
      <w:tr w:rsidR="009E6B93" w:rsidRPr="00E114F1" w14:paraId="5B5C3CED" w14:textId="77777777" w:rsidTr="00C26C47">
        <w:trPr>
          <w:cantSplit/>
        </w:trPr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40288" w14:textId="77777777" w:rsidR="009E6B93" w:rsidRPr="00E114F1" w:rsidRDefault="009E6B93" w:rsidP="007049B5"/>
        </w:tc>
        <w:tc>
          <w:tcPr>
            <w:tcW w:w="2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D75A" w14:textId="77777777" w:rsidR="009E6B93" w:rsidRPr="00E114F1" w:rsidRDefault="009E6B93" w:rsidP="007049B5">
            <w:r w:rsidRPr="00E114F1">
              <w:t xml:space="preserve">Intraabdominálne infekcie spôsobené gramnegatívnymi baktériami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5729" w14:textId="77777777" w:rsidR="009E6B93" w:rsidRPr="00E114F1" w:rsidRDefault="009E6B93" w:rsidP="007049B5">
            <w:r w:rsidRPr="00E114F1">
              <w:t>500 mg dvakrát denne až 750 mg dvakrát denne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F93F8" w14:textId="77777777" w:rsidR="009E6B93" w:rsidRPr="00E114F1" w:rsidRDefault="009E6B93" w:rsidP="007049B5">
            <w:r w:rsidRPr="00E114F1">
              <w:t>5 až 14 dní</w:t>
            </w:r>
          </w:p>
        </w:tc>
      </w:tr>
      <w:tr w:rsidR="009E6B93" w:rsidRPr="00E114F1" w14:paraId="3D6C1820" w14:textId="77777777" w:rsidTr="00C26C47">
        <w:trPr>
          <w:gridAfter w:val="1"/>
          <w:wAfter w:w="10" w:type="dxa"/>
        </w:trPr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A33E6" w14:textId="77777777" w:rsidR="009E6B93" w:rsidRPr="00E114F1" w:rsidRDefault="009E6B93" w:rsidP="007049B5">
            <w:r w:rsidRPr="00E114F1">
              <w:t>Infekcie kože a mäkkých tkanív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5FCA9" w14:textId="77777777" w:rsidR="009E6B93" w:rsidRPr="00E114F1" w:rsidRDefault="009E6B93" w:rsidP="007049B5">
            <w:r w:rsidRPr="00E114F1">
              <w:t>500 mg dvakrát denne až 750 mg dvakrát denne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ADD8" w14:textId="77777777" w:rsidR="009E6B93" w:rsidRPr="00E114F1" w:rsidRDefault="009E6B93" w:rsidP="007049B5">
            <w:r w:rsidRPr="00E114F1">
              <w:t>7 až 14 dní</w:t>
            </w:r>
          </w:p>
        </w:tc>
      </w:tr>
      <w:tr w:rsidR="009E6B93" w:rsidRPr="00E114F1" w14:paraId="5511C7C6" w14:textId="77777777" w:rsidTr="00C26C47">
        <w:trPr>
          <w:gridAfter w:val="1"/>
          <w:wAfter w:w="10" w:type="dxa"/>
        </w:trPr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66999" w14:textId="77777777" w:rsidR="009E6B93" w:rsidRPr="00E114F1" w:rsidRDefault="009E6B93" w:rsidP="007049B5">
            <w:r w:rsidRPr="00E114F1">
              <w:t>Infekcie kostí a kĺbov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E1AF5" w14:textId="77777777" w:rsidR="009E6B93" w:rsidRPr="00E114F1" w:rsidRDefault="009E6B93" w:rsidP="007049B5">
            <w:r w:rsidRPr="00E114F1">
              <w:t>500 mg dvakrát denne až 750 mg dvakrát denne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CCC99" w14:textId="77777777" w:rsidR="009E6B93" w:rsidRPr="00E114F1" w:rsidRDefault="009E6B93" w:rsidP="007049B5">
            <w:pPr>
              <w:rPr>
                <w:spacing w:val="-2"/>
              </w:rPr>
            </w:pPr>
            <w:r w:rsidRPr="00E114F1">
              <w:t>max. 3 mesiace</w:t>
            </w:r>
          </w:p>
        </w:tc>
      </w:tr>
      <w:tr w:rsidR="009E6B93" w:rsidRPr="00E114F1" w14:paraId="2107AAC2" w14:textId="77777777" w:rsidTr="00C26C47">
        <w:trPr>
          <w:gridAfter w:val="1"/>
          <w:wAfter w:w="10" w:type="dxa"/>
        </w:trPr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D321" w14:textId="77777777" w:rsidR="005F2F70" w:rsidRPr="00E114F1" w:rsidRDefault="009E6B93" w:rsidP="007049B5">
            <w:r w:rsidRPr="00E114F1">
              <w:t>Liečba infekcie alebo profylaxia infekcie u pacientov s neutropéniou.</w:t>
            </w:r>
          </w:p>
          <w:p w14:paraId="2D957334" w14:textId="77777777" w:rsidR="009E6B93" w:rsidRPr="00E114F1" w:rsidRDefault="009E6B93" w:rsidP="007049B5">
            <w:r w:rsidRPr="00E114F1">
              <w:t>Ciprofloxacín sa musí podávať súbežne s vhodnými antibakteriálnymi liečivami v súlade s oficiálnymi odporúčaniami.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600A" w14:textId="77777777" w:rsidR="009E6B93" w:rsidRPr="00E114F1" w:rsidRDefault="009E6B93" w:rsidP="007049B5">
            <w:r w:rsidRPr="00E114F1">
              <w:t>500 mg dvakrát denne až 750 mg dvakrát denne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E4AC7" w14:textId="77777777" w:rsidR="009E6B93" w:rsidRPr="00E114F1" w:rsidRDefault="009E6B93" w:rsidP="007049B5">
            <w:r w:rsidRPr="00E114F1">
              <w:t>Liečba má pokračovať počas celého obdobia neutropénie</w:t>
            </w:r>
          </w:p>
        </w:tc>
      </w:tr>
      <w:tr w:rsidR="009E6B93" w:rsidRPr="00E114F1" w14:paraId="0E3CB59E" w14:textId="77777777" w:rsidTr="00C26C47">
        <w:trPr>
          <w:gridAfter w:val="1"/>
          <w:wAfter w:w="10" w:type="dxa"/>
        </w:trPr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E8EB2" w14:textId="77777777" w:rsidR="009E6B93" w:rsidRPr="00E114F1" w:rsidRDefault="009E6B93" w:rsidP="007049B5">
            <w:r w:rsidRPr="00E114F1">
              <w:t xml:space="preserve">Profylaxia invazívnych infekcií spôsobených </w:t>
            </w:r>
            <w:r w:rsidRPr="00E114F1">
              <w:rPr>
                <w:rStyle w:val="BacilChar"/>
              </w:rPr>
              <w:t>Neisseria meningitidis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521AD" w14:textId="77777777" w:rsidR="009E6B93" w:rsidRPr="00E114F1" w:rsidRDefault="009E6B93" w:rsidP="007049B5">
            <w:r w:rsidRPr="00E114F1">
              <w:t xml:space="preserve">500 mg ako jednorazová dávka 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A99C" w14:textId="77777777" w:rsidR="009E6B93" w:rsidRPr="00E114F1" w:rsidRDefault="009E6B93" w:rsidP="007049B5">
            <w:r w:rsidRPr="00E114F1">
              <w:t>1 deň (jednorazová dávka)</w:t>
            </w:r>
          </w:p>
        </w:tc>
      </w:tr>
      <w:tr w:rsidR="009E6B93" w:rsidRPr="00E114F1" w14:paraId="47D10BE8" w14:textId="77777777" w:rsidTr="00C26C47">
        <w:tc>
          <w:tcPr>
            <w:tcW w:w="440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103043" w14:textId="77777777" w:rsidR="009E6B93" w:rsidRPr="00E114F1" w:rsidRDefault="009E6B93" w:rsidP="007049B5">
            <w:pPr>
              <w:rPr>
                <w:spacing w:val="-2"/>
              </w:rPr>
            </w:pPr>
            <w:r w:rsidRPr="00E114F1">
              <w:t>Poexpozičná profylaxia a následná liečba</w:t>
            </w:r>
            <w:r w:rsidRPr="00E114F1">
              <w:rPr>
                <w:bCs/>
                <w:iCs/>
              </w:rPr>
              <w:t xml:space="preserve"> inhalačného antraxu </w:t>
            </w:r>
            <w:r w:rsidRPr="00E114F1">
              <w:t>u osôb, ktoré možno liečiť perorálne, ak je to klinicky opodstatnené. Podávanie lieku sa musí začať čo najskôr po podozrení alebo po potvrdení expozície.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184737" w14:textId="77777777" w:rsidR="009E6B93" w:rsidRPr="00E114F1" w:rsidRDefault="009E6B93" w:rsidP="007049B5">
            <w:r w:rsidRPr="00E114F1">
              <w:t>500 mg dvakrát denne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70F0C2" w14:textId="77777777" w:rsidR="009E6B93" w:rsidRPr="00E114F1" w:rsidRDefault="009E6B93" w:rsidP="007049B5">
            <w:pPr>
              <w:rPr>
                <w:spacing w:val="-2"/>
              </w:rPr>
            </w:pPr>
            <w:r w:rsidRPr="00E114F1">
              <w:t xml:space="preserve">60 dní od potvrdenia expozície </w:t>
            </w:r>
            <w:r w:rsidRPr="00E114F1">
              <w:rPr>
                <w:rStyle w:val="BacilChar"/>
              </w:rPr>
              <w:t>Bacillus anthracis</w:t>
            </w:r>
          </w:p>
        </w:tc>
      </w:tr>
    </w:tbl>
    <w:p w14:paraId="39C29D6C" w14:textId="77777777" w:rsidR="009E6B93" w:rsidRPr="00E114F1" w:rsidRDefault="00B329D8" w:rsidP="00F91CB2">
      <w:pPr>
        <w:pStyle w:val="Styl30"/>
      </w:pPr>
      <w:r>
        <w:t> Deti a dospievajúci</w:t>
      </w:r>
    </w:p>
    <w:tbl>
      <w:tblPr>
        <w:tblW w:w="97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0"/>
        <w:gridCol w:w="5163"/>
        <w:gridCol w:w="7"/>
        <w:gridCol w:w="2422"/>
        <w:gridCol w:w="91"/>
      </w:tblGrid>
      <w:tr w:rsidR="009E6B93" w:rsidRPr="00E114F1" w14:paraId="4B544B6D" w14:textId="77777777" w:rsidTr="009E6B93">
        <w:tc>
          <w:tcPr>
            <w:tcW w:w="203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A1DFF6A" w14:textId="77777777" w:rsidR="009E6B93" w:rsidRPr="00E114F1" w:rsidRDefault="009E6B93" w:rsidP="007049B5">
            <w:r w:rsidRPr="00E114F1">
              <w:t>Indikácie</w:t>
            </w:r>
          </w:p>
        </w:tc>
        <w:tc>
          <w:tcPr>
            <w:tcW w:w="516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BDC74C6" w14:textId="77777777" w:rsidR="009E6B93" w:rsidRPr="00E114F1" w:rsidRDefault="009E6B93" w:rsidP="007049B5">
            <w:r w:rsidRPr="00E114F1">
              <w:t>Denná dávka v</w:t>
            </w:r>
            <w:r w:rsidR="00405287" w:rsidRPr="00E114F1">
              <w:t> </w:t>
            </w:r>
            <w:r w:rsidRPr="00E114F1">
              <w:t>mg</w:t>
            </w:r>
          </w:p>
        </w:tc>
        <w:tc>
          <w:tcPr>
            <w:tcW w:w="2520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378C618" w14:textId="77777777" w:rsidR="009E6B93" w:rsidRPr="00E114F1" w:rsidRDefault="009E6B93" w:rsidP="007049B5">
            <w:r w:rsidRPr="00E114F1">
              <w:t>Celková dĺžka liečby (potenciálne zahŕňajúca úvodnú parenterálnu liečbu ciprofloxacínom)</w:t>
            </w:r>
          </w:p>
        </w:tc>
      </w:tr>
      <w:tr w:rsidR="009E6B93" w:rsidRPr="00E114F1" w14:paraId="07464E43" w14:textId="77777777" w:rsidTr="009E6B93">
        <w:tc>
          <w:tcPr>
            <w:tcW w:w="20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8416" w14:textId="77777777" w:rsidR="009E6B93" w:rsidRPr="00E114F1" w:rsidRDefault="009E6B93" w:rsidP="007049B5">
            <w:r w:rsidRPr="00E114F1">
              <w:t>Cystická fibróza</w:t>
            </w:r>
          </w:p>
        </w:tc>
        <w:tc>
          <w:tcPr>
            <w:tcW w:w="51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4AFC" w14:textId="77777777" w:rsidR="009E6B93" w:rsidRPr="00E114F1" w:rsidRDefault="009E6B93" w:rsidP="007049B5">
            <w:r w:rsidRPr="00E114F1">
              <w:t>20 mg/kg telesnej hmotnosti dvakrát denne, maximálne 750 mg v dávke.</w:t>
            </w:r>
          </w:p>
        </w:tc>
        <w:tc>
          <w:tcPr>
            <w:tcW w:w="252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7D49" w14:textId="77777777" w:rsidR="009E6B93" w:rsidRPr="00E114F1" w:rsidRDefault="009E6B93" w:rsidP="007049B5">
            <w:r w:rsidRPr="00E114F1">
              <w:t>10 až 14 dní</w:t>
            </w:r>
          </w:p>
        </w:tc>
      </w:tr>
      <w:tr w:rsidR="009E6B93" w:rsidRPr="00E114F1" w14:paraId="545C4647" w14:textId="77777777" w:rsidTr="009E6B93"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13AB" w14:textId="77777777" w:rsidR="009E6B93" w:rsidRPr="00E114F1" w:rsidRDefault="009E6B93" w:rsidP="007049B5">
            <w:r w:rsidRPr="00E114F1">
              <w:t>Komplikované infekcie močových ciest a</w:t>
            </w:r>
            <w:r w:rsidR="00B753F9" w:rsidRPr="00E114F1">
              <w:t> </w:t>
            </w:r>
            <w:r w:rsidRPr="00E114F1">
              <w:t>pyelonefritída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4ADC" w14:textId="77777777" w:rsidR="009E6B93" w:rsidRPr="00E114F1" w:rsidRDefault="009E6B93" w:rsidP="007049B5">
            <w:r w:rsidRPr="00E114F1">
              <w:t>10 mg/kg telesnej hmotnosti dvakrát denne až 20 mg/kg telesnej hmotnosti dvakrát denne, maximálne 750 mg v dávke.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9531" w14:textId="77777777" w:rsidR="009E6B93" w:rsidRPr="00E114F1" w:rsidRDefault="009E6B93" w:rsidP="007049B5">
            <w:r w:rsidRPr="00E114F1">
              <w:t>10 až 21 dní</w:t>
            </w:r>
          </w:p>
        </w:tc>
      </w:tr>
      <w:tr w:rsidR="009E6B93" w:rsidRPr="00E114F1" w14:paraId="65C8F2B4" w14:textId="77777777" w:rsidTr="009E6B93"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E496" w14:textId="77777777" w:rsidR="009E6B93" w:rsidRPr="00E114F1" w:rsidRDefault="009E6B93" w:rsidP="007049B5">
            <w:r w:rsidRPr="00E114F1">
              <w:t>Poexpozičná profylaxia a následná liečba i</w:t>
            </w:r>
            <w:r w:rsidRPr="00E114F1">
              <w:rPr>
                <w:bCs/>
                <w:iCs/>
              </w:rPr>
              <w:t>nhalačného antraxu</w:t>
            </w:r>
            <w:r w:rsidRPr="00E114F1">
              <w:t xml:space="preserve"> u</w:t>
            </w:r>
            <w:r w:rsidR="00405287" w:rsidRPr="00E114F1">
              <w:t> </w:t>
            </w:r>
            <w:r w:rsidRPr="00E114F1">
              <w:t>osôb, ktoré možno liečiť perorálne, ak je to klinicky opodstatnené. Podávanie lieku sa musí začať čo najskôr po podozrení alebo po potvrdení expozície.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43AF" w14:textId="77777777" w:rsidR="009E6B93" w:rsidRPr="00E114F1" w:rsidRDefault="009E6B93" w:rsidP="007049B5">
            <w:r w:rsidRPr="00E114F1">
              <w:t>10 mg/kg telesnej hmotnosti dvakrát denne až 15 mg/kg telesnej hmotnosti dvakrát denne, maximálne 500 mg v dávke.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4759" w14:textId="77777777" w:rsidR="009E6B93" w:rsidRPr="00E114F1" w:rsidRDefault="009E6B93" w:rsidP="007049B5">
            <w:r w:rsidRPr="00E114F1">
              <w:t xml:space="preserve">60 dní od potvrdenia expozície </w:t>
            </w:r>
            <w:r w:rsidRPr="00E114F1">
              <w:rPr>
                <w:rStyle w:val="BacilChar"/>
              </w:rPr>
              <w:t>Bacillus anthracis</w:t>
            </w:r>
          </w:p>
        </w:tc>
      </w:tr>
      <w:tr w:rsidR="009E6B93" w:rsidRPr="00E114F1" w14:paraId="44F900EC" w14:textId="77777777" w:rsidTr="009E6B93">
        <w:trPr>
          <w:gridAfter w:val="1"/>
          <w:wAfter w:w="91" w:type="dxa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C745" w14:textId="77777777" w:rsidR="009E6B93" w:rsidRPr="00E114F1" w:rsidRDefault="009E6B93" w:rsidP="007049B5">
            <w:r w:rsidRPr="00E114F1">
              <w:t xml:space="preserve">Iné ťažké infekcie </w:t>
            </w:r>
          </w:p>
        </w:tc>
        <w:tc>
          <w:tcPr>
            <w:tcW w:w="5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80C7" w14:textId="77777777" w:rsidR="009E6B93" w:rsidRPr="00E114F1" w:rsidRDefault="009E6B93" w:rsidP="007049B5">
            <w:r w:rsidRPr="00E114F1">
              <w:t xml:space="preserve">20 mg/kg telesnej hmotnosti dvakrát denne, maximálne 750 mg </w:t>
            </w:r>
            <w:r w:rsidR="00E114F1" w:rsidRPr="00E114F1">
              <w:t>v dávke</w:t>
            </w:r>
            <w:r w:rsidRPr="00E114F1">
              <w:t>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1C8B" w14:textId="77777777" w:rsidR="009E6B93" w:rsidRPr="00E114F1" w:rsidRDefault="009E6B93" w:rsidP="007049B5">
            <w:r w:rsidRPr="00E114F1">
              <w:t xml:space="preserve">Podľa typu infekcie </w:t>
            </w:r>
          </w:p>
        </w:tc>
      </w:tr>
    </w:tbl>
    <w:p w14:paraId="1FA54477" w14:textId="77777777" w:rsidR="009E6B93" w:rsidRPr="00E114F1" w:rsidRDefault="009E6B93" w:rsidP="00F91CB2">
      <w:pPr>
        <w:pStyle w:val="Styl30"/>
      </w:pPr>
      <w:r w:rsidRPr="00E114F1">
        <w:lastRenderedPageBreak/>
        <w:t>Geriatrickí pacienti</w:t>
      </w:r>
    </w:p>
    <w:p w14:paraId="22403DD5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Geriatrickým pacientom sa musí podávať určená dávka v závislosti od závažnosti ochorenia a klírensu kreatinínu pacienta.</w:t>
      </w:r>
    </w:p>
    <w:p w14:paraId="1590DB7D" w14:textId="77777777" w:rsidR="009E6B93" w:rsidRPr="00E114F1" w:rsidRDefault="009E6B93" w:rsidP="00F91CB2">
      <w:pPr>
        <w:pStyle w:val="Styl30"/>
      </w:pPr>
      <w:r w:rsidRPr="00E114F1">
        <w:t>Poškodenie funkcie obličiek a pečene</w:t>
      </w:r>
    </w:p>
    <w:p w14:paraId="71410C58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Odporúčané začiatočné a udržiavacie dávky pre pacientov s poškodením funkcie obličiek:</w:t>
      </w: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127"/>
        <w:gridCol w:w="2127"/>
      </w:tblGrid>
      <w:tr w:rsidR="009E6B93" w:rsidRPr="00E114F1" w14:paraId="1FF2B222" w14:textId="77777777" w:rsidTr="009E6B93">
        <w:trPr>
          <w:cantSplit/>
          <w:jc w:val="center"/>
        </w:trPr>
        <w:tc>
          <w:tcPr>
            <w:tcW w:w="340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783862D" w14:textId="77777777" w:rsidR="009E6B93" w:rsidRPr="00E114F1" w:rsidRDefault="009E6B93" w:rsidP="007049B5">
            <w:r w:rsidRPr="00E114F1">
              <w:t>Klírens kreatinínu</w:t>
            </w:r>
            <w:r w:rsidRPr="00E114F1">
              <w:br/>
              <w:t>[ml/min/1,73 m2]</w:t>
            </w: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3BBF5014" w14:textId="77777777" w:rsidR="009E6B93" w:rsidRPr="00E114F1" w:rsidRDefault="009E6B93" w:rsidP="007049B5">
            <w:r w:rsidRPr="00E114F1">
              <w:t>Kreatinín v sére</w:t>
            </w:r>
            <w:r w:rsidRPr="00E114F1">
              <w:br/>
              <w:t>[µmol/l]</w:t>
            </w: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356FE00A" w14:textId="77777777" w:rsidR="009E6B93" w:rsidRPr="00E114F1" w:rsidRDefault="009E6B93" w:rsidP="007049B5">
            <w:r w:rsidRPr="00E114F1">
              <w:t>Perorálna dávka</w:t>
            </w:r>
            <w:r w:rsidRPr="00E114F1">
              <w:br/>
              <w:t>[mg]</w:t>
            </w:r>
          </w:p>
        </w:tc>
      </w:tr>
      <w:tr w:rsidR="009E6B93" w:rsidRPr="00E114F1" w14:paraId="182AF753" w14:textId="77777777" w:rsidTr="009E6B93">
        <w:trPr>
          <w:cantSplit/>
          <w:jc w:val="center"/>
        </w:trPr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CA8754E" w14:textId="77777777" w:rsidR="009E6B93" w:rsidRPr="00E114F1" w:rsidRDefault="009E6B93" w:rsidP="007049B5">
            <w:r w:rsidRPr="00E114F1">
              <w:t>&gt; 60 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A8F898" w14:textId="77777777" w:rsidR="009E6B93" w:rsidRPr="00E114F1" w:rsidRDefault="009E6B93" w:rsidP="007049B5">
            <w:r w:rsidRPr="00E114F1">
              <w:t>&lt; 124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55AF17" w14:textId="77777777" w:rsidR="009E6B93" w:rsidRPr="00E114F1" w:rsidRDefault="009E6B93" w:rsidP="007049B5">
            <w:r w:rsidRPr="00E114F1">
              <w:t>Pozri zvyčajné dávkovanie.</w:t>
            </w:r>
          </w:p>
        </w:tc>
      </w:tr>
      <w:tr w:rsidR="009E6B93" w:rsidRPr="00E114F1" w14:paraId="20B08956" w14:textId="77777777" w:rsidTr="009E6B93">
        <w:trPr>
          <w:cantSplit/>
          <w:jc w:val="center"/>
        </w:trPr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5EE931" w14:textId="77777777" w:rsidR="009E6B93" w:rsidRPr="00E114F1" w:rsidRDefault="009E6B93" w:rsidP="007049B5">
            <w:r w:rsidRPr="00E114F1">
              <w:t>30</w:t>
            </w:r>
            <w:r w:rsidR="00405287" w:rsidRPr="00E114F1">
              <w:t> </w:t>
            </w:r>
            <w:r w:rsidRPr="00E114F1">
              <w:t>–</w:t>
            </w:r>
            <w:r w:rsidR="00405287" w:rsidRPr="00E114F1">
              <w:t> </w:t>
            </w:r>
            <w:r w:rsidRPr="00E114F1">
              <w:t>60 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24E5ED" w14:textId="77777777" w:rsidR="009E6B93" w:rsidRPr="00E114F1" w:rsidRDefault="009E6B93" w:rsidP="007049B5">
            <w:r w:rsidRPr="00E114F1">
              <w:t>124 až 168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9588DE" w14:textId="77777777" w:rsidR="009E6B93" w:rsidRPr="00E114F1" w:rsidRDefault="009E6B93" w:rsidP="007049B5">
            <w:r w:rsidRPr="00E114F1">
              <w:t>250</w:t>
            </w:r>
            <w:r w:rsidR="00405287" w:rsidRPr="00E114F1">
              <w:t> </w:t>
            </w:r>
            <w:r w:rsidRPr="00E114F1">
              <w:t>-</w:t>
            </w:r>
            <w:r w:rsidR="00405287" w:rsidRPr="00E114F1">
              <w:t> </w:t>
            </w:r>
            <w:r w:rsidRPr="00E114F1">
              <w:t>500 mg každých 12 h</w:t>
            </w:r>
          </w:p>
        </w:tc>
      </w:tr>
      <w:tr w:rsidR="009E6B93" w:rsidRPr="00E114F1" w14:paraId="188E5DEC" w14:textId="77777777" w:rsidTr="009E6B93">
        <w:trPr>
          <w:cantSplit/>
          <w:jc w:val="center"/>
        </w:trPr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F91762B" w14:textId="77777777" w:rsidR="009E6B93" w:rsidRPr="00E114F1" w:rsidRDefault="009E6B93" w:rsidP="007049B5">
            <w:r w:rsidRPr="00E114F1">
              <w:t>&lt; 30 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6F25DC" w14:textId="77777777" w:rsidR="009E6B93" w:rsidRPr="00E114F1" w:rsidRDefault="009E6B93" w:rsidP="007049B5">
            <w:r w:rsidRPr="00E114F1">
              <w:t>&gt; 169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50C6BC0" w14:textId="77777777" w:rsidR="009E6B93" w:rsidRPr="00E114F1" w:rsidRDefault="009E6B93" w:rsidP="007049B5">
            <w:r w:rsidRPr="00E114F1">
              <w:t>250</w:t>
            </w:r>
            <w:r w:rsidR="00405287" w:rsidRPr="00E114F1">
              <w:t> </w:t>
            </w:r>
            <w:r w:rsidRPr="00E114F1">
              <w:t>-</w:t>
            </w:r>
            <w:r w:rsidR="00405287" w:rsidRPr="00E114F1">
              <w:t> </w:t>
            </w:r>
            <w:r w:rsidRPr="00E114F1">
              <w:t>500 mg každých 24 h</w:t>
            </w:r>
          </w:p>
        </w:tc>
      </w:tr>
      <w:tr w:rsidR="009E6B93" w:rsidRPr="00E114F1" w14:paraId="7E099C17" w14:textId="77777777" w:rsidTr="009E6B93">
        <w:trPr>
          <w:cantSplit/>
          <w:jc w:val="center"/>
        </w:trPr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8B5F0EA" w14:textId="77777777" w:rsidR="009E6B93" w:rsidRPr="00E114F1" w:rsidRDefault="009E6B93" w:rsidP="007049B5">
            <w:r w:rsidRPr="00E114F1">
              <w:t xml:space="preserve">Hemodialyzovaní pacienti 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E8141A" w14:textId="77777777" w:rsidR="009E6B93" w:rsidRPr="00E114F1" w:rsidRDefault="009E6B93" w:rsidP="007049B5">
            <w:r w:rsidRPr="00E114F1">
              <w:t>&gt; 169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581424" w14:textId="77777777" w:rsidR="009E6B93" w:rsidRPr="00E114F1" w:rsidRDefault="009E6B93" w:rsidP="007049B5">
            <w:r w:rsidRPr="00E114F1">
              <w:t>250</w:t>
            </w:r>
            <w:r w:rsidR="00405287" w:rsidRPr="00E114F1">
              <w:t> </w:t>
            </w:r>
            <w:r w:rsidRPr="00E114F1">
              <w:t>-</w:t>
            </w:r>
            <w:r w:rsidR="00405287" w:rsidRPr="00E114F1">
              <w:t> </w:t>
            </w:r>
            <w:r w:rsidRPr="00E114F1">
              <w:t xml:space="preserve">500 mg každých 24 h (po dialýze) </w:t>
            </w:r>
          </w:p>
        </w:tc>
      </w:tr>
      <w:tr w:rsidR="009E6B93" w:rsidRPr="00E114F1" w14:paraId="595223A1" w14:textId="77777777" w:rsidTr="009E6B93">
        <w:trPr>
          <w:cantSplit/>
          <w:jc w:val="center"/>
        </w:trPr>
        <w:tc>
          <w:tcPr>
            <w:tcW w:w="3402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51B617AA" w14:textId="77777777" w:rsidR="009E6B93" w:rsidRPr="00E114F1" w:rsidRDefault="009E6B93" w:rsidP="007049B5">
            <w:r w:rsidRPr="00E114F1">
              <w:t>Peritoneálne dialyzovaní pacienti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51B6B198" w14:textId="77777777" w:rsidR="009E6B93" w:rsidRPr="00E114F1" w:rsidRDefault="009E6B93" w:rsidP="007049B5">
            <w:r w:rsidRPr="00E114F1">
              <w:t>&gt; 169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68C7F014" w14:textId="77777777" w:rsidR="009E6B93" w:rsidRPr="00E114F1" w:rsidRDefault="009E6B93" w:rsidP="007049B5">
            <w:r w:rsidRPr="00E114F1">
              <w:t>250</w:t>
            </w:r>
            <w:r w:rsidR="00405287" w:rsidRPr="00E114F1">
              <w:t> </w:t>
            </w:r>
            <w:r w:rsidRPr="00E114F1">
              <w:t>-</w:t>
            </w:r>
            <w:r w:rsidR="00405287" w:rsidRPr="00E114F1">
              <w:t> </w:t>
            </w:r>
            <w:r w:rsidRPr="00E114F1">
              <w:t>500 mg každých 24 h</w:t>
            </w:r>
          </w:p>
        </w:tc>
      </w:tr>
    </w:tbl>
    <w:p w14:paraId="3F2DB4B3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U pacientov s poškodením funkcie pečene sa nevyžaduje žiadna úprava dávky.</w:t>
      </w:r>
    </w:p>
    <w:p w14:paraId="577A0F5E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Dávkovanie u</w:t>
      </w:r>
      <w:r w:rsidR="00405287" w:rsidRPr="00E114F1">
        <w:rPr>
          <w:lang w:val="sk-SK"/>
        </w:rPr>
        <w:t> </w:t>
      </w:r>
      <w:r w:rsidRPr="00E114F1">
        <w:rPr>
          <w:lang w:val="sk-SK"/>
        </w:rPr>
        <w:t>detí s</w:t>
      </w:r>
      <w:r w:rsidR="00405287" w:rsidRPr="00E114F1">
        <w:rPr>
          <w:lang w:val="sk-SK"/>
        </w:rPr>
        <w:t> </w:t>
      </w:r>
      <w:r w:rsidRPr="00E114F1">
        <w:rPr>
          <w:lang w:val="sk-SK"/>
        </w:rPr>
        <w:t>poškodením funkcie obličiek a/alebo pečene sa neskúmalo.</w:t>
      </w:r>
    </w:p>
    <w:p w14:paraId="00AC68E9" w14:textId="77777777" w:rsidR="00D07F1D" w:rsidRDefault="009E6B93">
      <w:pPr>
        <w:pStyle w:val="tlStyl3NiejeKurzva"/>
      </w:pPr>
      <w:r w:rsidRPr="005F69AE">
        <w:t>Spôsob podávania</w:t>
      </w:r>
    </w:p>
    <w:p w14:paraId="71416B5D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Tablety sa prehĺtajú nerozhryzené a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zapíjajú sa tekutinou. Možno ich užívať nezávisle od času príjmu potravy. Ak sa užívajú na lačný žalúdok, liečivo sa absorbuje rýchlejšie. Tablety s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ciprofloxacínom sa</w:t>
      </w:r>
      <w:r w:rsidR="00FE67CF" w:rsidRPr="00E114F1">
        <w:rPr>
          <w:lang w:val="sk-SK"/>
        </w:rPr>
        <w:t xml:space="preserve"> </w:t>
      </w:r>
      <w:r w:rsidRPr="00E114F1">
        <w:rPr>
          <w:lang w:val="sk-SK"/>
        </w:rPr>
        <w:t>nemajú užívať s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mliečnymi výrobkami (napr.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mlieko, jogurt) alebo ovocnými džúsmi obohatenými minerálmi (napr.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pomarančový džús obohatený vápnikom) (pozri časť 4.5).</w:t>
      </w:r>
    </w:p>
    <w:p w14:paraId="75C0BBE1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V závažných prípadoch alebo ak pacient nedokáže užívať tablety (napr.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pacienti na umelej výžive) sa odporúča vykonávať liečbu intravenóznou formou ciprofloxacínu, až kým nie je možné prestavenie na perorálne podávanie.</w:t>
      </w:r>
    </w:p>
    <w:p w14:paraId="7DF49E18" w14:textId="77777777" w:rsidR="009E6B93" w:rsidRPr="00E114F1" w:rsidRDefault="009E6B93" w:rsidP="007049B5">
      <w:pPr>
        <w:pStyle w:val="Styl2"/>
        <w:rPr>
          <w:lang w:val="sk-SK"/>
        </w:rPr>
      </w:pPr>
      <w:r w:rsidRPr="00E114F1">
        <w:rPr>
          <w:lang w:val="sk-SK"/>
        </w:rPr>
        <w:t>Kontraindikácie</w:t>
      </w:r>
    </w:p>
    <w:p w14:paraId="2C620C8F" w14:textId="77777777" w:rsidR="009E6B93" w:rsidRPr="00E114F1" w:rsidRDefault="00DE1B35" w:rsidP="00A14744">
      <w:pPr>
        <w:pStyle w:val="Normlndoblokusodrkami"/>
        <w:rPr>
          <w:lang w:val="sk-SK"/>
        </w:rPr>
      </w:pPr>
      <w:r w:rsidRPr="00DE1B35">
        <w:rPr>
          <w:lang w:val="sk-SK"/>
        </w:rPr>
        <w:t>Precitlivenosť na liečivo, iné chinolóny alebo na ktorúkoľvek z pomocných látok (uvedených v časti 6.1).</w:t>
      </w:r>
    </w:p>
    <w:p w14:paraId="48889DF2" w14:textId="77777777" w:rsidR="009E6B93" w:rsidRPr="00E114F1" w:rsidRDefault="00DE1B35" w:rsidP="00A14744">
      <w:pPr>
        <w:pStyle w:val="Normlndoblokusodrkami"/>
        <w:rPr>
          <w:lang w:val="sk-SK"/>
        </w:rPr>
      </w:pPr>
      <w:r w:rsidRPr="00DE1B35">
        <w:rPr>
          <w:lang w:val="sk-SK"/>
        </w:rPr>
        <w:t>Súbežné podávanie ciprofloxacínu a tizanidínu (pozri časť 4.5).</w:t>
      </w:r>
    </w:p>
    <w:p w14:paraId="3C201825" w14:textId="77777777" w:rsidR="009E6B93" w:rsidRPr="00E114F1" w:rsidRDefault="009E6B93" w:rsidP="007049B5">
      <w:pPr>
        <w:pStyle w:val="Styl2"/>
        <w:rPr>
          <w:lang w:val="sk-SK"/>
        </w:rPr>
      </w:pPr>
      <w:r w:rsidRPr="00E114F1">
        <w:rPr>
          <w:lang w:val="sk-SK"/>
        </w:rPr>
        <w:t>Osobitné upozornenia a opatrenia pri používaní</w:t>
      </w:r>
    </w:p>
    <w:p w14:paraId="364B0501" w14:textId="77777777" w:rsidR="00276C35" w:rsidRPr="00876172" w:rsidRDefault="00276C35" w:rsidP="004B560C">
      <w:pPr>
        <w:pStyle w:val="Normlndobloku"/>
        <w:rPr>
          <w:lang w:val="sk-SK"/>
        </w:rPr>
      </w:pPr>
      <w:r w:rsidRPr="00876172">
        <w:rPr>
          <w:lang w:val="sk-SK"/>
        </w:rPr>
        <w:t>V epidemiologických štúdiách bolo zistené zvýšené riziko aneuryzmy aorty a disekcie aorty po použití fluorochinolónov, najmä u starších osôb.</w:t>
      </w:r>
    </w:p>
    <w:p w14:paraId="770BCEBA" w14:textId="77777777" w:rsidR="00276C35" w:rsidRPr="00876172" w:rsidRDefault="00276C35" w:rsidP="004B560C">
      <w:pPr>
        <w:pStyle w:val="Normlndobloku"/>
        <w:rPr>
          <w:lang w:val="sk-SK"/>
        </w:rPr>
      </w:pPr>
      <w:r w:rsidRPr="00876172">
        <w:rPr>
          <w:lang w:val="sk-SK"/>
        </w:rPr>
        <w:t>Fluorochinolóny sa preto majú používať len po starostlivom posúdení pomeru prínosu a rizika a po zvážení iných liečebných možností u pacientov s aneuryzmou v rodinnej anamnéze, alebo u pacientov s diagnostikovanou už existujúcou aneuryzmou aorty a/alebo disekciou aorty, a tiež v prípade výskytu iných rizikových faktorov alebo ochorení, ktoré sú predispozíciou pre aneuryzmu aorty a disekciu aorty (napr. Marfanov syndróm, vaskulárny Ehlersov-Danlosov syndróm, Takayasuova arteritída, obrovskobunková arteritída, Behcetova choroba, hypertenzia, známa ateroskleróza).</w:t>
      </w:r>
    </w:p>
    <w:p w14:paraId="1B06ADD5" w14:textId="77777777" w:rsidR="00276C35" w:rsidRPr="004B560C" w:rsidRDefault="00276C35" w:rsidP="004B560C">
      <w:pPr>
        <w:pStyle w:val="Normlndobloku"/>
        <w:rPr>
          <w:lang w:val="sk-SK"/>
        </w:rPr>
      </w:pPr>
      <w:r w:rsidRPr="00876172">
        <w:rPr>
          <w:lang w:val="sk-SK"/>
        </w:rPr>
        <w:t>V prípade náhlej abdominálnej bolesti, bolesti v hrudníku alebo bolesti chrbta sa pacienti majú bezodkladne obrátiť na lekársku pohotovosť.</w:t>
      </w:r>
      <w:bookmarkStart w:id="0" w:name="_GoBack"/>
      <w:bookmarkEnd w:id="0"/>
    </w:p>
    <w:p w14:paraId="6A478C62" w14:textId="77777777" w:rsidR="009E6B93" w:rsidRPr="00E114F1" w:rsidRDefault="009E6B93" w:rsidP="00F91CB2">
      <w:pPr>
        <w:pStyle w:val="Styl30"/>
      </w:pPr>
      <w:r w:rsidRPr="00E114F1">
        <w:t>Závažné infekcie a zmiešané infekcie s grampozitívnymi a anaeróbnymi patogénmi</w:t>
      </w:r>
    </w:p>
    <w:p w14:paraId="55E17ACB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Ciprofloxacín nie je vhodný na monoterapiu závažných infekcií a infekcií, ktoré môžu byť spôsobené grampozitívnymi alebo anaeróbnymi patogénmi. Pri takýchto infekciách sa ciprofloxacín musí podávať v kombinácii s inými vhodnými antibakteriálnymi látkami.</w:t>
      </w:r>
    </w:p>
    <w:p w14:paraId="4630ACDD" w14:textId="77777777" w:rsidR="009E6B93" w:rsidRPr="00E114F1" w:rsidRDefault="009E6B93" w:rsidP="00F91CB2">
      <w:pPr>
        <w:pStyle w:val="Styl30"/>
      </w:pPr>
      <w:r w:rsidRPr="00E114F1">
        <w:lastRenderedPageBreak/>
        <w:t>Streptokokové infekcie (vrátane Streptococcus pneumoniae)</w:t>
      </w:r>
    </w:p>
    <w:p w14:paraId="5464826F" w14:textId="77777777" w:rsidR="009E6B93" w:rsidRPr="00E114F1" w:rsidRDefault="00DE1B35" w:rsidP="007049B5">
      <w:pPr>
        <w:pStyle w:val="Normlndobloku"/>
        <w:rPr>
          <w:rStyle w:val="BacilChar"/>
          <w:lang w:val="sk-SK"/>
        </w:rPr>
      </w:pPr>
      <w:r w:rsidRPr="00DE1B35">
        <w:rPr>
          <w:lang w:val="sk-SK"/>
        </w:rPr>
        <w:t>Ciprofloxacín sa neodporúča na liečbu streptokokových infekcií z dôvodu neadekvátnej účinnosti.</w:t>
      </w:r>
    </w:p>
    <w:p w14:paraId="2EECC899" w14:textId="77777777" w:rsidR="009E6B93" w:rsidRPr="00E114F1" w:rsidRDefault="009E6B93" w:rsidP="00F91CB2">
      <w:pPr>
        <w:pStyle w:val="Styl30"/>
      </w:pPr>
      <w:r w:rsidRPr="00E114F1">
        <w:t>Infekcie pohlavného traktu</w:t>
      </w:r>
    </w:p>
    <w:p w14:paraId="4CD85B1D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 xml:space="preserve">Epididymoorchitídu a zápalové ochorenia panvy môže spôsobovať </w:t>
      </w:r>
      <w:r w:rsidRPr="00E114F1">
        <w:rPr>
          <w:rStyle w:val="BacilChar"/>
          <w:lang w:val="sk-SK"/>
        </w:rPr>
        <w:t>Neisseria</w:t>
      </w:r>
      <w:r w:rsidRPr="00E114F1">
        <w:rPr>
          <w:lang w:val="sk-SK"/>
        </w:rPr>
        <w:t xml:space="preserve"> </w:t>
      </w:r>
      <w:r w:rsidRPr="00E114F1">
        <w:rPr>
          <w:rStyle w:val="BacilChar"/>
          <w:lang w:val="sk-SK"/>
        </w:rPr>
        <w:t xml:space="preserve">gonorrhoeae </w:t>
      </w:r>
      <w:r w:rsidRPr="00E114F1">
        <w:rPr>
          <w:lang w:val="sk-SK"/>
        </w:rPr>
        <w:t xml:space="preserve">rezistentná na fluorochinolóny. Ciprofloxacín sa má podávať súbežne s iným vhodným antibakteriálnym liečivom, pokiaľ nemožno vylúčiť </w:t>
      </w:r>
      <w:r w:rsidRPr="00E114F1">
        <w:rPr>
          <w:rStyle w:val="BacilChar"/>
          <w:lang w:val="sk-SK"/>
        </w:rPr>
        <w:t>Neisseria</w:t>
      </w:r>
      <w:r w:rsidRPr="00E114F1">
        <w:rPr>
          <w:lang w:val="sk-SK"/>
        </w:rPr>
        <w:t xml:space="preserve"> </w:t>
      </w:r>
      <w:r w:rsidRPr="00E114F1">
        <w:rPr>
          <w:rStyle w:val="BacilChar"/>
          <w:lang w:val="sk-SK"/>
        </w:rPr>
        <w:t>gonorrhoeae</w:t>
      </w:r>
      <w:r w:rsidRPr="00E114F1">
        <w:rPr>
          <w:lang w:val="sk-SK"/>
        </w:rPr>
        <w:t xml:space="preserve"> rezistentnú na ciprofloxacín. Ak sa po 3 dňoch liečby nedosiahne klinické zlepšenie, liečba sa má prehodnotiť.</w:t>
      </w:r>
    </w:p>
    <w:p w14:paraId="232C56F5" w14:textId="77777777" w:rsidR="009E6B93" w:rsidRPr="00E114F1" w:rsidRDefault="009E6B93" w:rsidP="00F91CB2">
      <w:pPr>
        <w:pStyle w:val="Styl30"/>
      </w:pPr>
      <w:r w:rsidRPr="00E114F1">
        <w:t>Intraabdominálne infekcie</w:t>
      </w:r>
    </w:p>
    <w:p w14:paraId="7710AC4C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O účinnosti ciprofloxacínu v liečbe intraabdominálnych infekcií po chirurgickom výkone sú obmedzené údaje.</w:t>
      </w:r>
    </w:p>
    <w:p w14:paraId="55AEE1C2" w14:textId="77777777" w:rsidR="009E6B93" w:rsidRPr="00E114F1" w:rsidRDefault="009E6B93" w:rsidP="00F91CB2">
      <w:pPr>
        <w:pStyle w:val="Styl30"/>
      </w:pPr>
      <w:r w:rsidRPr="00E114F1">
        <w:t>Hnačka cestovateľov</w:t>
      </w:r>
    </w:p>
    <w:p w14:paraId="3117BCF3" w14:textId="77777777" w:rsidR="00D07F1D" w:rsidRDefault="009E6B93">
      <w:pPr>
        <w:pStyle w:val="Normlndobloku"/>
      </w:pPr>
      <w:r w:rsidRPr="00E114F1">
        <w:t>Pri výbere ciprofloxacínu sa musí zohľadniť informácia o rezistencii na ciprofloxacín u príslušných patogénov v navštívenej krajine.</w:t>
      </w:r>
    </w:p>
    <w:p w14:paraId="76B87836" w14:textId="77777777" w:rsidR="009E6B93" w:rsidRPr="00E114F1" w:rsidRDefault="009E6B93" w:rsidP="00F91CB2">
      <w:pPr>
        <w:pStyle w:val="Styl30"/>
      </w:pPr>
      <w:r w:rsidRPr="00E114F1">
        <w:t>Infekcie kostí a kĺbov</w:t>
      </w:r>
    </w:p>
    <w:p w14:paraId="1DE8A9D4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Ciprofloxacín sa musí použiť v kombinácii s inými antibakteriálnymi liečivami podľa záverov mikrobiologickej dokumentácie.</w:t>
      </w:r>
    </w:p>
    <w:p w14:paraId="01C7E763" w14:textId="77777777" w:rsidR="009E6B93" w:rsidRPr="00E114F1" w:rsidRDefault="009E6B93" w:rsidP="00F91CB2">
      <w:pPr>
        <w:pStyle w:val="Styl30"/>
      </w:pPr>
      <w:r w:rsidRPr="00E114F1">
        <w:t>Inhalačný antrax</w:t>
      </w:r>
    </w:p>
    <w:p w14:paraId="6D046B5F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Použitie u ľudí je založené na údajoch citlivosti</w:t>
      </w:r>
      <w:r w:rsidRPr="00E114F1">
        <w:rPr>
          <w:rStyle w:val="BacilChar"/>
          <w:lang w:val="sk-SK"/>
        </w:rPr>
        <w:t xml:space="preserve"> in vitro</w:t>
      </w:r>
      <w:r w:rsidRPr="00E114F1">
        <w:rPr>
          <w:lang w:val="sk-SK"/>
        </w:rPr>
        <w:t xml:space="preserve"> a na experimentálnych údajoch na zvieratách spolu s obmedzenými údajmi u ľudí. Ošetrujúci lekári musia zohľadniť národné a/alebo medzinárodné konsenzuálne dokumenty ohľadom liečby antraxu.</w:t>
      </w:r>
    </w:p>
    <w:p w14:paraId="5D98145F" w14:textId="77777777" w:rsidR="009E6B93" w:rsidRPr="00E114F1" w:rsidRDefault="00A83AE5" w:rsidP="00F91CB2">
      <w:pPr>
        <w:pStyle w:val="Styl30"/>
      </w:pPr>
      <w:r w:rsidRPr="00E114F1">
        <w:t>Pediatrická populácia</w:t>
      </w:r>
    </w:p>
    <w:p w14:paraId="2E5270D5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Používanie ciprofloxacínu u detí a</w:t>
      </w:r>
      <w:r w:rsidR="00A83AE5" w:rsidRPr="00E114F1">
        <w:rPr>
          <w:lang w:val="sk-SK"/>
        </w:rPr>
        <w:t> dospievajúcich</w:t>
      </w:r>
      <w:r w:rsidRPr="00E114F1">
        <w:rPr>
          <w:lang w:val="sk-SK"/>
        </w:rPr>
        <w:t xml:space="preserve"> musí byť v súlade s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dostupnými oficiálnymi odporúčaniami. Liečbu ciprofloxacínom musia začať iba lekári, ktorí majú skúsenosti s liečbou cystickej fibrózy a/alebo závažných infekcií u detí a</w:t>
      </w:r>
      <w:r w:rsidR="00A83AE5" w:rsidRPr="00E114F1">
        <w:rPr>
          <w:lang w:val="sk-SK"/>
        </w:rPr>
        <w:t> dospievajúcich</w:t>
      </w:r>
      <w:r w:rsidRPr="00E114F1">
        <w:rPr>
          <w:lang w:val="sk-SK"/>
        </w:rPr>
        <w:t>.</w:t>
      </w:r>
    </w:p>
    <w:p w14:paraId="2BBF5992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Ciprofloxacín preukázateľne spôsoboval artropatiu nosných kĺbov juvenilných zvierat. Údaje o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bezpečnosti z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randomizovanej dvojito zaslepenej štúdie s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ciprofloxacínom použitom u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detí (ciprofloxacín: n=335, priemerný vek = 6,3 roka; komparátory: n=349, priemerný vek = 6,2 roka; vekový rozsah = 1 až 17 rokov) odhalili výskyt suspektnej artropatie súvisiacej s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liekom (rozpoznané z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klinických znakov a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symptómov súvisiacich s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kĺbmi) v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deň +42, a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to 7,2 % a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4,6 % . Výskyt artropatie súvisiacej s liekom po 1 roku od ukončenia liečby bol 9,0 % a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5,7 %. Postupné zvyšovanie prípadov suspektnej artropatie súvisiacej s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liekom nebolo medzi jednotlivými skupinami štatisticky významné. Liečba sa má začať až po dôkladnom vyhodnotení prospechu voči rizikám z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dôvodu možných nežiaducich udalostí súvisiacich s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kĺbmi a/alebo okolitým tkanivom.</w:t>
      </w:r>
    </w:p>
    <w:p w14:paraId="66DC06BC" w14:textId="77777777" w:rsidR="009E6B93" w:rsidRPr="00E114F1" w:rsidRDefault="009E6B93" w:rsidP="00F91CB2">
      <w:pPr>
        <w:pStyle w:val="Styl30"/>
      </w:pPr>
      <w:r w:rsidRPr="00E114F1">
        <w:t>Infekcie priedušiek a</w:t>
      </w:r>
      <w:r w:rsidR="00A83AE5" w:rsidRPr="00E114F1">
        <w:t> </w:t>
      </w:r>
      <w:r w:rsidRPr="00E114F1">
        <w:t>pľúc pri cystickej fibróze</w:t>
      </w:r>
    </w:p>
    <w:p w14:paraId="21FB4C31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Klinické štúdie zahŕňali deti a</w:t>
      </w:r>
      <w:r w:rsidR="00A83AE5" w:rsidRPr="00E114F1">
        <w:rPr>
          <w:lang w:val="sk-SK"/>
        </w:rPr>
        <w:t> dospievajúcich</w:t>
      </w:r>
      <w:r w:rsidRPr="00E114F1">
        <w:rPr>
          <w:lang w:val="sk-SK"/>
        </w:rPr>
        <w:t xml:space="preserve"> vo veku 5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-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17 rokov. S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liečbou detí vo veku 1 až 5 rokov sú k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dispozícii obmedzenejšie skúsenosti.</w:t>
      </w:r>
    </w:p>
    <w:p w14:paraId="40A6AAE0" w14:textId="77777777" w:rsidR="009E6B93" w:rsidRPr="00E114F1" w:rsidRDefault="009E6B93" w:rsidP="00F91CB2">
      <w:pPr>
        <w:pStyle w:val="Styl30"/>
      </w:pPr>
      <w:r w:rsidRPr="00E114F1">
        <w:t>Komplikované infekcie močových ciest a</w:t>
      </w:r>
      <w:r w:rsidR="00A83AE5" w:rsidRPr="00E114F1">
        <w:t> </w:t>
      </w:r>
      <w:r w:rsidRPr="00E114F1">
        <w:t>pyelonefritída</w:t>
      </w:r>
    </w:p>
    <w:p w14:paraId="54F61A42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Keď nemožno použiť inú liečbu, musí sa zvážiť liečba infekcií močových ciest ciprofloxacínom. Má byť založená na záveroch mikrobiologickej dokumentácie. Klinické štúdie zahŕňali deti a</w:t>
      </w:r>
      <w:r w:rsidR="00A83AE5" w:rsidRPr="00E114F1">
        <w:rPr>
          <w:lang w:val="sk-SK"/>
        </w:rPr>
        <w:t> dospievajúcich</w:t>
      </w:r>
      <w:r w:rsidRPr="00E114F1">
        <w:rPr>
          <w:lang w:val="sk-SK"/>
        </w:rPr>
        <w:t xml:space="preserve"> vo veku 1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noBreakHyphen/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17 rokov.</w:t>
      </w:r>
    </w:p>
    <w:p w14:paraId="005A2960" w14:textId="77777777" w:rsidR="009E6B93" w:rsidRPr="00E114F1" w:rsidRDefault="009E6B93" w:rsidP="00F91CB2">
      <w:pPr>
        <w:pStyle w:val="Styl30"/>
      </w:pPr>
      <w:r w:rsidRPr="00E114F1">
        <w:t>Iné špecifické závažné infekcie</w:t>
      </w:r>
    </w:p>
    <w:p w14:paraId="1DF201B9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Iné závažné infekcie v súlade s oficiálnym odporúčaním alebo po dôkladnom vyhodnotení prospechu voči rizikám, keď sa nedajú použiť iné spôsoby liečby, alebo po zlyhaní konvenčnej liečby a keď mikrobiologická dokumentácia môže odôvodniť použitie ciprofloxacínu.</w:t>
      </w:r>
    </w:p>
    <w:p w14:paraId="6838D260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lastRenderedPageBreak/>
        <w:t>Použitie ciprofloxacínu na liečbu špecifických závažných infekcií iných než tie, ktoré sú uvedené vyššie sa nevyhodnotilo v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klinických štúdiách a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klinické skúsenosti sú obmedzené. Z tohto dôvodu sa odporúča opatrnosť pri liečbe pacientov s týmito infekciami.</w:t>
      </w:r>
    </w:p>
    <w:p w14:paraId="66EB8FA1" w14:textId="77777777" w:rsidR="009E6B93" w:rsidRPr="00E114F1" w:rsidRDefault="009E6B93" w:rsidP="00F91CB2">
      <w:pPr>
        <w:pStyle w:val="Styl30"/>
      </w:pPr>
      <w:r w:rsidRPr="00E114F1">
        <w:t>Precitlivenosť</w:t>
      </w:r>
    </w:p>
    <w:p w14:paraId="75F1FCC2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Precitlivenosť a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 xml:space="preserve">alergické reakcie, vrátane anafylaxie a anafylaktoidných reakcií, sa môžu vyskytnúť po jednorazovej dávke (pozri časť 4.8) a môžu byť život ohrozujúce. Ak sa vyskytne takáto reakcia, ciprofloxacín sa musí vysadiť a </w:t>
      </w:r>
      <w:r w:rsidR="00A83AE5" w:rsidRPr="00E114F1">
        <w:rPr>
          <w:lang w:val="sk-SK"/>
        </w:rPr>
        <w:t xml:space="preserve"> </w:t>
      </w:r>
      <w:r w:rsidRPr="00E114F1">
        <w:rPr>
          <w:lang w:val="sk-SK"/>
        </w:rPr>
        <w:t>vyžaduje sa adekvátna medicínska liečba.</w:t>
      </w:r>
    </w:p>
    <w:p w14:paraId="5F7AA68B" w14:textId="77777777" w:rsidR="009E6B93" w:rsidRPr="00E114F1" w:rsidRDefault="009E6B93" w:rsidP="00F91CB2">
      <w:pPr>
        <w:pStyle w:val="Styl30"/>
      </w:pPr>
      <w:r w:rsidRPr="00E114F1">
        <w:t>Muskuloskeletálny systém</w:t>
      </w:r>
    </w:p>
    <w:p w14:paraId="7F541D4D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Ciprofloxacín sa vo všeobecnosti nemá používať u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pacientov s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anamnézou ochorení/poškodením šliach súvisiacich s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liečbou chinolónmi. Napriek tomu možno vo veľmi zriedkavých prípadoch, po mikrobiologickom vyšetrení organizmu spôsobujúceho ochorenie a po vyhodnotení pomeru rizík a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prospechu, ciprofloxacín predpísať týmto pacientom na liečbu niektorých závažných infekcií, najmä v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prípade zlyhania štandardnej liečby alebo bakteriálnej rezistencie, keď mikrobiologické údaje môžu odôvodniť použitie ciprofloxacínu.</w:t>
      </w:r>
    </w:p>
    <w:p w14:paraId="58F50802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Pri liečbe ciprofloxacínom sa môže počas prvých 48 hodín vyskytnúť tendinitída a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natrhnutie šľachy (najmä Achillovej šľachy), niekedy bilaterálne. Riziko tendinopatie sa môže zvýšiť u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starších pacientov alebo u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pacientov súbežne liečených kortikosteroidmi (pozri časť 4.8).</w:t>
      </w:r>
    </w:p>
    <w:p w14:paraId="4B412A70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Pri akýchkoľvek znakoch tendinitídy (napr.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bolestivý opuch, zápal) sa má liečba ciprofloxacínom vysadiť. Postihnutú končatinu treba ušetriť od fyzickej aktivity.</w:t>
      </w:r>
    </w:p>
    <w:p w14:paraId="1E05F23E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Ciprofloxacín sa má používať opatrne u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pacientov s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myasténiou gravis (pozri časť 4.8).</w:t>
      </w:r>
    </w:p>
    <w:p w14:paraId="652AE90C" w14:textId="77777777" w:rsidR="009E6B93" w:rsidRPr="00E114F1" w:rsidRDefault="009E6B93" w:rsidP="00F91CB2">
      <w:pPr>
        <w:pStyle w:val="Styl30"/>
      </w:pPr>
      <w:r w:rsidRPr="00E114F1">
        <w:t>Fotosenzitivita</w:t>
      </w:r>
    </w:p>
    <w:p w14:paraId="3A3B57DD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Ciprofloxacín preukázateľne spôsoboval reakcie precitlivenosti na svetlo. Pacientov užívajúcich ciprofloxacín treba upozorniť, aby sa počas liečby vyhýbali priamej expozícii silnému slnečnému žiareniu alebo UV žiareniu</w:t>
      </w:r>
      <w:r w:rsidR="00FE67CF" w:rsidRPr="00E114F1">
        <w:rPr>
          <w:lang w:val="sk-SK"/>
        </w:rPr>
        <w:t xml:space="preserve"> </w:t>
      </w:r>
      <w:r w:rsidRPr="00E114F1">
        <w:rPr>
          <w:lang w:val="sk-SK"/>
        </w:rPr>
        <w:t>(pozri časť 4.8).</w:t>
      </w:r>
    </w:p>
    <w:p w14:paraId="11A67F59" w14:textId="77777777" w:rsidR="009E6B93" w:rsidRPr="00E114F1" w:rsidRDefault="009E6B93" w:rsidP="00F91CB2">
      <w:pPr>
        <w:pStyle w:val="Styl30"/>
      </w:pPr>
      <w:r w:rsidRPr="00E114F1">
        <w:t>Centrálny nervový systém</w:t>
      </w:r>
    </w:p>
    <w:p w14:paraId="3B702671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Chinolóny sú známym spúšťačom záchvatov alebo znižujú prah vzniku záchvatov. U</w:t>
      </w:r>
      <w:r w:rsidR="007F7739" w:rsidRPr="00E114F1">
        <w:rPr>
          <w:lang w:val="sk-SK"/>
        </w:rPr>
        <w:t> </w:t>
      </w:r>
      <w:r w:rsidRPr="00E114F1">
        <w:rPr>
          <w:lang w:val="sk-SK"/>
        </w:rPr>
        <w:t>pacientov s poruchami CNS, ktorí majú predispozíciu na vznik záchvatov, sa má ciprofloxacín použiť s opatrnosťou.</w:t>
      </w:r>
    </w:p>
    <w:p w14:paraId="587F7DDD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V</w:t>
      </w:r>
      <w:r w:rsidR="007F7739" w:rsidRPr="00E114F1">
        <w:rPr>
          <w:lang w:val="sk-SK"/>
        </w:rPr>
        <w:t> </w:t>
      </w:r>
      <w:r w:rsidRPr="00E114F1">
        <w:rPr>
          <w:lang w:val="sk-SK"/>
        </w:rPr>
        <w:t>prípade výskytu záchvatov sa musí ciprofloxacín vysadiť</w:t>
      </w:r>
      <w:r w:rsidR="00FE67CF" w:rsidRPr="00E114F1">
        <w:rPr>
          <w:lang w:val="sk-SK"/>
        </w:rPr>
        <w:t xml:space="preserve"> </w:t>
      </w:r>
      <w:r w:rsidRPr="00E114F1">
        <w:rPr>
          <w:lang w:val="sk-SK"/>
        </w:rPr>
        <w:t>(pozri časť 4.8). Po prvom podaní ciprofloxacínu sa môžu dokonca vyskytnúť psychiatrické reakcie. V</w:t>
      </w:r>
      <w:r w:rsidR="007F7739" w:rsidRPr="00E114F1">
        <w:rPr>
          <w:lang w:val="sk-SK"/>
        </w:rPr>
        <w:t> </w:t>
      </w:r>
      <w:r w:rsidRPr="00E114F1">
        <w:rPr>
          <w:lang w:val="sk-SK"/>
        </w:rPr>
        <w:t>zriedkavých prípadoch sa môže depresia alebo psychóza rozvinúť do samoohrozujúceho správania. V takýchto prípadoch sa musí ciprofloxacín vysadiť.</w:t>
      </w:r>
    </w:p>
    <w:p w14:paraId="2E0C65B2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 xml:space="preserve">U pacientov liečených ciprofloxacínom sa </w:t>
      </w:r>
      <w:r w:rsidR="002F2747">
        <w:rPr>
          <w:lang w:val="sk-SK"/>
        </w:rPr>
        <w:t>boli hlásené</w:t>
      </w:r>
      <w:r w:rsidR="002F2747" w:rsidRPr="00E114F1">
        <w:rPr>
          <w:lang w:val="sk-SK"/>
        </w:rPr>
        <w:t xml:space="preserve"> </w:t>
      </w:r>
      <w:r w:rsidRPr="00E114F1">
        <w:rPr>
          <w:lang w:val="sk-SK"/>
        </w:rPr>
        <w:t>prípady polyneuropatie (na základe neurologických symptómov, ako je bolesť, pálenie, senzorické poruchy alebo svalová slabosť, samostatne alebo v kombinácii). Ciprofloxacín sa musí vysadiť u pacientov so symptómami neuropatie, zahŕňajúcej bolesť, pálenie, brnenie, stratu citlivosti a/alebo slabosť, aby sa zabránilo vzniku ireverzibilného stavu (pozri časť 4.8).</w:t>
      </w:r>
    </w:p>
    <w:p w14:paraId="2CA63269" w14:textId="77777777" w:rsidR="009E6B93" w:rsidRPr="00E114F1" w:rsidRDefault="009E6B93" w:rsidP="00F91CB2">
      <w:pPr>
        <w:pStyle w:val="Styl30"/>
      </w:pPr>
      <w:r w:rsidRPr="00E114F1">
        <w:t>Ochorenia srdca</w:t>
      </w:r>
    </w:p>
    <w:p w14:paraId="7EE8AA53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Keďže ciprofloxacín súvisí s prípadmi predĺženia intervalu QT (pozri časť 4.8), pri liečbe pacientov s</w:t>
      </w:r>
      <w:r w:rsidR="007F7739" w:rsidRPr="00E114F1">
        <w:rPr>
          <w:lang w:val="sk-SK"/>
        </w:rPr>
        <w:t> </w:t>
      </w:r>
      <w:r w:rsidRPr="00E114F1">
        <w:rPr>
          <w:lang w:val="sk-SK"/>
        </w:rPr>
        <w:t>rizikom arytmie torsades de pointes treba postupovať opatrne.</w:t>
      </w:r>
    </w:p>
    <w:p w14:paraId="3EDB3D98" w14:textId="77777777" w:rsidR="009E6B93" w:rsidRPr="00E114F1" w:rsidRDefault="009E6B93" w:rsidP="00F91CB2">
      <w:pPr>
        <w:pStyle w:val="Styl30"/>
      </w:pPr>
      <w:r w:rsidRPr="00E114F1">
        <w:t>Gastrointestinálny systém</w:t>
      </w:r>
    </w:p>
    <w:p w14:paraId="7BD6CB67" w14:textId="77777777" w:rsidR="009E6B93" w:rsidRPr="00E114F1" w:rsidRDefault="009E6B93" w:rsidP="007049B5">
      <w:pPr>
        <w:pStyle w:val="Normlndobloku"/>
        <w:rPr>
          <w:iCs/>
          <w:lang w:val="sk-SK"/>
        </w:rPr>
      </w:pPr>
      <w:r w:rsidRPr="00E114F1">
        <w:rPr>
          <w:lang w:val="sk-SK"/>
        </w:rPr>
        <w:t>Výskyt závažnej a</w:t>
      </w:r>
      <w:r w:rsidR="007F7739" w:rsidRPr="00E114F1">
        <w:rPr>
          <w:lang w:val="sk-SK"/>
        </w:rPr>
        <w:t> </w:t>
      </w:r>
      <w:r w:rsidRPr="00E114F1">
        <w:rPr>
          <w:lang w:val="sk-SK"/>
        </w:rPr>
        <w:t>pretrvávajúcej hnačky počas liečby alebo po liečbe (vrátane niekoľkých týždňov po liečbe) môže indikovať kolitídu súvisiacu s</w:t>
      </w:r>
      <w:r w:rsidR="007F7739" w:rsidRPr="00E114F1">
        <w:rPr>
          <w:lang w:val="sk-SK"/>
        </w:rPr>
        <w:t> </w:t>
      </w:r>
      <w:r w:rsidRPr="00E114F1">
        <w:rPr>
          <w:lang w:val="sk-SK"/>
        </w:rPr>
        <w:t>antibiotikami (život ohrozujúci stav, ktorý môže končiť smrťou), ktorá si vyžaduje okamžitú liečbu (pozri časť 4.8). V</w:t>
      </w:r>
      <w:r w:rsidR="007F7739" w:rsidRPr="00E114F1">
        <w:rPr>
          <w:lang w:val="sk-SK"/>
        </w:rPr>
        <w:t> </w:t>
      </w:r>
      <w:r w:rsidRPr="00E114F1">
        <w:rPr>
          <w:lang w:val="sk-SK"/>
        </w:rPr>
        <w:t>takýchto prípadoch sa musí ciprofloxacín okamžite vysadiť a</w:t>
      </w:r>
      <w:r w:rsidR="007F7739" w:rsidRPr="00E114F1">
        <w:rPr>
          <w:lang w:val="sk-SK"/>
        </w:rPr>
        <w:t> </w:t>
      </w:r>
      <w:r w:rsidRPr="00E114F1">
        <w:rPr>
          <w:iCs/>
          <w:lang w:val="sk-SK"/>
        </w:rPr>
        <w:t>začať vhodná liečba</w:t>
      </w:r>
      <w:r w:rsidRPr="00E114F1">
        <w:rPr>
          <w:lang w:val="sk-SK"/>
        </w:rPr>
        <w:t xml:space="preserve">. </w:t>
      </w:r>
      <w:r w:rsidRPr="00E114F1">
        <w:rPr>
          <w:iCs/>
          <w:lang w:val="sk-SK"/>
        </w:rPr>
        <w:t>Lieky, ktoré inhibujú peristaltiku, sú v takomto prípade kontraindikované.</w:t>
      </w:r>
    </w:p>
    <w:p w14:paraId="7A4630CA" w14:textId="77777777" w:rsidR="009E6B93" w:rsidRPr="00E114F1" w:rsidRDefault="009E6B93" w:rsidP="00F91CB2">
      <w:pPr>
        <w:pStyle w:val="Styl30"/>
      </w:pPr>
      <w:r w:rsidRPr="00E114F1">
        <w:lastRenderedPageBreak/>
        <w:t>Obličky a</w:t>
      </w:r>
      <w:r w:rsidR="007F7739" w:rsidRPr="00E114F1">
        <w:t> </w:t>
      </w:r>
      <w:r w:rsidRPr="00E114F1">
        <w:t>močový systém</w:t>
      </w:r>
    </w:p>
    <w:p w14:paraId="71CAB7AE" w14:textId="77777777" w:rsidR="009E6B93" w:rsidRPr="00E114F1" w:rsidRDefault="002F2747" w:rsidP="007049B5">
      <w:pPr>
        <w:pStyle w:val="Normlndobloku"/>
        <w:rPr>
          <w:lang w:val="sk-SK"/>
        </w:rPr>
      </w:pPr>
      <w:r>
        <w:rPr>
          <w:lang w:val="sk-SK"/>
        </w:rPr>
        <w:t>Bolahlásená</w:t>
      </w:r>
      <w:r w:rsidR="009E6B93" w:rsidRPr="00E114F1">
        <w:rPr>
          <w:lang w:val="sk-SK"/>
        </w:rPr>
        <w:t xml:space="preserve"> sa kryštalúria v súvislosti s použitím ciprofloxacínu (pozri časť 4.8). Pacienti dostávajúci ciprofloxacín majú byť dobre hydratovaní a treba zabrániť nadmernej alkalite moču.</w:t>
      </w:r>
    </w:p>
    <w:p w14:paraId="08F5899F" w14:textId="77777777" w:rsidR="009E6B93" w:rsidRPr="00E114F1" w:rsidRDefault="009E6B93" w:rsidP="00F91CB2">
      <w:pPr>
        <w:pStyle w:val="Styl30"/>
      </w:pPr>
      <w:r w:rsidRPr="00E114F1">
        <w:t>Hepatobiliárny systém</w:t>
      </w:r>
    </w:p>
    <w:p w14:paraId="4EAD5288" w14:textId="77777777" w:rsidR="009E6B93" w:rsidRPr="00E114F1" w:rsidRDefault="009E6B93" w:rsidP="00245966">
      <w:pPr>
        <w:pStyle w:val="Normlndobloku"/>
        <w:rPr>
          <w:lang w:val="sk-SK"/>
        </w:rPr>
      </w:pPr>
      <w:r w:rsidRPr="00E114F1">
        <w:rPr>
          <w:lang w:val="sk-SK"/>
        </w:rPr>
        <w:t xml:space="preserve">Po ciprofloxacíne sa </w:t>
      </w:r>
      <w:r w:rsidR="002F2747">
        <w:rPr>
          <w:lang w:val="sk-SK"/>
        </w:rPr>
        <w:t>boli hlásené</w:t>
      </w:r>
      <w:r w:rsidR="002F2747" w:rsidRPr="00E114F1">
        <w:rPr>
          <w:lang w:val="sk-SK"/>
        </w:rPr>
        <w:t xml:space="preserve"> </w:t>
      </w:r>
      <w:r w:rsidRPr="00E114F1">
        <w:rPr>
          <w:lang w:val="sk-SK"/>
        </w:rPr>
        <w:t>prípady pečeňovej nekrózy a život ohrozujúce zlyhanie pečene (pozri časť 4.8). V prípade akýchkoľvek znakov a symptómov ochorenia pečene (ako napríklad anorexia, žltačka, tmavý moč, pruritus alebo citlivé brucho) sa musí liečba vysadiť.</w:t>
      </w:r>
    </w:p>
    <w:p w14:paraId="6A4406F7" w14:textId="77777777" w:rsidR="009E6B93" w:rsidRPr="00E114F1" w:rsidRDefault="009E6B93" w:rsidP="00F91CB2">
      <w:pPr>
        <w:pStyle w:val="Styl30"/>
      </w:pPr>
      <w:r w:rsidRPr="00E114F1">
        <w:t>Deficiencia glukózo-6-fosfátdehydrogenázy</w:t>
      </w:r>
    </w:p>
    <w:p w14:paraId="4ECC3095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 xml:space="preserve">U pacientov s deficienciou glukózo-6-fosfátdehydrogenázy </w:t>
      </w:r>
      <w:r w:rsidR="00F47536">
        <w:rPr>
          <w:lang w:val="sk-SK"/>
        </w:rPr>
        <w:t>boli</w:t>
      </w:r>
      <w:r w:rsidRPr="00E114F1">
        <w:rPr>
          <w:lang w:val="sk-SK"/>
        </w:rPr>
        <w:t xml:space="preserve"> po ciprofloxacíne hlás</w:t>
      </w:r>
      <w:r w:rsidR="00F47536">
        <w:rPr>
          <w:lang w:val="sk-SK"/>
        </w:rPr>
        <w:t>ené</w:t>
      </w:r>
      <w:r w:rsidRPr="00E114F1">
        <w:rPr>
          <w:lang w:val="sk-SK"/>
        </w:rPr>
        <w:t xml:space="preserve"> hemolytické reakcie.</w:t>
      </w:r>
      <w:r w:rsidR="00FE67CF" w:rsidRPr="00E114F1">
        <w:rPr>
          <w:lang w:val="sk-SK"/>
        </w:rPr>
        <w:t xml:space="preserve"> </w:t>
      </w:r>
      <w:r w:rsidRPr="00E114F1">
        <w:rPr>
          <w:lang w:val="sk-SK"/>
        </w:rPr>
        <w:t>U</w:t>
      </w:r>
      <w:r w:rsidR="007F7739" w:rsidRPr="00E114F1">
        <w:rPr>
          <w:lang w:val="sk-SK"/>
        </w:rPr>
        <w:t> </w:t>
      </w:r>
      <w:r w:rsidRPr="00E114F1">
        <w:rPr>
          <w:lang w:val="sk-SK"/>
        </w:rPr>
        <w:t>týchto pacientov sa ciprofloxacín nemá používať pokiaľ potenciálny prospech nepreváži možné riziká. V takomto prípade sa má monitorovať potenciálny výskyt hemolýzy.</w:t>
      </w:r>
    </w:p>
    <w:p w14:paraId="0A70B1D4" w14:textId="77777777" w:rsidR="009E6B93" w:rsidRPr="00E114F1" w:rsidRDefault="009E6B93" w:rsidP="00F91CB2">
      <w:pPr>
        <w:pStyle w:val="Styl30"/>
      </w:pPr>
      <w:r w:rsidRPr="00E114F1">
        <w:t>Rezistencia</w:t>
      </w:r>
    </w:p>
    <w:p w14:paraId="2062C27F" w14:textId="77777777" w:rsidR="009E6B93" w:rsidRPr="00E114F1" w:rsidRDefault="009E6B93" w:rsidP="00245966">
      <w:pPr>
        <w:pStyle w:val="Normlndobloku"/>
        <w:rPr>
          <w:lang w:val="sk-SK" w:eastAsia="en-US"/>
        </w:rPr>
      </w:pPr>
      <w:r w:rsidRPr="00E114F1">
        <w:rPr>
          <w:lang w:val="sk-SK" w:eastAsia="en-US"/>
        </w:rPr>
        <w:t xml:space="preserve">Počas alebo po priebehu liečby ciprofloxacínom možno izolovať baktérie, ktoré vykazujú rezistenciu na ciprofloxacín, s klinicky zjavnou superinfekciou alebo bez nej. Počas predĺženého trvania liečby a pri liečbe </w:t>
      </w:r>
      <w:r w:rsidRPr="00E114F1">
        <w:rPr>
          <w:lang w:val="sk-SK"/>
        </w:rPr>
        <w:t xml:space="preserve">nemocničných infekcií </w:t>
      </w:r>
      <w:r w:rsidRPr="00E114F1">
        <w:rPr>
          <w:lang w:val="sk-SK" w:eastAsia="en-US"/>
        </w:rPr>
        <w:t xml:space="preserve">a/alebo infekcií spôsobených kmeňmi </w:t>
      </w:r>
      <w:r w:rsidRPr="00E114F1">
        <w:rPr>
          <w:rStyle w:val="BacilChar"/>
          <w:lang w:val="sk-SK"/>
        </w:rPr>
        <w:t>Staphylococcus</w:t>
      </w:r>
      <w:r w:rsidRPr="00E114F1">
        <w:rPr>
          <w:lang w:val="sk-SK" w:eastAsia="en-US"/>
        </w:rPr>
        <w:t xml:space="preserve"> a</w:t>
      </w:r>
      <w:r w:rsidR="007F7739" w:rsidRPr="00E114F1">
        <w:rPr>
          <w:lang w:val="sk-SK" w:eastAsia="en-US"/>
        </w:rPr>
        <w:t> </w:t>
      </w:r>
      <w:r w:rsidRPr="00E114F1">
        <w:rPr>
          <w:rStyle w:val="BacilChar"/>
          <w:lang w:val="sk-SK"/>
        </w:rPr>
        <w:t>Pseudomonas</w:t>
      </w:r>
      <w:r w:rsidRPr="00E114F1">
        <w:rPr>
          <w:lang w:val="sk-SK" w:eastAsia="en-US"/>
        </w:rPr>
        <w:t xml:space="preserve"> je možné</w:t>
      </w:r>
      <w:r w:rsidR="00FE67CF" w:rsidRPr="00E114F1">
        <w:rPr>
          <w:lang w:val="sk-SK" w:eastAsia="en-US"/>
        </w:rPr>
        <w:t xml:space="preserve"> </w:t>
      </w:r>
      <w:r w:rsidRPr="00E114F1">
        <w:rPr>
          <w:lang w:val="sk-SK" w:eastAsia="en-US"/>
        </w:rPr>
        <w:t>významné riziko selekcie baktérií rezistentných na ciprofloxacín.</w:t>
      </w:r>
    </w:p>
    <w:p w14:paraId="07CC499F" w14:textId="77777777" w:rsidR="009E6B93" w:rsidRPr="00E114F1" w:rsidRDefault="009E6B93" w:rsidP="00F91CB2">
      <w:pPr>
        <w:pStyle w:val="Styl30"/>
      </w:pPr>
      <w:r w:rsidRPr="00E114F1">
        <w:t>Cytochróm P450</w:t>
      </w:r>
    </w:p>
    <w:p w14:paraId="4331172D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Ciprofloxacín inhibuje CYP1A2, a</w:t>
      </w:r>
      <w:r w:rsidR="007F7739" w:rsidRPr="00E114F1">
        <w:rPr>
          <w:lang w:val="sk-SK"/>
        </w:rPr>
        <w:t> </w:t>
      </w:r>
      <w:r w:rsidRPr="00E114F1">
        <w:rPr>
          <w:lang w:val="sk-SK"/>
        </w:rPr>
        <w:t>preto môže zvýšiť sérovú koncentráciu súbežne podávaných liečiv metabolizovaných týmto enzýmom (napr.</w:t>
      </w:r>
      <w:r w:rsidR="007F7739" w:rsidRPr="00E114F1">
        <w:rPr>
          <w:lang w:val="sk-SK"/>
        </w:rPr>
        <w:t> </w:t>
      </w:r>
      <w:r w:rsidRPr="00E114F1">
        <w:rPr>
          <w:lang w:val="sk-SK"/>
        </w:rPr>
        <w:t>duloxetínu, klozapínu, ropinirolu, tizanidínu). Súbežné podávanie ciprofloxacínu a tizanidínu je kontraindikované. Preto sa musia u</w:t>
      </w:r>
      <w:r w:rsidR="007F7739" w:rsidRPr="00E114F1">
        <w:rPr>
          <w:lang w:val="sk-SK"/>
        </w:rPr>
        <w:t> </w:t>
      </w:r>
      <w:r w:rsidRPr="00E114F1">
        <w:rPr>
          <w:lang w:val="sk-SK"/>
        </w:rPr>
        <w:t>pacientov užívajúcich tieto liečivá súbežne s</w:t>
      </w:r>
      <w:r w:rsidR="007F7739" w:rsidRPr="00E114F1">
        <w:rPr>
          <w:lang w:val="sk-SK"/>
        </w:rPr>
        <w:t> </w:t>
      </w:r>
      <w:r w:rsidRPr="00E114F1">
        <w:rPr>
          <w:lang w:val="sk-SK"/>
        </w:rPr>
        <w:t>ciprofloxacínom dôkladne sledovať klinické znaky predávkovania a</w:t>
      </w:r>
      <w:r w:rsidR="007F7739" w:rsidRPr="00E114F1">
        <w:rPr>
          <w:lang w:val="sk-SK"/>
        </w:rPr>
        <w:t> </w:t>
      </w:r>
      <w:r w:rsidRPr="00E114F1">
        <w:rPr>
          <w:lang w:val="sk-SK"/>
        </w:rPr>
        <w:t>môže byť potrebné stanovenie koncentrácie v sére (napr.</w:t>
      </w:r>
      <w:r w:rsidR="007F7739" w:rsidRPr="00E114F1">
        <w:rPr>
          <w:lang w:val="sk-SK"/>
        </w:rPr>
        <w:t> </w:t>
      </w:r>
      <w:r w:rsidRPr="00E114F1">
        <w:rPr>
          <w:lang w:val="sk-SK"/>
        </w:rPr>
        <w:t>teofylín) (pozri časť 4.5).</w:t>
      </w:r>
    </w:p>
    <w:p w14:paraId="4D52FEF3" w14:textId="77777777" w:rsidR="009E6B93" w:rsidRPr="00E114F1" w:rsidRDefault="009E6B93" w:rsidP="00F91CB2">
      <w:pPr>
        <w:pStyle w:val="Styl30"/>
      </w:pPr>
      <w:r w:rsidRPr="00E114F1">
        <w:t>Metotrexát</w:t>
      </w:r>
    </w:p>
    <w:p w14:paraId="040B95CF" w14:textId="77777777" w:rsidR="009E6B93" w:rsidRPr="00E114F1" w:rsidRDefault="009E6B93" w:rsidP="007049B5">
      <w:r w:rsidRPr="00E114F1">
        <w:t>Súbežné užívanie ciprofloxacínu s</w:t>
      </w:r>
      <w:r w:rsidR="007F7739" w:rsidRPr="00E114F1">
        <w:t> </w:t>
      </w:r>
      <w:r w:rsidRPr="00E114F1">
        <w:t>metotrexátom sa neodporúča (pozri časť 4.5).</w:t>
      </w:r>
    </w:p>
    <w:p w14:paraId="4B7EDE65" w14:textId="77777777" w:rsidR="009E6B93" w:rsidRPr="00E114F1" w:rsidRDefault="009E6B93" w:rsidP="00F91CB2">
      <w:pPr>
        <w:pStyle w:val="Styl30"/>
      </w:pPr>
      <w:r w:rsidRPr="00E114F1">
        <w:t>Interakcia s</w:t>
      </w:r>
      <w:r w:rsidR="007F7739" w:rsidRPr="00E114F1">
        <w:t> </w:t>
      </w:r>
      <w:r w:rsidR="007F71B4" w:rsidRPr="00E114F1">
        <w:t>testami</w:t>
      </w:r>
    </w:p>
    <w:p w14:paraId="5D26AB5F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rStyle w:val="BacilChar"/>
          <w:lang w:val="sk-SK"/>
        </w:rPr>
        <w:t>In vitro</w:t>
      </w:r>
      <w:r w:rsidRPr="00E114F1">
        <w:rPr>
          <w:lang w:val="sk-SK"/>
        </w:rPr>
        <w:t xml:space="preserve"> aktivita ciprofloxacínu proti </w:t>
      </w:r>
      <w:r w:rsidRPr="00E114F1">
        <w:rPr>
          <w:rStyle w:val="BacilChar"/>
          <w:lang w:val="sk-SK"/>
        </w:rPr>
        <w:t>Mycobacterium tuberculosis</w:t>
      </w:r>
      <w:r w:rsidRPr="00E114F1">
        <w:rPr>
          <w:lang w:val="sk-SK"/>
        </w:rPr>
        <w:t xml:space="preserve"> môže dávať negatívne falošné výsledky mikrobiologických testov na vzorkách pacientov súčasne užívajúcich ciprofloxacín.</w:t>
      </w:r>
    </w:p>
    <w:p w14:paraId="2F893DD2" w14:textId="77777777" w:rsidR="00D07F1D" w:rsidRDefault="007F7739">
      <w:pPr>
        <w:pStyle w:val="Styl30"/>
      </w:pPr>
      <w:r w:rsidRPr="005F69AE">
        <w:t>Poruchy zraku</w:t>
      </w:r>
    </w:p>
    <w:p w14:paraId="3F1560C1" w14:textId="77777777" w:rsidR="00FD5CA9" w:rsidRDefault="00C661C4" w:rsidP="007049B5">
      <w:pPr>
        <w:pStyle w:val="Normlndobloku"/>
        <w:rPr>
          <w:lang w:val="sk-SK"/>
        </w:rPr>
      </w:pPr>
      <w:r>
        <w:rPr>
          <w:lang w:val="sk-SK"/>
        </w:rPr>
        <w:t>Z</w:t>
      </w:r>
      <w:r w:rsidR="007F7739" w:rsidRPr="00E114F1">
        <w:rPr>
          <w:lang w:val="sk-SK"/>
        </w:rPr>
        <w:t>horšeni</w:t>
      </w:r>
      <w:r>
        <w:rPr>
          <w:lang w:val="sk-SK"/>
        </w:rPr>
        <w:t>e</w:t>
      </w:r>
      <w:r w:rsidR="007F7739" w:rsidRPr="00E114F1">
        <w:rPr>
          <w:lang w:val="sk-SK"/>
        </w:rPr>
        <w:t xml:space="preserve"> zraku alebo ak</w:t>
      </w:r>
      <w:r>
        <w:rPr>
          <w:lang w:val="sk-SK"/>
        </w:rPr>
        <w:t>ý</w:t>
      </w:r>
      <w:r w:rsidR="007F7739" w:rsidRPr="00E114F1">
        <w:rPr>
          <w:lang w:val="sk-SK"/>
        </w:rPr>
        <w:t xml:space="preserve">koľvek vplyv na oči, je nevyhnutné okamžite konzultovať </w:t>
      </w:r>
      <w:r>
        <w:rPr>
          <w:lang w:val="sk-SK"/>
        </w:rPr>
        <w:t xml:space="preserve">s </w:t>
      </w:r>
      <w:r w:rsidR="007F7739" w:rsidRPr="00E114F1">
        <w:rPr>
          <w:lang w:val="sk-SK"/>
        </w:rPr>
        <w:t>očn</w:t>
      </w:r>
      <w:r>
        <w:rPr>
          <w:lang w:val="sk-SK"/>
        </w:rPr>
        <w:t>ým</w:t>
      </w:r>
      <w:r w:rsidR="007F7739" w:rsidRPr="00E114F1">
        <w:rPr>
          <w:lang w:val="sk-SK"/>
        </w:rPr>
        <w:t xml:space="preserve"> lekár</w:t>
      </w:r>
      <w:r>
        <w:rPr>
          <w:lang w:val="sk-SK"/>
        </w:rPr>
        <w:t>om.</w:t>
      </w:r>
    </w:p>
    <w:p w14:paraId="322DA02F" w14:textId="77777777" w:rsidR="00FD5CA9" w:rsidRPr="00FD5CA9" w:rsidRDefault="00FD5CA9" w:rsidP="00B169AD">
      <w:pPr>
        <w:pStyle w:val="Styl30"/>
      </w:pPr>
      <w:r w:rsidRPr="00FD5CA9">
        <w:t>Dysgl</w:t>
      </w:r>
      <w:r w:rsidR="00B169AD">
        <w:t>y</w:t>
      </w:r>
      <w:r w:rsidRPr="00FD5CA9">
        <w:t>kémia</w:t>
      </w:r>
    </w:p>
    <w:p w14:paraId="1B66FD46" w14:textId="6F8B7B25" w:rsidR="007F7739" w:rsidRPr="00E114F1" w:rsidRDefault="00FD5CA9" w:rsidP="00FD5CA9">
      <w:pPr>
        <w:pStyle w:val="Normlndobloku"/>
        <w:rPr>
          <w:lang w:val="sk-SK"/>
        </w:rPr>
      </w:pPr>
      <w:r w:rsidRPr="00FD5CA9">
        <w:rPr>
          <w:lang w:val="sk-SK"/>
        </w:rPr>
        <w:t xml:space="preserve">Tak ako pri všetkých chinolónoch, boli hlásené poruchy hladiny glukózy </w:t>
      </w:r>
      <w:r w:rsidRPr="00B169AD">
        <w:t>v</w:t>
      </w:r>
      <w:r>
        <w:t> </w:t>
      </w:r>
      <w:r w:rsidRPr="00B169AD">
        <w:t>krvi</w:t>
      </w:r>
      <w:r w:rsidRPr="00FD5CA9">
        <w:rPr>
          <w:lang w:val="sk-SK"/>
        </w:rPr>
        <w:t>, vrátane hypoglykémie a</w:t>
      </w:r>
      <w:r>
        <w:rPr>
          <w:lang w:val="sk-SK"/>
        </w:rPr>
        <w:t> </w:t>
      </w:r>
      <w:r w:rsidRPr="00FD5CA9">
        <w:rPr>
          <w:lang w:val="sk-SK"/>
        </w:rPr>
        <w:t xml:space="preserve">hyperglykémie (pozri časť 4.8), predovšetkým </w:t>
      </w:r>
      <w:r>
        <w:rPr>
          <w:lang w:val="sk-SK"/>
        </w:rPr>
        <w:t>u </w:t>
      </w:r>
      <w:r w:rsidRPr="00FD5CA9">
        <w:rPr>
          <w:lang w:val="sk-SK"/>
        </w:rPr>
        <w:t>diabetických pacientov súbežne liečených perorálnymi hypoglykemickými liekmi (napr. glibenklamidom) alebo inzulínom. Boli hlásené prípady hypoglykemickej kómy. U</w:t>
      </w:r>
      <w:r>
        <w:rPr>
          <w:lang w:val="sk-SK"/>
        </w:rPr>
        <w:t> </w:t>
      </w:r>
      <w:r w:rsidRPr="00FD5CA9">
        <w:rPr>
          <w:lang w:val="sk-SK"/>
        </w:rPr>
        <w:t>diabetických pacientov sa odporúča starostlivé sledovanie hladiny glukózy v</w:t>
      </w:r>
      <w:r w:rsidR="00B169AD">
        <w:rPr>
          <w:lang w:val="sk-SK"/>
        </w:rPr>
        <w:t> </w:t>
      </w:r>
      <w:r w:rsidRPr="00FD5CA9">
        <w:rPr>
          <w:lang w:val="sk-SK"/>
        </w:rPr>
        <w:t>krvi.</w:t>
      </w:r>
    </w:p>
    <w:p w14:paraId="590F23DF" w14:textId="77777777" w:rsidR="009E6B93" w:rsidRPr="00E114F1" w:rsidRDefault="009E6B93" w:rsidP="007049B5">
      <w:pPr>
        <w:pStyle w:val="Styl2"/>
        <w:rPr>
          <w:lang w:val="sk-SK"/>
        </w:rPr>
      </w:pPr>
      <w:r w:rsidRPr="00E114F1">
        <w:rPr>
          <w:lang w:val="sk-SK"/>
        </w:rPr>
        <w:t>Liekové a iné interakcie</w:t>
      </w:r>
    </w:p>
    <w:p w14:paraId="34DFF9C1" w14:textId="77777777" w:rsidR="009E6B93" w:rsidRPr="00E114F1" w:rsidRDefault="009E6B93" w:rsidP="00F91CB2">
      <w:pPr>
        <w:pStyle w:val="Styl30"/>
      </w:pPr>
      <w:r w:rsidRPr="00E114F1">
        <w:t>Účinky iných liekov na ciprofloxacín:</w:t>
      </w:r>
    </w:p>
    <w:p w14:paraId="0F7D2F7E" w14:textId="77777777" w:rsidR="009E6B93" w:rsidRPr="00E114F1" w:rsidRDefault="009E6B93" w:rsidP="00F91CB2">
      <w:pPr>
        <w:pStyle w:val="Styl30"/>
      </w:pPr>
      <w:r w:rsidRPr="00E114F1">
        <w:t>Tvorba chelátového komplexu</w:t>
      </w:r>
    </w:p>
    <w:p w14:paraId="5093A819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Súbežné podávanie ciprofloxacínu (perorálne) a</w:t>
      </w:r>
      <w:r w:rsidR="007F7739" w:rsidRPr="00E114F1">
        <w:rPr>
          <w:lang w:val="sk-SK"/>
        </w:rPr>
        <w:t> </w:t>
      </w:r>
      <w:r w:rsidRPr="00E114F1">
        <w:rPr>
          <w:iCs/>
          <w:lang w:val="sk-SK"/>
        </w:rPr>
        <w:t>viacmocných</w:t>
      </w:r>
      <w:r w:rsidRPr="00E114F1">
        <w:rPr>
          <w:lang w:val="sk-SK"/>
        </w:rPr>
        <w:t xml:space="preserve"> liečiv obsahujúcich katióny a</w:t>
      </w:r>
      <w:r w:rsidR="007F7739" w:rsidRPr="00E114F1">
        <w:rPr>
          <w:lang w:val="sk-SK"/>
        </w:rPr>
        <w:t> </w:t>
      </w:r>
      <w:r w:rsidRPr="00E114F1">
        <w:rPr>
          <w:iCs/>
          <w:lang w:val="sk-SK"/>
        </w:rPr>
        <w:t>minerálnych výživových doplnkov</w:t>
      </w:r>
      <w:r w:rsidRPr="00E114F1">
        <w:rPr>
          <w:lang w:val="sk-SK"/>
        </w:rPr>
        <w:t xml:space="preserve"> (napr.</w:t>
      </w:r>
      <w:r w:rsidR="007F7739" w:rsidRPr="00E114F1">
        <w:rPr>
          <w:lang w:val="sk-SK"/>
        </w:rPr>
        <w:t> </w:t>
      </w:r>
      <w:r w:rsidRPr="00E114F1">
        <w:rPr>
          <w:lang w:val="sk-SK"/>
        </w:rPr>
        <w:t>vápnika, horčíka, hliníka, železa), polymérových viazačov fosfátov (napr.</w:t>
      </w:r>
      <w:r w:rsidR="007F7739" w:rsidRPr="00E114F1">
        <w:rPr>
          <w:lang w:val="sk-SK"/>
        </w:rPr>
        <w:t> </w:t>
      </w:r>
      <w:r w:rsidRPr="00E114F1">
        <w:rPr>
          <w:lang w:val="sk-SK"/>
        </w:rPr>
        <w:t>sevelameru), sukralfátu alebo antacíd a</w:t>
      </w:r>
      <w:r w:rsidR="007F7739" w:rsidRPr="00E114F1">
        <w:rPr>
          <w:lang w:val="sk-SK"/>
        </w:rPr>
        <w:t> </w:t>
      </w:r>
      <w:r w:rsidRPr="00E114F1">
        <w:rPr>
          <w:lang w:val="sk-SK"/>
        </w:rPr>
        <w:t>vysoko pufrovaných liekov (napr.</w:t>
      </w:r>
      <w:r w:rsidR="007F7739" w:rsidRPr="00E114F1">
        <w:rPr>
          <w:lang w:val="sk-SK"/>
        </w:rPr>
        <w:t> </w:t>
      </w:r>
      <w:r w:rsidRPr="00E114F1">
        <w:rPr>
          <w:lang w:val="sk-SK"/>
        </w:rPr>
        <w:t>tabliet didanozínu) obsahujúcich horčík, hliník alebo vápnik znižuje absorpciu ciprofloxacínu. Z</w:t>
      </w:r>
      <w:r w:rsidR="007F7739" w:rsidRPr="00E114F1">
        <w:rPr>
          <w:lang w:val="sk-SK"/>
        </w:rPr>
        <w:t> </w:t>
      </w:r>
      <w:r w:rsidRPr="00E114F1">
        <w:rPr>
          <w:lang w:val="sk-SK"/>
        </w:rPr>
        <w:t xml:space="preserve">tohto dôvodu sa má ciprofloxacín podávať buď </w:t>
      </w:r>
      <w:r w:rsidRPr="00E114F1">
        <w:rPr>
          <w:iCs/>
          <w:lang w:val="sk-SK"/>
        </w:rPr>
        <w:t>1</w:t>
      </w:r>
      <w:r w:rsidR="007F7739" w:rsidRPr="00E114F1">
        <w:rPr>
          <w:iCs/>
          <w:lang w:val="sk-SK"/>
        </w:rPr>
        <w:t> </w:t>
      </w:r>
      <w:r w:rsidRPr="00E114F1">
        <w:rPr>
          <w:iCs/>
          <w:lang w:val="sk-SK"/>
        </w:rPr>
        <w:t>-</w:t>
      </w:r>
      <w:r w:rsidR="007F7739" w:rsidRPr="00E114F1">
        <w:rPr>
          <w:iCs/>
          <w:lang w:val="sk-SK"/>
        </w:rPr>
        <w:t> </w:t>
      </w:r>
      <w:r w:rsidRPr="00E114F1">
        <w:rPr>
          <w:iCs/>
          <w:lang w:val="sk-SK"/>
        </w:rPr>
        <w:t>2 hodiny pred alebo najmenej 4 hodiny po týchto prípravkoch</w:t>
      </w:r>
      <w:r w:rsidRPr="00E114F1">
        <w:rPr>
          <w:lang w:val="sk-SK"/>
        </w:rPr>
        <w:t>. Toto obmedzenie sa nevzťahuje na antacidá patriace do triedy blokátorov H2 receptorov.</w:t>
      </w:r>
    </w:p>
    <w:p w14:paraId="4BA4B12E" w14:textId="77777777" w:rsidR="009E6B93" w:rsidRPr="00E114F1" w:rsidRDefault="009E6B93" w:rsidP="00F91CB2">
      <w:pPr>
        <w:pStyle w:val="Styl30"/>
      </w:pPr>
      <w:r w:rsidRPr="00E114F1">
        <w:lastRenderedPageBreak/>
        <w:t>Strava a</w:t>
      </w:r>
      <w:r w:rsidR="007F7739" w:rsidRPr="00E114F1">
        <w:t> </w:t>
      </w:r>
      <w:r w:rsidRPr="00E114F1">
        <w:t>mliečne výrobky</w:t>
      </w:r>
    </w:p>
    <w:p w14:paraId="082E1359" w14:textId="77777777" w:rsidR="009E6B93" w:rsidRPr="00E114F1" w:rsidRDefault="009E6B93" w:rsidP="00245966">
      <w:pPr>
        <w:pStyle w:val="Normlndobloku"/>
        <w:rPr>
          <w:lang w:val="sk-SK"/>
        </w:rPr>
      </w:pPr>
      <w:r w:rsidRPr="00E114F1">
        <w:rPr>
          <w:lang w:val="sk-SK"/>
        </w:rPr>
        <w:t>Vápnik obsiahnutý v potrave významne neovplyvňuje absorpciu. Má sa však vyvarovať súbežnému podávaniu samotných mliečnych výrobkov alebo nápojov obohatených minerálmi (napr.</w:t>
      </w:r>
      <w:r w:rsidR="007F7739" w:rsidRPr="00E114F1">
        <w:rPr>
          <w:lang w:val="sk-SK"/>
        </w:rPr>
        <w:t> </w:t>
      </w:r>
      <w:r w:rsidRPr="00E114F1">
        <w:rPr>
          <w:lang w:val="sk-SK"/>
        </w:rPr>
        <w:t>mlieko, jogurt, pomarančový džús obohatený vápnikom) s</w:t>
      </w:r>
      <w:r w:rsidR="007F7739" w:rsidRPr="00E114F1">
        <w:rPr>
          <w:lang w:val="sk-SK"/>
        </w:rPr>
        <w:t> </w:t>
      </w:r>
      <w:r w:rsidRPr="00E114F1">
        <w:rPr>
          <w:lang w:val="sk-SK"/>
        </w:rPr>
        <w:t>ciprofloxacínom, pretože sa môže znížiť absorpcia ciprofloxacínu.</w:t>
      </w:r>
    </w:p>
    <w:p w14:paraId="6AA8E471" w14:textId="77777777" w:rsidR="009E6B93" w:rsidRPr="00E114F1" w:rsidRDefault="009E6B93" w:rsidP="00F91CB2">
      <w:pPr>
        <w:pStyle w:val="Styl30"/>
      </w:pPr>
      <w:r w:rsidRPr="00E114F1">
        <w:t>Probenecid</w:t>
      </w:r>
    </w:p>
    <w:p w14:paraId="6C50BC35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Probenecid ovplyvňuje vylučovanie ciprofloxacínu obličkami. Súbežné podávanie probenecidu a</w:t>
      </w:r>
      <w:r w:rsidR="007F7739" w:rsidRPr="00E114F1">
        <w:rPr>
          <w:lang w:val="sk-SK"/>
        </w:rPr>
        <w:t> </w:t>
      </w:r>
      <w:r w:rsidRPr="00E114F1">
        <w:rPr>
          <w:lang w:val="sk-SK"/>
        </w:rPr>
        <w:t>ciprofloxacínu zvyšuje koncentrácie ciprofloxacínu v</w:t>
      </w:r>
      <w:r w:rsidR="007F7739" w:rsidRPr="00E114F1">
        <w:rPr>
          <w:lang w:val="sk-SK"/>
        </w:rPr>
        <w:t> </w:t>
      </w:r>
      <w:r w:rsidRPr="00E114F1">
        <w:rPr>
          <w:lang w:val="sk-SK"/>
        </w:rPr>
        <w:t>sére.</w:t>
      </w:r>
    </w:p>
    <w:p w14:paraId="70513270" w14:textId="77777777" w:rsidR="009E6B93" w:rsidRPr="00E114F1" w:rsidRDefault="009E6B93" w:rsidP="00F91CB2">
      <w:pPr>
        <w:pStyle w:val="Styl30"/>
      </w:pPr>
      <w:r w:rsidRPr="00E114F1">
        <w:t>Účinky ciprofloxacínu na iné lieky:</w:t>
      </w:r>
    </w:p>
    <w:p w14:paraId="7608F62F" w14:textId="77777777" w:rsidR="009E6B93" w:rsidRPr="00E114F1" w:rsidRDefault="009E6B93" w:rsidP="00F91CB2">
      <w:pPr>
        <w:pStyle w:val="Styl30"/>
      </w:pPr>
      <w:r w:rsidRPr="00E114F1">
        <w:t>Tizanidín</w:t>
      </w:r>
    </w:p>
    <w:p w14:paraId="50D960E2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Tizanidín sa nesmie podávať spolu s</w:t>
      </w:r>
      <w:r w:rsidR="007F7739" w:rsidRPr="00E114F1">
        <w:rPr>
          <w:lang w:val="sk-SK"/>
        </w:rPr>
        <w:t> </w:t>
      </w:r>
      <w:r w:rsidRPr="00E114F1">
        <w:rPr>
          <w:lang w:val="sk-SK"/>
        </w:rPr>
        <w:t>ciprofloxacínom (pozri časť 4.3). V</w:t>
      </w:r>
      <w:r w:rsidR="007F7739" w:rsidRPr="00E114F1">
        <w:rPr>
          <w:lang w:val="sk-SK"/>
        </w:rPr>
        <w:t> </w:t>
      </w:r>
      <w:r w:rsidRPr="00E114F1">
        <w:rPr>
          <w:lang w:val="sk-SK"/>
        </w:rPr>
        <w:t>klinickej štúdii so zdravými jedincami došlo k</w:t>
      </w:r>
      <w:r w:rsidR="007F7739" w:rsidRPr="00E114F1">
        <w:rPr>
          <w:lang w:val="sk-SK"/>
        </w:rPr>
        <w:t> </w:t>
      </w:r>
      <w:r w:rsidRPr="00E114F1">
        <w:rPr>
          <w:lang w:val="sk-SK"/>
        </w:rPr>
        <w:t>zvýšeniu koncentrácie tizanidínu (zvýšenie hodnoty C</w:t>
      </w:r>
      <w:r w:rsidRPr="00E114F1">
        <w:rPr>
          <w:vertAlign w:val="subscript"/>
          <w:lang w:val="sk-SK"/>
        </w:rPr>
        <w:t>max</w:t>
      </w:r>
      <w:r w:rsidRPr="00E114F1">
        <w:rPr>
          <w:lang w:val="sk-SK"/>
        </w:rPr>
        <w:t xml:space="preserve"> 7-násobné, rozsah: 4 až 21-násobné; zvýšenie hodnoty AUC: 10-násobné, rozsah: 6 až 24-násobné) pri súbežnom podávaní s </w:t>
      </w:r>
      <w:r w:rsidR="007107D8" w:rsidRPr="00E114F1">
        <w:rPr>
          <w:lang w:val="sk-SK"/>
        </w:rPr>
        <w:t> </w:t>
      </w:r>
      <w:r w:rsidRPr="00E114F1">
        <w:rPr>
          <w:lang w:val="sk-SK"/>
        </w:rPr>
        <w:t>ciprofloxacínom. Zvýšená koncentrácia tizanidínu súvisí so zosilneným hypotenzným a</w:t>
      </w:r>
      <w:r w:rsidR="007107D8" w:rsidRPr="00E114F1">
        <w:rPr>
          <w:lang w:val="sk-SK"/>
        </w:rPr>
        <w:t> </w:t>
      </w:r>
      <w:r w:rsidRPr="00E114F1">
        <w:rPr>
          <w:lang w:val="sk-SK"/>
        </w:rPr>
        <w:t>sedatívnym účinkom.</w:t>
      </w:r>
    </w:p>
    <w:p w14:paraId="3E66A906" w14:textId="77777777" w:rsidR="009E6B93" w:rsidRPr="00E114F1" w:rsidRDefault="009E6B93" w:rsidP="00F91CB2">
      <w:pPr>
        <w:pStyle w:val="Styl30"/>
      </w:pPr>
      <w:r w:rsidRPr="00E114F1">
        <w:t>Metotrexát</w:t>
      </w:r>
    </w:p>
    <w:p w14:paraId="036F2CBE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Transport metotrexátu tubulami obličiek môže byť inhibovaný súbežným podaním ciprofloxacínu, čo môže viesť k zvýšeniu hladín metotrexátu v plazme a zvýšenému riziku toxických reakcií v súvislosti s</w:t>
      </w:r>
      <w:r w:rsidR="007107D8" w:rsidRPr="00E114F1">
        <w:rPr>
          <w:lang w:val="sk-SK"/>
        </w:rPr>
        <w:t> </w:t>
      </w:r>
      <w:r w:rsidRPr="00E114F1">
        <w:rPr>
          <w:lang w:val="sk-SK"/>
        </w:rPr>
        <w:t>metotrexátom. Súbežné používanie sa neodporúča (pozri časť 4.4).</w:t>
      </w:r>
    </w:p>
    <w:p w14:paraId="5B14152B" w14:textId="77777777" w:rsidR="009E6B93" w:rsidRPr="00E114F1" w:rsidRDefault="009E6B93" w:rsidP="00F91CB2">
      <w:pPr>
        <w:pStyle w:val="Styl30"/>
      </w:pPr>
      <w:r w:rsidRPr="00E114F1">
        <w:t>Teofylín</w:t>
      </w:r>
    </w:p>
    <w:p w14:paraId="2C7CE98A" w14:textId="77777777" w:rsidR="009E6B93" w:rsidRPr="00E114F1" w:rsidRDefault="009E6B93" w:rsidP="00245966">
      <w:pPr>
        <w:pStyle w:val="Normlndobloku"/>
        <w:rPr>
          <w:lang w:val="sk-SK"/>
        </w:rPr>
      </w:pPr>
      <w:r w:rsidRPr="00E114F1">
        <w:rPr>
          <w:lang w:val="sk-SK"/>
        </w:rPr>
        <w:t>Súbežné podávanie ciprofloxacínu a</w:t>
      </w:r>
      <w:r w:rsidR="007107D8" w:rsidRPr="00E114F1">
        <w:rPr>
          <w:lang w:val="sk-SK"/>
        </w:rPr>
        <w:t> </w:t>
      </w:r>
      <w:r w:rsidRPr="00E114F1">
        <w:rPr>
          <w:lang w:val="sk-SK"/>
        </w:rPr>
        <w:t>teofylínu môže spôsobovať nežiaduce zvýšenie koncentrácie teofylínu v</w:t>
      </w:r>
      <w:r w:rsidR="007107D8" w:rsidRPr="00E114F1">
        <w:rPr>
          <w:lang w:val="sk-SK"/>
        </w:rPr>
        <w:t> </w:t>
      </w:r>
      <w:r w:rsidRPr="00E114F1">
        <w:rPr>
          <w:lang w:val="sk-SK"/>
        </w:rPr>
        <w:t>sére. To môže viesť k nežiaducim účinkom vyvolaným teofylínom, ktoré môžu byť zriedkavo život ohrozujúce alebo smrteľné. Pri kombinácii sa má koncentrácia teofylínu v</w:t>
      </w:r>
      <w:r w:rsidR="007107D8" w:rsidRPr="00E114F1">
        <w:rPr>
          <w:lang w:val="sk-SK"/>
        </w:rPr>
        <w:t> </w:t>
      </w:r>
      <w:r w:rsidRPr="00E114F1">
        <w:rPr>
          <w:lang w:val="sk-SK"/>
        </w:rPr>
        <w:t>sére kontrolovať a ak je potrebné dávka teofylínu sa má znížiť (pozri časť 4.4).</w:t>
      </w:r>
    </w:p>
    <w:p w14:paraId="4F182195" w14:textId="77777777" w:rsidR="009E6B93" w:rsidRPr="00E114F1" w:rsidRDefault="009E6B93" w:rsidP="00F91CB2">
      <w:pPr>
        <w:pStyle w:val="Styl30"/>
      </w:pPr>
      <w:r w:rsidRPr="00E114F1">
        <w:t>Iné deriváty xantínu</w:t>
      </w:r>
    </w:p>
    <w:p w14:paraId="6BCD31C9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Pri súbežnom podávaní ciprofloxacínu a</w:t>
      </w:r>
      <w:r w:rsidR="007107D8" w:rsidRPr="00E114F1">
        <w:rPr>
          <w:lang w:val="sk-SK"/>
        </w:rPr>
        <w:t> </w:t>
      </w:r>
      <w:r w:rsidRPr="00E114F1">
        <w:rPr>
          <w:lang w:val="sk-SK"/>
        </w:rPr>
        <w:t>kofeínu alebo pentoxifylínu (oxpentifylínu) sa hlásili zvýšené koncentrácie týchto derivátov xantínu v</w:t>
      </w:r>
      <w:r w:rsidR="007107D8" w:rsidRPr="00E114F1">
        <w:rPr>
          <w:lang w:val="sk-SK"/>
        </w:rPr>
        <w:t> </w:t>
      </w:r>
      <w:r w:rsidRPr="00E114F1">
        <w:rPr>
          <w:lang w:val="sk-SK"/>
        </w:rPr>
        <w:t>sére.</w:t>
      </w:r>
    </w:p>
    <w:p w14:paraId="39FBD1FF" w14:textId="77777777" w:rsidR="009E6B93" w:rsidRPr="00E114F1" w:rsidRDefault="009E6B93" w:rsidP="00F91CB2">
      <w:pPr>
        <w:pStyle w:val="Styl30"/>
      </w:pPr>
      <w:r w:rsidRPr="00E114F1">
        <w:t>Fenytoín</w:t>
      </w:r>
    </w:p>
    <w:p w14:paraId="0CB405B9" w14:textId="77777777" w:rsidR="009E6B93" w:rsidRPr="00E114F1" w:rsidRDefault="009E6B93" w:rsidP="00245966">
      <w:pPr>
        <w:pStyle w:val="Normlndobloku"/>
        <w:rPr>
          <w:lang w:val="sk-SK"/>
        </w:rPr>
      </w:pPr>
      <w:r w:rsidRPr="00E114F1">
        <w:rPr>
          <w:lang w:val="sk-SK"/>
        </w:rPr>
        <w:t>Súbežné podávanie ciprofloxacínu a</w:t>
      </w:r>
      <w:r w:rsidR="007107D8" w:rsidRPr="00E114F1">
        <w:rPr>
          <w:lang w:val="sk-SK"/>
        </w:rPr>
        <w:t> </w:t>
      </w:r>
      <w:r w:rsidRPr="00E114F1">
        <w:rPr>
          <w:lang w:val="sk-SK"/>
        </w:rPr>
        <w:t>fenytoínu môže spôsobiť zvýšenie alebo zníženie hladín fenytoínu v sére, a</w:t>
      </w:r>
      <w:r w:rsidR="007107D8" w:rsidRPr="00E114F1">
        <w:rPr>
          <w:lang w:val="sk-SK"/>
        </w:rPr>
        <w:t> </w:t>
      </w:r>
      <w:r w:rsidRPr="00E114F1">
        <w:rPr>
          <w:lang w:val="sk-SK"/>
        </w:rPr>
        <w:t>preto sa odporúča monitorovanie hladín liečiva.</w:t>
      </w:r>
    </w:p>
    <w:p w14:paraId="714C34C3" w14:textId="77777777" w:rsidR="009E6B93" w:rsidRPr="00E114F1" w:rsidRDefault="009E6B93" w:rsidP="00F91CB2">
      <w:pPr>
        <w:pStyle w:val="Styl30"/>
      </w:pPr>
      <w:r w:rsidRPr="00E114F1">
        <w:t>Perorálne antikoagulanciá</w:t>
      </w:r>
    </w:p>
    <w:p w14:paraId="139123A4" w14:textId="77777777" w:rsidR="009E6B93" w:rsidRPr="00E114F1" w:rsidRDefault="009E6B93" w:rsidP="00245966">
      <w:pPr>
        <w:pStyle w:val="Normlndobloku"/>
        <w:rPr>
          <w:lang w:val="sk-SK"/>
        </w:rPr>
      </w:pPr>
      <w:r w:rsidRPr="00E114F1">
        <w:rPr>
          <w:lang w:val="sk-SK"/>
        </w:rPr>
        <w:t>Súbežné podávanie ciprofloxacínu s</w:t>
      </w:r>
      <w:r w:rsidR="007107D8" w:rsidRPr="00E114F1">
        <w:rPr>
          <w:lang w:val="sk-SK"/>
        </w:rPr>
        <w:t> </w:t>
      </w:r>
      <w:r w:rsidRPr="00E114F1">
        <w:rPr>
          <w:lang w:val="sk-SK"/>
        </w:rPr>
        <w:t>warfarínom môže umocniť jeho antikoagulačné účinky. U</w:t>
      </w:r>
      <w:r w:rsidR="007107D8" w:rsidRPr="00E114F1">
        <w:rPr>
          <w:lang w:val="sk-SK"/>
        </w:rPr>
        <w:t> </w:t>
      </w:r>
      <w:r w:rsidRPr="00E114F1">
        <w:rPr>
          <w:lang w:val="sk-SK"/>
        </w:rPr>
        <w:t>pacientov dostávajúcich antibakteriálne liečivá, vrátane fluorochinolónov, je veľa hlásení o zvýšeniach aktivity perorálneho antikoagulancia. Riziko sa môže meniť v závislosti od danej infekcie, veku a celkového stavu pacienta, a</w:t>
      </w:r>
      <w:r w:rsidR="007107D8" w:rsidRPr="00E114F1">
        <w:rPr>
          <w:lang w:val="sk-SK"/>
        </w:rPr>
        <w:t> </w:t>
      </w:r>
      <w:r w:rsidRPr="00E114F1">
        <w:rPr>
          <w:lang w:val="sk-SK"/>
        </w:rPr>
        <w:t>preto je obtiažne vyhodnotiť príspevok fluorochinolónov na zvýšenie INR (medzinárodný normalizovaný pomer). Odporúča sa časté monitorovanie INR počas a krátko po súbežnom podávaní ciprofloxacínu a perorálneho antikoagulancia.</w:t>
      </w:r>
    </w:p>
    <w:p w14:paraId="4210F55D" w14:textId="77777777" w:rsidR="009E6B93" w:rsidRPr="00E114F1" w:rsidRDefault="009E6B93" w:rsidP="00F91CB2">
      <w:pPr>
        <w:pStyle w:val="Styl30"/>
      </w:pPr>
      <w:r w:rsidRPr="00E114F1">
        <w:t>Ropinirol</w:t>
      </w:r>
    </w:p>
    <w:p w14:paraId="1FA1BFC3" w14:textId="77777777" w:rsidR="009E6B93" w:rsidRPr="00E114F1" w:rsidRDefault="009E6B93" w:rsidP="00245966">
      <w:pPr>
        <w:pStyle w:val="Normlndobloku"/>
        <w:rPr>
          <w:lang w:val="sk-SK"/>
        </w:rPr>
      </w:pPr>
      <w:r w:rsidRPr="00E114F1">
        <w:rPr>
          <w:lang w:val="sk-SK"/>
        </w:rPr>
        <w:t>V</w:t>
      </w:r>
      <w:r w:rsidR="007107D8" w:rsidRPr="00E114F1">
        <w:rPr>
          <w:lang w:val="sk-SK"/>
        </w:rPr>
        <w:t> </w:t>
      </w:r>
      <w:r w:rsidRPr="00E114F1">
        <w:rPr>
          <w:lang w:val="sk-SK"/>
        </w:rPr>
        <w:t>jednej klinickej štúdii bolo preukázané, že súbežné používanie ropinirolu s</w:t>
      </w:r>
      <w:r w:rsidR="007107D8" w:rsidRPr="00E114F1">
        <w:rPr>
          <w:lang w:val="sk-SK"/>
        </w:rPr>
        <w:t> </w:t>
      </w:r>
      <w:r w:rsidRPr="00E114F1">
        <w:rPr>
          <w:lang w:val="sk-SK"/>
        </w:rPr>
        <w:t>ciprofloxacínom, stredne silným inhibítorom izoenzýmu CYP450 1A2, spôsobuje zvýšenie C</w:t>
      </w:r>
      <w:r w:rsidRPr="00E114F1">
        <w:rPr>
          <w:vertAlign w:val="subscript"/>
          <w:lang w:val="sk-SK"/>
        </w:rPr>
        <w:t>max</w:t>
      </w:r>
      <w:r w:rsidRPr="00E114F1">
        <w:rPr>
          <w:lang w:val="sk-SK"/>
        </w:rPr>
        <w:t xml:space="preserve"> a</w:t>
      </w:r>
      <w:r w:rsidR="007107D8" w:rsidRPr="00E114F1">
        <w:rPr>
          <w:lang w:val="sk-SK"/>
        </w:rPr>
        <w:t> </w:t>
      </w:r>
      <w:r w:rsidRPr="00E114F1">
        <w:rPr>
          <w:lang w:val="sk-SK"/>
        </w:rPr>
        <w:t>AUC ropinirolu o 60 % respektíve 84 %. Počas a krátko po súbežnom podávaní s</w:t>
      </w:r>
      <w:r w:rsidR="007107D8" w:rsidRPr="00E114F1">
        <w:rPr>
          <w:lang w:val="sk-SK"/>
        </w:rPr>
        <w:t> </w:t>
      </w:r>
      <w:r w:rsidRPr="00E114F1">
        <w:rPr>
          <w:lang w:val="sk-SK"/>
        </w:rPr>
        <w:t>ciprofloxacínom sa odporúča kontrola nežiaducich účinkov</w:t>
      </w:r>
      <w:r w:rsidR="00FE67CF" w:rsidRPr="00E114F1">
        <w:rPr>
          <w:lang w:val="sk-SK"/>
        </w:rPr>
        <w:t xml:space="preserve"> </w:t>
      </w:r>
      <w:r w:rsidRPr="00E114F1">
        <w:rPr>
          <w:lang w:val="sk-SK"/>
        </w:rPr>
        <w:t>súvisiacich s ropinirolom a náležitá úprava dávky (pozri časť 4.4).</w:t>
      </w:r>
    </w:p>
    <w:p w14:paraId="1B46608D" w14:textId="77777777" w:rsidR="009E6B93" w:rsidRPr="00E114F1" w:rsidRDefault="001F0DEB" w:rsidP="00F91CB2">
      <w:pPr>
        <w:pStyle w:val="Styl30"/>
      </w:pPr>
      <w:r w:rsidRPr="00E114F1">
        <w:t>K</w:t>
      </w:r>
      <w:r w:rsidR="009E6B93" w:rsidRPr="00E114F1">
        <w:t>lozapín</w:t>
      </w:r>
    </w:p>
    <w:p w14:paraId="75F2CA5A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lastRenderedPageBreak/>
        <w:t>Po súbežnom podávaní 250 mg ciprofloxacínu s</w:t>
      </w:r>
      <w:r w:rsidR="007107D8" w:rsidRPr="00E114F1">
        <w:rPr>
          <w:lang w:val="sk-SK"/>
        </w:rPr>
        <w:t> </w:t>
      </w:r>
      <w:r w:rsidRPr="00E114F1">
        <w:rPr>
          <w:lang w:val="sk-SK"/>
        </w:rPr>
        <w:t>klozapínom počas 7 dní sa koncentrácie klozapínu a</w:t>
      </w:r>
      <w:r w:rsidR="007107D8" w:rsidRPr="00E114F1">
        <w:rPr>
          <w:lang w:val="sk-SK"/>
        </w:rPr>
        <w:t> </w:t>
      </w:r>
      <w:r w:rsidRPr="00E114F1">
        <w:rPr>
          <w:lang w:val="sk-SK"/>
        </w:rPr>
        <w:t>N-desmetylklozapínu v</w:t>
      </w:r>
      <w:r w:rsidR="007107D8" w:rsidRPr="00E114F1">
        <w:rPr>
          <w:lang w:val="sk-SK"/>
        </w:rPr>
        <w:t> </w:t>
      </w:r>
      <w:r w:rsidRPr="00E114F1">
        <w:rPr>
          <w:lang w:val="sk-SK"/>
        </w:rPr>
        <w:t>sére zvýšili o 29 % respektíve 31 %. Počas a krátko po súbežnom podávaní ciprofloxacínu sa odporúča klinický dohľad a náležitá úprava dávkovania klozapínu (pozri časť 4.4).</w:t>
      </w:r>
    </w:p>
    <w:p w14:paraId="7E49C352" w14:textId="77777777" w:rsidR="009E6B93" w:rsidRPr="00E114F1" w:rsidRDefault="007107D8" w:rsidP="007049B5">
      <w:pPr>
        <w:pStyle w:val="Styl2"/>
        <w:rPr>
          <w:lang w:val="sk-SK"/>
        </w:rPr>
      </w:pPr>
      <w:r w:rsidRPr="00E114F1">
        <w:rPr>
          <w:lang w:val="sk-SK"/>
        </w:rPr>
        <w:t>Fertilita, g</w:t>
      </w:r>
      <w:r w:rsidR="009E6B93" w:rsidRPr="00E114F1">
        <w:rPr>
          <w:lang w:val="sk-SK"/>
        </w:rPr>
        <w:t>ravidita a laktácia</w:t>
      </w:r>
    </w:p>
    <w:p w14:paraId="6ED71EE4" w14:textId="77777777" w:rsidR="009E6B93" w:rsidRPr="00E114F1" w:rsidRDefault="009E6B93" w:rsidP="00F91CB2">
      <w:pPr>
        <w:pStyle w:val="Styl30"/>
      </w:pPr>
      <w:r w:rsidRPr="00E114F1">
        <w:t>Gravidita</w:t>
      </w:r>
    </w:p>
    <w:p w14:paraId="4DC905A4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Údaje, ktoré sú dostupné o podávaní ciprofloxacínu</w:t>
      </w:r>
      <w:r w:rsidR="00FE67CF" w:rsidRPr="00E114F1">
        <w:rPr>
          <w:lang w:val="sk-SK"/>
        </w:rPr>
        <w:t xml:space="preserve"> </w:t>
      </w:r>
      <w:r w:rsidRPr="00E114F1">
        <w:rPr>
          <w:lang w:val="sk-SK"/>
        </w:rPr>
        <w:t>gravidným ženám, nenaznačujú žiadnu malformačnú ani feto/neonatálnu toxicitu ciprofloxacínu. Štúdie na zvieratách z hľadiska reprodukčnej toxicity nenaznačujú žiadne priame ani nepriame škodlivé účinky. U juvenilných a prenatálnych zvierat vystavených účinku chinolónov sa pozorovali vplyvy na nezrelú chrupavku. Preto sa nedá vylúčiť, že toto liečivo môže v nezrelom ľudskom organizme / plode zapríčiniť poškodenie chrupavky kĺbov (pozri časť 5.3).</w:t>
      </w:r>
    </w:p>
    <w:p w14:paraId="33EA4550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Ako preventívne opatrenie sa odporúča nepoužívať ciprofloxacín počas gravidity.</w:t>
      </w:r>
    </w:p>
    <w:p w14:paraId="3D71D4A5" w14:textId="77777777" w:rsidR="009E6B93" w:rsidRPr="00E114F1" w:rsidRDefault="007107D8" w:rsidP="00F91CB2">
      <w:pPr>
        <w:pStyle w:val="Styl30"/>
      </w:pPr>
      <w:r w:rsidRPr="00E114F1">
        <w:t>Dojčenie</w:t>
      </w:r>
    </w:p>
    <w:p w14:paraId="52F79BD3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Ciprofloxacín sa vylučuje do materského mlieka. Z dôvodu potenciálneho rizika poškodenia kĺbov sa ciprofloxacín nemá používať počas laktácie.</w:t>
      </w:r>
    </w:p>
    <w:p w14:paraId="0021DE59" w14:textId="77777777" w:rsidR="009E6B93" w:rsidRPr="00E114F1" w:rsidRDefault="009E6B93" w:rsidP="007049B5">
      <w:pPr>
        <w:pStyle w:val="Styl2"/>
        <w:rPr>
          <w:lang w:val="sk-SK"/>
        </w:rPr>
      </w:pPr>
      <w:r w:rsidRPr="00E114F1">
        <w:rPr>
          <w:lang w:val="sk-SK"/>
        </w:rPr>
        <w:t>Ovplyvnenie schopnosti viesť vozidlá a obsluhovať stroje</w:t>
      </w:r>
    </w:p>
    <w:p w14:paraId="2E5BB701" w14:textId="77777777" w:rsidR="00FE67CF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Ciprofloxacín môže z</w:t>
      </w:r>
      <w:r w:rsidR="007107D8" w:rsidRPr="00E114F1">
        <w:rPr>
          <w:lang w:val="sk-SK"/>
        </w:rPr>
        <w:t> </w:t>
      </w:r>
      <w:r w:rsidRPr="00E114F1">
        <w:rPr>
          <w:lang w:val="sk-SK"/>
        </w:rPr>
        <w:t>dôvodu jeho neurologických účinkov ovplyvniť reakčnú dobu. Schopnosť viesť vozidlo a obsluhovať stroje môže byť preto zhoršená.</w:t>
      </w:r>
    </w:p>
    <w:p w14:paraId="0F885D76" w14:textId="77777777" w:rsidR="009E6B93" w:rsidRPr="00E114F1" w:rsidRDefault="009E6B93" w:rsidP="007049B5">
      <w:pPr>
        <w:pStyle w:val="Styl2"/>
        <w:rPr>
          <w:lang w:val="sk-SK"/>
        </w:rPr>
      </w:pPr>
      <w:r w:rsidRPr="00E114F1">
        <w:rPr>
          <w:lang w:val="sk-SK"/>
        </w:rPr>
        <w:t>Nežiaduce účinky</w:t>
      </w:r>
    </w:p>
    <w:p w14:paraId="7D762D4A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Najčastejšie hlásenými nežiaducimi reakciami lieku (ADRs) sú nevoľnosť a hnačka.</w:t>
      </w:r>
    </w:p>
    <w:p w14:paraId="39B45D47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 xml:space="preserve">Nežiaduce reakcie lieku získané z klinických štúdií a počas dohľadu nad liekom po uvedení </w:t>
      </w:r>
      <w:r w:rsidR="00E114F1">
        <w:rPr>
          <w:lang w:val="sk-SK"/>
        </w:rPr>
        <w:t>lieku MEDOCIPRIN</w:t>
      </w:r>
      <w:r w:rsidRPr="00E114F1">
        <w:rPr>
          <w:lang w:val="sk-SK"/>
        </w:rPr>
        <w:t xml:space="preserve"> na trh (perorálna, intravenózna a sekvenčná liečba) zoradené podľa kategórií frekvencie sú uvedené nižšie. Analýza frekvencie zohľadňuje údaje o</w:t>
      </w:r>
      <w:r w:rsidR="007107D8" w:rsidRPr="00E114F1">
        <w:rPr>
          <w:lang w:val="sk-SK"/>
        </w:rPr>
        <w:t> </w:t>
      </w:r>
      <w:r w:rsidRPr="00E114F1">
        <w:rPr>
          <w:lang w:val="sk-SK"/>
        </w:rPr>
        <w:t>perorálnom aj intravenóznom podávaní ciprofloxacínu.</w:t>
      </w:r>
    </w:p>
    <w:tbl>
      <w:tblPr>
        <w:tblW w:w="5154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1195"/>
        <w:gridCol w:w="1637"/>
        <w:gridCol w:w="1874"/>
        <w:gridCol w:w="1611"/>
        <w:gridCol w:w="1506"/>
      </w:tblGrid>
      <w:tr w:rsidR="009E6B93" w:rsidRPr="00E114F1" w14:paraId="23EEED0C" w14:textId="77777777" w:rsidTr="00982691">
        <w:trPr>
          <w:cantSplit/>
          <w:tblHeader/>
        </w:trPr>
        <w:tc>
          <w:tcPr>
            <w:tcW w:w="809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76B4E20" w14:textId="77777777" w:rsidR="009E6B93" w:rsidRPr="00E114F1" w:rsidRDefault="00DE1B35" w:rsidP="007049B5">
            <w:pPr>
              <w:rPr>
                <w:b/>
              </w:rPr>
            </w:pPr>
            <w:r w:rsidRPr="00DE1B35">
              <w:rPr>
                <w:b/>
              </w:rPr>
              <w:t>Trieda orgánových systémov</w:t>
            </w:r>
          </w:p>
        </w:tc>
        <w:tc>
          <w:tcPr>
            <w:tcW w:w="64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AA0F997" w14:textId="77777777" w:rsidR="009E6B93" w:rsidRPr="00E114F1" w:rsidRDefault="00DE1B35" w:rsidP="007049B5">
            <w:pPr>
              <w:rPr>
                <w:rFonts w:eastAsia="Batang"/>
                <w:b/>
                <w:u w:val="single"/>
              </w:rPr>
            </w:pPr>
            <w:r w:rsidRPr="00DE1B35">
              <w:rPr>
                <w:b/>
              </w:rPr>
              <w:t>Časté (</w:t>
            </w:r>
            <w:r w:rsidRPr="00DE1B35">
              <w:rPr>
                <w:b/>
              </w:rPr>
              <w:sym w:font="Symbol" w:char="F0B3"/>
            </w:r>
            <w:r w:rsidRPr="00DE1B35">
              <w:rPr>
                <w:b/>
              </w:rPr>
              <w:t>1/100 až &lt;1/10)</w:t>
            </w:r>
          </w:p>
        </w:tc>
        <w:tc>
          <w:tcPr>
            <w:tcW w:w="877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C93F923" w14:textId="77777777" w:rsidR="009E6B93" w:rsidRPr="00E114F1" w:rsidRDefault="00DE1B35" w:rsidP="007049B5">
            <w:pPr>
              <w:rPr>
                <w:b/>
              </w:rPr>
            </w:pPr>
            <w:r w:rsidRPr="00DE1B35">
              <w:rPr>
                <w:b/>
              </w:rPr>
              <w:t>Menej časté (</w:t>
            </w:r>
            <w:r w:rsidRPr="00DE1B35">
              <w:rPr>
                <w:b/>
              </w:rPr>
              <w:sym w:font="Symbol" w:char="F0B3"/>
            </w:r>
            <w:r w:rsidRPr="00DE1B35">
              <w:rPr>
                <w:b/>
              </w:rPr>
              <w:t>1/1 000 až &lt;1/100)</w:t>
            </w:r>
          </w:p>
        </w:tc>
        <w:tc>
          <w:tcPr>
            <w:tcW w:w="1004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3C9810A" w14:textId="77777777" w:rsidR="009E6B93" w:rsidRPr="00E114F1" w:rsidRDefault="00DE1B35" w:rsidP="007049B5">
            <w:pPr>
              <w:rPr>
                <w:b/>
              </w:rPr>
            </w:pPr>
            <w:r w:rsidRPr="00DE1B35">
              <w:rPr>
                <w:b/>
              </w:rPr>
              <w:t>Zriedkavé (</w:t>
            </w:r>
            <w:r w:rsidRPr="00DE1B35">
              <w:rPr>
                <w:b/>
              </w:rPr>
              <w:sym w:font="Symbol" w:char="F0B3"/>
            </w:r>
            <w:r w:rsidRPr="00DE1B35">
              <w:rPr>
                <w:b/>
              </w:rPr>
              <w:t>1/10 000 až &lt;1/1 000)</w:t>
            </w:r>
          </w:p>
        </w:tc>
        <w:tc>
          <w:tcPr>
            <w:tcW w:w="863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46847DC" w14:textId="77777777" w:rsidR="009E6B93" w:rsidRPr="00E114F1" w:rsidRDefault="00DE1B35" w:rsidP="007049B5">
            <w:pPr>
              <w:rPr>
                <w:b/>
              </w:rPr>
            </w:pPr>
            <w:r w:rsidRPr="00DE1B35">
              <w:rPr>
                <w:b/>
              </w:rPr>
              <w:t>Veľmi zriedkavé (&lt;1/10 000)</w:t>
            </w:r>
          </w:p>
        </w:tc>
        <w:tc>
          <w:tcPr>
            <w:tcW w:w="807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F9973B2" w14:textId="77777777" w:rsidR="009E6B93" w:rsidRPr="00E114F1" w:rsidRDefault="007107D8" w:rsidP="007049B5">
            <w:pPr>
              <w:rPr>
                <w:b/>
              </w:rPr>
            </w:pPr>
            <w:r w:rsidRPr="00E114F1">
              <w:rPr>
                <w:b/>
              </w:rPr>
              <w:t>Neznáma</w:t>
            </w:r>
          </w:p>
          <w:p w14:paraId="3CF87D62" w14:textId="77777777" w:rsidR="009E6B93" w:rsidRPr="00E114F1" w:rsidRDefault="00DE1B35" w:rsidP="00F47536">
            <w:pPr>
              <w:rPr>
                <w:rFonts w:eastAsia="Batang"/>
                <w:b/>
                <w:bCs/>
              </w:rPr>
            </w:pPr>
            <w:r w:rsidRPr="00DE1B35">
              <w:rPr>
                <w:b/>
              </w:rPr>
              <w:t>(</w:t>
            </w:r>
            <w:r w:rsidR="00F47536" w:rsidRPr="00E114F1">
              <w:rPr>
                <w:b/>
              </w:rPr>
              <w:t>nie je možné odhadnúť</w:t>
            </w:r>
            <w:r w:rsidR="00F47536" w:rsidRPr="00D601DA">
              <w:rPr>
                <w:b/>
              </w:rPr>
              <w:t>)</w:t>
            </w:r>
            <w:r w:rsidRPr="00DE1B35">
              <w:rPr>
                <w:b/>
              </w:rPr>
              <w:t>z dostupných údajov</w:t>
            </w:r>
            <w:r w:rsidR="007107D8" w:rsidRPr="00E114F1">
              <w:rPr>
                <w:b/>
              </w:rPr>
              <w:t xml:space="preserve"> </w:t>
            </w:r>
          </w:p>
        </w:tc>
      </w:tr>
      <w:tr w:rsidR="009E6B93" w:rsidRPr="00E114F1" w14:paraId="3E724D36" w14:textId="77777777" w:rsidTr="00982691">
        <w:trPr>
          <w:cantSplit/>
        </w:trPr>
        <w:tc>
          <w:tcPr>
            <w:tcW w:w="809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8B409" w14:textId="77777777" w:rsidR="009E6B93" w:rsidRPr="00E114F1" w:rsidRDefault="009E6B93" w:rsidP="007049B5">
            <w:pPr>
              <w:rPr>
                <w:rFonts w:eastAsia="Batang"/>
              </w:rPr>
            </w:pPr>
            <w:r w:rsidRPr="00E114F1">
              <w:t>Infekcie a nákazy</w:t>
            </w:r>
          </w:p>
        </w:tc>
        <w:tc>
          <w:tcPr>
            <w:tcW w:w="640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EF8C79" w14:textId="77777777" w:rsidR="009E6B93" w:rsidRPr="00E114F1" w:rsidRDefault="009E6B93" w:rsidP="007049B5"/>
        </w:tc>
        <w:tc>
          <w:tcPr>
            <w:tcW w:w="877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CB135" w14:textId="77777777" w:rsidR="009E6B93" w:rsidRPr="00E114F1" w:rsidRDefault="009E6B93" w:rsidP="007049B5">
            <w:r w:rsidRPr="00E114F1">
              <w:t>Mykotické superinfekcie</w:t>
            </w:r>
          </w:p>
        </w:tc>
        <w:tc>
          <w:tcPr>
            <w:tcW w:w="1004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572162" w14:textId="77777777" w:rsidR="009E6B93" w:rsidRPr="00E114F1" w:rsidRDefault="009E6B93" w:rsidP="007049B5">
            <w:r w:rsidRPr="00E114F1">
              <w:t>Kolitída súvisiaca s antibiotikami (veľmi zriedkavo môže končiť smrťou) (pozri časť 4.4)</w:t>
            </w:r>
          </w:p>
        </w:tc>
        <w:tc>
          <w:tcPr>
            <w:tcW w:w="863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A8925B" w14:textId="77777777" w:rsidR="009E6B93" w:rsidRPr="00E114F1" w:rsidRDefault="009E6B93" w:rsidP="007049B5"/>
        </w:tc>
        <w:tc>
          <w:tcPr>
            <w:tcW w:w="807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37A29" w14:textId="77777777" w:rsidR="009E6B93" w:rsidRPr="00E114F1" w:rsidRDefault="009E6B93" w:rsidP="007049B5"/>
        </w:tc>
      </w:tr>
      <w:tr w:rsidR="009E6B93" w:rsidRPr="00E114F1" w14:paraId="2256F282" w14:textId="77777777" w:rsidTr="00982691">
        <w:trPr>
          <w:cantSplit/>
        </w:trPr>
        <w:tc>
          <w:tcPr>
            <w:tcW w:w="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8F40C" w14:textId="77777777" w:rsidR="00E003B3" w:rsidRPr="00E114F1" w:rsidRDefault="009E6B93" w:rsidP="007049B5">
            <w:r w:rsidRPr="00E114F1">
              <w:t>Poruchy krvi a</w:t>
            </w:r>
            <w:r w:rsidR="007107D8" w:rsidRPr="00E114F1">
              <w:t> </w:t>
            </w:r>
          </w:p>
          <w:p w14:paraId="6C874B9F" w14:textId="77777777" w:rsidR="009E6B93" w:rsidRPr="00E114F1" w:rsidRDefault="009E6B93" w:rsidP="007049B5">
            <w:pPr>
              <w:rPr>
                <w:rFonts w:eastAsia="Batang"/>
              </w:rPr>
            </w:pPr>
            <w:r w:rsidRPr="00E114F1">
              <w:t>lymfatického systému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CF5BF" w14:textId="77777777" w:rsidR="009E6B93" w:rsidRPr="00E114F1" w:rsidRDefault="009E6B93" w:rsidP="007049B5"/>
        </w:tc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C51E9" w14:textId="77777777" w:rsidR="009E6B93" w:rsidRPr="00E114F1" w:rsidRDefault="009E6B93" w:rsidP="007049B5">
            <w:r w:rsidRPr="00E114F1">
              <w:t>Eozinofília</w:t>
            </w:r>
          </w:p>
        </w:tc>
        <w:tc>
          <w:tcPr>
            <w:tcW w:w="10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F5A51" w14:textId="77777777" w:rsidR="009E6B93" w:rsidRPr="00E114F1" w:rsidRDefault="009E6B93" w:rsidP="007049B5">
            <w:r w:rsidRPr="00E114F1">
              <w:t>Leukopénia</w:t>
            </w:r>
          </w:p>
          <w:p w14:paraId="3DB8CD3D" w14:textId="77777777" w:rsidR="009E6B93" w:rsidRPr="00E114F1" w:rsidRDefault="009E6B93" w:rsidP="007049B5">
            <w:r w:rsidRPr="00E114F1">
              <w:t>Anémia</w:t>
            </w:r>
          </w:p>
          <w:p w14:paraId="75A661B7" w14:textId="77777777" w:rsidR="009E6B93" w:rsidRPr="00E114F1" w:rsidRDefault="009E6B93" w:rsidP="007049B5">
            <w:r w:rsidRPr="00E114F1">
              <w:t>Neutropénia</w:t>
            </w:r>
          </w:p>
          <w:p w14:paraId="0AFFB167" w14:textId="77777777" w:rsidR="009E6B93" w:rsidRPr="00E114F1" w:rsidRDefault="009E6B93" w:rsidP="007049B5">
            <w:r w:rsidRPr="00E114F1">
              <w:t>Leukocytóza</w:t>
            </w:r>
          </w:p>
          <w:p w14:paraId="0E458314" w14:textId="77777777" w:rsidR="009E6B93" w:rsidRPr="00E114F1" w:rsidRDefault="009E6B93" w:rsidP="007049B5">
            <w:r w:rsidRPr="00E114F1">
              <w:t>Trombocytopénia</w:t>
            </w:r>
          </w:p>
          <w:p w14:paraId="1BC254C2" w14:textId="77777777" w:rsidR="009E6B93" w:rsidRPr="00E114F1" w:rsidRDefault="009E6B93" w:rsidP="007049B5">
            <w:r w:rsidRPr="00E114F1">
              <w:t>Trombocytémia</w:t>
            </w:r>
          </w:p>
        </w:tc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3A5CB0" w14:textId="77777777" w:rsidR="009E6B93" w:rsidRPr="00E114F1" w:rsidRDefault="009E6B93" w:rsidP="007049B5">
            <w:r w:rsidRPr="00E114F1">
              <w:t>Hemolytická anémia</w:t>
            </w:r>
          </w:p>
          <w:p w14:paraId="1F0286FC" w14:textId="77777777" w:rsidR="009E6B93" w:rsidRPr="00E114F1" w:rsidRDefault="009E6B93" w:rsidP="007049B5">
            <w:r w:rsidRPr="00E114F1">
              <w:t>Agranulocytó</w:t>
            </w:r>
            <w:r w:rsidR="00B169AD">
              <w:t>-</w:t>
            </w:r>
            <w:r w:rsidRPr="00E114F1">
              <w:t>za</w:t>
            </w:r>
          </w:p>
          <w:p w14:paraId="3F012A1E" w14:textId="77777777" w:rsidR="009E6B93" w:rsidRPr="00E114F1" w:rsidRDefault="009E6B93" w:rsidP="007049B5">
            <w:r w:rsidRPr="00E114F1">
              <w:t>Pancytopénia (život ohrozujúca)</w:t>
            </w:r>
          </w:p>
          <w:p w14:paraId="2AB9A00F" w14:textId="77777777" w:rsidR="009E6B93" w:rsidRPr="00E114F1" w:rsidRDefault="009E6B93" w:rsidP="007049B5">
            <w:r w:rsidRPr="00E114F1">
              <w:t>Pokles tvorby kostnej drene (život ohrozujúci)</w:t>
            </w: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3E2D27" w14:textId="77777777" w:rsidR="009E6B93" w:rsidRPr="00E114F1" w:rsidRDefault="009E6B93" w:rsidP="007049B5"/>
        </w:tc>
      </w:tr>
      <w:tr w:rsidR="009E6B93" w:rsidRPr="00E114F1" w14:paraId="569BC0B4" w14:textId="77777777" w:rsidTr="00982691">
        <w:trPr>
          <w:cantSplit/>
        </w:trPr>
        <w:tc>
          <w:tcPr>
            <w:tcW w:w="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A227AF" w14:textId="77777777" w:rsidR="009E6B93" w:rsidRPr="00E114F1" w:rsidRDefault="009E6B93" w:rsidP="007049B5">
            <w:pPr>
              <w:rPr>
                <w:rFonts w:eastAsia="Batang"/>
              </w:rPr>
            </w:pPr>
            <w:r w:rsidRPr="00E114F1">
              <w:lastRenderedPageBreak/>
              <w:t>Poruchy imunitného systému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D96932" w14:textId="77777777" w:rsidR="009E6B93" w:rsidRPr="00E114F1" w:rsidRDefault="009E6B93" w:rsidP="007049B5"/>
        </w:tc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5907B" w14:textId="77777777" w:rsidR="009E6B93" w:rsidRPr="00E114F1" w:rsidRDefault="009E6B93" w:rsidP="007049B5"/>
        </w:tc>
        <w:tc>
          <w:tcPr>
            <w:tcW w:w="10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A4BF7C" w14:textId="77777777" w:rsidR="009E6B93" w:rsidRPr="00E114F1" w:rsidRDefault="009E6B93" w:rsidP="007049B5">
            <w:r w:rsidRPr="00E114F1">
              <w:t>Alergická reakcia</w:t>
            </w:r>
          </w:p>
          <w:p w14:paraId="7352DB2D" w14:textId="77777777" w:rsidR="009E6B93" w:rsidRPr="00E114F1" w:rsidRDefault="009E6B93" w:rsidP="007049B5">
            <w:r w:rsidRPr="00E114F1">
              <w:t>Alergický edém / angioedém</w:t>
            </w:r>
          </w:p>
        </w:tc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AF331A" w14:textId="77777777" w:rsidR="009E6B93" w:rsidRPr="00E114F1" w:rsidRDefault="009E6B93" w:rsidP="007049B5">
            <w:r w:rsidRPr="00E114F1">
              <w:t>Anafylaktická reakcia</w:t>
            </w:r>
          </w:p>
          <w:p w14:paraId="784839B1" w14:textId="77777777" w:rsidR="009E6B93" w:rsidRPr="00E114F1" w:rsidRDefault="009E6B93" w:rsidP="007049B5">
            <w:r w:rsidRPr="00E114F1">
              <w:t>Anafylaktický šok (život ohrozujúci) (pozri časť 4.4)</w:t>
            </w:r>
          </w:p>
          <w:p w14:paraId="05DA45EC" w14:textId="77777777" w:rsidR="009E6B93" w:rsidRPr="00E114F1" w:rsidRDefault="009E6B93" w:rsidP="007049B5">
            <w:r w:rsidRPr="00E114F1">
              <w:t>Reakcia podobná sérovej chorobe</w:t>
            </w: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923B6" w14:textId="77777777" w:rsidR="009E6B93" w:rsidRPr="00E114F1" w:rsidRDefault="009E6B93" w:rsidP="007049B5"/>
        </w:tc>
      </w:tr>
      <w:tr w:rsidR="00921FAE" w:rsidRPr="00E114F1" w14:paraId="2E5ECC58" w14:textId="77777777" w:rsidTr="00982691">
        <w:trPr>
          <w:cantSplit/>
        </w:trPr>
        <w:tc>
          <w:tcPr>
            <w:tcW w:w="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C8D16" w14:textId="77777777" w:rsidR="00921FAE" w:rsidRPr="00E114F1" w:rsidRDefault="00921FAE" w:rsidP="007049B5">
            <w:r w:rsidRPr="00B169AD">
              <w:t>Poruchy endokrinného systému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FD5AB6" w14:textId="77777777" w:rsidR="00921FAE" w:rsidRPr="00E114F1" w:rsidRDefault="00921FAE" w:rsidP="007049B5"/>
        </w:tc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DCA2B" w14:textId="77777777" w:rsidR="00921FAE" w:rsidRPr="00E114F1" w:rsidRDefault="00921FAE" w:rsidP="007049B5"/>
        </w:tc>
        <w:tc>
          <w:tcPr>
            <w:tcW w:w="10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918321" w14:textId="77777777" w:rsidR="00921FAE" w:rsidRPr="00E114F1" w:rsidRDefault="00921FAE" w:rsidP="007049B5"/>
        </w:tc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60429C" w14:textId="77777777" w:rsidR="00921FAE" w:rsidRPr="00E114F1" w:rsidRDefault="00921FAE" w:rsidP="007049B5"/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8284C" w14:textId="77777777" w:rsidR="00921FAE" w:rsidRPr="00E114F1" w:rsidRDefault="00921FAE" w:rsidP="007049B5">
            <w:r w:rsidRPr="00921FAE">
              <w:t>Syndróm neprimeranej sekrécie antidiuretic</w:t>
            </w:r>
            <w:r>
              <w:t xml:space="preserve">- </w:t>
            </w:r>
            <w:r w:rsidRPr="00921FAE">
              <w:t>kého hormónu (syndrome of inappropriate secretion of antidiuretic hormone, SIADH).</w:t>
            </w:r>
          </w:p>
        </w:tc>
      </w:tr>
      <w:tr w:rsidR="009E6B93" w:rsidRPr="00E114F1" w14:paraId="04C701C5" w14:textId="77777777" w:rsidTr="00982691">
        <w:trPr>
          <w:cantSplit/>
        </w:trPr>
        <w:tc>
          <w:tcPr>
            <w:tcW w:w="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D2128E" w14:textId="77777777" w:rsidR="009E6B93" w:rsidRPr="00E114F1" w:rsidRDefault="009E6B93" w:rsidP="007049B5">
            <w:pPr>
              <w:rPr>
                <w:rFonts w:eastAsia="Batang"/>
              </w:rPr>
            </w:pPr>
            <w:r w:rsidRPr="00E114F1">
              <w:t>Poruchy metabolizmu a výživy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1E891B" w14:textId="77777777" w:rsidR="009E6B93" w:rsidRPr="00E114F1" w:rsidRDefault="009E6B93" w:rsidP="007049B5"/>
        </w:tc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EC181" w14:textId="77777777" w:rsidR="009E6B93" w:rsidRPr="00E114F1" w:rsidRDefault="009E6B93" w:rsidP="007049B5">
            <w:r w:rsidRPr="00E114F1">
              <w:t>Anorexia</w:t>
            </w:r>
          </w:p>
        </w:tc>
        <w:tc>
          <w:tcPr>
            <w:tcW w:w="10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22C89" w14:textId="77777777" w:rsidR="009E6B93" w:rsidRPr="00E114F1" w:rsidRDefault="009E6B93" w:rsidP="007049B5">
            <w:r w:rsidRPr="00E114F1">
              <w:t>Hyperglykémia</w:t>
            </w:r>
          </w:p>
        </w:tc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33FDD" w14:textId="77777777" w:rsidR="009E6B93" w:rsidRPr="00E114F1" w:rsidRDefault="009E6B93" w:rsidP="007049B5"/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B5CEB0" w14:textId="77777777" w:rsidR="009E6B93" w:rsidRPr="00E114F1" w:rsidRDefault="009E6B93" w:rsidP="007049B5"/>
        </w:tc>
      </w:tr>
      <w:tr w:rsidR="009E6B93" w:rsidRPr="00E114F1" w14:paraId="71F449C8" w14:textId="77777777" w:rsidTr="00982691">
        <w:trPr>
          <w:cantSplit/>
        </w:trPr>
        <w:tc>
          <w:tcPr>
            <w:tcW w:w="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B8F26" w14:textId="77777777" w:rsidR="009E6B93" w:rsidRPr="00E114F1" w:rsidRDefault="009E6B93" w:rsidP="007049B5">
            <w:pPr>
              <w:rPr>
                <w:rFonts w:eastAsia="Batang"/>
              </w:rPr>
            </w:pPr>
            <w:r w:rsidRPr="00E114F1">
              <w:t>Psychické poruchy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CF8191" w14:textId="77777777" w:rsidR="009E6B93" w:rsidRPr="00E114F1" w:rsidRDefault="009E6B93" w:rsidP="007049B5"/>
        </w:tc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AA6C91" w14:textId="77777777" w:rsidR="009E6B93" w:rsidRPr="00E114F1" w:rsidRDefault="009E6B93" w:rsidP="007049B5">
            <w:r w:rsidRPr="00E114F1">
              <w:t>Psycho</w:t>
            </w:r>
            <w:r w:rsidR="008656CD" w:rsidRPr="00E114F1">
              <w:t>-</w:t>
            </w:r>
            <w:r w:rsidRPr="00E114F1">
              <w:t>motorická hyperaktivita / nepokoj</w:t>
            </w:r>
          </w:p>
        </w:tc>
        <w:tc>
          <w:tcPr>
            <w:tcW w:w="10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3EF29" w14:textId="77777777" w:rsidR="009E6B93" w:rsidRPr="00E114F1" w:rsidRDefault="009E6B93" w:rsidP="007049B5">
            <w:r w:rsidRPr="00E114F1">
              <w:t>Zmätenosť a dezorientácia</w:t>
            </w:r>
          </w:p>
          <w:p w14:paraId="56CAD4BB" w14:textId="77777777" w:rsidR="009E6B93" w:rsidRPr="00E114F1" w:rsidRDefault="009E6B93" w:rsidP="007049B5">
            <w:r w:rsidRPr="00E114F1">
              <w:t>Úzkostná reakcia</w:t>
            </w:r>
          </w:p>
          <w:p w14:paraId="3E4FE5CC" w14:textId="77777777" w:rsidR="009E6B93" w:rsidRPr="00E114F1" w:rsidRDefault="009E6B93" w:rsidP="007049B5">
            <w:r w:rsidRPr="00E114F1">
              <w:t>Abnormálne sny</w:t>
            </w:r>
          </w:p>
          <w:p w14:paraId="1A2F911D" w14:textId="77777777" w:rsidR="009E6B93" w:rsidRPr="00E114F1" w:rsidRDefault="009E6B93" w:rsidP="007049B5">
            <w:r w:rsidRPr="00E114F1">
              <w:t>Depresia</w:t>
            </w:r>
          </w:p>
          <w:p w14:paraId="2DDEBC62" w14:textId="77777777" w:rsidR="009E6B93" w:rsidRPr="00E114F1" w:rsidRDefault="009E6B93" w:rsidP="007049B5">
            <w:r w:rsidRPr="00E114F1">
              <w:t>Halucinácie</w:t>
            </w:r>
          </w:p>
        </w:tc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EDD3F1" w14:textId="77777777" w:rsidR="009E6B93" w:rsidRPr="00E114F1" w:rsidRDefault="009E6B93" w:rsidP="007049B5">
            <w:r w:rsidRPr="00E114F1">
              <w:t>Psychotické reakcie (pozri časť 4.4)</w:t>
            </w: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E8A44F" w14:textId="77777777" w:rsidR="009E6B93" w:rsidRPr="00E114F1" w:rsidRDefault="009E6B93" w:rsidP="007049B5"/>
        </w:tc>
      </w:tr>
      <w:tr w:rsidR="009E6B93" w:rsidRPr="00E114F1" w14:paraId="3E9BB8BB" w14:textId="77777777" w:rsidTr="00982691">
        <w:trPr>
          <w:cantSplit/>
        </w:trPr>
        <w:tc>
          <w:tcPr>
            <w:tcW w:w="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BF6AC0" w14:textId="77777777" w:rsidR="009E6B93" w:rsidRPr="00E114F1" w:rsidRDefault="009E6B93" w:rsidP="007049B5">
            <w:pPr>
              <w:rPr>
                <w:rFonts w:eastAsia="Batang"/>
              </w:rPr>
            </w:pPr>
            <w:r w:rsidRPr="00E114F1">
              <w:t>Poruchy nervového systému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6F3393" w14:textId="77777777" w:rsidR="009E6B93" w:rsidRPr="00E114F1" w:rsidRDefault="009E6B93" w:rsidP="007049B5"/>
        </w:tc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A507D" w14:textId="77777777" w:rsidR="009E6B93" w:rsidRPr="00E114F1" w:rsidRDefault="009E6B93" w:rsidP="007049B5">
            <w:r w:rsidRPr="00E114F1">
              <w:t>Bolesť hlavy</w:t>
            </w:r>
          </w:p>
          <w:p w14:paraId="068EAD32" w14:textId="77777777" w:rsidR="009E6B93" w:rsidRPr="00E114F1" w:rsidRDefault="009E6B93" w:rsidP="007049B5">
            <w:r w:rsidRPr="00E114F1">
              <w:t>Závrat</w:t>
            </w:r>
          </w:p>
          <w:p w14:paraId="2A970C37" w14:textId="77777777" w:rsidR="009E6B93" w:rsidRPr="00E114F1" w:rsidRDefault="009E6B93" w:rsidP="007049B5">
            <w:r w:rsidRPr="00E114F1">
              <w:t>Poruchy spánku</w:t>
            </w:r>
          </w:p>
          <w:p w14:paraId="7FBC6488" w14:textId="77777777" w:rsidR="009E6B93" w:rsidRPr="00E114F1" w:rsidRDefault="009E6B93" w:rsidP="007049B5">
            <w:r w:rsidRPr="00E114F1">
              <w:t>Poruchy chuti</w:t>
            </w:r>
          </w:p>
        </w:tc>
        <w:tc>
          <w:tcPr>
            <w:tcW w:w="10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69AB57" w14:textId="77777777" w:rsidR="009E6B93" w:rsidRPr="00E114F1" w:rsidRDefault="009E6B93" w:rsidP="007049B5">
            <w:r w:rsidRPr="00E114F1">
              <w:t>Parestézia a dyzestézia</w:t>
            </w:r>
          </w:p>
          <w:p w14:paraId="65DF2536" w14:textId="77777777" w:rsidR="009E6B93" w:rsidRPr="00E114F1" w:rsidRDefault="009E6B93" w:rsidP="007049B5">
            <w:r w:rsidRPr="00E114F1">
              <w:t>Hypoestézia</w:t>
            </w:r>
          </w:p>
          <w:p w14:paraId="3CA36527" w14:textId="77777777" w:rsidR="009E6B93" w:rsidRPr="00E114F1" w:rsidRDefault="009E6B93" w:rsidP="007049B5">
            <w:r w:rsidRPr="00E114F1">
              <w:t>Triaška</w:t>
            </w:r>
          </w:p>
          <w:p w14:paraId="636C6F85" w14:textId="77777777" w:rsidR="009E6B93" w:rsidRPr="00E114F1" w:rsidRDefault="009E6B93" w:rsidP="007049B5">
            <w:r w:rsidRPr="00E114F1">
              <w:t>Záchvaty kŕčov (pozri časť 4.4)</w:t>
            </w:r>
          </w:p>
          <w:p w14:paraId="51FF1FCD" w14:textId="77777777" w:rsidR="009E6B93" w:rsidRPr="00E114F1" w:rsidRDefault="009E6B93" w:rsidP="007049B5">
            <w:r w:rsidRPr="00E114F1">
              <w:t>Vertigo</w:t>
            </w:r>
          </w:p>
        </w:tc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3D72F" w14:textId="77777777" w:rsidR="009E6B93" w:rsidRPr="00E114F1" w:rsidRDefault="009E6B93" w:rsidP="007049B5">
            <w:r w:rsidRPr="00E114F1">
              <w:t>Migréna</w:t>
            </w:r>
          </w:p>
          <w:p w14:paraId="4E130C80" w14:textId="77777777" w:rsidR="009E6B93" w:rsidRPr="00E114F1" w:rsidRDefault="009E6B93" w:rsidP="007049B5">
            <w:r w:rsidRPr="00E114F1">
              <w:t>Narušená koordinácia</w:t>
            </w:r>
          </w:p>
          <w:p w14:paraId="4BD36FF4" w14:textId="77777777" w:rsidR="009E6B93" w:rsidRPr="00E114F1" w:rsidRDefault="009E6B93" w:rsidP="007049B5">
            <w:r w:rsidRPr="00E114F1">
              <w:t>Poruchy chôdze Poruchy čuchového nervu</w:t>
            </w:r>
          </w:p>
          <w:p w14:paraId="097ABB3C" w14:textId="77777777" w:rsidR="009E6B93" w:rsidRPr="00E114F1" w:rsidRDefault="009E6B93" w:rsidP="007049B5">
            <w:r w:rsidRPr="00E114F1">
              <w:t>Intrakraniálna hypertenzia</w:t>
            </w: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DAD3C" w14:textId="77777777" w:rsidR="009E6B93" w:rsidRPr="00E114F1" w:rsidRDefault="009E6B93" w:rsidP="007049B5">
            <w:r w:rsidRPr="00E114F1">
              <w:t>Periférna neuropatia (pozri časť 4.4)</w:t>
            </w:r>
          </w:p>
        </w:tc>
      </w:tr>
      <w:tr w:rsidR="009E6B93" w:rsidRPr="00E114F1" w14:paraId="2942130C" w14:textId="77777777" w:rsidTr="00982691">
        <w:trPr>
          <w:cantSplit/>
        </w:trPr>
        <w:tc>
          <w:tcPr>
            <w:tcW w:w="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0AA0EB" w14:textId="77777777" w:rsidR="009E6B93" w:rsidRPr="00E114F1" w:rsidRDefault="009E6B93" w:rsidP="007049B5">
            <w:pPr>
              <w:rPr>
                <w:rFonts w:eastAsia="Batang"/>
              </w:rPr>
            </w:pPr>
            <w:r w:rsidRPr="00E114F1">
              <w:t>Poruchy oka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C400B" w14:textId="77777777" w:rsidR="009E6B93" w:rsidRPr="00E114F1" w:rsidRDefault="009E6B93" w:rsidP="007049B5"/>
        </w:tc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C1DCC2" w14:textId="77777777" w:rsidR="009E6B93" w:rsidRPr="00E114F1" w:rsidRDefault="009E6B93" w:rsidP="007049B5"/>
        </w:tc>
        <w:tc>
          <w:tcPr>
            <w:tcW w:w="10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ED491" w14:textId="77777777" w:rsidR="009E6B93" w:rsidRPr="00E114F1" w:rsidRDefault="009E6B93" w:rsidP="007049B5">
            <w:r w:rsidRPr="00E114F1">
              <w:t>Poruchy zraku</w:t>
            </w:r>
          </w:p>
        </w:tc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6DB391" w14:textId="77777777" w:rsidR="009E6B93" w:rsidRPr="00E114F1" w:rsidRDefault="009E6B93" w:rsidP="007049B5">
            <w:r w:rsidRPr="00E114F1">
              <w:t>Poruchy vizuálneho rozlišovania farieb</w:t>
            </w: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8E82F0" w14:textId="77777777" w:rsidR="009E6B93" w:rsidRPr="00E114F1" w:rsidRDefault="009E6B93" w:rsidP="007049B5"/>
        </w:tc>
      </w:tr>
      <w:tr w:rsidR="009E6B93" w:rsidRPr="00E114F1" w14:paraId="7DC57F8F" w14:textId="77777777" w:rsidTr="00982691">
        <w:trPr>
          <w:cantSplit/>
        </w:trPr>
        <w:tc>
          <w:tcPr>
            <w:tcW w:w="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E16F60" w14:textId="77777777" w:rsidR="009E6B93" w:rsidRPr="00E114F1" w:rsidRDefault="009E6B93" w:rsidP="007049B5">
            <w:pPr>
              <w:rPr>
                <w:rFonts w:eastAsia="Batang"/>
              </w:rPr>
            </w:pPr>
            <w:r w:rsidRPr="00E114F1">
              <w:t>Poruchy ucha a</w:t>
            </w:r>
            <w:r w:rsidR="00321DE4" w:rsidRPr="00E114F1">
              <w:t> </w:t>
            </w:r>
            <w:r w:rsidRPr="00E114F1">
              <w:t>labyrintu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AA2AB" w14:textId="77777777" w:rsidR="009E6B93" w:rsidRPr="00E114F1" w:rsidRDefault="009E6B93" w:rsidP="007049B5"/>
        </w:tc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F7070" w14:textId="77777777" w:rsidR="009E6B93" w:rsidRPr="00E114F1" w:rsidRDefault="009E6B93" w:rsidP="007049B5"/>
        </w:tc>
        <w:tc>
          <w:tcPr>
            <w:tcW w:w="10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924F9" w14:textId="77777777" w:rsidR="009E6B93" w:rsidRPr="00E114F1" w:rsidRDefault="009E6B93" w:rsidP="007049B5">
            <w:r w:rsidRPr="00E114F1">
              <w:t>Tinitus</w:t>
            </w:r>
          </w:p>
          <w:p w14:paraId="181C2559" w14:textId="77777777" w:rsidR="009E6B93" w:rsidRPr="00E114F1" w:rsidRDefault="009E6B93" w:rsidP="007049B5">
            <w:r w:rsidRPr="00E114F1">
              <w:t>Strata sluchu /</w:t>
            </w:r>
            <w:r w:rsidR="00321DE4" w:rsidRPr="00E114F1">
              <w:t xml:space="preserve"> </w:t>
            </w:r>
            <w:r w:rsidRPr="00E114F1">
              <w:t>Zhoršenie sluchu</w:t>
            </w:r>
          </w:p>
        </w:tc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1865A" w14:textId="77777777" w:rsidR="009E6B93" w:rsidRPr="00E114F1" w:rsidRDefault="009E6B93" w:rsidP="007049B5"/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BD4F5" w14:textId="77777777" w:rsidR="009E6B93" w:rsidRPr="00E114F1" w:rsidRDefault="009E6B93" w:rsidP="007049B5"/>
        </w:tc>
      </w:tr>
      <w:tr w:rsidR="009E6B93" w:rsidRPr="00E114F1" w14:paraId="13163226" w14:textId="77777777" w:rsidTr="00982691">
        <w:trPr>
          <w:cantSplit/>
        </w:trPr>
        <w:tc>
          <w:tcPr>
            <w:tcW w:w="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BB98DF" w14:textId="77777777" w:rsidR="009E6B93" w:rsidRPr="00E114F1" w:rsidRDefault="009E6B93" w:rsidP="007049B5">
            <w:pPr>
              <w:rPr>
                <w:rFonts w:eastAsia="Batang"/>
              </w:rPr>
            </w:pPr>
            <w:r w:rsidRPr="00E114F1">
              <w:lastRenderedPageBreak/>
              <w:t>Poruchy srdca a</w:t>
            </w:r>
            <w:r w:rsidR="00321DE4" w:rsidRPr="00E114F1">
              <w:t> </w:t>
            </w:r>
            <w:r w:rsidRPr="00E114F1">
              <w:t>srdcovej činnosti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E469AB" w14:textId="77777777" w:rsidR="009E6B93" w:rsidRPr="00E114F1" w:rsidRDefault="009E6B93" w:rsidP="007049B5"/>
        </w:tc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6A9F9" w14:textId="77777777" w:rsidR="009E6B93" w:rsidRPr="00E114F1" w:rsidRDefault="009E6B93" w:rsidP="007049B5"/>
        </w:tc>
        <w:tc>
          <w:tcPr>
            <w:tcW w:w="10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A3A208" w14:textId="77777777" w:rsidR="009E6B93" w:rsidRPr="00E114F1" w:rsidRDefault="009E6B93" w:rsidP="007049B5">
            <w:r w:rsidRPr="00E114F1">
              <w:t>Tachykardia</w:t>
            </w:r>
          </w:p>
          <w:p w14:paraId="1E8BC7F4" w14:textId="77777777" w:rsidR="009E6B93" w:rsidRPr="00E114F1" w:rsidRDefault="009E6B93" w:rsidP="007049B5"/>
        </w:tc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29435" w14:textId="77777777" w:rsidR="009E6B93" w:rsidRPr="00E114F1" w:rsidRDefault="009E6B93" w:rsidP="007049B5"/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CBAC6" w14:textId="77777777" w:rsidR="009E6B93" w:rsidRPr="00E114F1" w:rsidRDefault="009E6B93" w:rsidP="007049B5">
            <w:r w:rsidRPr="00E114F1">
              <w:t>Ventrikulárna arytmia, Predĺženie intervalu QT, torsade de pointes *</w:t>
            </w:r>
          </w:p>
        </w:tc>
      </w:tr>
      <w:tr w:rsidR="009E6B93" w:rsidRPr="00E114F1" w14:paraId="3E446D4F" w14:textId="77777777" w:rsidTr="00982691">
        <w:trPr>
          <w:cantSplit/>
        </w:trPr>
        <w:tc>
          <w:tcPr>
            <w:tcW w:w="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E84CA" w14:textId="77777777" w:rsidR="009E6B93" w:rsidRPr="00E114F1" w:rsidRDefault="009E6B93" w:rsidP="007049B5">
            <w:r w:rsidRPr="00E114F1">
              <w:t>Poruchy ciev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920EF" w14:textId="77777777" w:rsidR="009E6B93" w:rsidRPr="00E114F1" w:rsidRDefault="009E6B93" w:rsidP="007049B5"/>
        </w:tc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C14BB6" w14:textId="77777777" w:rsidR="009E6B93" w:rsidRPr="00E114F1" w:rsidRDefault="009E6B93" w:rsidP="007049B5"/>
        </w:tc>
        <w:tc>
          <w:tcPr>
            <w:tcW w:w="10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26B9F" w14:textId="77777777" w:rsidR="009E6B93" w:rsidRPr="00E114F1" w:rsidRDefault="009E6B93" w:rsidP="007049B5">
            <w:r w:rsidRPr="00E114F1">
              <w:t>Vazodilatácia</w:t>
            </w:r>
          </w:p>
          <w:p w14:paraId="026778D3" w14:textId="77777777" w:rsidR="009E6B93" w:rsidRPr="00E114F1" w:rsidRDefault="009E6B93" w:rsidP="007049B5">
            <w:r w:rsidRPr="00E114F1">
              <w:t>Hypotenzia</w:t>
            </w:r>
          </w:p>
          <w:p w14:paraId="5692E3C2" w14:textId="77777777" w:rsidR="009E6B93" w:rsidRPr="00E114F1" w:rsidRDefault="009E6B93" w:rsidP="007049B5">
            <w:r w:rsidRPr="00E114F1">
              <w:t>Synkopa</w:t>
            </w:r>
          </w:p>
        </w:tc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870A7" w14:textId="77777777" w:rsidR="009E6B93" w:rsidRPr="00E114F1" w:rsidRDefault="009E6B93" w:rsidP="007049B5">
            <w:r w:rsidRPr="00E114F1">
              <w:t>Vaskulitída</w:t>
            </w: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46AC14" w14:textId="77777777" w:rsidR="009E6B93" w:rsidRPr="00E114F1" w:rsidRDefault="009E6B93" w:rsidP="007049B5"/>
        </w:tc>
      </w:tr>
      <w:tr w:rsidR="009E6B93" w:rsidRPr="00E114F1" w14:paraId="173F2C18" w14:textId="77777777" w:rsidTr="00982691">
        <w:trPr>
          <w:cantSplit/>
          <w:trHeight w:val="1204"/>
        </w:trPr>
        <w:tc>
          <w:tcPr>
            <w:tcW w:w="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234DB" w14:textId="77777777" w:rsidR="009E6B93" w:rsidRPr="00E114F1" w:rsidRDefault="009E6B93" w:rsidP="007049B5">
            <w:pPr>
              <w:rPr>
                <w:rFonts w:eastAsia="Batang"/>
              </w:rPr>
            </w:pPr>
            <w:r w:rsidRPr="00E114F1">
              <w:t>Poruchy dýchacej sústavy, hrudníka a mediastína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52A87F" w14:textId="77777777" w:rsidR="009E6B93" w:rsidRPr="00E114F1" w:rsidRDefault="009E6B93" w:rsidP="007049B5"/>
        </w:tc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170267" w14:textId="77777777" w:rsidR="009E6B93" w:rsidRPr="00E114F1" w:rsidRDefault="009E6B93" w:rsidP="007049B5"/>
        </w:tc>
        <w:tc>
          <w:tcPr>
            <w:tcW w:w="10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40356" w14:textId="77777777" w:rsidR="009E6B93" w:rsidRPr="00E114F1" w:rsidRDefault="009E6B93" w:rsidP="007049B5">
            <w:r w:rsidRPr="00E114F1">
              <w:t>Dyspnoe (vrátane astmatického stavu)</w:t>
            </w:r>
          </w:p>
        </w:tc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0AC85" w14:textId="77777777" w:rsidR="009E6B93" w:rsidRPr="00E114F1" w:rsidRDefault="009E6B93" w:rsidP="007049B5"/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A73F95" w14:textId="77777777" w:rsidR="009E6B93" w:rsidRPr="00E114F1" w:rsidRDefault="009E6B93" w:rsidP="007049B5"/>
        </w:tc>
      </w:tr>
      <w:tr w:rsidR="009E6B93" w:rsidRPr="00E114F1" w14:paraId="136BC019" w14:textId="77777777" w:rsidTr="00982691">
        <w:trPr>
          <w:cantSplit/>
        </w:trPr>
        <w:tc>
          <w:tcPr>
            <w:tcW w:w="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B5CF2" w14:textId="77777777" w:rsidR="009E6B93" w:rsidRPr="00E114F1" w:rsidRDefault="009E6B93" w:rsidP="007049B5">
            <w:pPr>
              <w:rPr>
                <w:rFonts w:eastAsia="Batang"/>
              </w:rPr>
            </w:pPr>
            <w:r w:rsidRPr="00E114F1">
              <w:t>Poruchy gastrointesti-nálneho traktu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9B404" w14:textId="77777777" w:rsidR="009E6B93" w:rsidRPr="00E114F1" w:rsidRDefault="009E6B93" w:rsidP="007049B5">
            <w:r w:rsidRPr="00E114F1">
              <w:t>Nevoľnosť</w:t>
            </w:r>
          </w:p>
          <w:p w14:paraId="55FBB9EB" w14:textId="77777777" w:rsidR="009E6B93" w:rsidRPr="00E114F1" w:rsidRDefault="009E6B93" w:rsidP="007049B5">
            <w:r w:rsidRPr="00E114F1">
              <w:t>Hnačka</w:t>
            </w:r>
          </w:p>
        </w:tc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185C9D" w14:textId="77777777" w:rsidR="009E6B93" w:rsidRPr="00E114F1" w:rsidRDefault="009E6B93" w:rsidP="007049B5">
            <w:r w:rsidRPr="00E114F1">
              <w:t>Vracanie</w:t>
            </w:r>
          </w:p>
          <w:p w14:paraId="02A5D0A0" w14:textId="77777777" w:rsidR="009E6B93" w:rsidRPr="00E114F1" w:rsidRDefault="009E6B93" w:rsidP="007049B5">
            <w:r w:rsidRPr="00E114F1">
              <w:t>Bolesti tráviaceho traktu a brucha</w:t>
            </w:r>
          </w:p>
          <w:p w14:paraId="2E413895" w14:textId="77777777" w:rsidR="009E6B93" w:rsidRPr="00E114F1" w:rsidRDefault="009E6B93" w:rsidP="007049B5">
            <w:r w:rsidRPr="00E114F1">
              <w:t>Dyspepsia</w:t>
            </w:r>
          </w:p>
          <w:p w14:paraId="1724774A" w14:textId="77777777" w:rsidR="009E6B93" w:rsidRPr="00E114F1" w:rsidRDefault="009E6B93" w:rsidP="007049B5">
            <w:r w:rsidRPr="00E114F1">
              <w:t>Plynatosť</w:t>
            </w:r>
          </w:p>
        </w:tc>
        <w:tc>
          <w:tcPr>
            <w:tcW w:w="10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0FD1D" w14:textId="77777777" w:rsidR="009E6B93" w:rsidRPr="00E114F1" w:rsidRDefault="009E6B93" w:rsidP="007049B5"/>
        </w:tc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FB3A51" w14:textId="77777777" w:rsidR="009E6B93" w:rsidRPr="00E114F1" w:rsidRDefault="009E6B93" w:rsidP="007049B5">
            <w:r w:rsidRPr="00E114F1">
              <w:t>Pankreatitída</w:t>
            </w: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F92E23" w14:textId="77777777" w:rsidR="009E6B93" w:rsidRPr="00E114F1" w:rsidRDefault="009E6B93" w:rsidP="007049B5"/>
        </w:tc>
      </w:tr>
      <w:tr w:rsidR="009E6B93" w:rsidRPr="00E114F1" w14:paraId="3C9A730C" w14:textId="77777777" w:rsidTr="00982691">
        <w:trPr>
          <w:cantSplit/>
        </w:trPr>
        <w:tc>
          <w:tcPr>
            <w:tcW w:w="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B52838" w14:textId="77777777" w:rsidR="009E6B93" w:rsidRPr="00E114F1" w:rsidRDefault="009E6B93" w:rsidP="007049B5">
            <w:pPr>
              <w:rPr>
                <w:rFonts w:eastAsia="Batang"/>
              </w:rPr>
            </w:pPr>
            <w:r w:rsidRPr="00E114F1">
              <w:t>Poruchy pečene a</w:t>
            </w:r>
            <w:r w:rsidR="00321DE4" w:rsidRPr="00E114F1">
              <w:t> </w:t>
            </w:r>
            <w:r w:rsidRPr="00E114F1">
              <w:t>žlčových ciest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4BB77" w14:textId="77777777" w:rsidR="009E6B93" w:rsidRPr="00E114F1" w:rsidRDefault="009E6B93" w:rsidP="007049B5"/>
        </w:tc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28BD3D" w14:textId="77777777" w:rsidR="009E6B93" w:rsidRPr="00E114F1" w:rsidRDefault="009E6B93" w:rsidP="007049B5">
            <w:r w:rsidRPr="00E114F1">
              <w:t>Zvýšené transaminázy</w:t>
            </w:r>
          </w:p>
          <w:p w14:paraId="44F0B47C" w14:textId="77777777" w:rsidR="009E6B93" w:rsidRPr="00E114F1" w:rsidRDefault="009E6B93" w:rsidP="007049B5">
            <w:r w:rsidRPr="00E114F1">
              <w:t>Zvýšený bilirubín</w:t>
            </w:r>
          </w:p>
        </w:tc>
        <w:tc>
          <w:tcPr>
            <w:tcW w:w="10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48E564" w14:textId="77777777" w:rsidR="009E6B93" w:rsidRPr="00E114F1" w:rsidRDefault="009E6B93" w:rsidP="007049B5">
            <w:r w:rsidRPr="00E114F1">
              <w:t>Poškodenie funkcie pečene</w:t>
            </w:r>
          </w:p>
          <w:p w14:paraId="44952031" w14:textId="77777777" w:rsidR="009E6B93" w:rsidRPr="00E114F1" w:rsidRDefault="009E6B93" w:rsidP="007049B5">
            <w:r w:rsidRPr="00E114F1">
              <w:t>Cholestatický ikterus</w:t>
            </w:r>
          </w:p>
          <w:p w14:paraId="2800E31A" w14:textId="77777777" w:rsidR="009E6B93" w:rsidRPr="00E114F1" w:rsidRDefault="009E6B93" w:rsidP="007049B5">
            <w:r w:rsidRPr="00E114F1">
              <w:t xml:space="preserve">Hepatitída </w:t>
            </w:r>
          </w:p>
        </w:tc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15141E" w14:textId="77777777" w:rsidR="009E6B93" w:rsidRPr="00E114F1" w:rsidRDefault="009E6B93" w:rsidP="007049B5">
            <w:r w:rsidRPr="00E114F1">
              <w:t>Nekróza pečene (veľmi zriedkavo prechádzajúca do život ohrozujúceho zlyhania pečene) (pozri časť 4.4)</w:t>
            </w: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19B2A" w14:textId="77777777" w:rsidR="009E6B93" w:rsidRPr="00E114F1" w:rsidRDefault="009E6B93" w:rsidP="007049B5"/>
        </w:tc>
      </w:tr>
      <w:tr w:rsidR="009E6B93" w:rsidRPr="00E114F1" w14:paraId="1478DB4B" w14:textId="77777777" w:rsidTr="00982691">
        <w:trPr>
          <w:cantSplit/>
        </w:trPr>
        <w:tc>
          <w:tcPr>
            <w:tcW w:w="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3C7691" w14:textId="77777777" w:rsidR="009E6B93" w:rsidRPr="00E114F1" w:rsidRDefault="009E6B93" w:rsidP="007049B5">
            <w:pPr>
              <w:rPr>
                <w:rFonts w:eastAsia="Batang"/>
              </w:rPr>
            </w:pPr>
            <w:r w:rsidRPr="00E114F1">
              <w:t>Poruchy kože a podkožného tkaniva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9D5F0A" w14:textId="77777777" w:rsidR="009E6B93" w:rsidRPr="00E114F1" w:rsidRDefault="009E6B93" w:rsidP="007049B5"/>
        </w:tc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53A540" w14:textId="77777777" w:rsidR="009E6B93" w:rsidRPr="00E114F1" w:rsidRDefault="009E6B93" w:rsidP="007049B5">
            <w:r w:rsidRPr="00E114F1">
              <w:t>Vyrážka</w:t>
            </w:r>
          </w:p>
          <w:p w14:paraId="49F75EF1" w14:textId="77777777" w:rsidR="009E6B93" w:rsidRPr="00E114F1" w:rsidRDefault="009E6B93" w:rsidP="007049B5">
            <w:r w:rsidRPr="00E114F1">
              <w:t>Svrbenie</w:t>
            </w:r>
          </w:p>
          <w:p w14:paraId="32022376" w14:textId="77777777" w:rsidR="009E6B93" w:rsidRPr="00E114F1" w:rsidRDefault="009E6B93" w:rsidP="007049B5">
            <w:r w:rsidRPr="00E114F1">
              <w:t>Urtikária</w:t>
            </w:r>
          </w:p>
        </w:tc>
        <w:tc>
          <w:tcPr>
            <w:tcW w:w="10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72C87" w14:textId="77777777" w:rsidR="009E6B93" w:rsidRPr="00E114F1" w:rsidRDefault="009E6B93" w:rsidP="007049B5">
            <w:r w:rsidRPr="00E114F1">
              <w:t>Reakcie fotosenzitivity (pozri časť 4.4)</w:t>
            </w:r>
          </w:p>
          <w:p w14:paraId="6F13F588" w14:textId="77777777" w:rsidR="009E6B93" w:rsidRPr="00E114F1" w:rsidRDefault="009E6B93" w:rsidP="007049B5"/>
        </w:tc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F4EFA" w14:textId="77777777" w:rsidR="009E6B93" w:rsidRPr="00E114F1" w:rsidRDefault="009E6B93" w:rsidP="007049B5">
            <w:r w:rsidRPr="00E114F1">
              <w:t>Petechie</w:t>
            </w:r>
          </w:p>
          <w:p w14:paraId="2545AE4E" w14:textId="77777777" w:rsidR="009E6B93" w:rsidRPr="00E114F1" w:rsidRDefault="009E6B93" w:rsidP="007049B5">
            <w:r w:rsidRPr="00E114F1">
              <w:t>Multiformný erytém</w:t>
            </w:r>
          </w:p>
          <w:p w14:paraId="7D3CA5F2" w14:textId="77777777" w:rsidR="009E6B93" w:rsidRPr="00E114F1" w:rsidRDefault="009E6B93" w:rsidP="007049B5">
            <w:r w:rsidRPr="00E114F1">
              <w:t>Nodózny erytém</w:t>
            </w:r>
          </w:p>
          <w:p w14:paraId="1AB73D49" w14:textId="77777777" w:rsidR="009E6B93" w:rsidRPr="00E114F1" w:rsidRDefault="009E6B93" w:rsidP="007049B5">
            <w:r w:rsidRPr="00E114F1">
              <w:rPr>
                <w:iCs/>
              </w:rPr>
              <w:t xml:space="preserve">Stevensov-Johnsonov syndróm </w:t>
            </w:r>
            <w:r w:rsidRPr="00E114F1">
              <w:t>(potenciálne ohrozujúci život)</w:t>
            </w:r>
          </w:p>
          <w:p w14:paraId="02B6E37A" w14:textId="77777777" w:rsidR="009E6B93" w:rsidRPr="00E114F1" w:rsidRDefault="009E6B93" w:rsidP="007049B5">
            <w:r w:rsidRPr="00E114F1">
              <w:t>Toxická epidermálna nekrolýza (potenciálne ohrozujúca život)</w:t>
            </w: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17D83" w14:textId="77777777" w:rsidR="009E6B93" w:rsidRPr="00E114F1" w:rsidRDefault="009E6B93" w:rsidP="007049B5"/>
        </w:tc>
      </w:tr>
      <w:tr w:rsidR="009E6B93" w:rsidRPr="00E114F1" w14:paraId="5494A40C" w14:textId="77777777" w:rsidTr="00982691">
        <w:trPr>
          <w:cantSplit/>
        </w:trPr>
        <w:tc>
          <w:tcPr>
            <w:tcW w:w="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818869" w14:textId="77777777" w:rsidR="009E6B93" w:rsidRPr="00E114F1" w:rsidRDefault="009E6B93" w:rsidP="007049B5">
            <w:pPr>
              <w:rPr>
                <w:rFonts w:eastAsia="Batang"/>
              </w:rPr>
            </w:pPr>
            <w:r w:rsidRPr="00E114F1">
              <w:lastRenderedPageBreak/>
              <w:t>Poruchy kostrovej a svalovej sústavy a spojivového tkaniva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5B1EE1" w14:textId="77777777" w:rsidR="009E6B93" w:rsidRPr="00E114F1" w:rsidRDefault="009E6B93" w:rsidP="007049B5"/>
        </w:tc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C6598" w14:textId="77777777" w:rsidR="009E6B93" w:rsidRPr="00E114F1" w:rsidRDefault="009E6B93" w:rsidP="007049B5">
            <w:r w:rsidRPr="00E114F1">
              <w:t>Bolesť svalov a kostí (napr.</w:t>
            </w:r>
            <w:r w:rsidR="00321DE4" w:rsidRPr="00E114F1">
              <w:t> </w:t>
            </w:r>
            <w:r w:rsidRPr="00E114F1">
              <w:t>bolesť končatín, bolesť chrbta, bolesť v hrudi)</w:t>
            </w:r>
          </w:p>
          <w:p w14:paraId="5B925979" w14:textId="77777777" w:rsidR="009E6B93" w:rsidRPr="00E114F1" w:rsidRDefault="009E6B93" w:rsidP="007049B5">
            <w:r w:rsidRPr="00E114F1">
              <w:t>Artralgia</w:t>
            </w:r>
          </w:p>
        </w:tc>
        <w:tc>
          <w:tcPr>
            <w:tcW w:w="10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F6E52" w14:textId="77777777" w:rsidR="009E6B93" w:rsidRPr="00E114F1" w:rsidRDefault="009E6B93" w:rsidP="007049B5">
            <w:r w:rsidRPr="00E114F1">
              <w:t>Myalgia</w:t>
            </w:r>
          </w:p>
          <w:p w14:paraId="6BB800D3" w14:textId="77777777" w:rsidR="009E6B93" w:rsidRPr="00E114F1" w:rsidRDefault="009E6B93" w:rsidP="007049B5">
            <w:r w:rsidRPr="00E114F1">
              <w:t>Artritída</w:t>
            </w:r>
          </w:p>
          <w:p w14:paraId="0D0491F8" w14:textId="77777777" w:rsidR="009E6B93" w:rsidRPr="00E114F1" w:rsidRDefault="009E6B93" w:rsidP="007049B5">
            <w:r w:rsidRPr="00E114F1">
              <w:t>Zvýšený svalový tonus a kŕče</w:t>
            </w:r>
          </w:p>
        </w:tc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09F8E" w14:textId="77777777" w:rsidR="009E6B93" w:rsidRPr="00E114F1" w:rsidRDefault="009E6B93" w:rsidP="007049B5">
            <w:r w:rsidRPr="00E114F1">
              <w:t>Svalová slabosť</w:t>
            </w:r>
          </w:p>
          <w:p w14:paraId="2CD5B080" w14:textId="77777777" w:rsidR="009E6B93" w:rsidRPr="00E114F1" w:rsidRDefault="009E6B93" w:rsidP="007049B5">
            <w:r w:rsidRPr="00E114F1">
              <w:t>Tendinitída</w:t>
            </w:r>
          </w:p>
          <w:p w14:paraId="1CE0F4E5" w14:textId="77777777" w:rsidR="009E6B93" w:rsidRPr="00E114F1" w:rsidRDefault="009E6B93" w:rsidP="007049B5">
            <w:r w:rsidRPr="00E114F1">
              <w:t>Natrhnutie šľachy (najmä Achillovej šľachy) (pozri časť 4.4)</w:t>
            </w:r>
          </w:p>
          <w:p w14:paraId="7D1FB939" w14:textId="77777777" w:rsidR="009E6B93" w:rsidRPr="00E114F1" w:rsidRDefault="009E6B93" w:rsidP="007049B5">
            <w:r w:rsidRPr="00E114F1">
              <w:t xml:space="preserve">Exacerbácia symptómov </w:t>
            </w:r>
            <w:r w:rsidRPr="00E114F1">
              <w:rPr>
                <w:iCs/>
              </w:rPr>
              <w:t>myasthenia gravis</w:t>
            </w:r>
            <w:r w:rsidRPr="00E114F1">
              <w:t xml:space="preserve"> (pozri časť 4.4)</w:t>
            </w: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11BD36" w14:textId="77777777" w:rsidR="009E6B93" w:rsidRPr="00E114F1" w:rsidRDefault="009E6B93" w:rsidP="007049B5"/>
        </w:tc>
      </w:tr>
      <w:tr w:rsidR="009E6B93" w:rsidRPr="00E114F1" w14:paraId="0E58349D" w14:textId="77777777" w:rsidTr="00982691">
        <w:trPr>
          <w:cantSplit/>
        </w:trPr>
        <w:tc>
          <w:tcPr>
            <w:tcW w:w="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663B9F" w14:textId="77777777" w:rsidR="009E6B93" w:rsidRPr="00E114F1" w:rsidRDefault="009E6B93" w:rsidP="007049B5">
            <w:pPr>
              <w:rPr>
                <w:rFonts w:eastAsia="Batang"/>
              </w:rPr>
            </w:pPr>
            <w:r w:rsidRPr="00E114F1">
              <w:t xml:space="preserve">Poruchy obličiek a močových ciest 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A25BF" w14:textId="77777777" w:rsidR="009E6B93" w:rsidRPr="00E114F1" w:rsidRDefault="009E6B93" w:rsidP="007049B5"/>
        </w:tc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56C1D8" w14:textId="77777777" w:rsidR="009E6B93" w:rsidRPr="00E114F1" w:rsidRDefault="009E6B93" w:rsidP="007049B5">
            <w:r w:rsidRPr="00E114F1">
              <w:t>Poškodenie funkcie obličiek</w:t>
            </w:r>
          </w:p>
        </w:tc>
        <w:tc>
          <w:tcPr>
            <w:tcW w:w="10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572A73" w14:textId="77777777" w:rsidR="009E6B93" w:rsidRPr="00E114F1" w:rsidRDefault="009E6B93" w:rsidP="007049B5">
            <w:r w:rsidRPr="00E114F1">
              <w:t>Zlyhanie obličiek</w:t>
            </w:r>
          </w:p>
          <w:p w14:paraId="30045359" w14:textId="77777777" w:rsidR="009E6B93" w:rsidRPr="00E114F1" w:rsidRDefault="009E6B93" w:rsidP="007049B5">
            <w:r w:rsidRPr="00E114F1">
              <w:t>Hematúria</w:t>
            </w:r>
          </w:p>
          <w:p w14:paraId="30FE4171" w14:textId="77777777" w:rsidR="009E6B93" w:rsidRPr="00E114F1" w:rsidRDefault="009E6B93" w:rsidP="007049B5">
            <w:r w:rsidRPr="00E114F1">
              <w:t>Kryštalúria (pozri časť 4.4)</w:t>
            </w:r>
          </w:p>
          <w:p w14:paraId="25216A2A" w14:textId="77777777" w:rsidR="009E6B93" w:rsidRPr="00E114F1" w:rsidRDefault="009E6B93" w:rsidP="007049B5">
            <w:r w:rsidRPr="00E114F1">
              <w:t>Tubulo</w:t>
            </w:r>
            <w:r w:rsidR="008656CD" w:rsidRPr="00E114F1">
              <w:t>-</w:t>
            </w:r>
            <w:r w:rsidRPr="00E114F1">
              <w:t>intersticiálna nefritída</w:t>
            </w:r>
          </w:p>
        </w:tc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28622" w14:textId="77777777" w:rsidR="009E6B93" w:rsidRPr="00E114F1" w:rsidRDefault="009E6B93" w:rsidP="007049B5"/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1074A9" w14:textId="77777777" w:rsidR="009E6B93" w:rsidRPr="00E114F1" w:rsidRDefault="009E6B93" w:rsidP="007049B5"/>
        </w:tc>
      </w:tr>
      <w:tr w:rsidR="009E6B93" w:rsidRPr="00E114F1" w14:paraId="6AB358E2" w14:textId="77777777" w:rsidTr="00982691">
        <w:trPr>
          <w:cantSplit/>
        </w:trPr>
        <w:tc>
          <w:tcPr>
            <w:tcW w:w="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72DDE" w14:textId="77777777" w:rsidR="009E6B93" w:rsidRPr="00E114F1" w:rsidRDefault="009E6B93" w:rsidP="007049B5">
            <w:pPr>
              <w:rPr>
                <w:rFonts w:eastAsia="Batang"/>
              </w:rPr>
            </w:pPr>
            <w:r w:rsidRPr="00E114F1">
              <w:t>Celkové poruchy a</w:t>
            </w:r>
            <w:r w:rsidR="00321DE4" w:rsidRPr="00E114F1">
              <w:t> </w:t>
            </w:r>
            <w:r w:rsidRPr="00E114F1">
              <w:t>reakcie v</w:t>
            </w:r>
            <w:r w:rsidR="00321DE4" w:rsidRPr="00E114F1">
              <w:t> </w:t>
            </w:r>
            <w:r w:rsidRPr="00E114F1">
              <w:t>mieste podania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79EC1" w14:textId="77777777" w:rsidR="009E6B93" w:rsidRPr="00E114F1" w:rsidRDefault="009E6B93" w:rsidP="007049B5"/>
        </w:tc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F20450" w14:textId="77777777" w:rsidR="009E6B93" w:rsidRPr="00E114F1" w:rsidRDefault="009E6B93" w:rsidP="007049B5">
            <w:r w:rsidRPr="00E114F1">
              <w:t>Asténia</w:t>
            </w:r>
          </w:p>
          <w:p w14:paraId="609C65B9" w14:textId="77777777" w:rsidR="009E6B93" w:rsidRPr="00E114F1" w:rsidRDefault="009E6B93" w:rsidP="007049B5">
            <w:r w:rsidRPr="00E114F1">
              <w:t>Horúčka</w:t>
            </w:r>
          </w:p>
        </w:tc>
        <w:tc>
          <w:tcPr>
            <w:tcW w:w="10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F7635D" w14:textId="77777777" w:rsidR="009E6B93" w:rsidRPr="00E114F1" w:rsidRDefault="009E6B93" w:rsidP="007049B5">
            <w:r w:rsidRPr="00E114F1">
              <w:t>Edém</w:t>
            </w:r>
          </w:p>
          <w:p w14:paraId="2FABDBF9" w14:textId="77777777" w:rsidR="009E6B93" w:rsidRPr="00E114F1" w:rsidRDefault="009E6B93" w:rsidP="007049B5">
            <w:r w:rsidRPr="00E114F1">
              <w:t>Potenie (hyperhidróza)</w:t>
            </w:r>
          </w:p>
        </w:tc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2BC97" w14:textId="77777777" w:rsidR="009E6B93" w:rsidRPr="00E114F1" w:rsidRDefault="009E6B93" w:rsidP="007049B5"/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9E498" w14:textId="77777777" w:rsidR="009E6B93" w:rsidRPr="00E114F1" w:rsidRDefault="009E6B93" w:rsidP="007049B5"/>
        </w:tc>
      </w:tr>
      <w:tr w:rsidR="009E6B93" w:rsidRPr="00E114F1" w14:paraId="76D7C9C7" w14:textId="77777777" w:rsidTr="00982691">
        <w:trPr>
          <w:cantSplit/>
        </w:trPr>
        <w:tc>
          <w:tcPr>
            <w:tcW w:w="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5C2BF" w14:textId="77777777" w:rsidR="009E6B93" w:rsidRPr="00E114F1" w:rsidRDefault="009E6B93" w:rsidP="007049B5">
            <w:r w:rsidRPr="00E114F1">
              <w:t>Laboratórne a funkčné vyšetrenia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ED01C3" w14:textId="77777777" w:rsidR="009E6B93" w:rsidRPr="00E114F1" w:rsidRDefault="009E6B93" w:rsidP="007049B5"/>
        </w:tc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6970BA" w14:textId="77777777" w:rsidR="009E6B93" w:rsidRPr="00E114F1" w:rsidRDefault="009E6B93" w:rsidP="007049B5">
            <w:r w:rsidRPr="00E114F1">
              <w:t>Zvýšenie alkalickej fosfatázy v krvi</w:t>
            </w:r>
          </w:p>
        </w:tc>
        <w:tc>
          <w:tcPr>
            <w:tcW w:w="10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67612" w14:textId="77777777" w:rsidR="009E6B93" w:rsidRPr="00E114F1" w:rsidRDefault="009E6B93" w:rsidP="007049B5">
            <w:r w:rsidRPr="00E114F1">
              <w:t>Abnormálna hladina protrombínu</w:t>
            </w:r>
          </w:p>
          <w:p w14:paraId="66BC7CF5" w14:textId="77777777" w:rsidR="009E6B93" w:rsidRPr="00E114F1" w:rsidRDefault="009E6B93" w:rsidP="007049B5">
            <w:r w:rsidRPr="00E114F1">
              <w:t xml:space="preserve">Zvýšená amyláza </w:t>
            </w:r>
          </w:p>
        </w:tc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2BCD6" w14:textId="77777777" w:rsidR="009E6B93" w:rsidRPr="00E114F1" w:rsidRDefault="009E6B93" w:rsidP="007049B5"/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344EB" w14:textId="77777777" w:rsidR="009E6B93" w:rsidRPr="00E114F1" w:rsidRDefault="009E6B93" w:rsidP="007049B5"/>
        </w:tc>
      </w:tr>
    </w:tbl>
    <w:p w14:paraId="4F64D266" w14:textId="77777777" w:rsidR="009E6B93" w:rsidRPr="00E114F1" w:rsidRDefault="009E6B93" w:rsidP="007049B5">
      <w:pPr>
        <w:pStyle w:val="Normlndobloku"/>
        <w:rPr>
          <w:rFonts w:eastAsia="Batang"/>
          <w:lang w:val="sk-SK"/>
        </w:rPr>
      </w:pPr>
      <w:r w:rsidRPr="00E114F1">
        <w:rPr>
          <w:lang w:val="sk-SK"/>
        </w:rPr>
        <w:t>*Tieto príhody sa hlásili po uvedení lieku na trh a pozorovali sa najmä u pacientov s ďalšími rizikovými faktormi pre predĺženie intervalu QT (pozri časť 4.4).</w:t>
      </w:r>
    </w:p>
    <w:p w14:paraId="69E87DAD" w14:textId="77777777" w:rsidR="009E6B93" w:rsidRPr="00E114F1" w:rsidRDefault="009E6B93" w:rsidP="00F91CB2">
      <w:pPr>
        <w:pStyle w:val="Styl30"/>
      </w:pPr>
      <w:r w:rsidRPr="00E114F1">
        <w:t>Pediatrick</w:t>
      </w:r>
      <w:r w:rsidR="00321DE4" w:rsidRPr="00E114F1">
        <w:t>á populácia</w:t>
      </w:r>
    </w:p>
    <w:p w14:paraId="172A41E6" w14:textId="77777777" w:rsidR="009E6B93" w:rsidRPr="00E114F1" w:rsidRDefault="009E6B93" w:rsidP="007049B5">
      <w:pPr>
        <w:pStyle w:val="Normlndobloku"/>
        <w:rPr>
          <w:bCs/>
          <w:lang w:val="sk-SK"/>
        </w:rPr>
      </w:pPr>
      <w:r w:rsidRPr="00E114F1">
        <w:rPr>
          <w:lang w:val="sk-SK"/>
        </w:rPr>
        <w:t xml:space="preserve">Incidencia artropatie uvedená vyššie sa vzťahuje na údaje zhromaždené zo štúdií s dospelými. U detí sa často hlásil výskyt artropatie (pozri tiež </w:t>
      </w:r>
      <w:r w:rsidR="00080F9E">
        <w:rPr>
          <w:lang w:val="sk-SK"/>
        </w:rPr>
        <w:t xml:space="preserve">časť </w:t>
      </w:r>
      <w:r w:rsidRPr="00E114F1">
        <w:rPr>
          <w:lang w:val="sk-SK"/>
        </w:rPr>
        <w:t>4.4</w:t>
      </w:r>
      <w:r w:rsidRPr="00E114F1">
        <w:rPr>
          <w:bCs/>
          <w:lang w:val="sk-SK"/>
        </w:rPr>
        <w:t>).</w:t>
      </w:r>
    </w:p>
    <w:p w14:paraId="4B2EC52F" w14:textId="77777777" w:rsidR="00321DE4" w:rsidRPr="00E114F1" w:rsidRDefault="00D601DA" w:rsidP="00321DE4">
      <w:pPr>
        <w:pStyle w:val="Styl30"/>
        <w:rPr>
          <w:i w:val="0"/>
        </w:rPr>
      </w:pPr>
      <w:r w:rsidRPr="00D601DA">
        <w:rPr>
          <w:i w:val="0"/>
        </w:rPr>
        <w:t>Hlásenie podozrení na nežiaduce reakcie</w:t>
      </w:r>
    </w:p>
    <w:p w14:paraId="5C4F717E" w14:textId="77777777" w:rsidR="00321DE4" w:rsidRPr="00E114F1" w:rsidRDefault="00DE1B35" w:rsidP="00321DE4">
      <w:pPr>
        <w:pStyle w:val="Normlndobloku"/>
        <w:rPr>
          <w:lang w:val="sk-SK"/>
        </w:rPr>
      </w:pPr>
      <w:r w:rsidRPr="00DE1B35">
        <w:rPr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321DE4" w:rsidRPr="00E114F1">
        <w:rPr>
          <w:lang w:val="sk-SK"/>
        </w:rPr>
        <w:t>na</w:t>
      </w:r>
      <w:r w:rsidRPr="00DE1B35">
        <w:rPr>
          <w:lang w:val="sk-SK"/>
        </w:rPr>
        <w:t xml:space="preserve"> </w:t>
      </w:r>
      <w:r w:rsidR="00321DE4" w:rsidRPr="00E114F1">
        <w:rPr>
          <w:highlight w:val="lightGray"/>
          <w:lang w:val="sk-SK"/>
        </w:rPr>
        <w:t>národné centrum hlásenia uvedené</w:t>
      </w:r>
      <w:r w:rsidRPr="00DE1B35">
        <w:rPr>
          <w:highlight w:val="lightGray"/>
          <w:lang w:val="sk-SK"/>
        </w:rPr>
        <w:t xml:space="preserve"> v </w:t>
      </w:r>
      <w:hyperlink r:id="rId7" w:history="1">
        <w:r w:rsidRPr="00DE1B35">
          <w:rPr>
            <w:highlight w:val="lightGray"/>
            <w:lang w:val="sk-SK"/>
          </w:rPr>
          <w:t>Prílohe V</w:t>
        </w:r>
      </w:hyperlink>
      <w:r w:rsidRPr="00DE1B35">
        <w:rPr>
          <w:highlight w:val="lightGray"/>
          <w:lang w:val="sk-SK"/>
        </w:rPr>
        <w:t>.</w:t>
      </w:r>
    </w:p>
    <w:p w14:paraId="6EC1CB4F" w14:textId="77777777" w:rsidR="00321DE4" w:rsidRPr="00E114F1" w:rsidRDefault="00321DE4" w:rsidP="007049B5">
      <w:pPr>
        <w:pStyle w:val="Normlndobloku"/>
        <w:rPr>
          <w:bCs/>
          <w:lang w:val="sk-SK"/>
        </w:rPr>
      </w:pPr>
    </w:p>
    <w:p w14:paraId="1BA17C0E" w14:textId="77777777" w:rsidR="009E6B93" w:rsidRPr="00E114F1" w:rsidRDefault="009E6B93" w:rsidP="007049B5">
      <w:pPr>
        <w:pStyle w:val="Styl2"/>
        <w:rPr>
          <w:lang w:val="sk-SK"/>
        </w:rPr>
      </w:pPr>
      <w:r w:rsidRPr="00E114F1">
        <w:rPr>
          <w:lang w:val="sk-SK"/>
        </w:rPr>
        <w:t>Predávkovanie</w:t>
      </w:r>
    </w:p>
    <w:p w14:paraId="1D20DD5C" w14:textId="77777777" w:rsidR="00D07F1D" w:rsidRDefault="00321DE4">
      <w:pPr>
        <w:pStyle w:val="tlStyl3NiejeKurzva"/>
      </w:pPr>
      <w:r w:rsidRPr="005F69AE">
        <w:t>Príznaky</w:t>
      </w:r>
    </w:p>
    <w:p w14:paraId="10D8D5B6" w14:textId="77777777" w:rsidR="009E6B93" w:rsidRPr="00E114F1" w:rsidRDefault="00080F9E" w:rsidP="007049B5">
      <w:pPr>
        <w:pStyle w:val="Normlndobloku"/>
        <w:rPr>
          <w:lang w:val="sk-SK"/>
        </w:rPr>
      </w:pPr>
      <w:r>
        <w:rPr>
          <w:lang w:val="sk-SK"/>
        </w:rPr>
        <w:t xml:space="preserve">Bolo hlásené </w:t>
      </w:r>
      <w:r w:rsidR="009E6B93" w:rsidRPr="00E114F1">
        <w:rPr>
          <w:lang w:val="sk-SK"/>
        </w:rPr>
        <w:t xml:space="preserve">predávkovanie </w:t>
      </w:r>
      <w:smartTag w:uri="urn:schemas-microsoft-com:office:smarttags" w:element="metricconverter">
        <w:smartTagPr>
          <w:attr w:name="ProductID" w:val="12ﾠg"/>
        </w:smartTagPr>
        <w:r w:rsidR="009E6B93" w:rsidRPr="00E114F1">
          <w:rPr>
            <w:lang w:val="sk-SK"/>
          </w:rPr>
          <w:t>12 g</w:t>
        </w:r>
      </w:smartTag>
      <w:r w:rsidR="009E6B93" w:rsidRPr="00E114F1">
        <w:rPr>
          <w:lang w:val="sk-SK"/>
        </w:rPr>
        <w:t xml:space="preserve">, ktoré viedlo k miernym symptómom toxicity. </w:t>
      </w:r>
      <w:r>
        <w:rPr>
          <w:lang w:val="sk-SK"/>
        </w:rPr>
        <w:t>Bolo hlásené</w:t>
      </w:r>
      <w:r w:rsidR="009E6B93" w:rsidRPr="00E114F1">
        <w:rPr>
          <w:lang w:val="sk-SK"/>
        </w:rPr>
        <w:t xml:space="preserve"> akútne predávkovanie </w:t>
      </w:r>
      <w:smartTag w:uri="urn:schemas-microsoft-com:office:smarttags" w:element="metricconverter">
        <w:smartTagPr>
          <w:attr w:name="ProductID" w:val="16ﾠg"/>
        </w:smartTagPr>
        <w:r w:rsidR="009E6B93" w:rsidRPr="00E114F1">
          <w:rPr>
            <w:lang w:val="sk-SK"/>
          </w:rPr>
          <w:t>16 g</w:t>
        </w:r>
      </w:smartTag>
      <w:r w:rsidR="009E6B93" w:rsidRPr="00E114F1">
        <w:rPr>
          <w:lang w:val="sk-SK"/>
        </w:rPr>
        <w:t>, ktoré spôso</w:t>
      </w:r>
      <w:r>
        <w:rPr>
          <w:lang w:val="sk-SK"/>
        </w:rPr>
        <w:t>bilo</w:t>
      </w:r>
      <w:r w:rsidR="009E6B93" w:rsidRPr="00E114F1">
        <w:rPr>
          <w:lang w:val="sk-SK"/>
        </w:rPr>
        <w:t xml:space="preserve"> akútne zlyhanie obličiek.</w:t>
      </w:r>
    </w:p>
    <w:p w14:paraId="698B5EF0" w14:textId="77777777" w:rsidR="009E6B93" w:rsidRPr="00E114F1" w:rsidRDefault="009E6B93" w:rsidP="00245966">
      <w:pPr>
        <w:pStyle w:val="Normlndobloku"/>
        <w:rPr>
          <w:lang w:val="sk-SK"/>
        </w:rPr>
      </w:pPr>
      <w:r w:rsidRPr="00E114F1">
        <w:rPr>
          <w:lang w:val="sk-SK"/>
        </w:rPr>
        <w:lastRenderedPageBreak/>
        <w:t xml:space="preserve">Medzi symptómy predávkovania patria závrat, tras, bolesť hlavy, únava, záchvaty, halucinácie, zmätenosť, brušné ťažkosti, poškodenie funkcie obličiek a pečene ako aj kryštalúria a hematúria. </w:t>
      </w:r>
      <w:r w:rsidR="00080F9E">
        <w:rPr>
          <w:lang w:val="sk-SK"/>
        </w:rPr>
        <w:t>Bola hlásená</w:t>
      </w:r>
      <w:r w:rsidRPr="00E114F1">
        <w:rPr>
          <w:lang w:val="sk-SK"/>
        </w:rPr>
        <w:t xml:space="preserve"> reverzibilná toxicita obličiek.</w:t>
      </w:r>
    </w:p>
    <w:p w14:paraId="22C60364" w14:textId="77777777" w:rsidR="00D07F1D" w:rsidRDefault="00321DE4">
      <w:pPr>
        <w:pStyle w:val="tlStyl3NiejeKurzva"/>
      </w:pPr>
      <w:r w:rsidRPr="005F69AE">
        <w:t>Liečba</w:t>
      </w:r>
    </w:p>
    <w:p w14:paraId="217CE3E1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Okrem rutinnej neodkladnej zdravotnej starostlivosti sa odporúča monitorovať funkciu obličiek, ak je potrebné vrátane hodnoty pH a kyslosti moču, aby sa zabránilo vzniku kryštalúrie. Pacienti sa majú udržiavať dobre hydratovaní.</w:t>
      </w:r>
    </w:p>
    <w:p w14:paraId="4F3EEC54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Iba malé množstvo ciprofloxacínu (&lt; 10 %) sa odstráni hemodialýzou alebo peritoneálnou dialýzou.</w:t>
      </w:r>
    </w:p>
    <w:p w14:paraId="3BFD3832" w14:textId="77777777" w:rsidR="009E6B93" w:rsidRPr="00E114F1" w:rsidRDefault="009E6B93" w:rsidP="00405A33">
      <w:pPr>
        <w:pStyle w:val="Styl1"/>
        <w:rPr>
          <w:lang w:val="sk-SK"/>
        </w:rPr>
      </w:pPr>
      <w:r w:rsidRPr="00E114F1">
        <w:rPr>
          <w:lang w:val="sk-SK"/>
        </w:rPr>
        <w:t>FARMAKOLOGICKÉ VLASTNOSTI</w:t>
      </w:r>
    </w:p>
    <w:p w14:paraId="7C619C4B" w14:textId="77777777" w:rsidR="009E6B93" w:rsidRPr="00E114F1" w:rsidRDefault="009E6B93" w:rsidP="007049B5">
      <w:pPr>
        <w:pStyle w:val="Styl2"/>
        <w:rPr>
          <w:lang w:val="sk-SK"/>
        </w:rPr>
      </w:pPr>
      <w:r w:rsidRPr="00E114F1">
        <w:rPr>
          <w:lang w:val="sk-SK"/>
        </w:rPr>
        <w:t>Farmakodynamické vlastnosti</w:t>
      </w:r>
    </w:p>
    <w:p w14:paraId="47B5EA0C" w14:textId="77777777" w:rsidR="00BF6962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Farmakoterape</w:t>
      </w:r>
      <w:r w:rsidR="00BF6962" w:rsidRPr="00E114F1">
        <w:rPr>
          <w:lang w:val="sk-SK"/>
        </w:rPr>
        <w:t xml:space="preserve">utická skupina: </w:t>
      </w:r>
      <w:r w:rsidR="009736C1" w:rsidRPr="00E114F1">
        <w:rPr>
          <w:lang w:val="sk-SK"/>
        </w:rPr>
        <w:t>Antibiotiká na systémové použitie, f</w:t>
      </w:r>
      <w:r w:rsidR="00BF6962" w:rsidRPr="00E114F1">
        <w:rPr>
          <w:lang w:val="sk-SK"/>
        </w:rPr>
        <w:t>lu</w:t>
      </w:r>
      <w:r w:rsidR="00321DE4" w:rsidRPr="00E114F1">
        <w:rPr>
          <w:lang w:val="sk-SK"/>
        </w:rPr>
        <w:t>ó</w:t>
      </w:r>
      <w:r w:rsidR="00BF6962" w:rsidRPr="00E114F1">
        <w:rPr>
          <w:lang w:val="sk-SK"/>
        </w:rPr>
        <w:t>rchinolóny</w:t>
      </w:r>
    </w:p>
    <w:p w14:paraId="28E0B17E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ATC kód: J01MA02</w:t>
      </w:r>
    </w:p>
    <w:p w14:paraId="4F05EE2A" w14:textId="77777777" w:rsidR="009E6B93" w:rsidRPr="00E114F1" w:rsidRDefault="009E6B93" w:rsidP="00F91CB2">
      <w:pPr>
        <w:pStyle w:val="Styl30"/>
      </w:pPr>
      <w:r w:rsidRPr="00E114F1">
        <w:t>Mechanizmus účinku:</w:t>
      </w:r>
    </w:p>
    <w:p w14:paraId="318E8E5C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Baktericídny účinok ciprofloxacínu ako fluorochinolónového antibiotika vyplýva z inhibície oboch topoizomeráz typu II (DNA gyrázy) a topoizomerázy IV, ktoré sú potrebné na replikáciu, transkripciu, reparáciu a rekombináciu bakteriálnej DNA.</w:t>
      </w:r>
    </w:p>
    <w:p w14:paraId="44F835BD" w14:textId="77777777" w:rsidR="009E6B93" w:rsidRPr="00E114F1" w:rsidRDefault="009736C1" w:rsidP="00F91CB2">
      <w:pPr>
        <w:pStyle w:val="Styl30"/>
      </w:pPr>
      <w:r w:rsidRPr="00E114F1">
        <w:t>Farmakokinetický/farmakodynamický</w:t>
      </w:r>
      <w:r w:rsidR="009E6B93" w:rsidRPr="00E114F1">
        <w:t xml:space="preserve"> vzťah:</w:t>
      </w:r>
    </w:p>
    <w:p w14:paraId="01327718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Účinnosť závisí najmä od vzťahu medzi maximálnou koncentráciou v sére (C</w:t>
      </w:r>
      <w:r w:rsidRPr="00E114F1">
        <w:rPr>
          <w:vertAlign w:val="subscript"/>
          <w:lang w:val="sk-SK"/>
        </w:rPr>
        <w:t>max</w:t>
      </w:r>
      <w:r w:rsidRPr="00E114F1">
        <w:rPr>
          <w:lang w:val="sk-SK"/>
        </w:rPr>
        <w:t>) a minimálnou inhibičnou koncentráciou (MIC) ciprofloxacínu pre bakteriálny patogén a vzťahu medzi plochou pod krivkou (AUC) a</w:t>
      </w:r>
      <w:r w:rsidR="00321DE4" w:rsidRPr="00E114F1">
        <w:rPr>
          <w:lang w:val="sk-SK"/>
        </w:rPr>
        <w:t> </w:t>
      </w:r>
      <w:r w:rsidRPr="00E114F1">
        <w:rPr>
          <w:lang w:val="sk-SK"/>
        </w:rPr>
        <w:t>MIC.</w:t>
      </w:r>
    </w:p>
    <w:p w14:paraId="080F889F" w14:textId="77777777" w:rsidR="009E6B93" w:rsidRPr="00E114F1" w:rsidRDefault="009E6B93" w:rsidP="00F91CB2">
      <w:pPr>
        <w:pStyle w:val="Styl30"/>
      </w:pPr>
      <w:r w:rsidRPr="00E114F1">
        <w:t>Mechanizmus rezistencie:</w:t>
      </w:r>
    </w:p>
    <w:p w14:paraId="56F8F861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rStyle w:val="BacilChar"/>
          <w:lang w:val="sk-SK"/>
        </w:rPr>
        <w:t>In-vitro</w:t>
      </w:r>
      <w:r w:rsidRPr="00E114F1">
        <w:rPr>
          <w:lang w:val="sk-SK"/>
        </w:rPr>
        <w:t xml:space="preserve"> rezistencia na ciprofloxacín sa môže získať prostredníctvom postupného procesu mutácií cieľového miesta na DNA gyráze aj topoizomeráze IV. Dosiahnutý stupeň skríženej rezistencie medzi ciprofloxacínom a inými fluorochinolónmi je variabilný. Jednotlivé mutácie nemusia viesť ku klinickej rezistencii, kým mnohostupňové mutácie vo všeobecnosti vyústia do klinickej rezistencie na mnoho alebo všetky liečivá v</w:t>
      </w:r>
      <w:r w:rsidR="00321DE4" w:rsidRPr="00E114F1">
        <w:rPr>
          <w:lang w:val="sk-SK"/>
        </w:rPr>
        <w:t> </w:t>
      </w:r>
      <w:r w:rsidRPr="00E114F1">
        <w:rPr>
          <w:lang w:val="sk-SK"/>
        </w:rPr>
        <w:t xml:space="preserve">triede. Mechanizmy rezistencie založené na nepriepustnosti a/alebo efluxnej pumpe liečiva môžu mať rozličný vplyv na citlivosť fluorochinolónov, čo závisí od fyziologicko-chemických vlastností rôznych liečiv v triede a afinity transportných systémov každého liečiva. Všetky </w:t>
      </w:r>
      <w:r w:rsidRPr="00E114F1">
        <w:rPr>
          <w:rStyle w:val="BacilChar"/>
          <w:lang w:val="sk-SK"/>
        </w:rPr>
        <w:t>in-vitro</w:t>
      </w:r>
      <w:r w:rsidRPr="00E114F1">
        <w:rPr>
          <w:lang w:val="sk-SK"/>
        </w:rPr>
        <w:t xml:space="preserve"> mechanizmy rezistencie sú často pozorované na klinických izolátoch. Mechanizmy rezistencie, ktoré inaktivujú iné antibiotiká, ako sú permeačné bariéry (bežné u</w:t>
      </w:r>
      <w:r w:rsidR="00321DE4" w:rsidRPr="00E114F1">
        <w:rPr>
          <w:lang w:val="sk-SK"/>
        </w:rPr>
        <w:t> </w:t>
      </w:r>
      <w:r w:rsidRPr="00E114F1">
        <w:rPr>
          <w:rStyle w:val="BacilChar"/>
          <w:lang w:val="sk-SK"/>
        </w:rPr>
        <w:t>Pseudomonas aeruginosa</w:t>
      </w:r>
      <w:r w:rsidRPr="00E114F1">
        <w:rPr>
          <w:lang w:val="sk-SK"/>
        </w:rPr>
        <w:t>) a</w:t>
      </w:r>
      <w:r w:rsidR="00321DE4" w:rsidRPr="00E114F1">
        <w:rPr>
          <w:lang w:val="sk-SK"/>
        </w:rPr>
        <w:t> </w:t>
      </w:r>
      <w:r w:rsidRPr="00E114F1">
        <w:rPr>
          <w:lang w:val="sk-SK"/>
        </w:rPr>
        <w:t>efluxné mechanizmy môžu tiež ovplyvniť citlivosť na ciprofloxacín.</w:t>
      </w:r>
    </w:p>
    <w:p w14:paraId="285D848F" w14:textId="77777777" w:rsidR="009E6B93" w:rsidRPr="00E114F1" w:rsidRDefault="00080F9E" w:rsidP="007049B5">
      <w:r>
        <w:rPr>
          <w:iCs/>
        </w:rPr>
        <w:t>Bola hlásená</w:t>
      </w:r>
      <w:r w:rsidR="009E6B93" w:rsidRPr="00E114F1">
        <w:rPr>
          <w:iCs/>
        </w:rPr>
        <w:t xml:space="preserve"> </w:t>
      </w:r>
      <w:r w:rsidR="009E6B93" w:rsidRPr="00E114F1">
        <w:t>rezistencia sprostredkovaná plazmidmi kódovaná qnr-génmi.</w:t>
      </w:r>
    </w:p>
    <w:p w14:paraId="26B31F8B" w14:textId="77777777" w:rsidR="009E6B93" w:rsidRPr="00E114F1" w:rsidRDefault="009E6B93" w:rsidP="00F91CB2">
      <w:pPr>
        <w:pStyle w:val="Styl30"/>
      </w:pPr>
      <w:r w:rsidRPr="00E114F1">
        <w:t>Spektrum antibakteriálnej aktivity:</w:t>
      </w:r>
    </w:p>
    <w:p w14:paraId="40CDD6D0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Limity citlivosti oddeľujú citlivé kmene od kmeňov so strednou citlivosťou a tieto od rezistentných kmeňov:</w:t>
      </w:r>
    </w:p>
    <w:p w14:paraId="33B6AFB2" w14:textId="77777777" w:rsidR="009E6B93" w:rsidRPr="00E114F1" w:rsidRDefault="009E6B93" w:rsidP="00F91CB2">
      <w:pPr>
        <w:pStyle w:val="Styl30"/>
      </w:pPr>
      <w:r w:rsidRPr="00E114F1">
        <w:t>Odporúčania EUCAST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2965"/>
        <w:gridCol w:w="2793"/>
        <w:gridCol w:w="303"/>
      </w:tblGrid>
      <w:tr w:rsidR="009E6B93" w:rsidRPr="00E114F1" w14:paraId="5A4B1BBE" w14:textId="77777777" w:rsidTr="002B38FB">
        <w:tc>
          <w:tcPr>
            <w:tcW w:w="3227" w:type="dxa"/>
          </w:tcPr>
          <w:p w14:paraId="027F1A1B" w14:textId="77777777" w:rsidR="009E6B93" w:rsidRPr="00E114F1" w:rsidRDefault="009E6B93" w:rsidP="007049B5">
            <w:pPr>
              <w:rPr>
                <w:b/>
              </w:rPr>
            </w:pPr>
            <w:r w:rsidRPr="00E114F1">
              <w:rPr>
                <w:b/>
              </w:rPr>
              <w:t>Mikroorganizmy</w:t>
            </w:r>
          </w:p>
        </w:tc>
        <w:tc>
          <w:tcPr>
            <w:tcW w:w="2965" w:type="dxa"/>
          </w:tcPr>
          <w:p w14:paraId="61193A80" w14:textId="77777777" w:rsidR="009E6B93" w:rsidRPr="00E114F1" w:rsidRDefault="009E6B93" w:rsidP="007049B5">
            <w:pPr>
              <w:rPr>
                <w:b/>
              </w:rPr>
            </w:pPr>
            <w:r w:rsidRPr="00E114F1">
              <w:rPr>
                <w:b/>
              </w:rPr>
              <w:t>Citlivé</w:t>
            </w:r>
          </w:p>
        </w:tc>
        <w:tc>
          <w:tcPr>
            <w:tcW w:w="3096" w:type="dxa"/>
            <w:gridSpan w:val="2"/>
          </w:tcPr>
          <w:p w14:paraId="1FE61F4A" w14:textId="77777777" w:rsidR="009E6B93" w:rsidRPr="00E114F1" w:rsidRDefault="009E6B93" w:rsidP="007049B5">
            <w:pPr>
              <w:rPr>
                <w:b/>
              </w:rPr>
            </w:pPr>
            <w:r w:rsidRPr="00E114F1">
              <w:rPr>
                <w:b/>
              </w:rPr>
              <w:t>Rezistentné</w:t>
            </w:r>
          </w:p>
        </w:tc>
      </w:tr>
      <w:tr w:rsidR="009E6B93" w:rsidRPr="00E114F1" w14:paraId="7C1BC1A7" w14:textId="77777777" w:rsidTr="002B38F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3B44" w14:textId="77777777" w:rsidR="009E6B93" w:rsidRPr="00E114F1" w:rsidRDefault="00D601DA" w:rsidP="007049B5">
            <w:pPr>
              <w:rPr>
                <w:i/>
              </w:rPr>
            </w:pPr>
            <w:r w:rsidRPr="00D601DA">
              <w:rPr>
                <w:i/>
              </w:rPr>
              <w:t>Enterobacteria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11E" w14:textId="77777777" w:rsidR="009E6B93" w:rsidRPr="00E114F1" w:rsidRDefault="009E6B93" w:rsidP="007049B5">
            <w:r w:rsidRPr="00E114F1">
              <w:t xml:space="preserve">S </w:t>
            </w:r>
            <w:r w:rsidRPr="00E114F1">
              <w:sym w:font="Symbol" w:char="F0A3"/>
            </w:r>
            <w:r w:rsidRPr="00E114F1">
              <w:t xml:space="preserve"> 0,5 mg/l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8555" w14:textId="77777777" w:rsidR="009E6B93" w:rsidRPr="00E114F1" w:rsidRDefault="009E6B93" w:rsidP="007049B5">
            <w:r w:rsidRPr="00E114F1">
              <w:t xml:space="preserve">R </w:t>
            </w:r>
            <w:r w:rsidRPr="00E114F1">
              <w:sym w:font="Symbol" w:char="F03E"/>
            </w:r>
            <w:r w:rsidRPr="00E114F1">
              <w:t xml:space="preserve"> 1 mg/l</w:t>
            </w:r>
          </w:p>
        </w:tc>
      </w:tr>
      <w:tr w:rsidR="009E6B93" w:rsidRPr="00E114F1" w14:paraId="75B8F83F" w14:textId="77777777" w:rsidTr="002B38F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1136" w14:textId="77777777" w:rsidR="009E6B93" w:rsidRPr="00E114F1" w:rsidRDefault="00D601DA" w:rsidP="007049B5">
            <w:pPr>
              <w:rPr>
                <w:i/>
              </w:rPr>
            </w:pPr>
            <w:r w:rsidRPr="00D601DA">
              <w:rPr>
                <w:i/>
              </w:rPr>
              <w:t>Pseudomonas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340A" w14:textId="77777777" w:rsidR="009E6B93" w:rsidRPr="00E114F1" w:rsidRDefault="009E6B93" w:rsidP="007049B5">
            <w:r w:rsidRPr="00E114F1">
              <w:t xml:space="preserve">S </w:t>
            </w:r>
            <w:r w:rsidRPr="00E114F1">
              <w:sym w:font="Symbol" w:char="F0A3"/>
            </w:r>
            <w:r w:rsidRPr="00E114F1">
              <w:t xml:space="preserve"> 0,5 mg/l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1AEF" w14:textId="77777777" w:rsidR="009E6B93" w:rsidRPr="00E114F1" w:rsidRDefault="009E6B93" w:rsidP="007049B5">
            <w:r w:rsidRPr="00E114F1">
              <w:t xml:space="preserve">R </w:t>
            </w:r>
            <w:r w:rsidRPr="00E114F1">
              <w:sym w:font="Symbol" w:char="F03E"/>
            </w:r>
            <w:r w:rsidRPr="00E114F1">
              <w:t xml:space="preserve"> 1 mg/l</w:t>
            </w:r>
          </w:p>
        </w:tc>
      </w:tr>
      <w:tr w:rsidR="009E6B93" w:rsidRPr="00E114F1" w14:paraId="7BE43E27" w14:textId="77777777" w:rsidTr="002B38F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7648" w14:textId="77777777" w:rsidR="009E6B93" w:rsidRPr="00E114F1" w:rsidRDefault="00D601DA" w:rsidP="007049B5">
            <w:pPr>
              <w:rPr>
                <w:i/>
              </w:rPr>
            </w:pPr>
            <w:r w:rsidRPr="00D601DA">
              <w:rPr>
                <w:i/>
              </w:rPr>
              <w:t>Acinetobacter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897D" w14:textId="77777777" w:rsidR="009E6B93" w:rsidRPr="00E114F1" w:rsidRDefault="009E6B93" w:rsidP="007049B5">
            <w:r w:rsidRPr="00E114F1">
              <w:t xml:space="preserve">S </w:t>
            </w:r>
            <w:r w:rsidRPr="00E114F1">
              <w:sym w:font="Symbol" w:char="F0A3"/>
            </w:r>
            <w:r w:rsidRPr="00E114F1">
              <w:t xml:space="preserve"> 1 mg/l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5861" w14:textId="77777777" w:rsidR="009E6B93" w:rsidRPr="00E114F1" w:rsidRDefault="009E6B93" w:rsidP="007049B5">
            <w:r w:rsidRPr="00E114F1">
              <w:t xml:space="preserve">R </w:t>
            </w:r>
            <w:r w:rsidRPr="00E114F1">
              <w:sym w:font="Symbol" w:char="F03E"/>
            </w:r>
            <w:r w:rsidRPr="00E114F1">
              <w:t xml:space="preserve"> 1 mg/l</w:t>
            </w:r>
          </w:p>
        </w:tc>
      </w:tr>
      <w:tr w:rsidR="009E6B93" w:rsidRPr="00E114F1" w14:paraId="7465D976" w14:textId="77777777" w:rsidTr="002B38F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51DB" w14:textId="77777777" w:rsidR="009E6B93" w:rsidRPr="00E114F1" w:rsidRDefault="00D601DA" w:rsidP="007049B5">
            <w:pPr>
              <w:rPr>
                <w:i/>
              </w:rPr>
            </w:pPr>
            <w:r w:rsidRPr="00D601DA">
              <w:rPr>
                <w:i/>
              </w:rPr>
              <w:t>Staphylococcus spp.1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29C8" w14:textId="77777777" w:rsidR="009E6B93" w:rsidRPr="00E114F1" w:rsidRDefault="009E6B93" w:rsidP="007049B5">
            <w:r w:rsidRPr="00E114F1">
              <w:t xml:space="preserve">S </w:t>
            </w:r>
            <w:r w:rsidRPr="00E114F1">
              <w:sym w:font="Symbol" w:char="F0A3"/>
            </w:r>
            <w:r w:rsidRPr="00E114F1">
              <w:t xml:space="preserve"> 1 mg/l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B4CD" w14:textId="77777777" w:rsidR="009E6B93" w:rsidRPr="00E114F1" w:rsidRDefault="009E6B93" w:rsidP="007049B5">
            <w:r w:rsidRPr="00E114F1">
              <w:t xml:space="preserve">R </w:t>
            </w:r>
            <w:r w:rsidRPr="00E114F1">
              <w:sym w:font="Symbol" w:char="F03E"/>
            </w:r>
            <w:r w:rsidRPr="00E114F1">
              <w:t xml:space="preserve"> 1 mg/l</w:t>
            </w:r>
          </w:p>
        </w:tc>
      </w:tr>
      <w:tr w:rsidR="009E6B93" w:rsidRPr="00E114F1" w14:paraId="5FFAC675" w14:textId="77777777" w:rsidTr="002B38F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7E87" w14:textId="77777777" w:rsidR="009E6B93" w:rsidRPr="00E114F1" w:rsidRDefault="00D601DA" w:rsidP="007049B5">
            <w:pPr>
              <w:rPr>
                <w:i/>
              </w:rPr>
            </w:pPr>
            <w:r w:rsidRPr="00D601DA">
              <w:rPr>
                <w:i/>
              </w:rPr>
              <w:t>Haemophilus influenzae a</w:t>
            </w:r>
          </w:p>
          <w:p w14:paraId="7E86C1DA" w14:textId="77777777" w:rsidR="009E6B93" w:rsidRPr="00E114F1" w:rsidRDefault="00D601DA" w:rsidP="007049B5">
            <w:pPr>
              <w:rPr>
                <w:i/>
              </w:rPr>
            </w:pPr>
            <w:r w:rsidRPr="00D601DA">
              <w:rPr>
                <w:i/>
              </w:rPr>
              <w:t>Moraxella catarrhalis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CCF9" w14:textId="77777777" w:rsidR="009E6B93" w:rsidRPr="00E114F1" w:rsidRDefault="009E6B93" w:rsidP="007049B5">
            <w:r w:rsidRPr="00E114F1">
              <w:t xml:space="preserve">S </w:t>
            </w:r>
            <w:r w:rsidRPr="00E114F1">
              <w:sym w:font="Symbol" w:char="F0A3"/>
            </w:r>
            <w:r w:rsidRPr="00E114F1">
              <w:t xml:space="preserve"> 0,5 mg/l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31EB" w14:textId="77777777" w:rsidR="009E6B93" w:rsidRPr="00E114F1" w:rsidRDefault="009E6B93" w:rsidP="007049B5">
            <w:r w:rsidRPr="00E114F1">
              <w:t xml:space="preserve">R </w:t>
            </w:r>
            <w:r w:rsidRPr="00E114F1">
              <w:sym w:font="Symbol" w:char="F03E"/>
            </w:r>
            <w:r w:rsidRPr="00E114F1">
              <w:t xml:space="preserve"> 0,5 mg/l</w:t>
            </w:r>
          </w:p>
        </w:tc>
      </w:tr>
      <w:tr w:rsidR="009E6B93" w:rsidRPr="00E114F1" w14:paraId="2820C2D0" w14:textId="77777777" w:rsidTr="002B38F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5849" w14:textId="77777777" w:rsidR="009E6B93" w:rsidRPr="00E114F1" w:rsidRDefault="00D601DA" w:rsidP="007049B5">
            <w:pPr>
              <w:rPr>
                <w:i/>
              </w:rPr>
            </w:pPr>
            <w:r w:rsidRPr="00D601DA">
              <w:rPr>
                <w:i/>
              </w:rPr>
              <w:lastRenderedPageBreak/>
              <w:t>Neisseria gonorrhoeae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C3EF" w14:textId="77777777" w:rsidR="009E6B93" w:rsidRPr="00E114F1" w:rsidRDefault="009E6B93" w:rsidP="007049B5">
            <w:r w:rsidRPr="00E114F1">
              <w:t xml:space="preserve">S </w:t>
            </w:r>
            <w:r w:rsidRPr="00E114F1">
              <w:sym w:font="Symbol" w:char="F0A3"/>
            </w:r>
            <w:r w:rsidRPr="00E114F1">
              <w:t xml:space="preserve"> 0,03 mg/l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7261" w14:textId="77777777" w:rsidR="009E6B93" w:rsidRPr="00E114F1" w:rsidRDefault="009E6B93" w:rsidP="007049B5">
            <w:r w:rsidRPr="00E114F1">
              <w:t xml:space="preserve">R </w:t>
            </w:r>
            <w:r w:rsidRPr="00E114F1">
              <w:sym w:font="Symbol" w:char="F03E"/>
            </w:r>
            <w:r w:rsidRPr="00E114F1">
              <w:t xml:space="preserve"> 0,06 mg/l</w:t>
            </w:r>
          </w:p>
        </w:tc>
      </w:tr>
      <w:tr w:rsidR="009E6B93" w:rsidRPr="00E114F1" w14:paraId="160B868D" w14:textId="77777777" w:rsidTr="002B38F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7BA9" w14:textId="77777777" w:rsidR="009E6B93" w:rsidRPr="00E114F1" w:rsidRDefault="00D601DA" w:rsidP="007049B5">
            <w:pPr>
              <w:rPr>
                <w:i/>
              </w:rPr>
            </w:pPr>
            <w:r w:rsidRPr="00D601DA">
              <w:rPr>
                <w:i/>
              </w:rPr>
              <w:t>Neisseria meningitidis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AA8E" w14:textId="77777777" w:rsidR="009E6B93" w:rsidRPr="00E114F1" w:rsidRDefault="009E6B93" w:rsidP="007049B5">
            <w:r w:rsidRPr="00E114F1">
              <w:t xml:space="preserve">S </w:t>
            </w:r>
            <w:r w:rsidRPr="00E114F1">
              <w:sym w:font="Symbol" w:char="F0A3"/>
            </w:r>
            <w:r w:rsidRPr="00E114F1">
              <w:t xml:space="preserve"> 0,03 mg/l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F136" w14:textId="77777777" w:rsidR="009E6B93" w:rsidRPr="00E114F1" w:rsidRDefault="009E6B93" w:rsidP="007049B5">
            <w:r w:rsidRPr="00E114F1">
              <w:t xml:space="preserve">R </w:t>
            </w:r>
            <w:r w:rsidRPr="00E114F1">
              <w:sym w:font="Symbol" w:char="F03E"/>
            </w:r>
            <w:r w:rsidRPr="00E114F1">
              <w:t xml:space="preserve"> 0,06 mg/l</w:t>
            </w:r>
          </w:p>
        </w:tc>
      </w:tr>
      <w:tr w:rsidR="009E6B93" w:rsidRPr="00E114F1" w14:paraId="0FDECB46" w14:textId="77777777" w:rsidTr="002B38FB">
        <w:tc>
          <w:tcPr>
            <w:tcW w:w="3227" w:type="dxa"/>
          </w:tcPr>
          <w:p w14:paraId="53359248" w14:textId="77777777" w:rsidR="009E6B93" w:rsidRPr="00E114F1" w:rsidRDefault="009E6B93" w:rsidP="007049B5">
            <w:pPr>
              <w:rPr>
                <w:b/>
                <w:bCs/>
              </w:rPr>
            </w:pPr>
            <w:r w:rsidRPr="00E114F1">
              <w:t>Limity citlivosti súvisiace s</w:t>
            </w:r>
            <w:r w:rsidR="00321DE4" w:rsidRPr="00E114F1">
              <w:t> </w:t>
            </w:r>
            <w:r w:rsidRPr="00E114F1">
              <w:t>nešpecifickými druhmi*</w:t>
            </w:r>
          </w:p>
        </w:tc>
        <w:tc>
          <w:tcPr>
            <w:tcW w:w="2965" w:type="dxa"/>
          </w:tcPr>
          <w:p w14:paraId="4939C3CD" w14:textId="77777777" w:rsidR="009E6B93" w:rsidRPr="00E114F1" w:rsidRDefault="009E6B93" w:rsidP="007049B5">
            <w:r w:rsidRPr="00E114F1">
              <w:t>S </w:t>
            </w:r>
            <w:r w:rsidRPr="00E114F1">
              <w:sym w:font="Symbol" w:char="F0A3"/>
            </w:r>
            <w:r w:rsidRPr="00E114F1">
              <w:t xml:space="preserve"> 0,5 mg/l</w:t>
            </w:r>
          </w:p>
        </w:tc>
        <w:tc>
          <w:tcPr>
            <w:tcW w:w="3096" w:type="dxa"/>
            <w:gridSpan w:val="2"/>
          </w:tcPr>
          <w:p w14:paraId="48195BAD" w14:textId="77777777" w:rsidR="009E6B93" w:rsidRPr="00E114F1" w:rsidRDefault="009E6B93" w:rsidP="007049B5">
            <w:r w:rsidRPr="00E114F1">
              <w:t xml:space="preserve">R </w:t>
            </w:r>
            <w:r w:rsidRPr="00E114F1">
              <w:sym w:font="Symbol" w:char="F03E"/>
            </w:r>
            <w:r w:rsidRPr="00E114F1">
              <w:t xml:space="preserve"> 1 mg/l</w:t>
            </w:r>
          </w:p>
        </w:tc>
      </w:tr>
      <w:tr w:rsidR="009E6B93" w:rsidRPr="00E114F1" w14:paraId="52195C01" w14:textId="77777777" w:rsidTr="002B38FB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gridAfter w:val="1"/>
          <w:wAfter w:w="303" w:type="dxa"/>
          <w:tblCellSpacing w:w="15" w:type="dxa"/>
        </w:trPr>
        <w:tc>
          <w:tcPr>
            <w:tcW w:w="8985" w:type="dxa"/>
            <w:gridSpan w:val="3"/>
            <w:vAlign w:val="center"/>
          </w:tcPr>
          <w:p w14:paraId="71290495" w14:textId="77777777" w:rsidR="00FE67CF" w:rsidRPr="00E114F1" w:rsidRDefault="008E38A5" w:rsidP="007049B5">
            <w:pPr>
              <w:pStyle w:val="Normlndobloku"/>
              <w:rPr>
                <w:lang w:val="sk-SK"/>
              </w:rPr>
            </w:pPr>
            <w:r w:rsidRPr="00E114F1">
              <w:rPr>
                <w:iCs/>
                <w:lang w:val="sk-SK"/>
              </w:rPr>
              <w:t xml:space="preserve">1. </w:t>
            </w:r>
            <w:r w:rsidR="009E6B93" w:rsidRPr="00E114F1">
              <w:rPr>
                <w:rStyle w:val="BacilChar"/>
                <w:lang w:val="sk-SK"/>
              </w:rPr>
              <w:t>Staphylococcus</w:t>
            </w:r>
            <w:r w:rsidR="009E6B93" w:rsidRPr="00E114F1">
              <w:rPr>
                <w:lang w:val="sk-SK"/>
              </w:rPr>
              <w:t xml:space="preserve"> </w:t>
            </w:r>
            <w:r w:rsidR="00D601DA" w:rsidRPr="00D601DA">
              <w:rPr>
                <w:i/>
                <w:lang w:val="sk-SK"/>
              </w:rPr>
              <w:t>spp</w:t>
            </w:r>
            <w:r w:rsidR="009E6B93" w:rsidRPr="00E114F1">
              <w:rPr>
                <w:lang w:val="sk-SK"/>
              </w:rPr>
              <w:t>. - limity citlivosti ciprofloxacínu súvisia s liečbou vysokými dávkami.</w:t>
            </w:r>
          </w:p>
          <w:p w14:paraId="4DA1C542" w14:textId="77777777" w:rsidR="009E6B93" w:rsidRPr="00E114F1" w:rsidRDefault="009E6B93" w:rsidP="007049B5">
            <w:pPr>
              <w:pStyle w:val="Normlndobloku"/>
              <w:rPr>
                <w:lang w:val="sk-SK"/>
              </w:rPr>
            </w:pPr>
            <w:r w:rsidRPr="00E114F1">
              <w:rPr>
                <w:lang w:val="sk-SK"/>
              </w:rPr>
              <w:t>*</w:t>
            </w:r>
            <w:r w:rsidR="002B38FB" w:rsidRPr="00E114F1">
              <w:rPr>
                <w:lang w:val="sk-SK"/>
              </w:rPr>
              <w:t xml:space="preserve"> </w:t>
            </w:r>
            <w:r w:rsidRPr="00E114F1">
              <w:rPr>
                <w:lang w:val="sk-SK"/>
              </w:rPr>
              <w:t>Limity citlivosti súvisiace s</w:t>
            </w:r>
            <w:r w:rsidR="00321DE4" w:rsidRPr="00E114F1">
              <w:rPr>
                <w:lang w:val="sk-SK"/>
              </w:rPr>
              <w:t> </w:t>
            </w:r>
            <w:r w:rsidRPr="00E114F1">
              <w:rPr>
                <w:lang w:val="sk-SK"/>
              </w:rPr>
              <w:t>nešpecifickými druhmi sa stanovili predovšetkým na základe údajov FK/FD a</w:t>
            </w:r>
            <w:r w:rsidR="00321DE4" w:rsidRPr="00E114F1">
              <w:rPr>
                <w:lang w:val="sk-SK"/>
              </w:rPr>
              <w:t> </w:t>
            </w:r>
            <w:r w:rsidRPr="00E114F1">
              <w:rPr>
                <w:lang w:val="sk-SK"/>
              </w:rPr>
              <w:t>sú nezávislé od distribúcií MIC špecifických druhov. Používajú sa iba pre druhy, pre ktoré sa nestanovil limit citlivosti pre špecifické druhy a</w:t>
            </w:r>
            <w:r w:rsidR="00321DE4" w:rsidRPr="00E114F1">
              <w:rPr>
                <w:lang w:val="sk-SK"/>
              </w:rPr>
              <w:t> </w:t>
            </w:r>
            <w:r w:rsidRPr="00E114F1">
              <w:rPr>
                <w:lang w:val="sk-SK"/>
              </w:rPr>
              <w:t>nie pre tie druhy, pri ktorých sa testovanie citlivosti neodporúča.</w:t>
            </w:r>
          </w:p>
        </w:tc>
      </w:tr>
    </w:tbl>
    <w:p w14:paraId="31EB62D6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Prevalencia získanej rezistencie sa môže u vybraných druhov geograficky a s časom meniť a</w:t>
      </w:r>
      <w:r w:rsidR="00321DE4" w:rsidRPr="00E114F1">
        <w:rPr>
          <w:lang w:val="sk-SK"/>
        </w:rPr>
        <w:t> </w:t>
      </w:r>
      <w:r w:rsidRPr="00E114F1">
        <w:rPr>
          <w:lang w:val="sk-SK"/>
        </w:rPr>
        <w:t>osobitne pri liečbe závažných infekcií je potrebné poznať lokálne charakteristiky o</w:t>
      </w:r>
      <w:r w:rsidR="00321DE4" w:rsidRPr="00E114F1">
        <w:rPr>
          <w:lang w:val="sk-SK"/>
        </w:rPr>
        <w:t> </w:t>
      </w:r>
      <w:r w:rsidRPr="00E114F1">
        <w:rPr>
          <w:lang w:val="sk-SK"/>
        </w:rPr>
        <w:t>rezistencii. V</w:t>
      </w:r>
      <w:r w:rsidR="00321DE4" w:rsidRPr="00E114F1">
        <w:rPr>
          <w:lang w:val="sk-SK"/>
        </w:rPr>
        <w:t> </w:t>
      </w:r>
      <w:r w:rsidRPr="00E114F1">
        <w:rPr>
          <w:lang w:val="sk-SK"/>
        </w:rPr>
        <w:t>prípade potreby si treba vyžiadať radu odborníka, ak lokálna prevalencia rezistencie je taká, že je otázna účinnosť minimálne u</w:t>
      </w:r>
      <w:r w:rsidR="00321DE4" w:rsidRPr="00E114F1">
        <w:rPr>
          <w:lang w:val="sk-SK"/>
        </w:rPr>
        <w:t> </w:t>
      </w:r>
      <w:r w:rsidRPr="00E114F1">
        <w:rPr>
          <w:lang w:val="sk-SK"/>
        </w:rPr>
        <w:t>niektorých typov infekcií.</w:t>
      </w:r>
    </w:p>
    <w:p w14:paraId="2E3B88BB" w14:textId="77777777"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 xml:space="preserve">Skupiny príslušných druhov podľa citlivosti na ciprofloxacín (kmene </w:t>
      </w:r>
      <w:r w:rsidRPr="00E114F1">
        <w:rPr>
          <w:rStyle w:val="BacilChar"/>
          <w:lang w:val="sk-SK"/>
        </w:rPr>
        <w:t>Streptococcus</w:t>
      </w:r>
      <w:r w:rsidRPr="00E114F1">
        <w:rPr>
          <w:lang w:val="sk-SK"/>
        </w:rPr>
        <w:t xml:space="preserve"> pozri časť 4.4)</w:t>
      </w: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0"/>
      </w:tblGrid>
      <w:tr w:rsidR="009E6B93" w:rsidRPr="00E114F1" w14:paraId="3EE7CF45" w14:textId="77777777" w:rsidTr="009E6B93">
        <w:tc>
          <w:tcPr>
            <w:tcW w:w="8730" w:type="dxa"/>
          </w:tcPr>
          <w:p w14:paraId="3CF9315F" w14:textId="77777777" w:rsidR="009E6B93" w:rsidRPr="00E114F1" w:rsidRDefault="008E38A5" w:rsidP="007049B5">
            <w:pPr>
              <w:rPr>
                <w:b/>
              </w:rPr>
            </w:pPr>
            <w:r w:rsidRPr="00E114F1">
              <w:rPr>
                <w:b/>
              </w:rPr>
              <w:t>BEŽNE CITLIVÉ DRUHY</w:t>
            </w:r>
          </w:p>
        </w:tc>
      </w:tr>
      <w:tr w:rsidR="009E6B93" w:rsidRPr="00E114F1" w14:paraId="619D0604" w14:textId="77777777" w:rsidTr="009E6B93">
        <w:tc>
          <w:tcPr>
            <w:tcW w:w="8730" w:type="dxa"/>
          </w:tcPr>
          <w:p w14:paraId="5E076806" w14:textId="77777777" w:rsidR="009E6B93" w:rsidRPr="00E114F1" w:rsidRDefault="009E6B93" w:rsidP="00F91CB2">
            <w:pPr>
              <w:pStyle w:val="Styl30"/>
            </w:pPr>
            <w:r w:rsidRPr="00E114F1">
              <w:t>Aeróbne grampozitívne mikroorganizmy</w:t>
            </w:r>
          </w:p>
          <w:p w14:paraId="5D2EA5D7" w14:textId="77777777" w:rsidR="009E6B93" w:rsidRPr="00E114F1" w:rsidRDefault="009E6B93" w:rsidP="00E74738">
            <w:pPr>
              <w:pStyle w:val="Bacil"/>
              <w:rPr>
                <w:b/>
                <w:bCs/>
                <w:u w:val="single"/>
                <w:lang w:val="sk-SK"/>
              </w:rPr>
            </w:pPr>
            <w:r w:rsidRPr="00E114F1">
              <w:rPr>
                <w:lang w:val="sk-SK"/>
              </w:rPr>
              <w:t>Bacillus anthracis (1)</w:t>
            </w:r>
          </w:p>
        </w:tc>
      </w:tr>
      <w:tr w:rsidR="009E6B93" w:rsidRPr="00E114F1" w14:paraId="1EF318AE" w14:textId="77777777" w:rsidTr="009E6B93">
        <w:trPr>
          <w:trHeight w:val="1559"/>
        </w:trPr>
        <w:tc>
          <w:tcPr>
            <w:tcW w:w="8730" w:type="dxa"/>
          </w:tcPr>
          <w:p w14:paraId="5FFCAA48" w14:textId="77777777" w:rsidR="007049B5" w:rsidRPr="00E114F1" w:rsidRDefault="009E6B93" w:rsidP="00F91CB2">
            <w:pPr>
              <w:pStyle w:val="Styl30"/>
            </w:pPr>
            <w:r w:rsidRPr="00E114F1">
              <w:t>Aeróbne gramnegatívne mikroorganizmy</w:t>
            </w:r>
          </w:p>
          <w:p w14:paraId="7B1D7C65" w14:textId="77777777" w:rsidR="009E6B93" w:rsidRPr="00E114F1" w:rsidRDefault="009E6B93" w:rsidP="00E74738">
            <w:pPr>
              <w:pStyle w:val="Bacil"/>
              <w:rPr>
                <w:lang w:val="sk-SK"/>
              </w:rPr>
            </w:pPr>
            <w:r w:rsidRPr="00E114F1">
              <w:rPr>
                <w:lang w:val="sk-SK"/>
              </w:rPr>
              <w:t>Aeromonas spp.</w:t>
            </w:r>
          </w:p>
          <w:p w14:paraId="353A32A4" w14:textId="77777777" w:rsidR="00FE67CF" w:rsidRPr="00E114F1" w:rsidRDefault="009E6B93" w:rsidP="00E74738">
            <w:pPr>
              <w:pStyle w:val="Bacil"/>
              <w:rPr>
                <w:lang w:val="sk-SK"/>
              </w:rPr>
            </w:pPr>
            <w:r w:rsidRPr="00E114F1">
              <w:rPr>
                <w:lang w:val="sk-SK"/>
              </w:rPr>
              <w:t>Brucella spp.</w:t>
            </w:r>
          </w:p>
          <w:p w14:paraId="14B5927A" w14:textId="77777777" w:rsidR="009E6B93" w:rsidRPr="00E114F1" w:rsidRDefault="009E6B93" w:rsidP="00E74738">
            <w:pPr>
              <w:pStyle w:val="Bacil"/>
              <w:rPr>
                <w:lang w:val="sk-SK"/>
              </w:rPr>
            </w:pPr>
            <w:r w:rsidRPr="00E114F1">
              <w:rPr>
                <w:lang w:val="sk-SK"/>
              </w:rPr>
              <w:t>Citrobacter koseri</w:t>
            </w:r>
          </w:p>
          <w:p w14:paraId="14C0FE15" w14:textId="77777777" w:rsidR="009E6B93" w:rsidRPr="00E114F1" w:rsidRDefault="009E6B93" w:rsidP="00E74738">
            <w:pPr>
              <w:pStyle w:val="Bacil"/>
              <w:rPr>
                <w:lang w:val="sk-SK"/>
              </w:rPr>
            </w:pPr>
            <w:r w:rsidRPr="00E114F1">
              <w:rPr>
                <w:lang w:val="sk-SK"/>
              </w:rPr>
              <w:t>Francisella tularensis</w:t>
            </w:r>
          </w:p>
          <w:p w14:paraId="4AE0221A" w14:textId="77777777" w:rsidR="009E6B93" w:rsidRPr="00E114F1" w:rsidRDefault="009E6B93" w:rsidP="00E74738">
            <w:pPr>
              <w:pStyle w:val="Bacil"/>
              <w:rPr>
                <w:lang w:val="sk-SK"/>
              </w:rPr>
            </w:pPr>
            <w:r w:rsidRPr="00E114F1">
              <w:rPr>
                <w:lang w:val="sk-SK"/>
              </w:rPr>
              <w:t>Haemophilus ducreyi</w:t>
            </w:r>
          </w:p>
          <w:p w14:paraId="13891B4F" w14:textId="77777777" w:rsidR="009E6B93" w:rsidRPr="00E114F1" w:rsidRDefault="009E6B93" w:rsidP="00E74738">
            <w:pPr>
              <w:pStyle w:val="Bacil"/>
              <w:rPr>
                <w:lang w:val="sk-SK"/>
              </w:rPr>
            </w:pPr>
            <w:r w:rsidRPr="00E114F1">
              <w:rPr>
                <w:lang w:val="sk-SK"/>
              </w:rPr>
              <w:t>Haemophilus influenzae*</w:t>
            </w:r>
          </w:p>
          <w:p w14:paraId="0DE973B4" w14:textId="77777777" w:rsidR="009E6B93" w:rsidRPr="00E114F1" w:rsidRDefault="009E6B93" w:rsidP="00E74738">
            <w:pPr>
              <w:pStyle w:val="Bacil"/>
              <w:rPr>
                <w:lang w:val="sk-SK"/>
              </w:rPr>
            </w:pPr>
            <w:r w:rsidRPr="00E114F1">
              <w:rPr>
                <w:lang w:val="sk-SK"/>
              </w:rPr>
              <w:t>Legionella spp.</w:t>
            </w:r>
          </w:p>
          <w:p w14:paraId="5008773D" w14:textId="77777777" w:rsidR="009E6B93" w:rsidRPr="00E114F1" w:rsidRDefault="009E6B93" w:rsidP="00E74738">
            <w:pPr>
              <w:pStyle w:val="Bacil"/>
              <w:rPr>
                <w:lang w:val="sk-SK"/>
              </w:rPr>
            </w:pPr>
            <w:r w:rsidRPr="00E114F1">
              <w:rPr>
                <w:lang w:val="sk-SK"/>
              </w:rPr>
              <w:t>Moraxella catarrhalis*</w:t>
            </w:r>
          </w:p>
          <w:p w14:paraId="6FD3377F" w14:textId="77777777" w:rsidR="009E6B93" w:rsidRPr="00E114F1" w:rsidRDefault="009E6B93" w:rsidP="00E74738">
            <w:pPr>
              <w:pStyle w:val="Bacil"/>
              <w:rPr>
                <w:lang w:val="sk-SK"/>
              </w:rPr>
            </w:pPr>
            <w:r w:rsidRPr="00E114F1">
              <w:rPr>
                <w:lang w:val="sk-SK"/>
              </w:rPr>
              <w:t>Neisseria meningitidis</w:t>
            </w:r>
          </w:p>
          <w:p w14:paraId="15050943" w14:textId="77777777" w:rsidR="009E6B93" w:rsidRPr="00E114F1" w:rsidRDefault="009E6B93" w:rsidP="00E74738">
            <w:pPr>
              <w:pStyle w:val="Bacil"/>
              <w:rPr>
                <w:lang w:val="sk-SK"/>
              </w:rPr>
            </w:pPr>
            <w:r w:rsidRPr="00E114F1">
              <w:rPr>
                <w:lang w:val="sk-SK"/>
              </w:rPr>
              <w:t>Pasteurella spp.</w:t>
            </w:r>
          </w:p>
          <w:p w14:paraId="7D410835" w14:textId="77777777" w:rsidR="009E6B93" w:rsidRPr="00E114F1" w:rsidRDefault="009E6B93" w:rsidP="00E74738">
            <w:pPr>
              <w:pStyle w:val="Bacil"/>
              <w:rPr>
                <w:lang w:val="sk-SK"/>
              </w:rPr>
            </w:pPr>
            <w:r w:rsidRPr="00E114F1">
              <w:rPr>
                <w:lang w:val="sk-SK"/>
              </w:rPr>
              <w:t>Salmonella spp.*</w:t>
            </w:r>
          </w:p>
          <w:p w14:paraId="42E4D449" w14:textId="77777777" w:rsidR="009E6B93" w:rsidRPr="00E114F1" w:rsidRDefault="009E6B93" w:rsidP="00E74738">
            <w:pPr>
              <w:pStyle w:val="Bacil"/>
              <w:rPr>
                <w:lang w:val="sk-SK"/>
              </w:rPr>
            </w:pPr>
            <w:r w:rsidRPr="00E114F1">
              <w:rPr>
                <w:lang w:val="sk-SK"/>
              </w:rPr>
              <w:t>Shigella spp.*</w:t>
            </w:r>
          </w:p>
          <w:p w14:paraId="5FB0D83F" w14:textId="77777777" w:rsidR="009E6B93" w:rsidRPr="00E114F1" w:rsidRDefault="009E6B93" w:rsidP="00E74738">
            <w:pPr>
              <w:pStyle w:val="Bacil"/>
              <w:rPr>
                <w:lang w:val="sk-SK"/>
              </w:rPr>
            </w:pPr>
            <w:r w:rsidRPr="00E114F1">
              <w:rPr>
                <w:lang w:val="sk-SK"/>
              </w:rPr>
              <w:t>Vibrio spp.</w:t>
            </w:r>
          </w:p>
          <w:p w14:paraId="1E64E006" w14:textId="77777777" w:rsidR="009E6B93" w:rsidRPr="00E114F1" w:rsidRDefault="009E6B93" w:rsidP="00E74738">
            <w:pPr>
              <w:pStyle w:val="Bacil"/>
              <w:rPr>
                <w:lang w:val="sk-SK"/>
              </w:rPr>
            </w:pPr>
            <w:r w:rsidRPr="00E114F1">
              <w:rPr>
                <w:lang w:val="sk-SK"/>
              </w:rPr>
              <w:t>Yersinia pestis</w:t>
            </w:r>
          </w:p>
        </w:tc>
      </w:tr>
      <w:tr w:rsidR="009E6B93" w:rsidRPr="00E114F1" w14:paraId="3ED90FE7" w14:textId="77777777" w:rsidTr="009E6B93">
        <w:trPr>
          <w:trHeight w:val="520"/>
        </w:trPr>
        <w:tc>
          <w:tcPr>
            <w:tcW w:w="8730" w:type="dxa"/>
          </w:tcPr>
          <w:p w14:paraId="6F067E29" w14:textId="77777777" w:rsidR="009E6B93" w:rsidRPr="00E114F1" w:rsidRDefault="009E6B93" w:rsidP="00F91CB2">
            <w:pPr>
              <w:pStyle w:val="Styl30"/>
            </w:pPr>
            <w:r w:rsidRPr="00E114F1">
              <w:t>Anaeróbne mikroorganizmy</w:t>
            </w:r>
          </w:p>
          <w:p w14:paraId="6722D883" w14:textId="77777777" w:rsidR="009E6B93" w:rsidRPr="00E114F1" w:rsidRDefault="009E6B93" w:rsidP="00733FA5">
            <w:pPr>
              <w:pStyle w:val="Bacil"/>
              <w:rPr>
                <w:b/>
                <w:bCs/>
                <w:u w:val="single"/>
                <w:lang w:val="sk-SK"/>
              </w:rPr>
            </w:pPr>
            <w:r w:rsidRPr="00E114F1">
              <w:rPr>
                <w:lang w:val="sk-SK"/>
              </w:rPr>
              <w:t>Mobiluncus</w:t>
            </w:r>
          </w:p>
        </w:tc>
      </w:tr>
      <w:tr w:rsidR="009E6B93" w:rsidRPr="00E114F1" w14:paraId="67BF68AE" w14:textId="77777777" w:rsidTr="009E6B93">
        <w:trPr>
          <w:trHeight w:val="520"/>
        </w:trPr>
        <w:tc>
          <w:tcPr>
            <w:tcW w:w="8730" w:type="dxa"/>
          </w:tcPr>
          <w:p w14:paraId="2843E37E" w14:textId="77777777" w:rsidR="009E6B93" w:rsidRPr="00E114F1" w:rsidRDefault="009E6B93" w:rsidP="00F91CB2">
            <w:pPr>
              <w:pStyle w:val="Styl30"/>
            </w:pPr>
            <w:r w:rsidRPr="00E114F1">
              <w:t>Iné mikroorganizmy</w:t>
            </w:r>
          </w:p>
          <w:p w14:paraId="4F7B12B1" w14:textId="77777777" w:rsidR="009E6B93" w:rsidRPr="00E114F1" w:rsidRDefault="009E6B93" w:rsidP="00733FA5">
            <w:pPr>
              <w:pStyle w:val="Bacil"/>
              <w:rPr>
                <w:lang w:val="sk-SK"/>
              </w:rPr>
            </w:pPr>
            <w:r w:rsidRPr="00E114F1">
              <w:rPr>
                <w:lang w:val="sk-SK"/>
              </w:rPr>
              <w:t>Chlamydia trachomatis ($)</w:t>
            </w:r>
          </w:p>
          <w:p w14:paraId="3F88F9CD" w14:textId="77777777" w:rsidR="009E6B93" w:rsidRPr="00E114F1" w:rsidRDefault="009E6B93" w:rsidP="00733FA5">
            <w:pPr>
              <w:pStyle w:val="Bacil"/>
              <w:rPr>
                <w:lang w:val="sk-SK"/>
              </w:rPr>
            </w:pPr>
            <w:r w:rsidRPr="00E114F1">
              <w:rPr>
                <w:lang w:val="sk-SK"/>
              </w:rPr>
              <w:t>Chlamydia pneumoniae ($)</w:t>
            </w:r>
          </w:p>
          <w:p w14:paraId="04E3FDBA" w14:textId="77777777" w:rsidR="009E6B93" w:rsidRPr="00E114F1" w:rsidRDefault="009E6B93" w:rsidP="00733FA5">
            <w:pPr>
              <w:pStyle w:val="Bacil"/>
              <w:rPr>
                <w:lang w:val="sk-SK"/>
              </w:rPr>
            </w:pPr>
            <w:r w:rsidRPr="00E114F1">
              <w:rPr>
                <w:lang w:val="sk-SK"/>
              </w:rPr>
              <w:t>Mycoplasma hominis ($)</w:t>
            </w:r>
          </w:p>
          <w:p w14:paraId="39896A4A" w14:textId="77777777" w:rsidR="009E6B93" w:rsidRPr="00E114F1" w:rsidRDefault="009E6B93" w:rsidP="00733FA5">
            <w:pPr>
              <w:pStyle w:val="Bacil"/>
              <w:rPr>
                <w:u w:val="single"/>
                <w:lang w:val="sk-SK"/>
              </w:rPr>
            </w:pPr>
            <w:r w:rsidRPr="00E114F1">
              <w:rPr>
                <w:lang w:val="sk-SK"/>
              </w:rPr>
              <w:t>Mycoplasma pneumoniae ($)</w:t>
            </w:r>
          </w:p>
        </w:tc>
      </w:tr>
      <w:tr w:rsidR="009E6B93" w:rsidRPr="00E114F1" w14:paraId="1F03C7C8" w14:textId="77777777" w:rsidTr="009E6B93">
        <w:tc>
          <w:tcPr>
            <w:tcW w:w="8730" w:type="dxa"/>
          </w:tcPr>
          <w:p w14:paraId="351FC636" w14:textId="77777777" w:rsidR="009E6B93" w:rsidRPr="00E114F1" w:rsidRDefault="00DA6D24" w:rsidP="00DA6D24">
            <w:pPr>
              <w:rPr>
                <w:b/>
              </w:rPr>
            </w:pPr>
            <w:r w:rsidRPr="00E114F1">
              <w:rPr>
                <w:b/>
              </w:rPr>
              <w:t>DRUHY, PRI KTORÝCH MÔŽE BYŤ PROBLÉMOM ZÍSKANÁ REZISTENCIA</w:t>
            </w:r>
          </w:p>
        </w:tc>
      </w:tr>
      <w:tr w:rsidR="009E6B93" w:rsidRPr="00E114F1" w14:paraId="73FED78F" w14:textId="77777777" w:rsidTr="009E6B93">
        <w:trPr>
          <w:trHeight w:val="531"/>
        </w:trPr>
        <w:tc>
          <w:tcPr>
            <w:tcW w:w="8730" w:type="dxa"/>
          </w:tcPr>
          <w:p w14:paraId="6F14060A" w14:textId="77777777" w:rsidR="00DA6D24" w:rsidRPr="00E114F1" w:rsidRDefault="009E6B93" w:rsidP="00F91CB2">
            <w:pPr>
              <w:pStyle w:val="Styl30"/>
            </w:pPr>
            <w:r w:rsidRPr="00E114F1">
              <w:t>Aeróbne grampozitívne mikroorganizmy</w:t>
            </w:r>
          </w:p>
          <w:p w14:paraId="6E38AB49" w14:textId="77777777" w:rsidR="009E6B93" w:rsidRPr="00E114F1" w:rsidRDefault="009E6B93" w:rsidP="00733FA5">
            <w:pPr>
              <w:pStyle w:val="Bacil"/>
              <w:rPr>
                <w:lang w:val="sk-SK"/>
              </w:rPr>
            </w:pPr>
            <w:r w:rsidRPr="00E114F1">
              <w:rPr>
                <w:lang w:val="sk-SK"/>
              </w:rPr>
              <w:t>Enterococcus faecalis ($)</w:t>
            </w:r>
          </w:p>
          <w:p w14:paraId="0F1000E4" w14:textId="77777777" w:rsidR="009E6B93" w:rsidRPr="00E114F1" w:rsidRDefault="009E6B93" w:rsidP="00733FA5">
            <w:pPr>
              <w:pStyle w:val="Bacil"/>
              <w:rPr>
                <w:lang w:val="sk-SK"/>
              </w:rPr>
            </w:pPr>
            <w:r w:rsidRPr="00E114F1">
              <w:rPr>
                <w:lang w:val="sk-SK"/>
              </w:rPr>
              <w:t>Staphylococcus spp.* (2)</w:t>
            </w:r>
          </w:p>
        </w:tc>
      </w:tr>
      <w:tr w:rsidR="009E6B93" w:rsidRPr="00E114F1" w14:paraId="59CE2D55" w14:textId="77777777" w:rsidTr="00A14744">
        <w:trPr>
          <w:trHeight w:val="693"/>
        </w:trPr>
        <w:tc>
          <w:tcPr>
            <w:tcW w:w="8730" w:type="dxa"/>
          </w:tcPr>
          <w:p w14:paraId="12A073A6" w14:textId="77777777" w:rsidR="00DA6D24" w:rsidRPr="00E114F1" w:rsidRDefault="009E6B93" w:rsidP="00F91CB2">
            <w:pPr>
              <w:pStyle w:val="Styl30"/>
            </w:pPr>
            <w:r w:rsidRPr="00E114F1">
              <w:t>Aeróbne gramnegatívne mikroorganizmy</w:t>
            </w:r>
          </w:p>
          <w:p w14:paraId="308173F5" w14:textId="77777777" w:rsidR="009E6B93" w:rsidRPr="00E114F1" w:rsidRDefault="009E6B93" w:rsidP="00733FA5">
            <w:pPr>
              <w:pStyle w:val="Bacil"/>
              <w:rPr>
                <w:lang w:val="sk-SK"/>
              </w:rPr>
            </w:pPr>
            <w:r w:rsidRPr="00E114F1">
              <w:rPr>
                <w:lang w:val="sk-SK"/>
              </w:rPr>
              <w:t>Acinetobacter baumannii</w:t>
            </w:r>
            <w:r w:rsidRPr="00E114F1">
              <w:rPr>
                <w:vertAlign w:val="superscript"/>
                <w:lang w:val="sk-SK"/>
              </w:rPr>
              <w:t>+</w:t>
            </w:r>
          </w:p>
          <w:p w14:paraId="714A50DF" w14:textId="77777777" w:rsidR="009E6B93" w:rsidRPr="00E114F1" w:rsidRDefault="009E6B93" w:rsidP="00733FA5">
            <w:pPr>
              <w:pStyle w:val="Bacil"/>
              <w:rPr>
                <w:lang w:val="sk-SK"/>
              </w:rPr>
            </w:pPr>
            <w:r w:rsidRPr="00E114F1">
              <w:rPr>
                <w:lang w:val="sk-SK"/>
              </w:rPr>
              <w:t>Burkholderia cepacia</w:t>
            </w:r>
            <w:r w:rsidRPr="00E114F1">
              <w:rPr>
                <w:vertAlign w:val="superscript"/>
                <w:lang w:val="sk-SK"/>
              </w:rPr>
              <w:t>+</w:t>
            </w:r>
            <w:r w:rsidRPr="00E114F1">
              <w:rPr>
                <w:lang w:val="sk-SK"/>
              </w:rPr>
              <w:t>*</w:t>
            </w:r>
          </w:p>
          <w:p w14:paraId="4B0D772B" w14:textId="77777777" w:rsidR="009E6B93" w:rsidRPr="00E114F1" w:rsidRDefault="009E6B93" w:rsidP="00733FA5">
            <w:pPr>
              <w:pStyle w:val="Bacil"/>
              <w:rPr>
                <w:lang w:val="sk-SK"/>
              </w:rPr>
            </w:pPr>
            <w:r w:rsidRPr="00E114F1">
              <w:rPr>
                <w:lang w:val="sk-SK"/>
              </w:rPr>
              <w:lastRenderedPageBreak/>
              <w:t>Campylobacter spp.</w:t>
            </w:r>
            <w:r w:rsidRPr="00E114F1">
              <w:rPr>
                <w:vertAlign w:val="superscript"/>
                <w:lang w:val="sk-SK"/>
              </w:rPr>
              <w:t>+</w:t>
            </w:r>
            <w:r w:rsidRPr="00E114F1">
              <w:rPr>
                <w:lang w:val="sk-SK"/>
              </w:rPr>
              <w:t>*</w:t>
            </w:r>
          </w:p>
          <w:p w14:paraId="5EA185B6" w14:textId="77777777" w:rsidR="009E6B93" w:rsidRPr="00E114F1" w:rsidRDefault="009E6B93" w:rsidP="00733FA5">
            <w:pPr>
              <w:pStyle w:val="Bacil"/>
              <w:rPr>
                <w:lang w:val="sk-SK"/>
              </w:rPr>
            </w:pPr>
            <w:r w:rsidRPr="00E114F1">
              <w:rPr>
                <w:lang w:val="sk-SK"/>
              </w:rPr>
              <w:t>Citrobacter freundii*</w:t>
            </w:r>
          </w:p>
          <w:p w14:paraId="75936FD4" w14:textId="77777777" w:rsidR="009E6B93" w:rsidRPr="00E114F1" w:rsidRDefault="009E6B93" w:rsidP="00733FA5">
            <w:pPr>
              <w:pStyle w:val="Bacil"/>
              <w:rPr>
                <w:lang w:val="sk-SK"/>
              </w:rPr>
            </w:pPr>
            <w:r w:rsidRPr="00E114F1">
              <w:rPr>
                <w:lang w:val="sk-SK"/>
              </w:rPr>
              <w:t>Enterobacter aerogenes</w:t>
            </w:r>
          </w:p>
          <w:p w14:paraId="34361A9E" w14:textId="77777777" w:rsidR="009E6B93" w:rsidRPr="00E114F1" w:rsidRDefault="009E6B93" w:rsidP="00733FA5">
            <w:pPr>
              <w:pStyle w:val="Bacil"/>
              <w:rPr>
                <w:lang w:val="sk-SK"/>
              </w:rPr>
            </w:pPr>
            <w:r w:rsidRPr="00E114F1">
              <w:rPr>
                <w:lang w:val="sk-SK"/>
              </w:rPr>
              <w:t>Enterobacter cloacae*</w:t>
            </w:r>
          </w:p>
          <w:p w14:paraId="1AA7E9F4" w14:textId="77777777" w:rsidR="009E6B93" w:rsidRPr="00E114F1" w:rsidRDefault="009E6B93" w:rsidP="00733FA5">
            <w:pPr>
              <w:pStyle w:val="Bacil"/>
              <w:rPr>
                <w:lang w:val="sk-SK"/>
              </w:rPr>
            </w:pPr>
            <w:r w:rsidRPr="00E114F1">
              <w:rPr>
                <w:lang w:val="sk-SK"/>
              </w:rPr>
              <w:t>Escherichia coli*</w:t>
            </w:r>
          </w:p>
          <w:p w14:paraId="36C70537" w14:textId="77777777" w:rsidR="009E6B93" w:rsidRPr="00E114F1" w:rsidRDefault="009E6B93" w:rsidP="00733FA5">
            <w:pPr>
              <w:pStyle w:val="Bacil"/>
              <w:rPr>
                <w:lang w:val="sk-SK"/>
              </w:rPr>
            </w:pPr>
            <w:r w:rsidRPr="00E114F1">
              <w:rPr>
                <w:lang w:val="sk-SK"/>
              </w:rPr>
              <w:t>Klebsiella oxytoca</w:t>
            </w:r>
          </w:p>
          <w:p w14:paraId="0C1FE514" w14:textId="77777777" w:rsidR="009E6B93" w:rsidRPr="00E114F1" w:rsidRDefault="009E6B93" w:rsidP="00733FA5">
            <w:pPr>
              <w:pStyle w:val="Bacil"/>
              <w:rPr>
                <w:lang w:val="sk-SK"/>
              </w:rPr>
            </w:pPr>
            <w:r w:rsidRPr="00E114F1">
              <w:rPr>
                <w:lang w:val="sk-SK"/>
              </w:rPr>
              <w:t>Klebsiella pneumoniae*</w:t>
            </w:r>
          </w:p>
          <w:p w14:paraId="3EA3D86D" w14:textId="77777777" w:rsidR="009E6B93" w:rsidRPr="00E114F1" w:rsidRDefault="009E6B93" w:rsidP="00733FA5">
            <w:pPr>
              <w:pStyle w:val="Bacil"/>
              <w:rPr>
                <w:lang w:val="sk-SK"/>
              </w:rPr>
            </w:pPr>
            <w:r w:rsidRPr="00E114F1">
              <w:rPr>
                <w:lang w:val="sk-SK"/>
              </w:rPr>
              <w:t>Morganella morganii*</w:t>
            </w:r>
          </w:p>
          <w:p w14:paraId="2EB2B53A" w14:textId="77777777" w:rsidR="009E6B93" w:rsidRPr="00E114F1" w:rsidRDefault="009E6B93" w:rsidP="00733FA5">
            <w:pPr>
              <w:pStyle w:val="Bacil"/>
              <w:rPr>
                <w:lang w:val="sk-SK"/>
              </w:rPr>
            </w:pPr>
            <w:r w:rsidRPr="00E114F1">
              <w:rPr>
                <w:lang w:val="sk-SK"/>
              </w:rPr>
              <w:t>Neisseria gonorrhoeae*</w:t>
            </w:r>
          </w:p>
          <w:p w14:paraId="18DF2D91" w14:textId="77777777" w:rsidR="009E6B93" w:rsidRPr="00E114F1" w:rsidRDefault="009E6B93" w:rsidP="00733FA5">
            <w:pPr>
              <w:pStyle w:val="Bacil"/>
              <w:rPr>
                <w:lang w:val="sk-SK"/>
              </w:rPr>
            </w:pPr>
            <w:r w:rsidRPr="00E114F1">
              <w:rPr>
                <w:lang w:val="sk-SK"/>
              </w:rPr>
              <w:t>Proteus mirabilis*</w:t>
            </w:r>
          </w:p>
          <w:p w14:paraId="44E3CFB2" w14:textId="77777777" w:rsidR="009E6B93" w:rsidRPr="00E114F1" w:rsidRDefault="009E6B93" w:rsidP="00733FA5">
            <w:pPr>
              <w:pStyle w:val="Bacil"/>
              <w:rPr>
                <w:lang w:val="sk-SK"/>
              </w:rPr>
            </w:pPr>
            <w:r w:rsidRPr="00E114F1">
              <w:rPr>
                <w:lang w:val="sk-SK"/>
              </w:rPr>
              <w:t>Proteus vulgaris*</w:t>
            </w:r>
          </w:p>
          <w:p w14:paraId="72A3A618" w14:textId="77777777" w:rsidR="009E6B93" w:rsidRPr="00E114F1" w:rsidRDefault="009E6B93" w:rsidP="00733FA5">
            <w:pPr>
              <w:pStyle w:val="Bacil"/>
              <w:rPr>
                <w:lang w:val="sk-SK"/>
              </w:rPr>
            </w:pPr>
            <w:r w:rsidRPr="00E114F1">
              <w:rPr>
                <w:lang w:val="sk-SK"/>
              </w:rPr>
              <w:t>Providencia spp.</w:t>
            </w:r>
          </w:p>
          <w:p w14:paraId="0B27DD09" w14:textId="77777777" w:rsidR="009E6B93" w:rsidRPr="00E114F1" w:rsidRDefault="009E6B93" w:rsidP="00733FA5">
            <w:pPr>
              <w:pStyle w:val="Bacil"/>
              <w:rPr>
                <w:lang w:val="sk-SK"/>
              </w:rPr>
            </w:pPr>
            <w:r w:rsidRPr="00E114F1">
              <w:rPr>
                <w:lang w:val="sk-SK"/>
              </w:rPr>
              <w:t>Pseudomonas aeruginosa*</w:t>
            </w:r>
          </w:p>
          <w:p w14:paraId="13574E8E" w14:textId="77777777" w:rsidR="009E6B93" w:rsidRPr="00E114F1" w:rsidRDefault="009E6B93" w:rsidP="00733FA5">
            <w:pPr>
              <w:pStyle w:val="Bacil"/>
              <w:rPr>
                <w:lang w:val="sk-SK"/>
              </w:rPr>
            </w:pPr>
            <w:r w:rsidRPr="00E114F1">
              <w:rPr>
                <w:lang w:val="sk-SK"/>
              </w:rPr>
              <w:t>Pseudomonas fluorescens</w:t>
            </w:r>
          </w:p>
          <w:p w14:paraId="176D5E7A" w14:textId="77777777" w:rsidR="009E6B93" w:rsidRPr="00E114F1" w:rsidRDefault="009E6B93" w:rsidP="00733FA5">
            <w:pPr>
              <w:pStyle w:val="Bacil"/>
              <w:rPr>
                <w:u w:val="single"/>
                <w:lang w:val="sk-SK"/>
              </w:rPr>
            </w:pPr>
            <w:r w:rsidRPr="00E114F1">
              <w:rPr>
                <w:lang w:val="sk-SK"/>
              </w:rPr>
              <w:t>Serratia marcescens*</w:t>
            </w:r>
          </w:p>
        </w:tc>
      </w:tr>
      <w:tr w:rsidR="009E6B93" w:rsidRPr="00E114F1" w14:paraId="1D788913" w14:textId="77777777" w:rsidTr="009E6B93">
        <w:trPr>
          <w:trHeight w:val="705"/>
        </w:trPr>
        <w:tc>
          <w:tcPr>
            <w:tcW w:w="8730" w:type="dxa"/>
          </w:tcPr>
          <w:p w14:paraId="55AE0CDD" w14:textId="77777777" w:rsidR="009E6B93" w:rsidRPr="00E114F1" w:rsidRDefault="009E6B93" w:rsidP="00F91CB2">
            <w:pPr>
              <w:pStyle w:val="Styl30"/>
            </w:pPr>
            <w:r w:rsidRPr="00E114F1">
              <w:lastRenderedPageBreak/>
              <w:t>Anaeróbne mikroorganizmy</w:t>
            </w:r>
          </w:p>
          <w:p w14:paraId="11306536" w14:textId="77777777" w:rsidR="009E6B93" w:rsidRPr="00E114F1" w:rsidRDefault="009E6B93" w:rsidP="00733FA5">
            <w:pPr>
              <w:pStyle w:val="Bacil"/>
              <w:rPr>
                <w:lang w:val="sk-SK"/>
              </w:rPr>
            </w:pPr>
            <w:r w:rsidRPr="00E114F1">
              <w:rPr>
                <w:lang w:val="sk-SK"/>
              </w:rPr>
              <w:t>Peptostreptococcus spp.</w:t>
            </w:r>
          </w:p>
          <w:p w14:paraId="08A783D0" w14:textId="77777777" w:rsidR="009E6B93" w:rsidRPr="00E114F1" w:rsidRDefault="009E6B93" w:rsidP="00733FA5">
            <w:pPr>
              <w:pStyle w:val="Bacil"/>
              <w:rPr>
                <w:lang w:val="sk-SK"/>
              </w:rPr>
            </w:pPr>
            <w:r w:rsidRPr="00E114F1">
              <w:rPr>
                <w:lang w:val="sk-SK"/>
              </w:rPr>
              <w:t>Propionibacterium acnes</w:t>
            </w:r>
          </w:p>
        </w:tc>
      </w:tr>
      <w:tr w:rsidR="009E6B93" w:rsidRPr="00E114F1" w14:paraId="15E1ACF5" w14:textId="77777777" w:rsidTr="009E6B93">
        <w:tc>
          <w:tcPr>
            <w:tcW w:w="8730" w:type="dxa"/>
          </w:tcPr>
          <w:p w14:paraId="342F4E75" w14:textId="77777777" w:rsidR="009E6B93" w:rsidRPr="00E114F1" w:rsidRDefault="00E74738" w:rsidP="007049B5">
            <w:pPr>
              <w:rPr>
                <w:b/>
              </w:rPr>
            </w:pPr>
            <w:r w:rsidRPr="00E114F1">
              <w:rPr>
                <w:b/>
              </w:rPr>
              <w:t>SPRAVIDLA REZISTENTNÉ ORGANIZMY</w:t>
            </w:r>
          </w:p>
        </w:tc>
      </w:tr>
      <w:tr w:rsidR="009E6B93" w:rsidRPr="00E114F1" w14:paraId="09CC84B3" w14:textId="77777777" w:rsidTr="009E6B93">
        <w:trPr>
          <w:trHeight w:val="274"/>
        </w:trPr>
        <w:tc>
          <w:tcPr>
            <w:tcW w:w="8730" w:type="dxa"/>
          </w:tcPr>
          <w:p w14:paraId="0DB4ED4D" w14:textId="77777777" w:rsidR="009E6B93" w:rsidRPr="00E114F1" w:rsidRDefault="009E6B93" w:rsidP="00F91CB2">
            <w:pPr>
              <w:pStyle w:val="Styl30"/>
            </w:pPr>
            <w:r w:rsidRPr="00E114F1">
              <w:t>Aeróbne grampozitívne mikroorganizmy</w:t>
            </w:r>
          </w:p>
          <w:p w14:paraId="71006296" w14:textId="77777777" w:rsidR="009E6B93" w:rsidRPr="00E114F1" w:rsidRDefault="009E6B93" w:rsidP="00733FA5">
            <w:pPr>
              <w:pStyle w:val="Bacil"/>
              <w:rPr>
                <w:lang w:val="sk-SK"/>
              </w:rPr>
            </w:pPr>
            <w:r w:rsidRPr="00E114F1">
              <w:rPr>
                <w:lang w:val="sk-SK"/>
              </w:rPr>
              <w:t>Actinomyces</w:t>
            </w:r>
          </w:p>
          <w:p w14:paraId="36D2F680" w14:textId="77777777" w:rsidR="009E6B93" w:rsidRPr="00E114F1" w:rsidRDefault="009E6B93" w:rsidP="00733FA5">
            <w:pPr>
              <w:pStyle w:val="Bacil"/>
              <w:rPr>
                <w:lang w:val="sk-SK"/>
              </w:rPr>
            </w:pPr>
            <w:r w:rsidRPr="00E114F1">
              <w:rPr>
                <w:lang w:val="sk-SK"/>
              </w:rPr>
              <w:t>Enteroccus faecium</w:t>
            </w:r>
          </w:p>
          <w:p w14:paraId="56475674" w14:textId="77777777" w:rsidR="009E6B93" w:rsidRPr="00E114F1" w:rsidRDefault="009E6B93" w:rsidP="00733FA5">
            <w:pPr>
              <w:pStyle w:val="Bacil"/>
              <w:rPr>
                <w:lang w:val="sk-SK"/>
              </w:rPr>
            </w:pPr>
            <w:r w:rsidRPr="00E114F1">
              <w:rPr>
                <w:lang w:val="sk-SK"/>
              </w:rPr>
              <w:t>Listeria monocytogenes</w:t>
            </w:r>
          </w:p>
        </w:tc>
      </w:tr>
      <w:tr w:rsidR="009E6B93" w:rsidRPr="00E114F1" w14:paraId="6BF9827F" w14:textId="77777777" w:rsidTr="009E6B93">
        <w:trPr>
          <w:trHeight w:val="500"/>
        </w:trPr>
        <w:tc>
          <w:tcPr>
            <w:tcW w:w="8730" w:type="dxa"/>
          </w:tcPr>
          <w:p w14:paraId="060B715E" w14:textId="77777777" w:rsidR="009E6B93" w:rsidRPr="00E114F1" w:rsidRDefault="009E6B93" w:rsidP="00F91CB2">
            <w:pPr>
              <w:pStyle w:val="Styl30"/>
            </w:pPr>
            <w:r w:rsidRPr="00E114F1">
              <w:t>Aeróbne gramnegatívne mikroorganizmy</w:t>
            </w:r>
          </w:p>
          <w:p w14:paraId="0008C851" w14:textId="77777777" w:rsidR="009E6B93" w:rsidRPr="00E114F1" w:rsidRDefault="009E6B93" w:rsidP="00733FA5">
            <w:pPr>
              <w:pStyle w:val="Bacil"/>
              <w:rPr>
                <w:u w:val="single"/>
                <w:lang w:val="sk-SK"/>
              </w:rPr>
            </w:pPr>
            <w:r w:rsidRPr="00E114F1">
              <w:rPr>
                <w:lang w:val="sk-SK"/>
              </w:rPr>
              <w:t>Stenotrophomonas maltophilia</w:t>
            </w:r>
          </w:p>
        </w:tc>
      </w:tr>
      <w:tr w:rsidR="009E6B93" w:rsidRPr="00E114F1" w14:paraId="69F6200C" w14:textId="77777777" w:rsidTr="009E6B93">
        <w:trPr>
          <w:trHeight w:val="520"/>
        </w:trPr>
        <w:tc>
          <w:tcPr>
            <w:tcW w:w="8730" w:type="dxa"/>
          </w:tcPr>
          <w:p w14:paraId="5E102F62" w14:textId="77777777" w:rsidR="009E6B93" w:rsidRPr="00E114F1" w:rsidRDefault="009E6B93" w:rsidP="00F91CB2">
            <w:pPr>
              <w:pStyle w:val="Styl30"/>
            </w:pPr>
            <w:r w:rsidRPr="00E114F1">
              <w:t>Anaeróbne mikroorganizmy</w:t>
            </w:r>
          </w:p>
          <w:p w14:paraId="2DF6A3C9" w14:textId="77777777" w:rsidR="009E6B93" w:rsidRPr="00E114F1" w:rsidRDefault="009E6B93" w:rsidP="00733FA5">
            <w:pPr>
              <w:pStyle w:val="Normlndobloku"/>
              <w:rPr>
                <w:u w:val="single"/>
                <w:lang w:val="sk-SK"/>
              </w:rPr>
            </w:pPr>
            <w:r w:rsidRPr="00E114F1">
              <w:rPr>
                <w:lang w:val="sk-SK"/>
              </w:rPr>
              <w:t xml:space="preserve">Okrem, tých ako sú uvedené </w:t>
            </w:r>
            <w:r w:rsidRPr="00E114F1">
              <w:rPr>
                <w:iCs/>
                <w:lang w:val="sk-SK"/>
              </w:rPr>
              <w:t xml:space="preserve">vyššie </w:t>
            </w:r>
          </w:p>
        </w:tc>
      </w:tr>
      <w:tr w:rsidR="009E6B93" w:rsidRPr="00E114F1" w14:paraId="42816273" w14:textId="77777777" w:rsidTr="009E6B93">
        <w:trPr>
          <w:trHeight w:val="429"/>
        </w:trPr>
        <w:tc>
          <w:tcPr>
            <w:tcW w:w="8730" w:type="dxa"/>
          </w:tcPr>
          <w:p w14:paraId="223857E2" w14:textId="77777777" w:rsidR="009E6B93" w:rsidRPr="00E114F1" w:rsidRDefault="009E6B93" w:rsidP="00F91CB2">
            <w:pPr>
              <w:pStyle w:val="Styl30"/>
            </w:pPr>
            <w:r w:rsidRPr="00E114F1">
              <w:t>Iné mikroorganizmy</w:t>
            </w:r>
          </w:p>
          <w:p w14:paraId="669045AD" w14:textId="77777777" w:rsidR="009E6B93" w:rsidRPr="00E114F1" w:rsidRDefault="009E6B93" w:rsidP="00733FA5">
            <w:pPr>
              <w:pStyle w:val="Bacil"/>
              <w:rPr>
                <w:lang w:val="sk-SK"/>
              </w:rPr>
            </w:pPr>
            <w:r w:rsidRPr="00E114F1">
              <w:rPr>
                <w:lang w:val="sk-SK"/>
              </w:rPr>
              <w:t>Mycoplasma genitalium</w:t>
            </w:r>
          </w:p>
          <w:p w14:paraId="47CDF01D" w14:textId="77777777" w:rsidR="009E6B93" w:rsidRPr="00E114F1" w:rsidRDefault="009E6B93" w:rsidP="00733FA5">
            <w:pPr>
              <w:pStyle w:val="Bacil"/>
              <w:rPr>
                <w:u w:val="single"/>
                <w:lang w:val="sk-SK"/>
              </w:rPr>
            </w:pPr>
            <w:r w:rsidRPr="00E114F1">
              <w:rPr>
                <w:lang w:val="sk-SK"/>
              </w:rPr>
              <w:t xml:space="preserve">Ureaplasma urealitycum </w:t>
            </w:r>
          </w:p>
        </w:tc>
      </w:tr>
      <w:tr w:rsidR="009E6B93" w:rsidRPr="00E114F1" w14:paraId="67F10441" w14:textId="77777777" w:rsidTr="009E6B93">
        <w:tc>
          <w:tcPr>
            <w:tcW w:w="8730" w:type="dxa"/>
          </w:tcPr>
          <w:p w14:paraId="78AAAE6A" w14:textId="77777777" w:rsidR="009E6B93" w:rsidRPr="00E114F1" w:rsidRDefault="009E6B93" w:rsidP="007049B5">
            <w:r w:rsidRPr="00E114F1">
              <w:t>*</w:t>
            </w:r>
            <w:r w:rsidR="00FE67CF" w:rsidRPr="00E114F1">
              <w:t xml:space="preserve"> </w:t>
            </w:r>
            <w:r w:rsidRPr="00E114F1">
              <w:t>Klinická účinnosť bola dokázaná pre citlivé izoláty v schválených klinických indikáciách.</w:t>
            </w:r>
          </w:p>
          <w:p w14:paraId="46F21424" w14:textId="77777777" w:rsidR="009E6B93" w:rsidRPr="00E114F1" w:rsidRDefault="009E6B93" w:rsidP="007049B5">
            <w:r w:rsidRPr="00E114F1">
              <w:t>+</w:t>
            </w:r>
            <w:r w:rsidRPr="00E114F1">
              <w:tab/>
              <w:t>Miera rezistencie ≥ 50 % v</w:t>
            </w:r>
            <w:r w:rsidR="009736C1" w:rsidRPr="00E114F1">
              <w:t> </w:t>
            </w:r>
            <w:r w:rsidRPr="00E114F1">
              <w:t>jednej alebo viacerých krajinách EU</w:t>
            </w:r>
          </w:p>
          <w:p w14:paraId="4FFB77D4" w14:textId="77777777" w:rsidR="009E6B93" w:rsidRPr="00E114F1" w:rsidRDefault="009E6B93" w:rsidP="007049B5">
            <w:r w:rsidRPr="00E114F1">
              <w:t>($):</w:t>
            </w:r>
            <w:r w:rsidRPr="00E114F1">
              <w:tab/>
              <w:t>Prirodzená stredná citlivosť bez prítomnosti získaného mechanizmu rezistencie</w:t>
            </w:r>
          </w:p>
          <w:p w14:paraId="7D30D62E" w14:textId="77777777" w:rsidR="009E6B93" w:rsidRPr="00E114F1" w:rsidRDefault="009E6B93" w:rsidP="007049B5">
            <w:r w:rsidRPr="00E114F1">
              <w:t>(1):</w:t>
            </w:r>
            <w:r w:rsidRPr="00E114F1">
              <w:tab/>
              <w:t xml:space="preserve">Z dôvodu inhalácií spór </w:t>
            </w:r>
            <w:r w:rsidRPr="00E114F1">
              <w:rPr>
                <w:rStyle w:val="BacilChar"/>
              </w:rPr>
              <w:t xml:space="preserve">Bacillus anthracis </w:t>
            </w:r>
            <w:r w:rsidRPr="00E114F1">
              <w:t xml:space="preserve">sa vykonali štúdie experimentálnych infekcií zvierat; tieto štúdie odhalili, že nasadenie antibiotík skoro po expozícii zabraňuje výskytu ochorenia, ak sa liečba zameria na zníženie počtu spór v organizme pod infekčnú dávku. Odporúčané použitie u ľudí sa zakladá primárne na </w:t>
            </w:r>
            <w:r w:rsidRPr="00E114F1">
              <w:rPr>
                <w:rStyle w:val="BacilChar"/>
              </w:rPr>
              <w:t>in-vitro</w:t>
            </w:r>
            <w:r w:rsidRPr="00E114F1">
              <w:t xml:space="preserve"> citlivosti a na experimentálnych údajoch na zvieratách spolu s obmedzenými údajmi u ľudí. Dvojmesačná liečba u dospelých s perorálne podávaným ciprofloxacínom v dávke 500 mg dvakrát denne sa považuje za účinnú prevenciu infekcie antraxom u ľudí. Ošetrujúci lekár má zohľadniť národné alebo medzinárodné konsenzuálne dokumenty ohľadom liečby antraxu.</w:t>
            </w:r>
          </w:p>
          <w:p w14:paraId="55959E91" w14:textId="77777777" w:rsidR="009E6B93" w:rsidRPr="00E114F1" w:rsidRDefault="009E6B93" w:rsidP="007049B5">
            <w:pPr>
              <w:rPr>
                <w:b/>
                <w:bCs/>
                <w:i/>
                <w:iCs/>
                <w:u w:val="single"/>
              </w:rPr>
            </w:pPr>
            <w:r w:rsidRPr="00E114F1">
              <w:t>(2):</w:t>
            </w:r>
            <w:r w:rsidRPr="00E114F1">
              <w:tab/>
            </w:r>
            <w:r w:rsidRPr="00E114F1">
              <w:rPr>
                <w:rStyle w:val="BacilChar"/>
              </w:rPr>
              <w:t>S. aureus</w:t>
            </w:r>
            <w:r w:rsidRPr="00E114F1">
              <w:t xml:space="preserve"> rezistentný na meticilín veľmi často vykazuje súbežnú rezistenciu na fluorochinolóny. Miera rezistencie na meticilín je asi 20 až 50 % u všetkých druhov stafylokokov a je zvyčajne vyššia u nemocničných izolátov.</w:t>
            </w:r>
          </w:p>
        </w:tc>
      </w:tr>
    </w:tbl>
    <w:p w14:paraId="243D1AD1" w14:textId="77777777" w:rsidR="009E6B93" w:rsidRPr="00E114F1" w:rsidRDefault="009E6B93" w:rsidP="007049B5"/>
    <w:p w14:paraId="573A784D" w14:textId="77777777" w:rsidR="009E6B93" w:rsidRPr="00E114F1" w:rsidRDefault="009E6B93" w:rsidP="00DB0C1E">
      <w:pPr>
        <w:pStyle w:val="Styl2"/>
        <w:rPr>
          <w:lang w:val="sk-SK"/>
        </w:rPr>
      </w:pPr>
      <w:r w:rsidRPr="00E114F1">
        <w:rPr>
          <w:lang w:val="sk-SK"/>
        </w:rPr>
        <w:t>Farmakokinetické vlastnosti</w:t>
      </w:r>
    </w:p>
    <w:p w14:paraId="7925FA89" w14:textId="77777777" w:rsidR="009E6B93" w:rsidRPr="00E114F1" w:rsidRDefault="009E6B93" w:rsidP="00F91CB2">
      <w:pPr>
        <w:pStyle w:val="Styl30"/>
      </w:pPr>
      <w:r w:rsidRPr="00E114F1">
        <w:t>Absorpcia</w:t>
      </w:r>
    </w:p>
    <w:p w14:paraId="41094E6F" w14:textId="77777777" w:rsidR="009E6B93" w:rsidRPr="00E114F1" w:rsidRDefault="009E6B93" w:rsidP="00DB0C1E">
      <w:pPr>
        <w:pStyle w:val="Normlndobloku"/>
        <w:rPr>
          <w:lang w:val="sk-SK"/>
        </w:rPr>
      </w:pPr>
      <w:r w:rsidRPr="00E114F1">
        <w:rPr>
          <w:lang w:val="sk-SK"/>
        </w:rPr>
        <w:lastRenderedPageBreak/>
        <w:t>Po perorálnom podaní jednorazových dávok tabliet 250 mg, 500 mg a 750 mg ciprofloxacínu sa ciprofloxacín rýchlo a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rozsiahle vstrebáva predovšetkým z tenkého čreva, maximálne koncentrácie v sére sa dosahujú o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1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noBreakHyphen/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2 hodiny neskôr.</w:t>
      </w:r>
    </w:p>
    <w:p w14:paraId="1D12CB1F" w14:textId="77777777" w:rsidR="009E6B93" w:rsidRPr="00E114F1" w:rsidRDefault="009E6B93" w:rsidP="00DB0C1E">
      <w:pPr>
        <w:pStyle w:val="Normlndobloku"/>
        <w:rPr>
          <w:lang w:val="sk-SK"/>
        </w:rPr>
      </w:pPr>
      <w:r w:rsidRPr="00E114F1">
        <w:rPr>
          <w:lang w:val="sk-SK"/>
        </w:rPr>
        <w:t>Jednorazové dávky 100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-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750 mg viedli k maximálnym koncentráciám v sére v závislosti od dávky (C</w:t>
      </w:r>
      <w:r w:rsidRPr="00E114F1">
        <w:rPr>
          <w:vertAlign w:val="subscript"/>
          <w:lang w:val="sk-SK"/>
        </w:rPr>
        <w:t>max</w:t>
      </w:r>
      <w:r w:rsidRPr="00E114F1">
        <w:rPr>
          <w:lang w:val="sk-SK"/>
        </w:rPr>
        <w:t>) v rozmedzí 0,56 až 3,7 mg/l. Koncentrácie v sére sa zvyšujú úmerne s dávkami až do 1 000 mg.</w:t>
      </w:r>
    </w:p>
    <w:p w14:paraId="75073315" w14:textId="77777777" w:rsidR="009E6B93" w:rsidRPr="00E114F1" w:rsidRDefault="009E6B93" w:rsidP="00DB0C1E">
      <w:pPr>
        <w:pStyle w:val="Normlndobloku"/>
        <w:rPr>
          <w:lang w:val="sk-SK"/>
        </w:rPr>
      </w:pPr>
      <w:r w:rsidRPr="00E114F1">
        <w:rPr>
          <w:lang w:val="sk-SK"/>
        </w:rPr>
        <w:t>Absolútna biologická dostupnosť je približne 70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-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80 %.</w:t>
      </w:r>
    </w:p>
    <w:p w14:paraId="303FB021" w14:textId="77777777" w:rsidR="009E6B93" w:rsidRPr="00E114F1" w:rsidRDefault="009E6B93" w:rsidP="00DB0C1E">
      <w:pPr>
        <w:pStyle w:val="Normlndobloku"/>
        <w:rPr>
          <w:lang w:val="sk-SK"/>
        </w:rPr>
      </w:pPr>
      <w:r w:rsidRPr="00E114F1">
        <w:rPr>
          <w:lang w:val="sk-SK"/>
        </w:rPr>
        <w:t>Dokázalo sa, že perorálna dávka 500 mg podávaná každých 12 hodín viedla k vzniku plochy pod krivkou koncentrácie v sére v závislosti od času (AUC) ekvivalentnej tej, ktorá sa vytvorila po intravenóznej infúzii 400 mg ciprofloxacínu podávanej počas 60 minút každých 12 hodín.</w:t>
      </w:r>
    </w:p>
    <w:p w14:paraId="1654B370" w14:textId="77777777" w:rsidR="009E6B93" w:rsidRPr="00E114F1" w:rsidRDefault="009E6B93" w:rsidP="00F91CB2">
      <w:pPr>
        <w:pStyle w:val="Styl30"/>
      </w:pPr>
      <w:r w:rsidRPr="00E114F1">
        <w:t>Distribúcia</w:t>
      </w:r>
    </w:p>
    <w:p w14:paraId="4A74942C" w14:textId="77777777" w:rsidR="009E6B93" w:rsidRPr="00E114F1" w:rsidRDefault="009E6B93" w:rsidP="00DB0C1E">
      <w:pPr>
        <w:pStyle w:val="Normlndobloku"/>
        <w:rPr>
          <w:iCs/>
          <w:lang w:val="sk-SK"/>
        </w:rPr>
      </w:pPr>
      <w:r w:rsidRPr="00E114F1">
        <w:rPr>
          <w:lang w:val="sk-SK"/>
        </w:rPr>
        <w:t>Väzba ciprofloxacínu na bielkoviny je nízka (20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–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30 %). Ciprofloxacín je v plazme prítomný predovšetkým v neionizovanej forme a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má rozsiahly objem distribúcie v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rovnovážnom stave 2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-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 xml:space="preserve">3 l/kg telesnej hmotnosti. </w:t>
      </w:r>
      <w:r w:rsidRPr="00E114F1">
        <w:rPr>
          <w:iCs/>
          <w:lang w:val="sk-SK"/>
        </w:rPr>
        <w:t>Ciprofloxacín dosahuje vysoké koncentrácie v rôznych tkanivách, ako sú pľúca (epitelová tekutina, alveolárne makrofágy, bioptické tkanivo), v</w:t>
      </w:r>
      <w:r w:rsidR="00B84C03" w:rsidRPr="00E114F1">
        <w:rPr>
          <w:iCs/>
          <w:lang w:val="sk-SK"/>
        </w:rPr>
        <w:t> </w:t>
      </w:r>
      <w:r w:rsidRPr="00E114F1">
        <w:rPr>
          <w:iCs/>
          <w:lang w:val="sk-SK"/>
        </w:rPr>
        <w:t>dutinách, zápalových léziách (tekutina pľuzgierov spôsobených španielskou muškou) a</w:t>
      </w:r>
      <w:r w:rsidR="00B84C03" w:rsidRPr="00E114F1">
        <w:rPr>
          <w:iCs/>
          <w:lang w:val="sk-SK"/>
        </w:rPr>
        <w:t> </w:t>
      </w:r>
      <w:r w:rsidRPr="00E114F1">
        <w:rPr>
          <w:iCs/>
          <w:lang w:val="sk-SK"/>
        </w:rPr>
        <w:t>v urogenitálnom trakte (moč, prostata, endometrium), kde sa dosahujú celkové koncentrácie prekračujúce koncentrácie v plazme.</w:t>
      </w:r>
    </w:p>
    <w:p w14:paraId="75653692" w14:textId="77777777" w:rsidR="009E6B93" w:rsidRPr="00E114F1" w:rsidRDefault="00B84C03" w:rsidP="004B560C">
      <w:pPr>
        <w:pStyle w:val="Styl30"/>
        <w:keepNext/>
      </w:pPr>
      <w:r w:rsidRPr="00E114F1">
        <w:t>Biotransformácia</w:t>
      </w:r>
    </w:p>
    <w:p w14:paraId="46EB7008" w14:textId="77777777" w:rsidR="009E6B93" w:rsidRPr="00E114F1" w:rsidRDefault="00D83D73" w:rsidP="00DB0C1E">
      <w:pPr>
        <w:pStyle w:val="Normlndobloku"/>
        <w:rPr>
          <w:lang w:val="sk-SK"/>
        </w:rPr>
      </w:pPr>
      <w:r>
        <w:rPr>
          <w:lang w:val="sk-SK"/>
        </w:rPr>
        <w:t>Boli hlásené</w:t>
      </w:r>
      <w:r w:rsidR="009E6B93" w:rsidRPr="00E114F1">
        <w:rPr>
          <w:lang w:val="sk-SK"/>
        </w:rPr>
        <w:t xml:space="preserve"> nízke koncentrácie štyroch metabolitov, ktoré boli identifikované nasledovne: desetylénciprofloxacín (M1), sulfociprofloxacín (M2), oxociprofloxacín (M3) a</w:t>
      </w:r>
      <w:r w:rsidR="00B84C03" w:rsidRPr="00E114F1">
        <w:rPr>
          <w:lang w:val="sk-SK"/>
        </w:rPr>
        <w:t> </w:t>
      </w:r>
      <w:r w:rsidR="009E6B93" w:rsidRPr="00E114F1">
        <w:rPr>
          <w:lang w:val="sk-SK"/>
        </w:rPr>
        <w:t xml:space="preserve">formylciprofloxacín (M4). Metabolity vykazujú </w:t>
      </w:r>
      <w:r w:rsidR="009E6B93" w:rsidRPr="00E114F1">
        <w:rPr>
          <w:rStyle w:val="BacilChar"/>
          <w:lang w:val="sk-SK"/>
        </w:rPr>
        <w:t>in-vitro</w:t>
      </w:r>
      <w:r w:rsidR="009E6B93" w:rsidRPr="00E114F1">
        <w:rPr>
          <w:lang w:val="sk-SK"/>
        </w:rPr>
        <w:t xml:space="preserve"> antimikrobiálnu aktivitu, ale nižšieho stupňa než východisková zlúčenina.</w:t>
      </w:r>
    </w:p>
    <w:p w14:paraId="5135B973" w14:textId="77777777" w:rsidR="009E6B93" w:rsidRPr="00E114F1" w:rsidRDefault="009E6B93" w:rsidP="00813791">
      <w:pPr>
        <w:pStyle w:val="Normlndobloku"/>
        <w:rPr>
          <w:lang w:val="sk-SK"/>
        </w:rPr>
      </w:pPr>
      <w:r w:rsidRPr="00E114F1">
        <w:rPr>
          <w:lang w:val="sk-SK"/>
        </w:rPr>
        <w:t>Ciprofloxacín je známym stredným inhibítorom izo-enzýmov CYP 450 1A2.</w:t>
      </w:r>
    </w:p>
    <w:p w14:paraId="151842C0" w14:textId="77777777" w:rsidR="009E6B93" w:rsidRPr="00E114F1" w:rsidRDefault="009E6B93" w:rsidP="00F91CB2">
      <w:pPr>
        <w:pStyle w:val="Styl30"/>
      </w:pPr>
      <w:r w:rsidRPr="00E114F1">
        <w:t>Eliminácia</w:t>
      </w:r>
    </w:p>
    <w:p w14:paraId="5EC58EA6" w14:textId="77777777" w:rsidR="009E6B93" w:rsidRPr="00E114F1" w:rsidRDefault="009E6B93" w:rsidP="00813791">
      <w:pPr>
        <w:pStyle w:val="Normlndobloku"/>
        <w:rPr>
          <w:lang w:val="sk-SK"/>
        </w:rPr>
      </w:pPr>
      <w:r w:rsidRPr="00E114F1">
        <w:rPr>
          <w:lang w:val="sk-SK"/>
        </w:rPr>
        <w:t>Ciprofloxacín sa vylučuje zväčša v nezmenenej forme obličkami a v menšom rozsahu aj stolicou. Polčas eliminácie v sére u pacientov s normálnou funkciou obličiek je približne 4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-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7 hodín.</w:t>
      </w:r>
    </w:p>
    <w:tbl>
      <w:tblPr>
        <w:tblW w:w="6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30"/>
        <w:gridCol w:w="1440"/>
        <w:gridCol w:w="1467"/>
      </w:tblGrid>
      <w:tr w:rsidR="009E6B93" w:rsidRPr="00E114F1" w14:paraId="47DF3B65" w14:textId="77777777" w:rsidTr="009E6B93">
        <w:trPr>
          <w:jc w:val="center"/>
        </w:trPr>
        <w:tc>
          <w:tcPr>
            <w:tcW w:w="6237" w:type="dxa"/>
            <w:gridSpan w:val="3"/>
          </w:tcPr>
          <w:p w14:paraId="5BFE5A68" w14:textId="77777777" w:rsidR="009E6B93" w:rsidRPr="00E114F1" w:rsidRDefault="009E6B93" w:rsidP="003B49EC">
            <w:pPr>
              <w:rPr>
                <w:b/>
              </w:rPr>
            </w:pPr>
            <w:r w:rsidRPr="00E114F1">
              <w:rPr>
                <w:b/>
              </w:rPr>
              <w:t>Vylučovanie ciprofloxacínu (% z dávky)</w:t>
            </w:r>
          </w:p>
        </w:tc>
      </w:tr>
      <w:tr w:rsidR="009E6B93" w:rsidRPr="00E114F1" w14:paraId="2865E176" w14:textId="77777777" w:rsidTr="009E6B93">
        <w:trPr>
          <w:cantSplit/>
          <w:jc w:val="center"/>
        </w:trPr>
        <w:tc>
          <w:tcPr>
            <w:tcW w:w="3330" w:type="dxa"/>
            <w:vMerge w:val="restart"/>
            <w:vAlign w:val="center"/>
          </w:tcPr>
          <w:p w14:paraId="59F675F2" w14:textId="77777777" w:rsidR="009E6B93" w:rsidRPr="00E114F1" w:rsidRDefault="009E6B93" w:rsidP="003B49EC">
            <w:pPr>
              <w:rPr>
                <w:b/>
              </w:rPr>
            </w:pPr>
          </w:p>
        </w:tc>
        <w:tc>
          <w:tcPr>
            <w:tcW w:w="2907" w:type="dxa"/>
            <w:gridSpan w:val="2"/>
          </w:tcPr>
          <w:p w14:paraId="5F17A01A" w14:textId="77777777" w:rsidR="009E6B93" w:rsidRPr="00E114F1" w:rsidRDefault="009E6B93" w:rsidP="003B49EC">
            <w:pPr>
              <w:rPr>
                <w:b/>
              </w:rPr>
            </w:pPr>
            <w:r w:rsidRPr="00E114F1">
              <w:rPr>
                <w:b/>
              </w:rPr>
              <w:t>Perorálne podávanie</w:t>
            </w:r>
          </w:p>
        </w:tc>
      </w:tr>
      <w:tr w:rsidR="009E6B93" w:rsidRPr="00E114F1" w14:paraId="3E2E5DFF" w14:textId="77777777" w:rsidTr="009E6B93">
        <w:trPr>
          <w:cantSplit/>
          <w:jc w:val="center"/>
        </w:trPr>
        <w:tc>
          <w:tcPr>
            <w:tcW w:w="3330" w:type="dxa"/>
            <w:vMerge/>
          </w:tcPr>
          <w:p w14:paraId="67872170" w14:textId="77777777" w:rsidR="009E6B93" w:rsidRPr="00E114F1" w:rsidRDefault="009E6B93" w:rsidP="003B49EC">
            <w:pPr>
              <w:rPr>
                <w:b/>
              </w:rPr>
            </w:pPr>
          </w:p>
        </w:tc>
        <w:tc>
          <w:tcPr>
            <w:tcW w:w="1440" w:type="dxa"/>
          </w:tcPr>
          <w:p w14:paraId="461AC105" w14:textId="77777777" w:rsidR="009E6B93" w:rsidRPr="00E114F1" w:rsidRDefault="009E6B93" w:rsidP="003B49EC">
            <w:pPr>
              <w:rPr>
                <w:b/>
              </w:rPr>
            </w:pPr>
            <w:r w:rsidRPr="00E114F1">
              <w:rPr>
                <w:b/>
              </w:rPr>
              <w:t>Moč</w:t>
            </w:r>
          </w:p>
        </w:tc>
        <w:tc>
          <w:tcPr>
            <w:tcW w:w="1467" w:type="dxa"/>
          </w:tcPr>
          <w:p w14:paraId="0B6BB5E9" w14:textId="77777777" w:rsidR="009E6B93" w:rsidRPr="00E114F1" w:rsidRDefault="009E6B93" w:rsidP="003B49EC">
            <w:pPr>
              <w:rPr>
                <w:b/>
              </w:rPr>
            </w:pPr>
            <w:r w:rsidRPr="00E114F1">
              <w:rPr>
                <w:b/>
              </w:rPr>
              <w:t>Stolica</w:t>
            </w:r>
          </w:p>
        </w:tc>
      </w:tr>
      <w:tr w:rsidR="009E6B93" w:rsidRPr="00E114F1" w14:paraId="0468D17A" w14:textId="77777777" w:rsidTr="009E6B93">
        <w:trPr>
          <w:jc w:val="center"/>
        </w:trPr>
        <w:tc>
          <w:tcPr>
            <w:tcW w:w="3330" w:type="dxa"/>
          </w:tcPr>
          <w:p w14:paraId="13D8DBE0" w14:textId="77777777" w:rsidR="009E6B93" w:rsidRPr="00E114F1" w:rsidRDefault="009E6B93" w:rsidP="003B49EC">
            <w:r w:rsidRPr="00E114F1">
              <w:t>Ciprofloxacín</w:t>
            </w:r>
          </w:p>
        </w:tc>
        <w:tc>
          <w:tcPr>
            <w:tcW w:w="1440" w:type="dxa"/>
          </w:tcPr>
          <w:p w14:paraId="0177EADC" w14:textId="77777777" w:rsidR="009E6B93" w:rsidRPr="00E114F1" w:rsidRDefault="009E6B93" w:rsidP="003B49EC">
            <w:r w:rsidRPr="00E114F1">
              <w:t>44,7</w:t>
            </w:r>
          </w:p>
        </w:tc>
        <w:tc>
          <w:tcPr>
            <w:tcW w:w="1467" w:type="dxa"/>
          </w:tcPr>
          <w:p w14:paraId="70799C29" w14:textId="77777777" w:rsidR="009E6B93" w:rsidRPr="00E114F1" w:rsidRDefault="009E6B93" w:rsidP="003B49EC">
            <w:r w:rsidRPr="00E114F1">
              <w:t>25,0</w:t>
            </w:r>
          </w:p>
        </w:tc>
      </w:tr>
      <w:tr w:rsidR="009E6B93" w:rsidRPr="00E114F1" w14:paraId="0AB4872F" w14:textId="77777777" w:rsidTr="009E6B93">
        <w:trPr>
          <w:jc w:val="center"/>
        </w:trPr>
        <w:tc>
          <w:tcPr>
            <w:tcW w:w="3330" w:type="dxa"/>
          </w:tcPr>
          <w:p w14:paraId="4438E8A5" w14:textId="77777777" w:rsidR="009E6B93" w:rsidRPr="00E114F1" w:rsidRDefault="009E6B93" w:rsidP="003B49EC">
            <w:r w:rsidRPr="00E114F1">
              <w:t>Metabolity (M</w:t>
            </w:r>
            <w:r w:rsidRPr="00E114F1">
              <w:rPr>
                <w:vertAlign w:val="subscript"/>
              </w:rPr>
              <w:t>1</w:t>
            </w:r>
            <w:r w:rsidRPr="00E114F1">
              <w:t>–M</w:t>
            </w:r>
            <w:r w:rsidRPr="00E114F1">
              <w:rPr>
                <w:vertAlign w:val="subscript"/>
              </w:rPr>
              <w:t>4</w:t>
            </w:r>
            <w:r w:rsidRPr="00E114F1">
              <w:t>)</w:t>
            </w:r>
          </w:p>
        </w:tc>
        <w:tc>
          <w:tcPr>
            <w:tcW w:w="1440" w:type="dxa"/>
          </w:tcPr>
          <w:p w14:paraId="5641EC0A" w14:textId="77777777" w:rsidR="009E6B93" w:rsidRPr="00E114F1" w:rsidRDefault="009E6B93" w:rsidP="003B49EC">
            <w:r w:rsidRPr="00E114F1">
              <w:t>11,3</w:t>
            </w:r>
          </w:p>
        </w:tc>
        <w:tc>
          <w:tcPr>
            <w:tcW w:w="1467" w:type="dxa"/>
          </w:tcPr>
          <w:p w14:paraId="3A091D44" w14:textId="77777777" w:rsidR="009E6B93" w:rsidRPr="00E114F1" w:rsidRDefault="009E6B93" w:rsidP="003B49EC">
            <w:r w:rsidRPr="00E114F1">
              <w:t>7,5</w:t>
            </w:r>
          </w:p>
        </w:tc>
      </w:tr>
    </w:tbl>
    <w:p w14:paraId="4AB2C282" w14:textId="77777777" w:rsidR="009E6B93" w:rsidRPr="00E114F1" w:rsidRDefault="009E6B93" w:rsidP="003B49EC">
      <w:pPr>
        <w:pStyle w:val="Normlndobloku"/>
        <w:rPr>
          <w:lang w:val="sk-SK"/>
        </w:rPr>
      </w:pPr>
      <w:r w:rsidRPr="00E114F1">
        <w:rPr>
          <w:lang w:val="sk-SK"/>
        </w:rPr>
        <w:t>Obličkový klírens je v rozmedzí 180-3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0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0 ml/kg/h a celkový telesný klírens je v rozmedzí 480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-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600 ml/kg/h. Ciprofloxacín prechádza glomerulárnou filtráciou aj tubulárnou sekréciou. Závažné poškodenie funkcie obličiek vedie k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predĺženiu polčasu vylučovania ciprofloxacínu až na 12 hodín.</w:t>
      </w:r>
    </w:p>
    <w:p w14:paraId="46DCC40D" w14:textId="77777777" w:rsidR="009E6B93" w:rsidRPr="00E114F1" w:rsidRDefault="009E6B93" w:rsidP="003B49EC">
      <w:pPr>
        <w:pStyle w:val="Normlndobloku"/>
        <w:rPr>
          <w:lang w:val="sk-SK"/>
        </w:rPr>
      </w:pPr>
      <w:r w:rsidRPr="00E114F1">
        <w:rPr>
          <w:lang w:val="sk-SK"/>
        </w:rPr>
        <w:t>K neobličkovému klírensu ciprofloxacínu dochádza najmä z dôvodu aktívneho transintestinálneho vylučovania a metabolizmu. 1 % dávky sa vylučuje prostredníctvom žlče. Ciprofloxacín je prítomný v žlči vo vysokých koncentráciách.</w:t>
      </w:r>
    </w:p>
    <w:p w14:paraId="1E5A03DC" w14:textId="77777777" w:rsidR="009E6B93" w:rsidRPr="00E114F1" w:rsidRDefault="009E6B93" w:rsidP="00F91CB2">
      <w:pPr>
        <w:pStyle w:val="Styl30"/>
      </w:pPr>
      <w:r w:rsidRPr="00E114F1">
        <w:t>Pediatrick</w:t>
      </w:r>
      <w:r w:rsidR="00B84C03" w:rsidRPr="00E114F1">
        <w:t>á populácia</w:t>
      </w:r>
    </w:p>
    <w:p w14:paraId="7E52E04A" w14:textId="77777777" w:rsidR="009E6B93" w:rsidRPr="00E114F1" w:rsidRDefault="009E6B93" w:rsidP="00D76715">
      <w:pPr>
        <w:pStyle w:val="Normlndobloku"/>
        <w:rPr>
          <w:lang w:val="sk-SK"/>
        </w:rPr>
      </w:pPr>
      <w:r w:rsidRPr="00E114F1">
        <w:rPr>
          <w:lang w:val="sk-SK"/>
        </w:rPr>
        <w:t>Farmakokinetické údaje u pediatrických pacientov sú obmedzené.</w:t>
      </w:r>
    </w:p>
    <w:p w14:paraId="4C738120" w14:textId="77777777" w:rsidR="009E6B93" w:rsidRPr="00E114F1" w:rsidRDefault="009E6B93" w:rsidP="00D76715">
      <w:pPr>
        <w:pStyle w:val="Normlndobloku"/>
        <w:rPr>
          <w:lang w:val="sk-SK"/>
        </w:rPr>
      </w:pPr>
      <w:r w:rsidRPr="00E114F1">
        <w:rPr>
          <w:lang w:val="sk-SK"/>
        </w:rPr>
        <w:t>V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štúdii s deťmi neboli C</w:t>
      </w:r>
      <w:r w:rsidRPr="00E114F1">
        <w:rPr>
          <w:vertAlign w:val="subscript"/>
          <w:lang w:val="sk-SK"/>
        </w:rPr>
        <w:t xml:space="preserve">max </w:t>
      </w:r>
      <w:r w:rsidRPr="00E114F1">
        <w:rPr>
          <w:lang w:val="sk-SK"/>
        </w:rPr>
        <w:t>a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AUC závislé od veku (staršie ako jeden rok). Po opakovanom dávkovaní (10 mg/kg/trikrát denne) sa pozoroval bezvýznamný nárast C</w:t>
      </w:r>
      <w:r w:rsidRPr="00E114F1">
        <w:rPr>
          <w:vertAlign w:val="subscript"/>
          <w:lang w:val="sk-SK"/>
        </w:rPr>
        <w:t>max</w:t>
      </w:r>
      <w:r w:rsidR="00FE67CF" w:rsidRPr="00E114F1">
        <w:rPr>
          <w:vertAlign w:val="subscript"/>
          <w:lang w:val="sk-SK"/>
        </w:rPr>
        <w:t xml:space="preserve"> </w:t>
      </w:r>
      <w:r w:rsidRPr="00E114F1">
        <w:rPr>
          <w:lang w:val="sk-SK"/>
        </w:rPr>
        <w:t>a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AUC.</w:t>
      </w:r>
    </w:p>
    <w:p w14:paraId="062D876A" w14:textId="77777777" w:rsidR="009E6B93" w:rsidRPr="00E114F1" w:rsidRDefault="009E6B93" w:rsidP="00D76715">
      <w:pPr>
        <w:pStyle w:val="Normlndobloku"/>
        <w:rPr>
          <w:lang w:val="sk-SK"/>
        </w:rPr>
      </w:pPr>
      <w:r w:rsidRPr="00E114F1">
        <w:rPr>
          <w:lang w:val="sk-SK"/>
        </w:rPr>
        <w:t>U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10 detí so závažnou sepsou vo veku menej ako 1 rok bola C</w:t>
      </w:r>
      <w:r w:rsidRPr="00E114F1">
        <w:rPr>
          <w:vertAlign w:val="subscript"/>
          <w:lang w:val="sk-SK"/>
        </w:rPr>
        <w:t xml:space="preserve">max </w:t>
      </w:r>
      <w:r w:rsidRPr="00E114F1">
        <w:rPr>
          <w:lang w:val="sk-SK"/>
        </w:rPr>
        <w:t>6,1 mg/l (rozpätie 4,6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–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8,3 mg/l) po 1 hodinovej intravenóznej infúzii 10 mg/kg v porovnaní so 7,2 mg/l (rozpätie 4,7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–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11,8 mg/l) u detí vo veku od 1 do 5 rokov. Hodnoty AUC boli 17,4 mg*h/l (rozpätie 11,8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–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32,0 mg*h/l) a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16,5 mg*h/l (rozpätie 11,0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noBreakHyphen/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23,8 mg*h/l) v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príslušných vekových skupinách.</w:t>
      </w:r>
    </w:p>
    <w:p w14:paraId="1BB0985F" w14:textId="77777777" w:rsidR="009E6B93" w:rsidRPr="00E114F1" w:rsidRDefault="009E6B93" w:rsidP="00D76715">
      <w:pPr>
        <w:pStyle w:val="Normlndobloku"/>
        <w:rPr>
          <w:lang w:val="sk-SK"/>
        </w:rPr>
      </w:pPr>
      <w:r w:rsidRPr="00E114F1">
        <w:rPr>
          <w:lang w:val="sk-SK"/>
        </w:rPr>
        <w:t>Tieto hodnoty sa nachádzajú v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rámci rozpätia hláseného u dospelých pri terapeutických dávkach. Na základe farmakokinetickej analýzy v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populácii pediatrických pacientov s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rôznymi infekciami je u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 xml:space="preserve">detí </w:t>
      </w:r>
      <w:r w:rsidRPr="00E114F1">
        <w:rPr>
          <w:lang w:val="sk-SK"/>
        </w:rPr>
        <w:lastRenderedPageBreak/>
        <w:t>predpokladaný stredný polčas približne 4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-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5 hodín a biologická dostupnosť perorálnej suspenzie je v rozpätí od 50 až 80 %.</w:t>
      </w:r>
    </w:p>
    <w:p w14:paraId="60D22417" w14:textId="77777777" w:rsidR="009E6B93" w:rsidRPr="00E114F1" w:rsidRDefault="009E6B93" w:rsidP="00D76715">
      <w:pPr>
        <w:pStyle w:val="Styl2"/>
        <w:rPr>
          <w:lang w:val="sk-SK"/>
        </w:rPr>
      </w:pPr>
      <w:r w:rsidRPr="00E114F1">
        <w:rPr>
          <w:lang w:val="sk-SK"/>
        </w:rPr>
        <w:t>Predklinické údaje o bezpečnosti</w:t>
      </w:r>
    </w:p>
    <w:p w14:paraId="78BF6D4E" w14:textId="77777777" w:rsidR="009E6B93" w:rsidRPr="00E114F1" w:rsidRDefault="009E6B93" w:rsidP="00D76715">
      <w:pPr>
        <w:pStyle w:val="Normlndobloku"/>
        <w:rPr>
          <w:lang w:val="sk-SK"/>
        </w:rPr>
      </w:pPr>
      <w:r w:rsidRPr="00E114F1">
        <w:rPr>
          <w:lang w:val="sk-SK"/>
        </w:rPr>
        <w:t>Predklinické údaje získané na základe obvyklých štúdií toxicity po jednorazovej dávke, toxicity po opakovanom podávaní, karcinogénneho potenciálu alebo reprodukčnej toxicity neodhalili žiadne osobitné riziko pre ľudí.</w:t>
      </w:r>
    </w:p>
    <w:p w14:paraId="62D13934" w14:textId="77777777" w:rsidR="009E6B93" w:rsidRPr="00E114F1" w:rsidRDefault="009E6B93" w:rsidP="00D76715">
      <w:pPr>
        <w:pStyle w:val="Normlndobloku"/>
        <w:rPr>
          <w:lang w:val="sk-SK"/>
        </w:rPr>
      </w:pPr>
      <w:r w:rsidRPr="00E114F1">
        <w:rPr>
          <w:lang w:val="sk-SK"/>
        </w:rPr>
        <w:t xml:space="preserve">Tak ako mnohé iné chinolóny, aj ciprofloxacín je fototoxický na zvieratách pri klinicky významných hladinách expozície. Údaje o fotomutagenicite/fotokarcinogenicite naznačujú slabý fotomutagénny alebo fototumorogénny účinok ciprofloxacínu </w:t>
      </w:r>
      <w:r w:rsidRPr="00E114F1">
        <w:rPr>
          <w:rStyle w:val="BacilChar"/>
          <w:lang w:val="sk-SK"/>
        </w:rPr>
        <w:t>in-vitro</w:t>
      </w:r>
      <w:r w:rsidRPr="00E114F1">
        <w:rPr>
          <w:lang w:val="sk-SK"/>
        </w:rPr>
        <w:t xml:space="preserve"> a v štúdiách na zvieratách. Tento účinok bol porovnateľný s inými inhibítormi gyrázy.</w:t>
      </w:r>
    </w:p>
    <w:p w14:paraId="0F8C6113" w14:textId="77777777" w:rsidR="009E6B93" w:rsidRPr="00E114F1" w:rsidRDefault="009E6B93" w:rsidP="00F91CB2">
      <w:pPr>
        <w:pStyle w:val="Styl30"/>
      </w:pPr>
      <w:r w:rsidRPr="00E114F1">
        <w:t>Štúdie kĺbovej znášanlivosti</w:t>
      </w:r>
    </w:p>
    <w:p w14:paraId="1774DFEF" w14:textId="77777777" w:rsidR="009E6B93" w:rsidRPr="00E114F1" w:rsidRDefault="009E6B93" w:rsidP="00D76715">
      <w:pPr>
        <w:pStyle w:val="Normlndobloku"/>
        <w:rPr>
          <w:lang w:val="sk-SK"/>
        </w:rPr>
      </w:pPr>
      <w:r w:rsidRPr="00E114F1">
        <w:rPr>
          <w:lang w:val="sk-SK"/>
        </w:rPr>
        <w:t>Tak ako sa hlásilo pre iné inhibítory gyrázy, aj ciprofloxacín spôsobuje poškodenie veľkých nosných kĺbov u nedospelých zvierat. Stupeň poškodenia chrupky sa mení podľa veku, druhu a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dávky. Poškodenie môže byť obmedzené znížením zaťaženia kĺbov. V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štúdiách na dospelých zvieratách (potkany, psy) sa neodhalili žiadne znaky poškodenia chrupiek. V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štúdii s mladými psami beagle ciprofloxacín spôsobil závažné kĺbové zmeny pri terapeutických dávkach po dvoch týždňoch liečby, ktoré boli pozorovateľné ešte po 5 mesiacoch.</w:t>
      </w:r>
    </w:p>
    <w:p w14:paraId="79BF98FB" w14:textId="77777777" w:rsidR="00FE67CF" w:rsidRPr="00E114F1" w:rsidRDefault="000C3C2C" w:rsidP="00405A33">
      <w:pPr>
        <w:pStyle w:val="Styl1"/>
        <w:rPr>
          <w:lang w:val="sk-SK"/>
        </w:rPr>
      </w:pPr>
      <w:r w:rsidRPr="00E114F1">
        <w:rPr>
          <w:lang w:val="sk-SK"/>
        </w:rPr>
        <w:t>FARMACEUTICKÉ INFORMÁCIE</w:t>
      </w:r>
    </w:p>
    <w:p w14:paraId="465CC820" w14:textId="77777777" w:rsidR="00FE67CF" w:rsidRPr="00E114F1" w:rsidRDefault="000C3C2C" w:rsidP="003B49EC">
      <w:pPr>
        <w:pStyle w:val="Styl2"/>
        <w:rPr>
          <w:lang w:val="sk-SK"/>
        </w:rPr>
      </w:pPr>
      <w:r w:rsidRPr="00E114F1">
        <w:rPr>
          <w:lang w:val="sk-SK"/>
        </w:rPr>
        <w:t>Zoznam pomocných látok</w:t>
      </w:r>
    </w:p>
    <w:p w14:paraId="70763FAD" w14:textId="77777777" w:rsidR="006564D4" w:rsidRPr="00E114F1" w:rsidRDefault="006564D4" w:rsidP="00F91CB2">
      <w:pPr>
        <w:pStyle w:val="Styl30"/>
      </w:pPr>
      <w:r w:rsidRPr="00E114F1">
        <w:t>Jadro tablety</w:t>
      </w:r>
    </w:p>
    <w:p w14:paraId="0375B7B4" w14:textId="77777777" w:rsidR="002A2642" w:rsidRPr="00E114F1" w:rsidRDefault="00D83D73" w:rsidP="00CB2FD7">
      <w:pPr>
        <w:pStyle w:val="Normlndobloku"/>
        <w:rPr>
          <w:lang w:val="sk-SK"/>
        </w:rPr>
      </w:pPr>
      <w:r>
        <w:rPr>
          <w:lang w:val="sk-SK"/>
        </w:rPr>
        <w:t>m</w:t>
      </w:r>
      <w:r w:rsidR="006564D4" w:rsidRPr="00E114F1">
        <w:rPr>
          <w:lang w:val="sk-SK"/>
        </w:rPr>
        <w:t>ikrokryštalická celulóza</w:t>
      </w:r>
    </w:p>
    <w:p w14:paraId="56151E93" w14:textId="77777777" w:rsidR="002A2642" w:rsidRPr="00E114F1" w:rsidRDefault="00D83D73" w:rsidP="00CB2FD7">
      <w:pPr>
        <w:pStyle w:val="Normlndobloku"/>
        <w:rPr>
          <w:lang w:val="sk-SK"/>
        </w:rPr>
      </w:pPr>
      <w:r>
        <w:rPr>
          <w:lang w:val="sk-SK"/>
        </w:rPr>
        <w:t>k</w:t>
      </w:r>
      <w:r w:rsidR="006564D4" w:rsidRPr="00E114F1">
        <w:rPr>
          <w:lang w:val="sk-SK"/>
        </w:rPr>
        <w:t>ukuričný škrob</w:t>
      </w:r>
    </w:p>
    <w:p w14:paraId="0342D15C" w14:textId="77777777" w:rsidR="002A2642" w:rsidRPr="00E114F1" w:rsidRDefault="00D83D73" w:rsidP="00CB2FD7">
      <w:pPr>
        <w:pStyle w:val="Normlndobloku"/>
        <w:rPr>
          <w:lang w:val="sk-SK"/>
        </w:rPr>
      </w:pPr>
      <w:r>
        <w:rPr>
          <w:lang w:val="sk-SK"/>
        </w:rPr>
        <w:t>k</w:t>
      </w:r>
      <w:r w:rsidR="006564D4" w:rsidRPr="00E114F1">
        <w:rPr>
          <w:lang w:val="sk-SK"/>
        </w:rPr>
        <w:t>rospovidón</w:t>
      </w:r>
    </w:p>
    <w:p w14:paraId="356675BD" w14:textId="77777777" w:rsidR="002A2642" w:rsidRPr="00E114F1" w:rsidRDefault="00D83D73" w:rsidP="00CB2FD7">
      <w:pPr>
        <w:pStyle w:val="Normlndobloku"/>
        <w:rPr>
          <w:lang w:val="sk-SK"/>
        </w:rPr>
      </w:pPr>
      <w:r>
        <w:rPr>
          <w:lang w:val="sk-SK"/>
        </w:rPr>
        <w:t>m</w:t>
      </w:r>
      <w:r w:rsidR="005C5CE4" w:rsidRPr="00E114F1">
        <w:rPr>
          <w:lang w:val="sk-SK"/>
        </w:rPr>
        <w:t>agnéziumstearát</w:t>
      </w:r>
    </w:p>
    <w:p w14:paraId="36BF99CC" w14:textId="77777777" w:rsidR="006564D4" w:rsidRPr="00E114F1" w:rsidRDefault="00D83D73" w:rsidP="00CB2FD7">
      <w:pPr>
        <w:pStyle w:val="Normlndobloku"/>
        <w:rPr>
          <w:lang w:val="sk-SK"/>
        </w:rPr>
      </w:pPr>
      <w:r>
        <w:rPr>
          <w:lang w:val="sk-SK"/>
        </w:rPr>
        <w:t>b</w:t>
      </w:r>
      <w:r w:rsidR="005C5CE4" w:rsidRPr="00E114F1">
        <w:rPr>
          <w:lang w:val="sk-SK"/>
        </w:rPr>
        <w:t>ezvodý oxid kr</w:t>
      </w:r>
      <w:r w:rsidR="006564D4" w:rsidRPr="00E114F1">
        <w:rPr>
          <w:lang w:val="sk-SK"/>
        </w:rPr>
        <w:t>emičitý</w:t>
      </w:r>
    </w:p>
    <w:p w14:paraId="6F7BF22F" w14:textId="77777777" w:rsidR="006564D4" w:rsidRPr="00E114F1" w:rsidRDefault="006564D4" w:rsidP="00F91CB2">
      <w:pPr>
        <w:pStyle w:val="Styl30"/>
      </w:pPr>
      <w:r w:rsidRPr="00E114F1">
        <w:t>Poťah tablety</w:t>
      </w:r>
      <w:r w:rsidR="00BA5A9E" w:rsidRPr="00E114F1">
        <w:t xml:space="preserve"> </w:t>
      </w:r>
    </w:p>
    <w:p w14:paraId="0106F56E" w14:textId="77777777" w:rsidR="002A2642" w:rsidRPr="00E114F1" w:rsidRDefault="00D83D73" w:rsidP="00CB2FD7">
      <w:pPr>
        <w:pStyle w:val="Normlndobloku"/>
        <w:rPr>
          <w:lang w:val="sk-SK"/>
        </w:rPr>
      </w:pPr>
      <w:r>
        <w:rPr>
          <w:lang w:val="sk-SK"/>
        </w:rPr>
        <w:t>m</w:t>
      </w:r>
      <w:r w:rsidR="006564D4" w:rsidRPr="00E114F1">
        <w:rPr>
          <w:lang w:val="sk-SK"/>
        </w:rPr>
        <w:t>astenec</w:t>
      </w:r>
    </w:p>
    <w:p w14:paraId="03023649" w14:textId="77777777" w:rsidR="002A2642" w:rsidRPr="00E114F1" w:rsidRDefault="00D83D73" w:rsidP="00CB2FD7">
      <w:pPr>
        <w:pStyle w:val="Normlndobloku"/>
        <w:rPr>
          <w:lang w:val="sk-SK"/>
        </w:rPr>
      </w:pPr>
      <w:r>
        <w:rPr>
          <w:lang w:val="sk-SK"/>
        </w:rPr>
        <w:t>m</w:t>
      </w:r>
      <w:r w:rsidR="006564D4" w:rsidRPr="00E114F1">
        <w:rPr>
          <w:lang w:val="sk-SK"/>
        </w:rPr>
        <w:t>akrogol 6</w:t>
      </w:r>
      <w:r w:rsidR="002A2642" w:rsidRPr="00E114F1">
        <w:rPr>
          <w:lang w:val="sk-SK"/>
        </w:rPr>
        <w:t> </w:t>
      </w:r>
      <w:r w:rsidR="006564D4" w:rsidRPr="00E114F1">
        <w:rPr>
          <w:lang w:val="sk-SK"/>
        </w:rPr>
        <w:t>000</w:t>
      </w:r>
    </w:p>
    <w:p w14:paraId="06E94047" w14:textId="77777777" w:rsidR="002A2642" w:rsidRPr="00E114F1" w:rsidRDefault="00D83D73" w:rsidP="00CB2FD7">
      <w:pPr>
        <w:pStyle w:val="Normlndobloku"/>
        <w:rPr>
          <w:lang w:val="sk-SK"/>
        </w:rPr>
      </w:pPr>
      <w:r>
        <w:rPr>
          <w:lang w:val="sk-SK"/>
        </w:rPr>
        <w:t>č</w:t>
      </w:r>
      <w:r w:rsidR="006564D4" w:rsidRPr="00E114F1">
        <w:rPr>
          <w:lang w:val="sk-SK"/>
        </w:rPr>
        <w:t>istená voda</w:t>
      </w:r>
    </w:p>
    <w:p w14:paraId="3D5393C8" w14:textId="77777777" w:rsidR="006564D4" w:rsidRPr="00E114F1" w:rsidRDefault="006564D4" w:rsidP="00CB2FD7">
      <w:pPr>
        <w:pStyle w:val="Normlndobloku"/>
        <w:rPr>
          <w:lang w:val="sk-SK"/>
        </w:rPr>
      </w:pPr>
      <w:r w:rsidRPr="00E114F1">
        <w:rPr>
          <w:lang w:val="sk-SK"/>
        </w:rPr>
        <w:t>Album Opadry Y-1-7</w:t>
      </w:r>
      <w:r w:rsidR="002A2642" w:rsidRPr="00E114F1">
        <w:rPr>
          <w:lang w:val="sk-SK"/>
        </w:rPr>
        <w:t> </w:t>
      </w:r>
      <w:r w:rsidRPr="00E114F1">
        <w:rPr>
          <w:lang w:val="sk-SK"/>
        </w:rPr>
        <w:t>000 (poťahová súprava Opadry): oxid titaničitý, hypromelóza, makrogol 400</w:t>
      </w:r>
    </w:p>
    <w:p w14:paraId="4A5942C2" w14:textId="77777777" w:rsidR="00FE67CF" w:rsidRPr="00E114F1" w:rsidRDefault="000C3C2C" w:rsidP="00D76715">
      <w:pPr>
        <w:pStyle w:val="Styl2"/>
        <w:rPr>
          <w:lang w:val="sk-SK"/>
        </w:rPr>
      </w:pPr>
      <w:r w:rsidRPr="00E114F1">
        <w:rPr>
          <w:lang w:val="sk-SK"/>
        </w:rPr>
        <w:t>Inkompatibility</w:t>
      </w:r>
    </w:p>
    <w:p w14:paraId="5D62EACF" w14:textId="77777777" w:rsidR="00FE67CF" w:rsidRPr="00E114F1" w:rsidRDefault="000C3C2C" w:rsidP="00D76715">
      <w:pPr>
        <w:pStyle w:val="Normlndobloku"/>
        <w:rPr>
          <w:lang w:val="sk-SK"/>
        </w:rPr>
      </w:pPr>
      <w:r w:rsidRPr="00E114F1">
        <w:rPr>
          <w:lang w:val="sk-SK"/>
        </w:rPr>
        <w:t>Nie sú známe.</w:t>
      </w:r>
    </w:p>
    <w:p w14:paraId="36D6FB57" w14:textId="77777777" w:rsidR="00FE67CF" w:rsidRPr="00E114F1" w:rsidRDefault="000C3C2C" w:rsidP="00D76715">
      <w:pPr>
        <w:pStyle w:val="Styl2"/>
        <w:rPr>
          <w:lang w:val="sk-SK"/>
        </w:rPr>
      </w:pPr>
      <w:r w:rsidRPr="00E114F1">
        <w:rPr>
          <w:lang w:val="sk-SK"/>
        </w:rPr>
        <w:t>Čas použiteľnosti</w:t>
      </w:r>
    </w:p>
    <w:p w14:paraId="707500E9" w14:textId="77777777" w:rsidR="000C3C2C" w:rsidRPr="00E114F1" w:rsidRDefault="000C3C2C" w:rsidP="00D76715">
      <w:pPr>
        <w:pStyle w:val="Normlndobloku"/>
        <w:rPr>
          <w:lang w:val="sk-SK"/>
        </w:rPr>
      </w:pPr>
      <w:r w:rsidRPr="00E114F1">
        <w:rPr>
          <w:lang w:val="sk-SK"/>
        </w:rPr>
        <w:t>3 roky</w:t>
      </w:r>
    </w:p>
    <w:p w14:paraId="53B0CF59" w14:textId="77777777" w:rsidR="00FE67CF" w:rsidRPr="00E114F1" w:rsidRDefault="000C3C2C" w:rsidP="00D76715">
      <w:pPr>
        <w:pStyle w:val="Styl2"/>
        <w:rPr>
          <w:lang w:val="sk-SK"/>
        </w:rPr>
      </w:pPr>
      <w:r w:rsidRPr="00E114F1">
        <w:rPr>
          <w:lang w:val="sk-SK"/>
        </w:rPr>
        <w:t>Špeciálne upozornenia na uchovávanie</w:t>
      </w:r>
    </w:p>
    <w:p w14:paraId="410F67F7" w14:textId="15392246" w:rsidR="00FE67CF" w:rsidRPr="00E114F1" w:rsidRDefault="000C3C2C" w:rsidP="00D76715">
      <w:pPr>
        <w:pStyle w:val="Normlndobloku"/>
        <w:rPr>
          <w:lang w:val="sk-SK"/>
        </w:rPr>
      </w:pPr>
      <w:r w:rsidRPr="00E114F1">
        <w:rPr>
          <w:lang w:val="sk-SK"/>
        </w:rPr>
        <w:t xml:space="preserve">Uchovávajte </w:t>
      </w:r>
      <w:r w:rsidR="00B83972" w:rsidRPr="00E114F1">
        <w:rPr>
          <w:lang w:val="sk-SK"/>
        </w:rPr>
        <w:t xml:space="preserve">pri teplote neprevyšujúcej 25 °C </w:t>
      </w:r>
      <w:r w:rsidR="005C0E40">
        <w:rPr>
          <w:lang w:val="sk-SK"/>
        </w:rPr>
        <w:t>. Uchovávajte v</w:t>
      </w:r>
      <w:r w:rsidR="00CF42FD">
        <w:rPr>
          <w:lang w:val="sk-SK"/>
        </w:rPr>
        <w:t xml:space="preserve"> pôvodnom</w:t>
      </w:r>
      <w:r w:rsidR="005C0E40">
        <w:rPr>
          <w:lang w:val="sk-SK"/>
        </w:rPr>
        <w:t xml:space="preserve"> obale</w:t>
      </w:r>
      <w:r w:rsidR="000675A4">
        <w:rPr>
          <w:lang w:val="sk-SK"/>
        </w:rPr>
        <w:t xml:space="preserve"> </w:t>
      </w:r>
      <w:r w:rsidRPr="00E114F1">
        <w:rPr>
          <w:lang w:val="sk-SK"/>
        </w:rPr>
        <w:t xml:space="preserve">na </w:t>
      </w:r>
      <w:r w:rsidR="004F0BBB">
        <w:rPr>
          <w:lang w:val="sk-SK"/>
        </w:rPr>
        <w:t>o</w:t>
      </w:r>
      <w:r w:rsidRPr="00E114F1">
        <w:rPr>
          <w:lang w:val="sk-SK"/>
        </w:rPr>
        <w:t>chr</w:t>
      </w:r>
      <w:r w:rsidR="0037696B">
        <w:rPr>
          <w:lang w:val="sk-SK"/>
        </w:rPr>
        <w:t>a</w:t>
      </w:r>
      <w:r w:rsidRPr="00E114F1">
        <w:rPr>
          <w:lang w:val="sk-SK"/>
        </w:rPr>
        <w:t>n</w:t>
      </w:r>
      <w:r w:rsidR="004F0BBB">
        <w:rPr>
          <w:lang w:val="sk-SK"/>
        </w:rPr>
        <w:t>u</w:t>
      </w:r>
      <w:r w:rsidRPr="00E114F1">
        <w:rPr>
          <w:lang w:val="sk-SK"/>
        </w:rPr>
        <w:t xml:space="preserve"> pred svetlom</w:t>
      </w:r>
      <w:r w:rsidR="000675A4">
        <w:rPr>
          <w:lang w:val="sk-SK"/>
        </w:rPr>
        <w:t xml:space="preserve"> a vlhkosťou</w:t>
      </w:r>
      <w:r w:rsidR="004F0BBB">
        <w:rPr>
          <w:lang w:val="sk-SK"/>
        </w:rPr>
        <w:t>.</w:t>
      </w:r>
    </w:p>
    <w:p w14:paraId="07145862" w14:textId="77777777" w:rsidR="00FE67CF" w:rsidRPr="00E114F1" w:rsidRDefault="000C3C2C" w:rsidP="00D76715">
      <w:pPr>
        <w:pStyle w:val="Styl2"/>
        <w:rPr>
          <w:lang w:val="sk-SK"/>
        </w:rPr>
      </w:pPr>
      <w:r w:rsidRPr="00E114F1">
        <w:rPr>
          <w:lang w:val="sk-SK"/>
        </w:rPr>
        <w:t>Druh obalu a</w:t>
      </w:r>
      <w:r w:rsidR="002A2642" w:rsidRPr="00E114F1">
        <w:rPr>
          <w:lang w:val="sk-SK"/>
        </w:rPr>
        <w:t> </w:t>
      </w:r>
      <w:r w:rsidRPr="00E114F1">
        <w:rPr>
          <w:lang w:val="sk-SK"/>
        </w:rPr>
        <w:t>obsah balenia</w:t>
      </w:r>
    </w:p>
    <w:p w14:paraId="328F5F6D" w14:textId="77777777" w:rsidR="00FE67CF" w:rsidRPr="00E114F1" w:rsidRDefault="000C3C2C" w:rsidP="00D76715">
      <w:pPr>
        <w:pStyle w:val="Normlndobloku"/>
        <w:rPr>
          <w:lang w:val="sk-SK"/>
        </w:rPr>
      </w:pPr>
      <w:r w:rsidRPr="00E114F1">
        <w:rPr>
          <w:lang w:val="sk-SK"/>
        </w:rPr>
        <w:t>a/ Blist</w:t>
      </w:r>
      <w:r w:rsidR="0095718D" w:rsidRPr="00E114F1">
        <w:rPr>
          <w:lang w:val="sk-SK"/>
        </w:rPr>
        <w:t>er z</w:t>
      </w:r>
      <w:r w:rsidR="002A2642" w:rsidRPr="00E114F1">
        <w:rPr>
          <w:lang w:val="sk-SK"/>
        </w:rPr>
        <w:t> </w:t>
      </w:r>
      <w:r w:rsidR="0095718D" w:rsidRPr="00E114F1">
        <w:rPr>
          <w:lang w:val="sk-SK"/>
        </w:rPr>
        <w:t>PVC/Al, papierová škatuľka</w:t>
      </w:r>
      <w:r w:rsidRPr="00E114F1">
        <w:rPr>
          <w:lang w:val="sk-SK"/>
        </w:rPr>
        <w:t>, pí</w:t>
      </w:r>
      <w:r w:rsidR="0095718D" w:rsidRPr="00E114F1">
        <w:rPr>
          <w:lang w:val="sk-SK"/>
        </w:rPr>
        <w:t>somná informácia pre používateľ</w:t>
      </w:r>
      <w:r w:rsidR="002A2642" w:rsidRPr="00E114F1">
        <w:rPr>
          <w:lang w:val="sk-SK"/>
        </w:rPr>
        <w:t>a</w:t>
      </w:r>
    </w:p>
    <w:p w14:paraId="414C9870" w14:textId="77777777" w:rsidR="00FE67CF" w:rsidRPr="00E114F1" w:rsidRDefault="000C3C2C" w:rsidP="00D76715">
      <w:pPr>
        <w:pStyle w:val="Normlndobloku"/>
        <w:rPr>
          <w:lang w:val="sk-SK"/>
        </w:rPr>
      </w:pPr>
      <w:r w:rsidRPr="00E114F1">
        <w:lastRenderedPageBreak/>
        <w:t>b/ Fľaška z</w:t>
      </w:r>
      <w:r w:rsidR="002A2642" w:rsidRPr="00E114F1">
        <w:t> </w:t>
      </w:r>
      <w:r w:rsidRPr="00E114F1">
        <w:t>plastickej hmoty</w:t>
      </w:r>
      <w:r w:rsidR="002A2642" w:rsidRPr="00E114F1" w:rsidDel="002A2642">
        <w:t xml:space="preserve"> </w:t>
      </w:r>
      <w:r w:rsidRPr="00E114F1">
        <w:rPr>
          <w:lang w:val="sk-SK"/>
        </w:rPr>
        <w:t xml:space="preserve">c/ </w:t>
      </w:r>
      <w:r w:rsidR="00FF60A4">
        <w:rPr>
          <w:lang w:val="sk-SK"/>
        </w:rPr>
        <w:t>Fľaška</w:t>
      </w:r>
      <w:r w:rsidR="00D76E49">
        <w:rPr>
          <w:lang w:val="sk-SK"/>
        </w:rPr>
        <w:t xml:space="preserve"> </w:t>
      </w:r>
      <w:r w:rsidRPr="00E114F1">
        <w:rPr>
          <w:lang w:val="sk-SK"/>
        </w:rPr>
        <w:t>z</w:t>
      </w:r>
      <w:r w:rsidR="002A2642" w:rsidRPr="00E114F1">
        <w:rPr>
          <w:lang w:val="sk-SK"/>
        </w:rPr>
        <w:t> </w:t>
      </w:r>
      <w:r w:rsidRPr="00E114F1">
        <w:rPr>
          <w:lang w:val="sk-SK"/>
        </w:rPr>
        <w:t>plastickej hmoty</w:t>
      </w:r>
    </w:p>
    <w:p w14:paraId="3280D13D" w14:textId="77777777" w:rsidR="005312FE" w:rsidRPr="00E114F1" w:rsidRDefault="000C3C2C" w:rsidP="00F91CB2">
      <w:pPr>
        <w:pStyle w:val="Styl30"/>
      </w:pPr>
      <w:r w:rsidRPr="00E114F1">
        <w:t>Veľkosť balenia</w:t>
      </w:r>
    </w:p>
    <w:p w14:paraId="12E7CEC1" w14:textId="77777777" w:rsidR="005312FE" w:rsidRPr="00E114F1" w:rsidRDefault="000C3C2C" w:rsidP="00F91CB2">
      <w:pPr>
        <w:pStyle w:val="Styl30"/>
      </w:pPr>
      <w:r w:rsidRPr="00E114F1">
        <w:t>250</w:t>
      </w:r>
      <w:r w:rsidR="002A2642" w:rsidRPr="00E114F1">
        <w:t> </w:t>
      </w:r>
      <w:r w:rsidRPr="00E114F1">
        <w:t>mg tablety</w:t>
      </w:r>
    </w:p>
    <w:p w14:paraId="61F3816D" w14:textId="77777777" w:rsidR="00FE67CF" w:rsidRPr="00E114F1" w:rsidRDefault="000C3C2C" w:rsidP="00D76715">
      <w:pPr>
        <w:pStyle w:val="Normlndobloku"/>
        <w:rPr>
          <w:lang w:val="sk-SK"/>
        </w:rPr>
      </w:pPr>
      <w:r w:rsidRPr="00E114F1">
        <w:rPr>
          <w:lang w:val="sk-SK"/>
        </w:rPr>
        <w:t>a/ 10 x 250</w:t>
      </w:r>
      <w:r w:rsidR="002A2642" w:rsidRPr="00E114F1">
        <w:rPr>
          <w:lang w:val="sk-SK"/>
        </w:rPr>
        <w:t> </w:t>
      </w:r>
      <w:r w:rsidRPr="00E114F1">
        <w:rPr>
          <w:lang w:val="sk-SK"/>
        </w:rPr>
        <w:t>mg</w:t>
      </w:r>
    </w:p>
    <w:p w14:paraId="55B91F18" w14:textId="77777777" w:rsidR="00FE67CF" w:rsidRPr="00E114F1" w:rsidRDefault="000C3C2C" w:rsidP="00D76715">
      <w:pPr>
        <w:pStyle w:val="Normlndobloku"/>
        <w:rPr>
          <w:lang w:val="sk-SK"/>
        </w:rPr>
      </w:pPr>
      <w:r w:rsidRPr="00E114F1">
        <w:rPr>
          <w:lang w:val="sk-SK"/>
        </w:rPr>
        <w:t>b/ 500 x 250</w:t>
      </w:r>
      <w:r w:rsidR="002A2642" w:rsidRPr="00E114F1">
        <w:rPr>
          <w:lang w:val="sk-SK"/>
        </w:rPr>
        <w:t> </w:t>
      </w:r>
      <w:r w:rsidRPr="00E114F1">
        <w:rPr>
          <w:lang w:val="sk-SK"/>
        </w:rPr>
        <w:t>mg, 1</w:t>
      </w:r>
      <w:r w:rsidR="002A2642" w:rsidRPr="00E114F1">
        <w:rPr>
          <w:lang w:val="sk-SK"/>
        </w:rPr>
        <w:t> </w:t>
      </w:r>
      <w:r w:rsidRPr="00E114F1">
        <w:rPr>
          <w:lang w:val="sk-SK"/>
        </w:rPr>
        <w:t>000 x 250</w:t>
      </w:r>
      <w:r w:rsidR="002A2642" w:rsidRPr="00E114F1">
        <w:rPr>
          <w:lang w:val="sk-SK"/>
        </w:rPr>
        <w:t> </w:t>
      </w:r>
      <w:r w:rsidRPr="00E114F1">
        <w:rPr>
          <w:lang w:val="sk-SK"/>
        </w:rPr>
        <w:t>mg</w:t>
      </w:r>
    </w:p>
    <w:p w14:paraId="39EAB628" w14:textId="77777777" w:rsidR="005312FE" w:rsidRPr="00E114F1" w:rsidRDefault="000C3C2C" w:rsidP="00F91CB2">
      <w:pPr>
        <w:pStyle w:val="Styl30"/>
      </w:pPr>
      <w:r w:rsidRPr="00E114F1">
        <w:t>500</w:t>
      </w:r>
      <w:r w:rsidR="002A2642" w:rsidRPr="00E114F1">
        <w:t> </w:t>
      </w:r>
      <w:r w:rsidRPr="00E114F1">
        <w:t>mg tablety</w:t>
      </w:r>
    </w:p>
    <w:p w14:paraId="7C5AFF95" w14:textId="77777777" w:rsidR="00FE67CF" w:rsidRPr="00E114F1" w:rsidRDefault="000C3C2C" w:rsidP="00D76715">
      <w:pPr>
        <w:pStyle w:val="Normlndobloku"/>
        <w:rPr>
          <w:lang w:val="sk-SK"/>
        </w:rPr>
      </w:pPr>
      <w:r w:rsidRPr="00E114F1">
        <w:rPr>
          <w:lang w:val="sk-SK"/>
        </w:rPr>
        <w:t>a/ 10 x 500</w:t>
      </w:r>
      <w:r w:rsidR="002A2642" w:rsidRPr="00E114F1">
        <w:rPr>
          <w:lang w:val="sk-SK"/>
        </w:rPr>
        <w:t> </w:t>
      </w:r>
      <w:r w:rsidRPr="00E114F1">
        <w:rPr>
          <w:lang w:val="sk-SK"/>
        </w:rPr>
        <w:t>mg</w:t>
      </w:r>
    </w:p>
    <w:p w14:paraId="4A0BFC47" w14:textId="77777777" w:rsidR="00FE67CF" w:rsidRPr="00E114F1" w:rsidRDefault="000C3C2C" w:rsidP="00D76715">
      <w:pPr>
        <w:pStyle w:val="Normlndobloku"/>
        <w:rPr>
          <w:lang w:val="sk-SK"/>
        </w:rPr>
      </w:pPr>
      <w:r w:rsidRPr="00E114F1">
        <w:rPr>
          <w:lang w:val="sk-SK"/>
        </w:rPr>
        <w:t>c/ 1</w:t>
      </w:r>
      <w:r w:rsidR="002A2642" w:rsidRPr="00E114F1">
        <w:rPr>
          <w:lang w:val="sk-SK"/>
        </w:rPr>
        <w:t> </w:t>
      </w:r>
      <w:r w:rsidRPr="00E114F1">
        <w:rPr>
          <w:lang w:val="sk-SK"/>
        </w:rPr>
        <w:t>000 x 500</w:t>
      </w:r>
      <w:r w:rsidR="002A2642" w:rsidRPr="00E114F1">
        <w:rPr>
          <w:lang w:val="sk-SK"/>
        </w:rPr>
        <w:t> </w:t>
      </w:r>
      <w:r w:rsidRPr="00E114F1">
        <w:rPr>
          <w:lang w:val="sk-SK"/>
        </w:rPr>
        <w:t>mg</w:t>
      </w:r>
    </w:p>
    <w:p w14:paraId="48DA0117" w14:textId="77777777" w:rsidR="00744B23" w:rsidRPr="00E114F1" w:rsidRDefault="00744B23" w:rsidP="00E855D3">
      <w:pPr>
        <w:pStyle w:val="Normlndobloku"/>
        <w:rPr>
          <w:lang w:val="sk-SK"/>
        </w:rPr>
      </w:pPr>
    </w:p>
    <w:p w14:paraId="6E68AC44" w14:textId="77777777" w:rsidR="002A2642" w:rsidRPr="00E114F1" w:rsidRDefault="002A2642" w:rsidP="00E855D3">
      <w:pPr>
        <w:pStyle w:val="Normlndobloku"/>
        <w:rPr>
          <w:lang w:val="sk-SK"/>
        </w:rPr>
      </w:pPr>
      <w:r w:rsidRPr="00E114F1">
        <w:rPr>
          <w:lang w:val="sk-SK"/>
        </w:rPr>
        <w:t>Na trh nemusia byť uvedené všetky veľkosti balenia.</w:t>
      </w:r>
    </w:p>
    <w:p w14:paraId="40A58F89" w14:textId="77777777" w:rsidR="00FE67CF" w:rsidRPr="00E114F1" w:rsidRDefault="000C3C2C" w:rsidP="005312FE">
      <w:pPr>
        <w:pStyle w:val="Styl2"/>
        <w:rPr>
          <w:lang w:val="sk-SK"/>
        </w:rPr>
      </w:pPr>
      <w:r w:rsidRPr="00E114F1">
        <w:rPr>
          <w:lang w:val="sk-SK"/>
        </w:rPr>
        <w:t>Špeciálne opatrenia na likvidáciu</w:t>
      </w:r>
    </w:p>
    <w:p w14:paraId="2A8044BA" w14:textId="77777777" w:rsidR="00FE67CF" w:rsidRPr="00E114F1" w:rsidRDefault="000C3C2C" w:rsidP="005312FE">
      <w:pPr>
        <w:pStyle w:val="Normlndobloku"/>
        <w:rPr>
          <w:lang w:val="sk-SK"/>
        </w:rPr>
      </w:pPr>
      <w:r w:rsidRPr="00E114F1">
        <w:rPr>
          <w:lang w:val="sk-SK"/>
        </w:rPr>
        <w:t>Žiadne zvláštne požiadavky.</w:t>
      </w:r>
    </w:p>
    <w:p w14:paraId="15D951C4" w14:textId="77777777" w:rsidR="00FE67CF" w:rsidRPr="00E114F1" w:rsidRDefault="000C3C2C" w:rsidP="00405A33">
      <w:pPr>
        <w:pStyle w:val="Styl1"/>
        <w:rPr>
          <w:lang w:val="sk-SK"/>
        </w:rPr>
      </w:pPr>
      <w:r w:rsidRPr="00E114F1">
        <w:rPr>
          <w:lang w:val="sk-SK"/>
        </w:rPr>
        <w:t>DRŽITEĽ ROZHODNUTIA O</w:t>
      </w:r>
      <w:r w:rsidR="002A2642" w:rsidRPr="00E114F1">
        <w:rPr>
          <w:lang w:val="sk-SK"/>
        </w:rPr>
        <w:t> </w:t>
      </w:r>
      <w:r w:rsidRPr="00E114F1">
        <w:rPr>
          <w:lang w:val="sk-SK"/>
        </w:rPr>
        <w:t>REGISTRÁCII</w:t>
      </w:r>
    </w:p>
    <w:p w14:paraId="3E2A57A9" w14:textId="4BE4A235" w:rsidR="00B13D5A" w:rsidRPr="00E114F1" w:rsidRDefault="000C3C2C" w:rsidP="005312FE">
      <w:pPr>
        <w:pStyle w:val="Normlndobloku"/>
        <w:rPr>
          <w:lang w:val="sk-SK"/>
        </w:rPr>
      </w:pPr>
      <w:r w:rsidRPr="00E114F1">
        <w:rPr>
          <w:lang w:val="sk-SK"/>
        </w:rPr>
        <w:t>M</w:t>
      </w:r>
      <w:r w:rsidR="00494557" w:rsidRPr="00E114F1">
        <w:rPr>
          <w:lang w:val="sk-SK"/>
        </w:rPr>
        <w:t>EDOCHEMIE</w:t>
      </w:r>
      <w:r w:rsidRPr="00E114F1">
        <w:rPr>
          <w:lang w:val="sk-SK"/>
        </w:rPr>
        <w:t xml:space="preserve"> Ltd., </w:t>
      </w:r>
      <w:r w:rsidR="002A2642" w:rsidRPr="00E114F1">
        <w:rPr>
          <w:lang w:val="sk-SK"/>
        </w:rPr>
        <w:t xml:space="preserve">1-10 Constantinoupoleos Street, 3011 </w:t>
      </w:r>
      <w:r w:rsidRPr="00E114F1">
        <w:rPr>
          <w:lang w:val="sk-SK"/>
        </w:rPr>
        <w:t>Limassol, Cyprus</w:t>
      </w:r>
    </w:p>
    <w:p w14:paraId="7971CBD4" w14:textId="77777777" w:rsidR="00FE67CF" w:rsidRPr="00E114F1" w:rsidRDefault="00F8662C" w:rsidP="00405A33">
      <w:pPr>
        <w:pStyle w:val="Styl1"/>
        <w:rPr>
          <w:lang w:val="sk-SK"/>
        </w:rPr>
      </w:pPr>
      <w:r w:rsidRPr="00E114F1">
        <w:rPr>
          <w:lang w:val="sk-SK"/>
        </w:rPr>
        <w:t>REGISTRAČNÉ ČÍSLA</w:t>
      </w:r>
    </w:p>
    <w:p w14:paraId="1DA57143" w14:textId="77777777" w:rsidR="00F8662C" w:rsidRPr="00E114F1" w:rsidRDefault="00F8662C" w:rsidP="00F8662C">
      <w:pPr>
        <w:pStyle w:val="Normlndobloku"/>
        <w:rPr>
          <w:lang w:val="sk-SK"/>
        </w:rPr>
      </w:pPr>
      <w:r w:rsidRPr="00E114F1">
        <w:rPr>
          <w:lang w:val="sk-SK"/>
        </w:rPr>
        <w:t>M</w:t>
      </w:r>
      <w:r w:rsidR="002A2642" w:rsidRPr="00E114F1">
        <w:rPr>
          <w:lang w:val="sk-SK"/>
        </w:rPr>
        <w:t>EDOCIPRIN</w:t>
      </w:r>
      <w:r w:rsidRPr="00E114F1">
        <w:rPr>
          <w:lang w:val="sk-SK"/>
        </w:rPr>
        <w:t xml:space="preserve"> 250</w:t>
      </w:r>
      <w:r w:rsidR="002A2642" w:rsidRPr="00E114F1">
        <w:rPr>
          <w:lang w:val="sk-SK"/>
        </w:rPr>
        <w:t> </w:t>
      </w:r>
      <w:r w:rsidRPr="00E114F1">
        <w:rPr>
          <w:lang w:val="sk-SK"/>
        </w:rPr>
        <w:t>mg: 42/0077/93-S</w:t>
      </w:r>
    </w:p>
    <w:p w14:paraId="6EF6EAE2" w14:textId="77777777" w:rsidR="00F8662C" w:rsidRPr="00E114F1" w:rsidRDefault="00F8662C" w:rsidP="00F8662C">
      <w:pPr>
        <w:pStyle w:val="Normlndobloku"/>
        <w:rPr>
          <w:lang w:val="sk-SK"/>
        </w:rPr>
      </w:pPr>
      <w:r w:rsidRPr="00E114F1">
        <w:rPr>
          <w:lang w:val="sk-SK"/>
        </w:rPr>
        <w:t>M</w:t>
      </w:r>
      <w:r w:rsidR="002A2642" w:rsidRPr="00E114F1">
        <w:rPr>
          <w:lang w:val="sk-SK"/>
        </w:rPr>
        <w:t>EDOCIPRIN</w:t>
      </w:r>
      <w:r w:rsidRPr="00E114F1">
        <w:rPr>
          <w:lang w:val="sk-SK"/>
        </w:rPr>
        <w:t xml:space="preserve"> 500</w:t>
      </w:r>
      <w:r w:rsidR="002A2642" w:rsidRPr="00E114F1">
        <w:rPr>
          <w:lang w:val="sk-SK"/>
        </w:rPr>
        <w:t> </w:t>
      </w:r>
      <w:r w:rsidRPr="00E114F1">
        <w:rPr>
          <w:lang w:val="sk-SK"/>
        </w:rPr>
        <w:t>mg: 42/0341/13-S</w:t>
      </w:r>
    </w:p>
    <w:p w14:paraId="119DCE40" w14:textId="77777777" w:rsidR="00FE67CF" w:rsidRPr="00E114F1" w:rsidRDefault="000C3C2C" w:rsidP="00405A33">
      <w:pPr>
        <w:pStyle w:val="Styl1"/>
        <w:rPr>
          <w:lang w:val="sk-SK"/>
        </w:rPr>
      </w:pPr>
      <w:r w:rsidRPr="00E114F1">
        <w:rPr>
          <w:lang w:val="sk-SK"/>
        </w:rPr>
        <w:t>DÁTUM PRVEJ REGISTRÁCIE/ PREDĹŽENIA REGISTRÁCIE</w:t>
      </w:r>
    </w:p>
    <w:p w14:paraId="6DFE2153" w14:textId="77777777" w:rsidR="00F8662C" w:rsidRPr="00E114F1" w:rsidRDefault="00F8662C" w:rsidP="00F8662C">
      <w:pPr>
        <w:pStyle w:val="Bodytext"/>
        <w:spacing w:after="0" w:line="240" w:lineRule="auto"/>
        <w:ind w:left="0"/>
        <w:rPr>
          <w:sz w:val="22"/>
          <w:szCs w:val="22"/>
        </w:rPr>
      </w:pPr>
      <w:r w:rsidRPr="00E114F1">
        <w:rPr>
          <w:sz w:val="22"/>
          <w:szCs w:val="22"/>
        </w:rPr>
        <w:t>Dátum prvej re</w:t>
      </w:r>
      <w:r w:rsidR="00B13D5A" w:rsidRPr="00E114F1">
        <w:rPr>
          <w:sz w:val="22"/>
          <w:szCs w:val="22"/>
        </w:rPr>
        <w:t>gistrácie: 26.</w:t>
      </w:r>
      <w:r w:rsidR="002A2642" w:rsidRPr="00E114F1">
        <w:rPr>
          <w:sz w:val="22"/>
          <w:szCs w:val="22"/>
        </w:rPr>
        <w:t xml:space="preserve"> júna </w:t>
      </w:r>
      <w:r w:rsidR="00B13D5A" w:rsidRPr="00E114F1">
        <w:rPr>
          <w:sz w:val="22"/>
          <w:szCs w:val="22"/>
        </w:rPr>
        <w:t>1993</w:t>
      </w:r>
    </w:p>
    <w:p w14:paraId="49515035" w14:textId="77777777" w:rsidR="00F8662C" w:rsidRPr="00E114F1" w:rsidRDefault="00F8662C" w:rsidP="00F8662C">
      <w:pPr>
        <w:pStyle w:val="Bodytext"/>
        <w:spacing w:after="0" w:line="240" w:lineRule="auto"/>
        <w:ind w:left="0"/>
        <w:rPr>
          <w:sz w:val="22"/>
          <w:szCs w:val="22"/>
        </w:rPr>
      </w:pPr>
      <w:r w:rsidRPr="00E114F1">
        <w:rPr>
          <w:sz w:val="22"/>
          <w:szCs w:val="22"/>
        </w:rPr>
        <w:t>Dátum posledného predĺžen</w:t>
      </w:r>
      <w:r w:rsidR="00B13D5A" w:rsidRPr="00E114F1">
        <w:rPr>
          <w:sz w:val="22"/>
          <w:szCs w:val="22"/>
        </w:rPr>
        <w:t>ia registrácie: 28.</w:t>
      </w:r>
      <w:r w:rsidR="002A2642" w:rsidRPr="00E114F1">
        <w:rPr>
          <w:sz w:val="22"/>
          <w:szCs w:val="22"/>
        </w:rPr>
        <w:t xml:space="preserve"> novembra </w:t>
      </w:r>
      <w:r w:rsidR="00B13D5A" w:rsidRPr="00E114F1">
        <w:rPr>
          <w:sz w:val="22"/>
          <w:szCs w:val="22"/>
        </w:rPr>
        <w:t>2006</w:t>
      </w:r>
    </w:p>
    <w:p w14:paraId="4F7EE030" w14:textId="77777777" w:rsidR="00FE67CF" w:rsidRPr="00E114F1" w:rsidRDefault="000C3C2C" w:rsidP="00405A33">
      <w:pPr>
        <w:pStyle w:val="Styl1"/>
        <w:rPr>
          <w:lang w:val="sk-SK"/>
        </w:rPr>
      </w:pPr>
      <w:r w:rsidRPr="00E114F1">
        <w:rPr>
          <w:lang w:val="sk-SK"/>
        </w:rPr>
        <w:t>DÁTUM REVÍZIE TEXTU</w:t>
      </w:r>
    </w:p>
    <w:p w14:paraId="516B7098" w14:textId="49758907" w:rsidR="0015754B" w:rsidRPr="00E114F1" w:rsidRDefault="007D799C" w:rsidP="000C3C2C">
      <w:r>
        <w:t>Apríl 2019</w:t>
      </w:r>
    </w:p>
    <w:sectPr w:rsidR="0015754B" w:rsidRPr="00E114F1" w:rsidSect="00B169A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6A1A43" w16cid:durableId="20549B71"/>
  <w16cid:commentId w16cid:paraId="1CDB7600" w16cid:durableId="20584743"/>
  <w16cid:commentId w16cid:paraId="13DF90DC" w16cid:durableId="20545ACE"/>
  <w16cid:commentId w16cid:paraId="02C50A63" w16cid:durableId="20545AB3"/>
  <w16cid:commentId w16cid:paraId="786892A5" w16cid:durableId="2058476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1AA22" w14:textId="77777777" w:rsidR="00216BDB" w:rsidRDefault="00216BDB" w:rsidP="007049B5">
      <w:r>
        <w:separator/>
      </w:r>
    </w:p>
    <w:p w14:paraId="0E98D34A" w14:textId="77777777" w:rsidR="00216BDB" w:rsidRDefault="00216BDB" w:rsidP="007049B5"/>
  </w:endnote>
  <w:endnote w:type="continuationSeparator" w:id="0">
    <w:p w14:paraId="342EA930" w14:textId="77777777" w:rsidR="00216BDB" w:rsidRDefault="00216BDB" w:rsidP="007049B5">
      <w:r>
        <w:continuationSeparator/>
      </w:r>
    </w:p>
    <w:p w14:paraId="7D1D55F9" w14:textId="77777777" w:rsidR="00216BDB" w:rsidRDefault="00216BDB" w:rsidP="007049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E5DB5" w14:textId="77777777" w:rsidR="005C0E40" w:rsidRDefault="005C0E40" w:rsidP="007049B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46DEBF5" w14:textId="77777777" w:rsidR="005C0E40" w:rsidRDefault="005C0E40" w:rsidP="007049B5">
    <w:pPr>
      <w:pStyle w:val="Pta"/>
    </w:pPr>
  </w:p>
  <w:p w14:paraId="5801CB94" w14:textId="77777777" w:rsidR="005C0E40" w:rsidRDefault="005C0E40" w:rsidP="007049B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1548994"/>
      <w:docPartObj>
        <w:docPartGallery w:val="Page Numbers (Bottom of Page)"/>
        <w:docPartUnique/>
      </w:docPartObj>
    </w:sdtPr>
    <w:sdtEndPr/>
    <w:sdtContent>
      <w:p w14:paraId="0A742264" w14:textId="77777777" w:rsidR="005C0E40" w:rsidRDefault="005C0E4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172">
          <w:rPr>
            <w:noProof/>
          </w:rPr>
          <w:t>19</w:t>
        </w:r>
        <w:r>
          <w:fldChar w:fldCharType="end"/>
        </w:r>
      </w:p>
    </w:sdtContent>
  </w:sdt>
  <w:p w14:paraId="245808AF" w14:textId="77777777" w:rsidR="005C0E40" w:rsidRDefault="005C0E40" w:rsidP="00A14744">
    <w:pPr>
      <w:pStyle w:val="Pt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6651E" w14:textId="77777777" w:rsidR="005C0E40" w:rsidRDefault="005C0E40" w:rsidP="00C43C66">
    <w:pPr>
      <w:pStyle w:val="Pta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19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6A3C75" w14:textId="77777777" w:rsidR="00216BDB" w:rsidRDefault="00216BDB" w:rsidP="007049B5">
      <w:r>
        <w:separator/>
      </w:r>
    </w:p>
    <w:p w14:paraId="299E4E44" w14:textId="77777777" w:rsidR="00216BDB" w:rsidRDefault="00216BDB" w:rsidP="007049B5"/>
  </w:footnote>
  <w:footnote w:type="continuationSeparator" w:id="0">
    <w:p w14:paraId="1814FD43" w14:textId="77777777" w:rsidR="00216BDB" w:rsidRDefault="00216BDB" w:rsidP="007049B5">
      <w:r>
        <w:continuationSeparator/>
      </w:r>
    </w:p>
    <w:p w14:paraId="7844C396" w14:textId="77777777" w:rsidR="00216BDB" w:rsidRDefault="00216BDB" w:rsidP="007049B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70A0F" w14:textId="3D16A131" w:rsidR="005C0E40" w:rsidRDefault="005C0E40" w:rsidP="00DB0E62">
    <w:pPr>
      <w:pStyle w:val="Hlavika"/>
    </w:pPr>
    <w:r w:rsidRPr="001627A0">
      <w:rPr>
        <w:sz w:val="18"/>
        <w:szCs w:val="18"/>
        <w:lang w:val="es-ES"/>
      </w:rPr>
      <w:t>Príloha č. 1</w:t>
    </w:r>
    <w:r w:rsidRPr="000929FB">
      <w:rPr>
        <w:sz w:val="18"/>
        <w:szCs w:val="18"/>
        <w:lang w:val="es-ES"/>
      </w:rPr>
      <w:t xml:space="preserve"> k notifikácii o zmene, ev.č.: </w:t>
    </w:r>
    <w:r w:rsidRPr="00876172">
      <w:rPr>
        <w:sz w:val="18"/>
        <w:szCs w:val="18"/>
        <w:lang w:val="es-ES"/>
      </w:rPr>
      <w:t>2019/00153</w:t>
    </w:r>
    <w:r>
      <w:rPr>
        <w:sz w:val="18"/>
        <w:szCs w:val="18"/>
        <w:lang w:val="es-ES"/>
      </w:rPr>
      <w:t xml:space="preserve">-Z1B, 2019/00624-Z1A </w:t>
    </w:r>
  </w:p>
  <w:p w14:paraId="42A9BE36" w14:textId="77777777" w:rsidR="005C0E40" w:rsidRDefault="005C0E4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32142" w14:textId="77777777" w:rsidR="005C0E40" w:rsidRDefault="005C0E40" w:rsidP="00DB0E62">
    <w:pPr>
      <w:pStyle w:val="Hlavika"/>
    </w:pPr>
    <w:r w:rsidRPr="001627A0">
      <w:rPr>
        <w:sz w:val="18"/>
        <w:szCs w:val="18"/>
        <w:lang w:val="es-ES"/>
      </w:rPr>
      <w:t>Príloha č. 1</w:t>
    </w:r>
    <w:r w:rsidRPr="000929FB">
      <w:rPr>
        <w:sz w:val="18"/>
        <w:szCs w:val="18"/>
        <w:lang w:val="es-ES"/>
      </w:rPr>
      <w:t xml:space="preserve"> k notifikácii o zmene, ev.č.: </w:t>
    </w:r>
    <w:r>
      <w:rPr>
        <w:sz w:val="18"/>
        <w:szCs w:val="18"/>
        <w:lang w:val="es-ES"/>
      </w:rPr>
      <w:t>2014/05715-Z1B</w:t>
    </w:r>
  </w:p>
  <w:p w14:paraId="5EDFA995" w14:textId="77777777" w:rsidR="005C0E40" w:rsidRDefault="005C0E4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59061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22F8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6019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7032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AC0B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F838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A8EA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70E8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404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4A4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174C7DB5"/>
    <w:multiLevelType w:val="hybridMultilevel"/>
    <w:tmpl w:val="FB0A356A"/>
    <w:lvl w:ilvl="0" w:tplc="942AAA62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86178"/>
    <w:multiLevelType w:val="hybridMultilevel"/>
    <w:tmpl w:val="E6561AC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96279"/>
    <w:multiLevelType w:val="multilevel"/>
    <w:tmpl w:val="1A50E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64443C7"/>
    <w:multiLevelType w:val="hybridMultilevel"/>
    <w:tmpl w:val="65E20A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572B3"/>
    <w:multiLevelType w:val="hybridMultilevel"/>
    <w:tmpl w:val="8F785E0C"/>
    <w:lvl w:ilvl="0" w:tplc="8C204E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D4AA7"/>
    <w:multiLevelType w:val="multilevel"/>
    <w:tmpl w:val="869EEB98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7AF55E16"/>
    <w:multiLevelType w:val="multilevel"/>
    <w:tmpl w:val="98601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5"/>
  </w:num>
  <w:num w:numId="4">
    <w:abstractNumId w:val="14"/>
  </w:num>
  <w:num w:numId="5">
    <w:abstractNumId w:val="12"/>
  </w:num>
  <w:num w:numId="6">
    <w:abstractNumId w:val="13"/>
  </w:num>
  <w:num w:numId="7">
    <w:abstractNumId w:val="17"/>
  </w:num>
  <w:num w:numId="8">
    <w:abstractNumId w:val="16"/>
  </w:num>
  <w:num w:numId="9">
    <w:abstractNumId w:val="16"/>
  </w:num>
  <w:num w:numId="10">
    <w:abstractNumId w:val="8"/>
  </w:num>
  <w:num w:numId="11">
    <w:abstractNumId w:val="3"/>
  </w:num>
  <w:num w:numId="12">
    <w:abstractNumId w:val="2"/>
  </w:num>
  <w:num w:numId="13">
    <w:abstractNumId w:val="0"/>
  </w:num>
  <w:num w:numId="14">
    <w:abstractNumId w:val="1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1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442"/>
    <w:rsid w:val="00022F66"/>
    <w:rsid w:val="00062619"/>
    <w:rsid w:val="000675A4"/>
    <w:rsid w:val="000756AE"/>
    <w:rsid w:val="00080F9E"/>
    <w:rsid w:val="000929FB"/>
    <w:rsid w:val="0009676D"/>
    <w:rsid w:val="000A044B"/>
    <w:rsid w:val="000C0D8E"/>
    <w:rsid w:val="000C3C2C"/>
    <w:rsid w:val="000D0A8A"/>
    <w:rsid w:val="000E1C21"/>
    <w:rsid w:val="0011074D"/>
    <w:rsid w:val="0015754B"/>
    <w:rsid w:val="001627A0"/>
    <w:rsid w:val="001701F4"/>
    <w:rsid w:val="001949C9"/>
    <w:rsid w:val="001A135C"/>
    <w:rsid w:val="001A7040"/>
    <w:rsid w:val="001F0DAC"/>
    <w:rsid w:val="001F0DEB"/>
    <w:rsid w:val="00206661"/>
    <w:rsid w:val="00216BDB"/>
    <w:rsid w:val="0022354B"/>
    <w:rsid w:val="002331C4"/>
    <w:rsid w:val="00245966"/>
    <w:rsid w:val="00250F50"/>
    <w:rsid w:val="00261A20"/>
    <w:rsid w:val="00266355"/>
    <w:rsid w:val="00276C35"/>
    <w:rsid w:val="00282531"/>
    <w:rsid w:val="00285B0D"/>
    <w:rsid w:val="002A00AA"/>
    <w:rsid w:val="002A2642"/>
    <w:rsid w:val="002A4DC2"/>
    <w:rsid w:val="002B38FB"/>
    <w:rsid w:val="002E0E60"/>
    <w:rsid w:val="002E42F9"/>
    <w:rsid w:val="002F2747"/>
    <w:rsid w:val="00303D29"/>
    <w:rsid w:val="00310E75"/>
    <w:rsid w:val="00321DE4"/>
    <w:rsid w:val="00355ADE"/>
    <w:rsid w:val="0037696B"/>
    <w:rsid w:val="00394303"/>
    <w:rsid w:val="003A1154"/>
    <w:rsid w:val="003B49EC"/>
    <w:rsid w:val="003E67ED"/>
    <w:rsid w:val="003F137B"/>
    <w:rsid w:val="00405287"/>
    <w:rsid w:val="00405A33"/>
    <w:rsid w:val="00460BC6"/>
    <w:rsid w:val="00494557"/>
    <w:rsid w:val="004948B3"/>
    <w:rsid w:val="004B3545"/>
    <w:rsid w:val="004B560C"/>
    <w:rsid w:val="004E1092"/>
    <w:rsid w:val="004E362A"/>
    <w:rsid w:val="004E61CB"/>
    <w:rsid w:val="004E6251"/>
    <w:rsid w:val="004F0BBB"/>
    <w:rsid w:val="004F2FF3"/>
    <w:rsid w:val="00510603"/>
    <w:rsid w:val="005155EA"/>
    <w:rsid w:val="005312FE"/>
    <w:rsid w:val="00547171"/>
    <w:rsid w:val="00547EBD"/>
    <w:rsid w:val="0055330D"/>
    <w:rsid w:val="00575145"/>
    <w:rsid w:val="005C0E40"/>
    <w:rsid w:val="005C5CE4"/>
    <w:rsid w:val="005F2F70"/>
    <w:rsid w:val="005F69AE"/>
    <w:rsid w:val="00631BBB"/>
    <w:rsid w:val="006473CF"/>
    <w:rsid w:val="006564D4"/>
    <w:rsid w:val="006A12AD"/>
    <w:rsid w:val="006A19C6"/>
    <w:rsid w:val="006D55F9"/>
    <w:rsid w:val="00701D35"/>
    <w:rsid w:val="007049B5"/>
    <w:rsid w:val="007107D8"/>
    <w:rsid w:val="00733FA5"/>
    <w:rsid w:val="007444A0"/>
    <w:rsid w:val="00744839"/>
    <w:rsid w:val="00744B23"/>
    <w:rsid w:val="007A57FA"/>
    <w:rsid w:val="007B55DB"/>
    <w:rsid w:val="007D00F9"/>
    <w:rsid w:val="007D799C"/>
    <w:rsid w:val="007F5F35"/>
    <w:rsid w:val="007F71B4"/>
    <w:rsid w:val="007F7739"/>
    <w:rsid w:val="00813791"/>
    <w:rsid w:val="008656CD"/>
    <w:rsid w:val="00875587"/>
    <w:rsid w:val="00876172"/>
    <w:rsid w:val="00885F46"/>
    <w:rsid w:val="008904ED"/>
    <w:rsid w:val="008A2400"/>
    <w:rsid w:val="008A6EE9"/>
    <w:rsid w:val="008B2C1A"/>
    <w:rsid w:val="008C0BAB"/>
    <w:rsid w:val="008E15C0"/>
    <w:rsid w:val="008E38A5"/>
    <w:rsid w:val="008F5FB3"/>
    <w:rsid w:val="009019DC"/>
    <w:rsid w:val="00916D9F"/>
    <w:rsid w:val="00921FAE"/>
    <w:rsid w:val="00924AE5"/>
    <w:rsid w:val="0095718D"/>
    <w:rsid w:val="00967AAA"/>
    <w:rsid w:val="009736C1"/>
    <w:rsid w:val="00982691"/>
    <w:rsid w:val="00983230"/>
    <w:rsid w:val="009A12E8"/>
    <w:rsid w:val="009D390B"/>
    <w:rsid w:val="009E01F4"/>
    <w:rsid w:val="009E6B93"/>
    <w:rsid w:val="00A03082"/>
    <w:rsid w:val="00A1085C"/>
    <w:rsid w:val="00A137C8"/>
    <w:rsid w:val="00A14744"/>
    <w:rsid w:val="00A15F35"/>
    <w:rsid w:val="00A37D9F"/>
    <w:rsid w:val="00A45CF5"/>
    <w:rsid w:val="00A50BD7"/>
    <w:rsid w:val="00A562CD"/>
    <w:rsid w:val="00A61BCE"/>
    <w:rsid w:val="00A64885"/>
    <w:rsid w:val="00A83AE5"/>
    <w:rsid w:val="00AA64A2"/>
    <w:rsid w:val="00AE256D"/>
    <w:rsid w:val="00AF430C"/>
    <w:rsid w:val="00B0585C"/>
    <w:rsid w:val="00B10EE9"/>
    <w:rsid w:val="00B13D5A"/>
    <w:rsid w:val="00B169AD"/>
    <w:rsid w:val="00B329D8"/>
    <w:rsid w:val="00B40A1F"/>
    <w:rsid w:val="00B4208D"/>
    <w:rsid w:val="00B51449"/>
    <w:rsid w:val="00B61F4F"/>
    <w:rsid w:val="00B753F9"/>
    <w:rsid w:val="00B81347"/>
    <w:rsid w:val="00B816DE"/>
    <w:rsid w:val="00B83510"/>
    <w:rsid w:val="00B83972"/>
    <w:rsid w:val="00B847B7"/>
    <w:rsid w:val="00B84C03"/>
    <w:rsid w:val="00B92767"/>
    <w:rsid w:val="00BA0874"/>
    <w:rsid w:val="00BA5A9E"/>
    <w:rsid w:val="00BC7E57"/>
    <w:rsid w:val="00BF1FB0"/>
    <w:rsid w:val="00BF6962"/>
    <w:rsid w:val="00C05F91"/>
    <w:rsid w:val="00C13E02"/>
    <w:rsid w:val="00C21442"/>
    <w:rsid w:val="00C26C47"/>
    <w:rsid w:val="00C41C4F"/>
    <w:rsid w:val="00C43C66"/>
    <w:rsid w:val="00C44126"/>
    <w:rsid w:val="00C447F3"/>
    <w:rsid w:val="00C661C4"/>
    <w:rsid w:val="00C74BDC"/>
    <w:rsid w:val="00CA5879"/>
    <w:rsid w:val="00CB2FD7"/>
    <w:rsid w:val="00CF42FD"/>
    <w:rsid w:val="00D07F1D"/>
    <w:rsid w:val="00D147AD"/>
    <w:rsid w:val="00D4424C"/>
    <w:rsid w:val="00D51F93"/>
    <w:rsid w:val="00D601DA"/>
    <w:rsid w:val="00D63544"/>
    <w:rsid w:val="00D659C7"/>
    <w:rsid w:val="00D703B4"/>
    <w:rsid w:val="00D76715"/>
    <w:rsid w:val="00D76E49"/>
    <w:rsid w:val="00D83D73"/>
    <w:rsid w:val="00D92925"/>
    <w:rsid w:val="00DA6D24"/>
    <w:rsid w:val="00DA7A1B"/>
    <w:rsid w:val="00DB0C1E"/>
    <w:rsid w:val="00DB0E62"/>
    <w:rsid w:val="00DB4FDF"/>
    <w:rsid w:val="00DC1715"/>
    <w:rsid w:val="00DE1B35"/>
    <w:rsid w:val="00DE1F65"/>
    <w:rsid w:val="00DE6BD6"/>
    <w:rsid w:val="00E003B3"/>
    <w:rsid w:val="00E0374F"/>
    <w:rsid w:val="00E05364"/>
    <w:rsid w:val="00E100D6"/>
    <w:rsid w:val="00E114F1"/>
    <w:rsid w:val="00E12DB3"/>
    <w:rsid w:val="00E20238"/>
    <w:rsid w:val="00E4159B"/>
    <w:rsid w:val="00E571DD"/>
    <w:rsid w:val="00E65708"/>
    <w:rsid w:val="00E66DB0"/>
    <w:rsid w:val="00E74738"/>
    <w:rsid w:val="00E855D3"/>
    <w:rsid w:val="00EB7858"/>
    <w:rsid w:val="00EC1FF9"/>
    <w:rsid w:val="00EC676A"/>
    <w:rsid w:val="00ED2191"/>
    <w:rsid w:val="00ED3F3A"/>
    <w:rsid w:val="00F367FA"/>
    <w:rsid w:val="00F40819"/>
    <w:rsid w:val="00F40E51"/>
    <w:rsid w:val="00F46588"/>
    <w:rsid w:val="00F47536"/>
    <w:rsid w:val="00F64E8E"/>
    <w:rsid w:val="00F8662C"/>
    <w:rsid w:val="00F91CB2"/>
    <w:rsid w:val="00FA04E0"/>
    <w:rsid w:val="00FA3180"/>
    <w:rsid w:val="00FB5B27"/>
    <w:rsid w:val="00FC55AA"/>
    <w:rsid w:val="00FD5CA9"/>
    <w:rsid w:val="00FE67CF"/>
    <w:rsid w:val="00FF0764"/>
    <w:rsid w:val="00FF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3D667322"/>
  <w15:docId w15:val="{9F013D9D-BD1E-4E48-B478-D490E6D8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67FA"/>
    <w:rPr>
      <w:sz w:val="22"/>
      <w:lang w:eastAsia="cs-CZ"/>
    </w:rPr>
  </w:style>
  <w:style w:type="paragraph" w:styleId="Nadpis1">
    <w:name w:val="heading 1"/>
    <w:basedOn w:val="Normlny"/>
    <w:next w:val="Normlny"/>
    <w:qFormat/>
    <w:rsid w:val="00EC1FF9"/>
    <w:pPr>
      <w:keepNext/>
      <w:jc w:val="center"/>
      <w:outlineLvl w:val="0"/>
    </w:pPr>
    <w:rPr>
      <w:rFonts w:ascii="Arial" w:hAnsi="Arial"/>
      <w:b/>
      <w:sz w:val="28"/>
      <w:lang w:val="cs-CZ"/>
    </w:rPr>
  </w:style>
  <w:style w:type="paragraph" w:styleId="Nadpis2">
    <w:name w:val="heading 2"/>
    <w:basedOn w:val="Normlny"/>
    <w:next w:val="Normlny"/>
    <w:qFormat/>
    <w:rsid w:val="009E6B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9E6B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y"/>
    <w:next w:val="Normlny"/>
    <w:qFormat/>
    <w:rsid w:val="00F866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y"/>
    <w:next w:val="Normlny"/>
    <w:qFormat/>
    <w:rsid w:val="00D4424C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EC1FF9"/>
    <w:rPr>
      <w:color w:val="0000FF"/>
      <w:u w:val="single"/>
    </w:rPr>
  </w:style>
  <w:style w:type="paragraph" w:customStyle="1" w:styleId="Textbubliny1">
    <w:name w:val="Text bubliny1"/>
    <w:basedOn w:val="Normlny"/>
    <w:semiHidden/>
    <w:rsid w:val="00D4424C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rsid w:val="00EC1FF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EC1FF9"/>
    <w:rPr>
      <w:lang w:eastAsia="sk-SK"/>
    </w:rPr>
  </w:style>
  <w:style w:type="character" w:customStyle="1" w:styleId="TextkomentraChar">
    <w:name w:val="Text komentára Char"/>
    <w:link w:val="Textkomentra"/>
    <w:uiPriority w:val="99"/>
    <w:rsid w:val="009019DC"/>
    <w:rPr>
      <w:sz w:val="24"/>
      <w:lang w:val="en-US" w:eastAsia="sk-SK"/>
    </w:rPr>
  </w:style>
  <w:style w:type="paragraph" w:customStyle="1" w:styleId="Predmetkomentra1">
    <w:name w:val="Predmet komentára1"/>
    <w:basedOn w:val="Textkomentra"/>
    <w:next w:val="Textkomentra"/>
    <w:semiHidden/>
    <w:rsid w:val="00D4424C"/>
    <w:rPr>
      <w:b/>
      <w:bCs/>
    </w:rPr>
  </w:style>
  <w:style w:type="paragraph" w:customStyle="1" w:styleId="EMEAEnBodyText">
    <w:name w:val="EMEA En Body Text"/>
    <w:basedOn w:val="Normlny"/>
    <w:rsid w:val="00D4424C"/>
    <w:pPr>
      <w:spacing w:before="120" w:after="120"/>
      <w:jc w:val="both"/>
    </w:pPr>
    <w:rPr>
      <w:lang w:val="en-US" w:eastAsia="en-US"/>
    </w:rPr>
  </w:style>
  <w:style w:type="paragraph" w:styleId="Zkladntext">
    <w:name w:val="Body Text"/>
    <w:basedOn w:val="Normlny"/>
    <w:link w:val="ZkladntextChar"/>
    <w:rsid w:val="00D4424C"/>
  </w:style>
  <w:style w:type="character" w:customStyle="1" w:styleId="ZkladntextChar">
    <w:name w:val="Základný text Char"/>
    <w:link w:val="Zkladntext"/>
    <w:rsid w:val="004F2FF3"/>
    <w:rPr>
      <w:sz w:val="24"/>
      <w:lang w:val="en-US"/>
    </w:rPr>
  </w:style>
  <w:style w:type="paragraph" w:styleId="Textbubliny">
    <w:name w:val="Balloon Text"/>
    <w:basedOn w:val="Normlny"/>
    <w:semiHidden/>
    <w:rsid w:val="00EC1FF9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EC1FF9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uiPriority w:val="99"/>
    <w:rsid w:val="00C13E02"/>
    <w:rPr>
      <w:sz w:val="22"/>
      <w:lang w:val="en-US"/>
    </w:rPr>
  </w:style>
  <w:style w:type="character" w:styleId="slostrany">
    <w:name w:val="page number"/>
    <w:basedOn w:val="Predvolenpsmoodseku"/>
    <w:rsid w:val="00EC1FF9"/>
  </w:style>
  <w:style w:type="paragraph" w:styleId="Hlavika">
    <w:name w:val="header"/>
    <w:basedOn w:val="Normlny"/>
    <w:rsid w:val="00EC1FF9"/>
    <w:pPr>
      <w:tabs>
        <w:tab w:val="center" w:pos="4536"/>
        <w:tab w:val="right" w:pos="9072"/>
      </w:tabs>
    </w:p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A14744"/>
    <w:pPr>
      <w:numPr>
        <w:numId w:val="21"/>
      </w:numPr>
      <w:tabs>
        <w:tab w:val="clear" w:pos="6946"/>
      </w:tabs>
      <w:suppressAutoHyphens/>
    </w:pPr>
    <w:rPr>
      <w:rFonts w:ascii="TimesNewRoman" w:hAnsi="TimesNewRoman" w:cs="TimesNewRoman"/>
      <w:noProof/>
    </w:rPr>
  </w:style>
  <w:style w:type="paragraph" w:customStyle="1" w:styleId="Styl10">
    <w:name w:val="Styl 1"/>
    <w:basedOn w:val="Normlny"/>
    <w:rsid w:val="00F46588"/>
    <w:pPr>
      <w:autoSpaceDE w:val="0"/>
      <w:autoSpaceDN w:val="0"/>
      <w:adjustRightInd w:val="0"/>
      <w:spacing w:before="240" w:after="120"/>
    </w:pPr>
    <w:rPr>
      <w:b/>
      <w:bCs/>
      <w:color w:val="000000"/>
      <w:szCs w:val="24"/>
      <w:lang w:eastAsia="sk-SK"/>
    </w:rPr>
  </w:style>
  <w:style w:type="paragraph" w:customStyle="1" w:styleId="Styl20">
    <w:name w:val="Styl 2"/>
    <w:basedOn w:val="Normlny"/>
    <w:link w:val="Styl2Char"/>
    <w:autoRedefine/>
    <w:rsid w:val="00A61BCE"/>
    <w:pPr>
      <w:spacing w:after="120"/>
    </w:pPr>
    <w:rPr>
      <w:rFonts w:ascii="TimesNewRoman,Bold" w:hAnsi="TimesNewRoman,Bold"/>
      <w:b/>
      <w:bCs/>
    </w:rPr>
  </w:style>
  <w:style w:type="character" w:customStyle="1" w:styleId="Styl2Char">
    <w:name w:val="Styl 2 Char"/>
    <w:link w:val="Styl20"/>
    <w:rsid w:val="00CA5879"/>
    <w:rPr>
      <w:rFonts w:ascii="TimesNewRoman,Bold" w:hAnsi="TimesNewRoman,Bold"/>
      <w:b/>
      <w:bCs/>
      <w:sz w:val="22"/>
      <w:lang w:val="sk-SK" w:eastAsia="sk-SK"/>
    </w:rPr>
  </w:style>
  <w:style w:type="character" w:customStyle="1" w:styleId="BacilChar">
    <w:name w:val="Bacil Char"/>
    <w:link w:val="Bacil"/>
    <w:rsid w:val="00B847B7"/>
    <w:rPr>
      <w:i/>
      <w:sz w:val="22"/>
      <w:szCs w:val="22"/>
    </w:rPr>
  </w:style>
  <w:style w:type="paragraph" w:customStyle="1" w:styleId="Bodytext">
    <w:name w:val="Bodytext"/>
    <w:basedOn w:val="Normlny"/>
    <w:rsid w:val="00F8662C"/>
    <w:pPr>
      <w:spacing w:after="200" w:line="360" w:lineRule="exact"/>
      <w:ind w:left="851"/>
    </w:pPr>
    <w:rPr>
      <w:sz w:val="24"/>
      <w:szCs w:val="24"/>
      <w:lang w:eastAsia="sk-SK"/>
    </w:rPr>
  </w:style>
  <w:style w:type="paragraph" w:customStyle="1" w:styleId="Styl3">
    <w:name w:val="Styl 3"/>
    <w:basedOn w:val="Normlny"/>
    <w:autoRedefine/>
    <w:rsid w:val="008A6EE9"/>
    <w:pPr>
      <w:spacing w:after="120"/>
    </w:pPr>
    <w:rPr>
      <w:rFonts w:ascii="TimesNewRoman,Italic" w:hAnsi="TimesNewRoman,Italic"/>
      <w:i/>
      <w:iCs/>
      <w:u w:val="single"/>
    </w:rPr>
  </w:style>
  <w:style w:type="paragraph" w:customStyle="1" w:styleId="tlStyl3NiejeKurzva">
    <w:name w:val="Štýl Styl3 + Nie je Kurzíva"/>
    <w:basedOn w:val="Styl30"/>
    <w:rsid w:val="00405287"/>
    <w:rPr>
      <w:b/>
      <w:i w:val="0"/>
    </w:rPr>
  </w:style>
  <w:style w:type="character" w:customStyle="1" w:styleId="Styl3Char">
    <w:name w:val="Styl3 Char"/>
    <w:link w:val="Styl30"/>
    <w:rsid w:val="00321DE4"/>
    <w:rPr>
      <w:i/>
      <w:sz w:val="22"/>
      <w:szCs w:val="24"/>
      <w:u w:val="single"/>
      <w:lang w:eastAsia="cs-CZ"/>
    </w:rPr>
  </w:style>
  <w:style w:type="table" w:styleId="Mriekatabuky">
    <w:name w:val="Table Grid"/>
    <w:basedOn w:val="Normlnatabuka"/>
    <w:rsid w:val="00EC1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3">
    <w:name w:val="Body Text Indent 3"/>
    <w:basedOn w:val="Normlny"/>
    <w:rsid w:val="009E6B93"/>
    <w:pPr>
      <w:spacing w:after="120"/>
      <w:ind w:left="283"/>
    </w:pPr>
    <w:rPr>
      <w:sz w:val="16"/>
      <w:szCs w:val="16"/>
    </w:rPr>
  </w:style>
  <w:style w:type="paragraph" w:styleId="Zarkazkladnhotextu">
    <w:name w:val="Body Text Indent"/>
    <w:basedOn w:val="Normlny"/>
    <w:link w:val="ZarkazkladnhotextuChar"/>
    <w:rsid w:val="009E6B93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4F2FF3"/>
    <w:rPr>
      <w:sz w:val="24"/>
      <w:lang w:val="en-US"/>
    </w:rPr>
  </w:style>
  <w:style w:type="paragraph" w:customStyle="1" w:styleId="GlobalBayerBodyText">
    <w:name w:val="Global Bayer Body Text"/>
    <w:basedOn w:val="Normlny"/>
    <w:rsid w:val="009E6B93"/>
    <w:pPr>
      <w:tabs>
        <w:tab w:val="left" w:pos="11174"/>
        <w:tab w:val="left" w:pos="15142"/>
      </w:tabs>
      <w:suppressAutoHyphens/>
      <w:spacing w:before="120" w:after="240"/>
    </w:pPr>
    <w:rPr>
      <w:rFonts w:ascii="Arial" w:hAnsi="Arial" w:cs="Arial"/>
      <w:sz w:val="24"/>
      <w:lang w:val="en-US" w:eastAsia="de-DE"/>
    </w:rPr>
  </w:style>
  <w:style w:type="paragraph" w:styleId="Popis">
    <w:name w:val="caption"/>
    <w:aliases w:val="Bayer Caption"/>
    <w:basedOn w:val="Normlny"/>
    <w:next w:val="Normlny"/>
    <w:qFormat/>
    <w:rsid w:val="009E6B93"/>
    <w:pPr>
      <w:keepNext/>
      <w:spacing w:before="120" w:after="120"/>
      <w:ind w:left="907"/>
    </w:pPr>
    <w:rPr>
      <w:rFonts w:ascii="Arial" w:eastAsia="PMingLiU" w:hAnsi="Arial" w:cs="Arial"/>
      <w:b/>
      <w:bCs/>
      <w:sz w:val="20"/>
      <w:lang w:val="en-US" w:eastAsia="zh-TW"/>
    </w:rPr>
  </w:style>
  <w:style w:type="paragraph" w:customStyle="1" w:styleId="BayerTableStyleCentered">
    <w:name w:val="Bayer TableStyle Centered"/>
    <w:basedOn w:val="Normlny"/>
    <w:rsid w:val="009E6B93"/>
    <w:pPr>
      <w:jc w:val="center"/>
    </w:pPr>
    <w:rPr>
      <w:rFonts w:ascii="Arial" w:eastAsia="PMingLiU" w:hAnsi="Arial" w:cs="Arial"/>
      <w:sz w:val="20"/>
      <w:lang w:val="en-US" w:eastAsia="zh-TW"/>
    </w:rPr>
  </w:style>
  <w:style w:type="paragraph" w:customStyle="1" w:styleId="BayerTableColumnHeadings">
    <w:name w:val="Bayer Table Column Headings"/>
    <w:basedOn w:val="BayerTableStyleCentered"/>
    <w:rsid w:val="009E6B93"/>
    <w:rPr>
      <w:b/>
      <w:bCs/>
    </w:rPr>
  </w:style>
  <w:style w:type="paragraph" w:customStyle="1" w:styleId="BayerTableRowHeadings">
    <w:name w:val="Bayer Table Row Headings"/>
    <w:basedOn w:val="Normlny"/>
    <w:rsid w:val="009E6B93"/>
    <w:rPr>
      <w:rFonts w:ascii="Arial" w:hAnsi="Arial" w:cs="Arial"/>
      <w:szCs w:val="22"/>
      <w:lang w:val="en-US" w:eastAsia="en-US"/>
    </w:rPr>
  </w:style>
  <w:style w:type="paragraph" w:customStyle="1" w:styleId="BayerTableStyleLeftJustified">
    <w:name w:val="Bayer TableStyle Left Justified"/>
    <w:basedOn w:val="Normlny"/>
    <w:rsid w:val="009E6B93"/>
    <w:pPr>
      <w:keepNext/>
      <w:widowControl w:val="0"/>
    </w:pPr>
    <w:rPr>
      <w:rFonts w:ascii="Arial" w:hAnsi="Arial" w:cs="Arial"/>
      <w:sz w:val="20"/>
      <w:lang w:val="en-US" w:eastAsia="de-DE"/>
    </w:rPr>
  </w:style>
  <w:style w:type="paragraph" w:customStyle="1" w:styleId="BayerBodyTextFull">
    <w:name w:val="Bayer Body Text Full"/>
    <w:basedOn w:val="Normlny"/>
    <w:rsid w:val="009E6B93"/>
    <w:pPr>
      <w:spacing w:before="120" w:after="120"/>
    </w:pPr>
    <w:rPr>
      <w:sz w:val="24"/>
      <w:lang w:val="en-US" w:eastAsia="de-DE"/>
    </w:rPr>
  </w:style>
  <w:style w:type="paragraph" w:customStyle="1" w:styleId="GlobalBayerHeading3">
    <w:name w:val="Global Bayer Heading 3"/>
    <w:basedOn w:val="Nadpis3"/>
    <w:next w:val="GlobalBayerBodyText"/>
    <w:rsid w:val="009E6B93"/>
    <w:pPr>
      <w:spacing w:after="120"/>
      <w:jc w:val="both"/>
    </w:pPr>
    <w:rPr>
      <w:sz w:val="22"/>
      <w:szCs w:val="22"/>
      <w:lang w:val="en-US" w:eastAsia="en-US"/>
    </w:rPr>
  </w:style>
  <w:style w:type="paragraph" w:customStyle="1" w:styleId="GlobalBayerHeading2">
    <w:name w:val="Global Bayer Heading 2"/>
    <w:basedOn w:val="Nadpis2"/>
    <w:next w:val="GlobalBayerBodyText"/>
    <w:rsid w:val="009E6B93"/>
    <w:pPr>
      <w:spacing w:after="120"/>
    </w:pPr>
    <w:rPr>
      <w:i w:val="0"/>
      <w:iCs w:val="0"/>
      <w:sz w:val="24"/>
      <w:szCs w:val="24"/>
      <w:lang w:val="en-US" w:eastAsia="en-US"/>
    </w:rPr>
  </w:style>
  <w:style w:type="paragraph" w:customStyle="1" w:styleId="BayerTableStyle">
    <w:name w:val="Bayer TableStyle"/>
    <w:basedOn w:val="Normlny"/>
    <w:rsid w:val="009E6B93"/>
    <w:pPr>
      <w:keepNext/>
      <w:widowControl w:val="0"/>
      <w:autoSpaceDE w:val="0"/>
      <w:autoSpaceDN w:val="0"/>
    </w:pPr>
    <w:rPr>
      <w:rFonts w:ascii="Arial" w:eastAsia="PMingLiU" w:hAnsi="Arial" w:cs="Arial"/>
      <w:sz w:val="20"/>
      <w:lang w:val="en-US" w:eastAsia="fr-FR"/>
    </w:rPr>
  </w:style>
  <w:style w:type="character" w:customStyle="1" w:styleId="FormatvorlageGlobalBayerBodyTextTimesNewRoman11ptZchn">
    <w:name w:val="Formatvorlage Global Bayer Body Text + Times New Roman 11 pt Zchn"/>
    <w:locked/>
    <w:rsid w:val="009E6B93"/>
    <w:rPr>
      <w:rFonts w:ascii="Arial" w:hAnsi="Arial" w:cs="Arial"/>
      <w:sz w:val="22"/>
      <w:szCs w:val="24"/>
      <w:lang w:val="en-US" w:eastAsia="de-DE" w:bidi="ar-SA"/>
    </w:rPr>
  </w:style>
  <w:style w:type="character" w:customStyle="1" w:styleId="FormatvorlageGlobalBayerBodyTextLateinTimesNewRomanAsiatischZchn">
    <w:name w:val="Formatvorlage Global Bayer Body Text + (Latein) Times New Roman (Asiatisch... Zchn"/>
    <w:locked/>
    <w:rsid w:val="009E6B93"/>
    <w:rPr>
      <w:rFonts w:ascii="Arial" w:eastAsia="Batang" w:hAnsi="Arial" w:cs="Arial"/>
      <w:sz w:val="22"/>
      <w:szCs w:val="22"/>
      <w:lang w:val="en-US" w:eastAsia="de-DE" w:bidi="ar-SA"/>
    </w:rPr>
  </w:style>
  <w:style w:type="character" w:styleId="Zvraznenie">
    <w:name w:val="Emphasis"/>
    <w:qFormat/>
    <w:rsid w:val="009E6B93"/>
    <w:rPr>
      <w:b/>
      <w:bCs/>
      <w:i w:val="0"/>
      <w:iCs w:val="0"/>
    </w:rPr>
  </w:style>
  <w:style w:type="paragraph" w:customStyle="1" w:styleId="tlVavo0cmOpakovanzarka">
    <w:name w:val="Štýl Vľavo:  0 cm Opakovaná zarážka:"/>
    <w:basedOn w:val="Normlny"/>
    <w:next w:val="Styl10"/>
    <w:autoRedefine/>
    <w:rsid w:val="009E6B93"/>
  </w:style>
  <w:style w:type="paragraph" w:customStyle="1" w:styleId="SPCnadpis">
    <w:name w:val="SPC nadpis"/>
    <w:basedOn w:val="Nadpis1"/>
    <w:rsid w:val="00EC1FF9"/>
    <w:pPr>
      <w:keepNext w:val="0"/>
      <w:spacing w:after="120"/>
      <w:ind w:left="357" w:hanging="357"/>
    </w:pPr>
    <w:rPr>
      <w:rFonts w:ascii="Times New Roman" w:hAnsi="Times New Roman"/>
      <w:sz w:val="22"/>
      <w:lang w:val="en-US" w:eastAsia="en-US"/>
    </w:rPr>
  </w:style>
  <w:style w:type="paragraph" w:customStyle="1" w:styleId="Bacil">
    <w:name w:val="Bacil"/>
    <w:basedOn w:val="Normlny"/>
    <w:link w:val="BacilChar"/>
    <w:autoRedefine/>
    <w:rsid w:val="00EC1FF9"/>
    <w:pPr>
      <w:ind w:left="360" w:firstLine="357"/>
    </w:pPr>
    <w:rPr>
      <w:i/>
      <w:szCs w:val="22"/>
      <w:lang w:val="cs-CZ"/>
    </w:rPr>
  </w:style>
  <w:style w:type="table" w:styleId="Mriekatabuky5">
    <w:name w:val="Table Grid 5"/>
    <w:basedOn w:val="Normlnatabuka"/>
    <w:rsid w:val="00EC1FF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Nzov">
    <w:name w:val="Title"/>
    <w:basedOn w:val="Normlny"/>
    <w:link w:val="NzovChar"/>
    <w:qFormat/>
    <w:rsid w:val="00EC1FF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EC1FF9"/>
    <w:rPr>
      <w:rFonts w:ascii="Arial" w:hAnsi="Arial" w:cs="Arial"/>
      <w:b/>
      <w:bCs/>
      <w:kern w:val="28"/>
      <w:sz w:val="32"/>
      <w:szCs w:val="32"/>
      <w:lang w:val="en-US"/>
    </w:rPr>
  </w:style>
  <w:style w:type="paragraph" w:customStyle="1" w:styleId="MusterTitel">
    <w:name w:val="Muster_Titel"/>
    <w:basedOn w:val="Nzov"/>
    <w:rsid w:val="00EC1FF9"/>
    <w:pPr>
      <w:spacing w:before="480" w:after="480"/>
      <w:ind w:left="567"/>
      <w:outlineLvl w:val="9"/>
    </w:pPr>
    <w:rPr>
      <w:b w:val="0"/>
      <w:bCs w:val="0"/>
      <w:kern w:val="1"/>
      <w:sz w:val="28"/>
      <w:szCs w:val="28"/>
      <w:lang w:val="de-DE" w:eastAsia="ar-SA"/>
    </w:rPr>
  </w:style>
  <w:style w:type="paragraph" w:customStyle="1" w:styleId="Normlny1">
    <w:name w:val="Normálny1"/>
    <w:aliases w:val="webb"/>
    <w:rsid w:val="00EC1FF9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customStyle="1" w:styleId="Normlndobloku">
    <w:name w:val="Normální do bloku"/>
    <w:basedOn w:val="Normlny"/>
    <w:link w:val="NormlndoblokuChar"/>
    <w:rsid w:val="00A15F35"/>
    <w:pPr>
      <w:tabs>
        <w:tab w:val="left" w:pos="6946"/>
      </w:tabs>
      <w:spacing w:after="120"/>
      <w:jc w:val="both"/>
    </w:pPr>
    <w:rPr>
      <w:szCs w:val="24"/>
      <w:lang w:val="cs-CZ"/>
    </w:rPr>
  </w:style>
  <w:style w:type="paragraph" w:styleId="truktradokumentu">
    <w:name w:val="Document Map"/>
    <w:basedOn w:val="Normlny"/>
    <w:link w:val="truktradokumentuChar"/>
    <w:rsid w:val="00EC1FF9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link w:val="truktradokumentu"/>
    <w:rsid w:val="00EC1FF9"/>
    <w:rPr>
      <w:rFonts w:ascii="Tahoma" w:hAnsi="Tahoma" w:cs="Tahoma"/>
      <w:sz w:val="24"/>
      <w:shd w:val="clear" w:color="auto" w:fill="000080"/>
      <w:lang w:val="en-US"/>
    </w:rPr>
  </w:style>
  <w:style w:type="paragraph" w:customStyle="1" w:styleId="Styl1">
    <w:name w:val="Styl1"/>
    <w:basedOn w:val="Normlny"/>
    <w:autoRedefine/>
    <w:rsid w:val="00982691"/>
    <w:pPr>
      <w:keepNext/>
      <w:numPr>
        <w:numId w:val="9"/>
      </w:numPr>
      <w:spacing w:before="720" w:after="240"/>
      <w:ind w:left="357" w:hanging="357"/>
    </w:pPr>
    <w:rPr>
      <w:b/>
      <w:bCs/>
      <w:caps/>
      <w:szCs w:val="24"/>
      <w:lang w:val="cs-CZ" w:eastAsia="en-US"/>
    </w:rPr>
  </w:style>
  <w:style w:type="paragraph" w:customStyle="1" w:styleId="Styl2">
    <w:name w:val="Styl2"/>
    <w:basedOn w:val="Normlny"/>
    <w:autoRedefine/>
    <w:rsid w:val="00A15F35"/>
    <w:pPr>
      <w:keepNext/>
      <w:numPr>
        <w:ilvl w:val="1"/>
        <w:numId w:val="9"/>
      </w:numPr>
      <w:spacing w:after="120"/>
      <w:ind w:left="0" w:firstLine="0"/>
    </w:pPr>
    <w:rPr>
      <w:b/>
      <w:bCs/>
      <w:szCs w:val="22"/>
      <w:lang w:val="cs-CZ" w:eastAsia="en-US"/>
    </w:rPr>
  </w:style>
  <w:style w:type="paragraph" w:customStyle="1" w:styleId="Styl30">
    <w:name w:val="Styl3"/>
    <w:basedOn w:val="Normlny"/>
    <w:link w:val="Styl3Char"/>
    <w:autoRedefine/>
    <w:rsid w:val="00F91CB2"/>
    <w:pPr>
      <w:tabs>
        <w:tab w:val="left" w:pos="6946"/>
      </w:tabs>
      <w:spacing w:before="120" w:after="120"/>
      <w:jc w:val="both"/>
    </w:pPr>
    <w:rPr>
      <w:i/>
      <w:szCs w:val="24"/>
      <w:u w:val="single"/>
    </w:rPr>
  </w:style>
  <w:style w:type="paragraph" w:customStyle="1" w:styleId="Styl4">
    <w:name w:val="Styl4"/>
    <w:basedOn w:val="Styl2"/>
    <w:autoRedefine/>
    <w:rsid w:val="00EC1FF9"/>
    <w:pPr>
      <w:numPr>
        <w:ilvl w:val="0"/>
        <w:numId w:val="0"/>
      </w:numPr>
    </w:pPr>
  </w:style>
  <w:style w:type="character" w:customStyle="1" w:styleId="NormlndoblokuChar">
    <w:name w:val="Normální do bloku Char"/>
    <w:link w:val="Normlndobloku"/>
    <w:rsid w:val="00321DE4"/>
    <w:rPr>
      <w:sz w:val="22"/>
      <w:szCs w:val="24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D147AD"/>
    <w:rPr>
      <w:b/>
      <w:bCs/>
      <w:sz w:val="20"/>
      <w:lang w:eastAsia="cs-CZ"/>
    </w:rPr>
  </w:style>
  <w:style w:type="character" w:customStyle="1" w:styleId="PredmetkomentraChar">
    <w:name w:val="Predmet komentára Char"/>
    <w:basedOn w:val="TextkomentraChar"/>
    <w:link w:val="Predmetkomentra"/>
    <w:rsid w:val="00D147AD"/>
    <w:rPr>
      <w:b/>
      <w:bCs/>
      <w:sz w:val="24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19</Pages>
  <Words>5421</Words>
  <Characters>35383</Characters>
  <Application>Microsoft Office Word</Application>
  <DocSecurity>0</DocSecurity>
  <Lines>294</Lines>
  <Paragraphs>81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Version 7</vt:lpstr>
      <vt:lpstr>Version 7</vt:lpstr>
    </vt:vector>
  </TitlesOfParts>
  <Company>Štátny ústav pre kontrolu liečiv</Company>
  <LinksUpToDate>false</LinksUpToDate>
  <CharactersWithSpaces>40723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7</dc:title>
  <dc:subject>General-EMEA/220782/2008</dc:subject>
  <dc:creator>jankase</dc:creator>
  <cp:lastModifiedBy>Repiščáková, Janka</cp:lastModifiedBy>
  <cp:revision>15</cp:revision>
  <cp:lastPrinted>2009-04-06T08:51:00Z</cp:lastPrinted>
  <dcterms:created xsi:type="dcterms:W3CDTF">2019-03-29T15:21:00Z</dcterms:created>
  <dcterms:modified xsi:type="dcterms:W3CDTF">2019-04-11T11:14:00Z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General-EMEA/220782/2008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Hqrdtemplatesk</vt:lpwstr>
  </property>
  <property fmtid="{D5CDD505-2E9C-101B-9397-08002B2CF9AE}" pid="9" name="DM_Owner">
    <vt:lpwstr>Prizzi Monica</vt:lpwstr>
  </property>
  <property fmtid="{D5CDD505-2E9C-101B-9397-08002B2CF9AE}" pid="10" name="DM_Creation_Date">
    <vt:lpwstr>01/07/2008 15:34:22</vt:lpwstr>
  </property>
  <property fmtid="{D5CDD505-2E9C-101B-9397-08002B2CF9AE}" pid="11" name="DM_Creator_Name">
    <vt:lpwstr>Molnar Tunde</vt:lpwstr>
  </property>
  <property fmtid="{D5CDD505-2E9C-101B-9397-08002B2CF9AE}" pid="12" name="DM_Modifer_Name">
    <vt:lpwstr>Molnar Tunde</vt:lpwstr>
  </property>
  <property fmtid="{D5CDD505-2E9C-101B-9397-08002B2CF9AE}" pid="13" name="DM_Modified_Date">
    <vt:lpwstr>01/07/2008 15:34:22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EMEA/220782/2008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220782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