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C82A0" w14:textId="77777777" w:rsidR="004C15E6" w:rsidRPr="0089771B" w:rsidRDefault="004C15E6" w:rsidP="00D72304">
      <w:pPr>
        <w:pStyle w:val="Text"/>
        <w:jc w:val="center"/>
        <w:rPr>
          <w:b/>
          <w:color w:val="auto"/>
          <w:sz w:val="22"/>
          <w:szCs w:val="22"/>
        </w:rPr>
      </w:pPr>
      <w:bookmarkStart w:id="0" w:name="_GoBack"/>
      <w:bookmarkEnd w:id="0"/>
      <w:r w:rsidRPr="0089771B">
        <w:rPr>
          <w:b/>
          <w:bCs/>
          <w:color w:val="auto"/>
          <w:sz w:val="22"/>
          <w:szCs w:val="22"/>
          <w:lang w:val="sk"/>
        </w:rPr>
        <w:t>SÚHRN CHARAKTERISTICKÝCH VLASTNOSTÍ LIEKU</w:t>
      </w:r>
    </w:p>
    <w:p w14:paraId="0C8FB060" w14:textId="77777777" w:rsidR="00942394" w:rsidRPr="0089771B" w:rsidRDefault="00942394" w:rsidP="0089771B">
      <w:pPr>
        <w:pStyle w:val="Text"/>
        <w:spacing w:before="0" w:after="0"/>
        <w:jc w:val="left"/>
        <w:rPr>
          <w:b/>
          <w:color w:val="auto"/>
          <w:sz w:val="22"/>
          <w:szCs w:val="22"/>
        </w:rPr>
      </w:pPr>
    </w:p>
    <w:p w14:paraId="5A966A4B" w14:textId="3D234958" w:rsidR="003308CB" w:rsidRPr="0089771B" w:rsidRDefault="003308CB" w:rsidP="0089771B">
      <w:pPr>
        <w:pStyle w:val="Text"/>
        <w:spacing w:before="0" w:after="0"/>
        <w:jc w:val="left"/>
        <w:rPr>
          <w:b/>
          <w:color w:val="auto"/>
          <w:sz w:val="22"/>
          <w:szCs w:val="22"/>
          <w:lang w:val="pt-PT"/>
        </w:rPr>
      </w:pPr>
      <w:r w:rsidRPr="0089771B">
        <w:rPr>
          <w:noProof/>
          <w:sz w:val="22"/>
          <w:szCs w:val="22"/>
          <w:lang w:val="en-US"/>
        </w:rPr>
        <w:drawing>
          <wp:inline distT="0" distB="0" distL="0" distR="0" wp14:anchorId="4D24BE28" wp14:editId="76529A1A">
            <wp:extent cx="200660" cy="170815"/>
            <wp:effectExtent l="0" t="0" r="8890" b="635"/>
            <wp:docPr id="1" name="Grafik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71B">
        <w:rPr>
          <w:sz w:val="22"/>
          <w:szCs w:val="22"/>
          <w:lang w:val="sk"/>
        </w:rPr>
        <w:t>Tento liek je predmetom ďalšieho monitorovania. To umožní rýchle získanie nových informácií o bezpečnosti. Od zdravotníckych pracovníkov sa vyžaduje, aby hlásili akékoľvek podozrenia na nežiaduce reakcie. Informácie o tom, ako hlásiť nežiaduce reakcie, nájdete v časti 4.8.</w:t>
      </w:r>
    </w:p>
    <w:p w14:paraId="5778B781" w14:textId="77777777" w:rsidR="003308CB" w:rsidRPr="0089771B" w:rsidRDefault="003308CB" w:rsidP="0089771B">
      <w:pPr>
        <w:pStyle w:val="Text"/>
        <w:spacing w:before="0" w:after="0"/>
        <w:jc w:val="left"/>
        <w:rPr>
          <w:b/>
          <w:color w:val="auto"/>
          <w:sz w:val="22"/>
          <w:szCs w:val="22"/>
          <w:lang w:val="pt-PT"/>
        </w:rPr>
      </w:pPr>
    </w:p>
    <w:p w14:paraId="3CC57D67" w14:textId="77777777" w:rsidR="00942394" w:rsidRPr="0089771B" w:rsidRDefault="00942394" w:rsidP="0089771B">
      <w:pPr>
        <w:pStyle w:val="Text"/>
        <w:spacing w:before="0" w:after="0"/>
        <w:jc w:val="left"/>
        <w:rPr>
          <w:b/>
          <w:color w:val="auto"/>
          <w:sz w:val="22"/>
          <w:szCs w:val="22"/>
          <w:lang w:val="pt-PT"/>
        </w:rPr>
      </w:pPr>
    </w:p>
    <w:p w14:paraId="299C05F3" w14:textId="15B50B57" w:rsidR="00FD7C97" w:rsidRPr="0089771B" w:rsidRDefault="00942394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caps w:val="0"/>
          <w:sz w:val="22"/>
          <w:szCs w:val="22"/>
          <w:lang w:val="sk"/>
        </w:rPr>
        <w:t>1.</w:t>
      </w:r>
      <w:r w:rsidR="00B90EC3" w:rsidRPr="0089771B">
        <w:rPr>
          <w:rFonts w:cs="Times New Roman"/>
          <w:sz w:val="22"/>
          <w:szCs w:val="22"/>
          <w:lang w:val="sk"/>
        </w:rPr>
        <w:tab/>
        <w:t>NÁZOV LIEKU</w:t>
      </w:r>
    </w:p>
    <w:p w14:paraId="6534CCB0" w14:textId="77777777" w:rsidR="00942394" w:rsidRPr="0089771B" w:rsidRDefault="00942394" w:rsidP="0089771B">
      <w:pPr>
        <w:pStyle w:val="Default"/>
        <w:rPr>
          <w:sz w:val="22"/>
          <w:szCs w:val="22"/>
          <w:lang w:val="pt-PT"/>
        </w:rPr>
      </w:pPr>
    </w:p>
    <w:p w14:paraId="619CFC3D" w14:textId="0C4F5A5A" w:rsidR="00FD7C97" w:rsidRPr="0089771B" w:rsidRDefault="00283087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>CUTAQUIG</w:t>
      </w:r>
      <w:r w:rsidR="00DA0B3B">
        <w:rPr>
          <w:sz w:val="22"/>
          <w:szCs w:val="22"/>
          <w:lang w:val="sk"/>
        </w:rPr>
        <w:t xml:space="preserve"> 165 mg/ml</w:t>
      </w:r>
      <w:r w:rsidR="003625B0" w:rsidRPr="0089771B">
        <w:rPr>
          <w:sz w:val="22"/>
          <w:szCs w:val="22"/>
          <w:lang w:val="sk"/>
        </w:rPr>
        <w:t xml:space="preserve"> injekčný roztok</w:t>
      </w:r>
    </w:p>
    <w:p w14:paraId="359D5CAC" w14:textId="77777777" w:rsidR="00942394" w:rsidRPr="0089771B" w:rsidRDefault="00942394" w:rsidP="0089771B">
      <w:pPr>
        <w:pStyle w:val="Default"/>
        <w:rPr>
          <w:sz w:val="22"/>
          <w:szCs w:val="22"/>
          <w:lang w:val="pt-PT"/>
        </w:rPr>
      </w:pPr>
    </w:p>
    <w:p w14:paraId="70F8F910" w14:textId="77777777" w:rsidR="00942394" w:rsidRPr="0089771B" w:rsidRDefault="00942394" w:rsidP="0089771B">
      <w:pPr>
        <w:pStyle w:val="Default"/>
        <w:rPr>
          <w:sz w:val="22"/>
          <w:szCs w:val="22"/>
          <w:lang w:val="pt-PT"/>
        </w:rPr>
      </w:pPr>
    </w:p>
    <w:p w14:paraId="5E859C81" w14:textId="2D85D145" w:rsidR="00FD7C97" w:rsidRPr="0089771B" w:rsidRDefault="00942394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bCs w:val="0"/>
          <w:caps w:val="0"/>
          <w:sz w:val="22"/>
          <w:szCs w:val="22"/>
          <w:lang w:val="pt-PT"/>
        </w:rPr>
      </w:pPr>
      <w:r w:rsidRPr="0089771B">
        <w:rPr>
          <w:rFonts w:cs="Times New Roman"/>
          <w:caps w:val="0"/>
          <w:sz w:val="22"/>
          <w:szCs w:val="22"/>
          <w:lang w:val="sk"/>
        </w:rPr>
        <w:t>2.</w:t>
      </w:r>
      <w:r w:rsidRPr="0089771B">
        <w:rPr>
          <w:rFonts w:cs="Times New Roman"/>
          <w:caps w:val="0"/>
          <w:sz w:val="22"/>
          <w:szCs w:val="22"/>
          <w:lang w:val="sk"/>
        </w:rPr>
        <w:tab/>
        <w:t>KVALIT</w:t>
      </w:r>
      <w:r w:rsidR="00B90EC3" w:rsidRPr="0089771B">
        <w:rPr>
          <w:rFonts w:cs="Times New Roman"/>
          <w:caps w:val="0"/>
          <w:sz w:val="22"/>
          <w:szCs w:val="22"/>
          <w:lang w:val="sk"/>
        </w:rPr>
        <w:t>ATÍVNE A KVANTITATÍVNE ZLOŽENIE</w:t>
      </w:r>
    </w:p>
    <w:p w14:paraId="1A77DF10" w14:textId="77777777" w:rsidR="00942394" w:rsidRPr="0089771B" w:rsidRDefault="00942394" w:rsidP="0089771B">
      <w:pPr>
        <w:pStyle w:val="Default"/>
        <w:rPr>
          <w:sz w:val="22"/>
          <w:szCs w:val="22"/>
          <w:lang w:val="pt-PT"/>
        </w:rPr>
      </w:pPr>
    </w:p>
    <w:p w14:paraId="46D1F3BA" w14:textId="22D8F0DD" w:rsidR="00FD7C97" w:rsidRPr="0089771B" w:rsidRDefault="004C15E6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Normá</w:t>
      </w:r>
      <w:r w:rsidR="00B90EC3" w:rsidRPr="0089771B">
        <w:rPr>
          <w:sz w:val="22"/>
          <w:szCs w:val="22"/>
          <w:lang w:val="sk"/>
        </w:rPr>
        <w:t xml:space="preserve">lny </w:t>
      </w:r>
      <w:r w:rsidR="00B323DA">
        <w:rPr>
          <w:sz w:val="22"/>
          <w:szCs w:val="22"/>
          <w:lang w:val="sk"/>
        </w:rPr>
        <w:t>ľ</w:t>
      </w:r>
      <w:r w:rsidR="00B90EC3" w:rsidRPr="0089771B">
        <w:rPr>
          <w:sz w:val="22"/>
          <w:szCs w:val="22"/>
          <w:lang w:val="sk"/>
        </w:rPr>
        <w:t xml:space="preserve">udský </w:t>
      </w:r>
      <w:r w:rsidR="00B323DA">
        <w:rPr>
          <w:sz w:val="22"/>
          <w:szCs w:val="22"/>
          <w:lang w:val="sk"/>
        </w:rPr>
        <w:t>i</w:t>
      </w:r>
      <w:r w:rsidR="00B90EC3" w:rsidRPr="0089771B">
        <w:rPr>
          <w:sz w:val="22"/>
          <w:szCs w:val="22"/>
          <w:lang w:val="sk"/>
        </w:rPr>
        <w:t>munoglobulín (SCIg)</w:t>
      </w:r>
    </w:p>
    <w:p w14:paraId="7F8011DD" w14:textId="77777777" w:rsidR="004C15E6" w:rsidRPr="0089771B" w:rsidRDefault="004C15E6" w:rsidP="0089771B">
      <w:pPr>
        <w:pStyle w:val="Default"/>
        <w:rPr>
          <w:sz w:val="22"/>
          <w:szCs w:val="22"/>
          <w:lang w:val="pt-PT"/>
        </w:rPr>
      </w:pPr>
    </w:p>
    <w:p w14:paraId="6F3A4FAE" w14:textId="77777777" w:rsidR="00FD7C97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1 ml obsahuje: </w:t>
      </w:r>
    </w:p>
    <w:p w14:paraId="2B0FC4EB" w14:textId="5FC382B5" w:rsidR="00FD7C97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Normálny </w:t>
      </w:r>
      <w:r w:rsidR="00B323DA">
        <w:rPr>
          <w:sz w:val="22"/>
          <w:szCs w:val="22"/>
          <w:lang w:val="sk"/>
        </w:rPr>
        <w:t>ľ</w:t>
      </w:r>
      <w:r w:rsidRPr="0089771B">
        <w:rPr>
          <w:sz w:val="22"/>
          <w:szCs w:val="22"/>
          <w:lang w:val="sk"/>
        </w:rPr>
        <w:t xml:space="preserve">udský </w:t>
      </w:r>
      <w:r w:rsidR="00B323DA">
        <w:rPr>
          <w:sz w:val="22"/>
          <w:szCs w:val="22"/>
          <w:lang w:val="sk"/>
        </w:rPr>
        <w:t>i</w:t>
      </w:r>
      <w:r w:rsidR="00B90EC3" w:rsidRPr="0089771B">
        <w:rPr>
          <w:sz w:val="22"/>
          <w:szCs w:val="22"/>
          <w:lang w:val="sk"/>
        </w:rPr>
        <w:t>munoglobulín</w:t>
      </w:r>
      <w:r w:rsidR="00B323DA">
        <w:rPr>
          <w:sz w:val="22"/>
          <w:szCs w:val="22"/>
          <w:lang w:val="sk"/>
        </w:rPr>
        <w:t xml:space="preserve"> </w:t>
      </w:r>
      <w:r w:rsidR="00B90EC3" w:rsidRPr="0089771B">
        <w:rPr>
          <w:sz w:val="22"/>
          <w:szCs w:val="22"/>
          <w:lang w:val="sk"/>
        </w:rPr>
        <w:t>……………………………..</w:t>
      </w:r>
      <w:r w:rsidR="00B323DA">
        <w:rPr>
          <w:sz w:val="22"/>
          <w:szCs w:val="22"/>
          <w:lang w:val="sk"/>
        </w:rPr>
        <w:t xml:space="preserve"> </w:t>
      </w:r>
      <w:r w:rsidR="00B90EC3" w:rsidRPr="0089771B">
        <w:rPr>
          <w:sz w:val="22"/>
          <w:szCs w:val="22"/>
          <w:lang w:val="sk"/>
        </w:rPr>
        <w:t>165 mg</w:t>
      </w:r>
    </w:p>
    <w:p w14:paraId="170224D8" w14:textId="086831C7" w:rsidR="00FD7C97" w:rsidRPr="0089771B" w:rsidRDefault="00B90EC3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(čistota minimálne 95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% IgG)</w:t>
      </w:r>
    </w:p>
    <w:p w14:paraId="484C3228" w14:textId="77777777" w:rsidR="004C15E6" w:rsidRPr="0089771B" w:rsidRDefault="004C15E6" w:rsidP="0089771B">
      <w:pPr>
        <w:pStyle w:val="Default"/>
        <w:rPr>
          <w:sz w:val="22"/>
          <w:szCs w:val="22"/>
          <w:lang w:val="pt-PT"/>
        </w:rPr>
      </w:pPr>
    </w:p>
    <w:p w14:paraId="2E2D1182" w14:textId="6A7A4CC4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6 ml injekčná liekovka obsahuje: 1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12056E10" w14:textId="5AB1427B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10 ml injekčná liekovka obsahuje: 1,65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755C1A60" w14:textId="5D5041C6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12 ml injekčná liekovka obsahuje: 2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696CC86A" w14:textId="6AF821A4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20 ml injekčná liekovka obsahuje: 3,3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0D5167F2" w14:textId="4C2F932D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24 ml injekčná liekovka obsahuje: 4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070D75CD" w14:textId="582E1643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Každá 48 ml injekčná liekovka obsahuje: 8 g </w:t>
      </w:r>
      <w:r w:rsidR="00AD10EE" w:rsidRPr="0089771B">
        <w:rPr>
          <w:sz w:val="22"/>
          <w:szCs w:val="22"/>
          <w:lang w:val="sk"/>
        </w:rPr>
        <w:t>normáln</w:t>
      </w:r>
      <w:r w:rsidR="00AD10EE">
        <w:rPr>
          <w:sz w:val="22"/>
          <w:szCs w:val="22"/>
          <w:lang w:val="sk"/>
        </w:rPr>
        <w:t>eho</w:t>
      </w:r>
      <w:r w:rsidR="00AD10EE" w:rsidRPr="0089771B">
        <w:rPr>
          <w:sz w:val="22"/>
          <w:szCs w:val="22"/>
          <w:lang w:val="sk"/>
        </w:rPr>
        <w:t xml:space="preserve"> ľudsk</w:t>
      </w:r>
      <w:r w:rsidR="00AD10EE">
        <w:rPr>
          <w:sz w:val="22"/>
          <w:szCs w:val="22"/>
          <w:lang w:val="sk"/>
        </w:rPr>
        <w:t>ého</w:t>
      </w:r>
      <w:r w:rsidR="00AD10EE" w:rsidRPr="0089771B">
        <w:rPr>
          <w:sz w:val="22"/>
          <w:szCs w:val="22"/>
          <w:lang w:val="sk"/>
        </w:rPr>
        <w:t xml:space="preserve"> imunoglobulín</w:t>
      </w:r>
      <w:r w:rsidR="00AD10EE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>.</w:t>
      </w:r>
    </w:p>
    <w:p w14:paraId="2A6CE682" w14:textId="77777777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</w:p>
    <w:p w14:paraId="2ED3C313" w14:textId="77777777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Roztriedenie podtriedy IgG (približné hodnoty):</w:t>
      </w:r>
    </w:p>
    <w:p w14:paraId="0CEF6C13" w14:textId="77777777" w:rsidR="00D1635F" w:rsidRPr="0089771B" w:rsidRDefault="00D1635F" w:rsidP="0089771B">
      <w:pPr>
        <w:pStyle w:val="Default"/>
        <w:rPr>
          <w:sz w:val="22"/>
          <w:szCs w:val="22"/>
          <w:lang w:val="pt-PT"/>
        </w:rPr>
      </w:pPr>
    </w:p>
    <w:p w14:paraId="5811C2E8" w14:textId="5C4A78ED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IgG</w:t>
      </w:r>
      <w:r w:rsidRPr="0089771B">
        <w:rPr>
          <w:sz w:val="22"/>
          <w:szCs w:val="22"/>
          <w:vertAlign w:val="subscript"/>
          <w:lang w:val="sk"/>
        </w:rPr>
        <w:t>1</w:t>
      </w:r>
      <w:r w:rsidRPr="0089771B">
        <w:rPr>
          <w:sz w:val="22"/>
          <w:szCs w:val="22"/>
          <w:lang w:val="sk"/>
        </w:rPr>
        <w:t>………..  71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%</w:t>
      </w:r>
    </w:p>
    <w:p w14:paraId="3C6F2C5A" w14:textId="300DF078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IgG</w:t>
      </w:r>
      <w:r w:rsidRPr="0089771B">
        <w:rPr>
          <w:sz w:val="22"/>
          <w:szCs w:val="22"/>
          <w:vertAlign w:val="subscript"/>
          <w:lang w:val="sk"/>
        </w:rPr>
        <w:t>2</w:t>
      </w:r>
      <w:r w:rsidRPr="0089771B">
        <w:rPr>
          <w:sz w:val="22"/>
          <w:szCs w:val="22"/>
          <w:lang w:val="sk"/>
        </w:rPr>
        <w:t>………..  25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%</w:t>
      </w:r>
    </w:p>
    <w:p w14:paraId="10054C05" w14:textId="21CEF34D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IgG</w:t>
      </w:r>
      <w:r w:rsidRPr="0089771B">
        <w:rPr>
          <w:sz w:val="22"/>
          <w:szCs w:val="22"/>
          <w:vertAlign w:val="subscript"/>
          <w:lang w:val="sk"/>
        </w:rPr>
        <w:t>3</w:t>
      </w:r>
      <w:r w:rsidRPr="0089771B">
        <w:rPr>
          <w:sz w:val="22"/>
          <w:szCs w:val="22"/>
          <w:lang w:val="sk"/>
        </w:rPr>
        <w:t>………..  3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%</w:t>
      </w:r>
    </w:p>
    <w:p w14:paraId="36420EB2" w14:textId="7B18FE46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IgG</w:t>
      </w:r>
      <w:r w:rsidRPr="0089771B">
        <w:rPr>
          <w:sz w:val="22"/>
          <w:szCs w:val="22"/>
          <w:vertAlign w:val="subscript"/>
          <w:lang w:val="sk"/>
        </w:rPr>
        <w:t>4</w:t>
      </w:r>
      <w:r w:rsidRPr="0089771B">
        <w:rPr>
          <w:sz w:val="22"/>
          <w:szCs w:val="22"/>
          <w:lang w:val="sk"/>
        </w:rPr>
        <w:t>………</w:t>
      </w:r>
      <w:r w:rsidR="00AD10EE">
        <w:rPr>
          <w:sz w:val="22"/>
          <w:szCs w:val="22"/>
          <w:lang w:val="sk"/>
        </w:rPr>
        <w:t xml:space="preserve">... </w:t>
      </w:r>
      <w:r w:rsidRPr="0089771B">
        <w:rPr>
          <w:sz w:val="22"/>
          <w:szCs w:val="22"/>
          <w:lang w:val="sk"/>
        </w:rPr>
        <w:t>2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%</w:t>
      </w:r>
    </w:p>
    <w:p w14:paraId="1F3A82F4" w14:textId="77777777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</w:p>
    <w:p w14:paraId="22BE9EA3" w14:textId="77777777" w:rsidR="00D1635F" w:rsidRPr="0089771B" w:rsidRDefault="00D1635F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Maximálny obsah IgA je 600 µg/ml.</w:t>
      </w:r>
    </w:p>
    <w:p w14:paraId="05D89E72" w14:textId="77777777" w:rsidR="00B418F0" w:rsidRPr="0089771B" w:rsidRDefault="00B418F0" w:rsidP="0089771B">
      <w:pPr>
        <w:pStyle w:val="Default"/>
        <w:rPr>
          <w:sz w:val="22"/>
          <w:szCs w:val="22"/>
          <w:lang w:val="sk"/>
        </w:rPr>
      </w:pPr>
    </w:p>
    <w:p w14:paraId="62433CF9" w14:textId="58891E04" w:rsidR="00B418F0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Vyrobená z plazmy </w:t>
      </w:r>
      <w:r w:rsidR="00AD10EE">
        <w:rPr>
          <w:sz w:val="22"/>
          <w:szCs w:val="22"/>
          <w:lang w:val="sk"/>
        </w:rPr>
        <w:t xml:space="preserve">ľudských </w:t>
      </w:r>
      <w:r w:rsidRPr="0089771B">
        <w:rPr>
          <w:sz w:val="22"/>
          <w:szCs w:val="22"/>
          <w:lang w:val="sk"/>
        </w:rPr>
        <w:t>darcov.</w:t>
      </w:r>
    </w:p>
    <w:p w14:paraId="48871A30" w14:textId="77777777" w:rsidR="00B418F0" w:rsidRPr="0089771B" w:rsidRDefault="00B418F0" w:rsidP="0089771B">
      <w:pPr>
        <w:pStyle w:val="Default"/>
        <w:rPr>
          <w:sz w:val="22"/>
          <w:szCs w:val="22"/>
          <w:lang w:val="sk"/>
        </w:rPr>
      </w:pPr>
    </w:p>
    <w:p w14:paraId="02047557" w14:textId="77777777" w:rsidR="00B418F0" w:rsidRPr="0089771B" w:rsidRDefault="00B418F0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u w:val="single"/>
          <w:lang w:val="sk"/>
        </w:rPr>
        <w:t>Pomocné látky so známym účinkom:</w:t>
      </w:r>
    </w:p>
    <w:p w14:paraId="00162C2D" w14:textId="288FDA86" w:rsidR="00B418F0" w:rsidRPr="0089771B" w:rsidRDefault="00B418F0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Tento liek obsahuje 33,1 mg sodíka v injekčnej liekovke so 48 ml a 13,8 mg v injekčnej liekovke s</w:t>
      </w:r>
      <w:r w:rsidR="00DB3D51" w:rsidRPr="0089771B">
        <w:rPr>
          <w:rFonts w:ascii="Times New Roman" w:hAnsi="Times New Roman" w:cs="Times New Roman"/>
          <w:color w:val="000000"/>
          <w:lang w:val="sk"/>
        </w:rPr>
        <w:t> </w:t>
      </w:r>
      <w:r w:rsidRPr="0089771B">
        <w:rPr>
          <w:rFonts w:ascii="Times New Roman" w:hAnsi="Times New Roman" w:cs="Times New Roman"/>
          <w:color w:val="000000"/>
          <w:lang w:val="sk"/>
        </w:rPr>
        <w:t>20 ml.</w:t>
      </w:r>
    </w:p>
    <w:p w14:paraId="6DA97C36" w14:textId="7777777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 </w:t>
      </w:r>
    </w:p>
    <w:p w14:paraId="1A0F077E" w14:textId="31BF0D5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Úplný zoznam pomocných látok, pozri časť 6.1.</w:t>
      </w:r>
    </w:p>
    <w:p w14:paraId="03B53338" w14:textId="77777777" w:rsidR="00942394" w:rsidRPr="0089771B" w:rsidRDefault="00942394" w:rsidP="0089771B">
      <w:pPr>
        <w:pStyle w:val="Default"/>
        <w:rPr>
          <w:sz w:val="22"/>
          <w:szCs w:val="22"/>
          <w:lang w:val="sk"/>
        </w:rPr>
      </w:pPr>
    </w:p>
    <w:p w14:paraId="597AACFB" w14:textId="77777777" w:rsidR="00942394" w:rsidRPr="0089771B" w:rsidRDefault="00942394" w:rsidP="0089771B">
      <w:pPr>
        <w:pStyle w:val="Default"/>
        <w:rPr>
          <w:sz w:val="22"/>
          <w:szCs w:val="22"/>
          <w:lang w:val="sk"/>
        </w:rPr>
      </w:pPr>
    </w:p>
    <w:p w14:paraId="4D9F3AA0" w14:textId="5C87EA4F" w:rsidR="00FD7C97" w:rsidRPr="0089771B" w:rsidRDefault="00942394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sz w:val="22"/>
          <w:szCs w:val="22"/>
          <w:lang w:val="sk"/>
        </w:rPr>
        <w:t>3.</w:t>
      </w:r>
      <w:r w:rsidRPr="0089771B">
        <w:rPr>
          <w:rFonts w:cs="Times New Roman"/>
          <w:sz w:val="22"/>
          <w:szCs w:val="22"/>
          <w:lang w:val="sk"/>
        </w:rPr>
        <w:tab/>
        <w:t>LIEKOVÁ FORMA</w:t>
      </w:r>
    </w:p>
    <w:p w14:paraId="2CE1C31F" w14:textId="77777777" w:rsidR="00095EB2" w:rsidRPr="0089771B" w:rsidRDefault="00095EB2" w:rsidP="0089771B">
      <w:pPr>
        <w:pStyle w:val="Default"/>
        <w:rPr>
          <w:sz w:val="22"/>
          <w:szCs w:val="22"/>
          <w:lang w:val="sk"/>
        </w:rPr>
      </w:pPr>
    </w:p>
    <w:p w14:paraId="7098DB66" w14:textId="7194EB60" w:rsidR="003042D9" w:rsidRPr="0089771B" w:rsidRDefault="003042D9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Injekčný roztok</w:t>
      </w:r>
    </w:p>
    <w:p w14:paraId="3325B8A3" w14:textId="096F8119" w:rsidR="003042D9" w:rsidRPr="0089771B" w:rsidRDefault="003042D9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Pr</w:t>
      </w:r>
      <w:r w:rsidR="00DB3D51" w:rsidRPr="0089771B">
        <w:rPr>
          <w:sz w:val="22"/>
          <w:szCs w:val="22"/>
          <w:lang w:val="sk"/>
        </w:rPr>
        <w:t>i</w:t>
      </w:r>
      <w:r w:rsidRPr="0089771B">
        <w:rPr>
          <w:sz w:val="22"/>
          <w:szCs w:val="22"/>
          <w:lang w:val="sk"/>
        </w:rPr>
        <w:t>pravený injekčný roztok je číry a bezfarebný.</w:t>
      </w:r>
    </w:p>
    <w:p w14:paraId="3FCFED5E" w14:textId="0AD13611" w:rsidR="00952D9C" w:rsidRPr="0089771B" w:rsidRDefault="00952D9C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Počas </w:t>
      </w:r>
      <w:r w:rsidR="00AD10EE">
        <w:rPr>
          <w:sz w:val="22"/>
          <w:szCs w:val="22"/>
          <w:lang w:val="sk"/>
        </w:rPr>
        <w:t>uchovávania</w:t>
      </w:r>
      <w:r w:rsidRPr="0089771B">
        <w:rPr>
          <w:sz w:val="22"/>
          <w:szCs w:val="22"/>
          <w:lang w:val="sk"/>
        </w:rPr>
        <w:t xml:space="preserve"> </w:t>
      </w:r>
      <w:r w:rsidR="00AD10EE">
        <w:rPr>
          <w:sz w:val="22"/>
          <w:szCs w:val="22"/>
          <w:lang w:val="sk"/>
        </w:rPr>
        <w:t>kvapalina</w:t>
      </w:r>
      <w:r w:rsidRPr="0089771B">
        <w:rPr>
          <w:sz w:val="22"/>
          <w:szCs w:val="22"/>
          <w:lang w:val="sk"/>
        </w:rPr>
        <w:t xml:space="preserve"> nadobudne </w:t>
      </w:r>
      <w:r w:rsidR="00AD10EE">
        <w:rPr>
          <w:sz w:val="22"/>
          <w:szCs w:val="22"/>
          <w:lang w:val="sk"/>
        </w:rPr>
        <w:t xml:space="preserve">slabo </w:t>
      </w:r>
      <w:r w:rsidRPr="0089771B">
        <w:rPr>
          <w:sz w:val="22"/>
          <w:szCs w:val="22"/>
          <w:lang w:val="sk"/>
        </w:rPr>
        <w:t>opaleskujúcu až nažltlú farbu.</w:t>
      </w:r>
    </w:p>
    <w:p w14:paraId="26D1F61B" w14:textId="1713F269" w:rsidR="00952D9C" w:rsidRPr="0089771B" w:rsidRDefault="00952D9C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Osmolalita kvapalného </w:t>
      </w:r>
      <w:r w:rsidR="00AD10EE">
        <w:rPr>
          <w:sz w:val="22"/>
          <w:szCs w:val="22"/>
          <w:lang w:val="sk"/>
        </w:rPr>
        <w:t>lieku</w:t>
      </w:r>
      <w:r w:rsidRPr="0089771B">
        <w:rPr>
          <w:sz w:val="22"/>
          <w:szCs w:val="22"/>
          <w:lang w:val="sk"/>
        </w:rPr>
        <w:t xml:space="preserve"> je 310 až 380 mosmol/kg.</w:t>
      </w:r>
    </w:p>
    <w:p w14:paraId="5FDB442C" w14:textId="77777777" w:rsidR="00952D9C" w:rsidRPr="0089771B" w:rsidRDefault="00952D9C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Hodnota pH roztoku je 5 až 5,5.</w:t>
      </w:r>
    </w:p>
    <w:p w14:paraId="524AF784" w14:textId="77777777" w:rsidR="00942394" w:rsidRPr="0089771B" w:rsidRDefault="00942394" w:rsidP="0089771B">
      <w:pPr>
        <w:pStyle w:val="Default"/>
        <w:rPr>
          <w:sz w:val="22"/>
          <w:szCs w:val="22"/>
          <w:lang w:val="sk"/>
        </w:rPr>
      </w:pPr>
    </w:p>
    <w:p w14:paraId="21067718" w14:textId="77777777" w:rsidR="00942394" w:rsidRPr="0089771B" w:rsidRDefault="00942394" w:rsidP="0089771B">
      <w:pPr>
        <w:pStyle w:val="Default"/>
        <w:rPr>
          <w:sz w:val="22"/>
          <w:szCs w:val="22"/>
          <w:lang w:val="sk"/>
        </w:rPr>
      </w:pPr>
    </w:p>
    <w:p w14:paraId="4929244C" w14:textId="15B8624B" w:rsidR="00FD7C97" w:rsidRPr="0089771B" w:rsidRDefault="00942394" w:rsidP="0089771B">
      <w:pPr>
        <w:pStyle w:val="Formatvorlageberschrift1Automatisch"/>
        <w:keepLines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sz w:val="22"/>
          <w:szCs w:val="22"/>
          <w:lang w:val="sk"/>
        </w:rPr>
        <w:lastRenderedPageBreak/>
        <w:t>4.</w:t>
      </w:r>
      <w:r w:rsidRPr="0089771B">
        <w:rPr>
          <w:rFonts w:cs="Times New Roman"/>
          <w:sz w:val="22"/>
          <w:szCs w:val="22"/>
          <w:lang w:val="sk"/>
        </w:rPr>
        <w:tab/>
        <w:t>KLINICKÉ ÚDAJE</w:t>
      </w:r>
    </w:p>
    <w:p w14:paraId="78BE9ABC" w14:textId="77777777" w:rsidR="00942394" w:rsidRPr="0089771B" w:rsidRDefault="00942394" w:rsidP="0089771B">
      <w:pPr>
        <w:pStyle w:val="Default"/>
        <w:keepNext/>
        <w:keepLines/>
        <w:rPr>
          <w:sz w:val="22"/>
          <w:szCs w:val="22"/>
          <w:lang w:val="sk"/>
        </w:rPr>
      </w:pPr>
    </w:p>
    <w:p w14:paraId="3BBE3937" w14:textId="5D9F924A" w:rsidR="00FD7C97" w:rsidRPr="0089771B" w:rsidRDefault="00942394" w:rsidP="0089771B">
      <w:pPr>
        <w:pStyle w:val="Formatvorlageberschrift2AutomatischBlock"/>
        <w:tabs>
          <w:tab w:val="clear" w:pos="720"/>
          <w:tab w:val="left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4.1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 xml:space="preserve">Terapeutické indikácie </w:t>
      </w:r>
    </w:p>
    <w:p w14:paraId="3F7CE40C" w14:textId="77777777" w:rsidR="001D4806" w:rsidRDefault="001D4806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u w:val="single"/>
          <w:lang w:val="sk"/>
        </w:rPr>
      </w:pPr>
    </w:p>
    <w:p w14:paraId="0BA5B512" w14:textId="73475D84" w:rsidR="00694FD5" w:rsidRPr="0089771B" w:rsidRDefault="00694FD5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u w:val="single"/>
          <w:lang w:val="sk"/>
        </w:rPr>
      </w:pPr>
      <w:r w:rsidRPr="0089771B">
        <w:rPr>
          <w:rFonts w:ascii="Times New Roman" w:hAnsi="Times New Roman" w:cs="Times New Roman"/>
          <w:i/>
          <w:iCs/>
          <w:color w:val="000000"/>
          <w:u w:val="single"/>
          <w:lang w:val="sk"/>
        </w:rPr>
        <w:t>Substitučná liečba u dospelých, detí a dospievajúcich (0-18 rokov)</w:t>
      </w:r>
    </w:p>
    <w:p w14:paraId="6F202EF4" w14:textId="4051D416" w:rsidR="00FD7C97" w:rsidRPr="0089771B" w:rsidRDefault="00FD7C97" w:rsidP="0089771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Syndrómy primárnej imunodeficiencie (PID) so zhoršenou tvorbou protilátok (pozri časť 4.4).</w:t>
      </w:r>
    </w:p>
    <w:p w14:paraId="40B6486B" w14:textId="00AAE8C0" w:rsidR="00FD7C97" w:rsidRPr="0089771B" w:rsidRDefault="00FD7C97" w:rsidP="0089771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Hypogamaglobulinémia a recidivujúce bakteriálne infekcie u pacientov s chronickou lymfocytovou leukémiou (CLL)</w:t>
      </w:r>
      <w:r w:rsidR="00D75103">
        <w:rPr>
          <w:rFonts w:ascii="Times New Roman" w:hAnsi="Times New Roman" w:cs="Times New Roman"/>
          <w:color w:val="000000"/>
          <w:lang w:val="sk"/>
        </w:rPr>
        <w:t>,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u ktorých profylaktick</w:t>
      </w:r>
      <w:r w:rsidR="00D75103">
        <w:rPr>
          <w:rFonts w:ascii="Times New Roman" w:hAnsi="Times New Roman" w:cs="Times New Roman"/>
          <w:color w:val="000000"/>
          <w:lang w:val="sk"/>
        </w:rPr>
        <w:t>á liečba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antibiotik</w:t>
      </w:r>
      <w:r w:rsidR="00D75103">
        <w:rPr>
          <w:rFonts w:ascii="Times New Roman" w:hAnsi="Times New Roman" w:cs="Times New Roman"/>
          <w:color w:val="000000"/>
          <w:lang w:val="sk"/>
        </w:rPr>
        <w:t>ami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zlyhal</w:t>
      </w:r>
      <w:r w:rsidR="00D75103">
        <w:rPr>
          <w:rFonts w:ascii="Times New Roman" w:hAnsi="Times New Roman" w:cs="Times New Roman"/>
          <w:color w:val="000000"/>
          <w:lang w:val="sk"/>
        </w:rPr>
        <w:t>a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alebo </w:t>
      </w:r>
      <w:r w:rsidR="00D75103">
        <w:rPr>
          <w:rFonts w:ascii="Times New Roman" w:hAnsi="Times New Roman" w:cs="Times New Roman"/>
          <w:color w:val="000000"/>
          <w:lang w:val="sk"/>
        </w:rPr>
        <w:t>je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kontraindikovan</w:t>
      </w:r>
      <w:r w:rsidR="00D75103">
        <w:rPr>
          <w:rFonts w:ascii="Times New Roman" w:hAnsi="Times New Roman" w:cs="Times New Roman"/>
          <w:color w:val="000000"/>
          <w:lang w:val="sk"/>
        </w:rPr>
        <w:t>á</w:t>
      </w:r>
      <w:r w:rsidRPr="0089771B">
        <w:rPr>
          <w:rFonts w:ascii="Times New Roman" w:hAnsi="Times New Roman" w:cs="Times New Roman"/>
          <w:color w:val="000000"/>
          <w:lang w:val="sk"/>
        </w:rPr>
        <w:t>.</w:t>
      </w:r>
    </w:p>
    <w:p w14:paraId="2C04FB6D" w14:textId="6979F700" w:rsidR="00FD7C97" w:rsidRPr="0089771B" w:rsidRDefault="00FD7C97" w:rsidP="0089771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Hypogamaglobulinémia a recidivujúce bakteriálne infekcie u pacientov s mnohopočetným myelómom (MM).</w:t>
      </w:r>
    </w:p>
    <w:p w14:paraId="562E542C" w14:textId="0705A3D4" w:rsidR="00FD7C97" w:rsidRPr="0089771B" w:rsidRDefault="00FD7C97" w:rsidP="0089771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Hypogamaglobulinémia u pacientov pred a po alogénnej transplantácii hematopoetických kmeňových buniek (HSCT).</w:t>
      </w:r>
    </w:p>
    <w:p w14:paraId="52D122BE" w14:textId="77777777" w:rsidR="00EC6479" w:rsidRPr="0089771B" w:rsidRDefault="00EC6479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</w:p>
    <w:p w14:paraId="4A5FF214" w14:textId="7E6AB3E9" w:rsidR="00FD7C97" w:rsidRPr="0089771B" w:rsidRDefault="00FD7C97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4.2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Dávkovanie a spôsob podávania</w:t>
      </w:r>
    </w:p>
    <w:p w14:paraId="1A4A806B" w14:textId="77777777" w:rsidR="00EC6479" w:rsidRPr="0089771B" w:rsidRDefault="00EC6479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</w:p>
    <w:p w14:paraId="5DD6B7CA" w14:textId="37AFAF8B" w:rsidR="00FD7C97" w:rsidRPr="0089771B" w:rsidRDefault="00D75103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Substitučná</w:t>
      </w:r>
      <w:r w:rsidR="00FD7C97" w:rsidRPr="0089771B">
        <w:rPr>
          <w:sz w:val="22"/>
          <w:szCs w:val="22"/>
          <w:lang w:val="sk"/>
        </w:rPr>
        <w:t xml:space="preserve"> liečba sa má začať a monitorovať pod dohľadom lekára, ktorý má skúsenosti s liečbou imunodeficiencie.</w:t>
      </w:r>
    </w:p>
    <w:p w14:paraId="1155A803" w14:textId="77777777" w:rsidR="00694FD5" w:rsidRPr="0089771B" w:rsidRDefault="00694FD5" w:rsidP="0089771B">
      <w:pPr>
        <w:pStyle w:val="Default"/>
        <w:rPr>
          <w:sz w:val="22"/>
          <w:szCs w:val="22"/>
          <w:lang w:val="sk"/>
        </w:rPr>
      </w:pPr>
    </w:p>
    <w:p w14:paraId="1E1B3696" w14:textId="5E84DED0" w:rsidR="00FD7C97" w:rsidRPr="0089771B" w:rsidRDefault="00FD7C97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Dávkovanie</w:t>
      </w:r>
    </w:p>
    <w:p w14:paraId="1509D483" w14:textId="061DFE48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Dávkovanie a režim dávkovania závisia od indikácie.</w:t>
      </w:r>
    </w:p>
    <w:p w14:paraId="352A6C06" w14:textId="77777777" w:rsidR="007814C1" w:rsidRPr="0089771B" w:rsidRDefault="007814C1" w:rsidP="0089771B">
      <w:pPr>
        <w:pStyle w:val="Default"/>
        <w:rPr>
          <w:i/>
          <w:iCs/>
          <w:sz w:val="22"/>
          <w:szCs w:val="22"/>
          <w:lang w:val="sk"/>
        </w:rPr>
      </w:pPr>
    </w:p>
    <w:p w14:paraId="377EF221" w14:textId="6145A6EE" w:rsidR="00FD7C97" w:rsidRPr="0089771B" w:rsidRDefault="00EC6479" w:rsidP="0089771B">
      <w:pPr>
        <w:pStyle w:val="Default"/>
        <w:rPr>
          <w:sz w:val="22"/>
          <w:szCs w:val="22"/>
          <w:lang w:val="sk"/>
        </w:rPr>
      </w:pPr>
      <w:r w:rsidRPr="0089771B">
        <w:rPr>
          <w:i/>
          <w:iCs/>
          <w:sz w:val="22"/>
          <w:szCs w:val="22"/>
          <w:lang w:val="sk"/>
        </w:rPr>
        <w:t>Substitučná liečba</w:t>
      </w:r>
    </w:p>
    <w:p w14:paraId="1C1BAE90" w14:textId="5B49F700" w:rsidR="00FD7C97" w:rsidRPr="0089771B" w:rsidRDefault="00DA0B3B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Liek</w:t>
      </w:r>
      <w:r w:rsidRPr="0089771B">
        <w:rPr>
          <w:sz w:val="22"/>
          <w:szCs w:val="22"/>
          <w:lang w:val="sk"/>
        </w:rPr>
        <w:t xml:space="preserve"> </w:t>
      </w:r>
      <w:r w:rsidR="00FD7C97" w:rsidRPr="0089771B">
        <w:rPr>
          <w:sz w:val="22"/>
          <w:szCs w:val="22"/>
          <w:lang w:val="sk"/>
        </w:rPr>
        <w:t>sa má podávať subkutánne.</w:t>
      </w:r>
    </w:p>
    <w:p w14:paraId="6D04843B" w14:textId="77777777" w:rsidR="00FB3EBE" w:rsidRPr="0089771B" w:rsidRDefault="00FB3EBE" w:rsidP="0089771B">
      <w:pPr>
        <w:pStyle w:val="Default"/>
        <w:rPr>
          <w:sz w:val="22"/>
          <w:szCs w:val="22"/>
          <w:lang w:val="sk"/>
        </w:rPr>
      </w:pPr>
    </w:p>
    <w:p w14:paraId="6151B4EE" w14:textId="4D9E2350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Pri </w:t>
      </w:r>
      <w:r w:rsidR="00D75103">
        <w:rPr>
          <w:sz w:val="22"/>
          <w:szCs w:val="22"/>
          <w:lang w:val="sk"/>
        </w:rPr>
        <w:t>substitučnej</w:t>
      </w:r>
      <w:r w:rsidRPr="0089771B">
        <w:rPr>
          <w:sz w:val="22"/>
          <w:szCs w:val="22"/>
          <w:lang w:val="sk"/>
        </w:rPr>
        <w:t xml:space="preserve"> liečbe môže byť potrebn</w:t>
      </w:r>
      <w:r w:rsidR="00D75103">
        <w:rPr>
          <w:sz w:val="22"/>
          <w:szCs w:val="22"/>
          <w:lang w:val="sk"/>
        </w:rPr>
        <w:t>é dávku</w:t>
      </w:r>
      <w:r w:rsidRPr="0089771B">
        <w:rPr>
          <w:sz w:val="22"/>
          <w:szCs w:val="22"/>
          <w:lang w:val="sk"/>
        </w:rPr>
        <w:t xml:space="preserve"> individu</w:t>
      </w:r>
      <w:r w:rsidR="00D75103">
        <w:rPr>
          <w:sz w:val="22"/>
          <w:szCs w:val="22"/>
          <w:lang w:val="sk"/>
        </w:rPr>
        <w:t>álne prispôsobiť</w:t>
      </w:r>
      <w:r w:rsidRPr="0089771B">
        <w:rPr>
          <w:sz w:val="22"/>
          <w:szCs w:val="22"/>
          <w:lang w:val="sk"/>
        </w:rPr>
        <w:t xml:space="preserve"> pre každého pacienta v závislosti od farmakokinetickej a klinickej odpovede. Nasledujúce dávkovacie režimy sú uvedené ako usmernenie.</w:t>
      </w:r>
    </w:p>
    <w:p w14:paraId="16970513" w14:textId="77777777" w:rsidR="00FB3EBE" w:rsidRPr="0089771B" w:rsidRDefault="00FB3EBE" w:rsidP="0089771B">
      <w:pPr>
        <w:pStyle w:val="Default"/>
        <w:rPr>
          <w:sz w:val="22"/>
          <w:szCs w:val="22"/>
          <w:lang w:val="sk"/>
        </w:rPr>
      </w:pPr>
    </w:p>
    <w:p w14:paraId="3AAA71FC" w14:textId="716403CD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Dávkovací režim </w:t>
      </w:r>
      <w:r w:rsidR="002D299C">
        <w:rPr>
          <w:sz w:val="22"/>
          <w:szCs w:val="22"/>
          <w:lang w:val="sk"/>
        </w:rPr>
        <w:t>má</w:t>
      </w:r>
      <w:r w:rsidRPr="0089771B">
        <w:rPr>
          <w:sz w:val="22"/>
          <w:szCs w:val="22"/>
          <w:lang w:val="sk"/>
        </w:rPr>
        <w:t xml:space="preserve"> dosiahnuť minimálnu hladinu IgG (meranú pred ďalšou infúziou) najmenej 5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 xml:space="preserve">až 6 g/l a </w:t>
      </w:r>
      <w:r w:rsidR="002D299C">
        <w:rPr>
          <w:sz w:val="22"/>
          <w:szCs w:val="22"/>
          <w:lang w:val="sk"/>
        </w:rPr>
        <w:t>má</w:t>
      </w:r>
      <w:r w:rsidRPr="0089771B">
        <w:rPr>
          <w:sz w:val="22"/>
          <w:szCs w:val="22"/>
          <w:lang w:val="sk"/>
        </w:rPr>
        <w:t xml:space="preserve"> byť v rámci referenčného intervalu sérového IgG pre daný vek. Môže byť potrebná nasycovacia dávka od 0,2 do 0,5 g/kg (1,2 až 3,0 ml/kg) telesnej hmotnosti. Toto môže byť potrebné rozdeliť na niekoľko dní s maximálnou dennou dávkou 0,1 až 0,15 g/kg. </w:t>
      </w:r>
    </w:p>
    <w:p w14:paraId="37E3A059" w14:textId="77777777" w:rsidR="00FB3EBE" w:rsidRPr="0089771B" w:rsidRDefault="00FB3EBE" w:rsidP="0089771B">
      <w:pPr>
        <w:pStyle w:val="Default"/>
        <w:rPr>
          <w:sz w:val="22"/>
          <w:szCs w:val="22"/>
          <w:lang w:val="sk"/>
        </w:rPr>
      </w:pPr>
    </w:p>
    <w:p w14:paraId="328B3AF8" w14:textId="24F2D034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Po dosiahnutí hladín IgG v ustálenom stave sa udržiavacie dávky podávajú v opakovaných intervaloch (približne raz za týždeň) aby sa dosiahla kumulatívna mesačná dávka rádovo 0,4 až 0,8 g/kg (2,4 až 4,8 ml/kg). Každú jednotlivú dávku môže byť potrebné podať injekčne na rôzne miesta</w:t>
      </w:r>
      <w:r w:rsidR="002D299C">
        <w:rPr>
          <w:sz w:val="22"/>
          <w:szCs w:val="22"/>
          <w:lang w:val="sk"/>
        </w:rPr>
        <w:t xml:space="preserve"> časti tela</w:t>
      </w:r>
      <w:r w:rsidRPr="0089771B">
        <w:rPr>
          <w:sz w:val="22"/>
          <w:szCs w:val="22"/>
          <w:lang w:val="sk"/>
        </w:rPr>
        <w:t>.</w:t>
      </w:r>
    </w:p>
    <w:p w14:paraId="2261FE42" w14:textId="77777777" w:rsidR="007814C1" w:rsidRPr="0089771B" w:rsidRDefault="007814C1" w:rsidP="0089771B">
      <w:pPr>
        <w:pStyle w:val="Default"/>
        <w:rPr>
          <w:sz w:val="22"/>
          <w:szCs w:val="22"/>
          <w:lang w:val="sk"/>
        </w:rPr>
      </w:pPr>
    </w:p>
    <w:p w14:paraId="2463EC5D" w14:textId="3782B069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Najnižšie hladiny majú byť merate</w:t>
      </w:r>
      <w:r w:rsidR="00DB3D51" w:rsidRPr="0089771B">
        <w:rPr>
          <w:sz w:val="22"/>
          <w:szCs w:val="22"/>
          <w:lang w:val="sk"/>
        </w:rPr>
        <w:t>ľ</w:t>
      </w:r>
      <w:r w:rsidRPr="0089771B">
        <w:rPr>
          <w:sz w:val="22"/>
          <w:szCs w:val="22"/>
          <w:lang w:val="sk"/>
        </w:rPr>
        <w:t>né spolu s výskytom infekcie. Na zníženie miery infekcie môže byť potrebné zvýšiť dávku a zamerať sa na vyššie hladiny.</w:t>
      </w:r>
    </w:p>
    <w:p w14:paraId="286F8314" w14:textId="77777777" w:rsidR="00A136CC" w:rsidRPr="0089771B" w:rsidRDefault="00A136CC" w:rsidP="0089771B">
      <w:pPr>
        <w:pStyle w:val="Default"/>
        <w:rPr>
          <w:sz w:val="22"/>
          <w:szCs w:val="22"/>
          <w:lang w:val="sk"/>
        </w:rPr>
      </w:pPr>
    </w:p>
    <w:p w14:paraId="18118738" w14:textId="78B9F49C" w:rsidR="00FD7C97" w:rsidRPr="0089771B" w:rsidRDefault="00EC6479" w:rsidP="0089771B">
      <w:pPr>
        <w:pStyle w:val="Default"/>
        <w:keepNext/>
        <w:rPr>
          <w:sz w:val="22"/>
          <w:szCs w:val="22"/>
          <w:lang w:val="sk"/>
        </w:rPr>
      </w:pPr>
      <w:r w:rsidRPr="0089771B">
        <w:rPr>
          <w:i/>
          <w:iCs/>
          <w:sz w:val="22"/>
          <w:szCs w:val="22"/>
          <w:lang w:val="sk"/>
        </w:rPr>
        <w:t>Pediatrická populácia</w:t>
      </w:r>
    </w:p>
    <w:p w14:paraId="737D30D4" w14:textId="11EEF15A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Dávkovanie u detí a dospievajúcich (0-18 rokov) sa nelíši od dávkovania u dospelých, pretože dávkovanie pre každú indikáciu </w:t>
      </w:r>
      <w:r w:rsidR="0063472B">
        <w:rPr>
          <w:sz w:val="22"/>
          <w:szCs w:val="22"/>
          <w:lang w:val="sk"/>
        </w:rPr>
        <w:t>sa stanovuje podľa</w:t>
      </w:r>
      <w:r w:rsidRPr="0089771B">
        <w:rPr>
          <w:sz w:val="22"/>
          <w:szCs w:val="22"/>
          <w:lang w:val="sk"/>
        </w:rPr>
        <w:t xml:space="preserve"> telesn</w:t>
      </w:r>
      <w:r w:rsidR="0063472B">
        <w:rPr>
          <w:sz w:val="22"/>
          <w:szCs w:val="22"/>
          <w:lang w:val="sk"/>
        </w:rPr>
        <w:t>ej</w:t>
      </w:r>
      <w:r w:rsidRPr="0089771B">
        <w:rPr>
          <w:sz w:val="22"/>
          <w:szCs w:val="22"/>
          <w:lang w:val="sk"/>
        </w:rPr>
        <w:t xml:space="preserve"> hmotnos</w:t>
      </w:r>
      <w:r w:rsidR="0063472B">
        <w:rPr>
          <w:sz w:val="22"/>
          <w:szCs w:val="22"/>
          <w:lang w:val="sk"/>
        </w:rPr>
        <w:t>ti</w:t>
      </w:r>
      <w:r w:rsidRPr="0089771B">
        <w:rPr>
          <w:sz w:val="22"/>
          <w:szCs w:val="22"/>
          <w:lang w:val="sk"/>
        </w:rPr>
        <w:t xml:space="preserve"> a</w:t>
      </w:r>
      <w:r w:rsidR="0063472B">
        <w:rPr>
          <w:sz w:val="22"/>
          <w:szCs w:val="22"/>
          <w:lang w:val="sk"/>
        </w:rPr>
        <w:t> upravuje sa podľa</w:t>
      </w:r>
      <w:r w:rsidRPr="0089771B">
        <w:rPr>
          <w:sz w:val="22"/>
          <w:szCs w:val="22"/>
          <w:lang w:val="sk"/>
        </w:rPr>
        <w:t xml:space="preserve"> klinické</w:t>
      </w:r>
      <w:r w:rsidR="0063472B">
        <w:rPr>
          <w:sz w:val="22"/>
          <w:szCs w:val="22"/>
          <w:lang w:val="sk"/>
        </w:rPr>
        <w:t>ho</w:t>
      </w:r>
      <w:r w:rsidRPr="0089771B">
        <w:rPr>
          <w:sz w:val="22"/>
          <w:szCs w:val="22"/>
          <w:lang w:val="sk"/>
        </w:rPr>
        <w:t xml:space="preserve"> výsledku pri indikáciách </w:t>
      </w:r>
      <w:r w:rsidR="0063472B">
        <w:rPr>
          <w:sz w:val="22"/>
          <w:szCs w:val="22"/>
          <w:lang w:val="sk"/>
        </w:rPr>
        <w:t>substitučnej</w:t>
      </w:r>
      <w:r w:rsidRPr="0089771B">
        <w:rPr>
          <w:sz w:val="22"/>
          <w:szCs w:val="22"/>
          <w:lang w:val="sk"/>
        </w:rPr>
        <w:t xml:space="preserve"> liečby.</w:t>
      </w:r>
    </w:p>
    <w:p w14:paraId="24C72BC7" w14:textId="0FCF8934" w:rsidR="00E02AFD" w:rsidRPr="0089771B" w:rsidRDefault="00283087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CUTAQUIG</w:t>
      </w:r>
      <w:r w:rsidR="00E02AFD" w:rsidRPr="0089771B">
        <w:rPr>
          <w:sz w:val="22"/>
          <w:szCs w:val="22"/>
          <w:lang w:val="sk"/>
        </w:rPr>
        <w:t xml:space="preserve"> bol hodnotený u 22 pediatrických pacientov (15 detí [vo veku od 2 do &lt;12 rokov] a 7 dospievajúcich [vo veku od 12 do &lt;16 rokov]) s </w:t>
      </w:r>
      <w:r w:rsidR="00133B50" w:rsidRPr="0089771B">
        <w:rPr>
          <w:sz w:val="22"/>
          <w:szCs w:val="22"/>
          <w:lang w:val="sk"/>
        </w:rPr>
        <w:t>primárn</w:t>
      </w:r>
      <w:r w:rsidR="00133B50">
        <w:rPr>
          <w:sz w:val="22"/>
          <w:szCs w:val="22"/>
          <w:lang w:val="sk"/>
        </w:rPr>
        <w:t>ou</w:t>
      </w:r>
      <w:r w:rsidR="00133B50" w:rsidRPr="0089771B">
        <w:rPr>
          <w:sz w:val="22"/>
          <w:szCs w:val="22"/>
          <w:lang w:val="sk"/>
        </w:rPr>
        <w:t xml:space="preserve"> imunodeficienci</w:t>
      </w:r>
      <w:r w:rsidR="00133B50">
        <w:rPr>
          <w:sz w:val="22"/>
          <w:szCs w:val="22"/>
          <w:lang w:val="sk"/>
        </w:rPr>
        <w:t>ou</w:t>
      </w:r>
      <w:r w:rsidR="00E02AFD" w:rsidRPr="0089771B">
        <w:rPr>
          <w:sz w:val="22"/>
          <w:szCs w:val="22"/>
          <w:lang w:val="sk"/>
        </w:rPr>
        <w:t>. Pre dosiahnutie požadovaných hladín IgG v sére neboli potrebné žiadne dávky špecifické pre deti.</w:t>
      </w:r>
    </w:p>
    <w:p w14:paraId="07E74764" w14:textId="77777777" w:rsidR="00E02AFD" w:rsidRPr="0089771B" w:rsidRDefault="00E02AFD" w:rsidP="0089771B">
      <w:pPr>
        <w:pStyle w:val="Default"/>
        <w:rPr>
          <w:sz w:val="22"/>
          <w:szCs w:val="22"/>
          <w:lang w:val="sk"/>
        </w:rPr>
      </w:pPr>
    </w:p>
    <w:p w14:paraId="4EAA6F7D" w14:textId="757ABBEA" w:rsidR="00E02AFD" w:rsidRPr="0089771B" w:rsidRDefault="00EC6479" w:rsidP="0089771B">
      <w:pPr>
        <w:pStyle w:val="Default"/>
        <w:rPr>
          <w:i/>
          <w:iCs/>
          <w:sz w:val="22"/>
          <w:szCs w:val="22"/>
          <w:lang w:val="sk"/>
        </w:rPr>
      </w:pPr>
      <w:r w:rsidRPr="0089771B">
        <w:rPr>
          <w:i/>
          <w:iCs/>
          <w:sz w:val="22"/>
          <w:szCs w:val="22"/>
          <w:lang w:val="sk"/>
        </w:rPr>
        <w:t>Staršia populácia</w:t>
      </w:r>
    </w:p>
    <w:p w14:paraId="7B83F608" w14:textId="1884ADE5" w:rsidR="00E02AFD" w:rsidRPr="0089771B" w:rsidRDefault="00E02AFD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Vzhľadom na to, že</w:t>
      </w:r>
      <w:r w:rsidR="00CC5995">
        <w:rPr>
          <w:sz w:val="22"/>
          <w:szCs w:val="22"/>
          <w:lang w:val="sk"/>
        </w:rPr>
        <w:t xml:space="preserve"> sa</w:t>
      </w:r>
      <w:r w:rsidRPr="0089771B">
        <w:rPr>
          <w:sz w:val="22"/>
          <w:szCs w:val="22"/>
          <w:lang w:val="sk"/>
        </w:rPr>
        <w:t xml:space="preserve"> dávka </w:t>
      </w:r>
      <w:r w:rsidR="0063472B">
        <w:rPr>
          <w:sz w:val="22"/>
          <w:szCs w:val="22"/>
          <w:lang w:val="sk"/>
        </w:rPr>
        <w:t>stanovuje podľa</w:t>
      </w:r>
      <w:r w:rsidRPr="0089771B">
        <w:rPr>
          <w:sz w:val="22"/>
          <w:szCs w:val="22"/>
          <w:lang w:val="sk"/>
        </w:rPr>
        <w:t xml:space="preserve"> telesn</w:t>
      </w:r>
      <w:r w:rsidR="0063472B">
        <w:rPr>
          <w:sz w:val="22"/>
          <w:szCs w:val="22"/>
          <w:lang w:val="sk"/>
        </w:rPr>
        <w:t>ej</w:t>
      </w:r>
      <w:r w:rsidRPr="0089771B">
        <w:rPr>
          <w:sz w:val="22"/>
          <w:szCs w:val="22"/>
          <w:lang w:val="sk"/>
        </w:rPr>
        <w:t xml:space="preserve"> hmotnos</w:t>
      </w:r>
      <w:r w:rsidR="0063472B">
        <w:rPr>
          <w:sz w:val="22"/>
          <w:szCs w:val="22"/>
          <w:lang w:val="sk"/>
        </w:rPr>
        <w:t>ti</w:t>
      </w:r>
      <w:r w:rsidRPr="0089771B">
        <w:rPr>
          <w:sz w:val="22"/>
          <w:szCs w:val="22"/>
          <w:lang w:val="sk"/>
        </w:rPr>
        <w:t xml:space="preserve"> a</w:t>
      </w:r>
      <w:r w:rsidR="0063472B">
        <w:rPr>
          <w:sz w:val="22"/>
          <w:szCs w:val="22"/>
          <w:lang w:val="sk"/>
        </w:rPr>
        <w:t> upravuje sa</w:t>
      </w:r>
      <w:r w:rsidR="00CC5995">
        <w:rPr>
          <w:sz w:val="22"/>
          <w:szCs w:val="22"/>
          <w:lang w:val="sk"/>
        </w:rPr>
        <w:t xml:space="preserve"> </w:t>
      </w:r>
      <w:r w:rsidR="0063472B">
        <w:rPr>
          <w:sz w:val="22"/>
          <w:szCs w:val="22"/>
          <w:lang w:val="sk"/>
        </w:rPr>
        <w:t>podľa</w:t>
      </w:r>
      <w:r w:rsidRPr="0089771B">
        <w:rPr>
          <w:sz w:val="22"/>
          <w:szCs w:val="22"/>
          <w:lang w:val="sk"/>
        </w:rPr>
        <w:t xml:space="preserve"> klinické</w:t>
      </w:r>
      <w:r w:rsidR="0063472B">
        <w:rPr>
          <w:sz w:val="22"/>
          <w:szCs w:val="22"/>
          <w:lang w:val="sk"/>
        </w:rPr>
        <w:t>ho</w:t>
      </w:r>
      <w:r w:rsidRPr="0089771B">
        <w:rPr>
          <w:sz w:val="22"/>
          <w:szCs w:val="22"/>
          <w:lang w:val="sk"/>
        </w:rPr>
        <w:t xml:space="preserve"> výsledku </w:t>
      </w:r>
      <w:r w:rsidR="007F18A7">
        <w:rPr>
          <w:sz w:val="22"/>
          <w:szCs w:val="22"/>
          <w:lang w:val="sk"/>
        </w:rPr>
        <w:t xml:space="preserve">pri </w:t>
      </w:r>
      <w:r w:rsidRPr="0089771B">
        <w:rPr>
          <w:sz w:val="22"/>
          <w:szCs w:val="22"/>
          <w:lang w:val="sk"/>
        </w:rPr>
        <w:t xml:space="preserve">vyššie uvedených </w:t>
      </w:r>
      <w:r w:rsidR="007F18A7">
        <w:rPr>
          <w:sz w:val="22"/>
          <w:szCs w:val="22"/>
          <w:lang w:val="sk"/>
        </w:rPr>
        <w:t>ochoreniach</w:t>
      </w:r>
      <w:r w:rsidRPr="00133B50">
        <w:rPr>
          <w:sz w:val="22"/>
          <w:szCs w:val="22"/>
          <w:lang w:val="sk"/>
        </w:rPr>
        <w:t>,</w:t>
      </w:r>
      <w:r w:rsidRPr="0089771B">
        <w:rPr>
          <w:sz w:val="22"/>
          <w:szCs w:val="22"/>
          <w:lang w:val="sk"/>
        </w:rPr>
        <w:t xml:space="preserve"> dávka u staršej populácie sa nepovažuje za odlišnú od dávky u osôb vo veku 18 až 65 rokov. V klinickej štúdii bol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hodnotený u 3 pacientov starších ako 65 rokov. Žiadne špecifické požiadavky na dávku neboli potrebné na dosiahnutie požadovaných hladín IgG v sére.</w:t>
      </w:r>
    </w:p>
    <w:p w14:paraId="10829921" w14:textId="77777777" w:rsidR="007814C1" w:rsidRPr="0089771B" w:rsidRDefault="007814C1" w:rsidP="0089771B">
      <w:pPr>
        <w:pStyle w:val="Default"/>
        <w:rPr>
          <w:sz w:val="22"/>
          <w:szCs w:val="22"/>
          <w:lang w:val="sk"/>
        </w:rPr>
      </w:pPr>
    </w:p>
    <w:p w14:paraId="7D394327" w14:textId="7CA48443" w:rsidR="00FD7C97" w:rsidRPr="0089771B" w:rsidRDefault="00EC6479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lastRenderedPageBreak/>
        <w:t>Spôsob podávania</w:t>
      </w:r>
    </w:p>
    <w:p w14:paraId="18D229E7" w14:textId="547890B0" w:rsidR="00FD7C97" w:rsidRPr="0089771B" w:rsidRDefault="00EC6479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Len </w:t>
      </w:r>
      <w:r w:rsidR="0063472B">
        <w:rPr>
          <w:sz w:val="22"/>
          <w:szCs w:val="22"/>
          <w:lang w:val="sk"/>
        </w:rPr>
        <w:t>na</w:t>
      </w:r>
      <w:r w:rsidRPr="0089771B">
        <w:rPr>
          <w:sz w:val="22"/>
          <w:szCs w:val="22"/>
          <w:lang w:val="sk"/>
        </w:rPr>
        <w:t xml:space="preserve"> subkutánne použitie.</w:t>
      </w:r>
    </w:p>
    <w:p w14:paraId="519E4AC6" w14:textId="77777777" w:rsidR="005E3732" w:rsidRPr="0089771B" w:rsidRDefault="005E3732" w:rsidP="0089771B">
      <w:pPr>
        <w:pStyle w:val="Default"/>
        <w:rPr>
          <w:sz w:val="22"/>
          <w:szCs w:val="22"/>
          <w:lang w:val="pt-PT"/>
        </w:rPr>
      </w:pPr>
    </w:p>
    <w:p w14:paraId="40A76F30" w14:textId="350FF053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Podkožnú infúziu na domácu liečbu </w:t>
      </w:r>
      <w:r w:rsidR="00CC5995">
        <w:rPr>
          <w:sz w:val="22"/>
          <w:szCs w:val="22"/>
          <w:lang w:val="sk"/>
        </w:rPr>
        <w:t>má</w:t>
      </w:r>
      <w:r w:rsidRPr="0089771B">
        <w:rPr>
          <w:sz w:val="22"/>
          <w:szCs w:val="22"/>
          <w:lang w:val="sk"/>
        </w:rPr>
        <w:t xml:space="preserve"> iniciovať a monitorovať zdravotnícky pracovník, ktorý má skúsenosti s vedením pacientov na domácu liečbu. Pacient a/alebo opatrovateľ musí byť poučený o používaní infúzneho zariadenia, infúznych technikách, aseptickej manipulácii, uchovávaní liečebného denníka, rozpoznávaní a opatreniach, ktoré sa majú prijať v prípade závažných nežiaducich reakcií.</w:t>
      </w:r>
    </w:p>
    <w:p w14:paraId="7261556F" w14:textId="77777777" w:rsidR="005F37A4" w:rsidRPr="0089771B" w:rsidRDefault="005F37A4" w:rsidP="0089771B">
      <w:pPr>
        <w:pStyle w:val="Default"/>
        <w:rPr>
          <w:sz w:val="22"/>
          <w:szCs w:val="22"/>
          <w:highlight w:val="yellow"/>
          <w:lang w:val="sk"/>
        </w:rPr>
      </w:pPr>
    </w:p>
    <w:p w14:paraId="1B176ABA" w14:textId="3F837A97" w:rsidR="00FD7C97" w:rsidRPr="0089771B" w:rsidRDefault="00283087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>CUTAQUIG</w:t>
      </w:r>
      <w:r w:rsidR="005A7389" w:rsidRPr="0089771B">
        <w:rPr>
          <w:sz w:val="22"/>
          <w:szCs w:val="22"/>
          <w:lang w:val="sk"/>
        </w:rPr>
        <w:t xml:space="preserve"> sa môže injekčne aplikovať na miesta ako je brucho, stehno, horné rameno a bok.</w:t>
      </w:r>
    </w:p>
    <w:p w14:paraId="3AA866F2" w14:textId="77777777" w:rsidR="00EC3AD6" w:rsidRPr="0089771B" w:rsidRDefault="00EC3AD6" w:rsidP="0089771B">
      <w:pPr>
        <w:pStyle w:val="Default"/>
        <w:rPr>
          <w:sz w:val="22"/>
          <w:szCs w:val="22"/>
          <w:lang w:val="pt-PT"/>
        </w:rPr>
      </w:pPr>
    </w:p>
    <w:p w14:paraId="27139310" w14:textId="77777777" w:rsidR="00E02AFD" w:rsidRPr="0089771B" w:rsidRDefault="00E02AFD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Rýchlosť infúzie</w:t>
      </w:r>
    </w:p>
    <w:p w14:paraId="4526A600" w14:textId="143462B7" w:rsidR="00FB6BE9" w:rsidRPr="0089771B" w:rsidRDefault="00570783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Úprava rýchlosti infúzie a objemu infúzie na mieste </w:t>
      </w:r>
      <w:r w:rsidR="002031C6">
        <w:rPr>
          <w:sz w:val="22"/>
          <w:szCs w:val="22"/>
          <w:lang w:val="sk"/>
        </w:rPr>
        <w:t xml:space="preserve">závisí od </w:t>
      </w:r>
      <w:r w:rsidRPr="0089771B">
        <w:rPr>
          <w:sz w:val="22"/>
          <w:szCs w:val="22"/>
          <w:lang w:val="sk"/>
        </w:rPr>
        <w:t>toleranci</w:t>
      </w:r>
      <w:r w:rsidR="002031C6">
        <w:rPr>
          <w:sz w:val="22"/>
          <w:szCs w:val="22"/>
          <w:lang w:val="sk"/>
        </w:rPr>
        <w:t>e pacienta</w:t>
      </w:r>
      <w:r w:rsidRPr="0089771B">
        <w:rPr>
          <w:sz w:val="22"/>
          <w:szCs w:val="22"/>
          <w:lang w:val="sk"/>
        </w:rPr>
        <w:t>.</w:t>
      </w:r>
    </w:p>
    <w:p w14:paraId="03816577" w14:textId="61791D24" w:rsidR="00FB6BE9" w:rsidRPr="0089771B" w:rsidRDefault="00FB6BE9" w:rsidP="0089771B">
      <w:pPr>
        <w:pStyle w:val="Default"/>
        <w:rPr>
          <w:sz w:val="22"/>
          <w:szCs w:val="22"/>
          <w:lang w:val="pt-PT"/>
        </w:rPr>
      </w:pPr>
    </w:p>
    <w:p w14:paraId="79239CB7" w14:textId="31D52A6E" w:rsidR="002B2AB9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Odporúča sa použiť </w:t>
      </w:r>
      <w:r w:rsidR="002031C6">
        <w:rPr>
          <w:sz w:val="22"/>
          <w:szCs w:val="22"/>
          <w:lang w:val="sk"/>
        </w:rPr>
        <w:t>za</w:t>
      </w:r>
      <w:r w:rsidRPr="0089771B">
        <w:rPr>
          <w:sz w:val="22"/>
          <w:szCs w:val="22"/>
          <w:lang w:val="sk"/>
        </w:rPr>
        <w:t xml:space="preserve">čiatočnú rýchlosť podania 15 ml/h/miesto. </w:t>
      </w:r>
      <w:r w:rsidR="002031C6" w:rsidRPr="00CC5995">
        <w:rPr>
          <w:sz w:val="22"/>
          <w:szCs w:val="22"/>
          <w:lang w:val="sk"/>
        </w:rPr>
        <w:t>Od</w:t>
      </w:r>
      <w:r w:rsidRPr="00CC5995">
        <w:rPr>
          <w:sz w:val="22"/>
          <w:szCs w:val="22"/>
          <w:lang w:val="sk"/>
        </w:rPr>
        <w:t xml:space="preserve"> </w:t>
      </w:r>
      <w:r w:rsidR="00CC5995" w:rsidRPr="00CC5995">
        <w:rPr>
          <w:sz w:val="22"/>
          <w:szCs w:val="22"/>
          <w:lang w:val="sk"/>
        </w:rPr>
        <w:t>infúzi</w:t>
      </w:r>
      <w:r w:rsidR="00CC5995">
        <w:rPr>
          <w:sz w:val="22"/>
          <w:szCs w:val="22"/>
          <w:lang w:val="sk"/>
        </w:rPr>
        <w:t>e</w:t>
      </w:r>
      <w:r w:rsidR="00CC5995" w:rsidRPr="00CC5995">
        <w:rPr>
          <w:sz w:val="22"/>
          <w:szCs w:val="22"/>
          <w:lang w:val="sk"/>
        </w:rPr>
        <w:t> </w:t>
      </w:r>
      <w:r w:rsidRPr="00CC5995">
        <w:rPr>
          <w:sz w:val="22"/>
          <w:szCs w:val="22"/>
          <w:lang w:val="sk"/>
        </w:rPr>
        <w:t>7 a</w:t>
      </w:r>
      <w:r w:rsidR="002031C6" w:rsidRPr="00CC5995">
        <w:rPr>
          <w:sz w:val="22"/>
          <w:szCs w:val="22"/>
          <w:lang w:val="sk"/>
        </w:rPr>
        <w:t> </w:t>
      </w:r>
      <w:r w:rsidRPr="00CC5995">
        <w:rPr>
          <w:sz w:val="22"/>
          <w:szCs w:val="22"/>
          <w:lang w:val="sk"/>
        </w:rPr>
        <w:t>viac</w:t>
      </w:r>
      <w:r w:rsidR="002031C6" w:rsidRPr="00CC5995">
        <w:rPr>
          <w:sz w:val="22"/>
          <w:szCs w:val="22"/>
          <w:lang w:val="sk"/>
        </w:rPr>
        <w:t>,</w:t>
      </w:r>
      <w:r w:rsidRPr="00CC5995">
        <w:rPr>
          <w:sz w:val="22"/>
          <w:szCs w:val="22"/>
          <w:lang w:val="sk"/>
        </w:rPr>
        <w:t xml:space="preserve"> ak je dobre tolerovaná (pozri časť 4.4), </w:t>
      </w:r>
      <w:r w:rsidR="00CC5995" w:rsidRPr="00CC5995">
        <w:rPr>
          <w:sz w:val="22"/>
          <w:szCs w:val="22"/>
          <w:lang w:val="sk"/>
        </w:rPr>
        <w:t xml:space="preserve">sa môže </w:t>
      </w:r>
      <w:r w:rsidRPr="00CC5995">
        <w:rPr>
          <w:sz w:val="22"/>
          <w:szCs w:val="22"/>
          <w:lang w:val="sk"/>
        </w:rPr>
        <w:t>rýchlosť infúzie postupne zvyšovať na 25 ml/h/miesto.</w:t>
      </w:r>
    </w:p>
    <w:p w14:paraId="7EE14983" w14:textId="53CD7918" w:rsidR="00AF5724" w:rsidRPr="0089771B" w:rsidRDefault="00AF5724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Odporúčaná rýchlosť infúzie za hodinu pre všetky kombinované miesta: 30 ml/h pre prvých 6 infúzií, potom sa postupne zvyšuje na 50 ml/h a ak je dobre tolerovaná na 80 ml/h.</w:t>
      </w:r>
    </w:p>
    <w:p w14:paraId="23CE2EBD" w14:textId="0CAB798B" w:rsidR="00AF5724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Súčasne sa môže použiť viac ako jedno infúzne zariadenie.</w:t>
      </w:r>
    </w:p>
    <w:p w14:paraId="37E3BDC9" w14:textId="77777777" w:rsidR="00057F5F" w:rsidRPr="0089771B" w:rsidRDefault="00057F5F" w:rsidP="0089771B">
      <w:pPr>
        <w:pStyle w:val="Default"/>
        <w:rPr>
          <w:sz w:val="22"/>
          <w:szCs w:val="22"/>
          <w:u w:val="single"/>
          <w:lang w:val="sk"/>
        </w:rPr>
      </w:pPr>
    </w:p>
    <w:p w14:paraId="36F4998B" w14:textId="082C6B82" w:rsidR="00057F5F" w:rsidRPr="0089771B" w:rsidRDefault="00057F5F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Objem infúzie na</w:t>
      </w:r>
      <w:r w:rsidR="002031C6">
        <w:rPr>
          <w:sz w:val="22"/>
          <w:szCs w:val="22"/>
          <w:u w:val="single"/>
          <w:lang w:val="sk"/>
        </w:rPr>
        <w:t xml:space="preserve"> jedno</w:t>
      </w:r>
      <w:r w:rsidRPr="0089771B">
        <w:rPr>
          <w:sz w:val="22"/>
          <w:szCs w:val="22"/>
          <w:u w:val="single"/>
          <w:lang w:val="sk"/>
        </w:rPr>
        <w:t xml:space="preserve"> miesto</w:t>
      </w:r>
      <w:r w:rsidR="005316BC">
        <w:rPr>
          <w:sz w:val="22"/>
          <w:szCs w:val="22"/>
          <w:u w:val="single"/>
          <w:lang w:val="sk"/>
        </w:rPr>
        <w:t xml:space="preserve"> podania</w:t>
      </w:r>
    </w:p>
    <w:p w14:paraId="60B334F2" w14:textId="2486D405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Množstvo infúzie do konkrétneho miesta sa líši. U dojčiat a detí sa miesto infúzie môže meniť každých 5 až 15 ml. U dospelých možno dávky nad 30 ml rozdeliť podľa pacientovho uprednostnenia. Počet infúznych miest nie je obmedzený. Infúzne miesta </w:t>
      </w:r>
      <w:r w:rsidR="00CC5995">
        <w:rPr>
          <w:sz w:val="22"/>
          <w:szCs w:val="22"/>
          <w:lang w:val="sk"/>
        </w:rPr>
        <w:t>majú</w:t>
      </w:r>
      <w:r w:rsidRPr="0089771B">
        <w:rPr>
          <w:sz w:val="22"/>
          <w:szCs w:val="22"/>
          <w:lang w:val="sk"/>
        </w:rPr>
        <w:t xml:space="preserve"> byť od seba vzdialené najmenej 5 cm.</w:t>
      </w:r>
    </w:p>
    <w:p w14:paraId="560324BE" w14:textId="77777777" w:rsidR="00FB3EBE" w:rsidRPr="0089771B" w:rsidRDefault="00FB3EBE" w:rsidP="0089771B">
      <w:pPr>
        <w:pStyle w:val="Default"/>
        <w:rPr>
          <w:sz w:val="22"/>
          <w:szCs w:val="22"/>
          <w:lang w:val="sk"/>
        </w:rPr>
      </w:pPr>
    </w:p>
    <w:p w14:paraId="51A57E64" w14:textId="451841C2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4.3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Kontraindikácie</w:t>
      </w:r>
    </w:p>
    <w:p w14:paraId="1DA59616" w14:textId="77777777" w:rsidR="00EC6479" w:rsidRPr="0089771B" w:rsidRDefault="00EC6479" w:rsidP="0089771B">
      <w:pPr>
        <w:pStyle w:val="Default"/>
        <w:rPr>
          <w:sz w:val="22"/>
          <w:szCs w:val="22"/>
          <w:lang w:val="sk"/>
        </w:rPr>
      </w:pPr>
    </w:p>
    <w:p w14:paraId="54EE9559" w14:textId="7E32D31F" w:rsidR="00141D6E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Precitlivenosť na liečivo alebo na ktorúkoľvek z pomocných látok uvedených v časti 6.1 (pozri 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čas</w:t>
      </w:r>
      <w:r w:rsidR="00B65BD4">
        <w:rPr>
          <w:sz w:val="22"/>
          <w:szCs w:val="22"/>
          <w:lang w:val="sk"/>
        </w:rPr>
        <w:t>ť</w:t>
      </w:r>
      <w:r w:rsidRPr="0089771B">
        <w:rPr>
          <w:sz w:val="22"/>
          <w:szCs w:val="22"/>
          <w:lang w:val="sk"/>
        </w:rPr>
        <w:t> 4.4).</w:t>
      </w:r>
    </w:p>
    <w:p w14:paraId="5FE45B0F" w14:textId="27DBF8A1" w:rsidR="00FD7C97" w:rsidRPr="0089771B" w:rsidRDefault="00283087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>CUTAQUIG</w:t>
      </w:r>
      <w:r w:rsidR="005A7389" w:rsidRPr="0089771B">
        <w:rPr>
          <w:sz w:val="22"/>
          <w:szCs w:val="22"/>
          <w:lang w:val="sk"/>
        </w:rPr>
        <w:t xml:space="preserve"> sa nesmie podávať </w:t>
      </w:r>
      <w:r w:rsidR="00A14C11" w:rsidRPr="0089771B">
        <w:rPr>
          <w:sz w:val="22"/>
          <w:szCs w:val="22"/>
          <w:lang w:val="sk"/>
        </w:rPr>
        <w:t>intra</w:t>
      </w:r>
      <w:r w:rsidR="00A14C11">
        <w:rPr>
          <w:sz w:val="22"/>
          <w:szCs w:val="22"/>
          <w:lang w:val="sk"/>
        </w:rPr>
        <w:t>vaskulárne</w:t>
      </w:r>
      <w:r w:rsidR="005A7389" w:rsidRPr="0089771B">
        <w:rPr>
          <w:sz w:val="22"/>
          <w:szCs w:val="22"/>
          <w:lang w:val="sk"/>
        </w:rPr>
        <w:t>.</w:t>
      </w:r>
    </w:p>
    <w:p w14:paraId="56864596" w14:textId="77777777" w:rsidR="005F37A4" w:rsidRPr="0089771B" w:rsidRDefault="005F37A4" w:rsidP="0089771B">
      <w:pPr>
        <w:pStyle w:val="Default"/>
        <w:rPr>
          <w:sz w:val="22"/>
          <w:szCs w:val="22"/>
          <w:lang w:val="pt-PT"/>
        </w:rPr>
      </w:pPr>
    </w:p>
    <w:p w14:paraId="78285DFC" w14:textId="2571F99A" w:rsidR="00FD7C97" w:rsidRPr="0089771B" w:rsidRDefault="00A14C11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>V</w:t>
      </w:r>
      <w:r w:rsidR="00FD7C97" w:rsidRPr="0089771B">
        <w:rPr>
          <w:sz w:val="22"/>
          <w:szCs w:val="22"/>
          <w:lang w:val="sk"/>
        </w:rPr>
        <w:t xml:space="preserve"> prípade závažnej trombocytopénie a iných </w:t>
      </w:r>
      <w:r>
        <w:rPr>
          <w:sz w:val="22"/>
          <w:szCs w:val="22"/>
          <w:lang w:val="sk"/>
        </w:rPr>
        <w:t xml:space="preserve">porúch </w:t>
      </w:r>
      <w:r w:rsidR="00FD7C97" w:rsidRPr="0089771B">
        <w:rPr>
          <w:sz w:val="22"/>
          <w:szCs w:val="22"/>
          <w:lang w:val="sk"/>
        </w:rPr>
        <w:t>hemostáz</w:t>
      </w:r>
      <w:r>
        <w:rPr>
          <w:sz w:val="22"/>
          <w:szCs w:val="22"/>
          <w:lang w:val="sk"/>
        </w:rPr>
        <w:t>y sa n</w:t>
      </w:r>
      <w:r w:rsidRPr="0089771B">
        <w:rPr>
          <w:sz w:val="22"/>
          <w:szCs w:val="22"/>
          <w:lang w:val="sk"/>
        </w:rPr>
        <w:t>esmie podávať a</w:t>
      </w:r>
      <w:r>
        <w:rPr>
          <w:sz w:val="22"/>
          <w:szCs w:val="22"/>
          <w:lang w:val="sk"/>
        </w:rPr>
        <w:t>ni</w:t>
      </w:r>
      <w:r w:rsidRPr="0089771B">
        <w:rPr>
          <w:sz w:val="22"/>
          <w:szCs w:val="22"/>
          <w:lang w:val="sk"/>
        </w:rPr>
        <w:t xml:space="preserve"> intramuskulárne</w:t>
      </w:r>
      <w:r w:rsidR="00FD7C97" w:rsidRPr="0089771B">
        <w:rPr>
          <w:sz w:val="22"/>
          <w:szCs w:val="22"/>
          <w:lang w:val="sk"/>
        </w:rPr>
        <w:t>.</w:t>
      </w:r>
    </w:p>
    <w:p w14:paraId="641487AC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3FAA8C3A" w14:textId="2BA13EAF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4.4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Osobitné upozornenia a opatrenia pri používaní</w:t>
      </w:r>
    </w:p>
    <w:p w14:paraId="4D252149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0CD25455" w14:textId="2081511A" w:rsidR="00AF5724" w:rsidRPr="0089771B" w:rsidRDefault="00AF5724" w:rsidP="0089771B">
      <w:pPr>
        <w:pStyle w:val="Default"/>
        <w:rPr>
          <w:iCs/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Dôrazne sa odporúča, aby sa pri každom podaní lieku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pacientovi zaznamenal názov a číslo šarže lieku, aby </w:t>
      </w:r>
      <w:r w:rsidR="00C44347">
        <w:rPr>
          <w:sz w:val="22"/>
          <w:szCs w:val="22"/>
          <w:lang w:val="sk"/>
        </w:rPr>
        <w:t>bolo evidované spojenie</w:t>
      </w:r>
      <w:r w:rsidRPr="0089771B">
        <w:rPr>
          <w:sz w:val="22"/>
          <w:szCs w:val="22"/>
          <w:lang w:val="sk"/>
        </w:rPr>
        <w:t xml:space="preserve"> medzi pacientom a šaržou </w:t>
      </w:r>
      <w:r w:rsidR="00C44347">
        <w:rPr>
          <w:sz w:val="22"/>
          <w:szCs w:val="22"/>
          <w:lang w:val="sk"/>
        </w:rPr>
        <w:t>lieku</w:t>
      </w:r>
      <w:r w:rsidRPr="0089771B">
        <w:rPr>
          <w:sz w:val="22"/>
          <w:szCs w:val="22"/>
          <w:lang w:val="sk"/>
        </w:rPr>
        <w:t>.</w:t>
      </w:r>
    </w:p>
    <w:p w14:paraId="7BF9EA63" w14:textId="77777777" w:rsidR="00AF5724" w:rsidRPr="0089771B" w:rsidRDefault="00AF5724" w:rsidP="0089771B">
      <w:pPr>
        <w:pStyle w:val="Default"/>
        <w:rPr>
          <w:sz w:val="22"/>
          <w:szCs w:val="22"/>
          <w:lang w:val="pt-PT"/>
        </w:rPr>
      </w:pPr>
    </w:p>
    <w:p w14:paraId="16DE5522" w14:textId="78D4D69E" w:rsidR="00BF53D8" w:rsidRPr="0089771B" w:rsidRDefault="00BF53D8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Tento liek obsahuje </w:t>
      </w:r>
      <w:r w:rsidR="00C44347" w:rsidRPr="0089771B">
        <w:rPr>
          <w:sz w:val="22"/>
          <w:szCs w:val="22"/>
          <w:lang w:val="sk"/>
        </w:rPr>
        <w:t xml:space="preserve">ako pomocnú látku </w:t>
      </w:r>
      <w:r w:rsidRPr="0089771B">
        <w:rPr>
          <w:sz w:val="22"/>
          <w:szCs w:val="22"/>
          <w:lang w:val="sk"/>
        </w:rPr>
        <w:t xml:space="preserve">maximálne 90 mg maltózy </w:t>
      </w:r>
      <w:r w:rsidR="00C44347">
        <w:rPr>
          <w:sz w:val="22"/>
          <w:szCs w:val="22"/>
          <w:lang w:val="sk"/>
        </w:rPr>
        <w:t>v 1</w:t>
      </w:r>
      <w:r w:rsidRPr="0089771B">
        <w:rPr>
          <w:sz w:val="22"/>
          <w:szCs w:val="22"/>
          <w:lang w:val="sk"/>
        </w:rPr>
        <w:t xml:space="preserve"> ml. Interferencia maltózy v teste glukózy v krvi môže mať za následok nesprávne zvýšené hodnoty glukózy a následne aj nevhodné podanie inzulínu, čo vedie k život ohrozujúcej hypoglykémii a smrti. T</w:t>
      </w:r>
      <w:r w:rsidR="00C44347">
        <w:rPr>
          <w:sz w:val="22"/>
          <w:szCs w:val="22"/>
          <w:lang w:val="sk"/>
        </w:rPr>
        <w:t>aktiež</w:t>
      </w:r>
      <w:r w:rsidRPr="0089771B">
        <w:rPr>
          <w:sz w:val="22"/>
          <w:szCs w:val="22"/>
          <w:lang w:val="sk"/>
        </w:rPr>
        <w:t xml:space="preserve"> </w:t>
      </w:r>
      <w:r w:rsidR="00C44347">
        <w:rPr>
          <w:sz w:val="22"/>
          <w:szCs w:val="22"/>
          <w:lang w:val="sk"/>
        </w:rPr>
        <w:t xml:space="preserve">môžu ostať neliečené </w:t>
      </w:r>
      <w:r w:rsidRPr="0089771B">
        <w:rPr>
          <w:sz w:val="22"/>
          <w:szCs w:val="22"/>
          <w:lang w:val="sk"/>
        </w:rPr>
        <w:t>prípady skutočnej hypoglykémie</w:t>
      </w:r>
      <w:r w:rsidR="00C44347">
        <w:rPr>
          <w:sz w:val="22"/>
          <w:szCs w:val="22"/>
          <w:lang w:val="sk"/>
        </w:rPr>
        <w:t xml:space="preserve">, </w:t>
      </w:r>
      <w:r w:rsidRPr="0089771B">
        <w:rPr>
          <w:sz w:val="22"/>
          <w:szCs w:val="22"/>
          <w:lang w:val="sk"/>
        </w:rPr>
        <w:t>ak je hyp</w:t>
      </w:r>
      <w:r w:rsidR="00C44347">
        <w:rPr>
          <w:sz w:val="22"/>
          <w:szCs w:val="22"/>
          <w:lang w:val="sk"/>
        </w:rPr>
        <w:t>o</w:t>
      </w:r>
      <w:r w:rsidRPr="0089771B">
        <w:rPr>
          <w:sz w:val="22"/>
          <w:szCs w:val="22"/>
          <w:lang w:val="sk"/>
        </w:rPr>
        <w:t>glykemický stav maskovaný nesprávne zvýšenými hodnotami glukózy (pozri  čas</w:t>
      </w:r>
      <w:r w:rsidR="00B65BD4">
        <w:rPr>
          <w:sz w:val="22"/>
          <w:szCs w:val="22"/>
          <w:lang w:val="sk"/>
        </w:rPr>
        <w:t>ť</w:t>
      </w:r>
      <w:r w:rsidRPr="0089771B">
        <w:rPr>
          <w:sz w:val="22"/>
          <w:szCs w:val="22"/>
          <w:lang w:val="sk"/>
        </w:rPr>
        <w:t> 4.5). Pre akútne zlyhanie obličiek pozri nižšie.</w:t>
      </w:r>
    </w:p>
    <w:p w14:paraId="554A1A43" w14:textId="77777777" w:rsidR="00BF53D8" w:rsidRPr="0089771B" w:rsidRDefault="00BF53D8" w:rsidP="0089771B">
      <w:pPr>
        <w:pStyle w:val="Default"/>
        <w:rPr>
          <w:sz w:val="22"/>
          <w:szCs w:val="22"/>
          <w:lang w:val="sk"/>
        </w:rPr>
      </w:pPr>
    </w:p>
    <w:p w14:paraId="3DA1C9EE" w14:textId="5966E37E" w:rsidR="00BF1ED3" w:rsidRPr="0089771B" w:rsidRDefault="00283087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CUTAQUIG</w:t>
      </w:r>
      <w:r w:rsidR="006017A7" w:rsidRPr="0089771B">
        <w:rPr>
          <w:sz w:val="22"/>
          <w:szCs w:val="22"/>
          <w:lang w:val="sk"/>
        </w:rPr>
        <w:t xml:space="preserve"> je len </w:t>
      </w:r>
      <w:r w:rsidR="00C44347">
        <w:rPr>
          <w:sz w:val="22"/>
          <w:szCs w:val="22"/>
          <w:lang w:val="sk"/>
        </w:rPr>
        <w:t>na</w:t>
      </w:r>
      <w:r w:rsidR="006017A7" w:rsidRPr="0089771B">
        <w:rPr>
          <w:sz w:val="22"/>
          <w:szCs w:val="22"/>
          <w:lang w:val="sk"/>
        </w:rPr>
        <w:t xml:space="preserve"> subkutánne použitie. Ak sa </w:t>
      </w:r>
      <w:r>
        <w:rPr>
          <w:sz w:val="22"/>
          <w:szCs w:val="22"/>
          <w:lang w:val="sk"/>
        </w:rPr>
        <w:t>CUTAQUIG</w:t>
      </w:r>
      <w:r w:rsidR="006017A7" w:rsidRPr="0089771B">
        <w:rPr>
          <w:sz w:val="22"/>
          <w:szCs w:val="22"/>
          <w:lang w:val="sk"/>
        </w:rPr>
        <w:t xml:space="preserve"> náhodne podá do krvnej cievy môž</w:t>
      </w:r>
      <w:r w:rsidR="00B65BD4">
        <w:rPr>
          <w:sz w:val="22"/>
          <w:szCs w:val="22"/>
          <w:lang w:val="sk"/>
        </w:rPr>
        <w:t>e</w:t>
      </w:r>
      <w:r w:rsidR="006017A7" w:rsidRPr="0089771B">
        <w:rPr>
          <w:sz w:val="22"/>
          <w:szCs w:val="22"/>
          <w:lang w:val="sk"/>
        </w:rPr>
        <w:t xml:space="preserve"> sa u pacient</w:t>
      </w:r>
      <w:r w:rsidR="00B65BD4">
        <w:rPr>
          <w:sz w:val="22"/>
          <w:szCs w:val="22"/>
          <w:lang w:val="sk"/>
        </w:rPr>
        <w:t>ov</w:t>
      </w:r>
      <w:r w:rsidR="006017A7" w:rsidRPr="0089771B">
        <w:rPr>
          <w:sz w:val="22"/>
          <w:szCs w:val="22"/>
          <w:lang w:val="sk"/>
        </w:rPr>
        <w:t xml:space="preserve"> vyvinúť šok.</w:t>
      </w:r>
    </w:p>
    <w:p w14:paraId="02CC93F2" w14:textId="77777777" w:rsidR="00BF1ED3" w:rsidRPr="0089771B" w:rsidRDefault="00BF1ED3" w:rsidP="0089771B">
      <w:pPr>
        <w:pStyle w:val="Default"/>
        <w:rPr>
          <w:sz w:val="22"/>
          <w:szCs w:val="22"/>
          <w:lang w:val="sk"/>
        </w:rPr>
      </w:pPr>
    </w:p>
    <w:p w14:paraId="7D544E47" w14:textId="5B3241AC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O</w:t>
      </w:r>
      <w:r w:rsidR="00DB3D51" w:rsidRPr="0089771B">
        <w:rPr>
          <w:sz w:val="22"/>
          <w:szCs w:val="22"/>
          <w:lang w:val="sk"/>
        </w:rPr>
        <w:t>dp</w:t>
      </w:r>
      <w:r w:rsidRPr="0089771B">
        <w:rPr>
          <w:sz w:val="22"/>
          <w:szCs w:val="22"/>
          <w:lang w:val="sk"/>
        </w:rPr>
        <w:t xml:space="preserve">orúčaná rýchlosť infúzie uvedená v časti 4.2 musí byť presne dodržaná. Pacient musí byť dôsledne sledovaný pre akékoľvek príznaky počas </w:t>
      </w:r>
      <w:r w:rsidR="00A14C11">
        <w:rPr>
          <w:sz w:val="22"/>
          <w:szCs w:val="22"/>
          <w:lang w:val="sk"/>
        </w:rPr>
        <w:t>trvania</w:t>
      </w:r>
      <w:r w:rsidR="00A14C11" w:rsidRPr="0089771B">
        <w:rPr>
          <w:sz w:val="22"/>
          <w:szCs w:val="22"/>
          <w:lang w:val="sk"/>
        </w:rPr>
        <w:t xml:space="preserve"> </w:t>
      </w:r>
      <w:r w:rsidRPr="0089771B">
        <w:rPr>
          <w:sz w:val="22"/>
          <w:szCs w:val="22"/>
          <w:lang w:val="sk"/>
        </w:rPr>
        <w:t>infúzie.</w:t>
      </w:r>
    </w:p>
    <w:p w14:paraId="264BEFCF" w14:textId="77777777" w:rsidR="00BF1ED3" w:rsidRPr="0089771B" w:rsidRDefault="00BF1ED3" w:rsidP="0089771B">
      <w:pPr>
        <w:pStyle w:val="Default"/>
        <w:rPr>
          <w:sz w:val="22"/>
          <w:szCs w:val="22"/>
          <w:lang w:val="sk"/>
        </w:rPr>
      </w:pPr>
    </w:p>
    <w:p w14:paraId="4A3BA5E6" w14:textId="18E8538E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Niektoré nežiaduce reakcie sa môžu vyskytnúť častejšie u pacientov, ktorí dostanú po prvýkrát ľudský normálny imunoglobulín alebo v zriedkavých prípadoch, keď sa </w:t>
      </w:r>
      <w:r w:rsidR="00B65BD4">
        <w:rPr>
          <w:sz w:val="22"/>
          <w:szCs w:val="22"/>
          <w:lang w:val="sk"/>
        </w:rPr>
        <w:t>zamení liek z</w:t>
      </w:r>
      <w:r w:rsidRPr="0089771B">
        <w:rPr>
          <w:sz w:val="22"/>
          <w:szCs w:val="22"/>
          <w:lang w:val="sk"/>
        </w:rPr>
        <w:t xml:space="preserve"> ľudsk</w:t>
      </w:r>
      <w:r w:rsidR="00B65BD4">
        <w:rPr>
          <w:sz w:val="22"/>
          <w:szCs w:val="22"/>
          <w:lang w:val="sk"/>
        </w:rPr>
        <w:t>ého</w:t>
      </w:r>
      <w:r w:rsidRPr="0089771B">
        <w:rPr>
          <w:sz w:val="22"/>
          <w:szCs w:val="22"/>
          <w:lang w:val="sk"/>
        </w:rPr>
        <w:t xml:space="preserve"> normáln</w:t>
      </w:r>
      <w:r w:rsidR="00B65BD4">
        <w:rPr>
          <w:sz w:val="22"/>
          <w:szCs w:val="22"/>
          <w:lang w:val="sk"/>
        </w:rPr>
        <w:t>eho</w:t>
      </w:r>
      <w:r w:rsidRPr="0089771B">
        <w:rPr>
          <w:sz w:val="22"/>
          <w:szCs w:val="22"/>
          <w:lang w:val="sk"/>
        </w:rPr>
        <w:t xml:space="preserve"> imunoglobulín</w:t>
      </w:r>
      <w:r w:rsidR="00B65BD4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 xml:space="preserve"> alebo ak uplynul dlhší čas od predchádzajúcej infúzie.</w:t>
      </w:r>
    </w:p>
    <w:p w14:paraId="6D585041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700BB66F" w14:textId="4C8C4746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Potenciálne komplikácie sa často môžu obmedziť</w:t>
      </w:r>
      <w:r w:rsidR="00B65BD4">
        <w:rPr>
          <w:sz w:val="22"/>
          <w:szCs w:val="22"/>
          <w:lang w:val="sk"/>
        </w:rPr>
        <w:t xml:space="preserve"> tým, že</w:t>
      </w:r>
      <w:r w:rsidRPr="0089771B">
        <w:rPr>
          <w:sz w:val="22"/>
          <w:szCs w:val="22"/>
          <w:lang w:val="sk"/>
        </w:rPr>
        <w:t>:</w:t>
      </w:r>
    </w:p>
    <w:p w14:paraId="0C62C507" w14:textId="23DA25F6" w:rsidR="00FD7C97" w:rsidRPr="0089771B" w:rsidRDefault="00B65BD4" w:rsidP="0089771B">
      <w:pPr>
        <w:pStyle w:val="Default"/>
        <w:numPr>
          <w:ilvl w:val="0"/>
          <w:numId w:val="6"/>
        </w:numPr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Zo začiatku</w:t>
      </w:r>
      <w:r w:rsidR="00FD7C97" w:rsidRPr="0089771B">
        <w:rPr>
          <w:sz w:val="22"/>
          <w:szCs w:val="22"/>
          <w:lang w:val="sk"/>
        </w:rPr>
        <w:t xml:space="preserve"> dávkujte liek pomaly (pozri časť 4.2).</w:t>
      </w:r>
    </w:p>
    <w:p w14:paraId="442D4508" w14:textId="6908572A" w:rsidR="00FD7C97" w:rsidRPr="0089771B" w:rsidRDefault="00B65BD4" w:rsidP="0089771B">
      <w:pPr>
        <w:pStyle w:val="Default"/>
        <w:numPr>
          <w:ilvl w:val="0"/>
          <w:numId w:val="6"/>
        </w:numPr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 xml:space="preserve">Sa </w:t>
      </w:r>
      <w:r w:rsidR="00FD7C97" w:rsidRPr="0089771B">
        <w:rPr>
          <w:sz w:val="22"/>
          <w:szCs w:val="22"/>
          <w:lang w:val="sk"/>
        </w:rPr>
        <w:t>presvedč</w:t>
      </w:r>
      <w:r>
        <w:rPr>
          <w:sz w:val="22"/>
          <w:szCs w:val="22"/>
          <w:lang w:val="sk"/>
        </w:rPr>
        <w:t>í</w:t>
      </w:r>
      <w:r w:rsidR="00FD7C97" w:rsidRPr="0089771B">
        <w:rPr>
          <w:sz w:val="22"/>
          <w:szCs w:val="22"/>
          <w:lang w:val="sk"/>
        </w:rPr>
        <w:t>te</w:t>
      </w:r>
      <w:r>
        <w:rPr>
          <w:sz w:val="22"/>
          <w:szCs w:val="22"/>
          <w:lang w:val="sk"/>
        </w:rPr>
        <w:t>,</w:t>
      </w:r>
      <w:r w:rsidR="00FD7C97" w:rsidRPr="0089771B">
        <w:rPr>
          <w:sz w:val="22"/>
          <w:szCs w:val="22"/>
          <w:lang w:val="sk"/>
        </w:rPr>
        <w:t xml:space="preserve"> že je pacient dô</w:t>
      </w:r>
      <w:r>
        <w:rPr>
          <w:sz w:val="22"/>
          <w:szCs w:val="22"/>
          <w:lang w:val="sk"/>
        </w:rPr>
        <w:t>kladne</w:t>
      </w:r>
      <w:r w:rsidR="00FD7C97" w:rsidRPr="0089771B">
        <w:rPr>
          <w:sz w:val="22"/>
          <w:szCs w:val="22"/>
          <w:lang w:val="sk"/>
        </w:rPr>
        <w:t xml:space="preserve"> sledovaný pre akékoľvek príznaky počas </w:t>
      </w:r>
      <w:r w:rsidR="000A29BB">
        <w:rPr>
          <w:sz w:val="22"/>
          <w:szCs w:val="22"/>
          <w:lang w:val="sk"/>
        </w:rPr>
        <w:t>trvania</w:t>
      </w:r>
      <w:r w:rsidR="000A29BB" w:rsidRPr="0089771B">
        <w:rPr>
          <w:sz w:val="22"/>
          <w:szCs w:val="22"/>
          <w:lang w:val="sk"/>
        </w:rPr>
        <w:t xml:space="preserve"> </w:t>
      </w:r>
      <w:r w:rsidR="00FD7C97" w:rsidRPr="0089771B">
        <w:rPr>
          <w:sz w:val="22"/>
          <w:szCs w:val="22"/>
          <w:lang w:val="sk"/>
        </w:rPr>
        <w:t xml:space="preserve">infúzie. Najmä pacienti, ktorí neboli liečení normálnym ľudským imunoglobulínom, pacienti, ktorí prešli z alternatívneho imunoglobulínového lieku alebo keď bol dlhý interval od predchádzajúcej infúzie majú byť monitorovaní počas prvej infúzie a počas prvej hodiny po prvej infúzii, aby sa zistili potenciálne nežiaduce </w:t>
      </w:r>
      <w:r w:rsidR="000A29BB">
        <w:rPr>
          <w:sz w:val="22"/>
          <w:szCs w:val="22"/>
          <w:lang w:val="sk"/>
        </w:rPr>
        <w:t>prejavy</w:t>
      </w:r>
      <w:r w:rsidR="00FD7C97" w:rsidRPr="0089771B">
        <w:rPr>
          <w:sz w:val="22"/>
          <w:szCs w:val="22"/>
          <w:lang w:val="sk"/>
        </w:rPr>
        <w:t>.</w:t>
      </w:r>
    </w:p>
    <w:p w14:paraId="17BE132F" w14:textId="3848F2F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Všetci ostatní pacienti majú byť pozorovaní najmenej 20 minút po podaní.</w:t>
      </w:r>
    </w:p>
    <w:p w14:paraId="71F2AC4A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05C89842" w14:textId="72BCB075" w:rsidR="00872E6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V prípade nežiaducej reakcie sa musí znížiť rýchlosť podávania alebo zastaviť infúziu. Podozrenie na alergické alebo anafylaktické reakcie vyžaduje okamžité </w:t>
      </w:r>
      <w:r w:rsidR="00CE2D2D">
        <w:rPr>
          <w:sz w:val="22"/>
          <w:szCs w:val="22"/>
          <w:lang w:val="sk"/>
        </w:rPr>
        <w:t>prerušenie</w:t>
      </w:r>
      <w:r w:rsidRPr="0089771B">
        <w:rPr>
          <w:sz w:val="22"/>
          <w:szCs w:val="22"/>
          <w:lang w:val="sk"/>
        </w:rPr>
        <w:t xml:space="preserve"> injekcie. Požadovaná liečba závisí od povahy a závažnosti nežiaducej reakcie.</w:t>
      </w:r>
    </w:p>
    <w:p w14:paraId="7B85DBBD" w14:textId="0004D96D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V prípade šoku </w:t>
      </w:r>
      <w:r w:rsidR="000A29BB">
        <w:rPr>
          <w:sz w:val="22"/>
          <w:szCs w:val="22"/>
          <w:lang w:val="sk"/>
        </w:rPr>
        <w:t>sa má</w:t>
      </w:r>
      <w:r w:rsidRPr="0089771B">
        <w:rPr>
          <w:sz w:val="22"/>
          <w:szCs w:val="22"/>
          <w:lang w:val="sk"/>
        </w:rPr>
        <w:t xml:space="preserve"> vykonať štandardná lekárska liečba šoku.</w:t>
      </w:r>
    </w:p>
    <w:p w14:paraId="594BD19A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4CB4E92C" w14:textId="17586DEA" w:rsidR="00FD7C97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133B50">
        <w:rPr>
          <w:sz w:val="22"/>
          <w:szCs w:val="22"/>
          <w:u w:val="single"/>
          <w:lang w:val="sk"/>
        </w:rPr>
        <w:t>Precitlivenosť</w:t>
      </w:r>
    </w:p>
    <w:p w14:paraId="536209DC" w14:textId="5515E50A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Skutočné alergické reakcie sú zriedkavé. Môžu sa vyskytnúť najmä u pacientov s protilátkami proti IgA, ktorí by sa mali liečiť obzvlášť opatrne. Pacienti s protilátkami proti IgA, u ktorých zostáva liečba subkutánnymi liekmi IgG jedinou možnosťou, sa majú liečiť liekom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len pod prísnym lekárskym dohľadom.</w:t>
      </w:r>
    </w:p>
    <w:p w14:paraId="732124B2" w14:textId="4BCA63F3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Zriedkavo normálny</w:t>
      </w:r>
      <w:r w:rsidR="00CE2D2D">
        <w:rPr>
          <w:sz w:val="22"/>
          <w:szCs w:val="22"/>
          <w:lang w:val="sk"/>
        </w:rPr>
        <w:t xml:space="preserve"> </w:t>
      </w:r>
      <w:r w:rsidR="00CE2D2D" w:rsidRPr="00CE2D2D">
        <w:rPr>
          <w:sz w:val="22"/>
          <w:szCs w:val="22"/>
          <w:lang w:val="sk"/>
        </w:rPr>
        <w:t>ľudský</w:t>
      </w:r>
      <w:r w:rsidRPr="0089771B">
        <w:rPr>
          <w:sz w:val="22"/>
          <w:szCs w:val="22"/>
          <w:lang w:val="sk"/>
        </w:rPr>
        <w:t xml:space="preserve"> imunoglobulín môže vyvolať pokles krvného tlaku s anafylaktickou reakciou, dokonca aj u pacientov, ktorí tolerovali predchádzajúcu liečbu normálnym ľudským imunoglobulínom.</w:t>
      </w:r>
    </w:p>
    <w:p w14:paraId="5989B075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124352A5" w14:textId="01E59652" w:rsidR="00FD7C97" w:rsidRPr="0089771B" w:rsidRDefault="00EC6479" w:rsidP="0089771B">
      <w:pPr>
        <w:pStyle w:val="Default"/>
        <w:keepNext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Tromboembólia</w:t>
      </w:r>
    </w:p>
    <w:p w14:paraId="3BC64B20" w14:textId="78740BF1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Arteriálne a venózne tromboembolické príhody vrátane infarktu myokardu, mŕtvice, hlbokej žilovej trombózy a pľúcnej embólie boli spojené s použitím imunoglobulínov. Pacienti majú byť pred použitím imunoglobulínov dostatočne hydratovaní. Opatrnosť je potrebná u pacientov s </w:t>
      </w:r>
      <w:r w:rsidR="00CE2D2D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 xml:space="preserve">ž existujúcimi rizikovými faktormi pre trombotické príhody (ako je pokročilý vek, hypertenzia, diabetes mellitus a anamnéza cievnych ochorení alebo trombotických epizód, pacienti so získanými alebo dedičnými trombofilnými poruchami, pacienti s predĺženou dobou imobilizácie, silne hypovolemický). </w:t>
      </w:r>
    </w:p>
    <w:p w14:paraId="413CD388" w14:textId="2E694D66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Pacienti majú byť informovaní o prvých príznakoch tromboembolických udalostí, vrátane dýchavičnosti, bolesti a opuchu končatín, ohniskových neurologických deficitov a bolesti na hrudníku a </w:t>
      </w:r>
      <w:r w:rsidR="00CE2D2D">
        <w:rPr>
          <w:sz w:val="22"/>
          <w:szCs w:val="22"/>
          <w:lang w:val="sk"/>
        </w:rPr>
        <w:t>majú</w:t>
      </w:r>
      <w:r w:rsidRPr="0089771B">
        <w:rPr>
          <w:sz w:val="22"/>
          <w:szCs w:val="22"/>
          <w:lang w:val="sk"/>
        </w:rPr>
        <w:t xml:space="preserve"> byť poučení aby kontaktovali svojho lekára ihneď po nástupe symptómov.</w:t>
      </w:r>
    </w:p>
    <w:p w14:paraId="558BD821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70EF4E04" w14:textId="378F54E7" w:rsidR="00FD7C97" w:rsidRPr="0089771B" w:rsidRDefault="00FA7F35" w:rsidP="0089771B">
      <w:pPr>
        <w:pStyle w:val="Default"/>
        <w:rPr>
          <w:sz w:val="22"/>
          <w:szCs w:val="22"/>
          <w:u w:val="single"/>
          <w:lang w:val="sk"/>
        </w:rPr>
      </w:pPr>
      <w:r>
        <w:rPr>
          <w:sz w:val="22"/>
          <w:szCs w:val="22"/>
          <w:u w:val="single"/>
          <w:lang w:val="sk"/>
        </w:rPr>
        <w:t>Syndróm a</w:t>
      </w:r>
      <w:r w:rsidR="00FD7C97" w:rsidRPr="00FA7F35">
        <w:rPr>
          <w:sz w:val="22"/>
          <w:szCs w:val="22"/>
          <w:u w:val="single"/>
          <w:lang w:val="sk"/>
        </w:rPr>
        <w:t>septick</w:t>
      </w:r>
      <w:r>
        <w:rPr>
          <w:sz w:val="22"/>
          <w:szCs w:val="22"/>
          <w:u w:val="single"/>
          <w:lang w:val="sk"/>
        </w:rPr>
        <w:t>ej</w:t>
      </w:r>
      <w:r w:rsidR="00FD7C97" w:rsidRPr="00FA7F35">
        <w:rPr>
          <w:sz w:val="22"/>
          <w:szCs w:val="22"/>
          <w:u w:val="single"/>
          <w:lang w:val="sk"/>
        </w:rPr>
        <w:t xml:space="preserve"> meningitídy</w:t>
      </w:r>
      <w:r>
        <w:rPr>
          <w:sz w:val="22"/>
          <w:szCs w:val="22"/>
          <w:u w:val="single"/>
          <w:lang w:val="sk"/>
        </w:rPr>
        <w:t xml:space="preserve"> </w:t>
      </w:r>
      <w:r w:rsidR="00FD7C97" w:rsidRPr="00FA7F35">
        <w:rPr>
          <w:sz w:val="22"/>
          <w:szCs w:val="22"/>
          <w:u w:val="single"/>
          <w:lang w:val="sk"/>
        </w:rPr>
        <w:t xml:space="preserve"> (AMS)</w:t>
      </w:r>
    </w:p>
    <w:p w14:paraId="2790DC1A" w14:textId="440999BB" w:rsidR="00FD7C97" w:rsidRPr="0089771B" w:rsidRDefault="00FA7F35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Syndróm a</w:t>
      </w:r>
      <w:r w:rsidR="00FD7C97" w:rsidRPr="0089771B">
        <w:rPr>
          <w:sz w:val="22"/>
          <w:szCs w:val="22"/>
          <w:lang w:val="sk"/>
        </w:rPr>
        <w:t>septick</w:t>
      </w:r>
      <w:r>
        <w:rPr>
          <w:sz w:val="22"/>
          <w:szCs w:val="22"/>
          <w:lang w:val="sk"/>
        </w:rPr>
        <w:t>ej</w:t>
      </w:r>
      <w:r w:rsidR="00FD7C97" w:rsidRPr="0089771B">
        <w:rPr>
          <w:sz w:val="22"/>
          <w:szCs w:val="22"/>
          <w:lang w:val="sk"/>
        </w:rPr>
        <w:t xml:space="preserve"> meningitídy sa vyskytol v súvislosti s podkožnou liečbou imunoglobulínom; príznaky zvyčajne začínajú v priebehu niekoľkých hodín až 2 dni po liečbe. Prerušenie liečby imunoglobulínmi môže mať za následok remisiu AMS počas niekoľkých dní bez následkov.</w:t>
      </w:r>
    </w:p>
    <w:p w14:paraId="7B58939B" w14:textId="77777777" w:rsidR="005F37A4" w:rsidRPr="0089771B" w:rsidRDefault="005F37A4" w:rsidP="0089771B">
      <w:pPr>
        <w:pStyle w:val="Default"/>
        <w:rPr>
          <w:sz w:val="22"/>
          <w:szCs w:val="22"/>
          <w:lang w:val="sk"/>
        </w:rPr>
      </w:pPr>
    </w:p>
    <w:p w14:paraId="10238A10" w14:textId="3F5B6D81" w:rsidR="00873C26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Oznámte svojmu lekárovi ak zistíte nasledujúce príznaky bolesti hlavy, stuhnutie šije, ospalosť, horúčka, svetloplachosť, nevoľnosť a zvracanie po použití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>.</w:t>
      </w:r>
    </w:p>
    <w:p w14:paraId="3E7438E4" w14:textId="77777777" w:rsidR="00AF5724" w:rsidRPr="0089771B" w:rsidRDefault="00AF5724" w:rsidP="0089771B">
      <w:pPr>
        <w:pStyle w:val="Default"/>
        <w:rPr>
          <w:sz w:val="22"/>
          <w:szCs w:val="22"/>
          <w:lang w:val="sk"/>
        </w:rPr>
      </w:pPr>
    </w:p>
    <w:p w14:paraId="0BB75BB2" w14:textId="77777777" w:rsidR="00AF5724" w:rsidRPr="0089771B" w:rsidRDefault="00A44733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  <w:lang w:val="sk"/>
        </w:rPr>
      </w:pPr>
      <w:r w:rsidRPr="0089771B">
        <w:rPr>
          <w:rFonts w:ascii="Times New Roman" w:hAnsi="Times New Roman" w:cs="Times New Roman"/>
          <w:color w:val="000000"/>
          <w:u w:val="single"/>
          <w:lang w:val="sk"/>
        </w:rPr>
        <w:t>Renálna dysfunkcia/zlyhanie</w:t>
      </w:r>
    </w:p>
    <w:p w14:paraId="74CF42EF" w14:textId="3184CE26" w:rsidR="00AF5724" w:rsidRPr="0089771B" w:rsidRDefault="00AF5724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Ťažké renálne nežiaduce reakcie boli hlásené u pacientov liečených imunoglobulínom</w:t>
      </w:r>
      <w:r w:rsidR="00776253">
        <w:rPr>
          <w:rFonts w:ascii="Times New Roman" w:hAnsi="Times New Roman" w:cs="Times New Roman"/>
          <w:color w:val="000000"/>
          <w:lang w:val="sk"/>
        </w:rPr>
        <w:t>,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najmä </w:t>
      </w:r>
      <w:r w:rsidR="00776253">
        <w:rPr>
          <w:rFonts w:ascii="Times New Roman" w:hAnsi="Times New Roman" w:cs="Times New Roman"/>
          <w:color w:val="000000"/>
          <w:lang w:val="sk"/>
        </w:rPr>
        <w:t xml:space="preserve">u 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tých </w:t>
      </w:r>
      <w:r w:rsidR="00647DD5">
        <w:rPr>
          <w:rFonts w:ascii="Times New Roman" w:hAnsi="Times New Roman" w:cs="Times New Roman"/>
          <w:color w:val="000000"/>
          <w:lang w:val="sk"/>
        </w:rPr>
        <w:t>liekov</w:t>
      </w:r>
      <w:r w:rsidR="00776253">
        <w:rPr>
          <w:rFonts w:ascii="Times New Roman" w:hAnsi="Times New Roman" w:cs="Times New Roman"/>
          <w:color w:val="000000"/>
          <w:lang w:val="sk"/>
        </w:rPr>
        <w:t>, ktoré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obsahujú sacharózu (</w:t>
      </w:r>
      <w:r w:rsidR="00283087">
        <w:rPr>
          <w:rFonts w:ascii="Times New Roman" w:hAnsi="Times New Roman" w:cs="Times New Roman"/>
          <w:color w:val="000000"/>
          <w:lang w:val="sk"/>
        </w:rPr>
        <w:t>CUTAQUIG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neobsahuje sacharózu). Tieto zahŕňajú akútne zlyhanie obličiek, akútnu tubulárnu nekrózu, proximálnu tubulárnu nefropatiu a osmotickú nefrózu. Faktory, ktoré zvyšujú riziko renálnych komplikácií zahŕňajú, ale nie sú obmedzené na už existujúcu renálnu insuficienciu, diabetes mellitus, hypovolémiu, súbežné nefrotoxické lieky, vek nad 65 rokov, sepsu, hyperviskozitu a paraproteinémiu.</w:t>
      </w:r>
    </w:p>
    <w:p w14:paraId="4E47C46F" w14:textId="7777777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</w:p>
    <w:p w14:paraId="3247A8AC" w14:textId="4EE54AF1" w:rsidR="00FD7C97" w:rsidRPr="0089771B" w:rsidRDefault="00FD7C97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 xml:space="preserve">Dôležité informácie o niektorých zložkách </w:t>
      </w:r>
      <w:r w:rsidR="00283087">
        <w:rPr>
          <w:sz w:val="22"/>
          <w:szCs w:val="22"/>
          <w:u w:val="single"/>
          <w:lang w:val="sk"/>
        </w:rPr>
        <w:t>CUTAQUIG</w:t>
      </w:r>
      <w:r w:rsidRPr="0089771B">
        <w:rPr>
          <w:sz w:val="22"/>
          <w:szCs w:val="22"/>
          <w:u w:val="single"/>
          <w:lang w:val="sk"/>
        </w:rPr>
        <w:t>u</w:t>
      </w:r>
    </w:p>
    <w:p w14:paraId="021E99DE" w14:textId="6D89561B" w:rsidR="00AF5724" w:rsidRPr="0089771B" w:rsidRDefault="00AF5724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 xml:space="preserve">Tento liek obsahuje 33,1 mg sodíka </w:t>
      </w:r>
      <w:r w:rsidR="004A2B34">
        <w:rPr>
          <w:rFonts w:ascii="Times New Roman" w:hAnsi="Times New Roman" w:cs="Times New Roman"/>
          <w:color w:val="000000"/>
          <w:lang w:val="sk"/>
        </w:rPr>
        <w:t>v</w:t>
      </w:r>
      <w:r w:rsidR="004A2B34" w:rsidRPr="0089771B">
        <w:rPr>
          <w:rFonts w:ascii="Times New Roman" w:hAnsi="Times New Roman" w:cs="Times New Roman"/>
          <w:color w:val="000000"/>
          <w:lang w:val="sk"/>
        </w:rPr>
        <w:t xml:space="preserve"> injekčn</w:t>
      </w:r>
      <w:r w:rsidR="004A2B34">
        <w:rPr>
          <w:rFonts w:ascii="Times New Roman" w:hAnsi="Times New Roman" w:cs="Times New Roman"/>
          <w:color w:val="000000"/>
          <w:lang w:val="sk"/>
        </w:rPr>
        <w:t>ej</w:t>
      </w:r>
      <w:r w:rsidR="004A2B34" w:rsidRPr="0089771B">
        <w:rPr>
          <w:rFonts w:ascii="Times New Roman" w:hAnsi="Times New Roman" w:cs="Times New Roman"/>
          <w:color w:val="000000"/>
          <w:lang w:val="sk"/>
        </w:rPr>
        <w:t xml:space="preserve"> liekovk</w:t>
      </w:r>
      <w:r w:rsidR="004A2B34">
        <w:rPr>
          <w:rFonts w:ascii="Times New Roman" w:hAnsi="Times New Roman" w:cs="Times New Roman"/>
          <w:color w:val="000000"/>
          <w:lang w:val="sk"/>
        </w:rPr>
        <w:t>e</w:t>
      </w:r>
      <w:r w:rsidR="004A2B34" w:rsidRPr="0089771B">
        <w:rPr>
          <w:rFonts w:ascii="Times New Roman" w:hAnsi="Times New Roman" w:cs="Times New Roman"/>
          <w:color w:val="000000"/>
          <w:lang w:val="sk"/>
        </w:rPr>
        <w:t xml:space="preserve"> </w:t>
      </w:r>
      <w:r w:rsidRPr="0089771B">
        <w:rPr>
          <w:rFonts w:ascii="Times New Roman" w:hAnsi="Times New Roman" w:cs="Times New Roman"/>
          <w:color w:val="000000"/>
          <w:lang w:val="sk"/>
        </w:rPr>
        <w:t>s</w:t>
      </w:r>
      <w:r w:rsidR="004A2B34">
        <w:rPr>
          <w:rFonts w:ascii="Times New Roman" w:hAnsi="Times New Roman" w:cs="Times New Roman"/>
          <w:color w:val="000000"/>
          <w:lang w:val="sk"/>
        </w:rPr>
        <w:t xml:space="preserve"> dávkou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48 ml a 13,8 mg </w:t>
      </w:r>
      <w:r w:rsidR="004A2B34">
        <w:rPr>
          <w:rFonts w:ascii="Times New Roman" w:hAnsi="Times New Roman" w:cs="Times New Roman"/>
          <w:color w:val="000000"/>
          <w:lang w:val="sk"/>
        </w:rPr>
        <w:t>v</w:t>
      </w:r>
      <w:r w:rsidR="004A2B34" w:rsidRPr="0089771B">
        <w:rPr>
          <w:rFonts w:ascii="Times New Roman" w:hAnsi="Times New Roman" w:cs="Times New Roman"/>
          <w:color w:val="000000"/>
          <w:lang w:val="sk"/>
        </w:rPr>
        <w:t xml:space="preserve"> injekčn</w:t>
      </w:r>
      <w:r w:rsidR="004A2B34">
        <w:rPr>
          <w:rFonts w:ascii="Times New Roman" w:hAnsi="Times New Roman" w:cs="Times New Roman"/>
          <w:color w:val="000000"/>
          <w:lang w:val="sk"/>
        </w:rPr>
        <w:t>ej</w:t>
      </w:r>
      <w:r w:rsidR="004A2B34" w:rsidRPr="0089771B">
        <w:rPr>
          <w:rFonts w:ascii="Times New Roman" w:hAnsi="Times New Roman" w:cs="Times New Roman"/>
          <w:color w:val="000000"/>
          <w:lang w:val="sk"/>
        </w:rPr>
        <w:t xml:space="preserve"> </w:t>
      </w:r>
      <w:r w:rsidRPr="0089771B">
        <w:rPr>
          <w:rFonts w:ascii="Times New Roman" w:hAnsi="Times New Roman" w:cs="Times New Roman"/>
          <w:color w:val="000000"/>
          <w:lang w:val="sk"/>
        </w:rPr>
        <w:t>liekovk</w:t>
      </w:r>
      <w:r w:rsidR="00776253">
        <w:rPr>
          <w:rFonts w:ascii="Times New Roman" w:hAnsi="Times New Roman" w:cs="Times New Roman"/>
          <w:color w:val="000000"/>
          <w:lang w:val="sk"/>
        </w:rPr>
        <w:t>e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s</w:t>
      </w:r>
      <w:r w:rsidR="00CA3517" w:rsidRPr="0089771B">
        <w:rPr>
          <w:rFonts w:ascii="Times New Roman" w:hAnsi="Times New Roman" w:cs="Times New Roman"/>
          <w:color w:val="000000"/>
          <w:lang w:val="sk"/>
        </w:rPr>
        <w:t> </w:t>
      </w:r>
      <w:r w:rsidRPr="0089771B">
        <w:rPr>
          <w:rFonts w:ascii="Times New Roman" w:hAnsi="Times New Roman" w:cs="Times New Roman"/>
          <w:color w:val="000000"/>
          <w:lang w:val="sk"/>
        </w:rPr>
        <w:t>dávkou 20 ml, čo zodpovedá 1,7</w:t>
      </w:r>
      <w:r w:rsidR="00776253">
        <w:rPr>
          <w:rFonts w:ascii="Times New Roman" w:hAnsi="Times New Roman" w:cs="Times New Roman"/>
          <w:color w:val="000000"/>
          <w:lang w:val="sk"/>
        </w:rPr>
        <w:t xml:space="preserve"> </w:t>
      </w:r>
      <w:r w:rsidRPr="0089771B">
        <w:rPr>
          <w:rFonts w:ascii="Times New Roman" w:hAnsi="Times New Roman" w:cs="Times New Roman"/>
          <w:color w:val="000000"/>
          <w:lang w:val="sk"/>
        </w:rPr>
        <w:t>% a 0,7</w:t>
      </w:r>
      <w:r w:rsidR="00776253">
        <w:rPr>
          <w:rFonts w:ascii="Times New Roman" w:hAnsi="Times New Roman" w:cs="Times New Roman"/>
          <w:color w:val="000000"/>
          <w:lang w:val="sk"/>
        </w:rPr>
        <w:t xml:space="preserve"> 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% </w:t>
      </w:r>
      <w:r w:rsidR="00776253">
        <w:rPr>
          <w:rFonts w:ascii="Times New Roman" w:hAnsi="Times New Roman" w:cs="Times New Roman"/>
          <w:color w:val="000000"/>
          <w:lang w:val="sk"/>
        </w:rPr>
        <w:t xml:space="preserve">WHO </w:t>
      </w:r>
      <w:r w:rsidRPr="0089771B">
        <w:rPr>
          <w:rFonts w:ascii="Times New Roman" w:hAnsi="Times New Roman" w:cs="Times New Roman"/>
          <w:color w:val="000000"/>
          <w:lang w:val="sk"/>
        </w:rPr>
        <w:t>odporúčan</w:t>
      </w:r>
      <w:r w:rsidR="00776253">
        <w:rPr>
          <w:rFonts w:ascii="Times New Roman" w:hAnsi="Times New Roman" w:cs="Times New Roman"/>
          <w:color w:val="000000"/>
          <w:lang w:val="sk"/>
        </w:rPr>
        <w:t>ého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maximáln</w:t>
      </w:r>
      <w:r w:rsidR="00776253">
        <w:rPr>
          <w:rFonts w:ascii="Times New Roman" w:hAnsi="Times New Roman" w:cs="Times New Roman"/>
          <w:color w:val="000000"/>
          <w:lang w:val="sk"/>
        </w:rPr>
        <w:t>ého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denn</w:t>
      </w:r>
      <w:r w:rsidR="00776253">
        <w:rPr>
          <w:rFonts w:ascii="Times New Roman" w:hAnsi="Times New Roman" w:cs="Times New Roman"/>
          <w:color w:val="000000"/>
          <w:lang w:val="sk"/>
        </w:rPr>
        <w:t>ého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</w:t>
      </w:r>
      <w:r w:rsidR="00776253">
        <w:rPr>
          <w:rFonts w:ascii="Times New Roman" w:hAnsi="Times New Roman" w:cs="Times New Roman"/>
          <w:color w:val="000000"/>
          <w:lang w:val="sk"/>
        </w:rPr>
        <w:t xml:space="preserve">príjmu </w:t>
      </w:r>
      <w:r w:rsidRPr="0089771B">
        <w:rPr>
          <w:rFonts w:ascii="Times New Roman" w:hAnsi="Times New Roman" w:cs="Times New Roman"/>
          <w:color w:val="000000"/>
          <w:lang w:val="sk"/>
        </w:rPr>
        <w:t xml:space="preserve"> 2 </w:t>
      </w:r>
      <w:r w:rsidRPr="0089771B">
        <w:rPr>
          <w:rFonts w:ascii="Times New Roman" w:hAnsi="Times New Roman" w:cs="Times New Roman"/>
          <w:lang w:val="sk"/>
        </w:rPr>
        <w:t>g sod</w:t>
      </w:r>
      <w:r w:rsidR="00CA3517" w:rsidRPr="0089771B">
        <w:rPr>
          <w:rFonts w:ascii="Times New Roman" w:hAnsi="Times New Roman" w:cs="Times New Roman"/>
          <w:lang w:val="sk"/>
        </w:rPr>
        <w:t>í</w:t>
      </w:r>
      <w:r w:rsidRPr="0089771B">
        <w:rPr>
          <w:rFonts w:ascii="Times New Roman" w:hAnsi="Times New Roman" w:cs="Times New Roman"/>
          <w:lang w:val="sk"/>
        </w:rPr>
        <w:t>ka pre dospel</w:t>
      </w:r>
      <w:r w:rsidR="00776253">
        <w:rPr>
          <w:rFonts w:ascii="Times New Roman" w:hAnsi="Times New Roman" w:cs="Times New Roman"/>
          <w:lang w:val="sk"/>
        </w:rPr>
        <w:t>ú osobu</w:t>
      </w:r>
      <w:r w:rsidRPr="0089771B">
        <w:rPr>
          <w:rFonts w:ascii="Times New Roman" w:hAnsi="Times New Roman" w:cs="Times New Roman"/>
          <w:lang w:val="sk"/>
        </w:rPr>
        <w:t>.</w:t>
      </w:r>
    </w:p>
    <w:p w14:paraId="34032826" w14:textId="77777777" w:rsidR="00B42370" w:rsidRPr="0089771B" w:rsidRDefault="00B42370" w:rsidP="0089771B">
      <w:pPr>
        <w:pStyle w:val="Default"/>
        <w:rPr>
          <w:sz w:val="22"/>
          <w:szCs w:val="22"/>
          <w:lang w:val="sk"/>
        </w:rPr>
      </w:pPr>
    </w:p>
    <w:p w14:paraId="7827FD2A" w14:textId="17A5C4E6" w:rsidR="00FD7C97" w:rsidRPr="0089771B" w:rsidRDefault="00FD7C97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Interferencia so sérologickým testovaním</w:t>
      </w:r>
    </w:p>
    <w:p w14:paraId="3128196A" w14:textId="4854E372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Po injekcii imunoglobulínu môže prechodné zvýšenie rôznych pasívne prenesených protilátok v krvi pacienta viesť k zavádzajúcim pozitívnym výsledkom v sérologickom testovaní.</w:t>
      </w:r>
    </w:p>
    <w:p w14:paraId="6A63B360" w14:textId="77777777" w:rsidR="00B42370" w:rsidRPr="0089771B" w:rsidRDefault="00B42370" w:rsidP="0089771B">
      <w:pPr>
        <w:pStyle w:val="Default"/>
        <w:rPr>
          <w:sz w:val="22"/>
          <w:szCs w:val="22"/>
          <w:lang w:val="sk"/>
        </w:rPr>
      </w:pPr>
    </w:p>
    <w:p w14:paraId="0DE548BD" w14:textId="7BA677DC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Pasívny prenos protilátok na antigény erytrocytov, napr. A, B, D môžu interferovať s niektorými sérologickými testami na protilátky červených krviniek, napríklad s priamym antiglobulínovým testom (DAT, priamy Coombsov test).</w:t>
      </w:r>
    </w:p>
    <w:p w14:paraId="30242C7D" w14:textId="77777777" w:rsidR="00B42370" w:rsidRPr="0089771B" w:rsidRDefault="00B42370" w:rsidP="0089771B">
      <w:pPr>
        <w:pStyle w:val="Default"/>
        <w:rPr>
          <w:sz w:val="22"/>
          <w:szCs w:val="22"/>
          <w:lang w:val="sk"/>
        </w:rPr>
      </w:pPr>
    </w:p>
    <w:p w14:paraId="76CB893B" w14:textId="48B932A2" w:rsidR="00FD7C97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 xml:space="preserve">Prenosné </w:t>
      </w:r>
      <w:r w:rsidR="007E264E">
        <w:rPr>
          <w:sz w:val="22"/>
          <w:szCs w:val="22"/>
          <w:u w:val="single"/>
          <w:lang w:val="sk"/>
        </w:rPr>
        <w:t>agensy</w:t>
      </w:r>
    </w:p>
    <w:p w14:paraId="795C83C2" w14:textId="03D84F31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Štandardné opatrenia na prevenciu infekcií vyplývajúcich z použitia liekov pripravených z ľudskej krvi alebo plazmy zahŕňajú výber darcov, skríning jednotlivých darcov a plazmy na špecifické markery infekcie a zahrnutie účinných výrobných krokov na inaktiváciu/odstránenie vírusov. Napriek tomu, keď sa podávajú lieky pripravené z ľudskej krvi alebo plazmy, nemožno úplne vylúčiť možnosť prenosu infekčných</w:t>
      </w:r>
      <w:r w:rsidR="007E264E">
        <w:rPr>
          <w:sz w:val="22"/>
          <w:szCs w:val="22"/>
          <w:lang w:val="sk"/>
        </w:rPr>
        <w:t xml:space="preserve"> agensov</w:t>
      </w:r>
      <w:r w:rsidRPr="0089771B">
        <w:rPr>
          <w:sz w:val="22"/>
          <w:szCs w:val="22"/>
          <w:lang w:val="sk"/>
        </w:rPr>
        <w:t xml:space="preserve">. To platí aj pre neznáme alebo </w:t>
      </w:r>
      <w:r w:rsidR="00ED10CB">
        <w:rPr>
          <w:sz w:val="22"/>
          <w:szCs w:val="22"/>
          <w:lang w:val="sk"/>
        </w:rPr>
        <w:t>objavujúce sa</w:t>
      </w:r>
      <w:r w:rsidRPr="0089771B">
        <w:rPr>
          <w:sz w:val="22"/>
          <w:szCs w:val="22"/>
          <w:lang w:val="sk"/>
        </w:rPr>
        <w:t xml:space="preserve"> vírusy a iné patogény.</w:t>
      </w:r>
    </w:p>
    <w:p w14:paraId="6D3795E5" w14:textId="77777777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</w:p>
    <w:p w14:paraId="087E6C1A" w14:textId="77777777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Prijaté opatrenia sa považujú za účinné pre obalené vírusy, ako je vírus ľudskej imunodeficiencie (HIV), vírus hepatitídy B (HBV) a vírus hepatitídy C (HCV).</w:t>
      </w:r>
    </w:p>
    <w:p w14:paraId="7505E94C" w14:textId="77777777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</w:p>
    <w:p w14:paraId="7ED4103A" w14:textId="3EEC8861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Prijaté opatrenia môžu mať obmedzenú </w:t>
      </w:r>
      <w:r w:rsidR="00ED10CB">
        <w:rPr>
          <w:sz w:val="22"/>
          <w:szCs w:val="22"/>
          <w:lang w:val="sk"/>
        </w:rPr>
        <w:t>účinnosť</w:t>
      </w:r>
      <w:r w:rsidRPr="0089771B">
        <w:rPr>
          <w:sz w:val="22"/>
          <w:szCs w:val="22"/>
          <w:lang w:val="sk"/>
        </w:rPr>
        <w:t xml:space="preserve"> oproti neobaleným vírusom, ako je vírus hepatitídy A (HAV) a parvovírus B19.</w:t>
      </w:r>
    </w:p>
    <w:p w14:paraId="287F7895" w14:textId="77777777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</w:p>
    <w:p w14:paraId="3D41BB2E" w14:textId="1527B1B1" w:rsidR="00997595" w:rsidRPr="0089771B" w:rsidRDefault="00997595" w:rsidP="0089771B">
      <w:pPr>
        <w:pStyle w:val="Default"/>
        <w:rPr>
          <w:iCs/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Existuje ubezpečujúca klinická skúsenosť</w:t>
      </w:r>
      <w:r w:rsidR="00ED10CB" w:rsidRPr="00ED10CB">
        <w:rPr>
          <w:sz w:val="22"/>
          <w:szCs w:val="22"/>
          <w:lang w:val="sk-SK"/>
        </w:rPr>
        <w:t xml:space="preserve"> </w:t>
      </w:r>
      <w:r w:rsidR="00ED10CB" w:rsidRPr="00D627BF">
        <w:rPr>
          <w:sz w:val="22"/>
          <w:szCs w:val="22"/>
          <w:lang w:val="sk-SK"/>
        </w:rPr>
        <w:t>tykajúc</w:t>
      </w:r>
      <w:r w:rsidR="00ED10CB">
        <w:rPr>
          <w:sz w:val="22"/>
          <w:szCs w:val="22"/>
          <w:lang w:val="sk-SK"/>
        </w:rPr>
        <w:t>a</w:t>
      </w:r>
      <w:r w:rsidR="00ED10CB" w:rsidRPr="00D627BF">
        <w:rPr>
          <w:sz w:val="22"/>
          <w:szCs w:val="22"/>
          <w:lang w:val="sk-SK"/>
        </w:rPr>
        <w:t xml:space="preserve"> sa absencie</w:t>
      </w:r>
      <w:r w:rsidR="00356E32">
        <w:rPr>
          <w:sz w:val="22"/>
          <w:szCs w:val="22"/>
          <w:lang w:val="sk-SK"/>
        </w:rPr>
        <w:t xml:space="preserve"> </w:t>
      </w:r>
      <w:r w:rsidRPr="0089771B">
        <w:rPr>
          <w:sz w:val="22"/>
          <w:szCs w:val="22"/>
          <w:lang w:val="sk"/>
        </w:rPr>
        <w:t>prenosu hepatitídy A alebo parvovírusu B19 s imunoglobulínmi a tiež sa predpokladá, že obsah protilátok významne prispieva k</w:t>
      </w:r>
      <w:r w:rsidR="00ED10CB">
        <w:rPr>
          <w:sz w:val="22"/>
          <w:szCs w:val="22"/>
          <w:lang w:val="sk"/>
        </w:rPr>
        <w:t xml:space="preserve"> ochrane proti </w:t>
      </w:r>
      <w:r w:rsidRPr="0089771B">
        <w:rPr>
          <w:sz w:val="22"/>
          <w:szCs w:val="22"/>
          <w:lang w:val="sk"/>
        </w:rPr>
        <w:t>vírus</w:t>
      </w:r>
      <w:r w:rsidR="00ED10CB">
        <w:rPr>
          <w:sz w:val="22"/>
          <w:szCs w:val="22"/>
          <w:lang w:val="sk"/>
        </w:rPr>
        <w:t>om</w:t>
      </w:r>
      <w:r w:rsidRPr="0089771B">
        <w:rPr>
          <w:sz w:val="22"/>
          <w:szCs w:val="22"/>
          <w:lang w:val="sk"/>
        </w:rPr>
        <w:t>.</w:t>
      </w:r>
    </w:p>
    <w:p w14:paraId="1DB69F64" w14:textId="77777777" w:rsidR="00997595" w:rsidRPr="0089771B" w:rsidRDefault="00997595" w:rsidP="0089771B">
      <w:pPr>
        <w:pStyle w:val="Default"/>
        <w:rPr>
          <w:sz w:val="22"/>
          <w:szCs w:val="22"/>
          <w:lang w:val="pt-PT"/>
        </w:rPr>
      </w:pPr>
    </w:p>
    <w:p w14:paraId="5B9ABC3F" w14:textId="77777777" w:rsidR="00997595" w:rsidRPr="0089771B" w:rsidRDefault="00997595" w:rsidP="0089771B">
      <w:pPr>
        <w:pStyle w:val="Default"/>
        <w:rPr>
          <w:iCs/>
          <w:sz w:val="22"/>
          <w:szCs w:val="22"/>
          <w:highlight w:val="magenta"/>
          <w:lang w:val="pt-PT"/>
        </w:rPr>
      </w:pPr>
    </w:p>
    <w:p w14:paraId="5A349108" w14:textId="0F1B074B" w:rsidR="00FD7C97" w:rsidRPr="0089771B" w:rsidRDefault="00FD7C97" w:rsidP="0089771B">
      <w:pPr>
        <w:pStyle w:val="Default"/>
        <w:keepNext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Pediatrická populácia</w:t>
      </w:r>
    </w:p>
    <w:p w14:paraId="2DACD013" w14:textId="59982DD5" w:rsidR="00FD7C97" w:rsidRPr="0089771B" w:rsidRDefault="00ED10CB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 xml:space="preserve">Uvedené </w:t>
      </w:r>
      <w:r w:rsidR="00FD7C97" w:rsidRPr="0089771B">
        <w:rPr>
          <w:sz w:val="22"/>
          <w:szCs w:val="22"/>
          <w:lang w:val="sk"/>
        </w:rPr>
        <w:t>upozorneni</w:t>
      </w:r>
      <w:r>
        <w:rPr>
          <w:sz w:val="22"/>
          <w:szCs w:val="22"/>
          <w:lang w:val="sk"/>
        </w:rPr>
        <w:t>a</w:t>
      </w:r>
      <w:r w:rsidR="00FD7C97" w:rsidRPr="0089771B">
        <w:rPr>
          <w:sz w:val="22"/>
          <w:szCs w:val="22"/>
          <w:lang w:val="sk"/>
        </w:rPr>
        <w:t xml:space="preserve"> a opatrenia sa vzťahujú na dospelých aj deti.</w:t>
      </w:r>
    </w:p>
    <w:p w14:paraId="2D63B194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59B73F85" w14:textId="2B8A542E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4.5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Liekové a iné interakcie</w:t>
      </w:r>
    </w:p>
    <w:p w14:paraId="74CC4013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660CAA41" w14:textId="08764045" w:rsidR="00FD7C97" w:rsidRPr="0089771B" w:rsidRDefault="00EC6479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Živé oslabené vírusové vakcíny</w:t>
      </w:r>
    </w:p>
    <w:p w14:paraId="0EEC70C2" w14:textId="13A2709F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Podávanie imunoglobulínu môže počas najmenej 6 týždňov a až 3 mesiacov zhoršiť účinnosť živých atenuovaných vírusových vakcín, ako sú </w:t>
      </w:r>
      <w:r w:rsidR="00EC1A51">
        <w:rPr>
          <w:sz w:val="22"/>
          <w:szCs w:val="22"/>
          <w:lang w:val="sk"/>
        </w:rPr>
        <w:t xml:space="preserve">vakcíny proti </w:t>
      </w:r>
      <w:r w:rsidRPr="0089771B">
        <w:rPr>
          <w:sz w:val="22"/>
          <w:szCs w:val="22"/>
          <w:lang w:val="sk"/>
        </w:rPr>
        <w:t>osýpk</w:t>
      </w:r>
      <w:r w:rsidR="00EC1A51">
        <w:rPr>
          <w:sz w:val="22"/>
          <w:szCs w:val="22"/>
          <w:lang w:val="sk"/>
        </w:rPr>
        <w:t>am</w:t>
      </w:r>
      <w:r w:rsidRPr="0089771B">
        <w:rPr>
          <w:sz w:val="22"/>
          <w:szCs w:val="22"/>
          <w:lang w:val="sk"/>
        </w:rPr>
        <w:t>, rubeol</w:t>
      </w:r>
      <w:r w:rsidR="00EC1A51">
        <w:rPr>
          <w:sz w:val="22"/>
          <w:szCs w:val="22"/>
          <w:lang w:val="sk"/>
        </w:rPr>
        <w:t>e</w:t>
      </w:r>
      <w:r w:rsidRPr="0089771B">
        <w:rPr>
          <w:sz w:val="22"/>
          <w:szCs w:val="22"/>
          <w:lang w:val="sk"/>
        </w:rPr>
        <w:t xml:space="preserve">, </w:t>
      </w:r>
      <w:r w:rsidR="00EC1A51">
        <w:rPr>
          <w:sz w:val="22"/>
          <w:szCs w:val="22"/>
          <w:lang w:val="sk"/>
        </w:rPr>
        <w:t>mumpsu</w:t>
      </w:r>
      <w:r w:rsidRPr="0089771B">
        <w:rPr>
          <w:sz w:val="22"/>
          <w:szCs w:val="22"/>
          <w:lang w:val="sk"/>
        </w:rPr>
        <w:t xml:space="preserve"> a ovč</w:t>
      </w:r>
      <w:r w:rsidR="00EC1A51">
        <w:rPr>
          <w:sz w:val="22"/>
          <w:szCs w:val="22"/>
          <w:lang w:val="sk"/>
        </w:rPr>
        <w:t>ím</w:t>
      </w:r>
      <w:r w:rsidRPr="0089771B">
        <w:rPr>
          <w:sz w:val="22"/>
          <w:szCs w:val="22"/>
          <w:lang w:val="sk"/>
        </w:rPr>
        <w:t xml:space="preserve"> kiah</w:t>
      </w:r>
      <w:r w:rsidR="00EC1A51">
        <w:rPr>
          <w:sz w:val="22"/>
          <w:szCs w:val="22"/>
          <w:lang w:val="sk"/>
        </w:rPr>
        <w:t>ňam</w:t>
      </w:r>
      <w:r w:rsidRPr="0089771B">
        <w:rPr>
          <w:sz w:val="22"/>
          <w:szCs w:val="22"/>
          <w:lang w:val="sk"/>
        </w:rPr>
        <w:t xml:space="preserve">. </w:t>
      </w:r>
      <w:r w:rsidR="00EC1A51" w:rsidRPr="00EC1A51">
        <w:rPr>
          <w:sz w:val="22"/>
          <w:szCs w:val="22"/>
          <w:lang w:val="sk-SK"/>
        </w:rPr>
        <w:t>Po podaní tohto lieku treba pred podaním živých oslabených vírusových vakcín dodržať trojmesačný odstup</w:t>
      </w:r>
      <w:r w:rsidRPr="0089771B">
        <w:rPr>
          <w:sz w:val="22"/>
          <w:szCs w:val="22"/>
          <w:lang w:val="sk"/>
        </w:rPr>
        <w:t>. V</w:t>
      </w:r>
      <w:r w:rsidR="00CA3517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prípade vakcín</w:t>
      </w:r>
      <w:r w:rsidR="00EC1A51">
        <w:rPr>
          <w:sz w:val="22"/>
          <w:szCs w:val="22"/>
          <w:lang w:val="sk"/>
        </w:rPr>
        <w:t>y proti</w:t>
      </w:r>
      <w:r w:rsidRPr="0089771B">
        <w:rPr>
          <w:sz w:val="22"/>
          <w:szCs w:val="22"/>
          <w:lang w:val="sk"/>
        </w:rPr>
        <w:t xml:space="preserve"> osýp</w:t>
      </w:r>
      <w:r w:rsidR="00EC1A51">
        <w:rPr>
          <w:sz w:val="22"/>
          <w:szCs w:val="22"/>
          <w:lang w:val="sk"/>
        </w:rPr>
        <w:t>kam</w:t>
      </w:r>
      <w:r w:rsidRPr="0089771B">
        <w:rPr>
          <w:sz w:val="22"/>
          <w:szCs w:val="22"/>
          <w:lang w:val="sk"/>
        </w:rPr>
        <w:t xml:space="preserve"> môže </w:t>
      </w:r>
      <w:r w:rsidR="00EC1A51">
        <w:rPr>
          <w:sz w:val="22"/>
          <w:szCs w:val="22"/>
          <w:lang w:val="sk"/>
        </w:rPr>
        <w:t>oslabenie</w:t>
      </w:r>
      <w:r w:rsidRPr="0089771B">
        <w:rPr>
          <w:sz w:val="22"/>
          <w:szCs w:val="22"/>
          <w:lang w:val="sk"/>
        </w:rPr>
        <w:t xml:space="preserve"> pretrvávať až jeden rok.</w:t>
      </w:r>
    </w:p>
    <w:p w14:paraId="093DB801" w14:textId="77777777" w:rsidR="00EC1A51" w:rsidRPr="005B4642" w:rsidRDefault="00EC1A51" w:rsidP="00EC1A51">
      <w:pPr>
        <w:pStyle w:val="Default"/>
        <w:rPr>
          <w:sz w:val="22"/>
          <w:szCs w:val="22"/>
          <w:lang w:val="sk-SK"/>
        </w:rPr>
      </w:pPr>
      <w:r w:rsidRPr="005B4642">
        <w:rPr>
          <w:sz w:val="22"/>
          <w:szCs w:val="22"/>
          <w:lang w:val="sk-SK"/>
        </w:rPr>
        <w:t>Preto treba skontrolovať stav protilátok u pacientov, ktorí dostanú vakcínu proti osýpkam.</w:t>
      </w:r>
    </w:p>
    <w:p w14:paraId="048810F4" w14:textId="77777777" w:rsidR="00141D6E" w:rsidRPr="0089771B" w:rsidRDefault="00141D6E" w:rsidP="0089771B">
      <w:pPr>
        <w:pStyle w:val="Default"/>
        <w:rPr>
          <w:sz w:val="22"/>
          <w:szCs w:val="22"/>
          <w:lang w:val="sk"/>
        </w:rPr>
      </w:pPr>
    </w:p>
    <w:p w14:paraId="43529621" w14:textId="0D880587" w:rsidR="00872D09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Testovanie glukózy v krvi</w:t>
      </w:r>
    </w:p>
    <w:p w14:paraId="72FF09EC" w14:textId="1C62B237" w:rsidR="009857C6" w:rsidRPr="0089771B" w:rsidRDefault="00283087" w:rsidP="0089771B">
      <w:pPr>
        <w:pStyle w:val="Default"/>
        <w:rPr>
          <w:sz w:val="22"/>
          <w:szCs w:val="22"/>
          <w:lang w:val="sk"/>
        </w:rPr>
      </w:pPr>
      <w:r>
        <w:rPr>
          <w:sz w:val="22"/>
          <w:szCs w:val="22"/>
          <w:lang w:val="sk"/>
        </w:rPr>
        <w:t>CUTAQUIG</w:t>
      </w:r>
      <w:r w:rsidR="00872D09" w:rsidRPr="0089771B">
        <w:rPr>
          <w:sz w:val="22"/>
          <w:szCs w:val="22"/>
          <w:lang w:val="sk"/>
        </w:rPr>
        <w:t xml:space="preserve"> obsahuje maltózu, ktorá môže byť nesprávne interpretovaná ako glukóza určitými typmi systémov na testovanie glukózy v krvi. Vzhľadom na potenciálne nesprávne zvýšené hodnoty glukózy by sa mali použiť iba testovacie systémy špecifické pre glukózu </w:t>
      </w:r>
      <w:r w:rsidR="00EC1A51">
        <w:rPr>
          <w:sz w:val="22"/>
          <w:szCs w:val="22"/>
          <w:lang w:val="sk"/>
        </w:rPr>
        <w:t>u</w:t>
      </w:r>
      <w:r w:rsidR="00872D09" w:rsidRPr="0089771B">
        <w:rPr>
          <w:sz w:val="22"/>
          <w:szCs w:val="22"/>
          <w:lang w:val="sk"/>
        </w:rPr>
        <w:t xml:space="preserve"> diabetických pacientoch.</w:t>
      </w:r>
    </w:p>
    <w:p w14:paraId="53D995FF" w14:textId="77777777" w:rsidR="00872D09" w:rsidRPr="0089771B" w:rsidRDefault="00872D09" w:rsidP="0089771B">
      <w:pPr>
        <w:pStyle w:val="Default"/>
        <w:rPr>
          <w:sz w:val="22"/>
          <w:szCs w:val="22"/>
          <w:lang w:val="sk"/>
        </w:rPr>
      </w:pPr>
    </w:p>
    <w:p w14:paraId="3D2CA629" w14:textId="220D2A4A" w:rsidR="00FD7C97" w:rsidRPr="0089771B" w:rsidRDefault="00EC6479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Pediatrická populácia</w:t>
      </w:r>
    </w:p>
    <w:p w14:paraId="74EF3D72" w14:textId="4D075283" w:rsidR="00FD7C97" w:rsidRPr="0089771B" w:rsidRDefault="00EC1A51" w:rsidP="0089771B">
      <w:pPr>
        <w:pStyle w:val="Default"/>
        <w:rPr>
          <w:sz w:val="22"/>
          <w:szCs w:val="22"/>
          <w:lang w:val="pt-PT"/>
        </w:rPr>
      </w:pPr>
      <w:r>
        <w:rPr>
          <w:sz w:val="22"/>
          <w:szCs w:val="22"/>
          <w:lang w:val="sk"/>
        </w:rPr>
        <w:t>Uvedené</w:t>
      </w:r>
      <w:r w:rsidRPr="0089771B">
        <w:rPr>
          <w:sz w:val="22"/>
          <w:szCs w:val="22"/>
          <w:lang w:val="sk"/>
        </w:rPr>
        <w:t xml:space="preserve"> </w:t>
      </w:r>
      <w:r w:rsidR="00FD7C97" w:rsidRPr="0089771B">
        <w:rPr>
          <w:sz w:val="22"/>
          <w:szCs w:val="22"/>
          <w:lang w:val="sk"/>
        </w:rPr>
        <w:t>upozorneni</w:t>
      </w:r>
      <w:r>
        <w:rPr>
          <w:sz w:val="22"/>
          <w:szCs w:val="22"/>
          <w:lang w:val="sk"/>
        </w:rPr>
        <w:t>a</w:t>
      </w:r>
      <w:r w:rsidR="00FD7C97" w:rsidRPr="0089771B">
        <w:rPr>
          <w:sz w:val="22"/>
          <w:szCs w:val="22"/>
          <w:lang w:val="sk"/>
        </w:rPr>
        <w:t xml:space="preserve"> a opatrenia sa vzťahujú na dospelých aj deti.</w:t>
      </w:r>
    </w:p>
    <w:p w14:paraId="010FBA23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1915345B" w14:textId="3654184E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4.6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 xml:space="preserve">Fertilita, gravidita a laktácia </w:t>
      </w:r>
    </w:p>
    <w:p w14:paraId="53E7DCD5" w14:textId="77777777" w:rsidR="00EC6479" w:rsidRPr="0089771B" w:rsidRDefault="00EC6479" w:rsidP="0089771B">
      <w:pPr>
        <w:pStyle w:val="Default"/>
        <w:rPr>
          <w:sz w:val="22"/>
          <w:szCs w:val="22"/>
          <w:lang w:val="pt-PT"/>
        </w:rPr>
      </w:pPr>
    </w:p>
    <w:p w14:paraId="5D8636F0" w14:textId="47C7B7ED" w:rsidR="00FD7C97" w:rsidRPr="0089771B" w:rsidRDefault="00EC6479" w:rsidP="0089771B">
      <w:pPr>
        <w:pStyle w:val="Default"/>
        <w:rPr>
          <w:sz w:val="22"/>
          <w:szCs w:val="22"/>
          <w:u w:val="single"/>
          <w:lang w:val="pt-PT"/>
        </w:rPr>
      </w:pPr>
      <w:r w:rsidRPr="0089771B">
        <w:rPr>
          <w:sz w:val="22"/>
          <w:szCs w:val="22"/>
          <w:u w:val="single"/>
          <w:lang w:val="sk"/>
        </w:rPr>
        <w:t>Gravidita</w:t>
      </w:r>
    </w:p>
    <w:p w14:paraId="00F671A7" w14:textId="2B26B5E1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Bezpečnosť </w:t>
      </w:r>
      <w:r w:rsidR="00EC1A51">
        <w:rPr>
          <w:sz w:val="22"/>
          <w:szCs w:val="22"/>
          <w:lang w:val="sk"/>
        </w:rPr>
        <w:t xml:space="preserve">použitia </w:t>
      </w:r>
      <w:r w:rsidRPr="0089771B">
        <w:rPr>
          <w:sz w:val="22"/>
          <w:szCs w:val="22"/>
          <w:lang w:val="sk"/>
        </w:rPr>
        <w:t xml:space="preserve">tohto lieku </w:t>
      </w:r>
      <w:r w:rsidR="00EC1A51">
        <w:rPr>
          <w:sz w:val="22"/>
          <w:szCs w:val="22"/>
          <w:lang w:val="sk"/>
        </w:rPr>
        <w:t>počas</w:t>
      </w:r>
      <w:r w:rsidRPr="0089771B">
        <w:rPr>
          <w:sz w:val="22"/>
          <w:szCs w:val="22"/>
          <w:lang w:val="sk"/>
        </w:rPr>
        <w:t xml:space="preserve"> tehotenstv</w:t>
      </w:r>
      <w:r w:rsidR="00EC1A51">
        <w:rPr>
          <w:sz w:val="22"/>
          <w:szCs w:val="22"/>
          <w:lang w:val="sk"/>
        </w:rPr>
        <w:t>a</w:t>
      </w:r>
      <w:r w:rsidRPr="0089771B">
        <w:rPr>
          <w:sz w:val="22"/>
          <w:szCs w:val="22"/>
          <w:lang w:val="sk"/>
        </w:rPr>
        <w:t xml:space="preserve"> u ľudí nebola stanovená v kontrolovaných klinických štúdiách a preto sa má podávať opatrne tehotným ženám a dojčiacim matkám. Ukázalo sa, že imunoglobulínové </w:t>
      </w:r>
      <w:r w:rsidR="0017523C">
        <w:rPr>
          <w:sz w:val="22"/>
          <w:szCs w:val="22"/>
          <w:lang w:val="sk"/>
        </w:rPr>
        <w:t>lieky</w:t>
      </w:r>
      <w:r w:rsidRPr="0089771B">
        <w:rPr>
          <w:sz w:val="22"/>
          <w:szCs w:val="22"/>
          <w:lang w:val="sk"/>
        </w:rPr>
        <w:t xml:space="preserve"> prechádzajú placentou stále viac počas tretieho trimestra. Klinické skúsenosti s imunoglobulínmi naznačujú, že sa neočakávajú žiadne škodlivé účinky na tehotenstvo, plod a embryo.</w:t>
      </w:r>
    </w:p>
    <w:p w14:paraId="0972CCB1" w14:textId="77777777" w:rsidR="009857C6" w:rsidRPr="0089771B" w:rsidRDefault="009857C6" w:rsidP="0089771B">
      <w:pPr>
        <w:pStyle w:val="Default"/>
        <w:rPr>
          <w:sz w:val="22"/>
          <w:szCs w:val="22"/>
          <w:lang w:val="sk"/>
        </w:rPr>
      </w:pPr>
    </w:p>
    <w:p w14:paraId="14235E8C" w14:textId="37362D0A" w:rsidR="00FD7C97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Dojčenie</w:t>
      </w:r>
    </w:p>
    <w:p w14:paraId="2BEEE156" w14:textId="04D050F2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Imunoglobulíny sa vylučujú do mlieka a môžu prispieť k ochrane novorodenca pred patogénmi, ktoré majú vstup na sliznicu.</w:t>
      </w:r>
    </w:p>
    <w:p w14:paraId="0647727B" w14:textId="77777777" w:rsidR="009857C6" w:rsidRPr="0089771B" w:rsidRDefault="009857C6" w:rsidP="0089771B">
      <w:pPr>
        <w:pStyle w:val="Default"/>
        <w:rPr>
          <w:sz w:val="22"/>
          <w:szCs w:val="22"/>
          <w:lang w:val="sk"/>
        </w:rPr>
      </w:pPr>
    </w:p>
    <w:p w14:paraId="7DFF866D" w14:textId="7A95D16A" w:rsidR="00FD7C97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Fertilita</w:t>
      </w:r>
    </w:p>
    <w:p w14:paraId="4ED4EC76" w14:textId="10B6EE6F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Klinické skúsenosti s imunoglobulínmi naznačujú, že sa neočakávajú žiadne škodlivé účinky na plodnosť.</w:t>
      </w:r>
    </w:p>
    <w:p w14:paraId="01540E58" w14:textId="77777777" w:rsidR="00EC6479" w:rsidRPr="0089771B" w:rsidRDefault="00EC6479" w:rsidP="0089771B">
      <w:pPr>
        <w:pStyle w:val="Default"/>
        <w:rPr>
          <w:sz w:val="22"/>
          <w:szCs w:val="22"/>
          <w:lang w:val="sk"/>
        </w:rPr>
      </w:pPr>
    </w:p>
    <w:p w14:paraId="59803977" w14:textId="609A1042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4.7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Ovplyvnenie schopnosti viesť vozidlá a obsluhovať stroje</w:t>
      </w:r>
    </w:p>
    <w:p w14:paraId="54E5CF19" w14:textId="77777777" w:rsidR="00EC6479" w:rsidRPr="0089771B" w:rsidRDefault="00EC6479" w:rsidP="0089771B">
      <w:pPr>
        <w:pStyle w:val="Default"/>
        <w:rPr>
          <w:sz w:val="22"/>
          <w:szCs w:val="22"/>
          <w:lang w:val="sk"/>
        </w:rPr>
      </w:pPr>
    </w:p>
    <w:p w14:paraId="272978D4" w14:textId="7B742CCB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Schopnosť viesť vozidlá a obsluhovať stroje môže byť narušená niektorými nežiaducimi reakciami spojenými s liekom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. Pacienti, u ktorých sa počas liečby vyskytnú nežiaduce reakcie, </w:t>
      </w:r>
      <w:r w:rsidR="00FE445E">
        <w:rPr>
          <w:sz w:val="22"/>
          <w:szCs w:val="22"/>
          <w:lang w:val="sk"/>
        </w:rPr>
        <w:t>majú</w:t>
      </w:r>
      <w:r w:rsidRPr="0089771B">
        <w:rPr>
          <w:sz w:val="22"/>
          <w:szCs w:val="22"/>
          <w:lang w:val="sk"/>
        </w:rPr>
        <w:t xml:space="preserve"> </w:t>
      </w:r>
      <w:r w:rsidR="004751C3" w:rsidRPr="0089771B">
        <w:rPr>
          <w:sz w:val="22"/>
          <w:szCs w:val="22"/>
          <w:lang w:val="sk"/>
        </w:rPr>
        <w:t>pred vedením vozidla alebo obsluhou strojov</w:t>
      </w:r>
      <w:r w:rsidR="004751C3">
        <w:rPr>
          <w:sz w:val="22"/>
          <w:szCs w:val="22"/>
          <w:lang w:val="sk"/>
        </w:rPr>
        <w:t xml:space="preserve"> </w:t>
      </w:r>
      <w:r w:rsidRPr="0089771B">
        <w:rPr>
          <w:sz w:val="22"/>
          <w:szCs w:val="22"/>
          <w:lang w:val="sk"/>
        </w:rPr>
        <w:t xml:space="preserve">počkať, kým tieto </w:t>
      </w:r>
      <w:r w:rsidR="007E264E">
        <w:rPr>
          <w:sz w:val="22"/>
          <w:szCs w:val="22"/>
          <w:lang w:val="sk"/>
        </w:rPr>
        <w:t>neodznejú</w:t>
      </w:r>
      <w:r w:rsidR="004751C3">
        <w:rPr>
          <w:sz w:val="22"/>
          <w:szCs w:val="22"/>
          <w:lang w:val="sk"/>
        </w:rPr>
        <w:t>.</w:t>
      </w:r>
      <w:r w:rsidR="004751C3" w:rsidRPr="0089771B">
        <w:rPr>
          <w:sz w:val="22"/>
          <w:szCs w:val="22"/>
          <w:lang w:val="sk"/>
        </w:rPr>
        <w:t xml:space="preserve"> </w:t>
      </w:r>
    </w:p>
    <w:p w14:paraId="0821789E" w14:textId="77777777" w:rsidR="00EC6479" w:rsidRPr="0089771B" w:rsidRDefault="00EC6479" w:rsidP="0089771B">
      <w:pPr>
        <w:pStyle w:val="Default"/>
        <w:rPr>
          <w:sz w:val="22"/>
          <w:szCs w:val="22"/>
          <w:lang w:val="sk"/>
        </w:rPr>
      </w:pPr>
    </w:p>
    <w:p w14:paraId="7D0D1462" w14:textId="116E9F94" w:rsidR="00FD7C97" w:rsidRPr="0089771B" w:rsidRDefault="00EC6479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4.8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Nežiaduce účinky</w:t>
      </w:r>
    </w:p>
    <w:p w14:paraId="7F5905F7" w14:textId="77777777" w:rsidR="00EC6479" w:rsidRPr="0089771B" w:rsidRDefault="00EC6479" w:rsidP="0089771B">
      <w:pPr>
        <w:pStyle w:val="Default"/>
        <w:rPr>
          <w:sz w:val="22"/>
          <w:szCs w:val="22"/>
          <w:lang w:val="sk"/>
        </w:rPr>
      </w:pPr>
    </w:p>
    <w:p w14:paraId="79D3FCB8" w14:textId="65501125" w:rsidR="00FD7C97" w:rsidRPr="0089771B" w:rsidRDefault="00EC6479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Zhrnutie bezpečnostného profilu</w:t>
      </w:r>
    </w:p>
    <w:p w14:paraId="54930844" w14:textId="088CA804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Nežiaduce reakcie, ako je triaška, bolesť hlavy, závrat, horúčka, vracanie, alergické reakcie, nauzea, artralgia, nízky krvný tlak a stredne ťažká bolesť chrbta sa môžu vyskytnúť príležitostne.</w:t>
      </w:r>
    </w:p>
    <w:p w14:paraId="27B1086C" w14:textId="77777777" w:rsidR="00D51D41" w:rsidRPr="0089771B" w:rsidRDefault="00D51D41" w:rsidP="0089771B">
      <w:pPr>
        <w:pStyle w:val="Default"/>
        <w:rPr>
          <w:sz w:val="22"/>
          <w:szCs w:val="22"/>
          <w:lang w:val="sk"/>
        </w:rPr>
      </w:pPr>
    </w:p>
    <w:p w14:paraId="4D9CEA67" w14:textId="071C42C5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Zriedkavo normálne </w:t>
      </w:r>
      <w:r w:rsidR="007E2703" w:rsidRPr="0089771B">
        <w:rPr>
          <w:sz w:val="22"/>
          <w:szCs w:val="22"/>
          <w:lang w:val="sk"/>
        </w:rPr>
        <w:t xml:space="preserve">ľudské </w:t>
      </w:r>
      <w:r w:rsidRPr="0089771B">
        <w:rPr>
          <w:sz w:val="22"/>
          <w:szCs w:val="22"/>
          <w:lang w:val="sk"/>
        </w:rPr>
        <w:t>imunoglobulíny môžu spôsobiť náhly pokles krvného tlaku a v ojedinelých prípadoch aj anafylaktický šok, aj keď pacient neprejavil žiadnu precitlivenosť na predchádzajúce podanie.</w:t>
      </w:r>
    </w:p>
    <w:p w14:paraId="17D96316" w14:textId="77777777" w:rsidR="00931026" w:rsidRPr="0089771B" w:rsidRDefault="00931026" w:rsidP="0089771B">
      <w:pPr>
        <w:pStyle w:val="Default"/>
        <w:rPr>
          <w:sz w:val="22"/>
          <w:szCs w:val="22"/>
          <w:lang w:val="sk"/>
        </w:rPr>
      </w:pPr>
    </w:p>
    <w:p w14:paraId="09BB0B87" w14:textId="599BC2BE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Miestne reakcie na miestach infúzie: často sa môžu vyskytnúť opuchy, bolestivosť, začervenanie, </w:t>
      </w:r>
      <w:r w:rsidR="00E7009D">
        <w:rPr>
          <w:sz w:val="22"/>
          <w:szCs w:val="22"/>
          <w:lang w:val="sk"/>
        </w:rPr>
        <w:t>indurácia</w:t>
      </w:r>
      <w:r w:rsidRPr="0089771B">
        <w:rPr>
          <w:sz w:val="22"/>
          <w:szCs w:val="22"/>
          <w:lang w:val="sk"/>
        </w:rPr>
        <w:t xml:space="preserve">, lokálne teplo, svrbenie, podliatina a vyrážka. </w:t>
      </w:r>
      <w:r w:rsidR="00E7009D">
        <w:rPr>
          <w:sz w:val="22"/>
          <w:szCs w:val="22"/>
          <w:lang w:val="sk"/>
        </w:rPr>
        <w:t>Frekvencia týchto reakcií sa</w:t>
      </w:r>
      <w:r w:rsidRPr="0089771B">
        <w:rPr>
          <w:sz w:val="22"/>
          <w:szCs w:val="22"/>
          <w:lang w:val="sk"/>
        </w:rPr>
        <w:t xml:space="preserve"> zvyčajne znižuj</w:t>
      </w:r>
      <w:r w:rsidR="00E7009D">
        <w:rPr>
          <w:sz w:val="22"/>
          <w:szCs w:val="22"/>
          <w:lang w:val="sk"/>
        </w:rPr>
        <w:t>e</w:t>
      </w:r>
      <w:r w:rsidRPr="0089771B">
        <w:rPr>
          <w:sz w:val="22"/>
          <w:szCs w:val="22"/>
          <w:lang w:val="sk"/>
        </w:rPr>
        <w:t xml:space="preserve"> s pokračujúcou liečbou.</w:t>
      </w:r>
    </w:p>
    <w:p w14:paraId="67B5E6EC" w14:textId="77777777" w:rsidR="00D51D41" w:rsidRPr="0089771B" w:rsidRDefault="00D51D41" w:rsidP="0089771B">
      <w:pPr>
        <w:pStyle w:val="Default"/>
        <w:rPr>
          <w:sz w:val="22"/>
          <w:szCs w:val="22"/>
          <w:lang w:val="sk"/>
        </w:rPr>
      </w:pPr>
    </w:p>
    <w:p w14:paraId="4868E45E" w14:textId="77777777" w:rsidR="00D51D41" w:rsidRPr="0089771B" w:rsidRDefault="00D51D41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Bezpečnostné informácie týkajúce sa prenosných látok sú uvedené v časti 4.4.</w:t>
      </w:r>
    </w:p>
    <w:p w14:paraId="7B0DD4EB" w14:textId="77777777" w:rsidR="00D36987" w:rsidRPr="0089771B" w:rsidRDefault="00D36987" w:rsidP="0089771B">
      <w:pPr>
        <w:pStyle w:val="Default"/>
        <w:rPr>
          <w:sz w:val="22"/>
          <w:szCs w:val="22"/>
          <w:lang w:val="sk"/>
        </w:rPr>
      </w:pPr>
    </w:p>
    <w:p w14:paraId="5CAE355A" w14:textId="05472EF2" w:rsidR="00FD7C97" w:rsidRPr="0089771B" w:rsidRDefault="00FD7C97" w:rsidP="0089771B">
      <w:pPr>
        <w:pStyle w:val="Default"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Tabuľkový zoznam nežiaducich reakcii</w:t>
      </w:r>
    </w:p>
    <w:p w14:paraId="2241B2CF" w14:textId="32E77463" w:rsidR="00AC392D" w:rsidRPr="0089771B" w:rsidRDefault="00AC392D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Klinické údaje o bezpečnosti sú založené na pivotnej fáze III otvorenej, jednoramennej, perspektívnej, multicentrickej štúdie fázy III s liekom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u pacientov s PID, ktoré boli predtým liečené IVI</w:t>
      </w:r>
      <w:r w:rsidR="00E7009D">
        <w:rPr>
          <w:sz w:val="22"/>
          <w:szCs w:val="22"/>
          <w:lang w:val="sk"/>
        </w:rPr>
        <w:t>g</w:t>
      </w:r>
      <w:r w:rsidRPr="0089771B">
        <w:rPr>
          <w:sz w:val="22"/>
          <w:szCs w:val="22"/>
          <w:lang w:val="sk"/>
        </w:rPr>
        <w:t xml:space="preserve"> po dobu najmenej 6 mesiacov. Táto štúdia sa uskutočnila v Európe a Severnej Amerike.</w:t>
      </w:r>
    </w:p>
    <w:p w14:paraId="4D75855E" w14:textId="40F386E5" w:rsidR="00AC392D" w:rsidRPr="0089771B" w:rsidRDefault="005B0D71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V tejto štúdii bola bezpečnosť lieku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hodnotená u 60 jedincov. Bolo podaných celkovo 3534 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infúzií. Celkovo sa u študovanej populácie nepozorovali žiadne bezpečnostné problémy s použitím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>u.</w:t>
      </w:r>
    </w:p>
    <w:p w14:paraId="308A3CA5" w14:textId="77777777" w:rsidR="00AC392D" w:rsidRPr="0089771B" w:rsidRDefault="00AC392D" w:rsidP="0089771B">
      <w:pPr>
        <w:pStyle w:val="Default"/>
        <w:rPr>
          <w:sz w:val="22"/>
          <w:szCs w:val="22"/>
          <w:lang w:val="sk"/>
        </w:rPr>
      </w:pPr>
    </w:p>
    <w:p w14:paraId="42454315" w14:textId="600B038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Nasledujúca tabuľka je podľa klasifikácie orgánových systémov MedDRA (SOC</w:t>
      </w:r>
      <w:r w:rsidR="00A84E9C">
        <w:rPr>
          <w:sz w:val="22"/>
          <w:szCs w:val="22"/>
          <w:lang w:val="sk"/>
        </w:rPr>
        <w:t xml:space="preserve"> a</w:t>
      </w:r>
      <w:r w:rsidRPr="0089771B">
        <w:rPr>
          <w:sz w:val="22"/>
          <w:szCs w:val="22"/>
          <w:lang w:val="sk"/>
        </w:rPr>
        <w:t xml:space="preserve">  preferovan</w:t>
      </w:r>
      <w:r w:rsidR="00A84E9C">
        <w:rPr>
          <w:sz w:val="22"/>
          <w:szCs w:val="22"/>
          <w:lang w:val="sk"/>
        </w:rPr>
        <w:t>é</w:t>
      </w:r>
      <w:r w:rsidRPr="0089771B">
        <w:rPr>
          <w:sz w:val="22"/>
          <w:szCs w:val="22"/>
          <w:lang w:val="sk"/>
        </w:rPr>
        <w:t xml:space="preserve"> </w:t>
      </w:r>
      <w:r w:rsidR="00A84E9C">
        <w:rPr>
          <w:sz w:val="22"/>
          <w:szCs w:val="22"/>
          <w:lang w:val="sk"/>
        </w:rPr>
        <w:t>výrazy</w:t>
      </w:r>
      <w:r w:rsidRPr="0089771B">
        <w:rPr>
          <w:sz w:val="22"/>
          <w:szCs w:val="22"/>
          <w:lang w:val="sk"/>
        </w:rPr>
        <w:t>).</w:t>
      </w:r>
    </w:p>
    <w:p w14:paraId="762B5EDB" w14:textId="77777777" w:rsidR="0094072F" w:rsidRPr="0089771B" w:rsidRDefault="0094072F" w:rsidP="0089771B">
      <w:pPr>
        <w:pStyle w:val="Default"/>
        <w:rPr>
          <w:sz w:val="22"/>
          <w:szCs w:val="22"/>
          <w:lang w:val="sk"/>
        </w:rPr>
      </w:pPr>
    </w:p>
    <w:p w14:paraId="78E2FCC7" w14:textId="2193418A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Frekvencie </w:t>
      </w:r>
      <w:r w:rsidR="00A84E9C">
        <w:rPr>
          <w:sz w:val="22"/>
          <w:szCs w:val="22"/>
          <w:lang w:val="sk"/>
        </w:rPr>
        <w:t>u</w:t>
      </w:r>
      <w:r w:rsidRPr="0089771B">
        <w:rPr>
          <w:sz w:val="22"/>
          <w:szCs w:val="22"/>
          <w:lang w:val="sk"/>
        </w:rPr>
        <w:t xml:space="preserve"> pacienta boli hodnotené podľa nasledujúcej konvencie: Veľmi časté (≥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1/10); časté (≥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1/100 až &lt;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1/10); menej časté (≥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1/1 000 až &lt;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1/100); zriedkavé (≥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1/10 000 až &lt;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1/1 000); veľmi zriedkavé (&lt;</w:t>
      </w:r>
      <w:r w:rsidR="00DB3D51" w:rsidRPr="0089771B">
        <w:rPr>
          <w:sz w:val="22"/>
          <w:szCs w:val="22"/>
          <w:lang w:val="sk"/>
        </w:rPr>
        <w:t> </w:t>
      </w:r>
      <w:r w:rsidRPr="0089771B">
        <w:rPr>
          <w:sz w:val="22"/>
          <w:szCs w:val="22"/>
          <w:lang w:val="sk"/>
        </w:rPr>
        <w:t>1/10 000), neznáme (</w:t>
      </w:r>
      <w:r w:rsidR="00A84E9C" w:rsidRPr="00D627BF">
        <w:rPr>
          <w:color w:val="auto"/>
          <w:sz w:val="22"/>
          <w:szCs w:val="22"/>
          <w:lang w:val="sk-SK"/>
        </w:rPr>
        <w:t xml:space="preserve">nedajú sa odhadnúť </w:t>
      </w:r>
      <w:r w:rsidRPr="0089771B">
        <w:rPr>
          <w:sz w:val="22"/>
          <w:szCs w:val="22"/>
          <w:lang w:val="sk"/>
        </w:rPr>
        <w:t>z dostupných údajov).</w:t>
      </w:r>
    </w:p>
    <w:p w14:paraId="37085CFF" w14:textId="62BE9711" w:rsidR="0020029A" w:rsidRPr="0089771B" w:rsidRDefault="0020029A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k"/>
        </w:rPr>
      </w:pPr>
      <w:r w:rsidRPr="0089771B">
        <w:rPr>
          <w:rFonts w:ascii="Times New Roman" w:hAnsi="Times New Roman" w:cs="Times New Roman"/>
          <w:color w:val="000000"/>
          <w:lang w:val="sk"/>
        </w:rPr>
        <w:t>V rámci každej skupiny frekvencií sú nežiaduce reakcie uvedené v poradí klesajúcej závažnosti.</w:t>
      </w:r>
    </w:p>
    <w:p w14:paraId="56E48278" w14:textId="77777777" w:rsidR="0020029A" w:rsidRPr="0089771B" w:rsidRDefault="0020029A" w:rsidP="0089771B">
      <w:pPr>
        <w:pStyle w:val="Default"/>
        <w:rPr>
          <w:sz w:val="22"/>
          <w:szCs w:val="22"/>
          <w:lang w:val="sk"/>
        </w:rPr>
      </w:pPr>
    </w:p>
    <w:p w14:paraId="176E1BA6" w14:textId="598AE89D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Frekvencia nežiaducich reakcií (ADR) na osobu a infúziu v klinickej štúdii s liekom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>:</w:t>
      </w:r>
    </w:p>
    <w:p w14:paraId="762771EA" w14:textId="77777777" w:rsidR="0028173A" w:rsidRPr="0089771B" w:rsidRDefault="0028173A" w:rsidP="0089771B">
      <w:pPr>
        <w:pStyle w:val="Default"/>
        <w:rPr>
          <w:sz w:val="22"/>
          <w:szCs w:val="22"/>
          <w:lang w:val="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6"/>
        <w:gridCol w:w="1999"/>
        <w:gridCol w:w="1976"/>
        <w:gridCol w:w="2092"/>
      </w:tblGrid>
      <w:tr w:rsidR="00AF5724" w:rsidRPr="0089771B" w14:paraId="38FE1343" w14:textId="77777777" w:rsidTr="00CA3517">
        <w:trPr>
          <w:tblHeader/>
        </w:trPr>
        <w:tc>
          <w:tcPr>
            <w:tcW w:w="3012" w:type="dxa"/>
          </w:tcPr>
          <w:p w14:paraId="624A0A34" w14:textId="410ABEAE" w:rsidR="00AF5724" w:rsidRPr="0089771B" w:rsidRDefault="00AF5724" w:rsidP="00373FCF">
            <w:pPr>
              <w:pStyle w:val="Default"/>
              <w:keepNext/>
              <w:keepLines/>
              <w:rPr>
                <w:b/>
                <w:bCs/>
                <w:sz w:val="22"/>
                <w:szCs w:val="22"/>
                <w:lang w:val="pt-PT"/>
              </w:rPr>
            </w:pPr>
            <w:r w:rsidRPr="0089771B">
              <w:rPr>
                <w:b/>
                <w:bCs/>
                <w:sz w:val="22"/>
                <w:szCs w:val="22"/>
                <w:lang w:val="sk"/>
              </w:rPr>
              <w:t xml:space="preserve">Trieda orgánových systémov MedDRA </w:t>
            </w:r>
          </w:p>
        </w:tc>
        <w:tc>
          <w:tcPr>
            <w:tcW w:w="2080" w:type="dxa"/>
          </w:tcPr>
          <w:p w14:paraId="4D7651D2" w14:textId="29460966" w:rsidR="00AF5724" w:rsidRPr="0089771B" w:rsidRDefault="00A84E9C" w:rsidP="0089771B">
            <w:pPr>
              <w:pStyle w:val="Default"/>
              <w:keepNext/>
              <w:keepLine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k"/>
              </w:rPr>
              <w:t>Nežiaduca</w:t>
            </w:r>
            <w:r w:rsidRPr="0089771B">
              <w:rPr>
                <w:b/>
                <w:bCs/>
                <w:sz w:val="22"/>
                <w:szCs w:val="22"/>
                <w:lang w:val="sk"/>
              </w:rPr>
              <w:t xml:space="preserve"> </w:t>
            </w:r>
            <w:r w:rsidR="00AF5724" w:rsidRPr="0089771B">
              <w:rPr>
                <w:b/>
                <w:bCs/>
                <w:sz w:val="22"/>
                <w:szCs w:val="22"/>
                <w:lang w:val="sk"/>
              </w:rPr>
              <w:t>reakcia</w:t>
            </w:r>
          </w:p>
        </w:tc>
        <w:tc>
          <w:tcPr>
            <w:tcW w:w="1964" w:type="dxa"/>
          </w:tcPr>
          <w:p w14:paraId="4F2DB277" w14:textId="7EE365B8" w:rsidR="00AF5724" w:rsidRPr="0089771B" w:rsidRDefault="00AF5724" w:rsidP="0089771B">
            <w:pPr>
              <w:pStyle w:val="Default"/>
              <w:keepNext/>
              <w:keepLines/>
              <w:rPr>
                <w:b/>
                <w:bCs/>
                <w:sz w:val="22"/>
                <w:szCs w:val="22"/>
              </w:rPr>
            </w:pPr>
            <w:r w:rsidRPr="0089771B">
              <w:rPr>
                <w:b/>
                <w:bCs/>
                <w:sz w:val="22"/>
                <w:szCs w:val="22"/>
                <w:lang w:val="sk"/>
              </w:rPr>
              <w:t>Frekvencia/infúzi</w:t>
            </w:r>
            <w:r w:rsidR="00A84E9C">
              <w:rPr>
                <w:b/>
                <w:bCs/>
                <w:sz w:val="22"/>
                <w:szCs w:val="22"/>
                <w:lang w:val="sk"/>
              </w:rPr>
              <w:t>a</w:t>
            </w:r>
          </w:p>
        </w:tc>
        <w:tc>
          <w:tcPr>
            <w:tcW w:w="2123" w:type="dxa"/>
          </w:tcPr>
          <w:p w14:paraId="27245C85" w14:textId="74C2319C" w:rsidR="00AF5724" w:rsidRPr="0089771B" w:rsidRDefault="00AF5724" w:rsidP="0089771B">
            <w:pPr>
              <w:pStyle w:val="Default"/>
              <w:keepNext/>
              <w:keepLines/>
              <w:rPr>
                <w:b/>
                <w:bCs/>
                <w:sz w:val="22"/>
                <w:szCs w:val="22"/>
              </w:rPr>
            </w:pPr>
            <w:r w:rsidRPr="0089771B">
              <w:rPr>
                <w:b/>
                <w:bCs/>
                <w:sz w:val="22"/>
                <w:szCs w:val="22"/>
                <w:lang w:val="sk"/>
              </w:rPr>
              <w:t>Frekvencia/</w:t>
            </w:r>
            <w:r w:rsidR="00A84E9C">
              <w:rPr>
                <w:b/>
                <w:bCs/>
                <w:sz w:val="22"/>
                <w:szCs w:val="22"/>
                <w:lang w:val="sk"/>
              </w:rPr>
              <w:t>osoba</w:t>
            </w:r>
          </w:p>
        </w:tc>
      </w:tr>
      <w:tr w:rsidR="00AF5724" w:rsidRPr="0089771B" w14:paraId="42D2E21C" w14:textId="77777777" w:rsidTr="00CA3517">
        <w:tc>
          <w:tcPr>
            <w:tcW w:w="3012" w:type="dxa"/>
          </w:tcPr>
          <w:p w14:paraId="0635CCFB" w14:textId="77777777" w:rsidR="00AF5724" w:rsidRPr="0089771B" w:rsidRDefault="00AF5724" w:rsidP="0089771B">
            <w:pPr>
              <w:rPr>
                <w:rFonts w:ascii="Times New Roman" w:hAnsi="Times New Roman" w:cs="Times New Roman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nervového systému</w:t>
            </w:r>
          </w:p>
        </w:tc>
        <w:tc>
          <w:tcPr>
            <w:tcW w:w="2080" w:type="dxa"/>
          </w:tcPr>
          <w:p w14:paraId="59057247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Bolesti hlavy</w:t>
            </w:r>
          </w:p>
        </w:tc>
        <w:tc>
          <w:tcPr>
            <w:tcW w:w="1964" w:type="dxa"/>
          </w:tcPr>
          <w:p w14:paraId="40FDF75E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</w:tc>
        <w:tc>
          <w:tcPr>
            <w:tcW w:w="2123" w:type="dxa"/>
          </w:tcPr>
          <w:p w14:paraId="6A07A85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</w:tc>
      </w:tr>
      <w:tr w:rsidR="00AF5724" w:rsidRPr="0089771B" w14:paraId="56193CCF" w14:textId="77777777" w:rsidTr="00CA3517">
        <w:tc>
          <w:tcPr>
            <w:tcW w:w="3012" w:type="dxa"/>
          </w:tcPr>
          <w:p w14:paraId="2F391C59" w14:textId="77777777" w:rsidR="00AF5724" w:rsidRPr="0089771B" w:rsidRDefault="00AF5724" w:rsidP="0089771B">
            <w:pPr>
              <w:rPr>
                <w:rFonts w:ascii="Times New Roman" w:hAnsi="Times New Roman" w:cs="Times New Roman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gastrointestinálneho traktu</w:t>
            </w:r>
          </w:p>
        </w:tc>
        <w:tc>
          <w:tcPr>
            <w:tcW w:w="2080" w:type="dxa"/>
          </w:tcPr>
          <w:p w14:paraId="3D014372" w14:textId="58F631EB" w:rsidR="00AF5724" w:rsidRPr="0089771B" w:rsidRDefault="002D7FB0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Abdominálna distenzia</w:t>
            </w:r>
          </w:p>
          <w:p w14:paraId="74854055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 xml:space="preserve">Bolesti brucha </w:t>
            </w:r>
          </w:p>
          <w:p w14:paraId="3701E781" w14:textId="77E5F523" w:rsidR="00AF5724" w:rsidRPr="0089771B" w:rsidRDefault="00A84E9C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V</w:t>
            </w:r>
            <w:r w:rsidR="00AF5724" w:rsidRPr="0089771B">
              <w:rPr>
                <w:sz w:val="22"/>
                <w:szCs w:val="22"/>
                <w:lang w:val="sk"/>
              </w:rPr>
              <w:t>racanie</w:t>
            </w:r>
          </w:p>
        </w:tc>
        <w:tc>
          <w:tcPr>
            <w:tcW w:w="1964" w:type="dxa"/>
          </w:tcPr>
          <w:p w14:paraId="55E207F7" w14:textId="6C075400" w:rsidR="002C57D5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  <w:p w14:paraId="2EF17301" w14:textId="77777777" w:rsidR="00373FCF" w:rsidRDefault="00373FCF" w:rsidP="0089771B">
            <w:pPr>
              <w:pStyle w:val="Default"/>
              <w:rPr>
                <w:sz w:val="22"/>
                <w:szCs w:val="22"/>
                <w:lang w:val="sk"/>
              </w:rPr>
            </w:pPr>
          </w:p>
          <w:p w14:paraId="2AB382B9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  <w:p w14:paraId="094165C7" w14:textId="3DB2C3CA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</w:tc>
        <w:tc>
          <w:tcPr>
            <w:tcW w:w="2123" w:type="dxa"/>
          </w:tcPr>
          <w:p w14:paraId="5B58748F" w14:textId="702E78BC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  <w:p w14:paraId="6B25A16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  <w:p w14:paraId="1DAECDC8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</w:tc>
      </w:tr>
      <w:tr w:rsidR="00AF5724" w:rsidRPr="0089771B" w14:paraId="473EE3FE" w14:textId="77777777" w:rsidTr="00CA3517">
        <w:tc>
          <w:tcPr>
            <w:tcW w:w="3012" w:type="dxa"/>
          </w:tcPr>
          <w:p w14:paraId="213EB229" w14:textId="77777777" w:rsidR="00AF5724" w:rsidRPr="005B4642" w:rsidRDefault="00AF5724" w:rsidP="0089771B">
            <w:pPr>
              <w:rPr>
                <w:rFonts w:ascii="Times New Roman" w:hAnsi="Times New Roman" w:cs="Times New Roman"/>
                <w:lang w:val="en-US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kostrovej a svalovej sústavy a spojivového tkaniva</w:t>
            </w:r>
          </w:p>
        </w:tc>
        <w:tc>
          <w:tcPr>
            <w:tcW w:w="2080" w:type="dxa"/>
          </w:tcPr>
          <w:p w14:paraId="7D458404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Myalgia</w:t>
            </w:r>
          </w:p>
        </w:tc>
        <w:tc>
          <w:tcPr>
            <w:tcW w:w="1964" w:type="dxa"/>
          </w:tcPr>
          <w:p w14:paraId="6EE68556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</w:tc>
        <w:tc>
          <w:tcPr>
            <w:tcW w:w="2123" w:type="dxa"/>
          </w:tcPr>
          <w:p w14:paraId="1C962610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</w:tc>
      </w:tr>
      <w:tr w:rsidR="00AF5724" w:rsidRPr="0089771B" w14:paraId="2070198A" w14:textId="77777777" w:rsidTr="00CA3517">
        <w:tc>
          <w:tcPr>
            <w:tcW w:w="3012" w:type="dxa"/>
          </w:tcPr>
          <w:p w14:paraId="52BD593F" w14:textId="77777777" w:rsidR="00AF5724" w:rsidRPr="0089771B" w:rsidRDefault="00AF5724" w:rsidP="0089771B">
            <w:pPr>
              <w:rPr>
                <w:rFonts w:ascii="Times New Roman" w:hAnsi="Times New Roman" w:cs="Times New Roman"/>
                <w:lang w:val="pt-PT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Celkové poruchy a reakcie v mieste podania</w:t>
            </w:r>
          </w:p>
        </w:tc>
        <w:tc>
          <w:tcPr>
            <w:tcW w:w="2080" w:type="dxa"/>
          </w:tcPr>
          <w:p w14:paraId="701ABD9B" w14:textId="4BFA27B7" w:rsidR="002D7FB0" w:rsidRDefault="002D2FB9" w:rsidP="0089771B">
            <w:pPr>
              <w:pStyle w:val="Default"/>
              <w:rPr>
                <w:sz w:val="22"/>
                <w:szCs w:val="22"/>
                <w:lang w:val="sk"/>
              </w:rPr>
            </w:pPr>
            <w:r w:rsidRPr="0089771B">
              <w:rPr>
                <w:sz w:val="22"/>
                <w:szCs w:val="22"/>
                <w:lang w:val="sk"/>
              </w:rPr>
              <w:t xml:space="preserve">Reakcia v mieste vpichu </w:t>
            </w:r>
          </w:p>
          <w:p w14:paraId="1A818BF7" w14:textId="77777777" w:rsidR="002D7FB0" w:rsidRDefault="002D7FB0" w:rsidP="0089771B">
            <w:pPr>
              <w:pStyle w:val="Default"/>
              <w:rPr>
                <w:sz w:val="22"/>
                <w:szCs w:val="22"/>
                <w:lang w:val="sk"/>
              </w:rPr>
            </w:pPr>
          </w:p>
          <w:p w14:paraId="67F9C71F" w14:textId="56D275D0" w:rsidR="00AF5724" w:rsidRPr="0089771B" w:rsidRDefault="002D7FB0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H</w:t>
            </w:r>
            <w:r w:rsidR="00AF5724" w:rsidRPr="0089771B">
              <w:rPr>
                <w:sz w:val="22"/>
                <w:szCs w:val="22"/>
                <w:lang w:val="sk"/>
              </w:rPr>
              <w:t>orúčka</w:t>
            </w:r>
          </w:p>
        </w:tc>
        <w:tc>
          <w:tcPr>
            <w:tcW w:w="1964" w:type="dxa"/>
          </w:tcPr>
          <w:p w14:paraId="7458E3E0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Veľmi časté</w:t>
            </w:r>
          </w:p>
          <w:p w14:paraId="112AECA2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</w:p>
          <w:p w14:paraId="36C4B7D4" w14:textId="77777777" w:rsidR="00B703CE" w:rsidRPr="0089771B" w:rsidRDefault="00B703CE" w:rsidP="0089771B">
            <w:pPr>
              <w:pStyle w:val="Default"/>
              <w:rPr>
                <w:sz w:val="22"/>
                <w:szCs w:val="22"/>
              </w:rPr>
            </w:pPr>
          </w:p>
          <w:p w14:paraId="33CD039A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</w:tc>
        <w:tc>
          <w:tcPr>
            <w:tcW w:w="2123" w:type="dxa"/>
          </w:tcPr>
          <w:p w14:paraId="5B0FFEA4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Veľmi časté</w:t>
            </w:r>
          </w:p>
          <w:p w14:paraId="0FA8AF4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</w:p>
          <w:p w14:paraId="5559C8A8" w14:textId="77777777" w:rsidR="00B703CE" w:rsidRPr="0089771B" w:rsidRDefault="00B703CE" w:rsidP="0089771B">
            <w:pPr>
              <w:pStyle w:val="Default"/>
              <w:rPr>
                <w:sz w:val="22"/>
                <w:szCs w:val="22"/>
              </w:rPr>
            </w:pPr>
          </w:p>
          <w:p w14:paraId="7073AAE5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</w:tc>
      </w:tr>
      <w:tr w:rsidR="00AF5724" w:rsidRPr="0089771B" w14:paraId="57D6759F" w14:textId="77777777" w:rsidTr="00CA3517">
        <w:tc>
          <w:tcPr>
            <w:tcW w:w="3012" w:type="dxa"/>
          </w:tcPr>
          <w:p w14:paraId="079090D6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Laboratórne a funkčné vyšetrenia</w:t>
            </w:r>
          </w:p>
        </w:tc>
        <w:tc>
          <w:tcPr>
            <w:tcW w:w="2080" w:type="dxa"/>
          </w:tcPr>
          <w:p w14:paraId="50112314" w14:textId="62FEA0B3" w:rsidR="00AF5724" w:rsidRPr="0089771B" w:rsidRDefault="002D7FB0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 xml:space="preserve">Pozitívny </w:t>
            </w:r>
            <w:r w:rsidR="00AF5724" w:rsidRPr="0089771B">
              <w:rPr>
                <w:sz w:val="22"/>
                <w:szCs w:val="22"/>
                <w:lang w:val="sk"/>
              </w:rPr>
              <w:t>Coombsov test</w:t>
            </w:r>
          </w:p>
          <w:p w14:paraId="3C7B9F17" w14:textId="3EAD4AC9" w:rsidR="00AF5724" w:rsidRPr="0089771B" w:rsidRDefault="002D7FB0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Prítomnosť v</w:t>
            </w:r>
            <w:r w:rsidR="00AF5724" w:rsidRPr="0089771B">
              <w:rPr>
                <w:sz w:val="22"/>
                <w:szCs w:val="22"/>
                <w:lang w:val="sk"/>
              </w:rPr>
              <w:t>oľn</w:t>
            </w:r>
            <w:r>
              <w:rPr>
                <w:sz w:val="22"/>
                <w:szCs w:val="22"/>
                <w:lang w:val="sk"/>
              </w:rPr>
              <w:t>ého</w:t>
            </w:r>
            <w:r w:rsidR="00AF5724" w:rsidRPr="0089771B">
              <w:rPr>
                <w:sz w:val="22"/>
                <w:szCs w:val="22"/>
                <w:lang w:val="sk"/>
              </w:rPr>
              <w:t xml:space="preserve"> hemoglobín</w:t>
            </w:r>
            <w:r>
              <w:rPr>
                <w:sz w:val="22"/>
                <w:szCs w:val="22"/>
                <w:lang w:val="sk"/>
              </w:rPr>
              <w:t>u</w:t>
            </w:r>
          </w:p>
          <w:p w14:paraId="3E645B35" w14:textId="32ECA265" w:rsidR="00AF5724" w:rsidRPr="0089771B" w:rsidRDefault="002D7FB0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Znížené hladiny h</w:t>
            </w:r>
            <w:r w:rsidR="00AF5724" w:rsidRPr="0089771B">
              <w:rPr>
                <w:sz w:val="22"/>
                <w:szCs w:val="22"/>
                <w:lang w:val="sk"/>
              </w:rPr>
              <w:t>aptoglobín</w:t>
            </w:r>
            <w:r>
              <w:rPr>
                <w:sz w:val="22"/>
                <w:szCs w:val="22"/>
                <w:lang w:val="sk"/>
              </w:rPr>
              <w:t>u</w:t>
            </w:r>
          </w:p>
        </w:tc>
        <w:tc>
          <w:tcPr>
            <w:tcW w:w="1964" w:type="dxa"/>
          </w:tcPr>
          <w:p w14:paraId="2B0BCCC2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  <w:lang w:val="sk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  <w:p w14:paraId="41DAC459" w14:textId="77777777" w:rsidR="00095EB2" w:rsidRPr="0089771B" w:rsidRDefault="00095EB2" w:rsidP="0089771B">
            <w:pPr>
              <w:pStyle w:val="Default"/>
              <w:rPr>
                <w:sz w:val="22"/>
                <w:szCs w:val="22"/>
              </w:rPr>
            </w:pPr>
          </w:p>
          <w:p w14:paraId="7EBAF368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  <w:p w14:paraId="6518E12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</w:p>
          <w:p w14:paraId="447947E5" w14:textId="77777777" w:rsidR="00373FCF" w:rsidRDefault="00373FCF" w:rsidP="0089771B">
            <w:pPr>
              <w:pStyle w:val="Default"/>
              <w:rPr>
                <w:sz w:val="22"/>
                <w:szCs w:val="22"/>
                <w:lang w:val="sk"/>
              </w:rPr>
            </w:pPr>
          </w:p>
          <w:p w14:paraId="56FA61C4" w14:textId="6B5DC7BE" w:rsidR="00AF5724" w:rsidRPr="0089771B" w:rsidRDefault="002C57D5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Zriedkavé</w:t>
            </w:r>
          </w:p>
        </w:tc>
        <w:tc>
          <w:tcPr>
            <w:tcW w:w="2123" w:type="dxa"/>
          </w:tcPr>
          <w:p w14:paraId="5E85895F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  <w:lang w:val="sk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  <w:p w14:paraId="00AB7482" w14:textId="77777777" w:rsidR="00095EB2" w:rsidRPr="0089771B" w:rsidRDefault="00095EB2" w:rsidP="0089771B">
            <w:pPr>
              <w:pStyle w:val="Default"/>
              <w:rPr>
                <w:sz w:val="22"/>
                <w:szCs w:val="22"/>
              </w:rPr>
            </w:pPr>
          </w:p>
          <w:p w14:paraId="43F3F44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  <w:p w14:paraId="00F0124E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</w:p>
          <w:p w14:paraId="7BC7F008" w14:textId="77777777" w:rsidR="00373FCF" w:rsidRDefault="00373FCF" w:rsidP="0089771B">
            <w:pPr>
              <w:pStyle w:val="Default"/>
              <w:rPr>
                <w:sz w:val="22"/>
                <w:szCs w:val="22"/>
                <w:lang w:val="sk"/>
              </w:rPr>
            </w:pPr>
          </w:p>
          <w:p w14:paraId="5F23CA8D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Časté</w:t>
            </w:r>
          </w:p>
          <w:p w14:paraId="7B1E635A" w14:textId="77777777" w:rsidR="00AF5724" w:rsidRPr="0089771B" w:rsidRDefault="00AF5724" w:rsidP="0089771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96B2D67" w14:textId="77777777" w:rsidR="00AC392D" w:rsidRPr="0089771B" w:rsidRDefault="00AC392D" w:rsidP="0089771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FB99DAF" w14:textId="5441E569" w:rsidR="00AC392D" w:rsidRPr="0089771B" w:rsidRDefault="00AC392D" w:rsidP="0089771B">
      <w:pPr>
        <w:pStyle w:val="Default"/>
        <w:rPr>
          <w:sz w:val="22"/>
          <w:szCs w:val="22"/>
        </w:rPr>
      </w:pPr>
      <w:r w:rsidRPr="0089771B">
        <w:rPr>
          <w:sz w:val="22"/>
          <w:szCs w:val="22"/>
          <w:lang w:val="sk"/>
        </w:rPr>
        <w:t xml:space="preserve">Nasledujúce nežiaduce reakcie, ktoré sa neuvádzajú vyššie, boli identifikované a hlásené počas </w:t>
      </w:r>
      <w:r w:rsidR="002D7FB0">
        <w:rPr>
          <w:sz w:val="22"/>
          <w:szCs w:val="22"/>
          <w:lang w:val="sk"/>
        </w:rPr>
        <w:t xml:space="preserve">postregistračného </w:t>
      </w:r>
      <w:r w:rsidRPr="0089771B">
        <w:rPr>
          <w:sz w:val="22"/>
          <w:szCs w:val="22"/>
          <w:lang w:val="sk"/>
        </w:rPr>
        <w:t>užívania IVI</w:t>
      </w:r>
      <w:r w:rsidR="002D7FB0">
        <w:rPr>
          <w:sz w:val="22"/>
          <w:szCs w:val="22"/>
          <w:lang w:val="sk"/>
        </w:rPr>
        <w:t>g liekov</w:t>
      </w:r>
      <w:r w:rsidRPr="0089771B">
        <w:rPr>
          <w:sz w:val="22"/>
          <w:szCs w:val="22"/>
          <w:lang w:val="sk"/>
        </w:rPr>
        <w:t xml:space="preserve">  a môžu sa vyskytnúť aj po podaní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>u:</w:t>
      </w:r>
    </w:p>
    <w:p w14:paraId="0EE3378A" w14:textId="77777777" w:rsidR="00872E67" w:rsidRPr="0089771B" w:rsidRDefault="00872E67" w:rsidP="0089771B">
      <w:pPr>
        <w:pStyle w:val="Defaul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5"/>
        <w:gridCol w:w="4628"/>
      </w:tblGrid>
      <w:tr w:rsidR="00AC392D" w:rsidRPr="0089771B" w14:paraId="0A5D6CF7" w14:textId="77777777" w:rsidTr="00CA3517">
        <w:trPr>
          <w:tblHeader/>
        </w:trPr>
        <w:tc>
          <w:tcPr>
            <w:tcW w:w="4428" w:type="dxa"/>
          </w:tcPr>
          <w:p w14:paraId="3DD67170" w14:textId="7F0AE2EE" w:rsidR="00AC392D" w:rsidRPr="0089771B" w:rsidRDefault="00AC392D" w:rsidP="00373FCF">
            <w:pPr>
              <w:pStyle w:val="Default"/>
              <w:rPr>
                <w:b/>
                <w:bCs/>
                <w:sz w:val="22"/>
                <w:szCs w:val="22"/>
                <w:lang w:val="pt-PT"/>
              </w:rPr>
            </w:pPr>
            <w:r w:rsidRPr="0089771B">
              <w:rPr>
                <w:b/>
                <w:bCs/>
                <w:sz w:val="22"/>
                <w:szCs w:val="22"/>
                <w:lang w:val="sk"/>
              </w:rPr>
              <w:t xml:space="preserve">Trieda orgánových systémov MedDRA </w:t>
            </w:r>
          </w:p>
        </w:tc>
        <w:tc>
          <w:tcPr>
            <w:tcW w:w="4751" w:type="dxa"/>
          </w:tcPr>
          <w:p w14:paraId="66CABA64" w14:textId="664F6085" w:rsidR="00AC392D" w:rsidRPr="0089771B" w:rsidRDefault="002D7FB0" w:rsidP="0089771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k"/>
              </w:rPr>
              <w:t>Nežiaduca</w:t>
            </w:r>
            <w:r w:rsidR="00AC392D" w:rsidRPr="0089771B">
              <w:rPr>
                <w:b/>
                <w:bCs/>
                <w:sz w:val="22"/>
                <w:szCs w:val="22"/>
                <w:lang w:val="sk"/>
              </w:rPr>
              <w:t xml:space="preserve"> reakcia</w:t>
            </w:r>
          </w:p>
        </w:tc>
      </w:tr>
      <w:tr w:rsidR="00AC392D" w:rsidRPr="0089771B" w14:paraId="35E6E96B" w14:textId="77777777" w:rsidTr="00CA3517">
        <w:tc>
          <w:tcPr>
            <w:tcW w:w="4428" w:type="dxa"/>
          </w:tcPr>
          <w:p w14:paraId="3D2A0304" w14:textId="77777777" w:rsidR="00AC392D" w:rsidRPr="0089771B" w:rsidRDefault="00AC392D" w:rsidP="0089771B">
            <w:pPr>
              <w:rPr>
                <w:rFonts w:ascii="Times New Roman" w:hAnsi="Times New Roman" w:cs="Times New Roman"/>
                <w:lang w:val="en-US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krvi a lymfatického systému</w:t>
            </w:r>
          </w:p>
        </w:tc>
        <w:tc>
          <w:tcPr>
            <w:tcW w:w="4751" w:type="dxa"/>
          </w:tcPr>
          <w:p w14:paraId="0FC28EA4" w14:textId="77777777" w:rsidR="00AC392D" w:rsidRPr="0089771B" w:rsidRDefault="00AC392D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Pancytopénia, leukopénia, hemolytická anémia</w:t>
            </w:r>
          </w:p>
        </w:tc>
      </w:tr>
      <w:tr w:rsidR="00A67F78" w:rsidRPr="0089771B" w14:paraId="3B1C2E7B" w14:textId="77777777" w:rsidTr="00CA3517">
        <w:tc>
          <w:tcPr>
            <w:tcW w:w="4428" w:type="dxa"/>
          </w:tcPr>
          <w:p w14:paraId="76957E6A" w14:textId="77777777" w:rsidR="00A67F78" w:rsidRPr="0089771B" w:rsidRDefault="00A67F78" w:rsidP="0089771B">
            <w:pPr>
              <w:rPr>
                <w:rFonts w:ascii="Times New Roman" w:hAnsi="Times New Roman" w:cs="Times New Roman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imunitného systému</w:t>
            </w:r>
          </w:p>
        </w:tc>
        <w:tc>
          <w:tcPr>
            <w:tcW w:w="4751" w:type="dxa"/>
          </w:tcPr>
          <w:p w14:paraId="601FB2D3" w14:textId="77777777" w:rsidR="00A67F78" w:rsidRPr="0089771B" w:rsidRDefault="00A67F78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Anafylaktická reakcia, reakcia z precitlivenosti, alergická reakcia, angioneurotický edém, edém tváre</w:t>
            </w:r>
          </w:p>
        </w:tc>
      </w:tr>
      <w:tr w:rsidR="00AC392D" w:rsidRPr="0089771B" w14:paraId="5E387881" w14:textId="77777777" w:rsidTr="00CA3517">
        <w:tc>
          <w:tcPr>
            <w:tcW w:w="4428" w:type="dxa"/>
          </w:tcPr>
          <w:p w14:paraId="432FF8C1" w14:textId="77777777" w:rsidR="00AC392D" w:rsidRPr="0089771B" w:rsidRDefault="00BF4581" w:rsidP="0089771B">
            <w:pPr>
              <w:rPr>
                <w:rFonts w:ascii="Times New Roman" w:hAnsi="Times New Roman" w:cs="Times New Roman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Psychické poruchy</w:t>
            </w:r>
          </w:p>
        </w:tc>
        <w:tc>
          <w:tcPr>
            <w:tcW w:w="4751" w:type="dxa"/>
          </w:tcPr>
          <w:p w14:paraId="2266D650" w14:textId="77777777" w:rsidR="00AC392D" w:rsidRPr="0089771B" w:rsidRDefault="00AC392D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Agitácia</w:t>
            </w:r>
          </w:p>
        </w:tc>
      </w:tr>
      <w:tr w:rsidR="00AC392D" w:rsidRPr="0089771B" w14:paraId="0E06DF44" w14:textId="77777777" w:rsidTr="00CA3517">
        <w:tc>
          <w:tcPr>
            <w:tcW w:w="4428" w:type="dxa"/>
          </w:tcPr>
          <w:p w14:paraId="3773C49B" w14:textId="77777777" w:rsidR="00AC392D" w:rsidRPr="0089771B" w:rsidRDefault="00AC392D" w:rsidP="0089771B">
            <w:pPr>
              <w:rPr>
                <w:rFonts w:ascii="Times New Roman" w:hAnsi="Times New Roman" w:cs="Times New Roman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nervového systému</w:t>
            </w:r>
          </w:p>
        </w:tc>
        <w:tc>
          <w:tcPr>
            <w:tcW w:w="4751" w:type="dxa"/>
          </w:tcPr>
          <w:p w14:paraId="6F4A3CAE" w14:textId="6B728F9F" w:rsidR="00AC392D" w:rsidRPr="0089771B" w:rsidRDefault="00AC392D" w:rsidP="0089771B">
            <w:pPr>
              <w:pStyle w:val="Default"/>
              <w:rPr>
                <w:sz w:val="22"/>
                <w:szCs w:val="22"/>
                <w:lang w:val="pt-PT"/>
              </w:rPr>
            </w:pPr>
            <w:r w:rsidRPr="0089771B">
              <w:rPr>
                <w:sz w:val="22"/>
                <w:szCs w:val="22"/>
                <w:lang w:val="sk"/>
              </w:rPr>
              <w:t>Strata vedomia, cerebrovaskulárna príhoda, aseptická meningitída, záchvaty, migréna, tremor, parestézia</w:t>
            </w:r>
          </w:p>
        </w:tc>
      </w:tr>
      <w:tr w:rsidR="00AC392D" w:rsidRPr="0089771B" w14:paraId="7EE63227" w14:textId="77777777" w:rsidTr="00CA3517">
        <w:tc>
          <w:tcPr>
            <w:tcW w:w="4428" w:type="dxa"/>
          </w:tcPr>
          <w:p w14:paraId="38AFF784" w14:textId="77777777" w:rsidR="00AC392D" w:rsidRPr="0089771B" w:rsidRDefault="003B5CDA" w:rsidP="0089771B">
            <w:pPr>
              <w:rPr>
                <w:rFonts w:ascii="Times New Roman" w:hAnsi="Times New Roman" w:cs="Times New Roman"/>
                <w:lang w:val="pt-PT"/>
              </w:rPr>
            </w:pPr>
            <w:r w:rsidRPr="0089771B">
              <w:rPr>
                <w:rFonts w:ascii="Times New Roman" w:hAnsi="Times New Roman" w:cs="Times New Roman"/>
                <w:lang w:val="sk"/>
              </w:rPr>
              <w:t>Poruchy srdca a srdcovej činnosti</w:t>
            </w:r>
          </w:p>
        </w:tc>
        <w:tc>
          <w:tcPr>
            <w:tcW w:w="4751" w:type="dxa"/>
          </w:tcPr>
          <w:p w14:paraId="51B74530" w14:textId="0E36BD70" w:rsidR="00AC392D" w:rsidRPr="0089771B" w:rsidRDefault="00187BC6" w:rsidP="0089771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"/>
              </w:rPr>
              <w:t>Zástava</w:t>
            </w:r>
            <w:r w:rsidR="003B5CDA" w:rsidRPr="0089771B">
              <w:rPr>
                <w:sz w:val="22"/>
                <w:szCs w:val="22"/>
                <w:lang w:val="sk"/>
              </w:rPr>
              <w:t xml:space="preserve"> srdca, tachykardia, palpitácie</w:t>
            </w:r>
          </w:p>
        </w:tc>
      </w:tr>
      <w:tr w:rsidR="00AC392D" w:rsidRPr="0089771B" w14:paraId="7C597BEF" w14:textId="77777777" w:rsidTr="00CA3517">
        <w:tc>
          <w:tcPr>
            <w:tcW w:w="4428" w:type="dxa"/>
          </w:tcPr>
          <w:p w14:paraId="601EFBB3" w14:textId="77777777" w:rsidR="00AC392D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Poruchy ciev</w:t>
            </w:r>
          </w:p>
        </w:tc>
        <w:tc>
          <w:tcPr>
            <w:tcW w:w="4751" w:type="dxa"/>
          </w:tcPr>
          <w:p w14:paraId="1FAAF3D9" w14:textId="650E3379" w:rsidR="00AC392D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Tromboembólia, trombóza, kolaps</w:t>
            </w:r>
            <w:r w:rsidR="00187BC6">
              <w:rPr>
                <w:sz w:val="22"/>
                <w:szCs w:val="22"/>
                <w:lang w:val="sk"/>
              </w:rPr>
              <w:t xml:space="preserve"> obehovej sústavy</w:t>
            </w:r>
            <w:r w:rsidRPr="0089771B">
              <w:rPr>
                <w:sz w:val="22"/>
                <w:szCs w:val="22"/>
                <w:lang w:val="sk"/>
              </w:rPr>
              <w:t>, hypertenzia</w:t>
            </w:r>
          </w:p>
        </w:tc>
      </w:tr>
      <w:tr w:rsidR="003B5CDA" w:rsidRPr="0089771B" w14:paraId="3D1836E4" w14:textId="77777777" w:rsidTr="00CA3517">
        <w:tc>
          <w:tcPr>
            <w:tcW w:w="4428" w:type="dxa"/>
          </w:tcPr>
          <w:p w14:paraId="0FF47132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Poruchy dýchacej sústavy, hrudníka a mediastína</w:t>
            </w:r>
          </w:p>
        </w:tc>
        <w:tc>
          <w:tcPr>
            <w:tcW w:w="4751" w:type="dxa"/>
          </w:tcPr>
          <w:p w14:paraId="2FA737E6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Akútne pľúcne poranenie súvisiace s transfúziou, syndróm akútnej respiračnej tiesne, respiračné zlyhanie, pľúcna embólia, apnoe, cyanóza, hypoxia, pľúcny edém, bronchospazmus, dyspnoe, kašeľ, sipot</w:t>
            </w:r>
          </w:p>
        </w:tc>
      </w:tr>
      <w:tr w:rsidR="003B5CDA" w:rsidRPr="0089771B" w14:paraId="0406B762" w14:textId="77777777" w:rsidTr="00CA3517">
        <w:tc>
          <w:tcPr>
            <w:tcW w:w="4428" w:type="dxa"/>
          </w:tcPr>
          <w:p w14:paraId="64FE957A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Poruchy gastrointestinálneho traktu</w:t>
            </w:r>
          </w:p>
        </w:tc>
        <w:tc>
          <w:tcPr>
            <w:tcW w:w="4751" w:type="dxa"/>
          </w:tcPr>
          <w:p w14:paraId="15B9628F" w14:textId="7F9F5D70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Abnormálna funkcia pečene, hnačka</w:t>
            </w:r>
          </w:p>
        </w:tc>
      </w:tr>
      <w:tr w:rsidR="003B5CDA" w:rsidRPr="0089771B" w14:paraId="117A21C8" w14:textId="77777777" w:rsidTr="00CA3517">
        <w:tc>
          <w:tcPr>
            <w:tcW w:w="4428" w:type="dxa"/>
          </w:tcPr>
          <w:p w14:paraId="10B5DD42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Poruchy kože a podkožného tkaniva</w:t>
            </w:r>
          </w:p>
        </w:tc>
        <w:tc>
          <w:tcPr>
            <w:tcW w:w="4751" w:type="dxa"/>
          </w:tcPr>
          <w:p w14:paraId="2BF5D85D" w14:textId="7E2C057A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Stevens</w:t>
            </w:r>
            <w:r w:rsidR="00FE548E" w:rsidRPr="0089771B">
              <w:rPr>
                <w:sz w:val="22"/>
                <w:szCs w:val="22"/>
                <w:lang w:val="sk"/>
              </w:rPr>
              <w:t>ov</w:t>
            </w:r>
            <w:r w:rsidRPr="0089771B">
              <w:rPr>
                <w:sz w:val="22"/>
                <w:szCs w:val="22"/>
                <w:lang w:val="sk"/>
              </w:rPr>
              <w:t>-Johnsonov syndróm, epidermolýza multiformný erytém, (bulózna) dermatitída, ekzém, urtikária, vyrážka (erytematóza), pruritus, alopécia</w:t>
            </w:r>
          </w:p>
        </w:tc>
      </w:tr>
      <w:tr w:rsidR="003B5CDA" w:rsidRPr="00D72304" w14:paraId="4E045D8D" w14:textId="77777777" w:rsidTr="00CA3517">
        <w:tc>
          <w:tcPr>
            <w:tcW w:w="4428" w:type="dxa"/>
          </w:tcPr>
          <w:p w14:paraId="156EBFC3" w14:textId="77777777" w:rsidR="003B5CDA" w:rsidRPr="005B4642" w:rsidRDefault="003B5CDA" w:rsidP="0089771B">
            <w:pPr>
              <w:pStyle w:val="Default"/>
              <w:rPr>
                <w:sz w:val="22"/>
                <w:szCs w:val="22"/>
                <w:lang w:val="en-US"/>
              </w:rPr>
            </w:pPr>
            <w:r w:rsidRPr="0089771B">
              <w:rPr>
                <w:sz w:val="22"/>
                <w:szCs w:val="22"/>
                <w:lang w:val="sk"/>
              </w:rPr>
              <w:t>Poruchy kostrovej a svalovej sústavy a spojivového tkaniva</w:t>
            </w:r>
          </w:p>
        </w:tc>
        <w:tc>
          <w:tcPr>
            <w:tcW w:w="4751" w:type="dxa"/>
          </w:tcPr>
          <w:p w14:paraId="54BF67F7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  <w:lang w:val="pt-PT"/>
              </w:rPr>
            </w:pPr>
            <w:r w:rsidRPr="0089771B">
              <w:rPr>
                <w:sz w:val="22"/>
                <w:szCs w:val="22"/>
                <w:lang w:val="sk"/>
              </w:rPr>
              <w:t>Bolesť chrbta, bolesť v končatinách</w:t>
            </w:r>
          </w:p>
        </w:tc>
      </w:tr>
      <w:tr w:rsidR="003B5CDA" w:rsidRPr="0089771B" w14:paraId="78C26F39" w14:textId="77777777" w:rsidTr="00CA3517">
        <w:tc>
          <w:tcPr>
            <w:tcW w:w="4428" w:type="dxa"/>
          </w:tcPr>
          <w:p w14:paraId="1885B681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  <w:lang w:val="en-US"/>
              </w:rPr>
            </w:pPr>
            <w:r w:rsidRPr="0089771B">
              <w:rPr>
                <w:sz w:val="22"/>
                <w:szCs w:val="22"/>
                <w:lang w:val="sk"/>
              </w:rPr>
              <w:t>Poruchy obličiek a močových ciest</w:t>
            </w:r>
          </w:p>
        </w:tc>
        <w:tc>
          <w:tcPr>
            <w:tcW w:w="4751" w:type="dxa"/>
          </w:tcPr>
          <w:p w14:paraId="5CB722E4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(Akútne) zlyhanie obličiek</w:t>
            </w:r>
          </w:p>
        </w:tc>
      </w:tr>
      <w:tr w:rsidR="003B5CDA" w:rsidRPr="00D72304" w14:paraId="6FC3C99F" w14:textId="77777777" w:rsidTr="00CA3517">
        <w:tc>
          <w:tcPr>
            <w:tcW w:w="4428" w:type="dxa"/>
          </w:tcPr>
          <w:p w14:paraId="5631DB36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  <w:lang w:val="pt-PT"/>
              </w:rPr>
            </w:pPr>
            <w:r w:rsidRPr="0089771B">
              <w:rPr>
                <w:sz w:val="22"/>
                <w:szCs w:val="22"/>
                <w:lang w:val="sk"/>
              </w:rPr>
              <w:t>Celkové poruchy a reakcie v mieste podania</w:t>
            </w:r>
          </w:p>
        </w:tc>
        <w:tc>
          <w:tcPr>
            <w:tcW w:w="4751" w:type="dxa"/>
          </w:tcPr>
          <w:p w14:paraId="51B38A0C" w14:textId="6CD9953A" w:rsidR="003B5CDA" w:rsidRPr="0089771B" w:rsidRDefault="00AF1D42" w:rsidP="0089771B">
            <w:pPr>
              <w:pStyle w:val="Default"/>
              <w:rPr>
                <w:sz w:val="22"/>
                <w:szCs w:val="22"/>
                <w:lang w:val="pt-PT"/>
              </w:rPr>
            </w:pPr>
            <w:r w:rsidRPr="0089771B">
              <w:rPr>
                <w:sz w:val="22"/>
                <w:szCs w:val="22"/>
                <w:lang w:val="sk"/>
              </w:rPr>
              <w:t xml:space="preserve">Bolesť hrudníka, </w:t>
            </w:r>
            <w:r w:rsidR="00A21CF7">
              <w:rPr>
                <w:sz w:val="22"/>
                <w:szCs w:val="22"/>
                <w:lang w:val="sk"/>
              </w:rPr>
              <w:t>diskomfort na</w:t>
            </w:r>
            <w:r w:rsidRPr="0089771B">
              <w:rPr>
                <w:sz w:val="22"/>
                <w:szCs w:val="22"/>
                <w:lang w:val="sk"/>
              </w:rPr>
              <w:t xml:space="preserve"> hrudi, návaly horúčavy, hypertyreóza, zvýšené potenie, chrípkové ochorenie, malátnosť</w:t>
            </w:r>
          </w:p>
        </w:tc>
      </w:tr>
      <w:tr w:rsidR="003B5CDA" w:rsidRPr="0089771B" w14:paraId="1E1DD052" w14:textId="77777777" w:rsidTr="00CA3517">
        <w:trPr>
          <w:trHeight w:val="221"/>
        </w:trPr>
        <w:tc>
          <w:tcPr>
            <w:tcW w:w="4428" w:type="dxa"/>
          </w:tcPr>
          <w:p w14:paraId="451ABBBE" w14:textId="77777777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Laboratórne a funkčné vyšetrenia</w:t>
            </w:r>
          </w:p>
        </w:tc>
        <w:tc>
          <w:tcPr>
            <w:tcW w:w="4751" w:type="dxa"/>
          </w:tcPr>
          <w:p w14:paraId="2DA13FEA" w14:textId="6C0A9C25" w:rsidR="003B5CDA" w:rsidRPr="0089771B" w:rsidRDefault="003B5CDA" w:rsidP="0089771B">
            <w:pPr>
              <w:pStyle w:val="Default"/>
              <w:rPr>
                <w:sz w:val="22"/>
                <w:szCs w:val="22"/>
              </w:rPr>
            </w:pPr>
            <w:r w:rsidRPr="0089771B">
              <w:rPr>
                <w:sz w:val="22"/>
                <w:szCs w:val="22"/>
                <w:lang w:val="sk"/>
              </w:rPr>
              <w:t>Zvýš</w:t>
            </w:r>
            <w:r w:rsidR="005316BC">
              <w:rPr>
                <w:sz w:val="22"/>
                <w:szCs w:val="22"/>
                <w:lang w:val="sk"/>
              </w:rPr>
              <w:t>ené hladiny</w:t>
            </w:r>
            <w:r w:rsidRPr="0089771B">
              <w:rPr>
                <w:sz w:val="22"/>
                <w:szCs w:val="22"/>
                <w:lang w:val="sk"/>
              </w:rPr>
              <w:t xml:space="preserve"> pečeňový</w:t>
            </w:r>
            <w:r w:rsidR="005316BC">
              <w:rPr>
                <w:sz w:val="22"/>
                <w:szCs w:val="22"/>
                <w:lang w:val="sk"/>
              </w:rPr>
              <w:t>ch</w:t>
            </w:r>
            <w:r w:rsidRPr="0089771B">
              <w:rPr>
                <w:sz w:val="22"/>
                <w:szCs w:val="22"/>
                <w:lang w:val="sk"/>
              </w:rPr>
              <w:t xml:space="preserve"> enzým</w:t>
            </w:r>
            <w:r w:rsidR="005316BC">
              <w:rPr>
                <w:sz w:val="22"/>
                <w:szCs w:val="22"/>
                <w:lang w:val="sk"/>
              </w:rPr>
              <w:t>ov</w:t>
            </w:r>
            <w:r w:rsidRPr="0089771B">
              <w:rPr>
                <w:sz w:val="22"/>
                <w:szCs w:val="22"/>
                <w:lang w:val="sk"/>
              </w:rPr>
              <w:t xml:space="preserve">, falošne pozitívna </w:t>
            </w:r>
            <w:r w:rsidR="005316BC">
              <w:rPr>
                <w:sz w:val="22"/>
                <w:szCs w:val="22"/>
                <w:lang w:val="sk"/>
              </w:rPr>
              <w:t>hladina</w:t>
            </w:r>
            <w:r w:rsidRPr="0089771B">
              <w:rPr>
                <w:sz w:val="22"/>
                <w:szCs w:val="22"/>
                <w:lang w:val="sk"/>
              </w:rPr>
              <w:t xml:space="preserve"> glukózy v krvi</w:t>
            </w:r>
          </w:p>
        </w:tc>
      </w:tr>
    </w:tbl>
    <w:p w14:paraId="78CDAB3C" w14:textId="77777777" w:rsidR="00D45C9E" w:rsidRPr="0089771B" w:rsidRDefault="00D45C9E" w:rsidP="0089771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52F07A6" w14:textId="77777777" w:rsidR="00FD7C97" w:rsidRPr="0089771B" w:rsidRDefault="00FD7C97" w:rsidP="0089771B">
      <w:pPr>
        <w:keepNext/>
        <w:spacing w:after="0" w:line="240" w:lineRule="auto"/>
        <w:rPr>
          <w:rFonts w:ascii="Times New Roman" w:hAnsi="Times New Roman" w:cs="Times New Roman"/>
          <w:u w:val="single"/>
        </w:rPr>
      </w:pPr>
      <w:r w:rsidRPr="0089771B">
        <w:rPr>
          <w:rFonts w:ascii="Times New Roman" w:hAnsi="Times New Roman" w:cs="Times New Roman"/>
          <w:u w:val="single"/>
          <w:lang w:val="sk"/>
        </w:rPr>
        <w:t>Pediatrická populácia</w:t>
      </w:r>
    </w:p>
    <w:p w14:paraId="78451FAD" w14:textId="77777777" w:rsidR="00FD7C97" w:rsidRPr="0089771B" w:rsidRDefault="00FD7C97" w:rsidP="0089771B">
      <w:pPr>
        <w:spacing w:after="0" w:line="240" w:lineRule="auto"/>
        <w:rPr>
          <w:rFonts w:ascii="Times New Roman" w:hAnsi="Times New Roman" w:cs="Times New Roman"/>
        </w:rPr>
      </w:pPr>
      <w:r w:rsidRPr="0089771B">
        <w:rPr>
          <w:rFonts w:ascii="Times New Roman" w:hAnsi="Times New Roman" w:cs="Times New Roman"/>
          <w:lang w:val="sk"/>
        </w:rPr>
        <w:t>Frekvencia, typ a závažnosť nežiaducich reakcií u detí sa očakávajú rovnaké ako u dospelých.</w:t>
      </w:r>
    </w:p>
    <w:p w14:paraId="0AE3019E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</w:rPr>
      </w:pPr>
    </w:p>
    <w:p w14:paraId="0EDD2EC8" w14:textId="77777777" w:rsidR="00FD7C97" w:rsidRPr="0089771B" w:rsidRDefault="00FD7C97" w:rsidP="0089771B">
      <w:pPr>
        <w:keepNext/>
        <w:spacing w:after="0" w:line="240" w:lineRule="auto"/>
        <w:rPr>
          <w:rFonts w:ascii="Times New Roman" w:hAnsi="Times New Roman" w:cs="Times New Roman"/>
          <w:u w:val="single"/>
        </w:rPr>
      </w:pPr>
      <w:r w:rsidRPr="0089771B">
        <w:rPr>
          <w:rFonts w:ascii="Times New Roman" w:hAnsi="Times New Roman" w:cs="Times New Roman"/>
          <w:u w:val="single"/>
          <w:lang w:val="sk"/>
        </w:rPr>
        <w:t>Hlásenie podozrení na nežiaduce reakcie</w:t>
      </w:r>
    </w:p>
    <w:p w14:paraId="22CBD7D7" w14:textId="04516C9D" w:rsidR="00482702" w:rsidRPr="00482702" w:rsidRDefault="00CC16DC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 xml:space="preserve">Hlásenie podozrení na nežiaduce reakcie po registrácii lieku je dôležité. Umožňuje priebežné monitorovanie pomeru prínosu a rizika lieku. Od zdravotníckych pracovníkov sa vyžaduje, aby hlásili </w:t>
      </w:r>
      <w:r w:rsidRPr="00482702">
        <w:rPr>
          <w:rFonts w:ascii="Times New Roman" w:hAnsi="Times New Roman" w:cs="Times New Roman"/>
          <w:lang w:val="sk"/>
        </w:rPr>
        <w:t xml:space="preserve">akékoľvek podozrenia na nežiaduce reakcie na </w:t>
      </w:r>
      <w:r w:rsidR="00482702" w:rsidRPr="00482702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10" w:history="1">
        <w:r w:rsidR="00482702" w:rsidRPr="00482702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482702" w:rsidRPr="00482702">
        <w:rPr>
          <w:rFonts w:ascii="Times New Roman" w:hAnsi="Times New Roman" w:cs="Times New Roman"/>
          <w:lang w:val="sk-SK"/>
        </w:rPr>
        <w:t>.</w:t>
      </w:r>
    </w:p>
    <w:p w14:paraId="4E7EDF83" w14:textId="77777777" w:rsidR="003169D1" w:rsidRPr="0089771B" w:rsidRDefault="003169D1" w:rsidP="0089771B">
      <w:pPr>
        <w:pStyle w:val="Bezriadkovania"/>
        <w:rPr>
          <w:rFonts w:ascii="Times New Roman" w:hAnsi="Times New Roman" w:cs="Times New Roman"/>
          <w:lang w:val="sk"/>
        </w:rPr>
      </w:pPr>
    </w:p>
    <w:p w14:paraId="160497AF" w14:textId="36779044" w:rsidR="00FD7C97" w:rsidRPr="0089771B" w:rsidRDefault="00FD7C97" w:rsidP="0089771B">
      <w:pPr>
        <w:pStyle w:val="Formatvorlageberschrift2AutomatischBlock"/>
        <w:keepLines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4.9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Predávkovanie</w:t>
      </w:r>
    </w:p>
    <w:p w14:paraId="74517DFA" w14:textId="77777777" w:rsidR="003169D1" w:rsidRPr="0089771B" w:rsidRDefault="003169D1" w:rsidP="0089771B">
      <w:pPr>
        <w:keepNext/>
        <w:keepLines/>
        <w:spacing w:after="0" w:line="240" w:lineRule="auto"/>
        <w:rPr>
          <w:rFonts w:ascii="Times New Roman" w:hAnsi="Times New Roman" w:cs="Times New Roman"/>
          <w:lang w:val="sk"/>
        </w:rPr>
      </w:pPr>
    </w:p>
    <w:p w14:paraId="493BD430" w14:textId="77777777" w:rsidR="00FD7C97" w:rsidRPr="0089771B" w:rsidRDefault="00FD7C97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>Dôsledky predávkovania nie sú známe.</w:t>
      </w:r>
    </w:p>
    <w:p w14:paraId="2CA7491B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28AC6554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17481772" w14:textId="4A4378F9" w:rsidR="00FD7C97" w:rsidRPr="0089771B" w:rsidRDefault="003169D1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sz w:val="22"/>
          <w:szCs w:val="22"/>
          <w:lang w:val="sk"/>
        </w:rPr>
        <w:t>5.</w:t>
      </w:r>
      <w:r w:rsidRPr="0089771B">
        <w:rPr>
          <w:rFonts w:cs="Times New Roman"/>
          <w:sz w:val="22"/>
          <w:szCs w:val="22"/>
          <w:lang w:val="sk"/>
        </w:rPr>
        <w:tab/>
        <w:t>FARMAKOLOGICKÉ VLASTNOSTI</w:t>
      </w:r>
    </w:p>
    <w:p w14:paraId="0060908A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43B83A5E" w14:textId="4BEEE508" w:rsidR="00FD7C97" w:rsidRPr="0089771B" w:rsidRDefault="003169D1" w:rsidP="0089771B">
      <w:pPr>
        <w:pStyle w:val="Formatvorlageberschrift2AutomatischBlock"/>
        <w:tabs>
          <w:tab w:val="clear" w:pos="720"/>
          <w:tab w:val="left" w:pos="0"/>
          <w:tab w:val="num" w:pos="567"/>
          <w:tab w:val="left" w:pos="6915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5.1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Farmakodynamické vlastnosti</w:t>
      </w:r>
    </w:p>
    <w:p w14:paraId="25039EDF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0DA40CB5" w14:textId="18CF1E07" w:rsidR="00FD7C97" w:rsidRPr="0089771B" w:rsidRDefault="00FD7C97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>Farmakoterapeutická skupina: imun</w:t>
      </w:r>
      <w:r w:rsidR="00FE548E" w:rsidRPr="0089771B">
        <w:rPr>
          <w:rFonts w:ascii="Times New Roman" w:hAnsi="Times New Roman" w:cs="Times New Roman"/>
          <w:lang w:val="sk"/>
        </w:rPr>
        <w:t>o</w:t>
      </w:r>
      <w:r w:rsidRPr="0089771B">
        <w:rPr>
          <w:rFonts w:ascii="Times New Roman" w:hAnsi="Times New Roman" w:cs="Times New Roman"/>
          <w:lang w:val="sk"/>
        </w:rPr>
        <w:t>séra a imunoglobulíny: imunoglobulíny, normálne ľudské</w:t>
      </w:r>
      <w:r w:rsidR="005316BC">
        <w:rPr>
          <w:rFonts w:ascii="Times New Roman" w:hAnsi="Times New Roman" w:cs="Times New Roman"/>
          <w:lang w:val="sk"/>
        </w:rPr>
        <w:t xml:space="preserve"> imunoglobulíny</w:t>
      </w:r>
      <w:r w:rsidRPr="0089771B">
        <w:rPr>
          <w:rFonts w:ascii="Times New Roman" w:hAnsi="Times New Roman" w:cs="Times New Roman"/>
          <w:lang w:val="sk"/>
        </w:rPr>
        <w:t xml:space="preserve"> na </w:t>
      </w:r>
      <w:r w:rsidR="00F528FF">
        <w:rPr>
          <w:rFonts w:ascii="Times New Roman" w:hAnsi="Times New Roman" w:cs="Times New Roman"/>
          <w:lang w:val="sk"/>
        </w:rPr>
        <w:t>extravenózne</w:t>
      </w:r>
      <w:r w:rsidR="00F528FF" w:rsidRPr="0089771B">
        <w:rPr>
          <w:rFonts w:ascii="Times New Roman" w:hAnsi="Times New Roman" w:cs="Times New Roman"/>
          <w:lang w:val="sk"/>
        </w:rPr>
        <w:t xml:space="preserve"> </w:t>
      </w:r>
      <w:r w:rsidR="005316BC">
        <w:rPr>
          <w:rFonts w:ascii="Times New Roman" w:hAnsi="Times New Roman" w:cs="Times New Roman"/>
          <w:lang w:val="sk"/>
        </w:rPr>
        <w:t>použitie</w:t>
      </w:r>
      <w:r w:rsidRPr="0089771B">
        <w:rPr>
          <w:rFonts w:ascii="Times New Roman" w:hAnsi="Times New Roman" w:cs="Times New Roman"/>
          <w:lang w:val="sk"/>
        </w:rPr>
        <w:t>, ATC kód: J06BA01.</w:t>
      </w:r>
    </w:p>
    <w:p w14:paraId="1DF51520" w14:textId="77777777" w:rsidR="003169D1" w:rsidRPr="0089771B" w:rsidRDefault="003169D1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69882616" w14:textId="42D8CE21" w:rsidR="00FD7C97" w:rsidRPr="0089771B" w:rsidRDefault="00FD7C97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>Normálny ľudský imunoglobulín obsahuje hlavne imunoglobulín G (IgG) so širokým spektrom protilátok proti infekčným agen</w:t>
      </w:r>
      <w:r w:rsidR="005316BC">
        <w:rPr>
          <w:rFonts w:ascii="Times New Roman" w:hAnsi="Times New Roman" w:cs="Times New Roman"/>
          <w:lang w:val="sk"/>
        </w:rPr>
        <w:t>s</w:t>
      </w:r>
      <w:r w:rsidRPr="0089771B">
        <w:rPr>
          <w:rFonts w:ascii="Times New Roman" w:hAnsi="Times New Roman" w:cs="Times New Roman"/>
          <w:lang w:val="sk"/>
        </w:rPr>
        <w:t>.</w:t>
      </w:r>
    </w:p>
    <w:p w14:paraId="3475233C" w14:textId="77777777" w:rsidR="00FB1A76" w:rsidRPr="0089771B" w:rsidRDefault="00FB1A76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272A0BE3" w14:textId="3BA7C731" w:rsidR="00FD7C97" w:rsidRPr="0089771B" w:rsidRDefault="005316BC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>
        <w:rPr>
          <w:rFonts w:ascii="Times New Roman" w:hAnsi="Times New Roman" w:cs="Times New Roman"/>
          <w:lang w:val="sk"/>
        </w:rPr>
        <w:t>N</w:t>
      </w:r>
      <w:r w:rsidR="00FD7C97" w:rsidRPr="0089771B">
        <w:rPr>
          <w:rFonts w:ascii="Times New Roman" w:hAnsi="Times New Roman" w:cs="Times New Roman"/>
          <w:lang w:val="sk"/>
        </w:rPr>
        <w:t>ormálny</w:t>
      </w:r>
      <w:r>
        <w:rPr>
          <w:rFonts w:ascii="Times New Roman" w:hAnsi="Times New Roman" w:cs="Times New Roman"/>
          <w:lang w:val="sk"/>
        </w:rPr>
        <w:t xml:space="preserve"> ľudský</w:t>
      </w:r>
      <w:r w:rsidR="00FD7C97" w:rsidRPr="0089771B">
        <w:rPr>
          <w:rFonts w:ascii="Times New Roman" w:hAnsi="Times New Roman" w:cs="Times New Roman"/>
          <w:lang w:val="sk"/>
        </w:rPr>
        <w:t xml:space="preserve"> imunoglobulín obsahuje IgG protilátky prítomné v normálnej populácii. Zvyčajne sa pripravuje zo združenej plazmy od nie menej ako 1000 darcov. Má </w:t>
      </w:r>
      <w:r w:rsidR="00894630">
        <w:rPr>
          <w:rFonts w:ascii="Times New Roman" w:hAnsi="Times New Roman" w:cs="Times New Roman"/>
          <w:lang w:val="sk"/>
        </w:rPr>
        <w:t>zastúpenie</w:t>
      </w:r>
      <w:r w:rsidR="00FD7C97" w:rsidRPr="0089771B">
        <w:rPr>
          <w:rFonts w:ascii="Times New Roman" w:hAnsi="Times New Roman" w:cs="Times New Roman"/>
          <w:lang w:val="sk"/>
        </w:rPr>
        <w:t xml:space="preserve"> podtried imunoglobulínu G </w:t>
      </w:r>
      <w:r w:rsidR="00894630">
        <w:rPr>
          <w:rFonts w:ascii="Times New Roman" w:hAnsi="Times New Roman" w:cs="Times New Roman"/>
          <w:lang w:val="sk"/>
        </w:rPr>
        <w:t>proporcionálne podobné zastúpeniu</w:t>
      </w:r>
      <w:r w:rsidR="00FD7C97" w:rsidRPr="0089771B">
        <w:rPr>
          <w:rFonts w:ascii="Times New Roman" w:hAnsi="Times New Roman" w:cs="Times New Roman"/>
          <w:lang w:val="sk"/>
        </w:rPr>
        <w:t xml:space="preserve"> v natívnej ľudskej plazme. Adekvátne dávky tohto lieku môžu obnoviť abnormálne n</w:t>
      </w:r>
      <w:r w:rsidR="00CA3517" w:rsidRPr="0089771B">
        <w:rPr>
          <w:rFonts w:ascii="Times New Roman" w:hAnsi="Times New Roman" w:cs="Times New Roman"/>
          <w:lang w:val="sk"/>
        </w:rPr>
        <w:t>ízke hladiny</w:t>
      </w:r>
      <w:r>
        <w:rPr>
          <w:rFonts w:ascii="Times New Roman" w:hAnsi="Times New Roman" w:cs="Times New Roman"/>
          <w:lang w:val="sk"/>
        </w:rPr>
        <w:t xml:space="preserve"> </w:t>
      </w:r>
      <w:r w:rsidR="00CA3517" w:rsidRPr="0089771B">
        <w:rPr>
          <w:rFonts w:ascii="Times New Roman" w:hAnsi="Times New Roman" w:cs="Times New Roman"/>
          <w:lang w:val="sk"/>
        </w:rPr>
        <w:t>imunoglobulínu G </w:t>
      </w:r>
      <w:r w:rsidR="00894630">
        <w:rPr>
          <w:rFonts w:ascii="Times New Roman" w:hAnsi="Times New Roman" w:cs="Times New Roman"/>
          <w:lang w:val="sk"/>
        </w:rPr>
        <w:t>na</w:t>
      </w:r>
      <w:r w:rsidR="00CA3517" w:rsidRPr="0089771B">
        <w:rPr>
          <w:rFonts w:ascii="Times New Roman" w:hAnsi="Times New Roman" w:cs="Times New Roman"/>
          <w:lang w:val="sk"/>
        </w:rPr>
        <w:t> </w:t>
      </w:r>
      <w:r w:rsidR="00FD7C97" w:rsidRPr="0089771B">
        <w:rPr>
          <w:rFonts w:ascii="Times New Roman" w:hAnsi="Times New Roman" w:cs="Times New Roman"/>
          <w:lang w:val="sk"/>
        </w:rPr>
        <w:t>normáln</w:t>
      </w:r>
      <w:r w:rsidR="00894630">
        <w:rPr>
          <w:rFonts w:ascii="Times New Roman" w:hAnsi="Times New Roman" w:cs="Times New Roman"/>
          <w:lang w:val="sk"/>
        </w:rPr>
        <w:t>u</w:t>
      </w:r>
      <w:r w:rsidR="00FD7C97" w:rsidRPr="0089771B">
        <w:rPr>
          <w:rFonts w:ascii="Times New Roman" w:hAnsi="Times New Roman" w:cs="Times New Roman"/>
          <w:lang w:val="sk"/>
        </w:rPr>
        <w:t xml:space="preserve"> </w:t>
      </w:r>
      <w:r w:rsidR="00894630">
        <w:rPr>
          <w:rFonts w:ascii="Times New Roman" w:hAnsi="Times New Roman" w:cs="Times New Roman"/>
          <w:lang w:val="sk"/>
        </w:rPr>
        <w:t>úroveň</w:t>
      </w:r>
      <w:r w:rsidR="00FD7C97" w:rsidRPr="0089771B">
        <w:rPr>
          <w:rFonts w:ascii="Times New Roman" w:hAnsi="Times New Roman" w:cs="Times New Roman"/>
          <w:lang w:val="sk"/>
        </w:rPr>
        <w:t>.</w:t>
      </w:r>
    </w:p>
    <w:p w14:paraId="0CD572B1" w14:textId="77777777" w:rsidR="00FB1A76" w:rsidRPr="0089771B" w:rsidRDefault="00FB1A76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</w:p>
    <w:p w14:paraId="1316BA8A" w14:textId="42505CF5" w:rsidR="00F62804" w:rsidRPr="0089771B" w:rsidRDefault="00F62804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 xml:space="preserve">V klinickej štúdii bolo spolu s liekom </w:t>
      </w:r>
      <w:r w:rsidR="00283087">
        <w:rPr>
          <w:rFonts w:ascii="Times New Roman" w:hAnsi="Times New Roman" w:cs="Times New Roman"/>
          <w:lang w:val="sk"/>
        </w:rPr>
        <w:t>CUTAQUIG</w:t>
      </w:r>
      <w:r w:rsidRPr="0089771B">
        <w:rPr>
          <w:rFonts w:ascii="Times New Roman" w:hAnsi="Times New Roman" w:cs="Times New Roman"/>
          <w:lang w:val="sk"/>
        </w:rPr>
        <w:t xml:space="preserve"> liečených celkovo 60 subjektov s primárnou imunodeficienciou počas 64 týždňov. Priemerná podávaná dávka každý týždeň bola 0,176 (0,134-0,185) g/kg. Pacienti dostali celkovo 3534 </w:t>
      </w:r>
      <w:r w:rsidR="00283087">
        <w:rPr>
          <w:rFonts w:ascii="Times New Roman" w:hAnsi="Times New Roman" w:cs="Times New Roman"/>
          <w:lang w:val="sk"/>
        </w:rPr>
        <w:t>CUTAQUIG</w:t>
      </w:r>
      <w:r w:rsidRPr="0089771B">
        <w:rPr>
          <w:rFonts w:ascii="Times New Roman" w:hAnsi="Times New Roman" w:cs="Times New Roman"/>
          <w:lang w:val="sk"/>
        </w:rPr>
        <w:t xml:space="preserve"> infúzií</w:t>
      </w:r>
      <w:r w:rsidR="00894630">
        <w:rPr>
          <w:rFonts w:ascii="Times New Roman" w:hAnsi="Times New Roman" w:cs="Times New Roman"/>
          <w:lang w:val="sk"/>
        </w:rPr>
        <w:t xml:space="preserve"> </w:t>
      </w:r>
      <w:r w:rsidR="00894630" w:rsidRPr="0089771B">
        <w:rPr>
          <w:rFonts w:ascii="Times New Roman" w:hAnsi="Times New Roman" w:cs="Times New Roman"/>
          <w:lang w:val="sk"/>
        </w:rPr>
        <w:t>týždenne</w:t>
      </w:r>
      <w:r w:rsidRPr="0089771B">
        <w:rPr>
          <w:rFonts w:ascii="Times New Roman" w:hAnsi="Times New Roman" w:cs="Times New Roman"/>
          <w:lang w:val="sk"/>
        </w:rPr>
        <w:t>.</w:t>
      </w:r>
    </w:p>
    <w:p w14:paraId="69FF0703" w14:textId="367CB662" w:rsidR="003256C4" w:rsidRPr="0089771B" w:rsidRDefault="003256C4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Týždennou infúziou od 2. týždňa sa minimálna hladina </w:t>
      </w:r>
      <w:r w:rsidR="004751C3">
        <w:rPr>
          <w:sz w:val="22"/>
          <w:szCs w:val="22"/>
          <w:lang w:val="sk"/>
        </w:rPr>
        <w:t xml:space="preserve">pohybovala </w:t>
      </w:r>
      <w:r w:rsidRPr="0089771B">
        <w:rPr>
          <w:sz w:val="22"/>
          <w:szCs w:val="22"/>
          <w:lang w:val="sk"/>
        </w:rPr>
        <w:t>v rozmedzí od 6,1 do 8,4 g/l. Stredná hodnota C</w:t>
      </w:r>
      <w:r w:rsidRPr="0089771B">
        <w:rPr>
          <w:sz w:val="22"/>
          <w:szCs w:val="22"/>
          <w:vertAlign w:val="subscript"/>
          <w:lang w:val="sk"/>
        </w:rPr>
        <w:t xml:space="preserve">max </w:t>
      </w:r>
      <w:r w:rsidRPr="0089771B">
        <w:rPr>
          <w:sz w:val="22"/>
          <w:szCs w:val="22"/>
          <w:lang w:val="sk"/>
        </w:rPr>
        <w:t>bola 13,5 g/l a bola dosiahnutá po mediáne 2,02 dňa.</w:t>
      </w:r>
    </w:p>
    <w:p w14:paraId="77BCF7D8" w14:textId="200B089C" w:rsidR="008A6016" w:rsidRPr="0089771B" w:rsidRDefault="008A6016" w:rsidP="00897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 xml:space="preserve">Počas klinickej štúdie neboli hlásené žiadne </w:t>
      </w:r>
      <w:r w:rsidR="00E1394F">
        <w:rPr>
          <w:rFonts w:ascii="Times New Roman" w:hAnsi="Times New Roman" w:cs="Times New Roman"/>
          <w:lang w:val="sk"/>
        </w:rPr>
        <w:t>zá</w:t>
      </w:r>
      <w:r w:rsidRPr="0089771B">
        <w:rPr>
          <w:rFonts w:ascii="Times New Roman" w:hAnsi="Times New Roman" w:cs="Times New Roman"/>
          <w:lang w:val="sk"/>
        </w:rPr>
        <w:t xml:space="preserve">vážne bakteriálne infekcie ani počas obdobia prania / vymytia, ani počas obdobia účinnosti u pacientov užívajúcich </w:t>
      </w:r>
      <w:r w:rsidR="00283087">
        <w:rPr>
          <w:rFonts w:ascii="Times New Roman" w:hAnsi="Times New Roman" w:cs="Times New Roman"/>
          <w:lang w:val="sk"/>
        </w:rPr>
        <w:t>CUTAQUIG</w:t>
      </w:r>
      <w:r w:rsidRPr="0089771B">
        <w:rPr>
          <w:rFonts w:ascii="Times New Roman" w:hAnsi="Times New Roman" w:cs="Times New Roman"/>
          <w:lang w:val="sk"/>
        </w:rPr>
        <w:t>.</w:t>
      </w:r>
    </w:p>
    <w:p w14:paraId="277D200B" w14:textId="77777777" w:rsidR="00D45C9E" w:rsidRPr="0089771B" w:rsidRDefault="00D45C9E" w:rsidP="0089771B">
      <w:pPr>
        <w:pStyle w:val="Default"/>
        <w:rPr>
          <w:sz w:val="22"/>
          <w:szCs w:val="22"/>
          <w:lang w:val="sk"/>
        </w:rPr>
      </w:pPr>
    </w:p>
    <w:p w14:paraId="0643022B" w14:textId="1C92F9CA" w:rsidR="00D45C9E" w:rsidRPr="0089771B" w:rsidRDefault="00FB1A76" w:rsidP="0089771B">
      <w:pPr>
        <w:keepNext/>
        <w:spacing w:after="0"/>
        <w:rPr>
          <w:rFonts w:ascii="Times New Roman" w:hAnsi="Times New Roman" w:cs="Times New Roman"/>
          <w:u w:val="single"/>
          <w:lang w:val="sk"/>
        </w:rPr>
      </w:pPr>
      <w:r w:rsidRPr="0089771B">
        <w:rPr>
          <w:rFonts w:ascii="Times New Roman" w:hAnsi="Times New Roman" w:cs="Times New Roman"/>
          <w:u w:val="single"/>
          <w:lang w:val="sk"/>
        </w:rPr>
        <w:t>Pediatrická populácia</w:t>
      </w:r>
    </w:p>
    <w:p w14:paraId="53B6D9A0" w14:textId="7D039BA8" w:rsidR="00D45C9E" w:rsidRPr="0089771B" w:rsidRDefault="00D45C9E" w:rsidP="0089771B">
      <w:pPr>
        <w:spacing w:after="0" w:line="240" w:lineRule="auto"/>
        <w:rPr>
          <w:rFonts w:ascii="Times New Roman" w:hAnsi="Times New Roman" w:cs="Times New Roman"/>
          <w:lang w:val="sk"/>
        </w:rPr>
      </w:pPr>
      <w:r w:rsidRPr="0089771B">
        <w:rPr>
          <w:rFonts w:ascii="Times New Roman" w:hAnsi="Times New Roman" w:cs="Times New Roman"/>
          <w:lang w:val="sk"/>
        </w:rPr>
        <w:t>Neboli pozorované žiadne rozdiely vo farmakodynamických vlastnostiach medzi dospelými a pediatrickými pacientmi.</w:t>
      </w:r>
    </w:p>
    <w:p w14:paraId="2B6F593B" w14:textId="77777777" w:rsidR="003169D1" w:rsidRPr="0089771B" w:rsidRDefault="003169D1" w:rsidP="0089771B">
      <w:pPr>
        <w:spacing w:after="0"/>
        <w:rPr>
          <w:rFonts w:ascii="Times New Roman" w:hAnsi="Times New Roman" w:cs="Times New Roman"/>
          <w:lang w:val="sk"/>
        </w:rPr>
      </w:pPr>
    </w:p>
    <w:p w14:paraId="28C7BD32" w14:textId="4B52178D" w:rsidR="00FD7C97" w:rsidRPr="0089771B" w:rsidRDefault="003169D1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5.2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Farmakokinetické vlastnosti</w:t>
      </w:r>
    </w:p>
    <w:p w14:paraId="69BF03B9" w14:textId="77777777" w:rsidR="003169D1" w:rsidRPr="0089771B" w:rsidRDefault="003169D1" w:rsidP="0089771B">
      <w:pPr>
        <w:pStyle w:val="Default"/>
        <w:rPr>
          <w:sz w:val="22"/>
          <w:szCs w:val="22"/>
          <w:lang w:val="sk"/>
        </w:rPr>
      </w:pPr>
    </w:p>
    <w:p w14:paraId="11B1FA7D" w14:textId="77777777" w:rsidR="00EC0C42" w:rsidRPr="0089771B" w:rsidRDefault="00EC0C42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Absorpcia a distribúcia</w:t>
      </w:r>
    </w:p>
    <w:p w14:paraId="73E34049" w14:textId="625607D6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Po subkutánnom podaní lieku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 xml:space="preserve"> sa maximálne sérové hladiny dosiahnu po približne 2 dňoch.</w:t>
      </w:r>
    </w:p>
    <w:p w14:paraId="296095BA" w14:textId="77777777" w:rsidR="00EC0C42" w:rsidRPr="0089771B" w:rsidRDefault="00EC0C42" w:rsidP="0089771B">
      <w:pPr>
        <w:pStyle w:val="Default"/>
        <w:rPr>
          <w:sz w:val="22"/>
          <w:szCs w:val="22"/>
          <w:lang w:val="sk"/>
        </w:rPr>
      </w:pPr>
    </w:p>
    <w:p w14:paraId="795CBC96" w14:textId="77777777" w:rsidR="00EC0C42" w:rsidRPr="0089771B" w:rsidRDefault="00EC0C42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Eliminácia</w:t>
      </w:r>
    </w:p>
    <w:p w14:paraId="75BBB349" w14:textId="1A3ECC07" w:rsidR="009463F6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Komplexy IgG a IgG sú rozdelené do buniek retikuloendotelového systému.</w:t>
      </w:r>
    </w:p>
    <w:p w14:paraId="3CD9EDD5" w14:textId="77777777" w:rsidR="00D45C9E" w:rsidRPr="0089771B" w:rsidRDefault="00D45C9E" w:rsidP="0089771B">
      <w:pPr>
        <w:pStyle w:val="Default"/>
        <w:rPr>
          <w:sz w:val="22"/>
          <w:szCs w:val="22"/>
          <w:lang w:val="sk"/>
        </w:rPr>
      </w:pPr>
    </w:p>
    <w:p w14:paraId="0F85D707" w14:textId="7625E6BB" w:rsidR="00D45C9E" w:rsidRPr="0089771B" w:rsidRDefault="00D45C9E" w:rsidP="0089771B">
      <w:pPr>
        <w:pStyle w:val="Default"/>
        <w:keepNext/>
        <w:rPr>
          <w:sz w:val="22"/>
          <w:szCs w:val="22"/>
          <w:u w:val="single"/>
          <w:lang w:val="sk"/>
        </w:rPr>
      </w:pPr>
      <w:r w:rsidRPr="0089771B">
        <w:rPr>
          <w:sz w:val="22"/>
          <w:szCs w:val="22"/>
          <w:u w:val="single"/>
          <w:lang w:val="sk"/>
        </w:rPr>
        <w:t>Pediatrická populácia</w:t>
      </w:r>
    </w:p>
    <w:p w14:paraId="2B3BADFC" w14:textId="19777B4E" w:rsidR="00AD0A38" w:rsidRPr="0089771B" w:rsidRDefault="00D45C9E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Modelovanie a simulácia založené na PK vykonané na základe údajov z klinickej štúdie s týždenným dávkovaním </w:t>
      </w:r>
      <w:r w:rsidR="00283087">
        <w:rPr>
          <w:sz w:val="22"/>
          <w:szCs w:val="22"/>
          <w:lang w:val="sk"/>
        </w:rPr>
        <w:t>CUTAQUIG</w:t>
      </w:r>
      <w:r w:rsidRPr="0089771B">
        <w:rPr>
          <w:sz w:val="22"/>
          <w:szCs w:val="22"/>
          <w:lang w:val="sk"/>
        </w:rPr>
        <w:t>u naznačuje, že dávkovanie upravené podľa telesnej hmotnosti postačuje na udržanie systémovej expozície IgG v terapeutickom rozmedzí bez ohľadu na vek.</w:t>
      </w:r>
    </w:p>
    <w:p w14:paraId="0B5C990E" w14:textId="77777777" w:rsidR="00D45C9E" w:rsidRPr="0089771B" w:rsidRDefault="00D45C9E" w:rsidP="0089771B">
      <w:pPr>
        <w:pStyle w:val="Default"/>
        <w:rPr>
          <w:sz w:val="22"/>
          <w:szCs w:val="22"/>
          <w:lang w:val="sk"/>
        </w:rPr>
      </w:pPr>
    </w:p>
    <w:p w14:paraId="7A686860" w14:textId="4F1F91F1" w:rsidR="00FD7C97" w:rsidRPr="0089771B" w:rsidRDefault="003169D1" w:rsidP="0089771B">
      <w:pPr>
        <w:pStyle w:val="Formatvorlageberschrift2AutomatischBlock"/>
        <w:keepLines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5.3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Predklinické údaje o bezpečnosti</w:t>
      </w:r>
    </w:p>
    <w:p w14:paraId="7709180C" w14:textId="77777777" w:rsidR="003169D1" w:rsidRPr="0089771B" w:rsidRDefault="003169D1" w:rsidP="0089771B">
      <w:pPr>
        <w:pStyle w:val="Text"/>
        <w:keepNext/>
        <w:keepLines/>
        <w:spacing w:before="0" w:after="0"/>
        <w:jc w:val="left"/>
        <w:rPr>
          <w:color w:val="auto"/>
          <w:sz w:val="22"/>
          <w:szCs w:val="22"/>
          <w:lang w:val="sk"/>
        </w:rPr>
      </w:pPr>
    </w:p>
    <w:p w14:paraId="12793738" w14:textId="58423F8B" w:rsidR="00F82FA0" w:rsidRPr="0089771B" w:rsidRDefault="00F82FA0" w:rsidP="0089771B">
      <w:pPr>
        <w:pStyle w:val="Text"/>
        <w:spacing w:before="0" w:after="0"/>
        <w:jc w:val="left"/>
        <w:rPr>
          <w:iCs/>
          <w:sz w:val="22"/>
          <w:szCs w:val="22"/>
          <w:lang w:val="sk"/>
        </w:rPr>
      </w:pPr>
      <w:r w:rsidRPr="0089771B">
        <w:rPr>
          <w:color w:val="auto"/>
          <w:sz w:val="22"/>
          <w:szCs w:val="22"/>
          <w:lang w:val="sk"/>
        </w:rPr>
        <w:t xml:space="preserve">Imunoglobulíny sú prirodzenou zložkou </w:t>
      </w:r>
      <w:r w:rsidRPr="0089771B">
        <w:rPr>
          <w:sz w:val="22"/>
          <w:szCs w:val="22"/>
          <w:lang w:val="sk"/>
        </w:rPr>
        <w:t xml:space="preserve">ľudskej </w:t>
      </w:r>
      <w:r w:rsidRPr="0089771B">
        <w:rPr>
          <w:color w:val="auto"/>
          <w:sz w:val="22"/>
          <w:szCs w:val="22"/>
          <w:lang w:val="sk"/>
        </w:rPr>
        <w:t>krvnej</w:t>
      </w:r>
      <w:r w:rsidR="00DB3D51" w:rsidRPr="0089771B">
        <w:rPr>
          <w:color w:val="auto"/>
          <w:sz w:val="22"/>
          <w:szCs w:val="22"/>
          <w:lang w:val="sk"/>
        </w:rPr>
        <w:t xml:space="preserve"> </w:t>
      </w:r>
      <w:r w:rsidRPr="0089771B">
        <w:rPr>
          <w:sz w:val="22"/>
          <w:szCs w:val="22"/>
          <w:lang w:val="sk"/>
        </w:rPr>
        <w:t>plazmy</w:t>
      </w:r>
      <w:r w:rsidRPr="0089771B">
        <w:rPr>
          <w:color w:val="auto"/>
          <w:sz w:val="22"/>
          <w:szCs w:val="22"/>
          <w:lang w:val="sk"/>
        </w:rPr>
        <w:t xml:space="preserve">. </w:t>
      </w:r>
      <w:r w:rsidRPr="0089771B">
        <w:rPr>
          <w:sz w:val="22"/>
          <w:szCs w:val="22"/>
          <w:lang w:val="sk"/>
        </w:rPr>
        <w:t>Predklinické údaje získané na základe obvyklých farmakologických štúdií bezpečnosti, toxicity po opakovanom podávaní, genotoxicity, karcinogénneho potenciálu, reprodukčnej toxicity a vývinu neodhalili žiadne osobitné riziko pre ľudí. Keďže klinické skúsenosti neposkytujú žiadne dôkazy o karcinogénnom alebo mutagénnom potenciáli imunoglobulínov, neboli vykonané žiadne experimentálne štúdie s heterológnymi druhmi.</w:t>
      </w:r>
    </w:p>
    <w:p w14:paraId="092EA944" w14:textId="77777777" w:rsidR="003169D1" w:rsidRPr="0089771B" w:rsidRDefault="003169D1" w:rsidP="0089771B">
      <w:pPr>
        <w:pStyle w:val="Text"/>
        <w:spacing w:before="0" w:after="0"/>
        <w:jc w:val="left"/>
        <w:rPr>
          <w:iCs/>
          <w:sz w:val="22"/>
          <w:szCs w:val="22"/>
          <w:lang w:val="sk"/>
        </w:rPr>
      </w:pPr>
    </w:p>
    <w:p w14:paraId="5E203998" w14:textId="77777777" w:rsidR="003169D1" w:rsidRPr="0089771B" w:rsidRDefault="003169D1" w:rsidP="0089771B">
      <w:pPr>
        <w:pStyle w:val="Text"/>
        <w:spacing w:before="0" w:after="0"/>
        <w:jc w:val="left"/>
        <w:rPr>
          <w:color w:val="auto"/>
          <w:sz w:val="22"/>
          <w:szCs w:val="22"/>
          <w:lang w:val="sk"/>
        </w:rPr>
      </w:pPr>
    </w:p>
    <w:p w14:paraId="4F481B10" w14:textId="7D0DF7C8" w:rsidR="00FD7C97" w:rsidRPr="0089771B" w:rsidRDefault="003169D1" w:rsidP="0089771B">
      <w:pPr>
        <w:pStyle w:val="Formatvorlageberschrift1Automatisch"/>
        <w:keepLines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sz w:val="22"/>
          <w:szCs w:val="22"/>
          <w:lang w:val="sk"/>
        </w:rPr>
        <w:t>6.</w:t>
      </w:r>
      <w:r w:rsidRPr="0089771B">
        <w:rPr>
          <w:rFonts w:cs="Times New Roman"/>
          <w:sz w:val="22"/>
          <w:szCs w:val="22"/>
          <w:lang w:val="sk"/>
        </w:rPr>
        <w:tab/>
        <w:t>FARMACEUTICKÉ INFORMÁCIE</w:t>
      </w:r>
    </w:p>
    <w:p w14:paraId="001E20E9" w14:textId="77777777" w:rsidR="003169D1" w:rsidRPr="0089771B" w:rsidRDefault="003169D1" w:rsidP="0089771B">
      <w:pPr>
        <w:pStyle w:val="Text"/>
        <w:keepNext/>
        <w:keepLines/>
        <w:spacing w:before="0" w:after="0"/>
        <w:jc w:val="left"/>
        <w:rPr>
          <w:color w:val="auto"/>
          <w:sz w:val="22"/>
          <w:szCs w:val="22"/>
          <w:lang w:val="sk"/>
        </w:rPr>
      </w:pPr>
    </w:p>
    <w:p w14:paraId="1C4305BD" w14:textId="0DD18C07" w:rsidR="00FD7C97" w:rsidRPr="0089771B" w:rsidRDefault="003169D1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6.1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Zoznam pomocných látok</w:t>
      </w:r>
    </w:p>
    <w:p w14:paraId="1086959C" w14:textId="77777777" w:rsidR="003169D1" w:rsidRPr="0089771B" w:rsidRDefault="003169D1" w:rsidP="0089771B">
      <w:pPr>
        <w:pStyle w:val="Default"/>
        <w:rPr>
          <w:iCs/>
          <w:sz w:val="22"/>
          <w:szCs w:val="22"/>
          <w:lang w:val="sk"/>
        </w:rPr>
      </w:pPr>
    </w:p>
    <w:p w14:paraId="523FDDBB" w14:textId="0F3D2E84" w:rsidR="00FD7C97" w:rsidRPr="0089771B" w:rsidRDefault="009463F6" w:rsidP="0089771B">
      <w:pPr>
        <w:pStyle w:val="Default"/>
        <w:rPr>
          <w:iCs/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 xml:space="preserve">Maltóza, </w:t>
      </w:r>
      <w:r w:rsidR="00CA3517" w:rsidRPr="0089771B">
        <w:rPr>
          <w:sz w:val="22"/>
          <w:szCs w:val="22"/>
          <w:lang w:val="sk"/>
        </w:rPr>
        <w:t>p</w:t>
      </w:r>
      <w:r w:rsidRPr="0089771B">
        <w:rPr>
          <w:sz w:val="22"/>
          <w:szCs w:val="22"/>
          <w:lang w:val="sk"/>
        </w:rPr>
        <w:t xml:space="preserve">olysorbát 80, </w:t>
      </w:r>
      <w:r w:rsidR="00CA3517" w:rsidRPr="0089771B">
        <w:rPr>
          <w:sz w:val="22"/>
          <w:szCs w:val="22"/>
          <w:lang w:val="sk"/>
        </w:rPr>
        <w:t>v</w:t>
      </w:r>
      <w:r w:rsidRPr="0089771B">
        <w:rPr>
          <w:sz w:val="22"/>
          <w:szCs w:val="22"/>
          <w:lang w:val="sk"/>
        </w:rPr>
        <w:t xml:space="preserve">oda </w:t>
      </w:r>
      <w:r w:rsidR="00285C44">
        <w:rPr>
          <w:sz w:val="22"/>
          <w:szCs w:val="22"/>
          <w:lang w:val="sk"/>
        </w:rPr>
        <w:t>na</w:t>
      </w:r>
      <w:r w:rsidRPr="0089771B">
        <w:rPr>
          <w:sz w:val="22"/>
          <w:szCs w:val="22"/>
          <w:lang w:val="sk"/>
        </w:rPr>
        <w:t xml:space="preserve"> injekci</w:t>
      </w:r>
      <w:r w:rsidR="00DB5B44">
        <w:rPr>
          <w:sz w:val="22"/>
          <w:szCs w:val="22"/>
          <w:lang w:val="sk"/>
        </w:rPr>
        <w:t>e</w:t>
      </w:r>
      <w:r w:rsidRPr="0089771B">
        <w:rPr>
          <w:sz w:val="22"/>
          <w:szCs w:val="22"/>
          <w:lang w:val="sk"/>
        </w:rPr>
        <w:t>.</w:t>
      </w:r>
    </w:p>
    <w:p w14:paraId="0F6396B0" w14:textId="77777777" w:rsidR="00451251" w:rsidRPr="0089771B" w:rsidRDefault="00451251" w:rsidP="0089771B">
      <w:pPr>
        <w:pStyle w:val="Default"/>
        <w:rPr>
          <w:sz w:val="22"/>
          <w:szCs w:val="22"/>
          <w:lang w:val="sk"/>
        </w:rPr>
      </w:pPr>
    </w:p>
    <w:p w14:paraId="772A2001" w14:textId="63455E5F" w:rsidR="00FD7C97" w:rsidRPr="0089771B" w:rsidRDefault="00FB1A76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6.2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Inkompatibility</w:t>
      </w:r>
    </w:p>
    <w:p w14:paraId="061E259F" w14:textId="77777777" w:rsidR="00451251" w:rsidRPr="0089771B" w:rsidRDefault="00451251" w:rsidP="0089771B">
      <w:pPr>
        <w:pStyle w:val="Default"/>
        <w:rPr>
          <w:sz w:val="22"/>
          <w:szCs w:val="22"/>
          <w:lang w:val="sk"/>
        </w:rPr>
      </w:pPr>
    </w:p>
    <w:p w14:paraId="261AB4BC" w14:textId="77777777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Nevykonali sa štúdie kompatibility, preto sa tento liek nesmie miešať s inými liekmi.</w:t>
      </w:r>
    </w:p>
    <w:p w14:paraId="4D9605A6" w14:textId="77777777" w:rsidR="00451251" w:rsidRPr="0089771B" w:rsidRDefault="00451251" w:rsidP="0089771B">
      <w:pPr>
        <w:pStyle w:val="Default"/>
        <w:rPr>
          <w:sz w:val="22"/>
          <w:szCs w:val="22"/>
          <w:highlight w:val="cyan"/>
          <w:lang w:val="sk"/>
        </w:rPr>
      </w:pPr>
    </w:p>
    <w:p w14:paraId="69945933" w14:textId="6E01A96F" w:rsidR="00FD7C97" w:rsidRPr="0089771B" w:rsidRDefault="00FB1A76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6.3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Čas použiteľnosti</w:t>
      </w:r>
    </w:p>
    <w:p w14:paraId="14AB6B93" w14:textId="77777777" w:rsidR="00FB1A76" w:rsidRPr="0089771B" w:rsidRDefault="00FB1A76" w:rsidP="0089771B">
      <w:pPr>
        <w:pStyle w:val="Default"/>
        <w:rPr>
          <w:sz w:val="22"/>
          <w:szCs w:val="22"/>
          <w:lang w:val="sk"/>
        </w:rPr>
      </w:pPr>
    </w:p>
    <w:p w14:paraId="7B2EEF9C" w14:textId="0F4AAF3C" w:rsidR="008F0AAA" w:rsidRPr="0089771B" w:rsidRDefault="008F0AAA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2 roky</w:t>
      </w:r>
    </w:p>
    <w:p w14:paraId="50D05855" w14:textId="63D99396" w:rsidR="00084133" w:rsidRPr="0089771B" w:rsidRDefault="00084133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Po otvorení injekčnej liekovky sa má roztok ihneď použiť.</w:t>
      </w:r>
    </w:p>
    <w:p w14:paraId="300A7D5A" w14:textId="77777777" w:rsidR="00FB1A76" w:rsidRPr="0089771B" w:rsidRDefault="00FB1A76" w:rsidP="0089771B">
      <w:pPr>
        <w:pStyle w:val="Default"/>
        <w:rPr>
          <w:sz w:val="22"/>
          <w:szCs w:val="22"/>
          <w:lang w:val="sk"/>
        </w:rPr>
      </w:pPr>
    </w:p>
    <w:p w14:paraId="52AB3E10" w14:textId="45D53A8E" w:rsidR="00FD7C97" w:rsidRPr="0089771B" w:rsidRDefault="00FB1A76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6.4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Špeciálne upozornenia na uchovávanie</w:t>
      </w:r>
    </w:p>
    <w:p w14:paraId="1D77B6C5" w14:textId="77777777" w:rsidR="00FB1A76" w:rsidRPr="0089771B" w:rsidRDefault="00FB1A76" w:rsidP="0089771B">
      <w:pPr>
        <w:pStyle w:val="Default"/>
        <w:rPr>
          <w:sz w:val="22"/>
          <w:szCs w:val="22"/>
          <w:lang w:val="sk"/>
        </w:rPr>
      </w:pPr>
    </w:p>
    <w:p w14:paraId="2CFFD21C" w14:textId="50CE0175" w:rsidR="00084133" w:rsidRPr="0089771B" w:rsidRDefault="003A0D34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Uchovávajte v chladničke (2 </w:t>
      </w:r>
      <w:r w:rsidRPr="0089771B">
        <w:rPr>
          <w:sz w:val="22"/>
          <w:szCs w:val="22"/>
          <w:lang w:val="sk"/>
        </w:rPr>
        <w:sym w:font="Symbol" w:char="F0B0"/>
      </w:r>
      <w:r w:rsidRPr="0089771B">
        <w:rPr>
          <w:sz w:val="22"/>
          <w:szCs w:val="22"/>
          <w:lang w:val="sk"/>
        </w:rPr>
        <w:t>C – 8 </w:t>
      </w:r>
      <w:r w:rsidRPr="0089771B">
        <w:rPr>
          <w:sz w:val="22"/>
          <w:szCs w:val="22"/>
          <w:lang w:val="sk"/>
        </w:rPr>
        <w:sym w:font="Symbol" w:char="F0B0"/>
      </w:r>
      <w:r w:rsidRPr="0089771B">
        <w:rPr>
          <w:sz w:val="22"/>
          <w:szCs w:val="22"/>
          <w:lang w:val="sk"/>
        </w:rPr>
        <w:t>C).</w:t>
      </w:r>
    </w:p>
    <w:p w14:paraId="58F5225F" w14:textId="0A1AC232" w:rsidR="00084133" w:rsidRPr="0089771B" w:rsidRDefault="00B639A2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Neuchovávajte v mrazničke.</w:t>
      </w:r>
    </w:p>
    <w:p w14:paraId="0E78D889" w14:textId="4F3489FA" w:rsidR="003A0D34" w:rsidRPr="0089771B" w:rsidRDefault="00B639A2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Injekčnú liekovku uchovávajte vo vonkajšom obale na ochranu pred svetlom.</w:t>
      </w:r>
    </w:p>
    <w:p w14:paraId="242AAC26" w14:textId="141AE2B5" w:rsidR="00084133" w:rsidRPr="0089771B" w:rsidRDefault="00084133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Podmienky uchovávania po prvom otvorení lieku, pozri časť 6.3.</w:t>
      </w:r>
    </w:p>
    <w:p w14:paraId="247D4472" w14:textId="199024C2" w:rsidR="00FD7C97" w:rsidRPr="0089771B" w:rsidRDefault="00FD7C97" w:rsidP="0089771B">
      <w:pPr>
        <w:pStyle w:val="Default"/>
        <w:rPr>
          <w:sz w:val="22"/>
          <w:szCs w:val="22"/>
          <w:lang w:val="sk"/>
        </w:rPr>
      </w:pPr>
    </w:p>
    <w:p w14:paraId="74B782F5" w14:textId="5B70374F" w:rsidR="00FD7C97" w:rsidRPr="0089771B" w:rsidRDefault="00FB1A76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sk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6.5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Druh obalu a obsah balenia</w:t>
      </w:r>
    </w:p>
    <w:p w14:paraId="7B06B307" w14:textId="77777777" w:rsidR="00FB1A76" w:rsidRPr="0089771B" w:rsidRDefault="00FB1A76" w:rsidP="0089771B">
      <w:pPr>
        <w:pStyle w:val="Default"/>
        <w:rPr>
          <w:iCs/>
          <w:sz w:val="22"/>
          <w:szCs w:val="22"/>
          <w:lang w:val="sk"/>
        </w:rPr>
      </w:pPr>
    </w:p>
    <w:p w14:paraId="3F27DE06" w14:textId="3C513582" w:rsidR="00FD7C97" w:rsidRPr="0089771B" w:rsidRDefault="0069577D" w:rsidP="0089771B">
      <w:pPr>
        <w:pStyle w:val="Default"/>
        <w:rPr>
          <w:iCs/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6, 10, 12, 20, 24 alebo 48 ml roztoku v injekčnej liekovke (sklo typu I) s brómbutylovou gumovou zátkou - veľkosť balenia 1 alebo 10.</w:t>
      </w:r>
    </w:p>
    <w:p w14:paraId="777D711B" w14:textId="77777777" w:rsidR="00A20A3A" w:rsidRPr="0089771B" w:rsidRDefault="00A20A3A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Na trh nemusia byť uvedené všetky veľkosti balenia.</w:t>
      </w:r>
    </w:p>
    <w:p w14:paraId="4B0F11DF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22690C5A" w14:textId="3F989FBA" w:rsidR="00FD7C97" w:rsidRPr="0089771B" w:rsidRDefault="00FB1A76" w:rsidP="0089771B">
      <w:pPr>
        <w:pStyle w:val="Formatvorlageberschrift2AutomatischBlock"/>
        <w:tabs>
          <w:tab w:val="clear" w:pos="720"/>
          <w:tab w:val="left" w:pos="0"/>
          <w:tab w:val="num" w:pos="567"/>
        </w:tabs>
        <w:spacing w:before="0" w:after="0"/>
        <w:jc w:val="left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iCs w:val="0"/>
          <w:sz w:val="22"/>
          <w:szCs w:val="22"/>
          <w:lang w:val="sk"/>
        </w:rPr>
        <w:t>6.6</w:t>
      </w:r>
      <w:r w:rsidRPr="0089771B">
        <w:rPr>
          <w:rFonts w:cs="Times New Roman"/>
          <w:iCs w:val="0"/>
          <w:sz w:val="22"/>
          <w:szCs w:val="22"/>
          <w:lang w:val="sk"/>
        </w:rPr>
        <w:tab/>
        <w:t>Špeciálne opatrenia na likvidáciu a iné zaobchádzanie s liekom</w:t>
      </w:r>
    </w:p>
    <w:p w14:paraId="1C2D7B72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330B8FC5" w14:textId="392E492F" w:rsidR="00FD7C97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 xml:space="preserve">Liek musí byt pred použitím umiestnený </w:t>
      </w:r>
      <w:r w:rsidR="008A6011" w:rsidRPr="0089771B">
        <w:rPr>
          <w:sz w:val="22"/>
          <w:szCs w:val="22"/>
          <w:lang w:val="sk"/>
        </w:rPr>
        <w:t xml:space="preserve">v miestnosti </w:t>
      </w:r>
      <w:r w:rsidRPr="0089771B">
        <w:rPr>
          <w:sz w:val="22"/>
          <w:szCs w:val="22"/>
          <w:lang w:val="sk"/>
        </w:rPr>
        <w:t>pri izbovej alebo telesnej teplote.</w:t>
      </w:r>
    </w:p>
    <w:p w14:paraId="5D973F72" w14:textId="410BA006" w:rsidR="009F46BE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Lieky sa majú pred podaním vizuálne skontrolovať na prítomnosť častíc a zmenu farby.</w:t>
      </w:r>
    </w:p>
    <w:p w14:paraId="0E69F22D" w14:textId="7606E58F" w:rsidR="00FD7C97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Zakalené roztoky alebo s usadeninam</w:t>
      </w:r>
      <w:r w:rsidR="00DB3D51" w:rsidRPr="0089771B">
        <w:rPr>
          <w:sz w:val="22"/>
          <w:szCs w:val="22"/>
          <w:lang w:val="sk"/>
        </w:rPr>
        <w:t>i</w:t>
      </w:r>
      <w:r w:rsidRPr="0089771B">
        <w:rPr>
          <w:sz w:val="22"/>
          <w:szCs w:val="22"/>
          <w:lang w:val="sk"/>
        </w:rPr>
        <w:t xml:space="preserve"> nesmú byť použité. </w:t>
      </w:r>
    </w:p>
    <w:p w14:paraId="117C6232" w14:textId="77777777" w:rsidR="00C50D24" w:rsidRPr="0089771B" w:rsidRDefault="00C50D24" w:rsidP="0089771B">
      <w:pPr>
        <w:pStyle w:val="Default"/>
        <w:rPr>
          <w:sz w:val="22"/>
          <w:szCs w:val="22"/>
          <w:lang w:val="pt-PT"/>
        </w:rPr>
      </w:pPr>
    </w:p>
    <w:p w14:paraId="6BCFD454" w14:textId="77777777" w:rsidR="00FD7C97" w:rsidRPr="0089771B" w:rsidRDefault="00FD7C97" w:rsidP="0089771B">
      <w:pPr>
        <w:pStyle w:val="Default"/>
        <w:rPr>
          <w:sz w:val="22"/>
          <w:szCs w:val="22"/>
          <w:lang w:val="pt-PT"/>
        </w:rPr>
      </w:pPr>
      <w:r w:rsidRPr="0089771B">
        <w:rPr>
          <w:sz w:val="22"/>
          <w:szCs w:val="22"/>
          <w:lang w:val="sk"/>
        </w:rPr>
        <w:t>Všetok nepoužitý liek alebo odpad vzniknutý z lieku sa má zlikvidovať v súlade s národnými požiadavkami.</w:t>
      </w:r>
    </w:p>
    <w:p w14:paraId="18D8DED1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52E8A6E8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1F119540" w14:textId="01A1A7EC" w:rsidR="00FD7C97" w:rsidRPr="0089771B" w:rsidRDefault="00FB1A76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sz w:val="22"/>
          <w:szCs w:val="22"/>
          <w:lang w:val="sk"/>
        </w:rPr>
        <w:t>7.</w:t>
      </w:r>
      <w:r w:rsidRPr="0089771B">
        <w:rPr>
          <w:rFonts w:cs="Times New Roman"/>
          <w:sz w:val="22"/>
          <w:szCs w:val="22"/>
          <w:lang w:val="sk"/>
        </w:rPr>
        <w:tab/>
        <w:t>DRŽITEĽ ROZHODNUTIA O REGISTRÁCII</w:t>
      </w:r>
    </w:p>
    <w:p w14:paraId="20754D28" w14:textId="77777777" w:rsidR="00FB1A76" w:rsidRPr="0089771B" w:rsidRDefault="00FB1A76" w:rsidP="0089771B">
      <w:pPr>
        <w:pStyle w:val="Default"/>
        <w:rPr>
          <w:iCs/>
          <w:sz w:val="22"/>
          <w:szCs w:val="22"/>
          <w:lang w:val="pt-PT"/>
        </w:rPr>
      </w:pPr>
    </w:p>
    <w:p w14:paraId="16E66BC8" w14:textId="77777777" w:rsidR="0089771B" w:rsidRPr="0089771B" w:rsidRDefault="0089771B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Octapharma (IP) SPRL</w:t>
      </w:r>
    </w:p>
    <w:p w14:paraId="20C1873D" w14:textId="77777777" w:rsidR="0089771B" w:rsidRPr="0089771B" w:rsidRDefault="0089771B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Researchdreef 65</w:t>
      </w:r>
    </w:p>
    <w:p w14:paraId="3B6DEFC0" w14:textId="77777777" w:rsidR="0089771B" w:rsidRPr="0089771B" w:rsidRDefault="0089771B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1070 Brussels (Anderlecht)</w:t>
      </w:r>
    </w:p>
    <w:p w14:paraId="402ABDEB" w14:textId="510D2458" w:rsidR="00FB1A76" w:rsidRDefault="0089771B" w:rsidP="0089771B">
      <w:pPr>
        <w:pStyle w:val="Default"/>
        <w:rPr>
          <w:sz w:val="22"/>
          <w:szCs w:val="22"/>
          <w:lang w:val="sk"/>
        </w:rPr>
      </w:pPr>
      <w:r w:rsidRPr="0089771B">
        <w:rPr>
          <w:sz w:val="22"/>
          <w:szCs w:val="22"/>
          <w:lang w:val="sk"/>
        </w:rPr>
        <w:t>Belgicko</w:t>
      </w:r>
    </w:p>
    <w:p w14:paraId="5F1B4752" w14:textId="77777777" w:rsidR="0089771B" w:rsidRDefault="0089771B" w:rsidP="0089771B">
      <w:pPr>
        <w:pStyle w:val="Default"/>
        <w:rPr>
          <w:sz w:val="22"/>
          <w:szCs w:val="22"/>
          <w:lang w:val="sk"/>
        </w:rPr>
      </w:pPr>
    </w:p>
    <w:p w14:paraId="348BF9EF" w14:textId="77777777" w:rsidR="0089771B" w:rsidRPr="0089771B" w:rsidRDefault="0089771B" w:rsidP="0089771B">
      <w:pPr>
        <w:pStyle w:val="Default"/>
        <w:rPr>
          <w:sz w:val="22"/>
          <w:szCs w:val="22"/>
          <w:lang w:val="sk"/>
        </w:rPr>
      </w:pPr>
    </w:p>
    <w:p w14:paraId="4F1A6D11" w14:textId="31B3BDB6" w:rsidR="00FD7C97" w:rsidRPr="0089771B" w:rsidRDefault="00FB1A76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sz w:val="22"/>
          <w:szCs w:val="22"/>
          <w:lang w:val="sk"/>
        </w:rPr>
        <w:t>8.</w:t>
      </w:r>
      <w:r w:rsidRPr="0089771B">
        <w:rPr>
          <w:rFonts w:cs="Times New Roman"/>
          <w:sz w:val="22"/>
          <w:szCs w:val="22"/>
          <w:lang w:val="sk"/>
        </w:rPr>
        <w:tab/>
        <w:t>REGISTRAČNÉ ČÍSLO (ČÍSLA)</w:t>
      </w:r>
    </w:p>
    <w:p w14:paraId="42C4A3E2" w14:textId="77777777" w:rsidR="00FB1A76" w:rsidRPr="0089771B" w:rsidRDefault="00FB1A76" w:rsidP="0089771B">
      <w:pPr>
        <w:pStyle w:val="Default"/>
        <w:rPr>
          <w:iCs/>
          <w:sz w:val="22"/>
          <w:szCs w:val="22"/>
          <w:lang w:val="pt-PT"/>
        </w:rPr>
      </w:pPr>
    </w:p>
    <w:p w14:paraId="0CCFE1D5" w14:textId="12FC006C" w:rsidR="00FB1A76" w:rsidRDefault="0009538D" w:rsidP="0089771B">
      <w:pPr>
        <w:pStyle w:val="Default"/>
        <w:rPr>
          <w:iCs/>
          <w:sz w:val="22"/>
          <w:szCs w:val="22"/>
          <w:lang w:val="pt-PT"/>
        </w:rPr>
      </w:pPr>
      <w:r w:rsidRPr="0009538D">
        <w:rPr>
          <w:iCs/>
          <w:sz w:val="22"/>
          <w:szCs w:val="22"/>
          <w:lang w:val="pt-PT"/>
        </w:rPr>
        <w:t>59/0106/19-S</w:t>
      </w:r>
    </w:p>
    <w:p w14:paraId="68A8E2B5" w14:textId="77777777" w:rsidR="0009538D" w:rsidRPr="000E626B" w:rsidRDefault="0009538D" w:rsidP="0089771B">
      <w:pPr>
        <w:pStyle w:val="Default"/>
        <w:rPr>
          <w:iCs/>
          <w:sz w:val="22"/>
          <w:szCs w:val="22"/>
          <w:lang w:val="pt-PT"/>
        </w:rPr>
      </w:pPr>
    </w:p>
    <w:p w14:paraId="1E175BDB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28AEE8DA" w14:textId="5781B2B4" w:rsidR="00FD7C97" w:rsidRPr="0089771B" w:rsidRDefault="00FB1A76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sz w:val="22"/>
          <w:szCs w:val="22"/>
          <w:lang w:val="sk"/>
        </w:rPr>
        <w:t>9.</w:t>
      </w:r>
      <w:r w:rsidRPr="0089771B">
        <w:rPr>
          <w:rFonts w:cs="Times New Roman"/>
          <w:sz w:val="22"/>
          <w:szCs w:val="22"/>
          <w:lang w:val="sk"/>
        </w:rPr>
        <w:tab/>
        <w:t>DÁTUM PRVEJ REGISTRÁCIE/PREDĹŽENIA REGISTRÁCIE</w:t>
      </w:r>
    </w:p>
    <w:p w14:paraId="5927B821" w14:textId="307CC5A5" w:rsidR="009F46BE" w:rsidRPr="000E626B" w:rsidRDefault="009F46BE" w:rsidP="0089771B">
      <w:pPr>
        <w:pStyle w:val="Default"/>
        <w:rPr>
          <w:iCs/>
          <w:sz w:val="22"/>
          <w:szCs w:val="22"/>
          <w:lang w:val="pt-PT"/>
        </w:rPr>
      </w:pPr>
    </w:p>
    <w:p w14:paraId="04615AD4" w14:textId="77777777" w:rsidR="00FB1A76" w:rsidRPr="0089771B" w:rsidRDefault="00FB1A76" w:rsidP="0089771B">
      <w:pPr>
        <w:pStyle w:val="Default"/>
        <w:rPr>
          <w:iCs/>
          <w:sz w:val="22"/>
          <w:szCs w:val="22"/>
          <w:lang w:val="pt-PT"/>
        </w:rPr>
      </w:pPr>
    </w:p>
    <w:p w14:paraId="25E61EE1" w14:textId="77777777" w:rsidR="00FB1A76" w:rsidRPr="0089771B" w:rsidRDefault="00FB1A76" w:rsidP="0089771B">
      <w:pPr>
        <w:pStyle w:val="Default"/>
        <w:rPr>
          <w:sz w:val="22"/>
          <w:szCs w:val="22"/>
          <w:lang w:val="pt-PT"/>
        </w:rPr>
      </w:pPr>
    </w:p>
    <w:p w14:paraId="63CFA805" w14:textId="25B18297" w:rsidR="00FD7C97" w:rsidRPr="0089771B" w:rsidRDefault="00FB1A76" w:rsidP="0089771B">
      <w:pPr>
        <w:pStyle w:val="Formatvorlageberschrift1Automatisch"/>
        <w:tabs>
          <w:tab w:val="clear" w:pos="1871"/>
          <w:tab w:val="left" w:pos="567"/>
        </w:tabs>
        <w:spacing w:before="0" w:after="0"/>
        <w:rPr>
          <w:rFonts w:cs="Times New Roman"/>
          <w:sz w:val="22"/>
          <w:szCs w:val="22"/>
          <w:lang w:val="pt-PT"/>
        </w:rPr>
      </w:pPr>
      <w:r w:rsidRPr="0089771B">
        <w:rPr>
          <w:rFonts w:cs="Times New Roman"/>
          <w:sz w:val="22"/>
          <w:szCs w:val="22"/>
          <w:lang w:val="sk"/>
        </w:rPr>
        <w:t>10.</w:t>
      </w:r>
      <w:r w:rsidRPr="0089771B">
        <w:rPr>
          <w:rFonts w:cs="Times New Roman"/>
          <w:sz w:val="22"/>
          <w:szCs w:val="22"/>
          <w:lang w:val="sk"/>
        </w:rPr>
        <w:tab/>
        <w:t>DÁTUM REVÍZIE TEXTU</w:t>
      </w:r>
    </w:p>
    <w:p w14:paraId="52567A02" w14:textId="77777777" w:rsidR="00FB1A76" w:rsidRPr="0089771B" w:rsidRDefault="00FB1A76" w:rsidP="0089771B">
      <w:pPr>
        <w:pStyle w:val="Default"/>
        <w:rPr>
          <w:iCs/>
          <w:sz w:val="22"/>
          <w:szCs w:val="22"/>
          <w:lang w:val="pt-PT"/>
        </w:rPr>
      </w:pPr>
    </w:p>
    <w:p w14:paraId="306DC672" w14:textId="17C21BA8" w:rsidR="00984AD0" w:rsidRPr="005B4642" w:rsidRDefault="00175205" w:rsidP="0089771B">
      <w:pPr>
        <w:pStyle w:val="Default"/>
        <w:rPr>
          <w:sz w:val="22"/>
          <w:szCs w:val="22"/>
          <w:lang w:val="pt-PT"/>
        </w:rPr>
      </w:pPr>
      <w:r>
        <w:rPr>
          <w:iCs/>
          <w:sz w:val="22"/>
          <w:szCs w:val="22"/>
          <w:lang w:val="sk"/>
        </w:rPr>
        <w:t>04</w:t>
      </w:r>
      <w:r w:rsidR="005B4642" w:rsidRPr="005B4642">
        <w:rPr>
          <w:iCs/>
          <w:sz w:val="22"/>
          <w:szCs w:val="22"/>
          <w:lang w:val="sk"/>
        </w:rPr>
        <w:t>/2019</w:t>
      </w:r>
    </w:p>
    <w:p w14:paraId="7E62DC33" w14:textId="77777777" w:rsidR="00984AD0" w:rsidRPr="0089771B" w:rsidRDefault="00984AD0" w:rsidP="0089771B">
      <w:pPr>
        <w:spacing w:after="0" w:line="240" w:lineRule="auto"/>
        <w:rPr>
          <w:rFonts w:ascii="Times New Roman" w:hAnsi="Times New Roman" w:cs="Times New Roman"/>
          <w:color w:val="000000"/>
          <w:lang w:val="pt-PT"/>
        </w:rPr>
      </w:pPr>
    </w:p>
    <w:p w14:paraId="319691EC" w14:textId="0CABB7FA" w:rsidR="004675E9" w:rsidRPr="0089771B" w:rsidRDefault="00994AAB" w:rsidP="0089771B">
      <w:pPr>
        <w:rPr>
          <w:rFonts w:ascii="Times New Roman" w:hAnsi="Times New Roman" w:cs="Times New Roman"/>
          <w:color w:val="000000"/>
          <w:lang w:val="pt-PT"/>
        </w:rPr>
      </w:pPr>
      <w:r w:rsidRPr="0089771B">
        <w:rPr>
          <w:rFonts w:ascii="Times New Roman" w:hAnsi="Times New Roman" w:cs="Times New Roman"/>
          <w:color w:val="000000"/>
          <w:lang w:val="sk"/>
        </w:rPr>
        <w:t xml:space="preserve">Podrobné informácie o tomto lieku sú dostupné na internetovej stránke </w:t>
      </w:r>
      <w:r w:rsidR="0009538D">
        <w:rPr>
          <w:rFonts w:ascii="Times New Roman" w:hAnsi="Times New Roman" w:cs="Times New Roman"/>
          <w:color w:val="000000"/>
          <w:lang w:val="sk"/>
        </w:rPr>
        <w:t>štátneho</w:t>
      </w:r>
      <w:r w:rsidR="00175205">
        <w:rPr>
          <w:rFonts w:ascii="Times New Roman" w:hAnsi="Times New Roman" w:cs="Times New Roman"/>
          <w:color w:val="000000"/>
          <w:lang w:val="sk"/>
        </w:rPr>
        <w:t xml:space="preserve"> ústavu pre kontrolu lie</w:t>
      </w:r>
      <w:r w:rsidR="007E264E">
        <w:rPr>
          <w:rFonts w:ascii="Times New Roman" w:hAnsi="Times New Roman" w:cs="Times New Roman"/>
          <w:color w:val="000000"/>
          <w:lang w:val="sk"/>
        </w:rPr>
        <w:t>čiv</w:t>
      </w:r>
      <w:r w:rsidR="00175205">
        <w:rPr>
          <w:rFonts w:ascii="Times New Roman" w:hAnsi="Times New Roman" w:cs="Times New Roman"/>
          <w:color w:val="000000"/>
          <w:lang w:val="sk"/>
        </w:rPr>
        <w:t xml:space="preserve"> (www.sukl.sk)</w:t>
      </w:r>
      <w:r w:rsidR="007E264E">
        <w:rPr>
          <w:rFonts w:ascii="Times New Roman" w:hAnsi="Times New Roman" w:cs="Times New Roman"/>
          <w:color w:val="000000"/>
          <w:lang w:val="sk"/>
        </w:rPr>
        <w:t>.</w:t>
      </w:r>
    </w:p>
    <w:sectPr w:rsidR="004675E9" w:rsidRPr="0089771B" w:rsidSect="00D72304">
      <w:headerReference w:type="default" r:id="rId11"/>
      <w:footerReference w:type="default" r:id="rId12"/>
      <w:pgSz w:w="11907" w:h="16839" w:code="9"/>
      <w:pgMar w:top="1134" w:right="1418" w:bottom="1134" w:left="1418" w:header="737" w:footer="737" w:gutter="0"/>
      <w:cols w:space="720"/>
      <w:noEndnote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A6671" w16cid:durableId="205844F7"/>
  <w16cid:commentId w16cid:paraId="0C4011DE" w16cid:durableId="20584597"/>
  <w16cid:commentId w16cid:paraId="7FF5D589" w16cid:durableId="20584601"/>
  <w16cid:commentId w16cid:paraId="7F9C4004" w16cid:durableId="2058465C"/>
  <w16cid:commentId w16cid:paraId="0DC1736A" w16cid:durableId="20584688"/>
  <w16cid:commentId w16cid:paraId="0CE96FE2" w16cid:durableId="205844F8"/>
  <w16cid:commentId w16cid:paraId="11760AFF" w16cid:durableId="20584696"/>
  <w16cid:commentId w16cid:paraId="65A7B719" w16cid:durableId="205846E1"/>
  <w16cid:commentId w16cid:paraId="6A2EF31B" w16cid:durableId="2058471A"/>
  <w16cid:commentId w16cid:paraId="0ABD8EFF" w16cid:durableId="20584725"/>
  <w16cid:commentId w16cid:paraId="15979E4D" w16cid:durableId="205844F9"/>
  <w16cid:commentId w16cid:paraId="2C12AE71" w16cid:durableId="20584733"/>
  <w16cid:commentId w16cid:paraId="3D4F2F77" w16cid:durableId="20584755"/>
  <w16cid:commentId w16cid:paraId="19ED5145" w16cid:durableId="20584B43"/>
  <w16cid:commentId w16cid:paraId="0FE24799" w16cid:durableId="20584B53"/>
  <w16cid:commentId w16cid:paraId="7454457A" w16cid:durableId="20584B82"/>
  <w16cid:commentId w16cid:paraId="262D5292" w16cid:durableId="20584BA1"/>
  <w16cid:commentId w16cid:paraId="08564291" w16cid:durableId="205844FA"/>
  <w16cid:commentId w16cid:paraId="7DA7E224" w16cid:durableId="20584C75"/>
  <w16cid:commentId w16cid:paraId="12287115" w16cid:durableId="20584CA0"/>
  <w16cid:commentId w16cid:paraId="067E9674" w16cid:durableId="20584C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04CD4" w14:textId="77777777" w:rsidR="00EC1A51" w:rsidRDefault="00EC1A51" w:rsidP="008C55F3">
      <w:pPr>
        <w:spacing w:after="0" w:line="240" w:lineRule="auto"/>
      </w:pPr>
      <w:r>
        <w:separator/>
      </w:r>
    </w:p>
  </w:endnote>
  <w:endnote w:type="continuationSeparator" w:id="0">
    <w:p w14:paraId="7ED7FBE4" w14:textId="77777777" w:rsidR="00EC1A51" w:rsidRDefault="00EC1A51" w:rsidP="008C55F3">
      <w:pPr>
        <w:spacing w:after="0" w:line="240" w:lineRule="auto"/>
      </w:pPr>
      <w:r>
        <w:continuationSeparator/>
      </w:r>
    </w:p>
  </w:endnote>
  <w:endnote w:type="continuationNotice" w:id="1">
    <w:p w14:paraId="4A566F05" w14:textId="77777777" w:rsidR="00EC1A51" w:rsidRDefault="00EC1A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11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2F65242" w14:textId="0E870D70" w:rsidR="00DA0B3B" w:rsidRPr="00D72304" w:rsidRDefault="00DA0B3B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7230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7230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7230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72304" w:rsidRPr="00D72304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D7230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DD0954D" w14:textId="1BC4AB8F" w:rsidR="00EC1A51" w:rsidRPr="0089771B" w:rsidRDefault="00EC1A51" w:rsidP="008C55F3">
    <w:pPr>
      <w:pStyle w:val="Pta"/>
      <w:tabs>
        <w:tab w:val="left" w:pos="5524"/>
      </w:tabs>
      <w:rPr>
        <w:rFonts w:ascii="Times New Roman" w:hAnsi="Times New Roman" w:cs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E62F0" w14:textId="77777777" w:rsidR="00EC1A51" w:rsidRDefault="00EC1A51" w:rsidP="008C55F3">
      <w:pPr>
        <w:spacing w:after="0" w:line="240" w:lineRule="auto"/>
      </w:pPr>
      <w:r>
        <w:separator/>
      </w:r>
    </w:p>
  </w:footnote>
  <w:footnote w:type="continuationSeparator" w:id="0">
    <w:p w14:paraId="58D23A84" w14:textId="77777777" w:rsidR="00EC1A51" w:rsidRDefault="00EC1A51" w:rsidP="008C55F3">
      <w:pPr>
        <w:spacing w:after="0" w:line="240" w:lineRule="auto"/>
      </w:pPr>
      <w:r>
        <w:continuationSeparator/>
      </w:r>
    </w:p>
  </w:footnote>
  <w:footnote w:type="continuationNotice" w:id="1">
    <w:p w14:paraId="05434AA1" w14:textId="77777777" w:rsidR="00EC1A51" w:rsidRDefault="00EC1A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7651" w14:textId="77777777" w:rsidR="000E626B" w:rsidRDefault="000E626B" w:rsidP="000E626B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Schválený text k rozhodnutiu o registrácii, ev. č.: </w:t>
    </w:r>
    <w:r>
      <w:rPr>
        <w:rFonts w:ascii="Times New Roman" w:hAnsi="Times New Roman" w:cs="Times New Roman"/>
        <w:sz w:val="18"/>
        <w:szCs w:val="18"/>
      </w:rPr>
      <w:t>2017/03572-REG</w:t>
    </w:r>
  </w:p>
  <w:p w14:paraId="4007CCAA" w14:textId="77777777" w:rsidR="000E626B" w:rsidRDefault="000E626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02F"/>
    <w:multiLevelType w:val="multilevel"/>
    <w:tmpl w:val="E8441E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1D53C8"/>
    <w:multiLevelType w:val="hybridMultilevel"/>
    <w:tmpl w:val="DB167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0D1"/>
    <w:multiLevelType w:val="hybridMultilevel"/>
    <w:tmpl w:val="36FCE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56AC"/>
    <w:multiLevelType w:val="hybridMultilevel"/>
    <w:tmpl w:val="B00C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2CED"/>
    <w:multiLevelType w:val="hybridMultilevel"/>
    <w:tmpl w:val="C96A9C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F5AAF"/>
    <w:multiLevelType w:val="multilevel"/>
    <w:tmpl w:val="D9EA76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aps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1116"/>
      </w:pPr>
      <w:rPr>
        <w:rFonts w:hint="default"/>
        <w:cap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1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20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F497136"/>
    <w:multiLevelType w:val="hybridMultilevel"/>
    <w:tmpl w:val="D9C63F34"/>
    <w:lvl w:ilvl="0" w:tplc="34C24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84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24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8D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BC6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02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82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E7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8D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10517D"/>
    <w:multiLevelType w:val="hybridMultilevel"/>
    <w:tmpl w:val="C96A89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1432B"/>
    <w:multiLevelType w:val="hybridMultilevel"/>
    <w:tmpl w:val="0A14FE6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AD05691"/>
    <w:multiLevelType w:val="hybridMultilevel"/>
    <w:tmpl w:val="2C1219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F45E7"/>
    <w:multiLevelType w:val="hybridMultilevel"/>
    <w:tmpl w:val="F9943A1A"/>
    <w:lvl w:ilvl="0" w:tplc="78745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EAD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72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EE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A7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8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A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86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97"/>
    <w:rsid w:val="000263DF"/>
    <w:rsid w:val="00040BEA"/>
    <w:rsid w:val="00057F5F"/>
    <w:rsid w:val="00070F19"/>
    <w:rsid w:val="00074792"/>
    <w:rsid w:val="00075FCD"/>
    <w:rsid w:val="000767E6"/>
    <w:rsid w:val="00084133"/>
    <w:rsid w:val="00087F71"/>
    <w:rsid w:val="0009538D"/>
    <w:rsid w:val="00095EB2"/>
    <w:rsid w:val="000A29BB"/>
    <w:rsid w:val="000B34F0"/>
    <w:rsid w:val="000B4213"/>
    <w:rsid w:val="000B5746"/>
    <w:rsid w:val="000C63A5"/>
    <w:rsid w:val="000D0EC7"/>
    <w:rsid w:val="000E626B"/>
    <w:rsid w:val="000F0DC6"/>
    <w:rsid w:val="000F150C"/>
    <w:rsid w:val="000F6F5C"/>
    <w:rsid w:val="001034FD"/>
    <w:rsid w:val="0010769F"/>
    <w:rsid w:val="001300B3"/>
    <w:rsid w:val="00133B50"/>
    <w:rsid w:val="001358DB"/>
    <w:rsid w:val="00141D6E"/>
    <w:rsid w:val="00143619"/>
    <w:rsid w:val="0015126C"/>
    <w:rsid w:val="00165ACD"/>
    <w:rsid w:val="00175205"/>
    <w:rsid w:val="0017523C"/>
    <w:rsid w:val="00187BC6"/>
    <w:rsid w:val="00195B3A"/>
    <w:rsid w:val="001B04A2"/>
    <w:rsid w:val="001B0C59"/>
    <w:rsid w:val="001B52CD"/>
    <w:rsid w:val="001D4806"/>
    <w:rsid w:val="0020029A"/>
    <w:rsid w:val="002031C6"/>
    <w:rsid w:val="00217774"/>
    <w:rsid w:val="002244F4"/>
    <w:rsid w:val="00232732"/>
    <w:rsid w:val="00233065"/>
    <w:rsid w:val="00236C01"/>
    <w:rsid w:val="002510BB"/>
    <w:rsid w:val="00254662"/>
    <w:rsid w:val="00254EA0"/>
    <w:rsid w:val="00265115"/>
    <w:rsid w:val="00275D53"/>
    <w:rsid w:val="00276C14"/>
    <w:rsid w:val="0028173A"/>
    <w:rsid w:val="00283087"/>
    <w:rsid w:val="00285C44"/>
    <w:rsid w:val="0029752E"/>
    <w:rsid w:val="002A7E8A"/>
    <w:rsid w:val="002B0177"/>
    <w:rsid w:val="002B2AB9"/>
    <w:rsid w:val="002C03DA"/>
    <w:rsid w:val="002C57D5"/>
    <w:rsid w:val="002C7F73"/>
    <w:rsid w:val="002D1CE4"/>
    <w:rsid w:val="002D299C"/>
    <w:rsid w:val="002D2FB9"/>
    <w:rsid w:val="002D6844"/>
    <w:rsid w:val="002D7FB0"/>
    <w:rsid w:val="002E5293"/>
    <w:rsid w:val="002F33AE"/>
    <w:rsid w:val="003005C4"/>
    <w:rsid w:val="003042D9"/>
    <w:rsid w:val="00304DFE"/>
    <w:rsid w:val="00305E27"/>
    <w:rsid w:val="003169D1"/>
    <w:rsid w:val="003256C4"/>
    <w:rsid w:val="003308CB"/>
    <w:rsid w:val="00347112"/>
    <w:rsid w:val="00347362"/>
    <w:rsid w:val="00356E32"/>
    <w:rsid w:val="003625B0"/>
    <w:rsid w:val="003649CB"/>
    <w:rsid w:val="00373FCF"/>
    <w:rsid w:val="00380868"/>
    <w:rsid w:val="003A09B7"/>
    <w:rsid w:val="003A0D34"/>
    <w:rsid w:val="003A73CF"/>
    <w:rsid w:val="003B5CDA"/>
    <w:rsid w:val="003C6AAA"/>
    <w:rsid w:val="003D485C"/>
    <w:rsid w:val="003D66E0"/>
    <w:rsid w:val="003E7CF2"/>
    <w:rsid w:val="00413E7E"/>
    <w:rsid w:val="004157F8"/>
    <w:rsid w:val="00422315"/>
    <w:rsid w:val="0043224F"/>
    <w:rsid w:val="00437F05"/>
    <w:rsid w:val="004447AF"/>
    <w:rsid w:val="004478F4"/>
    <w:rsid w:val="00451251"/>
    <w:rsid w:val="0045372C"/>
    <w:rsid w:val="00453CB6"/>
    <w:rsid w:val="00456F34"/>
    <w:rsid w:val="004675E9"/>
    <w:rsid w:val="004751C3"/>
    <w:rsid w:val="00482702"/>
    <w:rsid w:val="004852DE"/>
    <w:rsid w:val="00487457"/>
    <w:rsid w:val="004A101A"/>
    <w:rsid w:val="004A2B34"/>
    <w:rsid w:val="004B422D"/>
    <w:rsid w:val="004B679B"/>
    <w:rsid w:val="004C15E6"/>
    <w:rsid w:val="004C213F"/>
    <w:rsid w:val="004C2963"/>
    <w:rsid w:val="00500560"/>
    <w:rsid w:val="005065A9"/>
    <w:rsid w:val="0051125E"/>
    <w:rsid w:val="00517ECC"/>
    <w:rsid w:val="005238DF"/>
    <w:rsid w:val="00524618"/>
    <w:rsid w:val="005316BC"/>
    <w:rsid w:val="00532B14"/>
    <w:rsid w:val="0053450E"/>
    <w:rsid w:val="005411F5"/>
    <w:rsid w:val="00547434"/>
    <w:rsid w:val="00565C58"/>
    <w:rsid w:val="00570783"/>
    <w:rsid w:val="00570F61"/>
    <w:rsid w:val="00587566"/>
    <w:rsid w:val="005A2D83"/>
    <w:rsid w:val="005A3437"/>
    <w:rsid w:val="005A7389"/>
    <w:rsid w:val="005B0D71"/>
    <w:rsid w:val="005B1689"/>
    <w:rsid w:val="005B4642"/>
    <w:rsid w:val="005B79D7"/>
    <w:rsid w:val="005C2A16"/>
    <w:rsid w:val="005D150D"/>
    <w:rsid w:val="005D6EC7"/>
    <w:rsid w:val="005E3732"/>
    <w:rsid w:val="005F37A4"/>
    <w:rsid w:val="006017A7"/>
    <w:rsid w:val="00605822"/>
    <w:rsid w:val="006221DF"/>
    <w:rsid w:val="00622B45"/>
    <w:rsid w:val="00630DD1"/>
    <w:rsid w:val="00632B9E"/>
    <w:rsid w:val="0063472B"/>
    <w:rsid w:val="00637600"/>
    <w:rsid w:val="00647DD5"/>
    <w:rsid w:val="006507DA"/>
    <w:rsid w:val="00650B19"/>
    <w:rsid w:val="0066708E"/>
    <w:rsid w:val="00692E5A"/>
    <w:rsid w:val="00694FD5"/>
    <w:rsid w:val="0069577D"/>
    <w:rsid w:val="006A79BC"/>
    <w:rsid w:val="006B0523"/>
    <w:rsid w:val="006B3DF9"/>
    <w:rsid w:val="006D1A02"/>
    <w:rsid w:val="007079DA"/>
    <w:rsid w:val="007103AA"/>
    <w:rsid w:val="00711912"/>
    <w:rsid w:val="00716157"/>
    <w:rsid w:val="007630BC"/>
    <w:rsid w:val="00764B55"/>
    <w:rsid w:val="00765A44"/>
    <w:rsid w:val="0077477E"/>
    <w:rsid w:val="00776253"/>
    <w:rsid w:val="007814C1"/>
    <w:rsid w:val="00781677"/>
    <w:rsid w:val="00784461"/>
    <w:rsid w:val="00790087"/>
    <w:rsid w:val="00793FEF"/>
    <w:rsid w:val="007C640B"/>
    <w:rsid w:val="007D0FB0"/>
    <w:rsid w:val="007E264E"/>
    <w:rsid w:val="007E2703"/>
    <w:rsid w:val="007F18A7"/>
    <w:rsid w:val="00802491"/>
    <w:rsid w:val="00812A1E"/>
    <w:rsid w:val="00816F9C"/>
    <w:rsid w:val="00833F59"/>
    <w:rsid w:val="008370AA"/>
    <w:rsid w:val="00847665"/>
    <w:rsid w:val="00847777"/>
    <w:rsid w:val="00870CF9"/>
    <w:rsid w:val="00872D09"/>
    <w:rsid w:val="00872E67"/>
    <w:rsid w:val="00873C26"/>
    <w:rsid w:val="008878D3"/>
    <w:rsid w:val="00887F6E"/>
    <w:rsid w:val="00894630"/>
    <w:rsid w:val="0089771B"/>
    <w:rsid w:val="008A26B8"/>
    <w:rsid w:val="008A2BEE"/>
    <w:rsid w:val="008A3BE1"/>
    <w:rsid w:val="008A6011"/>
    <w:rsid w:val="008A6016"/>
    <w:rsid w:val="008B2B63"/>
    <w:rsid w:val="008B60AD"/>
    <w:rsid w:val="008B7DC4"/>
    <w:rsid w:val="008C1BAE"/>
    <w:rsid w:val="008C55F3"/>
    <w:rsid w:val="008D48B5"/>
    <w:rsid w:val="008E28E5"/>
    <w:rsid w:val="008F0AAA"/>
    <w:rsid w:val="008F5312"/>
    <w:rsid w:val="0091259D"/>
    <w:rsid w:val="009305C9"/>
    <w:rsid w:val="00931026"/>
    <w:rsid w:val="00936601"/>
    <w:rsid w:val="00936F17"/>
    <w:rsid w:val="0094072F"/>
    <w:rsid w:val="00942394"/>
    <w:rsid w:val="009463F6"/>
    <w:rsid w:val="009508FB"/>
    <w:rsid w:val="00952D9C"/>
    <w:rsid w:val="00961AEA"/>
    <w:rsid w:val="00970DCF"/>
    <w:rsid w:val="0097477F"/>
    <w:rsid w:val="00974DB3"/>
    <w:rsid w:val="00984AD0"/>
    <w:rsid w:val="009857C6"/>
    <w:rsid w:val="0098659F"/>
    <w:rsid w:val="00990010"/>
    <w:rsid w:val="00991125"/>
    <w:rsid w:val="00994AAB"/>
    <w:rsid w:val="00997595"/>
    <w:rsid w:val="009C3277"/>
    <w:rsid w:val="009D5EAC"/>
    <w:rsid w:val="009D671A"/>
    <w:rsid w:val="009F1369"/>
    <w:rsid w:val="009F46BE"/>
    <w:rsid w:val="009F5023"/>
    <w:rsid w:val="00A05251"/>
    <w:rsid w:val="00A1240C"/>
    <w:rsid w:val="00A136CC"/>
    <w:rsid w:val="00A14C11"/>
    <w:rsid w:val="00A20A3A"/>
    <w:rsid w:val="00A21CF7"/>
    <w:rsid w:val="00A24D1A"/>
    <w:rsid w:val="00A26F6E"/>
    <w:rsid w:val="00A34F33"/>
    <w:rsid w:val="00A44733"/>
    <w:rsid w:val="00A6239B"/>
    <w:rsid w:val="00A652F2"/>
    <w:rsid w:val="00A6547D"/>
    <w:rsid w:val="00A67F78"/>
    <w:rsid w:val="00A84E9C"/>
    <w:rsid w:val="00AC392D"/>
    <w:rsid w:val="00AD0A38"/>
    <w:rsid w:val="00AD10EE"/>
    <w:rsid w:val="00AD4D13"/>
    <w:rsid w:val="00AE4977"/>
    <w:rsid w:val="00AF1D42"/>
    <w:rsid w:val="00AF2E4A"/>
    <w:rsid w:val="00AF4E3A"/>
    <w:rsid w:val="00AF5724"/>
    <w:rsid w:val="00B02C8C"/>
    <w:rsid w:val="00B049C3"/>
    <w:rsid w:val="00B12F46"/>
    <w:rsid w:val="00B175E1"/>
    <w:rsid w:val="00B219F6"/>
    <w:rsid w:val="00B323DA"/>
    <w:rsid w:val="00B418F0"/>
    <w:rsid w:val="00B42370"/>
    <w:rsid w:val="00B576C4"/>
    <w:rsid w:val="00B579EE"/>
    <w:rsid w:val="00B6207D"/>
    <w:rsid w:val="00B639A2"/>
    <w:rsid w:val="00B65BD4"/>
    <w:rsid w:val="00B703CE"/>
    <w:rsid w:val="00B80E3C"/>
    <w:rsid w:val="00B8306E"/>
    <w:rsid w:val="00B87A27"/>
    <w:rsid w:val="00B903F2"/>
    <w:rsid w:val="00B90EC3"/>
    <w:rsid w:val="00B90F32"/>
    <w:rsid w:val="00B97D82"/>
    <w:rsid w:val="00BA0487"/>
    <w:rsid w:val="00BB467A"/>
    <w:rsid w:val="00BB74B3"/>
    <w:rsid w:val="00BC10C8"/>
    <w:rsid w:val="00BC3EE9"/>
    <w:rsid w:val="00BD0FAA"/>
    <w:rsid w:val="00BD1FE9"/>
    <w:rsid w:val="00BD4074"/>
    <w:rsid w:val="00BE0027"/>
    <w:rsid w:val="00BF1ED3"/>
    <w:rsid w:val="00BF4581"/>
    <w:rsid w:val="00BF53D8"/>
    <w:rsid w:val="00C15CD1"/>
    <w:rsid w:val="00C320EB"/>
    <w:rsid w:val="00C44347"/>
    <w:rsid w:val="00C50D24"/>
    <w:rsid w:val="00C57229"/>
    <w:rsid w:val="00C753F0"/>
    <w:rsid w:val="00C77E6B"/>
    <w:rsid w:val="00C94CD3"/>
    <w:rsid w:val="00CA3517"/>
    <w:rsid w:val="00CC063B"/>
    <w:rsid w:val="00CC16DC"/>
    <w:rsid w:val="00CC5995"/>
    <w:rsid w:val="00CD6C26"/>
    <w:rsid w:val="00CE2D2D"/>
    <w:rsid w:val="00CF2C96"/>
    <w:rsid w:val="00D01B89"/>
    <w:rsid w:val="00D14ED0"/>
    <w:rsid w:val="00D1635F"/>
    <w:rsid w:val="00D17FC2"/>
    <w:rsid w:val="00D33F07"/>
    <w:rsid w:val="00D342F6"/>
    <w:rsid w:val="00D36987"/>
    <w:rsid w:val="00D45C9E"/>
    <w:rsid w:val="00D51D41"/>
    <w:rsid w:val="00D572C3"/>
    <w:rsid w:val="00D61317"/>
    <w:rsid w:val="00D71DF6"/>
    <w:rsid w:val="00D72304"/>
    <w:rsid w:val="00D73256"/>
    <w:rsid w:val="00D737FF"/>
    <w:rsid w:val="00D740C9"/>
    <w:rsid w:val="00D75103"/>
    <w:rsid w:val="00D8369C"/>
    <w:rsid w:val="00DA0B3B"/>
    <w:rsid w:val="00DA4C86"/>
    <w:rsid w:val="00DA7B9A"/>
    <w:rsid w:val="00DB3D51"/>
    <w:rsid w:val="00DB47FF"/>
    <w:rsid w:val="00DB4CA7"/>
    <w:rsid w:val="00DB4F37"/>
    <w:rsid w:val="00DB5B44"/>
    <w:rsid w:val="00DB76AF"/>
    <w:rsid w:val="00DC238D"/>
    <w:rsid w:val="00DC3B0E"/>
    <w:rsid w:val="00DD23AE"/>
    <w:rsid w:val="00DD515A"/>
    <w:rsid w:val="00DF0C8C"/>
    <w:rsid w:val="00E02AFD"/>
    <w:rsid w:val="00E0728C"/>
    <w:rsid w:val="00E07451"/>
    <w:rsid w:val="00E1394F"/>
    <w:rsid w:val="00E20160"/>
    <w:rsid w:val="00E27FC6"/>
    <w:rsid w:val="00E3448E"/>
    <w:rsid w:val="00E4396C"/>
    <w:rsid w:val="00E515BF"/>
    <w:rsid w:val="00E66519"/>
    <w:rsid w:val="00E7009D"/>
    <w:rsid w:val="00E70120"/>
    <w:rsid w:val="00E74AE7"/>
    <w:rsid w:val="00E75AF8"/>
    <w:rsid w:val="00E82403"/>
    <w:rsid w:val="00EB434B"/>
    <w:rsid w:val="00EB5C97"/>
    <w:rsid w:val="00EC0C42"/>
    <w:rsid w:val="00EC1A51"/>
    <w:rsid w:val="00EC3AD6"/>
    <w:rsid w:val="00EC6479"/>
    <w:rsid w:val="00ED10CB"/>
    <w:rsid w:val="00EF6993"/>
    <w:rsid w:val="00F22C81"/>
    <w:rsid w:val="00F254F6"/>
    <w:rsid w:val="00F25590"/>
    <w:rsid w:val="00F528FF"/>
    <w:rsid w:val="00F62804"/>
    <w:rsid w:val="00F676A8"/>
    <w:rsid w:val="00F82FA0"/>
    <w:rsid w:val="00FA5EAC"/>
    <w:rsid w:val="00FA70EE"/>
    <w:rsid w:val="00FA7F35"/>
    <w:rsid w:val="00FB1A76"/>
    <w:rsid w:val="00FB3EBE"/>
    <w:rsid w:val="00FB6BE9"/>
    <w:rsid w:val="00FC558C"/>
    <w:rsid w:val="00FD7C97"/>
    <w:rsid w:val="00FE17D9"/>
    <w:rsid w:val="00FE445E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34DB"/>
  <w15:docId w15:val="{79518C4E-0C16-4581-A42E-0B446506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5293"/>
  </w:style>
  <w:style w:type="paragraph" w:styleId="Nadpis1">
    <w:name w:val="heading 1"/>
    <w:basedOn w:val="Normlny"/>
    <w:next w:val="Normlny"/>
    <w:link w:val="Nadpis1Char"/>
    <w:uiPriority w:val="9"/>
    <w:qFormat/>
    <w:rsid w:val="004C15E6"/>
    <w:pPr>
      <w:keepNext/>
      <w:keepLines/>
      <w:numPr>
        <w:numId w:val="3"/>
      </w:numPr>
      <w:spacing w:before="480" w:after="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1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D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vorlageberschrift1Automatisch">
    <w:name w:val="Formatvorlage Überschrift 1 + Automatisch"/>
    <w:basedOn w:val="Nadpis1"/>
    <w:rsid w:val="004C15E6"/>
    <w:pPr>
      <w:keepLines w:val="0"/>
      <w:numPr>
        <w:numId w:val="0"/>
      </w:numPr>
      <w:tabs>
        <w:tab w:val="left" w:pos="1871"/>
      </w:tabs>
      <w:spacing w:before="240" w:after="120" w:line="240" w:lineRule="auto"/>
    </w:pPr>
    <w:rPr>
      <w:rFonts w:ascii="Times New Roman" w:eastAsia="Times New Roman" w:hAnsi="Times New Roman" w:cs="Arial"/>
      <w:caps/>
      <w:color w:val="auto"/>
      <w:kern w:val="32"/>
      <w:sz w:val="24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4C1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vorlageberschrift2AutomatischBlock">
    <w:name w:val="Formatvorlage Überschrift 2 + Automatisch Block"/>
    <w:basedOn w:val="Nadpis2"/>
    <w:rsid w:val="004C15E6"/>
    <w:pPr>
      <w:keepLines w:val="0"/>
      <w:tabs>
        <w:tab w:val="left" w:pos="720"/>
      </w:tabs>
      <w:spacing w:before="240" w:after="120" w:line="240" w:lineRule="auto"/>
      <w:jc w:val="both"/>
    </w:pPr>
    <w:rPr>
      <w:rFonts w:ascii="Times New Roman" w:eastAsia="Times New Roman" w:hAnsi="Times New Roman" w:cs="Arial"/>
      <w:iCs/>
      <w:color w:val="auto"/>
      <w:sz w:val="24"/>
      <w:lang w:val="fr-FR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1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">
    <w:name w:val="Text"/>
    <w:basedOn w:val="Normlny"/>
    <w:link w:val="TextZchn"/>
    <w:qFormat/>
    <w:rsid w:val="004C15E6"/>
    <w:pPr>
      <w:spacing w:before="120" w:after="6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Hlavika">
    <w:name w:val="header"/>
    <w:basedOn w:val="Normlny"/>
    <w:link w:val="HlavikaChar"/>
    <w:unhideWhenUsed/>
    <w:rsid w:val="008C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8C55F3"/>
  </w:style>
  <w:style w:type="paragraph" w:styleId="Pta">
    <w:name w:val="footer"/>
    <w:basedOn w:val="Normlny"/>
    <w:link w:val="PtaChar"/>
    <w:uiPriority w:val="99"/>
    <w:unhideWhenUsed/>
    <w:rsid w:val="008C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5F3"/>
  </w:style>
  <w:style w:type="character" w:styleId="Odkaznakomentr">
    <w:name w:val="annotation reference"/>
    <w:basedOn w:val="Predvolenpsmoodseku"/>
    <w:uiPriority w:val="99"/>
    <w:semiHidden/>
    <w:unhideWhenUsed/>
    <w:rsid w:val="006507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07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07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07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07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07DA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7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767E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A343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238DF"/>
    <w:rPr>
      <w:color w:val="0000FF" w:themeColor="hyperlink"/>
      <w:u w:val="single"/>
    </w:rPr>
  </w:style>
  <w:style w:type="character" w:customStyle="1" w:styleId="TextZchn">
    <w:name w:val="Text Zchn"/>
    <w:link w:val="Text"/>
    <w:rsid w:val="00AC392D"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Revzia">
    <w:name w:val="Revision"/>
    <w:hidden/>
    <w:uiPriority w:val="99"/>
    <w:semiHidden/>
    <w:rsid w:val="00812A1E"/>
    <w:pPr>
      <w:spacing w:after="0" w:line="240" w:lineRule="auto"/>
    </w:pPr>
  </w:style>
  <w:style w:type="character" w:customStyle="1" w:styleId="TextChar1">
    <w:name w:val="Text Char1"/>
    <w:locked/>
    <w:rsid w:val="003A09B7"/>
    <w:rPr>
      <w:rFonts w:ascii="SimSun" w:hAnsi="SimSun"/>
      <w:color w:val="000000"/>
    </w:rPr>
  </w:style>
  <w:style w:type="paragraph" w:styleId="Bezriadkovania">
    <w:name w:val="No Spacing"/>
    <w:uiPriority w:val="1"/>
    <w:qFormat/>
    <w:rsid w:val="003A09B7"/>
    <w:pPr>
      <w:spacing w:after="0" w:line="240" w:lineRule="auto"/>
    </w:pPr>
  </w:style>
  <w:style w:type="paragraph" w:styleId="Zkladntext">
    <w:name w:val="Body Text"/>
    <w:basedOn w:val="Normlny"/>
    <w:link w:val="ZkladntextChar"/>
    <w:semiHidden/>
    <w:rsid w:val="0089771B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  <w:lang w:val="en-GB" w:eastAsia="fr-FR"/>
    </w:rPr>
  </w:style>
  <w:style w:type="character" w:customStyle="1" w:styleId="ZkladntextChar">
    <w:name w:val="Základný text Char"/>
    <w:basedOn w:val="Predvolenpsmoodseku"/>
    <w:link w:val="Zkladntext"/>
    <w:semiHidden/>
    <w:rsid w:val="0089771B"/>
    <w:rPr>
      <w:rFonts w:ascii="Times New Roman" w:eastAsia="Times New Roman" w:hAnsi="Times New Roman" w:cs="Times New Roman"/>
      <w:b/>
      <w:sz w:val="20"/>
      <w:szCs w:val="20"/>
      <w:u w:val="single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5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Cutaquig_SPC_en_Corr"/>
    <f:field ref="objsubject" par="" edit="true" text=""/>
    <f:field ref="objcreatedby" par="" text="Kerr, Jacqueline, Dr."/>
    <f:field ref="objcreatedat" par="" text="26.10.2018 10:15:13"/>
    <f:field ref="objchangedby" par="" text="Groß, Nannette, Dr."/>
    <f:field ref="objmodifiedat" par="" text="05.11.2018 14:18:00"/>
    <f:field ref="doc_FSCFOLIO_1_1001_FieldDocumentNumber" par="" text=""/>
    <f:field ref="doc_FSCFOLIO_1_1001_FieldSubject" par="" edit="true" text=""/>
    <f:field ref="FSCFOLIO_1_1001_FieldCurrentUser" par="" text="Dr. Nannette Groß"/>
    <f:field ref="CCAPRECONFIG_15_1001_Objektname" par="" edit="true" text="Cutaquig_SPC_en_Corr"/>
    <f:field ref="DEPRECONFIG_15_1001_Objektname" par="" edit="true" text="Cutaquig_SPC_en_Cor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DE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7D6105-70B8-4991-8681-6422BE3E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10</Pages>
  <Words>3468</Words>
  <Characters>19771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mpue translations</dc:creator>
  <cp:lastModifiedBy>Kristína Ráczová</cp:lastModifiedBy>
  <cp:revision>21</cp:revision>
  <dcterms:created xsi:type="dcterms:W3CDTF">2019-01-29T13:16:00Z</dcterms:created>
  <dcterms:modified xsi:type="dcterms:W3CDTF">2019-04-12T11:10:00Z</dcterms:modified>
  <cp:contentStatus>ue</cp:contentStatus>
</cp:coreProperties>
</file>