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234993" w14:textId="77777777" w:rsidR="002C32AB" w:rsidRDefault="002C32AB" w:rsidP="003E3C22">
      <w:pPr>
        <w:tabs>
          <w:tab w:val="clear" w:pos="567"/>
        </w:tabs>
        <w:spacing w:line="240" w:lineRule="auto"/>
        <w:jc w:val="center"/>
        <w:rPr>
          <w:b/>
          <w:caps/>
          <w:noProof/>
          <w:szCs w:val="22"/>
          <w:lang w:val="sk-SK"/>
        </w:rPr>
      </w:pPr>
      <w:bookmarkStart w:id="0" w:name="_GoBack"/>
      <w:bookmarkEnd w:id="0"/>
    </w:p>
    <w:p w14:paraId="54CA4B57" w14:textId="77777777" w:rsidR="003E3C22" w:rsidRPr="00C71582" w:rsidRDefault="003E3C22" w:rsidP="003E3C22">
      <w:pPr>
        <w:tabs>
          <w:tab w:val="clear" w:pos="567"/>
        </w:tabs>
        <w:spacing w:line="240" w:lineRule="auto"/>
        <w:jc w:val="center"/>
        <w:rPr>
          <w:b/>
          <w:caps/>
          <w:noProof/>
          <w:szCs w:val="22"/>
          <w:lang w:val="sk-SK"/>
        </w:rPr>
      </w:pPr>
      <w:r>
        <w:rPr>
          <w:b/>
          <w:caps/>
          <w:noProof/>
          <w:szCs w:val="22"/>
          <w:lang w:val="sk-SK"/>
        </w:rPr>
        <w:t>súhrn charakteristických vlastností</w:t>
      </w:r>
    </w:p>
    <w:p w14:paraId="6FB9389F" w14:textId="77777777" w:rsidR="003E3C22" w:rsidRDefault="003E3C22" w:rsidP="003E3C22">
      <w:pPr>
        <w:tabs>
          <w:tab w:val="clear" w:pos="567"/>
        </w:tabs>
        <w:spacing w:line="240" w:lineRule="auto"/>
        <w:rPr>
          <w:b/>
          <w:noProof/>
          <w:szCs w:val="22"/>
          <w:lang w:val="sk-SK"/>
        </w:rPr>
      </w:pPr>
    </w:p>
    <w:p w14:paraId="2FBE1ACF" w14:textId="77777777" w:rsidR="004B274D" w:rsidRDefault="004B274D" w:rsidP="003E3C22">
      <w:pPr>
        <w:tabs>
          <w:tab w:val="clear" w:pos="567"/>
        </w:tabs>
        <w:spacing w:line="240" w:lineRule="auto"/>
        <w:rPr>
          <w:b/>
          <w:noProof/>
          <w:szCs w:val="22"/>
          <w:lang w:val="sk-SK"/>
        </w:rPr>
      </w:pPr>
    </w:p>
    <w:p w14:paraId="2B17322B" w14:textId="77777777" w:rsidR="003E3C22" w:rsidRPr="004229C9" w:rsidRDefault="003E3C22" w:rsidP="003E3C22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4229C9">
        <w:rPr>
          <w:b/>
          <w:noProof/>
          <w:szCs w:val="22"/>
          <w:lang w:val="sk-SK"/>
        </w:rPr>
        <w:t>1.</w:t>
      </w:r>
      <w:r w:rsidRPr="004229C9">
        <w:rPr>
          <w:b/>
          <w:noProof/>
          <w:szCs w:val="22"/>
          <w:lang w:val="sk-SK"/>
        </w:rPr>
        <w:tab/>
        <w:t xml:space="preserve">NÁZOV LIEKU </w:t>
      </w:r>
    </w:p>
    <w:p w14:paraId="33EC7397" w14:textId="77777777" w:rsidR="003E3C22" w:rsidRPr="004229C9" w:rsidRDefault="003E3C22" w:rsidP="003E3C22">
      <w:pPr>
        <w:rPr>
          <w:noProof/>
          <w:szCs w:val="22"/>
          <w:lang w:val="sk-SK"/>
        </w:rPr>
      </w:pPr>
      <w:r w:rsidRPr="004229C9">
        <w:rPr>
          <w:iCs/>
          <w:noProof/>
          <w:szCs w:val="22"/>
          <w:lang w:val="sk-SK"/>
        </w:rPr>
        <w:t xml:space="preserve">             </w:t>
      </w:r>
    </w:p>
    <w:p w14:paraId="111B24C6" w14:textId="77777777" w:rsidR="003E3C22" w:rsidRPr="004229C9" w:rsidRDefault="003E3C22" w:rsidP="003E3C22">
      <w:pPr>
        <w:rPr>
          <w:iCs/>
          <w:lang w:val="sk-SK"/>
        </w:rPr>
      </w:pPr>
      <w:r w:rsidRPr="004229C9">
        <w:rPr>
          <w:iCs/>
          <w:lang w:val="sk-SK"/>
        </w:rPr>
        <w:tab/>
        <w:t xml:space="preserve"> </w:t>
      </w:r>
    </w:p>
    <w:p w14:paraId="595E8D41" w14:textId="77777777" w:rsidR="003E3C22" w:rsidRPr="004229C9" w:rsidRDefault="003E3C22" w:rsidP="00233E28">
      <w:pPr>
        <w:tabs>
          <w:tab w:val="clear" w:pos="567"/>
        </w:tabs>
        <w:spacing w:after="120"/>
        <w:rPr>
          <w:lang w:val="sk-SK"/>
        </w:rPr>
      </w:pPr>
      <w:proofErr w:type="spellStart"/>
      <w:r w:rsidRPr="004229C9">
        <w:rPr>
          <w:lang w:val="sk-SK"/>
        </w:rPr>
        <w:t>Cefotaxim</w:t>
      </w:r>
      <w:proofErr w:type="spellEnd"/>
      <w:r w:rsidRPr="004229C9">
        <w:rPr>
          <w:lang w:val="sk-SK"/>
        </w:rPr>
        <w:t xml:space="preserve"> </w:t>
      </w:r>
      <w:proofErr w:type="spellStart"/>
      <w:r w:rsidRPr="004229C9">
        <w:rPr>
          <w:lang w:val="sk-SK"/>
        </w:rPr>
        <w:t>Eberth</w:t>
      </w:r>
      <w:proofErr w:type="spellEnd"/>
      <w:r w:rsidRPr="004229C9">
        <w:rPr>
          <w:lang w:val="sk-SK"/>
        </w:rPr>
        <w:t xml:space="preserve"> 0,5 g prášok na injekčný roztok</w:t>
      </w:r>
      <w:r>
        <w:rPr>
          <w:lang w:val="sk-SK"/>
        </w:rPr>
        <w:t>.</w:t>
      </w:r>
    </w:p>
    <w:p w14:paraId="1B5DE1D7" w14:textId="77777777" w:rsidR="003E3C22" w:rsidRPr="00AA56D7" w:rsidRDefault="003E3C22" w:rsidP="00233E28">
      <w:pPr>
        <w:tabs>
          <w:tab w:val="clear" w:pos="567"/>
        </w:tabs>
        <w:spacing w:after="120"/>
        <w:rPr>
          <w:lang w:val="sk-SK"/>
        </w:rPr>
      </w:pPr>
      <w:proofErr w:type="spellStart"/>
      <w:r w:rsidRPr="00375505">
        <w:rPr>
          <w:shd w:val="clear" w:color="auto" w:fill="BFBFBF"/>
          <w:lang w:val="sk-SK"/>
        </w:rPr>
        <w:t>Cefotaxim</w:t>
      </w:r>
      <w:proofErr w:type="spellEnd"/>
      <w:r w:rsidRPr="00375505">
        <w:rPr>
          <w:shd w:val="clear" w:color="auto" w:fill="BFBFBF"/>
          <w:lang w:val="sk-SK"/>
        </w:rPr>
        <w:t xml:space="preserve"> </w:t>
      </w:r>
      <w:proofErr w:type="spellStart"/>
      <w:r w:rsidRPr="00375505">
        <w:rPr>
          <w:shd w:val="clear" w:color="auto" w:fill="BFBFBF"/>
          <w:lang w:val="sk-SK"/>
        </w:rPr>
        <w:t>Eberth</w:t>
      </w:r>
      <w:proofErr w:type="spellEnd"/>
      <w:r w:rsidRPr="00375505">
        <w:rPr>
          <w:shd w:val="clear" w:color="auto" w:fill="BFBFBF"/>
          <w:lang w:val="sk-SK"/>
        </w:rPr>
        <w:t xml:space="preserve"> 1 g prášok na injekčný alebo infúzny roztok.</w:t>
      </w:r>
    </w:p>
    <w:p w14:paraId="7BADA5CE" w14:textId="77777777" w:rsidR="003E3C22" w:rsidRPr="004229C9" w:rsidRDefault="003E3C22" w:rsidP="00233E28">
      <w:pPr>
        <w:tabs>
          <w:tab w:val="clear" w:pos="567"/>
        </w:tabs>
        <w:rPr>
          <w:lang w:val="sk-SK"/>
        </w:rPr>
      </w:pPr>
      <w:proofErr w:type="spellStart"/>
      <w:r w:rsidRPr="00375505">
        <w:rPr>
          <w:shd w:val="clear" w:color="auto" w:fill="BFBFBF"/>
          <w:lang w:val="sk-SK"/>
        </w:rPr>
        <w:t>Cefotaxim</w:t>
      </w:r>
      <w:proofErr w:type="spellEnd"/>
      <w:r w:rsidRPr="00375505">
        <w:rPr>
          <w:shd w:val="clear" w:color="auto" w:fill="BFBFBF"/>
          <w:lang w:val="sk-SK"/>
        </w:rPr>
        <w:t xml:space="preserve"> </w:t>
      </w:r>
      <w:proofErr w:type="spellStart"/>
      <w:r w:rsidRPr="00375505">
        <w:rPr>
          <w:shd w:val="clear" w:color="auto" w:fill="BFBFBF"/>
          <w:lang w:val="sk-SK"/>
        </w:rPr>
        <w:t>Eberth</w:t>
      </w:r>
      <w:proofErr w:type="spellEnd"/>
      <w:r w:rsidRPr="00375505">
        <w:rPr>
          <w:shd w:val="clear" w:color="auto" w:fill="BFBFBF"/>
          <w:lang w:val="sk-SK"/>
        </w:rPr>
        <w:t xml:space="preserve"> 2 g prášok na injekčný alebo infúzny roztok.</w:t>
      </w:r>
    </w:p>
    <w:p w14:paraId="4FBED296" w14:textId="77777777" w:rsidR="003E3C22" w:rsidRPr="004229C9" w:rsidRDefault="003E3C22" w:rsidP="004B274D">
      <w:pPr>
        <w:rPr>
          <w:lang w:val="sk-SK"/>
        </w:rPr>
      </w:pPr>
    </w:p>
    <w:p w14:paraId="66A19CFB" w14:textId="77777777" w:rsidR="003E3C22" w:rsidRPr="004229C9" w:rsidRDefault="003E3C22" w:rsidP="003E3C22">
      <w:pPr>
        <w:rPr>
          <w:iCs/>
          <w:lang w:val="sk-SK"/>
        </w:rPr>
      </w:pPr>
    </w:p>
    <w:p w14:paraId="611036E0" w14:textId="77777777" w:rsidR="003E3C22" w:rsidRPr="004229C9" w:rsidRDefault="003E3C22" w:rsidP="003E3C22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4229C9">
        <w:rPr>
          <w:b/>
          <w:noProof/>
          <w:szCs w:val="22"/>
          <w:lang w:val="sk-SK"/>
        </w:rPr>
        <w:t>2.</w:t>
      </w:r>
      <w:r w:rsidRPr="004229C9">
        <w:rPr>
          <w:b/>
          <w:noProof/>
          <w:szCs w:val="22"/>
          <w:lang w:val="sk-SK"/>
        </w:rPr>
        <w:tab/>
        <w:t>KVALITATÍVNE A KVANTITATÍVNE ZLOŽENIE</w:t>
      </w:r>
    </w:p>
    <w:p w14:paraId="46162C95" w14:textId="77777777" w:rsidR="003E3C22" w:rsidRPr="004229C9" w:rsidRDefault="003E3C22" w:rsidP="003E3C22">
      <w:pPr>
        <w:widowControl w:val="0"/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</w:p>
    <w:p w14:paraId="5BB9179C" w14:textId="77777777" w:rsidR="00415BFA" w:rsidRDefault="00415BFA" w:rsidP="00233E28">
      <w:pPr>
        <w:widowControl w:val="0"/>
        <w:spacing w:line="240" w:lineRule="auto"/>
        <w:jc w:val="both"/>
        <w:rPr>
          <w:lang w:val="sk-SK"/>
        </w:rPr>
      </w:pPr>
      <w:proofErr w:type="spellStart"/>
      <w:r w:rsidRPr="004229C9">
        <w:rPr>
          <w:lang w:val="sk-SK"/>
        </w:rPr>
        <w:t>Cefotaxim</w:t>
      </w:r>
      <w:proofErr w:type="spellEnd"/>
      <w:r w:rsidRPr="004229C9">
        <w:rPr>
          <w:lang w:val="sk-SK"/>
        </w:rPr>
        <w:t xml:space="preserve"> </w:t>
      </w:r>
      <w:proofErr w:type="spellStart"/>
      <w:r w:rsidRPr="004229C9">
        <w:rPr>
          <w:lang w:val="sk-SK"/>
        </w:rPr>
        <w:t>Eberth</w:t>
      </w:r>
      <w:proofErr w:type="spellEnd"/>
      <w:r w:rsidRPr="004229C9">
        <w:rPr>
          <w:lang w:val="sk-SK"/>
        </w:rPr>
        <w:t xml:space="preserve"> 0,5 g</w:t>
      </w:r>
    </w:p>
    <w:p w14:paraId="66CBA073" w14:textId="01CD9ED6" w:rsidR="003E3C22" w:rsidRPr="004229C9" w:rsidRDefault="003E3C22" w:rsidP="00233E28">
      <w:pPr>
        <w:widowControl w:val="0"/>
        <w:spacing w:after="120" w:line="240" w:lineRule="auto"/>
        <w:jc w:val="both"/>
        <w:rPr>
          <w:lang w:val="sk-SK"/>
        </w:rPr>
      </w:pPr>
      <w:r w:rsidRPr="004229C9">
        <w:rPr>
          <w:lang w:val="sk-SK"/>
        </w:rPr>
        <w:t>Každá</w:t>
      </w:r>
      <w:r w:rsidR="00EB6896">
        <w:rPr>
          <w:lang w:val="sk-SK"/>
        </w:rPr>
        <w:t xml:space="preserve"> </w:t>
      </w:r>
      <w:r w:rsidRPr="004229C9">
        <w:rPr>
          <w:lang w:val="sk-SK"/>
        </w:rPr>
        <w:t>injekčná</w:t>
      </w:r>
      <w:r w:rsidR="00EB6896">
        <w:rPr>
          <w:lang w:val="sk-SK"/>
        </w:rPr>
        <w:t xml:space="preserve"> </w:t>
      </w:r>
      <w:r w:rsidRPr="004229C9">
        <w:rPr>
          <w:lang w:val="sk-SK"/>
        </w:rPr>
        <w:t xml:space="preserve">liekovka obsahuje </w:t>
      </w:r>
      <w:r w:rsidR="001835B8">
        <w:rPr>
          <w:lang w:val="sk-SK"/>
        </w:rPr>
        <w:t>0</w:t>
      </w:r>
      <w:r w:rsidR="007A23C5">
        <w:rPr>
          <w:lang w:val="sk-SK"/>
        </w:rPr>
        <w:t>,</w:t>
      </w:r>
      <w:r w:rsidR="001835B8">
        <w:rPr>
          <w:lang w:val="sk-SK"/>
        </w:rPr>
        <w:t>524</w:t>
      </w:r>
      <w:r w:rsidR="007A23C5">
        <w:rPr>
          <w:lang w:val="sk-SK"/>
        </w:rPr>
        <w:t xml:space="preserve"> </w:t>
      </w:r>
      <w:r w:rsidRPr="004229C9">
        <w:rPr>
          <w:lang w:val="sk-SK"/>
        </w:rPr>
        <w:t xml:space="preserve">g </w:t>
      </w:r>
      <w:r w:rsidR="00DE4047" w:rsidRPr="005B6E14">
        <w:rPr>
          <w:lang w:val="sk-SK"/>
        </w:rPr>
        <w:t>sod</w:t>
      </w:r>
      <w:r w:rsidR="00DE4047" w:rsidRPr="00686F35">
        <w:rPr>
          <w:lang w:val="sk-SK"/>
        </w:rPr>
        <w:t xml:space="preserve">nej soli </w:t>
      </w:r>
      <w:proofErr w:type="spellStart"/>
      <w:r>
        <w:rPr>
          <w:lang w:val="sk-SK"/>
        </w:rPr>
        <w:t>cefotaxím</w:t>
      </w:r>
      <w:r w:rsidRPr="004229C9">
        <w:rPr>
          <w:lang w:val="sk-SK"/>
        </w:rPr>
        <w:t>u</w:t>
      </w:r>
      <w:proofErr w:type="spellEnd"/>
      <w:r w:rsidR="00A32D14">
        <w:rPr>
          <w:lang w:val="sk-SK"/>
        </w:rPr>
        <w:t>,</w:t>
      </w:r>
      <w:r w:rsidRPr="004229C9">
        <w:rPr>
          <w:lang w:val="sk-SK"/>
        </w:rPr>
        <w:t xml:space="preserve"> </w:t>
      </w:r>
      <w:r w:rsidR="00A32D14" w:rsidRPr="00233E28">
        <w:rPr>
          <w:szCs w:val="22"/>
          <w:lang w:val="sk-SK"/>
        </w:rPr>
        <w:t>čo zodpovedá</w:t>
      </w:r>
      <w:r w:rsidR="00DE4047" w:rsidRPr="00DE4047">
        <w:rPr>
          <w:lang w:val="sk-SK"/>
        </w:rPr>
        <w:t xml:space="preserve"> 0,5 g</w:t>
      </w:r>
      <w:r w:rsidR="00DE4047" w:rsidRPr="00DE4047" w:rsidDel="00DE4047">
        <w:rPr>
          <w:lang w:val="sk-SK"/>
        </w:rPr>
        <w:t xml:space="preserve"> </w:t>
      </w:r>
      <w:r w:rsidRPr="004229C9">
        <w:rPr>
          <w:lang w:val="sk-SK"/>
        </w:rPr>
        <w:t xml:space="preserve"> </w:t>
      </w:r>
      <w:proofErr w:type="spellStart"/>
      <w:r>
        <w:rPr>
          <w:lang w:val="sk-SK"/>
        </w:rPr>
        <w:t>cefotaxímu</w:t>
      </w:r>
      <w:proofErr w:type="spellEnd"/>
      <w:r w:rsidR="00140A3E">
        <w:rPr>
          <w:lang w:val="sk-SK"/>
        </w:rPr>
        <w:t>.</w:t>
      </w:r>
    </w:p>
    <w:p w14:paraId="2CD74162" w14:textId="39604402" w:rsidR="00415BFA" w:rsidRPr="00233E28" w:rsidRDefault="00415BFA" w:rsidP="00233E28">
      <w:pPr>
        <w:widowControl w:val="0"/>
        <w:tabs>
          <w:tab w:val="clear" w:pos="567"/>
          <w:tab w:val="left" w:pos="0"/>
        </w:tabs>
        <w:rPr>
          <w:highlight w:val="lightGray"/>
          <w:lang w:val="sk-SK"/>
        </w:rPr>
      </w:pPr>
      <w:proofErr w:type="spellStart"/>
      <w:r w:rsidRPr="00233E28">
        <w:rPr>
          <w:highlight w:val="lightGray"/>
          <w:lang w:val="sk-SK"/>
        </w:rPr>
        <w:t>Cefotaxim</w:t>
      </w:r>
      <w:proofErr w:type="spellEnd"/>
      <w:r w:rsidRPr="00233E28">
        <w:rPr>
          <w:highlight w:val="lightGray"/>
          <w:lang w:val="sk-SK"/>
        </w:rPr>
        <w:t xml:space="preserve"> </w:t>
      </w:r>
      <w:proofErr w:type="spellStart"/>
      <w:r w:rsidRPr="00233E28">
        <w:rPr>
          <w:highlight w:val="lightGray"/>
          <w:lang w:val="sk-SK"/>
        </w:rPr>
        <w:t>Eberth</w:t>
      </w:r>
      <w:proofErr w:type="spellEnd"/>
      <w:r w:rsidRPr="00233E28">
        <w:rPr>
          <w:highlight w:val="lightGray"/>
          <w:lang w:val="sk-SK"/>
        </w:rPr>
        <w:t xml:space="preserve"> 1 g</w:t>
      </w:r>
    </w:p>
    <w:p w14:paraId="58F40BC4" w14:textId="61B6C015" w:rsidR="003E3C22" w:rsidRPr="00336205" w:rsidRDefault="003E3C22" w:rsidP="00233E28">
      <w:pPr>
        <w:widowControl w:val="0"/>
        <w:tabs>
          <w:tab w:val="clear" w:pos="567"/>
          <w:tab w:val="left" w:pos="0"/>
        </w:tabs>
        <w:spacing w:after="120"/>
        <w:rPr>
          <w:lang w:val="sk-SK"/>
        </w:rPr>
      </w:pPr>
      <w:r w:rsidRPr="00233E28">
        <w:rPr>
          <w:highlight w:val="lightGray"/>
          <w:lang w:val="sk-SK"/>
        </w:rPr>
        <w:t>Každá injek</w:t>
      </w:r>
      <w:r w:rsidRPr="00233E28">
        <w:rPr>
          <w:rFonts w:hint="eastAsia"/>
          <w:highlight w:val="lightGray"/>
          <w:lang w:val="sk-SK"/>
        </w:rPr>
        <w:t>č</w:t>
      </w:r>
      <w:r w:rsidRPr="00233E28">
        <w:rPr>
          <w:highlight w:val="lightGray"/>
          <w:lang w:val="sk-SK"/>
        </w:rPr>
        <w:t>ná liekovka obsahuje</w:t>
      </w:r>
      <w:r w:rsidR="00EB6896" w:rsidRPr="00233E28">
        <w:rPr>
          <w:highlight w:val="lightGray"/>
          <w:lang w:val="sk-SK"/>
        </w:rPr>
        <w:t xml:space="preserve"> 1,048 g sodnej soli </w:t>
      </w:r>
      <w:proofErr w:type="spellStart"/>
      <w:r w:rsidR="00EB6896" w:rsidRPr="00233E28">
        <w:rPr>
          <w:highlight w:val="lightGray"/>
          <w:lang w:val="sk-SK"/>
        </w:rPr>
        <w:t>cefotaxímu</w:t>
      </w:r>
      <w:proofErr w:type="spellEnd"/>
      <w:r w:rsidR="00906CA4" w:rsidRPr="00233E28">
        <w:rPr>
          <w:highlight w:val="lightGray"/>
          <w:lang w:val="sk-SK"/>
        </w:rPr>
        <w:t xml:space="preserve">, </w:t>
      </w:r>
      <w:r w:rsidR="00906CA4" w:rsidRPr="00233E28">
        <w:rPr>
          <w:rFonts w:hint="eastAsia"/>
          <w:highlight w:val="lightGray"/>
          <w:lang w:val="sk-SK"/>
        </w:rPr>
        <w:t>č</w:t>
      </w:r>
      <w:r w:rsidR="00906CA4" w:rsidRPr="00233E28">
        <w:rPr>
          <w:highlight w:val="lightGray"/>
          <w:lang w:val="sk-SK"/>
        </w:rPr>
        <w:t xml:space="preserve">o zodpovedá </w:t>
      </w:r>
      <w:r w:rsidRPr="00233E28">
        <w:rPr>
          <w:highlight w:val="lightGray"/>
          <w:lang w:val="sk-SK"/>
        </w:rPr>
        <w:t xml:space="preserve">1 g </w:t>
      </w:r>
      <w:proofErr w:type="spellStart"/>
      <w:r w:rsidRPr="00233E28">
        <w:rPr>
          <w:highlight w:val="lightGray"/>
          <w:lang w:val="sk-SK"/>
        </w:rPr>
        <w:t>cefotaxímu</w:t>
      </w:r>
      <w:proofErr w:type="spellEnd"/>
      <w:r w:rsidR="0043121C" w:rsidRPr="00233E28">
        <w:rPr>
          <w:highlight w:val="lightGray"/>
          <w:lang w:val="sk-SK"/>
        </w:rPr>
        <w:t>.</w:t>
      </w:r>
      <w:r w:rsidRPr="00336205">
        <w:rPr>
          <w:lang w:val="sk-SK"/>
        </w:rPr>
        <w:t xml:space="preserve"> </w:t>
      </w:r>
    </w:p>
    <w:p w14:paraId="25743CC4" w14:textId="3AF3E0F6" w:rsidR="00C57978" w:rsidRPr="00233E28" w:rsidRDefault="00C57978" w:rsidP="00233E28">
      <w:pPr>
        <w:widowControl w:val="0"/>
        <w:tabs>
          <w:tab w:val="clear" w:pos="567"/>
          <w:tab w:val="left" w:pos="0"/>
        </w:tabs>
        <w:rPr>
          <w:highlight w:val="lightGray"/>
          <w:lang w:val="sk-SK"/>
        </w:rPr>
      </w:pPr>
      <w:proofErr w:type="spellStart"/>
      <w:r w:rsidRPr="00233E28">
        <w:rPr>
          <w:highlight w:val="lightGray"/>
          <w:lang w:val="sk-SK"/>
        </w:rPr>
        <w:t>Cefotaxim</w:t>
      </w:r>
      <w:proofErr w:type="spellEnd"/>
      <w:r w:rsidRPr="00233E28">
        <w:rPr>
          <w:highlight w:val="lightGray"/>
          <w:lang w:val="sk-SK"/>
        </w:rPr>
        <w:t xml:space="preserve"> </w:t>
      </w:r>
      <w:proofErr w:type="spellStart"/>
      <w:r w:rsidRPr="00233E28">
        <w:rPr>
          <w:highlight w:val="lightGray"/>
          <w:lang w:val="sk-SK"/>
        </w:rPr>
        <w:t>Eberth</w:t>
      </w:r>
      <w:proofErr w:type="spellEnd"/>
      <w:r w:rsidRPr="00233E28">
        <w:rPr>
          <w:highlight w:val="lightGray"/>
          <w:lang w:val="sk-SK"/>
        </w:rPr>
        <w:t xml:space="preserve"> 2 g</w:t>
      </w:r>
    </w:p>
    <w:p w14:paraId="774BE784" w14:textId="77BF2A46" w:rsidR="003E3C22" w:rsidRPr="00336205" w:rsidRDefault="003E3C22" w:rsidP="00233E28">
      <w:pPr>
        <w:widowControl w:val="0"/>
        <w:tabs>
          <w:tab w:val="clear" w:pos="567"/>
          <w:tab w:val="left" w:pos="0"/>
        </w:tabs>
        <w:rPr>
          <w:lang w:val="sk-SK"/>
        </w:rPr>
      </w:pPr>
      <w:r w:rsidRPr="00233E28">
        <w:rPr>
          <w:highlight w:val="lightGray"/>
          <w:lang w:val="sk-SK"/>
        </w:rPr>
        <w:t>Každá injek</w:t>
      </w:r>
      <w:r w:rsidRPr="00233E28">
        <w:rPr>
          <w:rFonts w:hint="eastAsia"/>
          <w:highlight w:val="lightGray"/>
          <w:lang w:val="sk-SK"/>
        </w:rPr>
        <w:t>č</w:t>
      </w:r>
      <w:r w:rsidRPr="00233E28">
        <w:rPr>
          <w:highlight w:val="lightGray"/>
          <w:lang w:val="sk-SK"/>
        </w:rPr>
        <w:t>ná liekovka obsahuje</w:t>
      </w:r>
      <w:r w:rsidR="000257A6" w:rsidRPr="00233E28">
        <w:rPr>
          <w:highlight w:val="lightGray"/>
          <w:lang w:val="sk-SK"/>
        </w:rPr>
        <w:t xml:space="preserve"> 2,096 g sodnej soli </w:t>
      </w:r>
      <w:proofErr w:type="spellStart"/>
      <w:r w:rsidR="000257A6" w:rsidRPr="00233E28">
        <w:rPr>
          <w:highlight w:val="lightGray"/>
          <w:lang w:val="sk-SK"/>
        </w:rPr>
        <w:t>cefotaxímu</w:t>
      </w:r>
      <w:proofErr w:type="spellEnd"/>
      <w:r w:rsidR="00906CA4" w:rsidRPr="00233E28">
        <w:rPr>
          <w:highlight w:val="lightGray"/>
          <w:lang w:val="sk-SK"/>
        </w:rPr>
        <w:t xml:space="preserve">, </w:t>
      </w:r>
      <w:r w:rsidR="00906CA4" w:rsidRPr="00233E28">
        <w:rPr>
          <w:rFonts w:hint="eastAsia"/>
          <w:highlight w:val="lightGray"/>
          <w:lang w:val="sk-SK"/>
        </w:rPr>
        <w:t>č</w:t>
      </w:r>
      <w:r w:rsidR="00906CA4" w:rsidRPr="00233E28">
        <w:rPr>
          <w:highlight w:val="lightGray"/>
          <w:lang w:val="sk-SK"/>
        </w:rPr>
        <w:t>o zodpovedá</w:t>
      </w:r>
      <w:r w:rsidR="00B409BA" w:rsidRPr="00233E28">
        <w:rPr>
          <w:highlight w:val="lightGray"/>
          <w:lang w:val="sk-SK"/>
        </w:rPr>
        <w:t xml:space="preserve"> </w:t>
      </w:r>
      <w:r w:rsidRPr="00233E28">
        <w:rPr>
          <w:highlight w:val="lightGray"/>
          <w:lang w:val="sk-SK"/>
        </w:rPr>
        <w:t xml:space="preserve">2 g </w:t>
      </w:r>
      <w:proofErr w:type="spellStart"/>
      <w:r w:rsidRPr="00233E28">
        <w:rPr>
          <w:highlight w:val="lightGray"/>
          <w:lang w:val="sk-SK"/>
        </w:rPr>
        <w:t>cefotaxímu</w:t>
      </w:r>
      <w:proofErr w:type="spellEnd"/>
      <w:r>
        <w:rPr>
          <w:lang w:val="sk-SK"/>
        </w:rPr>
        <w:t>.</w:t>
      </w:r>
    </w:p>
    <w:p w14:paraId="35FDBBA0" w14:textId="77777777" w:rsidR="003E3C22" w:rsidRDefault="003E3C22" w:rsidP="004B274D">
      <w:pPr>
        <w:widowControl w:val="0"/>
        <w:spacing w:line="240" w:lineRule="auto"/>
        <w:ind w:left="601"/>
        <w:jc w:val="both"/>
        <w:rPr>
          <w:lang w:val="sk-SK"/>
        </w:rPr>
      </w:pPr>
    </w:p>
    <w:p w14:paraId="6213A896" w14:textId="6C63DAE0" w:rsidR="003E3C22" w:rsidRPr="00233E28" w:rsidRDefault="003E3C22" w:rsidP="00233E28">
      <w:pPr>
        <w:widowControl w:val="0"/>
        <w:spacing w:line="360" w:lineRule="auto"/>
        <w:jc w:val="both"/>
        <w:rPr>
          <w:u w:val="single"/>
          <w:lang w:val="sk-SK"/>
        </w:rPr>
      </w:pPr>
      <w:r w:rsidRPr="00233E28">
        <w:rPr>
          <w:u w:val="single"/>
          <w:lang w:val="sk-SK"/>
        </w:rPr>
        <w:t>Pomocn</w:t>
      </w:r>
      <w:r w:rsidR="00A548B5" w:rsidRPr="00233E28">
        <w:rPr>
          <w:u w:val="single"/>
          <w:lang w:val="sk-SK"/>
        </w:rPr>
        <w:t>á</w:t>
      </w:r>
      <w:r w:rsidRPr="00233E28">
        <w:rPr>
          <w:u w:val="single"/>
          <w:lang w:val="sk-SK"/>
        </w:rPr>
        <w:t xml:space="preserve"> látk</w:t>
      </w:r>
      <w:r w:rsidR="00A548B5" w:rsidRPr="00233E28">
        <w:rPr>
          <w:u w:val="single"/>
          <w:lang w:val="sk-SK"/>
        </w:rPr>
        <w:t>a</w:t>
      </w:r>
      <w:r w:rsidR="00365491" w:rsidRPr="00233E28">
        <w:rPr>
          <w:u w:val="single"/>
          <w:lang w:val="sk-SK"/>
        </w:rPr>
        <w:t xml:space="preserve"> so známym účinkom</w:t>
      </w:r>
      <w:r w:rsidRPr="00233E28">
        <w:rPr>
          <w:u w:val="single"/>
          <w:lang w:val="sk-SK"/>
        </w:rPr>
        <w:t xml:space="preserve">: </w:t>
      </w:r>
    </w:p>
    <w:p w14:paraId="27377CED" w14:textId="59C6FAB9" w:rsidR="003E3C22" w:rsidRPr="004229C9" w:rsidRDefault="00365491" w:rsidP="00233E28">
      <w:pPr>
        <w:widowControl w:val="0"/>
        <w:spacing w:line="240" w:lineRule="auto"/>
        <w:jc w:val="both"/>
        <w:rPr>
          <w:lang w:val="sk-SK"/>
        </w:rPr>
      </w:pPr>
      <w:proofErr w:type="spellStart"/>
      <w:r w:rsidRPr="004229C9">
        <w:rPr>
          <w:lang w:val="sk-SK"/>
        </w:rPr>
        <w:t>Cefotaxim</w:t>
      </w:r>
      <w:proofErr w:type="spellEnd"/>
      <w:r w:rsidRPr="004229C9">
        <w:rPr>
          <w:lang w:val="sk-SK"/>
        </w:rPr>
        <w:t xml:space="preserve"> </w:t>
      </w:r>
      <w:proofErr w:type="spellStart"/>
      <w:r w:rsidRPr="004229C9">
        <w:rPr>
          <w:lang w:val="sk-SK"/>
        </w:rPr>
        <w:t>Eberth</w:t>
      </w:r>
      <w:proofErr w:type="spellEnd"/>
      <w:r w:rsidRPr="004229C9">
        <w:rPr>
          <w:lang w:val="sk-SK"/>
        </w:rPr>
        <w:t xml:space="preserve"> 0,5 g</w:t>
      </w:r>
      <w:r>
        <w:rPr>
          <w:lang w:val="sk-SK"/>
        </w:rPr>
        <w:t>:</w:t>
      </w:r>
      <w:r w:rsidRPr="004229C9">
        <w:rPr>
          <w:lang w:val="sk-SK"/>
        </w:rPr>
        <w:t xml:space="preserve"> </w:t>
      </w:r>
      <w:r w:rsidR="003E3C22" w:rsidRPr="004229C9">
        <w:rPr>
          <w:lang w:val="sk-SK"/>
        </w:rPr>
        <w:t>Každá injekčná liekovka obsahuje 24 mg sodíka.</w:t>
      </w:r>
    </w:p>
    <w:p w14:paraId="16C0624C" w14:textId="418D6E90" w:rsidR="003E3C22" w:rsidRPr="00233E28" w:rsidRDefault="0043121C" w:rsidP="00233E28">
      <w:pPr>
        <w:widowControl w:val="0"/>
        <w:tabs>
          <w:tab w:val="clear" w:pos="567"/>
          <w:tab w:val="left" w:pos="0"/>
        </w:tabs>
        <w:rPr>
          <w:highlight w:val="lightGray"/>
          <w:lang w:val="sk-SK"/>
        </w:rPr>
      </w:pPr>
      <w:proofErr w:type="spellStart"/>
      <w:r w:rsidRPr="00233E28">
        <w:rPr>
          <w:highlight w:val="lightGray"/>
          <w:lang w:val="sk-SK"/>
        </w:rPr>
        <w:t>Cefotaxim</w:t>
      </w:r>
      <w:proofErr w:type="spellEnd"/>
      <w:r w:rsidRPr="00233E28">
        <w:rPr>
          <w:highlight w:val="lightGray"/>
          <w:lang w:val="sk-SK"/>
        </w:rPr>
        <w:t xml:space="preserve"> </w:t>
      </w:r>
      <w:proofErr w:type="spellStart"/>
      <w:r w:rsidRPr="00233E28">
        <w:rPr>
          <w:highlight w:val="lightGray"/>
          <w:lang w:val="sk-SK"/>
        </w:rPr>
        <w:t>Eberth</w:t>
      </w:r>
      <w:proofErr w:type="spellEnd"/>
      <w:r w:rsidRPr="00233E28">
        <w:rPr>
          <w:highlight w:val="lightGray"/>
          <w:lang w:val="sk-SK"/>
        </w:rPr>
        <w:t xml:space="preserve"> 1 g: </w:t>
      </w:r>
      <w:r w:rsidR="003E3C22" w:rsidRPr="00233E28">
        <w:rPr>
          <w:highlight w:val="lightGray"/>
          <w:lang w:val="sk-SK"/>
        </w:rPr>
        <w:t>Každá injekčná liekovka obsahuje 48 mg sodíka.</w:t>
      </w:r>
    </w:p>
    <w:p w14:paraId="6D87BB0C" w14:textId="69D75E9B" w:rsidR="003E3C22" w:rsidRPr="004229C9" w:rsidRDefault="0043121C" w:rsidP="00233E28">
      <w:pPr>
        <w:widowControl w:val="0"/>
        <w:tabs>
          <w:tab w:val="clear" w:pos="567"/>
          <w:tab w:val="left" w:pos="0"/>
        </w:tabs>
        <w:rPr>
          <w:lang w:val="sk-SK"/>
        </w:rPr>
      </w:pPr>
      <w:proofErr w:type="spellStart"/>
      <w:r w:rsidRPr="00233E28">
        <w:rPr>
          <w:highlight w:val="lightGray"/>
          <w:lang w:val="sk-SK"/>
        </w:rPr>
        <w:t>Cefotaxim</w:t>
      </w:r>
      <w:proofErr w:type="spellEnd"/>
      <w:r w:rsidRPr="00233E28">
        <w:rPr>
          <w:highlight w:val="lightGray"/>
          <w:lang w:val="sk-SK"/>
        </w:rPr>
        <w:t xml:space="preserve"> </w:t>
      </w:r>
      <w:proofErr w:type="spellStart"/>
      <w:r w:rsidRPr="00233E28">
        <w:rPr>
          <w:highlight w:val="lightGray"/>
          <w:lang w:val="sk-SK"/>
        </w:rPr>
        <w:t>Eberth</w:t>
      </w:r>
      <w:proofErr w:type="spellEnd"/>
      <w:r w:rsidRPr="00233E28">
        <w:rPr>
          <w:highlight w:val="lightGray"/>
          <w:lang w:val="sk-SK"/>
        </w:rPr>
        <w:t xml:space="preserve"> 2 g: </w:t>
      </w:r>
      <w:r w:rsidR="003E3C22" w:rsidRPr="00233E28">
        <w:rPr>
          <w:highlight w:val="lightGray"/>
          <w:lang w:val="sk-SK"/>
        </w:rPr>
        <w:t>Každá injekčná liekovka obsahuje 96 mg sodíka</w:t>
      </w:r>
      <w:r w:rsidR="003E3C22" w:rsidRPr="005F6599">
        <w:rPr>
          <w:lang w:val="sk-SK"/>
        </w:rPr>
        <w:t>.</w:t>
      </w:r>
    </w:p>
    <w:p w14:paraId="0B1FB978" w14:textId="77777777" w:rsidR="003E3C22" w:rsidRPr="004229C9" w:rsidRDefault="003E3C22" w:rsidP="003E3C22">
      <w:pPr>
        <w:ind w:left="601"/>
        <w:rPr>
          <w:lang w:val="sk-SK"/>
        </w:rPr>
      </w:pPr>
    </w:p>
    <w:p w14:paraId="41F209A0" w14:textId="77777777" w:rsidR="003E3C22" w:rsidRPr="004229C9" w:rsidRDefault="003E3C22" w:rsidP="003E3C22">
      <w:pPr>
        <w:tabs>
          <w:tab w:val="clear" w:pos="567"/>
        </w:tabs>
        <w:spacing w:line="240" w:lineRule="auto"/>
        <w:ind w:left="567" w:hanging="567"/>
        <w:rPr>
          <w:b/>
          <w:noProof/>
          <w:szCs w:val="22"/>
          <w:lang w:val="sk-SK"/>
        </w:rPr>
      </w:pPr>
    </w:p>
    <w:p w14:paraId="7D682121" w14:textId="77777777" w:rsidR="003E3C22" w:rsidRPr="004229C9" w:rsidRDefault="003E3C22" w:rsidP="003E3C22">
      <w:pPr>
        <w:tabs>
          <w:tab w:val="clear" w:pos="567"/>
        </w:tabs>
        <w:spacing w:line="240" w:lineRule="auto"/>
        <w:ind w:left="567" w:hanging="567"/>
        <w:rPr>
          <w:caps/>
          <w:noProof/>
          <w:szCs w:val="22"/>
          <w:lang w:val="sk-SK"/>
        </w:rPr>
      </w:pPr>
      <w:r w:rsidRPr="004229C9">
        <w:rPr>
          <w:b/>
          <w:noProof/>
          <w:szCs w:val="22"/>
          <w:lang w:val="sk-SK"/>
        </w:rPr>
        <w:t>3.</w:t>
      </w:r>
      <w:r w:rsidRPr="004229C9">
        <w:rPr>
          <w:b/>
          <w:noProof/>
          <w:szCs w:val="22"/>
          <w:lang w:val="sk-SK"/>
        </w:rPr>
        <w:tab/>
        <w:t xml:space="preserve">LIEKOVÁ FORMA </w:t>
      </w:r>
    </w:p>
    <w:p w14:paraId="1ECBDF4F" w14:textId="77777777" w:rsidR="003E3C22" w:rsidRPr="004229C9" w:rsidRDefault="003E3C22" w:rsidP="003E3C22">
      <w:pPr>
        <w:rPr>
          <w:noProof/>
          <w:szCs w:val="22"/>
          <w:lang w:val="sk-SK"/>
        </w:rPr>
      </w:pPr>
      <w:r w:rsidRPr="004229C9">
        <w:rPr>
          <w:noProof/>
          <w:szCs w:val="22"/>
          <w:lang w:val="sk-SK"/>
        </w:rPr>
        <w:t xml:space="preserve">          </w:t>
      </w:r>
    </w:p>
    <w:p w14:paraId="0E4297F8" w14:textId="77777777" w:rsidR="003E3C22" w:rsidRDefault="003E3C22" w:rsidP="00233E28">
      <w:pPr>
        <w:tabs>
          <w:tab w:val="clear" w:pos="567"/>
        </w:tabs>
        <w:spacing w:line="240" w:lineRule="auto"/>
        <w:rPr>
          <w:lang w:val="sk-SK"/>
        </w:rPr>
      </w:pPr>
      <w:proofErr w:type="spellStart"/>
      <w:r w:rsidRPr="004229C9">
        <w:rPr>
          <w:lang w:val="sk-SK"/>
        </w:rPr>
        <w:t>Cefotaxim</w:t>
      </w:r>
      <w:proofErr w:type="spellEnd"/>
      <w:r w:rsidRPr="004229C9">
        <w:rPr>
          <w:lang w:val="sk-SK"/>
        </w:rPr>
        <w:t xml:space="preserve"> </w:t>
      </w:r>
      <w:proofErr w:type="spellStart"/>
      <w:r w:rsidRPr="004229C9">
        <w:rPr>
          <w:lang w:val="sk-SK"/>
        </w:rPr>
        <w:t>Eberth</w:t>
      </w:r>
      <w:proofErr w:type="spellEnd"/>
      <w:r w:rsidRPr="004229C9">
        <w:rPr>
          <w:lang w:val="sk-SK"/>
        </w:rPr>
        <w:t xml:space="preserve"> 0,5 g:</w:t>
      </w:r>
      <w:r>
        <w:rPr>
          <w:lang w:val="sk-SK"/>
        </w:rPr>
        <w:t xml:space="preserve"> </w:t>
      </w:r>
    </w:p>
    <w:p w14:paraId="2BCCB666" w14:textId="77777777" w:rsidR="003E3C22" w:rsidRPr="004229C9" w:rsidRDefault="003E3C22" w:rsidP="00233E28">
      <w:pPr>
        <w:spacing w:after="120" w:line="240" w:lineRule="auto"/>
        <w:rPr>
          <w:lang w:val="sk-SK"/>
        </w:rPr>
      </w:pPr>
      <w:r w:rsidRPr="004229C9">
        <w:rPr>
          <w:lang w:val="sk-SK"/>
        </w:rPr>
        <w:t>Prášok na injekčný roztok.</w:t>
      </w:r>
    </w:p>
    <w:p w14:paraId="677E2E76" w14:textId="77777777" w:rsidR="003E3C22" w:rsidRPr="00233E28" w:rsidRDefault="003E3C22" w:rsidP="00233E28">
      <w:pPr>
        <w:tabs>
          <w:tab w:val="clear" w:pos="567"/>
          <w:tab w:val="left" w:pos="0"/>
        </w:tabs>
        <w:rPr>
          <w:highlight w:val="lightGray"/>
          <w:lang w:val="sk-SK"/>
        </w:rPr>
      </w:pPr>
      <w:proofErr w:type="spellStart"/>
      <w:r w:rsidRPr="00233E28">
        <w:rPr>
          <w:highlight w:val="lightGray"/>
          <w:lang w:val="sk-SK"/>
        </w:rPr>
        <w:t>Cefotaxim</w:t>
      </w:r>
      <w:proofErr w:type="spellEnd"/>
      <w:r w:rsidRPr="00233E28">
        <w:rPr>
          <w:highlight w:val="lightGray"/>
          <w:lang w:val="sk-SK"/>
        </w:rPr>
        <w:t xml:space="preserve"> </w:t>
      </w:r>
      <w:proofErr w:type="spellStart"/>
      <w:r w:rsidRPr="00233E28">
        <w:rPr>
          <w:highlight w:val="lightGray"/>
          <w:lang w:val="sk-SK"/>
        </w:rPr>
        <w:t>Eberth</w:t>
      </w:r>
      <w:proofErr w:type="spellEnd"/>
      <w:r w:rsidRPr="00233E28">
        <w:rPr>
          <w:highlight w:val="lightGray"/>
          <w:lang w:val="sk-SK"/>
        </w:rPr>
        <w:t xml:space="preserve"> 1 g: </w:t>
      </w:r>
    </w:p>
    <w:p w14:paraId="6EC942AD" w14:textId="77777777" w:rsidR="003E3C22" w:rsidRPr="00233E28" w:rsidRDefault="003E3C22" w:rsidP="00233E28">
      <w:pPr>
        <w:tabs>
          <w:tab w:val="clear" w:pos="567"/>
          <w:tab w:val="left" w:pos="0"/>
        </w:tabs>
        <w:spacing w:after="120"/>
        <w:rPr>
          <w:highlight w:val="lightGray"/>
          <w:lang w:val="sk-SK"/>
        </w:rPr>
      </w:pPr>
      <w:r w:rsidRPr="00233E28">
        <w:rPr>
          <w:highlight w:val="lightGray"/>
          <w:lang w:val="sk-SK"/>
        </w:rPr>
        <w:t>Prášok na injekčný alebo infúzny roztok.</w:t>
      </w:r>
    </w:p>
    <w:p w14:paraId="3A0FD092" w14:textId="77777777" w:rsidR="003E3C22" w:rsidRPr="00233E28" w:rsidRDefault="003E3C22" w:rsidP="00233E28">
      <w:pPr>
        <w:tabs>
          <w:tab w:val="clear" w:pos="567"/>
          <w:tab w:val="left" w:pos="0"/>
        </w:tabs>
        <w:rPr>
          <w:highlight w:val="lightGray"/>
          <w:lang w:val="sk-SK"/>
        </w:rPr>
      </w:pPr>
      <w:proofErr w:type="spellStart"/>
      <w:r w:rsidRPr="00233E28">
        <w:rPr>
          <w:highlight w:val="lightGray"/>
          <w:lang w:val="sk-SK"/>
        </w:rPr>
        <w:t>Cefotaxim</w:t>
      </w:r>
      <w:proofErr w:type="spellEnd"/>
      <w:r w:rsidRPr="00233E28">
        <w:rPr>
          <w:highlight w:val="lightGray"/>
          <w:lang w:val="sk-SK"/>
        </w:rPr>
        <w:t xml:space="preserve"> </w:t>
      </w:r>
      <w:proofErr w:type="spellStart"/>
      <w:r w:rsidRPr="00233E28">
        <w:rPr>
          <w:highlight w:val="lightGray"/>
          <w:lang w:val="sk-SK"/>
        </w:rPr>
        <w:t>Eberth</w:t>
      </w:r>
      <w:proofErr w:type="spellEnd"/>
      <w:r w:rsidRPr="00233E28">
        <w:rPr>
          <w:highlight w:val="lightGray"/>
          <w:lang w:val="sk-SK"/>
        </w:rPr>
        <w:t xml:space="preserve"> 2 g: </w:t>
      </w:r>
    </w:p>
    <w:p w14:paraId="0BC15645" w14:textId="77777777" w:rsidR="003E3C22" w:rsidRPr="00233E28" w:rsidRDefault="003E3C22" w:rsidP="00233E28">
      <w:pPr>
        <w:tabs>
          <w:tab w:val="clear" w:pos="567"/>
          <w:tab w:val="left" w:pos="0"/>
        </w:tabs>
        <w:rPr>
          <w:highlight w:val="lightGray"/>
          <w:lang w:val="sk-SK"/>
        </w:rPr>
      </w:pPr>
      <w:r w:rsidRPr="00233E28">
        <w:rPr>
          <w:highlight w:val="lightGray"/>
          <w:lang w:val="sk-SK"/>
        </w:rPr>
        <w:t>Prášok na injekčný alebo infúzny roztok.</w:t>
      </w:r>
    </w:p>
    <w:p w14:paraId="131757C1" w14:textId="77777777" w:rsidR="003E3C22" w:rsidRPr="004229C9" w:rsidRDefault="003E3C22" w:rsidP="003E3C22">
      <w:pPr>
        <w:rPr>
          <w:lang w:val="sk-SK"/>
        </w:rPr>
      </w:pPr>
    </w:p>
    <w:p w14:paraId="018E53EB" w14:textId="1342FA09" w:rsidR="003E3C22" w:rsidRPr="004229C9" w:rsidRDefault="00234794" w:rsidP="00F45CCB">
      <w:pPr>
        <w:tabs>
          <w:tab w:val="clear" w:pos="567"/>
        </w:tabs>
        <w:rPr>
          <w:lang w:val="sk-SK"/>
        </w:rPr>
      </w:pPr>
      <w:r>
        <w:rPr>
          <w:lang w:val="sk-SK"/>
        </w:rPr>
        <w:t>B</w:t>
      </w:r>
      <w:r w:rsidR="003E3C22" w:rsidRPr="004229C9">
        <w:rPr>
          <w:lang w:val="sk-SK"/>
        </w:rPr>
        <w:t>iely až bledožltý prášok.</w:t>
      </w:r>
    </w:p>
    <w:p w14:paraId="4C3618D1" w14:textId="77777777" w:rsidR="003E3C22" w:rsidRPr="004229C9" w:rsidRDefault="003E3C22" w:rsidP="003E3C22">
      <w:pPr>
        <w:rPr>
          <w:lang w:val="sk-SK"/>
        </w:rPr>
      </w:pPr>
    </w:p>
    <w:p w14:paraId="5262D77A" w14:textId="77777777" w:rsidR="003E3C22" w:rsidRPr="004229C9" w:rsidRDefault="003E3C22" w:rsidP="003E3C22">
      <w:pPr>
        <w:rPr>
          <w:lang w:val="sk-SK"/>
        </w:rPr>
      </w:pPr>
    </w:p>
    <w:p w14:paraId="34F1488D" w14:textId="77777777" w:rsidR="003E3C22" w:rsidRPr="004229C9" w:rsidRDefault="003E3C22" w:rsidP="003E3C22">
      <w:pPr>
        <w:tabs>
          <w:tab w:val="clear" w:pos="567"/>
        </w:tabs>
        <w:spacing w:line="240" w:lineRule="auto"/>
        <w:ind w:left="567" w:hanging="567"/>
        <w:rPr>
          <w:caps/>
          <w:noProof/>
          <w:szCs w:val="22"/>
          <w:lang w:val="sk-SK"/>
        </w:rPr>
      </w:pPr>
      <w:r w:rsidRPr="00703821">
        <w:rPr>
          <w:b/>
          <w:caps/>
          <w:noProof/>
          <w:szCs w:val="22"/>
          <w:lang w:val="sk-SK"/>
        </w:rPr>
        <w:t>4.</w:t>
      </w:r>
      <w:r w:rsidRPr="00703821">
        <w:rPr>
          <w:b/>
          <w:caps/>
          <w:noProof/>
          <w:szCs w:val="22"/>
          <w:lang w:val="sk-SK"/>
        </w:rPr>
        <w:tab/>
      </w:r>
      <w:r w:rsidRPr="00703821">
        <w:rPr>
          <w:b/>
          <w:noProof/>
          <w:szCs w:val="22"/>
          <w:lang w:val="sk-SK"/>
        </w:rPr>
        <w:t>KLINICKÉ ÚDAJE</w:t>
      </w:r>
      <w:r w:rsidRPr="004229C9">
        <w:rPr>
          <w:b/>
          <w:caps/>
          <w:noProof/>
          <w:szCs w:val="22"/>
          <w:lang w:val="sk-SK"/>
        </w:rPr>
        <w:t xml:space="preserve"> </w:t>
      </w:r>
    </w:p>
    <w:p w14:paraId="27790BE9" w14:textId="77777777" w:rsidR="003E3C22" w:rsidRPr="004229C9" w:rsidRDefault="003E3C22" w:rsidP="003E3C22">
      <w:pPr>
        <w:tabs>
          <w:tab w:val="clear" w:pos="567"/>
        </w:tabs>
        <w:spacing w:line="240" w:lineRule="auto"/>
        <w:rPr>
          <w:b/>
          <w:noProof/>
          <w:szCs w:val="22"/>
          <w:lang w:val="sk-SK"/>
        </w:rPr>
      </w:pPr>
      <w:r w:rsidRPr="004229C9">
        <w:rPr>
          <w:noProof/>
          <w:szCs w:val="22"/>
          <w:lang w:val="sk-SK"/>
        </w:rPr>
        <w:t xml:space="preserve">         </w:t>
      </w:r>
    </w:p>
    <w:p w14:paraId="69CAB672" w14:textId="77777777" w:rsidR="003E3C22" w:rsidRPr="004229C9" w:rsidRDefault="003E3C22" w:rsidP="003E3C22">
      <w:pPr>
        <w:numPr>
          <w:ilvl w:val="1"/>
          <w:numId w:val="11"/>
        </w:numPr>
        <w:spacing w:line="240" w:lineRule="auto"/>
        <w:outlineLvl w:val="0"/>
        <w:rPr>
          <w:b/>
          <w:noProof/>
          <w:szCs w:val="22"/>
          <w:lang w:val="sk-SK"/>
        </w:rPr>
      </w:pPr>
      <w:smartTag w:uri="urn:schemas-microsoft-com:office:smarttags" w:element="PersonName">
        <w:r w:rsidRPr="004229C9">
          <w:rPr>
            <w:b/>
            <w:noProof/>
            <w:szCs w:val="22"/>
            <w:lang w:val="sk-SK"/>
          </w:rPr>
          <w:t>Terapeut</w:t>
        </w:r>
      </w:smartTag>
      <w:r w:rsidRPr="004229C9">
        <w:rPr>
          <w:b/>
          <w:noProof/>
          <w:szCs w:val="22"/>
          <w:lang w:val="sk-SK"/>
        </w:rPr>
        <w:t xml:space="preserve">ické indikácie </w:t>
      </w:r>
    </w:p>
    <w:p w14:paraId="20C61439" w14:textId="77777777" w:rsidR="003E3C22" w:rsidRPr="004229C9" w:rsidRDefault="003E3C22" w:rsidP="003E3C22">
      <w:pPr>
        <w:tabs>
          <w:tab w:val="clear" w:pos="567"/>
        </w:tabs>
        <w:spacing w:line="240" w:lineRule="auto"/>
        <w:ind w:left="570"/>
        <w:outlineLvl w:val="0"/>
        <w:rPr>
          <w:noProof/>
          <w:szCs w:val="22"/>
          <w:lang w:val="sk-SK"/>
        </w:rPr>
      </w:pPr>
    </w:p>
    <w:p w14:paraId="6A029C41" w14:textId="77777777" w:rsidR="003E3C22" w:rsidRPr="004229C9" w:rsidRDefault="003E3C22" w:rsidP="00233E28">
      <w:pPr>
        <w:spacing w:after="120"/>
        <w:rPr>
          <w:lang w:val="sk-SK"/>
        </w:rPr>
      </w:pPr>
      <w:proofErr w:type="spellStart"/>
      <w:r>
        <w:rPr>
          <w:lang w:val="sk-SK"/>
        </w:rPr>
        <w:t>Cefotaxím</w:t>
      </w:r>
      <w:proofErr w:type="spellEnd"/>
      <w:r w:rsidRPr="004229C9">
        <w:rPr>
          <w:lang w:val="sk-SK"/>
        </w:rPr>
        <w:t xml:space="preserve"> je indikovaný na liečbu nasledujúcich závažných infekcií spôsobených baktériami citlivými na </w:t>
      </w:r>
      <w:proofErr w:type="spellStart"/>
      <w:r>
        <w:rPr>
          <w:lang w:val="sk-SK"/>
        </w:rPr>
        <w:t>cefotaxím</w:t>
      </w:r>
      <w:proofErr w:type="spellEnd"/>
      <w:r w:rsidRPr="004229C9">
        <w:rPr>
          <w:lang w:val="sk-SK"/>
        </w:rPr>
        <w:t xml:space="preserve"> (pozri časť 5.1):</w:t>
      </w:r>
    </w:p>
    <w:p w14:paraId="013169BF" w14:textId="77777777" w:rsidR="003E3C22" w:rsidRPr="000E3C12" w:rsidRDefault="003E3C22" w:rsidP="003E3C22">
      <w:pPr>
        <w:numPr>
          <w:ilvl w:val="0"/>
          <w:numId w:val="1"/>
        </w:numPr>
        <w:tabs>
          <w:tab w:val="clear" w:pos="360"/>
          <w:tab w:val="clear" w:pos="567"/>
          <w:tab w:val="num" w:pos="1080"/>
        </w:tabs>
        <w:spacing w:after="120" w:line="240" w:lineRule="auto"/>
        <w:ind w:left="1077" w:hanging="357"/>
        <w:rPr>
          <w:lang w:val="sk-SK"/>
        </w:rPr>
      </w:pPr>
      <w:r w:rsidRPr="000E3C12">
        <w:rPr>
          <w:lang w:val="sk-SK"/>
        </w:rPr>
        <w:t>Bakteriálna pneumónia</w:t>
      </w:r>
      <w:r w:rsidR="00732AB9">
        <w:rPr>
          <w:lang w:val="sk-SK"/>
        </w:rPr>
        <w:t>.</w:t>
      </w:r>
      <w:r w:rsidRPr="000E3C12">
        <w:rPr>
          <w:lang w:val="sk-SK"/>
        </w:rPr>
        <w:t xml:space="preserve"> </w:t>
      </w:r>
    </w:p>
    <w:p w14:paraId="5FB268BA" w14:textId="77777777" w:rsidR="003E3C22" w:rsidRPr="004229C9" w:rsidRDefault="003E3C22" w:rsidP="003E3C22">
      <w:pPr>
        <w:numPr>
          <w:ilvl w:val="0"/>
          <w:numId w:val="1"/>
        </w:numPr>
        <w:tabs>
          <w:tab w:val="clear" w:pos="360"/>
          <w:tab w:val="clear" w:pos="567"/>
          <w:tab w:val="num" w:pos="1080"/>
        </w:tabs>
        <w:spacing w:after="120" w:line="240" w:lineRule="auto"/>
        <w:ind w:left="1077" w:hanging="357"/>
        <w:rPr>
          <w:lang w:val="sk-SK"/>
        </w:rPr>
      </w:pPr>
      <w:r w:rsidRPr="004229C9">
        <w:rPr>
          <w:lang w:val="sk-SK"/>
        </w:rPr>
        <w:t>Komplikované infekcie obličiek a horných močových ciest</w:t>
      </w:r>
      <w:r w:rsidR="00732AB9">
        <w:rPr>
          <w:lang w:val="sk-SK"/>
        </w:rPr>
        <w:t>.</w:t>
      </w:r>
    </w:p>
    <w:p w14:paraId="5A688515" w14:textId="77777777" w:rsidR="003E3C22" w:rsidRPr="004229C9" w:rsidRDefault="003E3C22" w:rsidP="003E3C22">
      <w:pPr>
        <w:numPr>
          <w:ilvl w:val="0"/>
          <w:numId w:val="1"/>
        </w:numPr>
        <w:tabs>
          <w:tab w:val="clear" w:pos="360"/>
          <w:tab w:val="clear" w:pos="567"/>
          <w:tab w:val="num" w:pos="1080"/>
        </w:tabs>
        <w:spacing w:after="120" w:line="240" w:lineRule="auto"/>
        <w:ind w:left="1080"/>
        <w:rPr>
          <w:lang w:val="sk-SK"/>
        </w:rPr>
      </w:pPr>
      <w:r w:rsidRPr="004229C9">
        <w:rPr>
          <w:lang w:val="sk-SK"/>
        </w:rPr>
        <w:lastRenderedPageBreak/>
        <w:t>Závažné infekcie kože a mäkkých tkanív</w:t>
      </w:r>
      <w:r w:rsidR="00732AB9">
        <w:rPr>
          <w:lang w:val="sk-SK"/>
        </w:rPr>
        <w:t>.</w:t>
      </w:r>
    </w:p>
    <w:p w14:paraId="76C64FF1" w14:textId="77777777" w:rsidR="003E3C22" w:rsidRPr="004229C9" w:rsidRDefault="003E3C22" w:rsidP="003E3C22">
      <w:pPr>
        <w:numPr>
          <w:ilvl w:val="0"/>
          <w:numId w:val="1"/>
        </w:numPr>
        <w:tabs>
          <w:tab w:val="clear" w:pos="360"/>
          <w:tab w:val="clear" w:pos="567"/>
          <w:tab w:val="num" w:pos="1080"/>
        </w:tabs>
        <w:spacing w:after="120" w:line="240" w:lineRule="auto"/>
        <w:ind w:left="1077" w:hanging="357"/>
        <w:rPr>
          <w:lang w:val="sk-SK"/>
        </w:rPr>
      </w:pPr>
      <w:r w:rsidRPr="004229C9">
        <w:rPr>
          <w:lang w:val="sk-SK"/>
        </w:rPr>
        <w:t xml:space="preserve">Genitálne infekcie spôsobené </w:t>
      </w:r>
      <w:proofErr w:type="spellStart"/>
      <w:r w:rsidRPr="004229C9">
        <w:rPr>
          <w:lang w:val="sk-SK"/>
        </w:rPr>
        <w:t>gonokokmi</w:t>
      </w:r>
      <w:proofErr w:type="spellEnd"/>
      <w:r w:rsidRPr="004229C9">
        <w:rPr>
          <w:lang w:val="sk-SK"/>
        </w:rPr>
        <w:t>, hlavne keď je penicilín neúčinný alebo nevhodný.</w:t>
      </w:r>
    </w:p>
    <w:p w14:paraId="30F5BE2C" w14:textId="77777777" w:rsidR="003E3C22" w:rsidRPr="004229C9" w:rsidRDefault="003E3C22" w:rsidP="003E3C22">
      <w:pPr>
        <w:numPr>
          <w:ilvl w:val="0"/>
          <w:numId w:val="1"/>
        </w:numPr>
        <w:tabs>
          <w:tab w:val="clear" w:pos="360"/>
          <w:tab w:val="clear" w:pos="567"/>
          <w:tab w:val="num" w:pos="1080"/>
          <w:tab w:val="num" w:pos="1134"/>
          <w:tab w:val="left" w:pos="1418"/>
        </w:tabs>
        <w:spacing w:after="120" w:line="240" w:lineRule="auto"/>
        <w:ind w:left="1077" w:hanging="357"/>
        <w:rPr>
          <w:lang w:val="sk-SK"/>
        </w:rPr>
      </w:pPr>
      <w:proofErr w:type="spellStart"/>
      <w:r w:rsidRPr="004229C9">
        <w:rPr>
          <w:lang w:val="sk-SK"/>
        </w:rPr>
        <w:t>Vnútrobrušné</w:t>
      </w:r>
      <w:proofErr w:type="spellEnd"/>
      <w:r w:rsidRPr="004229C9">
        <w:rPr>
          <w:lang w:val="sk-SK"/>
        </w:rPr>
        <w:t xml:space="preserve"> infekcie (ako je </w:t>
      </w:r>
      <w:proofErr w:type="spellStart"/>
      <w:r w:rsidRPr="004229C9">
        <w:rPr>
          <w:lang w:val="sk-SK"/>
        </w:rPr>
        <w:t>peritonitída</w:t>
      </w:r>
      <w:proofErr w:type="spellEnd"/>
      <w:r w:rsidRPr="004229C9">
        <w:rPr>
          <w:lang w:val="sk-SK"/>
        </w:rPr>
        <w:t>)</w:t>
      </w:r>
      <w:r w:rsidR="00732AB9">
        <w:rPr>
          <w:lang w:val="sk-SK"/>
        </w:rPr>
        <w:t>.</w:t>
      </w:r>
    </w:p>
    <w:p w14:paraId="5E8D6DEE" w14:textId="77777777" w:rsidR="003E3C22" w:rsidRPr="00703821" w:rsidRDefault="003E3C22" w:rsidP="003E3C22">
      <w:pPr>
        <w:numPr>
          <w:ilvl w:val="0"/>
          <w:numId w:val="1"/>
        </w:numPr>
        <w:tabs>
          <w:tab w:val="clear" w:pos="360"/>
          <w:tab w:val="clear" w:pos="567"/>
          <w:tab w:val="num" w:pos="1080"/>
        </w:tabs>
        <w:spacing w:after="120" w:line="240" w:lineRule="auto"/>
        <w:ind w:left="1077" w:hanging="357"/>
        <w:rPr>
          <w:noProof/>
          <w:szCs w:val="22"/>
          <w:lang w:val="sk-SK"/>
        </w:rPr>
      </w:pPr>
      <w:r>
        <w:rPr>
          <w:lang w:val="sk-SK"/>
        </w:rPr>
        <w:t xml:space="preserve">Akútna bakteriálna </w:t>
      </w:r>
      <w:proofErr w:type="spellStart"/>
      <w:r>
        <w:rPr>
          <w:lang w:val="sk-SK"/>
        </w:rPr>
        <w:t>meningitída</w:t>
      </w:r>
      <w:proofErr w:type="spellEnd"/>
      <w:r w:rsidR="00732AB9">
        <w:rPr>
          <w:lang w:val="sk-SK"/>
        </w:rPr>
        <w:t>.</w:t>
      </w:r>
      <w:r w:rsidRPr="004229C9">
        <w:rPr>
          <w:lang w:val="sk-SK"/>
        </w:rPr>
        <w:t xml:space="preserve"> </w:t>
      </w:r>
    </w:p>
    <w:p w14:paraId="72BF3C64" w14:textId="77777777" w:rsidR="003E3C22" w:rsidRPr="004229C9" w:rsidRDefault="003E3C22" w:rsidP="003E3C22">
      <w:pPr>
        <w:numPr>
          <w:ilvl w:val="0"/>
          <w:numId w:val="1"/>
        </w:numPr>
        <w:tabs>
          <w:tab w:val="clear" w:pos="360"/>
          <w:tab w:val="clear" w:pos="567"/>
          <w:tab w:val="num" w:pos="1080"/>
        </w:tabs>
        <w:spacing w:after="120" w:line="240" w:lineRule="auto"/>
        <w:ind w:left="1077" w:hanging="357"/>
        <w:rPr>
          <w:noProof/>
          <w:szCs w:val="22"/>
          <w:lang w:val="sk-SK"/>
        </w:rPr>
      </w:pPr>
      <w:proofErr w:type="spellStart"/>
      <w:r>
        <w:rPr>
          <w:lang w:val="sk-SK"/>
        </w:rPr>
        <w:t>Septikemické</w:t>
      </w:r>
      <w:proofErr w:type="spellEnd"/>
      <w:r>
        <w:rPr>
          <w:lang w:val="sk-SK"/>
        </w:rPr>
        <w:t xml:space="preserve"> infekcie pochádzajúce</w:t>
      </w:r>
      <w:r w:rsidRPr="004229C9">
        <w:rPr>
          <w:lang w:val="sk-SK"/>
        </w:rPr>
        <w:t xml:space="preserve"> z pľúc, močových ciest alebo vnútorností</w:t>
      </w:r>
      <w:r w:rsidR="00732AB9">
        <w:rPr>
          <w:lang w:val="sk-SK"/>
        </w:rPr>
        <w:t>.</w:t>
      </w:r>
    </w:p>
    <w:p w14:paraId="2D7CCEFA" w14:textId="77777777" w:rsidR="003E3C22" w:rsidRPr="004229C9" w:rsidRDefault="003E3C22" w:rsidP="00233E28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4229C9">
        <w:rPr>
          <w:lang w:val="sk-SK"/>
        </w:rPr>
        <w:t>Je potrebné vziať do úvahy oficiálne pokyny o vhodnom používaní antibakteriálnych látok.</w:t>
      </w:r>
    </w:p>
    <w:p w14:paraId="281D1008" w14:textId="77777777" w:rsidR="003E3C22" w:rsidRPr="004229C9" w:rsidRDefault="003E3C22" w:rsidP="003E3C22">
      <w:pPr>
        <w:tabs>
          <w:tab w:val="clear" w:pos="567"/>
        </w:tabs>
        <w:spacing w:line="240" w:lineRule="auto"/>
        <w:ind w:left="567" w:hanging="567"/>
        <w:rPr>
          <w:b/>
          <w:caps/>
          <w:noProof/>
          <w:szCs w:val="22"/>
          <w:lang w:val="sk-SK"/>
        </w:rPr>
      </w:pPr>
    </w:p>
    <w:p w14:paraId="7DFCDA1F" w14:textId="77777777" w:rsidR="003E3C22" w:rsidRPr="004229C9" w:rsidRDefault="003E3C22" w:rsidP="003E3C22">
      <w:pPr>
        <w:numPr>
          <w:ilvl w:val="1"/>
          <w:numId w:val="2"/>
        </w:numPr>
        <w:tabs>
          <w:tab w:val="clear" w:pos="570"/>
          <w:tab w:val="num" w:pos="720"/>
        </w:tabs>
        <w:spacing w:line="240" w:lineRule="auto"/>
        <w:outlineLvl w:val="0"/>
        <w:rPr>
          <w:b/>
          <w:noProof/>
          <w:szCs w:val="22"/>
          <w:lang w:val="sk-SK"/>
        </w:rPr>
      </w:pPr>
      <w:r w:rsidRPr="004229C9">
        <w:rPr>
          <w:b/>
          <w:noProof/>
          <w:szCs w:val="22"/>
          <w:lang w:val="sk-SK"/>
        </w:rPr>
        <w:t xml:space="preserve">Dávkovanie a spôsob podávania                                                                                                                                                   </w:t>
      </w:r>
      <w:r>
        <w:rPr>
          <w:b/>
          <w:noProof/>
          <w:szCs w:val="22"/>
          <w:lang w:val="sk-SK"/>
        </w:rPr>
        <w:t xml:space="preserve">   </w:t>
      </w:r>
      <w:r w:rsidRPr="004229C9">
        <w:rPr>
          <w:b/>
          <w:noProof/>
          <w:szCs w:val="22"/>
          <w:lang w:val="sk-SK"/>
        </w:rPr>
        <w:t xml:space="preserve">          </w:t>
      </w:r>
    </w:p>
    <w:p w14:paraId="6848C195" w14:textId="77777777" w:rsidR="003E3C22" w:rsidRPr="004229C9" w:rsidRDefault="003E3C22" w:rsidP="003E3C22">
      <w:pPr>
        <w:tabs>
          <w:tab w:val="clear" w:pos="567"/>
        </w:tabs>
        <w:spacing w:line="240" w:lineRule="auto"/>
        <w:ind w:left="570"/>
        <w:outlineLvl w:val="0"/>
        <w:rPr>
          <w:b/>
          <w:noProof/>
          <w:szCs w:val="22"/>
          <w:lang w:val="sk-SK"/>
        </w:rPr>
      </w:pPr>
      <w:r w:rsidRPr="004229C9">
        <w:rPr>
          <w:b/>
          <w:noProof/>
          <w:szCs w:val="22"/>
          <w:lang w:val="sk-SK"/>
        </w:rPr>
        <w:t xml:space="preserve">   </w:t>
      </w:r>
    </w:p>
    <w:p w14:paraId="4A3767BD" w14:textId="77777777" w:rsidR="003E3C22" w:rsidRPr="004229C9" w:rsidRDefault="003E3C22" w:rsidP="00233E28">
      <w:pPr>
        <w:pStyle w:val="Formatvorlage2"/>
        <w:widowControl w:val="0"/>
        <w:tabs>
          <w:tab w:val="clear" w:pos="7797"/>
        </w:tabs>
        <w:rPr>
          <w:sz w:val="22"/>
          <w:lang w:val="sk-SK"/>
        </w:rPr>
      </w:pPr>
      <w:proofErr w:type="spellStart"/>
      <w:r>
        <w:rPr>
          <w:sz w:val="22"/>
          <w:lang w:val="sk-SK"/>
        </w:rPr>
        <w:t>Cefotaxím</w:t>
      </w:r>
      <w:proofErr w:type="spellEnd"/>
      <w:r w:rsidRPr="004229C9">
        <w:rPr>
          <w:sz w:val="22"/>
          <w:lang w:val="sk-SK"/>
        </w:rPr>
        <w:t xml:space="preserve"> sa môže podávať intravenóznou injekciou ako </w:t>
      </w:r>
      <w:proofErr w:type="spellStart"/>
      <w:r w:rsidRPr="004229C9">
        <w:rPr>
          <w:sz w:val="22"/>
          <w:lang w:val="sk-SK"/>
        </w:rPr>
        <w:t>bolus</w:t>
      </w:r>
      <w:proofErr w:type="spellEnd"/>
      <w:r w:rsidRPr="004229C9">
        <w:rPr>
          <w:sz w:val="22"/>
          <w:lang w:val="sk-SK"/>
        </w:rPr>
        <w:t>, ako intravenózna infúzia</w:t>
      </w:r>
      <w:r w:rsidR="00373362">
        <w:rPr>
          <w:sz w:val="22"/>
          <w:lang w:val="sk-SK"/>
        </w:rPr>
        <w:t xml:space="preserve"> </w:t>
      </w:r>
      <w:r w:rsidRPr="004229C9">
        <w:rPr>
          <w:sz w:val="22"/>
          <w:lang w:val="sk-SK"/>
        </w:rPr>
        <w:t xml:space="preserve">alebo </w:t>
      </w:r>
      <w:proofErr w:type="spellStart"/>
      <w:r w:rsidRPr="004229C9">
        <w:rPr>
          <w:sz w:val="22"/>
          <w:lang w:val="sk-SK"/>
        </w:rPr>
        <w:t>intramuskulárna</w:t>
      </w:r>
      <w:proofErr w:type="spellEnd"/>
      <w:r w:rsidRPr="004229C9">
        <w:rPr>
          <w:sz w:val="22"/>
          <w:lang w:val="sk-SK"/>
        </w:rPr>
        <w:t xml:space="preserve"> injekcia po </w:t>
      </w:r>
      <w:r>
        <w:rPr>
          <w:sz w:val="22"/>
          <w:lang w:val="sk-SK"/>
        </w:rPr>
        <w:t>príprave</w:t>
      </w:r>
      <w:r w:rsidRPr="004229C9">
        <w:rPr>
          <w:sz w:val="22"/>
          <w:lang w:val="sk-SK"/>
        </w:rPr>
        <w:t xml:space="preserve"> roztoku podľa pokynov uvedených nižšie.</w:t>
      </w:r>
    </w:p>
    <w:p w14:paraId="4A93AC1B" w14:textId="77777777" w:rsidR="003E3C22" w:rsidRPr="004229C9" w:rsidRDefault="003E3C22" w:rsidP="00233E28">
      <w:pPr>
        <w:pStyle w:val="Formatvorlage2"/>
        <w:widowControl w:val="0"/>
        <w:tabs>
          <w:tab w:val="clear" w:pos="7797"/>
        </w:tabs>
        <w:rPr>
          <w:sz w:val="22"/>
          <w:lang w:val="sk-SK"/>
        </w:rPr>
      </w:pPr>
      <w:r w:rsidRPr="004229C9">
        <w:rPr>
          <w:sz w:val="22"/>
          <w:lang w:val="sk-SK"/>
        </w:rPr>
        <w:t>Dávkovanie a spôsob podania závisí od závažnosti infekcie, citlivosti patogénnych organizmov a stavu pacienta. Liečba môže začať skôr, ako sú známe výsledky testov citlivosti.</w:t>
      </w:r>
    </w:p>
    <w:p w14:paraId="58B3C04E" w14:textId="77777777" w:rsidR="003E3C22" w:rsidRPr="004229C9" w:rsidRDefault="003E3C22" w:rsidP="00233E28">
      <w:pPr>
        <w:pStyle w:val="Formatvorlage2"/>
        <w:widowControl w:val="0"/>
        <w:tabs>
          <w:tab w:val="clear" w:pos="7797"/>
        </w:tabs>
        <w:rPr>
          <w:sz w:val="22"/>
          <w:lang w:val="sk-SK"/>
        </w:rPr>
      </w:pPr>
      <w:proofErr w:type="spellStart"/>
      <w:r>
        <w:rPr>
          <w:sz w:val="22"/>
          <w:lang w:val="sk-SK"/>
        </w:rPr>
        <w:t>Cefotaxím</w:t>
      </w:r>
      <w:proofErr w:type="spellEnd"/>
      <w:r w:rsidRPr="004229C9">
        <w:rPr>
          <w:sz w:val="22"/>
          <w:lang w:val="sk-SK"/>
        </w:rPr>
        <w:t xml:space="preserve"> má synergický efekt s </w:t>
      </w:r>
      <w:proofErr w:type="spellStart"/>
      <w:r w:rsidRPr="004229C9">
        <w:rPr>
          <w:sz w:val="22"/>
          <w:lang w:val="sk-SK"/>
        </w:rPr>
        <w:t>aminoglykozidmi</w:t>
      </w:r>
      <w:proofErr w:type="spellEnd"/>
      <w:r w:rsidRPr="004229C9">
        <w:rPr>
          <w:sz w:val="22"/>
          <w:lang w:val="sk-SK"/>
        </w:rPr>
        <w:t>.</w:t>
      </w:r>
      <w:r>
        <w:rPr>
          <w:sz w:val="22"/>
          <w:lang w:val="sk-SK"/>
        </w:rPr>
        <w:t xml:space="preserve"> Nemiešajte </w:t>
      </w:r>
      <w:proofErr w:type="spellStart"/>
      <w:r>
        <w:rPr>
          <w:sz w:val="22"/>
          <w:lang w:val="sk-SK"/>
        </w:rPr>
        <w:t>aminoglykozidy</w:t>
      </w:r>
      <w:proofErr w:type="spellEnd"/>
      <w:r>
        <w:rPr>
          <w:sz w:val="22"/>
          <w:lang w:val="sk-SK"/>
        </w:rPr>
        <w:t xml:space="preserve"> a </w:t>
      </w:r>
      <w:proofErr w:type="spellStart"/>
      <w:r>
        <w:rPr>
          <w:sz w:val="22"/>
          <w:lang w:val="sk-SK"/>
        </w:rPr>
        <w:t>cefotaxím</w:t>
      </w:r>
      <w:proofErr w:type="spellEnd"/>
      <w:r>
        <w:rPr>
          <w:sz w:val="22"/>
          <w:lang w:val="sk-SK"/>
        </w:rPr>
        <w:t xml:space="preserve"> v tej istej injekčnej striekačke alebo </w:t>
      </w:r>
      <w:proofErr w:type="spellStart"/>
      <w:r>
        <w:rPr>
          <w:sz w:val="22"/>
          <w:lang w:val="sk-SK"/>
        </w:rPr>
        <w:t>perfúznych</w:t>
      </w:r>
      <w:proofErr w:type="spellEnd"/>
      <w:r>
        <w:rPr>
          <w:sz w:val="22"/>
          <w:lang w:val="sk-SK"/>
        </w:rPr>
        <w:t xml:space="preserve"> tekutinách.</w:t>
      </w:r>
    </w:p>
    <w:p w14:paraId="02E558DD" w14:textId="77777777" w:rsidR="003E3C22" w:rsidRDefault="003E3C22" w:rsidP="003E3C22">
      <w:pPr>
        <w:widowControl w:val="0"/>
        <w:ind w:firstLine="709"/>
        <w:jc w:val="both"/>
        <w:outlineLvl w:val="0"/>
        <w:rPr>
          <w:bCs/>
          <w:i/>
          <w:u w:val="single"/>
          <w:lang w:val="sk-SK"/>
        </w:rPr>
      </w:pPr>
    </w:p>
    <w:p w14:paraId="338ED8AC" w14:textId="77777777" w:rsidR="00344C3D" w:rsidRPr="00233E28" w:rsidRDefault="00344C3D" w:rsidP="00233E28">
      <w:pPr>
        <w:widowControl w:val="0"/>
        <w:jc w:val="both"/>
        <w:outlineLvl w:val="0"/>
        <w:rPr>
          <w:bCs/>
          <w:u w:val="single"/>
          <w:lang w:val="sk-SK"/>
        </w:rPr>
      </w:pPr>
      <w:r w:rsidRPr="00233E28">
        <w:rPr>
          <w:bCs/>
          <w:u w:val="single"/>
          <w:lang w:val="sk-SK"/>
        </w:rPr>
        <w:t>Dávkovanie</w:t>
      </w:r>
    </w:p>
    <w:p w14:paraId="0A1B15C8" w14:textId="77777777" w:rsidR="00344C3D" w:rsidRDefault="00344C3D" w:rsidP="003E3C22">
      <w:pPr>
        <w:widowControl w:val="0"/>
        <w:ind w:firstLine="709"/>
        <w:jc w:val="both"/>
        <w:outlineLvl w:val="0"/>
        <w:rPr>
          <w:bCs/>
          <w:i/>
          <w:u w:val="single"/>
          <w:lang w:val="sk-SK"/>
        </w:rPr>
      </w:pPr>
    </w:p>
    <w:p w14:paraId="4C1F5539" w14:textId="77777777" w:rsidR="003E3C22" w:rsidRPr="004229C9" w:rsidRDefault="003E3C22" w:rsidP="00233E28">
      <w:pPr>
        <w:widowControl w:val="0"/>
        <w:jc w:val="both"/>
        <w:outlineLvl w:val="0"/>
        <w:rPr>
          <w:bCs/>
          <w:lang w:val="sk-SK"/>
        </w:rPr>
      </w:pPr>
      <w:r w:rsidRPr="004229C9">
        <w:rPr>
          <w:bCs/>
          <w:i/>
          <w:u w:val="single"/>
          <w:lang w:val="sk-SK"/>
        </w:rPr>
        <w:t xml:space="preserve">Dospelí a </w:t>
      </w:r>
      <w:r>
        <w:rPr>
          <w:bCs/>
          <w:i/>
          <w:u w:val="single"/>
          <w:lang w:val="sk-SK"/>
        </w:rPr>
        <w:t>dospievajúci</w:t>
      </w:r>
      <w:r w:rsidRPr="004229C9">
        <w:rPr>
          <w:bCs/>
          <w:i/>
          <w:u w:val="single"/>
          <w:lang w:val="sk-SK"/>
        </w:rPr>
        <w:t xml:space="preserve"> </w:t>
      </w:r>
      <w:r>
        <w:rPr>
          <w:bCs/>
          <w:i/>
          <w:u w:val="single"/>
          <w:lang w:val="sk-SK"/>
        </w:rPr>
        <w:t>(</w:t>
      </w:r>
      <w:r w:rsidRPr="004229C9">
        <w:rPr>
          <w:bCs/>
          <w:i/>
          <w:u w:val="single"/>
          <w:lang w:val="sk-SK"/>
        </w:rPr>
        <w:t>12</w:t>
      </w:r>
      <w:r>
        <w:rPr>
          <w:bCs/>
          <w:i/>
          <w:u w:val="single"/>
          <w:lang w:val="sk-SK"/>
        </w:rPr>
        <w:t xml:space="preserve"> až 18 </w:t>
      </w:r>
      <w:r w:rsidRPr="004229C9">
        <w:rPr>
          <w:bCs/>
          <w:i/>
          <w:u w:val="single"/>
          <w:lang w:val="sk-SK"/>
        </w:rPr>
        <w:t xml:space="preserve"> rokov</w:t>
      </w:r>
      <w:r>
        <w:rPr>
          <w:bCs/>
          <w:i/>
          <w:u w:val="single"/>
          <w:lang w:val="sk-SK"/>
        </w:rPr>
        <w:t>):</w:t>
      </w:r>
    </w:p>
    <w:p w14:paraId="6915550E" w14:textId="77777777" w:rsidR="003E3C22" w:rsidRPr="004229C9" w:rsidRDefault="003E3C22" w:rsidP="00233E28">
      <w:pPr>
        <w:widowControl w:val="0"/>
        <w:tabs>
          <w:tab w:val="left" w:pos="5250"/>
        </w:tabs>
        <w:jc w:val="both"/>
        <w:rPr>
          <w:lang w:val="sk-SK"/>
        </w:rPr>
      </w:pPr>
      <w:r w:rsidRPr="004229C9">
        <w:rPr>
          <w:lang w:val="sk-SK"/>
        </w:rPr>
        <w:t>Obvyklá dávka pre dospelých a dospievajúcich je 2 až 6 g denne. Denná dávka môže byť rozdelená na dve jednotlivé dávky každých 12 hodín. Avšak dávka sa môže zmeniť podľa závažnosti infekcie, citlivosti patogénnych organizmov a stavu pacienta.</w:t>
      </w:r>
      <w:r w:rsidRPr="004229C9">
        <w:rPr>
          <w:lang w:val="sk-SK"/>
        </w:rPr>
        <w:tab/>
      </w:r>
    </w:p>
    <w:p w14:paraId="726CE2C2" w14:textId="77777777" w:rsidR="003E3C22" w:rsidRDefault="003E3C22" w:rsidP="00373362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9"/>
        <w:jc w:val="both"/>
        <w:rPr>
          <w:i/>
          <w:lang w:val="sk-SK"/>
        </w:rPr>
      </w:pPr>
      <w:bookmarkStart w:id="1" w:name="OLE_LINK3"/>
      <w:bookmarkStart w:id="2" w:name="OLE_LINK4"/>
    </w:p>
    <w:p w14:paraId="56442329" w14:textId="77777777" w:rsidR="003E3C22" w:rsidRPr="004229C9" w:rsidRDefault="003E3C22" w:rsidP="00233E28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lang w:val="sk-SK"/>
        </w:rPr>
      </w:pPr>
      <w:r w:rsidRPr="004229C9">
        <w:rPr>
          <w:i/>
          <w:lang w:val="sk-SK"/>
        </w:rPr>
        <w:t xml:space="preserve">Nekomplikované infekcie za prítomnosti (alebo podozrenia) citlivého patogénu: </w:t>
      </w:r>
      <w:r w:rsidRPr="004229C9">
        <w:rPr>
          <w:lang w:val="sk-SK"/>
        </w:rPr>
        <w:t>1 g každých 12 hodín zodpovedajúci celkovej dennej dávke 2 g</w:t>
      </w:r>
      <w:r>
        <w:rPr>
          <w:lang w:val="sk-SK"/>
        </w:rPr>
        <w:t>.</w:t>
      </w:r>
    </w:p>
    <w:p w14:paraId="0F05D14F" w14:textId="77777777" w:rsidR="003E3C22" w:rsidRDefault="003E3C22" w:rsidP="00373362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9"/>
        <w:jc w:val="both"/>
        <w:rPr>
          <w:i/>
          <w:lang w:val="sk-SK"/>
        </w:rPr>
      </w:pPr>
    </w:p>
    <w:p w14:paraId="6D3B8F60" w14:textId="77777777" w:rsidR="003E3C22" w:rsidRDefault="003E3C22" w:rsidP="00233E28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lang w:val="sk-SK"/>
        </w:rPr>
      </w:pPr>
      <w:r w:rsidRPr="004229C9">
        <w:rPr>
          <w:i/>
          <w:lang w:val="sk-SK"/>
        </w:rPr>
        <w:t xml:space="preserve">Infekcie za prítomnosti (alebo podozrenia) </w:t>
      </w:r>
      <w:r w:rsidRPr="00556D76">
        <w:rPr>
          <w:i/>
          <w:lang w:val="sk-SK"/>
        </w:rPr>
        <w:t>závažných</w:t>
      </w:r>
      <w:r w:rsidRPr="004229C9">
        <w:rPr>
          <w:i/>
          <w:lang w:val="sk-SK"/>
        </w:rPr>
        <w:t xml:space="preserve"> alebo stredne citlivých patogénov:</w:t>
      </w:r>
      <w:r w:rsidRPr="004229C9">
        <w:rPr>
          <w:lang w:val="sk-SK"/>
        </w:rPr>
        <w:t xml:space="preserve"> 1</w:t>
      </w:r>
      <w:r>
        <w:rPr>
          <w:lang w:val="sk-SK"/>
        </w:rPr>
        <w:t xml:space="preserve"> </w:t>
      </w:r>
      <w:r w:rsidRPr="004229C9">
        <w:rPr>
          <w:lang w:val="sk-SK"/>
        </w:rPr>
        <w:t>-</w:t>
      </w:r>
      <w:r>
        <w:rPr>
          <w:lang w:val="sk-SK"/>
        </w:rPr>
        <w:t xml:space="preserve"> </w:t>
      </w:r>
      <w:r w:rsidRPr="004229C9">
        <w:rPr>
          <w:lang w:val="sk-SK"/>
        </w:rPr>
        <w:t>2 g každých 12 hodín zodpovedajúcich celkovej dennej dávke 2</w:t>
      </w:r>
      <w:r>
        <w:rPr>
          <w:lang w:val="sk-SK"/>
        </w:rPr>
        <w:t xml:space="preserve"> </w:t>
      </w:r>
      <w:r w:rsidRPr="004229C9">
        <w:rPr>
          <w:lang w:val="sk-SK"/>
        </w:rPr>
        <w:t>-</w:t>
      </w:r>
      <w:r>
        <w:rPr>
          <w:lang w:val="sk-SK"/>
        </w:rPr>
        <w:t xml:space="preserve"> </w:t>
      </w:r>
      <w:r w:rsidRPr="004229C9">
        <w:rPr>
          <w:lang w:val="sk-SK"/>
        </w:rPr>
        <w:t>4 g.</w:t>
      </w:r>
    </w:p>
    <w:p w14:paraId="20F84140" w14:textId="77777777" w:rsidR="003E3C22" w:rsidRPr="004229C9" w:rsidRDefault="003E3C22" w:rsidP="00373362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9"/>
        <w:jc w:val="both"/>
        <w:rPr>
          <w:lang w:val="sk-SK"/>
        </w:rPr>
      </w:pPr>
    </w:p>
    <w:p w14:paraId="6EEBF2F6" w14:textId="77777777" w:rsidR="003E3C22" w:rsidRPr="004229C9" w:rsidRDefault="003E3C22" w:rsidP="00233E28">
      <w:pPr>
        <w:widowControl w:val="0"/>
        <w:jc w:val="both"/>
        <w:rPr>
          <w:lang w:val="sk-SK"/>
        </w:rPr>
      </w:pPr>
      <w:r w:rsidRPr="004229C9">
        <w:rPr>
          <w:i/>
          <w:lang w:val="sk-SK"/>
        </w:rPr>
        <w:t xml:space="preserve">Ťažké </w:t>
      </w:r>
      <w:r w:rsidRPr="00556D76">
        <w:rPr>
          <w:i/>
          <w:lang w:val="sk-SK"/>
        </w:rPr>
        <w:t>infekcie spôsobené neidentifikovanými patogénmi alebo infekcie</w:t>
      </w:r>
      <w:r w:rsidRPr="004229C9">
        <w:rPr>
          <w:i/>
          <w:lang w:val="sk-SK"/>
        </w:rPr>
        <w:t>, ktoré sa nedajú lokalizovať:</w:t>
      </w:r>
      <w:r w:rsidRPr="004229C9">
        <w:rPr>
          <w:lang w:val="sk-SK"/>
        </w:rPr>
        <w:t xml:space="preserve"> 2</w:t>
      </w:r>
      <w:r>
        <w:rPr>
          <w:lang w:val="sk-SK"/>
        </w:rPr>
        <w:t xml:space="preserve"> </w:t>
      </w:r>
      <w:r w:rsidRPr="004229C9">
        <w:rPr>
          <w:lang w:val="sk-SK"/>
        </w:rPr>
        <w:t>-</w:t>
      </w:r>
      <w:r>
        <w:rPr>
          <w:lang w:val="sk-SK"/>
        </w:rPr>
        <w:t xml:space="preserve"> </w:t>
      </w:r>
      <w:r w:rsidRPr="004229C9">
        <w:rPr>
          <w:lang w:val="sk-SK"/>
        </w:rPr>
        <w:t>3 g ako jednotlivá dávka každých 6 až 8 hodín do maximálnej dennej dávky 12 g.</w:t>
      </w:r>
    </w:p>
    <w:p w14:paraId="6CD4C8D7" w14:textId="77777777" w:rsidR="003E3C22" w:rsidRPr="004229C9" w:rsidRDefault="003E3C22" w:rsidP="00373362">
      <w:pPr>
        <w:tabs>
          <w:tab w:val="left" w:pos="317"/>
        </w:tabs>
        <w:ind w:left="709"/>
        <w:jc w:val="both"/>
        <w:rPr>
          <w:color w:val="FF0000"/>
          <w:lang w:val="sk-SK"/>
        </w:rPr>
      </w:pPr>
      <w:r w:rsidRPr="004229C9">
        <w:rPr>
          <w:color w:val="FF0000"/>
          <w:lang w:val="sk-SK"/>
        </w:rPr>
        <w:t xml:space="preserve"> </w:t>
      </w:r>
    </w:p>
    <w:p w14:paraId="3A29DB83" w14:textId="77777777" w:rsidR="003E3C22" w:rsidRPr="005D206E" w:rsidRDefault="003E3C22" w:rsidP="00233E28">
      <w:pPr>
        <w:tabs>
          <w:tab w:val="left" w:pos="317"/>
        </w:tabs>
        <w:jc w:val="both"/>
        <w:rPr>
          <w:i/>
          <w:u w:val="single"/>
          <w:lang w:val="sk-SK"/>
        </w:rPr>
      </w:pPr>
      <w:r w:rsidRPr="005D206E">
        <w:rPr>
          <w:i/>
          <w:u w:val="single"/>
          <w:lang w:val="sk-SK"/>
        </w:rPr>
        <w:t>Dojčatá a deti (</w:t>
      </w:r>
      <w:r>
        <w:rPr>
          <w:i/>
          <w:u w:val="single"/>
          <w:lang w:val="sk-SK"/>
        </w:rPr>
        <w:t>od 28 dní</w:t>
      </w:r>
      <w:r w:rsidRPr="005D206E">
        <w:rPr>
          <w:i/>
          <w:u w:val="single"/>
          <w:lang w:val="sk-SK"/>
        </w:rPr>
        <w:t xml:space="preserve"> </w:t>
      </w:r>
      <w:r>
        <w:rPr>
          <w:i/>
          <w:u w:val="single"/>
          <w:lang w:val="sk-SK"/>
        </w:rPr>
        <w:t>do</w:t>
      </w:r>
      <w:r w:rsidRPr="005D206E">
        <w:rPr>
          <w:i/>
          <w:u w:val="single"/>
          <w:lang w:val="sk-SK"/>
        </w:rPr>
        <w:t xml:space="preserve"> 1</w:t>
      </w:r>
      <w:r>
        <w:rPr>
          <w:i/>
          <w:u w:val="single"/>
          <w:lang w:val="sk-SK"/>
        </w:rPr>
        <w:t>1</w:t>
      </w:r>
      <w:r w:rsidRPr="005D206E">
        <w:rPr>
          <w:i/>
          <w:u w:val="single"/>
          <w:lang w:val="sk-SK"/>
        </w:rPr>
        <w:t xml:space="preserve"> rokov):</w:t>
      </w:r>
    </w:p>
    <w:p w14:paraId="72D710B8" w14:textId="77777777" w:rsidR="0001562B" w:rsidRDefault="003E3C22" w:rsidP="00233E28">
      <w:pPr>
        <w:tabs>
          <w:tab w:val="left" w:pos="317"/>
        </w:tabs>
        <w:jc w:val="both"/>
        <w:rPr>
          <w:lang w:val="sk-SK"/>
        </w:rPr>
      </w:pPr>
      <w:r w:rsidRPr="004229C9">
        <w:rPr>
          <w:lang w:val="sk-SK"/>
        </w:rPr>
        <w:t>Obvyklá dávka pre dojčatá a deti &lt; 50 kg je 50 – 1</w:t>
      </w:r>
      <w:r>
        <w:rPr>
          <w:lang w:val="sk-SK"/>
        </w:rPr>
        <w:t>0</w:t>
      </w:r>
      <w:r w:rsidRPr="004229C9">
        <w:rPr>
          <w:lang w:val="sk-SK"/>
        </w:rPr>
        <w:t>0 mg/kg/deň rozdelená do 2 až 4 dávok</w:t>
      </w:r>
      <w:r>
        <w:rPr>
          <w:lang w:val="sk-SK"/>
        </w:rPr>
        <w:t xml:space="preserve"> (každých 12 až 6 hodín)</w:t>
      </w:r>
      <w:r w:rsidRPr="004229C9">
        <w:rPr>
          <w:lang w:val="sk-SK"/>
        </w:rPr>
        <w:t>.</w:t>
      </w:r>
      <w:r>
        <w:rPr>
          <w:lang w:val="sk-SK"/>
        </w:rPr>
        <w:t xml:space="preserve"> </w:t>
      </w:r>
    </w:p>
    <w:p w14:paraId="3FA964C5" w14:textId="207B714C" w:rsidR="003E3C22" w:rsidRDefault="003E3C22" w:rsidP="00233E28">
      <w:pPr>
        <w:tabs>
          <w:tab w:val="left" w:pos="317"/>
        </w:tabs>
        <w:jc w:val="both"/>
        <w:rPr>
          <w:lang w:val="sk-SK"/>
        </w:rPr>
      </w:pPr>
      <w:r w:rsidRPr="004229C9">
        <w:rPr>
          <w:lang w:val="sk-SK"/>
        </w:rPr>
        <w:t xml:space="preserve">U veľmi ťažkých infekcií </w:t>
      </w:r>
      <w:r w:rsidR="0062433B">
        <w:rPr>
          <w:lang w:val="sk-SK"/>
        </w:rPr>
        <w:t>môže byť po</w:t>
      </w:r>
      <w:r w:rsidR="00134D31">
        <w:rPr>
          <w:lang w:val="sk-SK"/>
        </w:rPr>
        <w:t>trebná</w:t>
      </w:r>
      <w:r w:rsidR="0062433B">
        <w:rPr>
          <w:lang w:val="sk-SK"/>
        </w:rPr>
        <w:t xml:space="preserve"> dávka </w:t>
      </w:r>
      <w:r w:rsidR="00FF7664">
        <w:rPr>
          <w:lang w:val="sk-SK"/>
        </w:rPr>
        <w:t xml:space="preserve">až </w:t>
      </w:r>
      <w:r w:rsidRPr="004229C9">
        <w:rPr>
          <w:lang w:val="sk-SK"/>
        </w:rPr>
        <w:t>do 200 mg/kg/deň rozdelená do 2</w:t>
      </w:r>
      <w:r>
        <w:rPr>
          <w:lang w:val="sk-SK"/>
        </w:rPr>
        <w:t xml:space="preserve"> - </w:t>
      </w:r>
      <w:r w:rsidRPr="004229C9">
        <w:rPr>
          <w:lang w:val="sk-SK"/>
        </w:rPr>
        <w:t xml:space="preserve">4 dávok. </w:t>
      </w:r>
    </w:p>
    <w:p w14:paraId="608BB234" w14:textId="77777777" w:rsidR="003E3C22" w:rsidRDefault="003E3C22" w:rsidP="00373362">
      <w:pPr>
        <w:tabs>
          <w:tab w:val="left" w:pos="317"/>
        </w:tabs>
        <w:ind w:left="709"/>
        <w:jc w:val="both"/>
        <w:rPr>
          <w:lang w:val="sk-SK"/>
        </w:rPr>
      </w:pPr>
    </w:p>
    <w:p w14:paraId="6A407085" w14:textId="77777777" w:rsidR="003E3C22" w:rsidRPr="004229C9" w:rsidRDefault="003E3C22" w:rsidP="00233E28">
      <w:pPr>
        <w:tabs>
          <w:tab w:val="left" w:pos="317"/>
        </w:tabs>
        <w:jc w:val="both"/>
        <w:rPr>
          <w:lang w:val="sk-SK"/>
        </w:rPr>
      </w:pPr>
      <w:r w:rsidRPr="004229C9">
        <w:rPr>
          <w:lang w:val="sk-SK"/>
        </w:rPr>
        <w:t>U dojč</w:t>
      </w:r>
      <w:r>
        <w:rPr>
          <w:lang w:val="sk-SK"/>
        </w:rPr>
        <w:t>i</w:t>
      </w:r>
      <w:r w:rsidRPr="004229C9">
        <w:rPr>
          <w:lang w:val="sk-SK"/>
        </w:rPr>
        <w:t>at a det</w:t>
      </w:r>
      <w:r>
        <w:rPr>
          <w:lang w:val="sk-SK"/>
        </w:rPr>
        <w:t>í</w:t>
      </w:r>
      <w:r w:rsidRPr="004229C9">
        <w:rPr>
          <w:lang w:val="sk-SK"/>
        </w:rPr>
        <w:t xml:space="preserve"> </w:t>
      </w:r>
      <w:r>
        <w:rPr>
          <w:lang w:val="sk-SK"/>
        </w:rPr>
        <w:t>&gt;</w:t>
      </w:r>
      <w:r w:rsidRPr="004229C9">
        <w:rPr>
          <w:lang w:val="sk-SK"/>
        </w:rPr>
        <w:t xml:space="preserve"> 50 kg sa môže podať obvyklá dávka ako u dospelých bez prekročenia maximálnej dennej dávky 12 g.</w:t>
      </w:r>
    </w:p>
    <w:p w14:paraId="45299348" w14:textId="77777777" w:rsidR="003E3C22" w:rsidRDefault="003E3C22" w:rsidP="00373362">
      <w:pPr>
        <w:pStyle w:val="Zarkazkladnhotextu3"/>
        <w:tabs>
          <w:tab w:val="clear" w:pos="567"/>
          <w:tab w:val="left" w:pos="743"/>
        </w:tabs>
        <w:rPr>
          <w:u w:val="single"/>
          <w:lang w:val="sk-SK"/>
        </w:rPr>
      </w:pPr>
    </w:p>
    <w:p w14:paraId="6703F963" w14:textId="7C254889" w:rsidR="003E3C22" w:rsidRPr="0011588C" w:rsidRDefault="00AE1623" w:rsidP="00233E28">
      <w:pPr>
        <w:pStyle w:val="Zarkazkladnhotextu3"/>
        <w:tabs>
          <w:tab w:val="clear" w:pos="567"/>
          <w:tab w:val="left" w:pos="743"/>
        </w:tabs>
        <w:ind w:left="0"/>
        <w:rPr>
          <w:i/>
          <w:u w:val="single"/>
          <w:lang w:val="sk-SK"/>
        </w:rPr>
      </w:pPr>
      <w:r>
        <w:rPr>
          <w:i/>
          <w:lang w:val="sk-SK"/>
        </w:rPr>
        <w:t xml:space="preserve">V termíne narodení </w:t>
      </w:r>
      <w:r>
        <w:rPr>
          <w:i/>
          <w:u w:val="single"/>
          <w:lang w:val="sk-SK"/>
        </w:rPr>
        <w:t>n</w:t>
      </w:r>
      <w:r w:rsidR="003E3C22" w:rsidRPr="0011588C">
        <w:rPr>
          <w:i/>
          <w:u w:val="single"/>
          <w:lang w:val="sk-SK"/>
        </w:rPr>
        <w:t>ovorodenci (0 - 27 dní):</w:t>
      </w:r>
    </w:p>
    <w:p w14:paraId="1E8328B4" w14:textId="74BD0B82" w:rsidR="003E3C22" w:rsidRDefault="00AF2E53" w:rsidP="00233E28">
      <w:pPr>
        <w:pStyle w:val="Zarkazkladnhotextu3"/>
        <w:tabs>
          <w:tab w:val="clear" w:pos="567"/>
          <w:tab w:val="left" w:pos="743"/>
        </w:tabs>
        <w:ind w:left="0"/>
        <w:rPr>
          <w:lang w:val="sk-SK"/>
        </w:rPr>
      </w:pPr>
      <w:r>
        <w:rPr>
          <w:lang w:val="sk-SK"/>
        </w:rPr>
        <w:t xml:space="preserve">V termíne narodení </w:t>
      </w:r>
      <w:r>
        <w:rPr>
          <w:szCs w:val="22"/>
          <w:lang w:val="sk-SK"/>
        </w:rPr>
        <w:t>n</w:t>
      </w:r>
      <w:r w:rsidR="003E3C22" w:rsidRPr="00021FB4">
        <w:rPr>
          <w:szCs w:val="22"/>
          <w:lang w:val="sk-SK"/>
        </w:rPr>
        <w:t>ovorodenc</w:t>
      </w:r>
      <w:r w:rsidR="003E3C22">
        <w:rPr>
          <w:szCs w:val="22"/>
          <w:lang w:val="sk-SK"/>
        </w:rPr>
        <w:t>i 0 – 7 dní (</w:t>
      </w:r>
      <w:r w:rsidR="003E3C22" w:rsidRPr="00751AC7">
        <w:rPr>
          <w:szCs w:val="22"/>
          <w:lang w:val="sk-SK"/>
        </w:rPr>
        <w:t>bez ohľadu na závažnosť</w:t>
      </w:r>
      <w:r w:rsidR="003E3C22">
        <w:rPr>
          <w:szCs w:val="22"/>
          <w:lang w:val="sk-SK"/>
        </w:rPr>
        <w:t>):</w:t>
      </w:r>
      <w:r w:rsidR="003E3C22">
        <w:rPr>
          <w:lang w:val="sk-SK"/>
        </w:rPr>
        <w:t xml:space="preserve"> </w:t>
      </w:r>
      <w:r w:rsidR="003E3C22" w:rsidRPr="004229C9">
        <w:rPr>
          <w:lang w:val="sk-SK"/>
        </w:rPr>
        <w:t xml:space="preserve">Odporúčaná dávka je 50 mg/kg/deň rozdelená do </w:t>
      </w:r>
      <w:r w:rsidR="00E437D1">
        <w:rPr>
          <w:lang w:val="sk-SK"/>
        </w:rPr>
        <w:t>dvoch</w:t>
      </w:r>
      <w:r w:rsidR="003E3C22" w:rsidRPr="004229C9">
        <w:rPr>
          <w:lang w:val="sk-SK"/>
        </w:rPr>
        <w:t xml:space="preserve"> </w:t>
      </w:r>
      <w:r w:rsidR="003E3C22">
        <w:rPr>
          <w:lang w:val="sk-SK"/>
        </w:rPr>
        <w:t>rovnakých</w:t>
      </w:r>
      <w:r w:rsidR="003E3C22" w:rsidRPr="004229C9">
        <w:rPr>
          <w:lang w:val="sk-SK"/>
        </w:rPr>
        <w:t xml:space="preserve"> dávok (každých 12 hodín).</w:t>
      </w:r>
    </w:p>
    <w:p w14:paraId="28BD3DC9" w14:textId="77777777" w:rsidR="003E3C22" w:rsidRDefault="003E3C22" w:rsidP="00373362">
      <w:pPr>
        <w:pStyle w:val="Zarkazkladnhotextu3"/>
        <w:tabs>
          <w:tab w:val="clear" w:pos="567"/>
          <w:tab w:val="left" w:pos="743"/>
        </w:tabs>
        <w:rPr>
          <w:lang w:val="sk-SK"/>
        </w:rPr>
      </w:pPr>
    </w:p>
    <w:p w14:paraId="7EF80AED" w14:textId="351D9221" w:rsidR="003E3C22" w:rsidRPr="004229C9" w:rsidRDefault="00AF2E53" w:rsidP="00233E28">
      <w:pPr>
        <w:pStyle w:val="Zarkazkladnhotextu3"/>
        <w:tabs>
          <w:tab w:val="clear" w:pos="567"/>
          <w:tab w:val="clear" w:pos="1134"/>
        </w:tabs>
        <w:ind w:left="0"/>
        <w:rPr>
          <w:lang w:val="sk-SK"/>
        </w:rPr>
      </w:pPr>
      <w:r>
        <w:rPr>
          <w:szCs w:val="22"/>
          <w:lang w:val="sk-SK"/>
        </w:rPr>
        <w:t>V termíne narodení n</w:t>
      </w:r>
      <w:r w:rsidR="003E3C22">
        <w:rPr>
          <w:szCs w:val="22"/>
          <w:lang w:val="sk-SK"/>
        </w:rPr>
        <w:t xml:space="preserve">ovorodenci 8 – 27 dní: </w:t>
      </w:r>
      <w:r w:rsidR="003E3C22" w:rsidRPr="006749C5">
        <w:rPr>
          <w:szCs w:val="22"/>
          <w:lang w:val="sk-SK"/>
        </w:rPr>
        <w:t xml:space="preserve">Odporúčaná dávka je </w:t>
      </w:r>
      <w:r w:rsidR="003E3C22">
        <w:rPr>
          <w:szCs w:val="22"/>
          <w:lang w:val="sk-SK"/>
        </w:rPr>
        <w:t>1</w:t>
      </w:r>
      <w:r w:rsidR="003E3C22" w:rsidRPr="006749C5">
        <w:rPr>
          <w:szCs w:val="22"/>
          <w:lang w:val="sk-SK"/>
        </w:rPr>
        <w:t xml:space="preserve">50 mg/kg/deň rozdelená do </w:t>
      </w:r>
      <w:r w:rsidR="003E3C22">
        <w:rPr>
          <w:szCs w:val="22"/>
          <w:lang w:val="sk-SK"/>
        </w:rPr>
        <w:t>3</w:t>
      </w:r>
      <w:r w:rsidR="003E3C22" w:rsidRPr="006749C5">
        <w:rPr>
          <w:szCs w:val="22"/>
          <w:lang w:val="sk-SK"/>
        </w:rPr>
        <w:t xml:space="preserve"> </w:t>
      </w:r>
      <w:r w:rsidR="003E3C22">
        <w:rPr>
          <w:szCs w:val="22"/>
          <w:lang w:val="sk-SK"/>
        </w:rPr>
        <w:t xml:space="preserve">rovnakých </w:t>
      </w:r>
      <w:r w:rsidR="003E3C22" w:rsidRPr="006749C5">
        <w:rPr>
          <w:szCs w:val="22"/>
          <w:lang w:val="sk-SK"/>
        </w:rPr>
        <w:t xml:space="preserve">dávok (každých </w:t>
      </w:r>
      <w:r w:rsidR="003E3C22">
        <w:rPr>
          <w:szCs w:val="22"/>
          <w:lang w:val="sk-SK"/>
        </w:rPr>
        <w:t>8</w:t>
      </w:r>
      <w:r w:rsidR="003E3C22" w:rsidRPr="006749C5">
        <w:rPr>
          <w:szCs w:val="22"/>
          <w:lang w:val="sk-SK"/>
        </w:rPr>
        <w:t xml:space="preserve"> hodín).</w:t>
      </w:r>
    </w:p>
    <w:p w14:paraId="0CC82E2C" w14:textId="77777777" w:rsidR="003E3C22" w:rsidRDefault="003E3C22" w:rsidP="003E3C22">
      <w:pPr>
        <w:pStyle w:val="Zarkazkladnhotextu3"/>
        <w:tabs>
          <w:tab w:val="clear" w:pos="567"/>
          <w:tab w:val="left" w:pos="743"/>
        </w:tabs>
        <w:rPr>
          <w:lang w:val="sk-SK"/>
        </w:rPr>
      </w:pPr>
      <w:r>
        <w:rPr>
          <w:lang w:val="sk-SK"/>
        </w:rPr>
        <w:t xml:space="preserve"> </w:t>
      </w:r>
    </w:p>
    <w:p w14:paraId="769FFC10" w14:textId="27BE06FA" w:rsidR="003E3C22" w:rsidRPr="004229C9" w:rsidRDefault="00AF2E53" w:rsidP="00233E28">
      <w:pPr>
        <w:pStyle w:val="Zarkazkladnhotextu3"/>
        <w:tabs>
          <w:tab w:val="clear" w:pos="567"/>
          <w:tab w:val="clear" w:pos="1134"/>
        </w:tabs>
        <w:ind w:left="0"/>
        <w:rPr>
          <w:lang w:val="sk-SK"/>
        </w:rPr>
      </w:pPr>
      <w:r>
        <w:rPr>
          <w:lang w:val="sk-SK"/>
        </w:rPr>
        <w:t>P</w:t>
      </w:r>
      <w:r w:rsidR="003E3C22" w:rsidRPr="004229C9">
        <w:rPr>
          <w:lang w:val="sk-SK"/>
        </w:rPr>
        <w:t>ozri</w:t>
      </w:r>
      <w:r w:rsidR="003E3C22">
        <w:rPr>
          <w:lang w:val="sk-SK"/>
        </w:rPr>
        <w:t xml:space="preserve">te </w:t>
      </w:r>
      <w:r w:rsidR="003E3C22" w:rsidRPr="004229C9">
        <w:rPr>
          <w:lang w:val="sk-SK"/>
        </w:rPr>
        <w:t xml:space="preserve">tiež </w:t>
      </w:r>
      <w:r w:rsidR="0020356C">
        <w:rPr>
          <w:lang w:val="sk-SK"/>
        </w:rPr>
        <w:t xml:space="preserve">nižšie </w:t>
      </w:r>
      <w:r w:rsidR="003E3C22">
        <w:rPr>
          <w:lang w:val="sk-SK"/>
        </w:rPr>
        <w:t xml:space="preserve">uvedené </w:t>
      </w:r>
      <w:r w:rsidR="0033243E">
        <w:rPr>
          <w:lang w:val="sk-SK"/>
        </w:rPr>
        <w:t xml:space="preserve">„Iné odporúčania </w:t>
      </w:r>
      <w:r w:rsidR="003E3C22" w:rsidRPr="004229C9">
        <w:rPr>
          <w:lang w:val="sk-SK"/>
        </w:rPr>
        <w:t>pre</w:t>
      </w:r>
      <w:r w:rsidR="003E3C22">
        <w:rPr>
          <w:lang w:val="sk-SK"/>
        </w:rPr>
        <w:t xml:space="preserve"> </w:t>
      </w:r>
      <w:r w:rsidR="002729AA">
        <w:rPr>
          <w:lang w:val="sk-SK"/>
        </w:rPr>
        <w:t xml:space="preserve">bakteriálnu </w:t>
      </w:r>
      <w:proofErr w:type="spellStart"/>
      <w:r w:rsidR="003E3C22" w:rsidRPr="004229C9">
        <w:rPr>
          <w:lang w:val="sk-SK"/>
        </w:rPr>
        <w:t>meningitídu</w:t>
      </w:r>
      <w:proofErr w:type="spellEnd"/>
      <w:r w:rsidR="002729AA">
        <w:rPr>
          <w:lang w:val="sk-SK"/>
        </w:rPr>
        <w:t>“</w:t>
      </w:r>
      <w:r w:rsidR="003E3C22" w:rsidRPr="004229C9">
        <w:rPr>
          <w:lang w:val="sk-SK"/>
        </w:rPr>
        <w:t>.</w:t>
      </w:r>
    </w:p>
    <w:bookmarkEnd w:id="1"/>
    <w:bookmarkEnd w:id="2"/>
    <w:p w14:paraId="7295E6D9" w14:textId="77777777" w:rsidR="003E3C22" w:rsidRDefault="003E3C22" w:rsidP="003E3C22">
      <w:pPr>
        <w:widowControl w:val="0"/>
        <w:jc w:val="both"/>
        <w:rPr>
          <w:lang w:val="sk-SK"/>
        </w:rPr>
      </w:pPr>
    </w:p>
    <w:p w14:paraId="7BC6088B" w14:textId="5984ED9F" w:rsidR="003E3C22" w:rsidRPr="002D5DBA" w:rsidRDefault="003E3C22" w:rsidP="002729AA">
      <w:pPr>
        <w:widowControl w:val="0"/>
        <w:tabs>
          <w:tab w:val="clear" w:pos="567"/>
        </w:tabs>
        <w:jc w:val="both"/>
        <w:rPr>
          <w:i/>
          <w:u w:val="single"/>
          <w:lang w:val="sk-SK"/>
        </w:rPr>
      </w:pPr>
      <w:r w:rsidRPr="002D5DBA">
        <w:rPr>
          <w:i/>
          <w:u w:val="single"/>
          <w:lang w:val="sk-SK"/>
        </w:rPr>
        <w:lastRenderedPageBreak/>
        <w:t>Predčasne naroden</w:t>
      </w:r>
      <w:r w:rsidR="00AE1623">
        <w:rPr>
          <w:i/>
          <w:u w:val="single"/>
          <w:lang w:val="sk-SK"/>
        </w:rPr>
        <w:t>í</w:t>
      </w:r>
      <w:r w:rsidRPr="002D5DBA">
        <w:rPr>
          <w:i/>
          <w:u w:val="single"/>
          <w:lang w:val="sk-SK"/>
        </w:rPr>
        <w:t xml:space="preserve"> </w:t>
      </w:r>
      <w:r w:rsidR="00AE1623">
        <w:rPr>
          <w:i/>
          <w:u w:val="single"/>
          <w:lang w:val="sk-SK"/>
        </w:rPr>
        <w:t>novorodenci</w:t>
      </w:r>
      <w:r w:rsidRPr="002D5DBA">
        <w:rPr>
          <w:i/>
          <w:u w:val="single"/>
          <w:lang w:val="sk-SK"/>
        </w:rPr>
        <w:t>:</w:t>
      </w:r>
    </w:p>
    <w:p w14:paraId="7742A41E" w14:textId="2A744CF6" w:rsidR="003E3C22" w:rsidRPr="004229C9" w:rsidRDefault="003E3C22" w:rsidP="002729AA">
      <w:pPr>
        <w:widowControl w:val="0"/>
        <w:tabs>
          <w:tab w:val="clear" w:pos="567"/>
        </w:tabs>
        <w:ind w:left="720" w:hanging="720"/>
        <w:jc w:val="both"/>
        <w:rPr>
          <w:lang w:val="sk-SK"/>
        </w:rPr>
      </w:pPr>
      <w:r w:rsidRPr="004229C9">
        <w:rPr>
          <w:lang w:val="sk-SK"/>
        </w:rPr>
        <w:t>Odporúčaná dávka je 50 mg/kg/deň rozdelená do 2 až 4 dávok (každých 12 až 6 hodín).</w:t>
      </w:r>
    </w:p>
    <w:p w14:paraId="3CE3103A" w14:textId="3E479D24" w:rsidR="003E3C22" w:rsidRPr="004229C9" w:rsidRDefault="003E3C22" w:rsidP="00233E28">
      <w:pPr>
        <w:widowControl w:val="0"/>
        <w:tabs>
          <w:tab w:val="clear" w:pos="567"/>
        </w:tabs>
        <w:ind w:left="720" w:hanging="720"/>
        <w:jc w:val="both"/>
        <w:rPr>
          <w:lang w:val="sk-SK"/>
        </w:rPr>
      </w:pPr>
      <w:r w:rsidRPr="004229C9">
        <w:rPr>
          <w:lang w:val="sk-SK"/>
        </w:rPr>
        <w:t xml:space="preserve">Toto maximum </w:t>
      </w:r>
      <w:r>
        <w:rPr>
          <w:lang w:val="sk-SK"/>
        </w:rPr>
        <w:t xml:space="preserve">nemá </w:t>
      </w:r>
      <w:r w:rsidRPr="004229C9">
        <w:rPr>
          <w:lang w:val="sk-SK"/>
        </w:rPr>
        <w:t>byť prekročené s ohľadom na nie celkom zrelú funkciu obličiek.</w:t>
      </w:r>
    </w:p>
    <w:p w14:paraId="6DF24A59" w14:textId="77777777" w:rsidR="003E3C22" w:rsidRDefault="003E3C22" w:rsidP="003E3C22">
      <w:pPr>
        <w:widowControl w:val="0"/>
        <w:ind w:left="720"/>
        <w:rPr>
          <w:u w:val="single"/>
          <w:lang w:val="sk-SK"/>
        </w:rPr>
      </w:pPr>
    </w:p>
    <w:p w14:paraId="031B2AE7" w14:textId="77777777" w:rsidR="003E3C22" w:rsidRPr="0092097F" w:rsidRDefault="003E3C22" w:rsidP="00233E28">
      <w:pPr>
        <w:widowControl w:val="0"/>
        <w:tabs>
          <w:tab w:val="clear" w:pos="567"/>
        </w:tabs>
        <w:rPr>
          <w:i/>
          <w:u w:val="single"/>
          <w:lang w:val="sk-SK"/>
        </w:rPr>
      </w:pPr>
      <w:r w:rsidRPr="0092097F">
        <w:rPr>
          <w:i/>
          <w:u w:val="single"/>
          <w:lang w:val="sk-SK"/>
        </w:rPr>
        <w:t>Starší pacienti:</w:t>
      </w:r>
    </w:p>
    <w:p w14:paraId="4449890E" w14:textId="77777777" w:rsidR="003E3C22" w:rsidRPr="004229C9" w:rsidRDefault="003E3C22" w:rsidP="00233E28">
      <w:pPr>
        <w:widowControl w:val="0"/>
        <w:rPr>
          <w:lang w:val="sk-SK"/>
        </w:rPr>
      </w:pPr>
      <w:r w:rsidRPr="004229C9">
        <w:rPr>
          <w:lang w:val="sk-SK"/>
        </w:rPr>
        <w:t>Úprava dávkovania nie je potrebná za predpokladu normálnej funkcie obličiek a pečene.</w:t>
      </w:r>
    </w:p>
    <w:p w14:paraId="541BAD36" w14:textId="77777777" w:rsidR="003E3C22" w:rsidRPr="004229C9" w:rsidRDefault="003E3C22" w:rsidP="003E3C22">
      <w:pPr>
        <w:widowControl w:val="0"/>
        <w:ind w:left="720"/>
        <w:rPr>
          <w:bCs/>
          <w:i/>
          <w:color w:val="FF0000"/>
          <w:lang w:val="sk-SK"/>
        </w:rPr>
      </w:pPr>
    </w:p>
    <w:p w14:paraId="44D0DA44" w14:textId="77777777" w:rsidR="003E3C22" w:rsidRPr="00233E28" w:rsidRDefault="003E3C22" w:rsidP="00233E28">
      <w:pPr>
        <w:widowControl w:val="0"/>
        <w:rPr>
          <w:b/>
          <w:lang w:val="sk-SK"/>
        </w:rPr>
      </w:pPr>
      <w:r w:rsidRPr="00233E28">
        <w:rPr>
          <w:b/>
          <w:lang w:val="sk-SK"/>
        </w:rPr>
        <w:t>Iné odporúčania:</w:t>
      </w:r>
    </w:p>
    <w:p w14:paraId="1B5240E4" w14:textId="77777777" w:rsidR="003E3C22" w:rsidRPr="004229C9" w:rsidRDefault="003E3C22" w:rsidP="003E3C22">
      <w:pPr>
        <w:widowControl w:val="0"/>
        <w:ind w:left="720"/>
        <w:rPr>
          <w:i/>
          <w:color w:val="FF0000"/>
          <w:lang w:val="sk-SK"/>
        </w:rPr>
      </w:pPr>
    </w:p>
    <w:p w14:paraId="3D902AAB" w14:textId="77777777" w:rsidR="003E3C22" w:rsidRPr="004229C9" w:rsidRDefault="003E3C22" w:rsidP="00233E28">
      <w:pPr>
        <w:widowControl w:val="0"/>
        <w:tabs>
          <w:tab w:val="left" w:pos="1747"/>
        </w:tabs>
        <w:jc w:val="both"/>
        <w:outlineLvl w:val="0"/>
        <w:rPr>
          <w:i/>
          <w:lang w:val="sk-SK"/>
        </w:rPr>
      </w:pPr>
      <w:proofErr w:type="spellStart"/>
      <w:r w:rsidRPr="004229C9">
        <w:rPr>
          <w:i/>
          <w:lang w:val="sk-SK"/>
        </w:rPr>
        <w:t>Gonorea</w:t>
      </w:r>
      <w:proofErr w:type="spellEnd"/>
      <w:r w:rsidRPr="004229C9">
        <w:rPr>
          <w:i/>
          <w:lang w:val="sk-SK"/>
        </w:rPr>
        <w:t>:</w:t>
      </w:r>
      <w:r w:rsidR="0078404C">
        <w:rPr>
          <w:i/>
          <w:lang w:val="sk-SK"/>
        </w:rPr>
        <w:tab/>
      </w:r>
    </w:p>
    <w:p w14:paraId="5EC1B2AB" w14:textId="5C6435C8" w:rsidR="003E3C22" w:rsidRPr="004229C9" w:rsidRDefault="003E3C22" w:rsidP="0078404C">
      <w:pPr>
        <w:widowControl w:val="0"/>
        <w:jc w:val="both"/>
        <w:outlineLvl w:val="0"/>
        <w:rPr>
          <w:lang w:val="sk-SK"/>
        </w:rPr>
      </w:pPr>
      <w:r w:rsidRPr="004229C9">
        <w:rPr>
          <w:lang w:val="sk-SK"/>
        </w:rPr>
        <w:t>Pri</w:t>
      </w:r>
      <w:r>
        <w:rPr>
          <w:lang w:val="sk-SK"/>
        </w:rPr>
        <w:t xml:space="preserve"> nekomplikovanej</w:t>
      </w:r>
      <w:r w:rsidRPr="004229C9">
        <w:rPr>
          <w:lang w:val="sk-SK"/>
        </w:rPr>
        <w:t xml:space="preserve"> kvapavke sa podáva jednor</w:t>
      </w:r>
      <w:r w:rsidR="001E6C09">
        <w:rPr>
          <w:lang w:val="sk-SK"/>
        </w:rPr>
        <w:t>a</w:t>
      </w:r>
      <w:r w:rsidRPr="004229C9">
        <w:rPr>
          <w:lang w:val="sk-SK"/>
        </w:rPr>
        <w:t xml:space="preserve">zová injekcia </w:t>
      </w:r>
      <w:proofErr w:type="spellStart"/>
      <w:r w:rsidRPr="004229C9">
        <w:rPr>
          <w:lang w:val="sk-SK"/>
        </w:rPr>
        <w:t>Cefotaxim</w:t>
      </w:r>
      <w:proofErr w:type="spellEnd"/>
      <w:r w:rsidRPr="004229C9">
        <w:rPr>
          <w:lang w:val="sk-SK"/>
        </w:rPr>
        <w:t xml:space="preserve"> </w:t>
      </w:r>
      <w:proofErr w:type="spellStart"/>
      <w:r w:rsidRPr="004229C9">
        <w:rPr>
          <w:lang w:val="sk-SK"/>
        </w:rPr>
        <w:t>Eberth</w:t>
      </w:r>
      <w:proofErr w:type="spellEnd"/>
      <w:r w:rsidRPr="004229C9">
        <w:rPr>
          <w:lang w:val="sk-SK"/>
        </w:rPr>
        <w:t xml:space="preserve"> </w:t>
      </w:r>
      <w:r>
        <w:rPr>
          <w:lang w:val="sk-SK"/>
        </w:rPr>
        <w:t>0,5</w:t>
      </w:r>
      <w:r w:rsidRPr="004229C9">
        <w:rPr>
          <w:lang w:val="sk-SK"/>
        </w:rPr>
        <w:t xml:space="preserve"> g (</w:t>
      </w:r>
      <w:proofErr w:type="spellStart"/>
      <w:r w:rsidRPr="004229C9">
        <w:rPr>
          <w:lang w:val="sk-SK"/>
        </w:rPr>
        <w:t>intramuskulárne</w:t>
      </w:r>
      <w:proofErr w:type="spellEnd"/>
      <w:r w:rsidRPr="004229C9">
        <w:rPr>
          <w:lang w:val="sk-SK"/>
        </w:rPr>
        <w:t xml:space="preserve">). Pri </w:t>
      </w:r>
      <w:r>
        <w:rPr>
          <w:lang w:val="sk-SK"/>
        </w:rPr>
        <w:t>liečbe komplikovaných infekcií je potrebné venovať pozornosť oficiálne platným pokynom</w:t>
      </w:r>
      <w:r w:rsidRPr="004229C9">
        <w:rPr>
          <w:lang w:val="sk-SK"/>
        </w:rPr>
        <w:t xml:space="preserve">. Syfilis </w:t>
      </w:r>
      <w:r>
        <w:rPr>
          <w:lang w:val="sk-SK"/>
        </w:rPr>
        <w:t xml:space="preserve">je potrebné </w:t>
      </w:r>
      <w:r w:rsidRPr="004229C9">
        <w:rPr>
          <w:lang w:val="sk-SK"/>
        </w:rPr>
        <w:t xml:space="preserve">pred začatím liečby </w:t>
      </w:r>
      <w:r>
        <w:rPr>
          <w:lang w:val="sk-SK"/>
        </w:rPr>
        <w:t>vylúčiť</w:t>
      </w:r>
      <w:r w:rsidRPr="004229C9">
        <w:rPr>
          <w:lang w:val="sk-SK"/>
        </w:rPr>
        <w:t>.</w:t>
      </w:r>
    </w:p>
    <w:p w14:paraId="47F02E13" w14:textId="77777777" w:rsidR="003E3C22" w:rsidRDefault="003E3C22" w:rsidP="003E3C22">
      <w:pPr>
        <w:widowControl w:val="0"/>
        <w:ind w:left="720"/>
        <w:outlineLvl w:val="0"/>
        <w:rPr>
          <w:i/>
          <w:lang w:val="sk-SK"/>
        </w:rPr>
      </w:pPr>
    </w:p>
    <w:p w14:paraId="64247494" w14:textId="77777777" w:rsidR="003E3C22" w:rsidRPr="004229C9" w:rsidRDefault="003E3C22" w:rsidP="00233E28">
      <w:pPr>
        <w:widowControl w:val="0"/>
        <w:outlineLvl w:val="0"/>
        <w:rPr>
          <w:i/>
          <w:lang w:val="sk-SK"/>
        </w:rPr>
      </w:pPr>
      <w:r w:rsidRPr="004229C9">
        <w:rPr>
          <w:i/>
          <w:lang w:val="sk-SK"/>
        </w:rPr>
        <w:t xml:space="preserve">Bakteriálna </w:t>
      </w:r>
      <w:proofErr w:type="spellStart"/>
      <w:r w:rsidRPr="004229C9">
        <w:rPr>
          <w:i/>
          <w:lang w:val="sk-SK"/>
        </w:rPr>
        <w:t>meningitída</w:t>
      </w:r>
      <w:proofErr w:type="spellEnd"/>
      <w:r>
        <w:rPr>
          <w:i/>
          <w:lang w:val="sk-SK"/>
        </w:rPr>
        <w:t>:</w:t>
      </w:r>
    </w:p>
    <w:p w14:paraId="65993E43" w14:textId="77777777" w:rsidR="003E3C22" w:rsidRPr="004229C9" w:rsidRDefault="003E3C22" w:rsidP="00233E28">
      <w:pPr>
        <w:widowControl w:val="0"/>
        <w:outlineLvl w:val="0"/>
        <w:rPr>
          <w:lang w:val="sk-SK"/>
        </w:rPr>
      </w:pPr>
      <w:r w:rsidRPr="004229C9">
        <w:rPr>
          <w:lang w:val="sk-SK"/>
        </w:rPr>
        <w:t>Odporúčaná denná dávka pre dospelých je 6 až 12 g rozdelená na rovnaké dávky každých 6 až 8 hodín.</w:t>
      </w:r>
    </w:p>
    <w:p w14:paraId="42F66AC7" w14:textId="77777777" w:rsidR="003E3C22" w:rsidRDefault="003E3C22" w:rsidP="003E3C22">
      <w:pPr>
        <w:widowControl w:val="0"/>
        <w:ind w:left="720"/>
        <w:outlineLvl w:val="0"/>
        <w:rPr>
          <w:u w:val="single"/>
          <w:lang w:val="sk-SK"/>
        </w:rPr>
      </w:pPr>
    </w:p>
    <w:p w14:paraId="026B375A" w14:textId="0B703358" w:rsidR="003E3C22" w:rsidRPr="006017F7" w:rsidRDefault="003E3C22" w:rsidP="003E3C22">
      <w:pPr>
        <w:widowControl w:val="0"/>
        <w:outlineLvl w:val="0"/>
        <w:rPr>
          <w:i/>
          <w:u w:val="single"/>
          <w:lang w:val="sk-SK"/>
        </w:rPr>
      </w:pPr>
      <w:r w:rsidRPr="00233E28">
        <w:rPr>
          <w:u w:val="single"/>
          <w:lang w:val="sk-SK"/>
        </w:rPr>
        <w:t>Dojčatá a batoľatá (28 dní až 23 mesiacov) a deti (2 až 11 rokov):</w:t>
      </w:r>
      <w:r w:rsidRPr="006017F7">
        <w:rPr>
          <w:i/>
          <w:u w:val="single"/>
          <w:lang w:val="sk-SK"/>
        </w:rPr>
        <w:t xml:space="preserve"> </w:t>
      </w:r>
    </w:p>
    <w:p w14:paraId="6637301D" w14:textId="77777777" w:rsidR="003E3C22" w:rsidRPr="004229C9" w:rsidRDefault="003E3C22" w:rsidP="00233E28">
      <w:pPr>
        <w:widowControl w:val="0"/>
        <w:rPr>
          <w:lang w:val="sk-SK"/>
        </w:rPr>
      </w:pPr>
      <w:r w:rsidRPr="004229C9">
        <w:rPr>
          <w:lang w:val="sk-SK"/>
        </w:rPr>
        <w:t>150 až 200 mg/kg rozdelených na rovnaké dávky každých 6 až 8 hodín.</w:t>
      </w:r>
    </w:p>
    <w:p w14:paraId="6E3DC01F" w14:textId="77777777" w:rsidR="003E3C22" w:rsidRDefault="003E3C22" w:rsidP="003E3C22">
      <w:pPr>
        <w:widowControl w:val="0"/>
        <w:ind w:left="720"/>
        <w:outlineLvl w:val="0"/>
        <w:rPr>
          <w:u w:val="single"/>
          <w:lang w:val="sk-SK"/>
        </w:rPr>
      </w:pPr>
    </w:p>
    <w:p w14:paraId="52005235" w14:textId="6A6E69D8" w:rsidR="003E3C22" w:rsidRPr="00233E28" w:rsidRDefault="00AF2E53" w:rsidP="00233E28">
      <w:pPr>
        <w:widowControl w:val="0"/>
        <w:outlineLvl w:val="0"/>
        <w:rPr>
          <w:u w:val="single"/>
          <w:lang w:val="sk-SK"/>
        </w:rPr>
      </w:pPr>
      <w:r>
        <w:rPr>
          <w:u w:val="single"/>
          <w:lang w:val="sk-SK"/>
        </w:rPr>
        <w:t>V termíne narodení n</w:t>
      </w:r>
      <w:r w:rsidR="003E3C22" w:rsidRPr="00233E28">
        <w:rPr>
          <w:u w:val="single"/>
          <w:lang w:val="sk-SK"/>
        </w:rPr>
        <w:t>ovorodenci:</w:t>
      </w:r>
    </w:p>
    <w:p w14:paraId="715E9949" w14:textId="28DF6A1F" w:rsidR="003E3C22" w:rsidRDefault="00AF2E53" w:rsidP="00233E28">
      <w:pPr>
        <w:widowControl w:val="0"/>
        <w:outlineLvl w:val="0"/>
        <w:rPr>
          <w:u w:val="single"/>
          <w:lang w:val="sk-SK"/>
        </w:rPr>
      </w:pPr>
      <w:r>
        <w:rPr>
          <w:lang w:val="sk-SK"/>
        </w:rPr>
        <w:t>V termíne narodení n</w:t>
      </w:r>
      <w:r w:rsidR="003E3C22">
        <w:rPr>
          <w:lang w:val="sk-SK"/>
        </w:rPr>
        <w:t xml:space="preserve">ovorodenci 0 – 7 dní: </w:t>
      </w:r>
      <w:r w:rsidR="003E3C22" w:rsidRPr="004229C9">
        <w:rPr>
          <w:lang w:val="sk-SK"/>
        </w:rPr>
        <w:t>50 mg/kg</w:t>
      </w:r>
      <w:r w:rsidR="003E3C22">
        <w:rPr>
          <w:lang w:val="sk-SK"/>
        </w:rPr>
        <w:t>/deň rozdelených do 2 dávok (</w:t>
      </w:r>
      <w:r w:rsidR="003E3C22" w:rsidRPr="004229C9">
        <w:rPr>
          <w:lang w:val="sk-SK"/>
        </w:rPr>
        <w:t>každých 12 hodín</w:t>
      </w:r>
      <w:r w:rsidR="003E3C22">
        <w:rPr>
          <w:lang w:val="sk-SK"/>
        </w:rPr>
        <w:t>).</w:t>
      </w:r>
    </w:p>
    <w:p w14:paraId="552B8426" w14:textId="2711DE35" w:rsidR="003E3C22" w:rsidRPr="004229C9" w:rsidRDefault="00AF2E53" w:rsidP="00FD7063">
      <w:pPr>
        <w:widowControl w:val="0"/>
        <w:tabs>
          <w:tab w:val="clear" w:pos="567"/>
        </w:tabs>
        <w:rPr>
          <w:lang w:val="sk-SK"/>
        </w:rPr>
      </w:pPr>
      <w:r>
        <w:rPr>
          <w:lang w:val="sk-SK"/>
        </w:rPr>
        <w:t>V termíne narodení</w:t>
      </w:r>
      <w:r w:rsidR="00A735FC">
        <w:rPr>
          <w:lang w:val="sk-SK"/>
        </w:rPr>
        <w:t xml:space="preserve"> </w:t>
      </w:r>
      <w:r>
        <w:rPr>
          <w:lang w:val="sk-SK"/>
        </w:rPr>
        <w:t>n</w:t>
      </w:r>
      <w:r w:rsidR="003E3C22" w:rsidRPr="00665FA6">
        <w:rPr>
          <w:lang w:val="sk-SK"/>
        </w:rPr>
        <w:t>ovorodenc</w:t>
      </w:r>
      <w:r w:rsidR="003E3C22">
        <w:rPr>
          <w:lang w:val="sk-SK"/>
        </w:rPr>
        <w:t>i</w:t>
      </w:r>
      <w:r w:rsidR="003E3C22" w:rsidRPr="00665FA6">
        <w:rPr>
          <w:lang w:val="sk-SK"/>
        </w:rPr>
        <w:t xml:space="preserve"> 8 – 27 dní:</w:t>
      </w:r>
      <w:r w:rsidR="003E3C22">
        <w:rPr>
          <w:lang w:val="sk-SK"/>
        </w:rPr>
        <w:t xml:space="preserve"> </w:t>
      </w:r>
      <w:r w:rsidR="003E3C22" w:rsidRPr="004229C9">
        <w:rPr>
          <w:lang w:val="sk-SK"/>
        </w:rPr>
        <w:t xml:space="preserve">50 mg/kg každých </w:t>
      </w:r>
      <w:r w:rsidR="003E3C22">
        <w:rPr>
          <w:lang w:val="sk-SK"/>
        </w:rPr>
        <w:t>8</w:t>
      </w:r>
      <w:r w:rsidR="003E3C22" w:rsidRPr="004229C9">
        <w:rPr>
          <w:lang w:val="sk-SK"/>
        </w:rPr>
        <w:t xml:space="preserve"> hodín</w:t>
      </w:r>
      <w:r w:rsidR="003E3C22">
        <w:rPr>
          <w:lang w:val="sk-SK"/>
        </w:rPr>
        <w:t>.</w:t>
      </w:r>
    </w:p>
    <w:p w14:paraId="01797EC0" w14:textId="77777777" w:rsidR="003E3C22" w:rsidRDefault="003E3C22" w:rsidP="003E3C22">
      <w:pPr>
        <w:widowControl w:val="0"/>
        <w:ind w:left="720"/>
        <w:rPr>
          <w:i/>
          <w:lang w:val="sk-SK"/>
        </w:rPr>
      </w:pPr>
    </w:p>
    <w:p w14:paraId="2D00302B" w14:textId="738658D0" w:rsidR="003E3C22" w:rsidRPr="004229C9" w:rsidRDefault="003E3C22" w:rsidP="00C410A3">
      <w:pPr>
        <w:widowControl w:val="0"/>
        <w:tabs>
          <w:tab w:val="clear" w:pos="567"/>
        </w:tabs>
        <w:rPr>
          <w:i/>
          <w:lang w:val="sk-SK"/>
        </w:rPr>
      </w:pPr>
      <w:proofErr w:type="spellStart"/>
      <w:r w:rsidRPr="004229C9">
        <w:rPr>
          <w:i/>
          <w:lang w:val="sk-SK"/>
        </w:rPr>
        <w:t>Vnútrobrušné</w:t>
      </w:r>
      <w:proofErr w:type="spellEnd"/>
      <w:r w:rsidRPr="004229C9">
        <w:rPr>
          <w:i/>
          <w:lang w:val="sk-SK"/>
        </w:rPr>
        <w:t xml:space="preserve"> infekcie</w:t>
      </w:r>
      <w:r>
        <w:rPr>
          <w:i/>
          <w:lang w:val="sk-SK"/>
        </w:rPr>
        <w:t>:</w:t>
      </w:r>
    </w:p>
    <w:p w14:paraId="7B449FBC" w14:textId="77777777" w:rsidR="003E3C22" w:rsidRPr="004229C9" w:rsidRDefault="003E3C22" w:rsidP="0078404C">
      <w:pPr>
        <w:widowControl w:val="0"/>
        <w:jc w:val="both"/>
        <w:rPr>
          <w:lang w:val="sk-SK"/>
        </w:rPr>
      </w:pPr>
      <w:r w:rsidRPr="004229C9">
        <w:rPr>
          <w:lang w:val="sk-SK"/>
        </w:rPr>
        <w:t xml:space="preserve">V liečbe </w:t>
      </w:r>
      <w:proofErr w:type="spellStart"/>
      <w:r w:rsidRPr="004229C9">
        <w:rPr>
          <w:lang w:val="sk-SK"/>
        </w:rPr>
        <w:t>vnútrobrušných</w:t>
      </w:r>
      <w:proofErr w:type="spellEnd"/>
      <w:r w:rsidRPr="004229C9">
        <w:rPr>
          <w:lang w:val="sk-SK"/>
        </w:rPr>
        <w:t xml:space="preserve"> infekcií sa m</w:t>
      </w:r>
      <w:r>
        <w:rPr>
          <w:lang w:val="sk-SK"/>
        </w:rPr>
        <w:t>á</w:t>
      </w:r>
      <w:r w:rsidRPr="004229C9">
        <w:rPr>
          <w:lang w:val="sk-SK"/>
        </w:rPr>
        <w:t xml:space="preserve"> </w:t>
      </w:r>
      <w:proofErr w:type="spellStart"/>
      <w:r>
        <w:rPr>
          <w:lang w:val="sk-SK"/>
        </w:rPr>
        <w:t>cefotaxím</w:t>
      </w:r>
      <w:proofErr w:type="spellEnd"/>
      <w:r w:rsidRPr="004229C9">
        <w:rPr>
          <w:lang w:val="sk-SK"/>
        </w:rPr>
        <w:t xml:space="preserve"> </w:t>
      </w:r>
      <w:r>
        <w:rPr>
          <w:lang w:val="sk-SK"/>
        </w:rPr>
        <w:t>po</w:t>
      </w:r>
      <w:r w:rsidRPr="004229C9">
        <w:rPr>
          <w:lang w:val="sk-SK"/>
        </w:rPr>
        <w:t>užiť v kombinácii s antibiotikom, ktor</w:t>
      </w:r>
      <w:r>
        <w:rPr>
          <w:lang w:val="sk-SK"/>
        </w:rPr>
        <w:t>é</w:t>
      </w:r>
      <w:r w:rsidRPr="004229C9">
        <w:rPr>
          <w:lang w:val="sk-SK"/>
        </w:rPr>
        <w:t xml:space="preserve"> je účinn</w:t>
      </w:r>
      <w:r>
        <w:rPr>
          <w:lang w:val="sk-SK"/>
        </w:rPr>
        <w:t>é</w:t>
      </w:r>
      <w:r w:rsidRPr="004229C9">
        <w:rPr>
          <w:lang w:val="sk-SK"/>
        </w:rPr>
        <w:t xml:space="preserve"> proti anaeróbom (pozri časť 5.1).</w:t>
      </w:r>
    </w:p>
    <w:p w14:paraId="12B0EAE5" w14:textId="77777777" w:rsidR="003E3C22" w:rsidRDefault="003E3C22" w:rsidP="003E3C22">
      <w:pPr>
        <w:pStyle w:val="Zkladntext3"/>
        <w:ind w:left="720"/>
        <w:jc w:val="left"/>
        <w:rPr>
          <w:color w:val="auto"/>
          <w:u w:val="single"/>
          <w:lang w:val="sk-SK"/>
        </w:rPr>
      </w:pPr>
    </w:p>
    <w:p w14:paraId="28300B2A" w14:textId="77777777" w:rsidR="003E3C22" w:rsidRPr="00233E28" w:rsidRDefault="003E3C22" w:rsidP="00233E28">
      <w:pPr>
        <w:pStyle w:val="Zkladntext3"/>
        <w:jc w:val="left"/>
        <w:rPr>
          <w:color w:val="auto"/>
          <w:u w:val="single"/>
          <w:lang w:val="sk-SK"/>
        </w:rPr>
      </w:pPr>
      <w:r w:rsidRPr="00233E28">
        <w:rPr>
          <w:color w:val="auto"/>
          <w:u w:val="single"/>
          <w:lang w:val="sk-SK"/>
        </w:rPr>
        <w:t>Dĺžka liečby:</w:t>
      </w:r>
    </w:p>
    <w:p w14:paraId="56291808" w14:textId="77777777" w:rsidR="00393EF8" w:rsidRPr="00FB068E" w:rsidRDefault="00393EF8" w:rsidP="003E3C22">
      <w:pPr>
        <w:pStyle w:val="Zkladntext3"/>
        <w:ind w:left="720"/>
        <w:jc w:val="left"/>
        <w:rPr>
          <w:i/>
          <w:color w:val="auto"/>
          <w:u w:val="single"/>
          <w:lang w:val="sk-SK"/>
        </w:rPr>
      </w:pPr>
    </w:p>
    <w:p w14:paraId="018BD994" w14:textId="4A606F1D" w:rsidR="003E3C22" w:rsidRPr="004229C9" w:rsidRDefault="003E3C22" w:rsidP="0078404C">
      <w:pPr>
        <w:pStyle w:val="Zkladntext3"/>
        <w:rPr>
          <w:color w:val="auto"/>
          <w:lang w:val="sk-SK"/>
        </w:rPr>
      </w:pPr>
      <w:r w:rsidRPr="004229C9">
        <w:rPr>
          <w:color w:val="auto"/>
          <w:lang w:val="sk-SK"/>
        </w:rPr>
        <w:t xml:space="preserve">Dĺžka liečby </w:t>
      </w:r>
      <w:proofErr w:type="spellStart"/>
      <w:r w:rsidR="00CD7358">
        <w:rPr>
          <w:color w:val="auto"/>
          <w:lang w:val="sk-SK"/>
        </w:rPr>
        <w:t>C</w:t>
      </w:r>
      <w:r>
        <w:rPr>
          <w:color w:val="auto"/>
          <w:lang w:val="sk-SK"/>
        </w:rPr>
        <w:t>efotax</w:t>
      </w:r>
      <w:r w:rsidR="00CD7358">
        <w:rPr>
          <w:color w:val="auto"/>
          <w:lang w:val="sk-SK"/>
        </w:rPr>
        <w:t>i</w:t>
      </w:r>
      <w:r>
        <w:rPr>
          <w:color w:val="auto"/>
          <w:lang w:val="sk-SK"/>
        </w:rPr>
        <w:t>m</w:t>
      </w:r>
      <w:r w:rsidR="00CD7358">
        <w:rPr>
          <w:color w:val="auto"/>
          <w:lang w:val="sk-SK"/>
        </w:rPr>
        <w:t>om</w:t>
      </w:r>
      <w:proofErr w:type="spellEnd"/>
      <w:r w:rsidR="00CD7358">
        <w:rPr>
          <w:color w:val="auto"/>
          <w:lang w:val="sk-SK"/>
        </w:rPr>
        <w:t xml:space="preserve"> </w:t>
      </w:r>
      <w:proofErr w:type="spellStart"/>
      <w:r w:rsidR="00CD7358">
        <w:rPr>
          <w:color w:val="auto"/>
          <w:lang w:val="sk-SK"/>
        </w:rPr>
        <w:t>Eberth</w:t>
      </w:r>
      <w:proofErr w:type="spellEnd"/>
      <w:r w:rsidRPr="004229C9">
        <w:rPr>
          <w:color w:val="auto"/>
          <w:lang w:val="sk-SK"/>
        </w:rPr>
        <w:t xml:space="preserve"> závisí od klinického stavu pacienta a mení sa podľa príčiny choroby. </w:t>
      </w:r>
      <w:proofErr w:type="spellStart"/>
      <w:r>
        <w:rPr>
          <w:color w:val="auto"/>
          <w:lang w:val="sk-SK"/>
        </w:rPr>
        <w:t>Cefotaxím</w:t>
      </w:r>
      <w:proofErr w:type="spellEnd"/>
      <w:r w:rsidRPr="004229C9">
        <w:rPr>
          <w:color w:val="auto"/>
          <w:lang w:val="sk-SK"/>
        </w:rPr>
        <w:t xml:space="preserve"> sa m</w:t>
      </w:r>
      <w:r>
        <w:rPr>
          <w:color w:val="auto"/>
          <w:lang w:val="sk-SK"/>
        </w:rPr>
        <w:t>á</w:t>
      </w:r>
      <w:r w:rsidRPr="004229C9">
        <w:rPr>
          <w:color w:val="auto"/>
          <w:lang w:val="sk-SK"/>
        </w:rPr>
        <w:t xml:space="preserve"> podávať nepretržite</w:t>
      </w:r>
      <w:r>
        <w:rPr>
          <w:color w:val="auto"/>
          <w:lang w:val="sk-SK"/>
        </w:rPr>
        <w:t>,</w:t>
      </w:r>
      <w:r w:rsidRPr="004229C9">
        <w:rPr>
          <w:color w:val="auto"/>
          <w:lang w:val="sk-SK"/>
        </w:rPr>
        <w:t xml:space="preserve"> až kým neustúpia symptómy alebo sa nezíska dôkaz vyhubenia baktérií. Liečenie </w:t>
      </w:r>
      <w:r>
        <w:rPr>
          <w:color w:val="auto"/>
          <w:lang w:val="sk-SK"/>
        </w:rPr>
        <w:t>s dĺžkou trvania viac</w:t>
      </w:r>
      <w:r w:rsidRPr="004229C9">
        <w:rPr>
          <w:color w:val="auto"/>
          <w:lang w:val="sk-SK"/>
        </w:rPr>
        <w:t xml:space="preserve"> ako 10 dní je potrebné u infekcií vyvolaných </w:t>
      </w:r>
      <w:proofErr w:type="spellStart"/>
      <w:r w:rsidRPr="00FE73CC">
        <w:rPr>
          <w:i/>
          <w:color w:val="auto"/>
          <w:lang w:val="sk-SK"/>
        </w:rPr>
        <w:t>Streptococcus</w:t>
      </w:r>
      <w:proofErr w:type="spellEnd"/>
      <w:r w:rsidRPr="00FE73CC">
        <w:rPr>
          <w:i/>
          <w:color w:val="auto"/>
          <w:lang w:val="sk-SK"/>
        </w:rPr>
        <w:t xml:space="preserve"> </w:t>
      </w:r>
      <w:proofErr w:type="spellStart"/>
      <w:r w:rsidRPr="00FE73CC">
        <w:rPr>
          <w:i/>
          <w:color w:val="auto"/>
          <w:lang w:val="sk-SK"/>
        </w:rPr>
        <w:t>pyogenes</w:t>
      </w:r>
      <w:proofErr w:type="spellEnd"/>
      <w:r w:rsidRPr="00FE73CC">
        <w:rPr>
          <w:i/>
          <w:color w:val="auto"/>
          <w:lang w:val="sk-SK"/>
        </w:rPr>
        <w:t xml:space="preserve"> </w:t>
      </w:r>
      <w:r w:rsidRPr="004229C9">
        <w:rPr>
          <w:color w:val="auto"/>
          <w:lang w:val="sk-SK"/>
        </w:rPr>
        <w:t>(</w:t>
      </w:r>
      <w:proofErr w:type="spellStart"/>
      <w:r w:rsidRPr="004229C9">
        <w:rPr>
          <w:color w:val="auto"/>
          <w:lang w:val="sk-SK"/>
        </w:rPr>
        <w:t>parenterálna</w:t>
      </w:r>
      <w:proofErr w:type="spellEnd"/>
      <w:r w:rsidRPr="004229C9">
        <w:rPr>
          <w:color w:val="auto"/>
          <w:lang w:val="sk-SK"/>
        </w:rPr>
        <w:t xml:space="preserve"> terapia </w:t>
      </w:r>
      <w:r>
        <w:rPr>
          <w:color w:val="auto"/>
          <w:lang w:val="sk-SK"/>
        </w:rPr>
        <w:t>môže</w:t>
      </w:r>
      <w:r w:rsidRPr="004229C9">
        <w:rPr>
          <w:color w:val="auto"/>
          <w:lang w:val="sk-SK"/>
        </w:rPr>
        <w:t xml:space="preserve"> byť zamenená </w:t>
      </w:r>
      <w:r>
        <w:rPr>
          <w:color w:val="auto"/>
          <w:lang w:val="sk-SK"/>
        </w:rPr>
        <w:t>za</w:t>
      </w:r>
      <w:r w:rsidRPr="004229C9">
        <w:rPr>
          <w:color w:val="auto"/>
          <w:lang w:val="sk-SK"/>
        </w:rPr>
        <w:t xml:space="preserve"> adekvátnu orálnu terapiu pred koncom 10-dňovej periódy).</w:t>
      </w:r>
    </w:p>
    <w:p w14:paraId="6D26C11B" w14:textId="77777777" w:rsidR="003E3C22" w:rsidRDefault="003E3C22" w:rsidP="003E3C22">
      <w:pPr>
        <w:widowControl w:val="0"/>
        <w:ind w:left="720"/>
        <w:rPr>
          <w:u w:val="single"/>
          <w:lang w:val="sk-SK"/>
        </w:rPr>
      </w:pPr>
    </w:p>
    <w:p w14:paraId="02CB0773" w14:textId="77777777" w:rsidR="003E3C22" w:rsidRPr="00FB068E" w:rsidRDefault="003E3C22" w:rsidP="00233E28">
      <w:pPr>
        <w:widowControl w:val="0"/>
        <w:rPr>
          <w:i/>
          <w:u w:val="single"/>
          <w:lang w:val="sk-SK"/>
        </w:rPr>
      </w:pPr>
      <w:r w:rsidRPr="00FB068E">
        <w:rPr>
          <w:i/>
          <w:u w:val="single"/>
          <w:lang w:val="sk-SK"/>
        </w:rPr>
        <w:t>Znížená funkcia obličiek:</w:t>
      </w:r>
    </w:p>
    <w:p w14:paraId="41E96F50" w14:textId="77777777" w:rsidR="003E3C22" w:rsidRPr="004229C9" w:rsidRDefault="003E3C22" w:rsidP="0078404C">
      <w:pPr>
        <w:widowControl w:val="0"/>
        <w:tabs>
          <w:tab w:val="clear" w:pos="567"/>
        </w:tabs>
        <w:jc w:val="both"/>
        <w:rPr>
          <w:lang w:val="sk-SK"/>
        </w:rPr>
      </w:pPr>
      <w:r w:rsidRPr="004229C9">
        <w:rPr>
          <w:lang w:val="sk-SK"/>
        </w:rPr>
        <w:t xml:space="preserve">U dospelých pacientov s </w:t>
      </w:r>
      <w:proofErr w:type="spellStart"/>
      <w:r w:rsidRPr="004229C9">
        <w:rPr>
          <w:lang w:val="sk-SK"/>
        </w:rPr>
        <w:t>klírensom</w:t>
      </w:r>
      <w:proofErr w:type="spellEnd"/>
      <w:r w:rsidRPr="004229C9">
        <w:rPr>
          <w:lang w:val="sk-SK"/>
        </w:rPr>
        <w:t xml:space="preserve"> </w:t>
      </w:r>
      <w:proofErr w:type="spellStart"/>
      <w:r w:rsidRPr="004229C9">
        <w:rPr>
          <w:lang w:val="sk-SK"/>
        </w:rPr>
        <w:t>kreatinínu</w:t>
      </w:r>
      <w:proofErr w:type="spellEnd"/>
      <w:r w:rsidRPr="004229C9">
        <w:rPr>
          <w:lang w:val="sk-SK"/>
        </w:rPr>
        <w:t xml:space="preserve"> </w:t>
      </w:r>
      <w:r w:rsidRPr="004229C9">
        <w:rPr>
          <w:rFonts w:ascii="Arial" w:hAnsi="Arial" w:cs="Arial"/>
          <w:lang w:val="sk-SK"/>
        </w:rPr>
        <w:t>≤</w:t>
      </w:r>
      <w:r w:rsidRPr="004229C9">
        <w:rPr>
          <w:lang w:val="sk-SK"/>
        </w:rPr>
        <w:t xml:space="preserve"> 5 ml/min je úvodná dávka </w:t>
      </w:r>
      <w:r>
        <w:rPr>
          <w:lang w:val="sk-SK"/>
        </w:rPr>
        <w:t>podobná ako</w:t>
      </w:r>
      <w:r w:rsidRPr="004229C9">
        <w:rPr>
          <w:lang w:val="sk-SK"/>
        </w:rPr>
        <w:t xml:space="preserve"> bežná</w:t>
      </w:r>
      <w:r>
        <w:rPr>
          <w:lang w:val="sk-SK"/>
        </w:rPr>
        <w:t xml:space="preserve"> odporúčaná </w:t>
      </w:r>
      <w:r w:rsidRPr="004229C9">
        <w:rPr>
          <w:lang w:val="sk-SK"/>
        </w:rPr>
        <w:t>dávka, ale udržiavacia dávka sa m</w:t>
      </w:r>
      <w:r>
        <w:rPr>
          <w:lang w:val="sk-SK"/>
        </w:rPr>
        <w:t>á</w:t>
      </w:r>
      <w:r w:rsidRPr="004229C9">
        <w:rPr>
          <w:lang w:val="sk-SK"/>
        </w:rPr>
        <w:t xml:space="preserve"> znížiť na polovicu bez zmeny vo frekvencii dávkovania.</w:t>
      </w:r>
    </w:p>
    <w:p w14:paraId="3360342C" w14:textId="77777777" w:rsidR="003E3C22" w:rsidRDefault="003E3C22" w:rsidP="003E3C22">
      <w:pPr>
        <w:rPr>
          <w:lang w:val="sk-SK"/>
        </w:rPr>
      </w:pPr>
    </w:p>
    <w:p w14:paraId="0CBE39E1" w14:textId="70938B84" w:rsidR="003E3C22" w:rsidRPr="00FB068E" w:rsidRDefault="003E3C22" w:rsidP="00D25F1D">
      <w:pPr>
        <w:tabs>
          <w:tab w:val="clear" w:pos="567"/>
        </w:tabs>
        <w:rPr>
          <w:i/>
          <w:u w:val="single"/>
          <w:lang w:val="sk-SK"/>
        </w:rPr>
      </w:pPr>
      <w:r w:rsidRPr="00FB068E">
        <w:rPr>
          <w:i/>
          <w:u w:val="single"/>
          <w:lang w:val="sk-SK"/>
        </w:rPr>
        <w:t xml:space="preserve">Dialýza alebo </w:t>
      </w:r>
      <w:proofErr w:type="spellStart"/>
      <w:r w:rsidRPr="00FB068E">
        <w:rPr>
          <w:i/>
          <w:u w:val="single"/>
          <w:lang w:val="sk-SK"/>
        </w:rPr>
        <w:t>peritoneálna</w:t>
      </w:r>
      <w:proofErr w:type="spellEnd"/>
      <w:r w:rsidRPr="00FB068E">
        <w:rPr>
          <w:i/>
          <w:u w:val="single"/>
          <w:lang w:val="sk-SK"/>
        </w:rPr>
        <w:t xml:space="preserve"> dialýza:</w:t>
      </w:r>
    </w:p>
    <w:p w14:paraId="57776D53" w14:textId="45D3871A" w:rsidR="003E3C22" w:rsidRDefault="003E3C22" w:rsidP="0078404C">
      <w:pPr>
        <w:jc w:val="both"/>
        <w:rPr>
          <w:lang w:val="sk-SK"/>
        </w:rPr>
      </w:pPr>
      <w:r w:rsidRPr="004229C9">
        <w:rPr>
          <w:lang w:val="sk-SK"/>
        </w:rPr>
        <w:t xml:space="preserve">U pacientov na hemodialýze a </w:t>
      </w:r>
      <w:proofErr w:type="spellStart"/>
      <w:r w:rsidRPr="004229C9">
        <w:rPr>
          <w:lang w:val="sk-SK"/>
        </w:rPr>
        <w:t>peritoneálnej</w:t>
      </w:r>
      <w:proofErr w:type="spellEnd"/>
      <w:r w:rsidRPr="004229C9">
        <w:rPr>
          <w:lang w:val="sk-SK"/>
        </w:rPr>
        <w:t xml:space="preserve"> dialýze </w:t>
      </w:r>
      <w:proofErr w:type="spellStart"/>
      <w:r w:rsidRPr="004229C9">
        <w:rPr>
          <w:lang w:val="sk-SK"/>
        </w:rPr>
        <w:t>i.v</w:t>
      </w:r>
      <w:proofErr w:type="spellEnd"/>
      <w:r w:rsidRPr="004229C9">
        <w:rPr>
          <w:lang w:val="sk-SK"/>
        </w:rPr>
        <w:t>. injekcia s 0,5</w:t>
      </w:r>
      <w:r>
        <w:rPr>
          <w:lang w:val="sk-SK"/>
        </w:rPr>
        <w:t xml:space="preserve"> </w:t>
      </w:r>
      <w:r w:rsidRPr="004229C9">
        <w:rPr>
          <w:lang w:val="sk-SK"/>
        </w:rPr>
        <w:t>g – 2 g</w:t>
      </w:r>
      <w:r>
        <w:rPr>
          <w:lang w:val="sk-SK"/>
        </w:rPr>
        <w:t>, podaná</w:t>
      </w:r>
      <w:r w:rsidRPr="004229C9">
        <w:rPr>
          <w:lang w:val="sk-SK"/>
        </w:rPr>
        <w:t xml:space="preserve"> na konci každej dialýzy a opakovane každých 24 hodín, je dostatočn</w:t>
      </w:r>
      <w:r>
        <w:rPr>
          <w:lang w:val="sk-SK"/>
        </w:rPr>
        <w:t>e efektívna na</w:t>
      </w:r>
      <w:r w:rsidRPr="004229C9">
        <w:rPr>
          <w:lang w:val="sk-SK"/>
        </w:rPr>
        <w:t xml:space="preserve"> lieč</w:t>
      </w:r>
      <w:r>
        <w:rPr>
          <w:lang w:val="sk-SK"/>
        </w:rPr>
        <w:t>bu</w:t>
      </w:r>
      <w:r w:rsidRPr="004229C9">
        <w:rPr>
          <w:lang w:val="sk-SK"/>
        </w:rPr>
        <w:t xml:space="preserve"> väčšinu infekcií.</w:t>
      </w:r>
    </w:p>
    <w:p w14:paraId="1BA9E518" w14:textId="77777777" w:rsidR="0082684B" w:rsidRPr="004229C9" w:rsidRDefault="0082684B" w:rsidP="003E3C22">
      <w:pPr>
        <w:rPr>
          <w:lang w:val="sk-SK"/>
        </w:rPr>
      </w:pPr>
      <w:proofErr w:type="spellStart"/>
      <w:r w:rsidRPr="0082684B">
        <w:rPr>
          <w:lang w:val="sk-SK"/>
        </w:rPr>
        <w:t>Cefotax</w:t>
      </w:r>
      <w:r w:rsidR="00DC0BB9">
        <w:rPr>
          <w:lang w:val="sk-SK"/>
        </w:rPr>
        <w:t>í</w:t>
      </w:r>
      <w:r w:rsidRPr="0082684B">
        <w:rPr>
          <w:lang w:val="sk-SK"/>
        </w:rPr>
        <w:t>m</w:t>
      </w:r>
      <w:proofErr w:type="spellEnd"/>
      <w:r w:rsidRPr="0082684B">
        <w:rPr>
          <w:lang w:val="sk-SK"/>
        </w:rPr>
        <w:t xml:space="preserve"> nie je eliminovaný </w:t>
      </w:r>
      <w:proofErr w:type="spellStart"/>
      <w:r w:rsidRPr="0082684B">
        <w:rPr>
          <w:lang w:val="sk-SK"/>
        </w:rPr>
        <w:t>peritoneálnou</w:t>
      </w:r>
      <w:proofErr w:type="spellEnd"/>
      <w:r w:rsidRPr="0082684B">
        <w:rPr>
          <w:lang w:val="sk-SK"/>
        </w:rPr>
        <w:t xml:space="preserve"> dialýzou.</w:t>
      </w:r>
    </w:p>
    <w:p w14:paraId="5FC67853" w14:textId="77777777" w:rsidR="003E3C22" w:rsidRDefault="003E3C22" w:rsidP="003E3C22">
      <w:pPr>
        <w:tabs>
          <w:tab w:val="clear" w:pos="567"/>
          <w:tab w:val="left" w:pos="709"/>
        </w:tabs>
        <w:ind w:left="709"/>
        <w:rPr>
          <w:i/>
          <w:lang w:val="sk-SK"/>
        </w:rPr>
      </w:pPr>
    </w:p>
    <w:p w14:paraId="5C02E13E" w14:textId="77777777" w:rsidR="003E3C22" w:rsidRPr="0012031F" w:rsidRDefault="003E3C22" w:rsidP="00233E28">
      <w:pPr>
        <w:tabs>
          <w:tab w:val="clear" w:pos="567"/>
          <w:tab w:val="left" w:pos="709"/>
        </w:tabs>
        <w:rPr>
          <w:i/>
          <w:u w:val="single"/>
          <w:lang w:val="sk-SK"/>
        </w:rPr>
      </w:pPr>
      <w:proofErr w:type="spellStart"/>
      <w:r w:rsidRPr="0012031F">
        <w:rPr>
          <w:i/>
          <w:u w:val="single"/>
          <w:lang w:val="sk-SK"/>
        </w:rPr>
        <w:t>Septikémie</w:t>
      </w:r>
      <w:proofErr w:type="spellEnd"/>
      <w:r w:rsidRPr="0012031F">
        <w:rPr>
          <w:i/>
          <w:u w:val="single"/>
          <w:lang w:val="sk-SK"/>
        </w:rPr>
        <w:t>:</w:t>
      </w:r>
    </w:p>
    <w:p w14:paraId="7587E03C" w14:textId="77777777" w:rsidR="003E3C22" w:rsidRPr="004229C9" w:rsidRDefault="003E3C22" w:rsidP="0078404C">
      <w:pPr>
        <w:tabs>
          <w:tab w:val="clear" w:pos="567"/>
          <w:tab w:val="left" w:pos="709"/>
        </w:tabs>
        <w:jc w:val="both"/>
        <w:rPr>
          <w:lang w:val="sk-SK"/>
        </w:rPr>
      </w:pPr>
      <w:r w:rsidRPr="004229C9">
        <w:rPr>
          <w:lang w:val="sk-SK"/>
        </w:rPr>
        <w:t xml:space="preserve">V prípade </w:t>
      </w:r>
      <w:proofErr w:type="spellStart"/>
      <w:r w:rsidRPr="004229C9">
        <w:rPr>
          <w:lang w:val="sk-SK"/>
        </w:rPr>
        <w:t>gramnegatívnych</w:t>
      </w:r>
      <w:proofErr w:type="spellEnd"/>
      <w:r w:rsidRPr="004229C9">
        <w:rPr>
          <w:lang w:val="sk-SK"/>
        </w:rPr>
        <w:t xml:space="preserve"> patogénov </w:t>
      </w:r>
      <w:r>
        <w:rPr>
          <w:lang w:val="sk-SK"/>
        </w:rPr>
        <w:t>je potrebné zvážiť kombináciu</w:t>
      </w:r>
      <w:r w:rsidRPr="004229C9">
        <w:rPr>
          <w:lang w:val="sk-SK"/>
        </w:rPr>
        <w:t xml:space="preserve"> s iným vhodným antibiotikom (pozri časť 5.1).</w:t>
      </w:r>
    </w:p>
    <w:p w14:paraId="78B26065" w14:textId="77777777" w:rsidR="003E3C22" w:rsidRDefault="003E3C22" w:rsidP="003E3C22">
      <w:pPr>
        <w:widowControl w:val="0"/>
        <w:ind w:firstLine="720"/>
        <w:jc w:val="both"/>
        <w:outlineLvl w:val="0"/>
        <w:rPr>
          <w:bCs/>
          <w:i/>
          <w:u w:val="single"/>
          <w:lang w:val="sk-SK"/>
        </w:rPr>
      </w:pPr>
    </w:p>
    <w:p w14:paraId="6E28F39B" w14:textId="5EF2CE54" w:rsidR="003E3C22" w:rsidRPr="00233E28" w:rsidRDefault="003E3C22" w:rsidP="00233E28">
      <w:pPr>
        <w:widowControl w:val="0"/>
        <w:jc w:val="both"/>
        <w:outlineLvl w:val="0"/>
        <w:rPr>
          <w:bCs/>
          <w:lang w:val="sk-SK"/>
        </w:rPr>
      </w:pPr>
      <w:r w:rsidRPr="00233E28">
        <w:rPr>
          <w:bCs/>
          <w:u w:val="single"/>
          <w:lang w:val="sk-SK"/>
        </w:rPr>
        <w:t>Spôsob podávania</w:t>
      </w:r>
    </w:p>
    <w:p w14:paraId="34167752" w14:textId="77777777" w:rsidR="003E3C22" w:rsidRDefault="003E3C22" w:rsidP="00981358">
      <w:pPr>
        <w:widowControl w:val="0"/>
        <w:tabs>
          <w:tab w:val="clear" w:pos="567"/>
          <w:tab w:val="left" w:pos="743"/>
        </w:tabs>
        <w:spacing w:before="100" w:beforeAutospacing="1" w:line="240" w:lineRule="auto"/>
        <w:jc w:val="both"/>
        <w:rPr>
          <w:lang w:val="sk-SK"/>
        </w:rPr>
      </w:pPr>
      <w:proofErr w:type="spellStart"/>
      <w:r w:rsidRPr="004229C9">
        <w:rPr>
          <w:lang w:val="sk-SK"/>
        </w:rPr>
        <w:t>Intramuskulárny</w:t>
      </w:r>
      <w:proofErr w:type="spellEnd"/>
      <w:r w:rsidRPr="004229C9">
        <w:rPr>
          <w:lang w:val="sk-SK"/>
        </w:rPr>
        <w:t xml:space="preserve"> spôsob podania je vyhradený pre výnimočné klinické situácie a musí byť vykonané </w:t>
      </w:r>
      <w:r w:rsidRPr="004229C9">
        <w:rPr>
          <w:lang w:val="sk-SK"/>
        </w:rPr>
        <w:lastRenderedPageBreak/>
        <w:t xml:space="preserve">hodnotenie rizika a prínosu! Odporúča sa, aby sa </w:t>
      </w:r>
      <w:r>
        <w:rPr>
          <w:lang w:val="sk-SK"/>
        </w:rPr>
        <w:t>unilaterálne</w:t>
      </w:r>
      <w:r w:rsidRPr="004229C9">
        <w:rPr>
          <w:lang w:val="sk-SK"/>
        </w:rPr>
        <w:t xml:space="preserve"> neaplikoval</w:t>
      </w:r>
      <w:r>
        <w:rPr>
          <w:lang w:val="sk-SK"/>
        </w:rPr>
        <w:t>i</w:t>
      </w:r>
      <w:r w:rsidRPr="004229C9">
        <w:rPr>
          <w:lang w:val="sk-SK"/>
        </w:rPr>
        <w:t xml:space="preserve"> viac ako </w:t>
      </w:r>
      <w:r w:rsidRPr="004229C9">
        <w:rPr>
          <w:lang w:val="sk-SK"/>
        </w:rPr>
        <w:br/>
        <w:t xml:space="preserve">4 ml. Ak denná dávka prekročí 2 g </w:t>
      </w:r>
      <w:proofErr w:type="spellStart"/>
      <w:r>
        <w:rPr>
          <w:lang w:val="sk-SK"/>
        </w:rPr>
        <w:t>cefotaxím</w:t>
      </w:r>
      <w:r w:rsidRPr="004229C9">
        <w:rPr>
          <w:lang w:val="sk-SK"/>
        </w:rPr>
        <w:t>u</w:t>
      </w:r>
      <w:proofErr w:type="spellEnd"/>
      <w:r w:rsidRPr="004229C9">
        <w:rPr>
          <w:lang w:val="sk-SK"/>
        </w:rPr>
        <w:t xml:space="preserve"> alebo ak je </w:t>
      </w:r>
      <w:proofErr w:type="spellStart"/>
      <w:r>
        <w:rPr>
          <w:lang w:val="sk-SK"/>
        </w:rPr>
        <w:t>cefotaxím</w:t>
      </w:r>
      <w:proofErr w:type="spellEnd"/>
      <w:r w:rsidRPr="004229C9">
        <w:rPr>
          <w:lang w:val="sk-SK"/>
        </w:rPr>
        <w:t xml:space="preserve"> aplikovaný častejšie ako dvakrát denne, odporúča sa intravenózne podanie.</w:t>
      </w:r>
    </w:p>
    <w:p w14:paraId="5CEC61EC" w14:textId="77777777" w:rsidR="007148C5" w:rsidRDefault="007148C5" w:rsidP="00233E28">
      <w:pPr>
        <w:widowControl w:val="0"/>
        <w:tabs>
          <w:tab w:val="clear" w:pos="567"/>
          <w:tab w:val="left" w:pos="743"/>
        </w:tabs>
        <w:spacing w:line="240" w:lineRule="auto"/>
        <w:rPr>
          <w:lang w:val="sk-SK"/>
        </w:rPr>
      </w:pPr>
    </w:p>
    <w:p w14:paraId="73759278" w14:textId="77777777" w:rsidR="003E3C22" w:rsidRPr="004229C9" w:rsidRDefault="003E3C22" w:rsidP="00233E28">
      <w:pPr>
        <w:widowControl w:val="0"/>
        <w:tabs>
          <w:tab w:val="clear" w:pos="567"/>
          <w:tab w:val="left" w:pos="743"/>
        </w:tabs>
        <w:jc w:val="both"/>
        <w:rPr>
          <w:lang w:val="sk-SK"/>
        </w:rPr>
      </w:pPr>
      <w:r w:rsidRPr="004229C9">
        <w:rPr>
          <w:lang w:val="sk-SK"/>
        </w:rPr>
        <w:t xml:space="preserve">Deťom do jedného roka sa nesmie </w:t>
      </w:r>
      <w:proofErr w:type="spellStart"/>
      <w:r w:rsidRPr="004229C9">
        <w:rPr>
          <w:lang w:val="sk-SK"/>
        </w:rPr>
        <w:t>intramuskulárne</w:t>
      </w:r>
      <w:proofErr w:type="spellEnd"/>
      <w:r w:rsidRPr="004229C9">
        <w:rPr>
          <w:lang w:val="sk-SK"/>
        </w:rPr>
        <w:t xml:space="preserve"> aplikovať </w:t>
      </w:r>
      <w:proofErr w:type="spellStart"/>
      <w:r>
        <w:rPr>
          <w:lang w:val="sk-SK"/>
        </w:rPr>
        <w:t>cefotaxím</w:t>
      </w:r>
      <w:proofErr w:type="spellEnd"/>
      <w:r w:rsidRPr="004229C9">
        <w:rPr>
          <w:lang w:val="sk-SK"/>
        </w:rPr>
        <w:t xml:space="preserve"> </w:t>
      </w:r>
      <w:r w:rsidRPr="00996438">
        <w:rPr>
          <w:lang w:val="sk-SK"/>
        </w:rPr>
        <w:t>rekonštituovaný</w:t>
      </w:r>
      <w:r w:rsidRPr="004229C9">
        <w:rPr>
          <w:lang w:val="sk-SK"/>
        </w:rPr>
        <w:t xml:space="preserve"> (rozpustený) v </w:t>
      </w:r>
      <w:proofErr w:type="spellStart"/>
      <w:r w:rsidRPr="004229C9">
        <w:rPr>
          <w:lang w:val="sk-SK"/>
        </w:rPr>
        <w:t>lidokaíne</w:t>
      </w:r>
      <w:proofErr w:type="spellEnd"/>
      <w:r w:rsidRPr="004229C9">
        <w:rPr>
          <w:lang w:val="sk-SK"/>
        </w:rPr>
        <w:t xml:space="preserve">. </w:t>
      </w:r>
      <w:r w:rsidRPr="00C75842">
        <w:rPr>
          <w:iCs/>
          <w:lang w:val="sk-SK"/>
        </w:rPr>
        <w:t xml:space="preserve">Je potrebné vziať do úvahy informáciu o lieku s obsahom </w:t>
      </w:r>
      <w:proofErr w:type="spellStart"/>
      <w:r w:rsidRPr="00C75842">
        <w:rPr>
          <w:iCs/>
          <w:lang w:val="sk-SK"/>
        </w:rPr>
        <w:t>lidokaínu</w:t>
      </w:r>
      <w:proofErr w:type="spellEnd"/>
      <w:r w:rsidRPr="00C75842">
        <w:rPr>
          <w:iCs/>
          <w:lang w:val="sk-SK"/>
        </w:rPr>
        <w:t>.</w:t>
      </w:r>
    </w:p>
    <w:p w14:paraId="77A83B3E" w14:textId="373821FA" w:rsidR="003E3C22" w:rsidRPr="004229C9" w:rsidRDefault="003E3C22" w:rsidP="00233E28">
      <w:pPr>
        <w:tabs>
          <w:tab w:val="clear" w:pos="567"/>
          <w:tab w:val="left" w:pos="709"/>
        </w:tabs>
        <w:jc w:val="both"/>
        <w:rPr>
          <w:lang w:val="sk-SK"/>
        </w:rPr>
      </w:pPr>
      <w:bookmarkStart w:id="3" w:name="OLE_LINK1"/>
      <w:bookmarkStart w:id="4" w:name="OLE_LINK2"/>
      <w:r w:rsidRPr="004229C9">
        <w:rPr>
          <w:lang w:val="sk-SK"/>
        </w:rPr>
        <w:t xml:space="preserve">V záujme zabránenia rizika infekcie, </w:t>
      </w:r>
      <w:r>
        <w:rPr>
          <w:lang w:val="sk-SK"/>
        </w:rPr>
        <w:t>má</w:t>
      </w:r>
      <w:r w:rsidRPr="004229C9">
        <w:rPr>
          <w:lang w:val="sk-SK"/>
        </w:rPr>
        <w:t xml:space="preserve"> reko</w:t>
      </w:r>
      <w:r>
        <w:rPr>
          <w:lang w:val="sk-SK"/>
        </w:rPr>
        <w:t>n</w:t>
      </w:r>
      <w:r w:rsidRPr="004229C9">
        <w:rPr>
          <w:lang w:val="sk-SK"/>
        </w:rPr>
        <w:t>štitúcia (</w:t>
      </w:r>
      <w:r>
        <w:rPr>
          <w:lang w:val="sk-SK"/>
        </w:rPr>
        <w:t>príprava</w:t>
      </w:r>
      <w:r w:rsidRPr="004229C9">
        <w:rPr>
          <w:lang w:val="sk-SK"/>
        </w:rPr>
        <w:t>) infúzie prebiehať v uzavretých aseptických podmienkach. Neodkladajte infúziu po rekonštitúcii roztoku.</w:t>
      </w:r>
    </w:p>
    <w:p w14:paraId="0BF5C15F" w14:textId="77777777" w:rsidR="003E3C22" w:rsidRPr="004229C9" w:rsidRDefault="003E3C22" w:rsidP="003E3C22">
      <w:pPr>
        <w:tabs>
          <w:tab w:val="clear" w:pos="567"/>
          <w:tab w:val="left" w:pos="709"/>
        </w:tabs>
        <w:ind w:left="660"/>
        <w:rPr>
          <w:lang w:val="sk-SK"/>
        </w:rPr>
      </w:pPr>
    </w:p>
    <w:bookmarkEnd w:id="3"/>
    <w:bookmarkEnd w:id="4"/>
    <w:p w14:paraId="6E081920" w14:textId="77777777" w:rsidR="003E3C22" w:rsidRPr="00233E28" w:rsidRDefault="003E3C22" w:rsidP="00233E28">
      <w:pPr>
        <w:numPr>
          <w:ilvl w:val="12"/>
          <w:numId w:val="0"/>
        </w:numPr>
        <w:rPr>
          <w:u w:val="single"/>
          <w:lang w:val="sk-SK"/>
        </w:rPr>
      </w:pPr>
      <w:r w:rsidRPr="00233E28">
        <w:rPr>
          <w:u w:val="single"/>
          <w:lang w:val="sk-SK"/>
        </w:rPr>
        <w:t>Intravenózna infúzia:</w:t>
      </w:r>
    </w:p>
    <w:p w14:paraId="47B8C2A2" w14:textId="77777777" w:rsidR="003E3C22" w:rsidRDefault="003E3C22" w:rsidP="00981358">
      <w:pPr>
        <w:numPr>
          <w:ilvl w:val="12"/>
          <w:numId w:val="0"/>
        </w:numPr>
        <w:jc w:val="both"/>
        <w:rPr>
          <w:lang w:val="sk-SK"/>
        </w:rPr>
      </w:pPr>
      <w:r w:rsidRPr="004229C9">
        <w:rPr>
          <w:lang w:val="sk-SK"/>
        </w:rPr>
        <w:t>Pre</w:t>
      </w:r>
      <w:r w:rsidRPr="004229C9">
        <w:rPr>
          <w:i/>
          <w:lang w:val="sk-SK"/>
        </w:rPr>
        <w:t xml:space="preserve"> rýchlu intravenóznu infúziu</w:t>
      </w:r>
      <w:r w:rsidRPr="004229C9">
        <w:rPr>
          <w:lang w:val="sk-SK"/>
        </w:rPr>
        <w:t>: Roztok m</w:t>
      </w:r>
      <w:r>
        <w:rPr>
          <w:lang w:val="sk-SK"/>
        </w:rPr>
        <w:t>á</w:t>
      </w:r>
      <w:r w:rsidRPr="004229C9">
        <w:rPr>
          <w:lang w:val="sk-SK"/>
        </w:rPr>
        <w:t xml:space="preserve"> byť po </w:t>
      </w:r>
      <w:r>
        <w:rPr>
          <w:lang w:val="sk-SK"/>
        </w:rPr>
        <w:t>príprave</w:t>
      </w:r>
      <w:r w:rsidRPr="004229C9">
        <w:rPr>
          <w:lang w:val="sk-SK"/>
        </w:rPr>
        <w:t xml:space="preserve"> aplikovaný ako 20 minútová intravenózna infúzia.</w:t>
      </w:r>
    </w:p>
    <w:p w14:paraId="160F8ACF" w14:textId="77777777" w:rsidR="003E3C22" w:rsidRPr="004229C9" w:rsidRDefault="003E3C22" w:rsidP="003E3C22">
      <w:pPr>
        <w:numPr>
          <w:ilvl w:val="12"/>
          <w:numId w:val="0"/>
        </w:numPr>
        <w:ind w:left="709"/>
        <w:rPr>
          <w:lang w:val="sk-SK"/>
        </w:rPr>
      </w:pPr>
    </w:p>
    <w:p w14:paraId="6D4CE563" w14:textId="3B15C63E" w:rsidR="003E3C22" w:rsidRPr="004229C9" w:rsidRDefault="003E3C22" w:rsidP="00233E28">
      <w:pPr>
        <w:numPr>
          <w:ilvl w:val="12"/>
          <w:numId w:val="0"/>
        </w:numPr>
        <w:jc w:val="both"/>
        <w:rPr>
          <w:lang w:val="sk-SK"/>
        </w:rPr>
      </w:pPr>
      <w:r w:rsidRPr="004229C9">
        <w:rPr>
          <w:lang w:val="sk-SK"/>
        </w:rPr>
        <w:t xml:space="preserve">Pre </w:t>
      </w:r>
      <w:r w:rsidRPr="004229C9">
        <w:rPr>
          <w:i/>
          <w:lang w:val="sk-SK"/>
        </w:rPr>
        <w:t>pomalú intravenóznu infúzi</w:t>
      </w:r>
      <w:r w:rsidRPr="004229C9">
        <w:rPr>
          <w:lang w:val="sk-SK"/>
        </w:rPr>
        <w:t>u: Roztok m</w:t>
      </w:r>
      <w:r>
        <w:rPr>
          <w:lang w:val="sk-SK"/>
        </w:rPr>
        <w:t>á</w:t>
      </w:r>
      <w:r w:rsidRPr="004229C9">
        <w:rPr>
          <w:lang w:val="sk-SK"/>
        </w:rPr>
        <w:t xml:space="preserve"> byť po </w:t>
      </w:r>
      <w:r>
        <w:rPr>
          <w:lang w:val="sk-SK"/>
        </w:rPr>
        <w:t>príprave</w:t>
      </w:r>
      <w:r w:rsidRPr="004229C9">
        <w:rPr>
          <w:lang w:val="sk-SK"/>
        </w:rPr>
        <w:t xml:space="preserve"> aplikovaný ako 50</w:t>
      </w:r>
      <w:r>
        <w:rPr>
          <w:lang w:val="sk-SK"/>
        </w:rPr>
        <w:t xml:space="preserve"> </w:t>
      </w:r>
      <w:r w:rsidR="0039576D">
        <w:rPr>
          <w:lang w:val="sk-SK"/>
        </w:rPr>
        <w:t>–</w:t>
      </w:r>
      <w:r>
        <w:rPr>
          <w:lang w:val="sk-SK"/>
        </w:rPr>
        <w:t xml:space="preserve"> </w:t>
      </w:r>
      <w:r w:rsidRPr="004229C9">
        <w:rPr>
          <w:lang w:val="sk-SK"/>
        </w:rPr>
        <w:t>60 minútová intravenózna infúzia.</w:t>
      </w:r>
    </w:p>
    <w:p w14:paraId="3A08FE07" w14:textId="77777777" w:rsidR="003E3C22" w:rsidRDefault="003E3C22" w:rsidP="003E3C22">
      <w:pPr>
        <w:numPr>
          <w:ilvl w:val="12"/>
          <w:numId w:val="0"/>
        </w:numPr>
        <w:ind w:left="709"/>
        <w:rPr>
          <w:i/>
          <w:lang w:val="sk-SK"/>
        </w:rPr>
      </w:pPr>
    </w:p>
    <w:p w14:paraId="06061E26" w14:textId="77777777" w:rsidR="003E3C22" w:rsidRPr="00233E28" w:rsidRDefault="003E3C22" w:rsidP="00233E28">
      <w:pPr>
        <w:numPr>
          <w:ilvl w:val="12"/>
          <w:numId w:val="0"/>
        </w:numPr>
        <w:rPr>
          <w:u w:val="single"/>
          <w:lang w:val="sk-SK"/>
        </w:rPr>
      </w:pPr>
      <w:r w:rsidRPr="00233E28">
        <w:rPr>
          <w:u w:val="single"/>
          <w:lang w:val="sk-SK"/>
        </w:rPr>
        <w:t>Intravenózna injekcia:</w:t>
      </w:r>
    </w:p>
    <w:p w14:paraId="33BF55D9" w14:textId="77777777" w:rsidR="003E3C22" w:rsidRDefault="003E3C22" w:rsidP="00233E28">
      <w:pPr>
        <w:numPr>
          <w:ilvl w:val="12"/>
          <w:numId w:val="0"/>
        </w:numPr>
        <w:tabs>
          <w:tab w:val="left" w:pos="709"/>
        </w:tabs>
        <w:rPr>
          <w:lang w:val="sk-SK"/>
        </w:rPr>
      </w:pPr>
      <w:r w:rsidRPr="004229C9">
        <w:rPr>
          <w:lang w:val="sk-SK"/>
        </w:rPr>
        <w:t xml:space="preserve">Pre intravenóznu injekciu: Po </w:t>
      </w:r>
      <w:r>
        <w:rPr>
          <w:lang w:val="sk-SK"/>
        </w:rPr>
        <w:t>príprave</w:t>
      </w:r>
      <w:r w:rsidRPr="004229C9">
        <w:rPr>
          <w:lang w:val="sk-SK"/>
        </w:rPr>
        <w:t xml:space="preserve"> m</w:t>
      </w:r>
      <w:r>
        <w:rPr>
          <w:lang w:val="sk-SK"/>
        </w:rPr>
        <w:t>á</w:t>
      </w:r>
      <w:r w:rsidRPr="004229C9">
        <w:rPr>
          <w:lang w:val="sk-SK"/>
        </w:rPr>
        <w:t xml:space="preserve"> byť injekcia aplikovaná do 3</w:t>
      </w:r>
      <w:r>
        <w:rPr>
          <w:lang w:val="sk-SK"/>
        </w:rPr>
        <w:t xml:space="preserve"> </w:t>
      </w:r>
      <w:r w:rsidRPr="004229C9">
        <w:rPr>
          <w:lang w:val="sk-SK"/>
        </w:rPr>
        <w:t>-</w:t>
      </w:r>
      <w:r>
        <w:rPr>
          <w:lang w:val="sk-SK"/>
        </w:rPr>
        <w:t xml:space="preserve"> </w:t>
      </w:r>
      <w:r w:rsidRPr="004229C9">
        <w:rPr>
          <w:lang w:val="sk-SK"/>
        </w:rPr>
        <w:t>5 minút.</w:t>
      </w:r>
    </w:p>
    <w:p w14:paraId="4E4D2898" w14:textId="77777777" w:rsidR="003E3C22" w:rsidRDefault="003E3C22" w:rsidP="003E3C22">
      <w:pPr>
        <w:numPr>
          <w:ilvl w:val="12"/>
          <w:numId w:val="0"/>
        </w:numPr>
        <w:tabs>
          <w:tab w:val="left" w:pos="709"/>
        </w:tabs>
        <w:ind w:left="720"/>
        <w:rPr>
          <w:lang w:val="sk-SK"/>
        </w:rPr>
      </w:pPr>
    </w:p>
    <w:p w14:paraId="091A209A" w14:textId="6C0C53BB" w:rsidR="003E3C22" w:rsidRDefault="003E3C22" w:rsidP="00981358">
      <w:pPr>
        <w:numPr>
          <w:ilvl w:val="12"/>
          <w:numId w:val="0"/>
        </w:numPr>
        <w:tabs>
          <w:tab w:val="left" w:pos="709"/>
        </w:tabs>
        <w:jc w:val="both"/>
        <w:rPr>
          <w:lang w:val="sk-SK"/>
        </w:rPr>
      </w:pPr>
      <w:r>
        <w:rPr>
          <w:lang w:val="sk-SK"/>
        </w:rPr>
        <w:t xml:space="preserve">V rámci post-marketingového pozorovania sa zistilo, že u veľmi nízkeho počtu pacientov, ktorí dostali rýchle intravenózne podanie </w:t>
      </w:r>
      <w:proofErr w:type="spellStart"/>
      <w:r>
        <w:rPr>
          <w:lang w:val="sk-SK"/>
        </w:rPr>
        <w:t>cefotaxímu</w:t>
      </w:r>
      <w:proofErr w:type="spellEnd"/>
      <w:r>
        <w:rPr>
          <w:lang w:val="sk-SK"/>
        </w:rPr>
        <w:t xml:space="preserve"> cez centrálny </w:t>
      </w:r>
      <w:proofErr w:type="spellStart"/>
      <w:r>
        <w:rPr>
          <w:lang w:val="sk-SK"/>
        </w:rPr>
        <w:t>venózny</w:t>
      </w:r>
      <w:proofErr w:type="spellEnd"/>
      <w:r>
        <w:rPr>
          <w:lang w:val="sk-SK"/>
        </w:rPr>
        <w:t xml:space="preserve"> katéter bola zaznamenaná potenciálne život ohrozujúca </w:t>
      </w:r>
      <w:proofErr w:type="spellStart"/>
      <w:r>
        <w:rPr>
          <w:lang w:val="sk-SK"/>
        </w:rPr>
        <w:t>arytmia</w:t>
      </w:r>
      <w:proofErr w:type="spellEnd"/>
      <w:r>
        <w:rPr>
          <w:lang w:val="sk-SK"/>
        </w:rPr>
        <w:t>.</w:t>
      </w:r>
    </w:p>
    <w:p w14:paraId="4A615B82" w14:textId="77777777" w:rsidR="003E3C22" w:rsidRDefault="003E3C22" w:rsidP="003E3C22">
      <w:pPr>
        <w:ind w:left="660" w:hanging="567"/>
        <w:rPr>
          <w:i/>
          <w:color w:val="FF0000"/>
          <w:lang w:val="sk-SK"/>
        </w:rPr>
      </w:pPr>
      <w:r w:rsidRPr="00D964A2">
        <w:rPr>
          <w:i/>
          <w:color w:val="FF0000"/>
          <w:lang w:val="sk-SK"/>
        </w:rPr>
        <w:t xml:space="preserve">         </w:t>
      </w:r>
      <w:r w:rsidRPr="00D964A2">
        <w:rPr>
          <w:i/>
          <w:color w:val="FF0000"/>
          <w:lang w:val="sk-SK"/>
        </w:rPr>
        <w:tab/>
      </w:r>
    </w:p>
    <w:p w14:paraId="14006BF9" w14:textId="2FF527E4" w:rsidR="003E3C22" w:rsidRPr="00233E28" w:rsidRDefault="003E3C22" w:rsidP="00233E28">
      <w:pPr>
        <w:rPr>
          <w:u w:val="single"/>
          <w:lang w:val="sk-SK"/>
        </w:rPr>
      </w:pPr>
      <w:proofErr w:type="spellStart"/>
      <w:r w:rsidRPr="00233E28">
        <w:rPr>
          <w:u w:val="single"/>
          <w:lang w:val="sk-SK"/>
        </w:rPr>
        <w:t>Intramuskulárna</w:t>
      </w:r>
      <w:proofErr w:type="spellEnd"/>
      <w:r w:rsidRPr="00233E28">
        <w:rPr>
          <w:u w:val="single"/>
          <w:lang w:val="sk-SK"/>
        </w:rPr>
        <w:t xml:space="preserve"> injekcia:</w:t>
      </w:r>
    </w:p>
    <w:p w14:paraId="2175BA59" w14:textId="0BA6234A" w:rsidR="003E3C22" w:rsidRPr="004229C9" w:rsidRDefault="003E3C22" w:rsidP="00233E28">
      <w:pPr>
        <w:tabs>
          <w:tab w:val="clear" w:pos="567"/>
        </w:tabs>
        <w:jc w:val="both"/>
        <w:rPr>
          <w:lang w:val="sk-SK"/>
        </w:rPr>
      </w:pPr>
      <w:r w:rsidRPr="004229C9">
        <w:rPr>
          <w:lang w:val="sk-SK"/>
        </w:rPr>
        <w:t xml:space="preserve">Roztok sa musí aplikovať hlboko </w:t>
      </w:r>
      <w:proofErr w:type="spellStart"/>
      <w:r w:rsidRPr="004229C9">
        <w:rPr>
          <w:lang w:val="sk-SK"/>
        </w:rPr>
        <w:t>intramuskulárne</w:t>
      </w:r>
      <w:proofErr w:type="spellEnd"/>
      <w:r w:rsidRPr="004229C9">
        <w:rPr>
          <w:lang w:val="sk-SK"/>
        </w:rPr>
        <w:t xml:space="preserve">. Roztok s </w:t>
      </w:r>
      <w:proofErr w:type="spellStart"/>
      <w:r w:rsidRPr="004229C9">
        <w:rPr>
          <w:lang w:val="sk-SK"/>
        </w:rPr>
        <w:t>lidokaínom</w:t>
      </w:r>
      <w:proofErr w:type="spellEnd"/>
      <w:r w:rsidRPr="004229C9">
        <w:rPr>
          <w:lang w:val="sk-SK"/>
        </w:rPr>
        <w:t xml:space="preserve"> </w:t>
      </w:r>
      <w:r w:rsidRPr="009F56ED">
        <w:rPr>
          <w:i/>
          <w:iCs/>
          <w:lang w:val="sk-SK"/>
        </w:rPr>
        <w:t>nesmie</w:t>
      </w:r>
      <w:r>
        <w:rPr>
          <w:lang w:val="sk-SK"/>
        </w:rPr>
        <w:t xml:space="preserve"> byť</w:t>
      </w:r>
      <w:r w:rsidR="006109F0">
        <w:rPr>
          <w:lang w:val="sk-SK"/>
        </w:rPr>
        <w:t xml:space="preserve"> </w:t>
      </w:r>
      <w:r>
        <w:rPr>
          <w:lang w:val="sk-SK"/>
        </w:rPr>
        <w:t xml:space="preserve">podaný </w:t>
      </w:r>
      <w:r w:rsidRPr="004229C9">
        <w:rPr>
          <w:lang w:val="sk-SK"/>
        </w:rPr>
        <w:t>intravenózne.</w:t>
      </w:r>
      <w:r w:rsidR="00D8474E">
        <w:rPr>
          <w:lang w:val="sk-SK"/>
        </w:rPr>
        <w:t xml:space="preserve"> </w:t>
      </w:r>
      <w:r w:rsidR="00F07343" w:rsidRPr="00F07343">
        <w:rPr>
          <w:lang w:val="sk-SK"/>
        </w:rPr>
        <w:t xml:space="preserve">Je potrebné zabrániť </w:t>
      </w:r>
      <w:proofErr w:type="spellStart"/>
      <w:r w:rsidR="00F07343" w:rsidRPr="00F07343">
        <w:rPr>
          <w:lang w:val="sk-SK"/>
        </w:rPr>
        <w:t>intravaskulárnemu</w:t>
      </w:r>
      <w:proofErr w:type="spellEnd"/>
      <w:r w:rsidR="00F07343" w:rsidRPr="00F07343">
        <w:rPr>
          <w:lang w:val="sk-SK"/>
        </w:rPr>
        <w:t xml:space="preserve"> podaniu, pretože </w:t>
      </w:r>
      <w:proofErr w:type="spellStart"/>
      <w:r w:rsidR="00F07343" w:rsidRPr="00F07343">
        <w:rPr>
          <w:lang w:val="sk-SK"/>
        </w:rPr>
        <w:t>lidokaín</w:t>
      </w:r>
      <w:proofErr w:type="spellEnd"/>
      <w:r w:rsidR="00F07343" w:rsidRPr="00F07343">
        <w:rPr>
          <w:lang w:val="sk-SK"/>
        </w:rPr>
        <w:t xml:space="preserve"> môže spôsobiť </w:t>
      </w:r>
      <w:proofErr w:type="spellStart"/>
      <w:r w:rsidR="00F07343" w:rsidRPr="00F07343">
        <w:rPr>
          <w:lang w:val="sk-SK"/>
        </w:rPr>
        <w:t>agitovanosť</w:t>
      </w:r>
      <w:proofErr w:type="spellEnd"/>
      <w:r w:rsidR="00F07343" w:rsidRPr="00F07343">
        <w:rPr>
          <w:lang w:val="sk-SK"/>
        </w:rPr>
        <w:t xml:space="preserve">, </w:t>
      </w:r>
      <w:proofErr w:type="spellStart"/>
      <w:r w:rsidR="00F07343" w:rsidRPr="00F07343">
        <w:rPr>
          <w:lang w:val="sk-SK"/>
        </w:rPr>
        <w:t>tachykardiu</w:t>
      </w:r>
      <w:proofErr w:type="spellEnd"/>
      <w:r w:rsidR="00F07343" w:rsidRPr="00F07343">
        <w:rPr>
          <w:lang w:val="sk-SK"/>
        </w:rPr>
        <w:t>, poruchy prenosu impulzov, vraca</w:t>
      </w:r>
      <w:r w:rsidR="00274F74">
        <w:rPr>
          <w:lang w:val="sk-SK"/>
        </w:rPr>
        <w:t xml:space="preserve">nie a kŕče pri </w:t>
      </w:r>
      <w:proofErr w:type="spellStart"/>
      <w:r w:rsidR="00274F74">
        <w:rPr>
          <w:lang w:val="sk-SK"/>
        </w:rPr>
        <w:t>intravaskulárnom</w:t>
      </w:r>
      <w:proofErr w:type="spellEnd"/>
      <w:r w:rsidR="00F07343" w:rsidRPr="00F07343">
        <w:rPr>
          <w:lang w:val="sk-SK"/>
        </w:rPr>
        <w:t xml:space="preserve"> podaní. </w:t>
      </w:r>
      <w:r w:rsidRPr="004229C9">
        <w:rPr>
          <w:lang w:val="sk-SK"/>
        </w:rPr>
        <w:t xml:space="preserve">Ak je celková denná dávka väčšia ako 2 g, </w:t>
      </w:r>
      <w:r>
        <w:rPr>
          <w:lang w:val="sk-SK"/>
        </w:rPr>
        <w:t>je potrebné zvoliť intravenóznu aplikáciu</w:t>
      </w:r>
      <w:r w:rsidRPr="004229C9">
        <w:rPr>
          <w:lang w:val="sk-SK"/>
        </w:rPr>
        <w:t xml:space="preserve">. V prípade </w:t>
      </w:r>
      <w:r w:rsidR="00772253">
        <w:rPr>
          <w:lang w:val="sk-SK"/>
        </w:rPr>
        <w:t>závažn</w:t>
      </w:r>
      <w:r w:rsidR="00772253" w:rsidRPr="004229C9">
        <w:rPr>
          <w:lang w:val="sk-SK"/>
        </w:rPr>
        <w:t xml:space="preserve">ých </w:t>
      </w:r>
      <w:r w:rsidRPr="004229C9">
        <w:rPr>
          <w:lang w:val="sk-SK"/>
        </w:rPr>
        <w:t xml:space="preserve">infekcií sa neodporúča </w:t>
      </w:r>
      <w:proofErr w:type="spellStart"/>
      <w:r w:rsidRPr="004229C9">
        <w:rPr>
          <w:lang w:val="sk-SK"/>
        </w:rPr>
        <w:t>intramuskulárna</w:t>
      </w:r>
      <w:proofErr w:type="spellEnd"/>
      <w:r w:rsidRPr="004229C9">
        <w:rPr>
          <w:lang w:val="sk-SK"/>
        </w:rPr>
        <w:t xml:space="preserve"> injekcia.</w:t>
      </w:r>
    </w:p>
    <w:p w14:paraId="3C7AA0FA" w14:textId="77777777" w:rsidR="003E3C22" w:rsidRPr="004229C9" w:rsidRDefault="003E3C22" w:rsidP="003E3C22">
      <w:pPr>
        <w:ind w:left="660" w:hanging="567"/>
        <w:rPr>
          <w:color w:val="FF0000"/>
          <w:lang w:val="sk-SK"/>
        </w:rPr>
      </w:pPr>
    </w:p>
    <w:p w14:paraId="477E7CF3" w14:textId="20024A33" w:rsidR="003E3C22" w:rsidRDefault="003E3C22" w:rsidP="003E3C22">
      <w:pPr>
        <w:ind w:left="567" w:hanging="567"/>
        <w:outlineLvl w:val="0"/>
        <w:rPr>
          <w:lang w:val="sk-SK"/>
        </w:rPr>
      </w:pPr>
      <w:r w:rsidRPr="004229C9">
        <w:rPr>
          <w:lang w:val="sk-SK"/>
        </w:rPr>
        <w:t xml:space="preserve">Nasledujúca tabuľka zobrazuje objem </w:t>
      </w:r>
      <w:r w:rsidR="0056538F">
        <w:rPr>
          <w:lang w:val="sk-SK"/>
        </w:rPr>
        <w:t xml:space="preserve">na </w:t>
      </w:r>
      <w:r w:rsidRPr="004229C9">
        <w:rPr>
          <w:lang w:val="sk-SK"/>
        </w:rPr>
        <w:t>rozp</w:t>
      </w:r>
      <w:r w:rsidR="005C046D">
        <w:rPr>
          <w:lang w:val="sk-SK"/>
        </w:rPr>
        <w:t>úšťa</w:t>
      </w:r>
      <w:r w:rsidR="0056538F">
        <w:rPr>
          <w:lang w:val="sk-SK"/>
        </w:rPr>
        <w:t>nie</w:t>
      </w:r>
      <w:r w:rsidRPr="004229C9">
        <w:rPr>
          <w:lang w:val="sk-SK"/>
        </w:rPr>
        <w:t xml:space="preserve"> pre každú veľkosť </w:t>
      </w:r>
      <w:r>
        <w:rPr>
          <w:lang w:val="sk-SK"/>
        </w:rPr>
        <w:t>injekčnej liekovky:</w:t>
      </w:r>
    </w:p>
    <w:p w14:paraId="5A8C3FDB" w14:textId="77777777" w:rsidR="003E3C22" w:rsidRPr="004229C9" w:rsidRDefault="003E3C22" w:rsidP="003E3C22">
      <w:pPr>
        <w:ind w:left="567" w:hanging="567"/>
        <w:outlineLvl w:val="0"/>
        <w:rPr>
          <w:lang w:val="sk-SK"/>
        </w:rPr>
      </w:pPr>
      <w:r w:rsidRPr="004229C9">
        <w:rPr>
          <w:lang w:val="sk-SK"/>
        </w:rPr>
        <w:tab/>
      </w:r>
    </w:p>
    <w:tbl>
      <w:tblPr>
        <w:tblW w:w="91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4"/>
        <w:gridCol w:w="2160"/>
        <w:gridCol w:w="2160"/>
        <w:gridCol w:w="1800"/>
        <w:gridCol w:w="1800"/>
      </w:tblGrid>
      <w:tr w:rsidR="003E3C22" w:rsidRPr="004229C9" w14:paraId="5E8C402F" w14:textId="77777777" w:rsidTr="00233E28">
        <w:tc>
          <w:tcPr>
            <w:tcW w:w="1194" w:type="dxa"/>
          </w:tcPr>
          <w:p w14:paraId="517A9CA2" w14:textId="77777777" w:rsidR="003E3C22" w:rsidRPr="004229C9" w:rsidRDefault="003E3C22" w:rsidP="003E3C22">
            <w:pPr>
              <w:rPr>
                <w:lang w:val="sk-SK"/>
              </w:rPr>
            </w:pPr>
          </w:p>
        </w:tc>
        <w:tc>
          <w:tcPr>
            <w:tcW w:w="7920" w:type="dxa"/>
            <w:gridSpan w:val="4"/>
          </w:tcPr>
          <w:p w14:paraId="67D7D827" w14:textId="77777777" w:rsidR="003E3C22" w:rsidRPr="004229C9" w:rsidRDefault="003E3C22" w:rsidP="00233E28">
            <w:pPr>
              <w:jc w:val="center"/>
              <w:rPr>
                <w:lang w:val="sk-SK"/>
              </w:rPr>
            </w:pPr>
            <w:r w:rsidRPr="004229C9">
              <w:rPr>
                <w:lang w:val="sk-SK"/>
              </w:rPr>
              <w:t>Spôsob podávania</w:t>
            </w:r>
          </w:p>
        </w:tc>
      </w:tr>
      <w:tr w:rsidR="003E3C22" w:rsidRPr="004229C9" w14:paraId="79862ECE" w14:textId="77777777" w:rsidTr="00233E28">
        <w:trPr>
          <w:trHeight w:val="661"/>
        </w:trPr>
        <w:tc>
          <w:tcPr>
            <w:tcW w:w="1194" w:type="dxa"/>
          </w:tcPr>
          <w:p w14:paraId="45873A1E" w14:textId="77777777" w:rsidR="003E3C22" w:rsidRPr="004229C9" w:rsidRDefault="003E3C22" w:rsidP="003E3C22">
            <w:pPr>
              <w:rPr>
                <w:lang w:val="sk-SK"/>
              </w:rPr>
            </w:pPr>
            <w:r w:rsidRPr="004229C9">
              <w:rPr>
                <w:lang w:val="sk-SK"/>
              </w:rPr>
              <w:t>Veľkosť liekovky</w:t>
            </w:r>
          </w:p>
        </w:tc>
        <w:tc>
          <w:tcPr>
            <w:tcW w:w="2160" w:type="dxa"/>
          </w:tcPr>
          <w:p w14:paraId="6FCD7214" w14:textId="77777777" w:rsidR="003E3C22" w:rsidRPr="004229C9" w:rsidRDefault="003E3C22" w:rsidP="003E3C22">
            <w:pPr>
              <w:rPr>
                <w:color w:val="FF0000"/>
                <w:lang w:val="sk-SK"/>
              </w:rPr>
            </w:pPr>
            <w:r w:rsidRPr="004229C9">
              <w:rPr>
                <w:lang w:val="sk-SK"/>
              </w:rPr>
              <w:t>Rýchla intravenózna infúzia</w:t>
            </w:r>
          </w:p>
        </w:tc>
        <w:tc>
          <w:tcPr>
            <w:tcW w:w="2160" w:type="dxa"/>
          </w:tcPr>
          <w:p w14:paraId="379E59A9" w14:textId="77777777" w:rsidR="003E3C22" w:rsidRPr="004229C9" w:rsidRDefault="003E3C22" w:rsidP="003E3C22">
            <w:pPr>
              <w:rPr>
                <w:color w:val="FF0000"/>
                <w:lang w:val="sk-SK"/>
              </w:rPr>
            </w:pPr>
            <w:r w:rsidRPr="004229C9">
              <w:rPr>
                <w:lang w:val="sk-SK"/>
              </w:rPr>
              <w:t>Pomalá intravenózna infúzia</w:t>
            </w:r>
          </w:p>
        </w:tc>
        <w:tc>
          <w:tcPr>
            <w:tcW w:w="1800" w:type="dxa"/>
          </w:tcPr>
          <w:p w14:paraId="50E26D8D" w14:textId="77777777" w:rsidR="003E3C22" w:rsidRPr="004229C9" w:rsidRDefault="003E3C22" w:rsidP="003E3C22">
            <w:pPr>
              <w:rPr>
                <w:lang w:val="sk-SK"/>
              </w:rPr>
            </w:pPr>
            <w:r w:rsidRPr="004229C9">
              <w:rPr>
                <w:lang w:val="sk-SK"/>
              </w:rPr>
              <w:t>Intravenózna injekcia</w:t>
            </w:r>
          </w:p>
        </w:tc>
        <w:tc>
          <w:tcPr>
            <w:tcW w:w="1800" w:type="dxa"/>
          </w:tcPr>
          <w:p w14:paraId="04ACF02A" w14:textId="12E5471E" w:rsidR="003E3C22" w:rsidRPr="00995265" w:rsidRDefault="003E3C22" w:rsidP="003E3C22">
            <w:pPr>
              <w:rPr>
                <w:sz w:val="16"/>
                <w:szCs w:val="16"/>
                <w:lang w:val="sk-SK"/>
              </w:rPr>
            </w:pPr>
            <w:proofErr w:type="spellStart"/>
            <w:r w:rsidRPr="004229C9">
              <w:rPr>
                <w:lang w:val="sk-SK"/>
              </w:rPr>
              <w:t>Intramuskulárna</w:t>
            </w:r>
            <w:proofErr w:type="spellEnd"/>
            <w:r w:rsidRPr="004229C9">
              <w:rPr>
                <w:lang w:val="sk-SK"/>
              </w:rPr>
              <w:t xml:space="preserve"> injekcia</w:t>
            </w:r>
          </w:p>
        </w:tc>
      </w:tr>
      <w:tr w:rsidR="003E3C22" w:rsidRPr="004229C9" w14:paraId="0A623FE0" w14:textId="77777777" w:rsidTr="00233E28">
        <w:trPr>
          <w:trHeight w:val="520"/>
        </w:trPr>
        <w:tc>
          <w:tcPr>
            <w:tcW w:w="1194" w:type="dxa"/>
          </w:tcPr>
          <w:p w14:paraId="2BBE93D7" w14:textId="77777777" w:rsidR="003E3C22" w:rsidRPr="004229C9" w:rsidRDefault="003E3C22" w:rsidP="003E3C22">
            <w:pPr>
              <w:rPr>
                <w:lang w:val="sk-SK"/>
              </w:rPr>
            </w:pPr>
            <w:r>
              <w:rPr>
                <w:lang w:val="sk-SK"/>
              </w:rPr>
              <w:t>0,</w:t>
            </w:r>
            <w:r w:rsidRPr="004229C9">
              <w:rPr>
                <w:lang w:val="sk-SK"/>
              </w:rPr>
              <w:t>5 g</w:t>
            </w:r>
          </w:p>
        </w:tc>
        <w:tc>
          <w:tcPr>
            <w:tcW w:w="2160" w:type="dxa"/>
          </w:tcPr>
          <w:p w14:paraId="493A7473" w14:textId="77777777" w:rsidR="003E3C22" w:rsidRPr="004229C9" w:rsidRDefault="003E3C22" w:rsidP="003E3C22">
            <w:pPr>
              <w:rPr>
                <w:lang w:val="sk-SK"/>
              </w:rPr>
            </w:pPr>
            <w:r w:rsidRPr="004229C9">
              <w:rPr>
                <w:lang w:val="sk-SK"/>
              </w:rPr>
              <w:t>-</w:t>
            </w:r>
          </w:p>
        </w:tc>
        <w:tc>
          <w:tcPr>
            <w:tcW w:w="2160" w:type="dxa"/>
          </w:tcPr>
          <w:p w14:paraId="62923558" w14:textId="77777777" w:rsidR="003E3C22" w:rsidRPr="004229C9" w:rsidRDefault="003E3C22" w:rsidP="003E3C22">
            <w:pPr>
              <w:rPr>
                <w:lang w:val="sk-SK"/>
              </w:rPr>
            </w:pPr>
            <w:r w:rsidRPr="004229C9">
              <w:rPr>
                <w:lang w:val="sk-SK"/>
              </w:rPr>
              <w:t>-</w:t>
            </w:r>
          </w:p>
        </w:tc>
        <w:tc>
          <w:tcPr>
            <w:tcW w:w="1800" w:type="dxa"/>
          </w:tcPr>
          <w:p w14:paraId="1E155B72" w14:textId="77777777" w:rsidR="003E3C22" w:rsidRDefault="003E3C22" w:rsidP="003E3C22">
            <w:pPr>
              <w:rPr>
                <w:lang w:val="sk-SK"/>
              </w:rPr>
            </w:pPr>
            <w:r w:rsidRPr="004229C9">
              <w:rPr>
                <w:lang w:val="sk-SK"/>
              </w:rPr>
              <w:t>2 ml</w:t>
            </w:r>
            <w:r>
              <w:rPr>
                <w:lang w:val="sk-SK"/>
              </w:rPr>
              <w:t xml:space="preserve"> </w:t>
            </w:r>
          </w:p>
          <w:p w14:paraId="3461DC29" w14:textId="77777777" w:rsidR="003E3C22" w:rsidRPr="004229C9" w:rsidRDefault="003E3C22" w:rsidP="003E3C22">
            <w:pPr>
              <w:rPr>
                <w:lang w:val="sk-SK"/>
              </w:rPr>
            </w:pPr>
            <w:r>
              <w:rPr>
                <w:lang w:val="sk-SK"/>
              </w:rPr>
              <w:t>(250 mg/ml)</w:t>
            </w:r>
          </w:p>
        </w:tc>
        <w:tc>
          <w:tcPr>
            <w:tcW w:w="1800" w:type="dxa"/>
          </w:tcPr>
          <w:p w14:paraId="2947F021" w14:textId="77777777" w:rsidR="003E3C22" w:rsidRDefault="003E3C22" w:rsidP="003E3C22">
            <w:pPr>
              <w:rPr>
                <w:lang w:val="sk-SK"/>
              </w:rPr>
            </w:pPr>
            <w:r w:rsidRPr="004229C9">
              <w:rPr>
                <w:lang w:val="sk-SK"/>
              </w:rPr>
              <w:t>2ml</w:t>
            </w:r>
          </w:p>
          <w:p w14:paraId="47D3F6A8" w14:textId="77777777" w:rsidR="003E3C22" w:rsidRDefault="003E3C22" w:rsidP="003E3C22">
            <w:pPr>
              <w:rPr>
                <w:sz w:val="16"/>
                <w:szCs w:val="16"/>
                <w:lang w:val="sk-SK"/>
              </w:rPr>
            </w:pPr>
            <w:r>
              <w:rPr>
                <w:lang w:val="sk-SK"/>
              </w:rPr>
              <w:t>(250 mg/ml)</w:t>
            </w:r>
          </w:p>
          <w:p w14:paraId="29AA6E9D" w14:textId="77777777" w:rsidR="003E3C22" w:rsidRPr="00995265" w:rsidRDefault="003E3C22" w:rsidP="003E3C22">
            <w:pPr>
              <w:rPr>
                <w:sz w:val="16"/>
                <w:szCs w:val="16"/>
                <w:lang w:val="sk-SK"/>
              </w:rPr>
            </w:pPr>
          </w:p>
        </w:tc>
      </w:tr>
      <w:tr w:rsidR="003E3C22" w:rsidRPr="004229C9" w14:paraId="3FFB29AC" w14:textId="77777777" w:rsidTr="00233E28">
        <w:tc>
          <w:tcPr>
            <w:tcW w:w="1194" w:type="dxa"/>
          </w:tcPr>
          <w:p w14:paraId="763928BF" w14:textId="77777777" w:rsidR="003E3C22" w:rsidRPr="004229C9" w:rsidRDefault="003E3C22" w:rsidP="003E3C22">
            <w:pPr>
              <w:rPr>
                <w:lang w:val="sk-SK"/>
              </w:rPr>
            </w:pPr>
            <w:smartTag w:uri="urn:schemas-microsoft-com:office:smarttags" w:element="metricconverter">
              <w:smartTagPr>
                <w:attr w:name="ProductID" w:val="1 g"/>
              </w:smartTagPr>
              <w:r w:rsidRPr="004229C9">
                <w:rPr>
                  <w:lang w:val="sk-SK"/>
                </w:rPr>
                <w:t>1 g</w:t>
              </w:r>
            </w:smartTag>
          </w:p>
        </w:tc>
        <w:tc>
          <w:tcPr>
            <w:tcW w:w="2160" w:type="dxa"/>
          </w:tcPr>
          <w:p w14:paraId="09DD2652" w14:textId="77777777" w:rsidR="003E3C22" w:rsidRDefault="003E3C22" w:rsidP="003E3C22">
            <w:pPr>
              <w:rPr>
                <w:lang w:val="sk-SK"/>
              </w:rPr>
            </w:pPr>
            <w:r w:rsidRPr="004229C9">
              <w:rPr>
                <w:lang w:val="sk-SK"/>
              </w:rPr>
              <w:t>40-50 ml</w:t>
            </w:r>
          </w:p>
          <w:p w14:paraId="0413BFE1" w14:textId="77777777" w:rsidR="003E3C22" w:rsidRPr="004229C9" w:rsidRDefault="003E3C22" w:rsidP="003E3C22">
            <w:pPr>
              <w:rPr>
                <w:lang w:val="sk-SK"/>
              </w:rPr>
            </w:pPr>
            <w:r>
              <w:rPr>
                <w:lang w:val="sk-SK"/>
              </w:rPr>
              <w:t>(25 mg-20 mg/ml)</w:t>
            </w:r>
          </w:p>
        </w:tc>
        <w:tc>
          <w:tcPr>
            <w:tcW w:w="2160" w:type="dxa"/>
          </w:tcPr>
          <w:p w14:paraId="04B4D509" w14:textId="77777777" w:rsidR="003E3C22" w:rsidRPr="004229C9" w:rsidRDefault="003E3C22" w:rsidP="003E3C22">
            <w:pPr>
              <w:rPr>
                <w:lang w:val="sk-SK"/>
              </w:rPr>
            </w:pPr>
            <w:r w:rsidRPr="004229C9">
              <w:rPr>
                <w:lang w:val="sk-SK"/>
              </w:rPr>
              <w:t>-</w:t>
            </w:r>
          </w:p>
        </w:tc>
        <w:tc>
          <w:tcPr>
            <w:tcW w:w="1800" w:type="dxa"/>
          </w:tcPr>
          <w:p w14:paraId="285D79E3" w14:textId="77777777" w:rsidR="003E3C22" w:rsidRDefault="003E3C22" w:rsidP="003E3C22">
            <w:pPr>
              <w:rPr>
                <w:lang w:val="sk-SK"/>
              </w:rPr>
            </w:pPr>
            <w:r w:rsidRPr="004229C9">
              <w:rPr>
                <w:lang w:val="sk-SK"/>
              </w:rPr>
              <w:t>4 ml</w:t>
            </w:r>
          </w:p>
          <w:p w14:paraId="2519B51C" w14:textId="77777777" w:rsidR="003E3C22" w:rsidRPr="004229C9" w:rsidRDefault="003E3C22" w:rsidP="003E3C22">
            <w:pPr>
              <w:rPr>
                <w:lang w:val="sk-SK"/>
              </w:rPr>
            </w:pPr>
            <w:r>
              <w:rPr>
                <w:lang w:val="sk-SK"/>
              </w:rPr>
              <w:t>(250 mg/ml)</w:t>
            </w:r>
          </w:p>
        </w:tc>
        <w:tc>
          <w:tcPr>
            <w:tcW w:w="1800" w:type="dxa"/>
          </w:tcPr>
          <w:p w14:paraId="6645BD20" w14:textId="77777777" w:rsidR="003E3C22" w:rsidRDefault="003E3C22" w:rsidP="003E3C22">
            <w:pPr>
              <w:rPr>
                <w:lang w:val="sk-SK"/>
              </w:rPr>
            </w:pPr>
            <w:r w:rsidRPr="004229C9">
              <w:rPr>
                <w:lang w:val="sk-SK"/>
              </w:rPr>
              <w:t>4 ml</w:t>
            </w:r>
          </w:p>
          <w:p w14:paraId="1C75592E" w14:textId="77777777" w:rsidR="003E3C22" w:rsidRDefault="003E3C22" w:rsidP="003E3C22">
            <w:pPr>
              <w:rPr>
                <w:sz w:val="16"/>
                <w:szCs w:val="16"/>
                <w:lang w:val="sk-SK"/>
              </w:rPr>
            </w:pPr>
            <w:r>
              <w:rPr>
                <w:lang w:val="sk-SK"/>
              </w:rPr>
              <w:t>(250 mg/ml)</w:t>
            </w:r>
          </w:p>
          <w:p w14:paraId="5CEB0A68" w14:textId="77777777" w:rsidR="003E3C22" w:rsidRPr="00995265" w:rsidRDefault="003E3C22" w:rsidP="003E3C22">
            <w:pPr>
              <w:rPr>
                <w:sz w:val="16"/>
                <w:szCs w:val="16"/>
                <w:lang w:val="sk-SK"/>
              </w:rPr>
            </w:pPr>
          </w:p>
        </w:tc>
      </w:tr>
      <w:tr w:rsidR="003E3C22" w:rsidRPr="004229C9" w14:paraId="75B369DB" w14:textId="77777777" w:rsidTr="00233E28">
        <w:tc>
          <w:tcPr>
            <w:tcW w:w="1194" w:type="dxa"/>
          </w:tcPr>
          <w:p w14:paraId="217A88EC" w14:textId="77777777" w:rsidR="003E3C22" w:rsidRPr="004229C9" w:rsidRDefault="003E3C22" w:rsidP="003E3C22">
            <w:pPr>
              <w:rPr>
                <w:lang w:val="sk-SK"/>
              </w:rPr>
            </w:pPr>
            <w:smartTag w:uri="urn:schemas-microsoft-com:office:smarttags" w:element="metricconverter">
              <w:smartTagPr>
                <w:attr w:name="ProductID" w:val="2 g"/>
              </w:smartTagPr>
              <w:r w:rsidRPr="004229C9">
                <w:rPr>
                  <w:lang w:val="sk-SK"/>
                </w:rPr>
                <w:t>2 g</w:t>
              </w:r>
            </w:smartTag>
          </w:p>
        </w:tc>
        <w:tc>
          <w:tcPr>
            <w:tcW w:w="2160" w:type="dxa"/>
          </w:tcPr>
          <w:p w14:paraId="74E38C9D" w14:textId="77777777" w:rsidR="003E3C22" w:rsidRDefault="003E3C22" w:rsidP="003E3C22">
            <w:pPr>
              <w:rPr>
                <w:lang w:val="sk-SK"/>
              </w:rPr>
            </w:pPr>
            <w:r w:rsidRPr="004229C9">
              <w:rPr>
                <w:lang w:val="sk-SK"/>
              </w:rPr>
              <w:t>40-50 ml</w:t>
            </w:r>
          </w:p>
          <w:p w14:paraId="58965CCB" w14:textId="77777777" w:rsidR="003E3C22" w:rsidRPr="004229C9" w:rsidRDefault="003E3C22" w:rsidP="003E3C22">
            <w:pPr>
              <w:rPr>
                <w:lang w:val="sk-SK"/>
              </w:rPr>
            </w:pPr>
            <w:r>
              <w:rPr>
                <w:lang w:val="sk-SK"/>
              </w:rPr>
              <w:t>(50 mg-40 mg/ml)</w:t>
            </w:r>
          </w:p>
        </w:tc>
        <w:tc>
          <w:tcPr>
            <w:tcW w:w="2160" w:type="dxa"/>
          </w:tcPr>
          <w:p w14:paraId="1B72B808" w14:textId="77777777" w:rsidR="003E3C22" w:rsidRDefault="003E3C22" w:rsidP="003E3C22">
            <w:pPr>
              <w:rPr>
                <w:lang w:val="sk-SK"/>
              </w:rPr>
            </w:pPr>
            <w:r w:rsidRPr="004229C9">
              <w:rPr>
                <w:lang w:val="sk-SK"/>
              </w:rPr>
              <w:t>100 ml</w:t>
            </w:r>
          </w:p>
          <w:p w14:paraId="1B0ACE0B" w14:textId="77777777" w:rsidR="003E3C22" w:rsidRPr="004229C9" w:rsidRDefault="003E3C22" w:rsidP="003E3C22">
            <w:pPr>
              <w:rPr>
                <w:lang w:val="sk-SK"/>
              </w:rPr>
            </w:pPr>
            <w:r>
              <w:rPr>
                <w:lang w:val="sk-SK"/>
              </w:rPr>
              <w:t>(20 mg/ml)</w:t>
            </w:r>
          </w:p>
        </w:tc>
        <w:tc>
          <w:tcPr>
            <w:tcW w:w="1800" w:type="dxa"/>
          </w:tcPr>
          <w:p w14:paraId="088F4C3F" w14:textId="77777777" w:rsidR="003E3C22" w:rsidRDefault="003E3C22" w:rsidP="003E3C22">
            <w:pPr>
              <w:rPr>
                <w:lang w:val="sk-SK"/>
              </w:rPr>
            </w:pPr>
            <w:r w:rsidRPr="004229C9">
              <w:rPr>
                <w:lang w:val="sk-SK"/>
              </w:rPr>
              <w:t>10 ml</w:t>
            </w:r>
          </w:p>
          <w:p w14:paraId="7C6CD4F7" w14:textId="77777777" w:rsidR="003E3C22" w:rsidRPr="004229C9" w:rsidRDefault="003E3C22" w:rsidP="003E3C22">
            <w:pPr>
              <w:rPr>
                <w:lang w:val="sk-SK"/>
              </w:rPr>
            </w:pPr>
            <w:r>
              <w:rPr>
                <w:lang w:val="sk-SK"/>
              </w:rPr>
              <w:t>(200 mg/ml)</w:t>
            </w:r>
          </w:p>
        </w:tc>
        <w:tc>
          <w:tcPr>
            <w:tcW w:w="1800" w:type="dxa"/>
          </w:tcPr>
          <w:p w14:paraId="7632FDE4" w14:textId="77777777" w:rsidR="003E3C22" w:rsidRDefault="003E3C22" w:rsidP="003E3C22">
            <w:pPr>
              <w:rPr>
                <w:lang w:val="sk-SK"/>
              </w:rPr>
            </w:pPr>
            <w:r w:rsidRPr="004229C9">
              <w:rPr>
                <w:lang w:val="sk-SK"/>
              </w:rPr>
              <w:t>-</w:t>
            </w:r>
          </w:p>
          <w:p w14:paraId="1D42FEE7" w14:textId="77777777" w:rsidR="003E3C22" w:rsidRDefault="003E3C22" w:rsidP="003E3C22">
            <w:pPr>
              <w:rPr>
                <w:lang w:val="sk-SK"/>
              </w:rPr>
            </w:pPr>
          </w:p>
          <w:p w14:paraId="2E39AD20" w14:textId="77777777" w:rsidR="003E3C22" w:rsidRPr="004229C9" w:rsidRDefault="003E3C22" w:rsidP="003E3C22">
            <w:pPr>
              <w:rPr>
                <w:lang w:val="sk-SK"/>
              </w:rPr>
            </w:pPr>
          </w:p>
        </w:tc>
      </w:tr>
    </w:tbl>
    <w:p w14:paraId="7EF0F077" w14:textId="77777777" w:rsidR="003E3C22" w:rsidRPr="004229C9" w:rsidRDefault="003E3C22" w:rsidP="003E3C22">
      <w:pPr>
        <w:tabs>
          <w:tab w:val="clear" w:pos="567"/>
        </w:tabs>
        <w:spacing w:line="240" w:lineRule="auto"/>
        <w:rPr>
          <w:b/>
          <w:i/>
          <w:noProof/>
          <w:szCs w:val="22"/>
          <w:lang w:val="sk-SK"/>
        </w:rPr>
      </w:pPr>
    </w:p>
    <w:p w14:paraId="7C45F372" w14:textId="77777777" w:rsidR="003E3C22" w:rsidRPr="004229C9" w:rsidRDefault="003E3C22" w:rsidP="00233E28">
      <w:pPr>
        <w:pStyle w:val="Normlnywebov"/>
        <w:spacing w:before="0" w:beforeAutospacing="0" w:after="0" w:afterAutospacing="0"/>
        <w:outlineLvl w:val="0"/>
        <w:rPr>
          <w:rFonts w:ascii="Times New Roman" w:hAnsi="Times New Roman"/>
          <w:sz w:val="22"/>
          <w:lang w:val="sk-SK"/>
        </w:rPr>
      </w:pPr>
      <w:r w:rsidRPr="004229C9">
        <w:rPr>
          <w:rFonts w:ascii="Times New Roman" w:hAnsi="Times New Roman"/>
          <w:sz w:val="22"/>
          <w:lang w:val="sk-SK"/>
        </w:rPr>
        <w:t xml:space="preserve">Pokyny pre </w:t>
      </w:r>
      <w:r>
        <w:rPr>
          <w:rFonts w:ascii="Times New Roman" w:hAnsi="Times New Roman"/>
          <w:sz w:val="22"/>
          <w:lang w:val="sk-SK"/>
        </w:rPr>
        <w:t>prípravu</w:t>
      </w:r>
      <w:r w:rsidRPr="004229C9">
        <w:rPr>
          <w:rFonts w:ascii="Times New Roman" w:hAnsi="Times New Roman"/>
          <w:sz w:val="22"/>
          <w:lang w:val="sk-SK"/>
        </w:rPr>
        <w:t xml:space="preserve"> lieku pred podaním, pozri časť 6.6.</w:t>
      </w:r>
    </w:p>
    <w:p w14:paraId="2299641C" w14:textId="77777777" w:rsidR="003E3C22" w:rsidRPr="004229C9" w:rsidRDefault="003E3C22" w:rsidP="003E3C22">
      <w:pPr>
        <w:tabs>
          <w:tab w:val="clear" w:pos="567"/>
        </w:tabs>
        <w:spacing w:line="240" w:lineRule="auto"/>
        <w:ind w:left="567" w:hanging="567"/>
        <w:rPr>
          <w:b/>
          <w:noProof/>
          <w:szCs w:val="22"/>
          <w:lang w:val="sk-SK"/>
        </w:rPr>
      </w:pPr>
    </w:p>
    <w:p w14:paraId="71A25E36" w14:textId="77777777" w:rsidR="003E3C22" w:rsidRPr="00C63379" w:rsidRDefault="003E3C22" w:rsidP="003E3C22">
      <w:pPr>
        <w:numPr>
          <w:ilvl w:val="1"/>
          <w:numId w:val="2"/>
        </w:numPr>
        <w:spacing w:line="240" w:lineRule="auto"/>
        <w:rPr>
          <w:b/>
          <w:lang w:val="sk-SK"/>
        </w:rPr>
      </w:pPr>
      <w:r w:rsidRPr="00C63379">
        <w:rPr>
          <w:b/>
          <w:noProof/>
          <w:szCs w:val="22"/>
          <w:lang w:val="sk-SK"/>
        </w:rPr>
        <w:t xml:space="preserve">Kontraindikácie </w:t>
      </w:r>
    </w:p>
    <w:p w14:paraId="7D0527DD" w14:textId="77777777" w:rsidR="003E3C22" w:rsidRDefault="003E3C22" w:rsidP="003E3C22">
      <w:pPr>
        <w:rPr>
          <w:lang w:val="sk-SK"/>
        </w:rPr>
      </w:pPr>
    </w:p>
    <w:p w14:paraId="49D73901" w14:textId="15833787" w:rsidR="003E3C22" w:rsidRPr="004229C9" w:rsidRDefault="003E3C22" w:rsidP="004E4D5A">
      <w:pPr>
        <w:tabs>
          <w:tab w:val="clear" w:pos="567"/>
        </w:tabs>
        <w:rPr>
          <w:lang w:val="sk-SK"/>
        </w:rPr>
      </w:pPr>
      <w:r w:rsidRPr="004229C9">
        <w:rPr>
          <w:lang w:val="sk-SK"/>
        </w:rPr>
        <w:t xml:space="preserve"> </w:t>
      </w:r>
      <w:proofErr w:type="spellStart"/>
      <w:r>
        <w:rPr>
          <w:lang w:val="sk-SK"/>
        </w:rPr>
        <w:t>Cefotax</w:t>
      </w:r>
      <w:r w:rsidR="00C00AED">
        <w:rPr>
          <w:lang w:val="sk-SK"/>
        </w:rPr>
        <w:t>i</w:t>
      </w:r>
      <w:r>
        <w:rPr>
          <w:lang w:val="sk-SK"/>
        </w:rPr>
        <w:t>m</w:t>
      </w:r>
      <w:proofErr w:type="spellEnd"/>
      <w:r w:rsidRPr="004229C9">
        <w:rPr>
          <w:lang w:val="sk-SK"/>
        </w:rPr>
        <w:t xml:space="preserve"> </w:t>
      </w:r>
      <w:proofErr w:type="spellStart"/>
      <w:r w:rsidR="00C00AED">
        <w:rPr>
          <w:lang w:val="sk-SK"/>
        </w:rPr>
        <w:t>Eberth</w:t>
      </w:r>
      <w:proofErr w:type="spellEnd"/>
      <w:r w:rsidR="00C00AED">
        <w:rPr>
          <w:lang w:val="sk-SK"/>
        </w:rPr>
        <w:t xml:space="preserve"> </w:t>
      </w:r>
      <w:r>
        <w:rPr>
          <w:lang w:val="sk-SK"/>
        </w:rPr>
        <w:t>nesmú</w:t>
      </w:r>
      <w:r w:rsidRPr="004229C9">
        <w:rPr>
          <w:lang w:val="sk-SK"/>
        </w:rPr>
        <w:t xml:space="preserve"> užívať pacienti</w:t>
      </w:r>
      <w:r>
        <w:rPr>
          <w:lang w:val="sk-SK"/>
        </w:rPr>
        <w:t>:</w:t>
      </w:r>
    </w:p>
    <w:p w14:paraId="60B2AE9B" w14:textId="28625597" w:rsidR="003E3C22" w:rsidRPr="004229C9" w:rsidRDefault="003E3C22" w:rsidP="004E4D5A">
      <w:pPr>
        <w:numPr>
          <w:ilvl w:val="0"/>
          <w:numId w:val="3"/>
        </w:numPr>
        <w:tabs>
          <w:tab w:val="clear" w:pos="567"/>
        </w:tabs>
        <w:ind w:left="720" w:hanging="153"/>
        <w:rPr>
          <w:lang w:val="sk-SK"/>
        </w:rPr>
      </w:pPr>
      <w:r w:rsidRPr="004229C9">
        <w:rPr>
          <w:lang w:val="sk-SK"/>
        </w:rPr>
        <w:lastRenderedPageBreak/>
        <w:t xml:space="preserve">ktorí sú precitlivení na liečivo </w:t>
      </w:r>
      <w:proofErr w:type="spellStart"/>
      <w:r w:rsidRPr="004229C9">
        <w:rPr>
          <w:lang w:val="sk-SK"/>
        </w:rPr>
        <w:t>cefotax</w:t>
      </w:r>
      <w:r>
        <w:rPr>
          <w:lang w:val="sk-SK"/>
        </w:rPr>
        <w:t>ím</w:t>
      </w:r>
      <w:proofErr w:type="spellEnd"/>
      <w:r w:rsidRPr="004229C9">
        <w:rPr>
          <w:lang w:val="sk-SK"/>
        </w:rPr>
        <w:t xml:space="preserve"> alebo na iné </w:t>
      </w:r>
      <w:proofErr w:type="spellStart"/>
      <w:r w:rsidRPr="004229C9">
        <w:rPr>
          <w:lang w:val="sk-SK"/>
        </w:rPr>
        <w:t>cefalosporíny</w:t>
      </w:r>
      <w:proofErr w:type="spellEnd"/>
      <w:r w:rsidR="00C2266A">
        <w:rPr>
          <w:lang w:val="sk-SK"/>
        </w:rPr>
        <w:t>.</w:t>
      </w:r>
    </w:p>
    <w:p w14:paraId="41E168F1" w14:textId="7441EBA7" w:rsidR="003E3C22" w:rsidRPr="004229C9" w:rsidRDefault="003E3C22" w:rsidP="003E3C22">
      <w:pPr>
        <w:numPr>
          <w:ilvl w:val="0"/>
          <w:numId w:val="3"/>
        </w:numPr>
        <w:ind w:left="720" w:hanging="153"/>
        <w:rPr>
          <w:lang w:val="sk-SK"/>
        </w:rPr>
      </w:pPr>
      <w:r>
        <w:rPr>
          <w:lang w:val="sk-SK"/>
        </w:rPr>
        <w:t xml:space="preserve">u ktorých boli v minulosti zaznamenané </w:t>
      </w:r>
      <w:r w:rsidR="00261EF2">
        <w:rPr>
          <w:lang w:val="sk-SK"/>
        </w:rPr>
        <w:t xml:space="preserve">okamžité </w:t>
      </w:r>
      <w:r>
        <w:rPr>
          <w:lang w:val="sk-SK"/>
        </w:rPr>
        <w:t xml:space="preserve">a/alebo závažné </w:t>
      </w:r>
      <w:r w:rsidR="00261EF2">
        <w:rPr>
          <w:lang w:val="sk-SK"/>
        </w:rPr>
        <w:t xml:space="preserve">skrížené </w:t>
      </w:r>
      <w:r>
        <w:rPr>
          <w:lang w:val="sk-SK"/>
        </w:rPr>
        <w:t>alergické reakcie (</w:t>
      </w:r>
      <w:proofErr w:type="spellStart"/>
      <w:r>
        <w:rPr>
          <w:lang w:val="sk-SK"/>
        </w:rPr>
        <w:t>hypersenzitivita</w:t>
      </w:r>
      <w:proofErr w:type="spellEnd"/>
      <w:r>
        <w:rPr>
          <w:lang w:val="sk-SK"/>
        </w:rPr>
        <w:t xml:space="preserve">) na akékoľvek </w:t>
      </w:r>
      <w:r w:rsidRPr="004229C9">
        <w:rPr>
          <w:lang w:val="sk-SK"/>
        </w:rPr>
        <w:t>beta-</w:t>
      </w:r>
      <w:proofErr w:type="spellStart"/>
      <w:r w:rsidRPr="004229C9">
        <w:rPr>
          <w:lang w:val="sk-SK"/>
        </w:rPr>
        <w:t>laktámové</w:t>
      </w:r>
      <w:proofErr w:type="spellEnd"/>
      <w:r w:rsidRPr="004229C9">
        <w:rPr>
          <w:lang w:val="sk-SK"/>
        </w:rPr>
        <w:t xml:space="preserve"> antibiotikum</w:t>
      </w:r>
      <w:r>
        <w:rPr>
          <w:lang w:val="sk-SK"/>
        </w:rPr>
        <w:t xml:space="preserve"> (napr. penicilín) (pozri časť 4.4).</w:t>
      </w:r>
    </w:p>
    <w:p w14:paraId="7F83D052" w14:textId="77777777" w:rsidR="003E3C22" w:rsidRDefault="003E3C22" w:rsidP="003E3C22">
      <w:pPr>
        <w:ind w:left="567"/>
        <w:rPr>
          <w:lang w:val="sk-SK"/>
        </w:rPr>
      </w:pPr>
    </w:p>
    <w:p w14:paraId="7EDBD3C5" w14:textId="77777777" w:rsidR="003E3C22" w:rsidRDefault="003E3C22" w:rsidP="00233E28">
      <w:pPr>
        <w:tabs>
          <w:tab w:val="clear" w:pos="567"/>
        </w:tabs>
        <w:rPr>
          <w:lang w:val="sk-SK"/>
        </w:rPr>
      </w:pPr>
      <w:r>
        <w:rPr>
          <w:lang w:val="sk-SK"/>
        </w:rPr>
        <w:t xml:space="preserve">Pre liekové formy s obsahom </w:t>
      </w:r>
      <w:proofErr w:type="spellStart"/>
      <w:r>
        <w:rPr>
          <w:lang w:val="sk-SK"/>
        </w:rPr>
        <w:t>lidokaínu</w:t>
      </w:r>
      <w:proofErr w:type="spellEnd"/>
      <w:r>
        <w:rPr>
          <w:lang w:val="sk-SK"/>
        </w:rPr>
        <w:t>:</w:t>
      </w:r>
    </w:p>
    <w:p w14:paraId="525821AE" w14:textId="1FFA5636" w:rsidR="003E3C22" w:rsidRDefault="003E3C22" w:rsidP="003E1B06">
      <w:pPr>
        <w:numPr>
          <w:ilvl w:val="0"/>
          <w:numId w:val="3"/>
        </w:numPr>
        <w:tabs>
          <w:tab w:val="clear" w:pos="567"/>
        </w:tabs>
        <w:ind w:left="709" w:hanging="142"/>
        <w:rPr>
          <w:lang w:val="sk-SK"/>
        </w:rPr>
      </w:pPr>
      <w:r>
        <w:rPr>
          <w:lang w:val="sk-SK"/>
        </w:rPr>
        <w:t xml:space="preserve">v minulosti zaznamenaná </w:t>
      </w:r>
      <w:proofErr w:type="spellStart"/>
      <w:r>
        <w:rPr>
          <w:lang w:val="sk-SK"/>
        </w:rPr>
        <w:t>hypersenzitivita</w:t>
      </w:r>
      <w:proofErr w:type="spellEnd"/>
      <w:r>
        <w:rPr>
          <w:lang w:val="sk-SK"/>
        </w:rPr>
        <w:t xml:space="preserve"> na </w:t>
      </w:r>
      <w:proofErr w:type="spellStart"/>
      <w:r>
        <w:rPr>
          <w:lang w:val="sk-SK"/>
        </w:rPr>
        <w:t>lidokaín</w:t>
      </w:r>
      <w:proofErr w:type="spellEnd"/>
      <w:r>
        <w:rPr>
          <w:lang w:val="sk-SK"/>
        </w:rPr>
        <w:t xml:space="preserve"> alebo iné lokálne anestetiká </w:t>
      </w:r>
      <w:proofErr w:type="spellStart"/>
      <w:r>
        <w:rPr>
          <w:lang w:val="sk-SK"/>
        </w:rPr>
        <w:t>amidového</w:t>
      </w:r>
      <w:proofErr w:type="spellEnd"/>
      <w:r w:rsidR="003E1B06">
        <w:rPr>
          <w:lang w:val="sk-SK"/>
        </w:rPr>
        <w:br/>
      </w:r>
      <w:r>
        <w:rPr>
          <w:lang w:val="sk-SK"/>
        </w:rPr>
        <w:t>typu</w:t>
      </w:r>
    </w:p>
    <w:p w14:paraId="1A10E675" w14:textId="77777777" w:rsidR="003E3C22" w:rsidRPr="00474E22" w:rsidRDefault="003E3C22" w:rsidP="003E3C22">
      <w:pPr>
        <w:numPr>
          <w:ilvl w:val="0"/>
          <w:numId w:val="3"/>
        </w:numPr>
        <w:rPr>
          <w:lang w:val="sk-SK"/>
        </w:rPr>
      </w:pPr>
      <w:r w:rsidRPr="00474E22">
        <w:rPr>
          <w:lang w:val="sk-SK"/>
        </w:rPr>
        <w:t>srdcová blokáda bez kardiostimulátora</w:t>
      </w:r>
    </w:p>
    <w:p w14:paraId="1565CC9B" w14:textId="77777777" w:rsidR="003E3C22" w:rsidRPr="00474E22" w:rsidRDefault="003E3C22" w:rsidP="003E3C22">
      <w:pPr>
        <w:numPr>
          <w:ilvl w:val="0"/>
          <w:numId w:val="3"/>
        </w:numPr>
        <w:rPr>
          <w:lang w:val="sk-SK"/>
        </w:rPr>
      </w:pPr>
      <w:r w:rsidRPr="00474E22">
        <w:rPr>
          <w:lang w:val="sk-SK"/>
        </w:rPr>
        <w:t>závažné zlyhanie srdca</w:t>
      </w:r>
    </w:p>
    <w:p w14:paraId="7D670F53" w14:textId="77777777" w:rsidR="003E3C22" w:rsidRPr="00474E22" w:rsidRDefault="003E3C22" w:rsidP="003E3C22">
      <w:pPr>
        <w:numPr>
          <w:ilvl w:val="0"/>
          <w:numId w:val="3"/>
        </w:numPr>
        <w:rPr>
          <w:lang w:val="sk-SK"/>
        </w:rPr>
      </w:pPr>
      <w:r>
        <w:rPr>
          <w:lang w:val="sk-SK"/>
        </w:rPr>
        <w:t xml:space="preserve">podanie </w:t>
      </w:r>
      <w:r w:rsidRPr="00474E22">
        <w:rPr>
          <w:lang w:val="sk-SK"/>
        </w:rPr>
        <w:t>intravenóznou cestou</w:t>
      </w:r>
    </w:p>
    <w:p w14:paraId="75C3EC1E" w14:textId="77777777" w:rsidR="003E3C22" w:rsidRPr="00474E22" w:rsidRDefault="003E3C22" w:rsidP="003E3C22">
      <w:pPr>
        <w:numPr>
          <w:ilvl w:val="0"/>
          <w:numId w:val="3"/>
        </w:numPr>
        <w:rPr>
          <w:lang w:val="sk-SK"/>
        </w:rPr>
      </w:pPr>
      <w:r w:rsidRPr="00474E22">
        <w:rPr>
          <w:lang w:val="sk-SK"/>
        </w:rPr>
        <w:t>dojčatá mladšie ako 30 mesiacov</w:t>
      </w:r>
    </w:p>
    <w:p w14:paraId="78463C99" w14:textId="77777777" w:rsidR="003E3C22" w:rsidRPr="004229C9" w:rsidRDefault="003E3C22" w:rsidP="003E3C22">
      <w:pPr>
        <w:ind w:left="567"/>
        <w:rPr>
          <w:lang w:val="sk-SK"/>
        </w:rPr>
      </w:pPr>
    </w:p>
    <w:p w14:paraId="398FA39B" w14:textId="77777777" w:rsidR="003E3C22" w:rsidRPr="00802F09" w:rsidRDefault="003E3C22" w:rsidP="003E3C22">
      <w:pPr>
        <w:numPr>
          <w:ilvl w:val="1"/>
          <w:numId w:val="2"/>
        </w:numPr>
        <w:spacing w:line="240" w:lineRule="auto"/>
        <w:outlineLvl w:val="0"/>
        <w:rPr>
          <w:b/>
          <w:noProof/>
          <w:szCs w:val="22"/>
          <w:lang w:val="sk-SK"/>
        </w:rPr>
      </w:pPr>
      <w:r w:rsidRPr="00802F09">
        <w:rPr>
          <w:b/>
          <w:noProof/>
          <w:szCs w:val="22"/>
          <w:lang w:val="sk-SK"/>
        </w:rPr>
        <w:t xml:space="preserve">Osobitné upozornenia a opatrenia pri používaní </w:t>
      </w:r>
    </w:p>
    <w:p w14:paraId="56844C0C" w14:textId="77777777" w:rsidR="003E3C22" w:rsidRDefault="003E3C22" w:rsidP="003E3C22">
      <w:pPr>
        <w:tabs>
          <w:tab w:val="clear" w:pos="567"/>
        </w:tabs>
        <w:spacing w:line="240" w:lineRule="auto"/>
        <w:ind w:left="570"/>
        <w:outlineLvl w:val="0"/>
        <w:rPr>
          <w:noProof/>
          <w:szCs w:val="22"/>
          <w:lang w:val="sk-SK"/>
        </w:rPr>
      </w:pPr>
    </w:p>
    <w:p w14:paraId="2C6640ED" w14:textId="77777777" w:rsidR="00EC6C3D" w:rsidRDefault="003E3C22" w:rsidP="00233E28">
      <w:pPr>
        <w:tabs>
          <w:tab w:val="clear" w:pos="567"/>
        </w:tabs>
        <w:spacing w:line="240" w:lineRule="auto"/>
        <w:outlineLvl w:val="0"/>
        <w:rPr>
          <w:i/>
          <w:noProof/>
          <w:szCs w:val="22"/>
          <w:lang w:val="sk-SK"/>
        </w:rPr>
      </w:pPr>
      <w:r w:rsidRPr="00184B98">
        <w:rPr>
          <w:i/>
          <w:noProof/>
          <w:szCs w:val="22"/>
          <w:lang w:val="sk-SK"/>
        </w:rPr>
        <w:t>Anafylaktické reakcie</w:t>
      </w:r>
    </w:p>
    <w:p w14:paraId="53DC0B26" w14:textId="2BB3CA5C" w:rsidR="00694220" w:rsidRDefault="003E3C22" w:rsidP="006109F0">
      <w:pPr>
        <w:tabs>
          <w:tab w:val="clear" w:pos="567"/>
        </w:tabs>
        <w:spacing w:line="240" w:lineRule="auto"/>
        <w:jc w:val="both"/>
        <w:outlineLvl w:val="0"/>
        <w:rPr>
          <w:noProof/>
          <w:szCs w:val="22"/>
          <w:lang w:val="sk-SK"/>
        </w:rPr>
      </w:pPr>
      <w:r w:rsidRPr="00184B98">
        <w:rPr>
          <w:noProof/>
          <w:szCs w:val="22"/>
          <w:lang w:val="sk-SK"/>
        </w:rPr>
        <w:t>U pacientov, ktorým sa podával cefotaxím, boli zaznamenané závažné hypersenzitívne reakcie, vrátane fatálnych (pozri časti 4.3 a 4.8).</w:t>
      </w:r>
      <w:r w:rsidR="00D3368B">
        <w:rPr>
          <w:noProof/>
          <w:szCs w:val="22"/>
          <w:lang w:val="sk-SK"/>
        </w:rPr>
        <w:t xml:space="preserve"> </w:t>
      </w:r>
      <w:r w:rsidRPr="00184B98">
        <w:rPr>
          <w:noProof/>
          <w:szCs w:val="22"/>
          <w:lang w:val="sk-SK"/>
        </w:rPr>
        <w:t xml:space="preserve">Ak sa vyskytnú </w:t>
      </w:r>
      <w:r w:rsidR="00261EF2">
        <w:rPr>
          <w:noProof/>
          <w:szCs w:val="22"/>
          <w:lang w:val="sk-SK"/>
        </w:rPr>
        <w:t xml:space="preserve">anafylaktické </w:t>
      </w:r>
      <w:r w:rsidRPr="00184B98">
        <w:rPr>
          <w:noProof/>
          <w:szCs w:val="22"/>
          <w:lang w:val="sk-SK"/>
        </w:rPr>
        <w:t xml:space="preserve">reakcie, liečba musí byť ukončená a musí sa zahájiť vhodná pohotovostná liečba. </w:t>
      </w:r>
    </w:p>
    <w:p w14:paraId="338440D0" w14:textId="3DBA887D" w:rsidR="003E3C22" w:rsidRDefault="003E3C22" w:rsidP="006109F0">
      <w:pPr>
        <w:tabs>
          <w:tab w:val="clear" w:pos="567"/>
        </w:tabs>
        <w:spacing w:line="240" w:lineRule="auto"/>
        <w:jc w:val="both"/>
        <w:outlineLvl w:val="0"/>
        <w:rPr>
          <w:lang w:val="sk-SK"/>
        </w:rPr>
      </w:pPr>
      <w:r w:rsidRPr="00184B98">
        <w:rPr>
          <w:lang w:val="sk-SK"/>
        </w:rPr>
        <w:t xml:space="preserve">Osobitná opatrnosť je potrebná u pacientov, ktorí už mali akúkoľvek alergickú reakciu na penicilíny alebo akékoľvek iné </w:t>
      </w:r>
      <w:proofErr w:type="spellStart"/>
      <w:r w:rsidRPr="00184B98">
        <w:rPr>
          <w:lang w:val="sk-SK"/>
        </w:rPr>
        <w:t>betalaktámové</w:t>
      </w:r>
      <w:proofErr w:type="spellEnd"/>
      <w:r w:rsidRPr="00184B98">
        <w:rPr>
          <w:lang w:val="sk-SK"/>
        </w:rPr>
        <w:t xml:space="preserve"> antibiotiká, </w:t>
      </w:r>
      <w:r w:rsidR="00261EF2">
        <w:rPr>
          <w:lang w:val="sk-SK"/>
        </w:rPr>
        <w:t>pretože</w:t>
      </w:r>
      <w:r w:rsidRPr="00184B98">
        <w:rPr>
          <w:lang w:val="sk-SK"/>
        </w:rPr>
        <w:t xml:space="preserve"> </w:t>
      </w:r>
      <w:r w:rsidR="00261EF2">
        <w:rPr>
          <w:lang w:val="sk-SK"/>
        </w:rPr>
        <w:t xml:space="preserve">sa môžu </w:t>
      </w:r>
      <w:r w:rsidRPr="00184B98">
        <w:rPr>
          <w:lang w:val="sk-SK"/>
        </w:rPr>
        <w:t>vysky</w:t>
      </w:r>
      <w:r w:rsidR="00261EF2">
        <w:rPr>
          <w:lang w:val="sk-SK"/>
        </w:rPr>
        <w:t>tnúť</w:t>
      </w:r>
      <w:r w:rsidRPr="00184B98">
        <w:rPr>
          <w:lang w:val="sk-SK"/>
        </w:rPr>
        <w:t xml:space="preserve"> </w:t>
      </w:r>
      <w:r w:rsidR="00261EF2">
        <w:rPr>
          <w:lang w:val="sk-SK"/>
        </w:rPr>
        <w:t>s</w:t>
      </w:r>
      <w:r w:rsidRPr="00184B98">
        <w:rPr>
          <w:lang w:val="sk-SK"/>
        </w:rPr>
        <w:t>kríž</w:t>
      </w:r>
      <w:r w:rsidR="00261EF2">
        <w:rPr>
          <w:lang w:val="sk-SK"/>
        </w:rPr>
        <w:t>ené</w:t>
      </w:r>
      <w:r w:rsidRPr="00184B98">
        <w:rPr>
          <w:lang w:val="sk-SK"/>
        </w:rPr>
        <w:t xml:space="preserve"> reakci</w:t>
      </w:r>
      <w:r w:rsidR="00261EF2">
        <w:rPr>
          <w:lang w:val="sk-SK"/>
        </w:rPr>
        <w:t>e</w:t>
      </w:r>
      <w:r w:rsidRPr="00184B98">
        <w:rPr>
          <w:lang w:val="sk-SK"/>
        </w:rPr>
        <w:t xml:space="preserve"> (pre kontraindikácie v dôsledku známych </w:t>
      </w:r>
      <w:proofErr w:type="spellStart"/>
      <w:r w:rsidRPr="00184B98">
        <w:rPr>
          <w:lang w:val="sk-SK"/>
        </w:rPr>
        <w:t>hypersenzitívnych</w:t>
      </w:r>
      <w:proofErr w:type="spellEnd"/>
      <w:r w:rsidRPr="00184B98">
        <w:rPr>
          <w:lang w:val="sk-SK"/>
        </w:rPr>
        <w:t xml:space="preserve"> reakcií pozri časť 4.3). </w:t>
      </w:r>
      <w:r w:rsidR="00717912" w:rsidRPr="00717912">
        <w:rPr>
          <w:lang w:val="sk-SK"/>
        </w:rPr>
        <w:t xml:space="preserve">Liek </w:t>
      </w:r>
      <w:proofErr w:type="spellStart"/>
      <w:r w:rsidR="00717912" w:rsidRPr="00717912">
        <w:rPr>
          <w:lang w:val="sk-SK"/>
        </w:rPr>
        <w:t>Cefotaxime</w:t>
      </w:r>
      <w:proofErr w:type="spellEnd"/>
      <w:r w:rsidR="00717912" w:rsidRPr="00717912">
        <w:rPr>
          <w:lang w:val="sk-SK"/>
        </w:rPr>
        <w:t xml:space="preserve"> </w:t>
      </w:r>
      <w:proofErr w:type="spellStart"/>
      <w:r w:rsidR="00717912" w:rsidRPr="00717912">
        <w:rPr>
          <w:lang w:val="sk-SK"/>
        </w:rPr>
        <w:t>Eberth</w:t>
      </w:r>
      <w:proofErr w:type="spellEnd"/>
      <w:r w:rsidR="00717912" w:rsidRPr="00717912">
        <w:rPr>
          <w:lang w:val="sk-SK"/>
        </w:rPr>
        <w:t xml:space="preserve"> </w:t>
      </w:r>
      <w:r w:rsidR="00046BFA">
        <w:rPr>
          <w:lang w:val="sk-SK"/>
        </w:rPr>
        <w:t xml:space="preserve">treba </w:t>
      </w:r>
      <w:r w:rsidR="00261EF2">
        <w:rPr>
          <w:lang w:val="sk-SK"/>
        </w:rPr>
        <w:t xml:space="preserve">tiež </w:t>
      </w:r>
      <w:r w:rsidR="00EE6C76" w:rsidRPr="00717912">
        <w:rPr>
          <w:lang w:val="sk-SK"/>
        </w:rPr>
        <w:t xml:space="preserve">používať </w:t>
      </w:r>
      <w:r w:rsidR="00046BFA" w:rsidRPr="00717912">
        <w:rPr>
          <w:lang w:val="sk-SK"/>
        </w:rPr>
        <w:t xml:space="preserve">s opatrnosťou </w:t>
      </w:r>
      <w:r w:rsidR="00717912" w:rsidRPr="00717912">
        <w:rPr>
          <w:lang w:val="sk-SK"/>
        </w:rPr>
        <w:t xml:space="preserve">u pacientov </w:t>
      </w:r>
      <w:r w:rsidR="00465005">
        <w:rPr>
          <w:lang w:val="sk-SK"/>
        </w:rPr>
        <w:t>trpiacich</w:t>
      </w:r>
      <w:r w:rsidR="00046BFA">
        <w:rPr>
          <w:lang w:val="sk-SK"/>
        </w:rPr>
        <w:t xml:space="preserve"> </w:t>
      </w:r>
      <w:r w:rsidR="00717912" w:rsidRPr="00717912">
        <w:rPr>
          <w:lang w:val="sk-SK"/>
        </w:rPr>
        <w:t>iným</w:t>
      </w:r>
      <w:r w:rsidR="00261EF2">
        <w:rPr>
          <w:lang w:val="sk-SK"/>
        </w:rPr>
        <w:t>i</w:t>
      </w:r>
      <w:r w:rsidR="00717912" w:rsidRPr="00717912">
        <w:rPr>
          <w:lang w:val="sk-SK"/>
        </w:rPr>
        <w:t xml:space="preserve"> typ</w:t>
      </w:r>
      <w:r w:rsidR="00261EF2">
        <w:rPr>
          <w:lang w:val="sk-SK"/>
        </w:rPr>
        <w:t>mi</w:t>
      </w:r>
      <w:r w:rsidR="00717912" w:rsidRPr="00717912">
        <w:rPr>
          <w:lang w:val="sk-SK"/>
        </w:rPr>
        <w:t xml:space="preserve"> alergickej reakcie (napr. </w:t>
      </w:r>
      <w:r w:rsidR="00C95F0A">
        <w:rPr>
          <w:lang w:val="sk-SK"/>
        </w:rPr>
        <w:t>s</w:t>
      </w:r>
      <w:r w:rsidR="00717912" w:rsidRPr="00717912">
        <w:rPr>
          <w:lang w:val="sk-SK"/>
        </w:rPr>
        <w:t xml:space="preserve">enná nádcha alebo bronchiálna astma), pretože </w:t>
      </w:r>
      <w:r w:rsidR="00DF3EB7">
        <w:rPr>
          <w:lang w:val="sk-SK"/>
        </w:rPr>
        <w:t xml:space="preserve">tieto </w:t>
      </w:r>
      <w:r w:rsidR="00717912" w:rsidRPr="00717912">
        <w:rPr>
          <w:lang w:val="sk-SK"/>
        </w:rPr>
        <w:t>môžu zvýšiť riziko závažných reakcií z precitlivenosti.</w:t>
      </w:r>
    </w:p>
    <w:p w14:paraId="73B72C99" w14:textId="77777777" w:rsidR="009B29FF" w:rsidRDefault="009B29FF" w:rsidP="003E3C22">
      <w:pPr>
        <w:tabs>
          <w:tab w:val="clear" w:pos="567"/>
        </w:tabs>
        <w:spacing w:line="240" w:lineRule="auto"/>
        <w:ind w:left="570"/>
        <w:outlineLvl w:val="0"/>
        <w:rPr>
          <w:lang w:val="sk-SK"/>
        </w:rPr>
      </w:pPr>
    </w:p>
    <w:p w14:paraId="5536DCE5" w14:textId="77777777" w:rsidR="009B29FF" w:rsidRPr="00851056" w:rsidRDefault="009B29FF" w:rsidP="00233E28">
      <w:pPr>
        <w:tabs>
          <w:tab w:val="clear" w:pos="567"/>
        </w:tabs>
        <w:spacing w:line="240" w:lineRule="auto"/>
        <w:outlineLvl w:val="0"/>
        <w:rPr>
          <w:i/>
          <w:lang w:val="sk-SK"/>
        </w:rPr>
      </w:pPr>
      <w:r w:rsidRPr="00851056">
        <w:rPr>
          <w:i/>
          <w:lang w:val="sk-SK"/>
        </w:rPr>
        <w:t xml:space="preserve">Závažné </w:t>
      </w:r>
      <w:proofErr w:type="spellStart"/>
      <w:r w:rsidRPr="00851056">
        <w:rPr>
          <w:i/>
          <w:lang w:val="sk-SK"/>
        </w:rPr>
        <w:t>bulózne</w:t>
      </w:r>
      <w:proofErr w:type="spellEnd"/>
      <w:r w:rsidRPr="00851056">
        <w:rPr>
          <w:i/>
          <w:lang w:val="sk-SK"/>
        </w:rPr>
        <w:t xml:space="preserve"> reakcie</w:t>
      </w:r>
    </w:p>
    <w:p w14:paraId="34C52C03" w14:textId="3E19F0F6" w:rsidR="009B29FF" w:rsidRPr="00851056" w:rsidRDefault="009B29FF" w:rsidP="006109F0">
      <w:pPr>
        <w:tabs>
          <w:tab w:val="clear" w:pos="567"/>
        </w:tabs>
        <w:spacing w:line="240" w:lineRule="auto"/>
        <w:jc w:val="both"/>
        <w:outlineLvl w:val="0"/>
        <w:rPr>
          <w:lang w:val="sk-SK"/>
        </w:rPr>
      </w:pPr>
      <w:r w:rsidRPr="00851056">
        <w:rPr>
          <w:lang w:val="sk-SK"/>
        </w:rPr>
        <w:t xml:space="preserve">U </w:t>
      </w:r>
      <w:proofErr w:type="spellStart"/>
      <w:r w:rsidRPr="00851056">
        <w:rPr>
          <w:lang w:val="sk-SK"/>
        </w:rPr>
        <w:t>cefotaxímu</w:t>
      </w:r>
      <w:proofErr w:type="spellEnd"/>
      <w:r w:rsidRPr="00851056">
        <w:rPr>
          <w:lang w:val="sk-SK"/>
        </w:rPr>
        <w:t xml:space="preserve"> boli zaznamenané závažné </w:t>
      </w:r>
      <w:proofErr w:type="spellStart"/>
      <w:r w:rsidRPr="00851056">
        <w:rPr>
          <w:lang w:val="sk-SK"/>
        </w:rPr>
        <w:t>bulózne</w:t>
      </w:r>
      <w:proofErr w:type="spellEnd"/>
      <w:r w:rsidRPr="00851056">
        <w:rPr>
          <w:lang w:val="sk-SK"/>
        </w:rPr>
        <w:t xml:space="preserve"> kožné reakcie ako </w:t>
      </w:r>
      <w:proofErr w:type="spellStart"/>
      <w:r w:rsidRPr="00851056">
        <w:rPr>
          <w:lang w:val="sk-SK"/>
        </w:rPr>
        <w:t>Stevensov-Johnsonov</w:t>
      </w:r>
      <w:proofErr w:type="spellEnd"/>
      <w:r w:rsidRPr="00851056">
        <w:rPr>
          <w:lang w:val="sk-SK"/>
        </w:rPr>
        <w:t xml:space="preserve"> syndróm alebo toxická </w:t>
      </w:r>
      <w:proofErr w:type="spellStart"/>
      <w:r w:rsidRPr="00851056">
        <w:rPr>
          <w:lang w:val="sk-SK"/>
        </w:rPr>
        <w:t>epidermálna</w:t>
      </w:r>
      <w:proofErr w:type="spellEnd"/>
      <w:r w:rsidRPr="00851056">
        <w:rPr>
          <w:lang w:val="sk-SK"/>
        </w:rPr>
        <w:t xml:space="preserve"> </w:t>
      </w:r>
      <w:proofErr w:type="spellStart"/>
      <w:r w:rsidRPr="00851056">
        <w:rPr>
          <w:lang w:val="sk-SK"/>
        </w:rPr>
        <w:t>nekrolýza</w:t>
      </w:r>
      <w:proofErr w:type="spellEnd"/>
      <w:r w:rsidRPr="00851056">
        <w:rPr>
          <w:lang w:val="sk-SK"/>
        </w:rPr>
        <w:t xml:space="preserve"> (pozri časť 4.8). </w:t>
      </w:r>
      <w:r w:rsidR="00851056">
        <w:rPr>
          <w:lang w:val="sk-SK"/>
        </w:rPr>
        <w:t>J</w:t>
      </w:r>
      <w:r w:rsidR="00851056" w:rsidRPr="00571265">
        <w:rPr>
          <w:lang w:val="sk-SK"/>
        </w:rPr>
        <w:t>e potrebné pacientov upozorniť</w:t>
      </w:r>
      <w:r w:rsidR="00851056">
        <w:rPr>
          <w:lang w:val="sk-SK"/>
        </w:rPr>
        <w:t>, aby</w:t>
      </w:r>
      <w:r w:rsidR="00851056" w:rsidRPr="00851056">
        <w:rPr>
          <w:lang w:val="sk-SK"/>
        </w:rPr>
        <w:t xml:space="preserve"> </w:t>
      </w:r>
      <w:r w:rsidR="00851056">
        <w:rPr>
          <w:lang w:val="sk-SK"/>
        </w:rPr>
        <w:t>v</w:t>
      </w:r>
      <w:r w:rsidRPr="00851056">
        <w:rPr>
          <w:lang w:val="sk-SK"/>
        </w:rPr>
        <w:t xml:space="preserve"> prípade výskytu kožnej a/alebo </w:t>
      </w:r>
      <w:proofErr w:type="spellStart"/>
      <w:r w:rsidRPr="00851056">
        <w:rPr>
          <w:lang w:val="sk-SK"/>
        </w:rPr>
        <w:t>mukóznej</w:t>
      </w:r>
      <w:proofErr w:type="spellEnd"/>
      <w:r w:rsidRPr="00851056">
        <w:rPr>
          <w:lang w:val="sk-SK"/>
        </w:rPr>
        <w:t xml:space="preserve"> reakcie, okamžite kontaktovali svojho lekára pred pokračovaním v liečbe.</w:t>
      </w:r>
    </w:p>
    <w:p w14:paraId="0B363B5F" w14:textId="77777777" w:rsidR="00F71EDB" w:rsidRPr="00233E28" w:rsidRDefault="00F71EDB" w:rsidP="009B29FF">
      <w:pPr>
        <w:tabs>
          <w:tab w:val="clear" w:pos="567"/>
        </w:tabs>
        <w:spacing w:line="240" w:lineRule="auto"/>
        <w:ind w:left="570"/>
        <w:outlineLvl w:val="0"/>
        <w:rPr>
          <w:highlight w:val="yellow"/>
          <w:lang w:val="sk-SK"/>
        </w:rPr>
      </w:pPr>
    </w:p>
    <w:p w14:paraId="3A905B8B" w14:textId="77777777" w:rsidR="00D265CA" w:rsidRPr="00B00212" w:rsidRDefault="00D265CA" w:rsidP="00233E28">
      <w:pPr>
        <w:tabs>
          <w:tab w:val="clear" w:pos="567"/>
        </w:tabs>
        <w:spacing w:line="240" w:lineRule="auto"/>
        <w:outlineLvl w:val="0"/>
        <w:rPr>
          <w:i/>
          <w:lang w:val="sk-SK"/>
        </w:rPr>
      </w:pPr>
      <w:r w:rsidRPr="00B00212">
        <w:rPr>
          <w:lang w:val="sk-SK"/>
        </w:rPr>
        <w:t>Ochorenie vyvolané</w:t>
      </w:r>
      <w:r w:rsidRPr="00B00212">
        <w:rPr>
          <w:i/>
          <w:lang w:val="sk-SK"/>
        </w:rPr>
        <w:t xml:space="preserve"> </w:t>
      </w:r>
      <w:proofErr w:type="spellStart"/>
      <w:r w:rsidRPr="00B00212">
        <w:rPr>
          <w:i/>
          <w:lang w:val="sk-SK"/>
        </w:rPr>
        <w:t>Clostridium</w:t>
      </w:r>
      <w:proofErr w:type="spellEnd"/>
      <w:r w:rsidRPr="00B00212">
        <w:rPr>
          <w:i/>
          <w:lang w:val="sk-SK"/>
        </w:rPr>
        <w:t xml:space="preserve"> </w:t>
      </w:r>
      <w:proofErr w:type="spellStart"/>
      <w:r w:rsidRPr="00B00212">
        <w:rPr>
          <w:i/>
          <w:lang w:val="sk-SK"/>
        </w:rPr>
        <w:t>difficile</w:t>
      </w:r>
      <w:proofErr w:type="spellEnd"/>
      <w:r w:rsidRPr="00B00212">
        <w:rPr>
          <w:i/>
          <w:lang w:val="sk-SK"/>
        </w:rPr>
        <w:t xml:space="preserve"> </w:t>
      </w:r>
      <w:r w:rsidRPr="00B00212">
        <w:rPr>
          <w:lang w:val="sk-SK"/>
        </w:rPr>
        <w:t xml:space="preserve">(napr. </w:t>
      </w:r>
      <w:proofErr w:type="spellStart"/>
      <w:r w:rsidRPr="00B00212">
        <w:rPr>
          <w:lang w:val="sk-SK"/>
        </w:rPr>
        <w:t>pseudomembranózna</w:t>
      </w:r>
      <w:proofErr w:type="spellEnd"/>
      <w:r w:rsidRPr="00B00212">
        <w:rPr>
          <w:lang w:val="sk-SK"/>
        </w:rPr>
        <w:t xml:space="preserve"> </w:t>
      </w:r>
      <w:proofErr w:type="spellStart"/>
      <w:r w:rsidRPr="00B00212">
        <w:rPr>
          <w:lang w:val="sk-SK"/>
        </w:rPr>
        <w:t>kolitída</w:t>
      </w:r>
      <w:proofErr w:type="spellEnd"/>
      <w:r w:rsidRPr="00B00212">
        <w:rPr>
          <w:lang w:val="sk-SK"/>
        </w:rPr>
        <w:t>)</w:t>
      </w:r>
    </w:p>
    <w:p w14:paraId="4F14A788" w14:textId="0837AD80" w:rsidR="00D265CA" w:rsidRPr="00B00212" w:rsidRDefault="00D265CA" w:rsidP="00233E28">
      <w:pPr>
        <w:numPr>
          <w:ilvl w:val="0"/>
          <w:numId w:val="33"/>
        </w:numPr>
        <w:tabs>
          <w:tab w:val="clear" w:pos="567"/>
        </w:tabs>
        <w:spacing w:line="240" w:lineRule="auto"/>
        <w:ind w:left="360"/>
        <w:jc w:val="both"/>
        <w:outlineLvl w:val="0"/>
        <w:rPr>
          <w:lang w:val="sk-SK"/>
        </w:rPr>
      </w:pPr>
      <w:r w:rsidRPr="00B00212">
        <w:rPr>
          <w:lang w:val="sk-SK"/>
        </w:rPr>
        <w:t>Pri používaní širokospektrálnych antibiotík bolo hlásené ochorenie vyvolané </w:t>
      </w:r>
      <w:proofErr w:type="spellStart"/>
      <w:r w:rsidRPr="00B00212">
        <w:rPr>
          <w:i/>
          <w:lang w:val="sk-SK"/>
        </w:rPr>
        <w:t>Clostridium</w:t>
      </w:r>
      <w:proofErr w:type="spellEnd"/>
      <w:r w:rsidRPr="00B00212">
        <w:rPr>
          <w:i/>
          <w:lang w:val="sk-SK"/>
        </w:rPr>
        <w:t xml:space="preserve"> </w:t>
      </w:r>
      <w:proofErr w:type="spellStart"/>
      <w:r w:rsidRPr="00B00212">
        <w:rPr>
          <w:i/>
          <w:lang w:val="sk-SK"/>
        </w:rPr>
        <w:t>difficile</w:t>
      </w:r>
      <w:proofErr w:type="spellEnd"/>
      <w:r w:rsidRPr="00B00212">
        <w:rPr>
          <w:lang w:val="sk-SK"/>
        </w:rPr>
        <w:t xml:space="preserve"> (napr. </w:t>
      </w:r>
      <w:proofErr w:type="spellStart"/>
      <w:r w:rsidRPr="00B00212">
        <w:rPr>
          <w:lang w:val="sk-SK"/>
        </w:rPr>
        <w:t>pseudomembranózna</w:t>
      </w:r>
      <w:proofErr w:type="spellEnd"/>
      <w:r w:rsidRPr="00B00212">
        <w:rPr>
          <w:lang w:val="sk-SK"/>
        </w:rPr>
        <w:t xml:space="preserve"> </w:t>
      </w:r>
      <w:proofErr w:type="spellStart"/>
      <w:r w:rsidRPr="00B00212">
        <w:rPr>
          <w:lang w:val="sk-SK"/>
        </w:rPr>
        <w:t>kolitída</w:t>
      </w:r>
      <w:proofErr w:type="spellEnd"/>
      <w:r w:rsidRPr="00B00212">
        <w:rPr>
          <w:lang w:val="sk-SK"/>
        </w:rPr>
        <w:t xml:space="preserve">). U pacientov, u ktorých sa objaví silná hnačka počas alebo po skončení podávania </w:t>
      </w:r>
      <w:proofErr w:type="spellStart"/>
      <w:r w:rsidRPr="00B00212">
        <w:rPr>
          <w:lang w:val="sk-SK"/>
        </w:rPr>
        <w:t>cefotaxímu</w:t>
      </w:r>
      <w:proofErr w:type="spellEnd"/>
      <w:r w:rsidRPr="00B00212">
        <w:rPr>
          <w:lang w:val="sk-SK"/>
        </w:rPr>
        <w:t xml:space="preserve">, je preto dôležité zvážiť túto diagnózu. Hnačka, najmä ak je </w:t>
      </w:r>
      <w:r w:rsidR="00B00212">
        <w:rPr>
          <w:lang w:val="sk-SK"/>
        </w:rPr>
        <w:t>silná</w:t>
      </w:r>
      <w:r w:rsidRPr="00B00212">
        <w:rPr>
          <w:lang w:val="sk-SK"/>
        </w:rPr>
        <w:t xml:space="preserve"> a/alebo pretrvávajúca, ktorá sa vyskytne počas liečby alebo v prvých týždňoch po jej ukončení, môže byť príznačná pre ochorenie vyvolané </w:t>
      </w:r>
      <w:proofErr w:type="spellStart"/>
      <w:r w:rsidRPr="00B00212">
        <w:rPr>
          <w:i/>
          <w:lang w:val="sk-SK"/>
        </w:rPr>
        <w:t>Clostridium</w:t>
      </w:r>
      <w:proofErr w:type="spellEnd"/>
      <w:r w:rsidRPr="00B00212">
        <w:rPr>
          <w:i/>
          <w:lang w:val="sk-SK"/>
        </w:rPr>
        <w:t xml:space="preserve"> </w:t>
      </w:r>
      <w:proofErr w:type="spellStart"/>
      <w:r w:rsidRPr="00B00212">
        <w:rPr>
          <w:i/>
          <w:lang w:val="sk-SK"/>
        </w:rPr>
        <w:t>difficile</w:t>
      </w:r>
      <w:proofErr w:type="spellEnd"/>
      <w:r w:rsidR="00DA271F" w:rsidRPr="00B00212">
        <w:rPr>
          <w:lang w:val="sk-SK"/>
        </w:rPr>
        <w:t xml:space="preserve"> (CDAD)</w:t>
      </w:r>
      <w:r w:rsidRPr="00B00212">
        <w:rPr>
          <w:lang w:val="sk-SK"/>
        </w:rPr>
        <w:t xml:space="preserve">. </w:t>
      </w:r>
      <w:proofErr w:type="spellStart"/>
      <w:r w:rsidRPr="00B00212">
        <w:rPr>
          <w:lang w:val="sk-SK"/>
        </w:rPr>
        <w:t>Závažnosť</w:t>
      </w:r>
      <w:r w:rsidR="000F2F74" w:rsidRPr="00B00212">
        <w:rPr>
          <w:lang w:val="sk-SK"/>
        </w:rPr>
        <w:t>CDAD</w:t>
      </w:r>
      <w:proofErr w:type="spellEnd"/>
      <w:r w:rsidRPr="00B00212">
        <w:rPr>
          <w:lang w:val="sk-SK"/>
        </w:rPr>
        <w:t xml:space="preserve"> </w:t>
      </w:r>
      <w:r w:rsidR="00B00212">
        <w:rPr>
          <w:lang w:val="sk-SK"/>
        </w:rPr>
        <w:t xml:space="preserve">sa </w:t>
      </w:r>
      <w:r w:rsidRPr="00B00212">
        <w:rPr>
          <w:lang w:val="sk-SK"/>
        </w:rPr>
        <w:t xml:space="preserve">môže </w:t>
      </w:r>
      <w:r w:rsidR="00B00212">
        <w:rPr>
          <w:lang w:val="sk-SK"/>
        </w:rPr>
        <w:t>líšiť</w:t>
      </w:r>
      <w:r w:rsidRPr="00B00212">
        <w:rPr>
          <w:lang w:val="sk-SK"/>
        </w:rPr>
        <w:t xml:space="preserve"> od mierneho po </w:t>
      </w:r>
      <w:r w:rsidR="003A1CFB" w:rsidRPr="00B00212">
        <w:rPr>
          <w:lang w:val="sk-SK"/>
        </w:rPr>
        <w:t>život ohrozujúce</w:t>
      </w:r>
      <w:r w:rsidRPr="00B00212">
        <w:rPr>
          <w:lang w:val="sk-SK"/>
        </w:rPr>
        <w:t xml:space="preserve"> a jeho najzávažnejšou formou je </w:t>
      </w:r>
      <w:proofErr w:type="spellStart"/>
      <w:r w:rsidRPr="00B00212">
        <w:rPr>
          <w:lang w:val="sk-SK"/>
        </w:rPr>
        <w:t>pseudomembranózna</w:t>
      </w:r>
      <w:proofErr w:type="spellEnd"/>
      <w:r w:rsidRPr="00B00212">
        <w:rPr>
          <w:lang w:val="sk-SK"/>
        </w:rPr>
        <w:t xml:space="preserve"> </w:t>
      </w:r>
      <w:proofErr w:type="spellStart"/>
      <w:r w:rsidRPr="00B00212">
        <w:rPr>
          <w:lang w:val="sk-SK"/>
        </w:rPr>
        <w:t>kolitída</w:t>
      </w:r>
      <w:proofErr w:type="spellEnd"/>
      <w:r w:rsidRPr="00B00212">
        <w:rPr>
          <w:lang w:val="sk-SK"/>
        </w:rPr>
        <w:t xml:space="preserve">. </w:t>
      </w:r>
    </w:p>
    <w:p w14:paraId="666BE38C" w14:textId="77777777" w:rsidR="00DF3EB7" w:rsidRPr="00B00212" w:rsidRDefault="00D265CA" w:rsidP="006109F0">
      <w:pPr>
        <w:numPr>
          <w:ilvl w:val="0"/>
          <w:numId w:val="33"/>
        </w:numPr>
        <w:tabs>
          <w:tab w:val="clear" w:pos="567"/>
        </w:tabs>
        <w:spacing w:line="240" w:lineRule="auto"/>
        <w:ind w:left="360"/>
        <w:jc w:val="both"/>
        <w:outlineLvl w:val="0"/>
        <w:rPr>
          <w:lang w:val="sk-SK"/>
        </w:rPr>
      </w:pPr>
      <w:r w:rsidRPr="00B00212">
        <w:rPr>
          <w:lang w:val="sk-SK"/>
        </w:rPr>
        <w:t xml:space="preserve">Je potrebné vyšetriť prítomnosť toxínu </w:t>
      </w:r>
      <w:r w:rsidRPr="00B00212">
        <w:rPr>
          <w:i/>
          <w:lang w:val="sk-SK"/>
        </w:rPr>
        <w:t xml:space="preserve">C. </w:t>
      </w:r>
      <w:proofErr w:type="spellStart"/>
      <w:r w:rsidRPr="00B00212">
        <w:rPr>
          <w:i/>
          <w:lang w:val="sk-SK"/>
        </w:rPr>
        <w:t>difficile</w:t>
      </w:r>
      <w:proofErr w:type="spellEnd"/>
      <w:r w:rsidRPr="00B00212">
        <w:rPr>
          <w:lang w:val="sk-SK"/>
        </w:rPr>
        <w:t xml:space="preserve"> a v prípade podozrenia na </w:t>
      </w:r>
      <w:proofErr w:type="spellStart"/>
      <w:r w:rsidRPr="00B00212">
        <w:rPr>
          <w:lang w:val="sk-SK"/>
        </w:rPr>
        <w:t>kolitídu</w:t>
      </w:r>
      <w:proofErr w:type="spellEnd"/>
      <w:r w:rsidRPr="00B00212">
        <w:rPr>
          <w:lang w:val="sk-SK"/>
        </w:rPr>
        <w:t xml:space="preserve"> liečbu </w:t>
      </w:r>
      <w:proofErr w:type="spellStart"/>
      <w:r w:rsidRPr="00B00212">
        <w:rPr>
          <w:lang w:val="sk-SK"/>
        </w:rPr>
        <w:t>cefotaxímom</w:t>
      </w:r>
      <w:proofErr w:type="spellEnd"/>
      <w:r w:rsidRPr="00B00212">
        <w:rPr>
          <w:lang w:val="sk-SK"/>
        </w:rPr>
        <w:t xml:space="preserve"> zastaviť. Diagnózu tohto zriedkavého, ale možného fatálneho stavu môže potvrdiť detekcia toxínu, </w:t>
      </w:r>
      <w:proofErr w:type="spellStart"/>
      <w:r w:rsidRPr="00B00212">
        <w:rPr>
          <w:lang w:val="sk-SK"/>
        </w:rPr>
        <w:t>endoskopia</w:t>
      </w:r>
      <w:proofErr w:type="spellEnd"/>
      <w:r w:rsidRPr="00B00212">
        <w:rPr>
          <w:lang w:val="sk-SK"/>
        </w:rPr>
        <w:t xml:space="preserve"> a/alebo histológia. V prípade podozrenia na diagnózu </w:t>
      </w:r>
      <w:proofErr w:type="spellStart"/>
      <w:r w:rsidRPr="00B00212">
        <w:rPr>
          <w:lang w:val="sk-SK"/>
        </w:rPr>
        <w:t>pseudomembranóznej</w:t>
      </w:r>
      <w:proofErr w:type="spellEnd"/>
      <w:r w:rsidRPr="00B00212">
        <w:rPr>
          <w:lang w:val="sk-SK"/>
        </w:rPr>
        <w:t xml:space="preserve"> </w:t>
      </w:r>
      <w:proofErr w:type="spellStart"/>
      <w:r w:rsidRPr="00B00212">
        <w:rPr>
          <w:lang w:val="sk-SK"/>
        </w:rPr>
        <w:t>kolitídy</w:t>
      </w:r>
      <w:proofErr w:type="spellEnd"/>
      <w:r w:rsidRPr="00B00212">
        <w:rPr>
          <w:lang w:val="sk-SK"/>
        </w:rPr>
        <w:t xml:space="preserve"> je potrebné okamžite ukončiť liečbu </w:t>
      </w:r>
      <w:proofErr w:type="spellStart"/>
      <w:r w:rsidRPr="00B00212">
        <w:rPr>
          <w:lang w:val="sk-SK"/>
        </w:rPr>
        <w:t>cefotaxímom</w:t>
      </w:r>
      <w:proofErr w:type="spellEnd"/>
      <w:r w:rsidRPr="00B00212">
        <w:rPr>
          <w:lang w:val="sk-SK"/>
        </w:rPr>
        <w:t xml:space="preserve"> a bezodkladne zahájiť vhodnú špecifickú antibiotickú liečbu (napr. perorálnym </w:t>
      </w:r>
      <w:proofErr w:type="spellStart"/>
      <w:r w:rsidRPr="00B00212">
        <w:rPr>
          <w:lang w:val="sk-SK"/>
        </w:rPr>
        <w:t>vankomycínom</w:t>
      </w:r>
      <w:proofErr w:type="spellEnd"/>
      <w:r w:rsidRPr="00B00212">
        <w:rPr>
          <w:lang w:val="sk-SK"/>
        </w:rPr>
        <w:t xml:space="preserve"> alebo </w:t>
      </w:r>
      <w:proofErr w:type="spellStart"/>
      <w:r w:rsidRPr="00B00212">
        <w:rPr>
          <w:lang w:val="sk-SK"/>
        </w:rPr>
        <w:t>metronidazolom</w:t>
      </w:r>
      <w:proofErr w:type="spellEnd"/>
      <w:r w:rsidRPr="00B00212">
        <w:rPr>
          <w:lang w:val="sk-SK"/>
        </w:rPr>
        <w:t xml:space="preserve">). Ochorenie vyvolané </w:t>
      </w:r>
      <w:proofErr w:type="spellStart"/>
      <w:r w:rsidRPr="00B00212">
        <w:rPr>
          <w:i/>
          <w:lang w:val="sk-SK"/>
        </w:rPr>
        <w:t>Clostridium</w:t>
      </w:r>
      <w:proofErr w:type="spellEnd"/>
      <w:r w:rsidRPr="00B00212">
        <w:rPr>
          <w:i/>
          <w:lang w:val="sk-SK"/>
        </w:rPr>
        <w:t xml:space="preserve"> </w:t>
      </w:r>
      <w:proofErr w:type="spellStart"/>
      <w:r w:rsidRPr="00B00212">
        <w:rPr>
          <w:i/>
          <w:lang w:val="sk-SK"/>
        </w:rPr>
        <w:t>difficile</w:t>
      </w:r>
      <w:proofErr w:type="spellEnd"/>
      <w:r w:rsidRPr="00B00212">
        <w:rPr>
          <w:lang w:val="sk-SK"/>
        </w:rPr>
        <w:t xml:space="preserve"> môže sprevádzať zápcha. Nemajú sa podávať lieky zabraňujúce </w:t>
      </w:r>
      <w:proofErr w:type="spellStart"/>
      <w:r w:rsidRPr="00B00212">
        <w:rPr>
          <w:lang w:val="sk-SK"/>
        </w:rPr>
        <w:t>peristaltike</w:t>
      </w:r>
      <w:proofErr w:type="spellEnd"/>
      <w:r w:rsidRPr="00B00212">
        <w:rPr>
          <w:lang w:val="sk-SK"/>
        </w:rPr>
        <w:t xml:space="preserve"> čriev.</w:t>
      </w:r>
    </w:p>
    <w:p w14:paraId="54055537" w14:textId="77777777" w:rsidR="001B5CE6" w:rsidRPr="00233E28" w:rsidRDefault="001B5CE6" w:rsidP="008D16D7">
      <w:pPr>
        <w:tabs>
          <w:tab w:val="clear" w:pos="567"/>
        </w:tabs>
        <w:spacing w:line="240" w:lineRule="auto"/>
        <w:jc w:val="both"/>
        <w:outlineLvl w:val="0"/>
        <w:rPr>
          <w:highlight w:val="yellow"/>
          <w:lang w:val="sk-SK"/>
        </w:rPr>
      </w:pPr>
    </w:p>
    <w:p w14:paraId="6BA2F346" w14:textId="77777777" w:rsidR="001B5CE6" w:rsidRPr="00B00212" w:rsidRDefault="001B5CE6" w:rsidP="008D16D7">
      <w:pPr>
        <w:tabs>
          <w:tab w:val="clear" w:pos="567"/>
        </w:tabs>
        <w:spacing w:line="240" w:lineRule="auto"/>
        <w:jc w:val="both"/>
        <w:outlineLvl w:val="0"/>
        <w:rPr>
          <w:i/>
          <w:lang w:val="sk-SK"/>
        </w:rPr>
      </w:pPr>
      <w:r w:rsidRPr="00B00212">
        <w:rPr>
          <w:i/>
          <w:lang w:val="sk-SK"/>
        </w:rPr>
        <w:t xml:space="preserve">Hematologické reakcie </w:t>
      </w:r>
    </w:p>
    <w:p w14:paraId="655BAB87" w14:textId="6BED5F23" w:rsidR="001B5CE6" w:rsidRPr="00B00212" w:rsidRDefault="001B5CE6" w:rsidP="008D16D7">
      <w:pPr>
        <w:tabs>
          <w:tab w:val="clear" w:pos="567"/>
        </w:tabs>
        <w:spacing w:line="240" w:lineRule="auto"/>
        <w:jc w:val="both"/>
        <w:outlineLvl w:val="0"/>
        <w:rPr>
          <w:lang w:val="sk-SK"/>
        </w:rPr>
      </w:pPr>
      <w:r w:rsidRPr="00B00212">
        <w:rPr>
          <w:lang w:val="sk-SK"/>
        </w:rPr>
        <w:t xml:space="preserve">Počas liečby </w:t>
      </w:r>
      <w:proofErr w:type="spellStart"/>
      <w:r w:rsidRPr="00B00212">
        <w:rPr>
          <w:lang w:val="sk-SK"/>
        </w:rPr>
        <w:t>cefotaxímom</w:t>
      </w:r>
      <w:proofErr w:type="spellEnd"/>
      <w:r w:rsidRPr="00B00212">
        <w:rPr>
          <w:lang w:val="sk-SK"/>
        </w:rPr>
        <w:t xml:space="preserve"> sa môžu vyvinúť hematologické abnormality (</w:t>
      </w:r>
      <w:proofErr w:type="spellStart"/>
      <w:r w:rsidRPr="00B00212">
        <w:rPr>
          <w:lang w:val="sk-SK"/>
        </w:rPr>
        <w:t>leukopénia</w:t>
      </w:r>
      <w:proofErr w:type="spellEnd"/>
      <w:r w:rsidRPr="00B00212">
        <w:rPr>
          <w:lang w:val="sk-SK"/>
        </w:rPr>
        <w:t xml:space="preserve">, </w:t>
      </w:r>
      <w:proofErr w:type="spellStart"/>
      <w:r w:rsidRPr="00B00212">
        <w:rPr>
          <w:lang w:val="sk-SK"/>
        </w:rPr>
        <w:t>neutropénia</w:t>
      </w:r>
      <w:proofErr w:type="spellEnd"/>
      <w:r w:rsidRPr="00B00212">
        <w:rPr>
          <w:lang w:val="sk-SK"/>
        </w:rPr>
        <w:t xml:space="preserve"> a zriedkavejšie</w:t>
      </w:r>
      <w:r w:rsidRPr="00233E28">
        <w:rPr>
          <w:lang w:val="sk-SK"/>
        </w:rPr>
        <w:t xml:space="preserve"> </w:t>
      </w:r>
      <w:r w:rsidR="00B00212">
        <w:rPr>
          <w:lang w:val="sk-SK"/>
        </w:rPr>
        <w:t>zlyhanie</w:t>
      </w:r>
      <w:r w:rsidRPr="00B00212">
        <w:rPr>
          <w:lang w:val="sk-SK"/>
        </w:rPr>
        <w:t xml:space="preserve"> kostnej drene</w:t>
      </w:r>
      <w:r w:rsidR="00D27BBB" w:rsidRPr="00B00212">
        <w:rPr>
          <w:lang w:val="sk-SK"/>
        </w:rPr>
        <w:t xml:space="preserve"> a</w:t>
      </w:r>
      <w:r w:rsidRPr="00B00212">
        <w:rPr>
          <w:lang w:val="sk-SK"/>
        </w:rPr>
        <w:t xml:space="preserve"> </w:t>
      </w:r>
      <w:proofErr w:type="spellStart"/>
      <w:r w:rsidRPr="00233E28">
        <w:rPr>
          <w:lang w:val="sk-SK"/>
        </w:rPr>
        <w:t>pancytopéni</w:t>
      </w:r>
      <w:r w:rsidR="00114D85" w:rsidRPr="00B00212">
        <w:rPr>
          <w:lang w:val="sk-SK"/>
        </w:rPr>
        <w:t>a</w:t>
      </w:r>
      <w:proofErr w:type="spellEnd"/>
      <w:r w:rsidRPr="00B00212">
        <w:rPr>
          <w:lang w:val="sk-SK"/>
        </w:rPr>
        <w:t xml:space="preserve"> alebo </w:t>
      </w:r>
      <w:proofErr w:type="spellStart"/>
      <w:r w:rsidRPr="00B00212">
        <w:rPr>
          <w:lang w:val="sk-SK"/>
        </w:rPr>
        <w:t>agranulocytóza</w:t>
      </w:r>
      <w:proofErr w:type="spellEnd"/>
      <w:r w:rsidRPr="00B00212">
        <w:rPr>
          <w:lang w:val="sk-SK"/>
        </w:rPr>
        <w:t xml:space="preserve">). Preto je potrebné sledovať krvný obraz v prípade, ak liečba trvá dlhšie ako 7 dní. V prípade </w:t>
      </w:r>
      <w:proofErr w:type="spellStart"/>
      <w:r w:rsidRPr="00B00212">
        <w:rPr>
          <w:lang w:val="sk-SK"/>
        </w:rPr>
        <w:t>neutropénie</w:t>
      </w:r>
      <w:proofErr w:type="spellEnd"/>
      <w:r w:rsidRPr="00B00212">
        <w:rPr>
          <w:lang w:val="sk-SK"/>
        </w:rPr>
        <w:t xml:space="preserve"> (</w:t>
      </w:r>
      <w:r w:rsidRPr="00B00212">
        <w:rPr>
          <w:rFonts w:ascii="Arial" w:hAnsi="Arial" w:cs="Arial"/>
          <w:lang w:val="sk-SK"/>
        </w:rPr>
        <w:t>&lt;</w:t>
      </w:r>
      <w:r w:rsidR="00AA730A" w:rsidRPr="00B00212">
        <w:rPr>
          <w:rFonts w:ascii="Arial" w:hAnsi="Arial" w:cs="Arial"/>
          <w:lang w:val="sk-SK"/>
        </w:rPr>
        <w:t xml:space="preserve"> </w:t>
      </w:r>
      <w:r w:rsidRPr="00B00212">
        <w:rPr>
          <w:lang w:val="sk-SK"/>
        </w:rPr>
        <w:t xml:space="preserve">1400 </w:t>
      </w:r>
      <w:proofErr w:type="spellStart"/>
      <w:r w:rsidRPr="00B00212">
        <w:rPr>
          <w:lang w:val="sk-SK"/>
        </w:rPr>
        <w:t>neutrofilov</w:t>
      </w:r>
      <w:proofErr w:type="spellEnd"/>
      <w:r w:rsidRPr="00B00212">
        <w:rPr>
          <w:lang w:val="sk-SK"/>
        </w:rPr>
        <w:t>/mm</w:t>
      </w:r>
      <w:r w:rsidRPr="00B00212">
        <w:rPr>
          <w:rFonts w:ascii="Arial" w:hAnsi="Arial" w:cs="Arial"/>
          <w:lang w:val="sk-SK"/>
        </w:rPr>
        <w:t>³</w:t>
      </w:r>
      <w:r w:rsidRPr="00B00212">
        <w:rPr>
          <w:lang w:val="sk-SK"/>
        </w:rPr>
        <w:t xml:space="preserve">) sa musí liečba prerušiť. </w:t>
      </w:r>
    </w:p>
    <w:p w14:paraId="08D057DA" w14:textId="77777777" w:rsidR="001B5CE6" w:rsidRPr="00B00212" w:rsidRDefault="001B5CE6" w:rsidP="001B5CE6">
      <w:pPr>
        <w:tabs>
          <w:tab w:val="clear" w:pos="567"/>
        </w:tabs>
        <w:spacing w:line="240" w:lineRule="auto"/>
        <w:ind w:left="540"/>
        <w:outlineLvl w:val="0"/>
        <w:rPr>
          <w:lang w:val="sk-SK"/>
        </w:rPr>
      </w:pPr>
    </w:p>
    <w:p w14:paraId="3BC6F8B3" w14:textId="77777777" w:rsidR="001B5CE6" w:rsidRPr="00B00212" w:rsidRDefault="001B5CE6" w:rsidP="00233E28">
      <w:pPr>
        <w:tabs>
          <w:tab w:val="clear" w:pos="567"/>
        </w:tabs>
        <w:spacing w:line="240" w:lineRule="auto"/>
        <w:outlineLvl w:val="0"/>
        <w:rPr>
          <w:i/>
          <w:lang w:val="sk-SK"/>
        </w:rPr>
      </w:pPr>
      <w:proofErr w:type="spellStart"/>
      <w:r w:rsidRPr="00B00212">
        <w:rPr>
          <w:i/>
          <w:lang w:val="sk-SK"/>
        </w:rPr>
        <w:t>Neurotoxicita</w:t>
      </w:r>
      <w:proofErr w:type="spellEnd"/>
      <w:r w:rsidR="00B60241" w:rsidRPr="00B00212">
        <w:rPr>
          <w:i/>
          <w:lang w:val="sk-SK"/>
        </w:rPr>
        <w:t xml:space="preserve"> / </w:t>
      </w:r>
      <w:proofErr w:type="spellStart"/>
      <w:r w:rsidR="00B60241" w:rsidRPr="00B00212">
        <w:rPr>
          <w:i/>
          <w:lang w:val="sk-SK"/>
        </w:rPr>
        <w:t>encefalopatia</w:t>
      </w:r>
      <w:proofErr w:type="spellEnd"/>
    </w:p>
    <w:p w14:paraId="5B3FAED6" w14:textId="07B8513F" w:rsidR="001B5CE6" w:rsidRPr="00C46F16" w:rsidRDefault="00B00212" w:rsidP="008D16D7">
      <w:pPr>
        <w:tabs>
          <w:tab w:val="clear" w:pos="567"/>
        </w:tabs>
        <w:spacing w:line="240" w:lineRule="auto"/>
        <w:jc w:val="both"/>
        <w:outlineLvl w:val="0"/>
        <w:rPr>
          <w:lang w:val="sk-SK"/>
        </w:rPr>
      </w:pPr>
      <w:r>
        <w:rPr>
          <w:lang w:val="sk-SK"/>
        </w:rPr>
        <w:lastRenderedPageBreak/>
        <w:t>Podávanie v</w:t>
      </w:r>
      <w:r w:rsidR="001B5CE6" w:rsidRPr="00B00212">
        <w:rPr>
          <w:lang w:val="sk-SK"/>
        </w:rPr>
        <w:t>ysok</w:t>
      </w:r>
      <w:r>
        <w:rPr>
          <w:lang w:val="sk-SK"/>
        </w:rPr>
        <w:t>ých</w:t>
      </w:r>
      <w:r w:rsidR="001B5CE6" w:rsidRPr="00B00212">
        <w:rPr>
          <w:lang w:val="sk-SK"/>
        </w:rPr>
        <w:t xml:space="preserve"> dáv</w:t>
      </w:r>
      <w:r>
        <w:rPr>
          <w:lang w:val="sk-SK"/>
        </w:rPr>
        <w:t>o</w:t>
      </w:r>
      <w:r w:rsidR="001B5CE6" w:rsidRPr="00B00212">
        <w:rPr>
          <w:lang w:val="sk-SK"/>
        </w:rPr>
        <w:t xml:space="preserve">k </w:t>
      </w:r>
      <w:r>
        <w:rPr>
          <w:lang w:val="sk-SK"/>
        </w:rPr>
        <w:t xml:space="preserve">alebo predávkovanie </w:t>
      </w:r>
      <w:proofErr w:type="spellStart"/>
      <w:r w:rsidR="001B5CE6" w:rsidRPr="00B00212">
        <w:rPr>
          <w:lang w:val="sk-SK"/>
        </w:rPr>
        <w:t>betalaktámový</w:t>
      </w:r>
      <w:r>
        <w:rPr>
          <w:lang w:val="sk-SK"/>
        </w:rPr>
        <w:t>mi</w:t>
      </w:r>
      <w:proofErr w:type="spellEnd"/>
      <w:r w:rsidR="001B5CE6" w:rsidRPr="00B00212">
        <w:rPr>
          <w:lang w:val="sk-SK"/>
        </w:rPr>
        <w:t xml:space="preserve"> antibiot</w:t>
      </w:r>
      <w:r>
        <w:rPr>
          <w:lang w:val="sk-SK"/>
        </w:rPr>
        <w:t>i</w:t>
      </w:r>
      <w:r w:rsidR="001B5CE6" w:rsidRPr="00B00212">
        <w:rPr>
          <w:lang w:val="sk-SK"/>
        </w:rPr>
        <w:t>k</w:t>
      </w:r>
      <w:r>
        <w:rPr>
          <w:lang w:val="sk-SK"/>
        </w:rPr>
        <w:t>ami</w:t>
      </w:r>
      <w:r w:rsidR="001B5CE6" w:rsidRPr="00B00212">
        <w:rPr>
          <w:lang w:val="sk-SK"/>
        </w:rPr>
        <w:t xml:space="preserve">, vrátane </w:t>
      </w:r>
      <w:proofErr w:type="spellStart"/>
      <w:r w:rsidR="001B5CE6" w:rsidRPr="00B00212">
        <w:rPr>
          <w:lang w:val="sk-SK"/>
        </w:rPr>
        <w:t>cefotaxímu</w:t>
      </w:r>
      <w:proofErr w:type="spellEnd"/>
      <w:r w:rsidR="001B5CE6" w:rsidRPr="00B00212">
        <w:rPr>
          <w:lang w:val="sk-SK"/>
        </w:rPr>
        <w:t>, zvlášť u pacientov s obličkovou nedostatočnosťou, môž</w:t>
      </w:r>
      <w:r>
        <w:rPr>
          <w:lang w:val="sk-SK"/>
        </w:rPr>
        <w:t>e</w:t>
      </w:r>
      <w:r w:rsidR="001B5CE6" w:rsidRPr="00B00212">
        <w:rPr>
          <w:lang w:val="sk-SK"/>
        </w:rPr>
        <w:t xml:space="preserve"> viesť k </w:t>
      </w:r>
      <w:proofErr w:type="spellStart"/>
      <w:r w:rsidR="001B5CE6" w:rsidRPr="00B00212">
        <w:rPr>
          <w:lang w:val="sk-SK"/>
        </w:rPr>
        <w:t>encefalopatii</w:t>
      </w:r>
      <w:proofErr w:type="spellEnd"/>
      <w:r w:rsidR="001B5CE6" w:rsidRPr="00B00212">
        <w:rPr>
          <w:lang w:val="sk-SK"/>
        </w:rPr>
        <w:t xml:space="preserve"> (napr. </w:t>
      </w:r>
      <w:r w:rsidR="00827416" w:rsidRPr="00B00212">
        <w:rPr>
          <w:lang w:val="sk-SK"/>
        </w:rPr>
        <w:t>kŕče</w:t>
      </w:r>
      <w:r w:rsidR="001B5CE6" w:rsidRPr="00B00212">
        <w:rPr>
          <w:lang w:val="sk-SK"/>
        </w:rPr>
        <w:t xml:space="preserve">, </w:t>
      </w:r>
      <w:r w:rsidR="00440B47" w:rsidRPr="00B00212">
        <w:rPr>
          <w:lang w:val="sk-SK"/>
        </w:rPr>
        <w:t xml:space="preserve">zmätenosť, </w:t>
      </w:r>
      <w:r w:rsidR="00827416" w:rsidRPr="00B00212">
        <w:rPr>
          <w:lang w:val="sk-SK"/>
        </w:rPr>
        <w:t xml:space="preserve">poruchy vedomia a </w:t>
      </w:r>
      <w:r w:rsidR="001B5CE6" w:rsidRPr="00B00212">
        <w:rPr>
          <w:lang w:val="sk-SK"/>
        </w:rPr>
        <w:t>abnormáln</w:t>
      </w:r>
      <w:r w:rsidR="00827416" w:rsidRPr="00B00212">
        <w:rPr>
          <w:lang w:val="sk-SK"/>
        </w:rPr>
        <w:t>e</w:t>
      </w:r>
      <w:r w:rsidR="001B5CE6" w:rsidRPr="00B00212">
        <w:rPr>
          <w:lang w:val="sk-SK"/>
        </w:rPr>
        <w:t xml:space="preserve"> pohyb</w:t>
      </w:r>
      <w:r w:rsidR="00827416" w:rsidRPr="00B00212">
        <w:rPr>
          <w:lang w:val="sk-SK"/>
        </w:rPr>
        <w:t>y</w:t>
      </w:r>
      <w:r w:rsidR="001B5CE6" w:rsidRPr="00B00212">
        <w:rPr>
          <w:lang w:val="sk-SK"/>
        </w:rPr>
        <w:t>) (pozri časť 4.8</w:t>
      </w:r>
      <w:r w:rsidR="00AA6CB3" w:rsidRPr="00B00212">
        <w:rPr>
          <w:lang w:val="sk-SK"/>
        </w:rPr>
        <w:t xml:space="preserve"> a 4.9</w:t>
      </w:r>
      <w:r w:rsidR="001B5CE6" w:rsidRPr="00B00212">
        <w:rPr>
          <w:lang w:val="sk-SK"/>
        </w:rPr>
        <w:t>).</w:t>
      </w:r>
      <w:r w:rsidR="0003208E" w:rsidRPr="00B00212">
        <w:rPr>
          <w:lang w:val="sk-SK"/>
        </w:rPr>
        <w:t xml:space="preserve"> </w:t>
      </w:r>
      <w:r w:rsidR="001B5CE6" w:rsidRPr="00B00212">
        <w:rPr>
          <w:lang w:val="sk-SK"/>
        </w:rPr>
        <w:t xml:space="preserve">Ak sa vyskytnú takéto reakcie, je potrebné </w:t>
      </w:r>
      <w:r w:rsidR="00586D44" w:rsidRPr="00B00212">
        <w:rPr>
          <w:lang w:val="sk-SK"/>
        </w:rPr>
        <w:t xml:space="preserve">upozorniť </w:t>
      </w:r>
      <w:r w:rsidR="001B5CE6" w:rsidRPr="00B00212">
        <w:rPr>
          <w:lang w:val="sk-SK"/>
        </w:rPr>
        <w:t>pacientov, aby okamžite kontaktovali svojho lekára pred pokračovaním v liečbe.</w:t>
      </w:r>
      <w:r w:rsidR="00586D44" w:rsidRPr="00B00212">
        <w:rPr>
          <w:lang w:val="sk-SK"/>
        </w:rPr>
        <w:t xml:space="preserve"> V prípade kŕčov sú indikované obvyklé </w:t>
      </w:r>
      <w:r w:rsidR="001910D9" w:rsidRPr="00B00212">
        <w:rPr>
          <w:lang w:val="sk-SK"/>
        </w:rPr>
        <w:t>záchrann</w:t>
      </w:r>
      <w:r w:rsidR="00586D44" w:rsidRPr="00B00212">
        <w:rPr>
          <w:lang w:val="sk-SK"/>
        </w:rPr>
        <w:t xml:space="preserve">é </w:t>
      </w:r>
      <w:r w:rsidR="00586D44" w:rsidRPr="00C46F16">
        <w:rPr>
          <w:lang w:val="sk-SK"/>
        </w:rPr>
        <w:t xml:space="preserve">opatrenia a liečba </w:t>
      </w:r>
      <w:proofErr w:type="spellStart"/>
      <w:r w:rsidR="00586D44" w:rsidRPr="00C46F16">
        <w:rPr>
          <w:lang w:val="sk-SK"/>
        </w:rPr>
        <w:t>Cefotaxim</w:t>
      </w:r>
      <w:r w:rsidR="00996604" w:rsidRPr="00C46F16">
        <w:rPr>
          <w:lang w:val="sk-SK"/>
        </w:rPr>
        <w:t>om</w:t>
      </w:r>
      <w:proofErr w:type="spellEnd"/>
      <w:r w:rsidR="00586D44" w:rsidRPr="00C46F16">
        <w:rPr>
          <w:lang w:val="sk-SK"/>
        </w:rPr>
        <w:t xml:space="preserve"> </w:t>
      </w:r>
      <w:proofErr w:type="spellStart"/>
      <w:r w:rsidR="00586D44" w:rsidRPr="00C46F16">
        <w:rPr>
          <w:lang w:val="sk-SK"/>
        </w:rPr>
        <w:t>Eberth</w:t>
      </w:r>
      <w:proofErr w:type="spellEnd"/>
      <w:r w:rsidR="00586D44" w:rsidRPr="00C46F16">
        <w:rPr>
          <w:lang w:val="sk-SK"/>
        </w:rPr>
        <w:t xml:space="preserve"> sa má ukončiť.</w:t>
      </w:r>
    </w:p>
    <w:p w14:paraId="35233058" w14:textId="77777777" w:rsidR="001B5CE6" w:rsidRPr="00233E28" w:rsidRDefault="001B5CE6" w:rsidP="001910D9">
      <w:pPr>
        <w:tabs>
          <w:tab w:val="clear" w:pos="567"/>
        </w:tabs>
        <w:spacing w:line="240" w:lineRule="auto"/>
        <w:ind w:left="540"/>
        <w:outlineLvl w:val="0"/>
        <w:rPr>
          <w:highlight w:val="yellow"/>
          <w:lang w:val="sk-SK"/>
        </w:rPr>
      </w:pPr>
    </w:p>
    <w:p w14:paraId="22026953" w14:textId="77777777" w:rsidR="001910D9" w:rsidRPr="00C46F16" w:rsidRDefault="001910D9" w:rsidP="00233E28">
      <w:pPr>
        <w:tabs>
          <w:tab w:val="clear" w:pos="567"/>
        </w:tabs>
        <w:spacing w:line="240" w:lineRule="auto"/>
        <w:outlineLvl w:val="0"/>
        <w:rPr>
          <w:i/>
          <w:lang w:val="sk-SK"/>
        </w:rPr>
      </w:pPr>
      <w:r w:rsidRPr="00C46F16">
        <w:rPr>
          <w:i/>
          <w:lang w:val="sk-SK"/>
        </w:rPr>
        <w:t>Astma</w:t>
      </w:r>
    </w:p>
    <w:p w14:paraId="518F6852" w14:textId="77777777" w:rsidR="001910D9" w:rsidRPr="00C46F16" w:rsidRDefault="001910D9" w:rsidP="00233E28">
      <w:pPr>
        <w:tabs>
          <w:tab w:val="clear" w:pos="567"/>
        </w:tabs>
        <w:spacing w:line="240" w:lineRule="auto"/>
        <w:outlineLvl w:val="0"/>
        <w:rPr>
          <w:i/>
          <w:lang w:val="sk-SK"/>
        </w:rPr>
      </w:pPr>
      <w:proofErr w:type="spellStart"/>
      <w:r w:rsidRPr="00C46F16">
        <w:rPr>
          <w:lang w:val="sk-SK"/>
        </w:rPr>
        <w:t>Cefotaxím</w:t>
      </w:r>
      <w:proofErr w:type="spellEnd"/>
      <w:r w:rsidRPr="00C46F16">
        <w:rPr>
          <w:lang w:val="sk-SK"/>
        </w:rPr>
        <w:t xml:space="preserve"> sa má opatrne podávať pacientom s alergickou anamnézou a astmou.</w:t>
      </w:r>
    </w:p>
    <w:p w14:paraId="05A20376" w14:textId="77777777" w:rsidR="001910D9" w:rsidRPr="00233E28" w:rsidRDefault="001910D9" w:rsidP="001910D9">
      <w:pPr>
        <w:tabs>
          <w:tab w:val="clear" w:pos="567"/>
        </w:tabs>
        <w:spacing w:line="240" w:lineRule="auto"/>
        <w:ind w:left="540"/>
        <w:outlineLvl w:val="0"/>
        <w:rPr>
          <w:highlight w:val="yellow"/>
          <w:lang w:val="sk-SK"/>
        </w:rPr>
      </w:pPr>
    </w:p>
    <w:p w14:paraId="336B6809" w14:textId="77777777" w:rsidR="00FD084B" w:rsidRPr="00C46F16" w:rsidRDefault="00FD084B" w:rsidP="00233E28">
      <w:pPr>
        <w:tabs>
          <w:tab w:val="clear" w:pos="567"/>
          <w:tab w:val="left" w:pos="14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i/>
          <w:lang w:val="sk-SK"/>
        </w:rPr>
      </w:pPr>
      <w:proofErr w:type="spellStart"/>
      <w:r w:rsidRPr="00C46F16">
        <w:rPr>
          <w:i/>
          <w:lang w:val="sk-SK"/>
        </w:rPr>
        <w:t>Superinfekcia</w:t>
      </w:r>
      <w:proofErr w:type="spellEnd"/>
    </w:p>
    <w:p w14:paraId="3A82F484" w14:textId="77777777" w:rsidR="00FD084B" w:rsidRPr="00C46F16" w:rsidRDefault="00FD084B" w:rsidP="008D16D7">
      <w:pPr>
        <w:tabs>
          <w:tab w:val="clear" w:pos="567"/>
        </w:tabs>
        <w:spacing w:line="240" w:lineRule="auto"/>
        <w:jc w:val="both"/>
        <w:outlineLvl w:val="0"/>
        <w:rPr>
          <w:i/>
          <w:noProof/>
          <w:szCs w:val="22"/>
          <w:lang w:val="sk-SK"/>
        </w:rPr>
      </w:pPr>
      <w:r w:rsidRPr="00C46F16">
        <w:rPr>
          <w:lang w:val="sk-SK"/>
        </w:rPr>
        <w:t xml:space="preserve">Podobne ako u iných širokospektrálnych antibiotík, dlhotrvajúce podávanie môže vyvolať nadmerný rast necitlivých mikroorganizmov, čo si môže vyžadovať ukončenie liečby. Ak sa počas liečby vyvinie </w:t>
      </w:r>
      <w:proofErr w:type="spellStart"/>
      <w:r w:rsidRPr="00C46F16">
        <w:rPr>
          <w:lang w:val="sk-SK"/>
        </w:rPr>
        <w:t>superinfekcia</w:t>
      </w:r>
      <w:proofErr w:type="spellEnd"/>
      <w:r w:rsidRPr="00C46F16">
        <w:rPr>
          <w:lang w:val="sk-SK"/>
        </w:rPr>
        <w:t>, je potrebné, ak je to klinicky nevyhnutné,</w:t>
      </w:r>
      <w:r w:rsidRPr="00C46F16" w:rsidDel="00ED2D92">
        <w:rPr>
          <w:lang w:val="sk-SK"/>
        </w:rPr>
        <w:t xml:space="preserve"> </w:t>
      </w:r>
      <w:r w:rsidRPr="00C46F16">
        <w:rPr>
          <w:lang w:val="sk-SK"/>
        </w:rPr>
        <w:t xml:space="preserve">zahájiť špecifickú </w:t>
      </w:r>
      <w:proofErr w:type="spellStart"/>
      <w:r w:rsidRPr="00C46F16">
        <w:rPr>
          <w:lang w:val="sk-SK"/>
        </w:rPr>
        <w:t>antimikrobiálnu</w:t>
      </w:r>
      <w:proofErr w:type="spellEnd"/>
      <w:r w:rsidRPr="00C46F16">
        <w:rPr>
          <w:lang w:val="sk-SK"/>
        </w:rPr>
        <w:t xml:space="preserve"> liečbu.</w:t>
      </w:r>
    </w:p>
    <w:p w14:paraId="4CEB3E39" w14:textId="77777777" w:rsidR="00FD084B" w:rsidRPr="00233E28" w:rsidRDefault="00FD084B" w:rsidP="00720C9E">
      <w:pPr>
        <w:tabs>
          <w:tab w:val="clear" w:pos="567"/>
        </w:tabs>
        <w:spacing w:line="240" w:lineRule="auto"/>
        <w:ind w:left="540"/>
        <w:outlineLvl w:val="0"/>
        <w:rPr>
          <w:i/>
          <w:noProof/>
          <w:szCs w:val="22"/>
          <w:highlight w:val="yellow"/>
          <w:lang w:val="sk-SK"/>
        </w:rPr>
      </w:pPr>
    </w:p>
    <w:p w14:paraId="77BEFB7A" w14:textId="77777777" w:rsidR="00720C9E" w:rsidRPr="00A54EED" w:rsidRDefault="00720C9E" w:rsidP="00233E28">
      <w:pPr>
        <w:tabs>
          <w:tab w:val="clear" w:pos="567"/>
        </w:tabs>
        <w:spacing w:line="240" w:lineRule="auto"/>
        <w:outlineLvl w:val="0"/>
        <w:rPr>
          <w:i/>
          <w:noProof/>
          <w:szCs w:val="22"/>
          <w:lang w:val="sk-SK"/>
        </w:rPr>
      </w:pPr>
      <w:r w:rsidRPr="00A54EED">
        <w:rPr>
          <w:i/>
          <w:noProof/>
          <w:szCs w:val="22"/>
          <w:lang w:val="sk-SK"/>
        </w:rPr>
        <w:t xml:space="preserve">Pacienti s renálnou insuficienciou </w:t>
      </w:r>
    </w:p>
    <w:p w14:paraId="74C2714D" w14:textId="20AD8B6A" w:rsidR="00720C9E" w:rsidRPr="00A54EED" w:rsidRDefault="003B2F18" w:rsidP="008D16D7">
      <w:pPr>
        <w:tabs>
          <w:tab w:val="clear" w:pos="567"/>
        </w:tabs>
        <w:spacing w:line="240" w:lineRule="auto"/>
        <w:jc w:val="both"/>
        <w:outlineLvl w:val="0"/>
        <w:rPr>
          <w:noProof/>
          <w:szCs w:val="22"/>
          <w:lang w:val="sk-SK"/>
        </w:rPr>
      </w:pPr>
      <w:r w:rsidRPr="00A54EED">
        <w:rPr>
          <w:lang w:val="sk-SK"/>
        </w:rPr>
        <w:t xml:space="preserve">U pacientov so zníženou funkciou obličiek </w:t>
      </w:r>
      <w:r w:rsidR="008C223A" w:rsidRPr="00A54EED">
        <w:rPr>
          <w:lang w:val="sk-SK"/>
        </w:rPr>
        <w:t>sa má</w:t>
      </w:r>
      <w:r w:rsidR="00720C9E" w:rsidRPr="00A54EED">
        <w:rPr>
          <w:lang w:val="sk-SK"/>
        </w:rPr>
        <w:t xml:space="preserve"> </w:t>
      </w:r>
      <w:r w:rsidRPr="00A54EED">
        <w:rPr>
          <w:lang w:val="sk-SK"/>
        </w:rPr>
        <w:t xml:space="preserve">dávka </w:t>
      </w:r>
      <w:r w:rsidR="00720C9E" w:rsidRPr="00A54EED">
        <w:rPr>
          <w:lang w:val="sk-SK"/>
        </w:rPr>
        <w:t>uprav</w:t>
      </w:r>
      <w:r w:rsidR="008C223A" w:rsidRPr="00A54EED">
        <w:rPr>
          <w:lang w:val="sk-SK"/>
        </w:rPr>
        <w:t>iť</w:t>
      </w:r>
      <w:r w:rsidR="00720C9E" w:rsidRPr="00A54EED">
        <w:rPr>
          <w:lang w:val="sk-SK"/>
        </w:rPr>
        <w:t xml:space="preserve"> </w:t>
      </w:r>
      <w:r w:rsidR="00720C9E" w:rsidRPr="00A54EED">
        <w:rPr>
          <w:noProof/>
          <w:szCs w:val="22"/>
          <w:lang w:val="sk-SK"/>
        </w:rPr>
        <w:t>podľa vypočítaného klírensu kreatinínu (pozri časť 4.2).</w:t>
      </w:r>
    </w:p>
    <w:p w14:paraId="1EE7FE3D" w14:textId="77777777" w:rsidR="00D91BCF" w:rsidRPr="00184B98" w:rsidRDefault="00720C9E" w:rsidP="008D16D7">
      <w:pPr>
        <w:tabs>
          <w:tab w:val="clear" w:pos="567"/>
        </w:tabs>
        <w:spacing w:line="240" w:lineRule="auto"/>
        <w:jc w:val="both"/>
        <w:outlineLvl w:val="0"/>
        <w:rPr>
          <w:i/>
          <w:lang w:val="sk-SK"/>
        </w:rPr>
      </w:pPr>
      <w:r w:rsidRPr="00A54EED">
        <w:rPr>
          <w:noProof/>
          <w:szCs w:val="22"/>
          <w:lang w:val="sk-SK"/>
        </w:rPr>
        <w:t>Opatrnosť je potrebná, keď sa cefotaxím podáva súbežne s</w:t>
      </w:r>
      <w:r w:rsidR="004E12D2" w:rsidRPr="00A54EED">
        <w:rPr>
          <w:noProof/>
          <w:szCs w:val="22"/>
          <w:lang w:val="sk-SK"/>
        </w:rPr>
        <w:t> </w:t>
      </w:r>
      <w:r w:rsidRPr="00A54EED">
        <w:rPr>
          <w:noProof/>
          <w:szCs w:val="22"/>
          <w:lang w:val="sk-SK"/>
        </w:rPr>
        <w:t>aminoglykozidmi</w:t>
      </w:r>
      <w:r w:rsidR="004E12D2" w:rsidRPr="00A54EED">
        <w:rPr>
          <w:noProof/>
          <w:szCs w:val="22"/>
          <w:lang w:val="sk-SK"/>
        </w:rPr>
        <w:t>,</w:t>
      </w:r>
      <w:r w:rsidRPr="00A54EED">
        <w:rPr>
          <w:noProof/>
          <w:szCs w:val="22"/>
          <w:lang w:val="sk-SK"/>
        </w:rPr>
        <w:t xml:space="preserve"> probenecidom alebo inými nefrotoxickými liekmi (pozri časť 4.5). U týchto pacientov je potrebné sledovať funkciu obličiek, u starších pacientov a pacientov s už existujúcou poruchou funkcie obličiek.</w:t>
      </w:r>
    </w:p>
    <w:p w14:paraId="45112042" w14:textId="77777777" w:rsidR="00D91BCF" w:rsidRPr="00184B98" w:rsidRDefault="00D91BCF" w:rsidP="00A129E1">
      <w:pPr>
        <w:tabs>
          <w:tab w:val="clear" w:pos="567"/>
        </w:tabs>
        <w:spacing w:line="240" w:lineRule="auto"/>
        <w:ind w:left="570"/>
        <w:outlineLvl w:val="0"/>
        <w:rPr>
          <w:i/>
          <w:lang w:val="sk-SK"/>
        </w:rPr>
      </w:pPr>
    </w:p>
    <w:p w14:paraId="3D0F635C" w14:textId="77777777" w:rsidR="00CA543B" w:rsidRDefault="00CA543B" w:rsidP="00233E28">
      <w:pPr>
        <w:tabs>
          <w:tab w:val="clear" w:pos="567"/>
        </w:tabs>
        <w:spacing w:line="240" w:lineRule="auto"/>
        <w:outlineLvl w:val="0"/>
        <w:rPr>
          <w:i/>
          <w:noProof/>
          <w:szCs w:val="22"/>
          <w:lang w:val="sk-SK"/>
        </w:rPr>
      </w:pPr>
      <w:r w:rsidRPr="00184B98">
        <w:rPr>
          <w:i/>
          <w:noProof/>
          <w:szCs w:val="22"/>
          <w:lang w:val="sk-SK"/>
        </w:rPr>
        <w:t xml:space="preserve">Upozornenia k podávaniu </w:t>
      </w:r>
    </w:p>
    <w:p w14:paraId="1263A308" w14:textId="77777777" w:rsidR="00CA543B" w:rsidRDefault="00CA543B" w:rsidP="00233E28">
      <w:pPr>
        <w:tabs>
          <w:tab w:val="clear" w:pos="567"/>
        </w:tabs>
        <w:spacing w:line="240" w:lineRule="auto"/>
        <w:outlineLvl w:val="0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Nemiešajte aminoglykozidy a cefotaxím v tej istej injekčnej striekačke alebo perfúznych tekutinách.</w:t>
      </w:r>
    </w:p>
    <w:p w14:paraId="13721EE2" w14:textId="77777777" w:rsidR="00CA543B" w:rsidRDefault="00CA543B" w:rsidP="00CA543B">
      <w:pPr>
        <w:tabs>
          <w:tab w:val="clear" w:pos="567"/>
        </w:tabs>
        <w:spacing w:line="240" w:lineRule="auto"/>
        <w:ind w:left="540"/>
        <w:outlineLvl w:val="0"/>
        <w:rPr>
          <w:noProof/>
          <w:szCs w:val="22"/>
          <w:lang w:val="sk-SK"/>
        </w:rPr>
      </w:pPr>
    </w:p>
    <w:p w14:paraId="1C1787B0" w14:textId="77777777" w:rsidR="00CA543B" w:rsidRDefault="00CA543B" w:rsidP="00233E28">
      <w:pPr>
        <w:tabs>
          <w:tab w:val="clear" w:pos="567"/>
        </w:tabs>
        <w:spacing w:line="240" w:lineRule="auto"/>
        <w:jc w:val="both"/>
        <w:outlineLvl w:val="0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Rýchle intravenózne podanie cefotaxímu môže vyvolať potenciálne život ohrozujúcu arytmiu (pozri časť 4.8). Je potrebné dodržať odporúčaný čas na podanie injekcie alebo infúzie (pozri časť 4.2).</w:t>
      </w:r>
    </w:p>
    <w:p w14:paraId="4DBD3EA2" w14:textId="77777777" w:rsidR="00CA543B" w:rsidRDefault="00CA543B" w:rsidP="00CA543B">
      <w:pPr>
        <w:tabs>
          <w:tab w:val="clear" w:pos="567"/>
        </w:tabs>
        <w:spacing w:line="240" w:lineRule="auto"/>
        <w:ind w:left="540"/>
        <w:outlineLvl w:val="0"/>
        <w:rPr>
          <w:noProof/>
          <w:szCs w:val="22"/>
          <w:lang w:val="sk-SK"/>
        </w:rPr>
      </w:pPr>
    </w:p>
    <w:p w14:paraId="7018A291" w14:textId="77777777" w:rsidR="00CA543B" w:rsidRDefault="00CA543B" w:rsidP="00233E28">
      <w:pPr>
        <w:tabs>
          <w:tab w:val="clear" w:pos="567"/>
        </w:tabs>
        <w:spacing w:line="240" w:lineRule="auto"/>
        <w:jc w:val="both"/>
        <w:outlineLvl w:val="0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Osobitnú starostlivosť je potrebné venovať za účelom zníženia rizika tromboflebitídy. Je potrebné dodržať odporúčaný čas na podanie injekcie alebo infúzie (pozri časť 4.2).</w:t>
      </w:r>
    </w:p>
    <w:p w14:paraId="7C218D15" w14:textId="77777777" w:rsidR="00CA543B" w:rsidRDefault="00CA543B" w:rsidP="00CA543B">
      <w:pPr>
        <w:tabs>
          <w:tab w:val="clear" w:pos="567"/>
        </w:tabs>
        <w:spacing w:line="240" w:lineRule="auto"/>
        <w:ind w:left="540"/>
        <w:outlineLvl w:val="0"/>
        <w:rPr>
          <w:noProof/>
          <w:szCs w:val="22"/>
          <w:lang w:val="sk-SK"/>
        </w:rPr>
      </w:pPr>
    </w:p>
    <w:p w14:paraId="2E2E5AF0" w14:textId="1A8412AF" w:rsidR="00CA543B" w:rsidRDefault="00CA543B" w:rsidP="00233E28">
      <w:pPr>
        <w:tabs>
          <w:tab w:val="clear" w:pos="567"/>
        </w:tabs>
        <w:spacing w:line="240" w:lineRule="auto"/>
        <w:jc w:val="both"/>
        <w:outlineLvl w:val="0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 xml:space="preserve">V prípade intramuskulárneho podania </w:t>
      </w:r>
      <w:r w:rsidR="003378C5">
        <w:rPr>
          <w:noProof/>
          <w:szCs w:val="22"/>
          <w:lang w:val="sk-SK"/>
        </w:rPr>
        <w:t>C</w:t>
      </w:r>
      <w:r>
        <w:rPr>
          <w:noProof/>
          <w:szCs w:val="22"/>
          <w:lang w:val="sk-SK"/>
        </w:rPr>
        <w:t>efotax</w:t>
      </w:r>
      <w:r w:rsidR="00B450E1">
        <w:rPr>
          <w:noProof/>
          <w:szCs w:val="22"/>
          <w:lang w:val="sk-SK"/>
        </w:rPr>
        <w:t>i</w:t>
      </w:r>
      <w:r>
        <w:rPr>
          <w:noProof/>
          <w:szCs w:val="22"/>
          <w:lang w:val="sk-SK"/>
        </w:rPr>
        <w:t xml:space="preserve">mu </w:t>
      </w:r>
      <w:r w:rsidR="00B450E1">
        <w:rPr>
          <w:noProof/>
          <w:szCs w:val="22"/>
          <w:lang w:val="sk-SK"/>
        </w:rPr>
        <w:t xml:space="preserve">Eberth </w:t>
      </w:r>
      <w:r>
        <w:rPr>
          <w:noProof/>
          <w:szCs w:val="22"/>
          <w:lang w:val="sk-SK"/>
        </w:rPr>
        <w:t>s lidokaínom je potrebné zohľadniť súhrn charakteristických vlastností lieku obsahujúceho lidokaín.</w:t>
      </w:r>
    </w:p>
    <w:p w14:paraId="436369DA" w14:textId="77777777" w:rsidR="00CA543B" w:rsidRDefault="00CA543B" w:rsidP="00CA543B">
      <w:pPr>
        <w:tabs>
          <w:tab w:val="clear" w:pos="567"/>
        </w:tabs>
        <w:spacing w:line="240" w:lineRule="auto"/>
        <w:ind w:left="540"/>
        <w:outlineLvl w:val="0"/>
        <w:rPr>
          <w:noProof/>
          <w:szCs w:val="22"/>
          <w:lang w:val="sk-SK"/>
        </w:rPr>
      </w:pPr>
    </w:p>
    <w:p w14:paraId="57E0A0AB" w14:textId="77777777" w:rsidR="00CA543B" w:rsidRPr="00184B98" w:rsidRDefault="00CA543B" w:rsidP="00233E28">
      <w:pPr>
        <w:tabs>
          <w:tab w:val="clear" w:pos="567"/>
        </w:tabs>
        <w:spacing w:line="240" w:lineRule="auto"/>
        <w:outlineLvl w:val="0"/>
        <w:rPr>
          <w:noProof/>
          <w:szCs w:val="22"/>
          <w:lang w:val="sk-SK"/>
        </w:rPr>
      </w:pPr>
      <w:r w:rsidRPr="000E61D7">
        <w:rPr>
          <w:i/>
          <w:noProof/>
          <w:szCs w:val="22"/>
          <w:lang w:val="sk-SK"/>
        </w:rPr>
        <w:t>Príjem sodíka</w:t>
      </w:r>
    </w:p>
    <w:p w14:paraId="5F809D1B" w14:textId="7F79E99C" w:rsidR="00CA543B" w:rsidRPr="00184B98" w:rsidRDefault="00CA543B" w:rsidP="00233E28">
      <w:pPr>
        <w:tabs>
          <w:tab w:val="clear" w:pos="567"/>
        </w:tabs>
        <w:spacing w:line="240" w:lineRule="auto"/>
        <w:jc w:val="both"/>
        <w:outlineLvl w:val="0"/>
        <w:rPr>
          <w:noProof/>
          <w:szCs w:val="22"/>
          <w:lang w:val="sk-SK"/>
        </w:rPr>
      </w:pPr>
      <w:r w:rsidRPr="00184B98">
        <w:rPr>
          <w:noProof/>
          <w:szCs w:val="22"/>
          <w:lang w:val="sk-SK"/>
        </w:rPr>
        <w:t>Pri predpisovaní pacientom</w:t>
      </w:r>
      <w:r w:rsidR="00D22A3A">
        <w:rPr>
          <w:noProof/>
          <w:szCs w:val="22"/>
          <w:lang w:val="sk-SK"/>
        </w:rPr>
        <w:t xml:space="preserve">, ktorí majú diétu s kontrolovaným obsahom </w:t>
      </w:r>
      <w:r w:rsidRPr="00184B98">
        <w:rPr>
          <w:noProof/>
          <w:szCs w:val="22"/>
          <w:lang w:val="sk-SK"/>
        </w:rPr>
        <w:t>sodíka je potrebné vziať do úvahy obsah sodíka v</w:t>
      </w:r>
      <w:r w:rsidR="001A18DE">
        <w:rPr>
          <w:noProof/>
          <w:szCs w:val="22"/>
          <w:lang w:val="sk-SK"/>
        </w:rPr>
        <w:t> sodnej soli</w:t>
      </w:r>
      <w:r w:rsidRPr="00184B98">
        <w:rPr>
          <w:noProof/>
          <w:szCs w:val="22"/>
          <w:lang w:val="sk-SK"/>
        </w:rPr>
        <w:t> cefotaxím</w:t>
      </w:r>
      <w:r w:rsidR="001A18DE">
        <w:rPr>
          <w:noProof/>
          <w:szCs w:val="22"/>
          <w:lang w:val="sk-SK"/>
        </w:rPr>
        <w:t>u</w:t>
      </w:r>
      <w:r w:rsidRPr="00184B98">
        <w:rPr>
          <w:noProof/>
          <w:szCs w:val="22"/>
          <w:lang w:val="sk-SK"/>
        </w:rPr>
        <w:t xml:space="preserve"> (2,09 mmol/g</w:t>
      </w:r>
      <w:r w:rsidR="00660863">
        <w:rPr>
          <w:noProof/>
          <w:szCs w:val="22"/>
          <w:lang w:val="sk-SK"/>
        </w:rPr>
        <w:t xml:space="preserve"> a</w:t>
      </w:r>
      <w:r w:rsidR="001A18DE">
        <w:rPr>
          <w:noProof/>
          <w:szCs w:val="22"/>
          <w:lang w:val="sk-SK"/>
        </w:rPr>
        <w:t> </w:t>
      </w:r>
      <w:r w:rsidR="004F1740">
        <w:rPr>
          <w:noProof/>
          <w:szCs w:val="22"/>
          <w:lang w:val="sk-SK"/>
        </w:rPr>
        <w:t>ekvivalentne</w:t>
      </w:r>
      <w:r w:rsidR="00E15425">
        <w:rPr>
          <w:noProof/>
          <w:szCs w:val="22"/>
          <w:lang w:val="sk-SK"/>
        </w:rPr>
        <w:t xml:space="preserve"> </w:t>
      </w:r>
      <w:r w:rsidR="001A18DE">
        <w:rPr>
          <w:noProof/>
          <w:szCs w:val="22"/>
          <w:lang w:val="sk-SK"/>
        </w:rPr>
        <w:t>48 mg/g</w:t>
      </w:r>
      <w:r w:rsidRPr="00184B98">
        <w:rPr>
          <w:noProof/>
          <w:szCs w:val="22"/>
          <w:lang w:val="sk-SK"/>
        </w:rPr>
        <w:t xml:space="preserve">). </w:t>
      </w:r>
    </w:p>
    <w:p w14:paraId="6417FE9B" w14:textId="77777777" w:rsidR="00CA543B" w:rsidRPr="00184B98" w:rsidRDefault="00CA543B" w:rsidP="00CA543B">
      <w:pPr>
        <w:tabs>
          <w:tab w:val="clear" w:pos="567"/>
        </w:tabs>
        <w:spacing w:line="240" w:lineRule="auto"/>
        <w:ind w:left="540"/>
        <w:outlineLvl w:val="0"/>
        <w:rPr>
          <w:noProof/>
          <w:szCs w:val="22"/>
          <w:lang w:val="sk-SK"/>
        </w:rPr>
      </w:pPr>
    </w:p>
    <w:p w14:paraId="078F6C6F" w14:textId="77777777" w:rsidR="00CA543B" w:rsidRDefault="00CA543B" w:rsidP="00233E28">
      <w:pPr>
        <w:tabs>
          <w:tab w:val="clear" w:pos="567"/>
        </w:tabs>
        <w:spacing w:line="240" w:lineRule="auto"/>
        <w:outlineLvl w:val="0"/>
        <w:rPr>
          <w:i/>
          <w:noProof/>
          <w:szCs w:val="22"/>
          <w:lang w:val="sk-SK"/>
        </w:rPr>
      </w:pPr>
      <w:r w:rsidRPr="00184B98">
        <w:rPr>
          <w:i/>
          <w:noProof/>
          <w:szCs w:val="22"/>
          <w:lang w:val="sk-SK"/>
        </w:rPr>
        <w:t>Účinky pri laboratórnych testoch</w:t>
      </w:r>
    </w:p>
    <w:p w14:paraId="243F95EC" w14:textId="77777777" w:rsidR="00CA543B" w:rsidRPr="00A120F2" w:rsidRDefault="00CA543B" w:rsidP="008D16D7">
      <w:pPr>
        <w:tabs>
          <w:tab w:val="clear" w:pos="567"/>
        </w:tabs>
        <w:spacing w:line="240" w:lineRule="auto"/>
        <w:jc w:val="both"/>
        <w:outlineLvl w:val="0"/>
        <w:rPr>
          <w:noProof/>
          <w:szCs w:val="22"/>
          <w:lang w:val="sk-SK"/>
        </w:rPr>
      </w:pPr>
      <w:r w:rsidRPr="00A120F2">
        <w:rPr>
          <w:noProof/>
          <w:szCs w:val="22"/>
          <w:lang w:val="sk-SK"/>
        </w:rPr>
        <w:t>Tak ako u iných cefalosporínov sa u niektorých pacientov liečených cefotax</w:t>
      </w:r>
      <w:r>
        <w:rPr>
          <w:noProof/>
          <w:szCs w:val="22"/>
          <w:lang w:val="sk-SK"/>
        </w:rPr>
        <w:t>í</w:t>
      </w:r>
      <w:r w:rsidRPr="00A120F2">
        <w:rPr>
          <w:noProof/>
          <w:szCs w:val="22"/>
          <w:lang w:val="sk-SK"/>
        </w:rPr>
        <w:t xml:space="preserve">mom zistili pozitívne výsledky Coombsovho testu (pozri časť 4.8). Tento fenomén môže ovplyvniť výsledky krížovej krvnej skúšky. </w:t>
      </w:r>
    </w:p>
    <w:p w14:paraId="36675008" w14:textId="77777777" w:rsidR="00CA543B" w:rsidRPr="00A120F2" w:rsidRDefault="00CA543B" w:rsidP="00CA543B">
      <w:pPr>
        <w:tabs>
          <w:tab w:val="clear" w:pos="567"/>
        </w:tabs>
        <w:spacing w:line="240" w:lineRule="auto"/>
        <w:ind w:left="540"/>
        <w:outlineLvl w:val="0"/>
        <w:rPr>
          <w:noProof/>
          <w:szCs w:val="22"/>
          <w:lang w:val="sk-SK"/>
        </w:rPr>
      </w:pPr>
    </w:p>
    <w:p w14:paraId="32AF77C2" w14:textId="0303F1B9" w:rsidR="00720C9E" w:rsidRPr="00184B98" w:rsidRDefault="00CA543B" w:rsidP="008D16D7">
      <w:pPr>
        <w:tabs>
          <w:tab w:val="clear" w:pos="567"/>
        </w:tabs>
        <w:spacing w:line="240" w:lineRule="auto"/>
        <w:jc w:val="both"/>
        <w:outlineLvl w:val="0"/>
        <w:rPr>
          <w:i/>
          <w:lang w:val="sk-SK"/>
        </w:rPr>
      </w:pPr>
      <w:r w:rsidRPr="00A120F2">
        <w:rPr>
          <w:noProof/>
          <w:szCs w:val="22"/>
          <w:lang w:val="sk-SK"/>
        </w:rPr>
        <w:t>Pri použití redukčných činidiel (Benediktov alebo Fehlingov roztok, alebo tablety Clinitest) sa môže objaviť falošne pozitívna reakcia na glukózu, nie však pri použití testov založených na špecifických enzý</w:t>
      </w:r>
      <w:r>
        <w:rPr>
          <w:noProof/>
          <w:szCs w:val="22"/>
          <w:lang w:val="sk-SK"/>
        </w:rPr>
        <w:t>moch (metódy oxidázy glukózy).</w:t>
      </w:r>
    </w:p>
    <w:p w14:paraId="4F96DBA5" w14:textId="77777777" w:rsidR="006F5A39" w:rsidRPr="00184B98" w:rsidRDefault="006F5A39" w:rsidP="00720C9E">
      <w:pPr>
        <w:tabs>
          <w:tab w:val="clear" w:pos="567"/>
        </w:tabs>
        <w:spacing w:line="240" w:lineRule="auto"/>
        <w:ind w:left="570"/>
        <w:outlineLvl w:val="0"/>
        <w:rPr>
          <w:lang w:val="sk-SK"/>
        </w:rPr>
      </w:pPr>
    </w:p>
    <w:p w14:paraId="6D2D7E1D" w14:textId="77777777" w:rsidR="003E3C22" w:rsidRPr="004229C9" w:rsidRDefault="003E3C22" w:rsidP="00931460">
      <w:pPr>
        <w:tabs>
          <w:tab w:val="clear" w:pos="567"/>
        </w:tabs>
        <w:spacing w:line="240" w:lineRule="auto"/>
        <w:outlineLvl w:val="0"/>
        <w:rPr>
          <w:noProof/>
          <w:szCs w:val="22"/>
          <w:lang w:val="sk-SK"/>
        </w:rPr>
      </w:pPr>
      <w:r w:rsidRPr="004B4382">
        <w:rPr>
          <w:b/>
          <w:noProof/>
          <w:szCs w:val="22"/>
          <w:lang w:val="sk-SK"/>
        </w:rPr>
        <w:t>4.5</w:t>
      </w:r>
      <w:r w:rsidRPr="004B4382">
        <w:rPr>
          <w:b/>
          <w:noProof/>
          <w:szCs w:val="22"/>
          <w:lang w:val="sk-SK"/>
        </w:rPr>
        <w:tab/>
      </w:r>
      <w:r w:rsidRPr="004B4382">
        <w:rPr>
          <w:b/>
          <w:szCs w:val="22"/>
          <w:lang w:val="sk-SK"/>
        </w:rPr>
        <w:t>Liekové a iné interakcie</w:t>
      </w:r>
      <w:r w:rsidRPr="004229C9">
        <w:rPr>
          <w:b/>
          <w:noProof/>
          <w:szCs w:val="22"/>
          <w:lang w:val="sk-SK"/>
        </w:rPr>
        <w:t xml:space="preserve"> </w:t>
      </w:r>
    </w:p>
    <w:p w14:paraId="054BFF7F" w14:textId="77777777" w:rsidR="00345FAC" w:rsidRDefault="003E3C22" w:rsidP="00B40E8C">
      <w:pPr>
        <w:widowControl w:val="0"/>
        <w:numPr>
          <w:ilvl w:val="12"/>
          <w:numId w:val="0"/>
        </w:numPr>
        <w:tabs>
          <w:tab w:val="clear" w:pos="567"/>
          <w:tab w:val="left" w:pos="0"/>
        </w:tabs>
        <w:jc w:val="both"/>
        <w:rPr>
          <w:b/>
          <w:i/>
          <w:szCs w:val="22"/>
          <w:lang w:val="sk-SK"/>
        </w:rPr>
      </w:pPr>
      <w:r w:rsidRPr="004229C9">
        <w:rPr>
          <w:b/>
          <w:i/>
          <w:szCs w:val="22"/>
          <w:lang w:val="sk-SK"/>
        </w:rPr>
        <w:t xml:space="preserve">       </w:t>
      </w:r>
      <w:r w:rsidR="00A13F89">
        <w:rPr>
          <w:b/>
          <w:i/>
          <w:szCs w:val="22"/>
          <w:lang w:val="sk-SK"/>
        </w:rPr>
        <w:t xml:space="preserve">   </w:t>
      </w:r>
    </w:p>
    <w:p w14:paraId="4F956069" w14:textId="4BFF8A36" w:rsidR="00DC554C" w:rsidRPr="00DC554C" w:rsidRDefault="00DC554C" w:rsidP="005A3F6B">
      <w:pPr>
        <w:widowControl w:val="0"/>
        <w:numPr>
          <w:ilvl w:val="12"/>
          <w:numId w:val="0"/>
        </w:numPr>
        <w:tabs>
          <w:tab w:val="clear" w:pos="567"/>
        </w:tabs>
        <w:jc w:val="both"/>
        <w:rPr>
          <w:szCs w:val="22"/>
          <w:lang w:val="sk-SK"/>
        </w:rPr>
      </w:pPr>
      <w:proofErr w:type="spellStart"/>
      <w:r w:rsidRPr="00931460">
        <w:rPr>
          <w:i/>
          <w:szCs w:val="22"/>
          <w:lang w:val="sk-SK"/>
        </w:rPr>
        <w:t>Uriko</w:t>
      </w:r>
      <w:r w:rsidR="000D6EAE" w:rsidRPr="00931460">
        <w:rPr>
          <w:i/>
          <w:szCs w:val="22"/>
          <w:lang w:val="sk-SK"/>
        </w:rPr>
        <w:t>s</w:t>
      </w:r>
      <w:r w:rsidRPr="00931460">
        <w:rPr>
          <w:i/>
          <w:szCs w:val="22"/>
          <w:lang w:val="sk-SK"/>
        </w:rPr>
        <w:t>uriká</w:t>
      </w:r>
      <w:proofErr w:type="spellEnd"/>
      <w:r w:rsidRPr="00931460">
        <w:rPr>
          <w:i/>
          <w:szCs w:val="22"/>
          <w:lang w:val="sk-SK"/>
        </w:rPr>
        <w:t>:</w:t>
      </w:r>
      <w:r w:rsidRPr="00DC554C">
        <w:rPr>
          <w:szCs w:val="22"/>
          <w:lang w:val="sk-SK"/>
        </w:rPr>
        <w:t xml:space="preserve"> </w:t>
      </w:r>
    </w:p>
    <w:p w14:paraId="30A07B9B" w14:textId="678D90BF" w:rsidR="00DC554C" w:rsidRPr="00DC554C" w:rsidRDefault="007A62C7" w:rsidP="008D16D7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7A62C7">
        <w:rPr>
          <w:szCs w:val="22"/>
          <w:lang w:val="sk-SK"/>
        </w:rPr>
        <w:t xml:space="preserve">Súbežné podávanie </w:t>
      </w:r>
      <w:proofErr w:type="spellStart"/>
      <w:r w:rsidRPr="007A62C7">
        <w:rPr>
          <w:szCs w:val="22"/>
          <w:lang w:val="sk-SK"/>
        </w:rPr>
        <w:t>probenecidu</w:t>
      </w:r>
      <w:proofErr w:type="spellEnd"/>
      <w:r w:rsidRPr="007A62C7">
        <w:rPr>
          <w:szCs w:val="22"/>
          <w:lang w:val="sk-SK"/>
        </w:rPr>
        <w:t xml:space="preserve"> vedie k vyššej a</w:t>
      </w:r>
      <w:r w:rsidR="004B4382">
        <w:rPr>
          <w:szCs w:val="22"/>
          <w:lang w:val="sk-SK"/>
        </w:rPr>
        <w:t>  dlhšie pretrvávajúcej</w:t>
      </w:r>
      <w:r>
        <w:rPr>
          <w:szCs w:val="22"/>
          <w:lang w:val="sk-SK"/>
        </w:rPr>
        <w:t xml:space="preserve"> koncentrácii </w:t>
      </w:r>
      <w:proofErr w:type="spellStart"/>
      <w:r>
        <w:rPr>
          <w:szCs w:val="22"/>
          <w:lang w:val="sk-SK"/>
        </w:rPr>
        <w:t>cefotaxí</w:t>
      </w:r>
      <w:r w:rsidRPr="007A62C7">
        <w:rPr>
          <w:szCs w:val="22"/>
          <w:lang w:val="sk-SK"/>
        </w:rPr>
        <w:t>mu</w:t>
      </w:r>
      <w:proofErr w:type="spellEnd"/>
      <w:r w:rsidR="003605BD">
        <w:rPr>
          <w:szCs w:val="22"/>
          <w:lang w:val="sk-SK"/>
        </w:rPr>
        <w:t xml:space="preserve"> spôsobenej</w:t>
      </w:r>
      <w:r w:rsidRPr="007A62C7">
        <w:rPr>
          <w:szCs w:val="22"/>
          <w:lang w:val="sk-SK"/>
        </w:rPr>
        <w:t xml:space="preserve"> inhib</w:t>
      </w:r>
      <w:r w:rsidR="003605BD">
        <w:rPr>
          <w:szCs w:val="22"/>
          <w:lang w:val="sk-SK"/>
        </w:rPr>
        <w:t xml:space="preserve">íciou </w:t>
      </w:r>
      <w:proofErr w:type="spellStart"/>
      <w:r w:rsidR="003605BD">
        <w:rPr>
          <w:szCs w:val="22"/>
          <w:lang w:val="sk-SK"/>
        </w:rPr>
        <w:t>renálnej</w:t>
      </w:r>
      <w:proofErr w:type="spellEnd"/>
      <w:r w:rsidR="003605BD">
        <w:rPr>
          <w:szCs w:val="22"/>
          <w:lang w:val="sk-SK"/>
        </w:rPr>
        <w:t xml:space="preserve"> exkrécie </w:t>
      </w:r>
      <w:proofErr w:type="spellStart"/>
      <w:r w:rsidR="003605BD">
        <w:rPr>
          <w:szCs w:val="22"/>
          <w:lang w:val="sk-SK"/>
        </w:rPr>
        <w:t>cefotaxí</w:t>
      </w:r>
      <w:r w:rsidRPr="007A62C7">
        <w:rPr>
          <w:szCs w:val="22"/>
          <w:lang w:val="sk-SK"/>
        </w:rPr>
        <w:t>mu</w:t>
      </w:r>
      <w:proofErr w:type="spellEnd"/>
      <w:r w:rsidRPr="007A62C7">
        <w:rPr>
          <w:szCs w:val="22"/>
          <w:lang w:val="sk-SK"/>
        </w:rPr>
        <w:t>.</w:t>
      </w:r>
      <w:r>
        <w:rPr>
          <w:szCs w:val="22"/>
          <w:lang w:val="sk-SK"/>
        </w:rPr>
        <w:t xml:space="preserve"> </w:t>
      </w:r>
      <w:proofErr w:type="spellStart"/>
      <w:r w:rsidR="00DC554C" w:rsidRPr="00DC554C">
        <w:rPr>
          <w:szCs w:val="22"/>
          <w:lang w:val="sk-SK"/>
        </w:rPr>
        <w:t>Probenecid</w:t>
      </w:r>
      <w:proofErr w:type="spellEnd"/>
      <w:r w:rsidR="00DC554C" w:rsidRPr="00DC554C">
        <w:rPr>
          <w:szCs w:val="22"/>
          <w:lang w:val="sk-SK"/>
        </w:rPr>
        <w:t xml:space="preserve"> </w:t>
      </w:r>
      <w:r w:rsidR="00796B4E">
        <w:rPr>
          <w:szCs w:val="22"/>
          <w:lang w:val="sk-SK"/>
        </w:rPr>
        <w:t>zasahuje do</w:t>
      </w:r>
      <w:r w:rsidR="00DC554C" w:rsidRPr="00DC554C">
        <w:rPr>
          <w:szCs w:val="22"/>
          <w:lang w:val="sk-SK"/>
        </w:rPr>
        <w:t xml:space="preserve"> </w:t>
      </w:r>
      <w:proofErr w:type="spellStart"/>
      <w:r w:rsidR="00DC554C" w:rsidRPr="00DC554C">
        <w:rPr>
          <w:szCs w:val="22"/>
          <w:lang w:val="sk-SK"/>
        </w:rPr>
        <w:t>renáln</w:t>
      </w:r>
      <w:r w:rsidR="00796B4E">
        <w:rPr>
          <w:szCs w:val="22"/>
          <w:lang w:val="sk-SK"/>
        </w:rPr>
        <w:t>eho</w:t>
      </w:r>
      <w:proofErr w:type="spellEnd"/>
      <w:r w:rsidR="00DC554C" w:rsidRPr="00DC554C">
        <w:rPr>
          <w:szCs w:val="22"/>
          <w:lang w:val="sk-SK"/>
        </w:rPr>
        <w:t xml:space="preserve"> </w:t>
      </w:r>
      <w:proofErr w:type="spellStart"/>
      <w:r w:rsidR="00DC554C" w:rsidRPr="00DC554C">
        <w:rPr>
          <w:szCs w:val="22"/>
          <w:lang w:val="sk-SK"/>
        </w:rPr>
        <w:t>tubulárn</w:t>
      </w:r>
      <w:r w:rsidR="00796B4E">
        <w:rPr>
          <w:szCs w:val="22"/>
          <w:lang w:val="sk-SK"/>
        </w:rPr>
        <w:t>eho</w:t>
      </w:r>
      <w:proofErr w:type="spellEnd"/>
      <w:r w:rsidR="00DC554C" w:rsidRPr="00DC554C">
        <w:rPr>
          <w:szCs w:val="22"/>
          <w:lang w:val="sk-SK"/>
        </w:rPr>
        <w:t xml:space="preserve"> </w:t>
      </w:r>
      <w:r w:rsidR="00615FFB">
        <w:rPr>
          <w:szCs w:val="22"/>
          <w:lang w:val="sk-SK"/>
        </w:rPr>
        <w:t>transfer</w:t>
      </w:r>
      <w:r w:rsidR="00796B4E">
        <w:rPr>
          <w:szCs w:val="22"/>
          <w:lang w:val="sk-SK"/>
        </w:rPr>
        <w:t>u</w:t>
      </w:r>
      <w:r w:rsidR="00DC554C" w:rsidRPr="00DC554C">
        <w:rPr>
          <w:szCs w:val="22"/>
          <w:lang w:val="sk-SK"/>
        </w:rPr>
        <w:t xml:space="preserve"> </w:t>
      </w:r>
      <w:proofErr w:type="spellStart"/>
      <w:r w:rsidR="00DC554C" w:rsidRPr="00DC554C">
        <w:rPr>
          <w:szCs w:val="22"/>
          <w:lang w:val="sk-SK"/>
        </w:rPr>
        <w:t>cefotaxímu</w:t>
      </w:r>
      <w:proofErr w:type="spellEnd"/>
      <w:r w:rsidR="00DC554C" w:rsidRPr="00DC554C">
        <w:rPr>
          <w:szCs w:val="22"/>
          <w:lang w:val="sk-SK"/>
        </w:rPr>
        <w:t xml:space="preserve">, čím zvyšuje </w:t>
      </w:r>
      <w:r w:rsidR="00615FFB">
        <w:rPr>
          <w:szCs w:val="22"/>
          <w:lang w:val="sk-SK"/>
        </w:rPr>
        <w:t>expozíci</w:t>
      </w:r>
      <w:r w:rsidR="00EF6E6C">
        <w:rPr>
          <w:szCs w:val="22"/>
          <w:lang w:val="sk-SK"/>
        </w:rPr>
        <w:t>u</w:t>
      </w:r>
      <w:r w:rsidR="00615FFB" w:rsidRPr="00DC554C">
        <w:rPr>
          <w:szCs w:val="22"/>
          <w:lang w:val="sk-SK"/>
        </w:rPr>
        <w:t xml:space="preserve"> </w:t>
      </w:r>
      <w:proofErr w:type="spellStart"/>
      <w:r w:rsidR="00DC554C" w:rsidRPr="00DC554C">
        <w:rPr>
          <w:szCs w:val="22"/>
          <w:lang w:val="sk-SK"/>
        </w:rPr>
        <w:t>cefotaxím</w:t>
      </w:r>
      <w:r w:rsidR="00615FFB">
        <w:rPr>
          <w:szCs w:val="22"/>
          <w:lang w:val="sk-SK"/>
        </w:rPr>
        <w:t>u</w:t>
      </w:r>
      <w:proofErr w:type="spellEnd"/>
      <w:r w:rsidR="00DC554C" w:rsidRPr="00DC554C">
        <w:rPr>
          <w:szCs w:val="22"/>
          <w:lang w:val="sk-SK"/>
        </w:rPr>
        <w:t xml:space="preserve"> 2-</w:t>
      </w:r>
      <w:r w:rsidR="00D95DF9">
        <w:rPr>
          <w:szCs w:val="22"/>
          <w:lang w:val="sk-SK"/>
        </w:rPr>
        <w:t>náso</w:t>
      </w:r>
      <w:r w:rsidR="004B4382">
        <w:rPr>
          <w:szCs w:val="22"/>
          <w:lang w:val="sk-SK"/>
        </w:rPr>
        <w:t>bne</w:t>
      </w:r>
      <w:r w:rsidR="00DC554C" w:rsidRPr="00DC554C">
        <w:rPr>
          <w:szCs w:val="22"/>
          <w:lang w:val="sk-SK"/>
        </w:rPr>
        <w:t xml:space="preserve"> a </w:t>
      </w:r>
      <w:r w:rsidR="00E70456">
        <w:rPr>
          <w:szCs w:val="22"/>
          <w:lang w:val="sk-SK"/>
        </w:rPr>
        <w:t>v</w:t>
      </w:r>
      <w:r w:rsidR="00E70456" w:rsidRPr="00463E80">
        <w:rPr>
          <w:szCs w:val="22"/>
          <w:lang w:val="sk-SK"/>
        </w:rPr>
        <w:t xml:space="preserve"> </w:t>
      </w:r>
      <w:r w:rsidR="00E70456" w:rsidRPr="00DC554C">
        <w:rPr>
          <w:szCs w:val="22"/>
          <w:lang w:val="sk-SK"/>
        </w:rPr>
        <w:t>terapeutick</w:t>
      </w:r>
      <w:r w:rsidR="00E70456">
        <w:rPr>
          <w:szCs w:val="22"/>
          <w:lang w:val="sk-SK"/>
        </w:rPr>
        <w:t>ej</w:t>
      </w:r>
      <w:r w:rsidR="00E70456" w:rsidRPr="00DC554C">
        <w:rPr>
          <w:szCs w:val="22"/>
          <w:lang w:val="sk-SK"/>
        </w:rPr>
        <w:t xml:space="preserve"> dávk</w:t>
      </w:r>
      <w:r w:rsidR="00E70456">
        <w:rPr>
          <w:szCs w:val="22"/>
          <w:lang w:val="sk-SK"/>
        </w:rPr>
        <w:t xml:space="preserve">e </w:t>
      </w:r>
      <w:r w:rsidR="00463E80">
        <w:rPr>
          <w:szCs w:val="22"/>
          <w:lang w:val="sk-SK"/>
        </w:rPr>
        <w:t>znižuje</w:t>
      </w:r>
      <w:r w:rsidR="00463E80" w:rsidRPr="00DC554C">
        <w:rPr>
          <w:szCs w:val="22"/>
          <w:lang w:val="sk-SK"/>
        </w:rPr>
        <w:t xml:space="preserve"> </w:t>
      </w:r>
      <w:proofErr w:type="spellStart"/>
      <w:r w:rsidR="00463E80" w:rsidRPr="00DC554C">
        <w:rPr>
          <w:szCs w:val="22"/>
          <w:lang w:val="sk-SK"/>
        </w:rPr>
        <w:t>renáln</w:t>
      </w:r>
      <w:r w:rsidR="00463E80">
        <w:rPr>
          <w:szCs w:val="22"/>
          <w:lang w:val="sk-SK"/>
        </w:rPr>
        <w:t>y</w:t>
      </w:r>
      <w:proofErr w:type="spellEnd"/>
      <w:r w:rsidR="00463E80" w:rsidRPr="00DC554C">
        <w:rPr>
          <w:szCs w:val="22"/>
          <w:lang w:val="sk-SK"/>
        </w:rPr>
        <w:t xml:space="preserve"> </w:t>
      </w:r>
      <w:proofErr w:type="spellStart"/>
      <w:r w:rsidR="00463E80" w:rsidRPr="00DC554C">
        <w:rPr>
          <w:szCs w:val="22"/>
          <w:lang w:val="sk-SK"/>
        </w:rPr>
        <w:t>klírens</w:t>
      </w:r>
      <w:proofErr w:type="spellEnd"/>
      <w:r w:rsidR="00463E80">
        <w:rPr>
          <w:szCs w:val="22"/>
          <w:lang w:val="sk-SK"/>
        </w:rPr>
        <w:t xml:space="preserve"> </w:t>
      </w:r>
      <w:r w:rsidR="00DC554C" w:rsidRPr="00DC554C">
        <w:rPr>
          <w:szCs w:val="22"/>
          <w:lang w:val="sk-SK"/>
        </w:rPr>
        <w:t xml:space="preserve">približne na polovicu. Vzhľadom k veľkému terapeutickému indexu </w:t>
      </w:r>
      <w:proofErr w:type="spellStart"/>
      <w:r w:rsidR="00DC554C" w:rsidRPr="00DC554C">
        <w:rPr>
          <w:szCs w:val="22"/>
          <w:lang w:val="sk-SK"/>
        </w:rPr>
        <w:t>cefotaxímu</w:t>
      </w:r>
      <w:proofErr w:type="spellEnd"/>
      <w:r w:rsidR="00DC554C" w:rsidRPr="00DC554C">
        <w:rPr>
          <w:szCs w:val="22"/>
          <w:lang w:val="sk-SK"/>
        </w:rPr>
        <w:t xml:space="preserve"> nie je potrebná žiadna </w:t>
      </w:r>
      <w:r w:rsidR="00DC554C" w:rsidRPr="00DC554C">
        <w:rPr>
          <w:szCs w:val="22"/>
          <w:lang w:val="sk-SK"/>
        </w:rPr>
        <w:lastRenderedPageBreak/>
        <w:t>úprava dávkovania u pacientov s normálnou funkciou obličiek. Úprava dávky môže byť potrebná u pacientov s poruchou funkcie obličiek (pozri časti 4.4 a 4.2).</w:t>
      </w:r>
      <w:r w:rsidR="00463E80">
        <w:rPr>
          <w:szCs w:val="22"/>
          <w:lang w:val="sk-SK"/>
        </w:rPr>
        <w:t xml:space="preserve"> </w:t>
      </w:r>
    </w:p>
    <w:p w14:paraId="17B2AC86" w14:textId="77777777" w:rsidR="003E3C22" w:rsidRPr="004229C9" w:rsidRDefault="00E70456" w:rsidP="003E3C22">
      <w:pPr>
        <w:tabs>
          <w:tab w:val="clear" w:pos="567"/>
        </w:tabs>
        <w:spacing w:line="240" w:lineRule="auto"/>
        <w:ind w:left="360"/>
        <w:rPr>
          <w:noProof/>
          <w:szCs w:val="22"/>
          <w:lang w:val="sk-SK"/>
        </w:rPr>
      </w:pPr>
      <w:r>
        <w:rPr>
          <w:bCs/>
          <w:i/>
          <w:iCs/>
          <w:lang w:val="sk-SK"/>
        </w:rPr>
        <w:t xml:space="preserve"> </w:t>
      </w:r>
    </w:p>
    <w:p w14:paraId="765B9970" w14:textId="54FA81C5" w:rsidR="003E3C22" w:rsidRPr="004229C9" w:rsidRDefault="003E3C22" w:rsidP="00233E28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proofErr w:type="spellStart"/>
      <w:r w:rsidRPr="004229C9">
        <w:rPr>
          <w:i/>
          <w:lang w:val="sk-SK"/>
        </w:rPr>
        <w:t>Aminoglykozid</w:t>
      </w:r>
      <w:r w:rsidR="0078754D">
        <w:rPr>
          <w:i/>
          <w:lang w:val="sk-SK"/>
        </w:rPr>
        <w:t>ové</w:t>
      </w:r>
      <w:proofErr w:type="spellEnd"/>
      <w:r w:rsidR="0078754D">
        <w:rPr>
          <w:i/>
          <w:lang w:val="sk-SK"/>
        </w:rPr>
        <w:t xml:space="preserve"> antibiotiká a </w:t>
      </w:r>
      <w:r w:rsidRPr="004229C9">
        <w:rPr>
          <w:i/>
          <w:lang w:val="sk-SK"/>
        </w:rPr>
        <w:t>diuretiká</w:t>
      </w:r>
      <w:r>
        <w:rPr>
          <w:i/>
          <w:lang w:val="sk-SK"/>
        </w:rPr>
        <w:t>:</w:t>
      </w:r>
    </w:p>
    <w:p w14:paraId="1254EAD3" w14:textId="2CF74E69" w:rsidR="003E3C22" w:rsidRPr="004229C9" w:rsidRDefault="00B03E6B" w:rsidP="008D16D7">
      <w:pPr>
        <w:tabs>
          <w:tab w:val="clear" w:pos="567"/>
        </w:tabs>
        <w:spacing w:line="240" w:lineRule="auto"/>
        <w:jc w:val="both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Rovnako ako iné cefalosporíny</w:t>
      </w:r>
      <w:r w:rsidR="00243EE4" w:rsidRPr="00243EE4">
        <w:rPr>
          <w:noProof/>
          <w:szCs w:val="22"/>
          <w:lang w:val="sk-SK"/>
        </w:rPr>
        <w:t>, cefotax</w:t>
      </w:r>
      <w:r w:rsidR="00AF4590">
        <w:rPr>
          <w:noProof/>
          <w:szCs w:val="22"/>
          <w:lang w:val="sk-SK"/>
        </w:rPr>
        <w:t>í</w:t>
      </w:r>
      <w:r w:rsidR="00243EE4" w:rsidRPr="00243EE4">
        <w:rPr>
          <w:noProof/>
          <w:szCs w:val="22"/>
          <w:lang w:val="sk-SK"/>
        </w:rPr>
        <w:t xml:space="preserve">m </w:t>
      </w:r>
      <w:r w:rsidR="003E3C22">
        <w:rPr>
          <w:noProof/>
          <w:szCs w:val="22"/>
          <w:lang w:val="sk-SK"/>
        </w:rPr>
        <w:t xml:space="preserve">môže zosilniť nefrotoxický účinok </w:t>
      </w:r>
      <w:r w:rsidR="003E3C22" w:rsidRPr="004229C9">
        <w:rPr>
          <w:noProof/>
          <w:szCs w:val="22"/>
          <w:lang w:val="sk-SK"/>
        </w:rPr>
        <w:t>nefrotoxických liekov, ako sú aminoglykozidy alebo silné diuretiká (napr. furosemid)</w:t>
      </w:r>
      <w:r w:rsidR="003E3C22">
        <w:rPr>
          <w:noProof/>
          <w:szCs w:val="22"/>
          <w:lang w:val="sk-SK"/>
        </w:rPr>
        <w:t>.</w:t>
      </w:r>
      <w:r w:rsidR="003E3C22" w:rsidRPr="004229C9">
        <w:rPr>
          <w:noProof/>
          <w:szCs w:val="22"/>
          <w:lang w:val="sk-SK"/>
        </w:rPr>
        <w:t xml:space="preserve"> </w:t>
      </w:r>
      <w:r w:rsidR="00BF48D9">
        <w:rPr>
          <w:noProof/>
          <w:szCs w:val="22"/>
          <w:lang w:val="sk-SK"/>
        </w:rPr>
        <w:t xml:space="preserve">U týchto pacientov musí byť </w:t>
      </w:r>
      <w:r w:rsidR="004B0773">
        <w:rPr>
          <w:noProof/>
          <w:szCs w:val="22"/>
          <w:lang w:val="sk-SK"/>
        </w:rPr>
        <w:t>monitorivan</w:t>
      </w:r>
      <w:r w:rsidR="00BF48D9">
        <w:rPr>
          <w:noProof/>
          <w:szCs w:val="22"/>
          <w:lang w:val="sk-SK"/>
        </w:rPr>
        <w:t>á renálna funkcia</w:t>
      </w:r>
      <w:r w:rsidR="003E3C22">
        <w:rPr>
          <w:noProof/>
          <w:szCs w:val="22"/>
          <w:lang w:val="sk-SK"/>
        </w:rPr>
        <w:t xml:space="preserve"> (pozri časť 4.4)</w:t>
      </w:r>
      <w:r w:rsidR="003E3C22" w:rsidRPr="004229C9">
        <w:rPr>
          <w:noProof/>
          <w:szCs w:val="22"/>
          <w:lang w:val="sk-SK"/>
        </w:rPr>
        <w:t>.</w:t>
      </w:r>
    </w:p>
    <w:p w14:paraId="5EC1583F" w14:textId="77777777" w:rsidR="003E3C22" w:rsidRPr="004229C9" w:rsidRDefault="003E3C22" w:rsidP="003E3C22">
      <w:pPr>
        <w:ind w:left="567"/>
        <w:rPr>
          <w:lang w:val="sk-SK"/>
        </w:rPr>
      </w:pPr>
    </w:p>
    <w:p w14:paraId="3A63608C" w14:textId="2687E445" w:rsidR="003E3C22" w:rsidRPr="004229C9" w:rsidRDefault="003E3C22" w:rsidP="00233E28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proofErr w:type="spellStart"/>
      <w:r w:rsidRPr="004229C9">
        <w:rPr>
          <w:i/>
          <w:lang w:val="sk-SK"/>
        </w:rPr>
        <w:t>Bakteriostatické</w:t>
      </w:r>
      <w:proofErr w:type="spellEnd"/>
      <w:r w:rsidRPr="004229C9">
        <w:rPr>
          <w:i/>
          <w:lang w:val="sk-SK"/>
        </w:rPr>
        <w:t xml:space="preserve"> antibiotiká</w:t>
      </w:r>
      <w:r>
        <w:rPr>
          <w:i/>
          <w:lang w:val="sk-SK"/>
        </w:rPr>
        <w:t>:</w:t>
      </w:r>
    </w:p>
    <w:p w14:paraId="5245E365" w14:textId="3807B46D" w:rsidR="003E3C22" w:rsidRPr="004229C9" w:rsidRDefault="003E3C22" w:rsidP="00233E28">
      <w:pPr>
        <w:tabs>
          <w:tab w:val="clear" w:pos="567"/>
        </w:tabs>
        <w:spacing w:line="240" w:lineRule="auto"/>
        <w:jc w:val="both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Cefotaxím</w:t>
      </w:r>
      <w:r w:rsidRPr="004229C9">
        <w:rPr>
          <w:noProof/>
          <w:szCs w:val="22"/>
          <w:lang w:val="sk-SK"/>
        </w:rPr>
        <w:t xml:space="preserve"> sa nesmie kombinovať s bakteriostatickými antibiotikami (napr. tetracyklínmi,  </w:t>
      </w:r>
      <w:r>
        <w:rPr>
          <w:noProof/>
          <w:szCs w:val="22"/>
          <w:lang w:val="sk-SK"/>
        </w:rPr>
        <w:t xml:space="preserve"> </w:t>
      </w:r>
      <w:r w:rsidRPr="004229C9">
        <w:rPr>
          <w:noProof/>
          <w:szCs w:val="22"/>
          <w:lang w:val="sk-SK"/>
        </w:rPr>
        <w:t xml:space="preserve">  erytromycínom a chloramfenikolom) z dôvodu možnosti antagonistického účinku.</w:t>
      </w:r>
    </w:p>
    <w:p w14:paraId="5E3189EF" w14:textId="77777777" w:rsidR="003E3C22" w:rsidRPr="004229C9" w:rsidRDefault="003E3C22" w:rsidP="007C4B77">
      <w:pPr>
        <w:tabs>
          <w:tab w:val="clear" w:pos="567"/>
        </w:tabs>
        <w:spacing w:line="240" w:lineRule="auto"/>
        <w:ind w:left="360"/>
        <w:rPr>
          <w:lang w:val="sk-SK"/>
        </w:rPr>
      </w:pPr>
      <w:r w:rsidRPr="004229C9">
        <w:rPr>
          <w:noProof/>
          <w:szCs w:val="22"/>
          <w:lang w:val="sk-SK"/>
        </w:rPr>
        <w:t xml:space="preserve">   </w:t>
      </w:r>
    </w:p>
    <w:p w14:paraId="2D857369" w14:textId="1AA191F1" w:rsidR="003E3C22" w:rsidRPr="004229C9" w:rsidRDefault="003E3C22" w:rsidP="003E3C22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sk-SK"/>
        </w:rPr>
      </w:pPr>
      <w:r w:rsidRPr="004229C9">
        <w:rPr>
          <w:b/>
          <w:noProof/>
          <w:szCs w:val="22"/>
          <w:lang w:val="sk-SK"/>
        </w:rPr>
        <w:t>4.6</w:t>
      </w:r>
      <w:r w:rsidRPr="004229C9">
        <w:rPr>
          <w:b/>
          <w:noProof/>
          <w:szCs w:val="22"/>
          <w:lang w:val="sk-SK"/>
        </w:rPr>
        <w:tab/>
      </w:r>
      <w:r w:rsidR="007A62C7">
        <w:rPr>
          <w:b/>
          <w:noProof/>
          <w:szCs w:val="22"/>
          <w:lang w:val="sk-SK"/>
        </w:rPr>
        <w:t>Fertilita, g</w:t>
      </w:r>
      <w:proofErr w:type="spellStart"/>
      <w:r w:rsidRPr="004229C9">
        <w:rPr>
          <w:b/>
          <w:szCs w:val="22"/>
          <w:lang w:val="sk-SK"/>
        </w:rPr>
        <w:t>ravidita</w:t>
      </w:r>
      <w:proofErr w:type="spellEnd"/>
      <w:r w:rsidRPr="004229C9">
        <w:rPr>
          <w:b/>
          <w:szCs w:val="22"/>
          <w:lang w:val="sk-SK"/>
        </w:rPr>
        <w:t xml:space="preserve"> a laktácia</w:t>
      </w:r>
      <w:r w:rsidRPr="004229C9">
        <w:rPr>
          <w:b/>
          <w:noProof/>
          <w:szCs w:val="22"/>
          <w:lang w:val="sk-SK"/>
        </w:rPr>
        <w:t xml:space="preserve"> </w:t>
      </w:r>
    </w:p>
    <w:p w14:paraId="73A957F6" w14:textId="77777777" w:rsidR="003E3C22" w:rsidRPr="004229C9" w:rsidRDefault="003E3C22" w:rsidP="003E3C22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4229C9">
        <w:rPr>
          <w:szCs w:val="22"/>
          <w:lang w:val="sk-SK"/>
        </w:rPr>
        <w:t xml:space="preserve">          </w:t>
      </w:r>
    </w:p>
    <w:p w14:paraId="42A069E2" w14:textId="1B9ABA00" w:rsidR="003E3C22" w:rsidRPr="00233E28" w:rsidRDefault="003E3C22" w:rsidP="00233E28">
      <w:pPr>
        <w:tabs>
          <w:tab w:val="clear" w:pos="567"/>
        </w:tabs>
        <w:rPr>
          <w:u w:val="single"/>
          <w:lang w:val="sk-SK"/>
        </w:rPr>
      </w:pPr>
      <w:r w:rsidRPr="00233E28">
        <w:rPr>
          <w:u w:val="single"/>
          <w:lang w:val="sk-SK"/>
        </w:rPr>
        <w:t>Gravidita</w:t>
      </w:r>
    </w:p>
    <w:p w14:paraId="1F0AE423" w14:textId="19DE58BC" w:rsidR="003E3C22" w:rsidRDefault="003E3C22" w:rsidP="00233E28">
      <w:pPr>
        <w:ind w:left="567" w:hanging="567"/>
        <w:rPr>
          <w:lang w:val="sk-SK"/>
        </w:rPr>
      </w:pPr>
      <w:r>
        <w:rPr>
          <w:lang w:val="sk-SK"/>
        </w:rPr>
        <w:t xml:space="preserve">Bezpečnosť použitia </w:t>
      </w:r>
      <w:proofErr w:type="spellStart"/>
      <w:r>
        <w:rPr>
          <w:lang w:val="sk-SK"/>
        </w:rPr>
        <w:t>cefotaxímu</w:t>
      </w:r>
      <w:proofErr w:type="spellEnd"/>
      <w:r>
        <w:rPr>
          <w:lang w:val="sk-SK"/>
        </w:rPr>
        <w:t xml:space="preserve"> u gravidných žien sa nestanovila.</w:t>
      </w:r>
    </w:p>
    <w:p w14:paraId="7FDECECE" w14:textId="77777777" w:rsidR="00FA745C" w:rsidRPr="00345FAC" w:rsidRDefault="003E3C22" w:rsidP="00FA745C">
      <w:pPr>
        <w:tabs>
          <w:tab w:val="left" w:pos="0"/>
        </w:tabs>
        <w:rPr>
          <w:lang w:val="sk-SK"/>
        </w:rPr>
      </w:pPr>
      <w:r w:rsidRPr="004229C9">
        <w:rPr>
          <w:lang w:val="sk-SK"/>
        </w:rPr>
        <w:t xml:space="preserve">          </w:t>
      </w:r>
      <w:bookmarkStart w:id="5" w:name="OLE_LINK12"/>
    </w:p>
    <w:bookmarkEnd w:id="5"/>
    <w:p w14:paraId="54EAA414" w14:textId="01FEE9C2" w:rsidR="004B4382" w:rsidRDefault="00236702" w:rsidP="008D16D7">
      <w:pPr>
        <w:tabs>
          <w:tab w:val="clear" w:pos="567"/>
        </w:tabs>
        <w:jc w:val="both"/>
        <w:rPr>
          <w:lang w:val="sk-SK"/>
        </w:rPr>
      </w:pPr>
      <w:r w:rsidRPr="00CE7304">
        <w:rPr>
          <w:lang w:val="sk-SK"/>
        </w:rPr>
        <w:t xml:space="preserve">Štúdie na zvieratách nepreukázali priame alebo nepriame škodlivé účinky </w:t>
      </w:r>
      <w:r w:rsidR="001F0B50">
        <w:rPr>
          <w:lang w:val="sk-SK"/>
        </w:rPr>
        <w:t>vz</w:t>
      </w:r>
      <w:r w:rsidRPr="00CE7304">
        <w:rPr>
          <w:lang w:val="sk-SK"/>
        </w:rPr>
        <w:t xml:space="preserve">hľadom na reprodukčnú toxicitu. </w:t>
      </w:r>
    </w:p>
    <w:p w14:paraId="21B0A89A" w14:textId="48F66B19" w:rsidR="003E3C22" w:rsidRPr="00236702" w:rsidRDefault="000430DA" w:rsidP="008D16D7">
      <w:pPr>
        <w:tabs>
          <w:tab w:val="clear" w:pos="567"/>
        </w:tabs>
        <w:jc w:val="both"/>
        <w:rPr>
          <w:lang w:val="sk-SK"/>
        </w:rPr>
      </w:pPr>
      <w:r>
        <w:rPr>
          <w:lang w:val="sk-SK"/>
        </w:rPr>
        <w:t>Neexistujú</w:t>
      </w:r>
      <w:r w:rsidR="00236702" w:rsidRPr="00CE7304">
        <w:rPr>
          <w:lang w:val="sk-SK"/>
        </w:rPr>
        <w:t xml:space="preserve"> však žiadne adekvátne a dobre kontrolované štúdie u tehotných žien. </w:t>
      </w:r>
      <w:r w:rsidR="00236702" w:rsidRPr="00CE7304">
        <w:rPr>
          <w:lang w:val="sk-SK"/>
        </w:rPr>
        <w:br/>
      </w:r>
      <w:proofErr w:type="spellStart"/>
      <w:r w:rsidR="00236702" w:rsidRPr="00CE7304">
        <w:rPr>
          <w:lang w:val="sk-SK"/>
        </w:rPr>
        <w:t>Cefotaxim</w:t>
      </w:r>
      <w:proofErr w:type="spellEnd"/>
      <w:r w:rsidR="00236702" w:rsidRPr="00CE7304">
        <w:rPr>
          <w:lang w:val="sk-SK"/>
        </w:rPr>
        <w:t xml:space="preserve"> prechádza placentárnou bariérou. Preto</w:t>
      </w:r>
      <w:r w:rsidR="005553C4">
        <w:rPr>
          <w:lang w:val="sk-SK"/>
        </w:rPr>
        <w:t xml:space="preserve"> by</w:t>
      </w:r>
      <w:r w:rsidR="00236702" w:rsidRPr="00CE7304">
        <w:rPr>
          <w:lang w:val="sk-SK"/>
        </w:rPr>
        <w:t xml:space="preserve"> </w:t>
      </w:r>
      <w:proofErr w:type="spellStart"/>
      <w:r w:rsidR="00236702" w:rsidRPr="00CE7304">
        <w:rPr>
          <w:lang w:val="sk-SK"/>
        </w:rPr>
        <w:t>cefotaxím</w:t>
      </w:r>
      <w:proofErr w:type="spellEnd"/>
      <w:r w:rsidR="00236702" w:rsidRPr="00CE7304">
        <w:rPr>
          <w:lang w:val="sk-SK"/>
        </w:rPr>
        <w:t xml:space="preserve"> nemal byť používaný počas tehotenstva, </w:t>
      </w:r>
      <w:r w:rsidR="005553C4">
        <w:rPr>
          <w:lang w:val="sk-SK"/>
        </w:rPr>
        <w:t xml:space="preserve">iba </w:t>
      </w:r>
      <w:r w:rsidR="00236702" w:rsidRPr="00CE7304">
        <w:rPr>
          <w:lang w:val="sk-SK"/>
        </w:rPr>
        <w:t>ak očakávan</w:t>
      </w:r>
      <w:r w:rsidR="005553C4">
        <w:rPr>
          <w:lang w:val="sk-SK"/>
        </w:rPr>
        <w:t>ý</w:t>
      </w:r>
      <w:r w:rsidR="00236702" w:rsidRPr="00CE7304">
        <w:rPr>
          <w:lang w:val="sk-SK"/>
        </w:rPr>
        <w:t xml:space="preserve"> prínos prevažuj</w:t>
      </w:r>
      <w:r w:rsidR="005553C4">
        <w:rPr>
          <w:lang w:val="sk-SK"/>
        </w:rPr>
        <w:t>e</w:t>
      </w:r>
      <w:r w:rsidR="00797313">
        <w:rPr>
          <w:lang w:val="sk-SK"/>
        </w:rPr>
        <w:t xml:space="preserve"> nad akýmikoľvek</w:t>
      </w:r>
      <w:r w:rsidR="00236702" w:rsidRPr="00CE7304">
        <w:rPr>
          <w:lang w:val="sk-SK"/>
        </w:rPr>
        <w:t xml:space="preserve"> </w:t>
      </w:r>
      <w:r w:rsidR="00797313">
        <w:rPr>
          <w:lang w:val="sk-SK"/>
        </w:rPr>
        <w:t>potenciálnymi</w:t>
      </w:r>
      <w:r w:rsidR="00236702" w:rsidRPr="00CE7304">
        <w:rPr>
          <w:lang w:val="sk-SK"/>
        </w:rPr>
        <w:t xml:space="preserve"> rizik</w:t>
      </w:r>
      <w:r w:rsidR="00797313">
        <w:rPr>
          <w:lang w:val="sk-SK"/>
        </w:rPr>
        <w:t>ami</w:t>
      </w:r>
      <w:r w:rsidR="00236702" w:rsidRPr="00CE7304">
        <w:rPr>
          <w:lang w:val="sk-SK"/>
        </w:rPr>
        <w:t>.</w:t>
      </w:r>
    </w:p>
    <w:p w14:paraId="1140E7DA" w14:textId="77777777" w:rsidR="00236702" w:rsidRPr="00356CFA" w:rsidRDefault="00236702" w:rsidP="003E3C22">
      <w:pPr>
        <w:ind w:left="567" w:hanging="567"/>
        <w:rPr>
          <w:lang w:val="sk-SK"/>
        </w:rPr>
      </w:pPr>
    </w:p>
    <w:p w14:paraId="020B49C0" w14:textId="702F8233" w:rsidR="003E3C22" w:rsidRPr="00233E28" w:rsidRDefault="003E3C22" w:rsidP="00233E28">
      <w:pPr>
        <w:spacing w:line="240" w:lineRule="auto"/>
        <w:ind w:left="567" w:hanging="567"/>
        <w:rPr>
          <w:u w:val="single"/>
          <w:lang w:val="sk-SK"/>
        </w:rPr>
      </w:pPr>
      <w:r w:rsidRPr="00233E28">
        <w:rPr>
          <w:u w:val="single"/>
          <w:lang w:val="sk-SK"/>
        </w:rPr>
        <w:t>Laktácia</w:t>
      </w:r>
    </w:p>
    <w:p w14:paraId="0618FD08" w14:textId="13053E59" w:rsidR="003E3C22" w:rsidRDefault="003E3C22" w:rsidP="00233E28">
      <w:pPr>
        <w:ind w:left="567" w:hanging="567"/>
        <w:rPr>
          <w:bCs/>
          <w:iCs/>
          <w:noProof/>
          <w:szCs w:val="22"/>
          <w:lang w:val="sk-SK"/>
        </w:rPr>
      </w:pPr>
      <w:proofErr w:type="spellStart"/>
      <w:r>
        <w:rPr>
          <w:lang w:val="sk-SK"/>
        </w:rPr>
        <w:t>Cefotaxím</w:t>
      </w:r>
      <w:proofErr w:type="spellEnd"/>
      <w:r w:rsidRPr="004229C9">
        <w:rPr>
          <w:lang w:val="sk-SK"/>
        </w:rPr>
        <w:t xml:space="preserve"> </w:t>
      </w:r>
      <w:r>
        <w:rPr>
          <w:lang w:val="sk-SK"/>
        </w:rPr>
        <w:t>prechádza do materského mlieka</w:t>
      </w:r>
      <w:r>
        <w:rPr>
          <w:bCs/>
          <w:iCs/>
          <w:noProof/>
          <w:szCs w:val="22"/>
          <w:lang w:val="sk-SK"/>
        </w:rPr>
        <w:t> </w:t>
      </w:r>
    </w:p>
    <w:p w14:paraId="07AFCAD1" w14:textId="410967F4" w:rsidR="003E3C22" w:rsidRDefault="003E3C22" w:rsidP="008D16D7">
      <w:pPr>
        <w:tabs>
          <w:tab w:val="clear" w:pos="567"/>
        </w:tabs>
        <w:spacing w:before="120"/>
        <w:jc w:val="both"/>
        <w:rPr>
          <w:bCs/>
          <w:iCs/>
          <w:noProof/>
          <w:szCs w:val="22"/>
          <w:lang w:val="sk-SK"/>
        </w:rPr>
      </w:pPr>
      <w:r>
        <w:rPr>
          <w:bCs/>
          <w:iCs/>
          <w:noProof/>
          <w:szCs w:val="22"/>
          <w:lang w:val="sk-SK"/>
        </w:rPr>
        <w:t>Nie je možné vylúčiť ovplyvnenie</w:t>
      </w:r>
      <w:r w:rsidRPr="004229C9">
        <w:rPr>
          <w:bCs/>
          <w:iCs/>
          <w:noProof/>
          <w:szCs w:val="22"/>
          <w:lang w:val="sk-SK"/>
        </w:rPr>
        <w:t xml:space="preserve"> fyziologickej črevnej flóry </w:t>
      </w:r>
      <w:r>
        <w:rPr>
          <w:bCs/>
          <w:iCs/>
          <w:noProof/>
          <w:szCs w:val="22"/>
          <w:lang w:val="sk-SK"/>
        </w:rPr>
        <w:t>dojčaťa vedúce k hnačke,</w:t>
      </w:r>
      <w:r w:rsidR="001E4DA2">
        <w:rPr>
          <w:bCs/>
          <w:iCs/>
          <w:noProof/>
          <w:szCs w:val="22"/>
          <w:lang w:val="sk-SK"/>
        </w:rPr>
        <w:t xml:space="preserve"> </w:t>
      </w:r>
      <w:r>
        <w:rPr>
          <w:bCs/>
          <w:iCs/>
          <w:noProof/>
          <w:szCs w:val="22"/>
          <w:lang w:val="sk-SK"/>
        </w:rPr>
        <w:t>osídleniu</w:t>
      </w:r>
      <w:r w:rsidR="00203C59">
        <w:rPr>
          <w:bCs/>
          <w:iCs/>
          <w:noProof/>
          <w:szCs w:val="22"/>
          <w:lang w:val="sk-SK"/>
        </w:rPr>
        <w:t xml:space="preserve"> </w:t>
      </w:r>
      <w:r>
        <w:rPr>
          <w:bCs/>
          <w:iCs/>
          <w:noProof/>
          <w:szCs w:val="22"/>
          <w:lang w:val="sk-SK"/>
        </w:rPr>
        <w:t>kvasinkovými plesňami a precitlivelosti dojčaťa.</w:t>
      </w:r>
    </w:p>
    <w:p w14:paraId="7E047327" w14:textId="2A5B5FE2" w:rsidR="003E3C22" w:rsidRDefault="003E3C22" w:rsidP="008D16D7">
      <w:pPr>
        <w:tabs>
          <w:tab w:val="clear" w:pos="567"/>
        </w:tabs>
        <w:spacing w:before="120"/>
        <w:jc w:val="both"/>
        <w:rPr>
          <w:bCs/>
          <w:iCs/>
          <w:noProof/>
          <w:szCs w:val="22"/>
          <w:lang w:val="sk-SK"/>
        </w:rPr>
      </w:pPr>
      <w:r>
        <w:rPr>
          <w:bCs/>
          <w:iCs/>
          <w:noProof/>
          <w:szCs w:val="22"/>
          <w:lang w:val="sk-SK"/>
        </w:rPr>
        <w:t>Preto je potrebné rozhodnúť, či sa má prerušiť dojčenie alebo liečba, pričom je potrebné vziať do úvahy</w:t>
      </w:r>
      <w:r w:rsidR="0027035C">
        <w:rPr>
          <w:bCs/>
          <w:iCs/>
          <w:noProof/>
          <w:szCs w:val="22"/>
          <w:lang w:val="sk-SK"/>
        </w:rPr>
        <w:t xml:space="preserve"> </w:t>
      </w:r>
      <w:r>
        <w:rPr>
          <w:bCs/>
          <w:iCs/>
          <w:noProof/>
          <w:szCs w:val="22"/>
          <w:lang w:val="sk-SK"/>
        </w:rPr>
        <w:t xml:space="preserve">prínos </w:t>
      </w:r>
      <w:r w:rsidR="00031D4A">
        <w:rPr>
          <w:bCs/>
          <w:iCs/>
          <w:noProof/>
          <w:szCs w:val="22"/>
          <w:lang w:val="sk-SK"/>
        </w:rPr>
        <w:t xml:space="preserve">dojčenia </w:t>
      </w:r>
      <w:r>
        <w:rPr>
          <w:bCs/>
          <w:iCs/>
          <w:noProof/>
          <w:szCs w:val="22"/>
          <w:lang w:val="sk-SK"/>
        </w:rPr>
        <w:t>pre dieťa a prínos liečby pre matku.</w:t>
      </w:r>
    </w:p>
    <w:p w14:paraId="0BC29BCE" w14:textId="77777777" w:rsidR="003E3C22" w:rsidRPr="004229C9" w:rsidRDefault="003E3C22" w:rsidP="003E3C22">
      <w:pPr>
        <w:ind w:left="567" w:hanging="567"/>
        <w:rPr>
          <w:b/>
          <w:lang w:val="sk-SK"/>
        </w:rPr>
      </w:pPr>
      <w:r w:rsidRPr="004229C9">
        <w:rPr>
          <w:b/>
          <w:lang w:val="sk-SK"/>
        </w:rPr>
        <w:tab/>
      </w:r>
    </w:p>
    <w:p w14:paraId="43DFEB5A" w14:textId="77777777" w:rsidR="003E3C22" w:rsidRPr="004229C9" w:rsidRDefault="003E3C22" w:rsidP="003E3C22">
      <w:pPr>
        <w:numPr>
          <w:ilvl w:val="1"/>
          <w:numId w:val="12"/>
        </w:numPr>
        <w:tabs>
          <w:tab w:val="clear" w:pos="567"/>
        </w:tabs>
        <w:spacing w:line="240" w:lineRule="auto"/>
        <w:outlineLvl w:val="0"/>
        <w:rPr>
          <w:b/>
          <w:noProof/>
          <w:szCs w:val="22"/>
          <w:lang w:val="sk-SK"/>
        </w:rPr>
      </w:pPr>
      <w:r w:rsidRPr="004229C9">
        <w:rPr>
          <w:b/>
          <w:noProof/>
          <w:szCs w:val="22"/>
          <w:lang w:val="sk-SK"/>
        </w:rPr>
        <w:t xml:space="preserve">Ovplyvnenie schopnosti viesť vozidlá a obsluhovať stroje </w:t>
      </w:r>
    </w:p>
    <w:p w14:paraId="0054BA69" w14:textId="77777777" w:rsidR="003E3C22" w:rsidRDefault="003E3C22" w:rsidP="003E3C22">
      <w:pPr>
        <w:spacing w:line="240" w:lineRule="auto"/>
        <w:ind w:left="615"/>
        <w:rPr>
          <w:lang w:val="sk-SK"/>
        </w:rPr>
      </w:pPr>
    </w:p>
    <w:p w14:paraId="4D7FF209" w14:textId="0E7A243E" w:rsidR="003E3C22" w:rsidRDefault="003E3C22" w:rsidP="008D16D7">
      <w:pPr>
        <w:spacing w:line="240" w:lineRule="auto"/>
        <w:jc w:val="both"/>
        <w:rPr>
          <w:szCs w:val="22"/>
          <w:lang w:val="sk-SK"/>
        </w:rPr>
      </w:pPr>
      <w:r>
        <w:rPr>
          <w:lang w:val="sk-SK"/>
        </w:rPr>
        <w:t xml:space="preserve">Nebol preukázaný priamy vplyv </w:t>
      </w:r>
      <w:proofErr w:type="spellStart"/>
      <w:r>
        <w:rPr>
          <w:lang w:val="sk-SK"/>
        </w:rPr>
        <w:t>cefotaxímu</w:t>
      </w:r>
      <w:proofErr w:type="spellEnd"/>
      <w:r>
        <w:rPr>
          <w:lang w:val="sk-SK"/>
        </w:rPr>
        <w:t xml:space="preserve"> na schopnosť viesť vozidlá a obsluhovať stroje. Vysoké dávky </w:t>
      </w:r>
      <w:proofErr w:type="spellStart"/>
      <w:r>
        <w:rPr>
          <w:lang w:val="sk-SK"/>
        </w:rPr>
        <w:t>cefotaxímu</w:t>
      </w:r>
      <w:proofErr w:type="spellEnd"/>
      <w:r>
        <w:rPr>
          <w:lang w:val="sk-SK"/>
        </w:rPr>
        <w:t>, zvlášť u pacientov s </w:t>
      </w:r>
      <w:proofErr w:type="spellStart"/>
      <w:r>
        <w:rPr>
          <w:lang w:val="sk-SK"/>
        </w:rPr>
        <w:t>renálnou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insuficienciou</w:t>
      </w:r>
      <w:proofErr w:type="spellEnd"/>
      <w:r>
        <w:rPr>
          <w:lang w:val="sk-SK"/>
        </w:rPr>
        <w:t xml:space="preserve">, môžu spôsobiť </w:t>
      </w:r>
      <w:proofErr w:type="spellStart"/>
      <w:r>
        <w:rPr>
          <w:lang w:val="sk-SK"/>
        </w:rPr>
        <w:t>encefalopatiu</w:t>
      </w:r>
      <w:proofErr w:type="spellEnd"/>
      <w:r>
        <w:rPr>
          <w:lang w:val="sk-SK"/>
        </w:rPr>
        <w:t xml:space="preserve"> (napr. </w:t>
      </w:r>
      <w:r w:rsidR="00401369">
        <w:rPr>
          <w:lang w:val="sk-SK"/>
        </w:rPr>
        <w:t xml:space="preserve">zmätenosť, </w:t>
      </w:r>
      <w:r>
        <w:rPr>
          <w:lang w:val="sk-SK"/>
        </w:rPr>
        <w:t>poruchy vedomia, abnormálne pohyby a kŕče) (pozri čas</w:t>
      </w:r>
      <w:r w:rsidR="002E7C4D">
        <w:rPr>
          <w:lang w:val="sk-SK"/>
        </w:rPr>
        <w:t>ti</w:t>
      </w:r>
      <w:r>
        <w:rPr>
          <w:lang w:val="sk-SK"/>
        </w:rPr>
        <w:t xml:space="preserve"> </w:t>
      </w:r>
      <w:r w:rsidR="00401369">
        <w:rPr>
          <w:lang w:val="sk-SK"/>
        </w:rPr>
        <w:t xml:space="preserve">4.4 a </w:t>
      </w:r>
      <w:r>
        <w:rPr>
          <w:lang w:val="sk-SK"/>
        </w:rPr>
        <w:t xml:space="preserve">4.8). Pacienti majú byť upozornení, že pri výskyte takýchto symptómov nesmú viesť vozidlo a obsluhovať stroje. </w:t>
      </w:r>
    </w:p>
    <w:p w14:paraId="40751D56" w14:textId="77777777" w:rsidR="003E3C22" w:rsidRPr="004229C9" w:rsidRDefault="003E3C22" w:rsidP="003E3C22">
      <w:pPr>
        <w:spacing w:line="240" w:lineRule="auto"/>
        <w:rPr>
          <w:szCs w:val="22"/>
          <w:lang w:val="sk-SK"/>
        </w:rPr>
      </w:pPr>
    </w:p>
    <w:p w14:paraId="67F33AD7" w14:textId="77777777" w:rsidR="003E3C22" w:rsidRDefault="003E3C22" w:rsidP="003E3C22">
      <w:pPr>
        <w:numPr>
          <w:ilvl w:val="1"/>
          <w:numId w:val="7"/>
        </w:numPr>
        <w:spacing w:line="240" w:lineRule="auto"/>
        <w:outlineLvl w:val="0"/>
        <w:rPr>
          <w:b/>
          <w:noProof/>
          <w:szCs w:val="22"/>
          <w:lang w:val="sk-SK"/>
        </w:rPr>
      </w:pPr>
      <w:r w:rsidRPr="004229C9">
        <w:rPr>
          <w:b/>
          <w:noProof/>
          <w:szCs w:val="22"/>
          <w:lang w:val="sk-SK"/>
        </w:rPr>
        <w:t xml:space="preserve">Nežiaduce účinky </w:t>
      </w:r>
    </w:p>
    <w:p w14:paraId="792538B2" w14:textId="77777777" w:rsidR="003E3C22" w:rsidRPr="004229C9" w:rsidRDefault="003E3C22" w:rsidP="003E3C22">
      <w:pPr>
        <w:tabs>
          <w:tab w:val="clear" w:pos="567"/>
        </w:tabs>
        <w:spacing w:line="240" w:lineRule="auto"/>
        <w:outlineLvl w:val="0"/>
        <w:rPr>
          <w:b/>
          <w:noProof/>
          <w:szCs w:val="22"/>
          <w:lang w:val="sk-SK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080"/>
        <w:gridCol w:w="1377"/>
        <w:gridCol w:w="1418"/>
        <w:gridCol w:w="1134"/>
        <w:gridCol w:w="1134"/>
        <w:gridCol w:w="1701"/>
      </w:tblGrid>
      <w:tr w:rsidR="000979CA" w:rsidRPr="00233E28" w14:paraId="7560B07E" w14:textId="77777777" w:rsidTr="00233E28">
        <w:tc>
          <w:tcPr>
            <w:tcW w:w="1620" w:type="dxa"/>
            <w:shd w:val="clear" w:color="auto" w:fill="auto"/>
          </w:tcPr>
          <w:p w14:paraId="4207A75D" w14:textId="77777777" w:rsidR="003E3C22" w:rsidRPr="00233E28" w:rsidRDefault="003E3C22" w:rsidP="003E3C22">
            <w:pPr>
              <w:rPr>
                <w:b/>
                <w:sz w:val="20"/>
                <w:lang w:val="sk-SK"/>
              </w:rPr>
            </w:pPr>
            <w:r w:rsidRPr="00233E28">
              <w:rPr>
                <w:b/>
                <w:sz w:val="20"/>
                <w:lang w:val="sk-SK"/>
              </w:rPr>
              <w:t>Trieda orgánových systémov</w:t>
            </w:r>
          </w:p>
        </w:tc>
        <w:tc>
          <w:tcPr>
            <w:tcW w:w="1080" w:type="dxa"/>
            <w:shd w:val="clear" w:color="auto" w:fill="auto"/>
          </w:tcPr>
          <w:p w14:paraId="3AAC785F" w14:textId="77777777" w:rsidR="003E3C22" w:rsidRPr="00233E28" w:rsidRDefault="003E3C22" w:rsidP="003E3C22">
            <w:pPr>
              <w:rPr>
                <w:b/>
                <w:sz w:val="20"/>
                <w:lang w:val="sk-SK"/>
              </w:rPr>
            </w:pPr>
            <w:r w:rsidRPr="00233E28">
              <w:rPr>
                <w:b/>
                <w:sz w:val="20"/>
                <w:lang w:val="sk-SK"/>
              </w:rPr>
              <w:t>Veľmi časté</w:t>
            </w:r>
          </w:p>
          <w:p w14:paraId="0592A956" w14:textId="77777777" w:rsidR="003E3C22" w:rsidRPr="00233E28" w:rsidRDefault="003E3C22" w:rsidP="003E3C22">
            <w:pPr>
              <w:rPr>
                <w:b/>
                <w:sz w:val="20"/>
                <w:lang w:val="sk-SK"/>
              </w:rPr>
            </w:pPr>
            <w:r w:rsidRPr="00233E28">
              <w:rPr>
                <w:b/>
                <w:sz w:val="20"/>
                <w:lang w:val="sk-SK"/>
              </w:rPr>
              <w:t>(≥1/10)</w:t>
            </w:r>
          </w:p>
        </w:tc>
        <w:tc>
          <w:tcPr>
            <w:tcW w:w="1377" w:type="dxa"/>
            <w:shd w:val="clear" w:color="auto" w:fill="auto"/>
          </w:tcPr>
          <w:p w14:paraId="6676ED08" w14:textId="77777777" w:rsidR="003E3C22" w:rsidRPr="00233E28" w:rsidRDefault="003E3C22" w:rsidP="003E3C22">
            <w:pPr>
              <w:rPr>
                <w:b/>
                <w:sz w:val="20"/>
                <w:lang w:val="sk-SK"/>
              </w:rPr>
            </w:pPr>
            <w:r w:rsidRPr="00233E28">
              <w:rPr>
                <w:b/>
                <w:sz w:val="20"/>
                <w:lang w:val="sk-SK"/>
              </w:rPr>
              <w:t>Časté</w:t>
            </w:r>
          </w:p>
          <w:p w14:paraId="7B702CDC" w14:textId="77777777" w:rsidR="003E3C22" w:rsidRPr="00233E28" w:rsidRDefault="003E3C22" w:rsidP="003E3C22">
            <w:pPr>
              <w:rPr>
                <w:b/>
                <w:sz w:val="20"/>
                <w:lang w:val="sk-SK"/>
              </w:rPr>
            </w:pPr>
            <w:r w:rsidRPr="00233E28">
              <w:rPr>
                <w:b/>
                <w:sz w:val="20"/>
                <w:lang w:val="sk-SK"/>
              </w:rPr>
              <w:t>(≥1/100 až &lt;1/10)</w:t>
            </w:r>
          </w:p>
        </w:tc>
        <w:tc>
          <w:tcPr>
            <w:tcW w:w="1418" w:type="dxa"/>
            <w:shd w:val="clear" w:color="auto" w:fill="auto"/>
          </w:tcPr>
          <w:p w14:paraId="1975F5C6" w14:textId="77777777" w:rsidR="003E3C22" w:rsidRPr="00233E28" w:rsidRDefault="003E3C22" w:rsidP="003E3C22">
            <w:pPr>
              <w:rPr>
                <w:b/>
                <w:sz w:val="20"/>
                <w:lang w:val="sk-SK"/>
              </w:rPr>
            </w:pPr>
            <w:r w:rsidRPr="00233E28">
              <w:rPr>
                <w:b/>
                <w:sz w:val="20"/>
                <w:lang w:val="sk-SK"/>
              </w:rPr>
              <w:t>Menej časté</w:t>
            </w:r>
          </w:p>
          <w:p w14:paraId="5D627E86" w14:textId="77777777" w:rsidR="003E3C22" w:rsidRPr="00233E28" w:rsidRDefault="003E3C22" w:rsidP="003E3C22">
            <w:pPr>
              <w:rPr>
                <w:b/>
                <w:sz w:val="20"/>
                <w:lang w:val="sk-SK"/>
              </w:rPr>
            </w:pPr>
            <w:r w:rsidRPr="00233E28">
              <w:rPr>
                <w:b/>
                <w:sz w:val="20"/>
                <w:lang w:val="sk-SK"/>
              </w:rPr>
              <w:t>(≥1/1 000 až &lt;1/100)</w:t>
            </w:r>
          </w:p>
        </w:tc>
        <w:tc>
          <w:tcPr>
            <w:tcW w:w="1134" w:type="dxa"/>
            <w:shd w:val="clear" w:color="auto" w:fill="auto"/>
          </w:tcPr>
          <w:p w14:paraId="69694E93" w14:textId="4DE2F7A5" w:rsidR="003E3C22" w:rsidRPr="00233E28" w:rsidRDefault="003E3C22" w:rsidP="003E3C22">
            <w:pPr>
              <w:rPr>
                <w:b/>
                <w:sz w:val="20"/>
                <w:lang w:val="sk-SK"/>
              </w:rPr>
            </w:pPr>
          </w:p>
        </w:tc>
        <w:tc>
          <w:tcPr>
            <w:tcW w:w="1134" w:type="dxa"/>
            <w:shd w:val="clear" w:color="auto" w:fill="auto"/>
          </w:tcPr>
          <w:p w14:paraId="5C010DF0" w14:textId="1C719884" w:rsidR="003E3C22" w:rsidRPr="00233E28" w:rsidRDefault="003E3C22" w:rsidP="00676477">
            <w:pPr>
              <w:rPr>
                <w:b/>
                <w:sz w:val="20"/>
                <w:lang w:val="sk-SK"/>
              </w:rPr>
            </w:pPr>
          </w:p>
        </w:tc>
        <w:tc>
          <w:tcPr>
            <w:tcW w:w="1701" w:type="dxa"/>
            <w:shd w:val="clear" w:color="auto" w:fill="auto"/>
          </w:tcPr>
          <w:p w14:paraId="2F80A5AD" w14:textId="02B0A318" w:rsidR="003E3C22" w:rsidRPr="00233E28" w:rsidRDefault="003E3C22" w:rsidP="00051C77">
            <w:pPr>
              <w:rPr>
                <w:b/>
                <w:sz w:val="20"/>
                <w:vertAlign w:val="superscript"/>
                <w:lang w:val="sk-SK"/>
              </w:rPr>
            </w:pPr>
            <w:r w:rsidRPr="00233E28">
              <w:rPr>
                <w:b/>
                <w:sz w:val="20"/>
                <w:lang w:val="sk-SK"/>
              </w:rPr>
              <w:t xml:space="preserve">Neznáme </w:t>
            </w:r>
            <w:r w:rsidRPr="00233E28">
              <w:rPr>
                <w:sz w:val="20"/>
                <w:lang w:val="sk-SK"/>
              </w:rPr>
              <w:t>(</w:t>
            </w:r>
            <w:r w:rsidR="00D133C0" w:rsidRPr="00233E28">
              <w:rPr>
                <w:sz w:val="20"/>
                <w:lang w:val="sk-SK"/>
              </w:rPr>
              <w:t>frekvenciu nemožno odhadnúť z dostupných údajov</w:t>
            </w:r>
            <w:r w:rsidRPr="00233E28">
              <w:rPr>
                <w:sz w:val="20"/>
                <w:lang w:val="sk-SK"/>
              </w:rPr>
              <w:t>)</w:t>
            </w:r>
            <w:r w:rsidR="009E5D37" w:rsidRPr="00233E28">
              <w:rPr>
                <w:sz w:val="20"/>
                <w:lang w:val="sk-SK"/>
              </w:rPr>
              <w:t xml:space="preserve"> </w:t>
            </w:r>
            <w:r w:rsidR="00491975" w:rsidRPr="00233E28">
              <w:rPr>
                <w:b/>
                <w:sz w:val="20"/>
                <w:vertAlign w:val="superscript"/>
                <w:lang w:val="sk-SK"/>
              </w:rPr>
              <w:t>1</w:t>
            </w:r>
          </w:p>
        </w:tc>
      </w:tr>
      <w:tr w:rsidR="000979CA" w:rsidRPr="00233E28" w14:paraId="30EF6D3C" w14:textId="77777777" w:rsidTr="00233E28">
        <w:tc>
          <w:tcPr>
            <w:tcW w:w="1620" w:type="dxa"/>
            <w:shd w:val="clear" w:color="auto" w:fill="auto"/>
          </w:tcPr>
          <w:p w14:paraId="195FB907" w14:textId="77777777" w:rsidR="003E3C22" w:rsidRPr="00233E28" w:rsidRDefault="003E3C22" w:rsidP="003E3C22">
            <w:pPr>
              <w:rPr>
                <w:b/>
                <w:sz w:val="20"/>
                <w:lang w:val="sk-SK"/>
              </w:rPr>
            </w:pPr>
            <w:r w:rsidRPr="00233E28">
              <w:rPr>
                <w:b/>
                <w:sz w:val="20"/>
                <w:lang w:val="sk-SK"/>
              </w:rPr>
              <w:t>Infekcie a nákazy</w:t>
            </w:r>
          </w:p>
        </w:tc>
        <w:tc>
          <w:tcPr>
            <w:tcW w:w="1080" w:type="dxa"/>
            <w:shd w:val="clear" w:color="auto" w:fill="auto"/>
          </w:tcPr>
          <w:p w14:paraId="084A00B6" w14:textId="77777777" w:rsidR="003E3C22" w:rsidRPr="00233E28" w:rsidRDefault="003E3C22" w:rsidP="003E3C22">
            <w:pPr>
              <w:rPr>
                <w:sz w:val="20"/>
                <w:lang w:val="sk-SK"/>
              </w:rPr>
            </w:pPr>
          </w:p>
        </w:tc>
        <w:tc>
          <w:tcPr>
            <w:tcW w:w="1377" w:type="dxa"/>
            <w:shd w:val="clear" w:color="auto" w:fill="auto"/>
          </w:tcPr>
          <w:p w14:paraId="1A09FE51" w14:textId="4D6D8465" w:rsidR="003E3C22" w:rsidRPr="00233E28" w:rsidRDefault="003E3C22" w:rsidP="003E3C22">
            <w:pPr>
              <w:rPr>
                <w:sz w:val="20"/>
                <w:lang w:val="sk-SK"/>
              </w:rPr>
            </w:pPr>
          </w:p>
        </w:tc>
        <w:tc>
          <w:tcPr>
            <w:tcW w:w="1418" w:type="dxa"/>
            <w:shd w:val="clear" w:color="auto" w:fill="auto"/>
          </w:tcPr>
          <w:p w14:paraId="0C6E25BF" w14:textId="77777777" w:rsidR="003E3C22" w:rsidRPr="00233E28" w:rsidRDefault="003E3C22" w:rsidP="003E3C22">
            <w:pPr>
              <w:rPr>
                <w:sz w:val="20"/>
                <w:lang w:val="sk-SK"/>
              </w:rPr>
            </w:pPr>
          </w:p>
        </w:tc>
        <w:tc>
          <w:tcPr>
            <w:tcW w:w="1134" w:type="dxa"/>
            <w:shd w:val="clear" w:color="auto" w:fill="auto"/>
          </w:tcPr>
          <w:p w14:paraId="4B6D9858" w14:textId="7D7CE4C4" w:rsidR="003E3C22" w:rsidRPr="00233E28" w:rsidRDefault="003E3C22" w:rsidP="003E3C22">
            <w:pPr>
              <w:rPr>
                <w:sz w:val="20"/>
                <w:lang w:val="sk-SK"/>
              </w:rPr>
            </w:pPr>
          </w:p>
        </w:tc>
        <w:tc>
          <w:tcPr>
            <w:tcW w:w="1134" w:type="dxa"/>
            <w:shd w:val="clear" w:color="auto" w:fill="auto"/>
          </w:tcPr>
          <w:p w14:paraId="467A3C1D" w14:textId="77777777" w:rsidR="003E3C22" w:rsidRPr="00233E28" w:rsidRDefault="003E3C22" w:rsidP="003E3C22">
            <w:pPr>
              <w:rPr>
                <w:sz w:val="20"/>
                <w:lang w:val="sk-SK"/>
              </w:rPr>
            </w:pPr>
          </w:p>
        </w:tc>
        <w:tc>
          <w:tcPr>
            <w:tcW w:w="1701" w:type="dxa"/>
            <w:shd w:val="clear" w:color="auto" w:fill="auto"/>
          </w:tcPr>
          <w:p w14:paraId="5A60FDB3" w14:textId="77777777" w:rsidR="007B79EF" w:rsidRPr="00233E28" w:rsidRDefault="007B79EF" w:rsidP="007B79EF">
            <w:pPr>
              <w:rPr>
                <w:sz w:val="20"/>
                <w:lang w:val="sk-SK"/>
              </w:rPr>
            </w:pPr>
            <w:proofErr w:type="spellStart"/>
            <w:r w:rsidRPr="00233E28">
              <w:rPr>
                <w:sz w:val="20"/>
                <w:lang w:val="sk-SK"/>
              </w:rPr>
              <w:t>Superinfekcia</w:t>
            </w:r>
            <w:proofErr w:type="spellEnd"/>
            <w:r w:rsidRPr="00233E28">
              <w:rPr>
                <w:sz w:val="20"/>
                <w:lang w:val="sk-SK"/>
              </w:rPr>
              <w:t xml:space="preserve"> </w:t>
            </w:r>
          </w:p>
          <w:p w14:paraId="55F19BB6" w14:textId="77777777" w:rsidR="003E3C22" w:rsidRPr="00233E28" w:rsidRDefault="007B79EF" w:rsidP="007B79EF">
            <w:pPr>
              <w:rPr>
                <w:sz w:val="20"/>
                <w:lang w:val="sk-SK"/>
              </w:rPr>
            </w:pPr>
            <w:r w:rsidRPr="00233E28">
              <w:rPr>
                <w:sz w:val="20"/>
                <w:lang w:val="sk-SK"/>
              </w:rPr>
              <w:t>(pozri časť 4.4)</w:t>
            </w:r>
            <w:r w:rsidR="005C78D1" w:rsidRPr="00233E28">
              <w:rPr>
                <w:sz w:val="20"/>
                <w:lang w:val="sk-SK"/>
              </w:rPr>
              <w:t xml:space="preserve">, napr. orálna alebo vaginálna </w:t>
            </w:r>
            <w:proofErr w:type="spellStart"/>
            <w:r w:rsidR="005C78D1" w:rsidRPr="00233E28">
              <w:rPr>
                <w:sz w:val="20"/>
                <w:lang w:val="sk-SK"/>
              </w:rPr>
              <w:t>kandidóza</w:t>
            </w:r>
            <w:proofErr w:type="spellEnd"/>
          </w:p>
        </w:tc>
      </w:tr>
      <w:tr w:rsidR="000979CA" w:rsidRPr="00345FAC" w14:paraId="2763A219" w14:textId="77777777" w:rsidTr="00233E28">
        <w:tc>
          <w:tcPr>
            <w:tcW w:w="1620" w:type="dxa"/>
            <w:shd w:val="clear" w:color="auto" w:fill="auto"/>
          </w:tcPr>
          <w:p w14:paraId="6C3E61A6" w14:textId="77777777" w:rsidR="003E3C22" w:rsidRPr="00233E28" w:rsidRDefault="003E3C22" w:rsidP="003E3C22">
            <w:pPr>
              <w:rPr>
                <w:b/>
                <w:sz w:val="20"/>
                <w:lang w:val="sk-SK"/>
              </w:rPr>
            </w:pPr>
            <w:r w:rsidRPr="00233E28">
              <w:rPr>
                <w:b/>
                <w:sz w:val="20"/>
                <w:lang w:val="sk-SK"/>
              </w:rPr>
              <w:lastRenderedPageBreak/>
              <w:t>Poruchy krvi a lymfatického systému</w:t>
            </w:r>
          </w:p>
        </w:tc>
        <w:tc>
          <w:tcPr>
            <w:tcW w:w="1080" w:type="dxa"/>
            <w:shd w:val="clear" w:color="auto" w:fill="auto"/>
          </w:tcPr>
          <w:p w14:paraId="303508C1" w14:textId="77777777" w:rsidR="003E3C22" w:rsidRPr="00233E28" w:rsidRDefault="003E3C22" w:rsidP="003E3C22">
            <w:pPr>
              <w:rPr>
                <w:sz w:val="20"/>
                <w:lang w:val="sk-SK"/>
              </w:rPr>
            </w:pPr>
          </w:p>
        </w:tc>
        <w:tc>
          <w:tcPr>
            <w:tcW w:w="1377" w:type="dxa"/>
            <w:shd w:val="clear" w:color="auto" w:fill="auto"/>
          </w:tcPr>
          <w:p w14:paraId="7D9D99DE" w14:textId="3B612E63" w:rsidR="003E3C22" w:rsidRPr="00233E28" w:rsidRDefault="003E3C22" w:rsidP="003E3C22">
            <w:pPr>
              <w:rPr>
                <w:sz w:val="20"/>
                <w:lang w:val="sk-SK"/>
              </w:rPr>
            </w:pPr>
          </w:p>
        </w:tc>
        <w:tc>
          <w:tcPr>
            <w:tcW w:w="1418" w:type="dxa"/>
            <w:shd w:val="clear" w:color="auto" w:fill="auto"/>
          </w:tcPr>
          <w:p w14:paraId="2224DDF9" w14:textId="77777777" w:rsidR="00742135" w:rsidRDefault="00742135" w:rsidP="003E3C22">
            <w:pPr>
              <w:rPr>
                <w:sz w:val="20"/>
                <w:lang w:val="sk-SK"/>
              </w:rPr>
            </w:pPr>
            <w:proofErr w:type="spellStart"/>
            <w:r>
              <w:rPr>
                <w:sz w:val="20"/>
                <w:lang w:val="sk-SK"/>
              </w:rPr>
              <w:t>Granulocytopénia</w:t>
            </w:r>
            <w:proofErr w:type="spellEnd"/>
            <w:r>
              <w:rPr>
                <w:sz w:val="20"/>
                <w:lang w:val="sk-SK"/>
              </w:rPr>
              <w:t xml:space="preserve">, </w:t>
            </w:r>
            <w:proofErr w:type="spellStart"/>
            <w:r>
              <w:rPr>
                <w:sz w:val="20"/>
                <w:lang w:val="sk-SK"/>
              </w:rPr>
              <w:t>leukopénia</w:t>
            </w:r>
            <w:proofErr w:type="spellEnd"/>
            <w:r>
              <w:rPr>
                <w:sz w:val="20"/>
                <w:lang w:val="sk-SK"/>
              </w:rPr>
              <w:t xml:space="preserve">, </w:t>
            </w:r>
            <w:proofErr w:type="spellStart"/>
            <w:r>
              <w:rPr>
                <w:sz w:val="20"/>
                <w:lang w:val="sk-SK"/>
              </w:rPr>
              <w:t>eosinofília</w:t>
            </w:r>
            <w:proofErr w:type="spellEnd"/>
            <w:r>
              <w:rPr>
                <w:sz w:val="20"/>
                <w:lang w:val="sk-SK"/>
              </w:rPr>
              <w:t>,</w:t>
            </w:r>
          </w:p>
          <w:p w14:paraId="23B7DBF1" w14:textId="5B45C0E1" w:rsidR="003E3C22" w:rsidRPr="00233E28" w:rsidRDefault="00742135" w:rsidP="003E3C22">
            <w:pPr>
              <w:rPr>
                <w:sz w:val="20"/>
                <w:lang w:val="sk-SK"/>
              </w:rPr>
            </w:pPr>
            <w:proofErr w:type="spellStart"/>
            <w:r>
              <w:rPr>
                <w:sz w:val="20"/>
                <w:lang w:val="sk-SK"/>
              </w:rPr>
              <w:t>trombocytopénia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6189DD3F" w14:textId="77777777" w:rsidR="003E3C22" w:rsidRPr="00233E28" w:rsidRDefault="003E3C22" w:rsidP="00051C77">
            <w:pPr>
              <w:rPr>
                <w:sz w:val="20"/>
                <w:lang w:val="sk-SK"/>
              </w:rPr>
            </w:pPr>
          </w:p>
        </w:tc>
        <w:tc>
          <w:tcPr>
            <w:tcW w:w="1134" w:type="dxa"/>
            <w:shd w:val="clear" w:color="auto" w:fill="auto"/>
          </w:tcPr>
          <w:p w14:paraId="04B2F512" w14:textId="6C0BAA9A" w:rsidR="003E3C22" w:rsidRPr="00233E28" w:rsidRDefault="003E3C22" w:rsidP="003E3C22">
            <w:pPr>
              <w:rPr>
                <w:sz w:val="20"/>
                <w:lang w:val="sk-SK"/>
              </w:rPr>
            </w:pPr>
          </w:p>
        </w:tc>
        <w:tc>
          <w:tcPr>
            <w:tcW w:w="1701" w:type="dxa"/>
            <w:shd w:val="clear" w:color="auto" w:fill="auto"/>
          </w:tcPr>
          <w:p w14:paraId="60705E2C" w14:textId="18747147" w:rsidR="007B5FEC" w:rsidRPr="00233E28" w:rsidRDefault="00657D60" w:rsidP="007B5FEC">
            <w:pPr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>Zlyhanie</w:t>
            </w:r>
            <w:r w:rsidR="00926667" w:rsidRPr="00233E28">
              <w:rPr>
                <w:sz w:val="20"/>
                <w:lang w:val="sk-SK"/>
              </w:rPr>
              <w:t xml:space="preserve"> kostnej drene</w:t>
            </w:r>
            <w:r w:rsidR="0028364A" w:rsidRPr="00233E28">
              <w:rPr>
                <w:sz w:val="20"/>
                <w:lang w:val="sk-SK"/>
              </w:rPr>
              <w:t xml:space="preserve">, </w:t>
            </w:r>
            <w:proofErr w:type="spellStart"/>
            <w:r w:rsidR="0028364A" w:rsidRPr="00233E28">
              <w:rPr>
                <w:sz w:val="20"/>
                <w:lang w:val="sk-SK"/>
              </w:rPr>
              <w:t>pancytopénia</w:t>
            </w:r>
            <w:proofErr w:type="spellEnd"/>
            <w:r w:rsidR="0028364A" w:rsidRPr="00233E28">
              <w:rPr>
                <w:sz w:val="20"/>
                <w:lang w:val="sk-SK"/>
              </w:rPr>
              <w:t xml:space="preserve">, </w:t>
            </w:r>
            <w:proofErr w:type="spellStart"/>
            <w:r w:rsidR="0028364A" w:rsidRPr="00233E28">
              <w:rPr>
                <w:sz w:val="20"/>
                <w:lang w:val="sk-SK"/>
              </w:rPr>
              <w:t>neutropénia</w:t>
            </w:r>
            <w:proofErr w:type="spellEnd"/>
            <w:r w:rsidR="007B5FEC" w:rsidRPr="00233E28">
              <w:rPr>
                <w:sz w:val="20"/>
                <w:lang w:val="sk-SK"/>
              </w:rPr>
              <w:t xml:space="preserve">, </w:t>
            </w:r>
            <w:proofErr w:type="spellStart"/>
            <w:r w:rsidR="007B5FEC" w:rsidRPr="00233E28">
              <w:rPr>
                <w:sz w:val="20"/>
                <w:lang w:val="sk-SK"/>
              </w:rPr>
              <w:t>agranulocytóza</w:t>
            </w:r>
            <w:proofErr w:type="spellEnd"/>
          </w:p>
          <w:p w14:paraId="51D9B0E2" w14:textId="77777777" w:rsidR="003E3C22" w:rsidRPr="00233E28" w:rsidRDefault="007B5FEC" w:rsidP="007B5FEC">
            <w:pPr>
              <w:rPr>
                <w:sz w:val="20"/>
                <w:lang w:val="sk-SK"/>
              </w:rPr>
            </w:pPr>
            <w:r w:rsidRPr="00233E28">
              <w:rPr>
                <w:sz w:val="20"/>
                <w:lang w:val="sk-SK"/>
              </w:rPr>
              <w:t xml:space="preserve">(pozri časť 4.4), </w:t>
            </w:r>
            <w:proofErr w:type="spellStart"/>
            <w:r w:rsidRPr="00233E28">
              <w:rPr>
                <w:sz w:val="20"/>
                <w:lang w:val="sk-SK"/>
              </w:rPr>
              <w:t>hemolytická</w:t>
            </w:r>
            <w:proofErr w:type="spellEnd"/>
            <w:r w:rsidRPr="00233E28">
              <w:rPr>
                <w:sz w:val="20"/>
                <w:lang w:val="sk-SK"/>
              </w:rPr>
              <w:t xml:space="preserve"> anémia</w:t>
            </w:r>
          </w:p>
        </w:tc>
      </w:tr>
      <w:tr w:rsidR="000979CA" w:rsidRPr="00233E28" w14:paraId="0AF13AD6" w14:textId="77777777" w:rsidTr="00233E28">
        <w:tc>
          <w:tcPr>
            <w:tcW w:w="1620" w:type="dxa"/>
            <w:shd w:val="clear" w:color="auto" w:fill="auto"/>
          </w:tcPr>
          <w:p w14:paraId="344E6450" w14:textId="77777777" w:rsidR="003E3C22" w:rsidRPr="00233E28" w:rsidRDefault="003E3C22" w:rsidP="003E3C22">
            <w:pPr>
              <w:rPr>
                <w:b/>
                <w:sz w:val="20"/>
                <w:lang w:val="sk-SK"/>
              </w:rPr>
            </w:pPr>
            <w:r w:rsidRPr="00233E28">
              <w:rPr>
                <w:b/>
                <w:sz w:val="20"/>
                <w:lang w:val="sk-SK"/>
              </w:rPr>
              <w:t>Poruchy imunitného systému</w:t>
            </w:r>
          </w:p>
        </w:tc>
        <w:tc>
          <w:tcPr>
            <w:tcW w:w="1080" w:type="dxa"/>
            <w:shd w:val="clear" w:color="auto" w:fill="auto"/>
          </w:tcPr>
          <w:p w14:paraId="3E6B12A0" w14:textId="77777777" w:rsidR="003E3C22" w:rsidRPr="00233E28" w:rsidRDefault="003E3C22" w:rsidP="003E3C22">
            <w:pPr>
              <w:rPr>
                <w:sz w:val="20"/>
                <w:lang w:val="sk-SK"/>
              </w:rPr>
            </w:pPr>
          </w:p>
        </w:tc>
        <w:tc>
          <w:tcPr>
            <w:tcW w:w="1377" w:type="dxa"/>
            <w:shd w:val="clear" w:color="auto" w:fill="auto"/>
          </w:tcPr>
          <w:p w14:paraId="2CB65B7E" w14:textId="77777777" w:rsidR="003E3C22" w:rsidRPr="00233E28" w:rsidRDefault="003E3C22" w:rsidP="003E3C22">
            <w:pPr>
              <w:rPr>
                <w:sz w:val="20"/>
                <w:lang w:val="sk-SK"/>
              </w:rPr>
            </w:pPr>
          </w:p>
        </w:tc>
        <w:tc>
          <w:tcPr>
            <w:tcW w:w="1418" w:type="dxa"/>
            <w:shd w:val="clear" w:color="auto" w:fill="auto"/>
          </w:tcPr>
          <w:p w14:paraId="19F59B36" w14:textId="77777777" w:rsidR="00657D60" w:rsidRDefault="00EA7A42" w:rsidP="00EA7A42">
            <w:pPr>
              <w:rPr>
                <w:sz w:val="20"/>
                <w:lang w:val="sk-SK"/>
              </w:rPr>
            </w:pPr>
            <w:proofErr w:type="spellStart"/>
            <w:r w:rsidRPr="00233E28">
              <w:rPr>
                <w:sz w:val="20"/>
                <w:lang w:val="sk-SK"/>
              </w:rPr>
              <w:t>Jarisch-Herxheimero</w:t>
            </w:r>
            <w:proofErr w:type="spellEnd"/>
          </w:p>
          <w:p w14:paraId="4B99086A" w14:textId="02922D3F" w:rsidR="003E3C22" w:rsidRPr="00233E28" w:rsidRDefault="00EA7A42" w:rsidP="00802542">
            <w:pPr>
              <w:rPr>
                <w:sz w:val="20"/>
                <w:vertAlign w:val="superscript"/>
                <w:lang w:val="sk-SK"/>
              </w:rPr>
            </w:pPr>
            <w:proofErr w:type="spellStart"/>
            <w:r w:rsidRPr="00233E28">
              <w:rPr>
                <w:sz w:val="20"/>
                <w:lang w:val="sk-SK"/>
              </w:rPr>
              <w:t>v</w:t>
            </w:r>
            <w:r w:rsidR="00657D60">
              <w:rPr>
                <w:sz w:val="20"/>
                <w:lang w:val="sk-SK"/>
              </w:rPr>
              <w:t>a</w:t>
            </w:r>
            <w:proofErr w:type="spellEnd"/>
            <w:r w:rsidRPr="00233E28">
              <w:rPr>
                <w:sz w:val="20"/>
                <w:lang w:val="sk-SK"/>
              </w:rPr>
              <w:t xml:space="preserve"> reakci</w:t>
            </w:r>
            <w:r w:rsidR="00657D60">
              <w:rPr>
                <w:sz w:val="20"/>
                <w:lang w:val="sk-SK"/>
              </w:rPr>
              <w:t>a</w:t>
            </w:r>
            <w:r w:rsidR="00802542">
              <w:rPr>
                <w:sz w:val="20"/>
                <w:lang w:val="sk-SK"/>
              </w:rPr>
              <w:t xml:space="preserve"> </w:t>
            </w:r>
            <w:r w:rsidRPr="00233E28">
              <w:rPr>
                <w:sz w:val="20"/>
                <w:vertAlign w:val="superscript"/>
                <w:lang w:val="sk-SK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08A9A32D" w14:textId="3FA71D03" w:rsidR="003E3C22" w:rsidRPr="00233E28" w:rsidRDefault="003E3C22" w:rsidP="003E3C22">
            <w:pPr>
              <w:rPr>
                <w:sz w:val="20"/>
                <w:lang w:val="sk-SK"/>
              </w:rPr>
            </w:pPr>
          </w:p>
          <w:p w14:paraId="7DA12044" w14:textId="0910BF87" w:rsidR="003E3C22" w:rsidRPr="00233E28" w:rsidRDefault="003E3C22" w:rsidP="003E3C22">
            <w:pPr>
              <w:rPr>
                <w:sz w:val="20"/>
                <w:lang w:val="sk-SK"/>
              </w:rPr>
            </w:pPr>
          </w:p>
        </w:tc>
        <w:tc>
          <w:tcPr>
            <w:tcW w:w="1134" w:type="dxa"/>
            <w:shd w:val="clear" w:color="auto" w:fill="auto"/>
          </w:tcPr>
          <w:p w14:paraId="295FD135" w14:textId="4BABAC9F" w:rsidR="003E3C22" w:rsidRPr="00233E28" w:rsidRDefault="003E3C22" w:rsidP="004A7EC8">
            <w:pPr>
              <w:rPr>
                <w:sz w:val="20"/>
                <w:lang w:val="sk-SK"/>
              </w:rPr>
            </w:pPr>
          </w:p>
        </w:tc>
        <w:tc>
          <w:tcPr>
            <w:tcW w:w="1701" w:type="dxa"/>
            <w:shd w:val="clear" w:color="auto" w:fill="auto"/>
          </w:tcPr>
          <w:p w14:paraId="5BE9A582" w14:textId="135FB98E" w:rsidR="00174731" w:rsidRPr="00233E28" w:rsidRDefault="00657D60" w:rsidP="00174731">
            <w:pPr>
              <w:rPr>
                <w:sz w:val="20"/>
                <w:lang w:val="sk-SK"/>
              </w:rPr>
            </w:pPr>
            <w:proofErr w:type="spellStart"/>
            <w:r>
              <w:rPr>
                <w:sz w:val="20"/>
                <w:lang w:val="sk-SK"/>
              </w:rPr>
              <w:t>A</w:t>
            </w:r>
            <w:r w:rsidRPr="00057049">
              <w:rPr>
                <w:sz w:val="20"/>
                <w:lang w:val="sk-SK"/>
              </w:rPr>
              <w:t>nafylaktické</w:t>
            </w:r>
            <w:proofErr w:type="spellEnd"/>
            <w:r w:rsidRPr="00057049">
              <w:rPr>
                <w:sz w:val="20"/>
                <w:lang w:val="sk-SK"/>
              </w:rPr>
              <w:t xml:space="preserve"> reakcie</w:t>
            </w:r>
            <w:r w:rsidRPr="007A70FA">
              <w:rPr>
                <w:noProof/>
                <w:sz w:val="20"/>
                <w:lang w:val="sk-SK"/>
              </w:rPr>
              <w:t xml:space="preserve"> </w:t>
            </w:r>
            <w:proofErr w:type="spellStart"/>
            <w:r w:rsidR="00174731" w:rsidRPr="00233E28">
              <w:rPr>
                <w:sz w:val="20"/>
                <w:lang w:val="sk-SK"/>
              </w:rPr>
              <w:t>angioedém</w:t>
            </w:r>
            <w:proofErr w:type="spellEnd"/>
            <w:r w:rsidR="00174731" w:rsidRPr="00233E28">
              <w:rPr>
                <w:sz w:val="20"/>
                <w:lang w:val="sk-SK"/>
              </w:rPr>
              <w:t xml:space="preserve">, </w:t>
            </w:r>
          </w:p>
          <w:p w14:paraId="2D7F6277" w14:textId="77777777" w:rsidR="003E3C22" w:rsidRPr="00233E28" w:rsidRDefault="008C02AD" w:rsidP="007A70FA">
            <w:pPr>
              <w:rPr>
                <w:sz w:val="20"/>
                <w:lang w:val="sk-SK"/>
              </w:rPr>
            </w:pPr>
            <w:proofErr w:type="spellStart"/>
            <w:r>
              <w:rPr>
                <w:sz w:val="20"/>
                <w:lang w:val="sk-SK"/>
              </w:rPr>
              <w:t>b</w:t>
            </w:r>
            <w:r w:rsidR="00174731" w:rsidRPr="00233E28">
              <w:rPr>
                <w:sz w:val="20"/>
                <w:lang w:val="sk-SK"/>
              </w:rPr>
              <w:t>ronchospazmus</w:t>
            </w:r>
            <w:proofErr w:type="spellEnd"/>
            <w:r w:rsidR="00174731" w:rsidRPr="00233E28">
              <w:rPr>
                <w:sz w:val="20"/>
                <w:lang w:val="sk-SK"/>
              </w:rPr>
              <w:t xml:space="preserve">, </w:t>
            </w:r>
            <w:proofErr w:type="spellStart"/>
            <w:r w:rsidR="00174731" w:rsidRPr="00233E28">
              <w:rPr>
                <w:sz w:val="20"/>
                <w:lang w:val="sk-SK"/>
              </w:rPr>
              <w:t>anafylaktický</w:t>
            </w:r>
            <w:proofErr w:type="spellEnd"/>
            <w:r w:rsidR="00174731" w:rsidRPr="00233E28">
              <w:rPr>
                <w:sz w:val="20"/>
                <w:lang w:val="sk-SK"/>
              </w:rPr>
              <w:t xml:space="preserve"> šok</w:t>
            </w:r>
          </w:p>
        </w:tc>
      </w:tr>
      <w:tr w:rsidR="000979CA" w:rsidRPr="00233E28" w14:paraId="7647BEAB" w14:textId="77777777" w:rsidTr="00233E28">
        <w:tc>
          <w:tcPr>
            <w:tcW w:w="1620" w:type="dxa"/>
            <w:shd w:val="clear" w:color="auto" w:fill="auto"/>
          </w:tcPr>
          <w:p w14:paraId="636AE1C8" w14:textId="77777777" w:rsidR="003E3C22" w:rsidRPr="00233E28" w:rsidRDefault="003E3C22" w:rsidP="003E3C22">
            <w:pPr>
              <w:rPr>
                <w:b/>
                <w:sz w:val="20"/>
                <w:lang w:val="sk-SK"/>
              </w:rPr>
            </w:pPr>
            <w:r w:rsidRPr="00233E28">
              <w:rPr>
                <w:b/>
                <w:sz w:val="20"/>
                <w:lang w:val="sk-SK"/>
              </w:rPr>
              <w:t>Poruchy nervového systému</w:t>
            </w:r>
          </w:p>
        </w:tc>
        <w:tc>
          <w:tcPr>
            <w:tcW w:w="1080" w:type="dxa"/>
            <w:shd w:val="clear" w:color="auto" w:fill="auto"/>
          </w:tcPr>
          <w:p w14:paraId="16649EC9" w14:textId="77777777" w:rsidR="003E3C22" w:rsidRPr="00233E28" w:rsidRDefault="003E3C22" w:rsidP="003E3C22">
            <w:pPr>
              <w:rPr>
                <w:sz w:val="20"/>
                <w:lang w:val="sk-SK"/>
              </w:rPr>
            </w:pPr>
          </w:p>
        </w:tc>
        <w:tc>
          <w:tcPr>
            <w:tcW w:w="1377" w:type="dxa"/>
            <w:shd w:val="clear" w:color="auto" w:fill="auto"/>
          </w:tcPr>
          <w:p w14:paraId="2D2C326D" w14:textId="77777777" w:rsidR="003E3C22" w:rsidRPr="00233E28" w:rsidRDefault="003E3C22" w:rsidP="003E3C22">
            <w:pPr>
              <w:rPr>
                <w:sz w:val="20"/>
                <w:lang w:val="sk-SK"/>
              </w:rPr>
            </w:pPr>
          </w:p>
        </w:tc>
        <w:tc>
          <w:tcPr>
            <w:tcW w:w="1418" w:type="dxa"/>
            <w:shd w:val="clear" w:color="auto" w:fill="auto"/>
          </w:tcPr>
          <w:p w14:paraId="13975C49" w14:textId="77777777" w:rsidR="003E3C22" w:rsidRPr="00233E28" w:rsidRDefault="00C4023B" w:rsidP="003E3C22">
            <w:pPr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>Kŕče (pozri časť 4.4)</w:t>
            </w:r>
          </w:p>
        </w:tc>
        <w:tc>
          <w:tcPr>
            <w:tcW w:w="1134" w:type="dxa"/>
            <w:shd w:val="clear" w:color="auto" w:fill="auto"/>
          </w:tcPr>
          <w:p w14:paraId="65C05B28" w14:textId="1E1ECEE3" w:rsidR="003E3C22" w:rsidRPr="00233E28" w:rsidRDefault="003E3C22" w:rsidP="00051C77">
            <w:pPr>
              <w:rPr>
                <w:sz w:val="20"/>
                <w:lang w:val="sk-SK"/>
              </w:rPr>
            </w:pPr>
            <w:r w:rsidRPr="00233E28">
              <w:rPr>
                <w:sz w:val="20"/>
                <w:lang w:val="sk-SK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1F75F024" w14:textId="77777777" w:rsidR="003E3C22" w:rsidRPr="00233E28" w:rsidRDefault="003E3C22" w:rsidP="003E3C22">
            <w:pPr>
              <w:rPr>
                <w:sz w:val="20"/>
                <w:lang w:val="sk-SK"/>
              </w:rPr>
            </w:pPr>
          </w:p>
        </w:tc>
        <w:tc>
          <w:tcPr>
            <w:tcW w:w="1701" w:type="dxa"/>
            <w:shd w:val="clear" w:color="auto" w:fill="auto"/>
          </w:tcPr>
          <w:p w14:paraId="0A8A4A0E" w14:textId="1EF3AC10" w:rsidR="003E3C22" w:rsidRPr="00233E28" w:rsidRDefault="003E3C22" w:rsidP="00233E28">
            <w:pPr>
              <w:ind w:right="-108"/>
              <w:rPr>
                <w:sz w:val="20"/>
                <w:lang w:val="sk-SK"/>
              </w:rPr>
            </w:pPr>
            <w:r w:rsidRPr="00233E28">
              <w:rPr>
                <w:sz w:val="20"/>
                <w:lang w:val="sk-SK"/>
              </w:rPr>
              <w:t>Boles</w:t>
            </w:r>
            <w:r w:rsidR="000F1129" w:rsidRPr="00233E28">
              <w:rPr>
                <w:sz w:val="20"/>
                <w:lang w:val="sk-SK"/>
              </w:rPr>
              <w:t>ť</w:t>
            </w:r>
            <w:r w:rsidRPr="00233E28">
              <w:rPr>
                <w:sz w:val="20"/>
                <w:lang w:val="sk-SK"/>
              </w:rPr>
              <w:t xml:space="preserve"> hlavy</w:t>
            </w:r>
            <w:r w:rsidR="000F1129" w:rsidRPr="00233E28">
              <w:rPr>
                <w:sz w:val="20"/>
                <w:lang w:val="sk-SK"/>
              </w:rPr>
              <w:t>,</w:t>
            </w:r>
            <w:r w:rsidR="00D2563E" w:rsidRPr="00233E28">
              <w:rPr>
                <w:sz w:val="20"/>
                <w:lang w:val="sk-SK"/>
              </w:rPr>
              <w:t xml:space="preserve"> </w:t>
            </w:r>
            <w:r w:rsidR="008C02AD">
              <w:rPr>
                <w:sz w:val="20"/>
                <w:lang w:val="sk-SK"/>
              </w:rPr>
              <w:t xml:space="preserve">závrat, </w:t>
            </w:r>
            <w:proofErr w:type="spellStart"/>
            <w:r w:rsidR="00D2563E" w:rsidRPr="00233E28">
              <w:rPr>
                <w:sz w:val="20"/>
                <w:lang w:val="sk-SK"/>
              </w:rPr>
              <w:t>encefalopatia</w:t>
            </w:r>
            <w:proofErr w:type="spellEnd"/>
            <w:r w:rsidR="009E5D37" w:rsidRPr="00233E28">
              <w:rPr>
                <w:sz w:val="20"/>
                <w:lang w:val="sk-SK"/>
              </w:rPr>
              <w:t xml:space="preserve"> </w:t>
            </w:r>
            <w:r w:rsidR="00D2563E" w:rsidRPr="00233E28">
              <w:rPr>
                <w:sz w:val="20"/>
                <w:vertAlign w:val="superscript"/>
                <w:lang w:val="sk-SK"/>
              </w:rPr>
              <w:t>3</w:t>
            </w:r>
            <w:r w:rsidR="00D2563E" w:rsidRPr="00233E28">
              <w:rPr>
                <w:sz w:val="20"/>
                <w:lang w:val="sk-SK"/>
              </w:rPr>
              <w:t xml:space="preserve"> (</w:t>
            </w:r>
            <w:r w:rsidR="00915277" w:rsidRPr="00233E28">
              <w:rPr>
                <w:sz w:val="20"/>
                <w:lang w:val="sk-SK"/>
              </w:rPr>
              <w:t>pozri časť 4.4)</w:t>
            </w:r>
          </w:p>
        </w:tc>
      </w:tr>
      <w:tr w:rsidR="000979CA" w:rsidRPr="00233E28" w14:paraId="639C781F" w14:textId="77777777" w:rsidTr="00233E28">
        <w:tc>
          <w:tcPr>
            <w:tcW w:w="1620" w:type="dxa"/>
            <w:shd w:val="clear" w:color="auto" w:fill="auto"/>
          </w:tcPr>
          <w:p w14:paraId="396AA02E" w14:textId="77777777" w:rsidR="003E3C22" w:rsidRPr="00233E28" w:rsidRDefault="003E3C22" w:rsidP="003E3C22">
            <w:pPr>
              <w:rPr>
                <w:b/>
                <w:sz w:val="20"/>
                <w:lang w:val="sk-SK"/>
              </w:rPr>
            </w:pPr>
            <w:r w:rsidRPr="00233E28">
              <w:rPr>
                <w:b/>
                <w:sz w:val="20"/>
                <w:lang w:val="sk-SK"/>
              </w:rPr>
              <w:t>Poruchy srdca a srdcovej činnosti</w:t>
            </w:r>
          </w:p>
        </w:tc>
        <w:tc>
          <w:tcPr>
            <w:tcW w:w="1080" w:type="dxa"/>
            <w:shd w:val="clear" w:color="auto" w:fill="auto"/>
          </w:tcPr>
          <w:p w14:paraId="4A8FDA81" w14:textId="77777777" w:rsidR="003E3C22" w:rsidRPr="00233E28" w:rsidRDefault="003E3C22" w:rsidP="003E3C22">
            <w:pPr>
              <w:rPr>
                <w:sz w:val="20"/>
                <w:lang w:val="sk-SK"/>
              </w:rPr>
            </w:pPr>
          </w:p>
        </w:tc>
        <w:tc>
          <w:tcPr>
            <w:tcW w:w="1377" w:type="dxa"/>
            <w:shd w:val="clear" w:color="auto" w:fill="auto"/>
          </w:tcPr>
          <w:p w14:paraId="0BBE5FE2" w14:textId="77777777" w:rsidR="003E3C22" w:rsidRPr="00233E28" w:rsidRDefault="003E3C22" w:rsidP="003E3C22">
            <w:pPr>
              <w:rPr>
                <w:sz w:val="20"/>
                <w:lang w:val="sk-SK"/>
              </w:rPr>
            </w:pPr>
          </w:p>
        </w:tc>
        <w:tc>
          <w:tcPr>
            <w:tcW w:w="1418" w:type="dxa"/>
            <w:shd w:val="clear" w:color="auto" w:fill="auto"/>
          </w:tcPr>
          <w:p w14:paraId="21710C7D" w14:textId="77777777" w:rsidR="003E3C22" w:rsidRPr="00233E28" w:rsidRDefault="003E3C22" w:rsidP="003E3C22">
            <w:pPr>
              <w:rPr>
                <w:sz w:val="20"/>
                <w:lang w:val="sk-SK"/>
              </w:rPr>
            </w:pPr>
          </w:p>
        </w:tc>
        <w:tc>
          <w:tcPr>
            <w:tcW w:w="1134" w:type="dxa"/>
            <w:shd w:val="clear" w:color="auto" w:fill="auto"/>
          </w:tcPr>
          <w:p w14:paraId="4C864CE3" w14:textId="393B3425" w:rsidR="003E3C22" w:rsidRPr="00233E28" w:rsidRDefault="003E3C22" w:rsidP="003E3C22">
            <w:pPr>
              <w:rPr>
                <w:sz w:val="20"/>
                <w:lang w:val="sk-SK"/>
              </w:rPr>
            </w:pPr>
          </w:p>
        </w:tc>
        <w:tc>
          <w:tcPr>
            <w:tcW w:w="1134" w:type="dxa"/>
            <w:shd w:val="clear" w:color="auto" w:fill="auto"/>
          </w:tcPr>
          <w:p w14:paraId="57406C97" w14:textId="77777777" w:rsidR="003E3C22" w:rsidRPr="00233E28" w:rsidRDefault="003E3C22" w:rsidP="003E3C22">
            <w:pPr>
              <w:rPr>
                <w:sz w:val="20"/>
                <w:lang w:val="sk-SK"/>
              </w:rPr>
            </w:pPr>
          </w:p>
        </w:tc>
        <w:tc>
          <w:tcPr>
            <w:tcW w:w="1701" w:type="dxa"/>
            <w:shd w:val="clear" w:color="auto" w:fill="auto"/>
          </w:tcPr>
          <w:p w14:paraId="5D92CBAC" w14:textId="77777777" w:rsidR="003E3C22" w:rsidRPr="00233E28" w:rsidRDefault="00915277" w:rsidP="003E3C22">
            <w:pPr>
              <w:rPr>
                <w:sz w:val="20"/>
                <w:lang w:val="sk-SK"/>
              </w:rPr>
            </w:pPr>
            <w:proofErr w:type="spellStart"/>
            <w:r w:rsidRPr="00233E28">
              <w:rPr>
                <w:sz w:val="20"/>
                <w:lang w:val="sk-SK"/>
              </w:rPr>
              <w:t>Tachykardia</w:t>
            </w:r>
            <w:proofErr w:type="spellEnd"/>
            <w:r w:rsidRPr="00233E28">
              <w:rPr>
                <w:sz w:val="20"/>
                <w:lang w:val="sk-SK"/>
              </w:rPr>
              <w:t xml:space="preserve">, </w:t>
            </w:r>
            <w:proofErr w:type="spellStart"/>
            <w:r w:rsidR="00B36667" w:rsidRPr="00233E28">
              <w:rPr>
                <w:sz w:val="20"/>
                <w:lang w:val="sk-SK"/>
              </w:rPr>
              <w:t>arytmia</w:t>
            </w:r>
            <w:proofErr w:type="spellEnd"/>
            <w:r w:rsidR="00B36667" w:rsidRPr="00233E28">
              <w:rPr>
                <w:sz w:val="20"/>
                <w:lang w:val="sk-SK"/>
              </w:rPr>
              <w:t xml:space="preserve"> po podaní rýchlej infúzie ako </w:t>
            </w:r>
            <w:proofErr w:type="spellStart"/>
            <w:r w:rsidR="00B36667" w:rsidRPr="00233E28">
              <w:rPr>
                <w:sz w:val="20"/>
                <w:lang w:val="sk-SK"/>
              </w:rPr>
              <w:t>bolus</w:t>
            </w:r>
            <w:proofErr w:type="spellEnd"/>
            <w:r w:rsidR="00B36667" w:rsidRPr="00233E28">
              <w:rPr>
                <w:sz w:val="20"/>
                <w:lang w:val="sk-SK"/>
              </w:rPr>
              <w:t xml:space="preserve"> cez centrálny </w:t>
            </w:r>
            <w:proofErr w:type="spellStart"/>
            <w:r w:rsidR="00B36667" w:rsidRPr="00233E28">
              <w:rPr>
                <w:sz w:val="20"/>
                <w:lang w:val="sk-SK"/>
              </w:rPr>
              <w:t>venózny</w:t>
            </w:r>
            <w:proofErr w:type="spellEnd"/>
            <w:r w:rsidR="00B36667" w:rsidRPr="00233E28">
              <w:rPr>
                <w:sz w:val="20"/>
                <w:lang w:val="sk-SK"/>
              </w:rPr>
              <w:t xml:space="preserve"> katéter (CVC)</w:t>
            </w:r>
          </w:p>
        </w:tc>
      </w:tr>
      <w:tr w:rsidR="000979CA" w:rsidRPr="00345FAC" w14:paraId="35E0957C" w14:textId="77777777" w:rsidTr="00233E28">
        <w:tc>
          <w:tcPr>
            <w:tcW w:w="1620" w:type="dxa"/>
            <w:shd w:val="clear" w:color="auto" w:fill="auto"/>
          </w:tcPr>
          <w:p w14:paraId="04B93A05" w14:textId="77777777" w:rsidR="003E3C22" w:rsidRPr="00233E28" w:rsidRDefault="003E3C22" w:rsidP="003E3C22">
            <w:pPr>
              <w:rPr>
                <w:b/>
                <w:sz w:val="20"/>
                <w:lang w:val="sk-SK"/>
              </w:rPr>
            </w:pPr>
            <w:r w:rsidRPr="00233E28">
              <w:rPr>
                <w:b/>
                <w:sz w:val="20"/>
                <w:lang w:val="sk-SK"/>
              </w:rPr>
              <w:t xml:space="preserve">Poruchy </w:t>
            </w:r>
            <w:proofErr w:type="spellStart"/>
            <w:r w:rsidRPr="00233E28">
              <w:rPr>
                <w:b/>
                <w:sz w:val="20"/>
                <w:lang w:val="sk-SK"/>
              </w:rPr>
              <w:t>gastrointesti</w:t>
            </w:r>
            <w:r w:rsidR="004D3A76" w:rsidRPr="00233E28">
              <w:rPr>
                <w:b/>
                <w:sz w:val="20"/>
                <w:lang w:val="sk-SK"/>
              </w:rPr>
              <w:t>-</w:t>
            </w:r>
            <w:r w:rsidRPr="00233E28">
              <w:rPr>
                <w:b/>
                <w:sz w:val="20"/>
                <w:lang w:val="sk-SK"/>
              </w:rPr>
              <w:t>nálneho</w:t>
            </w:r>
            <w:proofErr w:type="spellEnd"/>
            <w:r w:rsidRPr="00233E28">
              <w:rPr>
                <w:b/>
                <w:sz w:val="20"/>
                <w:lang w:val="sk-SK"/>
              </w:rPr>
              <w:t xml:space="preserve"> traktu</w:t>
            </w:r>
          </w:p>
        </w:tc>
        <w:tc>
          <w:tcPr>
            <w:tcW w:w="1080" w:type="dxa"/>
            <w:shd w:val="clear" w:color="auto" w:fill="auto"/>
          </w:tcPr>
          <w:p w14:paraId="50F395DA" w14:textId="77777777" w:rsidR="003E3C22" w:rsidRPr="00233E28" w:rsidRDefault="003E3C22" w:rsidP="003E3C22">
            <w:pPr>
              <w:rPr>
                <w:sz w:val="20"/>
                <w:lang w:val="sk-SK"/>
              </w:rPr>
            </w:pPr>
          </w:p>
        </w:tc>
        <w:tc>
          <w:tcPr>
            <w:tcW w:w="1377" w:type="dxa"/>
            <w:shd w:val="clear" w:color="auto" w:fill="auto"/>
          </w:tcPr>
          <w:p w14:paraId="417F3A7A" w14:textId="2F4C3AD2" w:rsidR="003E3C22" w:rsidRPr="00233E28" w:rsidRDefault="003E3C22" w:rsidP="003E3C22">
            <w:pPr>
              <w:rPr>
                <w:sz w:val="20"/>
                <w:lang w:val="sk-SK"/>
              </w:rPr>
            </w:pPr>
          </w:p>
        </w:tc>
        <w:tc>
          <w:tcPr>
            <w:tcW w:w="1418" w:type="dxa"/>
            <w:shd w:val="clear" w:color="auto" w:fill="auto"/>
          </w:tcPr>
          <w:p w14:paraId="48F331C3" w14:textId="77777777" w:rsidR="00B36667" w:rsidRPr="00233E28" w:rsidRDefault="00B36667" w:rsidP="00B36667">
            <w:pPr>
              <w:rPr>
                <w:sz w:val="20"/>
                <w:lang w:val="sk-SK"/>
              </w:rPr>
            </w:pPr>
            <w:r w:rsidRPr="00233E28">
              <w:rPr>
                <w:sz w:val="20"/>
                <w:lang w:val="sk-SK"/>
              </w:rPr>
              <w:t>Hnačka,</w:t>
            </w:r>
          </w:p>
          <w:p w14:paraId="34C8DEB5" w14:textId="1A7959CA" w:rsidR="003E3C22" w:rsidRPr="00233E28" w:rsidRDefault="00B36667" w:rsidP="003E3C22">
            <w:pPr>
              <w:rPr>
                <w:sz w:val="20"/>
                <w:lang w:val="sk-SK"/>
              </w:rPr>
            </w:pPr>
            <w:r w:rsidRPr="00233E28">
              <w:rPr>
                <w:sz w:val="20"/>
                <w:lang w:val="sk-SK"/>
              </w:rPr>
              <w:t>s</w:t>
            </w:r>
            <w:r w:rsidR="003E3C22" w:rsidRPr="00233E28">
              <w:rPr>
                <w:sz w:val="20"/>
                <w:lang w:val="sk-SK"/>
              </w:rPr>
              <w:t>trata chuti do jedla</w:t>
            </w:r>
          </w:p>
        </w:tc>
        <w:tc>
          <w:tcPr>
            <w:tcW w:w="1134" w:type="dxa"/>
            <w:shd w:val="clear" w:color="auto" w:fill="auto"/>
          </w:tcPr>
          <w:p w14:paraId="43EE41EA" w14:textId="7CD5BC42" w:rsidR="003E3C22" w:rsidRPr="00233E28" w:rsidRDefault="00767AFE" w:rsidP="003E3C22">
            <w:pPr>
              <w:rPr>
                <w:sz w:val="20"/>
                <w:lang w:val="sk-SK"/>
              </w:rPr>
            </w:pPr>
            <w:r w:rsidRPr="00233E28" w:rsidDel="00767AFE">
              <w:rPr>
                <w:sz w:val="20"/>
                <w:lang w:val="sk-SK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2663775D" w14:textId="77777777" w:rsidR="003E3C22" w:rsidRPr="00233E28" w:rsidRDefault="003E3C22" w:rsidP="003E3C22">
            <w:pPr>
              <w:rPr>
                <w:sz w:val="20"/>
                <w:lang w:val="sk-SK"/>
              </w:rPr>
            </w:pPr>
          </w:p>
        </w:tc>
        <w:tc>
          <w:tcPr>
            <w:tcW w:w="1701" w:type="dxa"/>
            <w:shd w:val="clear" w:color="auto" w:fill="auto"/>
          </w:tcPr>
          <w:p w14:paraId="50E6FDF4" w14:textId="77777777" w:rsidR="00FA29FA" w:rsidRPr="00233E28" w:rsidRDefault="00FA29FA" w:rsidP="00FA29FA">
            <w:pPr>
              <w:rPr>
                <w:sz w:val="20"/>
                <w:lang w:val="sk-SK"/>
              </w:rPr>
            </w:pPr>
            <w:r w:rsidRPr="00233E28">
              <w:rPr>
                <w:sz w:val="20"/>
                <w:lang w:val="sk-SK"/>
              </w:rPr>
              <w:t>Nevoľnosť,</w:t>
            </w:r>
          </w:p>
          <w:p w14:paraId="48A96B4E" w14:textId="77777777" w:rsidR="00FA29FA" w:rsidRPr="00233E28" w:rsidRDefault="00FA29FA" w:rsidP="00FA29FA">
            <w:pPr>
              <w:rPr>
                <w:sz w:val="20"/>
                <w:lang w:val="sk-SK"/>
              </w:rPr>
            </w:pPr>
            <w:r w:rsidRPr="00233E28">
              <w:rPr>
                <w:sz w:val="20"/>
                <w:lang w:val="sk-SK"/>
              </w:rPr>
              <w:t>vracanie,</w:t>
            </w:r>
          </w:p>
          <w:p w14:paraId="26867E3B" w14:textId="77777777" w:rsidR="003E3C22" w:rsidRPr="00233E28" w:rsidRDefault="00FA29FA" w:rsidP="0065522C">
            <w:pPr>
              <w:tabs>
                <w:tab w:val="clear" w:pos="567"/>
              </w:tabs>
              <w:ind w:right="-82"/>
              <w:rPr>
                <w:sz w:val="20"/>
                <w:lang w:val="sk-SK"/>
              </w:rPr>
            </w:pPr>
            <w:r w:rsidRPr="00233E28">
              <w:rPr>
                <w:sz w:val="20"/>
                <w:lang w:val="sk-SK"/>
              </w:rPr>
              <w:t xml:space="preserve">bolesti brucha, </w:t>
            </w:r>
            <w:proofErr w:type="spellStart"/>
            <w:r w:rsidRPr="00233E28">
              <w:rPr>
                <w:sz w:val="20"/>
                <w:lang w:val="sk-SK"/>
              </w:rPr>
              <w:t>enterokolitída</w:t>
            </w:r>
            <w:proofErr w:type="spellEnd"/>
            <w:r w:rsidRPr="00233E28">
              <w:rPr>
                <w:sz w:val="20"/>
                <w:lang w:val="sk-SK"/>
              </w:rPr>
              <w:t xml:space="preserve"> (aj </w:t>
            </w:r>
            <w:proofErr w:type="spellStart"/>
            <w:r w:rsidRPr="00233E28">
              <w:rPr>
                <w:sz w:val="20"/>
                <w:lang w:val="sk-SK"/>
              </w:rPr>
              <w:t>hemoragická</w:t>
            </w:r>
            <w:proofErr w:type="spellEnd"/>
            <w:r w:rsidRPr="00233E28">
              <w:rPr>
                <w:sz w:val="20"/>
                <w:lang w:val="sk-SK"/>
              </w:rPr>
              <w:t>)</w:t>
            </w:r>
            <w:r w:rsidR="0065522C" w:rsidRPr="00233E28">
              <w:rPr>
                <w:sz w:val="20"/>
                <w:lang w:val="sk-SK"/>
              </w:rPr>
              <w:t>,</w:t>
            </w:r>
          </w:p>
          <w:p w14:paraId="10A570AF" w14:textId="77777777" w:rsidR="00FA29FA" w:rsidRPr="00233E28" w:rsidRDefault="00FA29FA" w:rsidP="00051C77">
            <w:pPr>
              <w:rPr>
                <w:sz w:val="20"/>
                <w:lang w:val="sk-SK"/>
              </w:rPr>
            </w:pPr>
            <w:proofErr w:type="spellStart"/>
            <w:r w:rsidRPr="00233E28">
              <w:rPr>
                <w:sz w:val="20"/>
                <w:lang w:val="sk-SK"/>
              </w:rPr>
              <w:t>pseudomembr</w:t>
            </w:r>
            <w:r w:rsidR="00767AFE" w:rsidRPr="00233E28">
              <w:rPr>
                <w:sz w:val="20"/>
                <w:lang w:val="sk-SK"/>
              </w:rPr>
              <w:t>a</w:t>
            </w:r>
            <w:r w:rsidRPr="00233E28">
              <w:rPr>
                <w:sz w:val="20"/>
                <w:lang w:val="sk-SK"/>
              </w:rPr>
              <w:t>n</w:t>
            </w:r>
            <w:r w:rsidR="00767AFE" w:rsidRPr="00233E28">
              <w:rPr>
                <w:sz w:val="20"/>
                <w:lang w:val="sk-SK"/>
              </w:rPr>
              <w:t>ózna</w:t>
            </w:r>
            <w:proofErr w:type="spellEnd"/>
            <w:r w:rsidRPr="00233E28">
              <w:rPr>
                <w:sz w:val="20"/>
                <w:lang w:val="sk-SK"/>
              </w:rPr>
              <w:t xml:space="preserve"> </w:t>
            </w:r>
            <w:proofErr w:type="spellStart"/>
            <w:r w:rsidRPr="00233E28">
              <w:rPr>
                <w:sz w:val="20"/>
                <w:lang w:val="sk-SK"/>
              </w:rPr>
              <w:t>kolitíd</w:t>
            </w:r>
            <w:r w:rsidR="0065522C" w:rsidRPr="00233E28">
              <w:rPr>
                <w:sz w:val="20"/>
                <w:lang w:val="sk-SK"/>
              </w:rPr>
              <w:t>a</w:t>
            </w:r>
            <w:proofErr w:type="spellEnd"/>
            <w:r w:rsidR="0065522C" w:rsidRPr="00233E28">
              <w:rPr>
                <w:sz w:val="20"/>
                <w:lang w:val="sk-SK"/>
              </w:rPr>
              <w:t>(pozri časť 4.4)</w:t>
            </w:r>
          </w:p>
        </w:tc>
      </w:tr>
      <w:tr w:rsidR="000979CA" w:rsidRPr="00345FAC" w14:paraId="28685830" w14:textId="77777777" w:rsidTr="00233E28">
        <w:tc>
          <w:tcPr>
            <w:tcW w:w="1620" w:type="dxa"/>
            <w:shd w:val="clear" w:color="auto" w:fill="auto"/>
          </w:tcPr>
          <w:p w14:paraId="03D37A76" w14:textId="77777777" w:rsidR="003E3C22" w:rsidRPr="00233E28" w:rsidRDefault="003E3C22" w:rsidP="003E3C22">
            <w:pPr>
              <w:rPr>
                <w:b/>
                <w:sz w:val="20"/>
                <w:lang w:val="sk-SK"/>
              </w:rPr>
            </w:pPr>
            <w:r w:rsidRPr="00233E28">
              <w:rPr>
                <w:b/>
                <w:sz w:val="20"/>
                <w:lang w:val="sk-SK"/>
              </w:rPr>
              <w:t>Poruchy pečene a žlčových ciest</w:t>
            </w:r>
          </w:p>
        </w:tc>
        <w:tc>
          <w:tcPr>
            <w:tcW w:w="1080" w:type="dxa"/>
            <w:shd w:val="clear" w:color="auto" w:fill="auto"/>
          </w:tcPr>
          <w:p w14:paraId="630DAE1F" w14:textId="77777777" w:rsidR="003E3C22" w:rsidRPr="00233E28" w:rsidRDefault="003E3C22" w:rsidP="003E3C22">
            <w:pPr>
              <w:rPr>
                <w:sz w:val="20"/>
                <w:lang w:val="sk-SK"/>
              </w:rPr>
            </w:pPr>
          </w:p>
        </w:tc>
        <w:tc>
          <w:tcPr>
            <w:tcW w:w="1377" w:type="dxa"/>
            <w:shd w:val="clear" w:color="auto" w:fill="auto"/>
          </w:tcPr>
          <w:p w14:paraId="3E8FC90B" w14:textId="23C8F76F" w:rsidR="003E3C22" w:rsidRPr="00233E28" w:rsidRDefault="003E3C22" w:rsidP="003E3C22">
            <w:pPr>
              <w:rPr>
                <w:sz w:val="20"/>
                <w:lang w:val="sk-SK"/>
              </w:rPr>
            </w:pPr>
          </w:p>
        </w:tc>
        <w:tc>
          <w:tcPr>
            <w:tcW w:w="1418" w:type="dxa"/>
            <w:shd w:val="clear" w:color="auto" w:fill="auto"/>
          </w:tcPr>
          <w:p w14:paraId="2D20807E" w14:textId="77777777" w:rsidR="003E3C22" w:rsidRPr="00233E28" w:rsidRDefault="00767AFE" w:rsidP="00051C77">
            <w:pPr>
              <w:rPr>
                <w:sz w:val="20"/>
                <w:vertAlign w:val="superscript"/>
                <w:lang w:val="sk-SK"/>
              </w:rPr>
            </w:pPr>
            <w:r w:rsidRPr="00233E28">
              <w:rPr>
                <w:sz w:val="20"/>
                <w:lang w:val="sk-SK"/>
              </w:rPr>
              <w:t>Zvýšenie pečeňových enzýmov</w:t>
            </w:r>
            <w:r w:rsidR="0040418E" w:rsidRPr="00233E28">
              <w:rPr>
                <w:sz w:val="20"/>
                <w:lang w:val="sk-SK"/>
              </w:rPr>
              <w:t xml:space="preserve"> (ALAT, ASAT, LDH, </w:t>
            </w:r>
            <w:proofErr w:type="spellStart"/>
            <w:r w:rsidR="00B2569D">
              <w:rPr>
                <w:sz w:val="20"/>
                <w:lang w:val="sk-SK"/>
              </w:rPr>
              <w:t>gamma</w:t>
            </w:r>
            <w:proofErr w:type="spellEnd"/>
            <w:r w:rsidR="0040418E" w:rsidRPr="00233E28">
              <w:rPr>
                <w:sz w:val="20"/>
                <w:lang w:val="sk-SK"/>
              </w:rPr>
              <w:t>-GT a/alebo alkalick</w:t>
            </w:r>
            <w:r w:rsidR="00B2569D">
              <w:rPr>
                <w:sz w:val="20"/>
                <w:lang w:val="sk-SK"/>
              </w:rPr>
              <w:t>ej</w:t>
            </w:r>
            <w:r w:rsidR="0040418E" w:rsidRPr="00233E28">
              <w:rPr>
                <w:sz w:val="20"/>
                <w:lang w:val="sk-SK"/>
              </w:rPr>
              <w:t xml:space="preserve"> </w:t>
            </w:r>
            <w:proofErr w:type="spellStart"/>
            <w:r w:rsidR="0040418E" w:rsidRPr="00233E28">
              <w:rPr>
                <w:sz w:val="20"/>
                <w:lang w:val="sk-SK"/>
              </w:rPr>
              <w:t>fosfatáz</w:t>
            </w:r>
            <w:r w:rsidR="00B2569D">
              <w:rPr>
                <w:sz w:val="20"/>
                <w:lang w:val="sk-SK"/>
              </w:rPr>
              <w:t>y</w:t>
            </w:r>
            <w:proofErr w:type="spellEnd"/>
            <w:r w:rsidR="0040418E" w:rsidRPr="00233E28">
              <w:rPr>
                <w:sz w:val="20"/>
                <w:lang w:val="sk-SK"/>
              </w:rPr>
              <w:t xml:space="preserve">) a/alebo </w:t>
            </w:r>
            <w:proofErr w:type="spellStart"/>
            <w:r w:rsidR="0040418E" w:rsidRPr="00233E28">
              <w:rPr>
                <w:sz w:val="20"/>
                <w:lang w:val="sk-SK"/>
              </w:rPr>
              <w:t>bilirubínu</w:t>
            </w:r>
            <w:proofErr w:type="spellEnd"/>
            <w:r w:rsidR="009E5D37" w:rsidRPr="00233E28">
              <w:rPr>
                <w:sz w:val="20"/>
                <w:lang w:val="sk-SK"/>
              </w:rPr>
              <w:t xml:space="preserve"> </w:t>
            </w:r>
            <w:r w:rsidR="0040418E" w:rsidRPr="00233E28">
              <w:rPr>
                <w:sz w:val="20"/>
                <w:vertAlign w:val="superscript"/>
                <w:lang w:val="sk-SK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52EE1EEA" w14:textId="77777777" w:rsidR="003E3C22" w:rsidRPr="00233E28" w:rsidRDefault="003E3C22" w:rsidP="003E3C22">
            <w:pPr>
              <w:rPr>
                <w:sz w:val="20"/>
                <w:lang w:val="sk-SK"/>
              </w:rPr>
            </w:pPr>
          </w:p>
        </w:tc>
        <w:tc>
          <w:tcPr>
            <w:tcW w:w="1134" w:type="dxa"/>
            <w:shd w:val="clear" w:color="auto" w:fill="auto"/>
          </w:tcPr>
          <w:p w14:paraId="1424D93E" w14:textId="77777777" w:rsidR="003E3C22" w:rsidRPr="00233E28" w:rsidRDefault="003E3C22" w:rsidP="003E3C22">
            <w:pPr>
              <w:rPr>
                <w:sz w:val="20"/>
                <w:lang w:val="sk-SK"/>
              </w:rPr>
            </w:pPr>
          </w:p>
        </w:tc>
        <w:tc>
          <w:tcPr>
            <w:tcW w:w="1701" w:type="dxa"/>
            <w:shd w:val="clear" w:color="auto" w:fill="auto"/>
          </w:tcPr>
          <w:p w14:paraId="64AED804" w14:textId="6FC9197D" w:rsidR="003E3C22" w:rsidRPr="00233E28" w:rsidRDefault="003E3C22" w:rsidP="003E3C22">
            <w:pPr>
              <w:rPr>
                <w:sz w:val="20"/>
                <w:vertAlign w:val="superscript"/>
                <w:lang w:val="sk-SK"/>
              </w:rPr>
            </w:pPr>
            <w:r w:rsidRPr="00233E28">
              <w:rPr>
                <w:sz w:val="20"/>
                <w:lang w:val="sk-SK"/>
              </w:rPr>
              <w:t>Hepatitída</w:t>
            </w:r>
            <w:r w:rsidR="004E1B78" w:rsidRPr="00233E28">
              <w:rPr>
                <w:sz w:val="20"/>
                <w:lang w:val="sk-SK"/>
              </w:rPr>
              <w:t xml:space="preserve"> </w:t>
            </w:r>
            <w:r w:rsidR="004E1B78" w:rsidRPr="00233E28">
              <w:rPr>
                <w:sz w:val="20"/>
                <w:vertAlign w:val="superscript"/>
                <w:lang w:val="sk-SK"/>
              </w:rPr>
              <w:t>1</w:t>
            </w:r>
          </w:p>
          <w:p w14:paraId="22A21002" w14:textId="77777777" w:rsidR="003E3C22" w:rsidRPr="00233E28" w:rsidRDefault="003E3C22" w:rsidP="003E3C22">
            <w:pPr>
              <w:rPr>
                <w:sz w:val="20"/>
                <w:lang w:val="sk-SK"/>
              </w:rPr>
            </w:pPr>
            <w:r w:rsidRPr="00233E28">
              <w:rPr>
                <w:sz w:val="20"/>
                <w:lang w:val="sk-SK"/>
              </w:rPr>
              <w:t>(niekedy so žltačkou)</w:t>
            </w:r>
          </w:p>
          <w:p w14:paraId="3E4CEE8C" w14:textId="77777777" w:rsidR="003E3C22" w:rsidRPr="00233E28" w:rsidRDefault="003E3C22" w:rsidP="003E3C22">
            <w:pPr>
              <w:rPr>
                <w:sz w:val="20"/>
                <w:lang w:val="sk-SK"/>
              </w:rPr>
            </w:pPr>
          </w:p>
        </w:tc>
      </w:tr>
      <w:tr w:rsidR="000979CA" w:rsidRPr="00233E28" w14:paraId="5513BB82" w14:textId="77777777" w:rsidTr="00233E28">
        <w:tc>
          <w:tcPr>
            <w:tcW w:w="1620" w:type="dxa"/>
            <w:shd w:val="clear" w:color="auto" w:fill="auto"/>
          </w:tcPr>
          <w:p w14:paraId="460BEF6C" w14:textId="77777777" w:rsidR="003E3C22" w:rsidRPr="00233E28" w:rsidRDefault="003E3C22" w:rsidP="003E3C22">
            <w:pPr>
              <w:rPr>
                <w:b/>
                <w:sz w:val="20"/>
                <w:lang w:val="sk-SK"/>
              </w:rPr>
            </w:pPr>
            <w:r w:rsidRPr="00233E28">
              <w:rPr>
                <w:b/>
                <w:sz w:val="20"/>
                <w:lang w:val="sk-SK"/>
              </w:rPr>
              <w:t>Poruchy kože a podkožného tkaniva</w:t>
            </w:r>
          </w:p>
        </w:tc>
        <w:tc>
          <w:tcPr>
            <w:tcW w:w="1080" w:type="dxa"/>
            <w:shd w:val="clear" w:color="auto" w:fill="auto"/>
          </w:tcPr>
          <w:p w14:paraId="52ECCEBC" w14:textId="77777777" w:rsidR="003E3C22" w:rsidRPr="00233E28" w:rsidRDefault="003E3C22" w:rsidP="003E3C22">
            <w:pPr>
              <w:rPr>
                <w:sz w:val="20"/>
                <w:lang w:val="sk-SK"/>
              </w:rPr>
            </w:pPr>
          </w:p>
        </w:tc>
        <w:tc>
          <w:tcPr>
            <w:tcW w:w="1377" w:type="dxa"/>
            <w:shd w:val="clear" w:color="auto" w:fill="auto"/>
          </w:tcPr>
          <w:p w14:paraId="7D559BE0" w14:textId="0DF5124D" w:rsidR="003E3C22" w:rsidRPr="00233E28" w:rsidRDefault="003E3C22" w:rsidP="003E3C22">
            <w:pPr>
              <w:rPr>
                <w:sz w:val="20"/>
                <w:lang w:val="sk-SK"/>
              </w:rPr>
            </w:pPr>
          </w:p>
        </w:tc>
        <w:tc>
          <w:tcPr>
            <w:tcW w:w="1418" w:type="dxa"/>
            <w:shd w:val="clear" w:color="auto" w:fill="auto"/>
          </w:tcPr>
          <w:p w14:paraId="5849DF87" w14:textId="77777777" w:rsidR="000C6998" w:rsidRPr="009D0606" w:rsidRDefault="000C6998" w:rsidP="000C6998">
            <w:pPr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>V</w:t>
            </w:r>
            <w:r w:rsidRPr="009D0606">
              <w:rPr>
                <w:sz w:val="20"/>
                <w:lang w:val="sk-SK"/>
              </w:rPr>
              <w:t>yrážky, svrbenie, žihľavka</w:t>
            </w:r>
          </w:p>
          <w:p w14:paraId="25112153" w14:textId="77777777" w:rsidR="003E3C22" w:rsidRPr="00233E28" w:rsidRDefault="003E3C22" w:rsidP="003E3C22">
            <w:pPr>
              <w:rPr>
                <w:sz w:val="20"/>
                <w:lang w:val="sk-SK"/>
              </w:rPr>
            </w:pPr>
          </w:p>
        </w:tc>
        <w:tc>
          <w:tcPr>
            <w:tcW w:w="1134" w:type="dxa"/>
            <w:shd w:val="clear" w:color="auto" w:fill="auto"/>
          </w:tcPr>
          <w:p w14:paraId="5100BC90" w14:textId="501C0057" w:rsidR="003E3C22" w:rsidRPr="00233E28" w:rsidRDefault="003E3C22" w:rsidP="003E3C22">
            <w:pPr>
              <w:rPr>
                <w:sz w:val="20"/>
                <w:lang w:val="sk-SK"/>
              </w:rPr>
            </w:pPr>
          </w:p>
          <w:p w14:paraId="244EBCB3" w14:textId="5D45FCEB" w:rsidR="003E3C22" w:rsidRPr="00233E28" w:rsidRDefault="003E3C22" w:rsidP="003E3C22">
            <w:pPr>
              <w:rPr>
                <w:sz w:val="20"/>
                <w:lang w:val="sk-SK"/>
              </w:rPr>
            </w:pPr>
          </w:p>
        </w:tc>
        <w:tc>
          <w:tcPr>
            <w:tcW w:w="1134" w:type="dxa"/>
            <w:shd w:val="clear" w:color="auto" w:fill="auto"/>
          </w:tcPr>
          <w:p w14:paraId="7BA9F770" w14:textId="77777777" w:rsidR="003E3C22" w:rsidRPr="00233E28" w:rsidRDefault="0043151A" w:rsidP="000C6998">
            <w:pPr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428690C7" w14:textId="77777777" w:rsidR="000471E6" w:rsidRPr="0084715F" w:rsidRDefault="000471E6" w:rsidP="000471E6">
            <w:pPr>
              <w:rPr>
                <w:sz w:val="20"/>
                <w:lang w:val="sk-SK"/>
              </w:rPr>
            </w:pPr>
            <w:proofErr w:type="spellStart"/>
            <w:r w:rsidRPr="0084715F">
              <w:rPr>
                <w:sz w:val="20"/>
                <w:lang w:val="sk-SK"/>
              </w:rPr>
              <w:t>Multiformný</w:t>
            </w:r>
            <w:proofErr w:type="spellEnd"/>
            <w:r w:rsidRPr="0084715F">
              <w:rPr>
                <w:sz w:val="20"/>
                <w:lang w:val="sk-SK"/>
              </w:rPr>
              <w:t xml:space="preserve"> </w:t>
            </w:r>
            <w:proofErr w:type="spellStart"/>
            <w:r w:rsidRPr="0084715F">
              <w:rPr>
                <w:sz w:val="20"/>
                <w:lang w:val="sk-SK"/>
              </w:rPr>
              <w:t>erytém</w:t>
            </w:r>
            <w:proofErr w:type="spellEnd"/>
            <w:r w:rsidRPr="0084715F">
              <w:rPr>
                <w:sz w:val="20"/>
                <w:lang w:val="sk-SK"/>
              </w:rPr>
              <w:t>,</w:t>
            </w:r>
          </w:p>
          <w:p w14:paraId="3F6CFD55" w14:textId="77777777" w:rsidR="000471E6" w:rsidRPr="0084715F" w:rsidRDefault="000471E6" w:rsidP="000471E6">
            <w:pPr>
              <w:rPr>
                <w:sz w:val="20"/>
                <w:lang w:val="sk-SK"/>
              </w:rPr>
            </w:pPr>
            <w:proofErr w:type="spellStart"/>
            <w:r w:rsidRPr="0084715F">
              <w:rPr>
                <w:sz w:val="20"/>
                <w:lang w:val="sk-SK"/>
              </w:rPr>
              <w:t>Stevensov-Johnsonov</w:t>
            </w:r>
            <w:proofErr w:type="spellEnd"/>
            <w:r w:rsidRPr="0084715F">
              <w:rPr>
                <w:sz w:val="20"/>
                <w:lang w:val="sk-SK"/>
              </w:rPr>
              <w:t xml:space="preserve"> syndróm, </w:t>
            </w:r>
          </w:p>
          <w:p w14:paraId="533F73F4" w14:textId="77777777" w:rsidR="000C6998" w:rsidRDefault="000471E6" w:rsidP="000471E6">
            <w:pPr>
              <w:rPr>
                <w:sz w:val="20"/>
                <w:lang w:val="sk-SK"/>
              </w:rPr>
            </w:pPr>
            <w:r w:rsidRPr="0084715F">
              <w:rPr>
                <w:sz w:val="20"/>
                <w:lang w:val="sk-SK"/>
              </w:rPr>
              <w:t xml:space="preserve">toxická </w:t>
            </w:r>
            <w:proofErr w:type="spellStart"/>
            <w:r w:rsidRPr="0084715F">
              <w:rPr>
                <w:sz w:val="20"/>
                <w:lang w:val="sk-SK"/>
              </w:rPr>
              <w:t>epidermálna</w:t>
            </w:r>
            <w:proofErr w:type="spellEnd"/>
            <w:r w:rsidRPr="0084715F">
              <w:rPr>
                <w:sz w:val="20"/>
                <w:lang w:val="sk-SK"/>
              </w:rPr>
              <w:t xml:space="preserve"> </w:t>
            </w:r>
            <w:proofErr w:type="spellStart"/>
            <w:r w:rsidRPr="0084715F">
              <w:rPr>
                <w:sz w:val="20"/>
                <w:lang w:val="sk-SK"/>
              </w:rPr>
              <w:t>nekrolýza</w:t>
            </w:r>
            <w:proofErr w:type="spellEnd"/>
            <w:r>
              <w:rPr>
                <w:sz w:val="20"/>
                <w:lang w:val="sk-SK"/>
              </w:rPr>
              <w:t>,</w:t>
            </w:r>
          </w:p>
          <w:p w14:paraId="44503BD2" w14:textId="77777777" w:rsidR="003E3C22" w:rsidRPr="00233E28" w:rsidRDefault="000471E6" w:rsidP="003E3C22">
            <w:pPr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lastRenderedPageBreak/>
              <w:t>a</w:t>
            </w:r>
            <w:r w:rsidR="00926667" w:rsidRPr="00233E28">
              <w:rPr>
                <w:sz w:val="20"/>
                <w:lang w:val="sk-SK"/>
              </w:rPr>
              <w:t xml:space="preserve">kútna generalizovaná </w:t>
            </w:r>
            <w:proofErr w:type="spellStart"/>
            <w:r w:rsidR="00926667" w:rsidRPr="00233E28">
              <w:rPr>
                <w:sz w:val="20"/>
                <w:lang w:val="sk-SK"/>
              </w:rPr>
              <w:t>exantémová</w:t>
            </w:r>
            <w:proofErr w:type="spellEnd"/>
            <w:r w:rsidR="00926667" w:rsidRPr="00233E28">
              <w:rPr>
                <w:sz w:val="20"/>
                <w:lang w:val="sk-SK"/>
              </w:rPr>
              <w:t xml:space="preserve"> </w:t>
            </w:r>
            <w:proofErr w:type="spellStart"/>
            <w:r w:rsidR="00926667" w:rsidRPr="00233E28">
              <w:rPr>
                <w:sz w:val="20"/>
                <w:lang w:val="sk-SK"/>
              </w:rPr>
              <w:t>pustulóza</w:t>
            </w:r>
            <w:proofErr w:type="spellEnd"/>
            <w:r w:rsidR="00926667" w:rsidRPr="00233E28">
              <w:rPr>
                <w:sz w:val="20"/>
                <w:lang w:val="sk-SK"/>
              </w:rPr>
              <w:t xml:space="preserve"> (pozri časť 4.4)</w:t>
            </w:r>
          </w:p>
        </w:tc>
      </w:tr>
      <w:tr w:rsidR="00E01B2B" w:rsidRPr="00345FAC" w14:paraId="2B794528" w14:textId="77777777" w:rsidTr="00233E28">
        <w:tc>
          <w:tcPr>
            <w:tcW w:w="1620" w:type="dxa"/>
            <w:shd w:val="clear" w:color="auto" w:fill="auto"/>
          </w:tcPr>
          <w:p w14:paraId="710D4A5B" w14:textId="77777777" w:rsidR="00E01B2B" w:rsidRPr="00233E28" w:rsidRDefault="00632D41" w:rsidP="003E3C22">
            <w:pPr>
              <w:rPr>
                <w:b/>
                <w:sz w:val="20"/>
                <w:lang w:val="sk-SK"/>
              </w:rPr>
            </w:pPr>
            <w:r w:rsidRPr="00233E28">
              <w:rPr>
                <w:b/>
                <w:sz w:val="20"/>
                <w:lang w:val="sk-SK"/>
              </w:rPr>
              <w:lastRenderedPageBreak/>
              <w:t>Poruchy kostrovej a svalovej sústavy a spojivového tkaniva</w:t>
            </w:r>
          </w:p>
        </w:tc>
        <w:tc>
          <w:tcPr>
            <w:tcW w:w="1080" w:type="dxa"/>
            <w:shd w:val="clear" w:color="auto" w:fill="auto"/>
          </w:tcPr>
          <w:p w14:paraId="25EA86FC" w14:textId="77777777" w:rsidR="00E01B2B" w:rsidRPr="00233E28" w:rsidRDefault="00E01B2B" w:rsidP="003E3C22">
            <w:pPr>
              <w:rPr>
                <w:sz w:val="20"/>
                <w:lang w:val="sk-SK"/>
              </w:rPr>
            </w:pPr>
          </w:p>
        </w:tc>
        <w:tc>
          <w:tcPr>
            <w:tcW w:w="1377" w:type="dxa"/>
            <w:shd w:val="clear" w:color="auto" w:fill="auto"/>
          </w:tcPr>
          <w:p w14:paraId="31494A30" w14:textId="77777777" w:rsidR="00E01B2B" w:rsidRPr="00233E28" w:rsidRDefault="006205A9" w:rsidP="006205A9">
            <w:pPr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>K</w:t>
            </w:r>
            <w:r w:rsidRPr="006205A9">
              <w:rPr>
                <w:sz w:val="20"/>
                <w:lang w:val="sk-SK"/>
              </w:rPr>
              <w:t xml:space="preserve">ĺbové ťažkosti </w:t>
            </w:r>
            <w:r w:rsidR="006C2CBA" w:rsidRPr="00233E28">
              <w:rPr>
                <w:sz w:val="20"/>
                <w:lang w:val="sk-SK"/>
              </w:rPr>
              <w:t xml:space="preserve">(napríklad </w:t>
            </w:r>
            <w:proofErr w:type="spellStart"/>
            <w:r w:rsidR="006C2CBA" w:rsidRPr="00233E28">
              <w:rPr>
                <w:sz w:val="20"/>
                <w:lang w:val="sk-SK"/>
              </w:rPr>
              <w:t>turgor</w:t>
            </w:r>
            <w:proofErr w:type="spellEnd"/>
            <w:r w:rsidR="006C2CBA" w:rsidRPr="00233E28">
              <w:rPr>
                <w:sz w:val="20"/>
                <w:lang w:val="sk-SK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14:paraId="63AFE8B4" w14:textId="77777777" w:rsidR="00E01B2B" w:rsidRPr="00233E28" w:rsidRDefault="00E01B2B" w:rsidP="003E3C22">
            <w:pPr>
              <w:rPr>
                <w:sz w:val="20"/>
                <w:lang w:val="sk-SK"/>
              </w:rPr>
            </w:pPr>
          </w:p>
        </w:tc>
        <w:tc>
          <w:tcPr>
            <w:tcW w:w="1134" w:type="dxa"/>
            <w:shd w:val="clear" w:color="auto" w:fill="auto"/>
          </w:tcPr>
          <w:p w14:paraId="6E7F365A" w14:textId="77777777" w:rsidR="00E01B2B" w:rsidRPr="00233E28" w:rsidRDefault="00E01B2B" w:rsidP="003E3C22">
            <w:pPr>
              <w:rPr>
                <w:sz w:val="20"/>
                <w:lang w:val="sk-SK"/>
              </w:rPr>
            </w:pPr>
          </w:p>
        </w:tc>
        <w:tc>
          <w:tcPr>
            <w:tcW w:w="1134" w:type="dxa"/>
            <w:shd w:val="clear" w:color="auto" w:fill="auto"/>
          </w:tcPr>
          <w:p w14:paraId="2155094B" w14:textId="77777777" w:rsidR="00E01B2B" w:rsidRPr="00233E28" w:rsidRDefault="00E01B2B" w:rsidP="003E3C22">
            <w:pPr>
              <w:rPr>
                <w:sz w:val="20"/>
                <w:lang w:val="sk-SK"/>
              </w:rPr>
            </w:pPr>
          </w:p>
        </w:tc>
        <w:tc>
          <w:tcPr>
            <w:tcW w:w="1701" w:type="dxa"/>
            <w:shd w:val="clear" w:color="auto" w:fill="auto"/>
          </w:tcPr>
          <w:p w14:paraId="5652399E" w14:textId="77777777" w:rsidR="00E01B2B" w:rsidRPr="00233E28" w:rsidRDefault="00E01B2B" w:rsidP="003E3C22">
            <w:pPr>
              <w:rPr>
                <w:sz w:val="20"/>
                <w:lang w:val="sk-SK"/>
              </w:rPr>
            </w:pPr>
          </w:p>
        </w:tc>
      </w:tr>
      <w:tr w:rsidR="000979CA" w:rsidRPr="00233E28" w14:paraId="3E199123" w14:textId="77777777" w:rsidTr="00233E28">
        <w:tc>
          <w:tcPr>
            <w:tcW w:w="1620" w:type="dxa"/>
            <w:shd w:val="clear" w:color="auto" w:fill="auto"/>
          </w:tcPr>
          <w:p w14:paraId="665ED271" w14:textId="77777777" w:rsidR="003E3C22" w:rsidRPr="00233E28" w:rsidRDefault="003E3C22" w:rsidP="003E3C22">
            <w:pPr>
              <w:rPr>
                <w:b/>
                <w:sz w:val="20"/>
                <w:lang w:val="sk-SK"/>
              </w:rPr>
            </w:pPr>
            <w:r w:rsidRPr="00233E28">
              <w:rPr>
                <w:b/>
                <w:sz w:val="20"/>
                <w:lang w:val="sk-SK"/>
              </w:rPr>
              <w:t>Poruchy obličiek a močových ciest</w:t>
            </w:r>
          </w:p>
        </w:tc>
        <w:tc>
          <w:tcPr>
            <w:tcW w:w="1080" w:type="dxa"/>
            <w:shd w:val="clear" w:color="auto" w:fill="auto"/>
          </w:tcPr>
          <w:p w14:paraId="5EBC1AC1" w14:textId="77777777" w:rsidR="003E3C22" w:rsidRPr="00233E28" w:rsidRDefault="003E3C22" w:rsidP="003E3C22">
            <w:pPr>
              <w:rPr>
                <w:sz w:val="20"/>
                <w:lang w:val="sk-SK"/>
              </w:rPr>
            </w:pPr>
          </w:p>
        </w:tc>
        <w:tc>
          <w:tcPr>
            <w:tcW w:w="1377" w:type="dxa"/>
            <w:shd w:val="clear" w:color="auto" w:fill="auto"/>
          </w:tcPr>
          <w:p w14:paraId="715B58EB" w14:textId="6104B21D" w:rsidR="003E3C22" w:rsidRPr="00233E28" w:rsidRDefault="003E3C22" w:rsidP="003E3C22">
            <w:pPr>
              <w:rPr>
                <w:sz w:val="20"/>
                <w:lang w:val="sk-SK"/>
              </w:rPr>
            </w:pPr>
          </w:p>
        </w:tc>
        <w:tc>
          <w:tcPr>
            <w:tcW w:w="1418" w:type="dxa"/>
            <w:shd w:val="clear" w:color="auto" w:fill="auto"/>
          </w:tcPr>
          <w:p w14:paraId="5692B90A" w14:textId="0A3EF2C5" w:rsidR="00035ED6" w:rsidRDefault="00035ED6" w:rsidP="00963277">
            <w:pPr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 xml:space="preserve">Porucha </w:t>
            </w:r>
            <w:r w:rsidR="0029511F" w:rsidRPr="0029511F">
              <w:rPr>
                <w:sz w:val="20"/>
                <w:lang w:val="sk-SK"/>
              </w:rPr>
              <w:t>funkci</w:t>
            </w:r>
            <w:r>
              <w:rPr>
                <w:sz w:val="20"/>
                <w:lang w:val="sk-SK"/>
              </w:rPr>
              <w:t>e</w:t>
            </w:r>
            <w:r w:rsidR="0029511F" w:rsidRPr="0029511F">
              <w:rPr>
                <w:sz w:val="20"/>
                <w:lang w:val="sk-SK"/>
              </w:rPr>
              <w:t xml:space="preserve"> obličiek / zvýšenie </w:t>
            </w:r>
            <w:proofErr w:type="spellStart"/>
            <w:r w:rsidR="0029511F" w:rsidRPr="0029511F">
              <w:rPr>
                <w:sz w:val="20"/>
                <w:lang w:val="sk-SK"/>
              </w:rPr>
              <w:t>kreatinínu</w:t>
            </w:r>
            <w:proofErr w:type="spellEnd"/>
            <w:r w:rsidR="0029511F" w:rsidRPr="0029511F">
              <w:rPr>
                <w:sz w:val="20"/>
                <w:lang w:val="sk-SK"/>
              </w:rPr>
              <w:t xml:space="preserve"> a močovi</w:t>
            </w:r>
            <w:r w:rsidR="000D58C8">
              <w:rPr>
                <w:sz w:val="20"/>
                <w:lang w:val="sk-SK"/>
              </w:rPr>
              <w:t>ny (najmä pri súčasnom podávaní s</w:t>
            </w:r>
            <w:r>
              <w:rPr>
                <w:sz w:val="20"/>
                <w:lang w:val="sk-SK"/>
              </w:rPr>
              <w:t> </w:t>
            </w:r>
            <w:proofErr w:type="spellStart"/>
            <w:r w:rsidR="00963277">
              <w:rPr>
                <w:sz w:val="20"/>
                <w:lang w:val="sk-SK"/>
              </w:rPr>
              <w:t>aminoglyko</w:t>
            </w:r>
            <w:proofErr w:type="spellEnd"/>
          </w:p>
          <w:p w14:paraId="586F2468" w14:textId="2BF41781" w:rsidR="003E3C22" w:rsidRPr="00233E28" w:rsidRDefault="00963277" w:rsidP="00963277">
            <w:pPr>
              <w:rPr>
                <w:sz w:val="20"/>
                <w:lang w:val="sk-SK"/>
              </w:rPr>
            </w:pPr>
            <w:proofErr w:type="spellStart"/>
            <w:r>
              <w:rPr>
                <w:sz w:val="20"/>
                <w:lang w:val="sk-SK"/>
              </w:rPr>
              <w:t>zi</w:t>
            </w:r>
            <w:r w:rsidR="0029511F" w:rsidRPr="0029511F">
              <w:rPr>
                <w:sz w:val="20"/>
                <w:lang w:val="sk-SK"/>
              </w:rPr>
              <w:t>d</w:t>
            </w:r>
            <w:r w:rsidR="0029511F">
              <w:rPr>
                <w:sz w:val="20"/>
                <w:lang w:val="sk-SK"/>
              </w:rPr>
              <w:t>mi</w:t>
            </w:r>
            <w:proofErr w:type="spellEnd"/>
            <w:r w:rsidR="0029511F" w:rsidRPr="0029511F">
              <w:rPr>
                <w:sz w:val="20"/>
                <w:lang w:val="sk-SK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3AD49F7F" w14:textId="4E368295" w:rsidR="003E3C22" w:rsidRPr="00233E28" w:rsidRDefault="003E3C22" w:rsidP="003E3C22">
            <w:pPr>
              <w:rPr>
                <w:sz w:val="20"/>
                <w:lang w:val="sk-SK"/>
              </w:rPr>
            </w:pPr>
          </w:p>
        </w:tc>
        <w:tc>
          <w:tcPr>
            <w:tcW w:w="1134" w:type="dxa"/>
            <w:shd w:val="clear" w:color="auto" w:fill="auto"/>
          </w:tcPr>
          <w:p w14:paraId="09F78C54" w14:textId="77777777" w:rsidR="003E3C22" w:rsidRPr="00233E28" w:rsidRDefault="003E3C22" w:rsidP="003E3C22">
            <w:pPr>
              <w:rPr>
                <w:sz w:val="20"/>
                <w:lang w:val="sk-SK"/>
              </w:rPr>
            </w:pPr>
          </w:p>
        </w:tc>
        <w:tc>
          <w:tcPr>
            <w:tcW w:w="1701" w:type="dxa"/>
            <w:shd w:val="clear" w:color="auto" w:fill="auto"/>
          </w:tcPr>
          <w:p w14:paraId="78CF270A" w14:textId="77777777" w:rsidR="003E3C22" w:rsidRPr="00233E28" w:rsidRDefault="00C701AE" w:rsidP="003E3C22">
            <w:pPr>
              <w:rPr>
                <w:sz w:val="20"/>
                <w:lang w:val="sk-SK"/>
              </w:rPr>
            </w:pPr>
            <w:r w:rsidRPr="00233E28">
              <w:rPr>
                <w:sz w:val="20"/>
                <w:lang w:val="sk-SK"/>
              </w:rPr>
              <w:t>Akútne zlyhanie obličiek (pozri časť 4.4)</w:t>
            </w:r>
            <w:r w:rsidR="00DF06B4">
              <w:rPr>
                <w:sz w:val="20"/>
                <w:lang w:val="sk-SK"/>
              </w:rPr>
              <w:t xml:space="preserve">, </w:t>
            </w:r>
            <w:proofErr w:type="spellStart"/>
            <w:r w:rsidR="00F53224">
              <w:rPr>
                <w:sz w:val="20"/>
                <w:lang w:val="sk-SK"/>
              </w:rPr>
              <w:t>i</w:t>
            </w:r>
            <w:r w:rsidR="00F53224" w:rsidRPr="007807E4">
              <w:rPr>
                <w:sz w:val="20"/>
                <w:lang w:val="sk-SK"/>
              </w:rPr>
              <w:t>ntersticiálna</w:t>
            </w:r>
            <w:proofErr w:type="spellEnd"/>
            <w:r w:rsidR="00F53224" w:rsidRPr="007807E4">
              <w:rPr>
                <w:sz w:val="20"/>
                <w:lang w:val="sk-SK"/>
              </w:rPr>
              <w:t xml:space="preserve"> </w:t>
            </w:r>
            <w:proofErr w:type="spellStart"/>
            <w:r w:rsidR="00F53224" w:rsidRPr="007807E4">
              <w:rPr>
                <w:sz w:val="20"/>
                <w:lang w:val="sk-SK"/>
              </w:rPr>
              <w:t>nefritída</w:t>
            </w:r>
            <w:proofErr w:type="spellEnd"/>
          </w:p>
        </w:tc>
      </w:tr>
      <w:tr w:rsidR="000979CA" w:rsidRPr="00345FAC" w14:paraId="6251C0DD" w14:textId="77777777" w:rsidTr="00233E28">
        <w:tc>
          <w:tcPr>
            <w:tcW w:w="1620" w:type="dxa"/>
            <w:shd w:val="clear" w:color="auto" w:fill="auto"/>
          </w:tcPr>
          <w:p w14:paraId="75E1B1C5" w14:textId="77777777" w:rsidR="003E3C22" w:rsidRPr="00233E28" w:rsidRDefault="003E3C22" w:rsidP="003E3C22">
            <w:pPr>
              <w:rPr>
                <w:b/>
                <w:sz w:val="20"/>
                <w:lang w:val="sk-SK"/>
              </w:rPr>
            </w:pPr>
            <w:r w:rsidRPr="00233E28">
              <w:rPr>
                <w:b/>
                <w:sz w:val="20"/>
                <w:lang w:val="sk-SK"/>
              </w:rPr>
              <w:t>Celkové poruchy a reakcie v mieste podania</w:t>
            </w:r>
          </w:p>
        </w:tc>
        <w:tc>
          <w:tcPr>
            <w:tcW w:w="1080" w:type="dxa"/>
            <w:shd w:val="clear" w:color="auto" w:fill="auto"/>
          </w:tcPr>
          <w:p w14:paraId="05474C62" w14:textId="1C3C7C5A" w:rsidR="003E3C22" w:rsidRPr="00233E28" w:rsidRDefault="00515134" w:rsidP="003E3C22">
            <w:pPr>
              <w:rPr>
                <w:sz w:val="20"/>
                <w:lang w:val="sk-SK"/>
              </w:rPr>
            </w:pPr>
            <w:r w:rsidRPr="00233E28">
              <w:rPr>
                <w:sz w:val="20"/>
                <w:lang w:val="sk-SK"/>
              </w:rPr>
              <w:t>B</w:t>
            </w:r>
            <w:r w:rsidR="003E3C22" w:rsidRPr="00233E28">
              <w:rPr>
                <w:sz w:val="20"/>
                <w:lang w:val="sk-SK"/>
              </w:rPr>
              <w:t xml:space="preserve">olesť v mieste </w:t>
            </w:r>
            <w:r w:rsidR="001148F8" w:rsidRPr="00233E28">
              <w:rPr>
                <w:sz w:val="20"/>
                <w:lang w:val="sk-SK"/>
              </w:rPr>
              <w:t xml:space="preserve">podania </w:t>
            </w:r>
            <w:r w:rsidR="003E3C22" w:rsidRPr="00233E28">
              <w:rPr>
                <w:sz w:val="20"/>
                <w:lang w:val="sk-SK"/>
              </w:rPr>
              <w:t>injekcie</w:t>
            </w:r>
            <w:r w:rsidR="001148F8" w:rsidRPr="00233E28">
              <w:rPr>
                <w:sz w:val="20"/>
                <w:lang w:val="sk-SK"/>
              </w:rPr>
              <w:t>,</w:t>
            </w:r>
          </w:p>
          <w:p w14:paraId="1B4A11A9" w14:textId="77777777" w:rsidR="001148F8" w:rsidRPr="00233E28" w:rsidRDefault="00A34391" w:rsidP="001148F8">
            <w:pPr>
              <w:rPr>
                <w:i/>
                <w:sz w:val="20"/>
                <w:lang w:val="sk-SK"/>
              </w:rPr>
            </w:pPr>
            <w:r>
              <w:rPr>
                <w:i/>
                <w:sz w:val="20"/>
                <w:lang w:val="sk-SK"/>
              </w:rPr>
              <w:t>p</w:t>
            </w:r>
            <w:r w:rsidR="001148F8" w:rsidRPr="00233E28">
              <w:rPr>
                <w:i/>
                <w:sz w:val="20"/>
                <w:lang w:val="sk-SK"/>
              </w:rPr>
              <w:t xml:space="preserve">re </w:t>
            </w:r>
            <w:proofErr w:type="spellStart"/>
            <w:r w:rsidR="001148F8" w:rsidRPr="00233E28">
              <w:rPr>
                <w:i/>
                <w:sz w:val="20"/>
                <w:lang w:val="sk-SK"/>
              </w:rPr>
              <w:t>i.m</w:t>
            </w:r>
            <w:proofErr w:type="spellEnd"/>
            <w:r w:rsidR="001148F8" w:rsidRPr="00233E28">
              <w:rPr>
                <w:i/>
                <w:sz w:val="20"/>
                <w:lang w:val="sk-SK"/>
              </w:rPr>
              <w:t>. podanie:</w:t>
            </w:r>
          </w:p>
          <w:p w14:paraId="039453DE" w14:textId="77777777" w:rsidR="001148F8" w:rsidRPr="00233E28" w:rsidRDefault="00CC7175" w:rsidP="003E3C22">
            <w:pPr>
              <w:rPr>
                <w:sz w:val="20"/>
                <w:lang w:val="sk-SK"/>
              </w:rPr>
            </w:pPr>
            <w:proofErr w:type="spellStart"/>
            <w:r>
              <w:rPr>
                <w:sz w:val="20"/>
                <w:lang w:val="sk-SK"/>
              </w:rPr>
              <w:t>indurácia</w:t>
            </w:r>
            <w:proofErr w:type="spellEnd"/>
          </w:p>
        </w:tc>
        <w:tc>
          <w:tcPr>
            <w:tcW w:w="1377" w:type="dxa"/>
            <w:shd w:val="clear" w:color="auto" w:fill="auto"/>
          </w:tcPr>
          <w:p w14:paraId="65AF3D89" w14:textId="415ECC89" w:rsidR="003E3C22" w:rsidRPr="00233E28" w:rsidRDefault="003E3C22" w:rsidP="0071660C">
            <w:pPr>
              <w:rPr>
                <w:sz w:val="20"/>
                <w:lang w:val="sk-SK"/>
              </w:rPr>
            </w:pPr>
          </w:p>
        </w:tc>
        <w:tc>
          <w:tcPr>
            <w:tcW w:w="1418" w:type="dxa"/>
            <w:shd w:val="clear" w:color="auto" w:fill="auto"/>
          </w:tcPr>
          <w:p w14:paraId="0ED89B52" w14:textId="77777777" w:rsidR="00CC7175" w:rsidRPr="009521F5" w:rsidRDefault="00CC7175" w:rsidP="00CC7175">
            <w:pPr>
              <w:rPr>
                <w:sz w:val="20"/>
                <w:lang w:val="sk-SK"/>
              </w:rPr>
            </w:pPr>
            <w:r w:rsidRPr="009521F5">
              <w:rPr>
                <w:sz w:val="20"/>
                <w:lang w:val="sk-SK"/>
              </w:rPr>
              <w:t>Horúčka,</w:t>
            </w:r>
          </w:p>
          <w:p w14:paraId="26CB5782" w14:textId="77777777" w:rsidR="00CC7175" w:rsidRPr="009521F5" w:rsidRDefault="00CC7175" w:rsidP="00CC7175">
            <w:pPr>
              <w:rPr>
                <w:sz w:val="20"/>
                <w:lang w:val="sk-SK"/>
              </w:rPr>
            </w:pPr>
            <w:r w:rsidRPr="009521F5">
              <w:rPr>
                <w:sz w:val="20"/>
                <w:lang w:val="sk-SK"/>
              </w:rPr>
              <w:t xml:space="preserve">zápalové reakcie v mieste injekcie vrátane </w:t>
            </w:r>
            <w:proofErr w:type="spellStart"/>
            <w:r w:rsidRPr="009521F5">
              <w:rPr>
                <w:sz w:val="20"/>
                <w:lang w:val="sk-SK"/>
              </w:rPr>
              <w:t>flebitídy</w:t>
            </w:r>
            <w:proofErr w:type="spellEnd"/>
            <w:r w:rsidRPr="009521F5">
              <w:rPr>
                <w:sz w:val="20"/>
                <w:lang w:val="sk-SK"/>
              </w:rPr>
              <w:t>/</w:t>
            </w:r>
          </w:p>
          <w:p w14:paraId="61E8CAF9" w14:textId="77777777" w:rsidR="003E3C22" w:rsidRPr="00233E28" w:rsidRDefault="00CC7175" w:rsidP="00CC7175">
            <w:pPr>
              <w:rPr>
                <w:sz w:val="20"/>
                <w:lang w:val="sk-SK"/>
              </w:rPr>
            </w:pPr>
            <w:proofErr w:type="spellStart"/>
            <w:r w:rsidRPr="009521F5">
              <w:rPr>
                <w:sz w:val="20"/>
                <w:lang w:val="sk-SK"/>
              </w:rPr>
              <w:t>tromboflebi-tídy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3ABFADDD" w14:textId="77777777" w:rsidR="003E3C22" w:rsidRPr="00233E28" w:rsidRDefault="003E3C22" w:rsidP="003E3C22">
            <w:pPr>
              <w:rPr>
                <w:sz w:val="20"/>
                <w:lang w:val="sk-SK"/>
              </w:rPr>
            </w:pPr>
          </w:p>
        </w:tc>
        <w:tc>
          <w:tcPr>
            <w:tcW w:w="1134" w:type="dxa"/>
            <w:shd w:val="clear" w:color="auto" w:fill="auto"/>
          </w:tcPr>
          <w:p w14:paraId="667DD757" w14:textId="77777777" w:rsidR="003E3C22" w:rsidRPr="00233E28" w:rsidRDefault="00C701AE" w:rsidP="003E3C22">
            <w:pPr>
              <w:rPr>
                <w:sz w:val="20"/>
                <w:lang w:val="sk-SK"/>
              </w:rPr>
            </w:pPr>
            <w:r w:rsidRPr="00233E28">
              <w:rPr>
                <w:sz w:val="20"/>
                <w:lang w:val="sk-SK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4BB1F91" w14:textId="6CD96C26" w:rsidR="00CC7175" w:rsidRPr="00233E28" w:rsidRDefault="00035ED6" w:rsidP="003E3C22">
            <w:pPr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>Sčervenanie</w:t>
            </w:r>
            <w:r w:rsidR="00652F42" w:rsidRPr="00652F42">
              <w:rPr>
                <w:sz w:val="20"/>
                <w:lang w:val="sk-SK"/>
              </w:rPr>
              <w:t xml:space="preserve"> a zvracanie po rýchlej intravenóznej injekcii</w:t>
            </w:r>
            <w:r w:rsidR="00652F42">
              <w:rPr>
                <w:sz w:val="20"/>
                <w:lang w:val="sk-SK"/>
              </w:rPr>
              <w:t>,</w:t>
            </w:r>
          </w:p>
          <w:p w14:paraId="19B6B3ED" w14:textId="43A1F7E9" w:rsidR="003E3C22" w:rsidRPr="00233E28" w:rsidRDefault="005C4119" w:rsidP="003E3C22">
            <w:pPr>
              <w:rPr>
                <w:i/>
                <w:sz w:val="20"/>
                <w:lang w:val="sk-SK"/>
              </w:rPr>
            </w:pPr>
            <w:r>
              <w:rPr>
                <w:i/>
                <w:sz w:val="20"/>
                <w:lang w:val="sk-SK"/>
              </w:rPr>
              <w:t>p</w:t>
            </w:r>
            <w:r w:rsidR="003E3C22" w:rsidRPr="00233E28">
              <w:rPr>
                <w:i/>
                <w:sz w:val="20"/>
                <w:lang w:val="sk-SK"/>
              </w:rPr>
              <w:t>re</w:t>
            </w:r>
            <w:r w:rsidR="00D475AE" w:rsidRPr="00233E28">
              <w:rPr>
                <w:i/>
                <w:sz w:val="20"/>
                <w:lang w:val="sk-SK"/>
              </w:rPr>
              <w:t xml:space="preserve"> </w:t>
            </w:r>
            <w:proofErr w:type="spellStart"/>
            <w:r w:rsidR="003E3C22" w:rsidRPr="00233E28">
              <w:rPr>
                <w:i/>
                <w:sz w:val="20"/>
                <w:lang w:val="sk-SK"/>
              </w:rPr>
              <w:t>i.m</w:t>
            </w:r>
            <w:proofErr w:type="spellEnd"/>
            <w:r w:rsidR="003E3C22" w:rsidRPr="00233E28">
              <w:rPr>
                <w:i/>
                <w:sz w:val="20"/>
                <w:lang w:val="sk-SK"/>
              </w:rPr>
              <w:t xml:space="preserve">. podanie (ak roztok obsahuje </w:t>
            </w:r>
            <w:proofErr w:type="spellStart"/>
            <w:r w:rsidR="003E3C22" w:rsidRPr="00233E28">
              <w:rPr>
                <w:i/>
                <w:sz w:val="20"/>
                <w:lang w:val="sk-SK"/>
              </w:rPr>
              <w:t>lidokaín</w:t>
            </w:r>
            <w:proofErr w:type="spellEnd"/>
            <w:r w:rsidR="003E3C22" w:rsidRPr="00233E28">
              <w:rPr>
                <w:i/>
                <w:sz w:val="20"/>
                <w:lang w:val="sk-SK"/>
              </w:rPr>
              <w:t>):</w:t>
            </w:r>
          </w:p>
          <w:p w14:paraId="1121520F" w14:textId="06D2E3D9" w:rsidR="003E3C22" w:rsidRPr="00233E28" w:rsidRDefault="003E3C22" w:rsidP="000868D3">
            <w:pPr>
              <w:rPr>
                <w:sz w:val="20"/>
                <w:lang w:val="sk-SK"/>
              </w:rPr>
            </w:pPr>
            <w:r w:rsidRPr="00233E28">
              <w:rPr>
                <w:sz w:val="20"/>
                <w:lang w:val="sk-SK"/>
              </w:rPr>
              <w:t>syst</w:t>
            </w:r>
            <w:r w:rsidR="00035ED6">
              <w:rPr>
                <w:sz w:val="20"/>
                <w:lang w:val="sk-SK"/>
              </w:rPr>
              <w:t>é</w:t>
            </w:r>
            <w:r w:rsidRPr="00233E28">
              <w:rPr>
                <w:sz w:val="20"/>
                <w:lang w:val="sk-SK"/>
              </w:rPr>
              <w:t>m</w:t>
            </w:r>
            <w:r w:rsidR="000868D3" w:rsidRPr="00233E28">
              <w:rPr>
                <w:sz w:val="20"/>
                <w:lang w:val="sk-SK"/>
              </w:rPr>
              <w:t>ov</w:t>
            </w:r>
            <w:r w:rsidRPr="00233E28">
              <w:rPr>
                <w:sz w:val="20"/>
                <w:lang w:val="sk-SK"/>
              </w:rPr>
              <w:t xml:space="preserve">é reakcie na </w:t>
            </w:r>
            <w:proofErr w:type="spellStart"/>
            <w:r w:rsidRPr="00233E28">
              <w:rPr>
                <w:sz w:val="20"/>
                <w:lang w:val="sk-SK"/>
              </w:rPr>
              <w:t>lidokaín</w:t>
            </w:r>
            <w:proofErr w:type="spellEnd"/>
          </w:p>
          <w:p w14:paraId="4655BD73" w14:textId="77777777" w:rsidR="00826948" w:rsidRPr="00233E28" w:rsidRDefault="00826948" w:rsidP="000868D3">
            <w:pPr>
              <w:rPr>
                <w:sz w:val="20"/>
                <w:lang w:val="sk-SK"/>
              </w:rPr>
            </w:pPr>
          </w:p>
        </w:tc>
      </w:tr>
    </w:tbl>
    <w:p w14:paraId="7560C130" w14:textId="77777777" w:rsidR="005C4119" w:rsidRDefault="005C4119" w:rsidP="00233E28">
      <w:pPr>
        <w:rPr>
          <w:lang w:val="sk-SK"/>
        </w:rPr>
      </w:pPr>
    </w:p>
    <w:p w14:paraId="1BE045A7" w14:textId="2D4D5666" w:rsidR="003E3C22" w:rsidRPr="00233E28" w:rsidRDefault="005C4119" w:rsidP="00233E28">
      <w:pPr>
        <w:rPr>
          <w:sz w:val="20"/>
          <w:lang w:val="sk-SK"/>
        </w:rPr>
      </w:pPr>
      <w:r w:rsidRPr="00233E28">
        <w:rPr>
          <w:sz w:val="20"/>
          <w:vertAlign w:val="superscript"/>
          <w:lang w:val="sk-SK"/>
        </w:rPr>
        <w:t xml:space="preserve">1 </w:t>
      </w:r>
      <w:r w:rsidRPr="00233E28">
        <w:rPr>
          <w:sz w:val="20"/>
          <w:vertAlign w:val="superscript"/>
          <w:lang w:val="sk-SK"/>
        </w:rPr>
        <w:tab/>
      </w:r>
      <w:proofErr w:type="spellStart"/>
      <w:r w:rsidRPr="00233E28">
        <w:rPr>
          <w:sz w:val="20"/>
          <w:lang w:val="sk-SK"/>
        </w:rPr>
        <w:t>Post</w:t>
      </w:r>
      <w:r w:rsidR="003E3C22" w:rsidRPr="00233E28">
        <w:rPr>
          <w:sz w:val="20"/>
          <w:lang w:val="sk-SK"/>
        </w:rPr>
        <w:t>marketingové</w:t>
      </w:r>
      <w:proofErr w:type="spellEnd"/>
      <w:r w:rsidR="003E3C22" w:rsidRPr="00233E28">
        <w:rPr>
          <w:sz w:val="20"/>
          <w:lang w:val="sk-SK"/>
        </w:rPr>
        <w:t xml:space="preserve"> skúsenosti</w:t>
      </w:r>
    </w:p>
    <w:p w14:paraId="025E9CA2" w14:textId="70B09C27" w:rsidR="00750186" w:rsidRDefault="001301FE" w:rsidP="00233E28">
      <w:pPr>
        <w:ind w:left="564" w:hanging="564"/>
        <w:rPr>
          <w:sz w:val="20"/>
          <w:lang w:val="sk-SK"/>
        </w:rPr>
      </w:pPr>
      <w:r>
        <w:rPr>
          <w:sz w:val="20"/>
          <w:vertAlign w:val="superscript"/>
          <w:lang w:val="sk-SK"/>
        </w:rPr>
        <w:t>2</w:t>
      </w:r>
      <w:r>
        <w:rPr>
          <w:sz w:val="20"/>
          <w:lang w:val="sk-SK"/>
        </w:rPr>
        <w:tab/>
      </w:r>
      <w:r w:rsidRPr="001301FE">
        <w:rPr>
          <w:sz w:val="20"/>
          <w:lang w:val="sk-SK"/>
        </w:rPr>
        <w:t xml:space="preserve">Počas </w:t>
      </w:r>
      <w:r w:rsidR="009B24F6">
        <w:rPr>
          <w:sz w:val="20"/>
          <w:lang w:val="sk-SK"/>
        </w:rPr>
        <w:t>prvých dní</w:t>
      </w:r>
      <w:r w:rsidR="009B24F6" w:rsidRPr="001301FE">
        <w:rPr>
          <w:sz w:val="20"/>
          <w:lang w:val="sk-SK"/>
        </w:rPr>
        <w:t xml:space="preserve"> </w:t>
      </w:r>
      <w:r w:rsidRPr="001301FE">
        <w:rPr>
          <w:sz w:val="20"/>
          <w:lang w:val="sk-SK"/>
        </w:rPr>
        <w:t xml:space="preserve">liečby </w:t>
      </w:r>
      <w:proofErr w:type="spellStart"/>
      <w:r w:rsidRPr="001301FE">
        <w:rPr>
          <w:sz w:val="20"/>
          <w:lang w:val="sk-SK"/>
        </w:rPr>
        <w:t>spirochétových</w:t>
      </w:r>
      <w:proofErr w:type="spellEnd"/>
      <w:r w:rsidRPr="001301FE">
        <w:rPr>
          <w:sz w:val="20"/>
          <w:lang w:val="sk-SK"/>
        </w:rPr>
        <w:t xml:space="preserve"> infekcií (napríklad </w:t>
      </w:r>
      <w:proofErr w:type="spellStart"/>
      <w:r w:rsidRPr="001301FE">
        <w:rPr>
          <w:sz w:val="20"/>
          <w:lang w:val="sk-SK"/>
        </w:rPr>
        <w:t>boreliózy</w:t>
      </w:r>
      <w:proofErr w:type="spellEnd"/>
      <w:r w:rsidRPr="001301FE">
        <w:rPr>
          <w:sz w:val="20"/>
          <w:lang w:val="sk-SK"/>
        </w:rPr>
        <w:t>) sa môže</w:t>
      </w:r>
      <w:r w:rsidR="009B24F6">
        <w:rPr>
          <w:sz w:val="20"/>
          <w:lang w:val="sk-SK"/>
        </w:rPr>
        <w:t xml:space="preserve"> </w:t>
      </w:r>
      <w:r w:rsidRPr="001301FE">
        <w:rPr>
          <w:sz w:val="20"/>
          <w:lang w:val="sk-SK"/>
        </w:rPr>
        <w:t xml:space="preserve">objaviť </w:t>
      </w:r>
      <w:proofErr w:type="spellStart"/>
      <w:r w:rsidRPr="001301FE">
        <w:rPr>
          <w:sz w:val="20"/>
          <w:lang w:val="sk-SK"/>
        </w:rPr>
        <w:t>Jarisch</w:t>
      </w:r>
      <w:r w:rsidR="00035ED6">
        <w:rPr>
          <w:sz w:val="20"/>
          <w:lang w:val="sk-SK"/>
        </w:rPr>
        <w:t>ova</w:t>
      </w:r>
      <w:r w:rsidRPr="001301FE">
        <w:rPr>
          <w:sz w:val="20"/>
          <w:lang w:val="sk-SK"/>
        </w:rPr>
        <w:t>-Herxheimer</w:t>
      </w:r>
      <w:r w:rsidR="00035ED6">
        <w:rPr>
          <w:sz w:val="20"/>
          <w:lang w:val="sk-SK"/>
        </w:rPr>
        <w:t>ova</w:t>
      </w:r>
      <w:proofErr w:type="spellEnd"/>
      <w:r w:rsidR="00035ED6">
        <w:rPr>
          <w:sz w:val="20"/>
          <w:lang w:val="sk-SK"/>
        </w:rPr>
        <w:t xml:space="preserve"> reakcia</w:t>
      </w:r>
      <w:r w:rsidRPr="001301FE">
        <w:rPr>
          <w:sz w:val="20"/>
          <w:lang w:val="sk-SK"/>
        </w:rPr>
        <w:t xml:space="preserve"> s</w:t>
      </w:r>
      <w:r w:rsidR="00DA4388">
        <w:rPr>
          <w:sz w:val="20"/>
          <w:lang w:val="sk-SK"/>
        </w:rPr>
        <w:t xml:space="preserve"> </w:t>
      </w:r>
      <w:r w:rsidRPr="001301FE">
        <w:rPr>
          <w:sz w:val="20"/>
          <w:lang w:val="sk-SK"/>
        </w:rPr>
        <w:t>horúčkou, zimnic</w:t>
      </w:r>
      <w:r w:rsidR="00035ED6">
        <w:rPr>
          <w:sz w:val="20"/>
          <w:lang w:val="sk-SK"/>
        </w:rPr>
        <w:t>ou</w:t>
      </w:r>
      <w:r w:rsidRPr="001301FE">
        <w:rPr>
          <w:sz w:val="20"/>
          <w:lang w:val="sk-SK"/>
        </w:rPr>
        <w:t>, bolesťami hlavy a kĺbovými ťažkosťami.</w:t>
      </w:r>
    </w:p>
    <w:p w14:paraId="02ABB65E" w14:textId="697D6A54" w:rsidR="003E3C22" w:rsidRPr="00233E28" w:rsidRDefault="00750186" w:rsidP="00233E28">
      <w:pPr>
        <w:ind w:left="564" w:hanging="564"/>
        <w:rPr>
          <w:sz w:val="20"/>
          <w:lang w:val="sk-SK"/>
        </w:rPr>
      </w:pPr>
      <w:r>
        <w:rPr>
          <w:sz w:val="20"/>
          <w:lang w:val="sk-SK"/>
        </w:rPr>
        <w:tab/>
      </w:r>
      <w:r w:rsidR="009011C0" w:rsidRPr="009011C0">
        <w:rPr>
          <w:sz w:val="20"/>
          <w:lang w:val="sk-SK"/>
        </w:rPr>
        <w:t xml:space="preserve">Výskyt jedného alebo viacerých z nasledujúcich príznakov bol hlásený po liečbe počas niekoľkých týždňov: kožná vyrážka, svrbenie, horúčka, </w:t>
      </w:r>
      <w:r w:rsidR="00C941E1">
        <w:rPr>
          <w:sz w:val="20"/>
          <w:lang w:val="sk-SK"/>
        </w:rPr>
        <w:t xml:space="preserve">triaška, </w:t>
      </w:r>
      <w:proofErr w:type="spellStart"/>
      <w:r w:rsidR="009011C0" w:rsidRPr="009011C0">
        <w:rPr>
          <w:sz w:val="20"/>
          <w:lang w:val="sk-SK"/>
        </w:rPr>
        <w:t>leukopénia</w:t>
      </w:r>
      <w:proofErr w:type="spellEnd"/>
      <w:r w:rsidR="009011C0" w:rsidRPr="009011C0">
        <w:rPr>
          <w:sz w:val="20"/>
          <w:lang w:val="sk-SK"/>
        </w:rPr>
        <w:t xml:space="preserve">, zvýšené pečeňové enzýmy, dýchacie ťažkosti, </w:t>
      </w:r>
      <w:r w:rsidR="00C941E1">
        <w:rPr>
          <w:sz w:val="20"/>
          <w:lang w:val="sk-SK"/>
        </w:rPr>
        <w:t xml:space="preserve">bolesť hlavy a </w:t>
      </w:r>
      <w:r w:rsidR="009011C0" w:rsidRPr="009011C0">
        <w:rPr>
          <w:sz w:val="20"/>
          <w:lang w:val="sk-SK"/>
        </w:rPr>
        <w:t>kĺb</w:t>
      </w:r>
      <w:r w:rsidR="00035ED6">
        <w:rPr>
          <w:sz w:val="20"/>
          <w:lang w:val="sk-SK"/>
        </w:rPr>
        <w:t>ové ťažkosti</w:t>
      </w:r>
      <w:r w:rsidR="009011C0">
        <w:rPr>
          <w:sz w:val="20"/>
          <w:lang w:val="sk-SK"/>
        </w:rPr>
        <w:t>.</w:t>
      </w:r>
      <w:r w:rsidR="00381101">
        <w:rPr>
          <w:sz w:val="20"/>
          <w:lang w:val="sk-SK"/>
        </w:rPr>
        <w:t xml:space="preserve"> </w:t>
      </w:r>
      <w:r w:rsidRPr="00750186">
        <w:rPr>
          <w:sz w:val="20"/>
          <w:lang w:val="sk-SK"/>
        </w:rPr>
        <w:t xml:space="preserve"> </w:t>
      </w:r>
      <w:r w:rsidR="00381101" w:rsidRPr="00381101">
        <w:rPr>
          <w:sz w:val="20"/>
          <w:lang w:val="sk-SK"/>
        </w:rPr>
        <w:t xml:space="preserve">Tieto prejavy čiastočne zodpovedajú symptómom </w:t>
      </w:r>
      <w:proofErr w:type="spellStart"/>
      <w:r w:rsidR="00381101" w:rsidRPr="00381101">
        <w:rPr>
          <w:sz w:val="20"/>
          <w:lang w:val="sk-SK"/>
        </w:rPr>
        <w:t>základne</w:t>
      </w:r>
      <w:r w:rsidR="00035ED6">
        <w:rPr>
          <w:sz w:val="20"/>
          <w:lang w:val="sk-SK"/>
        </w:rPr>
        <w:t>ho</w:t>
      </w:r>
      <w:proofErr w:type="spellEnd"/>
      <w:r w:rsidR="00381101" w:rsidRPr="00381101">
        <w:rPr>
          <w:sz w:val="20"/>
          <w:lang w:val="sk-SK"/>
        </w:rPr>
        <w:t xml:space="preserve"> </w:t>
      </w:r>
      <w:r w:rsidR="00035ED6">
        <w:rPr>
          <w:sz w:val="20"/>
          <w:lang w:val="sk-SK"/>
        </w:rPr>
        <w:t>ochorenia</w:t>
      </w:r>
      <w:r w:rsidR="00381101" w:rsidRPr="00381101">
        <w:rPr>
          <w:sz w:val="20"/>
          <w:lang w:val="sk-SK"/>
        </w:rPr>
        <w:t xml:space="preserve"> liečených pacientov.</w:t>
      </w:r>
      <w:r w:rsidR="00381101" w:rsidRPr="00051C77" w:rsidDel="001301FE">
        <w:rPr>
          <w:sz w:val="20"/>
          <w:lang w:val="sk-SK"/>
        </w:rPr>
        <w:t xml:space="preserve"> </w:t>
      </w:r>
    </w:p>
    <w:p w14:paraId="13EEC46E" w14:textId="32E65E87" w:rsidR="003E3C22" w:rsidRDefault="00462D04" w:rsidP="00233E28">
      <w:pPr>
        <w:ind w:left="564" w:hanging="564"/>
        <w:jc w:val="both"/>
        <w:rPr>
          <w:sz w:val="20"/>
          <w:lang w:val="sk-SK"/>
        </w:rPr>
      </w:pPr>
      <w:r>
        <w:rPr>
          <w:sz w:val="20"/>
          <w:vertAlign w:val="superscript"/>
          <w:lang w:val="sk-SK"/>
        </w:rPr>
        <w:t>3</w:t>
      </w:r>
      <w:r>
        <w:rPr>
          <w:sz w:val="20"/>
          <w:vertAlign w:val="superscript"/>
          <w:lang w:val="sk-SK"/>
        </w:rPr>
        <w:tab/>
      </w:r>
      <w:r w:rsidR="00DA1E68" w:rsidRPr="00233E28">
        <w:rPr>
          <w:sz w:val="20"/>
          <w:lang w:val="sk-SK"/>
        </w:rPr>
        <w:t>Beta-</w:t>
      </w:r>
      <w:proofErr w:type="spellStart"/>
      <w:r w:rsidR="00DA1E68" w:rsidRPr="00233E28">
        <w:rPr>
          <w:sz w:val="20"/>
          <w:lang w:val="sk-SK"/>
        </w:rPr>
        <w:t>laktámové</w:t>
      </w:r>
      <w:proofErr w:type="spellEnd"/>
      <w:r w:rsidR="00DA1E68" w:rsidRPr="00233E28">
        <w:rPr>
          <w:sz w:val="20"/>
          <w:lang w:val="sk-SK"/>
        </w:rPr>
        <w:t xml:space="preserve"> antibiotiká, vrátane </w:t>
      </w:r>
      <w:proofErr w:type="spellStart"/>
      <w:r w:rsidR="00DA1E68" w:rsidRPr="00233E28">
        <w:rPr>
          <w:sz w:val="20"/>
          <w:lang w:val="sk-SK"/>
        </w:rPr>
        <w:t>cefotax</w:t>
      </w:r>
      <w:r w:rsidR="00DA1E68">
        <w:rPr>
          <w:sz w:val="20"/>
          <w:lang w:val="sk-SK"/>
        </w:rPr>
        <w:t>í</w:t>
      </w:r>
      <w:r w:rsidR="00DA1E68" w:rsidRPr="00233E28">
        <w:rPr>
          <w:sz w:val="20"/>
          <w:lang w:val="sk-SK"/>
        </w:rPr>
        <w:t>mu</w:t>
      </w:r>
      <w:proofErr w:type="spellEnd"/>
      <w:r w:rsidR="00DA1E68" w:rsidRPr="00233E28">
        <w:rPr>
          <w:sz w:val="20"/>
          <w:lang w:val="sk-SK"/>
        </w:rPr>
        <w:t xml:space="preserve">, môžu zvýšiť riziko pacientov s ohľadom na </w:t>
      </w:r>
      <w:proofErr w:type="spellStart"/>
      <w:r w:rsidR="00DA1E68" w:rsidRPr="00233E28">
        <w:rPr>
          <w:sz w:val="20"/>
          <w:lang w:val="sk-SK"/>
        </w:rPr>
        <w:t>encefalopatiu</w:t>
      </w:r>
      <w:proofErr w:type="spellEnd"/>
      <w:r w:rsidR="00DA1E68" w:rsidRPr="00233E28">
        <w:rPr>
          <w:sz w:val="20"/>
          <w:lang w:val="sk-SK"/>
        </w:rPr>
        <w:t xml:space="preserve">, </w:t>
      </w:r>
      <w:r w:rsidR="00DA1E68">
        <w:rPr>
          <w:sz w:val="20"/>
          <w:lang w:val="sk-SK"/>
        </w:rPr>
        <w:tab/>
      </w:r>
      <w:r w:rsidR="00DA1E68" w:rsidRPr="00233E28">
        <w:rPr>
          <w:sz w:val="20"/>
          <w:lang w:val="sk-SK"/>
        </w:rPr>
        <w:t xml:space="preserve">ktorá môže byť napríklad sprevádzaná </w:t>
      </w:r>
      <w:proofErr w:type="spellStart"/>
      <w:r w:rsidR="00DA1E68" w:rsidRPr="00233E28">
        <w:rPr>
          <w:sz w:val="20"/>
          <w:lang w:val="sk-SK"/>
        </w:rPr>
        <w:t>excitáciou</w:t>
      </w:r>
      <w:proofErr w:type="spellEnd"/>
      <w:r w:rsidR="00DA1E68" w:rsidRPr="00233E28">
        <w:rPr>
          <w:sz w:val="20"/>
          <w:lang w:val="sk-SK"/>
        </w:rPr>
        <w:t xml:space="preserve"> centrálneho nervového systému, </w:t>
      </w:r>
      <w:proofErr w:type="spellStart"/>
      <w:r w:rsidR="00DA1E68" w:rsidRPr="00233E28">
        <w:rPr>
          <w:sz w:val="20"/>
          <w:lang w:val="sk-SK"/>
        </w:rPr>
        <w:t>myokl</w:t>
      </w:r>
      <w:r w:rsidR="003A3225">
        <w:rPr>
          <w:sz w:val="20"/>
          <w:lang w:val="sk-SK"/>
        </w:rPr>
        <w:t>óniou</w:t>
      </w:r>
      <w:proofErr w:type="spellEnd"/>
      <w:r w:rsidR="008C181B">
        <w:rPr>
          <w:sz w:val="20"/>
          <w:lang w:val="sk-SK"/>
        </w:rPr>
        <w:t>,</w:t>
      </w:r>
      <w:r w:rsidR="00DA1E68" w:rsidRPr="00233E28">
        <w:rPr>
          <w:sz w:val="20"/>
          <w:lang w:val="sk-SK"/>
        </w:rPr>
        <w:t xml:space="preserve"> kŕčmi, zmätenosťou, poruchami vedomia a pohybovými poruchami, najmä v príp</w:t>
      </w:r>
      <w:r w:rsidR="00661A94" w:rsidRPr="00051C77">
        <w:rPr>
          <w:sz w:val="20"/>
          <w:lang w:val="sk-SK"/>
        </w:rPr>
        <w:t>ade vysokých dávok, predávkovania</w:t>
      </w:r>
      <w:r w:rsidR="00DA1E68" w:rsidRPr="00233E28">
        <w:rPr>
          <w:sz w:val="20"/>
          <w:lang w:val="sk-SK"/>
        </w:rPr>
        <w:t xml:space="preserve"> alebo u pacientov s po</w:t>
      </w:r>
      <w:r w:rsidR="00646633">
        <w:rPr>
          <w:sz w:val="20"/>
          <w:lang w:val="sk-SK"/>
        </w:rPr>
        <w:t>ruchou</w:t>
      </w:r>
      <w:r w:rsidR="00DA1E68" w:rsidRPr="00233E28">
        <w:rPr>
          <w:sz w:val="20"/>
          <w:lang w:val="sk-SK"/>
        </w:rPr>
        <w:t xml:space="preserve"> funkcie obličiek.</w:t>
      </w:r>
    </w:p>
    <w:p w14:paraId="49F270F1" w14:textId="67EB7064" w:rsidR="00661A94" w:rsidRPr="00233E28" w:rsidRDefault="00661A94" w:rsidP="00233E28">
      <w:pPr>
        <w:ind w:left="564" w:hanging="564"/>
        <w:jc w:val="both"/>
        <w:rPr>
          <w:sz w:val="20"/>
          <w:lang w:val="sk-SK"/>
        </w:rPr>
      </w:pPr>
      <w:r>
        <w:rPr>
          <w:sz w:val="20"/>
          <w:vertAlign w:val="superscript"/>
          <w:lang w:val="sk-SK"/>
        </w:rPr>
        <w:t>4</w:t>
      </w:r>
      <w:r>
        <w:rPr>
          <w:sz w:val="20"/>
          <w:lang w:val="sk-SK"/>
        </w:rPr>
        <w:tab/>
      </w:r>
      <w:r w:rsidR="00821B2A" w:rsidRPr="00821B2A">
        <w:rPr>
          <w:sz w:val="20"/>
          <w:lang w:val="sk-SK"/>
        </w:rPr>
        <w:t xml:space="preserve">Zvýšenie pečeňových enzýmov alebo </w:t>
      </w:r>
      <w:proofErr w:type="spellStart"/>
      <w:r w:rsidR="00821B2A" w:rsidRPr="00821B2A">
        <w:rPr>
          <w:sz w:val="20"/>
          <w:lang w:val="sk-SK"/>
        </w:rPr>
        <w:t>bilirubínu</w:t>
      </w:r>
      <w:proofErr w:type="spellEnd"/>
      <w:r w:rsidR="00821B2A" w:rsidRPr="00821B2A">
        <w:rPr>
          <w:sz w:val="20"/>
          <w:lang w:val="sk-SK"/>
        </w:rPr>
        <w:t xml:space="preserve"> </w:t>
      </w:r>
      <w:r w:rsidR="004433A4">
        <w:rPr>
          <w:sz w:val="20"/>
          <w:lang w:val="sk-SK"/>
        </w:rPr>
        <w:t>môž</w:t>
      </w:r>
      <w:r w:rsidR="00646633">
        <w:rPr>
          <w:sz w:val="20"/>
          <w:lang w:val="sk-SK"/>
        </w:rPr>
        <w:t>e</w:t>
      </w:r>
      <w:r w:rsidR="004433A4">
        <w:rPr>
          <w:sz w:val="20"/>
          <w:lang w:val="sk-SK"/>
        </w:rPr>
        <w:t xml:space="preserve"> </w:t>
      </w:r>
      <w:r w:rsidR="00821B2A" w:rsidRPr="00821B2A">
        <w:rPr>
          <w:sz w:val="20"/>
          <w:lang w:val="sk-SK"/>
        </w:rPr>
        <w:t>zriedka prekr</w:t>
      </w:r>
      <w:r w:rsidR="004433A4">
        <w:rPr>
          <w:sz w:val="20"/>
          <w:lang w:val="sk-SK"/>
        </w:rPr>
        <w:t>očiť</w:t>
      </w:r>
      <w:r w:rsidR="00821B2A" w:rsidRPr="00821B2A">
        <w:rPr>
          <w:sz w:val="20"/>
          <w:lang w:val="sk-SK"/>
        </w:rPr>
        <w:t xml:space="preserve"> dvojnásobok hornej hranice </w:t>
      </w:r>
      <w:r w:rsidR="00646633">
        <w:rPr>
          <w:sz w:val="20"/>
          <w:lang w:val="sk-SK"/>
        </w:rPr>
        <w:t xml:space="preserve">intervalu normálnych hodnôt </w:t>
      </w:r>
      <w:r w:rsidR="00821B2A" w:rsidRPr="00821B2A">
        <w:rPr>
          <w:sz w:val="20"/>
          <w:lang w:val="sk-SK"/>
        </w:rPr>
        <w:t xml:space="preserve">a indikuje rôzne formy poškodenia pečene (zvyčajne </w:t>
      </w:r>
      <w:proofErr w:type="spellStart"/>
      <w:r w:rsidR="00821B2A" w:rsidRPr="00821B2A">
        <w:rPr>
          <w:sz w:val="20"/>
          <w:lang w:val="sk-SK"/>
        </w:rPr>
        <w:t>cholestatické</w:t>
      </w:r>
      <w:proofErr w:type="spellEnd"/>
      <w:r w:rsidR="00821B2A" w:rsidRPr="00821B2A">
        <w:rPr>
          <w:sz w:val="20"/>
          <w:lang w:val="sk-SK"/>
        </w:rPr>
        <w:t xml:space="preserve">, väčšinou </w:t>
      </w:r>
      <w:proofErr w:type="spellStart"/>
      <w:r w:rsidR="00821B2A" w:rsidRPr="00821B2A">
        <w:rPr>
          <w:sz w:val="20"/>
          <w:lang w:val="sk-SK"/>
        </w:rPr>
        <w:t>asymptomatické</w:t>
      </w:r>
      <w:proofErr w:type="spellEnd"/>
      <w:r w:rsidR="00821B2A" w:rsidRPr="00821B2A">
        <w:rPr>
          <w:sz w:val="20"/>
          <w:lang w:val="sk-SK"/>
        </w:rPr>
        <w:t>).</w:t>
      </w:r>
    </w:p>
    <w:p w14:paraId="7A6A76CB" w14:textId="77777777" w:rsidR="00A11CE9" w:rsidRDefault="00A11CE9" w:rsidP="00233E28">
      <w:pPr>
        <w:rPr>
          <w:lang w:val="sk-SK"/>
        </w:rPr>
      </w:pPr>
    </w:p>
    <w:p w14:paraId="615C356B" w14:textId="77777777" w:rsidR="00A11CE9" w:rsidRPr="00A11CE9" w:rsidRDefault="00A11CE9" w:rsidP="00233E28">
      <w:pPr>
        <w:rPr>
          <w:u w:val="single"/>
          <w:lang w:val="sk-SK"/>
        </w:rPr>
      </w:pPr>
      <w:r w:rsidRPr="00A11CE9">
        <w:rPr>
          <w:u w:val="single"/>
          <w:lang w:val="sk-SK"/>
        </w:rPr>
        <w:t>Hlásenie podozrení na nežiaduce reakcie</w:t>
      </w:r>
    </w:p>
    <w:p w14:paraId="297A2476" w14:textId="0FB16715" w:rsidR="00A11CE9" w:rsidRPr="00A11CE9" w:rsidRDefault="00A11CE9" w:rsidP="008D16D7">
      <w:pPr>
        <w:jc w:val="both"/>
        <w:rPr>
          <w:lang w:val="sk-SK"/>
        </w:rPr>
      </w:pPr>
      <w:r w:rsidRPr="00A11CE9">
        <w:rPr>
          <w:lang w:val="sk-SK"/>
        </w:rPr>
        <w:lastRenderedPageBreak/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055DB9" w:rsidRPr="00233E28">
        <w:rPr>
          <w:noProof/>
          <w:szCs w:val="22"/>
          <w:lang w:val="sk-SK"/>
        </w:rPr>
        <w:t xml:space="preserve">na </w:t>
      </w:r>
      <w:r w:rsidR="00055DB9" w:rsidRPr="00233E28">
        <w:rPr>
          <w:noProof/>
          <w:szCs w:val="22"/>
          <w:highlight w:val="lightGray"/>
          <w:lang w:val="sk-SK"/>
        </w:rPr>
        <w:t>národné centrum hlásenia uvedené v </w:t>
      </w:r>
      <w:hyperlink r:id="rId8" w:history="1">
        <w:r w:rsidR="00055DB9" w:rsidRPr="00233E28">
          <w:rPr>
            <w:rStyle w:val="Hypertextovprepojenie"/>
            <w:noProof/>
            <w:szCs w:val="22"/>
            <w:highlight w:val="lightGray"/>
            <w:lang w:val="sk-SK"/>
          </w:rPr>
          <w:t>Prílohe V</w:t>
        </w:r>
      </w:hyperlink>
      <w:r w:rsidRPr="00A11CE9">
        <w:rPr>
          <w:lang w:val="sk-SK"/>
        </w:rPr>
        <w:t>.</w:t>
      </w:r>
    </w:p>
    <w:p w14:paraId="4DD58D7F" w14:textId="77777777" w:rsidR="003E3C22" w:rsidRPr="004229C9" w:rsidRDefault="003E3C22" w:rsidP="00345FAC">
      <w:pPr>
        <w:rPr>
          <w:lang w:val="sk-SK"/>
        </w:rPr>
      </w:pPr>
    </w:p>
    <w:p w14:paraId="14A217AF" w14:textId="77777777" w:rsidR="003E3C22" w:rsidRPr="004229C9" w:rsidRDefault="003E3C22" w:rsidP="003E3C22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sk-SK"/>
        </w:rPr>
      </w:pPr>
      <w:r w:rsidRPr="004229C9">
        <w:rPr>
          <w:b/>
          <w:noProof/>
          <w:szCs w:val="22"/>
          <w:lang w:val="sk-SK"/>
        </w:rPr>
        <w:t>4.9</w:t>
      </w:r>
      <w:r w:rsidRPr="004229C9">
        <w:rPr>
          <w:b/>
          <w:noProof/>
          <w:szCs w:val="22"/>
          <w:lang w:val="sk-SK"/>
        </w:rPr>
        <w:tab/>
        <w:t xml:space="preserve">Predávkovanie </w:t>
      </w:r>
    </w:p>
    <w:p w14:paraId="2973402F" w14:textId="77777777" w:rsidR="003E3C22" w:rsidRPr="004229C9" w:rsidRDefault="003E3C22" w:rsidP="003E3C22">
      <w:pPr>
        <w:tabs>
          <w:tab w:val="clear" w:pos="567"/>
        </w:tabs>
        <w:spacing w:line="240" w:lineRule="auto"/>
        <w:rPr>
          <w:b/>
          <w:noProof/>
          <w:szCs w:val="22"/>
          <w:lang w:val="sk-SK"/>
        </w:rPr>
      </w:pPr>
      <w:r w:rsidRPr="004229C9">
        <w:rPr>
          <w:noProof/>
          <w:szCs w:val="22"/>
          <w:lang w:val="sk-SK"/>
        </w:rPr>
        <w:t xml:space="preserve">           </w:t>
      </w:r>
    </w:p>
    <w:p w14:paraId="457219F9" w14:textId="23CC5890" w:rsidR="003E3C22" w:rsidRPr="00672EFE" w:rsidRDefault="003E3C22" w:rsidP="00514B6F">
      <w:pPr>
        <w:tabs>
          <w:tab w:val="clear" w:pos="567"/>
        </w:tabs>
        <w:rPr>
          <w:i/>
          <w:noProof/>
          <w:szCs w:val="22"/>
          <w:lang w:val="sk-SK"/>
        </w:rPr>
      </w:pPr>
      <w:r w:rsidRPr="00672EFE">
        <w:rPr>
          <w:bCs/>
          <w:i/>
          <w:lang w:val="sk-SK"/>
        </w:rPr>
        <w:t>Symptómy</w:t>
      </w:r>
      <w:r w:rsidRPr="00672EFE">
        <w:rPr>
          <w:i/>
          <w:noProof/>
          <w:szCs w:val="22"/>
          <w:lang w:val="sk-SK"/>
        </w:rPr>
        <w:t xml:space="preserve">: </w:t>
      </w:r>
    </w:p>
    <w:p w14:paraId="455B4990" w14:textId="716E4E2C" w:rsidR="003E3C22" w:rsidRPr="004229C9" w:rsidRDefault="003E3C22" w:rsidP="008D16D7">
      <w:pPr>
        <w:jc w:val="both"/>
        <w:rPr>
          <w:noProof/>
          <w:szCs w:val="22"/>
          <w:lang w:val="sk-SK"/>
        </w:rPr>
      </w:pPr>
      <w:r w:rsidRPr="004229C9">
        <w:rPr>
          <w:noProof/>
          <w:szCs w:val="22"/>
          <w:lang w:val="sk-SK"/>
        </w:rPr>
        <w:t xml:space="preserve">Prípady akútnej intoxikácie </w:t>
      </w:r>
      <w:r>
        <w:rPr>
          <w:noProof/>
          <w:szCs w:val="22"/>
          <w:lang w:val="sk-SK"/>
        </w:rPr>
        <w:t>cefotaxím</w:t>
      </w:r>
      <w:r w:rsidRPr="004229C9">
        <w:rPr>
          <w:noProof/>
          <w:szCs w:val="22"/>
          <w:lang w:val="sk-SK"/>
        </w:rPr>
        <w:t>om nie sú publikované. Symptómy predávkovania môžu</w:t>
      </w:r>
      <w:r>
        <w:rPr>
          <w:noProof/>
          <w:szCs w:val="22"/>
          <w:lang w:val="sk-SK"/>
        </w:rPr>
        <w:t xml:space="preserve"> </w:t>
      </w:r>
      <w:r w:rsidRPr="0012384E">
        <w:rPr>
          <w:noProof/>
          <w:szCs w:val="22"/>
          <w:lang w:val="sk-SK"/>
        </w:rPr>
        <w:t>do značnej miery</w:t>
      </w:r>
      <w:r w:rsidRPr="004229C9">
        <w:rPr>
          <w:noProof/>
          <w:szCs w:val="22"/>
          <w:lang w:val="sk-SK"/>
        </w:rPr>
        <w:t xml:space="preserve"> korešpondovať s profilom vedľajších účinkov.</w:t>
      </w:r>
    </w:p>
    <w:p w14:paraId="5A21E690" w14:textId="77777777" w:rsidR="003E3C22" w:rsidRDefault="003E3C22" w:rsidP="003E3C22">
      <w:pPr>
        <w:rPr>
          <w:noProof/>
          <w:szCs w:val="22"/>
          <w:lang w:val="sk-SK"/>
        </w:rPr>
      </w:pPr>
      <w:r w:rsidRPr="004229C9">
        <w:rPr>
          <w:noProof/>
          <w:szCs w:val="22"/>
          <w:lang w:val="sk-SK"/>
        </w:rPr>
        <w:t xml:space="preserve">          </w:t>
      </w:r>
    </w:p>
    <w:p w14:paraId="61970691" w14:textId="2FB9E13A" w:rsidR="003E3C22" w:rsidRPr="004229C9" w:rsidRDefault="003E3C22" w:rsidP="003E3C22">
      <w:pPr>
        <w:rPr>
          <w:noProof/>
          <w:szCs w:val="22"/>
          <w:lang w:val="sk-SK"/>
        </w:rPr>
      </w:pPr>
      <w:r w:rsidRPr="004229C9">
        <w:rPr>
          <w:noProof/>
          <w:szCs w:val="22"/>
          <w:lang w:val="sk-SK"/>
        </w:rPr>
        <w:t>V prípade predávkovania (najmä pri renálnej insuficiencii) je riziko reverzibilnej encefalopatie.</w:t>
      </w:r>
    </w:p>
    <w:p w14:paraId="79E3C3DC" w14:textId="77777777" w:rsidR="003E3C22" w:rsidRPr="004229C9" w:rsidRDefault="003E3C22" w:rsidP="003E3C22">
      <w:pPr>
        <w:rPr>
          <w:color w:val="FF6600"/>
          <w:lang w:val="sk-SK"/>
        </w:rPr>
      </w:pPr>
      <w:r w:rsidRPr="004229C9">
        <w:rPr>
          <w:noProof/>
          <w:color w:val="FF6600"/>
          <w:szCs w:val="22"/>
          <w:lang w:val="sk-SK"/>
        </w:rPr>
        <w:t xml:space="preserve"> </w:t>
      </w:r>
    </w:p>
    <w:p w14:paraId="31DDD14C" w14:textId="09022FA3" w:rsidR="003E3C22" w:rsidRPr="00DA3476" w:rsidRDefault="003E3C22" w:rsidP="00514B6F">
      <w:pPr>
        <w:tabs>
          <w:tab w:val="clear" w:pos="567"/>
        </w:tabs>
        <w:rPr>
          <w:i/>
          <w:noProof/>
          <w:szCs w:val="22"/>
          <w:lang w:val="sk-SK"/>
        </w:rPr>
      </w:pPr>
      <w:r w:rsidRPr="00DA3476">
        <w:rPr>
          <w:i/>
          <w:lang w:val="sk-SK"/>
        </w:rPr>
        <w:t>Liečba</w:t>
      </w:r>
      <w:r w:rsidRPr="00DA3476">
        <w:rPr>
          <w:i/>
          <w:noProof/>
          <w:szCs w:val="22"/>
          <w:lang w:val="sk-SK"/>
        </w:rPr>
        <w:t>:</w:t>
      </w:r>
    </w:p>
    <w:p w14:paraId="25B32C8C" w14:textId="3A6F033E" w:rsidR="003E3C22" w:rsidRDefault="003E3C22" w:rsidP="008D16D7">
      <w:pPr>
        <w:jc w:val="both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V prípade predávkovania je potrebné prerušiť podávanie cefotaxímu a </w:t>
      </w:r>
      <w:r w:rsidR="00B516ED">
        <w:rPr>
          <w:noProof/>
          <w:szCs w:val="22"/>
          <w:lang w:val="sk-SK"/>
        </w:rPr>
        <w:t xml:space="preserve">začať </w:t>
      </w:r>
      <w:r>
        <w:rPr>
          <w:noProof/>
          <w:szCs w:val="22"/>
          <w:lang w:val="sk-SK"/>
        </w:rPr>
        <w:t xml:space="preserve">podpornú liečbu, ktorá zahŕňa opatrenia na urýchlenie jeho eliminácie, a symptomatickú liečbu nežiadúcich </w:t>
      </w:r>
      <w:r w:rsidRPr="00BC7609">
        <w:rPr>
          <w:noProof/>
          <w:szCs w:val="22"/>
          <w:lang w:val="sk-SK"/>
        </w:rPr>
        <w:t>reakcií (napr. kŕč</w:t>
      </w:r>
      <w:r w:rsidR="00B516ED">
        <w:rPr>
          <w:noProof/>
          <w:szCs w:val="22"/>
          <w:lang w:val="sk-SK"/>
        </w:rPr>
        <w:t>ov</w:t>
      </w:r>
      <w:r w:rsidRPr="00BC7609">
        <w:rPr>
          <w:noProof/>
          <w:szCs w:val="22"/>
          <w:lang w:val="sk-SK"/>
        </w:rPr>
        <w:t xml:space="preserve">). </w:t>
      </w:r>
    </w:p>
    <w:p w14:paraId="65C0CBD3" w14:textId="77777777" w:rsidR="003E3C22" w:rsidRDefault="003E3C22" w:rsidP="003E3C22">
      <w:pPr>
        <w:ind w:left="567"/>
        <w:rPr>
          <w:noProof/>
          <w:szCs w:val="22"/>
          <w:lang w:val="sk-SK"/>
        </w:rPr>
      </w:pPr>
    </w:p>
    <w:p w14:paraId="30585D1B" w14:textId="6694BF76" w:rsidR="003E3C22" w:rsidRPr="004229C9" w:rsidRDefault="003E3C22" w:rsidP="008D16D7">
      <w:pPr>
        <w:jc w:val="both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 xml:space="preserve">Cefotaxím je hemodialyzovateľný. </w:t>
      </w:r>
      <w:r w:rsidRPr="00BC7609">
        <w:rPr>
          <w:noProof/>
          <w:szCs w:val="22"/>
          <w:lang w:val="sk-SK"/>
        </w:rPr>
        <w:t xml:space="preserve">Hemodialýza </w:t>
      </w:r>
      <w:r>
        <w:rPr>
          <w:noProof/>
          <w:szCs w:val="22"/>
          <w:lang w:val="sk-SK"/>
        </w:rPr>
        <w:t>je možná</w:t>
      </w:r>
      <w:r w:rsidRPr="004229C9">
        <w:rPr>
          <w:noProof/>
          <w:szCs w:val="22"/>
          <w:lang w:val="sk-SK"/>
        </w:rPr>
        <w:t xml:space="preserve"> </w:t>
      </w:r>
      <w:r>
        <w:rPr>
          <w:noProof/>
          <w:szCs w:val="22"/>
          <w:lang w:val="sk-SK"/>
        </w:rPr>
        <w:t xml:space="preserve">v prípade toxických reakcií alebo </w:t>
      </w:r>
      <w:r w:rsidR="00B516ED">
        <w:rPr>
          <w:noProof/>
          <w:szCs w:val="22"/>
          <w:lang w:val="sk-SK"/>
        </w:rPr>
        <w:t xml:space="preserve">poruchy </w:t>
      </w:r>
      <w:r>
        <w:rPr>
          <w:noProof/>
          <w:szCs w:val="22"/>
          <w:lang w:val="sk-SK"/>
        </w:rPr>
        <w:t>funkci</w:t>
      </w:r>
      <w:r w:rsidR="00B516ED">
        <w:rPr>
          <w:noProof/>
          <w:szCs w:val="22"/>
          <w:lang w:val="sk-SK"/>
        </w:rPr>
        <w:t>e</w:t>
      </w:r>
      <w:r>
        <w:rPr>
          <w:noProof/>
          <w:szCs w:val="22"/>
          <w:lang w:val="sk-SK"/>
        </w:rPr>
        <w:t xml:space="preserve"> obličiek</w:t>
      </w:r>
      <w:r w:rsidRPr="004229C9">
        <w:rPr>
          <w:noProof/>
          <w:szCs w:val="22"/>
          <w:lang w:val="sk-SK"/>
        </w:rPr>
        <w:t>.</w:t>
      </w:r>
      <w:r>
        <w:rPr>
          <w:noProof/>
          <w:szCs w:val="22"/>
          <w:lang w:val="sk-SK"/>
        </w:rPr>
        <w:t xml:space="preserve"> </w:t>
      </w:r>
      <w:r w:rsidR="003162BE" w:rsidRPr="003162BE">
        <w:rPr>
          <w:noProof/>
          <w:szCs w:val="22"/>
          <w:lang w:val="sk-SK"/>
        </w:rPr>
        <w:t>Cefotaxim nie je eliminovaný peritoneálnou dialýzou. Neexistuje žiadn</w:t>
      </w:r>
      <w:r w:rsidR="003162BE">
        <w:rPr>
          <w:noProof/>
          <w:szCs w:val="22"/>
          <w:lang w:val="sk-SK"/>
        </w:rPr>
        <w:t>e</w:t>
      </w:r>
      <w:r w:rsidR="003162BE" w:rsidRPr="003162BE">
        <w:rPr>
          <w:noProof/>
          <w:szCs w:val="22"/>
          <w:lang w:val="sk-SK"/>
        </w:rPr>
        <w:t xml:space="preserve"> špecifick</w:t>
      </w:r>
      <w:r w:rsidR="003162BE">
        <w:rPr>
          <w:noProof/>
          <w:szCs w:val="22"/>
          <w:lang w:val="sk-SK"/>
        </w:rPr>
        <w:t>é</w:t>
      </w:r>
      <w:r w:rsidR="003162BE" w:rsidRPr="003162BE">
        <w:rPr>
          <w:noProof/>
          <w:szCs w:val="22"/>
          <w:lang w:val="sk-SK"/>
        </w:rPr>
        <w:t xml:space="preserve"> antidotum.</w:t>
      </w:r>
    </w:p>
    <w:p w14:paraId="48F8AD86" w14:textId="77777777" w:rsidR="003E3C22" w:rsidRPr="004229C9" w:rsidRDefault="003E3C22" w:rsidP="003E3C22">
      <w:pPr>
        <w:rPr>
          <w:lang w:val="sk-SK"/>
        </w:rPr>
      </w:pPr>
    </w:p>
    <w:p w14:paraId="0725C9EC" w14:textId="77777777" w:rsidR="003E3C22" w:rsidRPr="004229C9" w:rsidRDefault="003E3C22" w:rsidP="003E3C22">
      <w:pPr>
        <w:rPr>
          <w:lang w:val="sk-SK"/>
        </w:rPr>
      </w:pPr>
    </w:p>
    <w:p w14:paraId="4FC006D9" w14:textId="77777777" w:rsidR="003E3C22" w:rsidRPr="004229C9" w:rsidRDefault="003E3C22" w:rsidP="003E3C22">
      <w:pPr>
        <w:tabs>
          <w:tab w:val="clear" w:pos="567"/>
        </w:tabs>
        <w:spacing w:line="240" w:lineRule="auto"/>
        <w:ind w:left="567" w:hanging="567"/>
        <w:rPr>
          <w:noProof/>
          <w:szCs w:val="22"/>
          <w:lang w:val="sk-SK"/>
        </w:rPr>
      </w:pPr>
      <w:r w:rsidRPr="004229C9">
        <w:rPr>
          <w:b/>
          <w:noProof/>
          <w:szCs w:val="22"/>
          <w:lang w:val="sk-SK"/>
        </w:rPr>
        <w:t>5.</w:t>
      </w:r>
      <w:r w:rsidRPr="004229C9">
        <w:rPr>
          <w:b/>
          <w:noProof/>
          <w:szCs w:val="22"/>
          <w:lang w:val="sk-SK"/>
        </w:rPr>
        <w:tab/>
        <w:t xml:space="preserve">FARMAKOLOGICKÉ VLASTNOSTI </w:t>
      </w:r>
    </w:p>
    <w:p w14:paraId="14D3A1CE" w14:textId="77777777" w:rsidR="003E3C22" w:rsidRPr="004229C9" w:rsidRDefault="003E3C22" w:rsidP="003E3C22">
      <w:pPr>
        <w:tabs>
          <w:tab w:val="clear" w:pos="567"/>
        </w:tabs>
        <w:spacing w:line="240" w:lineRule="auto"/>
        <w:rPr>
          <w:b/>
          <w:noProof/>
          <w:szCs w:val="22"/>
          <w:lang w:val="sk-SK"/>
        </w:rPr>
      </w:pPr>
      <w:r w:rsidRPr="004229C9">
        <w:rPr>
          <w:noProof/>
          <w:szCs w:val="22"/>
          <w:lang w:val="sk-SK"/>
        </w:rPr>
        <w:t xml:space="preserve">          </w:t>
      </w:r>
    </w:p>
    <w:p w14:paraId="15F30FB0" w14:textId="77777777" w:rsidR="003E3C22" w:rsidRPr="004229C9" w:rsidRDefault="003E3C22" w:rsidP="003E3C22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sk-SK"/>
        </w:rPr>
      </w:pPr>
      <w:r w:rsidRPr="004229C9">
        <w:rPr>
          <w:b/>
          <w:noProof/>
          <w:szCs w:val="22"/>
          <w:lang w:val="sk-SK"/>
        </w:rPr>
        <w:t xml:space="preserve">5.1 </w:t>
      </w:r>
      <w:r w:rsidRPr="004229C9">
        <w:rPr>
          <w:b/>
          <w:noProof/>
          <w:szCs w:val="22"/>
          <w:lang w:val="sk-SK"/>
        </w:rPr>
        <w:tab/>
      </w:r>
      <w:proofErr w:type="spellStart"/>
      <w:r w:rsidRPr="004229C9">
        <w:rPr>
          <w:b/>
          <w:bCs/>
          <w:lang w:val="sk-SK"/>
        </w:rPr>
        <w:t>Farmakodynamické</w:t>
      </w:r>
      <w:proofErr w:type="spellEnd"/>
      <w:r w:rsidRPr="004229C9">
        <w:rPr>
          <w:b/>
          <w:bCs/>
          <w:lang w:val="sk-SK"/>
        </w:rPr>
        <w:t xml:space="preserve"> vlastnosti</w:t>
      </w:r>
      <w:r w:rsidRPr="004229C9">
        <w:rPr>
          <w:b/>
          <w:noProof/>
          <w:szCs w:val="22"/>
          <w:lang w:val="sk-SK"/>
        </w:rPr>
        <w:t xml:space="preserve"> </w:t>
      </w:r>
    </w:p>
    <w:p w14:paraId="28ADA117" w14:textId="77777777" w:rsidR="003E3C22" w:rsidRPr="004229C9" w:rsidRDefault="003E3C22" w:rsidP="003E3C22">
      <w:pPr>
        <w:rPr>
          <w:b/>
          <w:bCs/>
          <w:lang w:val="sk-SK"/>
        </w:rPr>
      </w:pPr>
      <w:r w:rsidRPr="004229C9">
        <w:rPr>
          <w:b/>
          <w:bCs/>
          <w:lang w:val="sk-SK"/>
        </w:rPr>
        <w:t xml:space="preserve">          </w:t>
      </w:r>
    </w:p>
    <w:p w14:paraId="1750992E" w14:textId="285647F0" w:rsidR="003E3C22" w:rsidRPr="004229C9" w:rsidRDefault="003E3C22" w:rsidP="00233E28">
      <w:pPr>
        <w:jc w:val="both"/>
        <w:rPr>
          <w:lang w:val="sk-SK"/>
        </w:rPr>
      </w:pPr>
      <w:proofErr w:type="spellStart"/>
      <w:r w:rsidRPr="00233E28">
        <w:rPr>
          <w:lang w:val="sk-SK"/>
        </w:rPr>
        <w:t>Farmakoterapeutická</w:t>
      </w:r>
      <w:proofErr w:type="spellEnd"/>
      <w:r w:rsidRPr="00233E28">
        <w:rPr>
          <w:lang w:val="sk-SK"/>
        </w:rPr>
        <w:t xml:space="preserve"> skupina:</w:t>
      </w:r>
      <w:r w:rsidR="00B424EB">
        <w:rPr>
          <w:lang w:val="sk-SK"/>
        </w:rPr>
        <w:t xml:space="preserve"> </w:t>
      </w:r>
      <w:proofErr w:type="spellStart"/>
      <w:r w:rsidR="00756183">
        <w:rPr>
          <w:lang w:val="sk-SK"/>
        </w:rPr>
        <w:t>c</w:t>
      </w:r>
      <w:r w:rsidRPr="004229C9">
        <w:rPr>
          <w:lang w:val="sk-SK"/>
        </w:rPr>
        <w:t>ef</w:t>
      </w:r>
      <w:r>
        <w:rPr>
          <w:lang w:val="sk-SK"/>
        </w:rPr>
        <w:t>o</w:t>
      </w:r>
      <w:r w:rsidRPr="004229C9">
        <w:rPr>
          <w:lang w:val="sk-SK"/>
        </w:rPr>
        <w:t>t</w:t>
      </w:r>
      <w:r>
        <w:rPr>
          <w:lang w:val="sk-SK"/>
        </w:rPr>
        <w:t>a</w:t>
      </w:r>
      <w:r w:rsidRPr="004229C9">
        <w:rPr>
          <w:lang w:val="sk-SK"/>
        </w:rPr>
        <w:t>xím</w:t>
      </w:r>
      <w:proofErr w:type="spellEnd"/>
      <w:r w:rsidRPr="004229C9">
        <w:rPr>
          <w:lang w:val="sk-SK"/>
        </w:rPr>
        <w:t xml:space="preserve"> je </w:t>
      </w:r>
      <w:proofErr w:type="spellStart"/>
      <w:r w:rsidRPr="004229C9">
        <w:rPr>
          <w:lang w:val="sk-SK"/>
        </w:rPr>
        <w:t>parenterálne</w:t>
      </w:r>
      <w:proofErr w:type="spellEnd"/>
      <w:r w:rsidRPr="004229C9">
        <w:rPr>
          <w:lang w:val="sk-SK"/>
        </w:rPr>
        <w:t xml:space="preserve"> </w:t>
      </w:r>
      <w:proofErr w:type="spellStart"/>
      <w:r w:rsidRPr="004229C9">
        <w:rPr>
          <w:lang w:val="sk-SK"/>
        </w:rPr>
        <w:t>betalaktámové</w:t>
      </w:r>
      <w:proofErr w:type="spellEnd"/>
      <w:r w:rsidRPr="004229C9">
        <w:rPr>
          <w:lang w:val="sk-SK"/>
        </w:rPr>
        <w:t xml:space="preserve"> antibiotikum zo skupiny </w:t>
      </w:r>
      <w:proofErr w:type="spellStart"/>
      <w:r w:rsidRPr="004229C9">
        <w:rPr>
          <w:lang w:val="sk-SK"/>
        </w:rPr>
        <w:t>cefalosporínov</w:t>
      </w:r>
      <w:proofErr w:type="spellEnd"/>
      <w:r w:rsidR="009D4F8B">
        <w:rPr>
          <w:lang w:val="sk-SK"/>
        </w:rPr>
        <w:t xml:space="preserve">, </w:t>
      </w:r>
      <w:r w:rsidR="005F3E6D">
        <w:rPr>
          <w:lang w:val="sk-SK"/>
        </w:rPr>
        <w:t xml:space="preserve">antibiotiká na systémové použitie, </w:t>
      </w:r>
      <w:proofErr w:type="spellStart"/>
      <w:r w:rsidRPr="004229C9">
        <w:rPr>
          <w:lang w:val="sk-SK"/>
        </w:rPr>
        <w:t>cefalosporín</w:t>
      </w:r>
      <w:r w:rsidR="00B8423E">
        <w:rPr>
          <w:lang w:val="sk-SK"/>
        </w:rPr>
        <w:t>y</w:t>
      </w:r>
      <w:proofErr w:type="spellEnd"/>
      <w:r w:rsidR="00B8423E">
        <w:rPr>
          <w:lang w:val="sk-SK"/>
        </w:rPr>
        <w:t xml:space="preserve"> tretej generácie,</w:t>
      </w:r>
      <w:r w:rsidR="00B424EB">
        <w:rPr>
          <w:lang w:val="sk-SK"/>
        </w:rPr>
        <w:t xml:space="preserve"> </w:t>
      </w:r>
      <w:r w:rsidRPr="00733869">
        <w:rPr>
          <w:bCs/>
          <w:lang w:val="sk-SK"/>
        </w:rPr>
        <w:t xml:space="preserve">ATC </w:t>
      </w:r>
      <w:r w:rsidR="001E14AD">
        <w:rPr>
          <w:bCs/>
          <w:lang w:val="sk-SK"/>
        </w:rPr>
        <w:t>k</w:t>
      </w:r>
      <w:r w:rsidRPr="00733869">
        <w:rPr>
          <w:bCs/>
          <w:lang w:val="sk-SK"/>
        </w:rPr>
        <w:t>ód</w:t>
      </w:r>
      <w:r w:rsidRPr="00733869">
        <w:rPr>
          <w:lang w:val="sk-SK"/>
        </w:rPr>
        <w:t>:</w:t>
      </w:r>
      <w:r w:rsidRPr="004229C9">
        <w:rPr>
          <w:lang w:val="sk-SK"/>
        </w:rPr>
        <w:t xml:space="preserve">  J01DD01  </w:t>
      </w:r>
    </w:p>
    <w:p w14:paraId="0A1133DC" w14:textId="77777777" w:rsidR="00756183" w:rsidRDefault="00756183" w:rsidP="00233E28">
      <w:pPr>
        <w:rPr>
          <w:bCs/>
          <w:u w:val="single"/>
          <w:lang w:val="sk-SK"/>
        </w:rPr>
      </w:pPr>
    </w:p>
    <w:p w14:paraId="50FF3099" w14:textId="11128E3E" w:rsidR="003E3C22" w:rsidRPr="00ED3BE2" w:rsidRDefault="003E3C22" w:rsidP="00233E28">
      <w:pPr>
        <w:rPr>
          <w:u w:val="single"/>
          <w:lang w:val="sk-SK"/>
        </w:rPr>
      </w:pPr>
      <w:r w:rsidRPr="00ED3BE2">
        <w:rPr>
          <w:bCs/>
          <w:u w:val="single"/>
          <w:lang w:val="sk-SK"/>
        </w:rPr>
        <w:t>Mechanizmus účinku</w:t>
      </w:r>
    </w:p>
    <w:p w14:paraId="68F847D4" w14:textId="2222D8A9" w:rsidR="00C850E5" w:rsidRDefault="003E3C22" w:rsidP="008D16D7">
      <w:pPr>
        <w:jc w:val="both"/>
        <w:rPr>
          <w:lang w:val="sk-SK"/>
        </w:rPr>
      </w:pPr>
      <w:r w:rsidRPr="004229C9">
        <w:rPr>
          <w:lang w:val="sk-SK"/>
        </w:rPr>
        <w:t xml:space="preserve">Baktericídna aktivita </w:t>
      </w:r>
      <w:proofErr w:type="spellStart"/>
      <w:r>
        <w:rPr>
          <w:lang w:val="sk-SK"/>
        </w:rPr>
        <w:t>cefotaxím</w:t>
      </w:r>
      <w:r w:rsidRPr="004229C9">
        <w:rPr>
          <w:lang w:val="sk-SK"/>
        </w:rPr>
        <w:t>u</w:t>
      </w:r>
      <w:proofErr w:type="spellEnd"/>
      <w:r w:rsidRPr="004229C9">
        <w:rPr>
          <w:lang w:val="sk-SK"/>
        </w:rPr>
        <w:t xml:space="preserve"> vyplýva z inhibície syntézy bakteriálnej bunkovej steny (</w:t>
      </w:r>
      <w:r w:rsidR="00206131">
        <w:rPr>
          <w:lang w:val="sk-SK"/>
        </w:rPr>
        <w:t>v</w:t>
      </w:r>
      <w:r w:rsidR="00206131" w:rsidRPr="004229C9">
        <w:rPr>
          <w:lang w:val="sk-SK"/>
        </w:rPr>
        <w:t xml:space="preserve"> </w:t>
      </w:r>
      <w:r w:rsidRPr="004229C9">
        <w:rPr>
          <w:lang w:val="sk-SK"/>
        </w:rPr>
        <w:t>periód</w:t>
      </w:r>
      <w:r w:rsidR="00206131">
        <w:rPr>
          <w:lang w:val="sk-SK"/>
        </w:rPr>
        <w:t>e</w:t>
      </w:r>
      <w:r w:rsidRPr="004229C9">
        <w:rPr>
          <w:lang w:val="sk-SK"/>
        </w:rPr>
        <w:t xml:space="preserve"> rastu) a je spôsobená </w:t>
      </w:r>
      <w:r w:rsidR="00206131">
        <w:rPr>
          <w:lang w:val="sk-SK"/>
        </w:rPr>
        <w:t>blok</w:t>
      </w:r>
      <w:r w:rsidR="00A95AB0">
        <w:rPr>
          <w:lang w:val="sk-SK"/>
        </w:rPr>
        <w:t>ádou</w:t>
      </w:r>
      <w:r w:rsidRPr="004229C9">
        <w:rPr>
          <w:lang w:val="sk-SK"/>
        </w:rPr>
        <w:t xml:space="preserve"> proteínov </w:t>
      </w:r>
      <w:r w:rsidR="00122755" w:rsidRPr="004229C9">
        <w:rPr>
          <w:lang w:val="sk-SK"/>
        </w:rPr>
        <w:t>via</w:t>
      </w:r>
      <w:r w:rsidR="00122755">
        <w:rPr>
          <w:lang w:val="sk-SK"/>
        </w:rPr>
        <w:t>žuce</w:t>
      </w:r>
      <w:r w:rsidR="00122755" w:rsidRPr="004229C9">
        <w:rPr>
          <w:lang w:val="sk-SK"/>
        </w:rPr>
        <w:t xml:space="preserve"> </w:t>
      </w:r>
      <w:r w:rsidRPr="004229C9">
        <w:rPr>
          <w:lang w:val="sk-SK"/>
        </w:rPr>
        <w:t>penicil</w:t>
      </w:r>
      <w:r>
        <w:rPr>
          <w:lang w:val="sk-SK"/>
        </w:rPr>
        <w:t>í</w:t>
      </w:r>
      <w:r w:rsidRPr="004229C9">
        <w:rPr>
          <w:lang w:val="sk-SK"/>
        </w:rPr>
        <w:t>n (</w:t>
      </w:r>
      <w:proofErr w:type="spellStart"/>
      <w:r w:rsidRPr="004229C9">
        <w:rPr>
          <w:lang w:val="sk-SK"/>
        </w:rPr>
        <w:t>PBPs</w:t>
      </w:r>
      <w:proofErr w:type="spellEnd"/>
      <w:r w:rsidRPr="004229C9">
        <w:rPr>
          <w:lang w:val="sk-SK"/>
        </w:rPr>
        <w:t>) ako</w:t>
      </w:r>
      <w:r w:rsidR="00C850E5">
        <w:rPr>
          <w:lang w:val="sk-SK"/>
        </w:rPr>
        <w:t xml:space="preserve"> napr.</w:t>
      </w:r>
      <w:r w:rsidRPr="004229C9">
        <w:rPr>
          <w:lang w:val="sk-SK"/>
        </w:rPr>
        <w:t xml:space="preserve"> </w:t>
      </w:r>
      <w:proofErr w:type="spellStart"/>
      <w:r w:rsidRPr="004229C9">
        <w:rPr>
          <w:lang w:val="sk-SK"/>
        </w:rPr>
        <w:t>transpeptidázy</w:t>
      </w:r>
      <w:proofErr w:type="spellEnd"/>
      <w:r w:rsidRPr="004229C9">
        <w:rPr>
          <w:lang w:val="sk-SK"/>
        </w:rPr>
        <w:t>.</w:t>
      </w:r>
    </w:p>
    <w:p w14:paraId="17E87F96" w14:textId="2DDE98DF" w:rsidR="003E3C22" w:rsidRPr="004229C9" w:rsidRDefault="003E3C22" w:rsidP="008D16D7">
      <w:pPr>
        <w:jc w:val="both"/>
        <w:rPr>
          <w:b/>
          <w:bCs/>
          <w:color w:val="FF0000"/>
          <w:lang w:val="sk-SK"/>
        </w:rPr>
      </w:pPr>
    </w:p>
    <w:p w14:paraId="4D7362BA" w14:textId="36B1DDFD" w:rsidR="003E3C22" w:rsidRPr="00233E28" w:rsidRDefault="007D3447" w:rsidP="003E3C22">
      <w:pPr>
        <w:rPr>
          <w:bCs/>
          <w:iCs/>
          <w:color w:val="FF0000"/>
          <w:u w:val="single"/>
          <w:lang w:val="sk-SK"/>
        </w:rPr>
      </w:pPr>
      <w:r>
        <w:rPr>
          <w:bCs/>
          <w:iCs/>
          <w:u w:val="single"/>
          <w:lang w:val="sk-SK"/>
        </w:rPr>
        <w:t>V</w:t>
      </w:r>
      <w:r w:rsidR="003E3C22" w:rsidRPr="00233E28">
        <w:rPr>
          <w:bCs/>
          <w:iCs/>
          <w:u w:val="single"/>
          <w:lang w:val="sk-SK"/>
        </w:rPr>
        <w:t>zťah</w:t>
      </w:r>
      <w:r>
        <w:rPr>
          <w:bCs/>
          <w:iCs/>
          <w:u w:val="single"/>
          <w:lang w:val="sk-SK"/>
        </w:rPr>
        <w:t xml:space="preserve"> medzi</w:t>
      </w:r>
      <w:r w:rsidR="003E3C22" w:rsidRPr="00233E28">
        <w:rPr>
          <w:bCs/>
          <w:iCs/>
          <w:u w:val="single"/>
          <w:lang w:val="sk-SK"/>
        </w:rPr>
        <w:t xml:space="preserve"> </w:t>
      </w:r>
      <w:proofErr w:type="spellStart"/>
      <w:r w:rsidR="003E3C22" w:rsidRPr="00233E28">
        <w:rPr>
          <w:bCs/>
          <w:iCs/>
          <w:u w:val="single"/>
          <w:lang w:val="sk-SK"/>
        </w:rPr>
        <w:t>farmakokinetik</w:t>
      </w:r>
      <w:r>
        <w:rPr>
          <w:bCs/>
          <w:iCs/>
          <w:u w:val="single"/>
          <w:lang w:val="sk-SK"/>
        </w:rPr>
        <w:t>ou</w:t>
      </w:r>
      <w:proofErr w:type="spellEnd"/>
      <w:r w:rsidR="003E3C22" w:rsidRPr="00233E28">
        <w:rPr>
          <w:bCs/>
          <w:iCs/>
          <w:u w:val="single"/>
          <w:lang w:val="sk-SK"/>
        </w:rPr>
        <w:t xml:space="preserve"> a </w:t>
      </w:r>
      <w:proofErr w:type="spellStart"/>
      <w:r w:rsidR="003E3C22" w:rsidRPr="00233E28">
        <w:rPr>
          <w:bCs/>
          <w:iCs/>
          <w:u w:val="single"/>
          <w:lang w:val="sk-SK"/>
        </w:rPr>
        <w:t>farmakodynamik</w:t>
      </w:r>
      <w:r>
        <w:rPr>
          <w:bCs/>
          <w:iCs/>
          <w:u w:val="single"/>
          <w:lang w:val="sk-SK"/>
        </w:rPr>
        <w:t>ou</w:t>
      </w:r>
      <w:proofErr w:type="spellEnd"/>
    </w:p>
    <w:p w14:paraId="5E9F4D1D" w14:textId="2B16CB04" w:rsidR="003E3C22" w:rsidRPr="004229C9" w:rsidRDefault="007F49C8" w:rsidP="008D16D7">
      <w:pPr>
        <w:jc w:val="both"/>
        <w:rPr>
          <w:bCs/>
          <w:lang w:val="sk-SK"/>
        </w:rPr>
      </w:pPr>
      <w:r>
        <w:rPr>
          <w:bCs/>
          <w:lang w:val="sk-SK"/>
        </w:rPr>
        <w:t>Účinnosť</w:t>
      </w:r>
      <w:r w:rsidR="003E3C22" w:rsidRPr="008A0D34">
        <w:rPr>
          <w:bCs/>
          <w:lang w:val="sk-SK"/>
        </w:rPr>
        <w:t xml:space="preserve"> závisí </w:t>
      </w:r>
      <w:r>
        <w:rPr>
          <w:bCs/>
          <w:lang w:val="sk-SK"/>
        </w:rPr>
        <w:t xml:space="preserve">predovšetkým </w:t>
      </w:r>
      <w:r w:rsidR="003E3C22" w:rsidRPr="008A0D34">
        <w:rPr>
          <w:bCs/>
          <w:lang w:val="sk-SK"/>
        </w:rPr>
        <w:t xml:space="preserve">od časového intervalu, keď sérová hladina </w:t>
      </w:r>
      <w:r w:rsidR="00DC4DC0">
        <w:rPr>
          <w:bCs/>
          <w:lang w:val="sk-SK"/>
        </w:rPr>
        <w:t xml:space="preserve">antibiotika </w:t>
      </w:r>
      <w:r w:rsidR="003E3C22" w:rsidRPr="008A0D34">
        <w:rPr>
          <w:bCs/>
          <w:lang w:val="sk-SK"/>
        </w:rPr>
        <w:t>prevýši minimálnu inhibičnú koncentráciu (MIC) patogénu.</w:t>
      </w:r>
    </w:p>
    <w:p w14:paraId="205E3FAF" w14:textId="77777777" w:rsidR="00756183" w:rsidRDefault="00756183" w:rsidP="00233E28">
      <w:pPr>
        <w:rPr>
          <w:iCs/>
          <w:u w:val="single"/>
          <w:lang w:val="sk-SK"/>
        </w:rPr>
      </w:pPr>
    </w:p>
    <w:p w14:paraId="5ABDD080" w14:textId="24773285" w:rsidR="003E3C22" w:rsidRPr="00C61752" w:rsidRDefault="003E3C22" w:rsidP="00233E28">
      <w:pPr>
        <w:rPr>
          <w:iCs/>
          <w:u w:val="single"/>
          <w:lang w:val="sk-SK"/>
        </w:rPr>
      </w:pPr>
      <w:r w:rsidRPr="00C61752">
        <w:rPr>
          <w:iCs/>
          <w:u w:val="single"/>
          <w:lang w:val="sk-SK"/>
        </w:rPr>
        <w:t xml:space="preserve">Mechanizmus rezistencie </w:t>
      </w:r>
    </w:p>
    <w:p w14:paraId="3EF4939E" w14:textId="0BD9D889" w:rsidR="003E3C22" w:rsidRDefault="003E3C22" w:rsidP="00233E28">
      <w:pPr>
        <w:rPr>
          <w:lang w:val="sk-SK"/>
        </w:rPr>
      </w:pPr>
      <w:r>
        <w:rPr>
          <w:lang w:val="sk-SK"/>
        </w:rPr>
        <w:t xml:space="preserve">Rezistencia voči </w:t>
      </w:r>
      <w:proofErr w:type="spellStart"/>
      <w:r>
        <w:rPr>
          <w:lang w:val="sk-SK"/>
        </w:rPr>
        <w:t>cefotaxím</w:t>
      </w:r>
      <w:r w:rsidRPr="004229C9">
        <w:rPr>
          <w:lang w:val="sk-SK"/>
        </w:rPr>
        <w:t>u</w:t>
      </w:r>
      <w:proofErr w:type="spellEnd"/>
      <w:r w:rsidRPr="004229C9">
        <w:rPr>
          <w:lang w:val="sk-SK"/>
        </w:rPr>
        <w:t xml:space="preserve"> môže byť spôsobená nasled</w:t>
      </w:r>
      <w:r>
        <w:rPr>
          <w:lang w:val="sk-SK"/>
        </w:rPr>
        <w:t>ovnými</w:t>
      </w:r>
      <w:r w:rsidRPr="004229C9">
        <w:rPr>
          <w:lang w:val="sk-SK"/>
        </w:rPr>
        <w:t xml:space="preserve"> mechanizmami:</w:t>
      </w:r>
    </w:p>
    <w:p w14:paraId="47CFFB6D" w14:textId="57B04A89" w:rsidR="003E3C22" w:rsidRPr="004229C9" w:rsidRDefault="003E3C22" w:rsidP="003E3C22">
      <w:pPr>
        <w:numPr>
          <w:ilvl w:val="0"/>
          <w:numId w:val="29"/>
        </w:numPr>
        <w:tabs>
          <w:tab w:val="clear" w:pos="567"/>
          <w:tab w:val="left" w:pos="360"/>
        </w:tabs>
        <w:ind w:left="360"/>
        <w:rPr>
          <w:lang w:val="sk-SK"/>
        </w:rPr>
      </w:pPr>
      <w:proofErr w:type="spellStart"/>
      <w:r w:rsidRPr="008A0D34">
        <w:rPr>
          <w:lang w:val="sk-SK"/>
        </w:rPr>
        <w:t>inaktivácia</w:t>
      </w:r>
      <w:proofErr w:type="spellEnd"/>
      <w:r w:rsidRPr="008A0D34">
        <w:rPr>
          <w:lang w:val="sk-SK"/>
        </w:rPr>
        <w:t xml:space="preserve"> </w:t>
      </w:r>
      <w:proofErr w:type="spellStart"/>
      <w:r w:rsidRPr="008A0D34">
        <w:rPr>
          <w:lang w:val="sk-SK"/>
        </w:rPr>
        <w:t>betalaktamáz</w:t>
      </w:r>
      <w:r w:rsidR="008643C1">
        <w:rPr>
          <w:lang w:val="sk-SK"/>
        </w:rPr>
        <w:t>ami</w:t>
      </w:r>
      <w:proofErr w:type="spellEnd"/>
      <w:r w:rsidR="00C765A8">
        <w:rPr>
          <w:lang w:val="sk-SK"/>
        </w:rPr>
        <w:t>:</w:t>
      </w:r>
      <w:r w:rsidRPr="008A0D34">
        <w:rPr>
          <w:lang w:val="sk-SK"/>
        </w:rPr>
        <w:t xml:space="preserve"> </w:t>
      </w:r>
      <w:proofErr w:type="spellStart"/>
      <w:r>
        <w:rPr>
          <w:lang w:val="sk-SK"/>
        </w:rPr>
        <w:t>Cefotaxím</w:t>
      </w:r>
      <w:proofErr w:type="spellEnd"/>
      <w:r w:rsidRPr="008A0D34">
        <w:rPr>
          <w:lang w:val="sk-SK"/>
        </w:rPr>
        <w:t xml:space="preserve"> môže byť hydrolyzovaný určitými beta-</w:t>
      </w:r>
      <w:proofErr w:type="spellStart"/>
      <w:r w:rsidRPr="008A0D34">
        <w:rPr>
          <w:lang w:val="sk-SK"/>
        </w:rPr>
        <w:t>laktamázami</w:t>
      </w:r>
      <w:proofErr w:type="spellEnd"/>
      <w:r w:rsidRPr="008A0D34">
        <w:rPr>
          <w:lang w:val="sk-SK"/>
        </w:rPr>
        <w:t>, najmä beta-</w:t>
      </w:r>
      <w:proofErr w:type="spellStart"/>
      <w:r w:rsidRPr="008A0D34">
        <w:rPr>
          <w:lang w:val="sk-SK"/>
        </w:rPr>
        <w:t>laktamáz</w:t>
      </w:r>
      <w:r w:rsidR="00122755">
        <w:rPr>
          <w:lang w:val="sk-SK"/>
        </w:rPr>
        <w:t>ami</w:t>
      </w:r>
      <w:proofErr w:type="spellEnd"/>
      <w:r w:rsidR="00122755">
        <w:rPr>
          <w:lang w:val="sk-SK"/>
        </w:rPr>
        <w:t xml:space="preserve"> s </w:t>
      </w:r>
      <w:r w:rsidRPr="008A0D34">
        <w:rPr>
          <w:lang w:val="sk-SK"/>
        </w:rPr>
        <w:t xml:space="preserve"> </w:t>
      </w:r>
      <w:r w:rsidR="00122755" w:rsidRPr="008A0D34">
        <w:rPr>
          <w:lang w:val="sk-SK"/>
        </w:rPr>
        <w:t xml:space="preserve">rozšíreným spektrom </w:t>
      </w:r>
      <w:r w:rsidRPr="008A0D34">
        <w:rPr>
          <w:lang w:val="sk-SK"/>
        </w:rPr>
        <w:t xml:space="preserve">(ESBL), ktoré možno nájsť </w:t>
      </w:r>
      <w:r w:rsidR="008643C1">
        <w:rPr>
          <w:lang w:val="sk-SK"/>
        </w:rPr>
        <w:t xml:space="preserve">napr. </w:t>
      </w:r>
      <w:r w:rsidRPr="008A0D34">
        <w:rPr>
          <w:lang w:val="sk-SK"/>
        </w:rPr>
        <w:t xml:space="preserve">v kmeňoch </w:t>
      </w:r>
      <w:proofErr w:type="spellStart"/>
      <w:r w:rsidRPr="00233E28">
        <w:rPr>
          <w:i/>
          <w:lang w:val="sk-SK"/>
        </w:rPr>
        <w:t>Escherichia</w:t>
      </w:r>
      <w:proofErr w:type="spellEnd"/>
      <w:r w:rsidRPr="00233E28">
        <w:rPr>
          <w:i/>
          <w:lang w:val="sk-SK"/>
        </w:rPr>
        <w:t xml:space="preserve"> </w:t>
      </w:r>
      <w:proofErr w:type="spellStart"/>
      <w:r w:rsidRPr="00233E28">
        <w:rPr>
          <w:i/>
          <w:lang w:val="sk-SK"/>
        </w:rPr>
        <w:t>coli</w:t>
      </w:r>
      <w:proofErr w:type="spellEnd"/>
      <w:r w:rsidRPr="008A0D34">
        <w:rPr>
          <w:lang w:val="sk-SK"/>
        </w:rPr>
        <w:t xml:space="preserve"> alebo </w:t>
      </w:r>
      <w:proofErr w:type="spellStart"/>
      <w:r w:rsidRPr="00233E28">
        <w:rPr>
          <w:i/>
          <w:lang w:val="sk-SK"/>
        </w:rPr>
        <w:t>Klebsiella</w:t>
      </w:r>
      <w:proofErr w:type="spellEnd"/>
      <w:r w:rsidRPr="00233E28">
        <w:rPr>
          <w:i/>
          <w:lang w:val="sk-SK"/>
        </w:rPr>
        <w:t xml:space="preserve"> </w:t>
      </w:r>
      <w:proofErr w:type="spellStart"/>
      <w:r w:rsidRPr="00233E28">
        <w:rPr>
          <w:i/>
          <w:lang w:val="sk-SK"/>
        </w:rPr>
        <w:t>pneumoniae</w:t>
      </w:r>
      <w:proofErr w:type="spellEnd"/>
      <w:r w:rsidRPr="008A0D34">
        <w:rPr>
          <w:lang w:val="sk-SK"/>
        </w:rPr>
        <w:t xml:space="preserve">, alebo </w:t>
      </w:r>
      <w:r>
        <w:rPr>
          <w:lang w:val="sk-SK"/>
        </w:rPr>
        <w:t>konštitutívn</w:t>
      </w:r>
      <w:r w:rsidR="002931DF">
        <w:rPr>
          <w:lang w:val="sk-SK"/>
        </w:rPr>
        <w:t xml:space="preserve">e </w:t>
      </w:r>
      <w:r w:rsidR="00242DC4">
        <w:rPr>
          <w:lang w:val="sk-SK"/>
        </w:rPr>
        <w:t>generovanými</w:t>
      </w:r>
      <w:r>
        <w:rPr>
          <w:lang w:val="sk-SK"/>
        </w:rPr>
        <w:t xml:space="preserve"> </w:t>
      </w:r>
      <w:proofErr w:type="spellStart"/>
      <w:r>
        <w:rPr>
          <w:lang w:val="sk-SK"/>
        </w:rPr>
        <w:t>betalaktam</w:t>
      </w:r>
      <w:r w:rsidRPr="008A0D34">
        <w:rPr>
          <w:lang w:val="sk-SK"/>
        </w:rPr>
        <w:t>ázami</w:t>
      </w:r>
      <w:proofErr w:type="spellEnd"/>
      <w:r w:rsidRPr="008A0D34">
        <w:rPr>
          <w:lang w:val="sk-SK"/>
        </w:rPr>
        <w:t xml:space="preserve"> typu </w:t>
      </w:r>
      <w:proofErr w:type="spellStart"/>
      <w:r w:rsidRPr="008A0D34">
        <w:rPr>
          <w:lang w:val="sk-SK"/>
        </w:rPr>
        <w:t>AmpC</w:t>
      </w:r>
      <w:proofErr w:type="spellEnd"/>
      <w:r w:rsidRPr="008A0D34">
        <w:rPr>
          <w:lang w:val="sk-SK"/>
        </w:rPr>
        <w:t>, ktoré môžu byť dete</w:t>
      </w:r>
      <w:r w:rsidR="00122755">
        <w:rPr>
          <w:lang w:val="sk-SK"/>
        </w:rPr>
        <w:t>g</w:t>
      </w:r>
      <w:r w:rsidRPr="008A0D34">
        <w:rPr>
          <w:lang w:val="sk-SK"/>
        </w:rPr>
        <w:t xml:space="preserve">ované </w:t>
      </w:r>
      <w:r w:rsidR="00353D21">
        <w:rPr>
          <w:lang w:val="sk-SK"/>
        </w:rPr>
        <w:t xml:space="preserve">napr. </w:t>
      </w:r>
      <w:r w:rsidRPr="008A0D34">
        <w:rPr>
          <w:lang w:val="sk-SK"/>
        </w:rPr>
        <w:t xml:space="preserve">v </w:t>
      </w:r>
      <w:proofErr w:type="spellStart"/>
      <w:r w:rsidRPr="00233E28">
        <w:rPr>
          <w:i/>
          <w:lang w:val="sk-SK"/>
        </w:rPr>
        <w:t>Enterobacter</w:t>
      </w:r>
      <w:proofErr w:type="spellEnd"/>
      <w:r w:rsidRPr="00233E28">
        <w:rPr>
          <w:i/>
          <w:lang w:val="sk-SK"/>
        </w:rPr>
        <w:t xml:space="preserve"> </w:t>
      </w:r>
      <w:proofErr w:type="spellStart"/>
      <w:r w:rsidRPr="00233E28">
        <w:rPr>
          <w:i/>
          <w:lang w:val="sk-SK"/>
        </w:rPr>
        <w:t>cloacae</w:t>
      </w:r>
      <w:proofErr w:type="spellEnd"/>
      <w:r w:rsidRPr="008A0D34">
        <w:rPr>
          <w:lang w:val="sk-SK"/>
        </w:rPr>
        <w:t xml:space="preserve">. Preto infekcie spôsobené patogénmi s indukovateľnými </w:t>
      </w:r>
      <w:proofErr w:type="spellStart"/>
      <w:r w:rsidRPr="008A0D34">
        <w:rPr>
          <w:lang w:val="sk-SK"/>
        </w:rPr>
        <w:t>AmpC</w:t>
      </w:r>
      <w:proofErr w:type="spellEnd"/>
      <w:r w:rsidRPr="008A0D34">
        <w:rPr>
          <w:lang w:val="sk-SK"/>
        </w:rPr>
        <w:t>-beta-</w:t>
      </w:r>
      <w:proofErr w:type="spellStart"/>
      <w:r w:rsidRPr="008A0D34">
        <w:rPr>
          <w:lang w:val="sk-SK"/>
        </w:rPr>
        <w:t>laktamázami</w:t>
      </w:r>
      <w:proofErr w:type="spellEnd"/>
      <w:r w:rsidRPr="008A0D34">
        <w:rPr>
          <w:lang w:val="sk-SK"/>
        </w:rPr>
        <w:t xml:space="preserve"> nema</w:t>
      </w:r>
      <w:r w:rsidR="00122755">
        <w:rPr>
          <w:lang w:val="sk-SK"/>
        </w:rPr>
        <w:t>jú</w:t>
      </w:r>
      <w:r w:rsidRPr="008A0D34">
        <w:rPr>
          <w:lang w:val="sk-SK"/>
        </w:rPr>
        <w:t xml:space="preserve"> byť liečené </w:t>
      </w:r>
      <w:proofErr w:type="spellStart"/>
      <w:r>
        <w:rPr>
          <w:lang w:val="sk-SK"/>
        </w:rPr>
        <w:t>cefotaxím</w:t>
      </w:r>
      <w:r w:rsidRPr="008A0D34">
        <w:rPr>
          <w:lang w:val="sk-SK"/>
        </w:rPr>
        <w:t>om</w:t>
      </w:r>
      <w:proofErr w:type="spellEnd"/>
      <w:r w:rsidRPr="008A0D34">
        <w:rPr>
          <w:lang w:val="sk-SK"/>
        </w:rPr>
        <w:t xml:space="preserve"> ani v prípade preukázanej </w:t>
      </w:r>
      <w:r w:rsidRPr="00233E28">
        <w:rPr>
          <w:i/>
          <w:lang w:val="sk-SK"/>
        </w:rPr>
        <w:t>in-vitro</w:t>
      </w:r>
      <w:r w:rsidRPr="008A0D34">
        <w:rPr>
          <w:lang w:val="sk-SK"/>
        </w:rPr>
        <w:t xml:space="preserve"> citlivosti kvôli riziku selekcie </w:t>
      </w:r>
      <w:proofErr w:type="spellStart"/>
      <w:r w:rsidRPr="008A0D34">
        <w:rPr>
          <w:lang w:val="sk-SK"/>
        </w:rPr>
        <w:t>mutantov</w:t>
      </w:r>
      <w:proofErr w:type="spellEnd"/>
      <w:r w:rsidRPr="008A0D34">
        <w:rPr>
          <w:lang w:val="sk-SK"/>
        </w:rPr>
        <w:t xml:space="preserve"> s konštitutívn</w:t>
      </w:r>
      <w:r w:rsidR="00CC215E">
        <w:rPr>
          <w:lang w:val="sk-SK"/>
        </w:rPr>
        <w:t>ou</w:t>
      </w:r>
      <w:r w:rsidRPr="008A0D34">
        <w:rPr>
          <w:lang w:val="sk-SK"/>
        </w:rPr>
        <w:t xml:space="preserve">, </w:t>
      </w:r>
      <w:r w:rsidR="00E32EA5">
        <w:rPr>
          <w:lang w:val="sk-SK"/>
        </w:rPr>
        <w:t>odblokovanou</w:t>
      </w:r>
      <w:r w:rsidR="00CC215E">
        <w:rPr>
          <w:lang w:val="sk-SK"/>
        </w:rPr>
        <w:t xml:space="preserve"> </w:t>
      </w:r>
      <w:proofErr w:type="spellStart"/>
      <w:r w:rsidR="00CC215E">
        <w:rPr>
          <w:lang w:val="sk-SK"/>
        </w:rPr>
        <w:t>expresiou</w:t>
      </w:r>
      <w:proofErr w:type="spellEnd"/>
      <w:r w:rsidRPr="008A0D34">
        <w:rPr>
          <w:lang w:val="sk-SK"/>
        </w:rPr>
        <w:t xml:space="preserve">  </w:t>
      </w:r>
      <w:proofErr w:type="spellStart"/>
      <w:r w:rsidRPr="008A0D34">
        <w:rPr>
          <w:lang w:val="sk-SK"/>
        </w:rPr>
        <w:t>AmpC-betalaktamáz</w:t>
      </w:r>
      <w:proofErr w:type="spellEnd"/>
      <w:r w:rsidRPr="008A0D34">
        <w:rPr>
          <w:lang w:val="sk-SK"/>
        </w:rPr>
        <w:t>.</w:t>
      </w:r>
    </w:p>
    <w:p w14:paraId="10ED5513" w14:textId="568B7789" w:rsidR="003E3C22" w:rsidRPr="004229C9" w:rsidRDefault="003E3C22" w:rsidP="003E3C22">
      <w:pPr>
        <w:numPr>
          <w:ilvl w:val="0"/>
          <w:numId w:val="29"/>
        </w:numPr>
        <w:tabs>
          <w:tab w:val="clear" w:pos="567"/>
          <w:tab w:val="left" w:pos="360"/>
        </w:tabs>
        <w:ind w:left="360"/>
        <w:rPr>
          <w:lang w:val="sk-SK"/>
        </w:rPr>
      </w:pPr>
      <w:r w:rsidRPr="007C4DCB">
        <w:rPr>
          <w:lang w:val="sk-SK"/>
        </w:rPr>
        <w:t xml:space="preserve">znížená afinita PBP voči </w:t>
      </w:r>
      <w:proofErr w:type="spellStart"/>
      <w:r>
        <w:rPr>
          <w:lang w:val="sk-SK"/>
        </w:rPr>
        <w:t>cefotaxím</w:t>
      </w:r>
      <w:r w:rsidRPr="007C4DCB">
        <w:rPr>
          <w:lang w:val="sk-SK"/>
        </w:rPr>
        <w:t>u</w:t>
      </w:r>
      <w:proofErr w:type="spellEnd"/>
      <w:r w:rsidRPr="007C4DCB">
        <w:rPr>
          <w:lang w:val="sk-SK"/>
        </w:rPr>
        <w:t xml:space="preserve">. Získaná rezistencia </w:t>
      </w:r>
      <w:proofErr w:type="spellStart"/>
      <w:r w:rsidRPr="007C4DCB">
        <w:rPr>
          <w:lang w:val="sk-SK"/>
        </w:rPr>
        <w:t>pneumokokov</w:t>
      </w:r>
      <w:proofErr w:type="spellEnd"/>
      <w:r w:rsidRPr="007C4DCB">
        <w:rPr>
          <w:lang w:val="sk-SK"/>
        </w:rPr>
        <w:t xml:space="preserve"> a iných streptokokov je spôsobená zmenami už existujúcich PBP ako dôsledok procesu mutácie. </w:t>
      </w:r>
      <w:r w:rsidR="00C109A6">
        <w:rPr>
          <w:lang w:val="sk-SK"/>
        </w:rPr>
        <w:t xml:space="preserve">Čo sa týka </w:t>
      </w:r>
      <w:r w:rsidR="00C109A6" w:rsidRPr="007C4DCB">
        <w:rPr>
          <w:lang w:val="sk-SK"/>
        </w:rPr>
        <w:t>stafylokoko</w:t>
      </w:r>
      <w:r w:rsidR="00C109A6">
        <w:rPr>
          <w:lang w:val="sk-SK"/>
        </w:rPr>
        <w:t>v</w:t>
      </w:r>
      <w:r w:rsidR="00C109A6" w:rsidRPr="007C4DCB">
        <w:rPr>
          <w:lang w:val="sk-SK"/>
        </w:rPr>
        <w:t xml:space="preserve"> rezistentný</w:t>
      </w:r>
      <w:r w:rsidR="00C109A6">
        <w:rPr>
          <w:lang w:val="sk-SK"/>
        </w:rPr>
        <w:t>ch</w:t>
      </w:r>
      <w:r w:rsidR="00C109A6" w:rsidRPr="007C4DCB">
        <w:rPr>
          <w:lang w:val="sk-SK"/>
        </w:rPr>
        <w:t xml:space="preserve"> na </w:t>
      </w:r>
      <w:proofErr w:type="spellStart"/>
      <w:r w:rsidR="00C109A6" w:rsidRPr="007C4DCB">
        <w:rPr>
          <w:lang w:val="sk-SK"/>
        </w:rPr>
        <w:t>meticilín</w:t>
      </w:r>
      <w:proofErr w:type="spellEnd"/>
      <w:r w:rsidR="00C109A6">
        <w:rPr>
          <w:lang w:val="sk-SK"/>
        </w:rPr>
        <w:t xml:space="preserve"> </w:t>
      </w:r>
      <w:r w:rsidR="00C109A6" w:rsidRPr="007C4DCB">
        <w:rPr>
          <w:lang w:val="sk-SK"/>
        </w:rPr>
        <w:t>(</w:t>
      </w:r>
      <w:proofErr w:type="spellStart"/>
      <w:r w:rsidR="00C109A6" w:rsidRPr="007C4DCB">
        <w:rPr>
          <w:lang w:val="sk-SK"/>
        </w:rPr>
        <w:t>oxacilín</w:t>
      </w:r>
      <w:proofErr w:type="spellEnd"/>
      <w:r w:rsidR="00C109A6" w:rsidRPr="007C4DCB">
        <w:rPr>
          <w:lang w:val="sk-SK"/>
        </w:rPr>
        <w:t xml:space="preserve">) </w:t>
      </w:r>
      <w:r w:rsidR="00C109A6">
        <w:rPr>
          <w:lang w:val="sk-SK"/>
        </w:rPr>
        <w:t>je v</w:t>
      </w:r>
      <w:r w:rsidRPr="007C4DCB">
        <w:rPr>
          <w:lang w:val="sk-SK"/>
        </w:rPr>
        <w:t> protiklade s</w:t>
      </w:r>
      <w:r w:rsidR="00C109A6">
        <w:rPr>
          <w:lang w:val="sk-SK"/>
        </w:rPr>
        <w:t> </w:t>
      </w:r>
      <w:r w:rsidRPr="007C4DCB">
        <w:rPr>
          <w:lang w:val="sk-SK"/>
        </w:rPr>
        <w:t>tým</w:t>
      </w:r>
      <w:r w:rsidR="00C109A6">
        <w:rPr>
          <w:lang w:val="sk-SK"/>
        </w:rPr>
        <w:t>,</w:t>
      </w:r>
      <w:r w:rsidRPr="007C4DCB">
        <w:rPr>
          <w:lang w:val="sk-SK"/>
        </w:rPr>
        <w:t xml:space="preserve">  </w:t>
      </w:r>
      <w:r w:rsidR="00C109A6" w:rsidRPr="007C4DCB">
        <w:rPr>
          <w:lang w:val="sk-SK"/>
        </w:rPr>
        <w:t xml:space="preserve">za rezistenciu zodpovedné </w:t>
      </w:r>
      <w:r w:rsidRPr="007C4DCB">
        <w:rPr>
          <w:lang w:val="sk-SK"/>
        </w:rPr>
        <w:t xml:space="preserve">vytvorenie ďalších PBP so zníženou afinitou voči </w:t>
      </w:r>
      <w:proofErr w:type="spellStart"/>
      <w:r>
        <w:rPr>
          <w:lang w:val="sk-SK"/>
        </w:rPr>
        <w:t>cefotaxím</w:t>
      </w:r>
      <w:r w:rsidRPr="007C4DCB">
        <w:rPr>
          <w:lang w:val="sk-SK"/>
        </w:rPr>
        <w:t>u</w:t>
      </w:r>
      <w:proofErr w:type="spellEnd"/>
      <w:r w:rsidRPr="007C4DCB">
        <w:rPr>
          <w:lang w:val="sk-SK"/>
        </w:rPr>
        <w:t xml:space="preserve"> .</w:t>
      </w:r>
      <w:r w:rsidRPr="004229C9">
        <w:rPr>
          <w:lang w:val="sk-SK"/>
        </w:rPr>
        <w:t xml:space="preserve"> </w:t>
      </w:r>
    </w:p>
    <w:p w14:paraId="7BE57086" w14:textId="0DD5331C" w:rsidR="003E3C22" w:rsidRPr="004229C9" w:rsidRDefault="003E3C22" w:rsidP="003E3C22">
      <w:pPr>
        <w:numPr>
          <w:ilvl w:val="0"/>
          <w:numId w:val="29"/>
        </w:numPr>
        <w:tabs>
          <w:tab w:val="clear" w:pos="567"/>
          <w:tab w:val="left" w:pos="360"/>
        </w:tabs>
        <w:ind w:left="360"/>
        <w:rPr>
          <w:lang w:val="sk-SK"/>
        </w:rPr>
      </w:pPr>
      <w:r w:rsidRPr="007C4DCB">
        <w:rPr>
          <w:lang w:val="sk-SK"/>
        </w:rPr>
        <w:t xml:space="preserve">nedostatočný prienik </w:t>
      </w:r>
      <w:proofErr w:type="spellStart"/>
      <w:r>
        <w:rPr>
          <w:lang w:val="sk-SK"/>
        </w:rPr>
        <w:t>cefotaxím</w:t>
      </w:r>
      <w:r w:rsidRPr="007C4DCB">
        <w:rPr>
          <w:lang w:val="sk-SK"/>
        </w:rPr>
        <w:t>u</w:t>
      </w:r>
      <w:proofErr w:type="spellEnd"/>
      <w:r w:rsidRPr="007C4DCB">
        <w:rPr>
          <w:lang w:val="sk-SK"/>
        </w:rPr>
        <w:t xml:space="preserve"> cez vonkajšie bunkové membrány gram-negatívnych baktérií </w:t>
      </w:r>
      <w:r w:rsidR="00A27133">
        <w:rPr>
          <w:lang w:val="sk-SK"/>
        </w:rPr>
        <w:t>môže viesť</w:t>
      </w:r>
      <w:r w:rsidRPr="007C4DCB">
        <w:rPr>
          <w:lang w:val="sk-SK"/>
        </w:rPr>
        <w:t xml:space="preserve"> </w:t>
      </w:r>
      <w:r w:rsidR="00A27133">
        <w:rPr>
          <w:lang w:val="sk-SK"/>
        </w:rPr>
        <w:t>k</w:t>
      </w:r>
      <w:r w:rsidRPr="007C4DCB">
        <w:rPr>
          <w:lang w:val="sk-SK"/>
        </w:rPr>
        <w:t xml:space="preserve"> nedostatočn</w:t>
      </w:r>
      <w:r w:rsidR="00A27133">
        <w:rPr>
          <w:lang w:val="sk-SK"/>
        </w:rPr>
        <w:t>ej</w:t>
      </w:r>
      <w:r w:rsidRPr="007C4DCB">
        <w:rPr>
          <w:lang w:val="sk-SK"/>
        </w:rPr>
        <w:t xml:space="preserve"> inhibíci</w:t>
      </w:r>
      <w:r w:rsidR="00A27133">
        <w:rPr>
          <w:lang w:val="sk-SK"/>
        </w:rPr>
        <w:t>i</w:t>
      </w:r>
      <w:r w:rsidRPr="007C4DCB">
        <w:rPr>
          <w:lang w:val="sk-SK"/>
        </w:rPr>
        <w:t xml:space="preserve"> PBP.</w:t>
      </w:r>
    </w:p>
    <w:p w14:paraId="2C1AAE7B" w14:textId="4E8DD2C5" w:rsidR="003E3C22" w:rsidRDefault="00706AEE" w:rsidP="003E3C22">
      <w:pPr>
        <w:numPr>
          <w:ilvl w:val="0"/>
          <w:numId w:val="29"/>
        </w:numPr>
        <w:tabs>
          <w:tab w:val="clear" w:pos="567"/>
          <w:tab w:val="left" w:pos="360"/>
        </w:tabs>
        <w:ind w:left="360"/>
        <w:rPr>
          <w:lang w:val="sk-SK"/>
        </w:rPr>
      </w:pPr>
      <w:r w:rsidRPr="007F1A71">
        <w:rPr>
          <w:color w:val="222222"/>
          <w:lang w:val="sk-SK"/>
        </w:rPr>
        <w:lastRenderedPageBreak/>
        <w:t xml:space="preserve">prostredníctvom </w:t>
      </w:r>
      <w:proofErr w:type="spellStart"/>
      <w:r w:rsidRPr="007F1A71">
        <w:rPr>
          <w:color w:val="222222"/>
          <w:lang w:val="sk-SK"/>
        </w:rPr>
        <w:t>eflux</w:t>
      </w:r>
      <w:r w:rsidR="0022435A">
        <w:rPr>
          <w:color w:val="222222"/>
          <w:lang w:val="sk-SK"/>
        </w:rPr>
        <w:t>n</w:t>
      </w:r>
      <w:r w:rsidRPr="007F1A71">
        <w:rPr>
          <w:color w:val="222222"/>
          <w:lang w:val="sk-SK"/>
        </w:rPr>
        <w:t>ých</w:t>
      </w:r>
      <w:proofErr w:type="spellEnd"/>
      <w:r w:rsidRPr="007F1A71">
        <w:rPr>
          <w:color w:val="222222"/>
          <w:lang w:val="sk-SK"/>
        </w:rPr>
        <w:t xml:space="preserve"> </w:t>
      </w:r>
      <w:r w:rsidR="007F1A71">
        <w:rPr>
          <w:color w:val="222222"/>
          <w:lang w:val="sk-SK"/>
        </w:rPr>
        <w:t>púmp</w:t>
      </w:r>
      <w:r w:rsidRPr="007F1A71">
        <w:rPr>
          <w:color w:val="222222"/>
          <w:lang w:val="sk-SK"/>
        </w:rPr>
        <w:t xml:space="preserve"> môže byť </w:t>
      </w:r>
      <w:proofErr w:type="spellStart"/>
      <w:r w:rsidR="00A36392">
        <w:rPr>
          <w:color w:val="222222"/>
          <w:lang w:val="sk-SK"/>
        </w:rPr>
        <w:t>c</w:t>
      </w:r>
      <w:r w:rsidR="007F1A71">
        <w:rPr>
          <w:color w:val="222222"/>
          <w:lang w:val="sk-SK"/>
        </w:rPr>
        <w:t>e</w:t>
      </w:r>
      <w:r w:rsidR="007F1A71" w:rsidRPr="002D3A2D">
        <w:rPr>
          <w:color w:val="222222"/>
          <w:lang w:val="sk-SK"/>
        </w:rPr>
        <w:t>fotaxim</w:t>
      </w:r>
      <w:proofErr w:type="spellEnd"/>
      <w:r w:rsidR="007F1A71" w:rsidRPr="007F1A71">
        <w:rPr>
          <w:color w:val="222222"/>
          <w:lang w:val="sk-SK"/>
        </w:rPr>
        <w:t xml:space="preserve"> </w:t>
      </w:r>
      <w:r w:rsidRPr="007F1A71">
        <w:rPr>
          <w:color w:val="222222"/>
          <w:lang w:val="sk-SK"/>
        </w:rPr>
        <w:t>aktívne transportovaný z bunky</w:t>
      </w:r>
      <w:r w:rsidRPr="0022435A">
        <w:rPr>
          <w:lang w:val="sk-SK"/>
        </w:rPr>
        <w:t xml:space="preserve"> </w:t>
      </w:r>
      <w:r w:rsidR="0022435A">
        <w:rPr>
          <w:lang w:val="sk-SK"/>
        </w:rPr>
        <w:t>von.</w:t>
      </w:r>
      <w:r w:rsidR="003E3C22" w:rsidRPr="007C4DCB">
        <w:rPr>
          <w:lang w:val="sk-SK"/>
        </w:rPr>
        <w:t xml:space="preserve"> </w:t>
      </w:r>
    </w:p>
    <w:p w14:paraId="16A46A72" w14:textId="77777777" w:rsidR="003E3C22" w:rsidRPr="007C4DCB" w:rsidRDefault="003E3C22" w:rsidP="003E3C22">
      <w:pPr>
        <w:ind w:left="360"/>
        <w:rPr>
          <w:lang w:val="sk-SK"/>
        </w:rPr>
      </w:pPr>
    </w:p>
    <w:p w14:paraId="3C944F03" w14:textId="31DBBF5C" w:rsidR="003E3C22" w:rsidRPr="004229C9" w:rsidRDefault="003E3C22" w:rsidP="008D16D7">
      <w:pPr>
        <w:jc w:val="both"/>
        <w:rPr>
          <w:lang w:val="sk-SK"/>
        </w:rPr>
      </w:pPr>
      <w:r w:rsidRPr="007C4DCB">
        <w:rPr>
          <w:lang w:val="sk-SK"/>
        </w:rPr>
        <w:t xml:space="preserve">Dochádza k úplnej </w:t>
      </w:r>
      <w:r w:rsidR="00C109A6">
        <w:rPr>
          <w:lang w:val="sk-SK"/>
        </w:rPr>
        <w:t>s</w:t>
      </w:r>
      <w:r w:rsidRPr="007C4DCB">
        <w:rPr>
          <w:lang w:val="sk-SK"/>
        </w:rPr>
        <w:t>kríž</w:t>
      </w:r>
      <w:r w:rsidR="00C109A6">
        <w:rPr>
          <w:lang w:val="sk-SK"/>
        </w:rPr>
        <w:t>en</w:t>
      </w:r>
      <w:r w:rsidRPr="007C4DCB">
        <w:rPr>
          <w:lang w:val="sk-SK"/>
        </w:rPr>
        <w:t xml:space="preserve">ej rezistencii </w:t>
      </w:r>
      <w:proofErr w:type="spellStart"/>
      <w:r>
        <w:rPr>
          <w:lang w:val="sk-SK"/>
        </w:rPr>
        <w:t>cefotaxím</w:t>
      </w:r>
      <w:r w:rsidRPr="007C4DCB">
        <w:rPr>
          <w:lang w:val="sk-SK"/>
        </w:rPr>
        <w:t>u</w:t>
      </w:r>
      <w:proofErr w:type="spellEnd"/>
      <w:r w:rsidRPr="007C4DCB">
        <w:rPr>
          <w:lang w:val="sk-SK"/>
        </w:rPr>
        <w:t xml:space="preserve"> s </w:t>
      </w:r>
      <w:proofErr w:type="spellStart"/>
      <w:r w:rsidRPr="007C4DCB">
        <w:rPr>
          <w:lang w:val="sk-SK"/>
        </w:rPr>
        <w:t>ceftriaxónom</w:t>
      </w:r>
      <w:proofErr w:type="spellEnd"/>
      <w:r w:rsidRPr="007C4DCB">
        <w:rPr>
          <w:lang w:val="sk-SK"/>
        </w:rPr>
        <w:t xml:space="preserve"> a čiastočne s ostatnými penicilínmi a </w:t>
      </w:r>
      <w:proofErr w:type="spellStart"/>
      <w:r w:rsidRPr="007C4DCB">
        <w:rPr>
          <w:lang w:val="sk-SK"/>
        </w:rPr>
        <w:t>cefalosporínmi</w:t>
      </w:r>
      <w:proofErr w:type="spellEnd"/>
      <w:r w:rsidRPr="007C4DCB">
        <w:rPr>
          <w:lang w:val="sk-SK"/>
        </w:rPr>
        <w:t>.</w:t>
      </w:r>
    </w:p>
    <w:p w14:paraId="20A7F764" w14:textId="77777777" w:rsidR="008704BA" w:rsidRDefault="008704BA" w:rsidP="00233E28">
      <w:pPr>
        <w:rPr>
          <w:bCs/>
          <w:iCs/>
          <w:u w:val="single"/>
          <w:lang w:val="sk-SK"/>
        </w:rPr>
      </w:pPr>
    </w:p>
    <w:p w14:paraId="66CA6DE0" w14:textId="6CE8F3B8" w:rsidR="003E3C22" w:rsidRDefault="00C109A6" w:rsidP="00233E28">
      <w:pPr>
        <w:rPr>
          <w:lang w:val="sk-SK"/>
        </w:rPr>
      </w:pPr>
      <w:r>
        <w:rPr>
          <w:bCs/>
          <w:iCs/>
          <w:u w:val="single"/>
          <w:lang w:val="sk-SK"/>
        </w:rPr>
        <w:t>Hraničné</w:t>
      </w:r>
      <w:r w:rsidRPr="00543517">
        <w:rPr>
          <w:bCs/>
          <w:iCs/>
          <w:u w:val="single"/>
          <w:lang w:val="sk-SK"/>
        </w:rPr>
        <w:t xml:space="preserve"> </w:t>
      </w:r>
      <w:r w:rsidR="003E3C22" w:rsidRPr="00543517">
        <w:rPr>
          <w:bCs/>
          <w:iCs/>
          <w:u w:val="single"/>
          <w:lang w:val="sk-SK"/>
        </w:rPr>
        <w:t>hodnoty:</w:t>
      </w:r>
      <w:r w:rsidR="003E3C22" w:rsidRPr="00733869">
        <w:rPr>
          <w:i/>
          <w:lang w:val="sk-SK"/>
        </w:rPr>
        <w:br/>
      </w:r>
      <w:proofErr w:type="spellStart"/>
      <w:r w:rsidR="007E6FAD" w:rsidRPr="007E6FAD">
        <w:rPr>
          <w:lang w:val="sk-SK"/>
        </w:rPr>
        <w:t>Cefotaxim</w:t>
      </w:r>
      <w:proofErr w:type="spellEnd"/>
      <w:r w:rsidR="007E6FAD" w:rsidRPr="007E6FAD">
        <w:rPr>
          <w:lang w:val="sk-SK"/>
        </w:rPr>
        <w:t xml:space="preserve"> sa testuje s použitím </w:t>
      </w:r>
      <w:r w:rsidR="007E6FAD">
        <w:rPr>
          <w:lang w:val="sk-SK"/>
        </w:rPr>
        <w:t>obvykl</w:t>
      </w:r>
      <w:r w:rsidR="007E6FAD" w:rsidRPr="007E6FAD">
        <w:rPr>
          <w:lang w:val="sk-SK"/>
        </w:rPr>
        <w:t xml:space="preserve">ých </w:t>
      </w:r>
      <w:proofErr w:type="spellStart"/>
      <w:r w:rsidR="00B031A6">
        <w:rPr>
          <w:lang w:val="sk-SK"/>
        </w:rPr>
        <w:t>dilučných</w:t>
      </w:r>
      <w:proofErr w:type="spellEnd"/>
      <w:r w:rsidR="00B031A6">
        <w:rPr>
          <w:lang w:val="sk-SK"/>
        </w:rPr>
        <w:t xml:space="preserve"> </w:t>
      </w:r>
      <w:r w:rsidR="00EB18DF">
        <w:rPr>
          <w:lang w:val="sk-SK"/>
        </w:rPr>
        <w:t>sérií</w:t>
      </w:r>
      <w:r w:rsidR="007E6FAD" w:rsidRPr="007E6FAD">
        <w:rPr>
          <w:lang w:val="sk-SK"/>
        </w:rPr>
        <w:t>.</w:t>
      </w:r>
      <w:r w:rsidR="007E6FAD">
        <w:rPr>
          <w:lang w:val="sk-SK"/>
        </w:rPr>
        <w:t xml:space="preserve"> </w:t>
      </w:r>
      <w:r w:rsidR="003E3C22" w:rsidRPr="004229C9">
        <w:rPr>
          <w:lang w:val="sk-SK"/>
        </w:rPr>
        <w:t xml:space="preserve">Boli definované nasledovné minimálne inhibičné koncentrácie pre citlivé a rezistentné </w:t>
      </w:r>
      <w:r w:rsidR="00EB18DF">
        <w:rPr>
          <w:lang w:val="sk-SK"/>
        </w:rPr>
        <w:t>patogény</w:t>
      </w:r>
      <w:r w:rsidR="003E3C22" w:rsidRPr="004229C9">
        <w:rPr>
          <w:lang w:val="sk-SK"/>
        </w:rPr>
        <w:t>:</w:t>
      </w:r>
    </w:p>
    <w:p w14:paraId="7EE60D34" w14:textId="77777777" w:rsidR="008704BA" w:rsidRDefault="008704BA" w:rsidP="00233E28">
      <w:pPr>
        <w:rPr>
          <w:lang w:val="sk-SK"/>
        </w:rPr>
      </w:pPr>
    </w:p>
    <w:p w14:paraId="32951A17" w14:textId="7E4B2407" w:rsidR="003E3C22" w:rsidRPr="004229C9" w:rsidRDefault="003E3C22" w:rsidP="003E3C22">
      <w:pPr>
        <w:rPr>
          <w:lang w:val="sk-SK"/>
        </w:rPr>
      </w:pPr>
      <w:r w:rsidRPr="004229C9">
        <w:rPr>
          <w:lang w:val="sk-SK"/>
        </w:rPr>
        <w:t xml:space="preserve">EUCAST (Európsky výbor pre testovanie </w:t>
      </w:r>
      <w:proofErr w:type="spellStart"/>
      <w:r w:rsidRPr="004229C9">
        <w:rPr>
          <w:lang w:val="sk-SK"/>
        </w:rPr>
        <w:t>antimikrobiálnej</w:t>
      </w:r>
      <w:proofErr w:type="spellEnd"/>
      <w:r w:rsidRPr="004229C9">
        <w:rPr>
          <w:lang w:val="sk-SK"/>
        </w:rPr>
        <w:t xml:space="preserve"> citlivosti) </w:t>
      </w:r>
      <w:r w:rsidR="00534E67">
        <w:rPr>
          <w:lang w:val="sk-SK"/>
        </w:rPr>
        <w:t>hraničn</w:t>
      </w:r>
      <w:r w:rsidR="00534E67" w:rsidRPr="004229C9">
        <w:rPr>
          <w:lang w:val="sk-SK"/>
        </w:rPr>
        <w:t xml:space="preserve">é </w:t>
      </w:r>
      <w:r w:rsidRPr="004229C9">
        <w:rPr>
          <w:lang w:val="sk-SK"/>
        </w:rPr>
        <w:t xml:space="preserve">hodnoty </w:t>
      </w:r>
      <w:r w:rsidR="00D252A3">
        <w:rPr>
          <w:lang w:val="sk-SK"/>
        </w:rPr>
        <w:t xml:space="preserve">(v. </w:t>
      </w:r>
      <w:r w:rsidR="00CD187A">
        <w:rPr>
          <w:lang w:val="sk-SK"/>
        </w:rPr>
        <w:t>9</w:t>
      </w:r>
      <w:r w:rsidR="00D252A3">
        <w:rPr>
          <w:lang w:val="sk-SK"/>
        </w:rPr>
        <w:t>.</w:t>
      </w:r>
      <w:r w:rsidR="00CD187A">
        <w:rPr>
          <w:lang w:val="sk-SK"/>
        </w:rPr>
        <w:t>0</w:t>
      </w:r>
      <w:r w:rsidR="00D252A3">
        <w:rPr>
          <w:lang w:val="sk-SK"/>
        </w:rPr>
        <w:t>, platné od 201</w:t>
      </w:r>
      <w:r w:rsidR="00CD187A">
        <w:rPr>
          <w:lang w:val="sk-SK"/>
        </w:rPr>
        <w:t>9</w:t>
      </w:r>
      <w:r w:rsidR="00D252A3">
        <w:rPr>
          <w:lang w:val="sk-SK"/>
        </w:rPr>
        <w:t>-0</w:t>
      </w:r>
      <w:r w:rsidR="00CD187A">
        <w:rPr>
          <w:lang w:val="sk-SK"/>
        </w:rPr>
        <w:t>1</w:t>
      </w:r>
      <w:r w:rsidR="00D252A3">
        <w:rPr>
          <w:lang w:val="sk-SK"/>
        </w:rPr>
        <w:t>-</w:t>
      </w:r>
      <w:r w:rsidR="00CD187A">
        <w:rPr>
          <w:lang w:val="sk-SK"/>
        </w:rPr>
        <w:t>0</w:t>
      </w:r>
      <w:r w:rsidR="00D252A3">
        <w:rPr>
          <w:lang w:val="sk-SK"/>
        </w:rPr>
        <w:t>1</w:t>
      </w:r>
      <w:r w:rsidR="00CD187A">
        <w:rPr>
          <w:lang w:val="sk-SK"/>
        </w:rPr>
        <w:t>)</w:t>
      </w:r>
    </w:p>
    <w:p w14:paraId="1D16A0C0" w14:textId="77777777" w:rsidR="003E3C22" w:rsidRDefault="003E3C22" w:rsidP="003E3C22">
      <w:pPr>
        <w:rPr>
          <w:lang w:val="sk-SK"/>
        </w:rPr>
      </w:pPr>
    </w:p>
    <w:tbl>
      <w:tblPr>
        <w:tblW w:w="0" w:type="auto"/>
        <w:tblCellSpacing w:w="15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0"/>
        <w:gridCol w:w="1440"/>
        <w:gridCol w:w="1440"/>
      </w:tblGrid>
      <w:tr w:rsidR="003E3C22" w:rsidRPr="005A24D6" w14:paraId="68C11380" w14:textId="77777777" w:rsidTr="00233E28">
        <w:trPr>
          <w:tblCellSpacing w:w="15" w:type="dxa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21A8AA" w14:textId="77777777" w:rsidR="003E3C22" w:rsidRPr="00233E28" w:rsidRDefault="003E3C22" w:rsidP="003E3C22">
            <w:pPr>
              <w:rPr>
                <w:b/>
                <w:szCs w:val="22"/>
                <w:lang w:val="sk-SK"/>
              </w:rPr>
            </w:pPr>
            <w:r w:rsidRPr="00233E28">
              <w:rPr>
                <w:b/>
                <w:bCs/>
                <w:szCs w:val="22"/>
                <w:lang w:val="sk-SK"/>
              </w:rPr>
              <w:t>Patogén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503D1B" w14:textId="77777777" w:rsidR="003E3C22" w:rsidRPr="005A24D6" w:rsidRDefault="003E3C22" w:rsidP="003E3C22">
            <w:pPr>
              <w:rPr>
                <w:szCs w:val="22"/>
                <w:lang w:val="sk-SK"/>
              </w:rPr>
            </w:pPr>
            <w:r w:rsidRPr="005A24D6">
              <w:rPr>
                <w:bCs/>
                <w:szCs w:val="22"/>
                <w:lang w:val="sk-SK"/>
              </w:rPr>
              <w:t>Citliv</w:t>
            </w:r>
            <w:r>
              <w:rPr>
                <w:szCs w:val="22"/>
                <w:lang w:val="sk-SK"/>
              </w:rPr>
              <w:t>osť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44E2E4" w14:textId="77777777" w:rsidR="003E3C22" w:rsidRPr="005A24D6" w:rsidRDefault="003E3C22" w:rsidP="003E3C22">
            <w:pPr>
              <w:spacing w:line="360" w:lineRule="auto"/>
              <w:rPr>
                <w:szCs w:val="22"/>
                <w:lang w:val="sk-SK"/>
              </w:rPr>
            </w:pPr>
            <w:r w:rsidRPr="005A24D6">
              <w:rPr>
                <w:bCs/>
                <w:szCs w:val="22"/>
                <w:lang w:val="sk-SK"/>
              </w:rPr>
              <w:t>Rezisten</w:t>
            </w:r>
            <w:r>
              <w:rPr>
                <w:szCs w:val="22"/>
                <w:lang w:val="sk-SK"/>
              </w:rPr>
              <w:t>cia</w:t>
            </w:r>
          </w:p>
        </w:tc>
      </w:tr>
      <w:tr w:rsidR="003E3C22" w:rsidRPr="004229C9" w14:paraId="3097CB53" w14:textId="77777777" w:rsidTr="00233E28">
        <w:trPr>
          <w:tblCellSpacing w:w="15" w:type="dxa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160B10" w14:textId="3FD2236C" w:rsidR="003E3C22" w:rsidRPr="00233E28" w:rsidRDefault="003E3C22" w:rsidP="006B404E">
            <w:pPr>
              <w:rPr>
                <w:szCs w:val="22"/>
                <w:lang w:val="sk-SK"/>
              </w:rPr>
            </w:pPr>
            <w:proofErr w:type="spellStart"/>
            <w:r w:rsidRPr="00233E28">
              <w:rPr>
                <w:i/>
                <w:iCs/>
                <w:szCs w:val="22"/>
                <w:lang w:val="sk-SK"/>
              </w:rPr>
              <w:t>Enterobactera</w:t>
            </w:r>
            <w:r w:rsidR="006B404E">
              <w:rPr>
                <w:i/>
                <w:iCs/>
                <w:szCs w:val="22"/>
                <w:lang w:val="sk-SK"/>
              </w:rPr>
              <w:t>l</w:t>
            </w:r>
            <w:r w:rsidRPr="00233E28">
              <w:rPr>
                <w:i/>
                <w:iCs/>
                <w:szCs w:val="22"/>
                <w:lang w:val="sk-SK"/>
              </w:rPr>
              <w:t>e</w:t>
            </w:r>
            <w:r w:rsidR="006B404E">
              <w:rPr>
                <w:i/>
                <w:iCs/>
                <w:szCs w:val="22"/>
                <w:lang w:val="sk-SK"/>
              </w:rPr>
              <w:t>s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B33E6E" w14:textId="77777777" w:rsidR="003E3C22" w:rsidRDefault="00E55981" w:rsidP="003E3C22">
            <w:pPr>
              <w:spacing w:after="240"/>
              <w:rPr>
                <w:lang w:val="da-DK"/>
              </w:rPr>
            </w:pPr>
            <w:r>
              <w:t xml:space="preserve"> </w:t>
            </w:r>
            <w:r w:rsidR="003E3C22" w:rsidRPr="00FC52BC">
              <w:sym w:font="Symbol" w:char="F0A3"/>
            </w:r>
            <w:r w:rsidR="003E3C22" w:rsidRPr="00FC52BC">
              <w:t xml:space="preserve"> 1 mg/l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6EBEBB" w14:textId="77777777" w:rsidR="003E3C22" w:rsidRDefault="00E55981" w:rsidP="003E3C22">
            <w:pPr>
              <w:spacing w:after="240"/>
              <w:rPr>
                <w:lang w:val="da-DK"/>
              </w:rPr>
            </w:pPr>
            <w:r>
              <w:t xml:space="preserve"> </w:t>
            </w:r>
            <w:r w:rsidR="003E3C22" w:rsidRPr="00FC52BC">
              <w:t>&gt; 2 mg/l</w:t>
            </w:r>
          </w:p>
        </w:tc>
      </w:tr>
      <w:tr w:rsidR="003E3C22" w:rsidRPr="004229C9" w14:paraId="71C09617" w14:textId="77777777" w:rsidTr="00233E28">
        <w:trPr>
          <w:tblCellSpacing w:w="15" w:type="dxa"/>
        </w:trPr>
        <w:tc>
          <w:tcPr>
            <w:tcW w:w="30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5FFC41" w14:textId="20D20110" w:rsidR="003E3C22" w:rsidRPr="00233E28" w:rsidRDefault="003E3C22" w:rsidP="0049534C">
            <w:pPr>
              <w:rPr>
                <w:szCs w:val="22"/>
                <w:vertAlign w:val="superscript"/>
                <w:lang w:val="sk-SK"/>
              </w:rPr>
            </w:pPr>
            <w:proofErr w:type="spellStart"/>
            <w:r w:rsidRPr="00233E28">
              <w:rPr>
                <w:i/>
                <w:iCs/>
                <w:szCs w:val="22"/>
                <w:lang w:val="sk-SK"/>
              </w:rPr>
              <w:t>Staphylococcus</w:t>
            </w:r>
            <w:proofErr w:type="spellEnd"/>
            <w:r w:rsidRPr="00233E28">
              <w:rPr>
                <w:i/>
                <w:iCs/>
                <w:szCs w:val="22"/>
                <w:lang w:val="sk-SK"/>
              </w:rPr>
              <w:t xml:space="preserve"> </w:t>
            </w:r>
            <w:proofErr w:type="spellStart"/>
            <w:r w:rsidRPr="00233E28">
              <w:rPr>
                <w:szCs w:val="22"/>
                <w:lang w:val="sk-SK"/>
              </w:rPr>
              <w:t>spp</w:t>
            </w:r>
            <w:proofErr w:type="spellEnd"/>
            <w:r w:rsidR="000F7CEA" w:rsidRPr="00233E28">
              <w:rPr>
                <w:vertAlign w:val="superscript"/>
              </w:rPr>
              <w:t>HE</w:t>
            </w:r>
            <w:r w:rsidR="00FC771D">
              <w:t>.</w:t>
            </w:r>
            <w:r w:rsidR="00E55981" w:rsidRPr="00233E28">
              <w:rPr>
                <w:iCs/>
                <w:szCs w:val="22"/>
                <w:lang w:val="sk-SK"/>
              </w:rPr>
              <w:t xml:space="preserve"> </w:t>
            </w:r>
            <w:r w:rsidR="00433F2F" w:rsidRPr="00233E28">
              <w:rPr>
                <w:iCs/>
                <w:szCs w:val="22"/>
                <w:vertAlign w:val="superscript"/>
                <w:lang w:val="sk-SK"/>
              </w:rPr>
              <w:t>1)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5D1FEE" w14:textId="337F82BA" w:rsidR="003E3C22" w:rsidRDefault="00E55981" w:rsidP="003E3C22">
            <w:pPr>
              <w:spacing w:after="240"/>
              <w:rPr>
                <w:lang w:val="da-DK"/>
              </w:rPr>
            </w:pPr>
            <w:r>
              <w:rPr>
                <w:vertAlign w:val="superscript"/>
              </w:rPr>
              <w:t xml:space="preserve"> </w:t>
            </w:r>
            <w:r w:rsidR="003E3C22" w:rsidRPr="00FC52BC">
              <w:rPr>
                <w:vertAlign w:val="superscript"/>
              </w:rPr>
              <w:t>__</w:t>
            </w:r>
            <w:r>
              <w:rPr>
                <w:vertAlign w:val="superscript"/>
              </w:rPr>
              <w:t xml:space="preserve"> </w:t>
            </w:r>
            <w:r w:rsidR="00433F2F">
              <w:rPr>
                <w:i/>
                <w:iCs/>
                <w:szCs w:val="22"/>
                <w:vertAlign w:val="superscript"/>
                <w:lang w:val="sk-SK"/>
              </w:rPr>
              <w:t>1)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9ED0E5" w14:textId="3DC6F116" w:rsidR="003E3C22" w:rsidRDefault="00E55981" w:rsidP="00B329CB">
            <w:pPr>
              <w:spacing w:after="240"/>
              <w:rPr>
                <w:lang w:val="da-DK"/>
              </w:rPr>
            </w:pPr>
            <w:r>
              <w:rPr>
                <w:vertAlign w:val="superscript"/>
              </w:rPr>
              <w:t xml:space="preserve"> </w:t>
            </w:r>
            <w:r w:rsidR="003E3C22" w:rsidRPr="00FC52BC">
              <w:rPr>
                <w:vertAlign w:val="superscript"/>
              </w:rPr>
              <w:t>__</w:t>
            </w:r>
            <w:r>
              <w:rPr>
                <w:vertAlign w:val="superscript"/>
              </w:rPr>
              <w:t xml:space="preserve"> </w:t>
            </w:r>
            <w:r w:rsidR="00433F2F">
              <w:rPr>
                <w:i/>
                <w:iCs/>
                <w:szCs w:val="22"/>
                <w:vertAlign w:val="superscript"/>
                <w:lang w:val="sk-SK"/>
              </w:rPr>
              <w:t>1)</w:t>
            </w:r>
          </w:p>
        </w:tc>
      </w:tr>
      <w:tr w:rsidR="003E3C22" w:rsidRPr="00C42F31" w14:paraId="73F072BC" w14:textId="77777777" w:rsidTr="00233E28">
        <w:trPr>
          <w:trHeight w:val="669"/>
          <w:tblCellSpacing w:w="15" w:type="dxa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4AD357" w14:textId="77777777" w:rsidR="003E3C22" w:rsidRPr="00233E28" w:rsidRDefault="003E3C22" w:rsidP="003E3C22">
            <w:pPr>
              <w:rPr>
                <w:i/>
                <w:iCs/>
                <w:szCs w:val="22"/>
                <w:lang w:val="sk-SK"/>
              </w:rPr>
            </w:pPr>
            <w:proofErr w:type="spellStart"/>
            <w:r w:rsidRPr="00233E28">
              <w:rPr>
                <w:i/>
                <w:iCs/>
                <w:szCs w:val="22"/>
                <w:lang w:val="sk-SK"/>
              </w:rPr>
              <w:t>Streptococcus</w:t>
            </w:r>
            <w:proofErr w:type="spellEnd"/>
            <w:r w:rsidRPr="00233E28">
              <w:rPr>
                <w:i/>
                <w:iCs/>
                <w:szCs w:val="22"/>
                <w:lang w:val="sk-SK"/>
              </w:rPr>
              <w:t xml:space="preserve"> </w:t>
            </w:r>
            <w:proofErr w:type="spellStart"/>
            <w:r w:rsidRPr="00233E28">
              <w:rPr>
                <w:iCs/>
                <w:szCs w:val="22"/>
                <w:lang w:val="sk-SK"/>
              </w:rPr>
              <w:t>spp</w:t>
            </w:r>
            <w:proofErr w:type="spellEnd"/>
            <w:r w:rsidRPr="00233E28">
              <w:rPr>
                <w:iCs/>
                <w:szCs w:val="22"/>
                <w:lang w:val="sk-SK"/>
              </w:rPr>
              <w:t>.</w:t>
            </w:r>
          </w:p>
          <w:p w14:paraId="459A6222" w14:textId="141BB8D4" w:rsidR="003E3C22" w:rsidRPr="00233E28" w:rsidRDefault="003E3C22" w:rsidP="00B329CB">
            <w:pPr>
              <w:spacing w:line="360" w:lineRule="auto"/>
              <w:rPr>
                <w:szCs w:val="22"/>
                <w:lang w:val="sk-SK"/>
              </w:rPr>
            </w:pPr>
            <w:r w:rsidRPr="00233E28">
              <w:rPr>
                <w:szCs w:val="22"/>
                <w:lang w:val="sk-SK"/>
              </w:rPr>
              <w:t>(skupiny A, B, C, G)</w:t>
            </w:r>
            <w:r w:rsidR="00297D26">
              <w:rPr>
                <w:szCs w:val="22"/>
                <w:lang w:val="sk-SK"/>
              </w:rPr>
              <w:t xml:space="preserve"> </w:t>
            </w:r>
            <w:r w:rsidR="006B404E" w:rsidRPr="00233E28">
              <w:rPr>
                <w:vertAlign w:val="superscript"/>
                <w:lang w:val="pl-PL"/>
              </w:rPr>
              <w:t>2</w:t>
            </w:r>
            <w:r w:rsidR="006B404E">
              <w:rPr>
                <w:i/>
                <w:iCs/>
                <w:szCs w:val="22"/>
                <w:vertAlign w:val="superscript"/>
                <w:lang w:val="sk-SK"/>
              </w:rPr>
              <w:t>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B38EAA" w14:textId="068E5CB5" w:rsidR="003E3C22" w:rsidRPr="006B404E" w:rsidRDefault="00E55981" w:rsidP="00B329CB">
            <w:pPr>
              <w:spacing w:after="240"/>
              <w:rPr>
                <w:lang w:val="da-DK"/>
              </w:rPr>
            </w:pPr>
            <w:r>
              <w:rPr>
                <w:vertAlign w:val="superscript"/>
              </w:rPr>
              <w:t xml:space="preserve"> </w:t>
            </w:r>
            <w:r w:rsidR="003E3C22" w:rsidRPr="006B404E">
              <w:rPr>
                <w:vertAlign w:val="superscript"/>
              </w:rPr>
              <w:t>__</w:t>
            </w:r>
            <w:r>
              <w:rPr>
                <w:vertAlign w:val="superscript"/>
              </w:rPr>
              <w:t xml:space="preserve">  </w:t>
            </w:r>
            <w:r w:rsidR="004E5136">
              <w:rPr>
                <w:vertAlign w:val="superscript"/>
              </w:rPr>
              <w:t>2</w:t>
            </w:r>
            <w:r w:rsidR="004E5136">
              <w:rPr>
                <w:i/>
                <w:iCs/>
                <w:szCs w:val="22"/>
                <w:vertAlign w:val="superscript"/>
                <w:lang w:val="sk-SK"/>
              </w:rPr>
              <w:t>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74E134" w14:textId="1E874E5E" w:rsidR="003E3C22" w:rsidRPr="006B404E" w:rsidRDefault="00E55981" w:rsidP="00B329CB">
            <w:pPr>
              <w:spacing w:after="240"/>
              <w:rPr>
                <w:lang w:val="da-DK"/>
              </w:rPr>
            </w:pPr>
            <w:r>
              <w:rPr>
                <w:vertAlign w:val="superscript"/>
              </w:rPr>
              <w:t xml:space="preserve"> </w:t>
            </w:r>
            <w:r w:rsidR="003E3C22" w:rsidRPr="00E55981">
              <w:rPr>
                <w:vertAlign w:val="superscript"/>
              </w:rPr>
              <w:t>__</w:t>
            </w:r>
            <w:r>
              <w:rPr>
                <w:vertAlign w:val="superscript"/>
              </w:rPr>
              <w:t xml:space="preserve"> </w:t>
            </w:r>
            <w:r w:rsidR="004E5136">
              <w:rPr>
                <w:vertAlign w:val="superscript"/>
              </w:rPr>
              <w:t>2</w:t>
            </w:r>
            <w:r w:rsidR="004E5136">
              <w:rPr>
                <w:i/>
                <w:iCs/>
                <w:szCs w:val="22"/>
                <w:vertAlign w:val="superscript"/>
                <w:lang w:val="sk-SK"/>
              </w:rPr>
              <w:t>)</w:t>
            </w:r>
          </w:p>
        </w:tc>
      </w:tr>
    </w:tbl>
    <w:p w14:paraId="6A6E973F" w14:textId="77777777" w:rsidR="000979CA" w:rsidRPr="00C42F31" w:rsidRDefault="000979CA" w:rsidP="000979CA">
      <w:pPr>
        <w:rPr>
          <w:vanish/>
        </w:rPr>
      </w:pPr>
    </w:p>
    <w:p w14:paraId="41E2BDF0" w14:textId="77777777" w:rsidR="003E3C22" w:rsidRPr="003E41C2" w:rsidRDefault="003E3C22" w:rsidP="003E3C22">
      <w:pPr>
        <w:spacing w:line="40" w:lineRule="exact"/>
        <w:rPr>
          <w:sz w:val="8"/>
          <w:szCs w:val="8"/>
        </w:rPr>
      </w:pPr>
    </w:p>
    <w:tbl>
      <w:tblPr>
        <w:tblW w:w="0" w:type="auto"/>
        <w:tblCellSpacing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0"/>
        <w:gridCol w:w="1440"/>
        <w:gridCol w:w="1440"/>
      </w:tblGrid>
      <w:tr w:rsidR="003E3C22" w:rsidRPr="00C42F31" w14:paraId="25ECB3BB" w14:textId="77777777" w:rsidTr="00233E28">
        <w:trPr>
          <w:tblCellSpacing w:w="15" w:type="dxa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9D7F33" w14:textId="77777777" w:rsidR="003E3C22" w:rsidRPr="00233E28" w:rsidRDefault="003E3C22" w:rsidP="003E3C22">
            <w:pPr>
              <w:rPr>
                <w:szCs w:val="22"/>
                <w:lang w:val="sk-SK"/>
              </w:rPr>
            </w:pPr>
            <w:proofErr w:type="spellStart"/>
            <w:r w:rsidRPr="00233E28">
              <w:rPr>
                <w:i/>
                <w:iCs/>
                <w:szCs w:val="22"/>
                <w:lang w:val="sk-SK"/>
              </w:rPr>
              <w:t>Streptococcus</w:t>
            </w:r>
            <w:proofErr w:type="spellEnd"/>
            <w:r w:rsidRPr="00233E28">
              <w:rPr>
                <w:i/>
                <w:iCs/>
                <w:szCs w:val="22"/>
                <w:lang w:val="sk-SK"/>
              </w:rPr>
              <w:t xml:space="preserve"> </w:t>
            </w:r>
            <w:proofErr w:type="spellStart"/>
            <w:r w:rsidRPr="00233E28">
              <w:rPr>
                <w:i/>
                <w:iCs/>
                <w:szCs w:val="22"/>
                <w:lang w:val="sk-SK"/>
              </w:rPr>
              <w:t>pneumoniae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25874A" w14:textId="77777777" w:rsidR="003E3C22" w:rsidRPr="006B404E" w:rsidRDefault="00E55981" w:rsidP="003E3C22">
            <w:pPr>
              <w:spacing w:after="240"/>
              <w:rPr>
                <w:lang w:val="da-DK"/>
              </w:rPr>
            </w:pPr>
            <w:r>
              <w:t xml:space="preserve"> </w:t>
            </w:r>
            <w:r w:rsidR="003E3C22" w:rsidRPr="006B404E">
              <w:sym w:font="Symbol" w:char="F0A3"/>
            </w:r>
            <w:r w:rsidR="003E3C22" w:rsidRPr="006B404E">
              <w:t xml:space="preserve"> 0,5 mg/l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C411D3" w14:textId="77777777" w:rsidR="003E3C22" w:rsidRPr="00E55981" w:rsidRDefault="00E55981" w:rsidP="003E3C22">
            <w:pPr>
              <w:spacing w:after="240"/>
              <w:rPr>
                <w:lang w:val="da-DK"/>
              </w:rPr>
            </w:pPr>
            <w:r>
              <w:t xml:space="preserve"> </w:t>
            </w:r>
            <w:r w:rsidR="003E3C22" w:rsidRPr="00E55981">
              <w:t>&gt; 2 mg/l</w:t>
            </w:r>
          </w:p>
        </w:tc>
      </w:tr>
      <w:tr w:rsidR="003E3C22" w:rsidRPr="00C42F31" w14:paraId="773CF4AC" w14:textId="77777777" w:rsidTr="00233E28">
        <w:trPr>
          <w:tblCellSpacing w:w="15" w:type="dxa"/>
        </w:trPr>
        <w:tc>
          <w:tcPr>
            <w:tcW w:w="30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B7CBE1" w14:textId="77777777" w:rsidR="003E3C22" w:rsidRPr="00233E28" w:rsidRDefault="003E3C22" w:rsidP="003E3C22">
            <w:pPr>
              <w:rPr>
                <w:szCs w:val="22"/>
                <w:lang w:val="sk-SK"/>
              </w:rPr>
            </w:pPr>
            <w:proofErr w:type="spellStart"/>
            <w:r w:rsidRPr="00233E28">
              <w:rPr>
                <w:i/>
                <w:iCs/>
                <w:szCs w:val="22"/>
                <w:lang w:val="sk-SK"/>
              </w:rPr>
              <w:t>Haemophilus</w:t>
            </w:r>
            <w:proofErr w:type="spellEnd"/>
            <w:r w:rsidRPr="00233E28">
              <w:rPr>
                <w:i/>
                <w:iCs/>
                <w:szCs w:val="22"/>
                <w:lang w:val="sk-SK"/>
              </w:rPr>
              <w:t xml:space="preserve"> </w:t>
            </w:r>
            <w:proofErr w:type="spellStart"/>
            <w:r w:rsidRPr="00233E28">
              <w:rPr>
                <w:i/>
                <w:iCs/>
                <w:szCs w:val="22"/>
                <w:lang w:val="sk-SK"/>
              </w:rPr>
              <w:t>influenzae</w:t>
            </w:r>
            <w:proofErr w:type="spellEnd"/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151A08" w14:textId="77777777" w:rsidR="003E3C22" w:rsidRPr="006B404E" w:rsidRDefault="00E55981" w:rsidP="003E3C22">
            <w:pPr>
              <w:spacing w:after="240"/>
              <w:rPr>
                <w:lang w:val="da-DK"/>
              </w:rPr>
            </w:pPr>
            <w:r>
              <w:t xml:space="preserve"> </w:t>
            </w:r>
            <w:r w:rsidR="003E3C22" w:rsidRPr="006B404E">
              <w:sym w:font="Symbol" w:char="F0A3"/>
            </w:r>
            <w:r w:rsidR="003E3C22" w:rsidRPr="006B404E">
              <w:t xml:space="preserve"> 0,12 mg/l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946D96" w14:textId="77777777" w:rsidR="003E3C22" w:rsidRPr="00E55981" w:rsidRDefault="00E55981" w:rsidP="003E3C22">
            <w:pPr>
              <w:spacing w:after="240"/>
              <w:rPr>
                <w:lang w:val="da-DK"/>
              </w:rPr>
            </w:pPr>
            <w:r>
              <w:t xml:space="preserve"> </w:t>
            </w:r>
            <w:r w:rsidR="003E3C22" w:rsidRPr="00E55981">
              <w:t>&gt; 0,12 mg/l</w:t>
            </w:r>
          </w:p>
        </w:tc>
      </w:tr>
      <w:tr w:rsidR="003E3C22" w:rsidRPr="00C42F31" w14:paraId="53449620" w14:textId="77777777" w:rsidTr="00233E28">
        <w:trPr>
          <w:tblCellSpacing w:w="15" w:type="dxa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835AE0" w14:textId="77777777" w:rsidR="003E3C22" w:rsidRPr="00233E28" w:rsidRDefault="003E3C22" w:rsidP="003E3C22">
            <w:pPr>
              <w:rPr>
                <w:szCs w:val="22"/>
                <w:lang w:val="sk-SK"/>
              </w:rPr>
            </w:pPr>
            <w:proofErr w:type="spellStart"/>
            <w:r w:rsidRPr="00233E28">
              <w:rPr>
                <w:i/>
                <w:iCs/>
                <w:szCs w:val="22"/>
                <w:lang w:val="sk-SK"/>
              </w:rPr>
              <w:t>Moraxella</w:t>
            </w:r>
            <w:proofErr w:type="spellEnd"/>
            <w:r w:rsidRPr="00233E28">
              <w:rPr>
                <w:i/>
                <w:iCs/>
                <w:szCs w:val="22"/>
                <w:lang w:val="sk-SK"/>
              </w:rPr>
              <w:t xml:space="preserve"> </w:t>
            </w:r>
            <w:proofErr w:type="spellStart"/>
            <w:r w:rsidRPr="00233E28">
              <w:rPr>
                <w:i/>
                <w:iCs/>
                <w:szCs w:val="22"/>
                <w:lang w:val="sk-SK"/>
              </w:rPr>
              <w:t>catarrhalis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422EE5" w14:textId="77777777" w:rsidR="003E3C22" w:rsidRPr="006B404E" w:rsidRDefault="00E55981" w:rsidP="003E3C22">
            <w:pPr>
              <w:spacing w:after="240"/>
              <w:rPr>
                <w:lang w:val="da-DK"/>
              </w:rPr>
            </w:pPr>
            <w:r>
              <w:t xml:space="preserve"> </w:t>
            </w:r>
            <w:r w:rsidR="003E3C22" w:rsidRPr="006B404E">
              <w:sym w:font="Symbol" w:char="F0A3"/>
            </w:r>
            <w:r w:rsidR="003E3C22" w:rsidRPr="006B404E">
              <w:t xml:space="preserve"> 1 mg/l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0DFA35" w14:textId="77777777" w:rsidR="003E3C22" w:rsidRPr="00E55981" w:rsidRDefault="00E55981" w:rsidP="003E3C22">
            <w:pPr>
              <w:spacing w:after="240"/>
              <w:rPr>
                <w:lang w:val="da-DK"/>
              </w:rPr>
            </w:pPr>
            <w:r>
              <w:t xml:space="preserve"> </w:t>
            </w:r>
            <w:r w:rsidR="003E3C22" w:rsidRPr="00E55981">
              <w:t>&gt; 2 mg/l</w:t>
            </w:r>
          </w:p>
        </w:tc>
      </w:tr>
      <w:tr w:rsidR="003E3C22" w:rsidRPr="00C42F31" w14:paraId="3D1EFA0D" w14:textId="77777777" w:rsidTr="00233E28">
        <w:trPr>
          <w:tblCellSpacing w:w="15" w:type="dxa"/>
        </w:trPr>
        <w:tc>
          <w:tcPr>
            <w:tcW w:w="30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401F6C" w14:textId="77777777" w:rsidR="003E3C22" w:rsidRPr="00233E28" w:rsidRDefault="003E3C22" w:rsidP="003E3C22">
            <w:pPr>
              <w:rPr>
                <w:szCs w:val="22"/>
                <w:lang w:val="sk-SK"/>
              </w:rPr>
            </w:pPr>
            <w:proofErr w:type="spellStart"/>
            <w:r w:rsidRPr="00233E28">
              <w:rPr>
                <w:i/>
                <w:iCs/>
                <w:szCs w:val="22"/>
                <w:lang w:val="sk-SK"/>
              </w:rPr>
              <w:t>Neisseria</w:t>
            </w:r>
            <w:proofErr w:type="spellEnd"/>
            <w:r w:rsidRPr="00233E28">
              <w:rPr>
                <w:i/>
                <w:iCs/>
                <w:szCs w:val="22"/>
                <w:lang w:val="sk-SK"/>
              </w:rPr>
              <w:t xml:space="preserve"> </w:t>
            </w:r>
            <w:proofErr w:type="spellStart"/>
            <w:r w:rsidRPr="00233E28">
              <w:rPr>
                <w:i/>
                <w:iCs/>
                <w:szCs w:val="22"/>
                <w:lang w:val="sk-SK"/>
              </w:rPr>
              <w:t>gonorrhoeae</w:t>
            </w:r>
            <w:proofErr w:type="spellEnd"/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0224E2" w14:textId="77777777" w:rsidR="003E3C22" w:rsidRPr="006B404E" w:rsidRDefault="00E55981" w:rsidP="003E3C22">
            <w:pPr>
              <w:spacing w:after="240"/>
              <w:rPr>
                <w:lang w:val="da-DK"/>
              </w:rPr>
            </w:pPr>
            <w:r>
              <w:t xml:space="preserve"> </w:t>
            </w:r>
            <w:r w:rsidR="003E3C22" w:rsidRPr="006B404E">
              <w:sym w:font="Symbol" w:char="F0A3"/>
            </w:r>
            <w:r w:rsidR="003E3C22" w:rsidRPr="006B404E">
              <w:t xml:space="preserve"> 0,12 mg/l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4DEA35" w14:textId="77777777" w:rsidR="003E3C22" w:rsidRPr="00E55981" w:rsidRDefault="00E55981" w:rsidP="003E3C22">
            <w:pPr>
              <w:spacing w:after="240"/>
              <w:rPr>
                <w:lang w:val="da-DK"/>
              </w:rPr>
            </w:pPr>
            <w:r>
              <w:t xml:space="preserve"> </w:t>
            </w:r>
            <w:r w:rsidR="003E3C22" w:rsidRPr="00E55981">
              <w:t>&gt; 0,12 mg/l</w:t>
            </w:r>
          </w:p>
        </w:tc>
      </w:tr>
      <w:tr w:rsidR="003E3C22" w:rsidRPr="00C42F31" w14:paraId="66437CE4" w14:textId="77777777" w:rsidTr="00233E28">
        <w:trPr>
          <w:tblCellSpacing w:w="15" w:type="dxa"/>
        </w:trPr>
        <w:tc>
          <w:tcPr>
            <w:tcW w:w="30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6B95DE" w14:textId="77777777" w:rsidR="003E3C22" w:rsidRPr="00233E28" w:rsidRDefault="003E3C22" w:rsidP="003E3C22">
            <w:pPr>
              <w:rPr>
                <w:szCs w:val="22"/>
                <w:lang w:val="sk-SK"/>
              </w:rPr>
            </w:pPr>
            <w:proofErr w:type="spellStart"/>
            <w:r w:rsidRPr="00233E28">
              <w:rPr>
                <w:i/>
                <w:iCs/>
                <w:szCs w:val="22"/>
                <w:lang w:val="sk-SK"/>
              </w:rPr>
              <w:t>Neisseria</w:t>
            </w:r>
            <w:proofErr w:type="spellEnd"/>
            <w:r w:rsidRPr="00233E28">
              <w:rPr>
                <w:i/>
                <w:iCs/>
                <w:szCs w:val="22"/>
                <w:lang w:val="sk-SK"/>
              </w:rPr>
              <w:t xml:space="preserve"> </w:t>
            </w:r>
            <w:proofErr w:type="spellStart"/>
            <w:r w:rsidRPr="00233E28">
              <w:rPr>
                <w:i/>
                <w:iCs/>
                <w:szCs w:val="22"/>
                <w:lang w:val="sk-SK"/>
              </w:rPr>
              <w:t>meningitidis</w:t>
            </w:r>
            <w:proofErr w:type="spellEnd"/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615AFD" w14:textId="77777777" w:rsidR="003E3C22" w:rsidRPr="006B404E" w:rsidRDefault="00E55981" w:rsidP="003E3C22">
            <w:pPr>
              <w:spacing w:after="240"/>
              <w:rPr>
                <w:lang w:val="da-DK"/>
              </w:rPr>
            </w:pPr>
            <w:r>
              <w:t xml:space="preserve"> </w:t>
            </w:r>
            <w:r w:rsidR="003E3C22" w:rsidRPr="006B404E">
              <w:sym w:font="Symbol" w:char="F0A3"/>
            </w:r>
            <w:r w:rsidR="003E3C22" w:rsidRPr="006B404E">
              <w:t xml:space="preserve"> 0,12 mg/l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EC609E" w14:textId="77777777" w:rsidR="003E3C22" w:rsidRPr="00E55981" w:rsidRDefault="00E55981" w:rsidP="003E3C22">
            <w:pPr>
              <w:spacing w:after="240"/>
              <w:rPr>
                <w:lang w:val="da-DK"/>
              </w:rPr>
            </w:pPr>
            <w:r>
              <w:t xml:space="preserve"> </w:t>
            </w:r>
            <w:r w:rsidR="003E3C22" w:rsidRPr="00E55981">
              <w:t>&gt; 0,12 mg/l</w:t>
            </w:r>
          </w:p>
        </w:tc>
      </w:tr>
      <w:tr w:rsidR="003E3C22" w:rsidRPr="00C42F31" w14:paraId="66FDFA16" w14:textId="77777777" w:rsidTr="00233E28">
        <w:trPr>
          <w:tblCellSpacing w:w="15" w:type="dxa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6E8757" w14:textId="47D631FB" w:rsidR="003E3C22" w:rsidRPr="00233E28" w:rsidRDefault="003E3C22" w:rsidP="003E3C22">
            <w:pPr>
              <w:rPr>
                <w:szCs w:val="22"/>
                <w:lang w:val="sk-SK"/>
              </w:rPr>
            </w:pPr>
            <w:r w:rsidRPr="00233E28">
              <w:rPr>
                <w:szCs w:val="22"/>
                <w:lang w:val="sk-SK"/>
              </w:rPr>
              <w:t>Nie druhovo rozdielne kritické hodnoty</w:t>
            </w:r>
            <w:r w:rsidR="00BC0016">
              <w:rPr>
                <w:szCs w:val="22"/>
                <w:lang w:val="sk-SK"/>
              </w:rPr>
              <w:t xml:space="preserve"> </w:t>
            </w:r>
            <w:r w:rsidR="00BC0016" w:rsidRPr="00BC0016">
              <w:rPr>
                <w:vertAlign w:val="superscript"/>
                <w:lang w:val="pl-PL"/>
              </w:rPr>
              <w:t>3</w:t>
            </w:r>
            <w:r w:rsidR="00BC0016">
              <w:rPr>
                <w:i/>
                <w:iCs/>
                <w:szCs w:val="22"/>
                <w:vertAlign w:val="superscript"/>
                <w:lang w:val="sk-SK"/>
              </w:rPr>
              <w:t>)</w:t>
            </w:r>
            <w:r w:rsidR="00DC6636">
              <w:rPr>
                <w:i/>
                <w:iCs/>
                <w:szCs w:val="22"/>
                <w:vertAlign w:val="superscript"/>
                <w:lang w:val="sk-SK"/>
              </w:rPr>
              <w:t>,</w:t>
            </w:r>
            <w:r w:rsidR="00DC6636">
              <w:rPr>
                <w:iCs/>
                <w:szCs w:val="22"/>
                <w:vertAlign w:val="superscript"/>
                <w:lang w:val="sk-SK"/>
              </w:rPr>
              <w:t xml:space="preserve"> *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4AD8B7" w14:textId="77777777" w:rsidR="003E3C22" w:rsidRPr="006B404E" w:rsidRDefault="00E55981" w:rsidP="003E3C22">
            <w:pPr>
              <w:spacing w:after="240"/>
              <w:rPr>
                <w:lang w:val="en-US"/>
              </w:rPr>
            </w:pPr>
            <w:r w:rsidRPr="00233E28">
              <w:rPr>
                <w:lang w:val="de-DE"/>
              </w:rPr>
              <w:t xml:space="preserve"> </w:t>
            </w:r>
            <w:r w:rsidR="003E3C22" w:rsidRPr="006B404E">
              <w:sym w:font="Symbol" w:char="F0A3"/>
            </w:r>
            <w:r w:rsidR="003E3C22" w:rsidRPr="006B404E">
              <w:t xml:space="preserve"> 1 mg/l</w:t>
            </w:r>
            <w:r w:rsidR="00BC0016">
              <w:rPr>
                <w:szCs w:val="22"/>
                <w:lang w:val="sk-SK"/>
              </w:rPr>
              <w:t xml:space="preserve"> </w:t>
            </w:r>
            <w:r w:rsidR="00BC0016" w:rsidRPr="00BC0016">
              <w:rPr>
                <w:vertAlign w:val="superscript"/>
                <w:lang w:val="pl-PL"/>
              </w:rPr>
              <w:t>3</w:t>
            </w:r>
            <w:r w:rsidR="00BC0016">
              <w:rPr>
                <w:i/>
                <w:iCs/>
                <w:szCs w:val="22"/>
                <w:vertAlign w:val="superscript"/>
                <w:lang w:val="sk-SK"/>
              </w:rPr>
              <w:t>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68C297" w14:textId="77777777" w:rsidR="003E3C22" w:rsidRPr="00BC0016" w:rsidRDefault="00E55981" w:rsidP="003E3C22">
            <w:pPr>
              <w:spacing w:after="240"/>
              <w:rPr>
                <w:lang w:val="sk-SK"/>
              </w:rPr>
            </w:pPr>
            <w:r>
              <w:t xml:space="preserve"> </w:t>
            </w:r>
            <w:r w:rsidR="003E3C22" w:rsidRPr="00BC0016">
              <w:t>&gt; 2 mg/l</w:t>
            </w:r>
            <w:r w:rsidR="00BC0016">
              <w:rPr>
                <w:szCs w:val="22"/>
                <w:lang w:val="sk-SK"/>
              </w:rPr>
              <w:t xml:space="preserve"> </w:t>
            </w:r>
            <w:r w:rsidR="00BC0016" w:rsidRPr="00BC0016">
              <w:rPr>
                <w:vertAlign w:val="superscript"/>
                <w:lang w:val="pl-PL"/>
              </w:rPr>
              <w:t>3</w:t>
            </w:r>
            <w:r w:rsidR="00BC0016">
              <w:rPr>
                <w:i/>
                <w:iCs/>
                <w:szCs w:val="22"/>
                <w:vertAlign w:val="superscript"/>
                <w:lang w:val="sk-SK"/>
              </w:rPr>
              <w:t>)</w:t>
            </w:r>
          </w:p>
        </w:tc>
      </w:tr>
    </w:tbl>
    <w:p w14:paraId="3870191A" w14:textId="77777777" w:rsidR="004A7BEC" w:rsidRDefault="004A7BEC" w:rsidP="00233E28">
      <w:pPr>
        <w:ind w:left="564" w:hanging="564"/>
        <w:rPr>
          <w:sz w:val="20"/>
          <w:vertAlign w:val="superscript"/>
          <w:lang w:val="sk-SK"/>
        </w:rPr>
      </w:pPr>
    </w:p>
    <w:p w14:paraId="3F7FBEA1" w14:textId="77777777" w:rsidR="00E90214" w:rsidRPr="00233E28" w:rsidRDefault="00E90214" w:rsidP="00233E28">
      <w:pPr>
        <w:ind w:left="564" w:hanging="564"/>
        <w:rPr>
          <w:sz w:val="20"/>
          <w:lang w:val="sk-SK"/>
        </w:rPr>
      </w:pPr>
      <w:r>
        <w:rPr>
          <w:sz w:val="20"/>
          <w:vertAlign w:val="superscript"/>
          <w:lang w:val="sk-SK"/>
        </w:rPr>
        <w:t>HE</w:t>
      </w:r>
      <w:r>
        <w:rPr>
          <w:sz w:val="20"/>
          <w:vertAlign w:val="superscript"/>
          <w:lang w:val="sk-SK"/>
        </w:rPr>
        <w:tab/>
      </w:r>
      <w:r>
        <w:rPr>
          <w:sz w:val="20"/>
          <w:lang w:val="sk-SK"/>
        </w:rPr>
        <w:t xml:space="preserve">HE = </w:t>
      </w:r>
      <w:r w:rsidRPr="00E90214">
        <w:rPr>
          <w:sz w:val="20"/>
          <w:lang w:val="sk-SK"/>
        </w:rPr>
        <w:t xml:space="preserve">Vysoká expozícia / vysoká dávka iba pre </w:t>
      </w:r>
      <w:r w:rsidRPr="00233E28">
        <w:rPr>
          <w:i/>
          <w:sz w:val="20"/>
          <w:lang w:val="sk-SK"/>
        </w:rPr>
        <w:t xml:space="preserve">S. </w:t>
      </w:r>
      <w:proofErr w:type="spellStart"/>
      <w:r w:rsidRPr="00233E28">
        <w:rPr>
          <w:i/>
          <w:sz w:val="20"/>
          <w:lang w:val="sk-SK"/>
        </w:rPr>
        <w:t>aureus</w:t>
      </w:r>
      <w:proofErr w:type="spellEnd"/>
      <w:r w:rsidRPr="00E90214">
        <w:rPr>
          <w:sz w:val="20"/>
          <w:lang w:val="sk-SK"/>
        </w:rPr>
        <w:t xml:space="preserve"> (vysoká dávka najmenej 3 x 2 g </w:t>
      </w:r>
      <w:proofErr w:type="spellStart"/>
      <w:r w:rsidRPr="00E90214">
        <w:rPr>
          <w:sz w:val="20"/>
          <w:lang w:val="sk-SK"/>
        </w:rPr>
        <w:t>i</w:t>
      </w:r>
      <w:r w:rsidR="00094BD9">
        <w:rPr>
          <w:sz w:val="20"/>
          <w:lang w:val="sk-SK"/>
        </w:rPr>
        <w:t>.</w:t>
      </w:r>
      <w:r w:rsidRPr="00E90214">
        <w:rPr>
          <w:sz w:val="20"/>
          <w:lang w:val="sk-SK"/>
        </w:rPr>
        <w:t>v</w:t>
      </w:r>
      <w:proofErr w:type="spellEnd"/>
      <w:r w:rsidR="00094BD9">
        <w:rPr>
          <w:sz w:val="20"/>
          <w:lang w:val="sk-SK"/>
        </w:rPr>
        <w:t>.</w:t>
      </w:r>
      <w:r w:rsidRPr="00E90214">
        <w:rPr>
          <w:sz w:val="20"/>
          <w:lang w:val="sk-SK"/>
        </w:rPr>
        <w:t>)</w:t>
      </w:r>
    </w:p>
    <w:p w14:paraId="22C10B92" w14:textId="7BB4D4DC" w:rsidR="003E41C2" w:rsidRDefault="003E41C2" w:rsidP="00233E28">
      <w:pPr>
        <w:ind w:left="564" w:hanging="564"/>
        <w:rPr>
          <w:sz w:val="20"/>
          <w:lang w:val="sk-SK"/>
        </w:rPr>
      </w:pPr>
      <w:r>
        <w:rPr>
          <w:sz w:val="20"/>
          <w:vertAlign w:val="superscript"/>
          <w:lang w:val="sk-SK"/>
        </w:rPr>
        <w:t>1)</w:t>
      </w:r>
      <w:r>
        <w:rPr>
          <w:sz w:val="20"/>
          <w:vertAlign w:val="superscript"/>
          <w:lang w:val="sk-SK"/>
        </w:rPr>
        <w:tab/>
      </w:r>
      <w:r w:rsidR="006421F3">
        <w:rPr>
          <w:sz w:val="20"/>
          <w:vertAlign w:val="superscript"/>
          <w:lang w:val="sk-SK"/>
        </w:rPr>
        <w:t xml:space="preserve"> </w:t>
      </w:r>
      <w:r w:rsidR="006421F3">
        <w:rPr>
          <w:sz w:val="20"/>
          <w:lang w:val="sk-SK"/>
        </w:rPr>
        <w:t>Citliv</w:t>
      </w:r>
      <w:r w:rsidR="006421F3" w:rsidRPr="006421F3">
        <w:rPr>
          <w:sz w:val="20"/>
          <w:lang w:val="sk-SK"/>
        </w:rPr>
        <w:t xml:space="preserve">osť stafylokokov na </w:t>
      </w:r>
      <w:proofErr w:type="spellStart"/>
      <w:r w:rsidR="006421F3" w:rsidRPr="006421F3">
        <w:rPr>
          <w:sz w:val="20"/>
          <w:lang w:val="sk-SK"/>
        </w:rPr>
        <w:t>cefalosporíny</w:t>
      </w:r>
      <w:proofErr w:type="spellEnd"/>
      <w:r w:rsidR="006421F3" w:rsidRPr="006421F3">
        <w:rPr>
          <w:sz w:val="20"/>
          <w:lang w:val="sk-SK"/>
        </w:rPr>
        <w:t xml:space="preserve"> je odvodená od citlivosti na </w:t>
      </w:r>
      <w:proofErr w:type="spellStart"/>
      <w:r w:rsidR="006421F3" w:rsidRPr="006421F3">
        <w:rPr>
          <w:sz w:val="20"/>
          <w:lang w:val="sk-SK"/>
        </w:rPr>
        <w:t>cefoxitín</w:t>
      </w:r>
      <w:proofErr w:type="spellEnd"/>
      <w:r w:rsidR="006421F3" w:rsidRPr="006421F3">
        <w:rPr>
          <w:sz w:val="20"/>
          <w:lang w:val="sk-SK"/>
        </w:rPr>
        <w:t xml:space="preserve">. Stafylokoky rezistentné na </w:t>
      </w:r>
      <w:proofErr w:type="spellStart"/>
      <w:r w:rsidR="006421F3" w:rsidRPr="006421F3">
        <w:rPr>
          <w:sz w:val="20"/>
          <w:lang w:val="sk-SK"/>
        </w:rPr>
        <w:t>meticilín</w:t>
      </w:r>
      <w:proofErr w:type="spellEnd"/>
      <w:r w:rsidR="006421F3" w:rsidRPr="006421F3">
        <w:rPr>
          <w:sz w:val="20"/>
          <w:lang w:val="sk-SK"/>
        </w:rPr>
        <w:t xml:space="preserve"> (</w:t>
      </w:r>
      <w:proofErr w:type="spellStart"/>
      <w:r w:rsidR="006421F3" w:rsidRPr="006421F3">
        <w:rPr>
          <w:sz w:val="20"/>
          <w:lang w:val="sk-SK"/>
        </w:rPr>
        <w:t>cefoxitín</w:t>
      </w:r>
      <w:proofErr w:type="spellEnd"/>
      <w:r w:rsidR="006421F3" w:rsidRPr="006421F3">
        <w:rPr>
          <w:sz w:val="20"/>
          <w:lang w:val="sk-SK"/>
        </w:rPr>
        <w:t>) sú hodnotené ako rezistentn</w:t>
      </w:r>
      <w:r w:rsidR="005C46D0">
        <w:rPr>
          <w:sz w:val="20"/>
          <w:lang w:val="sk-SK"/>
        </w:rPr>
        <w:t>é, nezávisle</w:t>
      </w:r>
      <w:r w:rsidR="006421F3" w:rsidRPr="006421F3">
        <w:rPr>
          <w:sz w:val="20"/>
          <w:lang w:val="sk-SK"/>
        </w:rPr>
        <w:t xml:space="preserve"> od výsledk</w:t>
      </w:r>
      <w:r w:rsidR="005C46D0">
        <w:rPr>
          <w:sz w:val="20"/>
          <w:lang w:val="sk-SK"/>
        </w:rPr>
        <w:t>u</w:t>
      </w:r>
      <w:r w:rsidR="006421F3" w:rsidRPr="006421F3">
        <w:rPr>
          <w:sz w:val="20"/>
          <w:lang w:val="sk-SK"/>
        </w:rPr>
        <w:t xml:space="preserve"> testov.</w:t>
      </w:r>
      <w:r w:rsidR="006421F3">
        <w:rPr>
          <w:sz w:val="20"/>
          <w:lang w:val="sk-SK"/>
        </w:rPr>
        <w:t xml:space="preserve"> </w:t>
      </w:r>
      <w:r w:rsidR="003E3C22" w:rsidRPr="00B92F39">
        <w:rPr>
          <w:sz w:val="20"/>
          <w:lang w:val="sk-SK"/>
        </w:rPr>
        <w:t xml:space="preserve"> </w:t>
      </w:r>
    </w:p>
    <w:p w14:paraId="62E594C9" w14:textId="2D03098A" w:rsidR="00273E71" w:rsidRPr="00DA0224" w:rsidRDefault="006E47F0" w:rsidP="00233E28">
      <w:pPr>
        <w:tabs>
          <w:tab w:val="clear" w:pos="567"/>
        </w:tabs>
        <w:rPr>
          <w:sz w:val="20"/>
          <w:lang w:val="sk-SK"/>
        </w:rPr>
      </w:pPr>
      <w:r>
        <w:rPr>
          <w:sz w:val="20"/>
          <w:vertAlign w:val="superscript"/>
          <w:lang w:val="sk-SK"/>
        </w:rPr>
        <w:t>2)</w:t>
      </w:r>
      <w:r w:rsidR="00B02582">
        <w:rPr>
          <w:sz w:val="20"/>
          <w:vertAlign w:val="superscript"/>
          <w:lang w:val="sk-SK"/>
        </w:rPr>
        <w:t xml:space="preserve"> </w:t>
      </w:r>
      <w:r>
        <w:rPr>
          <w:sz w:val="20"/>
          <w:vertAlign w:val="superscript"/>
          <w:lang w:val="sk-SK"/>
        </w:rPr>
        <w:t xml:space="preserve">    </w:t>
      </w:r>
      <w:r w:rsidR="00B02582">
        <w:rPr>
          <w:sz w:val="20"/>
          <w:lang w:val="sk-SK"/>
        </w:rPr>
        <w:t xml:space="preserve">      </w:t>
      </w:r>
      <w:r w:rsidR="00235D97">
        <w:rPr>
          <w:sz w:val="20"/>
          <w:lang w:val="sk-SK"/>
        </w:rPr>
        <w:t>Citlivosť</w:t>
      </w:r>
      <w:r w:rsidR="00B02582">
        <w:rPr>
          <w:sz w:val="20"/>
          <w:lang w:val="sk-SK"/>
        </w:rPr>
        <w:t xml:space="preserve"> </w:t>
      </w:r>
      <w:r w:rsidR="00235D97" w:rsidRPr="00233E28">
        <w:rPr>
          <w:sz w:val="20"/>
          <w:lang w:val="sk-SK"/>
        </w:rPr>
        <w:t>s</w:t>
      </w:r>
      <w:r w:rsidR="003E3C22" w:rsidRPr="00233E28">
        <w:rPr>
          <w:sz w:val="20"/>
          <w:lang w:val="sk-SK"/>
        </w:rPr>
        <w:t>treptokok</w:t>
      </w:r>
      <w:r w:rsidR="00534214">
        <w:rPr>
          <w:sz w:val="20"/>
          <w:lang w:val="sk-SK"/>
        </w:rPr>
        <w:t>ových</w:t>
      </w:r>
      <w:r w:rsidR="003E3C22" w:rsidRPr="00233E28">
        <w:rPr>
          <w:sz w:val="20"/>
          <w:lang w:val="sk-SK"/>
        </w:rPr>
        <w:t xml:space="preserve"> </w:t>
      </w:r>
      <w:r w:rsidR="003E3C22" w:rsidRPr="00B92F39">
        <w:rPr>
          <w:sz w:val="20"/>
          <w:lang w:val="sk-SK"/>
        </w:rPr>
        <w:t>skup</w:t>
      </w:r>
      <w:r w:rsidR="00534214">
        <w:rPr>
          <w:sz w:val="20"/>
          <w:lang w:val="sk-SK"/>
        </w:rPr>
        <w:t>í</w:t>
      </w:r>
      <w:r w:rsidR="003E3C22" w:rsidRPr="00B92F39">
        <w:rPr>
          <w:sz w:val="20"/>
          <w:lang w:val="sk-SK"/>
        </w:rPr>
        <w:t>n A, B, C a G</w:t>
      </w:r>
      <w:r w:rsidR="000D5D75">
        <w:rPr>
          <w:sz w:val="20"/>
          <w:lang w:val="sk-SK"/>
        </w:rPr>
        <w:t xml:space="preserve"> </w:t>
      </w:r>
      <w:r w:rsidR="00534E67">
        <w:rPr>
          <w:sz w:val="20"/>
          <w:lang w:val="sk-SK"/>
        </w:rPr>
        <w:t xml:space="preserve">na </w:t>
      </w:r>
      <w:proofErr w:type="spellStart"/>
      <w:r w:rsidR="00534E67">
        <w:rPr>
          <w:sz w:val="20"/>
          <w:lang w:val="sk-SK"/>
        </w:rPr>
        <w:t>cefalosporíny</w:t>
      </w:r>
      <w:proofErr w:type="spellEnd"/>
      <w:r w:rsidR="00534E67">
        <w:rPr>
          <w:sz w:val="20"/>
          <w:lang w:val="sk-SK"/>
        </w:rPr>
        <w:t xml:space="preserve"> </w:t>
      </w:r>
      <w:r w:rsidR="003E3C22" w:rsidRPr="00B92F39">
        <w:rPr>
          <w:sz w:val="20"/>
          <w:lang w:val="sk-SK"/>
        </w:rPr>
        <w:t xml:space="preserve">sa </w:t>
      </w:r>
      <w:r w:rsidR="00426F56">
        <w:rPr>
          <w:sz w:val="20"/>
          <w:lang w:val="sk-SK"/>
        </w:rPr>
        <w:t>odvod</w:t>
      </w:r>
      <w:r w:rsidR="00534E67">
        <w:rPr>
          <w:sz w:val="20"/>
          <w:lang w:val="sk-SK"/>
        </w:rPr>
        <w:t>z</w:t>
      </w:r>
      <w:r w:rsidR="00426F56">
        <w:rPr>
          <w:sz w:val="20"/>
          <w:lang w:val="sk-SK"/>
        </w:rPr>
        <w:t xml:space="preserve">uje od citlivosti </w:t>
      </w:r>
      <w:r w:rsidR="003E3C22" w:rsidRPr="00B92F39">
        <w:rPr>
          <w:sz w:val="20"/>
          <w:lang w:val="sk-SK"/>
        </w:rPr>
        <w:t xml:space="preserve">na </w:t>
      </w:r>
      <w:proofErr w:type="spellStart"/>
      <w:r w:rsidR="00426F56">
        <w:rPr>
          <w:sz w:val="20"/>
          <w:lang w:val="sk-SK"/>
        </w:rPr>
        <w:t>benzyl</w:t>
      </w:r>
      <w:r w:rsidR="003E3C22" w:rsidRPr="00B92F39">
        <w:rPr>
          <w:sz w:val="20"/>
          <w:lang w:val="sk-SK"/>
        </w:rPr>
        <w:t>penicilín</w:t>
      </w:r>
      <w:proofErr w:type="spellEnd"/>
      <w:r w:rsidR="003E3C22" w:rsidRPr="00B92F39">
        <w:rPr>
          <w:sz w:val="20"/>
          <w:lang w:val="sk-SK"/>
        </w:rPr>
        <w:t xml:space="preserve">. </w:t>
      </w:r>
      <w:r w:rsidR="003E3C22" w:rsidRPr="00B92F39">
        <w:rPr>
          <w:color w:val="FF0000"/>
          <w:sz w:val="20"/>
          <w:lang w:val="sk-SK"/>
        </w:rPr>
        <w:br/>
      </w:r>
      <w:r w:rsidR="00B02582">
        <w:rPr>
          <w:sz w:val="20"/>
          <w:vertAlign w:val="superscript"/>
          <w:lang w:val="sk-SK"/>
        </w:rPr>
        <w:t xml:space="preserve">3)    </w:t>
      </w:r>
      <w:r w:rsidR="00446D41">
        <w:rPr>
          <w:sz w:val="20"/>
          <w:vertAlign w:val="superscript"/>
          <w:lang w:val="sk-SK"/>
        </w:rPr>
        <w:t xml:space="preserve"> </w:t>
      </w:r>
      <w:r>
        <w:rPr>
          <w:sz w:val="20"/>
          <w:vertAlign w:val="superscript"/>
          <w:lang w:val="sk-SK"/>
        </w:rPr>
        <w:t xml:space="preserve">         </w:t>
      </w:r>
      <w:r w:rsidR="00534E67">
        <w:rPr>
          <w:sz w:val="20"/>
          <w:lang w:val="sk-SK"/>
        </w:rPr>
        <w:t>Hraničn</w:t>
      </w:r>
      <w:r w:rsidR="009015A5">
        <w:rPr>
          <w:sz w:val="20"/>
          <w:lang w:val="sk-SK"/>
        </w:rPr>
        <w:t>é</w:t>
      </w:r>
      <w:r w:rsidR="00DA0224" w:rsidRPr="00233E28">
        <w:rPr>
          <w:sz w:val="20"/>
          <w:lang w:val="sk-SK"/>
        </w:rPr>
        <w:t xml:space="preserve"> hodnot</w:t>
      </w:r>
      <w:r w:rsidR="009015A5">
        <w:rPr>
          <w:sz w:val="20"/>
          <w:lang w:val="sk-SK"/>
        </w:rPr>
        <w:t>y</w:t>
      </w:r>
      <w:r w:rsidR="00DA0224" w:rsidRPr="00233E28">
        <w:rPr>
          <w:sz w:val="20"/>
          <w:lang w:val="sk-SK"/>
        </w:rPr>
        <w:t xml:space="preserve"> </w:t>
      </w:r>
      <w:r w:rsidR="00E77021" w:rsidRPr="00E77021">
        <w:rPr>
          <w:sz w:val="20"/>
          <w:lang w:val="sk-SK"/>
        </w:rPr>
        <w:t>sa vzťahujú</w:t>
      </w:r>
      <w:r w:rsidR="00DA0224" w:rsidRPr="00233E28">
        <w:rPr>
          <w:sz w:val="20"/>
          <w:lang w:val="sk-SK"/>
        </w:rPr>
        <w:t xml:space="preserve"> na </w:t>
      </w:r>
      <w:r w:rsidR="00E77021">
        <w:rPr>
          <w:sz w:val="20"/>
          <w:lang w:val="sk-SK"/>
        </w:rPr>
        <w:t xml:space="preserve">dennú </w:t>
      </w:r>
      <w:r w:rsidR="00DA0224" w:rsidRPr="00233E28">
        <w:rPr>
          <w:sz w:val="20"/>
          <w:lang w:val="sk-SK"/>
        </w:rPr>
        <w:t>intravenóznu dávku 3 x 1 g a</w:t>
      </w:r>
      <w:r w:rsidR="00876765">
        <w:rPr>
          <w:sz w:val="20"/>
          <w:lang w:val="sk-SK"/>
        </w:rPr>
        <w:t> na vysokú</w:t>
      </w:r>
      <w:r w:rsidR="00DA0224">
        <w:rPr>
          <w:sz w:val="20"/>
          <w:lang w:val="sk-SK"/>
        </w:rPr>
        <w:t xml:space="preserve"> </w:t>
      </w:r>
      <w:r w:rsidR="00DA0224" w:rsidRPr="00233E28">
        <w:rPr>
          <w:sz w:val="20"/>
          <w:lang w:val="sk-SK"/>
        </w:rPr>
        <w:t xml:space="preserve">dávku </w:t>
      </w:r>
      <w:r w:rsidR="00876765">
        <w:rPr>
          <w:sz w:val="20"/>
          <w:lang w:val="sk-SK"/>
        </w:rPr>
        <w:t xml:space="preserve">najmenej </w:t>
      </w:r>
      <w:r w:rsidR="00DA0224" w:rsidRPr="00233E28">
        <w:rPr>
          <w:sz w:val="20"/>
          <w:lang w:val="sk-SK"/>
        </w:rPr>
        <w:t>3 x 2 g.</w:t>
      </w:r>
    </w:p>
    <w:p w14:paraId="1C89DE6E" w14:textId="6F1CE650" w:rsidR="00B8423E" w:rsidRDefault="00DA0224" w:rsidP="00233E28">
      <w:pPr>
        <w:tabs>
          <w:tab w:val="clear" w:pos="567"/>
        </w:tabs>
        <w:rPr>
          <w:lang w:val="sk-SK"/>
        </w:rPr>
      </w:pPr>
      <w:r>
        <w:rPr>
          <w:sz w:val="20"/>
          <w:lang w:val="sk-SK"/>
        </w:rPr>
        <w:t xml:space="preserve">*         </w:t>
      </w:r>
      <w:r w:rsidR="003E3C22" w:rsidRPr="00B92F39">
        <w:rPr>
          <w:sz w:val="20"/>
          <w:lang w:val="sk-SK"/>
        </w:rPr>
        <w:t>Všeobecne založen</w:t>
      </w:r>
      <w:r w:rsidR="00DC6636">
        <w:rPr>
          <w:sz w:val="20"/>
          <w:lang w:val="sk-SK"/>
        </w:rPr>
        <w:t>é</w:t>
      </w:r>
      <w:r w:rsidR="003E3C22" w:rsidRPr="00B92F39">
        <w:rPr>
          <w:sz w:val="20"/>
          <w:lang w:val="sk-SK"/>
        </w:rPr>
        <w:t xml:space="preserve"> na sérovej </w:t>
      </w:r>
      <w:proofErr w:type="spellStart"/>
      <w:r w:rsidR="003E3C22" w:rsidRPr="00B92F39">
        <w:rPr>
          <w:sz w:val="20"/>
          <w:lang w:val="sk-SK"/>
        </w:rPr>
        <w:t>farmakokinetike</w:t>
      </w:r>
      <w:proofErr w:type="spellEnd"/>
    </w:p>
    <w:p w14:paraId="7026DBA7" w14:textId="77777777" w:rsidR="004D7897" w:rsidRDefault="004D7897" w:rsidP="00233E28">
      <w:pPr>
        <w:jc w:val="both"/>
        <w:rPr>
          <w:lang w:val="sk-SK"/>
        </w:rPr>
      </w:pPr>
    </w:p>
    <w:p w14:paraId="1DC590A1" w14:textId="344AE4E8" w:rsidR="00B0579F" w:rsidRDefault="00505359" w:rsidP="00233E28">
      <w:pPr>
        <w:jc w:val="both"/>
        <w:rPr>
          <w:bCs/>
          <w:u w:val="single"/>
          <w:lang w:val="sk-SK"/>
        </w:rPr>
      </w:pPr>
      <w:proofErr w:type="spellStart"/>
      <w:r>
        <w:rPr>
          <w:bCs/>
          <w:u w:val="single"/>
          <w:lang w:val="sk-SK"/>
        </w:rPr>
        <w:t>Prevalencia</w:t>
      </w:r>
      <w:proofErr w:type="spellEnd"/>
      <w:r>
        <w:rPr>
          <w:bCs/>
          <w:u w:val="single"/>
          <w:lang w:val="sk-SK"/>
        </w:rPr>
        <w:t xml:space="preserve"> získanej rezistencie v Nemecku </w:t>
      </w:r>
    </w:p>
    <w:p w14:paraId="3F4A26D0" w14:textId="4C173C10" w:rsidR="003E3C22" w:rsidRDefault="003E3C22" w:rsidP="00B0579F">
      <w:pPr>
        <w:jc w:val="both"/>
        <w:rPr>
          <w:lang w:val="sk-SK"/>
        </w:rPr>
      </w:pPr>
      <w:proofErr w:type="spellStart"/>
      <w:r w:rsidRPr="00E17F60">
        <w:rPr>
          <w:lang w:val="sk-SK"/>
        </w:rPr>
        <w:t>Prevalencia</w:t>
      </w:r>
      <w:proofErr w:type="spellEnd"/>
      <w:r w:rsidRPr="00E17F60">
        <w:rPr>
          <w:lang w:val="sk-SK"/>
        </w:rPr>
        <w:t xml:space="preserve"> získanej rezistencie sa môže pre </w:t>
      </w:r>
      <w:r w:rsidR="00534E67">
        <w:rPr>
          <w:lang w:val="sk-SK"/>
        </w:rPr>
        <w:t>vybrané</w:t>
      </w:r>
      <w:r w:rsidR="002D7F32" w:rsidRPr="00E17F60">
        <w:rPr>
          <w:lang w:val="sk-SK"/>
        </w:rPr>
        <w:t xml:space="preserve"> </w:t>
      </w:r>
      <w:r w:rsidRPr="00E17F60">
        <w:rPr>
          <w:lang w:val="sk-SK"/>
        </w:rPr>
        <w:t>kmene geograficky a</w:t>
      </w:r>
      <w:r w:rsidR="00D64DD7">
        <w:rPr>
          <w:lang w:val="sk-SK"/>
        </w:rPr>
        <w:t> v  čas</w:t>
      </w:r>
      <w:r w:rsidR="00534E67">
        <w:rPr>
          <w:lang w:val="sk-SK"/>
        </w:rPr>
        <w:t>e</w:t>
      </w:r>
      <w:r w:rsidR="00D64DD7" w:rsidRPr="00E17F60">
        <w:rPr>
          <w:lang w:val="sk-SK"/>
        </w:rPr>
        <w:t xml:space="preserve"> </w:t>
      </w:r>
      <w:r w:rsidRPr="00E17F60">
        <w:rPr>
          <w:lang w:val="sk-SK"/>
        </w:rPr>
        <w:t>líšiť</w:t>
      </w:r>
      <w:r w:rsidR="002D7F32">
        <w:rPr>
          <w:lang w:val="sk-SK"/>
        </w:rPr>
        <w:t xml:space="preserve">. Preto, </w:t>
      </w:r>
      <w:r w:rsidRPr="00E17F60">
        <w:rPr>
          <w:lang w:val="sk-SK"/>
        </w:rPr>
        <w:t>a najmä pri liečbe ťažkých infekcií</w:t>
      </w:r>
      <w:r w:rsidR="002D7F32">
        <w:rPr>
          <w:lang w:val="sk-SK"/>
        </w:rPr>
        <w:t>,</w:t>
      </w:r>
      <w:r w:rsidRPr="00E17F60">
        <w:rPr>
          <w:lang w:val="sk-SK"/>
        </w:rPr>
        <w:t xml:space="preserve"> je potrebné poznať lokálne informácie o rezistencii. Ak je účinnosť </w:t>
      </w:r>
      <w:proofErr w:type="spellStart"/>
      <w:r>
        <w:rPr>
          <w:lang w:val="sk-SK"/>
        </w:rPr>
        <w:t>cefotaxím</w:t>
      </w:r>
      <w:r w:rsidRPr="00E17F60">
        <w:rPr>
          <w:lang w:val="sk-SK"/>
        </w:rPr>
        <w:t>u</w:t>
      </w:r>
      <w:proofErr w:type="spellEnd"/>
      <w:r w:rsidRPr="00E17F60">
        <w:rPr>
          <w:lang w:val="sk-SK"/>
        </w:rPr>
        <w:t xml:space="preserve">, spôsobená lokálnou </w:t>
      </w:r>
      <w:proofErr w:type="spellStart"/>
      <w:r w:rsidRPr="00E17F60">
        <w:rPr>
          <w:lang w:val="sk-SK"/>
        </w:rPr>
        <w:t>prevalenciou</w:t>
      </w:r>
      <w:proofErr w:type="spellEnd"/>
      <w:r w:rsidRPr="00E17F60">
        <w:rPr>
          <w:lang w:val="sk-SK"/>
        </w:rPr>
        <w:t xml:space="preserve"> rezistencie v liečbe niektorých infekcií sporná, požaduje sa stanovisko odborníka ohľadne výberu terapie. Najmä v prípade závažných infekcií alebo zlyhaní liečby je</w:t>
      </w:r>
      <w:r w:rsidR="00850438">
        <w:rPr>
          <w:lang w:val="sk-SK"/>
        </w:rPr>
        <w:t xml:space="preserve"> </w:t>
      </w:r>
      <w:r w:rsidR="00850438" w:rsidRPr="00E17F60">
        <w:rPr>
          <w:lang w:val="sk-SK"/>
        </w:rPr>
        <w:t>potrebná</w:t>
      </w:r>
      <w:r w:rsidRPr="00E17F60">
        <w:rPr>
          <w:lang w:val="sk-SK"/>
        </w:rPr>
        <w:t xml:space="preserve"> mikrobiologická diagnostika vrátane overenia </w:t>
      </w:r>
      <w:r w:rsidR="00AE2CA8">
        <w:rPr>
          <w:lang w:val="sk-SK"/>
        </w:rPr>
        <w:t>patogénu</w:t>
      </w:r>
      <w:r w:rsidR="00AE2CA8" w:rsidRPr="00E17F60">
        <w:rPr>
          <w:lang w:val="sk-SK"/>
        </w:rPr>
        <w:t xml:space="preserve"> </w:t>
      </w:r>
      <w:r w:rsidR="00850438">
        <w:rPr>
          <w:lang w:val="sk-SK"/>
        </w:rPr>
        <w:t>a jeho citlivosti</w:t>
      </w:r>
      <w:r w:rsidRPr="00E17F60">
        <w:rPr>
          <w:lang w:val="sk-SK"/>
        </w:rPr>
        <w:t>.</w:t>
      </w:r>
    </w:p>
    <w:p w14:paraId="1ABFC77E" w14:textId="77777777" w:rsidR="003E3C22" w:rsidRDefault="003E3C22" w:rsidP="003E3C22">
      <w:pPr>
        <w:rPr>
          <w:lang w:val="sk-SK"/>
        </w:rPr>
      </w:pPr>
    </w:p>
    <w:p w14:paraId="4A54DCA7" w14:textId="0212B586" w:rsidR="003E3C22" w:rsidRPr="004229C9" w:rsidRDefault="003E3C22" w:rsidP="00B0579F">
      <w:pPr>
        <w:jc w:val="both"/>
        <w:rPr>
          <w:lang w:val="sk-SK"/>
        </w:rPr>
      </w:pPr>
      <w:proofErr w:type="spellStart"/>
      <w:r w:rsidRPr="00AC532D">
        <w:rPr>
          <w:lang w:val="sk-SK"/>
        </w:rPr>
        <w:lastRenderedPageBreak/>
        <w:t>Prevalencia</w:t>
      </w:r>
      <w:proofErr w:type="spellEnd"/>
      <w:r w:rsidRPr="00AC532D">
        <w:rPr>
          <w:lang w:val="sk-SK"/>
        </w:rPr>
        <w:t xml:space="preserve"> získanej rezistencie v</w:t>
      </w:r>
      <w:r w:rsidR="00C35343">
        <w:rPr>
          <w:lang w:val="sk-SK"/>
        </w:rPr>
        <w:t> </w:t>
      </w:r>
      <w:r w:rsidRPr="00AC532D">
        <w:rPr>
          <w:lang w:val="sk-SK"/>
        </w:rPr>
        <w:t>Nemecku</w:t>
      </w:r>
      <w:r w:rsidR="00C35343">
        <w:rPr>
          <w:lang w:val="sk-SK"/>
        </w:rPr>
        <w:t xml:space="preserve"> </w:t>
      </w:r>
      <w:r w:rsidRPr="00AC532D">
        <w:rPr>
          <w:lang w:val="sk-SK"/>
        </w:rPr>
        <w:t>na základe údajov z posledných 5 rokov národných výskumných projektov a štúdií o rezistencii (</w:t>
      </w:r>
      <w:r w:rsidR="00A7278E">
        <w:rPr>
          <w:lang w:val="sk-SK"/>
        </w:rPr>
        <w:t xml:space="preserve">stav: </w:t>
      </w:r>
      <w:r w:rsidR="00C35343">
        <w:rPr>
          <w:lang w:val="sk-SK"/>
        </w:rPr>
        <w:t>február</w:t>
      </w:r>
      <w:r w:rsidR="00C35343" w:rsidRPr="00AC532D">
        <w:rPr>
          <w:lang w:val="sk-SK"/>
        </w:rPr>
        <w:t xml:space="preserve"> </w:t>
      </w:r>
      <w:r w:rsidRPr="00AC532D">
        <w:rPr>
          <w:lang w:val="sk-SK"/>
        </w:rPr>
        <w:t>20</w:t>
      </w:r>
      <w:r w:rsidR="00C35343">
        <w:rPr>
          <w:lang w:val="sk-SK"/>
        </w:rPr>
        <w:t>18</w:t>
      </w:r>
      <w:r w:rsidRPr="00AC532D">
        <w:rPr>
          <w:lang w:val="sk-SK"/>
        </w:rPr>
        <w:t>).</w:t>
      </w:r>
    </w:p>
    <w:p w14:paraId="34A1CF21" w14:textId="77777777" w:rsidR="003E3C22" w:rsidRDefault="003E3C22" w:rsidP="003E3C22">
      <w:pPr>
        <w:rPr>
          <w:lang w:val="sk-SK"/>
        </w:rPr>
      </w:pPr>
    </w:p>
    <w:tbl>
      <w:tblPr>
        <w:tblW w:w="0" w:type="auto"/>
        <w:tblCellSpacing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5"/>
      </w:tblGrid>
      <w:tr w:rsidR="003E3C22" w:rsidRPr="007C7D49" w14:paraId="4F78931E" w14:textId="77777777" w:rsidTr="00233E28">
        <w:trPr>
          <w:tblCellSpacing w:w="15" w:type="dxa"/>
        </w:trPr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94045F" w14:textId="22CA7A19" w:rsidR="003E3C22" w:rsidRPr="00233E28" w:rsidRDefault="003E3C22" w:rsidP="003E3C22">
            <w:pPr>
              <w:rPr>
                <w:caps/>
                <w:szCs w:val="22"/>
                <w:lang w:val="sk-SK"/>
              </w:rPr>
            </w:pPr>
            <w:r w:rsidRPr="00233E28">
              <w:rPr>
                <w:b/>
                <w:bCs/>
                <w:caps/>
                <w:szCs w:val="22"/>
                <w:lang w:val="sk-SK"/>
              </w:rPr>
              <w:t xml:space="preserve">Zvyčajne citlivé </w:t>
            </w:r>
            <w:r w:rsidR="00534E67">
              <w:rPr>
                <w:b/>
                <w:bCs/>
                <w:caps/>
                <w:szCs w:val="22"/>
                <w:lang w:val="sk-SK"/>
              </w:rPr>
              <w:t>DRUHY</w:t>
            </w:r>
          </w:p>
        </w:tc>
      </w:tr>
      <w:tr w:rsidR="003E3C22" w:rsidRPr="00124A19" w14:paraId="1AF204C0" w14:textId="77777777" w:rsidTr="00233E28">
        <w:trPr>
          <w:tblCellSpacing w:w="15" w:type="dxa"/>
        </w:trPr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B0C13C" w14:textId="77777777" w:rsidR="003E3C22" w:rsidRPr="00124A19" w:rsidRDefault="003E3C22" w:rsidP="003E3C22">
            <w:pPr>
              <w:rPr>
                <w:i/>
                <w:szCs w:val="22"/>
                <w:lang w:val="sk-SK"/>
              </w:rPr>
            </w:pPr>
            <w:r w:rsidRPr="00124A19">
              <w:rPr>
                <w:b/>
                <w:bCs/>
                <w:i/>
                <w:iCs/>
                <w:szCs w:val="22"/>
                <w:lang w:val="sk-SK"/>
              </w:rPr>
              <w:t xml:space="preserve">Gram-pozitívne </w:t>
            </w:r>
            <w:proofErr w:type="spellStart"/>
            <w:r w:rsidRPr="00124A19">
              <w:rPr>
                <w:b/>
                <w:bCs/>
                <w:i/>
                <w:iCs/>
                <w:szCs w:val="22"/>
                <w:lang w:val="sk-SK"/>
              </w:rPr>
              <w:t>aeróby</w:t>
            </w:r>
            <w:proofErr w:type="spellEnd"/>
          </w:p>
        </w:tc>
      </w:tr>
      <w:tr w:rsidR="003E3C22" w:rsidRPr="004229C9" w14:paraId="7129E658" w14:textId="77777777" w:rsidTr="00233E28">
        <w:trPr>
          <w:tblCellSpacing w:w="15" w:type="dxa"/>
        </w:trPr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ACE715" w14:textId="4BE23C77" w:rsidR="003E3C22" w:rsidRPr="00870750" w:rsidRDefault="003E3C22" w:rsidP="00260CB2">
            <w:pPr>
              <w:rPr>
                <w:color w:val="FF6600"/>
                <w:szCs w:val="22"/>
                <w:lang w:val="sk-SK"/>
              </w:rPr>
            </w:pPr>
            <w:proofErr w:type="spellStart"/>
            <w:r w:rsidRPr="00AC532D">
              <w:rPr>
                <w:i/>
                <w:iCs/>
                <w:szCs w:val="22"/>
                <w:lang w:val="sk-SK"/>
              </w:rPr>
              <w:t>Staphylococcus</w:t>
            </w:r>
            <w:proofErr w:type="spellEnd"/>
            <w:r w:rsidRPr="00AC532D">
              <w:rPr>
                <w:i/>
                <w:iCs/>
                <w:szCs w:val="22"/>
                <w:lang w:val="sk-SK"/>
              </w:rPr>
              <w:t xml:space="preserve"> </w:t>
            </w:r>
            <w:proofErr w:type="spellStart"/>
            <w:r w:rsidRPr="00AC532D">
              <w:rPr>
                <w:i/>
                <w:iCs/>
                <w:szCs w:val="22"/>
                <w:lang w:val="sk-SK"/>
              </w:rPr>
              <w:t>aureus</w:t>
            </w:r>
            <w:proofErr w:type="spellEnd"/>
            <w:r w:rsidRPr="00AC532D">
              <w:rPr>
                <w:szCs w:val="22"/>
                <w:lang w:val="sk-SK"/>
              </w:rPr>
              <w:t xml:space="preserve"> </w:t>
            </w:r>
            <w:r w:rsidR="004B0C55">
              <w:rPr>
                <w:szCs w:val="22"/>
                <w:lang w:val="sk-SK"/>
              </w:rPr>
              <w:t>(</w:t>
            </w:r>
            <w:r w:rsidRPr="00AC532D">
              <w:rPr>
                <w:szCs w:val="22"/>
                <w:lang w:val="sk-SK"/>
              </w:rPr>
              <w:t>citliv</w:t>
            </w:r>
            <w:r w:rsidR="00260CB2">
              <w:rPr>
                <w:szCs w:val="22"/>
                <w:lang w:val="sk-SK"/>
              </w:rPr>
              <w:t>ý</w:t>
            </w:r>
            <w:r w:rsidRPr="00AC532D">
              <w:rPr>
                <w:szCs w:val="22"/>
                <w:lang w:val="sk-SK"/>
              </w:rPr>
              <w:t xml:space="preserve"> na </w:t>
            </w:r>
            <w:proofErr w:type="spellStart"/>
            <w:r w:rsidRPr="00AC532D">
              <w:rPr>
                <w:szCs w:val="22"/>
                <w:lang w:val="sk-SK"/>
              </w:rPr>
              <w:t>meticilín</w:t>
            </w:r>
            <w:proofErr w:type="spellEnd"/>
            <w:r w:rsidRPr="00AC532D">
              <w:rPr>
                <w:color w:val="FF6600"/>
                <w:szCs w:val="22"/>
                <w:lang w:val="sk-SK"/>
              </w:rPr>
              <w:t>)</w:t>
            </w:r>
          </w:p>
        </w:tc>
      </w:tr>
      <w:tr w:rsidR="003E3C22" w:rsidRPr="004229C9" w14:paraId="383F7D2F" w14:textId="77777777" w:rsidTr="00233E28">
        <w:trPr>
          <w:tblCellSpacing w:w="15" w:type="dxa"/>
        </w:trPr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76B660" w14:textId="77777777" w:rsidR="003E3C22" w:rsidRPr="00870750" w:rsidRDefault="003E3C22" w:rsidP="003E3C22">
            <w:pPr>
              <w:rPr>
                <w:szCs w:val="22"/>
                <w:lang w:val="sk-SK"/>
              </w:rPr>
            </w:pPr>
            <w:proofErr w:type="spellStart"/>
            <w:r w:rsidRPr="00870750">
              <w:rPr>
                <w:i/>
                <w:iCs/>
                <w:szCs w:val="22"/>
                <w:lang w:val="sk-SK"/>
              </w:rPr>
              <w:t>Streptococcus</w:t>
            </w:r>
            <w:proofErr w:type="spellEnd"/>
            <w:r w:rsidRPr="00870750">
              <w:rPr>
                <w:i/>
                <w:iCs/>
                <w:szCs w:val="22"/>
                <w:lang w:val="sk-SK"/>
              </w:rPr>
              <w:t xml:space="preserve"> </w:t>
            </w:r>
            <w:proofErr w:type="spellStart"/>
            <w:r w:rsidRPr="00870750">
              <w:rPr>
                <w:i/>
                <w:iCs/>
                <w:szCs w:val="22"/>
                <w:lang w:val="sk-SK"/>
              </w:rPr>
              <w:t>agalactiae</w:t>
            </w:r>
            <w:proofErr w:type="spellEnd"/>
            <w:r w:rsidR="0001634E">
              <w:rPr>
                <w:i/>
                <w:iCs/>
                <w:szCs w:val="22"/>
                <w:lang w:val="sk-SK"/>
              </w:rPr>
              <w:t xml:space="preserve"> </w:t>
            </w:r>
            <w:r w:rsidR="0001634E" w:rsidRPr="00CE0B83">
              <w:rPr>
                <w:rFonts w:eastAsia="MS Mincho"/>
                <w:i/>
                <w:iCs/>
                <w:color w:val="000000"/>
                <w:lang w:eastAsia="ja-JP"/>
              </w:rPr>
              <w:t>°</w:t>
            </w:r>
          </w:p>
        </w:tc>
      </w:tr>
      <w:tr w:rsidR="003E3C22" w:rsidRPr="004229C9" w14:paraId="2D9E0722" w14:textId="77777777" w:rsidTr="00233E28">
        <w:trPr>
          <w:tblCellSpacing w:w="15" w:type="dxa"/>
        </w:trPr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B234BC" w14:textId="41367C91" w:rsidR="003E3C22" w:rsidRPr="00B8597D" w:rsidRDefault="003E3C22" w:rsidP="00B001DF">
            <w:pPr>
              <w:rPr>
                <w:szCs w:val="22"/>
                <w:lang w:val="sk-SK"/>
              </w:rPr>
            </w:pPr>
            <w:proofErr w:type="spellStart"/>
            <w:r w:rsidRPr="00B8597D">
              <w:rPr>
                <w:i/>
                <w:iCs/>
                <w:szCs w:val="22"/>
                <w:lang w:val="sk-SK"/>
              </w:rPr>
              <w:t>Streptococcus</w:t>
            </w:r>
            <w:proofErr w:type="spellEnd"/>
            <w:r w:rsidRPr="00B8597D">
              <w:rPr>
                <w:i/>
                <w:iCs/>
                <w:szCs w:val="22"/>
                <w:lang w:val="sk-SK"/>
              </w:rPr>
              <w:t xml:space="preserve"> </w:t>
            </w:r>
            <w:proofErr w:type="spellStart"/>
            <w:r w:rsidRPr="00B8597D">
              <w:rPr>
                <w:i/>
                <w:iCs/>
                <w:szCs w:val="22"/>
                <w:lang w:val="sk-SK"/>
              </w:rPr>
              <w:t>pneumoniae</w:t>
            </w:r>
            <w:proofErr w:type="spellEnd"/>
            <w:r w:rsidRPr="00B8597D">
              <w:rPr>
                <w:rFonts w:eastAsia="MS Mincho"/>
                <w:color w:val="000000"/>
                <w:lang w:val="sk-SK" w:eastAsia="ja-JP"/>
              </w:rPr>
              <w:t xml:space="preserve"> (vrát. </w:t>
            </w:r>
            <w:r>
              <w:rPr>
                <w:rFonts w:eastAsia="MS Mincho"/>
                <w:color w:val="000000"/>
                <w:lang w:val="sk-SK" w:eastAsia="ja-JP"/>
              </w:rPr>
              <w:t>kmeňov</w:t>
            </w:r>
            <w:r w:rsidRPr="00B8597D">
              <w:rPr>
                <w:rFonts w:eastAsia="MS Mincho"/>
                <w:color w:val="000000"/>
                <w:lang w:val="sk-SK" w:eastAsia="ja-JP"/>
              </w:rPr>
              <w:t xml:space="preserve"> </w:t>
            </w:r>
            <w:r w:rsidR="00B001DF" w:rsidRPr="00806C37">
              <w:rPr>
                <w:szCs w:val="22"/>
                <w:lang w:val="sk-SK"/>
              </w:rPr>
              <w:t>rezistentný</w:t>
            </w:r>
            <w:r w:rsidR="00B001DF">
              <w:rPr>
                <w:szCs w:val="22"/>
                <w:lang w:val="sk-SK"/>
              </w:rPr>
              <w:t>ch</w:t>
            </w:r>
            <w:r w:rsidR="00B001DF" w:rsidRPr="00806C37">
              <w:rPr>
                <w:szCs w:val="22"/>
                <w:lang w:val="sk-SK"/>
              </w:rPr>
              <w:t xml:space="preserve"> </w:t>
            </w:r>
            <w:r>
              <w:rPr>
                <w:rFonts w:eastAsia="MS Mincho"/>
                <w:color w:val="000000"/>
                <w:lang w:val="sk-SK" w:eastAsia="ja-JP"/>
              </w:rPr>
              <w:t>voči penicilínu</w:t>
            </w:r>
            <w:r w:rsidRPr="00B8597D">
              <w:rPr>
                <w:rFonts w:eastAsia="MS Mincho"/>
                <w:color w:val="000000"/>
                <w:lang w:val="sk-SK" w:eastAsia="ja-JP"/>
              </w:rPr>
              <w:t>)</w:t>
            </w:r>
          </w:p>
        </w:tc>
      </w:tr>
      <w:tr w:rsidR="003E3C22" w:rsidRPr="004229C9" w14:paraId="50420CC8" w14:textId="77777777" w:rsidTr="00233E28">
        <w:trPr>
          <w:tblCellSpacing w:w="15" w:type="dxa"/>
        </w:trPr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84807D" w14:textId="77777777" w:rsidR="003E3C22" w:rsidRPr="00870750" w:rsidRDefault="003E3C22" w:rsidP="003E3C22">
            <w:pPr>
              <w:rPr>
                <w:szCs w:val="22"/>
                <w:lang w:val="sk-SK"/>
              </w:rPr>
            </w:pPr>
            <w:proofErr w:type="spellStart"/>
            <w:r w:rsidRPr="00870750">
              <w:rPr>
                <w:i/>
                <w:iCs/>
                <w:szCs w:val="22"/>
                <w:lang w:val="sk-SK"/>
              </w:rPr>
              <w:t>Streptococcus</w:t>
            </w:r>
            <w:proofErr w:type="spellEnd"/>
            <w:r w:rsidRPr="00870750">
              <w:rPr>
                <w:i/>
                <w:iCs/>
                <w:szCs w:val="22"/>
                <w:lang w:val="sk-SK"/>
              </w:rPr>
              <w:t xml:space="preserve"> </w:t>
            </w:r>
            <w:proofErr w:type="spellStart"/>
            <w:r w:rsidRPr="00870750">
              <w:rPr>
                <w:i/>
                <w:iCs/>
                <w:szCs w:val="22"/>
                <w:lang w:val="sk-SK"/>
              </w:rPr>
              <w:t>pyogenes</w:t>
            </w:r>
            <w:proofErr w:type="spellEnd"/>
          </w:p>
        </w:tc>
      </w:tr>
      <w:tr w:rsidR="003E3C22" w:rsidRPr="00870750" w14:paraId="17D55741" w14:textId="77777777" w:rsidTr="00233E28">
        <w:trPr>
          <w:tblCellSpacing w:w="15" w:type="dxa"/>
        </w:trPr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223EF1" w14:textId="77777777" w:rsidR="003E3C22" w:rsidRPr="00870750" w:rsidRDefault="003E3C22" w:rsidP="003E3C22">
            <w:pPr>
              <w:rPr>
                <w:szCs w:val="22"/>
                <w:lang w:val="sk-SK"/>
              </w:rPr>
            </w:pPr>
            <w:r w:rsidRPr="00870750">
              <w:rPr>
                <w:b/>
                <w:bCs/>
                <w:i/>
                <w:iCs/>
                <w:szCs w:val="22"/>
                <w:lang w:val="sk-SK"/>
              </w:rPr>
              <w:t xml:space="preserve">Gram-negatívne </w:t>
            </w:r>
            <w:proofErr w:type="spellStart"/>
            <w:r w:rsidRPr="00870750">
              <w:rPr>
                <w:b/>
                <w:bCs/>
                <w:i/>
                <w:iCs/>
                <w:szCs w:val="22"/>
                <w:lang w:val="sk-SK"/>
              </w:rPr>
              <w:t>aeróby</w:t>
            </w:r>
            <w:proofErr w:type="spellEnd"/>
          </w:p>
        </w:tc>
      </w:tr>
      <w:tr w:rsidR="003E3C22" w:rsidRPr="004229C9" w14:paraId="69A24A0A" w14:textId="77777777" w:rsidTr="00233E28">
        <w:trPr>
          <w:tblCellSpacing w:w="15" w:type="dxa"/>
        </w:trPr>
        <w:tc>
          <w:tcPr>
            <w:tcW w:w="62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8118D3" w14:textId="77777777" w:rsidR="003E3C22" w:rsidRPr="0038268F" w:rsidRDefault="003E3C22" w:rsidP="003E3C22">
            <w:pPr>
              <w:rPr>
                <w:rFonts w:eastAsia="MS Mincho"/>
                <w:i/>
                <w:iCs/>
                <w:color w:val="000000"/>
                <w:lang w:eastAsia="ja-JP"/>
              </w:rPr>
            </w:pPr>
            <w:proofErr w:type="spellStart"/>
            <w:r>
              <w:rPr>
                <w:rFonts w:eastAsia="MS Mincho"/>
                <w:i/>
                <w:iCs/>
                <w:color w:val="000000"/>
                <w:lang w:eastAsia="ja-JP"/>
              </w:rPr>
              <w:t>Borrelia</w:t>
            </w:r>
            <w:proofErr w:type="spellEnd"/>
            <w:r>
              <w:rPr>
                <w:rFonts w:eastAsia="MS Mincho"/>
                <w:i/>
                <w:iCs/>
                <w:color w:val="000000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i/>
                <w:iCs/>
                <w:color w:val="000000"/>
                <w:lang w:eastAsia="ja-JP"/>
              </w:rPr>
              <w:t>burgdorferi</w:t>
            </w:r>
            <w:proofErr w:type="spellEnd"/>
            <w:r w:rsidR="0001634E">
              <w:rPr>
                <w:rFonts w:eastAsia="MS Mincho"/>
                <w:i/>
                <w:iCs/>
                <w:color w:val="000000"/>
                <w:lang w:eastAsia="ja-JP"/>
              </w:rPr>
              <w:t xml:space="preserve"> </w:t>
            </w:r>
            <w:r w:rsidRPr="00B96BD6">
              <w:rPr>
                <w:rFonts w:eastAsia="MS Mincho"/>
                <w:i/>
                <w:iCs/>
                <w:color w:val="000000"/>
                <w:lang w:eastAsia="ja-JP"/>
              </w:rPr>
              <w:t>°</w:t>
            </w:r>
          </w:p>
        </w:tc>
      </w:tr>
      <w:tr w:rsidR="009A031D" w:rsidRPr="004229C9" w14:paraId="0BC6B286" w14:textId="77777777" w:rsidTr="00C42F31">
        <w:trPr>
          <w:tblCellSpacing w:w="15" w:type="dxa"/>
        </w:trPr>
        <w:tc>
          <w:tcPr>
            <w:tcW w:w="62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FF5759" w14:textId="77777777" w:rsidR="009A031D" w:rsidRDefault="009A031D" w:rsidP="003E3C22">
            <w:pPr>
              <w:rPr>
                <w:rFonts w:eastAsia="MS Mincho"/>
                <w:i/>
                <w:iCs/>
                <w:color w:val="000000"/>
                <w:lang w:eastAsia="ja-JP"/>
              </w:rPr>
            </w:pPr>
            <w:proofErr w:type="spellStart"/>
            <w:r>
              <w:rPr>
                <w:rFonts w:eastAsia="MS Mincho"/>
                <w:i/>
                <w:iCs/>
                <w:color w:val="000000"/>
                <w:lang w:eastAsia="ja-JP"/>
              </w:rPr>
              <w:t>Citrobacter</w:t>
            </w:r>
            <w:proofErr w:type="spellEnd"/>
            <w:r>
              <w:rPr>
                <w:rFonts w:eastAsia="MS Mincho"/>
                <w:i/>
                <w:iCs/>
                <w:color w:val="000000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i/>
                <w:iCs/>
                <w:color w:val="000000"/>
                <w:lang w:eastAsia="ja-JP"/>
              </w:rPr>
              <w:t>koseri</w:t>
            </w:r>
            <w:proofErr w:type="spellEnd"/>
          </w:p>
        </w:tc>
      </w:tr>
      <w:tr w:rsidR="003E3C22" w:rsidRPr="004229C9" w14:paraId="123F7865" w14:textId="77777777" w:rsidTr="00233E28">
        <w:trPr>
          <w:tblCellSpacing w:w="15" w:type="dxa"/>
        </w:trPr>
        <w:tc>
          <w:tcPr>
            <w:tcW w:w="62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BB7334" w14:textId="77777777" w:rsidR="003E3C22" w:rsidRPr="00431898" w:rsidRDefault="003E3C22" w:rsidP="003E3C22">
            <w:pPr>
              <w:rPr>
                <w:szCs w:val="22"/>
              </w:rPr>
            </w:pPr>
            <w:r w:rsidRPr="0038268F">
              <w:rPr>
                <w:rFonts w:eastAsia="MS Mincho"/>
                <w:i/>
                <w:iCs/>
                <w:color w:val="000000"/>
                <w:lang w:eastAsia="ja-JP"/>
              </w:rPr>
              <w:t xml:space="preserve">Haemophilus </w:t>
            </w:r>
            <w:proofErr w:type="spellStart"/>
            <w:r w:rsidRPr="0038268F">
              <w:rPr>
                <w:rFonts w:eastAsia="MS Mincho"/>
                <w:i/>
                <w:iCs/>
                <w:color w:val="000000"/>
                <w:lang w:eastAsia="ja-JP"/>
              </w:rPr>
              <w:t>influenzae</w:t>
            </w:r>
            <w:proofErr w:type="spellEnd"/>
          </w:p>
        </w:tc>
      </w:tr>
      <w:tr w:rsidR="009A031D" w:rsidRPr="004229C9" w14:paraId="502A1938" w14:textId="77777777" w:rsidTr="00C42F31">
        <w:trPr>
          <w:tblCellSpacing w:w="15" w:type="dxa"/>
        </w:trPr>
        <w:tc>
          <w:tcPr>
            <w:tcW w:w="62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FA80C0" w14:textId="77777777" w:rsidR="009A031D" w:rsidRPr="0038268F" w:rsidRDefault="009A031D" w:rsidP="003E3C22">
            <w:pPr>
              <w:rPr>
                <w:rFonts w:eastAsia="MS Mincho"/>
                <w:i/>
                <w:iCs/>
                <w:color w:val="000000"/>
                <w:lang w:eastAsia="ja-JP"/>
              </w:rPr>
            </w:pPr>
            <w:proofErr w:type="spellStart"/>
            <w:r>
              <w:rPr>
                <w:rFonts w:eastAsia="MS Mincho"/>
                <w:i/>
                <w:iCs/>
                <w:color w:val="000000"/>
                <w:lang w:eastAsia="ja-JP"/>
              </w:rPr>
              <w:t>Klebsiella</w:t>
            </w:r>
            <w:proofErr w:type="spellEnd"/>
            <w:r>
              <w:rPr>
                <w:rFonts w:eastAsia="MS Mincho"/>
                <w:i/>
                <w:iCs/>
                <w:color w:val="000000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i/>
                <w:iCs/>
                <w:color w:val="000000"/>
                <w:lang w:eastAsia="ja-JP"/>
              </w:rPr>
              <w:t>oxytoca</w:t>
            </w:r>
            <w:proofErr w:type="spellEnd"/>
            <w:r>
              <w:rPr>
                <w:rFonts w:eastAsia="MS Mincho"/>
                <w:i/>
                <w:iCs/>
                <w:color w:val="000000"/>
                <w:lang w:eastAsia="ja-JP"/>
              </w:rPr>
              <w:t xml:space="preserve"> </w:t>
            </w:r>
            <w:r w:rsidRPr="0091608C">
              <w:rPr>
                <w:rFonts w:eastAsia="MS Mincho"/>
                <w:i/>
                <w:iCs/>
                <w:color w:val="000000"/>
                <w:vertAlign w:val="superscript"/>
                <w:lang w:eastAsia="ja-JP"/>
              </w:rPr>
              <w:t>%</w:t>
            </w:r>
          </w:p>
        </w:tc>
      </w:tr>
      <w:tr w:rsidR="003E3C22" w:rsidRPr="004229C9" w14:paraId="4781ACBA" w14:textId="77777777" w:rsidTr="00233E28">
        <w:trPr>
          <w:tblCellSpacing w:w="15" w:type="dxa"/>
        </w:trPr>
        <w:tc>
          <w:tcPr>
            <w:tcW w:w="62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166084" w14:textId="77777777" w:rsidR="003E3C22" w:rsidRPr="00431898" w:rsidRDefault="003E3C22" w:rsidP="003E3C22">
            <w:pPr>
              <w:rPr>
                <w:szCs w:val="22"/>
              </w:rPr>
            </w:pPr>
            <w:r w:rsidRPr="00B96BD6">
              <w:rPr>
                <w:rFonts w:eastAsia="MS Mincho"/>
                <w:i/>
                <w:iCs/>
                <w:color w:val="000000"/>
                <w:lang w:eastAsia="ja-JP"/>
              </w:rPr>
              <w:t xml:space="preserve">Moraxella </w:t>
            </w:r>
            <w:proofErr w:type="spellStart"/>
            <w:r w:rsidRPr="00B96BD6">
              <w:rPr>
                <w:rFonts w:eastAsia="MS Mincho"/>
                <w:i/>
                <w:iCs/>
                <w:color w:val="000000"/>
                <w:lang w:eastAsia="ja-JP"/>
              </w:rPr>
              <w:t>catarrhalis</w:t>
            </w:r>
            <w:proofErr w:type="spellEnd"/>
            <w:r w:rsidR="004B0C55">
              <w:rPr>
                <w:rFonts w:eastAsia="MS Mincho"/>
                <w:i/>
                <w:iCs/>
                <w:color w:val="000000"/>
                <w:lang w:eastAsia="ja-JP"/>
              </w:rPr>
              <w:t xml:space="preserve"> </w:t>
            </w:r>
            <w:r w:rsidRPr="00B96BD6">
              <w:rPr>
                <w:rFonts w:eastAsia="MS Mincho"/>
                <w:i/>
                <w:iCs/>
                <w:color w:val="000000"/>
                <w:lang w:eastAsia="ja-JP"/>
              </w:rPr>
              <w:t>°</w:t>
            </w:r>
          </w:p>
        </w:tc>
      </w:tr>
      <w:tr w:rsidR="003E3C22" w:rsidRPr="004229C9" w14:paraId="192A00DE" w14:textId="77777777" w:rsidTr="00233E28">
        <w:trPr>
          <w:tblCellSpacing w:w="15" w:type="dxa"/>
        </w:trPr>
        <w:tc>
          <w:tcPr>
            <w:tcW w:w="62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3BE0C0" w14:textId="77777777" w:rsidR="003E3C22" w:rsidRDefault="003E3C22" w:rsidP="003E3C22">
            <w:r w:rsidRPr="00B96BD6">
              <w:rPr>
                <w:rFonts w:eastAsia="MS Mincho"/>
                <w:i/>
                <w:color w:val="000000"/>
                <w:lang w:eastAsia="ja-JP"/>
              </w:rPr>
              <w:t>Neisseria gonorrhoeae</w:t>
            </w:r>
            <w:r w:rsidR="004B0C55">
              <w:rPr>
                <w:rFonts w:eastAsia="MS Mincho"/>
                <w:i/>
                <w:color w:val="000000"/>
                <w:lang w:eastAsia="ja-JP"/>
              </w:rPr>
              <w:t xml:space="preserve"> </w:t>
            </w:r>
            <w:r w:rsidRPr="00B96BD6">
              <w:rPr>
                <w:rFonts w:eastAsia="MS Mincho"/>
                <w:i/>
                <w:iCs/>
                <w:color w:val="000000"/>
                <w:lang w:eastAsia="ja-JP"/>
              </w:rPr>
              <w:t>°</w:t>
            </w:r>
            <w:r w:rsidR="009A031D">
              <w:rPr>
                <w:rFonts w:eastAsia="MS Mincho"/>
                <w:i/>
                <w:iCs/>
                <w:color w:val="000000"/>
                <w:lang w:eastAsia="ja-JP"/>
              </w:rPr>
              <w:t xml:space="preserve"> </w:t>
            </w:r>
          </w:p>
        </w:tc>
      </w:tr>
      <w:tr w:rsidR="003E3C22" w:rsidRPr="004229C9" w14:paraId="10D6BD94" w14:textId="77777777" w:rsidTr="00233E28">
        <w:trPr>
          <w:tblCellSpacing w:w="15" w:type="dxa"/>
        </w:trPr>
        <w:tc>
          <w:tcPr>
            <w:tcW w:w="62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6FF353" w14:textId="6255B09F" w:rsidR="003E3C22" w:rsidRDefault="003E3C22" w:rsidP="00220967">
            <w:r w:rsidRPr="00B96BD6">
              <w:rPr>
                <w:rFonts w:eastAsia="MS Mincho"/>
                <w:i/>
                <w:color w:val="000000"/>
                <w:lang w:eastAsia="ja-JP"/>
              </w:rPr>
              <w:t>Neisseria meningitid</w:t>
            </w:r>
            <w:r w:rsidR="00220967">
              <w:rPr>
                <w:rFonts w:eastAsia="MS Mincho"/>
                <w:i/>
                <w:color w:val="000000"/>
                <w:lang w:eastAsia="ja-JP"/>
              </w:rPr>
              <w:t>e</w:t>
            </w:r>
            <w:r w:rsidRPr="00B96BD6">
              <w:rPr>
                <w:rFonts w:eastAsia="MS Mincho"/>
                <w:i/>
                <w:color w:val="000000"/>
                <w:lang w:eastAsia="ja-JP"/>
              </w:rPr>
              <w:t>s</w:t>
            </w:r>
            <w:r w:rsidR="004B0C55">
              <w:rPr>
                <w:rFonts w:eastAsia="MS Mincho"/>
                <w:i/>
                <w:color w:val="000000"/>
                <w:lang w:eastAsia="ja-JP"/>
              </w:rPr>
              <w:t xml:space="preserve"> </w:t>
            </w:r>
            <w:r w:rsidRPr="00B96BD6">
              <w:rPr>
                <w:rFonts w:eastAsia="MS Mincho"/>
                <w:i/>
                <w:iCs/>
                <w:color w:val="000000"/>
                <w:lang w:eastAsia="ja-JP"/>
              </w:rPr>
              <w:t>°</w:t>
            </w:r>
          </w:p>
        </w:tc>
      </w:tr>
      <w:tr w:rsidR="003E3C22" w:rsidRPr="004229C9" w14:paraId="6887C6FD" w14:textId="77777777" w:rsidTr="00233E28">
        <w:trPr>
          <w:tblCellSpacing w:w="15" w:type="dxa"/>
        </w:trPr>
        <w:tc>
          <w:tcPr>
            <w:tcW w:w="62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338526" w14:textId="77777777" w:rsidR="003E3C22" w:rsidRDefault="003E3C22" w:rsidP="003E3C22">
            <w:r w:rsidRPr="00B96BD6">
              <w:rPr>
                <w:rFonts w:eastAsia="MS Mincho"/>
                <w:i/>
                <w:color w:val="000000"/>
                <w:lang w:eastAsia="ja-JP"/>
              </w:rPr>
              <w:t>Proteus mirabilis</w:t>
            </w:r>
            <w:r w:rsidR="005C3131">
              <w:rPr>
                <w:rFonts w:eastAsia="MS Mincho"/>
                <w:i/>
                <w:color w:val="000000"/>
                <w:lang w:eastAsia="ja-JP"/>
              </w:rPr>
              <w:t xml:space="preserve"> </w:t>
            </w:r>
            <w:r w:rsidRPr="00B96BD6">
              <w:rPr>
                <w:rFonts w:eastAsia="MS Mincho"/>
                <w:i/>
                <w:color w:val="000000"/>
                <w:vertAlign w:val="superscript"/>
                <w:lang w:eastAsia="ja-JP"/>
              </w:rPr>
              <w:t>%</w:t>
            </w:r>
          </w:p>
        </w:tc>
      </w:tr>
      <w:tr w:rsidR="006376DC" w:rsidRPr="004229C9" w14:paraId="11041107" w14:textId="77777777" w:rsidTr="00C42F31">
        <w:trPr>
          <w:tblCellSpacing w:w="15" w:type="dxa"/>
        </w:trPr>
        <w:tc>
          <w:tcPr>
            <w:tcW w:w="62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E9BCFD" w14:textId="77777777" w:rsidR="006376DC" w:rsidRPr="00B96BD6" w:rsidRDefault="006376DC" w:rsidP="003E3C22">
            <w:pPr>
              <w:rPr>
                <w:rFonts w:eastAsia="MS Mincho"/>
                <w:i/>
                <w:color w:val="000000"/>
                <w:lang w:eastAsia="ja-JP"/>
              </w:rPr>
            </w:pPr>
            <w:r w:rsidRPr="0091608C">
              <w:rPr>
                <w:i/>
              </w:rPr>
              <w:t>Proteus vulgaris</w:t>
            </w:r>
            <w:r>
              <w:t xml:space="preserve"> </w:t>
            </w:r>
            <w:r w:rsidRPr="00CE0B83">
              <w:rPr>
                <w:rFonts w:eastAsia="MS Mincho"/>
                <w:i/>
                <w:iCs/>
                <w:color w:val="000000"/>
                <w:lang w:eastAsia="ja-JP"/>
              </w:rPr>
              <w:t>°</w:t>
            </w:r>
          </w:p>
        </w:tc>
      </w:tr>
      <w:tr w:rsidR="003E3C22" w:rsidRPr="00CB18C8" w14:paraId="5CF9FB2A" w14:textId="77777777" w:rsidTr="00233E28">
        <w:trPr>
          <w:tblCellSpacing w:w="15" w:type="dxa"/>
        </w:trPr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E0DDCD" w14:textId="0C65BDD3" w:rsidR="0009420F" w:rsidRDefault="00A44F6B" w:rsidP="003E3C22">
            <w:pPr>
              <w:rPr>
                <w:b/>
                <w:bCs/>
                <w:caps/>
                <w:szCs w:val="22"/>
                <w:lang w:val="sk-SK"/>
              </w:rPr>
            </w:pPr>
            <w:r>
              <w:rPr>
                <w:b/>
                <w:bCs/>
                <w:caps/>
                <w:szCs w:val="22"/>
                <w:lang w:val="sk-SK"/>
              </w:rPr>
              <w:t>DRUHY</w:t>
            </w:r>
            <w:r w:rsidR="003E3C22" w:rsidRPr="00233E28">
              <w:rPr>
                <w:b/>
                <w:bCs/>
                <w:caps/>
                <w:szCs w:val="22"/>
                <w:lang w:val="sk-SK"/>
              </w:rPr>
              <w:t xml:space="preserve">, ktoré môžu byť problematické </w:t>
            </w:r>
          </w:p>
          <w:p w14:paraId="6FA9B7B8" w14:textId="77777777" w:rsidR="003E3C22" w:rsidRPr="00233E28" w:rsidRDefault="003E3C22" w:rsidP="003E3C22">
            <w:pPr>
              <w:rPr>
                <w:caps/>
                <w:szCs w:val="22"/>
                <w:lang w:val="sk-SK"/>
              </w:rPr>
            </w:pPr>
            <w:r w:rsidRPr="00233E28">
              <w:rPr>
                <w:b/>
                <w:bCs/>
                <w:caps/>
                <w:szCs w:val="22"/>
                <w:lang w:val="sk-SK"/>
              </w:rPr>
              <w:t>z dôvodu získanej rezistencie</w:t>
            </w:r>
          </w:p>
        </w:tc>
      </w:tr>
      <w:tr w:rsidR="003E3C22" w:rsidRPr="00CB18C8" w14:paraId="089EA975" w14:textId="77777777" w:rsidTr="00233E28">
        <w:trPr>
          <w:tblCellSpacing w:w="15" w:type="dxa"/>
        </w:trPr>
        <w:tc>
          <w:tcPr>
            <w:tcW w:w="62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1458C7" w14:textId="77777777" w:rsidR="003E3C22" w:rsidRPr="00CB18C8" w:rsidRDefault="003E3C22" w:rsidP="003E3C22">
            <w:pPr>
              <w:rPr>
                <w:color w:val="FF6600"/>
                <w:szCs w:val="22"/>
                <w:lang w:val="sk-SK"/>
              </w:rPr>
            </w:pPr>
            <w:r w:rsidRPr="00CB18C8">
              <w:rPr>
                <w:b/>
                <w:bCs/>
                <w:i/>
                <w:iCs/>
                <w:szCs w:val="22"/>
                <w:lang w:val="sk-SK"/>
              </w:rPr>
              <w:t xml:space="preserve">Gram-pozitívne </w:t>
            </w:r>
            <w:proofErr w:type="spellStart"/>
            <w:r w:rsidRPr="00CB18C8">
              <w:rPr>
                <w:b/>
                <w:bCs/>
                <w:i/>
                <w:iCs/>
                <w:szCs w:val="22"/>
                <w:lang w:val="sk-SK"/>
              </w:rPr>
              <w:t>aeróby</w:t>
            </w:r>
            <w:proofErr w:type="spellEnd"/>
          </w:p>
        </w:tc>
      </w:tr>
      <w:tr w:rsidR="003E3C22" w:rsidRPr="004229C9" w14:paraId="6E75E3CE" w14:textId="77777777" w:rsidTr="00233E28">
        <w:trPr>
          <w:tblCellSpacing w:w="15" w:type="dxa"/>
        </w:trPr>
        <w:tc>
          <w:tcPr>
            <w:tcW w:w="62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D794D7" w14:textId="362FF702" w:rsidR="003E3C22" w:rsidRDefault="003E3C22" w:rsidP="003E3C22">
            <w:r w:rsidRPr="00B96BD6">
              <w:rPr>
                <w:rFonts w:eastAsia="MS Mincho"/>
                <w:i/>
                <w:iCs/>
                <w:color w:val="000000"/>
                <w:lang w:eastAsia="ja-JP"/>
              </w:rPr>
              <w:t>Staphylococcus aureus</w:t>
            </w:r>
            <w:r w:rsidR="009A2DF4">
              <w:rPr>
                <w:rFonts w:eastAsia="MS Mincho"/>
                <w:i/>
                <w:iCs/>
                <w:color w:val="000000"/>
                <w:lang w:eastAsia="ja-JP"/>
              </w:rPr>
              <w:t xml:space="preserve"> </w:t>
            </w:r>
            <w:r w:rsidR="009A2DF4" w:rsidRPr="00F042C1">
              <w:rPr>
                <w:vertAlign w:val="superscript"/>
              </w:rPr>
              <w:sym w:font="Symbol" w:char="F027"/>
            </w:r>
            <w:r w:rsidR="009A2DF4">
              <w:rPr>
                <w:rFonts w:eastAsia="MS Mincho"/>
                <w:i/>
                <w:iCs/>
                <w:color w:val="000000"/>
                <w:vertAlign w:val="superscript"/>
                <w:lang w:eastAsia="ja-JP"/>
              </w:rPr>
              <w:t xml:space="preserve"> </w:t>
            </w:r>
          </w:p>
        </w:tc>
      </w:tr>
      <w:tr w:rsidR="003E3C22" w:rsidRPr="004229C9" w14:paraId="19BDB7BB" w14:textId="77777777" w:rsidTr="00233E28">
        <w:trPr>
          <w:tblCellSpacing w:w="15" w:type="dxa"/>
        </w:trPr>
        <w:tc>
          <w:tcPr>
            <w:tcW w:w="62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B13EA9" w14:textId="77777777" w:rsidR="003E3C22" w:rsidRDefault="003E3C22" w:rsidP="003E3C22">
            <w:r w:rsidRPr="00B96BD6">
              <w:rPr>
                <w:rFonts w:eastAsia="MS Mincho"/>
                <w:i/>
                <w:iCs/>
                <w:color w:val="000000"/>
                <w:lang w:eastAsia="ja-JP"/>
              </w:rPr>
              <w:t>Staphylococcus epidermidis</w:t>
            </w:r>
            <w:r w:rsidR="009A2DF4">
              <w:rPr>
                <w:rFonts w:eastAsia="MS Mincho"/>
                <w:i/>
                <w:iCs/>
                <w:color w:val="000000"/>
                <w:lang w:eastAsia="ja-JP"/>
              </w:rPr>
              <w:t xml:space="preserve"> </w:t>
            </w:r>
            <w:r w:rsidRPr="00B96BD6">
              <w:rPr>
                <w:rFonts w:eastAsia="MS Mincho"/>
                <w:color w:val="000000"/>
                <w:vertAlign w:val="superscript"/>
                <w:lang w:eastAsia="ja-JP"/>
              </w:rPr>
              <w:t>+</w:t>
            </w:r>
          </w:p>
        </w:tc>
      </w:tr>
      <w:tr w:rsidR="003E3C22" w:rsidRPr="004229C9" w14:paraId="575E646C" w14:textId="77777777" w:rsidTr="00233E28">
        <w:trPr>
          <w:tblCellSpacing w:w="15" w:type="dxa"/>
        </w:trPr>
        <w:tc>
          <w:tcPr>
            <w:tcW w:w="62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3E4EB6" w14:textId="77777777" w:rsidR="003E3C22" w:rsidRDefault="003E3C22" w:rsidP="003E3C22">
            <w:r w:rsidRPr="00B96BD6">
              <w:rPr>
                <w:rFonts w:eastAsia="MS Mincho"/>
                <w:i/>
                <w:iCs/>
                <w:color w:val="000000"/>
                <w:lang w:eastAsia="ja-JP"/>
              </w:rPr>
              <w:t xml:space="preserve">Staphylococcus </w:t>
            </w:r>
            <w:proofErr w:type="spellStart"/>
            <w:r w:rsidRPr="00B96BD6">
              <w:rPr>
                <w:rFonts w:eastAsia="MS Mincho"/>
                <w:i/>
                <w:iCs/>
                <w:color w:val="000000"/>
                <w:lang w:eastAsia="ja-JP"/>
              </w:rPr>
              <w:t>haemolyticus</w:t>
            </w:r>
            <w:proofErr w:type="spellEnd"/>
            <w:r w:rsidR="009A2DF4">
              <w:rPr>
                <w:rFonts w:eastAsia="MS Mincho"/>
                <w:i/>
                <w:iCs/>
                <w:color w:val="000000"/>
                <w:lang w:eastAsia="ja-JP"/>
              </w:rPr>
              <w:t xml:space="preserve"> </w:t>
            </w:r>
            <w:r w:rsidRPr="00B96BD6">
              <w:rPr>
                <w:rFonts w:eastAsia="MS Mincho"/>
                <w:color w:val="000000"/>
                <w:vertAlign w:val="superscript"/>
                <w:lang w:eastAsia="ja-JP"/>
              </w:rPr>
              <w:t>+</w:t>
            </w:r>
          </w:p>
        </w:tc>
      </w:tr>
      <w:tr w:rsidR="003E3C22" w:rsidRPr="004229C9" w14:paraId="2A8340D3" w14:textId="77777777" w:rsidTr="00233E28">
        <w:trPr>
          <w:tblCellSpacing w:w="15" w:type="dxa"/>
        </w:trPr>
        <w:tc>
          <w:tcPr>
            <w:tcW w:w="62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3F67F0" w14:textId="77777777" w:rsidR="003E3C22" w:rsidRDefault="003E3C22" w:rsidP="003E3C22">
            <w:r w:rsidRPr="00B96BD6">
              <w:rPr>
                <w:rFonts w:eastAsia="MS Mincho"/>
                <w:i/>
                <w:iCs/>
                <w:color w:val="000000"/>
                <w:lang w:eastAsia="ja-JP"/>
              </w:rPr>
              <w:t xml:space="preserve">Staphylococcus </w:t>
            </w:r>
            <w:proofErr w:type="spellStart"/>
            <w:r w:rsidRPr="00B96BD6">
              <w:rPr>
                <w:rFonts w:eastAsia="MS Mincho"/>
                <w:i/>
                <w:iCs/>
                <w:color w:val="000000"/>
                <w:lang w:eastAsia="ja-JP"/>
              </w:rPr>
              <w:t>hominis</w:t>
            </w:r>
            <w:proofErr w:type="spellEnd"/>
            <w:r w:rsidR="009A2DF4">
              <w:rPr>
                <w:rFonts w:eastAsia="MS Mincho"/>
                <w:i/>
                <w:iCs/>
                <w:color w:val="000000"/>
                <w:lang w:eastAsia="ja-JP"/>
              </w:rPr>
              <w:t xml:space="preserve"> </w:t>
            </w:r>
            <w:r w:rsidRPr="00B96BD6">
              <w:rPr>
                <w:rFonts w:eastAsia="MS Mincho"/>
                <w:color w:val="000000"/>
                <w:vertAlign w:val="superscript"/>
                <w:lang w:eastAsia="ja-JP"/>
              </w:rPr>
              <w:t>+</w:t>
            </w:r>
          </w:p>
        </w:tc>
      </w:tr>
      <w:tr w:rsidR="003E3C22" w:rsidRPr="00CB18C8" w14:paraId="7734F906" w14:textId="77777777" w:rsidTr="00233E28">
        <w:trPr>
          <w:tblCellSpacing w:w="15" w:type="dxa"/>
        </w:trPr>
        <w:tc>
          <w:tcPr>
            <w:tcW w:w="62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7BECB7" w14:textId="77777777" w:rsidR="003E3C22" w:rsidRPr="00CB18C8" w:rsidRDefault="003E3C22" w:rsidP="003E3C22">
            <w:pPr>
              <w:rPr>
                <w:color w:val="FF6600"/>
                <w:szCs w:val="22"/>
                <w:lang w:val="sk-SK"/>
              </w:rPr>
            </w:pPr>
            <w:r w:rsidRPr="00CB18C8">
              <w:rPr>
                <w:b/>
                <w:bCs/>
                <w:i/>
                <w:iCs/>
                <w:szCs w:val="22"/>
                <w:lang w:val="sk-SK"/>
              </w:rPr>
              <w:t xml:space="preserve">Gram-negatívne </w:t>
            </w:r>
            <w:proofErr w:type="spellStart"/>
            <w:r w:rsidRPr="00CB18C8">
              <w:rPr>
                <w:b/>
                <w:bCs/>
                <w:i/>
                <w:iCs/>
                <w:szCs w:val="22"/>
                <w:lang w:val="sk-SK"/>
              </w:rPr>
              <w:t>aeróby</w:t>
            </w:r>
            <w:proofErr w:type="spellEnd"/>
          </w:p>
        </w:tc>
      </w:tr>
      <w:tr w:rsidR="003E3C22" w:rsidRPr="004229C9" w14:paraId="7C3C9EF6" w14:textId="77777777" w:rsidTr="00233E28">
        <w:trPr>
          <w:tblCellSpacing w:w="15" w:type="dxa"/>
        </w:trPr>
        <w:tc>
          <w:tcPr>
            <w:tcW w:w="62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42657F" w14:textId="77777777" w:rsidR="003E3C22" w:rsidRDefault="003E3C22" w:rsidP="003E3C22">
            <w:proofErr w:type="spellStart"/>
            <w:r w:rsidRPr="00B96BD6">
              <w:rPr>
                <w:rFonts w:eastAsia="MS Mincho"/>
                <w:i/>
                <w:iCs/>
                <w:color w:val="000000"/>
                <w:lang w:eastAsia="ja-JP"/>
              </w:rPr>
              <w:t>Citrobacter</w:t>
            </w:r>
            <w:proofErr w:type="spellEnd"/>
            <w:r w:rsidRPr="00B96BD6">
              <w:rPr>
                <w:rFonts w:eastAsia="MS Mincho"/>
                <w:i/>
                <w:iCs/>
                <w:color w:val="000000"/>
                <w:lang w:eastAsia="ja-JP"/>
              </w:rPr>
              <w:t xml:space="preserve"> </w:t>
            </w:r>
            <w:proofErr w:type="spellStart"/>
            <w:r w:rsidRPr="00B96BD6">
              <w:rPr>
                <w:rFonts w:eastAsia="MS Mincho"/>
                <w:i/>
                <w:iCs/>
                <w:color w:val="000000"/>
                <w:lang w:eastAsia="ja-JP"/>
              </w:rPr>
              <w:t>freundii</w:t>
            </w:r>
            <w:proofErr w:type="spellEnd"/>
          </w:p>
        </w:tc>
      </w:tr>
      <w:tr w:rsidR="003E3C22" w:rsidRPr="004229C9" w14:paraId="106EB3D2" w14:textId="77777777" w:rsidTr="00233E28">
        <w:trPr>
          <w:tblCellSpacing w:w="15" w:type="dxa"/>
        </w:trPr>
        <w:tc>
          <w:tcPr>
            <w:tcW w:w="62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AB3DCD" w14:textId="77777777" w:rsidR="003E3C22" w:rsidRDefault="003E3C22" w:rsidP="003E3C22">
            <w:r w:rsidRPr="00B96BD6">
              <w:rPr>
                <w:rFonts w:eastAsia="MS Mincho"/>
                <w:i/>
                <w:iCs/>
                <w:color w:val="000000"/>
                <w:lang w:eastAsia="ja-JP"/>
              </w:rPr>
              <w:t xml:space="preserve">Enterobacter </w:t>
            </w:r>
            <w:proofErr w:type="spellStart"/>
            <w:r w:rsidRPr="00B96BD6">
              <w:rPr>
                <w:rFonts w:eastAsia="MS Mincho"/>
                <w:i/>
                <w:iCs/>
                <w:color w:val="000000"/>
                <w:lang w:eastAsia="ja-JP"/>
              </w:rPr>
              <w:t>aerogenes</w:t>
            </w:r>
            <w:proofErr w:type="spellEnd"/>
          </w:p>
        </w:tc>
      </w:tr>
      <w:tr w:rsidR="003E3C22" w:rsidRPr="004229C9" w14:paraId="3A3E519F" w14:textId="77777777" w:rsidTr="00233E28">
        <w:trPr>
          <w:tblCellSpacing w:w="15" w:type="dxa"/>
        </w:trPr>
        <w:tc>
          <w:tcPr>
            <w:tcW w:w="62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F54AAC" w14:textId="77777777" w:rsidR="003E3C22" w:rsidRDefault="003E3C22" w:rsidP="003E3C22">
            <w:r w:rsidRPr="00B96BD6">
              <w:rPr>
                <w:rFonts w:eastAsia="MS Mincho"/>
                <w:i/>
                <w:iCs/>
                <w:color w:val="000000"/>
                <w:lang w:eastAsia="ja-JP"/>
              </w:rPr>
              <w:t>Enterobacter cloacae</w:t>
            </w:r>
          </w:p>
        </w:tc>
      </w:tr>
      <w:tr w:rsidR="003E3C22" w:rsidRPr="004229C9" w14:paraId="1344611E" w14:textId="77777777" w:rsidTr="00233E28">
        <w:trPr>
          <w:tblCellSpacing w:w="15" w:type="dxa"/>
        </w:trPr>
        <w:tc>
          <w:tcPr>
            <w:tcW w:w="62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CE0FE4" w14:textId="77777777" w:rsidR="003E3C22" w:rsidRPr="00DA0DD7" w:rsidRDefault="003E3C22" w:rsidP="003E3C22">
            <w:pPr>
              <w:rPr>
                <w:rFonts w:eastAsia="MS Mincho"/>
                <w:i/>
                <w:iCs/>
                <w:color w:val="000000"/>
                <w:lang w:val="sk-SK" w:eastAsia="ja-JP"/>
              </w:rPr>
            </w:pPr>
            <w:r w:rsidRPr="0038268F">
              <w:rPr>
                <w:rFonts w:eastAsia="MS Mincho"/>
                <w:i/>
                <w:iCs/>
                <w:color w:val="000000"/>
                <w:lang w:eastAsia="ja-JP"/>
              </w:rPr>
              <w:t>Escherichia coli</w:t>
            </w:r>
            <w:r w:rsidR="0009420F">
              <w:rPr>
                <w:rFonts w:eastAsia="MS Mincho"/>
                <w:i/>
                <w:iCs/>
                <w:color w:val="000000"/>
                <w:lang w:eastAsia="ja-JP"/>
              </w:rPr>
              <w:t xml:space="preserve"> </w:t>
            </w:r>
            <w:r w:rsidRPr="0038268F">
              <w:rPr>
                <w:rFonts w:eastAsia="MS Mincho"/>
                <w:i/>
                <w:iCs/>
                <w:color w:val="000000"/>
                <w:vertAlign w:val="superscript"/>
                <w:lang w:eastAsia="ja-JP"/>
              </w:rPr>
              <w:t>%</w:t>
            </w:r>
          </w:p>
        </w:tc>
      </w:tr>
      <w:tr w:rsidR="003E3C22" w:rsidRPr="004229C9" w14:paraId="6F22944F" w14:textId="77777777" w:rsidTr="00233E28">
        <w:trPr>
          <w:tblCellSpacing w:w="15" w:type="dxa"/>
        </w:trPr>
        <w:tc>
          <w:tcPr>
            <w:tcW w:w="62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37DCE7" w14:textId="77777777" w:rsidR="003E3C22" w:rsidRPr="00B96BD6" w:rsidRDefault="003E3C22" w:rsidP="003E3C22">
            <w:pPr>
              <w:rPr>
                <w:rFonts w:eastAsia="MS Mincho"/>
                <w:i/>
                <w:iCs/>
                <w:color w:val="000000"/>
                <w:lang w:eastAsia="ja-JP"/>
              </w:rPr>
            </w:pPr>
            <w:proofErr w:type="spellStart"/>
            <w:r w:rsidRPr="0038268F">
              <w:rPr>
                <w:rFonts w:eastAsia="MS Mincho"/>
                <w:i/>
                <w:iCs/>
                <w:color w:val="000000"/>
                <w:lang w:eastAsia="ja-JP"/>
              </w:rPr>
              <w:t>Klebsiella</w:t>
            </w:r>
            <w:proofErr w:type="spellEnd"/>
            <w:r w:rsidRPr="0038268F">
              <w:rPr>
                <w:rFonts w:eastAsia="MS Mincho"/>
                <w:i/>
                <w:iCs/>
                <w:color w:val="000000"/>
                <w:lang w:eastAsia="ja-JP"/>
              </w:rPr>
              <w:t xml:space="preserve"> pneumoniae</w:t>
            </w:r>
            <w:r w:rsidR="0009420F">
              <w:rPr>
                <w:rFonts w:eastAsia="MS Mincho"/>
                <w:i/>
                <w:iCs/>
                <w:color w:val="000000"/>
                <w:lang w:eastAsia="ja-JP"/>
              </w:rPr>
              <w:t xml:space="preserve"> </w:t>
            </w:r>
            <w:r w:rsidRPr="0038268F">
              <w:rPr>
                <w:rFonts w:eastAsia="MS Mincho"/>
                <w:i/>
                <w:iCs/>
                <w:color w:val="000000"/>
                <w:vertAlign w:val="superscript"/>
                <w:lang w:eastAsia="ja-JP"/>
              </w:rPr>
              <w:t>%</w:t>
            </w:r>
          </w:p>
        </w:tc>
      </w:tr>
      <w:tr w:rsidR="003E3C22" w:rsidRPr="004229C9" w14:paraId="5578034A" w14:textId="77777777" w:rsidTr="00233E28">
        <w:trPr>
          <w:tblCellSpacing w:w="15" w:type="dxa"/>
        </w:trPr>
        <w:tc>
          <w:tcPr>
            <w:tcW w:w="62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A0876C" w14:textId="6923D9C5" w:rsidR="003E3C22" w:rsidRDefault="00D0362B" w:rsidP="003E3C22">
            <w:proofErr w:type="spellStart"/>
            <w:r>
              <w:rPr>
                <w:rFonts w:eastAsia="MS Mincho"/>
                <w:i/>
                <w:iCs/>
                <w:color w:val="000000"/>
                <w:lang w:eastAsia="ja-JP"/>
              </w:rPr>
              <w:t>Morganella</w:t>
            </w:r>
            <w:proofErr w:type="spellEnd"/>
            <w:r>
              <w:rPr>
                <w:rFonts w:eastAsia="MS Mincho"/>
                <w:i/>
                <w:iCs/>
                <w:color w:val="000000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i/>
                <w:iCs/>
                <w:color w:val="000000"/>
                <w:lang w:eastAsia="ja-JP"/>
              </w:rPr>
              <w:t>morganii</w:t>
            </w:r>
            <w:proofErr w:type="spellEnd"/>
          </w:p>
        </w:tc>
      </w:tr>
      <w:tr w:rsidR="003E3C22" w:rsidRPr="004229C9" w14:paraId="737EAF48" w14:textId="77777777" w:rsidTr="00233E28">
        <w:trPr>
          <w:tblCellSpacing w:w="15" w:type="dxa"/>
        </w:trPr>
        <w:tc>
          <w:tcPr>
            <w:tcW w:w="62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230B8A" w14:textId="77777777" w:rsidR="003E3C22" w:rsidRDefault="003E3C22" w:rsidP="003E3C22">
            <w:proofErr w:type="spellStart"/>
            <w:r w:rsidRPr="00B96BD6">
              <w:rPr>
                <w:rFonts w:eastAsia="MS Mincho"/>
                <w:i/>
                <w:iCs/>
                <w:color w:val="000000"/>
                <w:lang w:eastAsia="ja-JP"/>
              </w:rPr>
              <w:t>Serratia</w:t>
            </w:r>
            <w:proofErr w:type="spellEnd"/>
            <w:r w:rsidRPr="00B96BD6">
              <w:rPr>
                <w:rFonts w:eastAsia="MS Mincho"/>
                <w:i/>
                <w:iCs/>
                <w:color w:val="000000"/>
                <w:lang w:eastAsia="ja-JP"/>
              </w:rPr>
              <w:t xml:space="preserve"> </w:t>
            </w:r>
            <w:proofErr w:type="spellStart"/>
            <w:r w:rsidRPr="00B96BD6">
              <w:rPr>
                <w:rFonts w:eastAsia="MS Mincho"/>
                <w:i/>
                <w:iCs/>
                <w:color w:val="000000"/>
                <w:lang w:eastAsia="ja-JP"/>
              </w:rPr>
              <w:t>marcescens</w:t>
            </w:r>
            <w:proofErr w:type="spellEnd"/>
          </w:p>
        </w:tc>
      </w:tr>
      <w:tr w:rsidR="003E3C22" w:rsidRPr="004229C9" w14:paraId="66260598" w14:textId="77777777" w:rsidTr="00233E28">
        <w:trPr>
          <w:tblCellSpacing w:w="15" w:type="dxa"/>
        </w:trPr>
        <w:tc>
          <w:tcPr>
            <w:tcW w:w="62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FD3D50" w14:textId="77777777" w:rsidR="003E3C22" w:rsidRPr="00B32A2E" w:rsidRDefault="003E3C22" w:rsidP="003E3C22">
            <w:pPr>
              <w:rPr>
                <w:b/>
                <w:bCs/>
                <w:i/>
                <w:iCs/>
                <w:szCs w:val="22"/>
                <w:lang w:val="sk-SK"/>
              </w:rPr>
            </w:pPr>
            <w:r w:rsidRPr="00B32A2E">
              <w:rPr>
                <w:b/>
                <w:bCs/>
                <w:i/>
                <w:iCs/>
                <w:szCs w:val="22"/>
                <w:lang w:val="sk-SK"/>
              </w:rPr>
              <w:t>Anaeróby</w:t>
            </w:r>
          </w:p>
        </w:tc>
      </w:tr>
      <w:tr w:rsidR="003E3C22" w:rsidRPr="00632C4B" w14:paraId="44D873EF" w14:textId="77777777" w:rsidTr="00233E28">
        <w:trPr>
          <w:tblCellSpacing w:w="15" w:type="dxa"/>
        </w:trPr>
        <w:tc>
          <w:tcPr>
            <w:tcW w:w="62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B188C2" w14:textId="77777777" w:rsidR="003E3C22" w:rsidRPr="00632C4B" w:rsidRDefault="003E3C22" w:rsidP="003E3C22">
            <w:pPr>
              <w:rPr>
                <w:szCs w:val="22"/>
                <w:lang w:val="sk-SK"/>
              </w:rPr>
            </w:pPr>
            <w:proofErr w:type="spellStart"/>
            <w:r w:rsidRPr="00632C4B">
              <w:rPr>
                <w:i/>
                <w:iCs/>
                <w:szCs w:val="22"/>
                <w:lang w:val="sk-SK"/>
              </w:rPr>
              <w:t>Bacteroides</w:t>
            </w:r>
            <w:proofErr w:type="spellEnd"/>
            <w:r w:rsidRPr="00632C4B">
              <w:rPr>
                <w:i/>
                <w:iCs/>
                <w:szCs w:val="22"/>
                <w:lang w:val="sk-SK"/>
              </w:rPr>
              <w:t xml:space="preserve"> </w:t>
            </w:r>
            <w:proofErr w:type="spellStart"/>
            <w:r w:rsidRPr="00632C4B">
              <w:rPr>
                <w:i/>
                <w:iCs/>
                <w:szCs w:val="22"/>
                <w:lang w:val="sk-SK"/>
              </w:rPr>
              <w:t>fragilis</w:t>
            </w:r>
            <w:proofErr w:type="spellEnd"/>
          </w:p>
        </w:tc>
      </w:tr>
      <w:tr w:rsidR="003E3C22" w:rsidRPr="00632C4B" w14:paraId="16A0C18C" w14:textId="77777777" w:rsidTr="00233E28">
        <w:trPr>
          <w:tblCellSpacing w:w="15" w:type="dxa"/>
        </w:trPr>
        <w:tc>
          <w:tcPr>
            <w:tcW w:w="62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D55EBF" w14:textId="77777777" w:rsidR="003E3C22" w:rsidRPr="00233E28" w:rsidRDefault="003E3C22" w:rsidP="003E3C22">
            <w:pPr>
              <w:rPr>
                <w:caps/>
                <w:color w:val="FF6600"/>
                <w:szCs w:val="22"/>
                <w:lang w:val="sk-SK"/>
              </w:rPr>
            </w:pPr>
            <w:r w:rsidRPr="00233E28">
              <w:rPr>
                <w:b/>
                <w:bCs/>
                <w:caps/>
                <w:szCs w:val="22"/>
                <w:lang w:val="sk-SK"/>
              </w:rPr>
              <w:t>Inherentne rezistentné kmene</w:t>
            </w:r>
          </w:p>
        </w:tc>
      </w:tr>
      <w:tr w:rsidR="003E3C22" w:rsidRPr="00632C4B" w14:paraId="67C1B535" w14:textId="77777777" w:rsidTr="00233E28">
        <w:trPr>
          <w:tblCellSpacing w:w="15" w:type="dxa"/>
        </w:trPr>
        <w:tc>
          <w:tcPr>
            <w:tcW w:w="62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2DCA96" w14:textId="77777777" w:rsidR="003E3C22" w:rsidRPr="00632C4B" w:rsidRDefault="003E3C22" w:rsidP="003E3C22">
            <w:pPr>
              <w:rPr>
                <w:color w:val="FF6600"/>
                <w:szCs w:val="22"/>
                <w:lang w:val="sk-SK"/>
              </w:rPr>
            </w:pPr>
            <w:r w:rsidRPr="00632C4B">
              <w:rPr>
                <w:b/>
                <w:bCs/>
                <w:i/>
                <w:iCs/>
                <w:szCs w:val="22"/>
                <w:lang w:val="sk-SK"/>
              </w:rPr>
              <w:t xml:space="preserve">Gram-pozitívne </w:t>
            </w:r>
            <w:proofErr w:type="spellStart"/>
            <w:r w:rsidRPr="00632C4B">
              <w:rPr>
                <w:b/>
                <w:bCs/>
                <w:i/>
                <w:iCs/>
                <w:szCs w:val="22"/>
                <w:lang w:val="sk-SK"/>
              </w:rPr>
              <w:t>aeróby</w:t>
            </w:r>
            <w:proofErr w:type="spellEnd"/>
          </w:p>
        </w:tc>
      </w:tr>
      <w:tr w:rsidR="003E3C22" w:rsidRPr="00632C4B" w14:paraId="0CD44241" w14:textId="77777777" w:rsidTr="00233E28">
        <w:trPr>
          <w:tblCellSpacing w:w="15" w:type="dxa"/>
        </w:trPr>
        <w:tc>
          <w:tcPr>
            <w:tcW w:w="62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518E7E" w14:textId="77777777" w:rsidR="003E3C22" w:rsidRPr="00632C4B" w:rsidRDefault="003E3C22" w:rsidP="003E3C22">
            <w:pPr>
              <w:rPr>
                <w:szCs w:val="22"/>
                <w:lang w:val="sk-SK"/>
              </w:rPr>
            </w:pPr>
            <w:proofErr w:type="spellStart"/>
            <w:r w:rsidRPr="00632C4B">
              <w:rPr>
                <w:i/>
                <w:iCs/>
                <w:szCs w:val="22"/>
                <w:lang w:val="sk-SK"/>
              </w:rPr>
              <w:lastRenderedPageBreak/>
              <w:t>Enterococcus</w:t>
            </w:r>
            <w:proofErr w:type="spellEnd"/>
            <w:r w:rsidRPr="00632C4B">
              <w:rPr>
                <w:i/>
                <w:iCs/>
                <w:szCs w:val="22"/>
                <w:lang w:val="sk-SK"/>
              </w:rPr>
              <w:t xml:space="preserve"> </w:t>
            </w:r>
            <w:proofErr w:type="spellStart"/>
            <w:r w:rsidRPr="00632C4B">
              <w:rPr>
                <w:szCs w:val="22"/>
                <w:lang w:val="sk-SK"/>
              </w:rPr>
              <w:t>spp</w:t>
            </w:r>
            <w:proofErr w:type="spellEnd"/>
            <w:r w:rsidRPr="00632C4B">
              <w:rPr>
                <w:szCs w:val="22"/>
                <w:lang w:val="sk-SK"/>
              </w:rPr>
              <w:t>.</w:t>
            </w:r>
          </w:p>
        </w:tc>
      </w:tr>
      <w:tr w:rsidR="003E3C22" w:rsidRPr="00632C4B" w14:paraId="4F89BE8F" w14:textId="77777777" w:rsidTr="00233E28">
        <w:trPr>
          <w:tblCellSpacing w:w="15" w:type="dxa"/>
        </w:trPr>
        <w:tc>
          <w:tcPr>
            <w:tcW w:w="62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FE8038" w14:textId="77777777" w:rsidR="003E3C22" w:rsidRPr="00632C4B" w:rsidRDefault="003E3C22" w:rsidP="003E3C22">
            <w:pPr>
              <w:rPr>
                <w:szCs w:val="22"/>
                <w:lang w:val="sk-SK"/>
              </w:rPr>
            </w:pPr>
            <w:proofErr w:type="spellStart"/>
            <w:r w:rsidRPr="00632C4B">
              <w:rPr>
                <w:i/>
                <w:iCs/>
                <w:szCs w:val="22"/>
                <w:lang w:val="sk-SK"/>
              </w:rPr>
              <w:t>Listeria</w:t>
            </w:r>
            <w:proofErr w:type="spellEnd"/>
            <w:r w:rsidRPr="00632C4B">
              <w:rPr>
                <w:i/>
                <w:iCs/>
                <w:szCs w:val="22"/>
                <w:lang w:val="sk-SK"/>
              </w:rPr>
              <w:t xml:space="preserve"> </w:t>
            </w:r>
            <w:proofErr w:type="spellStart"/>
            <w:r w:rsidRPr="00632C4B">
              <w:rPr>
                <w:i/>
                <w:iCs/>
                <w:szCs w:val="22"/>
                <w:lang w:val="sk-SK"/>
              </w:rPr>
              <w:t>monocytogenes</w:t>
            </w:r>
            <w:proofErr w:type="spellEnd"/>
          </w:p>
        </w:tc>
      </w:tr>
      <w:tr w:rsidR="003E3C22" w:rsidRPr="00632C4B" w14:paraId="71D4A43A" w14:textId="77777777" w:rsidTr="00233E28">
        <w:trPr>
          <w:tblCellSpacing w:w="15" w:type="dxa"/>
        </w:trPr>
        <w:tc>
          <w:tcPr>
            <w:tcW w:w="62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604219" w14:textId="4B9C5658" w:rsidR="003E3C22" w:rsidRPr="00632C4B" w:rsidRDefault="003E3C22" w:rsidP="00ED0CCD">
            <w:pPr>
              <w:rPr>
                <w:color w:val="FF6600"/>
                <w:szCs w:val="22"/>
                <w:lang w:val="sk-SK"/>
              </w:rPr>
            </w:pPr>
            <w:proofErr w:type="spellStart"/>
            <w:r w:rsidRPr="00806C37">
              <w:rPr>
                <w:i/>
                <w:iCs/>
                <w:szCs w:val="22"/>
                <w:lang w:val="sk-SK"/>
              </w:rPr>
              <w:t>Staphylococcus</w:t>
            </w:r>
            <w:proofErr w:type="spellEnd"/>
            <w:r w:rsidRPr="00806C37">
              <w:rPr>
                <w:i/>
                <w:iCs/>
                <w:szCs w:val="22"/>
                <w:lang w:val="sk-SK"/>
              </w:rPr>
              <w:t xml:space="preserve"> </w:t>
            </w:r>
            <w:proofErr w:type="spellStart"/>
            <w:r w:rsidRPr="00806C37">
              <w:rPr>
                <w:i/>
                <w:iCs/>
                <w:szCs w:val="22"/>
                <w:lang w:val="sk-SK"/>
              </w:rPr>
              <w:t>aureus</w:t>
            </w:r>
            <w:proofErr w:type="spellEnd"/>
            <w:r w:rsidRPr="00806C37">
              <w:rPr>
                <w:i/>
                <w:iCs/>
                <w:szCs w:val="22"/>
                <w:lang w:val="sk-SK"/>
              </w:rPr>
              <w:t xml:space="preserve"> </w:t>
            </w:r>
            <w:r w:rsidR="00ED0CCD">
              <w:rPr>
                <w:iCs/>
                <w:szCs w:val="22"/>
                <w:lang w:val="sk-SK"/>
              </w:rPr>
              <w:t>(</w:t>
            </w:r>
            <w:r w:rsidRPr="00806C37">
              <w:rPr>
                <w:szCs w:val="22"/>
                <w:lang w:val="sk-SK"/>
              </w:rPr>
              <w:t xml:space="preserve">rezistentný voči </w:t>
            </w:r>
            <w:proofErr w:type="spellStart"/>
            <w:r w:rsidRPr="00806C37">
              <w:rPr>
                <w:szCs w:val="22"/>
                <w:lang w:val="sk-SK"/>
              </w:rPr>
              <w:t>meticilínu</w:t>
            </w:r>
            <w:proofErr w:type="spellEnd"/>
            <w:r w:rsidRPr="00632C4B">
              <w:rPr>
                <w:szCs w:val="22"/>
                <w:lang w:val="sk-SK"/>
              </w:rPr>
              <w:t>)</w:t>
            </w:r>
          </w:p>
        </w:tc>
      </w:tr>
      <w:tr w:rsidR="003E3C22" w:rsidRPr="00632C4B" w14:paraId="797E95E7" w14:textId="77777777" w:rsidTr="00233E28">
        <w:trPr>
          <w:tblCellSpacing w:w="15" w:type="dxa"/>
        </w:trPr>
        <w:tc>
          <w:tcPr>
            <w:tcW w:w="62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0C8CB4" w14:textId="77777777" w:rsidR="003E3C22" w:rsidRPr="00632C4B" w:rsidRDefault="003E3C22" w:rsidP="003E3C22">
            <w:pPr>
              <w:rPr>
                <w:color w:val="FF6600"/>
                <w:szCs w:val="22"/>
                <w:lang w:val="sk-SK"/>
              </w:rPr>
            </w:pPr>
            <w:r w:rsidRPr="00632C4B">
              <w:rPr>
                <w:b/>
                <w:bCs/>
                <w:i/>
                <w:iCs/>
                <w:szCs w:val="22"/>
                <w:lang w:val="sk-SK"/>
              </w:rPr>
              <w:t xml:space="preserve">Gram-negatívne </w:t>
            </w:r>
            <w:proofErr w:type="spellStart"/>
            <w:r w:rsidRPr="00632C4B">
              <w:rPr>
                <w:b/>
                <w:bCs/>
                <w:i/>
                <w:iCs/>
                <w:szCs w:val="22"/>
                <w:lang w:val="sk-SK"/>
              </w:rPr>
              <w:t>aeróby</w:t>
            </w:r>
            <w:proofErr w:type="spellEnd"/>
          </w:p>
        </w:tc>
      </w:tr>
      <w:tr w:rsidR="003E3C22" w:rsidRPr="00632C4B" w14:paraId="0CB7E228" w14:textId="77777777" w:rsidTr="00233E28">
        <w:trPr>
          <w:tblCellSpacing w:w="15" w:type="dxa"/>
        </w:trPr>
        <w:tc>
          <w:tcPr>
            <w:tcW w:w="62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49A7D2" w14:textId="47A94EB3" w:rsidR="003E3C22" w:rsidRPr="00AE1F68" w:rsidRDefault="003E3C22" w:rsidP="00AE1F68">
            <w:pPr>
              <w:rPr>
                <w:szCs w:val="22"/>
                <w:lang w:val="sk-SK"/>
              </w:rPr>
            </w:pPr>
            <w:proofErr w:type="spellStart"/>
            <w:r w:rsidRPr="00632C4B">
              <w:rPr>
                <w:i/>
                <w:iCs/>
                <w:szCs w:val="22"/>
                <w:lang w:val="sk-SK"/>
              </w:rPr>
              <w:t>Acinetobacter</w:t>
            </w:r>
            <w:proofErr w:type="spellEnd"/>
            <w:r w:rsidRPr="00632C4B">
              <w:rPr>
                <w:i/>
                <w:iCs/>
                <w:szCs w:val="22"/>
                <w:lang w:val="sk-SK"/>
              </w:rPr>
              <w:t xml:space="preserve"> </w:t>
            </w:r>
            <w:proofErr w:type="spellStart"/>
            <w:r w:rsidR="00AE1F68">
              <w:rPr>
                <w:iCs/>
                <w:szCs w:val="22"/>
                <w:lang w:val="sk-SK"/>
              </w:rPr>
              <w:t>spp</w:t>
            </w:r>
            <w:proofErr w:type="spellEnd"/>
            <w:r w:rsidR="00AE1F68">
              <w:rPr>
                <w:iCs/>
                <w:szCs w:val="22"/>
                <w:lang w:val="sk-SK"/>
              </w:rPr>
              <w:t>.</w:t>
            </w:r>
          </w:p>
        </w:tc>
      </w:tr>
      <w:tr w:rsidR="00AE1F68" w:rsidRPr="00632C4B" w14:paraId="15C5C026" w14:textId="77777777" w:rsidTr="006376DC">
        <w:trPr>
          <w:tblCellSpacing w:w="15" w:type="dxa"/>
        </w:trPr>
        <w:tc>
          <w:tcPr>
            <w:tcW w:w="62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6BDB39" w14:textId="77777777" w:rsidR="00AE1F68" w:rsidRPr="00632C4B" w:rsidRDefault="00AE1F68" w:rsidP="00AE1F68">
            <w:pPr>
              <w:rPr>
                <w:i/>
                <w:iCs/>
                <w:szCs w:val="22"/>
                <w:lang w:val="sk-SK"/>
              </w:rPr>
            </w:pPr>
            <w:r>
              <w:rPr>
                <w:rFonts w:eastAsia="MS Mincho"/>
                <w:i/>
                <w:color w:val="000000"/>
                <w:lang w:eastAsia="ja-JP"/>
              </w:rPr>
              <w:t xml:space="preserve">Legionella </w:t>
            </w:r>
            <w:proofErr w:type="spellStart"/>
            <w:r>
              <w:rPr>
                <w:rFonts w:eastAsia="MS Mincho"/>
                <w:i/>
                <w:color w:val="000000"/>
                <w:lang w:eastAsia="ja-JP"/>
              </w:rPr>
              <w:t>pneumophila</w:t>
            </w:r>
            <w:proofErr w:type="spellEnd"/>
            <w:r>
              <w:rPr>
                <w:rFonts w:eastAsia="MS Mincho"/>
                <w:i/>
                <w:color w:val="000000"/>
                <w:lang w:eastAsia="ja-JP"/>
              </w:rPr>
              <w:t xml:space="preserve"> </w:t>
            </w:r>
          </w:p>
        </w:tc>
      </w:tr>
      <w:tr w:rsidR="003E3C22" w:rsidRPr="00632C4B" w14:paraId="03D360CE" w14:textId="77777777" w:rsidTr="00233E28">
        <w:trPr>
          <w:tblCellSpacing w:w="15" w:type="dxa"/>
        </w:trPr>
        <w:tc>
          <w:tcPr>
            <w:tcW w:w="62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692C3F" w14:textId="77777777" w:rsidR="003E3C22" w:rsidRPr="00632C4B" w:rsidRDefault="003E3C22" w:rsidP="003E3C22">
            <w:pPr>
              <w:rPr>
                <w:szCs w:val="22"/>
                <w:lang w:val="sk-SK"/>
              </w:rPr>
            </w:pPr>
            <w:proofErr w:type="spellStart"/>
            <w:r w:rsidRPr="00632C4B">
              <w:rPr>
                <w:i/>
                <w:iCs/>
                <w:szCs w:val="22"/>
                <w:lang w:val="sk-SK"/>
              </w:rPr>
              <w:t>Pseudomonas</w:t>
            </w:r>
            <w:proofErr w:type="spellEnd"/>
            <w:r w:rsidRPr="00632C4B">
              <w:rPr>
                <w:i/>
                <w:iCs/>
                <w:szCs w:val="22"/>
                <w:lang w:val="sk-SK"/>
              </w:rPr>
              <w:t xml:space="preserve"> </w:t>
            </w:r>
            <w:proofErr w:type="spellStart"/>
            <w:r w:rsidRPr="00632C4B">
              <w:rPr>
                <w:i/>
                <w:iCs/>
                <w:szCs w:val="22"/>
                <w:lang w:val="sk-SK"/>
              </w:rPr>
              <w:t>aeruginosa</w:t>
            </w:r>
            <w:proofErr w:type="spellEnd"/>
          </w:p>
        </w:tc>
      </w:tr>
      <w:tr w:rsidR="003E3C22" w:rsidRPr="00632C4B" w14:paraId="206C58DE" w14:textId="77777777" w:rsidTr="00233E28">
        <w:trPr>
          <w:tblCellSpacing w:w="15" w:type="dxa"/>
        </w:trPr>
        <w:tc>
          <w:tcPr>
            <w:tcW w:w="62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35723C" w14:textId="77777777" w:rsidR="003E3C22" w:rsidRPr="00632C4B" w:rsidRDefault="003E3C22" w:rsidP="003E3C22">
            <w:pPr>
              <w:rPr>
                <w:szCs w:val="22"/>
                <w:lang w:val="sk-SK"/>
              </w:rPr>
            </w:pPr>
            <w:proofErr w:type="spellStart"/>
            <w:r w:rsidRPr="00632C4B">
              <w:rPr>
                <w:i/>
                <w:iCs/>
                <w:szCs w:val="22"/>
                <w:lang w:val="sk-SK"/>
              </w:rPr>
              <w:t>Stenotrophomonas</w:t>
            </w:r>
            <w:proofErr w:type="spellEnd"/>
            <w:r w:rsidRPr="00632C4B">
              <w:rPr>
                <w:i/>
                <w:iCs/>
                <w:szCs w:val="22"/>
                <w:lang w:val="sk-SK"/>
              </w:rPr>
              <w:t xml:space="preserve"> </w:t>
            </w:r>
            <w:proofErr w:type="spellStart"/>
            <w:r w:rsidRPr="00632C4B">
              <w:rPr>
                <w:i/>
                <w:iCs/>
                <w:szCs w:val="22"/>
                <w:lang w:val="sk-SK"/>
              </w:rPr>
              <w:t>maltophilia</w:t>
            </w:r>
            <w:proofErr w:type="spellEnd"/>
          </w:p>
        </w:tc>
      </w:tr>
      <w:tr w:rsidR="003E3C22" w:rsidRPr="00632C4B" w14:paraId="7BC62607" w14:textId="77777777" w:rsidTr="00233E28">
        <w:trPr>
          <w:tblCellSpacing w:w="15" w:type="dxa"/>
        </w:trPr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53FAB7" w14:textId="77777777" w:rsidR="003E3C22" w:rsidRPr="00632C4B" w:rsidRDefault="003E3C22" w:rsidP="003E3C22">
            <w:pPr>
              <w:rPr>
                <w:color w:val="FF6600"/>
                <w:szCs w:val="22"/>
                <w:lang w:val="sk-SK"/>
              </w:rPr>
            </w:pPr>
            <w:r w:rsidRPr="00632C4B">
              <w:rPr>
                <w:b/>
                <w:bCs/>
                <w:i/>
                <w:iCs/>
                <w:szCs w:val="22"/>
                <w:lang w:val="sk-SK"/>
              </w:rPr>
              <w:t>Anaeróby</w:t>
            </w:r>
          </w:p>
        </w:tc>
      </w:tr>
      <w:tr w:rsidR="003E3C22" w:rsidRPr="00632C4B" w14:paraId="57D5E152" w14:textId="77777777" w:rsidTr="00233E28">
        <w:trPr>
          <w:tblCellSpacing w:w="15" w:type="dxa"/>
        </w:trPr>
        <w:tc>
          <w:tcPr>
            <w:tcW w:w="62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ADDBCA" w14:textId="77777777" w:rsidR="003E3C22" w:rsidRPr="00632C4B" w:rsidRDefault="003E3C22" w:rsidP="003E3C22">
            <w:pPr>
              <w:rPr>
                <w:szCs w:val="22"/>
                <w:lang w:val="sk-SK"/>
              </w:rPr>
            </w:pPr>
            <w:r w:rsidRPr="00B96BD6">
              <w:rPr>
                <w:rFonts w:eastAsia="MS Mincho"/>
                <w:i/>
                <w:color w:val="000000"/>
                <w:lang w:eastAsia="ja-JP"/>
              </w:rPr>
              <w:t>Clostridium difficile</w:t>
            </w:r>
          </w:p>
        </w:tc>
      </w:tr>
      <w:tr w:rsidR="003E3C22" w:rsidRPr="00632C4B" w14:paraId="364A8C2B" w14:textId="77777777" w:rsidTr="00233E28">
        <w:trPr>
          <w:tblCellSpacing w:w="15" w:type="dxa"/>
        </w:trPr>
        <w:tc>
          <w:tcPr>
            <w:tcW w:w="62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053EE3" w14:textId="453D15F9" w:rsidR="003E3C22" w:rsidRPr="00FF51A5" w:rsidRDefault="003E3C22" w:rsidP="00821F49">
            <w:pPr>
              <w:rPr>
                <w:b/>
                <w:bCs/>
                <w:i/>
                <w:iCs/>
                <w:color w:val="FF6600"/>
                <w:szCs w:val="22"/>
                <w:lang w:val="sk-SK"/>
              </w:rPr>
            </w:pPr>
            <w:r w:rsidRPr="00FF51A5">
              <w:rPr>
                <w:b/>
                <w:bCs/>
                <w:i/>
                <w:iCs/>
                <w:szCs w:val="22"/>
                <w:lang w:val="sk-SK"/>
              </w:rPr>
              <w:t>Iné</w:t>
            </w:r>
            <w:r w:rsidRPr="00FF51A5">
              <w:rPr>
                <w:b/>
                <w:bCs/>
                <w:i/>
                <w:iCs/>
                <w:color w:val="FF6600"/>
                <w:szCs w:val="22"/>
                <w:lang w:val="sk-SK"/>
              </w:rPr>
              <w:t xml:space="preserve"> </w:t>
            </w:r>
          </w:p>
        </w:tc>
      </w:tr>
      <w:tr w:rsidR="003E3C22" w:rsidRPr="00632C4B" w14:paraId="68D3D1D1" w14:textId="77777777" w:rsidTr="00233E28">
        <w:trPr>
          <w:tblCellSpacing w:w="15" w:type="dxa"/>
        </w:trPr>
        <w:tc>
          <w:tcPr>
            <w:tcW w:w="62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F01148" w14:textId="77777777" w:rsidR="003E3C22" w:rsidRPr="00632C4B" w:rsidRDefault="003E3C22" w:rsidP="003E3C22">
            <w:pPr>
              <w:rPr>
                <w:szCs w:val="22"/>
                <w:lang w:val="sk-SK"/>
              </w:rPr>
            </w:pPr>
            <w:proofErr w:type="spellStart"/>
            <w:r w:rsidRPr="00632C4B">
              <w:rPr>
                <w:i/>
                <w:iCs/>
                <w:szCs w:val="22"/>
                <w:lang w:val="sk-SK"/>
              </w:rPr>
              <w:t>Chlamydia</w:t>
            </w:r>
            <w:proofErr w:type="spellEnd"/>
            <w:r w:rsidRPr="00632C4B">
              <w:rPr>
                <w:i/>
                <w:iCs/>
                <w:szCs w:val="22"/>
                <w:lang w:val="sk-SK"/>
              </w:rPr>
              <w:t xml:space="preserve"> </w:t>
            </w:r>
            <w:proofErr w:type="spellStart"/>
            <w:r w:rsidRPr="00632C4B">
              <w:rPr>
                <w:szCs w:val="22"/>
                <w:lang w:val="sk-SK"/>
              </w:rPr>
              <w:t>spp</w:t>
            </w:r>
            <w:proofErr w:type="spellEnd"/>
            <w:r w:rsidRPr="00632C4B">
              <w:rPr>
                <w:i/>
                <w:iCs/>
                <w:szCs w:val="22"/>
                <w:lang w:val="sk-SK"/>
              </w:rPr>
              <w:t>.</w:t>
            </w:r>
          </w:p>
        </w:tc>
      </w:tr>
      <w:tr w:rsidR="003E3C22" w:rsidRPr="00632C4B" w14:paraId="2BB774E3" w14:textId="77777777" w:rsidTr="00233E28">
        <w:trPr>
          <w:tblCellSpacing w:w="15" w:type="dxa"/>
        </w:trPr>
        <w:tc>
          <w:tcPr>
            <w:tcW w:w="62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2536E3" w14:textId="77777777" w:rsidR="003E3C22" w:rsidRPr="00632C4B" w:rsidRDefault="003E3C22" w:rsidP="003E3C22">
            <w:pPr>
              <w:rPr>
                <w:szCs w:val="22"/>
                <w:lang w:val="sk-SK"/>
              </w:rPr>
            </w:pPr>
            <w:proofErr w:type="spellStart"/>
            <w:r w:rsidRPr="00632C4B">
              <w:rPr>
                <w:i/>
                <w:iCs/>
                <w:szCs w:val="22"/>
                <w:lang w:val="sk-SK"/>
              </w:rPr>
              <w:t>Chlamydophila</w:t>
            </w:r>
            <w:proofErr w:type="spellEnd"/>
            <w:r w:rsidRPr="00632C4B">
              <w:rPr>
                <w:i/>
                <w:iCs/>
                <w:szCs w:val="22"/>
                <w:lang w:val="sk-SK"/>
              </w:rPr>
              <w:t xml:space="preserve"> </w:t>
            </w:r>
            <w:proofErr w:type="spellStart"/>
            <w:r w:rsidRPr="00632C4B">
              <w:rPr>
                <w:szCs w:val="22"/>
                <w:lang w:val="sk-SK"/>
              </w:rPr>
              <w:t>spp</w:t>
            </w:r>
            <w:proofErr w:type="spellEnd"/>
            <w:r w:rsidRPr="00632C4B">
              <w:rPr>
                <w:i/>
                <w:iCs/>
                <w:szCs w:val="22"/>
                <w:lang w:val="sk-SK"/>
              </w:rPr>
              <w:t>.</w:t>
            </w:r>
          </w:p>
        </w:tc>
      </w:tr>
      <w:tr w:rsidR="003E3C22" w:rsidRPr="00632C4B" w14:paraId="14B0E2DA" w14:textId="77777777" w:rsidTr="00233E28">
        <w:trPr>
          <w:tblCellSpacing w:w="15" w:type="dxa"/>
        </w:trPr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A6950C" w14:textId="77777777" w:rsidR="003E3C22" w:rsidRPr="00632C4B" w:rsidRDefault="003E3C22" w:rsidP="003E3C22">
            <w:pPr>
              <w:rPr>
                <w:szCs w:val="22"/>
                <w:lang w:val="sk-SK"/>
              </w:rPr>
            </w:pPr>
            <w:proofErr w:type="spellStart"/>
            <w:r w:rsidRPr="00632C4B">
              <w:rPr>
                <w:i/>
                <w:iCs/>
                <w:szCs w:val="22"/>
                <w:lang w:val="sk-SK"/>
              </w:rPr>
              <w:t>Mycoplasma</w:t>
            </w:r>
            <w:proofErr w:type="spellEnd"/>
            <w:r w:rsidRPr="00632C4B">
              <w:rPr>
                <w:i/>
                <w:iCs/>
                <w:szCs w:val="22"/>
                <w:lang w:val="sk-SK"/>
              </w:rPr>
              <w:t xml:space="preserve"> </w:t>
            </w:r>
            <w:proofErr w:type="spellStart"/>
            <w:r w:rsidRPr="00632C4B">
              <w:rPr>
                <w:szCs w:val="22"/>
                <w:lang w:val="sk-SK"/>
              </w:rPr>
              <w:t>spp</w:t>
            </w:r>
            <w:proofErr w:type="spellEnd"/>
            <w:r w:rsidRPr="00632C4B">
              <w:rPr>
                <w:szCs w:val="22"/>
                <w:lang w:val="sk-SK"/>
              </w:rPr>
              <w:t>.</w:t>
            </w:r>
          </w:p>
        </w:tc>
      </w:tr>
      <w:tr w:rsidR="003E3C22" w:rsidRPr="00632C4B" w14:paraId="293D3C93" w14:textId="77777777" w:rsidTr="00233E28">
        <w:trPr>
          <w:tblCellSpacing w:w="15" w:type="dxa"/>
        </w:trPr>
        <w:tc>
          <w:tcPr>
            <w:tcW w:w="62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FB717A" w14:textId="77777777" w:rsidR="003E3C22" w:rsidRPr="00632C4B" w:rsidRDefault="003E3C22" w:rsidP="003E3C22">
            <w:pPr>
              <w:rPr>
                <w:szCs w:val="22"/>
                <w:lang w:val="sk-SK"/>
              </w:rPr>
            </w:pPr>
            <w:proofErr w:type="spellStart"/>
            <w:r w:rsidRPr="00632C4B">
              <w:rPr>
                <w:i/>
                <w:iCs/>
                <w:szCs w:val="22"/>
                <w:lang w:val="sk-SK"/>
              </w:rPr>
              <w:t>Treponema</w:t>
            </w:r>
            <w:proofErr w:type="spellEnd"/>
            <w:r w:rsidRPr="00632C4B">
              <w:rPr>
                <w:i/>
                <w:iCs/>
                <w:szCs w:val="22"/>
                <w:lang w:val="sk-SK"/>
              </w:rPr>
              <w:t xml:space="preserve"> </w:t>
            </w:r>
            <w:proofErr w:type="spellStart"/>
            <w:r w:rsidRPr="00632C4B">
              <w:rPr>
                <w:i/>
                <w:iCs/>
                <w:szCs w:val="22"/>
                <w:lang w:val="sk-SK"/>
              </w:rPr>
              <w:t>pallidum</w:t>
            </w:r>
            <w:proofErr w:type="spellEnd"/>
          </w:p>
        </w:tc>
      </w:tr>
    </w:tbl>
    <w:p w14:paraId="2D49926B" w14:textId="77777777" w:rsidR="003E3C22" w:rsidRDefault="003E3C22" w:rsidP="003E3C22">
      <w:pPr>
        <w:rPr>
          <w:lang w:val="sk-SK"/>
        </w:rPr>
      </w:pPr>
    </w:p>
    <w:p w14:paraId="7A82E37E" w14:textId="68417F08" w:rsidR="003E3C22" w:rsidRPr="00346D66" w:rsidRDefault="003E3C22" w:rsidP="003E3C22">
      <w:pPr>
        <w:autoSpaceDE w:val="0"/>
        <w:autoSpaceDN w:val="0"/>
        <w:adjustRightInd w:val="0"/>
        <w:rPr>
          <w:sz w:val="20"/>
          <w:lang w:val="sk-SK"/>
        </w:rPr>
      </w:pPr>
      <w:r w:rsidRPr="00346D66">
        <w:rPr>
          <w:sz w:val="20"/>
          <w:lang w:val="sk-SK"/>
        </w:rPr>
        <w:t xml:space="preserve">° </w:t>
      </w:r>
      <w:r w:rsidR="00955ECB">
        <w:rPr>
          <w:sz w:val="20"/>
          <w:lang w:val="sk-SK"/>
        </w:rPr>
        <w:t xml:space="preserve">  </w:t>
      </w:r>
      <w:r w:rsidR="00405566" w:rsidRPr="00405566">
        <w:rPr>
          <w:sz w:val="20"/>
          <w:lang w:val="sk-SK"/>
        </w:rPr>
        <w:t xml:space="preserve">V čase publikovania tabuľky neboli k dispozícii aktualizované údaje. </w:t>
      </w:r>
      <w:r w:rsidR="00134364">
        <w:rPr>
          <w:sz w:val="20"/>
          <w:lang w:val="sk-SK"/>
        </w:rPr>
        <w:t xml:space="preserve">Citlivosť </w:t>
      </w:r>
      <w:r w:rsidR="00134364" w:rsidRPr="00134364">
        <w:rPr>
          <w:sz w:val="20"/>
          <w:lang w:val="sk-SK"/>
        </w:rPr>
        <w:t xml:space="preserve">je odvodená zo súčasných </w:t>
      </w:r>
      <w:r w:rsidR="00134364">
        <w:rPr>
          <w:sz w:val="20"/>
          <w:lang w:val="sk-SK"/>
        </w:rPr>
        <w:br/>
        <w:t xml:space="preserve">     </w:t>
      </w:r>
      <w:r w:rsidR="00134364" w:rsidRPr="00134364">
        <w:rPr>
          <w:sz w:val="20"/>
          <w:lang w:val="sk-SK"/>
        </w:rPr>
        <w:t>vedeckých poznatkov</w:t>
      </w:r>
      <w:r w:rsidR="00134364">
        <w:rPr>
          <w:sz w:val="20"/>
          <w:lang w:val="sk-SK"/>
        </w:rPr>
        <w:t xml:space="preserve">. </w:t>
      </w:r>
    </w:p>
    <w:p w14:paraId="0A5E43B3" w14:textId="001E1751" w:rsidR="003E3C22" w:rsidRPr="00BA6D51" w:rsidRDefault="003E3C22" w:rsidP="003E3C22">
      <w:pPr>
        <w:rPr>
          <w:sz w:val="20"/>
          <w:lang w:val="sk-SK"/>
        </w:rPr>
      </w:pPr>
      <w:r w:rsidRPr="00BA6D51">
        <w:rPr>
          <w:sz w:val="20"/>
          <w:vertAlign w:val="superscript"/>
          <w:lang w:val="sk-SK"/>
        </w:rPr>
        <w:t xml:space="preserve">+ </w:t>
      </w:r>
      <w:r w:rsidR="00955ECB">
        <w:rPr>
          <w:sz w:val="20"/>
          <w:vertAlign w:val="superscript"/>
          <w:lang w:val="sk-SK"/>
        </w:rPr>
        <w:t xml:space="preserve">    </w:t>
      </w:r>
      <w:r w:rsidRPr="00BA6D51">
        <w:rPr>
          <w:sz w:val="20"/>
          <w:lang w:val="sk-SK"/>
        </w:rPr>
        <w:t xml:space="preserve">V </w:t>
      </w:r>
      <w:r w:rsidR="00606C46">
        <w:rPr>
          <w:sz w:val="20"/>
          <w:lang w:val="sk-SK"/>
        </w:rPr>
        <w:t>najmenej</w:t>
      </w:r>
      <w:r w:rsidRPr="00BA6D51">
        <w:rPr>
          <w:sz w:val="20"/>
          <w:lang w:val="sk-SK"/>
        </w:rPr>
        <w:t xml:space="preserve"> jednom regióne je </w:t>
      </w:r>
      <w:r w:rsidR="00530C58">
        <w:rPr>
          <w:sz w:val="20"/>
          <w:lang w:val="sk-SK"/>
        </w:rPr>
        <w:t>miera</w:t>
      </w:r>
      <w:r w:rsidRPr="00BA6D51">
        <w:rPr>
          <w:sz w:val="20"/>
          <w:lang w:val="sk-SK"/>
        </w:rPr>
        <w:t xml:space="preserve"> rezistencie &gt; 50 %. </w:t>
      </w:r>
    </w:p>
    <w:p w14:paraId="5D57E54B" w14:textId="1D712B03" w:rsidR="003E3C22" w:rsidRPr="00BA6D51" w:rsidRDefault="003E3C22" w:rsidP="003E3C22">
      <w:pPr>
        <w:rPr>
          <w:sz w:val="20"/>
          <w:lang w:val="sk-SK"/>
        </w:rPr>
      </w:pPr>
      <w:r w:rsidRPr="00BA6D51">
        <w:rPr>
          <w:sz w:val="20"/>
          <w:vertAlign w:val="superscript"/>
          <w:lang w:val="sk-SK"/>
        </w:rPr>
        <w:t>%</w:t>
      </w:r>
      <w:r w:rsidRPr="00BA6D51">
        <w:rPr>
          <w:sz w:val="20"/>
          <w:lang w:val="sk-SK"/>
        </w:rPr>
        <w:t xml:space="preserve"> </w:t>
      </w:r>
      <w:r w:rsidR="00955ECB">
        <w:rPr>
          <w:sz w:val="20"/>
          <w:lang w:val="sk-SK"/>
        </w:rPr>
        <w:t xml:space="preserve">  </w:t>
      </w:r>
      <w:r w:rsidRPr="00BA6D51">
        <w:rPr>
          <w:sz w:val="20"/>
          <w:lang w:val="sk-SK"/>
        </w:rPr>
        <w:t xml:space="preserve">Kmene produkujúce </w:t>
      </w:r>
      <w:proofErr w:type="spellStart"/>
      <w:r w:rsidRPr="00BA6D51">
        <w:rPr>
          <w:sz w:val="20"/>
          <w:lang w:val="sk-SK"/>
        </w:rPr>
        <w:t>betalaktamáz</w:t>
      </w:r>
      <w:r w:rsidR="00563B42">
        <w:rPr>
          <w:sz w:val="20"/>
          <w:lang w:val="sk-SK"/>
        </w:rPr>
        <w:t>y</w:t>
      </w:r>
      <w:proofErr w:type="spellEnd"/>
      <w:r w:rsidRPr="00BA6D51">
        <w:rPr>
          <w:sz w:val="20"/>
          <w:lang w:val="sk-SK"/>
        </w:rPr>
        <w:t xml:space="preserve"> </w:t>
      </w:r>
      <w:r w:rsidR="00705D6B">
        <w:rPr>
          <w:sz w:val="20"/>
          <w:lang w:val="sk-SK"/>
        </w:rPr>
        <w:t xml:space="preserve">s </w:t>
      </w:r>
      <w:r w:rsidR="00705D6B" w:rsidRPr="00BA6D51">
        <w:rPr>
          <w:sz w:val="20"/>
          <w:lang w:val="sk-SK"/>
        </w:rPr>
        <w:t>rozšíren</w:t>
      </w:r>
      <w:r w:rsidR="00705D6B">
        <w:rPr>
          <w:sz w:val="20"/>
          <w:lang w:val="sk-SK"/>
        </w:rPr>
        <w:t>ým</w:t>
      </w:r>
      <w:r w:rsidR="00705D6B" w:rsidRPr="00BA6D51">
        <w:rPr>
          <w:sz w:val="20"/>
          <w:lang w:val="sk-SK"/>
        </w:rPr>
        <w:t xml:space="preserve"> spektr</w:t>
      </w:r>
      <w:r w:rsidR="00705D6B">
        <w:rPr>
          <w:sz w:val="20"/>
          <w:lang w:val="sk-SK"/>
        </w:rPr>
        <w:t>o</w:t>
      </w:r>
      <w:r w:rsidR="00705D6B" w:rsidRPr="00BA6D51">
        <w:rPr>
          <w:sz w:val="20"/>
          <w:lang w:val="sk-SK"/>
        </w:rPr>
        <w:t xml:space="preserve">m </w:t>
      </w:r>
      <w:r w:rsidRPr="00BA6D51">
        <w:rPr>
          <w:sz w:val="20"/>
          <w:lang w:val="sk-SK"/>
        </w:rPr>
        <w:t>(ESBL) sú vždy rezistentné.</w:t>
      </w:r>
    </w:p>
    <w:p w14:paraId="10046217" w14:textId="429C1071" w:rsidR="003E3C22" w:rsidRPr="00BA6D51" w:rsidRDefault="003E3C22" w:rsidP="003E3C22">
      <w:pPr>
        <w:rPr>
          <w:color w:val="FF6600"/>
          <w:sz w:val="20"/>
          <w:lang w:val="sk-SK"/>
        </w:rPr>
      </w:pPr>
      <w:r w:rsidRPr="00BA6D51">
        <w:rPr>
          <w:sz w:val="20"/>
          <w:lang w:val="sk-SK"/>
        </w:rPr>
        <w:t xml:space="preserve"> </w:t>
      </w:r>
      <w:r w:rsidR="00955ECB" w:rsidRPr="00F042C1">
        <w:rPr>
          <w:vertAlign w:val="superscript"/>
        </w:rPr>
        <w:sym w:font="Symbol" w:char="F027"/>
      </w:r>
      <w:r w:rsidRPr="00BA6D51">
        <w:rPr>
          <w:sz w:val="20"/>
          <w:vertAlign w:val="superscript"/>
          <w:lang w:val="sk-SK"/>
        </w:rPr>
        <w:t xml:space="preserve"> </w:t>
      </w:r>
      <w:r w:rsidR="00955ECB">
        <w:rPr>
          <w:sz w:val="20"/>
          <w:vertAlign w:val="superscript"/>
          <w:lang w:val="sk-SK"/>
        </w:rPr>
        <w:t xml:space="preserve">   </w:t>
      </w:r>
      <w:r w:rsidR="001A0324">
        <w:rPr>
          <w:sz w:val="20"/>
          <w:lang w:val="sk-SK"/>
        </w:rPr>
        <w:t xml:space="preserve">Pri </w:t>
      </w:r>
      <w:r w:rsidR="00705D6B">
        <w:rPr>
          <w:sz w:val="20"/>
          <w:lang w:val="sk-SK"/>
        </w:rPr>
        <w:t xml:space="preserve">komunitných </w:t>
      </w:r>
      <w:r w:rsidR="001A0324">
        <w:rPr>
          <w:sz w:val="20"/>
          <w:lang w:val="sk-SK"/>
        </w:rPr>
        <w:t xml:space="preserve">infekciách </w:t>
      </w:r>
      <w:r w:rsidRPr="00BA6D51">
        <w:rPr>
          <w:sz w:val="20"/>
          <w:lang w:val="sk-SK"/>
        </w:rPr>
        <w:t xml:space="preserve"> je miera rezistencie &lt; 10 %.</w:t>
      </w:r>
    </w:p>
    <w:p w14:paraId="1333B8CA" w14:textId="77777777" w:rsidR="003E3C22" w:rsidRDefault="003E3C22" w:rsidP="003E3C22">
      <w:pPr>
        <w:rPr>
          <w:sz w:val="20"/>
          <w:lang w:val="sk-SK"/>
        </w:rPr>
      </w:pPr>
    </w:p>
    <w:p w14:paraId="0697EFB4" w14:textId="77777777" w:rsidR="003E3C22" w:rsidRPr="004229C9" w:rsidRDefault="003E3C22" w:rsidP="003E3C22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sk-SK"/>
        </w:rPr>
      </w:pPr>
      <w:r w:rsidRPr="004229C9">
        <w:rPr>
          <w:b/>
          <w:noProof/>
          <w:szCs w:val="22"/>
          <w:lang w:val="sk-SK"/>
        </w:rPr>
        <w:t>5.2</w:t>
      </w:r>
      <w:r w:rsidRPr="004229C9">
        <w:rPr>
          <w:b/>
          <w:noProof/>
          <w:szCs w:val="22"/>
          <w:lang w:val="sk-SK"/>
        </w:rPr>
        <w:tab/>
      </w:r>
      <w:r w:rsidRPr="004229C9">
        <w:rPr>
          <w:b/>
          <w:iCs/>
          <w:noProof/>
          <w:szCs w:val="22"/>
          <w:lang w:val="sk-SK"/>
        </w:rPr>
        <w:t>Farmakokinetické vlastnosti</w:t>
      </w:r>
      <w:r w:rsidRPr="004229C9">
        <w:rPr>
          <w:b/>
          <w:noProof/>
          <w:szCs w:val="22"/>
          <w:lang w:val="sk-SK"/>
        </w:rPr>
        <w:t xml:space="preserve"> </w:t>
      </w:r>
    </w:p>
    <w:p w14:paraId="0DD389E9" w14:textId="77777777" w:rsidR="003E3C22" w:rsidRPr="004229C9" w:rsidRDefault="003E3C22" w:rsidP="003E3C22">
      <w:pPr>
        <w:numPr>
          <w:ilvl w:val="12"/>
          <w:numId w:val="0"/>
        </w:numPr>
        <w:ind w:right="-2"/>
        <w:rPr>
          <w:b/>
          <w:iCs/>
          <w:noProof/>
          <w:szCs w:val="22"/>
          <w:lang w:val="sk-SK"/>
        </w:rPr>
      </w:pPr>
      <w:r w:rsidRPr="004229C9">
        <w:rPr>
          <w:iCs/>
          <w:noProof/>
          <w:szCs w:val="22"/>
          <w:lang w:val="sk-SK"/>
        </w:rPr>
        <w:t xml:space="preserve">          </w:t>
      </w:r>
    </w:p>
    <w:p w14:paraId="075E67FF" w14:textId="2DF6100B" w:rsidR="003E3C22" w:rsidRPr="00233E28" w:rsidRDefault="003E3C22" w:rsidP="00233E28">
      <w:pPr>
        <w:tabs>
          <w:tab w:val="clear" w:pos="567"/>
        </w:tabs>
        <w:rPr>
          <w:lang w:val="sk-SK"/>
        </w:rPr>
      </w:pPr>
      <w:r w:rsidRPr="00233E28">
        <w:rPr>
          <w:u w:val="single"/>
          <w:lang w:val="sk-SK"/>
        </w:rPr>
        <w:t>Absorpcia</w:t>
      </w:r>
      <w:r w:rsidRPr="00233E28">
        <w:rPr>
          <w:lang w:val="sk-SK"/>
        </w:rPr>
        <w:t xml:space="preserve"> </w:t>
      </w:r>
    </w:p>
    <w:p w14:paraId="4BC84587" w14:textId="448A4AB8" w:rsidR="003E3C22" w:rsidRPr="004229C9" w:rsidRDefault="003E3C22" w:rsidP="00B0579F">
      <w:pPr>
        <w:jc w:val="both"/>
        <w:rPr>
          <w:lang w:val="sk-SK"/>
        </w:rPr>
      </w:pPr>
      <w:proofErr w:type="spellStart"/>
      <w:r>
        <w:rPr>
          <w:lang w:val="sk-SK"/>
        </w:rPr>
        <w:t>Cefotaxím</w:t>
      </w:r>
      <w:proofErr w:type="spellEnd"/>
      <w:r>
        <w:rPr>
          <w:lang w:val="sk-SK"/>
        </w:rPr>
        <w:t xml:space="preserve"> </w:t>
      </w:r>
      <w:r w:rsidRPr="004229C9">
        <w:rPr>
          <w:lang w:val="sk-SK"/>
        </w:rPr>
        <w:t xml:space="preserve">je určený pre </w:t>
      </w:r>
      <w:proofErr w:type="spellStart"/>
      <w:r w:rsidRPr="004229C9">
        <w:rPr>
          <w:lang w:val="sk-SK"/>
        </w:rPr>
        <w:t>parenterálnu</w:t>
      </w:r>
      <w:proofErr w:type="spellEnd"/>
      <w:r w:rsidRPr="004229C9">
        <w:rPr>
          <w:lang w:val="sk-SK"/>
        </w:rPr>
        <w:t xml:space="preserve"> aplikáciu. Priemerná maximálna koncentrácia 5 minút po intravenóznom podaní je asi 8</w:t>
      </w:r>
      <w:r>
        <w:rPr>
          <w:lang w:val="sk-SK"/>
        </w:rPr>
        <w:t>1</w:t>
      </w:r>
      <w:r w:rsidR="00A42FDD">
        <w:rPr>
          <w:lang w:val="sk-SK"/>
        </w:rPr>
        <w:t xml:space="preserve"> </w:t>
      </w:r>
      <w:r>
        <w:rPr>
          <w:lang w:val="sk-SK"/>
        </w:rPr>
        <w:t>-</w:t>
      </w:r>
      <w:r w:rsidR="00A42FDD">
        <w:rPr>
          <w:lang w:val="sk-SK"/>
        </w:rPr>
        <w:t xml:space="preserve"> </w:t>
      </w:r>
      <w:r>
        <w:rPr>
          <w:lang w:val="sk-SK"/>
        </w:rPr>
        <w:t xml:space="preserve">102 mg/l </w:t>
      </w:r>
      <w:r w:rsidR="00A42FDD">
        <w:rPr>
          <w:lang w:val="sk-SK"/>
        </w:rPr>
        <w:t xml:space="preserve">a 46 mg/l po 15 minútach </w:t>
      </w:r>
      <w:r>
        <w:rPr>
          <w:lang w:val="sk-SK"/>
        </w:rPr>
        <w:t xml:space="preserve">po dávke 1 g </w:t>
      </w:r>
      <w:proofErr w:type="spellStart"/>
      <w:r>
        <w:rPr>
          <w:lang w:val="sk-SK"/>
        </w:rPr>
        <w:t>cefotaxím</w:t>
      </w:r>
      <w:r w:rsidRPr="004229C9">
        <w:rPr>
          <w:lang w:val="sk-SK"/>
        </w:rPr>
        <w:t>u</w:t>
      </w:r>
      <w:proofErr w:type="spellEnd"/>
      <w:r w:rsidRPr="004229C9">
        <w:rPr>
          <w:lang w:val="sk-SK"/>
        </w:rPr>
        <w:t xml:space="preserve"> a asi 167</w:t>
      </w:r>
      <w:r w:rsidR="00501E28">
        <w:rPr>
          <w:lang w:val="sk-SK"/>
        </w:rPr>
        <w:t xml:space="preserve"> </w:t>
      </w:r>
      <w:r w:rsidRPr="004229C9">
        <w:rPr>
          <w:lang w:val="sk-SK"/>
        </w:rPr>
        <w:t>-</w:t>
      </w:r>
      <w:r w:rsidR="00501E28">
        <w:rPr>
          <w:lang w:val="sk-SK"/>
        </w:rPr>
        <w:t xml:space="preserve"> </w:t>
      </w:r>
      <w:r w:rsidRPr="004229C9">
        <w:rPr>
          <w:lang w:val="sk-SK"/>
        </w:rPr>
        <w:t xml:space="preserve">214 mg/l </w:t>
      </w:r>
      <w:r w:rsidRPr="00E50662">
        <w:rPr>
          <w:lang w:val="sk-SK"/>
        </w:rPr>
        <w:t xml:space="preserve">8 minút po </w:t>
      </w:r>
      <w:r w:rsidR="00501E28" w:rsidRPr="00E50662">
        <w:rPr>
          <w:lang w:val="sk-SK"/>
        </w:rPr>
        <w:t xml:space="preserve">dávke </w:t>
      </w:r>
      <w:r w:rsidRPr="00E50662">
        <w:rPr>
          <w:lang w:val="sk-SK"/>
        </w:rPr>
        <w:t>2 g.</w:t>
      </w:r>
      <w:r w:rsidRPr="004229C9">
        <w:rPr>
          <w:lang w:val="sk-SK"/>
        </w:rPr>
        <w:t xml:space="preserve"> </w:t>
      </w:r>
      <w:proofErr w:type="spellStart"/>
      <w:r w:rsidRPr="004229C9">
        <w:rPr>
          <w:lang w:val="sk-SK"/>
        </w:rPr>
        <w:t>Intramuskulárna</w:t>
      </w:r>
      <w:proofErr w:type="spellEnd"/>
      <w:r w:rsidRPr="004229C9">
        <w:rPr>
          <w:lang w:val="sk-SK"/>
        </w:rPr>
        <w:t xml:space="preserve"> injekcia vykazuje priemernú maximálnu plazmatickú koncentráciu </w:t>
      </w:r>
      <w:r w:rsidR="009A2C42">
        <w:rPr>
          <w:lang w:val="sk-SK"/>
        </w:rPr>
        <w:t xml:space="preserve">okolo </w:t>
      </w:r>
      <w:r w:rsidRPr="004229C9">
        <w:rPr>
          <w:lang w:val="sk-SK"/>
        </w:rPr>
        <w:t xml:space="preserve">20 mg/l počas 30 minút po </w:t>
      </w:r>
      <w:r w:rsidR="009A2C42" w:rsidRPr="004229C9">
        <w:rPr>
          <w:lang w:val="sk-SK"/>
        </w:rPr>
        <w:t xml:space="preserve">dávke </w:t>
      </w:r>
      <w:r w:rsidRPr="004229C9">
        <w:rPr>
          <w:lang w:val="sk-SK"/>
        </w:rPr>
        <w:t>1 g.</w:t>
      </w:r>
    </w:p>
    <w:p w14:paraId="5D20261B" w14:textId="77777777" w:rsidR="003E3C22" w:rsidRPr="004229C9" w:rsidRDefault="003E3C22" w:rsidP="003E3C22">
      <w:pPr>
        <w:ind w:left="567"/>
        <w:rPr>
          <w:lang w:val="sk-SK"/>
        </w:rPr>
      </w:pPr>
    </w:p>
    <w:p w14:paraId="3562C063" w14:textId="08614911" w:rsidR="003E3C22" w:rsidRPr="00233E28" w:rsidRDefault="003E3C22" w:rsidP="00233E28">
      <w:pPr>
        <w:rPr>
          <w:u w:val="single"/>
          <w:lang w:val="sk-SK"/>
        </w:rPr>
      </w:pPr>
      <w:r w:rsidRPr="00233E28">
        <w:rPr>
          <w:u w:val="single"/>
          <w:lang w:val="sk-SK"/>
        </w:rPr>
        <w:t>Distribúcia</w:t>
      </w:r>
    </w:p>
    <w:p w14:paraId="287B62FE" w14:textId="77777777" w:rsidR="00701C19" w:rsidRDefault="003E3C22" w:rsidP="00B0579F">
      <w:pPr>
        <w:jc w:val="both"/>
        <w:rPr>
          <w:lang w:val="sk-SK"/>
        </w:rPr>
      </w:pPr>
      <w:proofErr w:type="spellStart"/>
      <w:r>
        <w:rPr>
          <w:lang w:val="sk-SK"/>
        </w:rPr>
        <w:t>Cefotaxím</w:t>
      </w:r>
      <w:proofErr w:type="spellEnd"/>
      <w:r w:rsidRPr="00F07D71">
        <w:rPr>
          <w:lang w:val="sk-SK"/>
        </w:rPr>
        <w:t xml:space="preserve"> má dobrý prienik do jednotlivých priestorov. Je možn</w:t>
      </w:r>
      <w:r w:rsidRPr="00E50662">
        <w:rPr>
          <w:lang w:val="sk-SK"/>
        </w:rPr>
        <w:t>é</w:t>
      </w:r>
      <w:r w:rsidRPr="00F07D71">
        <w:rPr>
          <w:lang w:val="sk-SK"/>
        </w:rPr>
        <w:t xml:space="preserve"> rýchlo dosiahnuť terapeutickú hladinu lieku prekračujúcu minimálnu inhibičnú hladinu pre bežné patogény. </w:t>
      </w:r>
    </w:p>
    <w:p w14:paraId="209179A0" w14:textId="173CCAF3" w:rsidR="003E3C22" w:rsidRPr="004229C9" w:rsidRDefault="003E3C22" w:rsidP="00B0579F">
      <w:pPr>
        <w:jc w:val="both"/>
        <w:rPr>
          <w:lang w:val="sk-SK"/>
        </w:rPr>
      </w:pPr>
      <w:r w:rsidRPr="00F07D71">
        <w:rPr>
          <w:lang w:val="sk-SK"/>
        </w:rPr>
        <w:t>Koncentrácie</w:t>
      </w:r>
      <w:r>
        <w:rPr>
          <w:lang w:val="sk-SK"/>
        </w:rPr>
        <w:t xml:space="preserve"> v</w:t>
      </w:r>
      <w:r w:rsidRPr="00F07D71">
        <w:rPr>
          <w:lang w:val="sk-SK"/>
        </w:rPr>
        <w:t xml:space="preserve"> </w:t>
      </w:r>
      <w:proofErr w:type="spellStart"/>
      <w:r w:rsidRPr="00F07D71">
        <w:rPr>
          <w:lang w:val="sk-SK"/>
        </w:rPr>
        <w:t>likvor</w:t>
      </w:r>
      <w:r>
        <w:rPr>
          <w:lang w:val="sk-SK"/>
        </w:rPr>
        <w:t>e</w:t>
      </w:r>
      <w:proofErr w:type="spellEnd"/>
      <w:r w:rsidRPr="00F07D71">
        <w:rPr>
          <w:lang w:val="sk-SK"/>
        </w:rPr>
        <w:t xml:space="preserve"> sú nízke, ak nedošlo k zápalu mozgových blán, ale </w:t>
      </w:r>
      <w:proofErr w:type="spellStart"/>
      <w:r>
        <w:rPr>
          <w:lang w:val="sk-SK"/>
        </w:rPr>
        <w:t>cefotaxím</w:t>
      </w:r>
      <w:proofErr w:type="spellEnd"/>
      <w:r w:rsidRPr="00F07D71">
        <w:rPr>
          <w:lang w:val="sk-SK"/>
        </w:rPr>
        <w:t xml:space="preserve"> zvyčajne prechádza </w:t>
      </w:r>
      <w:proofErr w:type="spellStart"/>
      <w:r>
        <w:rPr>
          <w:lang w:val="sk-SK"/>
        </w:rPr>
        <w:t>hemato-encefalickou</w:t>
      </w:r>
      <w:proofErr w:type="spellEnd"/>
      <w:r w:rsidRPr="00F07D71">
        <w:rPr>
          <w:lang w:val="sk-SK"/>
        </w:rPr>
        <w:t xml:space="preserve"> bariérou </w:t>
      </w:r>
      <w:r>
        <w:rPr>
          <w:lang w:val="sk-SK"/>
        </w:rPr>
        <w:t xml:space="preserve">pri </w:t>
      </w:r>
      <w:r w:rsidRPr="00F07D71">
        <w:rPr>
          <w:lang w:val="sk-SK"/>
        </w:rPr>
        <w:t>hladin</w:t>
      </w:r>
      <w:r>
        <w:rPr>
          <w:lang w:val="sk-SK"/>
        </w:rPr>
        <w:t>ách</w:t>
      </w:r>
      <w:r w:rsidRPr="00F07D71">
        <w:rPr>
          <w:lang w:val="sk-SK"/>
        </w:rPr>
        <w:t xml:space="preserve"> nad MIC citlivých patogénov v prípade zápalu </w:t>
      </w:r>
      <w:r>
        <w:rPr>
          <w:lang w:val="sk-SK"/>
        </w:rPr>
        <w:t xml:space="preserve"> </w:t>
      </w:r>
      <w:r w:rsidRPr="00F07D71">
        <w:rPr>
          <w:lang w:val="sk-SK"/>
        </w:rPr>
        <w:t>mozgových blán (3</w:t>
      </w:r>
      <w:r>
        <w:rPr>
          <w:lang w:val="sk-SK"/>
        </w:rPr>
        <w:t xml:space="preserve"> </w:t>
      </w:r>
      <w:r w:rsidRPr="00F07D71">
        <w:rPr>
          <w:lang w:val="sk-SK"/>
        </w:rPr>
        <w:t>-</w:t>
      </w:r>
      <w:r>
        <w:rPr>
          <w:lang w:val="sk-SK"/>
        </w:rPr>
        <w:t xml:space="preserve"> </w:t>
      </w:r>
      <w:r w:rsidRPr="00F07D71">
        <w:rPr>
          <w:lang w:val="sk-SK"/>
        </w:rPr>
        <w:t xml:space="preserve">30 </w:t>
      </w:r>
      <w:r w:rsidRPr="00A47F30">
        <w:rPr>
          <w:lang w:val="sk-SK"/>
        </w:rPr>
        <w:t>µ</w:t>
      </w:r>
      <w:r w:rsidRPr="00F07D71">
        <w:rPr>
          <w:lang w:val="sk-SK"/>
        </w:rPr>
        <w:t>g/ml).</w:t>
      </w:r>
      <w:r>
        <w:rPr>
          <w:lang w:val="sk-SK"/>
        </w:rPr>
        <w:t xml:space="preserve"> Koncentrácie </w:t>
      </w:r>
      <w:proofErr w:type="spellStart"/>
      <w:r>
        <w:rPr>
          <w:lang w:val="sk-SK"/>
        </w:rPr>
        <w:t>cefotaxímu</w:t>
      </w:r>
      <w:proofErr w:type="spellEnd"/>
      <w:r>
        <w:rPr>
          <w:lang w:val="sk-SK"/>
        </w:rPr>
        <w:t xml:space="preserve"> (0,2 - 5,</w:t>
      </w:r>
      <w:r w:rsidRPr="00F07D71">
        <w:rPr>
          <w:lang w:val="sk-SK"/>
        </w:rPr>
        <w:t xml:space="preserve">4 </w:t>
      </w:r>
      <w:r w:rsidRPr="00022053">
        <w:rPr>
          <w:lang w:val="sk-SK"/>
        </w:rPr>
        <w:t>µ</w:t>
      </w:r>
      <w:r>
        <w:rPr>
          <w:lang w:val="sk-SK"/>
        </w:rPr>
        <w:t>g/ml), inhibičné</w:t>
      </w:r>
      <w:r w:rsidRPr="00F07D71">
        <w:rPr>
          <w:lang w:val="sk-SK"/>
        </w:rPr>
        <w:t xml:space="preserve"> pre väčšinu gram-negatívnych baktérií, </w:t>
      </w:r>
      <w:r>
        <w:rPr>
          <w:lang w:val="sk-SK"/>
        </w:rPr>
        <w:t>sú</w:t>
      </w:r>
      <w:r w:rsidRPr="00F07D71">
        <w:rPr>
          <w:lang w:val="sk-SK"/>
        </w:rPr>
        <w:t xml:space="preserve"> dosiahn</w:t>
      </w:r>
      <w:r>
        <w:rPr>
          <w:lang w:val="sk-SK"/>
        </w:rPr>
        <w:t>uté</w:t>
      </w:r>
      <w:r w:rsidRPr="00F07D71">
        <w:rPr>
          <w:lang w:val="sk-SK"/>
        </w:rPr>
        <w:t xml:space="preserve">  v hnisavých hlienoch, prieduškových sekrétoch a </w:t>
      </w:r>
      <w:proofErr w:type="spellStart"/>
      <w:r w:rsidRPr="00F07D71">
        <w:rPr>
          <w:lang w:val="sk-SK"/>
        </w:rPr>
        <w:t>pleurálnej</w:t>
      </w:r>
      <w:proofErr w:type="spellEnd"/>
      <w:r w:rsidRPr="00F07D71">
        <w:rPr>
          <w:lang w:val="sk-SK"/>
        </w:rPr>
        <w:t xml:space="preserve"> tekutine po dávkach 1 až 2 g. Koncentrácie po terapeutických dávkach, ktoré môžu byť účinné proti najcitlivejším organizmom</w:t>
      </w:r>
      <w:r>
        <w:rPr>
          <w:lang w:val="sk-SK"/>
        </w:rPr>
        <w:t>,</w:t>
      </w:r>
      <w:r w:rsidRPr="00F07D71">
        <w:rPr>
          <w:lang w:val="sk-SK"/>
        </w:rPr>
        <w:t xml:space="preserve"> sú podobne dosiahnuté v ženských pohlavných orgánoch, výtokoch pri zápale stredného ucha, tkanivách prostaty, </w:t>
      </w:r>
      <w:proofErr w:type="spellStart"/>
      <w:r w:rsidRPr="00F07D71">
        <w:rPr>
          <w:lang w:val="sk-SK"/>
        </w:rPr>
        <w:t>intersticiálnej</w:t>
      </w:r>
      <w:proofErr w:type="spellEnd"/>
      <w:r w:rsidRPr="00F07D71">
        <w:rPr>
          <w:lang w:val="sk-SK"/>
        </w:rPr>
        <w:t xml:space="preserve"> tekutine, </w:t>
      </w:r>
      <w:proofErr w:type="spellStart"/>
      <w:r w:rsidRPr="00F07D71">
        <w:rPr>
          <w:lang w:val="sk-SK"/>
        </w:rPr>
        <w:t>peritoneálnej</w:t>
      </w:r>
      <w:proofErr w:type="spellEnd"/>
      <w:r w:rsidRPr="00F07D71">
        <w:rPr>
          <w:lang w:val="sk-SK"/>
        </w:rPr>
        <w:t xml:space="preserve"> tekutine a stene žlčníka. Vysoké koncentrácie </w:t>
      </w:r>
      <w:proofErr w:type="spellStart"/>
      <w:r>
        <w:rPr>
          <w:lang w:val="sk-SK"/>
        </w:rPr>
        <w:t>cefotaxím</w:t>
      </w:r>
      <w:r w:rsidRPr="00F07D71">
        <w:rPr>
          <w:lang w:val="sk-SK"/>
        </w:rPr>
        <w:t>u</w:t>
      </w:r>
      <w:proofErr w:type="spellEnd"/>
      <w:r w:rsidRPr="00F07D71">
        <w:rPr>
          <w:lang w:val="sk-SK"/>
        </w:rPr>
        <w:t xml:space="preserve"> a O-</w:t>
      </w:r>
      <w:proofErr w:type="spellStart"/>
      <w:r w:rsidRPr="00F07D71">
        <w:rPr>
          <w:lang w:val="sk-SK"/>
        </w:rPr>
        <w:t>desacetyl</w:t>
      </w:r>
      <w:proofErr w:type="spellEnd"/>
      <w:r w:rsidRPr="00F07D71">
        <w:rPr>
          <w:lang w:val="sk-SK"/>
        </w:rPr>
        <w:t>-</w:t>
      </w:r>
      <w:proofErr w:type="spellStart"/>
      <w:r>
        <w:rPr>
          <w:lang w:val="sk-SK"/>
        </w:rPr>
        <w:t>cefotaxím</w:t>
      </w:r>
      <w:r w:rsidRPr="00F07D71">
        <w:rPr>
          <w:lang w:val="sk-SK"/>
        </w:rPr>
        <w:t>u</w:t>
      </w:r>
      <w:proofErr w:type="spellEnd"/>
      <w:r w:rsidRPr="00F07D71">
        <w:rPr>
          <w:lang w:val="sk-SK"/>
        </w:rPr>
        <w:t xml:space="preserve"> sú dosiahnuté v žlči. </w:t>
      </w:r>
      <w:proofErr w:type="spellStart"/>
      <w:r>
        <w:rPr>
          <w:lang w:val="sk-SK"/>
        </w:rPr>
        <w:t>Cefotaxím</w:t>
      </w:r>
      <w:proofErr w:type="spellEnd"/>
      <w:r w:rsidRPr="00F07D71">
        <w:rPr>
          <w:lang w:val="sk-SK"/>
        </w:rPr>
        <w:t xml:space="preserve"> prechádza placentou a dosahuje vysoké koncentrácie v tekutine a tkanivách plodu (až 6 mg/kg). Malé množstvo </w:t>
      </w:r>
      <w:proofErr w:type="spellStart"/>
      <w:r>
        <w:rPr>
          <w:lang w:val="sk-SK"/>
        </w:rPr>
        <w:t>cefotaxím</w:t>
      </w:r>
      <w:r w:rsidRPr="00F07D71">
        <w:rPr>
          <w:lang w:val="sk-SK"/>
        </w:rPr>
        <w:t>u</w:t>
      </w:r>
      <w:proofErr w:type="spellEnd"/>
      <w:r w:rsidRPr="00F07D71">
        <w:rPr>
          <w:lang w:val="sk-SK"/>
        </w:rPr>
        <w:t xml:space="preserve"> preniká do materského mlieka</w:t>
      </w:r>
      <w:r w:rsidR="00C50C6E">
        <w:rPr>
          <w:lang w:val="sk-SK"/>
        </w:rPr>
        <w:t xml:space="preserve"> (</w:t>
      </w:r>
      <w:r w:rsidR="00C50C6E" w:rsidRPr="00C50C6E">
        <w:rPr>
          <w:lang w:val="sk-SK"/>
        </w:rPr>
        <w:t>koncentrácie v</w:t>
      </w:r>
      <w:r w:rsidR="00C50C6E">
        <w:rPr>
          <w:lang w:val="sk-SK"/>
        </w:rPr>
        <w:t> </w:t>
      </w:r>
      <w:r w:rsidR="00C50C6E" w:rsidRPr="00C50C6E">
        <w:rPr>
          <w:lang w:val="sk-SK"/>
        </w:rPr>
        <w:t>ľudskom materskom mlieku: 0,4 mg/l po podaní 2 g</w:t>
      </w:r>
      <w:r w:rsidR="00C50C6E">
        <w:rPr>
          <w:lang w:val="sk-SK"/>
        </w:rPr>
        <w:t>)</w:t>
      </w:r>
      <w:r w:rsidRPr="00F07D71">
        <w:rPr>
          <w:lang w:val="sk-SK"/>
        </w:rPr>
        <w:t>.</w:t>
      </w:r>
    </w:p>
    <w:p w14:paraId="07F3B051" w14:textId="77777777" w:rsidR="003E3C22" w:rsidRPr="004229C9" w:rsidRDefault="003E3C22" w:rsidP="003E3C22">
      <w:pPr>
        <w:ind w:left="567"/>
        <w:rPr>
          <w:u w:val="single"/>
          <w:lang w:val="sk-SK"/>
        </w:rPr>
      </w:pPr>
    </w:p>
    <w:p w14:paraId="2ABFC7F4" w14:textId="77777777" w:rsidR="003E3C22" w:rsidRPr="004229C9" w:rsidRDefault="003E3C22" w:rsidP="00233E28">
      <w:pPr>
        <w:rPr>
          <w:lang w:val="sk-SK"/>
        </w:rPr>
      </w:pPr>
      <w:r w:rsidRPr="004229C9">
        <w:rPr>
          <w:lang w:val="sk-SK"/>
        </w:rPr>
        <w:t xml:space="preserve">Približne 25 – 40 % </w:t>
      </w:r>
      <w:proofErr w:type="spellStart"/>
      <w:r>
        <w:rPr>
          <w:lang w:val="sk-SK"/>
        </w:rPr>
        <w:t>cefotaxím</w:t>
      </w:r>
      <w:r w:rsidRPr="004229C9">
        <w:rPr>
          <w:lang w:val="sk-SK"/>
        </w:rPr>
        <w:t>u</w:t>
      </w:r>
      <w:proofErr w:type="spellEnd"/>
      <w:r w:rsidRPr="004229C9">
        <w:rPr>
          <w:lang w:val="sk-SK"/>
        </w:rPr>
        <w:t xml:space="preserve"> sa viaže na bielkoviny.</w:t>
      </w:r>
    </w:p>
    <w:p w14:paraId="1A669BC8" w14:textId="77777777" w:rsidR="003E3C22" w:rsidRPr="004229C9" w:rsidRDefault="003E3C22" w:rsidP="003E3C22">
      <w:pPr>
        <w:ind w:left="567"/>
        <w:rPr>
          <w:color w:val="FF0000"/>
          <w:lang w:val="sk-SK"/>
        </w:rPr>
      </w:pPr>
    </w:p>
    <w:p w14:paraId="6D730DB6" w14:textId="7F199A26" w:rsidR="003E3C22" w:rsidRPr="004229C9" w:rsidRDefault="00401574" w:rsidP="00233E28">
      <w:pPr>
        <w:rPr>
          <w:lang w:val="sk-SK"/>
        </w:rPr>
      </w:pPr>
      <w:r>
        <w:rPr>
          <w:lang w:val="sk-SK"/>
        </w:rPr>
        <w:lastRenderedPageBreak/>
        <w:t>Zdanlivý</w:t>
      </w:r>
      <w:r w:rsidR="007334F3">
        <w:rPr>
          <w:lang w:val="sk-SK"/>
        </w:rPr>
        <w:t xml:space="preserve"> </w:t>
      </w:r>
      <w:r w:rsidR="003E3C22" w:rsidRPr="00F07D71">
        <w:rPr>
          <w:lang w:val="sk-SK"/>
        </w:rPr>
        <w:t xml:space="preserve">distribučný objem </w:t>
      </w:r>
      <w:proofErr w:type="spellStart"/>
      <w:r w:rsidR="003E3C22">
        <w:rPr>
          <w:lang w:val="sk-SK"/>
        </w:rPr>
        <w:t>cefotaxím</w:t>
      </w:r>
      <w:r w:rsidR="003E3C22" w:rsidRPr="00F07D71">
        <w:rPr>
          <w:lang w:val="sk-SK"/>
        </w:rPr>
        <w:t>u</w:t>
      </w:r>
      <w:proofErr w:type="spellEnd"/>
      <w:r w:rsidR="003E3C22" w:rsidRPr="00F07D71">
        <w:rPr>
          <w:lang w:val="sk-SK"/>
        </w:rPr>
        <w:t xml:space="preserve"> je 21</w:t>
      </w:r>
      <w:r w:rsidR="003E3C22">
        <w:rPr>
          <w:lang w:val="sk-SK"/>
        </w:rPr>
        <w:t xml:space="preserve"> </w:t>
      </w:r>
      <w:r w:rsidR="003E3C22" w:rsidRPr="00F07D71">
        <w:rPr>
          <w:lang w:val="sk-SK"/>
        </w:rPr>
        <w:t>-</w:t>
      </w:r>
      <w:r w:rsidR="003E3C22">
        <w:rPr>
          <w:lang w:val="sk-SK"/>
        </w:rPr>
        <w:t xml:space="preserve"> </w:t>
      </w:r>
      <w:r w:rsidR="003E3C22" w:rsidRPr="00F07D71">
        <w:rPr>
          <w:lang w:val="sk-SK"/>
        </w:rPr>
        <w:t xml:space="preserve">37 l po 1 g intravenóznej infúzii </w:t>
      </w:r>
      <w:r w:rsidR="0053783E">
        <w:rPr>
          <w:lang w:val="sk-SK"/>
        </w:rPr>
        <w:t>trvajúcej</w:t>
      </w:r>
      <w:r w:rsidR="003E3C22" w:rsidRPr="00F07D71">
        <w:rPr>
          <w:lang w:val="sk-SK"/>
        </w:rPr>
        <w:t xml:space="preserve"> 30 minút.</w:t>
      </w:r>
    </w:p>
    <w:p w14:paraId="71E1F8F3" w14:textId="77777777" w:rsidR="003E3C22" w:rsidRPr="004229C9" w:rsidRDefault="003E3C22" w:rsidP="003E3C22">
      <w:pPr>
        <w:ind w:left="567"/>
        <w:rPr>
          <w:color w:val="FF0000"/>
          <w:lang w:val="sk-SK"/>
        </w:rPr>
      </w:pPr>
    </w:p>
    <w:p w14:paraId="0518699B" w14:textId="5062E336" w:rsidR="003E3C22" w:rsidRPr="00233E28" w:rsidRDefault="003E3C22" w:rsidP="007D5D98">
      <w:pPr>
        <w:tabs>
          <w:tab w:val="clear" w:pos="567"/>
        </w:tabs>
        <w:rPr>
          <w:noProof/>
          <w:szCs w:val="22"/>
          <w:u w:val="single"/>
          <w:lang w:val="sk-SK"/>
        </w:rPr>
      </w:pPr>
      <w:r w:rsidRPr="00233E28">
        <w:rPr>
          <w:noProof/>
          <w:szCs w:val="22"/>
          <w:u w:val="single"/>
          <w:lang w:val="sk-SK"/>
        </w:rPr>
        <w:t>Biotransformácia</w:t>
      </w:r>
    </w:p>
    <w:p w14:paraId="2BDE5A9F" w14:textId="49230A1E" w:rsidR="003E3C22" w:rsidRDefault="003E3C22" w:rsidP="00B0579F">
      <w:pPr>
        <w:tabs>
          <w:tab w:val="clear" w:pos="567"/>
        </w:tabs>
        <w:jc w:val="both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Cefotaxím</w:t>
      </w:r>
      <w:r w:rsidRPr="00F07D71">
        <w:rPr>
          <w:noProof/>
          <w:szCs w:val="22"/>
          <w:lang w:val="sk-SK"/>
        </w:rPr>
        <w:t xml:space="preserve"> je u človeka metabolizovaný</w:t>
      </w:r>
      <w:r w:rsidR="001311D3" w:rsidRPr="001311D3">
        <w:rPr>
          <w:noProof/>
          <w:szCs w:val="22"/>
          <w:lang w:val="sk-SK"/>
        </w:rPr>
        <w:t xml:space="preserve"> </w:t>
      </w:r>
      <w:r w:rsidR="001311D3">
        <w:rPr>
          <w:noProof/>
          <w:szCs w:val="22"/>
          <w:lang w:val="sk-SK"/>
        </w:rPr>
        <w:t>do značnej miery</w:t>
      </w:r>
      <w:r w:rsidRPr="00F07D71">
        <w:rPr>
          <w:noProof/>
          <w:szCs w:val="22"/>
          <w:lang w:val="sk-SK"/>
        </w:rPr>
        <w:t>. Približne 15</w:t>
      </w:r>
      <w:r>
        <w:rPr>
          <w:noProof/>
          <w:szCs w:val="22"/>
          <w:lang w:val="sk-SK"/>
        </w:rPr>
        <w:t xml:space="preserve"> </w:t>
      </w:r>
      <w:r w:rsidRPr="00F07D71">
        <w:rPr>
          <w:noProof/>
          <w:szCs w:val="22"/>
          <w:lang w:val="sk-SK"/>
        </w:rPr>
        <w:t>-</w:t>
      </w:r>
      <w:r>
        <w:rPr>
          <w:noProof/>
          <w:szCs w:val="22"/>
          <w:lang w:val="sk-SK"/>
        </w:rPr>
        <w:t xml:space="preserve"> </w:t>
      </w:r>
      <w:r w:rsidRPr="00F07D71">
        <w:rPr>
          <w:noProof/>
          <w:szCs w:val="22"/>
          <w:lang w:val="sk-SK"/>
        </w:rPr>
        <w:t>25</w:t>
      </w:r>
      <w:r>
        <w:rPr>
          <w:noProof/>
          <w:szCs w:val="22"/>
          <w:lang w:val="sk-SK"/>
        </w:rPr>
        <w:t xml:space="preserve"> </w:t>
      </w:r>
      <w:r w:rsidRPr="00F07D71">
        <w:rPr>
          <w:noProof/>
          <w:szCs w:val="22"/>
          <w:lang w:val="sk-SK"/>
        </w:rPr>
        <w:t>% parenterálnej dávky</w:t>
      </w:r>
      <w:r w:rsidR="00B0579F">
        <w:rPr>
          <w:noProof/>
          <w:szCs w:val="22"/>
          <w:lang w:val="sk-SK"/>
        </w:rPr>
        <w:t xml:space="preserve"> </w:t>
      </w:r>
      <w:r w:rsidRPr="00F07D71">
        <w:rPr>
          <w:noProof/>
          <w:szCs w:val="22"/>
          <w:lang w:val="sk-SK"/>
        </w:rPr>
        <w:t>sa metabolizuje na metabolit O-desacetyl-</w:t>
      </w:r>
      <w:r>
        <w:rPr>
          <w:noProof/>
          <w:szCs w:val="22"/>
          <w:lang w:val="sk-SK"/>
        </w:rPr>
        <w:t>cefotaxím</w:t>
      </w:r>
      <w:r w:rsidRPr="00F07D71">
        <w:rPr>
          <w:noProof/>
          <w:szCs w:val="22"/>
          <w:lang w:val="sk-SK"/>
        </w:rPr>
        <w:t>, ktorý má tiež vlastnosti antibiotika.</w:t>
      </w:r>
    </w:p>
    <w:p w14:paraId="0C474694" w14:textId="77777777" w:rsidR="002C1471" w:rsidRDefault="002C1471" w:rsidP="003E3C22">
      <w:pPr>
        <w:rPr>
          <w:noProof/>
          <w:szCs w:val="22"/>
          <w:lang w:val="sk-SK"/>
        </w:rPr>
      </w:pPr>
    </w:p>
    <w:p w14:paraId="256B53D0" w14:textId="60480274" w:rsidR="002C1471" w:rsidRPr="004229C9" w:rsidRDefault="002C1471" w:rsidP="00233E28">
      <w:pPr>
        <w:tabs>
          <w:tab w:val="clear" w:pos="567"/>
        </w:tabs>
        <w:jc w:val="both"/>
        <w:rPr>
          <w:noProof/>
          <w:szCs w:val="22"/>
          <w:lang w:val="sk-SK"/>
        </w:rPr>
      </w:pPr>
      <w:r w:rsidRPr="002C1471">
        <w:rPr>
          <w:noProof/>
          <w:szCs w:val="22"/>
          <w:lang w:val="sk-SK"/>
        </w:rPr>
        <w:t xml:space="preserve">Okrem O-desacetylcefotaximu </w:t>
      </w:r>
      <w:r w:rsidR="00F370B6">
        <w:rPr>
          <w:noProof/>
          <w:szCs w:val="22"/>
          <w:lang w:val="sk-SK"/>
        </w:rPr>
        <w:t>sa vznikajú</w:t>
      </w:r>
      <w:r w:rsidRPr="002C1471">
        <w:rPr>
          <w:noProof/>
          <w:szCs w:val="22"/>
          <w:lang w:val="sk-SK"/>
        </w:rPr>
        <w:t xml:space="preserve"> dva neaktívne laktóny. O-desacetylcefotaxim tvorí laktón</w:t>
      </w:r>
      <w:r w:rsidR="00E71E5D">
        <w:rPr>
          <w:noProof/>
          <w:szCs w:val="22"/>
          <w:lang w:val="sk-SK"/>
        </w:rPr>
        <w:t xml:space="preserve"> </w:t>
      </w:r>
      <w:r w:rsidRPr="002C1471">
        <w:rPr>
          <w:noProof/>
          <w:szCs w:val="22"/>
          <w:lang w:val="sk-SK"/>
        </w:rPr>
        <w:t>ako krátkodobý medziprodukt, ktorý nemožno detegovať v moči alebo plazme, pretože prechádza rýchlou konverziou na stereoizoméry laktónu s otvoreným kruhom (beta-laktámový kruh). Tieto sa tiež vylučujú močom.</w:t>
      </w:r>
    </w:p>
    <w:p w14:paraId="217B274F" w14:textId="77777777" w:rsidR="003E3C22" w:rsidRPr="004229C9" w:rsidRDefault="003E3C22" w:rsidP="003E3C22">
      <w:pPr>
        <w:ind w:left="567"/>
        <w:rPr>
          <w:i/>
          <w:u w:val="single"/>
          <w:lang w:val="sk-SK"/>
        </w:rPr>
      </w:pPr>
    </w:p>
    <w:p w14:paraId="0C9FC5E3" w14:textId="34CD8F02" w:rsidR="003E3C22" w:rsidRPr="00233E28" w:rsidRDefault="003E3C22" w:rsidP="00E71E5D">
      <w:pPr>
        <w:tabs>
          <w:tab w:val="clear" w:pos="567"/>
        </w:tabs>
        <w:rPr>
          <w:noProof/>
          <w:szCs w:val="22"/>
          <w:u w:val="single"/>
          <w:lang w:val="sk-SK"/>
        </w:rPr>
      </w:pPr>
      <w:r w:rsidRPr="00233E28">
        <w:rPr>
          <w:noProof/>
          <w:szCs w:val="22"/>
          <w:u w:val="single"/>
          <w:lang w:val="sk-SK"/>
        </w:rPr>
        <w:t>Eliminácia</w:t>
      </w:r>
    </w:p>
    <w:p w14:paraId="44E543D3" w14:textId="741E649C" w:rsidR="00F855AB" w:rsidRDefault="003E3C22" w:rsidP="00233E28">
      <w:pPr>
        <w:jc w:val="both"/>
        <w:rPr>
          <w:noProof/>
          <w:szCs w:val="22"/>
          <w:lang w:val="sk-SK"/>
        </w:rPr>
      </w:pPr>
      <w:r w:rsidRPr="00F07D71">
        <w:rPr>
          <w:noProof/>
          <w:szCs w:val="22"/>
          <w:lang w:val="sk-SK"/>
        </w:rPr>
        <w:t xml:space="preserve">Hlavným vylučovacím orgánom </w:t>
      </w:r>
      <w:r>
        <w:rPr>
          <w:noProof/>
          <w:szCs w:val="22"/>
          <w:lang w:val="sk-SK"/>
        </w:rPr>
        <w:t>cefotaxím</w:t>
      </w:r>
      <w:r w:rsidRPr="00F07D71">
        <w:rPr>
          <w:noProof/>
          <w:szCs w:val="22"/>
          <w:lang w:val="sk-SK"/>
        </w:rPr>
        <w:t>u a O-desacetyl-</w:t>
      </w:r>
      <w:r>
        <w:rPr>
          <w:noProof/>
          <w:szCs w:val="22"/>
          <w:lang w:val="sk-SK"/>
        </w:rPr>
        <w:t>cefotaxím</w:t>
      </w:r>
      <w:r w:rsidRPr="00F07D71">
        <w:rPr>
          <w:noProof/>
          <w:szCs w:val="22"/>
          <w:lang w:val="sk-SK"/>
        </w:rPr>
        <w:t>u sú obličky. Len malé množstvo (</w:t>
      </w:r>
      <w:r w:rsidR="006D3083">
        <w:rPr>
          <w:noProof/>
          <w:szCs w:val="22"/>
          <w:lang w:val="sk-SK"/>
        </w:rPr>
        <w:t xml:space="preserve">okolo </w:t>
      </w:r>
      <w:r w:rsidRPr="00F07D71">
        <w:rPr>
          <w:noProof/>
          <w:szCs w:val="22"/>
          <w:lang w:val="sk-SK"/>
        </w:rPr>
        <w:t>2</w:t>
      </w:r>
      <w:r>
        <w:rPr>
          <w:noProof/>
          <w:szCs w:val="22"/>
          <w:lang w:val="sk-SK"/>
        </w:rPr>
        <w:t xml:space="preserve"> </w:t>
      </w:r>
      <w:r w:rsidRPr="00F07D71">
        <w:rPr>
          <w:noProof/>
          <w:szCs w:val="22"/>
          <w:lang w:val="sk-SK"/>
        </w:rPr>
        <w:t xml:space="preserve">%) </w:t>
      </w:r>
      <w:r>
        <w:rPr>
          <w:noProof/>
          <w:szCs w:val="22"/>
          <w:lang w:val="sk-SK"/>
        </w:rPr>
        <w:t>cefotaxím</w:t>
      </w:r>
      <w:r w:rsidRPr="00F07D71">
        <w:rPr>
          <w:noProof/>
          <w:szCs w:val="22"/>
          <w:lang w:val="sk-SK"/>
        </w:rPr>
        <w:t xml:space="preserve">u sa vylučuje žlčou. </w:t>
      </w:r>
    </w:p>
    <w:p w14:paraId="6AD7EEB8" w14:textId="5C51C2E1" w:rsidR="003E3C22" w:rsidRPr="004229C9" w:rsidRDefault="003E3C22" w:rsidP="00B0579F">
      <w:pPr>
        <w:tabs>
          <w:tab w:val="clear" w:pos="567"/>
        </w:tabs>
        <w:jc w:val="both"/>
        <w:rPr>
          <w:noProof/>
          <w:szCs w:val="22"/>
          <w:lang w:val="sk-SK"/>
        </w:rPr>
      </w:pPr>
      <w:r w:rsidRPr="00F07D71">
        <w:rPr>
          <w:noProof/>
          <w:szCs w:val="22"/>
          <w:lang w:val="sk-SK"/>
        </w:rPr>
        <w:t>Močom sa v priebehu 6 hodín vylúči 40</w:t>
      </w:r>
      <w:r>
        <w:rPr>
          <w:noProof/>
          <w:szCs w:val="22"/>
          <w:lang w:val="sk-SK"/>
        </w:rPr>
        <w:t xml:space="preserve"> </w:t>
      </w:r>
      <w:r w:rsidRPr="00F07D71">
        <w:rPr>
          <w:noProof/>
          <w:szCs w:val="22"/>
          <w:lang w:val="sk-SK"/>
        </w:rPr>
        <w:t>-</w:t>
      </w:r>
      <w:r>
        <w:rPr>
          <w:noProof/>
          <w:szCs w:val="22"/>
          <w:lang w:val="sk-SK"/>
        </w:rPr>
        <w:t xml:space="preserve"> </w:t>
      </w:r>
      <w:r w:rsidRPr="00F07D71">
        <w:rPr>
          <w:noProof/>
          <w:szCs w:val="22"/>
          <w:lang w:val="sk-SK"/>
        </w:rPr>
        <w:t>60</w:t>
      </w:r>
      <w:r>
        <w:rPr>
          <w:noProof/>
          <w:szCs w:val="22"/>
          <w:lang w:val="sk-SK"/>
        </w:rPr>
        <w:t xml:space="preserve"> </w:t>
      </w:r>
      <w:r w:rsidRPr="00F07D71">
        <w:rPr>
          <w:noProof/>
          <w:szCs w:val="22"/>
          <w:lang w:val="sk-SK"/>
        </w:rPr>
        <w:t xml:space="preserve">% podanej dávky </w:t>
      </w:r>
      <w:r>
        <w:rPr>
          <w:noProof/>
          <w:szCs w:val="22"/>
          <w:lang w:val="sk-SK"/>
        </w:rPr>
        <w:t>cefotaxím</w:t>
      </w:r>
      <w:r w:rsidRPr="00F07D71">
        <w:rPr>
          <w:noProof/>
          <w:szCs w:val="22"/>
          <w:lang w:val="sk-SK"/>
        </w:rPr>
        <w:t xml:space="preserve">u ako nezmenený </w:t>
      </w:r>
      <w:r>
        <w:rPr>
          <w:noProof/>
          <w:szCs w:val="22"/>
          <w:lang w:val="sk-SK"/>
        </w:rPr>
        <w:t>cefotaxím</w:t>
      </w:r>
      <w:r w:rsidRPr="00F07D71">
        <w:rPr>
          <w:noProof/>
          <w:szCs w:val="22"/>
          <w:lang w:val="sk-SK"/>
        </w:rPr>
        <w:t xml:space="preserve"> a</w:t>
      </w:r>
      <w:r>
        <w:rPr>
          <w:noProof/>
          <w:szCs w:val="22"/>
          <w:lang w:val="sk-SK"/>
        </w:rPr>
        <w:t> </w:t>
      </w:r>
      <w:r w:rsidRPr="00F07D71">
        <w:rPr>
          <w:noProof/>
          <w:szCs w:val="22"/>
          <w:lang w:val="sk-SK"/>
        </w:rPr>
        <w:t>20</w:t>
      </w:r>
      <w:r>
        <w:rPr>
          <w:noProof/>
          <w:szCs w:val="22"/>
          <w:lang w:val="sk-SK"/>
        </w:rPr>
        <w:t xml:space="preserve"> </w:t>
      </w:r>
      <w:r w:rsidRPr="00F07D71">
        <w:rPr>
          <w:noProof/>
          <w:szCs w:val="22"/>
          <w:lang w:val="sk-SK"/>
        </w:rPr>
        <w:t>% ako O-desacetyl-</w:t>
      </w:r>
      <w:r>
        <w:rPr>
          <w:noProof/>
          <w:szCs w:val="22"/>
          <w:lang w:val="sk-SK"/>
        </w:rPr>
        <w:t>cefotaxím</w:t>
      </w:r>
      <w:r w:rsidRPr="00F07D71">
        <w:rPr>
          <w:noProof/>
          <w:szCs w:val="22"/>
          <w:lang w:val="sk-SK"/>
        </w:rPr>
        <w:t>. Po</w:t>
      </w:r>
      <w:r w:rsidR="00F855AB">
        <w:rPr>
          <w:noProof/>
          <w:szCs w:val="22"/>
          <w:lang w:val="sk-SK"/>
        </w:rPr>
        <w:t xml:space="preserve"> i.v.</w:t>
      </w:r>
      <w:r w:rsidRPr="00F07D71">
        <w:rPr>
          <w:noProof/>
          <w:szCs w:val="22"/>
          <w:lang w:val="sk-SK"/>
        </w:rPr>
        <w:t xml:space="preserve"> podaní rádioaktívne označeného </w:t>
      </w:r>
      <w:r>
        <w:rPr>
          <w:noProof/>
          <w:szCs w:val="22"/>
          <w:lang w:val="sk-SK"/>
        </w:rPr>
        <w:t>cefotaxím</w:t>
      </w:r>
      <w:r w:rsidRPr="00F07D71">
        <w:rPr>
          <w:noProof/>
          <w:szCs w:val="22"/>
          <w:lang w:val="sk-SK"/>
        </w:rPr>
        <w:t xml:space="preserve">u </w:t>
      </w:r>
      <w:r>
        <w:rPr>
          <w:noProof/>
          <w:szCs w:val="22"/>
          <w:lang w:val="sk-SK"/>
        </w:rPr>
        <w:t xml:space="preserve">je </w:t>
      </w:r>
      <w:r w:rsidRPr="00DD524D">
        <w:rPr>
          <w:noProof/>
          <w:szCs w:val="22"/>
          <w:lang w:val="sk-SK"/>
        </w:rPr>
        <w:t xml:space="preserve">možné </w:t>
      </w:r>
      <w:r w:rsidR="00F370B6" w:rsidRPr="00DD524D">
        <w:rPr>
          <w:noProof/>
          <w:szCs w:val="22"/>
          <w:lang w:val="sk-SK"/>
        </w:rPr>
        <w:t xml:space="preserve">nájsť v moči </w:t>
      </w:r>
      <w:r w:rsidRPr="00DD524D">
        <w:rPr>
          <w:noProof/>
          <w:szCs w:val="22"/>
          <w:lang w:val="sk-SK"/>
        </w:rPr>
        <w:t xml:space="preserve">viac ako 80 % </w:t>
      </w:r>
      <w:r w:rsidRPr="00F07D71">
        <w:rPr>
          <w:noProof/>
          <w:szCs w:val="22"/>
          <w:lang w:val="sk-SK"/>
        </w:rPr>
        <w:t>,</w:t>
      </w:r>
      <w:r>
        <w:rPr>
          <w:noProof/>
          <w:szCs w:val="22"/>
          <w:lang w:val="sk-SK"/>
        </w:rPr>
        <w:t xml:space="preserve"> z toho</w:t>
      </w:r>
      <w:r w:rsidRPr="00F07D71">
        <w:rPr>
          <w:noProof/>
          <w:szCs w:val="22"/>
          <w:lang w:val="sk-SK"/>
        </w:rPr>
        <w:t xml:space="preserve"> 50</w:t>
      </w:r>
      <w:r>
        <w:rPr>
          <w:noProof/>
          <w:szCs w:val="22"/>
          <w:lang w:val="sk-SK"/>
        </w:rPr>
        <w:t xml:space="preserve"> </w:t>
      </w:r>
      <w:r w:rsidRPr="00F07D71">
        <w:rPr>
          <w:noProof/>
          <w:szCs w:val="22"/>
          <w:lang w:val="sk-SK"/>
        </w:rPr>
        <w:t>-</w:t>
      </w:r>
      <w:r>
        <w:rPr>
          <w:noProof/>
          <w:szCs w:val="22"/>
          <w:lang w:val="sk-SK"/>
        </w:rPr>
        <w:t xml:space="preserve"> </w:t>
      </w:r>
      <w:r w:rsidRPr="00F07D71">
        <w:rPr>
          <w:noProof/>
          <w:szCs w:val="22"/>
          <w:lang w:val="sk-SK"/>
        </w:rPr>
        <w:t>60</w:t>
      </w:r>
      <w:r>
        <w:rPr>
          <w:noProof/>
          <w:szCs w:val="22"/>
          <w:lang w:val="sk-SK"/>
        </w:rPr>
        <w:t xml:space="preserve"> </w:t>
      </w:r>
      <w:r w:rsidRPr="00F07D71">
        <w:rPr>
          <w:noProof/>
          <w:szCs w:val="22"/>
          <w:lang w:val="sk-SK"/>
        </w:rPr>
        <w:t xml:space="preserve">% je nezmený </w:t>
      </w:r>
      <w:r>
        <w:rPr>
          <w:noProof/>
          <w:szCs w:val="22"/>
          <w:lang w:val="sk-SK"/>
        </w:rPr>
        <w:t>cefotaxím</w:t>
      </w:r>
      <w:r w:rsidRPr="00F07D71">
        <w:rPr>
          <w:noProof/>
          <w:szCs w:val="22"/>
          <w:lang w:val="sk-SK"/>
        </w:rPr>
        <w:t xml:space="preserve"> a zvyšok </w:t>
      </w:r>
      <w:r w:rsidR="00E36835">
        <w:rPr>
          <w:noProof/>
          <w:szCs w:val="22"/>
          <w:lang w:val="sk-SK"/>
        </w:rPr>
        <w:t>obsahuje</w:t>
      </w:r>
      <w:r w:rsidR="00E36835" w:rsidRPr="00F07D71">
        <w:rPr>
          <w:noProof/>
          <w:szCs w:val="22"/>
          <w:lang w:val="sk-SK"/>
        </w:rPr>
        <w:t xml:space="preserve"> </w:t>
      </w:r>
      <w:r w:rsidR="00E36835">
        <w:rPr>
          <w:noProof/>
          <w:szCs w:val="22"/>
          <w:lang w:val="sk-SK"/>
        </w:rPr>
        <w:t xml:space="preserve">tri </w:t>
      </w:r>
      <w:r w:rsidRPr="00F07D71">
        <w:rPr>
          <w:noProof/>
          <w:szCs w:val="22"/>
          <w:lang w:val="sk-SK"/>
        </w:rPr>
        <w:t>metabolity.</w:t>
      </w:r>
    </w:p>
    <w:p w14:paraId="78EE03CC" w14:textId="77777777" w:rsidR="003E3C22" w:rsidRPr="004229C9" w:rsidRDefault="003E3C22" w:rsidP="003E3C22">
      <w:pPr>
        <w:tabs>
          <w:tab w:val="left" w:pos="540"/>
        </w:tabs>
        <w:ind w:left="567" w:hanging="27"/>
        <w:rPr>
          <w:lang w:val="sk-SK"/>
        </w:rPr>
      </w:pPr>
    </w:p>
    <w:p w14:paraId="5E14AC28" w14:textId="77777777" w:rsidR="003E3C22" w:rsidRPr="00264414" w:rsidRDefault="003E3C22" w:rsidP="00233E28">
      <w:pPr>
        <w:tabs>
          <w:tab w:val="clear" w:pos="567"/>
        </w:tabs>
        <w:rPr>
          <w:lang w:val="sk-SK"/>
        </w:rPr>
      </w:pPr>
      <w:r w:rsidRPr="00264414">
        <w:rPr>
          <w:lang w:val="sk-SK"/>
        </w:rPr>
        <w:t xml:space="preserve">Celkový </w:t>
      </w:r>
      <w:proofErr w:type="spellStart"/>
      <w:r w:rsidRPr="00264414">
        <w:rPr>
          <w:lang w:val="sk-SK"/>
        </w:rPr>
        <w:t>klírens</w:t>
      </w:r>
      <w:proofErr w:type="spellEnd"/>
      <w:r w:rsidRPr="00264414">
        <w:rPr>
          <w:lang w:val="sk-SK"/>
        </w:rPr>
        <w:t xml:space="preserve"> </w:t>
      </w:r>
      <w:proofErr w:type="spellStart"/>
      <w:r>
        <w:rPr>
          <w:lang w:val="sk-SK"/>
        </w:rPr>
        <w:t>cefotaxím</w:t>
      </w:r>
      <w:r w:rsidRPr="00264414">
        <w:rPr>
          <w:lang w:val="sk-SK"/>
        </w:rPr>
        <w:t>u</w:t>
      </w:r>
      <w:proofErr w:type="spellEnd"/>
      <w:r w:rsidRPr="00264414">
        <w:rPr>
          <w:lang w:val="sk-SK"/>
        </w:rPr>
        <w:t xml:space="preserve"> je 240</w:t>
      </w:r>
      <w:r>
        <w:rPr>
          <w:lang w:val="sk-SK"/>
        </w:rPr>
        <w:t xml:space="preserve"> </w:t>
      </w:r>
      <w:r w:rsidRPr="00264414">
        <w:rPr>
          <w:lang w:val="sk-SK"/>
        </w:rPr>
        <w:t>-</w:t>
      </w:r>
      <w:r>
        <w:rPr>
          <w:lang w:val="sk-SK"/>
        </w:rPr>
        <w:t xml:space="preserve"> </w:t>
      </w:r>
      <w:r w:rsidRPr="00264414">
        <w:rPr>
          <w:lang w:val="sk-SK"/>
        </w:rPr>
        <w:t>390 ml/min</w:t>
      </w:r>
      <w:r>
        <w:rPr>
          <w:lang w:val="sk-SK"/>
        </w:rPr>
        <w:t>.</w:t>
      </w:r>
      <w:r w:rsidRPr="00264414">
        <w:rPr>
          <w:lang w:val="sk-SK"/>
        </w:rPr>
        <w:t xml:space="preserve"> a </w:t>
      </w:r>
      <w:proofErr w:type="spellStart"/>
      <w:r w:rsidRPr="00264414">
        <w:rPr>
          <w:lang w:val="sk-SK"/>
        </w:rPr>
        <w:t>renálny</w:t>
      </w:r>
      <w:proofErr w:type="spellEnd"/>
      <w:r w:rsidRPr="00264414">
        <w:rPr>
          <w:lang w:val="sk-SK"/>
        </w:rPr>
        <w:t xml:space="preserve"> </w:t>
      </w:r>
      <w:proofErr w:type="spellStart"/>
      <w:r w:rsidRPr="00264414">
        <w:rPr>
          <w:lang w:val="sk-SK"/>
        </w:rPr>
        <w:t>klírens</w:t>
      </w:r>
      <w:proofErr w:type="spellEnd"/>
      <w:r w:rsidRPr="00264414">
        <w:rPr>
          <w:lang w:val="sk-SK"/>
        </w:rPr>
        <w:t xml:space="preserve"> je 130</w:t>
      </w:r>
      <w:r>
        <w:rPr>
          <w:lang w:val="sk-SK"/>
        </w:rPr>
        <w:t xml:space="preserve"> </w:t>
      </w:r>
      <w:r w:rsidRPr="00264414">
        <w:rPr>
          <w:lang w:val="sk-SK"/>
        </w:rPr>
        <w:t>-</w:t>
      </w:r>
      <w:r>
        <w:rPr>
          <w:lang w:val="sk-SK"/>
        </w:rPr>
        <w:t xml:space="preserve"> </w:t>
      </w:r>
      <w:r w:rsidRPr="00264414">
        <w:rPr>
          <w:lang w:val="sk-SK"/>
        </w:rPr>
        <w:t>150 ml/min.</w:t>
      </w:r>
    </w:p>
    <w:p w14:paraId="5A1D6EE5" w14:textId="77777777" w:rsidR="003E3C22" w:rsidRPr="00264414" w:rsidRDefault="003E3C22" w:rsidP="003E3C22">
      <w:pPr>
        <w:tabs>
          <w:tab w:val="left" w:pos="540"/>
        </w:tabs>
        <w:ind w:left="567" w:hanging="27"/>
        <w:rPr>
          <w:color w:val="FF0000"/>
          <w:lang w:val="sk-SK"/>
        </w:rPr>
      </w:pPr>
    </w:p>
    <w:p w14:paraId="36342467" w14:textId="77777777" w:rsidR="003E3C22" w:rsidRPr="00264414" w:rsidRDefault="003E3C22" w:rsidP="00B0579F">
      <w:pPr>
        <w:tabs>
          <w:tab w:val="clear" w:pos="567"/>
        </w:tabs>
        <w:jc w:val="both"/>
        <w:rPr>
          <w:lang w:val="sk-SK"/>
        </w:rPr>
      </w:pPr>
      <w:r w:rsidRPr="00264414">
        <w:rPr>
          <w:lang w:val="sk-SK"/>
        </w:rPr>
        <w:t xml:space="preserve">Sérový polčas </w:t>
      </w:r>
      <w:proofErr w:type="spellStart"/>
      <w:r>
        <w:rPr>
          <w:lang w:val="sk-SK"/>
        </w:rPr>
        <w:t>cefotaxím</w:t>
      </w:r>
      <w:r w:rsidRPr="00264414">
        <w:rPr>
          <w:lang w:val="sk-SK"/>
        </w:rPr>
        <w:t>u</w:t>
      </w:r>
      <w:proofErr w:type="spellEnd"/>
      <w:r w:rsidRPr="00264414">
        <w:rPr>
          <w:lang w:val="sk-SK"/>
        </w:rPr>
        <w:t xml:space="preserve"> je zvyčajne </w:t>
      </w:r>
      <w:r>
        <w:rPr>
          <w:lang w:val="sk-SK"/>
        </w:rPr>
        <w:t>okolo</w:t>
      </w:r>
      <w:r w:rsidRPr="00264414">
        <w:rPr>
          <w:lang w:val="sk-SK"/>
        </w:rPr>
        <w:t xml:space="preserve"> 50-80</w:t>
      </w:r>
      <w:r>
        <w:rPr>
          <w:lang w:val="sk-SK"/>
        </w:rPr>
        <w:t xml:space="preserve"> min.</w:t>
      </w:r>
      <w:r w:rsidRPr="00264414">
        <w:rPr>
          <w:lang w:val="sk-SK"/>
        </w:rPr>
        <w:t xml:space="preserve"> a O-</w:t>
      </w:r>
      <w:proofErr w:type="spellStart"/>
      <w:r w:rsidRPr="00264414">
        <w:rPr>
          <w:lang w:val="sk-SK"/>
        </w:rPr>
        <w:t>desacetyl</w:t>
      </w:r>
      <w:proofErr w:type="spellEnd"/>
      <w:r w:rsidRPr="00264414">
        <w:rPr>
          <w:lang w:val="sk-SK"/>
        </w:rPr>
        <w:t>-</w:t>
      </w:r>
      <w:proofErr w:type="spellStart"/>
      <w:r>
        <w:rPr>
          <w:lang w:val="sk-SK"/>
        </w:rPr>
        <w:t>cefotaxím</w:t>
      </w:r>
      <w:r w:rsidRPr="00264414">
        <w:rPr>
          <w:lang w:val="sk-SK"/>
        </w:rPr>
        <w:t>u</w:t>
      </w:r>
      <w:proofErr w:type="spellEnd"/>
      <w:r w:rsidRPr="00264414">
        <w:rPr>
          <w:lang w:val="sk-SK"/>
        </w:rPr>
        <w:t xml:space="preserve"> okolo 90 minút. U starších ľudí je sérový polčas </w:t>
      </w:r>
      <w:proofErr w:type="spellStart"/>
      <w:r>
        <w:rPr>
          <w:lang w:val="sk-SK"/>
        </w:rPr>
        <w:t>cefotaxím</w:t>
      </w:r>
      <w:r w:rsidRPr="00264414">
        <w:rPr>
          <w:lang w:val="sk-SK"/>
        </w:rPr>
        <w:t>u</w:t>
      </w:r>
      <w:proofErr w:type="spellEnd"/>
      <w:r w:rsidRPr="00264414">
        <w:rPr>
          <w:lang w:val="sk-SK"/>
        </w:rPr>
        <w:t xml:space="preserve"> 120</w:t>
      </w:r>
      <w:r>
        <w:rPr>
          <w:lang w:val="sk-SK"/>
        </w:rPr>
        <w:t xml:space="preserve"> </w:t>
      </w:r>
      <w:r w:rsidRPr="00264414">
        <w:rPr>
          <w:lang w:val="sk-SK"/>
        </w:rPr>
        <w:t>-</w:t>
      </w:r>
      <w:r>
        <w:rPr>
          <w:lang w:val="sk-SK"/>
        </w:rPr>
        <w:t xml:space="preserve"> </w:t>
      </w:r>
      <w:r w:rsidRPr="00264414">
        <w:rPr>
          <w:lang w:val="sk-SK"/>
        </w:rPr>
        <w:t>150 min.</w:t>
      </w:r>
    </w:p>
    <w:p w14:paraId="09655BC3" w14:textId="77777777" w:rsidR="003E3C22" w:rsidRPr="00264414" w:rsidRDefault="003E3C22" w:rsidP="003E3C22">
      <w:pPr>
        <w:tabs>
          <w:tab w:val="left" w:pos="540"/>
        </w:tabs>
        <w:ind w:left="567" w:hanging="27"/>
        <w:rPr>
          <w:color w:val="FF0000"/>
          <w:lang w:val="sk-SK"/>
        </w:rPr>
      </w:pPr>
    </w:p>
    <w:p w14:paraId="107E013D" w14:textId="47AE0F8C" w:rsidR="003E3C22" w:rsidRPr="00264414" w:rsidRDefault="003E3C22" w:rsidP="00B0579F">
      <w:pPr>
        <w:tabs>
          <w:tab w:val="left" w:pos="540"/>
        </w:tabs>
        <w:jc w:val="both"/>
        <w:rPr>
          <w:lang w:val="sk-SK"/>
        </w:rPr>
      </w:pPr>
      <w:r w:rsidRPr="00264414">
        <w:rPr>
          <w:lang w:val="sk-SK"/>
        </w:rPr>
        <w:t>U pacientov s ťažkou poruchou funkcie obličiek (</w:t>
      </w:r>
      <w:proofErr w:type="spellStart"/>
      <w:r w:rsidRPr="00264414">
        <w:rPr>
          <w:lang w:val="sk-SK"/>
        </w:rPr>
        <w:t>klírens</w:t>
      </w:r>
      <w:proofErr w:type="spellEnd"/>
      <w:r w:rsidRPr="00264414">
        <w:rPr>
          <w:lang w:val="sk-SK"/>
        </w:rPr>
        <w:t xml:space="preserve"> </w:t>
      </w:r>
      <w:proofErr w:type="spellStart"/>
      <w:r w:rsidRPr="00264414">
        <w:rPr>
          <w:lang w:val="sk-SK"/>
        </w:rPr>
        <w:t>kreatinínu</w:t>
      </w:r>
      <w:proofErr w:type="spellEnd"/>
      <w:r w:rsidRPr="00264414">
        <w:rPr>
          <w:lang w:val="sk-SK"/>
        </w:rPr>
        <w:t xml:space="preserve"> 3</w:t>
      </w:r>
      <w:r>
        <w:rPr>
          <w:lang w:val="sk-SK"/>
        </w:rPr>
        <w:t xml:space="preserve"> </w:t>
      </w:r>
      <w:r w:rsidRPr="00264414">
        <w:rPr>
          <w:lang w:val="sk-SK"/>
        </w:rPr>
        <w:t>-</w:t>
      </w:r>
      <w:r>
        <w:rPr>
          <w:lang w:val="sk-SK"/>
        </w:rPr>
        <w:t xml:space="preserve"> </w:t>
      </w:r>
      <w:r w:rsidRPr="00264414">
        <w:rPr>
          <w:lang w:val="sk-SK"/>
        </w:rPr>
        <w:t>10 ml/min</w:t>
      </w:r>
      <w:r>
        <w:rPr>
          <w:lang w:val="sk-SK"/>
        </w:rPr>
        <w:t>.</w:t>
      </w:r>
      <w:r w:rsidRPr="00264414">
        <w:rPr>
          <w:lang w:val="sk-SK"/>
        </w:rPr>
        <w:t xml:space="preserve">) sa môže sérový polčas </w:t>
      </w:r>
      <w:proofErr w:type="spellStart"/>
      <w:r>
        <w:rPr>
          <w:lang w:val="sk-SK"/>
        </w:rPr>
        <w:t>cefotaxím</w:t>
      </w:r>
      <w:r w:rsidRPr="00264414">
        <w:rPr>
          <w:lang w:val="sk-SK"/>
        </w:rPr>
        <w:t>u</w:t>
      </w:r>
      <w:proofErr w:type="spellEnd"/>
      <w:r w:rsidRPr="00264414">
        <w:rPr>
          <w:lang w:val="sk-SK"/>
        </w:rPr>
        <w:t xml:space="preserve"> zvýšiť na 2,5</w:t>
      </w:r>
      <w:r>
        <w:rPr>
          <w:lang w:val="sk-SK"/>
        </w:rPr>
        <w:t xml:space="preserve"> </w:t>
      </w:r>
      <w:r w:rsidRPr="00264414">
        <w:rPr>
          <w:lang w:val="sk-SK"/>
        </w:rPr>
        <w:t>-</w:t>
      </w:r>
      <w:r>
        <w:rPr>
          <w:lang w:val="sk-SK"/>
        </w:rPr>
        <w:t xml:space="preserve"> </w:t>
      </w:r>
      <w:r w:rsidR="00BA2C76">
        <w:rPr>
          <w:lang w:val="sk-SK"/>
        </w:rPr>
        <w:t>10</w:t>
      </w:r>
      <w:r w:rsidRPr="00264414">
        <w:rPr>
          <w:lang w:val="sk-SK"/>
        </w:rPr>
        <w:t xml:space="preserve"> hodín.</w:t>
      </w:r>
    </w:p>
    <w:p w14:paraId="4D0239E1" w14:textId="77777777" w:rsidR="003E3C22" w:rsidRPr="00264414" w:rsidRDefault="003E3C22" w:rsidP="003E3C22">
      <w:pPr>
        <w:tabs>
          <w:tab w:val="left" w:pos="540"/>
        </w:tabs>
        <w:ind w:left="567" w:hanging="27"/>
        <w:rPr>
          <w:color w:val="FF0000"/>
          <w:lang w:val="sk-SK"/>
        </w:rPr>
      </w:pPr>
    </w:p>
    <w:p w14:paraId="697359D5" w14:textId="7B975794" w:rsidR="003E3C22" w:rsidRPr="00264414" w:rsidRDefault="003E3C22" w:rsidP="00B0579F">
      <w:pPr>
        <w:tabs>
          <w:tab w:val="left" w:pos="540"/>
        </w:tabs>
        <w:jc w:val="both"/>
        <w:rPr>
          <w:lang w:val="sk-SK"/>
        </w:rPr>
      </w:pPr>
      <w:r w:rsidRPr="00264414">
        <w:rPr>
          <w:lang w:val="sk-SK"/>
        </w:rPr>
        <w:t>Po intravenóznom podaní 1</w:t>
      </w:r>
      <w:r w:rsidR="00BA2C76">
        <w:rPr>
          <w:lang w:val="sk-SK"/>
        </w:rPr>
        <w:t xml:space="preserve"> </w:t>
      </w:r>
      <w:r w:rsidRPr="00264414">
        <w:rPr>
          <w:lang w:val="sk-SK"/>
        </w:rPr>
        <w:t xml:space="preserve">g alebo </w:t>
      </w:r>
      <w:proofErr w:type="spellStart"/>
      <w:r w:rsidRPr="00264414">
        <w:rPr>
          <w:lang w:val="sk-SK"/>
        </w:rPr>
        <w:t>intramuskulárnom</w:t>
      </w:r>
      <w:proofErr w:type="spellEnd"/>
      <w:r w:rsidRPr="00264414">
        <w:rPr>
          <w:lang w:val="sk-SK"/>
        </w:rPr>
        <w:t xml:space="preserve"> podaní 500 mg  nedochádza ku kumulácii </w:t>
      </w:r>
      <w:proofErr w:type="spellStart"/>
      <w:r w:rsidR="00BA2C76">
        <w:rPr>
          <w:lang w:val="sk-SK"/>
        </w:rPr>
        <w:t>cefotaxímu</w:t>
      </w:r>
      <w:proofErr w:type="spellEnd"/>
      <w:r w:rsidR="00BA2C76">
        <w:rPr>
          <w:lang w:val="sk-SK"/>
        </w:rPr>
        <w:t xml:space="preserve"> </w:t>
      </w:r>
      <w:r w:rsidRPr="00264414">
        <w:rPr>
          <w:lang w:val="sk-SK"/>
        </w:rPr>
        <w:t>po dobu 10 alebo 14 dní.</w:t>
      </w:r>
    </w:p>
    <w:p w14:paraId="094A2C34" w14:textId="77777777" w:rsidR="003E3C22" w:rsidRPr="00264414" w:rsidRDefault="003E3C22" w:rsidP="003E3C22">
      <w:pPr>
        <w:tabs>
          <w:tab w:val="left" w:pos="540"/>
        </w:tabs>
        <w:ind w:left="567" w:hanging="27"/>
        <w:rPr>
          <w:lang w:val="sk-SK"/>
        </w:rPr>
      </w:pPr>
    </w:p>
    <w:p w14:paraId="7D8E88F9" w14:textId="27E6A4E7" w:rsidR="003E3C22" w:rsidRPr="004229C9" w:rsidRDefault="003E3C22" w:rsidP="00B0579F">
      <w:pPr>
        <w:tabs>
          <w:tab w:val="clear" w:pos="567"/>
        </w:tabs>
        <w:jc w:val="both"/>
        <w:rPr>
          <w:lang w:val="sk-SK"/>
        </w:rPr>
      </w:pPr>
      <w:r w:rsidRPr="00264414">
        <w:rPr>
          <w:lang w:val="sk-SK"/>
        </w:rPr>
        <w:t>U</w:t>
      </w:r>
      <w:r>
        <w:rPr>
          <w:lang w:val="sk-SK"/>
        </w:rPr>
        <w:t> </w:t>
      </w:r>
      <w:r w:rsidRPr="00264414">
        <w:rPr>
          <w:lang w:val="sk-SK"/>
        </w:rPr>
        <w:t xml:space="preserve">novorodencov </w:t>
      </w:r>
      <w:r w:rsidR="00193346">
        <w:rPr>
          <w:lang w:val="sk-SK"/>
        </w:rPr>
        <w:t xml:space="preserve">narodených v termíne </w:t>
      </w:r>
      <w:r w:rsidRPr="00264414">
        <w:rPr>
          <w:lang w:val="sk-SK"/>
        </w:rPr>
        <w:t xml:space="preserve">je </w:t>
      </w:r>
      <w:proofErr w:type="spellStart"/>
      <w:r w:rsidRPr="00264414">
        <w:rPr>
          <w:lang w:val="sk-SK"/>
        </w:rPr>
        <w:t>farmakokinetika</w:t>
      </w:r>
      <w:proofErr w:type="spellEnd"/>
      <w:r w:rsidRPr="00264414">
        <w:rPr>
          <w:lang w:val="sk-SK"/>
        </w:rPr>
        <w:t xml:space="preserve"> ovplyvnená tehotenstvom a chronologickým vekom, </w:t>
      </w:r>
      <w:r w:rsidR="002A7A84">
        <w:rPr>
          <w:lang w:val="sk-SK"/>
        </w:rPr>
        <w:t xml:space="preserve">biologický polčas </w:t>
      </w:r>
      <w:r w:rsidRPr="00264414">
        <w:rPr>
          <w:lang w:val="sk-SK"/>
        </w:rPr>
        <w:t>je predĺžený u</w:t>
      </w:r>
      <w:r>
        <w:rPr>
          <w:lang w:val="sk-SK"/>
        </w:rPr>
        <w:t> predčasne narodených</w:t>
      </w:r>
      <w:r w:rsidRPr="00264414">
        <w:rPr>
          <w:lang w:val="sk-SK"/>
        </w:rPr>
        <w:t xml:space="preserve"> detí a</w:t>
      </w:r>
      <w:r w:rsidR="002A7A84">
        <w:rPr>
          <w:lang w:val="sk-SK"/>
        </w:rPr>
        <w:t xml:space="preserve"> v termíne narodených </w:t>
      </w:r>
      <w:r w:rsidRPr="00264414">
        <w:rPr>
          <w:lang w:val="sk-SK"/>
        </w:rPr>
        <w:t>novorodencov s nízkou pôrodnou hmotnosťou</w:t>
      </w:r>
      <w:r w:rsidRPr="00B85D0B">
        <w:rPr>
          <w:lang w:val="sk-SK"/>
        </w:rPr>
        <w:t xml:space="preserve"> </w:t>
      </w:r>
      <w:r w:rsidRPr="00264414">
        <w:rPr>
          <w:lang w:val="sk-SK"/>
        </w:rPr>
        <w:t>rovnakého veku.</w:t>
      </w:r>
      <w:r w:rsidRPr="004229C9">
        <w:rPr>
          <w:lang w:val="sk-SK"/>
        </w:rPr>
        <w:t xml:space="preserve"> </w:t>
      </w:r>
    </w:p>
    <w:p w14:paraId="6029C09A" w14:textId="77777777" w:rsidR="003E3C22" w:rsidRPr="004229C9" w:rsidRDefault="003E3C22" w:rsidP="003E3C22">
      <w:pPr>
        <w:tabs>
          <w:tab w:val="clear" w:pos="567"/>
        </w:tabs>
        <w:spacing w:line="240" w:lineRule="auto"/>
        <w:ind w:left="567" w:hanging="567"/>
        <w:outlineLvl w:val="0"/>
        <w:rPr>
          <w:b/>
          <w:noProof/>
          <w:szCs w:val="22"/>
          <w:lang w:val="sk-SK"/>
        </w:rPr>
      </w:pPr>
    </w:p>
    <w:p w14:paraId="3CCEAF6F" w14:textId="77777777" w:rsidR="003E3C22" w:rsidRPr="004229C9" w:rsidRDefault="003E3C22" w:rsidP="003E3C22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sk-SK"/>
        </w:rPr>
      </w:pPr>
      <w:r w:rsidRPr="004229C9">
        <w:rPr>
          <w:b/>
          <w:noProof/>
          <w:szCs w:val="22"/>
          <w:lang w:val="sk-SK"/>
        </w:rPr>
        <w:t>5.3</w:t>
      </w:r>
      <w:r w:rsidRPr="004229C9">
        <w:rPr>
          <w:b/>
          <w:noProof/>
          <w:szCs w:val="22"/>
          <w:lang w:val="sk-SK"/>
        </w:rPr>
        <w:tab/>
        <w:t xml:space="preserve">Predklinické údaje o bezpečnosti </w:t>
      </w:r>
    </w:p>
    <w:p w14:paraId="602D06D8" w14:textId="77777777" w:rsidR="003E3C22" w:rsidRPr="004229C9" w:rsidRDefault="003E3C22" w:rsidP="003E3C22">
      <w:pPr>
        <w:tabs>
          <w:tab w:val="clear" w:pos="567"/>
        </w:tabs>
        <w:rPr>
          <w:b/>
          <w:noProof/>
          <w:szCs w:val="22"/>
          <w:lang w:val="sk-SK"/>
        </w:rPr>
      </w:pPr>
      <w:r w:rsidRPr="004229C9">
        <w:rPr>
          <w:noProof/>
          <w:szCs w:val="22"/>
          <w:lang w:val="sk-SK"/>
        </w:rPr>
        <w:t xml:space="preserve">          </w:t>
      </w:r>
    </w:p>
    <w:p w14:paraId="746E90E9" w14:textId="52B90E04" w:rsidR="003E3C22" w:rsidRPr="004229C9" w:rsidRDefault="00691CCC" w:rsidP="00B0579F">
      <w:pPr>
        <w:jc w:val="both"/>
        <w:rPr>
          <w:noProof/>
          <w:szCs w:val="22"/>
          <w:lang w:val="sk-SK"/>
        </w:rPr>
      </w:pPr>
      <w:r w:rsidRPr="00691CCC">
        <w:rPr>
          <w:szCs w:val="22"/>
          <w:lang w:val="sk-SK"/>
        </w:rPr>
        <w:t xml:space="preserve">Toxicita </w:t>
      </w:r>
      <w:proofErr w:type="spellStart"/>
      <w:r w:rsidRPr="00691CCC">
        <w:rPr>
          <w:szCs w:val="22"/>
          <w:lang w:val="sk-SK"/>
        </w:rPr>
        <w:t>cefotax</w:t>
      </w:r>
      <w:r>
        <w:rPr>
          <w:szCs w:val="22"/>
          <w:lang w:val="sk-SK"/>
        </w:rPr>
        <w:t>í</w:t>
      </w:r>
      <w:r w:rsidRPr="00691CCC">
        <w:rPr>
          <w:szCs w:val="22"/>
          <w:lang w:val="sk-SK"/>
        </w:rPr>
        <w:t>mu</w:t>
      </w:r>
      <w:proofErr w:type="spellEnd"/>
      <w:r w:rsidRPr="00691CCC">
        <w:rPr>
          <w:szCs w:val="22"/>
          <w:lang w:val="sk-SK"/>
        </w:rPr>
        <w:t xml:space="preserve"> je veľmi nízka. V závislosti od druhu sa LD</w:t>
      </w:r>
      <w:r w:rsidRPr="00233E28">
        <w:rPr>
          <w:szCs w:val="22"/>
          <w:vertAlign w:val="subscript"/>
          <w:lang w:val="sk-SK"/>
        </w:rPr>
        <w:t>50</w:t>
      </w:r>
      <w:r w:rsidRPr="00691CCC">
        <w:rPr>
          <w:szCs w:val="22"/>
          <w:lang w:val="sk-SK"/>
        </w:rPr>
        <w:t xml:space="preserve"> líši po </w:t>
      </w:r>
      <w:proofErr w:type="spellStart"/>
      <w:r w:rsidRPr="00691CCC">
        <w:rPr>
          <w:szCs w:val="22"/>
          <w:lang w:val="sk-SK"/>
        </w:rPr>
        <w:t>i</w:t>
      </w:r>
      <w:r>
        <w:rPr>
          <w:szCs w:val="22"/>
          <w:lang w:val="sk-SK"/>
        </w:rPr>
        <w:t>.</w:t>
      </w:r>
      <w:r w:rsidRPr="00691CCC">
        <w:rPr>
          <w:szCs w:val="22"/>
          <w:lang w:val="sk-SK"/>
        </w:rPr>
        <w:t>v</w:t>
      </w:r>
      <w:proofErr w:type="spellEnd"/>
      <w:r>
        <w:rPr>
          <w:szCs w:val="22"/>
          <w:lang w:val="sk-SK"/>
        </w:rPr>
        <w:t>.</w:t>
      </w:r>
      <w:r w:rsidRPr="00691CCC">
        <w:rPr>
          <w:szCs w:val="22"/>
          <w:lang w:val="sk-SK"/>
        </w:rPr>
        <w:t xml:space="preserve"> podaní pri pokusoch </w:t>
      </w:r>
      <w:r w:rsidR="001372D5">
        <w:rPr>
          <w:szCs w:val="22"/>
          <w:lang w:val="sk-SK"/>
        </w:rPr>
        <w:t>na</w:t>
      </w:r>
      <w:r w:rsidRPr="00691CCC">
        <w:rPr>
          <w:szCs w:val="22"/>
          <w:lang w:val="sk-SK"/>
        </w:rPr>
        <w:t xml:space="preserve"> zvierat</w:t>
      </w:r>
      <w:r w:rsidR="001372D5">
        <w:rPr>
          <w:szCs w:val="22"/>
          <w:lang w:val="sk-SK"/>
        </w:rPr>
        <w:t>ách</w:t>
      </w:r>
      <w:r w:rsidRPr="00691CCC">
        <w:rPr>
          <w:szCs w:val="22"/>
          <w:lang w:val="sk-SK"/>
        </w:rPr>
        <w:t>. U myší a potkanov je</w:t>
      </w:r>
      <w:r w:rsidR="00C05BF5">
        <w:rPr>
          <w:szCs w:val="22"/>
          <w:lang w:val="sk-SK"/>
        </w:rPr>
        <w:t xml:space="preserve"> </w:t>
      </w:r>
      <w:r w:rsidR="00C05BF5" w:rsidRPr="00691CCC">
        <w:rPr>
          <w:szCs w:val="22"/>
          <w:lang w:val="sk-SK"/>
        </w:rPr>
        <w:t>LD</w:t>
      </w:r>
      <w:r w:rsidR="00C05BF5" w:rsidRPr="00947083">
        <w:rPr>
          <w:szCs w:val="22"/>
          <w:vertAlign w:val="subscript"/>
          <w:lang w:val="sk-SK"/>
        </w:rPr>
        <w:t>50</w:t>
      </w:r>
      <w:r w:rsidRPr="00691CCC">
        <w:rPr>
          <w:szCs w:val="22"/>
          <w:lang w:val="sk-SK"/>
        </w:rPr>
        <w:t xml:space="preserve"> 9 - 11 g/kg telesnej hmotnosti. Po </w:t>
      </w:r>
      <w:proofErr w:type="spellStart"/>
      <w:r w:rsidRPr="00691CCC">
        <w:rPr>
          <w:szCs w:val="22"/>
          <w:lang w:val="sk-SK"/>
        </w:rPr>
        <w:t>subkutánnom</w:t>
      </w:r>
      <w:proofErr w:type="spellEnd"/>
      <w:r w:rsidRPr="00691CCC">
        <w:rPr>
          <w:szCs w:val="22"/>
          <w:lang w:val="sk-SK"/>
        </w:rPr>
        <w:t xml:space="preserve"> podaní sú hodnoty LD</w:t>
      </w:r>
      <w:r w:rsidRPr="00233E28">
        <w:rPr>
          <w:szCs w:val="22"/>
          <w:vertAlign w:val="subscript"/>
          <w:lang w:val="sk-SK"/>
        </w:rPr>
        <w:t>50</w:t>
      </w:r>
      <w:r w:rsidRPr="00C05BF5">
        <w:rPr>
          <w:szCs w:val="22"/>
          <w:lang w:val="sk-SK"/>
        </w:rPr>
        <w:t xml:space="preserve"> </w:t>
      </w:r>
      <w:r w:rsidRPr="00691CCC">
        <w:rPr>
          <w:szCs w:val="22"/>
          <w:lang w:val="sk-SK"/>
        </w:rPr>
        <w:t>u 7 dní starých myší a potkanov 6,1 až 7,4 g/kg telesnej hmotnosti a u samíc myší 18,7 g/kg telesnej hmotnosti.</w:t>
      </w:r>
    </w:p>
    <w:p w14:paraId="50BA341A" w14:textId="77777777" w:rsidR="003E3C22" w:rsidRDefault="003E3C22" w:rsidP="003E3C22">
      <w:pPr>
        <w:ind w:left="567"/>
        <w:rPr>
          <w:snapToGrid w:val="0"/>
          <w:lang w:val="sk-SK"/>
        </w:rPr>
      </w:pPr>
    </w:p>
    <w:p w14:paraId="126DB439" w14:textId="77777777" w:rsidR="00C05BF5" w:rsidRPr="00233E28" w:rsidRDefault="00C05BF5" w:rsidP="00B0579F">
      <w:pPr>
        <w:rPr>
          <w:snapToGrid w:val="0"/>
          <w:u w:val="single"/>
          <w:lang w:val="sk-SK"/>
        </w:rPr>
      </w:pPr>
      <w:r w:rsidRPr="00233E28">
        <w:rPr>
          <w:snapToGrid w:val="0"/>
          <w:u w:val="single"/>
          <w:lang w:val="sk-SK"/>
        </w:rPr>
        <w:t>Mutagénny potenciál</w:t>
      </w:r>
    </w:p>
    <w:p w14:paraId="15A79BF7" w14:textId="3F20B37C" w:rsidR="00C05BF5" w:rsidRDefault="00C05BF5" w:rsidP="00B0579F">
      <w:pPr>
        <w:jc w:val="both"/>
        <w:rPr>
          <w:snapToGrid w:val="0"/>
          <w:lang w:val="sk-SK"/>
        </w:rPr>
      </w:pPr>
      <w:r w:rsidRPr="00C05BF5">
        <w:rPr>
          <w:snapToGrid w:val="0"/>
          <w:lang w:val="sk-SK"/>
        </w:rPr>
        <w:t xml:space="preserve">Štúdie in </w:t>
      </w:r>
      <w:proofErr w:type="spellStart"/>
      <w:r w:rsidRPr="00C05BF5">
        <w:rPr>
          <w:snapToGrid w:val="0"/>
          <w:lang w:val="sk-SK"/>
        </w:rPr>
        <w:t>vivo</w:t>
      </w:r>
      <w:proofErr w:type="spellEnd"/>
      <w:r w:rsidRPr="00C05BF5">
        <w:rPr>
          <w:snapToGrid w:val="0"/>
          <w:lang w:val="sk-SK"/>
        </w:rPr>
        <w:t xml:space="preserve"> týkajúce sa kostnej drene potkanov a myší neodhalili žiadny dôkaz mu</w:t>
      </w:r>
      <w:r w:rsidR="00964D0F">
        <w:rPr>
          <w:snapToGrid w:val="0"/>
          <w:lang w:val="sk-SK"/>
        </w:rPr>
        <w:t>tagénn</w:t>
      </w:r>
      <w:r w:rsidR="001372D5">
        <w:rPr>
          <w:snapToGrid w:val="0"/>
          <w:lang w:val="sk-SK"/>
        </w:rPr>
        <w:t>eho</w:t>
      </w:r>
      <w:r w:rsidR="00964D0F">
        <w:rPr>
          <w:snapToGrid w:val="0"/>
          <w:lang w:val="sk-SK"/>
        </w:rPr>
        <w:t xml:space="preserve"> potenciál</w:t>
      </w:r>
      <w:r w:rsidR="001372D5">
        <w:rPr>
          <w:snapToGrid w:val="0"/>
          <w:lang w:val="sk-SK"/>
        </w:rPr>
        <w:t>u</w:t>
      </w:r>
      <w:r w:rsidR="00964D0F">
        <w:rPr>
          <w:snapToGrid w:val="0"/>
          <w:lang w:val="sk-SK"/>
        </w:rPr>
        <w:t xml:space="preserve"> </w:t>
      </w:r>
      <w:proofErr w:type="spellStart"/>
      <w:r w:rsidR="00964D0F">
        <w:rPr>
          <w:snapToGrid w:val="0"/>
          <w:lang w:val="sk-SK"/>
        </w:rPr>
        <w:t>cefotaxí</w:t>
      </w:r>
      <w:r w:rsidRPr="00C05BF5">
        <w:rPr>
          <w:snapToGrid w:val="0"/>
          <w:lang w:val="sk-SK"/>
        </w:rPr>
        <w:t>m</w:t>
      </w:r>
      <w:r w:rsidR="001372D5">
        <w:rPr>
          <w:snapToGrid w:val="0"/>
          <w:lang w:val="sk-SK"/>
        </w:rPr>
        <w:t>u</w:t>
      </w:r>
      <w:proofErr w:type="spellEnd"/>
      <w:r w:rsidRPr="00C05BF5">
        <w:rPr>
          <w:snapToGrid w:val="0"/>
          <w:lang w:val="sk-SK"/>
        </w:rPr>
        <w:t>.</w:t>
      </w:r>
    </w:p>
    <w:p w14:paraId="5A17217B" w14:textId="77777777" w:rsidR="00C05BF5" w:rsidRDefault="00C05BF5" w:rsidP="00C05BF5">
      <w:pPr>
        <w:ind w:left="567"/>
        <w:rPr>
          <w:snapToGrid w:val="0"/>
          <w:lang w:val="sk-SK"/>
        </w:rPr>
      </w:pPr>
    </w:p>
    <w:p w14:paraId="446C41DA" w14:textId="77777777" w:rsidR="005A7396" w:rsidRPr="00233E28" w:rsidRDefault="005A7396" w:rsidP="00B0579F">
      <w:pPr>
        <w:rPr>
          <w:snapToGrid w:val="0"/>
          <w:u w:val="single"/>
          <w:lang w:val="sk-SK"/>
        </w:rPr>
      </w:pPr>
      <w:r w:rsidRPr="00233E28">
        <w:rPr>
          <w:snapToGrid w:val="0"/>
          <w:u w:val="single"/>
          <w:lang w:val="sk-SK"/>
        </w:rPr>
        <w:t>Reprodukčná toxicita</w:t>
      </w:r>
    </w:p>
    <w:p w14:paraId="08271DB1" w14:textId="64927582" w:rsidR="00C05BF5" w:rsidRDefault="005A7396" w:rsidP="00B0579F">
      <w:pPr>
        <w:jc w:val="both"/>
        <w:rPr>
          <w:snapToGrid w:val="0"/>
          <w:lang w:val="sk-SK"/>
        </w:rPr>
      </w:pPr>
      <w:proofErr w:type="spellStart"/>
      <w:r w:rsidRPr="005A7396">
        <w:rPr>
          <w:snapToGrid w:val="0"/>
          <w:lang w:val="sk-SK"/>
        </w:rPr>
        <w:t>Cefotaxim</w:t>
      </w:r>
      <w:proofErr w:type="spellEnd"/>
      <w:r w:rsidRPr="005A7396">
        <w:rPr>
          <w:snapToGrid w:val="0"/>
          <w:lang w:val="sk-SK"/>
        </w:rPr>
        <w:t xml:space="preserve"> prechádza placentou. Po intravenózn</w:t>
      </w:r>
      <w:r w:rsidR="00841D9A">
        <w:rPr>
          <w:snapToGrid w:val="0"/>
          <w:lang w:val="sk-SK"/>
        </w:rPr>
        <w:t>ej aplikácii</w:t>
      </w:r>
      <w:r w:rsidRPr="005A7396">
        <w:rPr>
          <w:snapToGrid w:val="0"/>
          <w:lang w:val="sk-SK"/>
        </w:rPr>
        <w:t xml:space="preserve"> 1 g </w:t>
      </w:r>
      <w:proofErr w:type="spellStart"/>
      <w:r w:rsidRPr="005A7396">
        <w:rPr>
          <w:snapToGrid w:val="0"/>
          <w:lang w:val="sk-SK"/>
        </w:rPr>
        <w:t>cefotaximu</w:t>
      </w:r>
      <w:proofErr w:type="spellEnd"/>
      <w:r w:rsidRPr="005A7396">
        <w:rPr>
          <w:snapToGrid w:val="0"/>
          <w:lang w:val="sk-SK"/>
        </w:rPr>
        <w:t xml:space="preserve"> pri narodení </w:t>
      </w:r>
      <w:r w:rsidR="00C639D5">
        <w:rPr>
          <w:snapToGrid w:val="0"/>
          <w:lang w:val="sk-SK"/>
        </w:rPr>
        <w:t xml:space="preserve">boli </w:t>
      </w:r>
      <w:r w:rsidR="001B10A1" w:rsidRPr="005A7396">
        <w:rPr>
          <w:snapToGrid w:val="0"/>
          <w:lang w:val="sk-SK"/>
        </w:rPr>
        <w:t xml:space="preserve">v sére </w:t>
      </w:r>
      <w:r w:rsidR="001B10A1">
        <w:rPr>
          <w:snapToGrid w:val="0"/>
          <w:lang w:val="sk-SK"/>
        </w:rPr>
        <w:t xml:space="preserve">z </w:t>
      </w:r>
      <w:r w:rsidR="001B10A1" w:rsidRPr="005A7396">
        <w:rPr>
          <w:snapToGrid w:val="0"/>
          <w:lang w:val="sk-SK"/>
        </w:rPr>
        <w:t>pupočník</w:t>
      </w:r>
      <w:r w:rsidR="00194B68">
        <w:rPr>
          <w:snapToGrid w:val="0"/>
          <w:lang w:val="sk-SK"/>
        </w:rPr>
        <w:t>a</w:t>
      </w:r>
      <w:r w:rsidR="001B10A1" w:rsidRPr="005A7396">
        <w:rPr>
          <w:snapToGrid w:val="0"/>
          <w:lang w:val="sk-SK"/>
        </w:rPr>
        <w:t xml:space="preserve"> </w:t>
      </w:r>
      <w:r w:rsidR="00956636">
        <w:rPr>
          <w:snapToGrid w:val="0"/>
          <w:lang w:val="sk-SK"/>
        </w:rPr>
        <w:t xml:space="preserve">počas </w:t>
      </w:r>
      <w:r w:rsidRPr="005A7396">
        <w:rPr>
          <w:snapToGrid w:val="0"/>
          <w:lang w:val="sk-SK"/>
        </w:rPr>
        <w:t>prv</w:t>
      </w:r>
      <w:r w:rsidR="000F35DA">
        <w:rPr>
          <w:snapToGrid w:val="0"/>
          <w:lang w:val="sk-SK"/>
        </w:rPr>
        <w:t>ých</w:t>
      </w:r>
      <w:r w:rsidRPr="005A7396">
        <w:rPr>
          <w:snapToGrid w:val="0"/>
          <w:lang w:val="sk-SK"/>
        </w:rPr>
        <w:t xml:space="preserve"> 90 minút po aplikácii </w:t>
      </w:r>
      <w:r w:rsidR="00173346">
        <w:rPr>
          <w:snapToGrid w:val="0"/>
          <w:lang w:val="sk-SK"/>
        </w:rPr>
        <w:t>na</w:t>
      </w:r>
      <w:r w:rsidRPr="005A7396">
        <w:rPr>
          <w:snapToGrid w:val="0"/>
          <w:lang w:val="sk-SK"/>
        </w:rPr>
        <w:t>mera</w:t>
      </w:r>
      <w:r w:rsidR="00173346">
        <w:rPr>
          <w:snapToGrid w:val="0"/>
          <w:lang w:val="sk-SK"/>
        </w:rPr>
        <w:t>né</w:t>
      </w:r>
      <w:r w:rsidRPr="005A7396">
        <w:rPr>
          <w:snapToGrid w:val="0"/>
          <w:lang w:val="sk-SK"/>
        </w:rPr>
        <w:t xml:space="preserve"> hodnoty 14 </w:t>
      </w:r>
      <w:proofErr w:type="spellStart"/>
      <w:r w:rsidRPr="005A7396">
        <w:rPr>
          <w:snapToGrid w:val="0"/>
          <w:lang w:val="sk-SK"/>
        </w:rPr>
        <w:t>μg</w:t>
      </w:r>
      <w:proofErr w:type="spellEnd"/>
      <w:r w:rsidRPr="005A7396">
        <w:rPr>
          <w:snapToGrid w:val="0"/>
          <w:lang w:val="sk-SK"/>
        </w:rPr>
        <w:t>/ml, ktoré klesl</w:t>
      </w:r>
      <w:r w:rsidR="00173346">
        <w:rPr>
          <w:snapToGrid w:val="0"/>
          <w:lang w:val="sk-SK"/>
        </w:rPr>
        <w:t>i</w:t>
      </w:r>
      <w:r w:rsidRPr="005A7396">
        <w:rPr>
          <w:snapToGrid w:val="0"/>
          <w:lang w:val="sk-SK"/>
        </w:rPr>
        <w:t xml:space="preserve"> na približne 2,5 </w:t>
      </w:r>
      <w:proofErr w:type="spellStart"/>
      <w:r w:rsidRPr="005A7396">
        <w:rPr>
          <w:snapToGrid w:val="0"/>
          <w:lang w:val="sk-SK"/>
        </w:rPr>
        <w:t>μg</w:t>
      </w:r>
      <w:proofErr w:type="spellEnd"/>
      <w:r w:rsidRPr="005A7396">
        <w:rPr>
          <w:snapToGrid w:val="0"/>
          <w:lang w:val="sk-SK"/>
        </w:rPr>
        <w:t xml:space="preserve">/ml </w:t>
      </w:r>
      <w:r w:rsidR="00D51DF6">
        <w:rPr>
          <w:snapToGrid w:val="0"/>
          <w:lang w:val="sk-SK"/>
        </w:rPr>
        <w:t>do</w:t>
      </w:r>
      <w:r w:rsidR="00D51DF6" w:rsidRPr="005A7396">
        <w:rPr>
          <w:snapToGrid w:val="0"/>
          <w:lang w:val="sk-SK"/>
        </w:rPr>
        <w:t xml:space="preserve"> konc</w:t>
      </w:r>
      <w:r w:rsidR="00D51DF6">
        <w:rPr>
          <w:snapToGrid w:val="0"/>
          <w:lang w:val="sk-SK"/>
        </w:rPr>
        <w:t>a</w:t>
      </w:r>
      <w:r w:rsidR="00D51DF6" w:rsidRPr="005A7396">
        <w:rPr>
          <w:snapToGrid w:val="0"/>
          <w:lang w:val="sk-SK"/>
        </w:rPr>
        <w:t xml:space="preserve"> druhej hodiny po aplikácii</w:t>
      </w:r>
      <w:r w:rsidR="00AE75AF">
        <w:rPr>
          <w:snapToGrid w:val="0"/>
          <w:lang w:val="sk-SK"/>
        </w:rPr>
        <w:t>.</w:t>
      </w:r>
      <w:r w:rsidRPr="005A7396">
        <w:rPr>
          <w:snapToGrid w:val="0"/>
          <w:lang w:val="sk-SK"/>
        </w:rPr>
        <w:t xml:space="preserve"> V</w:t>
      </w:r>
      <w:r w:rsidR="00694138">
        <w:rPr>
          <w:snapToGrid w:val="0"/>
          <w:lang w:val="sk-SK"/>
        </w:rPr>
        <w:t> plodovej vode bol</w:t>
      </w:r>
      <w:r w:rsidR="000633E7">
        <w:rPr>
          <w:snapToGrid w:val="0"/>
          <w:lang w:val="sk-SK"/>
        </w:rPr>
        <w:t>o</w:t>
      </w:r>
      <w:r w:rsidRPr="005A7396">
        <w:rPr>
          <w:snapToGrid w:val="0"/>
          <w:lang w:val="sk-SK"/>
        </w:rPr>
        <w:t xml:space="preserve"> </w:t>
      </w:r>
      <w:r w:rsidR="00694138">
        <w:rPr>
          <w:snapToGrid w:val="0"/>
          <w:lang w:val="sk-SK"/>
        </w:rPr>
        <w:t>na</w:t>
      </w:r>
      <w:r w:rsidRPr="005A7396">
        <w:rPr>
          <w:snapToGrid w:val="0"/>
          <w:lang w:val="sk-SK"/>
        </w:rPr>
        <w:t>mera</w:t>
      </w:r>
      <w:r w:rsidR="00694138">
        <w:rPr>
          <w:snapToGrid w:val="0"/>
          <w:lang w:val="sk-SK"/>
        </w:rPr>
        <w:t>né</w:t>
      </w:r>
      <w:r w:rsidRPr="005A7396">
        <w:rPr>
          <w:snapToGrid w:val="0"/>
          <w:lang w:val="sk-SK"/>
        </w:rPr>
        <w:t xml:space="preserve"> 6,9 </w:t>
      </w:r>
      <w:proofErr w:type="spellStart"/>
      <w:r w:rsidRPr="005A7396">
        <w:rPr>
          <w:snapToGrid w:val="0"/>
          <w:lang w:val="sk-SK"/>
        </w:rPr>
        <w:t>μg</w:t>
      </w:r>
      <w:proofErr w:type="spellEnd"/>
      <w:r w:rsidRPr="005A7396">
        <w:rPr>
          <w:snapToGrid w:val="0"/>
          <w:lang w:val="sk-SK"/>
        </w:rPr>
        <w:t>/ml ako najvyšši</w:t>
      </w:r>
      <w:r w:rsidR="0024484A">
        <w:rPr>
          <w:snapToGrid w:val="0"/>
          <w:lang w:val="sk-SK"/>
        </w:rPr>
        <w:t>a</w:t>
      </w:r>
      <w:r w:rsidRPr="005A7396">
        <w:rPr>
          <w:snapToGrid w:val="0"/>
          <w:lang w:val="sk-SK"/>
        </w:rPr>
        <w:t xml:space="preserve"> koncentráci</w:t>
      </w:r>
      <w:r w:rsidR="0024484A">
        <w:rPr>
          <w:snapToGrid w:val="0"/>
          <w:lang w:val="sk-SK"/>
        </w:rPr>
        <w:t>a</w:t>
      </w:r>
      <w:r w:rsidRPr="005A7396">
        <w:rPr>
          <w:snapToGrid w:val="0"/>
          <w:lang w:val="sk-SK"/>
        </w:rPr>
        <w:t xml:space="preserve"> po 3 - 4 hodinách, táto hodnota prevyšuje MIC pre väčšinu </w:t>
      </w:r>
      <w:proofErr w:type="spellStart"/>
      <w:r w:rsidRPr="005A7396">
        <w:rPr>
          <w:snapToGrid w:val="0"/>
          <w:lang w:val="sk-SK"/>
        </w:rPr>
        <w:t>gramnegatívnych</w:t>
      </w:r>
      <w:proofErr w:type="spellEnd"/>
      <w:r w:rsidRPr="005A7396">
        <w:rPr>
          <w:snapToGrid w:val="0"/>
          <w:lang w:val="sk-SK"/>
        </w:rPr>
        <w:t xml:space="preserve"> patogénov.</w:t>
      </w:r>
    </w:p>
    <w:p w14:paraId="5FAACC71" w14:textId="77777777" w:rsidR="00E4179B" w:rsidRDefault="00E4179B" w:rsidP="00B0579F">
      <w:pPr>
        <w:jc w:val="both"/>
        <w:rPr>
          <w:snapToGrid w:val="0"/>
          <w:lang w:val="sk-SK"/>
        </w:rPr>
      </w:pPr>
    </w:p>
    <w:p w14:paraId="3671ED48" w14:textId="29D8A1A7" w:rsidR="00E4179B" w:rsidRDefault="00E4179B" w:rsidP="00B0579F">
      <w:pPr>
        <w:jc w:val="both"/>
        <w:rPr>
          <w:snapToGrid w:val="0"/>
          <w:lang w:val="sk-SK"/>
        </w:rPr>
      </w:pPr>
      <w:r w:rsidRPr="00E4179B">
        <w:rPr>
          <w:snapToGrid w:val="0"/>
          <w:lang w:val="sk-SK"/>
        </w:rPr>
        <w:lastRenderedPageBreak/>
        <w:t>Štúdie na zvieratách u myší a potkanov ne</w:t>
      </w:r>
      <w:r w:rsidR="00576F6B">
        <w:rPr>
          <w:snapToGrid w:val="0"/>
          <w:lang w:val="sk-SK"/>
        </w:rPr>
        <w:t>pre</w:t>
      </w:r>
      <w:r w:rsidRPr="00E4179B">
        <w:rPr>
          <w:snapToGrid w:val="0"/>
          <w:lang w:val="sk-SK"/>
        </w:rPr>
        <w:t xml:space="preserve">ukázali </w:t>
      </w:r>
      <w:proofErr w:type="spellStart"/>
      <w:r w:rsidRPr="00E4179B">
        <w:rPr>
          <w:snapToGrid w:val="0"/>
          <w:lang w:val="sk-SK"/>
        </w:rPr>
        <w:t>teratogénne</w:t>
      </w:r>
      <w:proofErr w:type="spellEnd"/>
      <w:r w:rsidRPr="00E4179B">
        <w:rPr>
          <w:snapToGrid w:val="0"/>
          <w:lang w:val="sk-SK"/>
        </w:rPr>
        <w:t xml:space="preserve"> vlastnosti </w:t>
      </w:r>
      <w:proofErr w:type="spellStart"/>
      <w:r w:rsidRPr="00E4179B">
        <w:rPr>
          <w:snapToGrid w:val="0"/>
          <w:lang w:val="sk-SK"/>
        </w:rPr>
        <w:t>cefotaximu</w:t>
      </w:r>
      <w:proofErr w:type="spellEnd"/>
      <w:r w:rsidRPr="00E4179B">
        <w:rPr>
          <w:snapToGrid w:val="0"/>
          <w:lang w:val="sk-SK"/>
        </w:rPr>
        <w:t xml:space="preserve">. </w:t>
      </w:r>
      <w:r w:rsidR="00EE7A7F" w:rsidRPr="00BA071E">
        <w:rPr>
          <w:snapToGrid w:val="0"/>
          <w:lang w:val="sk-SK"/>
        </w:rPr>
        <w:t xml:space="preserve">Nebola </w:t>
      </w:r>
      <w:r w:rsidR="003156F9">
        <w:rPr>
          <w:snapToGrid w:val="0"/>
          <w:lang w:val="sk-SK"/>
        </w:rPr>
        <w:t>ovplyvn</w:t>
      </w:r>
      <w:r w:rsidR="00EE7A7F" w:rsidRPr="00BA071E">
        <w:rPr>
          <w:snapToGrid w:val="0"/>
          <w:lang w:val="sk-SK"/>
        </w:rPr>
        <w:t>ená</w:t>
      </w:r>
      <w:r w:rsidR="00EE7A7F" w:rsidRPr="00E4179B">
        <w:rPr>
          <w:snapToGrid w:val="0"/>
          <w:lang w:val="sk-SK"/>
        </w:rPr>
        <w:t xml:space="preserve"> </w:t>
      </w:r>
      <w:r w:rsidR="00EE7A7F">
        <w:rPr>
          <w:snapToGrid w:val="0"/>
          <w:lang w:val="sk-SK"/>
        </w:rPr>
        <w:t>p</w:t>
      </w:r>
      <w:r w:rsidRPr="00E4179B">
        <w:rPr>
          <w:snapToGrid w:val="0"/>
          <w:lang w:val="sk-SK"/>
        </w:rPr>
        <w:t>lodnosť zvierat</w:t>
      </w:r>
      <w:r w:rsidR="00194B68">
        <w:rPr>
          <w:snapToGrid w:val="0"/>
          <w:lang w:val="sk-SK"/>
        </w:rPr>
        <w:t xml:space="preserve"> vystavených pôsobeniu </w:t>
      </w:r>
      <w:proofErr w:type="spellStart"/>
      <w:r w:rsidR="00194B68">
        <w:rPr>
          <w:snapToGrid w:val="0"/>
          <w:lang w:val="sk-SK"/>
        </w:rPr>
        <w:t>cefotaxímu</w:t>
      </w:r>
      <w:proofErr w:type="spellEnd"/>
      <w:r w:rsidRPr="00E4179B">
        <w:rPr>
          <w:snapToGrid w:val="0"/>
          <w:lang w:val="sk-SK"/>
        </w:rPr>
        <w:t>.</w:t>
      </w:r>
    </w:p>
    <w:p w14:paraId="4BA8C204" w14:textId="77777777" w:rsidR="00C05BF5" w:rsidRDefault="00C05BF5" w:rsidP="003E3C22">
      <w:pPr>
        <w:ind w:left="567"/>
        <w:rPr>
          <w:snapToGrid w:val="0"/>
          <w:lang w:val="sk-SK"/>
        </w:rPr>
      </w:pPr>
    </w:p>
    <w:p w14:paraId="2427EBA5" w14:textId="77777777" w:rsidR="00C05BF5" w:rsidRPr="004229C9" w:rsidRDefault="00C05BF5" w:rsidP="003E3C22">
      <w:pPr>
        <w:ind w:left="567"/>
        <w:rPr>
          <w:snapToGrid w:val="0"/>
          <w:lang w:val="sk-SK"/>
        </w:rPr>
      </w:pPr>
    </w:p>
    <w:p w14:paraId="43C5F77F" w14:textId="77777777" w:rsidR="003E3C22" w:rsidRPr="004229C9" w:rsidRDefault="003E3C22" w:rsidP="00233E28">
      <w:pPr>
        <w:tabs>
          <w:tab w:val="clear" w:pos="567"/>
        </w:tabs>
        <w:spacing w:line="240" w:lineRule="auto"/>
        <w:rPr>
          <w:b/>
          <w:noProof/>
          <w:szCs w:val="22"/>
          <w:lang w:val="sk-SK"/>
        </w:rPr>
      </w:pPr>
      <w:r w:rsidRPr="004229C9">
        <w:rPr>
          <w:b/>
          <w:noProof/>
          <w:szCs w:val="22"/>
          <w:lang w:val="sk-SK"/>
        </w:rPr>
        <w:t>6.</w:t>
      </w:r>
      <w:r w:rsidRPr="004229C9">
        <w:rPr>
          <w:noProof/>
          <w:szCs w:val="22"/>
          <w:lang w:val="sk-SK"/>
        </w:rPr>
        <w:t xml:space="preserve">       </w:t>
      </w:r>
      <w:r w:rsidRPr="004229C9">
        <w:rPr>
          <w:b/>
          <w:noProof/>
          <w:szCs w:val="22"/>
          <w:lang w:val="sk-SK"/>
        </w:rPr>
        <w:t>FARMACEUTICKÉ INFORMÁCIE</w:t>
      </w:r>
    </w:p>
    <w:p w14:paraId="1CB4A12D" w14:textId="77777777" w:rsidR="003E3C22" w:rsidRDefault="003E3C22" w:rsidP="003E3C22">
      <w:pPr>
        <w:tabs>
          <w:tab w:val="clear" w:pos="567"/>
        </w:tabs>
        <w:spacing w:line="240" w:lineRule="auto"/>
        <w:ind w:left="567" w:hanging="567"/>
        <w:outlineLvl w:val="0"/>
        <w:rPr>
          <w:b/>
          <w:noProof/>
          <w:szCs w:val="22"/>
          <w:lang w:val="sk-SK"/>
        </w:rPr>
      </w:pPr>
    </w:p>
    <w:p w14:paraId="5897ED40" w14:textId="77777777" w:rsidR="003E3C22" w:rsidRPr="004229C9" w:rsidRDefault="003E3C22" w:rsidP="003E3C22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sk-SK"/>
        </w:rPr>
      </w:pPr>
      <w:r w:rsidRPr="004229C9">
        <w:rPr>
          <w:b/>
          <w:noProof/>
          <w:szCs w:val="22"/>
          <w:lang w:val="sk-SK"/>
        </w:rPr>
        <w:t>6.1</w:t>
      </w:r>
      <w:r w:rsidRPr="004229C9">
        <w:rPr>
          <w:b/>
          <w:noProof/>
          <w:szCs w:val="22"/>
          <w:lang w:val="sk-SK"/>
        </w:rPr>
        <w:tab/>
        <w:t>Zoznam pomocných látok</w:t>
      </w:r>
    </w:p>
    <w:p w14:paraId="5775890A" w14:textId="77777777" w:rsidR="003E3C22" w:rsidRDefault="003E3C22" w:rsidP="003E3C22">
      <w:pPr>
        <w:tabs>
          <w:tab w:val="clear" w:pos="567"/>
        </w:tabs>
        <w:spacing w:line="240" w:lineRule="auto"/>
        <w:ind w:left="601"/>
        <w:rPr>
          <w:iCs/>
          <w:noProof/>
          <w:szCs w:val="22"/>
          <w:lang w:val="sk-SK"/>
        </w:rPr>
      </w:pPr>
    </w:p>
    <w:p w14:paraId="531727D6" w14:textId="77777777" w:rsidR="003E3C22" w:rsidRPr="004229C9" w:rsidRDefault="003E3C22" w:rsidP="00233E28">
      <w:pPr>
        <w:tabs>
          <w:tab w:val="clear" w:pos="567"/>
        </w:tabs>
        <w:spacing w:line="240" w:lineRule="auto"/>
        <w:rPr>
          <w:iCs/>
          <w:noProof/>
          <w:szCs w:val="22"/>
          <w:lang w:val="sk-SK"/>
        </w:rPr>
      </w:pPr>
      <w:r w:rsidRPr="004229C9">
        <w:rPr>
          <w:iCs/>
          <w:noProof/>
          <w:szCs w:val="22"/>
          <w:lang w:val="sk-SK"/>
        </w:rPr>
        <w:t>Žiadne.</w:t>
      </w:r>
    </w:p>
    <w:p w14:paraId="3A602977" w14:textId="77777777" w:rsidR="003E3C22" w:rsidRPr="004229C9" w:rsidRDefault="003E3C22" w:rsidP="003E3C22">
      <w:pPr>
        <w:tabs>
          <w:tab w:val="clear" w:pos="567"/>
          <w:tab w:val="left" w:pos="540"/>
        </w:tabs>
        <w:ind w:hanging="27"/>
        <w:rPr>
          <w:lang w:val="sk-SK"/>
        </w:rPr>
      </w:pPr>
    </w:p>
    <w:p w14:paraId="16238337" w14:textId="77777777" w:rsidR="003E3C22" w:rsidRPr="004229C9" w:rsidRDefault="003E3C22" w:rsidP="003E3C22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sk-SK"/>
        </w:rPr>
      </w:pPr>
      <w:r>
        <w:rPr>
          <w:b/>
          <w:noProof/>
          <w:szCs w:val="22"/>
          <w:lang w:val="sk-SK"/>
        </w:rPr>
        <w:t>6.2</w:t>
      </w:r>
      <w:r>
        <w:rPr>
          <w:b/>
          <w:noProof/>
          <w:szCs w:val="22"/>
          <w:lang w:val="sk-SK"/>
        </w:rPr>
        <w:tab/>
      </w:r>
      <w:r w:rsidRPr="004229C9">
        <w:rPr>
          <w:b/>
          <w:noProof/>
          <w:szCs w:val="22"/>
          <w:lang w:val="sk-SK"/>
        </w:rPr>
        <w:t>Inkompatibility</w:t>
      </w:r>
    </w:p>
    <w:p w14:paraId="6B6D854F" w14:textId="77777777" w:rsidR="003E3C22" w:rsidRDefault="003E3C22" w:rsidP="003E3C22">
      <w:pPr>
        <w:pStyle w:val="Formatvorlage2"/>
        <w:widowControl w:val="0"/>
        <w:tabs>
          <w:tab w:val="clear" w:pos="7797"/>
        </w:tabs>
        <w:ind w:left="567"/>
        <w:jc w:val="left"/>
        <w:rPr>
          <w:sz w:val="22"/>
          <w:lang w:val="sk-SK"/>
        </w:rPr>
      </w:pPr>
    </w:p>
    <w:p w14:paraId="63A0079B" w14:textId="289E7309" w:rsidR="003E3C22" w:rsidRPr="004229C9" w:rsidRDefault="003E3C22" w:rsidP="00B0579F">
      <w:pPr>
        <w:pStyle w:val="Formatvorlage2"/>
        <w:widowControl w:val="0"/>
        <w:tabs>
          <w:tab w:val="clear" w:pos="7797"/>
        </w:tabs>
        <w:rPr>
          <w:sz w:val="22"/>
          <w:lang w:val="sk-SK"/>
        </w:rPr>
      </w:pPr>
      <w:proofErr w:type="spellStart"/>
      <w:r>
        <w:rPr>
          <w:sz w:val="22"/>
          <w:lang w:val="sk-SK"/>
        </w:rPr>
        <w:t>Cefotaxím</w:t>
      </w:r>
      <w:proofErr w:type="spellEnd"/>
      <w:r w:rsidRPr="00AA2060">
        <w:rPr>
          <w:sz w:val="22"/>
          <w:lang w:val="sk-SK"/>
        </w:rPr>
        <w:t xml:space="preserve"> sa nem</w:t>
      </w:r>
      <w:r>
        <w:rPr>
          <w:sz w:val="22"/>
          <w:lang w:val="sk-SK"/>
        </w:rPr>
        <w:t>á</w:t>
      </w:r>
      <w:r w:rsidRPr="00AA2060">
        <w:rPr>
          <w:sz w:val="22"/>
          <w:lang w:val="sk-SK"/>
        </w:rPr>
        <w:t xml:space="preserve"> miešať s inými antibiotikami v tej istej injekčnej striekačke alebo infúznom roztoku. To platí najmä pre </w:t>
      </w:r>
      <w:proofErr w:type="spellStart"/>
      <w:r w:rsidRPr="00AA2060">
        <w:rPr>
          <w:sz w:val="22"/>
          <w:lang w:val="sk-SK"/>
        </w:rPr>
        <w:t>aminoglykozidy</w:t>
      </w:r>
      <w:proofErr w:type="spellEnd"/>
      <w:r w:rsidRPr="00AA2060">
        <w:rPr>
          <w:sz w:val="22"/>
          <w:lang w:val="sk-SK"/>
        </w:rPr>
        <w:t>. Ak sa majú aplikovať oba lieky</w:t>
      </w:r>
      <w:r>
        <w:rPr>
          <w:sz w:val="22"/>
          <w:lang w:val="sk-SK"/>
        </w:rPr>
        <w:t xml:space="preserve"> </w:t>
      </w:r>
      <w:r w:rsidR="003B3A2A">
        <w:rPr>
          <w:sz w:val="22"/>
          <w:lang w:val="sk-SK"/>
        </w:rPr>
        <w:t>–</w:t>
      </w:r>
      <w:r w:rsidRPr="00AA2060">
        <w:rPr>
          <w:sz w:val="22"/>
          <w:lang w:val="sk-SK"/>
        </w:rPr>
        <w:t xml:space="preserve"> </w:t>
      </w:r>
      <w:proofErr w:type="spellStart"/>
      <w:r w:rsidR="003B3A2A">
        <w:rPr>
          <w:sz w:val="22"/>
          <w:lang w:val="sk-SK"/>
        </w:rPr>
        <w:t>C</w:t>
      </w:r>
      <w:r>
        <w:rPr>
          <w:sz w:val="22"/>
          <w:lang w:val="sk-SK"/>
        </w:rPr>
        <w:t>efotax</w:t>
      </w:r>
      <w:r w:rsidR="003B3A2A">
        <w:rPr>
          <w:sz w:val="22"/>
          <w:lang w:val="sk-SK"/>
        </w:rPr>
        <w:t>i</w:t>
      </w:r>
      <w:r>
        <w:rPr>
          <w:sz w:val="22"/>
          <w:lang w:val="sk-SK"/>
        </w:rPr>
        <w:t>m</w:t>
      </w:r>
      <w:proofErr w:type="spellEnd"/>
      <w:r w:rsidR="003B3A2A">
        <w:rPr>
          <w:sz w:val="22"/>
          <w:lang w:val="sk-SK"/>
        </w:rPr>
        <w:t xml:space="preserve"> </w:t>
      </w:r>
      <w:proofErr w:type="spellStart"/>
      <w:r w:rsidR="003B3A2A">
        <w:rPr>
          <w:sz w:val="22"/>
          <w:lang w:val="sk-SK"/>
        </w:rPr>
        <w:t>Eberth</w:t>
      </w:r>
      <w:proofErr w:type="spellEnd"/>
      <w:r>
        <w:rPr>
          <w:sz w:val="22"/>
          <w:lang w:val="sk-SK"/>
        </w:rPr>
        <w:t xml:space="preserve"> </w:t>
      </w:r>
      <w:r w:rsidRPr="00AA2060">
        <w:rPr>
          <w:sz w:val="22"/>
          <w:lang w:val="sk-SK"/>
        </w:rPr>
        <w:t>a </w:t>
      </w:r>
      <w:proofErr w:type="spellStart"/>
      <w:r w:rsidRPr="00AA2060">
        <w:rPr>
          <w:sz w:val="22"/>
          <w:lang w:val="sk-SK"/>
        </w:rPr>
        <w:t>aminoglykozidy</w:t>
      </w:r>
      <w:proofErr w:type="spellEnd"/>
      <w:r w:rsidRPr="00AA2060">
        <w:rPr>
          <w:sz w:val="22"/>
          <w:lang w:val="sk-SK"/>
        </w:rPr>
        <w:t>, tieto lieky ma</w:t>
      </w:r>
      <w:r>
        <w:rPr>
          <w:sz w:val="22"/>
          <w:lang w:val="sk-SK"/>
        </w:rPr>
        <w:t>jú</w:t>
      </w:r>
      <w:r w:rsidRPr="00AA2060">
        <w:rPr>
          <w:sz w:val="22"/>
          <w:lang w:val="sk-SK"/>
        </w:rPr>
        <w:t xml:space="preserve"> podáva</w:t>
      </w:r>
      <w:r w:rsidR="003B3A2A">
        <w:rPr>
          <w:sz w:val="22"/>
          <w:lang w:val="sk-SK"/>
        </w:rPr>
        <w:t>ť</w:t>
      </w:r>
      <w:r w:rsidRPr="00AA2060">
        <w:rPr>
          <w:sz w:val="22"/>
          <w:lang w:val="sk-SK"/>
        </w:rPr>
        <w:t xml:space="preserve"> oddelene a </w:t>
      </w:r>
      <w:r w:rsidR="00FE6A2E">
        <w:rPr>
          <w:sz w:val="22"/>
          <w:lang w:val="sk-SK"/>
        </w:rPr>
        <w:t>na</w:t>
      </w:r>
      <w:r w:rsidRPr="00AA2060">
        <w:rPr>
          <w:sz w:val="22"/>
          <w:lang w:val="sk-SK"/>
        </w:rPr>
        <w:t xml:space="preserve"> rôzn</w:t>
      </w:r>
      <w:r w:rsidR="00FE6A2E">
        <w:rPr>
          <w:sz w:val="22"/>
          <w:lang w:val="sk-SK"/>
        </w:rPr>
        <w:t>e</w:t>
      </w:r>
      <w:r w:rsidRPr="00AA2060">
        <w:rPr>
          <w:sz w:val="22"/>
          <w:lang w:val="sk-SK"/>
        </w:rPr>
        <w:t xml:space="preserve"> miest</w:t>
      </w:r>
      <w:r w:rsidR="00FE6A2E">
        <w:rPr>
          <w:sz w:val="22"/>
          <w:lang w:val="sk-SK"/>
        </w:rPr>
        <w:t>a</w:t>
      </w:r>
      <w:r w:rsidRPr="00AA2060">
        <w:rPr>
          <w:sz w:val="22"/>
          <w:lang w:val="sk-SK"/>
        </w:rPr>
        <w:t xml:space="preserve">. </w:t>
      </w:r>
      <w:proofErr w:type="spellStart"/>
      <w:r>
        <w:rPr>
          <w:sz w:val="22"/>
          <w:lang w:val="sk-SK"/>
        </w:rPr>
        <w:t>Cefotaxím</w:t>
      </w:r>
      <w:proofErr w:type="spellEnd"/>
      <w:r w:rsidRPr="00AA2060">
        <w:rPr>
          <w:sz w:val="22"/>
          <w:lang w:val="sk-SK"/>
        </w:rPr>
        <w:t xml:space="preserve"> </w:t>
      </w:r>
      <w:r w:rsidR="003B3A2A">
        <w:rPr>
          <w:sz w:val="22"/>
          <w:lang w:val="sk-SK"/>
        </w:rPr>
        <w:t xml:space="preserve">sa </w:t>
      </w:r>
      <w:r w:rsidRPr="00D4715C">
        <w:rPr>
          <w:sz w:val="22"/>
          <w:lang w:val="sk-SK"/>
        </w:rPr>
        <w:t>nemá rozp</w:t>
      </w:r>
      <w:r w:rsidR="003B3A2A">
        <w:rPr>
          <w:sz w:val="22"/>
          <w:lang w:val="sk-SK"/>
        </w:rPr>
        <w:t>úšťať</w:t>
      </w:r>
      <w:r w:rsidRPr="00D4715C">
        <w:rPr>
          <w:sz w:val="22"/>
          <w:lang w:val="sk-SK"/>
        </w:rPr>
        <w:t xml:space="preserve"> v roztok</w:t>
      </w:r>
      <w:r w:rsidR="00C40275">
        <w:rPr>
          <w:sz w:val="22"/>
          <w:lang w:val="sk-SK"/>
        </w:rPr>
        <w:t>och, ktoré majú</w:t>
      </w:r>
      <w:r w:rsidRPr="00D4715C">
        <w:rPr>
          <w:sz w:val="22"/>
          <w:lang w:val="sk-SK"/>
        </w:rPr>
        <w:t xml:space="preserve"> hodnotou </w:t>
      </w:r>
      <w:r w:rsidR="004E3F8C" w:rsidRPr="00D4715C">
        <w:rPr>
          <w:sz w:val="22"/>
          <w:lang w:val="sk-SK"/>
        </w:rPr>
        <w:t xml:space="preserve">pH </w:t>
      </w:r>
      <w:r w:rsidRPr="00D4715C">
        <w:rPr>
          <w:sz w:val="22"/>
          <w:lang w:val="sk-SK"/>
        </w:rPr>
        <w:t>viac ako 7,</w:t>
      </w:r>
      <w:r w:rsidRPr="002B0073">
        <w:rPr>
          <w:sz w:val="22"/>
          <w:lang w:val="sk-SK"/>
        </w:rPr>
        <w:t>5; napr.</w:t>
      </w:r>
      <w:r w:rsidR="00374142">
        <w:rPr>
          <w:sz w:val="22"/>
          <w:lang w:val="sk-SK"/>
        </w:rPr>
        <w:t xml:space="preserve"> v ro</w:t>
      </w:r>
      <w:r w:rsidR="00FE6A2E">
        <w:rPr>
          <w:sz w:val="22"/>
          <w:lang w:val="sk-SK"/>
        </w:rPr>
        <w:t>z</w:t>
      </w:r>
      <w:r w:rsidR="00374142">
        <w:rPr>
          <w:sz w:val="22"/>
          <w:lang w:val="sk-SK"/>
        </w:rPr>
        <w:t>toku</w:t>
      </w:r>
      <w:r w:rsidRPr="002B0073">
        <w:rPr>
          <w:sz w:val="22"/>
          <w:lang w:val="sk-SK"/>
        </w:rPr>
        <w:t xml:space="preserve"> </w:t>
      </w:r>
      <w:proofErr w:type="spellStart"/>
      <w:r w:rsidRPr="002B0073">
        <w:rPr>
          <w:sz w:val="22"/>
          <w:lang w:val="sk-SK"/>
        </w:rPr>
        <w:t>hydro</w:t>
      </w:r>
      <w:r w:rsidR="003E3D11">
        <w:rPr>
          <w:sz w:val="22"/>
          <w:lang w:val="sk-SK"/>
        </w:rPr>
        <w:t>gen</w:t>
      </w:r>
      <w:r w:rsidRPr="002B0073">
        <w:rPr>
          <w:sz w:val="22"/>
          <w:lang w:val="sk-SK"/>
        </w:rPr>
        <w:t>uhličitan</w:t>
      </w:r>
      <w:r w:rsidR="00374142">
        <w:rPr>
          <w:sz w:val="22"/>
          <w:lang w:val="sk-SK"/>
        </w:rPr>
        <w:t>u</w:t>
      </w:r>
      <w:proofErr w:type="spellEnd"/>
      <w:r w:rsidRPr="002B0073">
        <w:rPr>
          <w:sz w:val="22"/>
          <w:lang w:val="sk-SK"/>
        </w:rPr>
        <w:t xml:space="preserve"> sodn</w:t>
      </w:r>
      <w:r w:rsidR="00374142">
        <w:rPr>
          <w:sz w:val="22"/>
          <w:lang w:val="sk-SK"/>
        </w:rPr>
        <w:t>ého</w:t>
      </w:r>
      <w:r w:rsidRPr="002B0073">
        <w:rPr>
          <w:sz w:val="22"/>
          <w:lang w:val="sk-SK"/>
        </w:rPr>
        <w:t>.</w:t>
      </w:r>
    </w:p>
    <w:p w14:paraId="0D50B255" w14:textId="77777777" w:rsidR="003E3C22" w:rsidRPr="004229C9" w:rsidRDefault="003E3C22" w:rsidP="003E3C22">
      <w:pPr>
        <w:tabs>
          <w:tab w:val="clear" w:pos="567"/>
        </w:tabs>
        <w:spacing w:line="240" w:lineRule="auto"/>
        <w:ind w:left="567" w:hanging="567"/>
        <w:outlineLvl w:val="0"/>
        <w:rPr>
          <w:b/>
          <w:noProof/>
          <w:szCs w:val="22"/>
          <w:lang w:val="sk-SK"/>
        </w:rPr>
      </w:pPr>
    </w:p>
    <w:p w14:paraId="6BD6255E" w14:textId="77777777" w:rsidR="003E3C22" w:rsidRPr="004229C9" w:rsidRDefault="003E3C22" w:rsidP="003E3C22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sk-SK"/>
        </w:rPr>
      </w:pPr>
      <w:r>
        <w:rPr>
          <w:b/>
          <w:noProof/>
          <w:szCs w:val="22"/>
          <w:lang w:val="sk-SK"/>
        </w:rPr>
        <w:t>6.3</w:t>
      </w:r>
      <w:r>
        <w:rPr>
          <w:b/>
          <w:noProof/>
          <w:szCs w:val="22"/>
          <w:lang w:val="sk-SK"/>
        </w:rPr>
        <w:tab/>
      </w:r>
      <w:r w:rsidRPr="004229C9">
        <w:rPr>
          <w:b/>
          <w:noProof/>
          <w:szCs w:val="22"/>
          <w:lang w:val="sk-SK"/>
        </w:rPr>
        <w:t>Čas použiteľnosti</w:t>
      </w:r>
    </w:p>
    <w:p w14:paraId="116473B9" w14:textId="77777777" w:rsidR="003E3C22" w:rsidRPr="004229C9" w:rsidRDefault="003E3C22" w:rsidP="003E3C22">
      <w:pPr>
        <w:tabs>
          <w:tab w:val="clear" w:pos="567"/>
        </w:tabs>
        <w:spacing w:line="240" w:lineRule="auto"/>
        <w:rPr>
          <w:noProof/>
          <w:color w:val="FF0000"/>
          <w:szCs w:val="22"/>
          <w:lang w:val="sk-SK"/>
        </w:rPr>
      </w:pPr>
    </w:p>
    <w:p w14:paraId="55B83B53" w14:textId="77777777" w:rsidR="003E3C22" w:rsidRPr="004229C9" w:rsidRDefault="0005736D" w:rsidP="00233E28">
      <w:pPr>
        <w:pStyle w:val="Formatvorlage2"/>
        <w:widowControl w:val="0"/>
        <w:tabs>
          <w:tab w:val="clear" w:pos="7797"/>
        </w:tabs>
        <w:jc w:val="left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Cefotaxim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Eberth</w:t>
      </w:r>
      <w:proofErr w:type="spellEnd"/>
      <w:r>
        <w:rPr>
          <w:sz w:val="22"/>
          <w:szCs w:val="22"/>
          <w:lang w:val="sk-SK"/>
        </w:rPr>
        <w:t xml:space="preserve"> </w:t>
      </w:r>
      <w:r w:rsidR="003E3C22" w:rsidRPr="004229C9">
        <w:rPr>
          <w:sz w:val="22"/>
          <w:szCs w:val="22"/>
          <w:lang w:val="sk-SK"/>
        </w:rPr>
        <w:t>0,5 g prášok na injekčný roztok: 3 roky</w:t>
      </w:r>
    </w:p>
    <w:p w14:paraId="17C8C50F" w14:textId="77777777" w:rsidR="003E3C22" w:rsidRPr="00233E28" w:rsidRDefault="0005736D" w:rsidP="00233E28">
      <w:pPr>
        <w:widowControl w:val="0"/>
        <w:tabs>
          <w:tab w:val="clear" w:pos="567"/>
          <w:tab w:val="left" w:pos="0"/>
        </w:tabs>
        <w:rPr>
          <w:highlight w:val="lightGray"/>
          <w:lang w:val="sk-SK"/>
        </w:rPr>
      </w:pPr>
      <w:proofErr w:type="spellStart"/>
      <w:r w:rsidRPr="00233E28">
        <w:rPr>
          <w:highlight w:val="lightGray"/>
          <w:lang w:val="sk-SK"/>
        </w:rPr>
        <w:t>Cefotaxim</w:t>
      </w:r>
      <w:proofErr w:type="spellEnd"/>
      <w:r w:rsidRPr="00233E28">
        <w:rPr>
          <w:highlight w:val="lightGray"/>
          <w:lang w:val="sk-SK"/>
        </w:rPr>
        <w:t xml:space="preserve"> </w:t>
      </w:r>
      <w:proofErr w:type="spellStart"/>
      <w:r w:rsidRPr="00233E28">
        <w:rPr>
          <w:highlight w:val="lightGray"/>
          <w:lang w:val="sk-SK"/>
        </w:rPr>
        <w:t>Eberth</w:t>
      </w:r>
      <w:proofErr w:type="spellEnd"/>
      <w:r w:rsidRPr="00233E28">
        <w:rPr>
          <w:highlight w:val="lightGray"/>
          <w:lang w:val="sk-SK"/>
        </w:rPr>
        <w:t xml:space="preserve"> </w:t>
      </w:r>
      <w:r w:rsidR="003E3C22" w:rsidRPr="00233E28">
        <w:rPr>
          <w:highlight w:val="lightGray"/>
          <w:lang w:val="sk-SK"/>
        </w:rPr>
        <w:t>1 g prášok na injekčný alebo infúzny roztok: 3 roky</w:t>
      </w:r>
    </w:p>
    <w:p w14:paraId="0C3C8521" w14:textId="77777777" w:rsidR="003E3C22" w:rsidRPr="00233E28" w:rsidRDefault="0005736D" w:rsidP="00233E28">
      <w:pPr>
        <w:widowControl w:val="0"/>
        <w:tabs>
          <w:tab w:val="clear" w:pos="567"/>
          <w:tab w:val="left" w:pos="0"/>
        </w:tabs>
        <w:rPr>
          <w:highlight w:val="lightGray"/>
          <w:lang w:val="sk-SK"/>
        </w:rPr>
      </w:pPr>
      <w:proofErr w:type="spellStart"/>
      <w:r w:rsidRPr="00233E28">
        <w:rPr>
          <w:highlight w:val="lightGray"/>
          <w:lang w:val="sk-SK"/>
        </w:rPr>
        <w:t>Cefotaxim</w:t>
      </w:r>
      <w:proofErr w:type="spellEnd"/>
      <w:r w:rsidRPr="00233E28">
        <w:rPr>
          <w:highlight w:val="lightGray"/>
          <w:lang w:val="sk-SK"/>
        </w:rPr>
        <w:t xml:space="preserve"> </w:t>
      </w:r>
      <w:proofErr w:type="spellStart"/>
      <w:r w:rsidRPr="00233E28">
        <w:rPr>
          <w:highlight w:val="lightGray"/>
          <w:lang w:val="sk-SK"/>
        </w:rPr>
        <w:t>Eberth</w:t>
      </w:r>
      <w:proofErr w:type="spellEnd"/>
      <w:r w:rsidRPr="00233E28">
        <w:rPr>
          <w:highlight w:val="lightGray"/>
          <w:lang w:val="sk-SK"/>
        </w:rPr>
        <w:t xml:space="preserve"> </w:t>
      </w:r>
      <w:r w:rsidR="003E3C22" w:rsidRPr="00233E28">
        <w:rPr>
          <w:highlight w:val="lightGray"/>
          <w:lang w:val="sk-SK"/>
        </w:rPr>
        <w:t>2 g prášok na injekčný alebo infúzny roztok: 3 roky</w:t>
      </w:r>
    </w:p>
    <w:p w14:paraId="08CBEAB4" w14:textId="77777777" w:rsidR="003E3C22" w:rsidRPr="004229C9" w:rsidRDefault="003E3C22" w:rsidP="003E3C22">
      <w:pPr>
        <w:pStyle w:val="Formatvorlage2"/>
        <w:widowControl w:val="0"/>
        <w:tabs>
          <w:tab w:val="clear" w:pos="7797"/>
        </w:tabs>
        <w:ind w:firstLine="567"/>
        <w:jc w:val="left"/>
        <w:rPr>
          <w:sz w:val="22"/>
          <w:lang w:val="sk-SK"/>
        </w:rPr>
      </w:pPr>
    </w:p>
    <w:p w14:paraId="11F7B936" w14:textId="77777777" w:rsidR="003E3C22" w:rsidRPr="004229C9" w:rsidRDefault="003E3C22" w:rsidP="00233E28">
      <w:pPr>
        <w:rPr>
          <w:szCs w:val="22"/>
          <w:lang w:val="sk-SK"/>
        </w:rPr>
      </w:pPr>
      <w:r w:rsidRPr="004229C9">
        <w:rPr>
          <w:szCs w:val="22"/>
          <w:lang w:val="sk-SK"/>
        </w:rPr>
        <w:t xml:space="preserve">Chemická a fyzikálna stabilita </w:t>
      </w:r>
      <w:r>
        <w:rPr>
          <w:szCs w:val="22"/>
          <w:lang w:val="sk-SK"/>
        </w:rPr>
        <w:t xml:space="preserve">po rekonštitúcii </w:t>
      </w:r>
      <w:r w:rsidRPr="004229C9">
        <w:rPr>
          <w:szCs w:val="22"/>
          <w:lang w:val="sk-SK"/>
        </w:rPr>
        <w:t xml:space="preserve">bola preukázaná počas 24 hodín pri </w:t>
      </w:r>
      <w:r>
        <w:rPr>
          <w:szCs w:val="22"/>
          <w:lang w:val="sk-SK"/>
        </w:rPr>
        <w:t xml:space="preserve">teplote </w:t>
      </w:r>
      <w:r w:rsidRPr="004229C9">
        <w:rPr>
          <w:szCs w:val="22"/>
          <w:lang w:val="sk-SK"/>
        </w:rPr>
        <w:t xml:space="preserve">4 °C a 12 hodín pri </w:t>
      </w:r>
      <w:r>
        <w:rPr>
          <w:szCs w:val="22"/>
          <w:lang w:val="sk-SK"/>
        </w:rPr>
        <w:t xml:space="preserve">teplote </w:t>
      </w:r>
      <w:r w:rsidRPr="004229C9">
        <w:rPr>
          <w:szCs w:val="22"/>
          <w:lang w:val="sk-SK"/>
        </w:rPr>
        <w:t>25 °C.</w:t>
      </w:r>
    </w:p>
    <w:p w14:paraId="6788FA79" w14:textId="77777777" w:rsidR="003E3C22" w:rsidRDefault="003E3C22" w:rsidP="00B0579F">
      <w:pPr>
        <w:jc w:val="both"/>
        <w:rPr>
          <w:szCs w:val="22"/>
          <w:lang w:val="sk-SK"/>
        </w:rPr>
      </w:pPr>
      <w:r w:rsidRPr="004229C9">
        <w:rPr>
          <w:szCs w:val="22"/>
          <w:lang w:val="sk-SK"/>
        </w:rPr>
        <w:t xml:space="preserve">Z mikrobiologického hľadiska sa má liek použiť okamžite. Keď sa nepoužije okamžite, za dobu použiteľnosti a podmienky </w:t>
      </w:r>
      <w:r>
        <w:rPr>
          <w:szCs w:val="22"/>
          <w:lang w:val="sk-SK"/>
        </w:rPr>
        <w:t xml:space="preserve">uchovávania </w:t>
      </w:r>
      <w:r w:rsidRPr="004229C9">
        <w:rPr>
          <w:szCs w:val="22"/>
          <w:lang w:val="sk-SK"/>
        </w:rPr>
        <w:t xml:space="preserve">pred použitím je zodpovedný používateľ, pričom doba použiteľnosti </w:t>
      </w:r>
      <w:r>
        <w:rPr>
          <w:szCs w:val="22"/>
          <w:lang w:val="sk-SK"/>
        </w:rPr>
        <w:t xml:space="preserve">bežne </w:t>
      </w:r>
      <w:r w:rsidRPr="004229C9">
        <w:rPr>
          <w:szCs w:val="22"/>
          <w:lang w:val="sk-SK"/>
        </w:rPr>
        <w:t>nem</w:t>
      </w:r>
      <w:r>
        <w:rPr>
          <w:szCs w:val="22"/>
          <w:lang w:val="sk-SK"/>
        </w:rPr>
        <w:t>á</w:t>
      </w:r>
      <w:r w:rsidRPr="004229C9">
        <w:rPr>
          <w:szCs w:val="22"/>
          <w:lang w:val="sk-SK"/>
        </w:rPr>
        <w:t xml:space="preserve"> byť dlhšia </w:t>
      </w:r>
      <w:r>
        <w:rPr>
          <w:szCs w:val="22"/>
          <w:lang w:val="sk-SK"/>
        </w:rPr>
        <w:t xml:space="preserve">ako 24 hodín pri teplote 2 až 8 °C, </w:t>
      </w:r>
      <w:r w:rsidRPr="004229C9">
        <w:rPr>
          <w:szCs w:val="22"/>
          <w:lang w:val="sk-SK"/>
        </w:rPr>
        <w:t xml:space="preserve">ak </w:t>
      </w:r>
      <w:r>
        <w:rPr>
          <w:szCs w:val="22"/>
          <w:lang w:val="sk-SK"/>
        </w:rPr>
        <w:t xml:space="preserve">príprava </w:t>
      </w:r>
      <w:r w:rsidRPr="004229C9">
        <w:rPr>
          <w:szCs w:val="22"/>
          <w:lang w:val="sk-SK"/>
        </w:rPr>
        <w:t>a riedenie neprebehl</w:t>
      </w:r>
      <w:r>
        <w:rPr>
          <w:szCs w:val="22"/>
          <w:lang w:val="sk-SK"/>
        </w:rPr>
        <w:t>i</w:t>
      </w:r>
      <w:r w:rsidRPr="004229C9">
        <w:rPr>
          <w:szCs w:val="22"/>
          <w:lang w:val="sk-SK"/>
        </w:rPr>
        <w:t xml:space="preserve"> za kontrolovaných a</w:t>
      </w:r>
      <w:r>
        <w:rPr>
          <w:szCs w:val="22"/>
          <w:lang w:val="sk-SK"/>
        </w:rPr>
        <w:t> </w:t>
      </w:r>
      <w:r w:rsidRPr="004229C9">
        <w:rPr>
          <w:szCs w:val="22"/>
          <w:lang w:val="sk-SK"/>
        </w:rPr>
        <w:t>validovaných</w:t>
      </w:r>
      <w:r>
        <w:rPr>
          <w:szCs w:val="22"/>
          <w:lang w:val="sk-SK"/>
        </w:rPr>
        <w:t xml:space="preserve"> aseptických</w:t>
      </w:r>
      <w:r w:rsidRPr="004229C9">
        <w:rPr>
          <w:szCs w:val="22"/>
          <w:lang w:val="sk-SK"/>
        </w:rPr>
        <w:t xml:space="preserve"> podmienok.</w:t>
      </w:r>
    </w:p>
    <w:p w14:paraId="0CFDD418" w14:textId="77777777" w:rsidR="003E3C22" w:rsidRPr="004229C9" w:rsidRDefault="003E3C22" w:rsidP="003E3C22">
      <w:pPr>
        <w:ind w:left="567"/>
        <w:rPr>
          <w:szCs w:val="22"/>
          <w:lang w:val="sk-SK"/>
        </w:rPr>
      </w:pPr>
    </w:p>
    <w:p w14:paraId="00BE51EC" w14:textId="77777777" w:rsidR="003E3C22" w:rsidRPr="004229C9" w:rsidRDefault="003E3C22" w:rsidP="003E3C22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sk-SK"/>
        </w:rPr>
      </w:pPr>
      <w:r w:rsidRPr="004E2C3C">
        <w:rPr>
          <w:b/>
          <w:noProof/>
          <w:szCs w:val="22"/>
          <w:lang w:val="sk-SK"/>
        </w:rPr>
        <w:t>6.4     Špeciálne upozornenia na uchovávanie</w:t>
      </w:r>
      <w:r w:rsidRPr="004229C9">
        <w:rPr>
          <w:b/>
          <w:noProof/>
          <w:szCs w:val="22"/>
          <w:lang w:val="sk-SK"/>
        </w:rPr>
        <w:t xml:space="preserve"> </w:t>
      </w:r>
    </w:p>
    <w:p w14:paraId="20597CDD" w14:textId="77777777" w:rsidR="003E3C22" w:rsidRPr="004229C9" w:rsidRDefault="003E3C22" w:rsidP="003E3C22">
      <w:pPr>
        <w:spacing w:line="240" w:lineRule="auto"/>
        <w:rPr>
          <w:b/>
          <w:noProof/>
          <w:szCs w:val="22"/>
          <w:lang w:val="sk-SK"/>
        </w:rPr>
      </w:pPr>
      <w:r w:rsidRPr="004229C9">
        <w:rPr>
          <w:i/>
          <w:noProof/>
          <w:color w:val="008000"/>
          <w:szCs w:val="22"/>
          <w:lang w:val="sk-SK"/>
        </w:rPr>
        <w:t xml:space="preserve">          </w:t>
      </w:r>
    </w:p>
    <w:p w14:paraId="2417F19F" w14:textId="77777777" w:rsidR="003E3C22" w:rsidRPr="004229C9" w:rsidRDefault="003E3C22" w:rsidP="00233E28">
      <w:pPr>
        <w:rPr>
          <w:lang w:val="sk-SK"/>
        </w:rPr>
      </w:pPr>
      <w:r w:rsidRPr="004229C9">
        <w:rPr>
          <w:lang w:val="sk-SK"/>
        </w:rPr>
        <w:t>Prášok na injekčný roztok</w:t>
      </w:r>
      <w:r>
        <w:rPr>
          <w:lang w:val="sk-SK"/>
        </w:rPr>
        <w:t xml:space="preserve"> a prášok na injekčný alebo infúzny</w:t>
      </w:r>
      <w:r w:rsidRPr="004229C9">
        <w:rPr>
          <w:lang w:val="sk-SK"/>
        </w:rPr>
        <w:t xml:space="preserve"> roztok:</w:t>
      </w:r>
    </w:p>
    <w:p w14:paraId="459D1CBE" w14:textId="77777777" w:rsidR="003E3C22" w:rsidRPr="004229C9" w:rsidRDefault="003E3C22" w:rsidP="00233E28">
      <w:pPr>
        <w:rPr>
          <w:lang w:val="sk-SK"/>
        </w:rPr>
      </w:pPr>
      <w:r>
        <w:rPr>
          <w:lang w:val="sk-SK"/>
        </w:rPr>
        <w:t>Uchovávajte</w:t>
      </w:r>
      <w:r w:rsidRPr="004229C9">
        <w:rPr>
          <w:lang w:val="sk-SK"/>
        </w:rPr>
        <w:t xml:space="preserve"> pri teplote </w:t>
      </w:r>
      <w:r>
        <w:rPr>
          <w:lang w:val="sk-SK"/>
        </w:rPr>
        <w:t>do</w:t>
      </w:r>
      <w:r w:rsidRPr="004229C9">
        <w:rPr>
          <w:lang w:val="sk-SK"/>
        </w:rPr>
        <w:t xml:space="preserve"> 25 °C.</w:t>
      </w:r>
    </w:p>
    <w:p w14:paraId="37647B28" w14:textId="77777777" w:rsidR="003E3C22" w:rsidRPr="004229C9" w:rsidRDefault="003E3C22" w:rsidP="00233E28">
      <w:pPr>
        <w:rPr>
          <w:lang w:val="sk-SK"/>
        </w:rPr>
      </w:pPr>
      <w:r w:rsidRPr="004229C9">
        <w:rPr>
          <w:lang w:val="sk-SK"/>
        </w:rPr>
        <w:t>Uchovávajte v pôvodnom obale na ochranu pred svetlom.</w:t>
      </w:r>
    </w:p>
    <w:p w14:paraId="24D56C53" w14:textId="77777777" w:rsidR="009A1638" w:rsidRDefault="009A1638" w:rsidP="00233E28">
      <w:pPr>
        <w:rPr>
          <w:lang w:val="sk-SK"/>
        </w:rPr>
      </w:pPr>
    </w:p>
    <w:p w14:paraId="2AA967DF" w14:textId="77777777" w:rsidR="003E3C22" w:rsidRPr="004229C9" w:rsidRDefault="003E3C22" w:rsidP="00233E28">
      <w:pPr>
        <w:rPr>
          <w:lang w:val="sk-SK"/>
        </w:rPr>
      </w:pPr>
      <w:r w:rsidRPr="004229C9">
        <w:rPr>
          <w:lang w:val="sk-SK"/>
        </w:rPr>
        <w:t xml:space="preserve">Pre uchovávanie </w:t>
      </w:r>
      <w:r>
        <w:rPr>
          <w:lang w:val="sk-SK"/>
        </w:rPr>
        <w:t>priprave</w:t>
      </w:r>
      <w:r w:rsidRPr="004229C9">
        <w:rPr>
          <w:lang w:val="sk-SK"/>
        </w:rPr>
        <w:t>ného roztoku, pozri časť 6.3.</w:t>
      </w:r>
    </w:p>
    <w:p w14:paraId="4002A6EF" w14:textId="77777777" w:rsidR="003E3C22" w:rsidRPr="004229C9" w:rsidRDefault="003E3C22" w:rsidP="003E3C22">
      <w:pPr>
        <w:tabs>
          <w:tab w:val="clear" w:pos="567"/>
          <w:tab w:val="left" w:pos="540"/>
        </w:tabs>
        <w:ind w:hanging="27"/>
        <w:rPr>
          <w:lang w:val="sk-SK"/>
        </w:rPr>
      </w:pPr>
    </w:p>
    <w:p w14:paraId="40CAFF42" w14:textId="77777777" w:rsidR="003E3C22" w:rsidRPr="004229C9" w:rsidRDefault="003E3C22" w:rsidP="003E3C22">
      <w:pPr>
        <w:numPr>
          <w:ilvl w:val="1"/>
          <w:numId w:val="8"/>
        </w:numPr>
        <w:spacing w:line="240" w:lineRule="auto"/>
        <w:outlineLvl w:val="0"/>
        <w:rPr>
          <w:b/>
          <w:noProof/>
          <w:szCs w:val="22"/>
          <w:lang w:val="sk-SK"/>
        </w:rPr>
      </w:pPr>
      <w:r>
        <w:rPr>
          <w:b/>
          <w:noProof/>
          <w:szCs w:val="22"/>
          <w:lang w:val="sk-SK"/>
        </w:rPr>
        <w:t>Druh obalu a obsah balenia</w:t>
      </w:r>
    </w:p>
    <w:p w14:paraId="4FD1B2BA" w14:textId="77777777" w:rsidR="009A1638" w:rsidRDefault="009A1638" w:rsidP="00233E28">
      <w:pPr>
        <w:rPr>
          <w:lang w:val="sk-SK"/>
        </w:rPr>
      </w:pPr>
    </w:p>
    <w:p w14:paraId="3AC278C4" w14:textId="3DD18FA8" w:rsidR="003E3C22" w:rsidRPr="004229C9" w:rsidRDefault="0005736D" w:rsidP="00B0579F">
      <w:pPr>
        <w:jc w:val="both"/>
        <w:rPr>
          <w:lang w:val="sk-SK"/>
        </w:rPr>
      </w:pPr>
      <w:proofErr w:type="spellStart"/>
      <w:r>
        <w:rPr>
          <w:szCs w:val="22"/>
          <w:lang w:val="sk-SK"/>
        </w:rPr>
        <w:t>Cefotaxim</w:t>
      </w:r>
      <w:proofErr w:type="spellEnd"/>
      <w:r>
        <w:rPr>
          <w:szCs w:val="22"/>
          <w:lang w:val="sk-SK"/>
        </w:rPr>
        <w:t xml:space="preserve"> </w:t>
      </w:r>
      <w:proofErr w:type="spellStart"/>
      <w:r>
        <w:rPr>
          <w:szCs w:val="22"/>
          <w:lang w:val="sk-SK"/>
        </w:rPr>
        <w:t>Eberth</w:t>
      </w:r>
      <w:proofErr w:type="spellEnd"/>
      <w:r>
        <w:rPr>
          <w:szCs w:val="22"/>
          <w:lang w:val="sk-SK"/>
        </w:rPr>
        <w:t xml:space="preserve"> </w:t>
      </w:r>
      <w:r w:rsidR="003E3C22" w:rsidRPr="004229C9">
        <w:rPr>
          <w:lang w:val="sk-SK"/>
        </w:rPr>
        <w:t>0</w:t>
      </w:r>
      <w:r w:rsidR="003E3C22">
        <w:rPr>
          <w:lang w:val="sk-SK"/>
        </w:rPr>
        <w:t>,</w:t>
      </w:r>
      <w:r w:rsidR="003E3C22" w:rsidRPr="004229C9">
        <w:rPr>
          <w:lang w:val="sk-SK"/>
        </w:rPr>
        <w:t>5 g: Injekčná liekovka zo skla (typ II, nominálny objem 15 ml) s </w:t>
      </w:r>
      <w:proofErr w:type="spellStart"/>
      <w:r w:rsidR="003E3C22" w:rsidRPr="004229C9">
        <w:rPr>
          <w:lang w:val="sk-SK"/>
        </w:rPr>
        <w:t>chlórbutylovou</w:t>
      </w:r>
      <w:proofErr w:type="spellEnd"/>
      <w:r w:rsidR="003E3C22" w:rsidRPr="004229C9">
        <w:rPr>
          <w:lang w:val="sk-SK"/>
        </w:rPr>
        <w:t xml:space="preserve"> gumovou zátkou</w:t>
      </w:r>
      <w:r w:rsidR="00A75A8A">
        <w:rPr>
          <w:lang w:val="sk-SK"/>
        </w:rPr>
        <w:t xml:space="preserve"> </w:t>
      </w:r>
      <w:r w:rsidR="003E3C22" w:rsidRPr="004229C9">
        <w:rPr>
          <w:lang w:val="sk-SK"/>
        </w:rPr>
        <w:t xml:space="preserve"> uzatvorená </w:t>
      </w:r>
      <w:proofErr w:type="spellStart"/>
      <w:r w:rsidR="00623B1F" w:rsidRPr="00D502EB">
        <w:rPr>
          <w:lang w:val="sk-SK"/>
        </w:rPr>
        <w:t>flip-off</w:t>
      </w:r>
      <w:proofErr w:type="spellEnd"/>
      <w:r w:rsidR="003E3C22" w:rsidRPr="004229C9">
        <w:rPr>
          <w:lang w:val="sk-SK"/>
        </w:rPr>
        <w:t xml:space="preserve"> hliníkovým </w:t>
      </w:r>
      <w:r w:rsidR="00A24766">
        <w:rPr>
          <w:lang w:val="sk-SK"/>
        </w:rPr>
        <w:t>viečkom</w:t>
      </w:r>
    </w:p>
    <w:p w14:paraId="519FBFF5" w14:textId="0B38B1A1" w:rsidR="003E3C22" w:rsidRPr="00233E28" w:rsidRDefault="00A75A8A" w:rsidP="00233E28">
      <w:pPr>
        <w:widowControl w:val="0"/>
        <w:tabs>
          <w:tab w:val="clear" w:pos="567"/>
          <w:tab w:val="left" w:pos="0"/>
        </w:tabs>
        <w:rPr>
          <w:highlight w:val="lightGray"/>
          <w:lang w:val="sk-SK"/>
        </w:rPr>
      </w:pPr>
      <w:proofErr w:type="spellStart"/>
      <w:r w:rsidRPr="00233E28">
        <w:rPr>
          <w:highlight w:val="lightGray"/>
          <w:lang w:val="sk-SK"/>
        </w:rPr>
        <w:t>Cefotaxim</w:t>
      </w:r>
      <w:proofErr w:type="spellEnd"/>
      <w:r w:rsidRPr="00233E28">
        <w:rPr>
          <w:highlight w:val="lightGray"/>
          <w:lang w:val="sk-SK"/>
        </w:rPr>
        <w:t xml:space="preserve"> </w:t>
      </w:r>
      <w:proofErr w:type="spellStart"/>
      <w:r w:rsidRPr="00233E28">
        <w:rPr>
          <w:highlight w:val="lightGray"/>
          <w:lang w:val="sk-SK"/>
        </w:rPr>
        <w:t>Eberth</w:t>
      </w:r>
      <w:proofErr w:type="spellEnd"/>
      <w:r w:rsidRPr="00233E28">
        <w:rPr>
          <w:highlight w:val="lightGray"/>
          <w:lang w:val="sk-SK"/>
        </w:rPr>
        <w:t xml:space="preserve"> </w:t>
      </w:r>
      <w:r w:rsidR="003E3C22" w:rsidRPr="00233E28">
        <w:rPr>
          <w:highlight w:val="lightGray"/>
          <w:lang w:val="sk-SK"/>
        </w:rPr>
        <w:t>1 g: Injekčná liekovka zo skla (typ II, nominálny objem 15 ml) s </w:t>
      </w:r>
      <w:proofErr w:type="spellStart"/>
      <w:r w:rsidR="003E3C22" w:rsidRPr="00233E28">
        <w:rPr>
          <w:highlight w:val="lightGray"/>
          <w:lang w:val="sk-SK"/>
        </w:rPr>
        <w:t>chlórbutylovou</w:t>
      </w:r>
      <w:proofErr w:type="spellEnd"/>
      <w:r w:rsidR="003E3C22" w:rsidRPr="00233E28">
        <w:rPr>
          <w:highlight w:val="lightGray"/>
          <w:lang w:val="sk-SK"/>
        </w:rPr>
        <w:t xml:space="preserve"> gumovou zátkou, uzatvorená </w:t>
      </w:r>
      <w:proofErr w:type="spellStart"/>
      <w:r w:rsidR="00B26B03" w:rsidRPr="00233E28">
        <w:rPr>
          <w:highlight w:val="lightGray"/>
          <w:lang w:val="sk-SK"/>
        </w:rPr>
        <w:t>flip-off</w:t>
      </w:r>
      <w:proofErr w:type="spellEnd"/>
      <w:r w:rsidR="00B26B03" w:rsidRPr="00233E28">
        <w:rPr>
          <w:highlight w:val="lightGray"/>
          <w:lang w:val="sk-SK"/>
        </w:rPr>
        <w:t xml:space="preserve"> </w:t>
      </w:r>
      <w:r w:rsidR="003E3C22" w:rsidRPr="00233E28">
        <w:rPr>
          <w:highlight w:val="lightGray"/>
          <w:lang w:val="sk-SK"/>
        </w:rPr>
        <w:t xml:space="preserve">hliníkovým </w:t>
      </w:r>
      <w:r w:rsidR="00A24766" w:rsidRPr="00D45AA9">
        <w:rPr>
          <w:highlight w:val="lightGray"/>
          <w:lang w:val="sk-SK"/>
        </w:rPr>
        <w:t>viečkom</w:t>
      </w:r>
      <w:r w:rsidR="003E3C22" w:rsidRPr="00233E28">
        <w:rPr>
          <w:highlight w:val="lightGray"/>
          <w:lang w:val="sk-SK"/>
        </w:rPr>
        <w:t>.</w:t>
      </w:r>
    </w:p>
    <w:p w14:paraId="78940227" w14:textId="37593A9E" w:rsidR="003E3C22" w:rsidRPr="00233E28" w:rsidRDefault="00A75A8A" w:rsidP="00233E28">
      <w:pPr>
        <w:widowControl w:val="0"/>
        <w:tabs>
          <w:tab w:val="clear" w:pos="567"/>
          <w:tab w:val="left" w:pos="0"/>
        </w:tabs>
        <w:rPr>
          <w:highlight w:val="lightGray"/>
          <w:lang w:val="sk-SK"/>
        </w:rPr>
      </w:pPr>
      <w:proofErr w:type="spellStart"/>
      <w:r w:rsidRPr="00233E28">
        <w:rPr>
          <w:highlight w:val="lightGray"/>
          <w:lang w:val="sk-SK"/>
        </w:rPr>
        <w:t>Cefotaxim</w:t>
      </w:r>
      <w:proofErr w:type="spellEnd"/>
      <w:r w:rsidRPr="00233E28">
        <w:rPr>
          <w:highlight w:val="lightGray"/>
          <w:lang w:val="sk-SK"/>
        </w:rPr>
        <w:t xml:space="preserve"> </w:t>
      </w:r>
      <w:proofErr w:type="spellStart"/>
      <w:r w:rsidRPr="00233E28">
        <w:rPr>
          <w:highlight w:val="lightGray"/>
          <w:lang w:val="sk-SK"/>
        </w:rPr>
        <w:t>Eberth</w:t>
      </w:r>
      <w:proofErr w:type="spellEnd"/>
      <w:r w:rsidRPr="00233E28">
        <w:rPr>
          <w:highlight w:val="lightGray"/>
          <w:lang w:val="sk-SK"/>
        </w:rPr>
        <w:t xml:space="preserve"> </w:t>
      </w:r>
      <w:r w:rsidR="003E3C22" w:rsidRPr="00233E28">
        <w:rPr>
          <w:highlight w:val="lightGray"/>
          <w:lang w:val="sk-SK"/>
        </w:rPr>
        <w:t>2 g: Injekčná liekovka zo skla (typ II, nominálny objem 50 ml) s </w:t>
      </w:r>
      <w:proofErr w:type="spellStart"/>
      <w:r w:rsidR="003E3C22" w:rsidRPr="00233E28">
        <w:rPr>
          <w:highlight w:val="lightGray"/>
          <w:lang w:val="sk-SK"/>
        </w:rPr>
        <w:t>chlórbutylovou</w:t>
      </w:r>
      <w:proofErr w:type="spellEnd"/>
      <w:r w:rsidR="003E3C22" w:rsidRPr="00233E28">
        <w:rPr>
          <w:highlight w:val="lightGray"/>
          <w:lang w:val="sk-SK"/>
        </w:rPr>
        <w:t xml:space="preserve"> gumovou zátkou, uzatvorená </w:t>
      </w:r>
      <w:proofErr w:type="spellStart"/>
      <w:r w:rsidR="0016074E" w:rsidRPr="00233E28">
        <w:rPr>
          <w:highlight w:val="lightGray"/>
          <w:lang w:val="sk-SK"/>
        </w:rPr>
        <w:t>flipp-off</w:t>
      </w:r>
      <w:proofErr w:type="spellEnd"/>
      <w:r w:rsidR="003E3C22" w:rsidRPr="00233E28">
        <w:rPr>
          <w:highlight w:val="lightGray"/>
          <w:lang w:val="sk-SK"/>
        </w:rPr>
        <w:t xml:space="preserve"> hliníkovým </w:t>
      </w:r>
      <w:r w:rsidR="00A24766" w:rsidRPr="00D45AA9">
        <w:rPr>
          <w:highlight w:val="lightGray"/>
          <w:lang w:val="sk-SK"/>
        </w:rPr>
        <w:t>viečkom</w:t>
      </w:r>
    </w:p>
    <w:p w14:paraId="61237E70" w14:textId="77777777" w:rsidR="003E3C22" w:rsidRPr="004229C9" w:rsidRDefault="003E3C22" w:rsidP="003E3C22">
      <w:pPr>
        <w:ind w:left="567"/>
        <w:rPr>
          <w:lang w:val="sk-SK"/>
        </w:rPr>
      </w:pPr>
    </w:p>
    <w:p w14:paraId="29B67AA9" w14:textId="77777777" w:rsidR="003E3C22" w:rsidRPr="004229C9" w:rsidRDefault="003E3C22" w:rsidP="00233E28">
      <w:pPr>
        <w:rPr>
          <w:lang w:val="sk-SK"/>
        </w:rPr>
      </w:pPr>
      <w:r w:rsidRPr="004229C9">
        <w:rPr>
          <w:lang w:val="sk-SK"/>
        </w:rPr>
        <w:t>Veľkosť balenia:</w:t>
      </w:r>
    </w:p>
    <w:p w14:paraId="588C756B" w14:textId="7A4638DE" w:rsidR="003E3C22" w:rsidRPr="004229C9" w:rsidRDefault="003E3C22" w:rsidP="00233E28">
      <w:pPr>
        <w:rPr>
          <w:lang w:val="sk-SK"/>
        </w:rPr>
      </w:pPr>
      <w:r w:rsidRPr="004229C9">
        <w:rPr>
          <w:lang w:val="sk-SK"/>
        </w:rPr>
        <w:t>1, 5, 10 a 50 injekčných liekoviek</w:t>
      </w:r>
    </w:p>
    <w:p w14:paraId="52B98D35" w14:textId="77777777" w:rsidR="003E3C22" w:rsidRPr="004229C9" w:rsidRDefault="003E3C22" w:rsidP="003E3C22">
      <w:pPr>
        <w:ind w:left="567"/>
        <w:rPr>
          <w:lang w:val="sk-SK"/>
        </w:rPr>
      </w:pPr>
    </w:p>
    <w:p w14:paraId="336B1D58" w14:textId="77777777" w:rsidR="003E3C22" w:rsidRPr="004229C9" w:rsidRDefault="003E3C22" w:rsidP="00233E28">
      <w:pPr>
        <w:rPr>
          <w:lang w:val="sk-SK"/>
        </w:rPr>
      </w:pPr>
      <w:r w:rsidRPr="004229C9">
        <w:rPr>
          <w:lang w:val="sk-SK"/>
        </w:rPr>
        <w:t>N</w:t>
      </w:r>
      <w:r w:rsidR="00757E7B" w:rsidRPr="004229C9">
        <w:rPr>
          <w:lang w:val="sk-SK"/>
        </w:rPr>
        <w:t xml:space="preserve">a trh </w:t>
      </w:r>
      <w:r w:rsidR="00757E7B">
        <w:rPr>
          <w:lang w:val="sk-SK"/>
        </w:rPr>
        <w:t>ne</w:t>
      </w:r>
      <w:r w:rsidR="00757E7B" w:rsidRPr="004229C9">
        <w:rPr>
          <w:lang w:val="sk-SK"/>
        </w:rPr>
        <w:t xml:space="preserve">musia byť uvedené </w:t>
      </w:r>
      <w:r w:rsidRPr="004229C9">
        <w:rPr>
          <w:lang w:val="sk-SK"/>
        </w:rPr>
        <w:t>všetky veľkosti balenia .</w:t>
      </w:r>
    </w:p>
    <w:p w14:paraId="2F5192CF" w14:textId="77777777" w:rsidR="003E3C22" w:rsidRPr="004229C9" w:rsidRDefault="003E3C22" w:rsidP="003E3C22">
      <w:pPr>
        <w:tabs>
          <w:tab w:val="clear" w:pos="567"/>
          <w:tab w:val="left" w:pos="540"/>
        </w:tabs>
        <w:ind w:hanging="27"/>
        <w:rPr>
          <w:lang w:val="sk-SK"/>
        </w:rPr>
      </w:pPr>
    </w:p>
    <w:p w14:paraId="6779E0DE" w14:textId="77777777" w:rsidR="003E3C22" w:rsidRPr="00BB3317" w:rsidRDefault="003E3C22" w:rsidP="003E3C22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color w:val="FF0000"/>
          <w:szCs w:val="22"/>
          <w:lang w:val="sk-SK"/>
        </w:rPr>
      </w:pPr>
      <w:r w:rsidRPr="004229C9">
        <w:rPr>
          <w:b/>
          <w:noProof/>
          <w:szCs w:val="22"/>
          <w:lang w:val="sk-SK"/>
        </w:rPr>
        <w:t xml:space="preserve">6.6       Špeciálne opatrenia na likvidáciu a iné zaobchádzanie s liekom </w:t>
      </w:r>
    </w:p>
    <w:p w14:paraId="49B4A467" w14:textId="77777777" w:rsidR="003E3C22" w:rsidRDefault="003E3C22" w:rsidP="003E3C22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4229C9">
        <w:rPr>
          <w:noProof/>
          <w:szCs w:val="22"/>
          <w:lang w:val="sk-SK"/>
        </w:rPr>
        <w:t xml:space="preserve">            </w:t>
      </w:r>
    </w:p>
    <w:p w14:paraId="3213D1A5" w14:textId="266C3110" w:rsidR="003E3C22" w:rsidRPr="00051C77" w:rsidRDefault="003E3C22" w:rsidP="003E3C22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051C77">
        <w:rPr>
          <w:noProof/>
          <w:szCs w:val="22"/>
          <w:lang w:val="sk-SK"/>
        </w:rPr>
        <w:t>Pre potrebné doporučenie dávkovania – pozri časť 4.2.</w:t>
      </w:r>
    </w:p>
    <w:p w14:paraId="3D5E72B2" w14:textId="77777777" w:rsidR="003E3C22" w:rsidRDefault="003E3C22" w:rsidP="003E3C22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6B62E2A4" w14:textId="49D93A7E" w:rsidR="003E3C22" w:rsidRPr="002072F6" w:rsidRDefault="003E3C22" w:rsidP="00233E28">
      <w:pPr>
        <w:tabs>
          <w:tab w:val="clear" w:pos="567"/>
        </w:tabs>
        <w:spacing w:line="240" w:lineRule="auto"/>
        <w:rPr>
          <w:u w:val="single"/>
          <w:lang w:val="sk-SK"/>
        </w:rPr>
      </w:pPr>
      <w:r w:rsidRPr="002072F6">
        <w:rPr>
          <w:i/>
          <w:u w:val="single"/>
          <w:lang w:val="sk-SK"/>
        </w:rPr>
        <w:t>Kompatibilita</w:t>
      </w:r>
      <w:r w:rsidRPr="002072F6">
        <w:rPr>
          <w:u w:val="single"/>
          <w:lang w:val="sk-SK"/>
        </w:rPr>
        <w:t>:</w:t>
      </w:r>
    </w:p>
    <w:p w14:paraId="4B9D8E76" w14:textId="4AF3870C" w:rsidR="003E3C22" w:rsidRPr="004229C9" w:rsidRDefault="003E3C22" w:rsidP="00233E28">
      <w:pPr>
        <w:tabs>
          <w:tab w:val="clear" w:pos="567"/>
          <w:tab w:val="left" w:pos="540"/>
        </w:tabs>
        <w:jc w:val="both"/>
        <w:rPr>
          <w:lang w:val="sk-SK"/>
        </w:rPr>
      </w:pPr>
      <w:proofErr w:type="spellStart"/>
      <w:r w:rsidRPr="004229C9">
        <w:rPr>
          <w:lang w:val="sk-SK"/>
        </w:rPr>
        <w:t>Cefotaxim</w:t>
      </w:r>
      <w:proofErr w:type="spellEnd"/>
      <w:r w:rsidRPr="004229C9">
        <w:rPr>
          <w:lang w:val="sk-SK"/>
        </w:rPr>
        <w:t xml:space="preserve"> </w:t>
      </w:r>
      <w:proofErr w:type="spellStart"/>
      <w:r w:rsidRPr="004229C9">
        <w:rPr>
          <w:lang w:val="sk-SK"/>
        </w:rPr>
        <w:t>Eberth</w:t>
      </w:r>
      <w:proofErr w:type="spellEnd"/>
      <w:r w:rsidRPr="004229C9">
        <w:rPr>
          <w:lang w:val="sk-SK"/>
        </w:rPr>
        <w:t xml:space="preserve"> je kompatibilný s:</w:t>
      </w:r>
    </w:p>
    <w:p w14:paraId="1F30A07B" w14:textId="0EE08711" w:rsidR="003E3C22" w:rsidRPr="004229C9" w:rsidRDefault="003E3C22" w:rsidP="00233E28">
      <w:pPr>
        <w:tabs>
          <w:tab w:val="clear" w:pos="567"/>
        </w:tabs>
        <w:jc w:val="both"/>
        <w:rPr>
          <w:lang w:val="sk-SK"/>
        </w:rPr>
      </w:pPr>
      <w:r w:rsidRPr="004229C9">
        <w:rPr>
          <w:lang w:val="sk-SK"/>
        </w:rPr>
        <w:t>0,9</w:t>
      </w:r>
      <w:r w:rsidR="00951FDC">
        <w:rPr>
          <w:lang w:val="sk-SK"/>
        </w:rPr>
        <w:t xml:space="preserve"> </w:t>
      </w:r>
      <w:r w:rsidRPr="004229C9">
        <w:rPr>
          <w:lang w:val="sk-SK"/>
        </w:rPr>
        <w:t>% roztokom chloridu sodného;</w:t>
      </w:r>
      <w:r>
        <w:rPr>
          <w:lang w:val="sk-SK"/>
        </w:rPr>
        <w:t xml:space="preserve"> </w:t>
      </w:r>
      <w:r w:rsidRPr="004229C9">
        <w:rPr>
          <w:lang w:val="sk-SK"/>
        </w:rPr>
        <w:t>5</w:t>
      </w:r>
      <w:r w:rsidR="00951FDC">
        <w:rPr>
          <w:lang w:val="sk-SK"/>
        </w:rPr>
        <w:t xml:space="preserve"> </w:t>
      </w:r>
      <w:r w:rsidRPr="004229C9">
        <w:rPr>
          <w:lang w:val="sk-SK"/>
        </w:rPr>
        <w:t xml:space="preserve">% </w:t>
      </w:r>
      <w:r>
        <w:rPr>
          <w:lang w:val="sk-SK"/>
        </w:rPr>
        <w:t>alebo 10</w:t>
      </w:r>
      <w:r w:rsidR="00951FDC">
        <w:rPr>
          <w:lang w:val="sk-SK"/>
        </w:rPr>
        <w:t xml:space="preserve"> </w:t>
      </w:r>
      <w:r>
        <w:rPr>
          <w:lang w:val="sk-SK"/>
        </w:rPr>
        <w:t xml:space="preserve">% </w:t>
      </w:r>
      <w:r w:rsidRPr="004229C9">
        <w:rPr>
          <w:lang w:val="sk-SK"/>
        </w:rPr>
        <w:t>roztok</w:t>
      </w:r>
      <w:r>
        <w:rPr>
          <w:lang w:val="sk-SK"/>
        </w:rPr>
        <w:t xml:space="preserve">om glukózy; </w:t>
      </w:r>
      <w:proofErr w:type="spellStart"/>
      <w:r>
        <w:rPr>
          <w:lang w:val="sk-SK"/>
        </w:rPr>
        <w:t>Ringerovým-laktátovým</w:t>
      </w:r>
      <w:proofErr w:type="spellEnd"/>
      <w:r w:rsidR="00951FDC">
        <w:rPr>
          <w:lang w:val="sk-SK"/>
        </w:rPr>
        <w:t xml:space="preserve"> </w:t>
      </w:r>
      <w:r>
        <w:rPr>
          <w:lang w:val="sk-SK"/>
        </w:rPr>
        <w:t xml:space="preserve">roztokom; </w:t>
      </w:r>
      <w:r w:rsidRPr="004229C9">
        <w:rPr>
          <w:lang w:val="sk-SK"/>
        </w:rPr>
        <w:t>1,0</w:t>
      </w:r>
      <w:r w:rsidR="00951FDC">
        <w:rPr>
          <w:lang w:val="sk-SK"/>
        </w:rPr>
        <w:t xml:space="preserve"> </w:t>
      </w:r>
      <w:r w:rsidRPr="004229C9">
        <w:rPr>
          <w:lang w:val="sk-SK"/>
        </w:rPr>
        <w:t xml:space="preserve">% roztokom </w:t>
      </w:r>
      <w:proofErr w:type="spellStart"/>
      <w:r w:rsidRPr="004229C9">
        <w:rPr>
          <w:lang w:val="sk-SK"/>
        </w:rPr>
        <w:t>lidokaínu</w:t>
      </w:r>
      <w:proofErr w:type="spellEnd"/>
      <w:r w:rsidRPr="004229C9">
        <w:rPr>
          <w:lang w:val="sk-SK"/>
        </w:rPr>
        <w:t>.</w:t>
      </w:r>
    </w:p>
    <w:p w14:paraId="278955A4" w14:textId="77777777" w:rsidR="003E3C22" w:rsidRDefault="003E3C22" w:rsidP="003E3C22">
      <w:pPr>
        <w:ind w:left="460"/>
        <w:jc w:val="both"/>
        <w:rPr>
          <w:lang w:val="sk-SK"/>
        </w:rPr>
      </w:pPr>
    </w:p>
    <w:p w14:paraId="5AA74EF1" w14:textId="77777777" w:rsidR="003E3C22" w:rsidRPr="004229C9" w:rsidRDefault="003E3C22" w:rsidP="00233E28">
      <w:pPr>
        <w:jc w:val="both"/>
        <w:rPr>
          <w:lang w:val="sk-SK"/>
        </w:rPr>
      </w:pPr>
      <w:r w:rsidRPr="004229C9">
        <w:rPr>
          <w:lang w:val="sk-SK"/>
        </w:rPr>
        <w:t xml:space="preserve">  - </w:t>
      </w:r>
      <w:r>
        <w:rPr>
          <w:lang w:val="sk-SK"/>
        </w:rPr>
        <w:t xml:space="preserve">Prípravu </w:t>
      </w:r>
      <w:r w:rsidRPr="004229C9">
        <w:rPr>
          <w:lang w:val="sk-SK"/>
        </w:rPr>
        <w:t xml:space="preserve">roztoku </w:t>
      </w:r>
      <w:r>
        <w:rPr>
          <w:lang w:val="sk-SK"/>
        </w:rPr>
        <w:t>je potrebné</w:t>
      </w:r>
      <w:r w:rsidRPr="004229C9">
        <w:rPr>
          <w:lang w:val="sk-SK"/>
        </w:rPr>
        <w:t xml:space="preserve"> </w:t>
      </w:r>
      <w:r>
        <w:rPr>
          <w:lang w:val="sk-SK"/>
        </w:rPr>
        <w:t>uskutočniť v</w:t>
      </w:r>
      <w:r w:rsidRPr="004229C9">
        <w:rPr>
          <w:lang w:val="sk-SK"/>
        </w:rPr>
        <w:t xml:space="preserve"> as</w:t>
      </w:r>
      <w:r>
        <w:rPr>
          <w:lang w:val="sk-SK"/>
        </w:rPr>
        <w:t>eptických podmienkach</w:t>
      </w:r>
      <w:r w:rsidRPr="004229C9">
        <w:rPr>
          <w:lang w:val="sk-SK"/>
        </w:rPr>
        <w:t>.</w:t>
      </w:r>
    </w:p>
    <w:p w14:paraId="5F8C4FA3" w14:textId="77777777" w:rsidR="003E3C22" w:rsidRPr="004229C9" w:rsidRDefault="003E3C22" w:rsidP="00233E28">
      <w:pPr>
        <w:jc w:val="both"/>
        <w:rPr>
          <w:lang w:val="sk-SK"/>
        </w:rPr>
      </w:pPr>
      <w:r w:rsidRPr="004229C9">
        <w:rPr>
          <w:lang w:val="sk-SK"/>
        </w:rPr>
        <w:t xml:space="preserve">  - </w:t>
      </w:r>
      <w:r>
        <w:rPr>
          <w:lang w:val="sk-SK"/>
        </w:rPr>
        <w:t>Priprave</w:t>
      </w:r>
      <w:r w:rsidRPr="004229C9">
        <w:rPr>
          <w:lang w:val="sk-SK"/>
        </w:rPr>
        <w:t xml:space="preserve">ný roztok </w:t>
      </w:r>
      <w:r>
        <w:rPr>
          <w:lang w:val="sk-SK"/>
        </w:rPr>
        <w:t>je potrebné</w:t>
      </w:r>
      <w:r w:rsidRPr="004229C9">
        <w:rPr>
          <w:lang w:val="sk-SK"/>
        </w:rPr>
        <w:t xml:space="preserve"> podať okamžite.</w:t>
      </w:r>
    </w:p>
    <w:p w14:paraId="24D8031F" w14:textId="77777777" w:rsidR="003E3C22" w:rsidRDefault="003E3C22" w:rsidP="00233E28">
      <w:pPr>
        <w:jc w:val="both"/>
        <w:rPr>
          <w:lang w:val="sk-SK"/>
        </w:rPr>
      </w:pPr>
      <w:r w:rsidRPr="004229C9">
        <w:rPr>
          <w:lang w:val="sk-SK"/>
        </w:rPr>
        <w:t xml:space="preserve">  - Akýkoľvek nepoužitý roztok </w:t>
      </w:r>
      <w:r>
        <w:rPr>
          <w:lang w:val="sk-SK"/>
        </w:rPr>
        <w:t>je potrebné</w:t>
      </w:r>
      <w:r w:rsidRPr="004229C9">
        <w:rPr>
          <w:lang w:val="sk-SK"/>
        </w:rPr>
        <w:t xml:space="preserve"> zlikvidovať.</w:t>
      </w:r>
    </w:p>
    <w:p w14:paraId="0DFC8D1D" w14:textId="77777777" w:rsidR="00B671EB" w:rsidRDefault="00B671EB" w:rsidP="00233E28">
      <w:pPr>
        <w:jc w:val="both"/>
        <w:rPr>
          <w:lang w:val="sk-SK"/>
        </w:rPr>
      </w:pPr>
    </w:p>
    <w:p w14:paraId="2CBE44A3" w14:textId="77777777" w:rsidR="00B671EB" w:rsidRPr="00FB4B91" w:rsidRDefault="00B671EB" w:rsidP="00233E28">
      <w:pPr>
        <w:jc w:val="both"/>
        <w:rPr>
          <w:b/>
          <w:u w:val="single"/>
          <w:lang w:val="sk-SK"/>
        </w:rPr>
      </w:pPr>
      <w:proofErr w:type="spellStart"/>
      <w:r w:rsidRPr="00FB4B91">
        <w:rPr>
          <w:b/>
          <w:u w:val="single"/>
          <w:lang w:val="sk-SK"/>
        </w:rPr>
        <w:t>Intramuskulárna</w:t>
      </w:r>
      <w:proofErr w:type="spellEnd"/>
      <w:r w:rsidRPr="00FB4B91">
        <w:rPr>
          <w:b/>
          <w:u w:val="single"/>
          <w:lang w:val="sk-SK"/>
        </w:rPr>
        <w:t xml:space="preserve"> injekcia:</w:t>
      </w:r>
    </w:p>
    <w:p w14:paraId="1A5BF669" w14:textId="77777777" w:rsidR="00B671EB" w:rsidRDefault="00A208E0" w:rsidP="00233E28">
      <w:pPr>
        <w:jc w:val="both"/>
        <w:rPr>
          <w:lang w:val="sk-SK"/>
        </w:rPr>
      </w:pPr>
      <w:proofErr w:type="spellStart"/>
      <w:r w:rsidRPr="00A208E0">
        <w:rPr>
          <w:lang w:val="sk-SK"/>
        </w:rPr>
        <w:t>Cefotaxim</w:t>
      </w:r>
      <w:proofErr w:type="spellEnd"/>
      <w:r w:rsidRPr="00A208E0">
        <w:rPr>
          <w:lang w:val="sk-SK"/>
        </w:rPr>
        <w:t xml:space="preserve"> </w:t>
      </w:r>
      <w:proofErr w:type="spellStart"/>
      <w:r w:rsidRPr="00A208E0">
        <w:rPr>
          <w:lang w:val="sk-SK"/>
        </w:rPr>
        <w:t>Eberth</w:t>
      </w:r>
      <w:proofErr w:type="spellEnd"/>
      <w:r w:rsidRPr="00A208E0">
        <w:rPr>
          <w:lang w:val="sk-SK"/>
        </w:rPr>
        <w:t xml:space="preserve"> 0,5 g</w:t>
      </w:r>
      <w:r>
        <w:rPr>
          <w:lang w:val="sk-SK"/>
        </w:rPr>
        <w:t xml:space="preserve"> sa rozpustí v 2 </w:t>
      </w:r>
      <w:r w:rsidR="00975DCD">
        <w:rPr>
          <w:lang w:val="sk-SK"/>
        </w:rPr>
        <w:t>ml vody na injekcie</w:t>
      </w:r>
      <w:r>
        <w:rPr>
          <w:lang w:val="sk-SK"/>
        </w:rPr>
        <w:t>.</w:t>
      </w:r>
    </w:p>
    <w:p w14:paraId="5508E1C6" w14:textId="77777777" w:rsidR="00A208E0" w:rsidRPr="00A208E0" w:rsidRDefault="00A208E0" w:rsidP="00A208E0">
      <w:pPr>
        <w:jc w:val="both"/>
        <w:rPr>
          <w:lang w:val="sk-SK"/>
        </w:rPr>
      </w:pPr>
      <w:proofErr w:type="spellStart"/>
      <w:r w:rsidRPr="00A208E0">
        <w:rPr>
          <w:lang w:val="sk-SK"/>
        </w:rPr>
        <w:t>Cefotaxim</w:t>
      </w:r>
      <w:proofErr w:type="spellEnd"/>
      <w:r w:rsidRPr="00A208E0">
        <w:rPr>
          <w:lang w:val="sk-SK"/>
        </w:rPr>
        <w:t xml:space="preserve"> </w:t>
      </w:r>
      <w:proofErr w:type="spellStart"/>
      <w:r w:rsidRPr="00A208E0">
        <w:rPr>
          <w:lang w:val="sk-SK"/>
        </w:rPr>
        <w:t>Eberth</w:t>
      </w:r>
      <w:proofErr w:type="spellEnd"/>
      <w:r w:rsidRPr="00A208E0">
        <w:rPr>
          <w:lang w:val="sk-SK"/>
        </w:rPr>
        <w:t xml:space="preserve"> </w:t>
      </w:r>
      <w:r>
        <w:rPr>
          <w:lang w:val="sk-SK"/>
        </w:rPr>
        <w:t>1</w:t>
      </w:r>
      <w:r w:rsidRPr="00A208E0">
        <w:rPr>
          <w:lang w:val="sk-SK"/>
        </w:rPr>
        <w:t xml:space="preserve"> g</w:t>
      </w:r>
      <w:r>
        <w:rPr>
          <w:lang w:val="sk-SK"/>
        </w:rPr>
        <w:t xml:space="preserve"> sa rozpustí v 4 </w:t>
      </w:r>
      <w:r w:rsidR="00975DCD">
        <w:rPr>
          <w:lang w:val="sk-SK"/>
        </w:rPr>
        <w:t>ml vody na injekcie</w:t>
      </w:r>
      <w:r>
        <w:rPr>
          <w:lang w:val="sk-SK"/>
        </w:rPr>
        <w:t>.</w:t>
      </w:r>
    </w:p>
    <w:p w14:paraId="50CA5BA5" w14:textId="77777777" w:rsidR="00A208E0" w:rsidRDefault="00A208E0" w:rsidP="00233E28">
      <w:pPr>
        <w:jc w:val="both"/>
        <w:rPr>
          <w:lang w:val="sk-SK"/>
        </w:rPr>
      </w:pPr>
    </w:p>
    <w:p w14:paraId="7E2AA64C" w14:textId="46F5C411" w:rsidR="00975DCD" w:rsidRPr="00A208E0" w:rsidRDefault="000A1DC1" w:rsidP="00233E28">
      <w:pPr>
        <w:jc w:val="both"/>
        <w:rPr>
          <w:lang w:val="sk-SK"/>
        </w:rPr>
      </w:pPr>
      <w:r w:rsidRPr="004229C9">
        <w:rPr>
          <w:lang w:val="sk-SK"/>
        </w:rPr>
        <w:t xml:space="preserve">Aby sa predišlo bolesti spôsobenej </w:t>
      </w:r>
      <w:proofErr w:type="spellStart"/>
      <w:r w:rsidR="00A24766">
        <w:rPr>
          <w:lang w:val="sk-SK"/>
        </w:rPr>
        <w:t>intramuskulárnou</w:t>
      </w:r>
      <w:proofErr w:type="spellEnd"/>
      <w:r w:rsidR="00A24766">
        <w:rPr>
          <w:lang w:val="sk-SK"/>
        </w:rPr>
        <w:t xml:space="preserve"> </w:t>
      </w:r>
      <w:r w:rsidRPr="004229C9">
        <w:rPr>
          <w:lang w:val="sk-SK"/>
        </w:rPr>
        <w:t xml:space="preserve">injekciou, </w:t>
      </w:r>
      <w:proofErr w:type="spellStart"/>
      <w:r w:rsidRPr="004229C9">
        <w:rPr>
          <w:lang w:val="sk-SK"/>
        </w:rPr>
        <w:t>Cefotaxim</w:t>
      </w:r>
      <w:proofErr w:type="spellEnd"/>
      <w:r w:rsidRPr="004229C9">
        <w:rPr>
          <w:lang w:val="sk-SK"/>
        </w:rPr>
        <w:t xml:space="preserve"> </w:t>
      </w:r>
      <w:proofErr w:type="spellStart"/>
      <w:r w:rsidRPr="004229C9">
        <w:rPr>
          <w:lang w:val="sk-SK"/>
        </w:rPr>
        <w:t>Eberth</w:t>
      </w:r>
      <w:proofErr w:type="spellEnd"/>
      <w:r w:rsidRPr="004229C9">
        <w:rPr>
          <w:lang w:val="sk-SK"/>
        </w:rPr>
        <w:t xml:space="preserve"> </w:t>
      </w:r>
      <w:r>
        <w:rPr>
          <w:lang w:val="sk-SK"/>
        </w:rPr>
        <w:t>0</w:t>
      </w:r>
      <w:r w:rsidRPr="004229C9">
        <w:rPr>
          <w:lang w:val="sk-SK"/>
        </w:rPr>
        <w:t>,5 g sa môže rozpustiť v 2 ml 1</w:t>
      </w:r>
      <w:r>
        <w:rPr>
          <w:lang w:val="sk-SK"/>
        </w:rPr>
        <w:t xml:space="preserve"> </w:t>
      </w:r>
      <w:r w:rsidRPr="004229C9">
        <w:rPr>
          <w:lang w:val="sk-SK"/>
        </w:rPr>
        <w:t xml:space="preserve">% </w:t>
      </w:r>
      <w:r>
        <w:rPr>
          <w:lang w:val="sk-SK"/>
        </w:rPr>
        <w:t xml:space="preserve">injekčného </w:t>
      </w:r>
      <w:r w:rsidRPr="004229C9">
        <w:rPr>
          <w:lang w:val="sk-SK"/>
        </w:rPr>
        <w:t xml:space="preserve">roztoku </w:t>
      </w:r>
      <w:proofErr w:type="spellStart"/>
      <w:r w:rsidRPr="000867E5">
        <w:rPr>
          <w:lang w:val="sk-SK"/>
        </w:rPr>
        <w:t>lidokaín</w:t>
      </w:r>
      <w:r w:rsidR="00A24766" w:rsidRPr="000867E5">
        <w:rPr>
          <w:lang w:val="sk-SK"/>
        </w:rPr>
        <w:t>ium</w:t>
      </w:r>
      <w:proofErr w:type="spellEnd"/>
      <w:r w:rsidRPr="000867E5">
        <w:rPr>
          <w:lang w:val="sk-SK"/>
        </w:rPr>
        <w:t>-</w:t>
      </w:r>
      <w:r w:rsidRPr="004229C9">
        <w:rPr>
          <w:lang w:val="sk-SK"/>
        </w:rPr>
        <w:t xml:space="preserve">chloridu alebo </w:t>
      </w:r>
      <w:proofErr w:type="spellStart"/>
      <w:r w:rsidRPr="004229C9">
        <w:rPr>
          <w:lang w:val="sk-SK"/>
        </w:rPr>
        <w:t>Cefotaxim</w:t>
      </w:r>
      <w:proofErr w:type="spellEnd"/>
      <w:r w:rsidRPr="004229C9">
        <w:rPr>
          <w:lang w:val="sk-SK"/>
        </w:rPr>
        <w:t xml:space="preserve"> </w:t>
      </w:r>
      <w:proofErr w:type="spellStart"/>
      <w:r w:rsidRPr="004229C9">
        <w:rPr>
          <w:lang w:val="sk-SK"/>
        </w:rPr>
        <w:t>Eberth</w:t>
      </w:r>
      <w:proofErr w:type="spellEnd"/>
      <w:r w:rsidRPr="004229C9">
        <w:rPr>
          <w:lang w:val="sk-SK"/>
        </w:rPr>
        <w:t xml:space="preserve"> 1 g sa môže rozpustiť v 4 ml 1</w:t>
      </w:r>
      <w:r>
        <w:rPr>
          <w:lang w:val="sk-SK"/>
        </w:rPr>
        <w:t xml:space="preserve"> </w:t>
      </w:r>
      <w:r w:rsidRPr="004229C9">
        <w:rPr>
          <w:lang w:val="sk-SK"/>
        </w:rPr>
        <w:t xml:space="preserve">% </w:t>
      </w:r>
      <w:r>
        <w:rPr>
          <w:lang w:val="sk-SK"/>
        </w:rPr>
        <w:t xml:space="preserve">injekčného </w:t>
      </w:r>
      <w:r w:rsidRPr="004229C9">
        <w:rPr>
          <w:lang w:val="sk-SK"/>
        </w:rPr>
        <w:t xml:space="preserve">roztoku </w:t>
      </w:r>
      <w:proofErr w:type="spellStart"/>
      <w:r w:rsidRPr="004229C9">
        <w:rPr>
          <w:lang w:val="sk-SK"/>
        </w:rPr>
        <w:t>lidokaín</w:t>
      </w:r>
      <w:r w:rsidR="00D502EB">
        <w:rPr>
          <w:lang w:val="sk-SK"/>
        </w:rPr>
        <w:t>ium</w:t>
      </w:r>
      <w:r w:rsidRPr="004229C9">
        <w:rPr>
          <w:lang w:val="sk-SK"/>
        </w:rPr>
        <w:t>chloridu</w:t>
      </w:r>
      <w:proofErr w:type="spellEnd"/>
      <w:r w:rsidRPr="004229C9">
        <w:rPr>
          <w:lang w:val="sk-SK"/>
        </w:rPr>
        <w:t xml:space="preserve"> (</w:t>
      </w:r>
      <w:r w:rsidRPr="00AB6A9C">
        <w:rPr>
          <w:u w:val="single"/>
          <w:lang w:val="sk-SK"/>
        </w:rPr>
        <w:t>len pre dospelých</w:t>
      </w:r>
      <w:r w:rsidRPr="004229C9">
        <w:rPr>
          <w:lang w:val="sk-SK"/>
        </w:rPr>
        <w:t>).</w:t>
      </w:r>
    </w:p>
    <w:p w14:paraId="453ABE40" w14:textId="77777777" w:rsidR="002C03A4" w:rsidRDefault="002C03A4" w:rsidP="002C03A4">
      <w:pPr>
        <w:ind w:left="720"/>
        <w:jc w:val="both"/>
        <w:rPr>
          <w:lang w:val="sk-SK"/>
        </w:rPr>
      </w:pPr>
    </w:p>
    <w:p w14:paraId="79A174D7" w14:textId="1D04422C" w:rsidR="002C03A4" w:rsidRDefault="002C03A4" w:rsidP="00233E28">
      <w:pPr>
        <w:tabs>
          <w:tab w:val="clear" w:pos="567"/>
        </w:tabs>
        <w:jc w:val="both"/>
        <w:rPr>
          <w:lang w:val="sk-SK"/>
        </w:rPr>
      </w:pPr>
      <w:r>
        <w:rPr>
          <w:lang w:val="sk-SK"/>
        </w:rPr>
        <w:t xml:space="preserve">Tabuľka </w:t>
      </w:r>
      <w:r w:rsidR="00B90109">
        <w:rPr>
          <w:lang w:val="sk-SK"/>
        </w:rPr>
        <w:t>riedenia</w:t>
      </w:r>
      <w:r w:rsidR="00A24766">
        <w:rPr>
          <w:lang w:val="sk-SK"/>
        </w:rPr>
        <w:t>/ použitia</w:t>
      </w:r>
      <w:r w:rsidR="0041256C">
        <w:rPr>
          <w:lang w:val="sk-SK"/>
        </w:rPr>
        <w:t xml:space="preserve"> roztokov</w:t>
      </w:r>
      <w:r w:rsidR="00B90109">
        <w:rPr>
          <w:lang w:val="sk-SK"/>
        </w:rPr>
        <w:t xml:space="preserve"> </w:t>
      </w:r>
      <w:r>
        <w:rPr>
          <w:lang w:val="sk-SK"/>
        </w:rPr>
        <w:t>(</w:t>
      </w:r>
      <w:proofErr w:type="spellStart"/>
      <w:r w:rsidRPr="00233E28">
        <w:rPr>
          <w:b/>
          <w:i/>
          <w:lang w:val="sk-SK"/>
        </w:rPr>
        <w:t>intramuskulárna</w:t>
      </w:r>
      <w:proofErr w:type="spellEnd"/>
      <w:r w:rsidRPr="00233E28">
        <w:rPr>
          <w:i/>
          <w:lang w:val="sk-SK"/>
        </w:rPr>
        <w:t xml:space="preserve"> in</w:t>
      </w:r>
      <w:r w:rsidR="00CA209D">
        <w:rPr>
          <w:i/>
          <w:lang w:val="sk-SK"/>
        </w:rPr>
        <w:t>j</w:t>
      </w:r>
      <w:r w:rsidRPr="00233E28">
        <w:rPr>
          <w:i/>
          <w:lang w:val="sk-SK"/>
        </w:rPr>
        <w:t>ekcia</w:t>
      </w:r>
      <w:r>
        <w:rPr>
          <w:lang w:val="sk-SK"/>
        </w:rPr>
        <w:t>):</w:t>
      </w:r>
    </w:p>
    <w:p w14:paraId="420C42E8" w14:textId="77777777" w:rsidR="003E3C22" w:rsidRDefault="003E3C22" w:rsidP="003E3C22">
      <w:pPr>
        <w:ind w:left="460"/>
        <w:jc w:val="both"/>
        <w:rPr>
          <w:lang w:val="sk-SK"/>
        </w:rPr>
      </w:pPr>
      <w:r>
        <w:rPr>
          <w:lang w:val="sk-SK"/>
        </w:rPr>
        <w:t xml:space="preserve"> </w:t>
      </w:r>
    </w:p>
    <w:tbl>
      <w:tblPr>
        <w:tblW w:w="4664" w:type="pct"/>
        <w:tblCellSpacing w:w="0" w:type="dxa"/>
        <w:tblInd w:w="2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812"/>
        <w:gridCol w:w="2095"/>
        <w:gridCol w:w="2504"/>
        <w:gridCol w:w="2346"/>
      </w:tblGrid>
      <w:tr w:rsidR="00B53ECF" w14:paraId="606BA8A3" w14:textId="77777777" w:rsidTr="00233E28">
        <w:trPr>
          <w:trHeight w:val="535"/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6FA036" w14:textId="77777777" w:rsidR="00454653" w:rsidRDefault="002C03A4" w:rsidP="00DB5A91">
            <w:pPr>
              <w:tabs>
                <w:tab w:val="clear" w:pos="567"/>
              </w:tabs>
              <w:spacing w:before="100" w:beforeAutospacing="1" w:after="75" w:line="240" w:lineRule="auto"/>
              <w:rPr>
                <w:color w:val="000000"/>
                <w:szCs w:val="22"/>
                <w:lang w:val="da-DK" w:eastAsia="da-DK"/>
              </w:rPr>
            </w:pPr>
            <w:r w:rsidRPr="000979CA">
              <w:rPr>
                <w:lang w:val="sk-SK"/>
              </w:rPr>
              <w:t>Veľkosť liekovky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6220F8" w14:textId="77777777" w:rsidR="00454653" w:rsidRDefault="002C03A4" w:rsidP="00DB5A91">
            <w:pPr>
              <w:tabs>
                <w:tab w:val="clear" w:pos="567"/>
              </w:tabs>
              <w:spacing w:before="100" w:beforeAutospacing="1" w:after="75" w:line="240" w:lineRule="auto"/>
              <w:rPr>
                <w:color w:val="000000"/>
                <w:szCs w:val="22"/>
                <w:lang w:val="da-DK" w:eastAsia="da-DK"/>
              </w:rPr>
            </w:pPr>
            <w:r w:rsidRPr="000979CA">
              <w:rPr>
                <w:lang w:val="sk-SK"/>
              </w:rPr>
              <w:t>Pridané rozpúšťadlo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978C8E" w14:textId="77777777" w:rsidR="00454653" w:rsidRDefault="00406358" w:rsidP="00233E28">
            <w:pPr>
              <w:rPr>
                <w:color w:val="000000"/>
                <w:szCs w:val="22"/>
                <w:lang w:val="da-DK" w:eastAsia="da-DK"/>
              </w:rPr>
            </w:pPr>
            <w:r w:rsidRPr="000979CA">
              <w:rPr>
                <w:lang w:val="sk-SK"/>
              </w:rPr>
              <w:t>Približný využiteľný objem</w:t>
            </w:r>
          </w:p>
        </w:tc>
        <w:tc>
          <w:tcPr>
            <w:tcW w:w="2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F801D8" w14:textId="77777777" w:rsidR="00454653" w:rsidRDefault="00406358" w:rsidP="00DB5A91">
            <w:pPr>
              <w:tabs>
                <w:tab w:val="clear" w:pos="567"/>
              </w:tabs>
              <w:spacing w:before="100" w:beforeAutospacing="1" w:after="75" w:line="240" w:lineRule="auto"/>
              <w:rPr>
                <w:color w:val="000000"/>
                <w:szCs w:val="22"/>
                <w:lang w:val="da-DK" w:eastAsia="da-DK"/>
              </w:rPr>
            </w:pPr>
            <w:r w:rsidRPr="000979CA">
              <w:rPr>
                <w:lang w:val="sk-SK"/>
              </w:rPr>
              <w:t>Približné navýšenie objemu</w:t>
            </w:r>
          </w:p>
        </w:tc>
      </w:tr>
      <w:tr w:rsidR="002A3D49" w14:paraId="245CA101" w14:textId="77777777" w:rsidTr="002A00FF">
        <w:trPr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316802" w14:textId="77777777" w:rsidR="00454653" w:rsidRDefault="00454653" w:rsidP="00DB5A91">
            <w:pPr>
              <w:tabs>
                <w:tab w:val="clear" w:pos="567"/>
              </w:tabs>
              <w:spacing w:before="100" w:beforeAutospacing="1" w:after="75" w:line="240" w:lineRule="auto"/>
              <w:rPr>
                <w:color w:val="000000"/>
                <w:szCs w:val="22"/>
                <w:lang w:val="da-DK" w:eastAsia="da-DK"/>
              </w:rPr>
            </w:pPr>
            <w:r>
              <w:rPr>
                <w:color w:val="000000"/>
                <w:szCs w:val="22"/>
                <w:lang w:val="da-DK" w:eastAsia="da-DK"/>
              </w:rPr>
              <w:t>500 mg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6FD2B2" w14:textId="77777777" w:rsidR="00454653" w:rsidRDefault="00454653" w:rsidP="00DB5A91">
            <w:pPr>
              <w:tabs>
                <w:tab w:val="clear" w:pos="567"/>
              </w:tabs>
              <w:spacing w:before="100" w:beforeAutospacing="1" w:after="75" w:line="240" w:lineRule="auto"/>
              <w:rPr>
                <w:color w:val="000000"/>
                <w:szCs w:val="22"/>
                <w:lang w:val="da-DK" w:eastAsia="da-DK"/>
              </w:rPr>
            </w:pPr>
            <w:r>
              <w:rPr>
                <w:color w:val="000000"/>
                <w:szCs w:val="22"/>
                <w:lang w:val="da-DK" w:eastAsia="da-DK"/>
              </w:rPr>
              <w:t>2 ml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F2B275" w14:textId="77777777" w:rsidR="00454653" w:rsidRDefault="00454653" w:rsidP="00DB5A91">
            <w:pPr>
              <w:tabs>
                <w:tab w:val="clear" w:pos="567"/>
              </w:tabs>
              <w:spacing w:before="100" w:beforeAutospacing="1" w:after="75" w:line="240" w:lineRule="auto"/>
              <w:rPr>
                <w:color w:val="000000"/>
                <w:szCs w:val="22"/>
                <w:lang w:val="da-DK" w:eastAsia="da-DK"/>
              </w:rPr>
            </w:pPr>
            <w:r>
              <w:rPr>
                <w:color w:val="000000"/>
                <w:szCs w:val="22"/>
                <w:lang w:val="da-DK" w:eastAsia="da-DK"/>
              </w:rPr>
              <w:t>2</w:t>
            </w:r>
            <w:r w:rsidR="00847FE3">
              <w:rPr>
                <w:color w:val="000000"/>
                <w:szCs w:val="22"/>
                <w:lang w:val="da-DK" w:eastAsia="da-DK"/>
              </w:rPr>
              <w:t>,</w:t>
            </w:r>
            <w:r>
              <w:rPr>
                <w:color w:val="000000"/>
                <w:szCs w:val="22"/>
                <w:lang w:val="da-DK" w:eastAsia="da-DK"/>
              </w:rPr>
              <w:t>2 ml</w:t>
            </w:r>
          </w:p>
        </w:tc>
        <w:tc>
          <w:tcPr>
            <w:tcW w:w="2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B50A66" w14:textId="77777777" w:rsidR="00454653" w:rsidRDefault="00847FE3" w:rsidP="00DB5A91">
            <w:pPr>
              <w:tabs>
                <w:tab w:val="clear" w:pos="567"/>
              </w:tabs>
              <w:spacing w:before="100" w:beforeAutospacing="1" w:after="75" w:line="240" w:lineRule="auto"/>
              <w:rPr>
                <w:color w:val="000000"/>
                <w:szCs w:val="22"/>
                <w:lang w:val="da-DK" w:eastAsia="da-DK"/>
              </w:rPr>
            </w:pPr>
            <w:r>
              <w:rPr>
                <w:color w:val="000000"/>
                <w:szCs w:val="22"/>
                <w:lang w:val="da-DK" w:eastAsia="da-DK"/>
              </w:rPr>
              <w:t>0,</w:t>
            </w:r>
            <w:r w:rsidR="00454653">
              <w:rPr>
                <w:color w:val="000000"/>
                <w:szCs w:val="22"/>
                <w:lang w:val="da-DK" w:eastAsia="da-DK"/>
              </w:rPr>
              <w:t>2 ml</w:t>
            </w:r>
          </w:p>
        </w:tc>
      </w:tr>
      <w:tr w:rsidR="002A3D49" w14:paraId="292538D3" w14:textId="77777777" w:rsidTr="002A00FF">
        <w:trPr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9974D0" w14:textId="77777777" w:rsidR="00454653" w:rsidRDefault="00454653" w:rsidP="00DB5A91">
            <w:pPr>
              <w:tabs>
                <w:tab w:val="clear" w:pos="567"/>
              </w:tabs>
              <w:spacing w:before="100" w:beforeAutospacing="1" w:after="75" w:line="240" w:lineRule="auto"/>
              <w:rPr>
                <w:color w:val="000000"/>
                <w:szCs w:val="22"/>
                <w:lang w:val="da-DK" w:eastAsia="da-DK"/>
              </w:rPr>
            </w:pPr>
            <w:r>
              <w:rPr>
                <w:color w:val="000000"/>
                <w:szCs w:val="22"/>
                <w:lang w:val="da-DK" w:eastAsia="da-DK"/>
              </w:rPr>
              <w:t>1 g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23140B" w14:textId="77777777" w:rsidR="00454653" w:rsidRDefault="00454653" w:rsidP="00DB5A91">
            <w:pPr>
              <w:tabs>
                <w:tab w:val="clear" w:pos="567"/>
              </w:tabs>
              <w:spacing w:before="100" w:beforeAutospacing="1" w:after="75" w:line="240" w:lineRule="auto"/>
              <w:rPr>
                <w:color w:val="000000"/>
                <w:szCs w:val="22"/>
                <w:lang w:val="da-DK" w:eastAsia="da-DK"/>
              </w:rPr>
            </w:pPr>
            <w:r>
              <w:rPr>
                <w:color w:val="000000"/>
                <w:szCs w:val="22"/>
                <w:lang w:val="da-DK" w:eastAsia="da-DK"/>
              </w:rPr>
              <w:t>4 ml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C4EAF2" w14:textId="77777777" w:rsidR="00454653" w:rsidRDefault="00454653" w:rsidP="00DB5A91">
            <w:pPr>
              <w:tabs>
                <w:tab w:val="clear" w:pos="567"/>
              </w:tabs>
              <w:spacing w:before="100" w:beforeAutospacing="1" w:after="75" w:line="240" w:lineRule="auto"/>
              <w:rPr>
                <w:color w:val="000000"/>
                <w:szCs w:val="22"/>
                <w:lang w:val="da-DK" w:eastAsia="da-DK"/>
              </w:rPr>
            </w:pPr>
            <w:r>
              <w:rPr>
                <w:color w:val="000000"/>
                <w:szCs w:val="22"/>
                <w:lang w:val="da-DK" w:eastAsia="da-DK"/>
              </w:rPr>
              <w:t>4</w:t>
            </w:r>
            <w:r w:rsidR="00847FE3">
              <w:rPr>
                <w:color w:val="000000"/>
                <w:szCs w:val="22"/>
                <w:lang w:val="da-DK" w:eastAsia="da-DK"/>
              </w:rPr>
              <w:t>,</w:t>
            </w:r>
            <w:r>
              <w:rPr>
                <w:color w:val="000000"/>
                <w:szCs w:val="22"/>
                <w:lang w:val="da-DK" w:eastAsia="da-DK"/>
              </w:rPr>
              <w:t>5 ml</w:t>
            </w:r>
          </w:p>
        </w:tc>
        <w:tc>
          <w:tcPr>
            <w:tcW w:w="2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7636E8" w14:textId="77777777" w:rsidR="00454653" w:rsidRDefault="00847FE3" w:rsidP="00DB5A91">
            <w:pPr>
              <w:tabs>
                <w:tab w:val="clear" w:pos="567"/>
              </w:tabs>
              <w:spacing w:before="100" w:beforeAutospacing="1" w:after="75" w:line="240" w:lineRule="auto"/>
              <w:rPr>
                <w:color w:val="000000"/>
                <w:szCs w:val="22"/>
                <w:lang w:val="da-DK" w:eastAsia="da-DK"/>
              </w:rPr>
            </w:pPr>
            <w:r>
              <w:rPr>
                <w:color w:val="000000"/>
                <w:szCs w:val="22"/>
                <w:lang w:val="da-DK" w:eastAsia="da-DK"/>
              </w:rPr>
              <w:t>0,</w:t>
            </w:r>
            <w:r w:rsidR="00454653">
              <w:rPr>
                <w:color w:val="000000"/>
                <w:szCs w:val="22"/>
                <w:lang w:val="da-DK" w:eastAsia="da-DK"/>
              </w:rPr>
              <w:t>5 ml</w:t>
            </w:r>
          </w:p>
        </w:tc>
      </w:tr>
    </w:tbl>
    <w:p w14:paraId="1401C8A0" w14:textId="77777777" w:rsidR="007E554A" w:rsidRDefault="007E554A" w:rsidP="00233E28">
      <w:pPr>
        <w:jc w:val="both"/>
        <w:rPr>
          <w:lang w:val="sk-SK"/>
        </w:rPr>
      </w:pPr>
    </w:p>
    <w:p w14:paraId="237A7107" w14:textId="77777777" w:rsidR="00FB4B91" w:rsidRDefault="00FB4B91" w:rsidP="00CF5377">
      <w:pPr>
        <w:jc w:val="both"/>
        <w:rPr>
          <w:b/>
          <w:u w:val="single"/>
          <w:lang w:val="sk-SK"/>
        </w:rPr>
      </w:pPr>
    </w:p>
    <w:p w14:paraId="2B4ED749" w14:textId="77777777" w:rsidR="00CF5377" w:rsidRDefault="00CF5377" w:rsidP="00CF5377">
      <w:pPr>
        <w:jc w:val="both"/>
        <w:rPr>
          <w:b/>
          <w:u w:val="single"/>
          <w:lang w:val="sk-SK"/>
        </w:rPr>
      </w:pPr>
      <w:r w:rsidRPr="00133E82">
        <w:rPr>
          <w:b/>
          <w:u w:val="single"/>
          <w:lang w:val="sk-SK"/>
        </w:rPr>
        <w:t>Intra</w:t>
      </w:r>
      <w:r>
        <w:rPr>
          <w:b/>
          <w:u w:val="single"/>
          <w:lang w:val="sk-SK"/>
        </w:rPr>
        <w:t>venóz</w:t>
      </w:r>
      <w:r w:rsidRPr="00133E82">
        <w:rPr>
          <w:b/>
          <w:u w:val="single"/>
          <w:lang w:val="sk-SK"/>
        </w:rPr>
        <w:t>na</w:t>
      </w:r>
      <w:r>
        <w:rPr>
          <w:b/>
          <w:u w:val="single"/>
          <w:lang w:val="sk-SK"/>
        </w:rPr>
        <w:t xml:space="preserve"> injekcia</w:t>
      </w:r>
    </w:p>
    <w:p w14:paraId="0AA5D8C6" w14:textId="77777777" w:rsidR="00CF5377" w:rsidRPr="00AF5BA9" w:rsidRDefault="00CF5377" w:rsidP="00CF5377">
      <w:pPr>
        <w:jc w:val="both"/>
        <w:rPr>
          <w:lang w:val="sk-SK"/>
        </w:rPr>
      </w:pPr>
      <w:proofErr w:type="spellStart"/>
      <w:r w:rsidRPr="00AF5BA9">
        <w:rPr>
          <w:lang w:val="sk-SK"/>
        </w:rPr>
        <w:t>Cefotaxim</w:t>
      </w:r>
      <w:proofErr w:type="spellEnd"/>
      <w:r w:rsidRPr="00AF5BA9">
        <w:rPr>
          <w:lang w:val="sk-SK"/>
        </w:rPr>
        <w:t xml:space="preserve"> </w:t>
      </w:r>
      <w:proofErr w:type="spellStart"/>
      <w:r w:rsidRPr="00AF5BA9">
        <w:rPr>
          <w:lang w:val="sk-SK"/>
        </w:rPr>
        <w:t>Eberth</w:t>
      </w:r>
      <w:proofErr w:type="spellEnd"/>
      <w:r w:rsidRPr="00AF5BA9">
        <w:rPr>
          <w:lang w:val="sk-SK"/>
        </w:rPr>
        <w:t xml:space="preserve"> 0,5 g sa rozpustí v 2 ml vody na injekcie.</w:t>
      </w:r>
    </w:p>
    <w:p w14:paraId="1779E1D3" w14:textId="77777777" w:rsidR="00CF5377" w:rsidRDefault="00CF5377" w:rsidP="00CF5377">
      <w:pPr>
        <w:jc w:val="both"/>
        <w:rPr>
          <w:lang w:val="sk-SK"/>
        </w:rPr>
      </w:pPr>
      <w:proofErr w:type="spellStart"/>
      <w:r w:rsidRPr="00AF5BA9">
        <w:rPr>
          <w:lang w:val="sk-SK"/>
        </w:rPr>
        <w:t>Cefotaxim</w:t>
      </w:r>
      <w:proofErr w:type="spellEnd"/>
      <w:r w:rsidRPr="00AF5BA9">
        <w:rPr>
          <w:lang w:val="sk-SK"/>
        </w:rPr>
        <w:t xml:space="preserve"> </w:t>
      </w:r>
      <w:proofErr w:type="spellStart"/>
      <w:r w:rsidRPr="00AF5BA9">
        <w:rPr>
          <w:lang w:val="sk-SK"/>
        </w:rPr>
        <w:t>Eberth</w:t>
      </w:r>
      <w:proofErr w:type="spellEnd"/>
      <w:r w:rsidRPr="00AF5BA9">
        <w:rPr>
          <w:lang w:val="sk-SK"/>
        </w:rPr>
        <w:t xml:space="preserve"> 1 g sa rozpustí v 4 ml vody na injekcie.</w:t>
      </w:r>
    </w:p>
    <w:p w14:paraId="39D9107A" w14:textId="77777777" w:rsidR="00CF5377" w:rsidRPr="00A208E0" w:rsidRDefault="00CF5377" w:rsidP="00CF5377">
      <w:pPr>
        <w:jc w:val="both"/>
        <w:rPr>
          <w:lang w:val="sk-SK"/>
        </w:rPr>
      </w:pPr>
      <w:proofErr w:type="spellStart"/>
      <w:r w:rsidRPr="00A208E0">
        <w:rPr>
          <w:lang w:val="sk-SK"/>
        </w:rPr>
        <w:t>Cefotaxim</w:t>
      </w:r>
      <w:proofErr w:type="spellEnd"/>
      <w:r w:rsidRPr="00A208E0">
        <w:rPr>
          <w:lang w:val="sk-SK"/>
        </w:rPr>
        <w:t xml:space="preserve"> </w:t>
      </w:r>
      <w:proofErr w:type="spellStart"/>
      <w:r w:rsidRPr="00A208E0">
        <w:rPr>
          <w:lang w:val="sk-SK"/>
        </w:rPr>
        <w:t>Eberth</w:t>
      </w:r>
      <w:proofErr w:type="spellEnd"/>
      <w:r w:rsidRPr="00A208E0">
        <w:rPr>
          <w:lang w:val="sk-SK"/>
        </w:rPr>
        <w:t xml:space="preserve"> </w:t>
      </w:r>
      <w:r>
        <w:rPr>
          <w:lang w:val="sk-SK"/>
        </w:rPr>
        <w:t>2</w:t>
      </w:r>
      <w:r w:rsidRPr="00A208E0">
        <w:rPr>
          <w:lang w:val="sk-SK"/>
        </w:rPr>
        <w:t xml:space="preserve"> g</w:t>
      </w:r>
      <w:r>
        <w:rPr>
          <w:lang w:val="sk-SK"/>
        </w:rPr>
        <w:t xml:space="preserve"> sa rozpustí v 10 ml vody na injekcie.</w:t>
      </w:r>
    </w:p>
    <w:p w14:paraId="5759F455" w14:textId="77777777" w:rsidR="00CF5377" w:rsidRDefault="00CF5377" w:rsidP="00CF5377">
      <w:pPr>
        <w:jc w:val="both"/>
        <w:rPr>
          <w:lang w:val="sk-SK"/>
        </w:rPr>
      </w:pPr>
    </w:p>
    <w:p w14:paraId="30FF3CD1" w14:textId="476B4C47" w:rsidR="00CF5377" w:rsidRDefault="00CF5377" w:rsidP="00CF5377">
      <w:pPr>
        <w:tabs>
          <w:tab w:val="clear" w:pos="567"/>
        </w:tabs>
        <w:jc w:val="both"/>
        <w:rPr>
          <w:lang w:val="sk-SK"/>
        </w:rPr>
      </w:pPr>
      <w:r>
        <w:rPr>
          <w:lang w:val="sk-SK"/>
        </w:rPr>
        <w:t xml:space="preserve">Tabuľka </w:t>
      </w:r>
      <w:r w:rsidR="00D842CE">
        <w:rPr>
          <w:lang w:val="sk-SK"/>
        </w:rPr>
        <w:t xml:space="preserve">rekonštitúcie </w:t>
      </w:r>
      <w:r>
        <w:rPr>
          <w:lang w:val="sk-SK"/>
        </w:rPr>
        <w:t>/ použitia (</w:t>
      </w:r>
      <w:r w:rsidRPr="00391FEB">
        <w:rPr>
          <w:b/>
          <w:i/>
          <w:lang w:val="sk-SK"/>
        </w:rPr>
        <w:t>intra</w:t>
      </w:r>
      <w:r>
        <w:rPr>
          <w:b/>
          <w:i/>
          <w:lang w:val="sk-SK"/>
        </w:rPr>
        <w:t>venóz</w:t>
      </w:r>
      <w:r w:rsidRPr="00391FEB">
        <w:rPr>
          <w:b/>
          <w:i/>
          <w:lang w:val="sk-SK"/>
        </w:rPr>
        <w:t>na</w:t>
      </w:r>
      <w:r w:rsidRPr="00391FEB">
        <w:rPr>
          <w:i/>
          <w:lang w:val="sk-SK"/>
        </w:rPr>
        <w:t xml:space="preserve"> in</w:t>
      </w:r>
      <w:r>
        <w:rPr>
          <w:i/>
          <w:lang w:val="sk-SK"/>
        </w:rPr>
        <w:t>j</w:t>
      </w:r>
      <w:r w:rsidRPr="00391FEB">
        <w:rPr>
          <w:i/>
          <w:lang w:val="sk-SK"/>
        </w:rPr>
        <w:t>ekcia</w:t>
      </w:r>
      <w:r>
        <w:rPr>
          <w:lang w:val="sk-SK"/>
        </w:rPr>
        <w:t>):</w:t>
      </w:r>
    </w:p>
    <w:p w14:paraId="4ACCF2E5" w14:textId="77777777" w:rsidR="00CF5377" w:rsidRDefault="00CF5377" w:rsidP="00CF5377">
      <w:pPr>
        <w:ind w:left="460"/>
        <w:jc w:val="both"/>
        <w:rPr>
          <w:lang w:val="sk-SK"/>
        </w:rPr>
      </w:pPr>
      <w:r>
        <w:rPr>
          <w:lang w:val="sk-SK"/>
        </w:rPr>
        <w:t xml:space="preserve"> </w:t>
      </w:r>
    </w:p>
    <w:tbl>
      <w:tblPr>
        <w:tblW w:w="4664" w:type="pct"/>
        <w:tblCellSpacing w:w="0" w:type="dxa"/>
        <w:tblInd w:w="2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812"/>
        <w:gridCol w:w="2095"/>
        <w:gridCol w:w="2504"/>
        <w:gridCol w:w="2346"/>
      </w:tblGrid>
      <w:tr w:rsidR="00CF5377" w14:paraId="6C5248B0" w14:textId="77777777" w:rsidTr="0019471D">
        <w:trPr>
          <w:trHeight w:val="535"/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8F1448" w14:textId="77777777" w:rsidR="00CF5377" w:rsidRDefault="00CF5377" w:rsidP="0019471D">
            <w:pPr>
              <w:tabs>
                <w:tab w:val="clear" w:pos="567"/>
              </w:tabs>
              <w:spacing w:before="100" w:beforeAutospacing="1" w:after="75" w:line="240" w:lineRule="auto"/>
              <w:rPr>
                <w:color w:val="000000"/>
                <w:szCs w:val="22"/>
                <w:lang w:val="da-DK" w:eastAsia="da-DK"/>
              </w:rPr>
            </w:pPr>
            <w:r w:rsidRPr="000979CA">
              <w:rPr>
                <w:lang w:val="sk-SK"/>
              </w:rPr>
              <w:t>Veľkosť liekovky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09E6E0" w14:textId="77777777" w:rsidR="00CF5377" w:rsidRDefault="00CF5377" w:rsidP="0019471D">
            <w:pPr>
              <w:tabs>
                <w:tab w:val="clear" w:pos="567"/>
              </w:tabs>
              <w:spacing w:before="100" w:beforeAutospacing="1" w:after="75" w:line="240" w:lineRule="auto"/>
              <w:rPr>
                <w:color w:val="000000"/>
                <w:szCs w:val="22"/>
                <w:lang w:val="da-DK" w:eastAsia="da-DK"/>
              </w:rPr>
            </w:pPr>
            <w:r w:rsidRPr="000979CA">
              <w:rPr>
                <w:lang w:val="sk-SK"/>
              </w:rPr>
              <w:t>Pridané rozpúšťadlo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EAD53F" w14:textId="77777777" w:rsidR="00CF5377" w:rsidRDefault="00CF5377" w:rsidP="0019471D">
            <w:pPr>
              <w:rPr>
                <w:color w:val="000000"/>
                <w:szCs w:val="22"/>
                <w:lang w:val="da-DK" w:eastAsia="da-DK"/>
              </w:rPr>
            </w:pPr>
            <w:r w:rsidRPr="000979CA">
              <w:rPr>
                <w:lang w:val="sk-SK"/>
              </w:rPr>
              <w:t>Približný využiteľný objem</w:t>
            </w:r>
          </w:p>
        </w:tc>
        <w:tc>
          <w:tcPr>
            <w:tcW w:w="2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03C2BB" w14:textId="77777777" w:rsidR="00CF5377" w:rsidRDefault="00CF5377" w:rsidP="0019471D">
            <w:pPr>
              <w:tabs>
                <w:tab w:val="clear" w:pos="567"/>
              </w:tabs>
              <w:spacing w:before="100" w:beforeAutospacing="1" w:after="75" w:line="240" w:lineRule="auto"/>
              <w:rPr>
                <w:color w:val="000000"/>
                <w:szCs w:val="22"/>
                <w:lang w:val="da-DK" w:eastAsia="da-DK"/>
              </w:rPr>
            </w:pPr>
            <w:r w:rsidRPr="000979CA">
              <w:rPr>
                <w:lang w:val="sk-SK"/>
              </w:rPr>
              <w:t>Približné navýšenie objemu</w:t>
            </w:r>
          </w:p>
        </w:tc>
      </w:tr>
      <w:tr w:rsidR="00CF5377" w14:paraId="759F830B" w14:textId="77777777" w:rsidTr="0019471D">
        <w:trPr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BB7017" w14:textId="77777777" w:rsidR="00CF5377" w:rsidRDefault="00CF5377" w:rsidP="0019471D">
            <w:pPr>
              <w:tabs>
                <w:tab w:val="clear" w:pos="567"/>
              </w:tabs>
              <w:spacing w:before="100" w:beforeAutospacing="1" w:after="75" w:line="240" w:lineRule="auto"/>
              <w:rPr>
                <w:color w:val="000000"/>
                <w:szCs w:val="22"/>
                <w:lang w:val="da-DK" w:eastAsia="da-DK"/>
              </w:rPr>
            </w:pPr>
            <w:r>
              <w:rPr>
                <w:color w:val="000000"/>
                <w:szCs w:val="22"/>
                <w:lang w:val="da-DK" w:eastAsia="da-DK"/>
              </w:rPr>
              <w:t>500 mg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C7E86A" w14:textId="77777777" w:rsidR="00CF5377" w:rsidRDefault="00CF5377" w:rsidP="0019471D">
            <w:pPr>
              <w:tabs>
                <w:tab w:val="clear" w:pos="567"/>
              </w:tabs>
              <w:spacing w:before="100" w:beforeAutospacing="1" w:after="75" w:line="240" w:lineRule="auto"/>
              <w:rPr>
                <w:color w:val="000000"/>
                <w:szCs w:val="22"/>
                <w:lang w:val="da-DK" w:eastAsia="da-DK"/>
              </w:rPr>
            </w:pPr>
            <w:r>
              <w:rPr>
                <w:color w:val="000000"/>
                <w:szCs w:val="22"/>
                <w:lang w:val="da-DK" w:eastAsia="da-DK"/>
              </w:rPr>
              <w:t>2 ml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2BFDFB" w14:textId="77777777" w:rsidR="00CF5377" w:rsidRDefault="00CF5377" w:rsidP="0019471D">
            <w:pPr>
              <w:tabs>
                <w:tab w:val="clear" w:pos="567"/>
              </w:tabs>
              <w:spacing w:before="100" w:beforeAutospacing="1" w:after="75" w:line="240" w:lineRule="auto"/>
              <w:rPr>
                <w:color w:val="000000"/>
                <w:szCs w:val="22"/>
                <w:lang w:val="da-DK" w:eastAsia="da-DK"/>
              </w:rPr>
            </w:pPr>
            <w:r>
              <w:rPr>
                <w:color w:val="000000"/>
                <w:szCs w:val="22"/>
                <w:lang w:val="da-DK" w:eastAsia="da-DK"/>
              </w:rPr>
              <w:t>2,2 ml</w:t>
            </w:r>
          </w:p>
        </w:tc>
        <w:tc>
          <w:tcPr>
            <w:tcW w:w="2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BB46FF" w14:textId="77777777" w:rsidR="00CF5377" w:rsidRDefault="00CF5377" w:rsidP="0019471D">
            <w:pPr>
              <w:tabs>
                <w:tab w:val="clear" w:pos="567"/>
              </w:tabs>
              <w:spacing w:before="100" w:beforeAutospacing="1" w:after="75" w:line="240" w:lineRule="auto"/>
              <w:rPr>
                <w:color w:val="000000"/>
                <w:szCs w:val="22"/>
                <w:lang w:val="da-DK" w:eastAsia="da-DK"/>
              </w:rPr>
            </w:pPr>
            <w:r>
              <w:rPr>
                <w:color w:val="000000"/>
                <w:szCs w:val="22"/>
                <w:lang w:val="da-DK" w:eastAsia="da-DK"/>
              </w:rPr>
              <w:t>0,2 ml</w:t>
            </w:r>
          </w:p>
        </w:tc>
      </w:tr>
      <w:tr w:rsidR="00CF5377" w14:paraId="1781A544" w14:textId="77777777" w:rsidTr="0019471D">
        <w:trPr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73381B" w14:textId="77777777" w:rsidR="00CF5377" w:rsidRDefault="00CF5377" w:rsidP="0019471D">
            <w:pPr>
              <w:tabs>
                <w:tab w:val="clear" w:pos="567"/>
              </w:tabs>
              <w:spacing w:before="100" w:beforeAutospacing="1" w:after="75" w:line="240" w:lineRule="auto"/>
              <w:rPr>
                <w:color w:val="000000"/>
                <w:szCs w:val="22"/>
                <w:lang w:val="da-DK" w:eastAsia="da-DK"/>
              </w:rPr>
            </w:pPr>
            <w:r>
              <w:rPr>
                <w:color w:val="000000"/>
                <w:szCs w:val="22"/>
                <w:lang w:val="da-DK" w:eastAsia="da-DK"/>
              </w:rPr>
              <w:t>1 g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3C2811" w14:textId="77777777" w:rsidR="00CF5377" w:rsidRDefault="00CF5377" w:rsidP="0019471D">
            <w:pPr>
              <w:tabs>
                <w:tab w:val="clear" w:pos="567"/>
              </w:tabs>
              <w:spacing w:before="100" w:beforeAutospacing="1" w:after="75" w:line="240" w:lineRule="auto"/>
              <w:rPr>
                <w:color w:val="000000"/>
                <w:szCs w:val="22"/>
                <w:lang w:val="da-DK" w:eastAsia="da-DK"/>
              </w:rPr>
            </w:pPr>
            <w:r>
              <w:rPr>
                <w:color w:val="000000"/>
                <w:szCs w:val="22"/>
                <w:lang w:val="da-DK" w:eastAsia="da-DK"/>
              </w:rPr>
              <w:t>4 ml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DA0038" w14:textId="77777777" w:rsidR="00CF5377" w:rsidRDefault="00CF5377" w:rsidP="0019471D">
            <w:pPr>
              <w:tabs>
                <w:tab w:val="clear" w:pos="567"/>
              </w:tabs>
              <w:spacing w:before="100" w:beforeAutospacing="1" w:after="75" w:line="240" w:lineRule="auto"/>
              <w:rPr>
                <w:color w:val="000000"/>
                <w:szCs w:val="22"/>
                <w:lang w:val="da-DK" w:eastAsia="da-DK"/>
              </w:rPr>
            </w:pPr>
            <w:r>
              <w:rPr>
                <w:color w:val="000000"/>
                <w:szCs w:val="22"/>
                <w:lang w:val="da-DK" w:eastAsia="da-DK"/>
              </w:rPr>
              <w:t>4,5 ml</w:t>
            </w:r>
          </w:p>
        </w:tc>
        <w:tc>
          <w:tcPr>
            <w:tcW w:w="2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4761D9" w14:textId="77777777" w:rsidR="00CF5377" w:rsidRDefault="00CF5377" w:rsidP="0019471D">
            <w:pPr>
              <w:tabs>
                <w:tab w:val="clear" w:pos="567"/>
              </w:tabs>
              <w:spacing w:before="100" w:beforeAutospacing="1" w:after="75" w:line="240" w:lineRule="auto"/>
              <w:rPr>
                <w:color w:val="000000"/>
                <w:szCs w:val="22"/>
                <w:lang w:val="da-DK" w:eastAsia="da-DK"/>
              </w:rPr>
            </w:pPr>
            <w:r>
              <w:rPr>
                <w:color w:val="000000"/>
                <w:szCs w:val="22"/>
                <w:lang w:val="da-DK" w:eastAsia="da-DK"/>
              </w:rPr>
              <w:t>0,5 ml</w:t>
            </w:r>
          </w:p>
        </w:tc>
      </w:tr>
      <w:tr w:rsidR="00CF5377" w:rsidRPr="00D6668A" w14:paraId="7CB4D743" w14:textId="77777777" w:rsidTr="0019471D">
        <w:trPr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ADD69A" w14:textId="77777777" w:rsidR="00CF5377" w:rsidRPr="00D6668A" w:rsidRDefault="00CF5377" w:rsidP="0019471D">
            <w:pPr>
              <w:tabs>
                <w:tab w:val="clear" w:pos="567"/>
              </w:tabs>
              <w:spacing w:before="100" w:beforeAutospacing="1" w:after="75" w:line="240" w:lineRule="auto"/>
              <w:rPr>
                <w:color w:val="000000"/>
                <w:szCs w:val="22"/>
                <w:lang w:val="da-DK" w:eastAsia="da-DK"/>
              </w:rPr>
            </w:pPr>
            <w:r w:rsidRPr="00D6668A">
              <w:rPr>
                <w:color w:val="000000"/>
                <w:szCs w:val="22"/>
                <w:lang w:val="da-DK" w:eastAsia="da-DK"/>
              </w:rPr>
              <w:t>2 g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0EB4EE" w14:textId="77777777" w:rsidR="00CF5377" w:rsidRPr="00D6668A" w:rsidRDefault="00CF5377" w:rsidP="0019471D">
            <w:pPr>
              <w:tabs>
                <w:tab w:val="clear" w:pos="567"/>
              </w:tabs>
              <w:spacing w:before="100" w:beforeAutospacing="1" w:after="75" w:line="240" w:lineRule="auto"/>
              <w:rPr>
                <w:color w:val="000000"/>
                <w:szCs w:val="22"/>
                <w:lang w:val="da-DK" w:eastAsia="da-DK"/>
              </w:rPr>
            </w:pPr>
            <w:r w:rsidRPr="00D6668A">
              <w:rPr>
                <w:color w:val="000000"/>
                <w:szCs w:val="22"/>
                <w:lang w:val="da-DK" w:eastAsia="da-DK"/>
              </w:rPr>
              <w:t>10 ml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3FBFEB" w14:textId="77777777" w:rsidR="00CF5377" w:rsidRPr="00D6668A" w:rsidRDefault="00CF5377" w:rsidP="0019471D">
            <w:pPr>
              <w:tabs>
                <w:tab w:val="clear" w:pos="567"/>
              </w:tabs>
              <w:spacing w:before="100" w:beforeAutospacing="1" w:after="75" w:line="240" w:lineRule="auto"/>
              <w:rPr>
                <w:color w:val="000000"/>
                <w:szCs w:val="22"/>
                <w:lang w:val="da-DK" w:eastAsia="da-DK"/>
              </w:rPr>
            </w:pPr>
            <w:r w:rsidRPr="00D6668A">
              <w:rPr>
                <w:color w:val="000000"/>
                <w:szCs w:val="22"/>
                <w:lang w:val="da-DK" w:eastAsia="da-DK"/>
              </w:rPr>
              <w:t>11 ml</w:t>
            </w:r>
          </w:p>
        </w:tc>
        <w:tc>
          <w:tcPr>
            <w:tcW w:w="2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B2495A" w14:textId="77777777" w:rsidR="00CF5377" w:rsidRPr="00D6668A" w:rsidRDefault="00CF5377" w:rsidP="0019471D">
            <w:pPr>
              <w:tabs>
                <w:tab w:val="clear" w:pos="567"/>
              </w:tabs>
              <w:spacing w:before="100" w:beforeAutospacing="1" w:after="75" w:line="240" w:lineRule="auto"/>
              <w:rPr>
                <w:color w:val="000000"/>
                <w:szCs w:val="22"/>
                <w:lang w:val="da-DK" w:eastAsia="da-DK"/>
              </w:rPr>
            </w:pPr>
            <w:r w:rsidRPr="00D6668A">
              <w:rPr>
                <w:color w:val="000000"/>
                <w:szCs w:val="22"/>
                <w:lang w:val="da-DK" w:eastAsia="da-DK"/>
              </w:rPr>
              <w:t>1 ml</w:t>
            </w:r>
          </w:p>
        </w:tc>
      </w:tr>
    </w:tbl>
    <w:p w14:paraId="40B30FD0" w14:textId="77777777" w:rsidR="00CF5377" w:rsidRDefault="00CF5377" w:rsidP="00CF5377">
      <w:pPr>
        <w:jc w:val="both"/>
        <w:rPr>
          <w:lang w:val="sk-SK"/>
        </w:rPr>
      </w:pPr>
    </w:p>
    <w:p w14:paraId="30727CC0" w14:textId="77777777" w:rsidR="005D09ED" w:rsidRDefault="005D09ED" w:rsidP="003E3C22">
      <w:pPr>
        <w:ind w:left="460"/>
        <w:jc w:val="both"/>
        <w:rPr>
          <w:lang w:val="sk-SK"/>
        </w:rPr>
      </w:pPr>
    </w:p>
    <w:p w14:paraId="50B3086D" w14:textId="77777777" w:rsidR="003E3C22" w:rsidRDefault="003E3C22" w:rsidP="009F49A1">
      <w:pPr>
        <w:numPr>
          <w:ilvl w:val="12"/>
          <w:numId w:val="0"/>
        </w:numPr>
        <w:spacing w:line="240" w:lineRule="auto"/>
        <w:rPr>
          <w:i/>
          <w:u w:val="single"/>
          <w:lang w:val="sk-SK"/>
        </w:rPr>
      </w:pPr>
      <w:r w:rsidRPr="00CF5377">
        <w:rPr>
          <w:b/>
          <w:u w:val="single"/>
          <w:lang w:val="sk-SK"/>
        </w:rPr>
        <w:t>Intravenózna infúzia:</w:t>
      </w:r>
    </w:p>
    <w:p w14:paraId="7F572991" w14:textId="77777777" w:rsidR="003E3C22" w:rsidRDefault="003E3C22" w:rsidP="003E3C22">
      <w:pPr>
        <w:numPr>
          <w:ilvl w:val="12"/>
          <w:numId w:val="0"/>
        </w:numPr>
        <w:spacing w:line="240" w:lineRule="auto"/>
        <w:ind w:left="709"/>
        <w:rPr>
          <w:i/>
          <w:u w:val="single"/>
          <w:lang w:val="sk-SK"/>
        </w:rPr>
      </w:pPr>
    </w:p>
    <w:p w14:paraId="4DE29610" w14:textId="77777777" w:rsidR="003E3C22" w:rsidRPr="00EF79B0" w:rsidRDefault="003E3C22" w:rsidP="003E3C22">
      <w:pPr>
        <w:numPr>
          <w:ilvl w:val="12"/>
          <w:numId w:val="0"/>
        </w:numPr>
        <w:spacing w:line="240" w:lineRule="auto"/>
        <w:rPr>
          <w:b/>
          <w:bCs/>
          <w:i/>
          <w:iCs/>
          <w:lang w:val="sk-SK"/>
        </w:rPr>
      </w:pPr>
      <w:proofErr w:type="spellStart"/>
      <w:r>
        <w:rPr>
          <w:i/>
          <w:iCs/>
          <w:lang w:val="sk-SK"/>
        </w:rPr>
        <w:t>Cefotaxim</w:t>
      </w:r>
      <w:proofErr w:type="spellEnd"/>
      <w:r>
        <w:rPr>
          <w:i/>
          <w:iCs/>
          <w:lang w:val="sk-SK"/>
        </w:rPr>
        <w:t xml:space="preserve"> </w:t>
      </w:r>
      <w:proofErr w:type="spellStart"/>
      <w:r>
        <w:rPr>
          <w:i/>
          <w:iCs/>
          <w:lang w:val="sk-SK"/>
        </w:rPr>
        <w:t>Eberth</w:t>
      </w:r>
      <w:proofErr w:type="spellEnd"/>
      <w:r>
        <w:rPr>
          <w:i/>
          <w:iCs/>
          <w:lang w:val="sk-SK"/>
        </w:rPr>
        <w:t xml:space="preserve"> 1 g alebo 2 g: Príprava </w:t>
      </w:r>
      <w:r>
        <w:rPr>
          <w:b/>
          <w:bCs/>
          <w:i/>
          <w:iCs/>
          <w:lang w:val="sk-SK"/>
        </w:rPr>
        <w:t xml:space="preserve">rýchlej </w:t>
      </w:r>
      <w:r w:rsidRPr="00FB2AEB">
        <w:rPr>
          <w:i/>
          <w:iCs/>
          <w:lang w:val="sk-SK"/>
        </w:rPr>
        <w:t>intravenóznej infúzie</w:t>
      </w:r>
    </w:p>
    <w:p w14:paraId="08A3BD5B" w14:textId="1175BAA4" w:rsidR="003E3C22" w:rsidRDefault="003E3C22" w:rsidP="00546C28">
      <w:pPr>
        <w:numPr>
          <w:ilvl w:val="12"/>
          <w:numId w:val="0"/>
        </w:numPr>
        <w:tabs>
          <w:tab w:val="clear" w:pos="567"/>
        </w:tabs>
        <w:spacing w:after="100" w:afterAutospacing="1"/>
        <w:rPr>
          <w:lang w:val="sk-SK"/>
        </w:rPr>
      </w:pPr>
      <w:r w:rsidRPr="004229C9">
        <w:rPr>
          <w:lang w:val="sk-SK"/>
        </w:rPr>
        <w:t>Pre</w:t>
      </w:r>
      <w:r w:rsidRPr="004229C9">
        <w:rPr>
          <w:i/>
          <w:lang w:val="sk-SK"/>
        </w:rPr>
        <w:t xml:space="preserve"> rýchlu intravenóznu infúziu</w:t>
      </w:r>
      <w:r w:rsidRPr="004229C9">
        <w:rPr>
          <w:lang w:val="sk-SK"/>
        </w:rPr>
        <w:t xml:space="preserve"> </w:t>
      </w:r>
      <w:r>
        <w:rPr>
          <w:lang w:val="sk-SK"/>
        </w:rPr>
        <w:t xml:space="preserve">sa </w:t>
      </w:r>
      <w:r w:rsidR="00CD220F">
        <w:rPr>
          <w:lang w:val="sk-SK"/>
        </w:rPr>
        <w:t xml:space="preserve">má použiť </w:t>
      </w:r>
      <w:r w:rsidRPr="004229C9">
        <w:rPr>
          <w:lang w:val="sk-SK"/>
        </w:rPr>
        <w:t xml:space="preserve">1 g alebo 2 g </w:t>
      </w:r>
      <w:proofErr w:type="spellStart"/>
      <w:r w:rsidRPr="004229C9">
        <w:rPr>
          <w:lang w:val="sk-SK"/>
        </w:rPr>
        <w:t>Cefotaxim</w:t>
      </w:r>
      <w:r>
        <w:rPr>
          <w:lang w:val="sk-SK"/>
        </w:rPr>
        <w:t>u</w:t>
      </w:r>
      <w:proofErr w:type="spellEnd"/>
      <w:r w:rsidRPr="004229C9">
        <w:rPr>
          <w:lang w:val="sk-SK"/>
        </w:rPr>
        <w:t xml:space="preserve"> </w:t>
      </w:r>
      <w:proofErr w:type="spellStart"/>
      <w:r w:rsidRPr="004229C9">
        <w:rPr>
          <w:lang w:val="sk-SK"/>
        </w:rPr>
        <w:t>Eberth</w:t>
      </w:r>
      <w:proofErr w:type="spellEnd"/>
      <w:r w:rsidRPr="004229C9">
        <w:rPr>
          <w:lang w:val="sk-SK"/>
        </w:rPr>
        <w:t xml:space="preserve"> </w:t>
      </w:r>
      <w:r>
        <w:rPr>
          <w:lang w:val="sk-SK"/>
        </w:rPr>
        <w:t>r</w:t>
      </w:r>
      <w:r w:rsidRPr="004229C9">
        <w:rPr>
          <w:lang w:val="sk-SK"/>
        </w:rPr>
        <w:t>ozpust</w:t>
      </w:r>
      <w:r w:rsidR="00CD220F">
        <w:rPr>
          <w:lang w:val="sk-SK"/>
        </w:rPr>
        <w:t>eného</w:t>
      </w:r>
      <w:r w:rsidRPr="004229C9">
        <w:rPr>
          <w:lang w:val="sk-SK"/>
        </w:rPr>
        <w:t xml:space="preserve"> v 40 – 50 ml vody na injekci</w:t>
      </w:r>
      <w:r w:rsidR="00567140">
        <w:rPr>
          <w:lang w:val="sk-SK"/>
        </w:rPr>
        <w:t>e</w:t>
      </w:r>
      <w:r w:rsidRPr="004229C9">
        <w:rPr>
          <w:lang w:val="sk-SK"/>
        </w:rPr>
        <w:t xml:space="preserve"> alebo v inom kompatibilnom roztoku </w:t>
      </w:r>
      <w:r>
        <w:rPr>
          <w:lang w:val="sk-SK"/>
        </w:rPr>
        <w:t>na infúziu ako je uvedené vyššie</w:t>
      </w:r>
      <w:r w:rsidRPr="004229C9">
        <w:rPr>
          <w:lang w:val="sk-SK"/>
        </w:rPr>
        <w:t>.</w:t>
      </w:r>
    </w:p>
    <w:p w14:paraId="0AE81870" w14:textId="65B10215" w:rsidR="003E3C22" w:rsidRDefault="003E3C22" w:rsidP="003E3C2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  <w:r>
        <w:rPr>
          <w:lang w:val="sk-SK"/>
        </w:rPr>
        <w:t xml:space="preserve">Krok 1: Pridajte 15 ml roztoku chloridu sodného 9 mg/ml (0,9 %) </w:t>
      </w:r>
      <w:r w:rsidRPr="00EC4F35">
        <w:rPr>
          <w:lang w:val="sk-SK"/>
        </w:rPr>
        <w:t xml:space="preserve">alebo iného kompatibilného roztoku na infúziu do jednej liekovky </w:t>
      </w:r>
      <w:proofErr w:type="spellStart"/>
      <w:r w:rsidRPr="00EC4F35">
        <w:rPr>
          <w:lang w:val="sk-SK"/>
        </w:rPr>
        <w:t>Cefotaxim</w:t>
      </w:r>
      <w:proofErr w:type="spellEnd"/>
      <w:r w:rsidRPr="00EC4F35">
        <w:rPr>
          <w:lang w:val="sk-SK"/>
        </w:rPr>
        <w:t xml:space="preserve"> </w:t>
      </w:r>
      <w:proofErr w:type="spellStart"/>
      <w:r w:rsidRPr="00EC4F35">
        <w:rPr>
          <w:lang w:val="sk-SK"/>
        </w:rPr>
        <w:t>Eberth</w:t>
      </w:r>
      <w:proofErr w:type="spellEnd"/>
      <w:r w:rsidRPr="00EC4F35">
        <w:rPr>
          <w:lang w:val="sk-SK"/>
        </w:rPr>
        <w:t xml:space="preserve"> 1 g</w:t>
      </w:r>
      <w:r>
        <w:rPr>
          <w:lang w:val="sk-SK"/>
        </w:rPr>
        <w:t>,</w:t>
      </w:r>
      <w:r w:rsidRPr="00EC4F35">
        <w:rPr>
          <w:lang w:val="sk-SK"/>
        </w:rPr>
        <w:t xml:space="preserve"> </w:t>
      </w:r>
      <w:r>
        <w:rPr>
          <w:lang w:val="sk-SK"/>
        </w:rPr>
        <w:t>čím vznikne</w:t>
      </w:r>
      <w:r w:rsidRPr="00EC4F35">
        <w:rPr>
          <w:lang w:val="sk-SK"/>
        </w:rPr>
        <w:t xml:space="preserve"> koncentrácia </w:t>
      </w:r>
      <w:r>
        <w:rPr>
          <w:lang w:val="sk-SK"/>
        </w:rPr>
        <w:t>64,9</w:t>
      </w:r>
      <w:r w:rsidRPr="00EC4F35">
        <w:rPr>
          <w:lang w:val="sk-SK"/>
        </w:rPr>
        <w:t xml:space="preserve"> mg/ml.</w:t>
      </w:r>
    </w:p>
    <w:p w14:paraId="492220FC" w14:textId="0FB3000C" w:rsidR="003E3C22" w:rsidRDefault="003E3C22" w:rsidP="003E3C2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  <w:r>
        <w:rPr>
          <w:lang w:val="sk-SK"/>
        </w:rPr>
        <w:t xml:space="preserve">Krok 2: </w:t>
      </w:r>
      <w:r w:rsidRPr="00EC4F35">
        <w:rPr>
          <w:lang w:val="sk-SK"/>
        </w:rPr>
        <w:t>Pretrepávaj</w:t>
      </w:r>
      <w:r>
        <w:rPr>
          <w:lang w:val="sk-SK"/>
        </w:rPr>
        <w:t>te</w:t>
      </w:r>
      <w:r w:rsidRPr="00EC4F35">
        <w:rPr>
          <w:lang w:val="sk-SK"/>
        </w:rPr>
        <w:t xml:space="preserve"> liekovk</w:t>
      </w:r>
      <w:r>
        <w:rPr>
          <w:lang w:val="sk-SK"/>
        </w:rPr>
        <w:t>u</w:t>
      </w:r>
      <w:r w:rsidRPr="00EC4F35">
        <w:rPr>
          <w:lang w:val="sk-SK"/>
        </w:rPr>
        <w:t>, až kým sa všetok prášok nerozpustí.</w:t>
      </w:r>
      <w:r>
        <w:rPr>
          <w:lang w:val="sk-SK"/>
        </w:rPr>
        <w:br/>
        <w:t xml:space="preserve">Krok 3: </w:t>
      </w:r>
      <w:r w:rsidRPr="00EC4F35">
        <w:rPr>
          <w:lang w:val="sk-SK"/>
        </w:rPr>
        <w:t>Odober</w:t>
      </w:r>
      <w:r>
        <w:rPr>
          <w:lang w:val="sk-SK"/>
        </w:rPr>
        <w:t>te</w:t>
      </w:r>
      <w:r w:rsidRPr="00EC4F35">
        <w:rPr>
          <w:lang w:val="sk-SK"/>
        </w:rPr>
        <w:t xml:space="preserve"> vypočítan</w:t>
      </w:r>
      <w:r w:rsidR="00811800">
        <w:rPr>
          <w:lang w:val="sk-SK"/>
        </w:rPr>
        <w:t>é</w:t>
      </w:r>
      <w:r w:rsidRPr="00EC4F35">
        <w:rPr>
          <w:lang w:val="sk-SK"/>
        </w:rPr>
        <w:t xml:space="preserve"> </w:t>
      </w:r>
      <w:r w:rsidR="00811800">
        <w:rPr>
          <w:lang w:val="sk-SK"/>
        </w:rPr>
        <w:t>množstvo</w:t>
      </w:r>
      <w:r w:rsidRPr="00AB350B">
        <w:rPr>
          <w:lang w:val="sk-SK"/>
        </w:rPr>
        <w:t xml:space="preserve"> (</w:t>
      </w:r>
      <w:r w:rsidRPr="00A7328C">
        <w:rPr>
          <w:b/>
          <w:bCs/>
          <w:lang w:val="sk-SK"/>
        </w:rPr>
        <w:t xml:space="preserve">pozri </w:t>
      </w:r>
      <w:r>
        <w:rPr>
          <w:b/>
          <w:bCs/>
          <w:lang w:val="sk-SK"/>
        </w:rPr>
        <w:t>časť</w:t>
      </w:r>
      <w:r w:rsidRPr="00A7328C">
        <w:rPr>
          <w:b/>
          <w:bCs/>
          <w:lang w:val="sk-SK"/>
        </w:rPr>
        <w:t xml:space="preserve"> 4.2</w:t>
      </w:r>
      <w:r w:rsidRPr="00EC4F35">
        <w:rPr>
          <w:lang w:val="sk-SK"/>
        </w:rPr>
        <w:t xml:space="preserve">) pomocou injekčnej striekačky a ihly a zrieďte ďalej </w:t>
      </w:r>
      <w:r>
        <w:rPr>
          <w:lang w:val="sk-SK"/>
        </w:rPr>
        <w:t>na</w:t>
      </w:r>
      <w:r w:rsidRPr="00EC4F35">
        <w:rPr>
          <w:lang w:val="sk-SK"/>
        </w:rPr>
        <w:t xml:space="preserve"> 40</w:t>
      </w:r>
      <w:r>
        <w:rPr>
          <w:lang w:val="sk-SK"/>
        </w:rPr>
        <w:t xml:space="preserve"> </w:t>
      </w:r>
      <w:r w:rsidRPr="00EC4F35">
        <w:rPr>
          <w:lang w:val="sk-SK"/>
        </w:rPr>
        <w:t>-</w:t>
      </w:r>
      <w:r>
        <w:rPr>
          <w:lang w:val="sk-SK"/>
        </w:rPr>
        <w:t xml:space="preserve"> </w:t>
      </w:r>
      <w:r w:rsidRPr="00EC4F35">
        <w:rPr>
          <w:lang w:val="sk-SK"/>
        </w:rPr>
        <w:t>50 ml s roztokom chloridu sodného 9 mg/ml (0,9</w:t>
      </w:r>
      <w:r>
        <w:rPr>
          <w:lang w:val="sk-SK"/>
        </w:rPr>
        <w:t xml:space="preserve"> </w:t>
      </w:r>
      <w:r w:rsidRPr="00EC4F35">
        <w:rPr>
          <w:lang w:val="sk-SK"/>
        </w:rPr>
        <w:t xml:space="preserve">%) alebo </w:t>
      </w:r>
      <w:r>
        <w:rPr>
          <w:lang w:val="sk-SK"/>
        </w:rPr>
        <w:t xml:space="preserve">s </w:t>
      </w:r>
      <w:r w:rsidRPr="00EC4F35">
        <w:rPr>
          <w:lang w:val="sk-SK"/>
        </w:rPr>
        <w:t xml:space="preserve">iným </w:t>
      </w:r>
      <w:r>
        <w:rPr>
          <w:lang w:val="sk-SK"/>
        </w:rPr>
        <w:t>kompatibilným infúznym roztokom, čím vznikne koncentrácia 25 mg - 20 mg/ml.</w:t>
      </w:r>
    </w:p>
    <w:p w14:paraId="3D583CF0" w14:textId="77777777" w:rsidR="00D842CE" w:rsidRDefault="00D842CE" w:rsidP="003E3C2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14:paraId="7D269169" w14:textId="77777777" w:rsidR="00217108" w:rsidRPr="00217108" w:rsidRDefault="00217108" w:rsidP="00217108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  <w:r w:rsidRPr="00217108">
        <w:rPr>
          <w:lang w:val="sk-SK"/>
        </w:rPr>
        <w:t xml:space="preserve">Krok 1: Pridajte 30 ml roztoku chloridu sodného 9 mg/ml (0,9 %) alebo iného kompatibilného roztoku na infúziu do jednej liekovky </w:t>
      </w:r>
      <w:proofErr w:type="spellStart"/>
      <w:r w:rsidRPr="00217108">
        <w:rPr>
          <w:lang w:val="sk-SK"/>
        </w:rPr>
        <w:t>Cefotaxim</w:t>
      </w:r>
      <w:proofErr w:type="spellEnd"/>
      <w:r w:rsidRPr="00217108">
        <w:rPr>
          <w:lang w:val="sk-SK"/>
        </w:rPr>
        <w:t xml:space="preserve"> </w:t>
      </w:r>
      <w:proofErr w:type="spellStart"/>
      <w:r w:rsidRPr="00217108">
        <w:rPr>
          <w:lang w:val="sk-SK"/>
        </w:rPr>
        <w:t>Eberth</w:t>
      </w:r>
      <w:proofErr w:type="spellEnd"/>
      <w:r w:rsidRPr="00217108">
        <w:rPr>
          <w:lang w:val="sk-SK"/>
        </w:rPr>
        <w:t xml:space="preserve"> 2 g, čím vznikne koncentrácia 64,9 mg/ml.</w:t>
      </w:r>
      <w:r w:rsidRPr="00217108">
        <w:rPr>
          <w:lang w:val="sk-SK"/>
        </w:rPr>
        <w:br/>
        <w:t>Krok 2: Pretrepávajte liekovku, až kým sa všetok prášok nerozpustí.</w:t>
      </w:r>
    </w:p>
    <w:p w14:paraId="4BA55B43" w14:textId="0FE1B169" w:rsidR="00D842CE" w:rsidRDefault="00217108" w:rsidP="00217108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  <w:r w:rsidRPr="00217108">
        <w:rPr>
          <w:lang w:val="sk-SK"/>
        </w:rPr>
        <w:t xml:space="preserve">Krok 3: Odoberte </w:t>
      </w:r>
      <w:r w:rsidRPr="00AB350B">
        <w:rPr>
          <w:lang w:val="sk-SK"/>
        </w:rPr>
        <w:t>vypočítan</w:t>
      </w:r>
      <w:r w:rsidR="00811800">
        <w:rPr>
          <w:lang w:val="sk-SK"/>
        </w:rPr>
        <w:t>é</w:t>
      </w:r>
      <w:r w:rsidRPr="00AB350B">
        <w:rPr>
          <w:lang w:val="sk-SK"/>
        </w:rPr>
        <w:t xml:space="preserve"> </w:t>
      </w:r>
      <w:r w:rsidR="00811800">
        <w:rPr>
          <w:lang w:val="sk-SK"/>
        </w:rPr>
        <w:t>množstvo</w:t>
      </w:r>
      <w:r w:rsidRPr="00AB350B">
        <w:rPr>
          <w:lang w:val="sk-SK"/>
        </w:rPr>
        <w:t xml:space="preserve"> </w:t>
      </w:r>
      <w:r w:rsidRPr="00217108">
        <w:rPr>
          <w:lang w:val="sk-SK"/>
        </w:rPr>
        <w:t>(</w:t>
      </w:r>
      <w:r w:rsidRPr="00217108">
        <w:rPr>
          <w:b/>
          <w:lang w:val="sk-SK"/>
        </w:rPr>
        <w:t>pozri časť 4.2</w:t>
      </w:r>
      <w:r w:rsidRPr="00217108">
        <w:rPr>
          <w:lang w:val="sk-SK"/>
        </w:rPr>
        <w:t>) pomocou injekčnej striekačky a ihly a zrieďte ďalej na 40 - 50 ml s roztokom chloridu sodného 9 mg/ml (0,9 %) alebo s iným kompatibilným infúznym roztokom, čím vznikne koncentrácia 50 mg - 40 mg/ml.</w:t>
      </w:r>
    </w:p>
    <w:p w14:paraId="21AAE565" w14:textId="77777777" w:rsidR="003E3C22" w:rsidRDefault="003E3C22" w:rsidP="003E3C2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14:paraId="342F152E" w14:textId="77777777" w:rsidR="00E309F0" w:rsidRPr="00233E28" w:rsidRDefault="00E309F0" w:rsidP="00E309F0">
      <w:pPr>
        <w:pStyle w:val="Normlnywebov"/>
        <w:spacing w:before="0" w:beforeAutospacing="0" w:after="0" w:afterAutospacing="0"/>
        <w:outlineLvl w:val="0"/>
        <w:rPr>
          <w:rFonts w:ascii="Times New Roman" w:hAnsi="Times New Roman" w:cs="Times New Roman"/>
          <w:i/>
          <w:sz w:val="22"/>
          <w:u w:val="single"/>
          <w:lang w:val="sk-SK"/>
        </w:rPr>
      </w:pPr>
      <w:r w:rsidRPr="00233E28">
        <w:rPr>
          <w:rFonts w:ascii="Times New Roman" w:hAnsi="Times New Roman" w:cs="Times New Roman"/>
          <w:i/>
          <w:sz w:val="22"/>
          <w:u w:val="single"/>
          <w:lang w:val="sk-SK"/>
        </w:rPr>
        <w:t xml:space="preserve">Použitie u </w:t>
      </w:r>
      <w:r w:rsidRPr="00233E28">
        <w:rPr>
          <w:rFonts w:ascii="Times New Roman" w:hAnsi="Times New Roman" w:cs="Times New Roman"/>
          <w:b/>
          <w:i/>
          <w:sz w:val="22"/>
          <w:u w:val="single"/>
          <w:lang w:val="sk-SK"/>
        </w:rPr>
        <w:t>detskej populácie</w:t>
      </w:r>
      <w:r w:rsidRPr="00233E28">
        <w:rPr>
          <w:rFonts w:ascii="Times New Roman" w:hAnsi="Times New Roman" w:cs="Times New Roman"/>
          <w:i/>
          <w:sz w:val="22"/>
          <w:u w:val="single"/>
          <w:lang w:val="sk-SK"/>
        </w:rPr>
        <w:t xml:space="preserve"> (intravenózna infúzia):</w:t>
      </w:r>
    </w:p>
    <w:p w14:paraId="0D4C561D" w14:textId="77777777" w:rsidR="00E309F0" w:rsidRPr="00EC4F35" w:rsidRDefault="00E309F0" w:rsidP="00E309F0">
      <w:pPr>
        <w:pStyle w:val="Normlnywebov"/>
        <w:spacing w:before="0" w:beforeAutospacing="0" w:after="0" w:afterAutospacing="0"/>
        <w:ind w:firstLine="540"/>
        <w:outlineLvl w:val="0"/>
        <w:rPr>
          <w:rFonts w:ascii="Times New Roman" w:hAnsi="Times New Roman" w:cs="Times New Roman"/>
          <w:i/>
          <w:sz w:val="22"/>
          <w:u w:val="single"/>
          <w:lang w:val="sk-SK"/>
        </w:rPr>
      </w:pPr>
    </w:p>
    <w:p w14:paraId="44904631" w14:textId="77777777" w:rsidR="00E309F0" w:rsidRDefault="00E309F0" w:rsidP="00E309F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  <w:r>
        <w:rPr>
          <w:lang w:val="sk-SK"/>
        </w:rPr>
        <w:t xml:space="preserve">1)  Pridajte 15 ml roztoku chloridu sodného 9 mg/ml (0,9 %) </w:t>
      </w:r>
      <w:r w:rsidRPr="00EC4F35">
        <w:rPr>
          <w:lang w:val="sk-SK"/>
        </w:rPr>
        <w:t xml:space="preserve">alebo iného kompatibilného </w:t>
      </w:r>
      <w:r>
        <w:rPr>
          <w:lang w:val="sk-SK"/>
        </w:rPr>
        <w:t xml:space="preserve">infúzneho </w:t>
      </w:r>
      <w:r w:rsidRPr="00EC4F35">
        <w:rPr>
          <w:lang w:val="sk-SK"/>
        </w:rPr>
        <w:t xml:space="preserve">roztoku do jednej liekovky </w:t>
      </w:r>
      <w:proofErr w:type="spellStart"/>
      <w:r w:rsidRPr="00EC4F35">
        <w:rPr>
          <w:lang w:val="sk-SK"/>
        </w:rPr>
        <w:t>Cefotaxim</w:t>
      </w:r>
      <w:proofErr w:type="spellEnd"/>
      <w:r w:rsidRPr="00EC4F35">
        <w:rPr>
          <w:lang w:val="sk-SK"/>
        </w:rPr>
        <w:t xml:space="preserve"> </w:t>
      </w:r>
      <w:proofErr w:type="spellStart"/>
      <w:r w:rsidRPr="00EC4F35">
        <w:rPr>
          <w:lang w:val="sk-SK"/>
        </w:rPr>
        <w:t>Eberth</w:t>
      </w:r>
      <w:proofErr w:type="spellEnd"/>
      <w:r w:rsidRPr="00EC4F35">
        <w:rPr>
          <w:lang w:val="sk-SK"/>
        </w:rPr>
        <w:t xml:space="preserve"> 1 g</w:t>
      </w:r>
      <w:r>
        <w:rPr>
          <w:lang w:val="sk-SK"/>
        </w:rPr>
        <w:t>,</w:t>
      </w:r>
      <w:r w:rsidRPr="00EC4F35">
        <w:rPr>
          <w:lang w:val="sk-SK"/>
        </w:rPr>
        <w:t xml:space="preserve"> </w:t>
      </w:r>
      <w:r>
        <w:rPr>
          <w:lang w:val="sk-SK"/>
        </w:rPr>
        <w:t>čím vznikne</w:t>
      </w:r>
      <w:r w:rsidRPr="00EC4F35">
        <w:rPr>
          <w:lang w:val="sk-SK"/>
        </w:rPr>
        <w:t xml:space="preserve"> koncentrácia </w:t>
      </w:r>
      <w:r>
        <w:rPr>
          <w:lang w:val="sk-SK"/>
        </w:rPr>
        <w:t>64,9</w:t>
      </w:r>
      <w:r w:rsidRPr="00EC4F35">
        <w:rPr>
          <w:lang w:val="sk-SK"/>
        </w:rPr>
        <w:t xml:space="preserve"> mg/ml.</w:t>
      </w:r>
    </w:p>
    <w:p w14:paraId="6DE18D5B" w14:textId="0EB1EDDF" w:rsidR="00E309F0" w:rsidRDefault="00E309F0" w:rsidP="00E309F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  <w:r>
        <w:rPr>
          <w:lang w:val="sk-SK"/>
        </w:rPr>
        <w:t>2)  Pretrepávajte</w:t>
      </w:r>
      <w:r w:rsidRPr="00EC4F35">
        <w:rPr>
          <w:lang w:val="sk-SK"/>
        </w:rPr>
        <w:t xml:space="preserve"> liekovk</w:t>
      </w:r>
      <w:r>
        <w:rPr>
          <w:lang w:val="sk-SK"/>
        </w:rPr>
        <w:t>u</w:t>
      </w:r>
      <w:r w:rsidRPr="00EC4F35">
        <w:rPr>
          <w:lang w:val="sk-SK"/>
        </w:rPr>
        <w:t>, až kým sa všetok prášok nerozpustí.</w:t>
      </w:r>
    </w:p>
    <w:p w14:paraId="63160B77" w14:textId="4BA9440B" w:rsidR="00E309F0" w:rsidRDefault="00E309F0" w:rsidP="00E309F0">
      <w:pPr>
        <w:pStyle w:val="Normlnywebov"/>
        <w:spacing w:before="0" w:beforeAutospacing="0" w:after="0" w:afterAutospacing="0"/>
        <w:jc w:val="both"/>
        <w:outlineLvl w:val="0"/>
        <w:rPr>
          <w:rFonts w:ascii="Times New Roman" w:hAnsi="Times New Roman" w:cs="Times New Roman"/>
          <w:sz w:val="22"/>
          <w:lang w:val="sk-SK"/>
        </w:rPr>
      </w:pPr>
      <w:r>
        <w:rPr>
          <w:rFonts w:ascii="Times New Roman" w:hAnsi="Times New Roman" w:cs="Times New Roman"/>
          <w:sz w:val="22"/>
          <w:lang w:val="sk-SK"/>
        </w:rPr>
        <w:t>3)  Odoberte</w:t>
      </w:r>
      <w:r w:rsidRPr="00EC4F35">
        <w:rPr>
          <w:rFonts w:ascii="Times New Roman" w:hAnsi="Times New Roman" w:cs="Times New Roman"/>
          <w:sz w:val="22"/>
          <w:lang w:val="sk-SK"/>
        </w:rPr>
        <w:t xml:space="preserve"> vypočítan</w:t>
      </w:r>
      <w:r w:rsidR="00811800">
        <w:rPr>
          <w:rFonts w:ascii="Times New Roman" w:hAnsi="Times New Roman" w:cs="Times New Roman"/>
          <w:sz w:val="22"/>
          <w:lang w:val="sk-SK"/>
        </w:rPr>
        <w:t>é</w:t>
      </w:r>
      <w:r w:rsidRPr="00EC4F35">
        <w:rPr>
          <w:rFonts w:ascii="Times New Roman" w:hAnsi="Times New Roman" w:cs="Times New Roman"/>
          <w:sz w:val="22"/>
          <w:lang w:val="sk-SK"/>
        </w:rPr>
        <w:t xml:space="preserve"> </w:t>
      </w:r>
      <w:r w:rsidR="00811800">
        <w:rPr>
          <w:rFonts w:ascii="Times New Roman" w:hAnsi="Times New Roman" w:cs="Times New Roman"/>
          <w:sz w:val="22"/>
          <w:lang w:val="sk-SK"/>
        </w:rPr>
        <w:t>množstvo</w:t>
      </w:r>
      <w:r w:rsidR="00811800" w:rsidRPr="00EC4F35">
        <w:rPr>
          <w:rFonts w:ascii="Times New Roman" w:hAnsi="Times New Roman" w:cs="Times New Roman"/>
          <w:sz w:val="22"/>
          <w:lang w:val="sk-SK"/>
        </w:rPr>
        <w:t xml:space="preserve"> </w:t>
      </w:r>
      <w:r w:rsidRPr="00EC4F35">
        <w:rPr>
          <w:rFonts w:ascii="Times New Roman" w:hAnsi="Times New Roman" w:cs="Times New Roman"/>
          <w:sz w:val="22"/>
          <w:lang w:val="sk-SK"/>
        </w:rPr>
        <w:t>(</w:t>
      </w:r>
      <w:r w:rsidRPr="00456424">
        <w:rPr>
          <w:rFonts w:ascii="Times New Roman" w:hAnsi="Times New Roman" w:cs="Times New Roman"/>
          <w:b/>
          <w:sz w:val="22"/>
          <w:lang w:val="sk-SK"/>
        </w:rPr>
        <w:t>pozri časť 4.2</w:t>
      </w:r>
      <w:r w:rsidRPr="00EC4F35">
        <w:rPr>
          <w:rFonts w:ascii="Times New Roman" w:hAnsi="Times New Roman" w:cs="Times New Roman"/>
          <w:sz w:val="22"/>
          <w:lang w:val="sk-SK"/>
        </w:rPr>
        <w:t>) pomocou injekčnej striekačky a ihly a zrieď</w:t>
      </w:r>
      <w:r>
        <w:rPr>
          <w:rFonts w:ascii="Times New Roman" w:hAnsi="Times New Roman" w:cs="Times New Roman"/>
          <w:sz w:val="22"/>
          <w:lang w:val="sk-SK"/>
        </w:rPr>
        <w:t>te</w:t>
      </w:r>
      <w:r w:rsidRPr="00EC4F35">
        <w:rPr>
          <w:rFonts w:ascii="Times New Roman" w:hAnsi="Times New Roman" w:cs="Times New Roman"/>
          <w:sz w:val="22"/>
          <w:lang w:val="sk-SK"/>
        </w:rPr>
        <w:t xml:space="preserve"> ďalej </w:t>
      </w:r>
      <w:r>
        <w:rPr>
          <w:rFonts w:ascii="Times New Roman" w:hAnsi="Times New Roman" w:cs="Times New Roman"/>
          <w:sz w:val="22"/>
          <w:lang w:val="sk-SK"/>
        </w:rPr>
        <w:t>na</w:t>
      </w:r>
      <w:r w:rsidRPr="00EC4F35">
        <w:rPr>
          <w:rFonts w:ascii="Times New Roman" w:hAnsi="Times New Roman" w:cs="Times New Roman"/>
          <w:sz w:val="22"/>
          <w:lang w:val="sk-SK"/>
        </w:rPr>
        <w:t xml:space="preserve"> 40</w:t>
      </w:r>
      <w:r>
        <w:rPr>
          <w:rFonts w:ascii="Times New Roman" w:hAnsi="Times New Roman" w:cs="Times New Roman"/>
          <w:sz w:val="22"/>
          <w:lang w:val="sk-SK"/>
        </w:rPr>
        <w:t xml:space="preserve"> </w:t>
      </w:r>
      <w:r w:rsidRPr="00EC4F35">
        <w:rPr>
          <w:rFonts w:ascii="Times New Roman" w:hAnsi="Times New Roman" w:cs="Times New Roman"/>
          <w:sz w:val="22"/>
          <w:lang w:val="sk-SK"/>
        </w:rPr>
        <w:t>-</w:t>
      </w:r>
      <w:r>
        <w:rPr>
          <w:rFonts w:ascii="Times New Roman" w:hAnsi="Times New Roman" w:cs="Times New Roman"/>
          <w:sz w:val="22"/>
          <w:lang w:val="sk-SK"/>
        </w:rPr>
        <w:t xml:space="preserve"> </w:t>
      </w:r>
      <w:r w:rsidRPr="00EC4F35">
        <w:rPr>
          <w:rFonts w:ascii="Times New Roman" w:hAnsi="Times New Roman" w:cs="Times New Roman"/>
          <w:sz w:val="22"/>
          <w:lang w:val="sk-SK"/>
        </w:rPr>
        <w:t>50 ml s roztokom chloridu sodného 9 mg/ml (0,9</w:t>
      </w:r>
      <w:r>
        <w:rPr>
          <w:rFonts w:ascii="Times New Roman" w:hAnsi="Times New Roman" w:cs="Times New Roman"/>
          <w:sz w:val="22"/>
          <w:lang w:val="sk-SK"/>
        </w:rPr>
        <w:t xml:space="preserve"> </w:t>
      </w:r>
      <w:r w:rsidRPr="00EC4F35">
        <w:rPr>
          <w:rFonts w:ascii="Times New Roman" w:hAnsi="Times New Roman" w:cs="Times New Roman"/>
          <w:sz w:val="22"/>
          <w:lang w:val="sk-SK"/>
        </w:rPr>
        <w:t>%) alebo</w:t>
      </w:r>
      <w:r>
        <w:rPr>
          <w:rFonts w:ascii="Times New Roman" w:hAnsi="Times New Roman" w:cs="Times New Roman"/>
          <w:sz w:val="22"/>
          <w:lang w:val="sk-SK"/>
        </w:rPr>
        <w:t xml:space="preserve"> s</w:t>
      </w:r>
      <w:r w:rsidRPr="00EC4F35">
        <w:rPr>
          <w:rFonts w:ascii="Times New Roman" w:hAnsi="Times New Roman" w:cs="Times New Roman"/>
          <w:sz w:val="22"/>
          <w:lang w:val="sk-SK"/>
        </w:rPr>
        <w:t xml:space="preserve"> iným kompatibilným </w:t>
      </w:r>
      <w:r>
        <w:rPr>
          <w:rFonts w:ascii="Times New Roman" w:hAnsi="Times New Roman" w:cs="Times New Roman"/>
          <w:sz w:val="22"/>
          <w:lang w:val="sk-SK"/>
        </w:rPr>
        <w:t>infúznym roztokom</w:t>
      </w:r>
      <w:r w:rsidRPr="00EC4F35">
        <w:rPr>
          <w:rFonts w:ascii="Times New Roman" w:hAnsi="Times New Roman" w:cs="Times New Roman"/>
          <w:sz w:val="22"/>
          <w:lang w:val="sk-SK"/>
        </w:rPr>
        <w:t>.</w:t>
      </w:r>
    </w:p>
    <w:p w14:paraId="5FC2C812" w14:textId="77777777" w:rsidR="00452069" w:rsidRDefault="00452069" w:rsidP="00E309F0">
      <w:pPr>
        <w:pStyle w:val="Normlnywebov"/>
        <w:spacing w:before="0" w:beforeAutospacing="0" w:after="0" w:afterAutospacing="0"/>
        <w:jc w:val="both"/>
        <w:outlineLvl w:val="0"/>
        <w:rPr>
          <w:rFonts w:ascii="Times New Roman" w:hAnsi="Times New Roman" w:cs="Times New Roman"/>
          <w:sz w:val="22"/>
          <w:lang w:val="sk-SK"/>
        </w:rPr>
      </w:pPr>
    </w:p>
    <w:p w14:paraId="4E8238CC" w14:textId="77777777" w:rsidR="00452069" w:rsidRPr="008D362F" w:rsidRDefault="00452069" w:rsidP="0045206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  <w:r w:rsidRPr="008D362F">
        <w:rPr>
          <w:lang w:val="sk-SK"/>
        </w:rPr>
        <w:t xml:space="preserve">1)  Pridajte </w:t>
      </w:r>
      <w:r>
        <w:rPr>
          <w:lang w:val="sk-SK"/>
        </w:rPr>
        <w:t>30</w:t>
      </w:r>
      <w:r w:rsidRPr="008D362F">
        <w:rPr>
          <w:lang w:val="sk-SK"/>
        </w:rPr>
        <w:t xml:space="preserve"> ml roztoku chloridu sodného 9 mg/ml (0,9 %) alebo iného kompatibilného infúzneho roztoku do jednej liekovky </w:t>
      </w:r>
      <w:proofErr w:type="spellStart"/>
      <w:r w:rsidRPr="008D362F">
        <w:rPr>
          <w:lang w:val="sk-SK"/>
        </w:rPr>
        <w:t>Cefotaxim</w:t>
      </w:r>
      <w:proofErr w:type="spellEnd"/>
      <w:r w:rsidRPr="008D362F">
        <w:rPr>
          <w:lang w:val="sk-SK"/>
        </w:rPr>
        <w:t xml:space="preserve"> </w:t>
      </w:r>
      <w:proofErr w:type="spellStart"/>
      <w:r w:rsidRPr="008D362F">
        <w:rPr>
          <w:lang w:val="sk-SK"/>
        </w:rPr>
        <w:t>Eberth</w:t>
      </w:r>
      <w:proofErr w:type="spellEnd"/>
      <w:r w:rsidRPr="008D362F">
        <w:rPr>
          <w:lang w:val="sk-SK"/>
        </w:rPr>
        <w:t xml:space="preserve"> </w:t>
      </w:r>
      <w:r>
        <w:rPr>
          <w:lang w:val="sk-SK"/>
        </w:rPr>
        <w:t>2</w:t>
      </w:r>
      <w:r w:rsidRPr="008D362F">
        <w:rPr>
          <w:lang w:val="sk-SK"/>
        </w:rPr>
        <w:t xml:space="preserve"> g, čím vznikne koncentrácia 64,9 mg/ml.</w:t>
      </w:r>
    </w:p>
    <w:p w14:paraId="74C9D747" w14:textId="77777777" w:rsidR="00452069" w:rsidRPr="008D362F" w:rsidRDefault="00452069" w:rsidP="0045206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  <w:r w:rsidRPr="008D362F">
        <w:rPr>
          <w:lang w:val="sk-SK"/>
        </w:rPr>
        <w:t>2)  Pretrepávajte liekovku, až kým sa všetok prášok nerozpustí.</w:t>
      </w:r>
    </w:p>
    <w:p w14:paraId="7E54B194" w14:textId="33149704" w:rsidR="00452069" w:rsidRPr="00452069" w:rsidRDefault="00452069" w:rsidP="00452069">
      <w:pPr>
        <w:pStyle w:val="Normlnywebov"/>
        <w:spacing w:before="0" w:beforeAutospacing="0" w:after="0" w:afterAutospacing="0"/>
        <w:jc w:val="both"/>
        <w:outlineLvl w:val="0"/>
        <w:rPr>
          <w:rFonts w:ascii="Times New Roman" w:hAnsi="Times New Roman" w:cs="Times New Roman"/>
          <w:sz w:val="22"/>
          <w:szCs w:val="22"/>
          <w:lang w:val="sk-SK"/>
        </w:rPr>
      </w:pPr>
      <w:r w:rsidRPr="00233E28">
        <w:rPr>
          <w:rFonts w:ascii="Times New Roman" w:hAnsi="Times New Roman" w:cs="Times New Roman"/>
          <w:sz w:val="22"/>
          <w:szCs w:val="22"/>
          <w:lang w:val="sk-SK"/>
        </w:rPr>
        <w:t>3)  Odoberte vypočítan</w:t>
      </w:r>
      <w:r w:rsidR="00811800">
        <w:rPr>
          <w:rFonts w:ascii="Times New Roman" w:hAnsi="Times New Roman" w:cs="Times New Roman"/>
          <w:sz w:val="22"/>
          <w:szCs w:val="22"/>
          <w:lang w:val="sk-SK"/>
        </w:rPr>
        <w:t>é</w:t>
      </w:r>
      <w:r w:rsidRPr="00233E28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811800">
        <w:rPr>
          <w:rFonts w:ascii="Times New Roman" w:hAnsi="Times New Roman" w:cs="Times New Roman"/>
          <w:sz w:val="22"/>
          <w:szCs w:val="22"/>
          <w:lang w:val="sk-SK"/>
        </w:rPr>
        <w:t>množstvo</w:t>
      </w:r>
      <w:r w:rsidR="00811800" w:rsidRPr="00AB350B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AB350B">
        <w:rPr>
          <w:rFonts w:ascii="Times New Roman" w:hAnsi="Times New Roman" w:cs="Times New Roman"/>
          <w:sz w:val="22"/>
          <w:szCs w:val="22"/>
          <w:lang w:val="sk-SK"/>
        </w:rPr>
        <w:t>(</w:t>
      </w:r>
      <w:r w:rsidRPr="00233E28">
        <w:rPr>
          <w:rFonts w:ascii="Times New Roman" w:hAnsi="Times New Roman" w:cs="Times New Roman"/>
          <w:b/>
          <w:sz w:val="22"/>
          <w:szCs w:val="22"/>
          <w:lang w:val="sk-SK"/>
        </w:rPr>
        <w:t>pozri časť 4.2</w:t>
      </w:r>
      <w:r w:rsidRPr="00233E28">
        <w:rPr>
          <w:rFonts w:ascii="Times New Roman" w:hAnsi="Times New Roman" w:cs="Times New Roman"/>
          <w:sz w:val="22"/>
          <w:szCs w:val="22"/>
          <w:lang w:val="sk-SK"/>
        </w:rPr>
        <w:t xml:space="preserve">) pomocou injekčnej striekačky a ihly a zrieďte ďalej </w:t>
      </w:r>
      <w:r w:rsidR="000D36FE">
        <w:rPr>
          <w:rFonts w:ascii="Times New Roman" w:hAnsi="Times New Roman" w:cs="Times New Roman"/>
          <w:sz w:val="22"/>
          <w:szCs w:val="22"/>
          <w:lang w:val="sk-SK"/>
        </w:rPr>
        <w:t>na</w:t>
      </w:r>
      <w:r w:rsidRPr="00233E28">
        <w:rPr>
          <w:rFonts w:ascii="Times New Roman" w:hAnsi="Times New Roman" w:cs="Times New Roman"/>
          <w:sz w:val="22"/>
          <w:szCs w:val="22"/>
          <w:lang w:val="sk-SK"/>
        </w:rPr>
        <w:t xml:space="preserve"> 40 - 50 ml s roztokom chloridu sodného 9 mg/ml (0,9 %) alebo s iným kompatibilným infúznym roztokom.</w:t>
      </w:r>
    </w:p>
    <w:p w14:paraId="122D8576" w14:textId="77777777" w:rsidR="00E309F0" w:rsidRDefault="00E309F0" w:rsidP="00780AD6">
      <w:pPr>
        <w:tabs>
          <w:tab w:val="clear" w:pos="567"/>
        </w:tabs>
        <w:jc w:val="both"/>
        <w:rPr>
          <w:lang w:val="sk-SK"/>
        </w:rPr>
      </w:pPr>
    </w:p>
    <w:p w14:paraId="7765BBBB" w14:textId="77777777" w:rsidR="00780AD6" w:rsidRDefault="00780AD6" w:rsidP="00780AD6">
      <w:pPr>
        <w:tabs>
          <w:tab w:val="clear" w:pos="567"/>
        </w:tabs>
        <w:jc w:val="both"/>
        <w:rPr>
          <w:lang w:val="sk-SK"/>
        </w:rPr>
      </w:pPr>
      <w:r>
        <w:rPr>
          <w:lang w:val="sk-SK"/>
        </w:rPr>
        <w:t xml:space="preserve">Tabuľka </w:t>
      </w:r>
      <w:r w:rsidR="00BA4953">
        <w:rPr>
          <w:lang w:val="sk-SK"/>
        </w:rPr>
        <w:t>riedenia</w:t>
      </w:r>
      <w:r w:rsidR="001F59D5">
        <w:rPr>
          <w:lang w:val="sk-SK"/>
        </w:rPr>
        <w:t xml:space="preserve"> (intravenózne podanie (</w:t>
      </w:r>
      <w:r w:rsidRPr="00233E28">
        <w:rPr>
          <w:b/>
          <w:i/>
          <w:lang w:val="sk-SK"/>
        </w:rPr>
        <w:t>rýchle</w:t>
      </w:r>
      <w:r w:rsidR="001F59D5">
        <w:rPr>
          <w:b/>
          <w:lang w:val="sk-SK"/>
        </w:rPr>
        <w:t>)</w:t>
      </w:r>
      <w:r w:rsidRPr="00621BC1">
        <w:rPr>
          <w:lang w:val="sk-SK"/>
        </w:rPr>
        <w:t>):</w:t>
      </w:r>
    </w:p>
    <w:p w14:paraId="14DFFA29" w14:textId="77777777" w:rsidR="00780AD6" w:rsidRPr="00B457BB" w:rsidRDefault="00780AD6" w:rsidP="00780AD6">
      <w:pPr>
        <w:jc w:val="both"/>
        <w:rPr>
          <w:lang w:val="sk-SK"/>
        </w:rPr>
      </w:pPr>
    </w:p>
    <w:tbl>
      <w:tblPr>
        <w:tblW w:w="8930" w:type="dxa"/>
        <w:tblInd w:w="25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ook w:val="01E0" w:firstRow="1" w:lastRow="1" w:firstColumn="1" w:lastColumn="1" w:noHBand="0" w:noVBand="0"/>
      </w:tblPr>
      <w:tblGrid>
        <w:gridCol w:w="1824"/>
        <w:gridCol w:w="2145"/>
        <w:gridCol w:w="2552"/>
        <w:gridCol w:w="2409"/>
      </w:tblGrid>
      <w:tr w:rsidR="00780AD6" w:rsidRPr="000979CA" w14:paraId="3D535187" w14:textId="77777777" w:rsidTr="008E1727">
        <w:tc>
          <w:tcPr>
            <w:tcW w:w="1824" w:type="dxa"/>
            <w:shd w:val="clear" w:color="auto" w:fill="auto"/>
          </w:tcPr>
          <w:p w14:paraId="6F8CA8DE" w14:textId="77777777" w:rsidR="00780AD6" w:rsidRPr="000979CA" w:rsidRDefault="00780AD6" w:rsidP="008E1727">
            <w:pPr>
              <w:tabs>
                <w:tab w:val="clear" w:pos="567"/>
              </w:tabs>
              <w:spacing w:before="100" w:beforeAutospacing="1" w:after="75" w:line="240" w:lineRule="auto"/>
              <w:rPr>
                <w:lang w:val="sk-SK"/>
              </w:rPr>
            </w:pPr>
            <w:r w:rsidRPr="000979CA">
              <w:rPr>
                <w:lang w:val="sk-SK"/>
              </w:rPr>
              <w:t>Veľkosť liekovky</w:t>
            </w:r>
          </w:p>
        </w:tc>
        <w:tc>
          <w:tcPr>
            <w:tcW w:w="2145" w:type="dxa"/>
            <w:shd w:val="clear" w:color="auto" w:fill="auto"/>
          </w:tcPr>
          <w:p w14:paraId="023752C6" w14:textId="77777777" w:rsidR="00780AD6" w:rsidRPr="000979CA" w:rsidRDefault="00780AD6" w:rsidP="008E1727">
            <w:pPr>
              <w:tabs>
                <w:tab w:val="clear" w:pos="567"/>
              </w:tabs>
              <w:spacing w:before="100" w:beforeAutospacing="1" w:after="75" w:line="240" w:lineRule="auto"/>
              <w:rPr>
                <w:lang w:val="sk-SK"/>
              </w:rPr>
            </w:pPr>
            <w:r w:rsidRPr="000979CA">
              <w:rPr>
                <w:lang w:val="sk-SK"/>
              </w:rPr>
              <w:t>Pridané rozpúšťadlo</w:t>
            </w:r>
          </w:p>
        </w:tc>
        <w:tc>
          <w:tcPr>
            <w:tcW w:w="2552" w:type="dxa"/>
            <w:shd w:val="clear" w:color="auto" w:fill="auto"/>
          </w:tcPr>
          <w:p w14:paraId="1F6F2ECD" w14:textId="77777777" w:rsidR="00780AD6" w:rsidRPr="000979CA" w:rsidRDefault="00780AD6" w:rsidP="008E1727">
            <w:pPr>
              <w:tabs>
                <w:tab w:val="clear" w:pos="567"/>
              </w:tabs>
              <w:spacing w:line="240" w:lineRule="auto"/>
              <w:rPr>
                <w:lang w:val="sk-SK"/>
              </w:rPr>
            </w:pPr>
            <w:r w:rsidRPr="000979CA">
              <w:rPr>
                <w:lang w:val="sk-SK"/>
              </w:rPr>
              <w:t xml:space="preserve">Približný využiteľný </w:t>
            </w:r>
          </w:p>
          <w:p w14:paraId="07634326" w14:textId="77777777" w:rsidR="00780AD6" w:rsidRPr="000979CA" w:rsidRDefault="00780AD6" w:rsidP="008E1727">
            <w:pPr>
              <w:tabs>
                <w:tab w:val="clear" w:pos="567"/>
              </w:tabs>
              <w:spacing w:after="75" w:line="240" w:lineRule="auto"/>
              <w:rPr>
                <w:lang w:val="sk-SK"/>
              </w:rPr>
            </w:pPr>
            <w:r w:rsidRPr="000979CA">
              <w:rPr>
                <w:lang w:val="sk-SK"/>
              </w:rPr>
              <w:t>objem</w:t>
            </w:r>
          </w:p>
        </w:tc>
        <w:tc>
          <w:tcPr>
            <w:tcW w:w="2409" w:type="dxa"/>
            <w:shd w:val="clear" w:color="auto" w:fill="auto"/>
          </w:tcPr>
          <w:p w14:paraId="0613B6AA" w14:textId="77777777" w:rsidR="00780AD6" w:rsidRPr="000979CA" w:rsidRDefault="00780AD6" w:rsidP="008E1727">
            <w:pPr>
              <w:tabs>
                <w:tab w:val="clear" w:pos="567"/>
              </w:tabs>
              <w:spacing w:before="100" w:beforeAutospacing="1" w:after="75" w:line="240" w:lineRule="auto"/>
              <w:rPr>
                <w:lang w:val="sk-SK"/>
              </w:rPr>
            </w:pPr>
            <w:r w:rsidRPr="000979CA">
              <w:rPr>
                <w:lang w:val="sk-SK"/>
              </w:rPr>
              <w:t>Približné navýšenie objemu</w:t>
            </w:r>
          </w:p>
        </w:tc>
      </w:tr>
      <w:tr w:rsidR="00780AD6" w:rsidRPr="000979CA" w14:paraId="6F0E9FB1" w14:textId="77777777" w:rsidTr="008E1727">
        <w:trPr>
          <w:trHeight w:val="464"/>
        </w:trPr>
        <w:tc>
          <w:tcPr>
            <w:tcW w:w="1824" w:type="dxa"/>
            <w:shd w:val="clear" w:color="auto" w:fill="auto"/>
          </w:tcPr>
          <w:p w14:paraId="406B839B" w14:textId="77777777" w:rsidR="00780AD6" w:rsidRPr="006213B3" w:rsidRDefault="00780AD6" w:rsidP="008E1727">
            <w:pPr>
              <w:tabs>
                <w:tab w:val="clear" w:pos="567"/>
                <w:tab w:val="left" w:pos="720"/>
              </w:tabs>
              <w:spacing w:after="240"/>
              <w:jc w:val="both"/>
              <w:rPr>
                <w:lang w:val="sk-SK"/>
              </w:rPr>
            </w:pPr>
            <w:r w:rsidRPr="000979CA">
              <w:rPr>
                <w:lang w:val="sk-SK"/>
              </w:rPr>
              <w:t>1 g</w:t>
            </w:r>
          </w:p>
        </w:tc>
        <w:tc>
          <w:tcPr>
            <w:tcW w:w="2145" w:type="dxa"/>
            <w:shd w:val="clear" w:color="auto" w:fill="auto"/>
          </w:tcPr>
          <w:p w14:paraId="77A4A9CC" w14:textId="77777777" w:rsidR="00780AD6" w:rsidRPr="000979CA" w:rsidRDefault="00780AD6" w:rsidP="008E1727">
            <w:pPr>
              <w:tabs>
                <w:tab w:val="clear" w:pos="567"/>
                <w:tab w:val="left" w:pos="720"/>
              </w:tabs>
              <w:jc w:val="both"/>
              <w:rPr>
                <w:lang w:val="sk-SK"/>
              </w:rPr>
            </w:pPr>
            <w:r w:rsidRPr="000979CA">
              <w:rPr>
                <w:lang w:val="sk-SK"/>
              </w:rPr>
              <w:t>4</w:t>
            </w:r>
            <w:r w:rsidR="001F59D5">
              <w:rPr>
                <w:lang w:val="sk-SK"/>
              </w:rPr>
              <w:t>0 - 50</w:t>
            </w:r>
            <w:r w:rsidRPr="000979CA">
              <w:rPr>
                <w:lang w:val="sk-SK"/>
              </w:rPr>
              <w:t xml:space="preserve"> ml</w:t>
            </w:r>
          </w:p>
        </w:tc>
        <w:tc>
          <w:tcPr>
            <w:tcW w:w="2552" w:type="dxa"/>
            <w:shd w:val="clear" w:color="auto" w:fill="auto"/>
          </w:tcPr>
          <w:p w14:paraId="0312E4CF" w14:textId="77777777" w:rsidR="00780AD6" w:rsidRPr="000979CA" w:rsidRDefault="00780AD6" w:rsidP="001F59D5">
            <w:pPr>
              <w:tabs>
                <w:tab w:val="clear" w:pos="567"/>
                <w:tab w:val="left" w:pos="720"/>
              </w:tabs>
              <w:jc w:val="both"/>
              <w:rPr>
                <w:lang w:val="sk-SK"/>
              </w:rPr>
            </w:pPr>
            <w:r w:rsidRPr="000979CA">
              <w:rPr>
                <w:lang w:val="sk-SK"/>
              </w:rPr>
              <w:t>4</w:t>
            </w:r>
            <w:r w:rsidR="001F59D5">
              <w:rPr>
                <w:lang w:val="sk-SK"/>
              </w:rPr>
              <w:t>1 - 51</w:t>
            </w:r>
            <w:r w:rsidRPr="000979CA">
              <w:rPr>
                <w:lang w:val="sk-SK"/>
              </w:rPr>
              <w:t xml:space="preserve"> ml</w:t>
            </w:r>
          </w:p>
        </w:tc>
        <w:tc>
          <w:tcPr>
            <w:tcW w:w="2409" w:type="dxa"/>
            <w:shd w:val="clear" w:color="auto" w:fill="auto"/>
          </w:tcPr>
          <w:p w14:paraId="06E089AF" w14:textId="77777777" w:rsidR="00780AD6" w:rsidRPr="000979CA" w:rsidRDefault="001F59D5" w:rsidP="008E1727">
            <w:pPr>
              <w:tabs>
                <w:tab w:val="clear" w:pos="567"/>
                <w:tab w:val="left" w:pos="720"/>
              </w:tabs>
              <w:jc w:val="both"/>
              <w:rPr>
                <w:lang w:val="sk-SK"/>
              </w:rPr>
            </w:pPr>
            <w:r>
              <w:rPr>
                <w:lang w:val="sk-SK"/>
              </w:rPr>
              <w:t>1</w:t>
            </w:r>
            <w:r w:rsidR="00780AD6" w:rsidRPr="000979CA">
              <w:rPr>
                <w:lang w:val="sk-SK"/>
              </w:rPr>
              <w:t xml:space="preserve"> ml</w:t>
            </w:r>
          </w:p>
        </w:tc>
      </w:tr>
      <w:tr w:rsidR="00780AD6" w:rsidRPr="000979CA" w14:paraId="281A7CA7" w14:textId="77777777" w:rsidTr="008E1727">
        <w:trPr>
          <w:trHeight w:val="358"/>
        </w:trPr>
        <w:tc>
          <w:tcPr>
            <w:tcW w:w="1824" w:type="dxa"/>
            <w:shd w:val="clear" w:color="auto" w:fill="auto"/>
          </w:tcPr>
          <w:p w14:paraId="1F114513" w14:textId="77777777" w:rsidR="00780AD6" w:rsidRPr="006213B3" w:rsidRDefault="00780AD6" w:rsidP="008E1727">
            <w:pPr>
              <w:tabs>
                <w:tab w:val="clear" w:pos="567"/>
                <w:tab w:val="left" w:pos="720"/>
              </w:tabs>
              <w:spacing w:after="240"/>
              <w:jc w:val="both"/>
              <w:rPr>
                <w:lang w:val="sk-SK"/>
              </w:rPr>
            </w:pPr>
            <w:r w:rsidRPr="000979CA">
              <w:rPr>
                <w:lang w:val="sk-SK"/>
              </w:rPr>
              <w:t>2 g</w:t>
            </w:r>
          </w:p>
        </w:tc>
        <w:tc>
          <w:tcPr>
            <w:tcW w:w="2145" w:type="dxa"/>
            <w:shd w:val="clear" w:color="auto" w:fill="auto"/>
          </w:tcPr>
          <w:p w14:paraId="7493B74D" w14:textId="77777777" w:rsidR="00780AD6" w:rsidRPr="000979CA" w:rsidRDefault="00780AD6" w:rsidP="008E1727">
            <w:pPr>
              <w:tabs>
                <w:tab w:val="clear" w:pos="567"/>
                <w:tab w:val="left" w:pos="720"/>
              </w:tabs>
              <w:jc w:val="both"/>
              <w:rPr>
                <w:lang w:val="sk-SK"/>
              </w:rPr>
            </w:pPr>
            <w:r w:rsidRPr="000979CA">
              <w:rPr>
                <w:lang w:val="sk-SK"/>
              </w:rPr>
              <w:t>40 – 50 ml</w:t>
            </w:r>
          </w:p>
        </w:tc>
        <w:tc>
          <w:tcPr>
            <w:tcW w:w="2552" w:type="dxa"/>
            <w:shd w:val="clear" w:color="auto" w:fill="auto"/>
          </w:tcPr>
          <w:p w14:paraId="61EBF729" w14:textId="77777777" w:rsidR="00780AD6" w:rsidRPr="000979CA" w:rsidRDefault="00780AD6" w:rsidP="008E1727">
            <w:pPr>
              <w:tabs>
                <w:tab w:val="clear" w:pos="567"/>
                <w:tab w:val="left" w:pos="720"/>
              </w:tabs>
              <w:jc w:val="both"/>
              <w:rPr>
                <w:lang w:val="sk-SK"/>
              </w:rPr>
            </w:pPr>
            <w:r w:rsidRPr="000979CA">
              <w:rPr>
                <w:lang w:val="sk-SK"/>
              </w:rPr>
              <w:t>41 – 51 ml</w:t>
            </w:r>
          </w:p>
        </w:tc>
        <w:tc>
          <w:tcPr>
            <w:tcW w:w="2409" w:type="dxa"/>
            <w:shd w:val="clear" w:color="auto" w:fill="auto"/>
          </w:tcPr>
          <w:p w14:paraId="3475D934" w14:textId="77777777" w:rsidR="00780AD6" w:rsidRPr="000979CA" w:rsidRDefault="00780AD6" w:rsidP="008E1727">
            <w:pPr>
              <w:tabs>
                <w:tab w:val="clear" w:pos="567"/>
                <w:tab w:val="left" w:pos="720"/>
              </w:tabs>
              <w:jc w:val="both"/>
              <w:rPr>
                <w:lang w:val="sk-SK"/>
              </w:rPr>
            </w:pPr>
            <w:r w:rsidRPr="000979CA">
              <w:rPr>
                <w:lang w:val="sk-SK"/>
              </w:rPr>
              <w:t>1 ml</w:t>
            </w:r>
          </w:p>
        </w:tc>
      </w:tr>
    </w:tbl>
    <w:p w14:paraId="1B2CE790" w14:textId="77777777" w:rsidR="00780AD6" w:rsidRDefault="00780AD6" w:rsidP="00780AD6">
      <w:pPr>
        <w:tabs>
          <w:tab w:val="clear" w:pos="567"/>
          <w:tab w:val="left" w:pos="720"/>
        </w:tabs>
        <w:ind w:left="460" w:firstLine="260"/>
        <w:jc w:val="both"/>
        <w:rPr>
          <w:lang w:val="sk-SK"/>
        </w:rPr>
      </w:pPr>
    </w:p>
    <w:p w14:paraId="24BC5170" w14:textId="77777777" w:rsidR="00780AD6" w:rsidRDefault="00780AD6" w:rsidP="003E3C2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14:paraId="678CEC29" w14:textId="5AFF3FF4" w:rsidR="003E3C22" w:rsidRPr="004229C9" w:rsidRDefault="003E3C22" w:rsidP="00A035E2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  <w:proofErr w:type="spellStart"/>
      <w:r>
        <w:rPr>
          <w:i/>
          <w:iCs/>
          <w:lang w:val="sk-SK"/>
        </w:rPr>
        <w:t>Cefotaxim</w:t>
      </w:r>
      <w:proofErr w:type="spellEnd"/>
      <w:r>
        <w:rPr>
          <w:i/>
          <w:iCs/>
          <w:lang w:val="sk-SK"/>
        </w:rPr>
        <w:t xml:space="preserve"> </w:t>
      </w:r>
      <w:proofErr w:type="spellStart"/>
      <w:r>
        <w:rPr>
          <w:i/>
          <w:iCs/>
          <w:lang w:val="sk-SK"/>
        </w:rPr>
        <w:t>Eberth</w:t>
      </w:r>
      <w:proofErr w:type="spellEnd"/>
      <w:r>
        <w:rPr>
          <w:i/>
          <w:iCs/>
          <w:lang w:val="sk-SK"/>
        </w:rPr>
        <w:t xml:space="preserve"> 2 g: Príprava </w:t>
      </w:r>
      <w:r>
        <w:rPr>
          <w:b/>
          <w:bCs/>
          <w:i/>
          <w:iCs/>
          <w:lang w:val="sk-SK"/>
        </w:rPr>
        <w:t xml:space="preserve">pomalej </w:t>
      </w:r>
      <w:r w:rsidRPr="00FB2AEB">
        <w:rPr>
          <w:i/>
          <w:iCs/>
          <w:lang w:val="sk-SK"/>
        </w:rPr>
        <w:t>intravenóznej infúzie</w:t>
      </w:r>
    </w:p>
    <w:p w14:paraId="244CBCC2" w14:textId="77777777" w:rsidR="003E3C22" w:rsidRDefault="003E3C22" w:rsidP="00233E28">
      <w:pPr>
        <w:numPr>
          <w:ilvl w:val="12"/>
          <w:numId w:val="0"/>
        </w:numPr>
        <w:rPr>
          <w:lang w:val="sk-SK"/>
        </w:rPr>
      </w:pPr>
      <w:proofErr w:type="spellStart"/>
      <w:r w:rsidRPr="004229C9">
        <w:rPr>
          <w:lang w:val="sk-SK"/>
        </w:rPr>
        <w:t>Cefotaxim</w:t>
      </w:r>
      <w:proofErr w:type="spellEnd"/>
      <w:r w:rsidRPr="004229C9">
        <w:rPr>
          <w:lang w:val="sk-SK"/>
        </w:rPr>
        <w:t xml:space="preserve"> </w:t>
      </w:r>
      <w:proofErr w:type="spellStart"/>
      <w:r w:rsidRPr="004229C9">
        <w:rPr>
          <w:lang w:val="sk-SK"/>
        </w:rPr>
        <w:t>Eberth</w:t>
      </w:r>
      <w:proofErr w:type="spellEnd"/>
      <w:r>
        <w:rPr>
          <w:lang w:val="sk-SK"/>
        </w:rPr>
        <w:t xml:space="preserve"> 2 g sa</w:t>
      </w:r>
      <w:r w:rsidRPr="004229C9">
        <w:rPr>
          <w:lang w:val="sk-SK"/>
        </w:rPr>
        <w:t xml:space="preserve"> rozpust</w:t>
      </w:r>
      <w:r>
        <w:rPr>
          <w:lang w:val="sk-SK"/>
        </w:rPr>
        <w:t>í</w:t>
      </w:r>
      <w:r w:rsidRPr="004229C9">
        <w:rPr>
          <w:lang w:val="sk-SK"/>
        </w:rPr>
        <w:t xml:space="preserve"> v 100 ml vhodného roztoku napr.</w:t>
      </w:r>
      <w:r>
        <w:rPr>
          <w:lang w:val="sk-SK"/>
        </w:rPr>
        <w:t xml:space="preserve"> v</w:t>
      </w:r>
      <w:r w:rsidRPr="004229C9">
        <w:rPr>
          <w:lang w:val="sk-SK"/>
        </w:rPr>
        <w:t xml:space="preserve"> 0,9</w:t>
      </w:r>
      <w:r w:rsidR="006B0494">
        <w:rPr>
          <w:lang w:val="sk-SK"/>
        </w:rPr>
        <w:t xml:space="preserve"> </w:t>
      </w:r>
      <w:r w:rsidRPr="004229C9">
        <w:rPr>
          <w:lang w:val="sk-SK"/>
        </w:rPr>
        <w:t>% roztok</w:t>
      </w:r>
      <w:r>
        <w:rPr>
          <w:lang w:val="sk-SK"/>
        </w:rPr>
        <w:t>u</w:t>
      </w:r>
      <w:r w:rsidRPr="004229C9">
        <w:rPr>
          <w:lang w:val="sk-SK"/>
        </w:rPr>
        <w:t xml:space="preserve"> chloridu sodného alebo </w:t>
      </w:r>
      <w:r>
        <w:rPr>
          <w:lang w:val="sk-SK"/>
        </w:rPr>
        <w:t>v</w:t>
      </w:r>
      <w:r w:rsidRPr="004229C9">
        <w:rPr>
          <w:lang w:val="sk-SK"/>
        </w:rPr>
        <w:t xml:space="preserve"> </w:t>
      </w:r>
      <w:proofErr w:type="spellStart"/>
      <w:r w:rsidRPr="004229C9">
        <w:rPr>
          <w:lang w:val="sk-SK"/>
        </w:rPr>
        <w:t>izotonick</w:t>
      </w:r>
      <w:r>
        <w:rPr>
          <w:lang w:val="sk-SK"/>
        </w:rPr>
        <w:t>om</w:t>
      </w:r>
      <w:proofErr w:type="spellEnd"/>
      <w:r w:rsidRPr="004229C9">
        <w:rPr>
          <w:lang w:val="sk-SK"/>
        </w:rPr>
        <w:t xml:space="preserve"> roztok</w:t>
      </w:r>
      <w:r>
        <w:rPr>
          <w:lang w:val="sk-SK"/>
        </w:rPr>
        <w:t>u</w:t>
      </w:r>
      <w:r w:rsidRPr="004229C9">
        <w:rPr>
          <w:lang w:val="sk-SK"/>
        </w:rPr>
        <w:t xml:space="preserve"> glukózy alebo in</w:t>
      </w:r>
      <w:r>
        <w:rPr>
          <w:lang w:val="sk-SK"/>
        </w:rPr>
        <w:t>om</w:t>
      </w:r>
      <w:r w:rsidRPr="004229C9">
        <w:rPr>
          <w:lang w:val="sk-SK"/>
        </w:rPr>
        <w:t xml:space="preserve"> kompatibiln</w:t>
      </w:r>
      <w:r>
        <w:rPr>
          <w:lang w:val="sk-SK"/>
        </w:rPr>
        <w:t>om</w:t>
      </w:r>
      <w:r w:rsidRPr="004229C9">
        <w:rPr>
          <w:lang w:val="sk-SK"/>
        </w:rPr>
        <w:t xml:space="preserve"> roztok</w:t>
      </w:r>
      <w:r>
        <w:rPr>
          <w:lang w:val="sk-SK"/>
        </w:rPr>
        <w:t>u</w:t>
      </w:r>
      <w:r w:rsidRPr="004229C9">
        <w:rPr>
          <w:lang w:val="sk-SK"/>
        </w:rPr>
        <w:t xml:space="preserve"> </w:t>
      </w:r>
      <w:r>
        <w:rPr>
          <w:lang w:val="sk-SK"/>
        </w:rPr>
        <w:t>na</w:t>
      </w:r>
      <w:r w:rsidRPr="004229C9">
        <w:rPr>
          <w:lang w:val="sk-SK"/>
        </w:rPr>
        <w:t xml:space="preserve"> infúziu</w:t>
      </w:r>
      <w:r>
        <w:rPr>
          <w:lang w:val="sk-SK"/>
        </w:rPr>
        <w:t xml:space="preserve"> ako je uvedené vyššie (pozri „Kompatibility“)</w:t>
      </w:r>
      <w:r w:rsidRPr="004229C9">
        <w:rPr>
          <w:lang w:val="sk-SK"/>
        </w:rPr>
        <w:t>.</w:t>
      </w:r>
    </w:p>
    <w:p w14:paraId="2EF22C7A" w14:textId="77777777" w:rsidR="003E3C22" w:rsidRDefault="003E3C22" w:rsidP="003E3C22">
      <w:pPr>
        <w:pStyle w:val="Normlnywebov"/>
        <w:spacing w:before="0" w:beforeAutospacing="0" w:after="0" w:afterAutospacing="0"/>
        <w:ind w:left="708"/>
        <w:outlineLvl w:val="0"/>
        <w:rPr>
          <w:rFonts w:ascii="Times New Roman" w:hAnsi="Times New Roman"/>
          <w:sz w:val="22"/>
          <w:lang w:val="sk-SK"/>
        </w:rPr>
      </w:pPr>
    </w:p>
    <w:p w14:paraId="1BA12189" w14:textId="77777777" w:rsidR="003E3C22" w:rsidRPr="004229C9" w:rsidRDefault="003E3C22" w:rsidP="00233E28">
      <w:pPr>
        <w:pStyle w:val="Normlnywebov"/>
        <w:spacing w:before="0" w:beforeAutospacing="0" w:after="0" w:afterAutospacing="0"/>
        <w:outlineLvl w:val="0"/>
        <w:rPr>
          <w:rFonts w:ascii="Times New Roman" w:hAnsi="Times New Roman"/>
          <w:sz w:val="22"/>
          <w:lang w:val="sk-SK"/>
        </w:rPr>
      </w:pPr>
      <w:r w:rsidRPr="004229C9">
        <w:rPr>
          <w:rFonts w:ascii="Times New Roman" w:hAnsi="Times New Roman"/>
          <w:sz w:val="22"/>
          <w:lang w:val="sk-SK"/>
        </w:rPr>
        <w:t xml:space="preserve">Pre prípravu 2 g roztoku </w:t>
      </w:r>
      <w:proofErr w:type="spellStart"/>
      <w:r>
        <w:rPr>
          <w:rFonts w:ascii="Times New Roman" w:hAnsi="Times New Roman"/>
          <w:sz w:val="22"/>
          <w:lang w:val="sk-SK"/>
        </w:rPr>
        <w:t>cefotaxím</w:t>
      </w:r>
      <w:r w:rsidRPr="004229C9">
        <w:rPr>
          <w:rFonts w:ascii="Times New Roman" w:hAnsi="Times New Roman"/>
          <w:sz w:val="22"/>
          <w:lang w:val="sk-SK"/>
        </w:rPr>
        <w:t>u</w:t>
      </w:r>
      <w:proofErr w:type="spellEnd"/>
      <w:r w:rsidRPr="004229C9">
        <w:rPr>
          <w:rFonts w:ascii="Times New Roman" w:hAnsi="Times New Roman"/>
          <w:sz w:val="22"/>
          <w:lang w:val="sk-SK"/>
        </w:rPr>
        <w:t xml:space="preserve"> </w:t>
      </w:r>
      <w:r>
        <w:rPr>
          <w:rFonts w:ascii="Times New Roman" w:hAnsi="Times New Roman"/>
          <w:sz w:val="22"/>
          <w:lang w:val="sk-SK"/>
        </w:rPr>
        <w:t>na</w:t>
      </w:r>
      <w:r w:rsidRPr="004229C9">
        <w:rPr>
          <w:rFonts w:ascii="Times New Roman" w:hAnsi="Times New Roman"/>
          <w:sz w:val="22"/>
          <w:lang w:val="sk-SK"/>
        </w:rPr>
        <w:t xml:space="preserve"> infúziu je potrebná jedna 50 ml injekčná liekovka</w:t>
      </w:r>
      <w:r>
        <w:rPr>
          <w:rFonts w:ascii="Times New Roman" w:hAnsi="Times New Roman"/>
          <w:sz w:val="22"/>
          <w:lang w:val="sk-SK"/>
        </w:rPr>
        <w:t xml:space="preserve"> </w:t>
      </w:r>
      <w:proofErr w:type="spellStart"/>
      <w:r w:rsidRPr="004229C9">
        <w:rPr>
          <w:rFonts w:ascii="Times New Roman" w:hAnsi="Times New Roman"/>
          <w:sz w:val="22"/>
          <w:lang w:val="sk-SK"/>
        </w:rPr>
        <w:t>Cefotaxim</w:t>
      </w:r>
      <w:proofErr w:type="spellEnd"/>
      <w:r w:rsidRPr="004229C9">
        <w:rPr>
          <w:rFonts w:ascii="Times New Roman" w:hAnsi="Times New Roman"/>
          <w:sz w:val="22"/>
          <w:lang w:val="sk-SK"/>
        </w:rPr>
        <w:t xml:space="preserve"> </w:t>
      </w:r>
      <w:proofErr w:type="spellStart"/>
      <w:r w:rsidRPr="004229C9">
        <w:rPr>
          <w:rFonts w:ascii="Times New Roman" w:hAnsi="Times New Roman"/>
          <w:sz w:val="22"/>
          <w:lang w:val="sk-SK"/>
        </w:rPr>
        <w:t>Eberth</w:t>
      </w:r>
      <w:proofErr w:type="spellEnd"/>
      <w:r>
        <w:rPr>
          <w:rFonts w:ascii="Times New Roman" w:hAnsi="Times New Roman"/>
          <w:sz w:val="22"/>
          <w:lang w:val="sk-SK"/>
        </w:rPr>
        <w:t xml:space="preserve"> 2 g</w:t>
      </w:r>
      <w:r w:rsidRPr="004229C9">
        <w:rPr>
          <w:rFonts w:ascii="Times New Roman" w:hAnsi="Times New Roman"/>
          <w:sz w:val="22"/>
          <w:lang w:val="sk-SK"/>
        </w:rPr>
        <w:t>, fľaša so 100 ml roztoku chloridu sodného 9 mg/ml (0,9</w:t>
      </w:r>
      <w:r>
        <w:rPr>
          <w:rFonts w:ascii="Times New Roman" w:hAnsi="Times New Roman"/>
          <w:sz w:val="22"/>
          <w:lang w:val="sk-SK"/>
        </w:rPr>
        <w:t xml:space="preserve"> </w:t>
      </w:r>
      <w:r w:rsidRPr="004229C9">
        <w:rPr>
          <w:rFonts w:ascii="Times New Roman" w:hAnsi="Times New Roman"/>
          <w:sz w:val="22"/>
          <w:lang w:val="sk-SK"/>
        </w:rPr>
        <w:t xml:space="preserve">%) </w:t>
      </w:r>
      <w:r>
        <w:rPr>
          <w:rFonts w:ascii="Times New Roman" w:hAnsi="Times New Roman"/>
          <w:sz w:val="22"/>
          <w:lang w:val="sk-SK"/>
        </w:rPr>
        <w:t>na</w:t>
      </w:r>
      <w:r w:rsidRPr="004229C9">
        <w:rPr>
          <w:rFonts w:ascii="Times New Roman" w:hAnsi="Times New Roman"/>
          <w:sz w:val="22"/>
          <w:lang w:val="sk-SK"/>
        </w:rPr>
        <w:t xml:space="preserve"> infúziu a sterilné transferové zariadenie. Transferové zariadenie </w:t>
      </w:r>
      <w:r>
        <w:rPr>
          <w:rFonts w:ascii="Times New Roman" w:hAnsi="Times New Roman"/>
          <w:sz w:val="22"/>
          <w:lang w:val="sk-SK"/>
        </w:rPr>
        <w:t>prepravuje</w:t>
      </w:r>
      <w:r w:rsidRPr="004229C9">
        <w:rPr>
          <w:rFonts w:ascii="Times New Roman" w:hAnsi="Times New Roman"/>
          <w:sz w:val="22"/>
          <w:lang w:val="sk-SK"/>
        </w:rPr>
        <w:t xml:space="preserve"> alebo mieša sterilné kvapaliny v uzatvorenom systéme.</w:t>
      </w:r>
    </w:p>
    <w:p w14:paraId="0F9036C0" w14:textId="77777777" w:rsidR="003E3C22" w:rsidRDefault="003E3C22" w:rsidP="003E3C22">
      <w:pPr>
        <w:pStyle w:val="Normlnywebov"/>
        <w:spacing w:before="0" w:beforeAutospacing="0" w:after="0" w:afterAutospacing="0"/>
        <w:ind w:left="708" w:firstLine="12"/>
        <w:outlineLvl w:val="0"/>
        <w:rPr>
          <w:rFonts w:ascii="Times New Roman" w:hAnsi="Times New Roman"/>
          <w:sz w:val="22"/>
          <w:lang w:val="sk-SK"/>
        </w:rPr>
      </w:pPr>
    </w:p>
    <w:p w14:paraId="2A911D26" w14:textId="77777777" w:rsidR="003E3C22" w:rsidRPr="004229C9" w:rsidRDefault="003E3C22" w:rsidP="00233E28">
      <w:pPr>
        <w:pStyle w:val="Normlnywebov"/>
        <w:spacing w:before="0" w:beforeAutospacing="0" w:after="0" w:afterAutospacing="0"/>
        <w:outlineLvl w:val="0"/>
        <w:rPr>
          <w:rFonts w:ascii="Times New Roman" w:hAnsi="Times New Roman"/>
          <w:sz w:val="22"/>
          <w:lang w:val="sk-SK"/>
        </w:rPr>
      </w:pPr>
      <w:r w:rsidRPr="004229C9">
        <w:rPr>
          <w:rFonts w:ascii="Times New Roman" w:hAnsi="Times New Roman"/>
          <w:sz w:val="22"/>
          <w:lang w:val="sk-SK"/>
        </w:rPr>
        <w:lastRenderedPageBreak/>
        <w:t>Krok 1: Spoj</w:t>
      </w:r>
      <w:r>
        <w:rPr>
          <w:rFonts w:ascii="Times New Roman" w:hAnsi="Times New Roman"/>
          <w:sz w:val="22"/>
          <w:lang w:val="sk-SK"/>
        </w:rPr>
        <w:t>te</w:t>
      </w:r>
      <w:r w:rsidRPr="004229C9">
        <w:rPr>
          <w:rFonts w:ascii="Times New Roman" w:hAnsi="Times New Roman"/>
          <w:sz w:val="22"/>
          <w:lang w:val="sk-SK"/>
        </w:rPr>
        <w:t xml:space="preserve"> transferové zariadenie s fľašou sterilného roztoku chloridu sodného 9 mg/ml (0,9 %) </w:t>
      </w:r>
      <w:r>
        <w:rPr>
          <w:rFonts w:ascii="Times New Roman" w:hAnsi="Times New Roman"/>
          <w:sz w:val="22"/>
          <w:lang w:val="sk-SK"/>
        </w:rPr>
        <w:t>na</w:t>
      </w:r>
      <w:r w:rsidRPr="004229C9">
        <w:rPr>
          <w:rFonts w:ascii="Times New Roman" w:hAnsi="Times New Roman"/>
          <w:sz w:val="22"/>
          <w:lang w:val="sk-SK"/>
        </w:rPr>
        <w:t xml:space="preserve"> infúziu alebo s iným schváleným </w:t>
      </w:r>
      <w:proofErr w:type="spellStart"/>
      <w:r w:rsidRPr="004229C9">
        <w:rPr>
          <w:rFonts w:ascii="Times New Roman" w:hAnsi="Times New Roman"/>
          <w:sz w:val="22"/>
          <w:lang w:val="sk-SK"/>
        </w:rPr>
        <w:t>zrieďovacím</w:t>
      </w:r>
      <w:proofErr w:type="spellEnd"/>
      <w:r w:rsidRPr="004229C9">
        <w:rPr>
          <w:rFonts w:ascii="Times New Roman" w:hAnsi="Times New Roman"/>
          <w:sz w:val="22"/>
          <w:lang w:val="sk-SK"/>
        </w:rPr>
        <w:t xml:space="preserve"> systémom prepichnutím zariadenia cez plastický uzáver fľaše.</w:t>
      </w:r>
    </w:p>
    <w:p w14:paraId="1C17F387" w14:textId="77777777" w:rsidR="003E3C22" w:rsidRPr="004229C9" w:rsidRDefault="003E3C22" w:rsidP="00233E28">
      <w:pPr>
        <w:pStyle w:val="Normlnywebov"/>
        <w:spacing w:before="0" w:beforeAutospacing="0" w:after="0" w:afterAutospacing="0"/>
        <w:outlineLvl w:val="0"/>
        <w:rPr>
          <w:rFonts w:ascii="Times New Roman" w:hAnsi="Times New Roman"/>
          <w:sz w:val="22"/>
          <w:lang w:val="sk-SK"/>
        </w:rPr>
      </w:pPr>
      <w:r w:rsidRPr="004229C9">
        <w:rPr>
          <w:rFonts w:ascii="Times New Roman" w:hAnsi="Times New Roman"/>
          <w:sz w:val="22"/>
          <w:lang w:val="sk-SK"/>
        </w:rPr>
        <w:t xml:space="preserve">Krok 2: </w:t>
      </w:r>
      <w:r>
        <w:rPr>
          <w:rFonts w:ascii="Times New Roman" w:hAnsi="Times New Roman"/>
          <w:sz w:val="22"/>
          <w:lang w:val="sk-SK"/>
        </w:rPr>
        <w:t>Pri</w:t>
      </w:r>
      <w:r w:rsidRPr="004229C9">
        <w:rPr>
          <w:rFonts w:ascii="Times New Roman" w:hAnsi="Times New Roman"/>
          <w:sz w:val="22"/>
          <w:lang w:val="sk-SK"/>
        </w:rPr>
        <w:t>poj</w:t>
      </w:r>
      <w:r>
        <w:rPr>
          <w:rFonts w:ascii="Times New Roman" w:hAnsi="Times New Roman"/>
          <w:sz w:val="22"/>
          <w:lang w:val="sk-SK"/>
        </w:rPr>
        <w:t>te</w:t>
      </w:r>
      <w:r w:rsidRPr="004229C9">
        <w:rPr>
          <w:rFonts w:ascii="Times New Roman" w:hAnsi="Times New Roman"/>
          <w:sz w:val="22"/>
          <w:lang w:val="sk-SK"/>
        </w:rPr>
        <w:t xml:space="preserve"> ďalšiu stranu transferového zariadenia cez uzáver fľaše s 2 g </w:t>
      </w:r>
      <w:proofErr w:type="spellStart"/>
      <w:r>
        <w:rPr>
          <w:rFonts w:ascii="Times New Roman" w:hAnsi="Times New Roman"/>
          <w:sz w:val="22"/>
          <w:lang w:val="sk-SK"/>
        </w:rPr>
        <w:t>cefotaxím</w:t>
      </w:r>
      <w:r w:rsidRPr="004229C9">
        <w:rPr>
          <w:rFonts w:ascii="Times New Roman" w:hAnsi="Times New Roman"/>
          <w:sz w:val="22"/>
          <w:lang w:val="sk-SK"/>
        </w:rPr>
        <w:t>u</w:t>
      </w:r>
      <w:proofErr w:type="spellEnd"/>
      <w:r w:rsidRPr="004229C9">
        <w:rPr>
          <w:rFonts w:ascii="Times New Roman" w:hAnsi="Times New Roman"/>
          <w:sz w:val="22"/>
          <w:lang w:val="sk-SK"/>
        </w:rPr>
        <w:t xml:space="preserve"> prášku </w:t>
      </w:r>
      <w:r>
        <w:rPr>
          <w:rFonts w:ascii="Times New Roman" w:hAnsi="Times New Roman"/>
          <w:sz w:val="22"/>
          <w:lang w:val="sk-SK"/>
        </w:rPr>
        <w:t>na prípravu</w:t>
      </w:r>
      <w:r w:rsidRPr="004229C9">
        <w:rPr>
          <w:rFonts w:ascii="Times New Roman" w:hAnsi="Times New Roman"/>
          <w:sz w:val="22"/>
          <w:lang w:val="sk-SK"/>
        </w:rPr>
        <w:t xml:space="preserve"> infúzi</w:t>
      </w:r>
      <w:r>
        <w:rPr>
          <w:rFonts w:ascii="Times New Roman" w:hAnsi="Times New Roman"/>
          <w:sz w:val="22"/>
          <w:lang w:val="sk-SK"/>
        </w:rPr>
        <w:t>e</w:t>
      </w:r>
      <w:r w:rsidRPr="004229C9">
        <w:rPr>
          <w:rFonts w:ascii="Times New Roman" w:hAnsi="Times New Roman"/>
          <w:sz w:val="22"/>
          <w:lang w:val="sk-SK"/>
        </w:rPr>
        <w:t>.</w:t>
      </w:r>
    </w:p>
    <w:p w14:paraId="5DE648C6" w14:textId="0D455979" w:rsidR="003E3C22" w:rsidRPr="004229C9" w:rsidRDefault="003E3C22" w:rsidP="00233E28">
      <w:pPr>
        <w:pStyle w:val="Normlnywebov"/>
        <w:spacing w:before="0" w:beforeAutospacing="0" w:after="0" w:afterAutospacing="0"/>
        <w:outlineLvl w:val="0"/>
        <w:rPr>
          <w:rFonts w:ascii="Times New Roman" w:hAnsi="Times New Roman"/>
          <w:sz w:val="22"/>
          <w:lang w:val="sk-SK"/>
        </w:rPr>
      </w:pPr>
      <w:r w:rsidRPr="004229C9">
        <w:rPr>
          <w:rFonts w:ascii="Times New Roman" w:hAnsi="Times New Roman"/>
          <w:sz w:val="22"/>
          <w:lang w:val="sk-SK"/>
        </w:rPr>
        <w:t xml:space="preserve">Krok 3: </w:t>
      </w:r>
      <w:r w:rsidR="00DA40CA">
        <w:rPr>
          <w:rFonts w:ascii="Times New Roman" w:hAnsi="Times New Roman"/>
          <w:sz w:val="22"/>
          <w:lang w:val="sk-SK"/>
        </w:rPr>
        <w:t>Z</w:t>
      </w:r>
      <w:r w:rsidRPr="004229C9">
        <w:rPr>
          <w:rFonts w:ascii="Times New Roman" w:hAnsi="Times New Roman"/>
          <w:sz w:val="22"/>
          <w:lang w:val="sk-SK"/>
        </w:rPr>
        <w:t>miešaj</w:t>
      </w:r>
      <w:r>
        <w:rPr>
          <w:rFonts w:ascii="Times New Roman" w:hAnsi="Times New Roman"/>
          <w:sz w:val="22"/>
          <w:lang w:val="sk-SK"/>
        </w:rPr>
        <w:t>te</w:t>
      </w:r>
      <w:r w:rsidRPr="004229C9">
        <w:rPr>
          <w:rFonts w:ascii="Times New Roman" w:hAnsi="Times New Roman"/>
          <w:sz w:val="22"/>
          <w:lang w:val="sk-SK"/>
        </w:rPr>
        <w:t xml:space="preserve"> </w:t>
      </w:r>
      <w:proofErr w:type="spellStart"/>
      <w:r w:rsidRPr="004229C9">
        <w:rPr>
          <w:rFonts w:ascii="Times New Roman" w:hAnsi="Times New Roman"/>
          <w:sz w:val="22"/>
          <w:lang w:val="sk-SK"/>
        </w:rPr>
        <w:t>izotonický</w:t>
      </w:r>
      <w:proofErr w:type="spellEnd"/>
      <w:r w:rsidRPr="004229C9">
        <w:rPr>
          <w:rFonts w:ascii="Times New Roman" w:hAnsi="Times New Roman"/>
          <w:sz w:val="22"/>
          <w:lang w:val="sk-SK"/>
        </w:rPr>
        <w:t xml:space="preserve"> roztok s práškom </w:t>
      </w:r>
      <w:proofErr w:type="spellStart"/>
      <w:r>
        <w:rPr>
          <w:rFonts w:ascii="Times New Roman" w:hAnsi="Times New Roman"/>
          <w:sz w:val="22"/>
          <w:lang w:val="sk-SK"/>
        </w:rPr>
        <w:t>cefotaxím</w:t>
      </w:r>
      <w:r w:rsidRPr="004229C9">
        <w:rPr>
          <w:rFonts w:ascii="Times New Roman" w:hAnsi="Times New Roman"/>
          <w:sz w:val="22"/>
          <w:lang w:val="sk-SK"/>
        </w:rPr>
        <w:t>u</w:t>
      </w:r>
      <w:proofErr w:type="spellEnd"/>
      <w:r w:rsidRPr="004229C9">
        <w:rPr>
          <w:rFonts w:ascii="Times New Roman" w:hAnsi="Times New Roman"/>
          <w:sz w:val="22"/>
          <w:lang w:val="sk-SK"/>
        </w:rPr>
        <w:t xml:space="preserve"> pretrepávaním injekčnej liekovky, až kým sa nerozpustí všetok prášok.</w:t>
      </w:r>
    </w:p>
    <w:p w14:paraId="6682BFC0" w14:textId="77777777" w:rsidR="003E3C22" w:rsidRPr="004229C9" w:rsidRDefault="003E3C22" w:rsidP="00233E28">
      <w:pPr>
        <w:pStyle w:val="Normlnywebov"/>
        <w:spacing w:before="0" w:beforeAutospacing="0" w:after="0" w:afterAutospacing="0"/>
        <w:outlineLvl w:val="0"/>
        <w:rPr>
          <w:rFonts w:ascii="Times New Roman" w:hAnsi="Times New Roman"/>
          <w:sz w:val="22"/>
          <w:lang w:val="sk-SK"/>
        </w:rPr>
      </w:pPr>
      <w:r w:rsidRPr="004229C9">
        <w:rPr>
          <w:rFonts w:ascii="Times New Roman" w:hAnsi="Times New Roman"/>
          <w:sz w:val="22"/>
          <w:lang w:val="sk-SK"/>
        </w:rPr>
        <w:t>Krok 4: Pre</w:t>
      </w:r>
      <w:r>
        <w:rPr>
          <w:rFonts w:ascii="Times New Roman" w:hAnsi="Times New Roman"/>
          <w:sz w:val="22"/>
          <w:lang w:val="sk-SK"/>
        </w:rPr>
        <w:t>čerpajte</w:t>
      </w:r>
      <w:r w:rsidRPr="004229C9">
        <w:rPr>
          <w:rFonts w:ascii="Times New Roman" w:hAnsi="Times New Roman"/>
          <w:sz w:val="22"/>
          <w:lang w:val="sk-SK"/>
        </w:rPr>
        <w:t xml:space="preserve"> všetok roztok do 100 ml injekčnej liekovky a odpoj</w:t>
      </w:r>
      <w:r>
        <w:rPr>
          <w:rFonts w:ascii="Times New Roman" w:hAnsi="Times New Roman"/>
          <w:sz w:val="22"/>
          <w:lang w:val="sk-SK"/>
        </w:rPr>
        <w:t>te</w:t>
      </w:r>
      <w:r w:rsidRPr="004229C9">
        <w:rPr>
          <w:rFonts w:ascii="Times New Roman" w:hAnsi="Times New Roman"/>
          <w:sz w:val="22"/>
          <w:lang w:val="sk-SK"/>
        </w:rPr>
        <w:t xml:space="preserve"> injekčnú liekovku s </w:t>
      </w:r>
      <w:proofErr w:type="spellStart"/>
      <w:r>
        <w:rPr>
          <w:rFonts w:ascii="Times New Roman" w:hAnsi="Times New Roman"/>
          <w:sz w:val="22"/>
          <w:lang w:val="sk-SK"/>
        </w:rPr>
        <w:t>cefotaxím</w:t>
      </w:r>
      <w:r w:rsidRPr="004229C9">
        <w:rPr>
          <w:rFonts w:ascii="Times New Roman" w:hAnsi="Times New Roman"/>
          <w:sz w:val="22"/>
          <w:lang w:val="sk-SK"/>
        </w:rPr>
        <w:t>om</w:t>
      </w:r>
      <w:proofErr w:type="spellEnd"/>
      <w:r w:rsidRPr="004229C9">
        <w:rPr>
          <w:rFonts w:ascii="Times New Roman" w:hAnsi="Times New Roman"/>
          <w:sz w:val="22"/>
          <w:lang w:val="sk-SK"/>
        </w:rPr>
        <w:t xml:space="preserve"> od transferového zariadenia.</w:t>
      </w:r>
    </w:p>
    <w:p w14:paraId="41031133" w14:textId="0D395FF5" w:rsidR="003E3C22" w:rsidRDefault="003E3C22" w:rsidP="00233E28">
      <w:pPr>
        <w:pStyle w:val="Normlnywebov"/>
        <w:spacing w:before="0" w:beforeAutospacing="0" w:after="0" w:afterAutospacing="0"/>
        <w:outlineLvl w:val="0"/>
        <w:rPr>
          <w:rFonts w:ascii="Times New Roman" w:hAnsi="Times New Roman"/>
          <w:sz w:val="22"/>
          <w:lang w:val="sk-SK"/>
        </w:rPr>
      </w:pPr>
      <w:r w:rsidRPr="004229C9">
        <w:rPr>
          <w:rFonts w:ascii="Times New Roman" w:hAnsi="Times New Roman"/>
          <w:sz w:val="22"/>
          <w:lang w:val="sk-SK"/>
        </w:rPr>
        <w:t>Krok 5: Pripoj</w:t>
      </w:r>
      <w:r>
        <w:rPr>
          <w:rFonts w:ascii="Times New Roman" w:hAnsi="Times New Roman"/>
          <w:sz w:val="22"/>
          <w:lang w:val="sk-SK"/>
        </w:rPr>
        <w:t>te</w:t>
      </w:r>
      <w:r w:rsidRPr="004229C9">
        <w:rPr>
          <w:rFonts w:ascii="Times New Roman" w:hAnsi="Times New Roman"/>
          <w:sz w:val="22"/>
          <w:lang w:val="sk-SK"/>
        </w:rPr>
        <w:t xml:space="preserve"> zariadenie pre infúziu </w:t>
      </w:r>
      <w:r w:rsidR="00EF71E6">
        <w:rPr>
          <w:rFonts w:ascii="Times New Roman" w:hAnsi="Times New Roman"/>
          <w:sz w:val="22"/>
          <w:lang w:val="sk-SK"/>
        </w:rPr>
        <w:t>k</w:t>
      </w:r>
      <w:r w:rsidR="00EF71E6" w:rsidRPr="004229C9">
        <w:rPr>
          <w:rFonts w:ascii="Times New Roman" w:hAnsi="Times New Roman"/>
          <w:sz w:val="22"/>
          <w:lang w:val="sk-SK"/>
        </w:rPr>
        <w:t xml:space="preserve"> </w:t>
      </w:r>
      <w:r w:rsidRPr="004229C9">
        <w:rPr>
          <w:rFonts w:ascii="Times New Roman" w:hAnsi="Times New Roman"/>
          <w:sz w:val="22"/>
          <w:lang w:val="sk-SK"/>
        </w:rPr>
        <w:t>hrot</w:t>
      </w:r>
      <w:r w:rsidR="00EF71E6">
        <w:rPr>
          <w:rFonts w:ascii="Times New Roman" w:hAnsi="Times New Roman"/>
          <w:sz w:val="22"/>
          <w:lang w:val="sk-SK"/>
        </w:rPr>
        <w:t>u</w:t>
      </w:r>
      <w:r w:rsidRPr="004229C9">
        <w:rPr>
          <w:rFonts w:ascii="Times New Roman" w:hAnsi="Times New Roman"/>
          <w:sz w:val="22"/>
          <w:lang w:val="sk-SK"/>
        </w:rPr>
        <w:t xml:space="preserve"> </w:t>
      </w:r>
      <w:r w:rsidR="00EF71E6">
        <w:rPr>
          <w:rFonts w:ascii="Times New Roman" w:hAnsi="Times New Roman"/>
          <w:sz w:val="22"/>
          <w:lang w:val="sk-SK"/>
        </w:rPr>
        <w:t xml:space="preserve">na </w:t>
      </w:r>
      <w:r w:rsidRPr="004229C9">
        <w:rPr>
          <w:rFonts w:ascii="Times New Roman" w:hAnsi="Times New Roman"/>
          <w:sz w:val="22"/>
          <w:lang w:val="sk-SK"/>
        </w:rPr>
        <w:t>vrchol</w:t>
      </w:r>
      <w:r w:rsidR="002709F8">
        <w:rPr>
          <w:rFonts w:ascii="Times New Roman" w:hAnsi="Times New Roman"/>
          <w:sz w:val="22"/>
          <w:lang w:val="sk-SK"/>
        </w:rPr>
        <w:t>e</w:t>
      </w:r>
      <w:r w:rsidRPr="004229C9">
        <w:rPr>
          <w:rFonts w:ascii="Times New Roman" w:hAnsi="Times New Roman"/>
          <w:sz w:val="22"/>
          <w:lang w:val="sk-SK"/>
        </w:rPr>
        <w:t xml:space="preserve"> 100 ml injekčnej liekovky, ktorá je naplnená s rozpusteným </w:t>
      </w:r>
      <w:proofErr w:type="spellStart"/>
      <w:r>
        <w:rPr>
          <w:rFonts w:ascii="Times New Roman" w:hAnsi="Times New Roman"/>
          <w:sz w:val="22"/>
          <w:lang w:val="sk-SK"/>
        </w:rPr>
        <w:t>cefotaxím</w:t>
      </w:r>
      <w:r w:rsidRPr="004229C9">
        <w:rPr>
          <w:rFonts w:ascii="Times New Roman" w:hAnsi="Times New Roman"/>
          <w:sz w:val="22"/>
          <w:lang w:val="sk-SK"/>
        </w:rPr>
        <w:t>om</w:t>
      </w:r>
      <w:proofErr w:type="spellEnd"/>
      <w:r w:rsidRPr="004229C9">
        <w:rPr>
          <w:rFonts w:ascii="Times New Roman" w:hAnsi="Times New Roman"/>
          <w:sz w:val="22"/>
          <w:lang w:val="sk-SK"/>
        </w:rPr>
        <w:t xml:space="preserve"> a </w:t>
      </w:r>
      <w:r>
        <w:rPr>
          <w:rFonts w:ascii="Times New Roman" w:hAnsi="Times New Roman"/>
          <w:sz w:val="22"/>
          <w:lang w:val="sk-SK"/>
        </w:rPr>
        <w:t>spustite</w:t>
      </w:r>
      <w:r w:rsidRPr="004229C9">
        <w:rPr>
          <w:rFonts w:ascii="Times New Roman" w:hAnsi="Times New Roman"/>
          <w:sz w:val="22"/>
          <w:lang w:val="sk-SK"/>
        </w:rPr>
        <w:t xml:space="preserve"> infúziu.</w:t>
      </w:r>
    </w:p>
    <w:p w14:paraId="2DB7B34F" w14:textId="77777777" w:rsidR="003E3C22" w:rsidRDefault="003E3C22" w:rsidP="00233E28">
      <w:pPr>
        <w:pStyle w:val="Normlnywebov"/>
        <w:spacing w:before="0" w:beforeAutospacing="0" w:after="0" w:afterAutospacing="0"/>
        <w:outlineLvl w:val="0"/>
        <w:rPr>
          <w:rFonts w:ascii="Times New Roman" w:hAnsi="Times New Roman"/>
          <w:sz w:val="22"/>
          <w:lang w:val="sk-SK"/>
        </w:rPr>
      </w:pPr>
    </w:p>
    <w:p w14:paraId="7B66B91C" w14:textId="77777777" w:rsidR="000002FA" w:rsidRDefault="000002FA" w:rsidP="000002FA">
      <w:pPr>
        <w:tabs>
          <w:tab w:val="clear" w:pos="567"/>
          <w:tab w:val="left" w:pos="720"/>
        </w:tabs>
        <w:jc w:val="both"/>
        <w:rPr>
          <w:lang w:val="sk-SK"/>
        </w:rPr>
      </w:pPr>
      <w:r>
        <w:rPr>
          <w:lang w:val="sk-SK"/>
        </w:rPr>
        <w:t xml:space="preserve">Tabuľka </w:t>
      </w:r>
      <w:r w:rsidR="00BA4953">
        <w:rPr>
          <w:lang w:val="sk-SK"/>
        </w:rPr>
        <w:t>riedenia</w:t>
      </w:r>
      <w:r>
        <w:rPr>
          <w:lang w:val="sk-SK"/>
        </w:rPr>
        <w:t xml:space="preserve"> (intravenózne podanie (</w:t>
      </w:r>
      <w:r w:rsidRPr="00FC070C">
        <w:rPr>
          <w:b/>
          <w:i/>
          <w:lang w:val="sk-SK"/>
        </w:rPr>
        <w:t>pomalé</w:t>
      </w:r>
      <w:r>
        <w:rPr>
          <w:lang w:val="sk-SK"/>
        </w:rPr>
        <w:t>)):</w:t>
      </w:r>
    </w:p>
    <w:p w14:paraId="2ED85817" w14:textId="77777777" w:rsidR="000002FA" w:rsidRPr="00B457BB" w:rsidRDefault="000002FA" w:rsidP="000002FA">
      <w:pPr>
        <w:tabs>
          <w:tab w:val="clear" w:pos="567"/>
          <w:tab w:val="left" w:pos="720"/>
        </w:tabs>
        <w:ind w:left="460" w:firstLine="260"/>
        <w:jc w:val="both"/>
        <w:rPr>
          <w:lang w:val="sk-SK"/>
        </w:rPr>
      </w:pPr>
    </w:p>
    <w:tbl>
      <w:tblPr>
        <w:tblW w:w="8930" w:type="dxa"/>
        <w:tblInd w:w="25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ook w:val="01E0" w:firstRow="1" w:lastRow="1" w:firstColumn="1" w:lastColumn="1" w:noHBand="0" w:noVBand="0"/>
      </w:tblPr>
      <w:tblGrid>
        <w:gridCol w:w="1843"/>
        <w:gridCol w:w="2160"/>
        <w:gridCol w:w="2518"/>
        <w:gridCol w:w="2409"/>
      </w:tblGrid>
      <w:tr w:rsidR="000002FA" w:rsidRPr="000979CA" w14:paraId="7F22BC50" w14:textId="77777777" w:rsidTr="008E1727">
        <w:tc>
          <w:tcPr>
            <w:tcW w:w="1843" w:type="dxa"/>
            <w:shd w:val="clear" w:color="auto" w:fill="auto"/>
          </w:tcPr>
          <w:p w14:paraId="3CB83A01" w14:textId="77777777" w:rsidR="000002FA" w:rsidRPr="000979CA" w:rsidRDefault="000002FA" w:rsidP="008E1727">
            <w:pPr>
              <w:tabs>
                <w:tab w:val="clear" w:pos="567"/>
              </w:tabs>
              <w:rPr>
                <w:lang w:val="sk-SK"/>
              </w:rPr>
            </w:pPr>
            <w:r w:rsidRPr="000979CA">
              <w:rPr>
                <w:lang w:val="sk-SK"/>
              </w:rPr>
              <w:t>Veľkosť liekovky</w:t>
            </w:r>
          </w:p>
        </w:tc>
        <w:tc>
          <w:tcPr>
            <w:tcW w:w="2160" w:type="dxa"/>
            <w:shd w:val="clear" w:color="auto" w:fill="auto"/>
          </w:tcPr>
          <w:p w14:paraId="0296156E" w14:textId="77777777" w:rsidR="000002FA" w:rsidRPr="000979CA" w:rsidRDefault="000002FA" w:rsidP="008E1727">
            <w:pPr>
              <w:tabs>
                <w:tab w:val="clear" w:pos="567"/>
                <w:tab w:val="left" w:pos="720"/>
              </w:tabs>
              <w:jc w:val="both"/>
              <w:rPr>
                <w:lang w:val="sk-SK"/>
              </w:rPr>
            </w:pPr>
            <w:r w:rsidRPr="000979CA">
              <w:rPr>
                <w:lang w:val="sk-SK"/>
              </w:rPr>
              <w:t>Pridané rozpúšťadlo</w:t>
            </w:r>
          </w:p>
        </w:tc>
        <w:tc>
          <w:tcPr>
            <w:tcW w:w="2518" w:type="dxa"/>
            <w:shd w:val="clear" w:color="auto" w:fill="auto"/>
          </w:tcPr>
          <w:p w14:paraId="52C0C100" w14:textId="77777777" w:rsidR="000002FA" w:rsidRPr="000979CA" w:rsidRDefault="000002FA" w:rsidP="008E1727">
            <w:pPr>
              <w:tabs>
                <w:tab w:val="clear" w:pos="567"/>
                <w:tab w:val="left" w:pos="720"/>
              </w:tabs>
              <w:jc w:val="both"/>
              <w:rPr>
                <w:lang w:val="sk-SK"/>
              </w:rPr>
            </w:pPr>
            <w:r w:rsidRPr="000979CA">
              <w:rPr>
                <w:lang w:val="sk-SK"/>
              </w:rPr>
              <w:t xml:space="preserve">Približný využiteľný </w:t>
            </w:r>
          </w:p>
          <w:p w14:paraId="47B90501" w14:textId="77777777" w:rsidR="000002FA" w:rsidRPr="000979CA" w:rsidRDefault="000002FA" w:rsidP="008E1727">
            <w:pPr>
              <w:tabs>
                <w:tab w:val="clear" w:pos="567"/>
                <w:tab w:val="left" w:pos="720"/>
              </w:tabs>
              <w:jc w:val="both"/>
              <w:rPr>
                <w:lang w:val="sk-SK"/>
              </w:rPr>
            </w:pPr>
            <w:r w:rsidRPr="000979CA">
              <w:rPr>
                <w:lang w:val="sk-SK"/>
              </w:rPr>
              <w:t>objem</w:t>
            </w:r>
          </w:p>
        </w:tc>
        <w:tc>
          <w:tcPr>
            <w:tcW w:w="2409" w:type="dxa"/>
            <w:shd w:val="clear" w:color="auto" w:fill="auto"/>
          </w:tcPr>
          <w:p w14:paraId="2001C657" w14:textId="77777777" w:rsidR="000002FA" w:rsidRPr="000979CA" w:rsidRDefault="000002FA" w:rsidP="008E1727">
            <w:pPr>
              <w:tabs>
                <w:tab w:val="clear" w:pos="567"/>
                <w:tab w:val="left" w:pos="720"/>
              </w:tabs>
              <w:spacing w:after="240"/>
              <w:rPr>
                <w:lang w:val="sk-SK"/>
              </w:rPr>
            </w:pPr>
            <w:r w:rsidRPr="000979CA">
              <w:rPr>
                <w:lang w:val="sk-SK"/>
              </w:rPr>
              <w:t>Približné navýšenie objemu</w:t>
            </w:r>
          </w:p>
        </w:tc>
      </w:tr>
      <w:tr w:rsidR="000002FA" w:rsidRPr="000979CA" w14:paraId="1D8449D2" w14:textId="77777777" w:rsidTr="008E1727">
        <w:tc>
          <w:tcPr>
            <w:tcW w:w="1843" w:type="dxa"/>
            <w:shd w:val="clear" w:color="auto" w:fill="auto"/>
          </w:tcPr>
          <w:p w14:paraId="729F388E" w14:textId="77777777" w:rsidR="000002FA" w:rsidRPr="000979CA" w:rsidRDefault="000002FA" w:rsidP="008E1727">
            <w:pPr>
              <w:tabs>
                <w:tab w:val="clear" w:pos="567"/>
                <w:tab w:val="left" w:pos="720"/>
              </w:tabs>
              <w:spacing w:after="240"/>
              <w:jc w:val="both"/>
              <w:rPr>
                <w:lang w:val="sk-SK"/>
              </w:rPr>
            </w:pPr>
            <w:r w:rsidRPr="000979CA">
              <w:rPr>
                <w:lang w:val="sk-SK"/>
              </w:rPr>
              <w:t>2 g</w:t>
            </w:r>
          </w:p>
        </w:tc>
        <w:tc>
          <w:tcPr>
            <w:tcW w:w="2160" w:type="dxa"/>
            <w:shd w:val="clear" w:color="auto" w:fill="auto"/>
          </w:tcPr>
          <w:p w14:paraId="61498437" w14:textId="77777777" w:rsidR="000002FA" w:rsidRPr="000979CA" w:rsidRDefault="000002FA" w:rsidP="008E1727">
            <w:pPr>
              <w:tabs>
                <w:tab w:val="clear" w:pos="567"/>
                <w:tab w:val="left" w:pos="720"/>
              </w:tabs>
              <w:jc w:val="both"/>
              <w:rPr>
                <w:lang w:val="sk-SK"/>
              </w:rPr>
            </w:pPr>
            <w:r w:rsidRPr="000979CA">
              <w:rPr>
                <w:lang w:val="sk-SK"/>
              </w:rPr>
              <w:t>100 ml</w:t>
            </w:r>
          </w:p>
        </w:tc>
        <w:tc>
          <w:tcPr>
            <w:tcW w:w="2518" w:type="dxa"/>
            <w:shd w:val="clear" w:color="auto" w:fill="auto"/>
          </w:tcPr>
          <w:p w14:paraId="5C6209B8" w14:textId="77777777" w:rsidR="000002FA" w:rsidRPr="000979CA" w:rsidRDefault="000002FA" w:rsidP="008E1727">
            <w:pPr>
              <w:tabs>
                <w:tab w:val="clear" w:pos="567"/>
                <w:tab w:val="left" w:pos="720"/>
              </w:tabs>
              <w:jc w:val="both"/>
              <w:rPr>
                <w:lang w:val="sk-SK"/>
              </w:rPr>
            </w:pPr>
            <w:r w:rsidRPr="000979CA">
              <w:rPr>
                <w:lang w:val="sk-SK"/>
              </w:rPr>
              <w:t>101 ml</w:t>
            </w:r>
          </w:p>
        </w:tc>
        <w:tc>
          <w:tcPr>
            <w:tcW w:w="2409" w:type="dxa"/>
            <w:shd w:val="clear" w:color="auto" w:fill="auto"/>
          </w:tcPr>
          <w:p w14:paraId="381BCC95" w14:textId="77777777" w:rsidR="000002FA" w:rsidRPr="000979CA" w:rsidRDefault="000002FA" w:rsidP="008E1727">
            <w:pPr>
              <w:tabs>
                <w:tab w:val="clear" w:pos="567"/>
                <w:tab w:val="left" w:pos="720"/>
              </w:tabs>
              <w:jc w:val="both"/>
              <w:rPr>
                <w:lang w:val="sk-SK"/>
              </w:rPr>
            </w:pPr>
            <w:r w:rsidRPr="000979CA">
              <w:rPr>
                <w:lang w:val="sk-SK"/>
              </w:rPr>
              <w:t>1 ml</w:t>
            </w:r>
          </w:p>
        </w:tc>
      </w:tr>
    </w:tbl>
    <w:p w14:paraId="7710C105" w14:textId="77777777" w:rsidR="000002FA" w:rsidRDefault="000002FA" w:rsidP="000002FA">
      <w:pPr>
        <w:tabs>
          <w:tab w:val="clear" w:pos="567"/>
          <w:tab w:val="left" w:pos="720"/>
        </w:tabs>
        <w:ind w:left="460" w:firstLine="260"/>
        <w:jc w:val="both"/>
        <w:rPr>
          <w:lang w:val="sk-SK"/>
        </w:rPr>
      </w:pPr>
    </w:p>
    <w:p w14:paraId="58C9E4CF" w14:textId="77777777" w:rsidR="000002FA" w:rsidRDefault="000002FA" w:rsidP="00233E28">
      <w:pPr>
        <w:pStyle w:val="Normlnywebov"/>
        <w:spacing w:before="0" w:beforeAutospacing="0" w:after="0" w:afterAutospacing="0"/>
        <w:outlineLvl w:val="0"/>
        <w:rPr>
          <w:rFonts w:ascii="Times New Roman" w:hAnsi="Times New Roman"/>
          <w:sz w:val="22"/>
          <w:lang w:val="sk-SK"/>
        </w:rPr>
      </w:pPr>
    </w:p>
    <w:p w14:paraId="738B00B3" w14:textId="0750C9B7" w:rsidR="003E3C22" w:rsidRPr="00DD6717" w:rsidRDefault="003E3C22" w:rsidP="00233E28">
      <w:pPr>
        <w:rPr>
          <w:i/>
          <w:iCs/>
          <w:lang w:val="sk-SK"/>
        </w:rPr>
      </w:pPr>
      <w:r w:rsidRPr="00233E28">
        <w:rPr>
          <w:i/>
          <w:iCs/>
          <w:lang w:val="sk-SK"/>
        </w:rPr>
        <w:t xml:space="preserve">Pre čas použiteľnosti a podmienky </w:t>
      </w:r>
      <w:r w:rsidR="00A56195" w:rsidRPr="00233E28">
        <w:rPr>
          <w:i/>
          <w:iCs/>
          <w:lang w:val="sk-SK"/>
        </w:rPr>
        <w:t xml:space="preserve">uchovávania </w:t>
      </w:r>
      <w:r w:rsidRPr="00233E28">
        <w:rPr>
          <w:i/>
          <w:iCs/>
          <w:lang w:val="sk-SK"/>
        </w:rPr>
        <w:t xml:space="preserve">po </w:t>
      </w:r>
      <w:r w:rsidR="00A56195" w:rsidRPr="00233E28">
        <w:rPr>
          <w:i/>
          <w:iCs/>
          <w:lang w:val="sk-SK"/>
        </w:rPr>
        <w:t>r</w:t>
      </w:r>
      <w:r w:rsidR="00A56195">
        <w:rPr>
          <w:i/>
          <w:iCs/>
          <w:lang w:val="sk-SK"/>
        </w:rPr>
        <w:t>ekonštitúcii</w:t>
      </w:r>
      <w:r w:rsidRPr="00233E28">
        <w:rPr>
          <w:i/>
          <w:iCs/>
          <w:lang w:val="sk-SK"/>
        </w:rPr>
        <w:t>,</w:t>
      </w:r>
      <w:r w:rsidRPr="00DD6717">
        <w:rPr>
          <w:i/>
          <w:iCs/>
          <w:lang w:val="sk-SK"/>
        </w:rPr>
        <w:t xml:space="preserve"> </w:t>
      </w:r>
      <w:r w:rsidRPr="00456424">
        <w:rPr>
          <w:iCs/>
          <w:lang w:val="sk-SK"/>
        </w:rPr>
        <w:t>pozri časť 6.3.</w:t>
      </w:r>
    </w:p>
    <w:p w14:paraId="3A05048B" w14:textId="77777777" w:rsidR="00E309F0" w:rsidRPr="00DD6717" w:rsidRDefault="00E309F0" w:rsidP="003E3C22">
      <w:pPr>
        <w:pStyle w:val="Normlnywebov"/>
        <w:spacing w:before="0" w:beforeAutospacing="0" w:after="0" w:afterAutospacing="0"/>
        <w:ind w:left="540"/>
        <w:outlineLvl w:val="0"/>
        <w:rPr>
          <w:rFonts w:ascii="Times New Roman" w:hAnsi="Times New Roman"/>
          <w:sz w:val="22"/>
          <w:lang w:val="sk-SK"/>
        </w:rPr>
      </w:pPr>
    </w:p>
    <w:p w14:paraId="2F1CF6CD" w14:textId="4AC24FA0" w:rsidR="003E3C22" w:rsidRDefault="003E3C22" w:rsidP="008E4D4A">
      <w:pPr>
        <w:numPr>
          <w:ilvl w:val="12"/>
          <w:numId w:val="0"/>
        </w:numPr>
        <w:jc w:val="both"/>
        <w:rPr>
          <w:lang w:val="sk-SK"/>
        </w:rPr>
      </w:pPr>
      <w:r>
        <w:rPr>
          <w:lang w:val="sk-SK"/>
        </w:rPr>
        <w:t>Po</w:t>
      </w:r>
      <w:r w:rsidRPr="004229C9">
        <w:rPr>
          <w:lang w:val="sk-SK"/>
        </w:rPr>
        <w:t xml:space="preserve"> </w:t>
      </w:r>
      <w:r w:rsidR="00B412BD">
        <w:rPr>
          <w:lang w:val="sk-SK"/>
        </w:rPr>
        <w:t>rekonštitúcii</w:t>
      </w:r>
      <w:r w:rsidR="00B412BD" w:rsidRPr="004229C9">
        <w:rPr>
          <w:lang w:val="sk-SK"/>
        </w:rPr>
        <w:t xml:space="preserve"> </w:t>
      </w:r>
      <w:r w:rsidRPr="004229C9">
        <w:rPr>
          <w:lang w:val="sk-SK"/>
        </w:rPr>
        <w:t>m</w:t>
      </w:r>
      <w:r>
        <w:rPr>
          <w:lang w:val="sk-SK"/>
        </w:rPr>
        <w:t>á</w:t>
      </w:r>
      <w:r w:rsidRPr="004229C9">
        <w:rPr>
          <w:lang w:val="sk-SK"/>
        </w:rPr>
        <w:t xml:space="preserve"> byť roztok číry a bledožltý až žltohnedý. Nepoužívajte roztok, ak sú </w:t>
      </w:r>
      <w:r>
        <w:rPr>
          <w:lang w:val="sk-SK"/>
        </w:rPr>
        <w:t>viditeľné</w:t>
      </w:r>
      <w:r w:rsidR="008E4D4A">
        <w:rPr>
          <w:lang w:val="sk-SK"/>
        </w:rPr>
        <w:t xml:space="preserve"> </w:t>
      </w:r>
      <w:r>
        <w:rPr>
          <w:lang w:val="sk-SK"/>
        </w:rPr>
        <w:t>akékoľvek častice</w:t>
      </w:r>
      <w:r w:rsidRPr="004229C9">
        <w:rPr>
          <w:lang w:val="sk-SK"/>
        </w:rPr>
        <w:t xml:space="preserve">. Len </w:t>
      </w:r>
      <w:r>
        <w:rPr>
          <w:lang w:val="sk-SK"/>
        </w:rPr>
        <w:t xml:space="preserve">na </w:t>
      </w:r>
      <w:r w:rsidR="00E51871">
        <w:rPr>
          <w:lang w:val="sk-SK"/>
        </w:rPr>
        <w:t>jednora</w:t>
      </w:r>
      <w:r w:rsidR="00E51871" w:rsidRPr="004229C9">
        <w:rPr>
          <w:lang w:val="sk-SK"/>
        </w:rPr>
        <w:t>zové</w:t>
      </w:r>
      <w:r w:rsidRPr="004229C9">
        <w:rPr>
          <w:lang w:val="sk-SK"/>
        </w:rPr>
        <w:t xml:space="preserve"> použitie.</w:t>
      </w:r>
    </w:p>
    <w:p w14:paraId="0534D50B" w14:textId="77777777" w:rsidR="003E3C22" w:rsidRDefault="003E3C22" w:rsidP="003E3C22">
      <w:pPr>
        <w:numPr>
          <w:ilvl w:val="12"/>
          <w:numId w:val="0"/>
        </w:numPr>
        <w:ind w:left="539"/>
        <w:rPr>
          <w:lang w:val="sk-SK"/>
        </w:rPr>
      </w:pPr>
    </w:p>
    <w:p w14:paraId="56DDADCF" w14:textId="77777777" w:rsidR="003E3C22" w:rsidRPr="004229C9" w:rsidRDefault="003E3C22" w:rsidP="003E3C22">
      <w:pPr>
        <w:numPr>
          <w:ilvl w:val="12"/>
          <w:numId w:val="0"/>
        </w:numPr>
        <w:ind w:left="539"/>
        <w:rPr>
          <w:lang w:val="sk-SK"/>
        </w:rPr>
      </w:pPr>
    </w:p>
    <w:p w14:paraId="1161BB7D" w14:textId="77777777" w:rsidR="003E3C22" w:rsidRPr="004229C9" w:rsidRDefault="003E3C22" w:rsidP="003E3C22">
      <w:pPr>
        <w:tabs>
          <w:tab w:val="clear" w:pos="567"/>
        </w:tabs>
        <w:spacing w:line="240" w:lineRule="auto"/>
        <w:ind w:left="567" w:hanging="567"/>
        <w:rPr>
          <w:noProof/>
          <w:szCs w:val="22"/>
          <w:lang w:val="sk-SK"/>
        </w:rPr>
      </w:pPr>
      <w:r w:rsidRPr="004229C9">
        <w:rPr>
          <w:b/>
          <w:noProof/>
          <w:szCs w:val="22"/>
          <w:lang w:val="sk-SK"/>
        </w:rPr>
        <w:t>7.</w:t>
      </w:r>
      <w:r w:rsidRPr="004229C9">
        <w:rPr>
          <w:b/>
          <w:noProof/>
          <w:szCs w:val="22"/>
          <w:lang w:val="sk-SK"/>
        </w:rPr>
        <w:tab/>
        <w:t xml:space="preserve">DRŽITEĽ ROZHODNUTIA O REGISTRÁCII </w:t>
      </w:r>
    </w:p>
    <w:p w14:paraId="6D62635A" w14:textId="77777777" w:rsidR="003E3C22" w:rsidRPr="004229C9" w:rsidRDefault="003E3C22" w:rsidP="003E3C22">
      <w:pPr>
        <w:tabs>
          <w:tab w:val="clear" w:pos="567"/>
        </w:tabs>
        <w:spacing w:line="240" w:lineRule="auto"/>
        <w:rPr>
          <w:b/>
          <w:noProof/>
          <w:szCs w:val="22"/>
          <w:lang w:val="sk-SK"/>
        </w:rPr>
      </w:pPr>
      <w:r w:rsidRPr="004229C9">
        <w:rPr>
          <w:noProof/>
          <w:szCs w:val="22"/>
          <w:lang w:val="sk-SK"/>
        </w:rPr>
        <w:t xml:space="preserve">          </w:t>
      </w:r>
    </w:p>
    <w:p w14:paraId="728A75B1" w14:textId="1B757A61" w:rsidR="003E3C22" w:rsidRPr="000E7031" w:rsidRDefault="003E3C22" w:rsidP="00233E28">
      <w:pPr>
        <w:rPr>
          <w:lang w:val="sk-SK"/>
        </w:rPr>
      </w:pPr>
      <w:r w:rsidRPr="000E7031">
        <w:rPr>
          <w:lang w:val="sk-SK"/>
        </w:rPr>
        <w:t xml:space="preserve">Dr. Friedrich </w:t>
      </w:r>
      <w:proofErr w:type="spellStart"/>
      <w:r w:rsidRPr="000E7031">
        <w:rPr>
          <w:lang w:val="sk-SK"/>
        </w:rPr>
        <w:t>Eberth</w:t>
      </w:r>
      <w:proofErr w:type="spellEnd"/>
      <w:r w:rsidRPr="000E7031">
        <w:rPr>
          <w:lang w:val="sk-SK"/>
        </w:rPr>
        <w:t xml:space="preserve"> </w:t>
      </w:r>
      <w:proofErr w:type="spellStart"/>
      <w:r w:rsidRPr="000E7031">
        <w:rPr>
          <w:lang w:val="sk-SK"/>
        </w:rPr>
        <w:t>Arzneimittel</w:t>
      </w:r>
      <w:proofErr w:type="spellEnd"/>
      <w:r w:rsidRPr="000E7031">
        <w:rPr>
          <w:lang w:val="sk-SK"/>
        </w:rPr>
        <w:t xml:space="preserve"> </w:t>
      </w:r>
      <w:proofErr w:type="spellStart"/>
      <w:r w:rsidRPr="000E7031">
        <w:rPr>
          <w:lang w:val="sk-SK"/>
        </w:rPr>
        <w:t>GmbH</w:t>
      </w:r>
      <w:proofErr w:type="spellEnd"/>
    </w:p>
    <w:p w14:paraId="44D20D33" w14:textId="04E49922" w:rsidR="003E3C22" w:rsidRPr="00A53798" w:rsidRDefault="003E3C22" w:rsidP="003E3C22">
      <w:pPr>
        <w:tabs>
          <w:tab w:val="clear" w:pos="567"/>
          <w:tab w:val="left" w:pos="540"/>
        </w:tabs>
        <w:rPr>
          <w:lang w:val="de-DE"/>
        </w:rPr>
      </w:pPr>
      <w:r>
        <w:rPr>
          <w:lang w:val="de-DE"/>
        </w:rPr>
        <w:t>Am Bahnhof 2</w:t>
      </w:r>
    </w:p>
    <w:p w14:paraId="495127C8" w14:textId="50D3622D" w:rsidR="003E3C22" w:rsidRPr="00A53798" w:rsidRDefault="003E3C22" w:rsidP="003E3C22">
      <w:pPr>
        <w:tabs>
          <w:tab w:val="clear" w:pos="567"/>
          <w:tab w:val="left" w:pos="540"/>
        </w:tabs>
        <w:rPr>
          <w:lang w:val="de-DE"/>
        </w:rPr>
      </w:pPr>
      <w:r>
        <w:rPr>
          <w:lang w:val="de-DE"/>
        </w:rPr>
        <w:t xml:space="preserve">92289 </w:t>
      </w:r>
      <w:proofErr w:type="spellStart"/>
      <w:r>
        <w:rPr>
          <w:lang w:val="de-DE"/>
        </w:rPr>
        <w:t>Ursensollen</w:t>
      </w:r>
      <w:proofErr w:type="spellEnd"/>
    </w:p>
    <w:p w14:paraId="496FFDB8" w14:textId="7D67895B" w:rsidR="003E3C22" w:rsidRDefault="00A85171" w:rsidP="003E3C22">
      <w:pPr>
        <w:tabs>
          <w:tab w:val="clear" w:pos="567"/>
          <w:tab w:val="left" w:pos="540"/>
        </w:tabs>
        <w:rPr>
          <w:lang w:val="de-DE"/>
        </w:rPr>
      </w:pPr>
      <w:proofErr w:type="spellStart"/>
      <w:r>
        <w:rPr>
          <w:lang w:val="de-DE"/>
        </w:rPr>
        <w:t>Nemecko</w:t>
      </w:r>
      <w:proofErr w:type="spellEnd"/>
    </w:p>
    <w:p w14:paraId="6865626B" w14:textId="77777777" w:rsidR="004E6A71" w:rsidRPr="00385A0D" w:rsidRDefault="004E6A71" w:rsidP="004E6A71">
      <w:pPr>
        <w:pStyle w:val="EberthPBeinfachabsatzFormatgruppe1"/>
        <w:tabs>
          <w:tab w:val="clear" w:pos="198"/>
          <w:tab w:val="left" w:pos="567"/>
        </w:tabs>
        <w:rPr>
          <w:rFonts w:ascii="Times New Roman" w:hAnsi="Times New Roman" w:cs="Times New Roman"/>
          <w:sz w:val="22"/>
          <w:szCs w:val="22"/>
        </w:rPr>
      </w:pPr>
      <w:r w:rsidRPr="00385A0D">
        <w:rPr>
          <w:rFonts w:ascii="Times New Roman" w:hAnsi="Times New Roman" w:cs="Times New Roman"/>
          <w:sz w:val="22"/>
          <w:szCs w:val="22"/>
        </w:rPr>
        <w:t>tel.:</w:t>
      </w:r>
      <w:r w:rsidRPr="00385A0D">
        <w:rPr>
          <w:rFonts w:ascii="Times New Roman" w:hAnsi="Times New Roman" w:cs="Times New Roman"/>
          <w:sz w:val="22"/>
          <w:szCs w:val="22"/>
        </w:rPr>
        <w:tab/>
        <w:t>+49 96 28 92 37 67-0</w:t>
      </w:r>
    </w:p>
    <w:p w14:paraId="147D9643" w14:textId="77777777" w:rsidR="004E6A71" w:rsidRPr="00CE0B83" w:rsidRDefault="004E6A71" w:rsidP="004E6A71">
      <w:pPr>
        <w:pStyle w:val="EberthPBeinfachabsatzFormatgruppe1"/>
        <w:tabs>
          <w:tab w:val="clear" w:pos="198"/>
          <w:tab w:val="left" w:pos="567"/>
        </w:tabs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ascii="Times New Roman" w:hAnsi="Times New Roman" w:cs="Times New Roman"/>
          <w:sz w:val="22"/>
          <w:szCs w:val="22"/>
          <w:lang w:val="fr-FR"/>
        </w:rPr>
        <w:t>f</w:t>
      </w:r>
      <w:r w:rsidRPr="00CE0B83">
        <w:rPr>
          <w:rFonts w:ascii="Times New Roman" w:hAnsi="Times New Roman" w:cs="Times New Roman"/>
          <w:sz w:val="22"/>
          <w:szCs w:val="22"/>
          <w:lang w:val="fr-FR"/>
        </w:rPr>
        <w:t>ax:</w:t>
      </w:r>
      <w:r w:rsidRPr="00CE0B83">
        <w:rPr>
          <w:rFonts w:ascii="Times New Roman" w:hAnsi="Times New Roman" w:cs="Times New Roman"/>
          <w:sz w:val="22"/>
          <w:szCs w:val="22"/>
          <w:lang w:val="fr-FR"/>
        </w:rPr>
        <w:tab/>
        <w:t>+49 96 28 92 37 67-99</w:t>
      </w:r>
    </w:p>
    <w:p w14:paraId="30FA57B1" w14:textId="77777777" w:rsidR="004E6A71" w:rsidRPr="00233E28" w:rsidRDefault="004E6A71" w:rsidP="00233E28">
      <w:pPr>
        <w:pStyle w:val="EberthPBeinfachabsatzFormatgruppe1"/>
        <w:tabs>
          <w:tab w:val="left" w:pos="567"/>
        </w:tabs>
        <w:rPr>
          <w:szCs w:val="22"/>
          <w:lang w:val="fr-FR"/>
        </w:rPr>
      </w:pPr>
      <w:r w:rsidRPr="00CE0B83">
        <w:rPr>
          <w:rFonts w:ascii="Times New Roman" w:hAnsi="Times New Roman" w:cs="Times New Roman"/>
          <w:sz w:val="22"/>
          <w:szCs w:val="22"/>
          <w:lang w:val="fr-FR"/>
        </w:rPr>
        <w:t xml:space="preserve">info@eberth.de </w:t>
      </w:r>
    </w:p>
    <w:p w14:paraId="0F02E27E" w14:textId="77777777" w:rsidR="003E3C22" w:rsidRDefault="003E3C22" w:rsidP="003E3C22">
      <w:pPr>
        <w:tabs>
          <w:tab w:val="clear" w:pos="567"/>
          <w:tab w:val="left" w:pos="540"/>
        </w:tabs>
        <w:ind w:hanging="27"/>
        <w:rPr>
          <w:lang w:val="sk-SK"/>
        </w:rPr>
      </w:pPr>
    </w:p>
    <w:p w14:paraId="7CB7B04B" w14:textId="77777777" w:rsidR="00D83322" w:rsidRPr="004229C9" w:rsidRDefault="00D83322" w:rsidP="003E3C22">
      <w:pPr>
        <w:tabs>
          <w:tab w:val="clear" w:pos="567"/>
          <w:tab w:val="left" w:pos="540"/>
        </w:tabs>
        <w:ind w:hanging="27"/>
        <w:rPr>
          <w:lang w:val="sk-SK"/>
        </w:rPr>
      </w:pPr>
    </w:p>
    <w:p w14:paraId="2DF33A1D" w14:textId="77777777" w:rsidR="003E3C22" w:rsidRPr="00782EFE" w:rsidRDefault="003E3C22" w:rsidP="003E3C22">
      <w:pPr>
        <w:numPr>
          <w:ilvl w:val="0"/>
          <w:numId w:val="9"/>
        </w:numPr>
        <w:tabs>
          <w:tab w:val="left" w:pos="6000"/>
        </w:tabs>
        <w:ind w:hanging="930"/>
        <w:rPr>
          <w:b/>
          <w:noProof/>
          <w:szCs w:val="22"/>
          <w:lang w:val="sk-SK"/>
        </w:rPr>
      </w:pPr>
      <w:r w:rsidRPr="00782EFE">
        <w:rPr>
          <w:b/>
          <w:noProof/>
          <w:szCs w:val="22"/>
          <w:lang w:val="sk-SK"/>
        </w:rPr>
        <w:t xml:space="preserve">REGISTRAČNÉ ČÍSLA </w:t>
      </w:r>
    </w:p>
    <w:p w14:paraId="67093097" w14:textId="77777777" w:rsidR="00B8423E" w:rsidRDefault="003E3C22" w:rsidP="003E3C22">
      <w:pPr>
        <w:tabs>
          <w:tab w:val="num" w:pos="930"/>
          <w:tab w:val="left" w:pos="6000"/>
        </w:tabs>
        <w:ind w:left="360" w:hanging="930"/>
        <w:rPr>
          <w:noProof/>
          <w:szCs w:val="22"/>
          <w:lang w:val="sk-SK"/>
        </w:rPr>
      </w:pPr>
      <w:r w:rsidRPr="004229C9">
        <w:rPr>
          <w:noProof/>
          <w:szCs w:val="22"/>
          <w:lang w:val="sk-SK"/>
        </w:rPr>
        <w:tab/>
      </w:r>
      <w:r w:rsidRPr="004229C9">
        <w:rPr>
          <w:noProof/>
          <w:szCs w:val="22"/>
          <w:lang w:val="sk-SK"/>
        </w:rPr>
        <w:tab/>
      </w:r>
    </w:p>
    <w:p w14:paraId="669A0AB0" w14:textId="080D6365" w:rsidR="003E3C22" w:rsidRPr="00DE1EBA" w:rsidRDefault="003E3C22" w:rsidP="00E41B62">
      <w:pPr>
        <w:tabs>
          <w:tab w:val="clear" w:pos="567"/>
        </w:tabs>
        <w:rPr>
          <w:bCs/>
          <w:noProof/>
          <w:szCs w:val="22"/>
          <w:lang w:val="sk-SK"/>
        </w:rPr>
      </w:pPr>
      <w:r>
        <w:rPr>
          <w:bCs/>
          <w:noProof/>
          <w:szCs w:val="22"/>
          <w:lang w:val="sk-SK"/>
        </w:rPr>
        <w:t>15/0332/10-S</w:t>
      </w:r>
    </w:p>
    <w:p w14:paraId="3E98E91D" w14:textId="2776BD54" w:rsidR="003E3C22" w:rsidRPr="00233E28" w:rsidRDefault="003E3C22" w:rsidP="00E41B62">
      <w:pPr>
        <w:tabs>
          <w:tab w:val="clear" w:pos="567"/>
        </w:tabs>
        <w:rPr>
          <w:highlight w:val="lightGray"/>
          <w:lang w:val="sk-SK"/>
        </w:rPr>
      </w:pPr>
      <w:r w:rsidRPr="00233E28">
        <w:rPr>
          <w:highlight w:val="lightGray"/>
          <w:lang w:val="sk-SK"/>
        </w:rPr>
        <w:t>15/0333/10-S</w:t>
      </w:r>
    </w:p>
    <w:p w14:paraId="0B33DBF3" w14:textId="114A1383" w:rsidR="003E3C22" w:rsidRPr="00233E28" w:rsidRDefault="003E3C22" w:rsidP="00F80427">
      <w:pPr>
        <w:tabs>
          <w:tab w:val="clear" w:pos="567"/>
        </w:tabs>
        <w:rPr>
          <w:highlight w:val="lightGray"/>
          <w:lang w:val="sk-SK"/>
        </w:rPr>
      </w:pPr>
      <w:r w:rsidRPr="00233E28">
        <w:rPr>
          <w:highlight w:val="lightGray"/>
          <w:lang w:val="sk-SK"/>
        </w:rPr>
        <w:t>15/0334/10-S</w:t>
      </w:r>
    </w:p>
    <w:p w14:paraId="5F89A7A8" w14:textId="77777777" w:rsidR="003E3C22" w:rsidRDefault="003E3C22" w:rsidP="003E3C22">
      <w:pPr>
        <w:tabs>
          <w:tab w:val="num" w:pos="930"/>
          <w:tab w:val="left" w:pos="6000"/>
        </w:tabs>
        <w:ind w:left="360" w:hanging="930"/>
        <w:rPr>
          <w:bCs/>
          <w:noProof/>
          <w:szCs w:val="22"/>
          <w:lang w:val="sk-SK"/>
        </w:rPr>
      </w:pPr>
    </w:p>
    <w:p w14:paraId="3EF1C294" w14:textId="77777777" w:rsidR="007C4B77" w:rsidRPr="00DE1EBA" w:rsidRDefault="007C4B77" w:rsidP="003E3C22">
      <w:pPr>
        <w:tabs>
          <w:tab w:val="num" w:pos="930"/>
          <w:tab w:val="left" w:pos="6000"/>
        </w:tabs>
        <w:ind w:left="360" w:hanging="930"/>
        <w:rPr>
          <w:bCs/>
          <w:noProof/>
          <w:szCs w:val="22"/>
          <w:lang w:val="sk-SK"/>
        </w:rPr>
      </w:pPr>
    </w:p>
    <w:p w14:paraId="5BC28CD8" w14:textId="77777777" w:rsidR="003E3C22" w:rsidRPr="00BF6A75" w:rsidRDefault="003E3C22" w:rsidP="003E3C22">
      <w:pPr>
        <w:numPr>
          <w:ilvl w:val="0"/>
          <w:numId w:val="9"/>
        </w:numPr>
        <w:tabs>
          <w:tab w:val="left" w:pos="6000"/>
        </w:tabs>
        <w:ind w:hanging="930"/>
        <w:rPr>
          <w:b/>
          <w:noProof/>
          <w:szCs w:val="22"/>
          <w:lang w:val="sk-SK"/>
        </w:rPr>
      </w:pPr>
      <w:r w:rsidRPr="00BF6A75">
        <w:rPr>
          <w:b/>
          <w:noProof/>
          <w:szCs w:val="22"/>
          <w:lang w:val="sk-SK"/>
        </w:rPr>
        <w:t xml:space="preserve">DÁTUM PRVEJ REGISTRÁCIE/ PREDĹŽENIA REGISTRÁCIE </w:t>
      </w:r>
    </w:p>
    <w:p w14:paraId="51A21595" w14:textId="77777777" w:rsidR="00B8423E" w:rsidRDefault="003E3C22" w:rsidP="003E3C22">
      <w:pPr>
        <w:tabs>
          <w:tab w:val="left" w:pos="6000"/>
        </w:tabs>
        <w:rPr>
          <w:b/>
          <w:noProof/>
          <w:szCs w:val="22"/>
          <w:lang w:val="sk-SK"/>
        </w:rPr>
      </w:pPr>
      <w:r>
        <w:rPr>
          <w:b/>
          <w:noProof/>
          <w:szCs w:val="22"/>
          <w:lang w:val="sk-SK"/>
        </w:rPr>
        <w:tab/>
      </w:r>
    </w:p>
    <w:p w14:paraId="5222CA2C" w14:textId="61DB53D1" w:rsidR="003E3C22" w:rsidRPr="00C22F54" w:rsidRDefault="00B8423E" w:rsidP="00F80427">
      <w:pPr>
        <w:tabs>
          <w:tab w:val="clear" w:pos="567"/>
        </w:tabs>
        <w:rPr>
          <w:noProof/>
          <w:szCs w:val="22"/>
          <w:lang w:val="sk-SK"/>
        </w:rPr>
      </w:pPr>
      <w:r w:rsidRPr="00345FAC">
        <w:rPr>
          <w:noProof/>
          <w:szCs w:val="22"/>
          <w:lang w:val="sk-SK"/>
        </w:rPr>
        <w:t>Dátum prvej registrácie: 0</w:t>
      </w:r>
      <w:r w:rsidR="003E3C22" w:rsidRPr="00C22F54">
        <w:rPr>
          <w:noProof/>
          <w:szCs w:val="22"/>
          <w:lang w:val="sk-SK"/>
        </w:rPr>
        <w:t>1.</w:t>
      </w:r>
      <w:r>
        <w:rPr>
          <w:noProof/>
          <w:szCs w:val="22"/>
          <w:lang w:val="sk-SK"/>
        </w:rPr>
        <w:t xml:space="preserve"> júna </w:t>
      </w:r>
      <w:r w:rsidR="003E3C22" w:rsidRPr="00C22F54">
        <w:rPr>
          <w:noProof/>
          <w:szCs w:val="22"/>
          <w:lang w:val="sk-SK"/>
        </w:rPr>
        <w:t>2010</w:t>
      </w:r>
      <w:r w:rsidR="003E3C22">
        <w:rPr>
          <w:noProof/>
          <w:szCs w:val="22"/>
          <w:lang w:val="sk-SK"/>
        </w:rPr>
        <w:t xml:space="preserve"> </w:t>
      </w:r>
    </w:p>
    <w:p w14:paraId="1BB2DA0C" w14:textId="362B60DA" w:rsidR="003E3C22" w:rsidRDefault="00B8423E" w:rsidP="00F80427">
      <w:pPr>
        <w:tabs>
          <w:tab w:val="clear" w:pos="567"/>
        </w:tabs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Dátum posledného predĺženia registrácie: 29. júna 2011</w:t>
      </w:r>
      <w:r w:rsidR="003E3C22" w:rsidRPr="004229C9">
        <w:rPr>
          <w:noProof/>
          <w:szCs w:val="22"/>
          <w:lang w:val="sk-SK"/>
        </w:rPr>
        <w:tab/>
      </w:r>
      <w:r w:rsidR="003E3C22" w:rsidRPr="004229C9">
        <w:rPr>
          <w:noProof/>
          <w:szCs w:val="22"/>
          <w:lang w:val="sk-SK"/>
        </w:rPr>
        <w:tab/>
      </w:r>
    </w:p>
    <w:p w14:paraId="3763AC97" w14:textId="77777777" w:rsidR="00B8423E" w:rsidRPr="004229C9" w:rsidRDefault="00B8423E" w:rsidP="003E3C22">
      <w:pPr>
        <w:tabs>
          <w:tab w:val="num" w:pos="930"/>
          <w:tab w:val="left" w:pos="6000"/>
        </w:tabs>
        <w:ind w:left="360" w:hanging="930"/>
        <w:rPr>
          <w:b/>
          <w:noProof/>
          <w:szCs w:val="22"/>
          <w:lang w:val="sk-SK"/>
        </w:rPr>
      </w:pPr>
    </w:p>
    <w:p w14:paraId="05E0F979" w14:textId="77777777" w:rsidR="003E3C22" w:rsidRPr="004229C9" w:rsidRDefault="003E3C22" w:rsidP="003E3C22">
      <w:pPr>
        <w:tabs>
          <w:tab w:val="num" w:pos="930"/>
          <w:tab w:val="left" w:pos="6000"/>
        </w:tabs>
        <w:ind w:left="360" w:hanging="930"/>
        <w:rPr>
          <w:b/>
          <w:noProof/>
          <w:szCs w:val="22"/>
          <w:lang w:val="sk-SK"/>
        </w:rPr>
      </w:pPr>
    </w:p>
    <w:p w14:paraId="22CF378E" w14:textId="77777777" w:rsidR="003E3C22" w:rsidRDefault="003E3C22" w:rsidP="003E3C22">
      <w:pPr>
        <w:numPr>
          <w:ilvl w:val="0"/>
          <w:numId w:val="9"/>
        </w:numPr>
        <w:tabs>
          <w:tab w:val="left" w:pos="6000"/>
        </w:tabs>
        <w:ind w:hanging="930"/>
        <w:rPr>
          <w:b/>
          <w:noProof/>
          <w:szCs w:val="22"/>
          <w:lang w:val="sk-SK"/>
        </w:rPr>
      </w:pPr>
      <w:r w:rsidRPr="004229C9">
        <w:rPr>
          <w:b/>
          <w:noProof/>
          <w:szCs w:val="22"/>
          <w:lang w:val="sk-SK"/>
        </w:rPr>
        <w:lastRenderedPageBreak/>
        <w:t xml:space="preserve">DÁTUM REVÍZIE TEXTU </w:t>
      </w:r>
    </w:p>
    <w:p w14:paraId="0292F697" w14:textId="77777777" w:rsidR="008A27AC" w:rsidRDefault="008A27AC" w:rsidP="003E3C22">
      <w:pPr>
        <w:tabs>
          <w:tab w:val="left" w:pos="6000"/>
        </w:tabs>
        <w:rPr>
          <w:b/>
          <w:noProof/>
          <w:szCs w:val="22"/>
          <w:lang w:val="sk-SK"/>
        </w:rPr>
      </w:pPr>
    </w:p>
    <w:p w14:paraId="5B0AB494" w14:textId="64FA6D31" w:rsidR="00B8423E" w:rsidRPr="00233E28" w:rsidRDefault="00F552F2" w:rsidP="003E3C22">
      <w:pPr>
        <w:tabs>
          <w:tab w:val="left" w:pos="6000"/>
        </w:tabs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 xml:space="preserve">Apríl </w:t>
      </w:r>
      <w:r w:rsidR="008A27AC" w:rsidRPr="00233E28">
        <w:rPr>
          <w:noProof/>
          <w:szCs w:val="22"/>
          <w:lang w:val="sk-SK"/>
        </w:rPr>
        <w:t>2019</w:t>
      </w:r>
      <w:r w:rsidR="003E3C22" w:rsidRPr="00233E28">
        <w:rPr>
          <w:noProof/>
          <w:szCs w:val="22"/>
          <w:lang w:val="sk-SK"/>
        </w:rPr>
        <w:tab/>
      </w:r>
    </w:p>
    <w:p w14:paraId="44BE74AC" w14:textId="409DE616" w:rsidR="003E3C22" w:rsidRDefault="00504E8C" w:rsidP="00504E8C">
      <w:pPr>
        <w:tabs>
          <w:tab w:val="left" w:pos="6000"/>
        </w:tabs>
      </w:pPr>
      <w:r>
        <w:rPr>
          <w:noProof/>
          <w:szCs w:val="22"/>
          <w:lang w:val="sk-SK"/>
        </w:rPr>
        <w:tab/>
      </w:r>
    </w:p>
    <w:p w14:paraId="598ED255" w14:textId="0B470094" w:rsidR="003133ED" w:rsidRDefault="003133ED"/>
    <w:sectPr w:rsidR="003133ED" w:rsidSect="004B274D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240" w:right="1418" w:bottom="1134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43A5299" w16cid:durableId="203A4AA1"/>
  <w16cid:commentId w16cid:paraId="3C7F7F24" w16cid:durableId="203A4AA2"/>
  <w16cid:commentId w16cid:paraId="0E70C2C9" w16cid:durableId="203A4AA3"/>
  <w16cid:commentId w16cid:paraId="2CED9963" w16cid:durableId="203A4AA4"/>
  <w16cid:commentId w16cid:paraId="3BF29BD9" w16cid:durableId="203A4AA5"/>
  <w16cid:commentId w16cid:paraId="7492A89B" w16cid:durableId="203A4AA6"/>
  <w16cid:commentId w16cid:paraId="43B4C1AD" w16cid:durableId="203A4AA7"/>
  <w16cid:commentId w16cid:paraId="10C2574F" w16cid:durableId="203A4AA8"/>
  <w16cid:commentId w16cid:paraId="232CB348" w16cid:durableId="203A4AA9"/>
  <w16cid:commentId w16cid:paraId="28E5BD7A" w16cid:durableId="203A4F38"/>
  <w16cid:commentId w16cid:paraId="5A9C4087" w16cid:durableId="203A523E"/>
  <w16cid:commentId w16cid:paraId="3FAC1DB5" w16cid:durableId="203A540D"/>
  <w16cid:commentId w16cid:paraId="1AB45D64" w16cid:durableId="203A55D0"/>
  <w16cid:commentId w16cid:paraId="5C5F7FB2" w16cid:durableId="203A5717"/>
  <w16cid:commentId w16cid:paraId="7DA49E72" w16cid:durableId="203A5A1E"/>
  <w16cid:commentId w16cid:paraId="1B00CCC4" w16cid:durableId="203A6647"/>
  <w16cid:commentId w16cid:paraId="72D9D725" w16cid:durableId="203A691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A5850F" w14:textId="77777777" w:rsidR="00025F95" w:rsidRDefault="00025F95">
      <w:pPr>
        <w:spacing w:line="240" w:lineRule="auto"/>
      </w:pPr>
      <w:r>
        <w:separator/>
      </w:r>
    </w:p>
  </w:endnote>
  <w:endnote w:type="continuationSeparator" w:id="0">
    <w:p w14:paraId="27DBF657" w14:textId="77777777" w:rsidR="00025F95" w:rsidRDefault="00025F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utiger LT Com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F333E8" w14:textId="77777777" w:rsidR="00233E28" w:rsidRDefault="00233E28" w:rsidP="003E3C2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81B49AF" w14:textId="77777777" w:rsidR="00233E28" w:rsidRDefault="00233E28" w:rsidP="003E3C2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EA4FBB" w14:textId="77777777" w:rsidR="00233E28" w:rsidRPr="00345FAC" w:rsidRDefault="00233E28">
    <w:pPr>
      <w:pStyle w:val="Pta"/>
      <w:jc w:val="center"/>
      <w:rPr>
        <w:sz w:val="18"/>
      </w:rPr>
    </w:pPr>
    <w:r w:rsidRPr="00345FAC">
      <w:rPr>
        <w:sz w:val="18"/>
      </w:rPr>
      <w:fldChar w:fldCharType="begin"/>
    </w:r>
    <w:r w:rsidRPr="00345FAC">
      <w:rPr>
        <w:sz w:val="18"/>
      </w:rPr>
      <w:instrText>PAGE   \* MERGEFORMAT</w:instrText>
    </w:r>
    <w:r w:rsidRPr="00345FAC">
      <w:rPr>
        <w:sz w:val="18"/>
      </w:rPr>
      <w:fldChar w:fldCharType="separate"/>
    </w:r>
    <w:r w:rsidR="00772204" w:rsidRPr="00772204">
      <w:rPr>
        <w:noProof/>
        <w:sz w:val="18"/>
        <w:lang w:val="sk-SK"/>
      </w:rPr>
      <w:t>19</w:t>
    </w:r>
    <w:r w:rsidRPr="00345FAC">
      <w:rPr>
        <w:sz w:val="18"/>
      </w:rPr>
      <w:fldChar w:fldCharType="end"/>
    </w:r>
  </w:p>
  <w:p w14:paraId="38017A0C" w14:textId="77777777" w:rsidR="00233E28" w:rsidRDefault="00233E28" w:rsidP="003E3C22">
    <w:pPr>
      <w:pStyle w:val="Pt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2A75DA" w14:textId="77777777" w:rsidR="00233E28" w:rsidRPr="00345FAC" w:rsidRDefault="00233E28">
    <w:pPr>
      <w:pStyle w:val="Pta"/>
      <w:jc w:val="center"/>
      <w:rPr>
        <w:sz w:val="18"/>
      </w:rPr>
    </w:pPr>
    <w:r w:rsidRPr="00345FAC">
      <w:rPr>
        <w:sz w:val="18"/>
      </w:rPr>
      <w:fldChar w:fldCharType="begin"/>
    </w:r>
    <w:r w:rsidRPr="00345FAC">
      <w:rPr>
        <w:sz w:val="18"/>
      </w:rPr>
      <w:instrText>PAGE   \* MERGEFORMAT</w:instrText>
    </w:r>
    <w:r w:rsidRPr="00345FAC">
      <w:rPr>
        <w:sz w:val="18"/>
      </w:rPr>
      <w:fldChar w:fldCharType="separate"/>
    </w:r>
    <w:r w:rsidRPr="004B274D">
      <w:rPr>
        <w:noProof/>
        <w:sz w:val="18"/>
        <w:lang w:val="sk-SK"/>
      </w:rPr>
      <w:t>1</w:t>
    </w:r>
    <w:r w:rsidRPr="00345FAC">
      <w:rPr>
        <w:sz w:val="18"/>
      </w:rPr>
      <w:fldChar w:fldCharType="end"/>
    </w:r>
  </w:p>
  <w:p w14:paraId="0BF7EE36" w14:textId="77777777" w:rsidR="00233E28" w:rsidRDefault="00233E2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C04F99" w14:textId="77777777" w:rsidR="00025F95" w:rsidRDefault="00025F95">
      <w:pPr>
        <w:spacing w:line="240" w:lineRule="auto"/>
      </w:pPr>
      <w:r>
        <w:separator/>
      </w:r>
    </w:p>
  </w:footnote>
  <w:footnote w:type="continuationSeparator" w:id="0">
    <w:p w14:paraId="50BB7827" w14:textId="77777777" w:rsidR="00025F95" w:rsidRDefault="00025F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54A2C2" w14:textId="754047C1" w:rsidR="00233E28" w:rsidRDefault="00233E28">
    <w:pPr>
      <w:pStyle w:val="Hlavika"/>
    </w:pPr>
    <w:r>
      <w:rPr>
        <w:rFonts w:ascii="Times New Roman" w:hAnsi="Times New Roman"/>
        <w:noProof/>
        <w:sz w:val="18"/>
        <w:szCs w:val="18"/>
        <w:lang w:val="sk-SK"/>
      </w:rPr>
      <w:t> Schválený text k rozhodnutiu o zmene</w:t>
    </w:r>
    <w:r w:rsidRPr="00345FAC">
      <w:rPr>
        <w:rFonts w:ascii="Times New Roman" w:hAnsi="Times New Roman"/>
        <w:noProof/>
        <w:sz w:val="18"/>
        <w:szCs w:val="18"/>
        <w:lang w:val="sk-SK"/>
      </w:rPr>
      <w:t>, ev.č.</w:t>
    </w:r>
    <w:r>
      <w:rPr>
        <w:rFonts w:ascii="Times New Roman" w:hAnsi="Times New Roman"/>
        <w:noProof/>
        <w:sz w:val="18"/>
        <w:szCs w:val="18"/>
        <w:lang w:val="sk-SK"/>
      </w:rPr>
      <w:t xml:space="preserve"> </w:t>
    </w:r>
    <w:r w:rsidRPr="00416060">
      <w:rPr>
        <w:rFonts w:ascii="Times New Roman" w:hAnsi="Times New Roman"/>
        <w:noProof/>
        <w:sz w:val="18"/>
        <w:szCs w:val="18"/>
        <w:lang w:val="sk-SK"/>
      </w:rPr>
      <w:t>2018/04022-Z</w:t>
    </w:r>
    <w:r>
      <w:rPr>
        <w:rFonts w:ascii="Times New Roman" w:hAnsi="Times New Roman"/>
        <w:noProof/>
        <w:sz w:val="18"/>
        <w:szCs w:val="18"/>
        <w:lang w:val="sk-SK"/>
      </w:rPr>
      <w:t>ME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6283E2" w14:textId="3E0DA688" w:rsidR="00233E28" w:rsidRPr="00345FAC" w:rsidRDefault="00233E28">
    <w:pPr>
      <w:pStyle w:val="Hlavika"/>
      <w:rPr>
        <w:rFonts w:ascii="Times New Roman" w:hAnsi="Times New Roman"/>
        <w:b/>
      </w:rPr>
    </w:pPr>
    <w:r w:rsidRPr="00345FAC">
      <w:rPr>
        <w:rFonts w:ascii="Times New Roman" w:hAnsi="Times New Roman"/>
        <w:noProof/>
        <w:sz w:val="18"/>
        <w:szCs w:val="18"/>
        <w:lang w:val="sk-SK"/>
      </w:rPr>
      <w:t>Príloha č. 1 k</w:t>
    </w:r>
    <w:r>
      <w:rPr>
        <w:rFonts w:ascii="Times New Roman" w:hAnsi="Times New Roman"/>
        <w:noProof/>
        <w:sz w:val="18"/>
        <w:szCs w:val="18"/>
        <w:lang w:val="sk-SK"/>
      </w:rPr>
      <w:t> </w:t>
    </w:r>
    <w:r w:rsidRPr="00345FAC">
      <w:rPr>
        <w:rFonts w:ascii="Times New Roman" w:hAnsi="Times New Roman"/>
        <w:noProof/>
        <w:sz w:val="18"/>
        <w:szCs w:val="18"/>
        <w:lang w:val="sk-SK"/>
      </w:rPr>
      <w:t>notifikácii</w:t>
    </w:r>
    <w:r>
      <w:rPr>
        <w:rFonts w:ascii="Times New Roman" w:hAnsi="Times New Roman"/>
        <w:noProof/>
        <w:sz w:val="18"/>
        <w:szCs w:val="18"/>
        <w:lang w:val="sk-SK"/>
      </w:rPr>
      <w:t xml:space="preserve"> o zmene</w:t>
    </w:r>
    <w:r w:rsidRPr="00345FAC">
      <w:rPr>
        <w:rFonts w:ascii="Times New Roman" w:hAnsi="Times New Roman"/>
        <w:noProof/>
        <w:sz w:val="18"/>
        <w:szCs w:val="18"/>
        <w:lang w:val="sk-SK"/>
      </w:rPr>
      <w:t>, ev.č.</w:t>
    </w:r>
    <w:r w:rsidRPr="00345FAC">
      <w:rPr>
        <w:rFonts w:ascii="Times New Roman" w:hAnsi="Times New Roman"/>
        <w:b/>
        <w:noProof/>
        <w:sz w:val="18"/>
        <w:szCs w:val="18"/>
        <w:lang w:val="sk-SK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83C"/>
      </v:shape>
    </w:pict>
  </w:numPicBullet>
  <w:abstractNum w:abstractNumId="0" w15:restartNumberingAfterBreak="0">
    <w:nsid w:val="FFFFFFFE"/>
    <w:multiLevelType w:val="singleLevel"/>
    <w:tmpl w:val="709EE688"/>
    <w:lvl w:ilvl="0">
      <w:numFmt w:val="decimal"/>
      <w:lvlText w:val="*"/>
      <w:lvlJc w:val="left"/>
    </w:lvl>
  </w:abstractNum>
  <w:abstractNum w:abstractNumId="1" w15:restartNumberingAfterBreak="0">
    <w:nsid w:val="02F94793"/>
    <w:multiLevelType w:val="hybridMultilevel"/>
    <w:tmpl w:val="CDE42D00"/>
    <w:lvl w:ilvl="0" w:tplc="040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ABE43E2"/>
    <w:multiLevelType w:val="hybridMultilevel"/>
    <w:tmpl w:val="84145FCA"/>
    <w:lvl w:ilvl="0" w:tplc="FFFFFFFF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BB25931"/>
    <w:multiLevelType w:val="hybridMultilevel"/>
    <w:tmpl w:val="DDE4F8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E77C4"/>
    <w:multiLevelType w:val="multilevel"/>
    <w:tmpl w:val="F440E97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216190A"/>
    <w:multiLevelType w:val="multilevel"/>
    <w:tmpl w:val="72EC51E6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650939"/>
    <w:multiLevelType w:val="hybridMultilevel"/>
    <w:tmpl w:val="0ECC0496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7AF422D"/>
    <w:multiLevelType w:val="multilevel"/>
    <w:tmpl w:val="CDE42D00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1C1767B5"/>
    <w:multiLevelType w:val="hybridMultilevel"/>
    <w:tmpl w:val="22846A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4840AB0"/>
    <w:multiLevelType w:val="hybridMultilevel"/>
    <w:tmpl w:val="60E0E01E"/>
    <w:lvl w:ilvl="0" w:tplc="FFFFFFFF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298F1033"/>
    <w:multiLevelType w:val="hybridMultilevel"/>
    <w:tmpl w:val="4B5C7A5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F74E2A"/>
    <w:multiLevelType w:val="hybridMultilevel"/>
    <w:tmpl w:val="EB92DAC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8FA055A"/>
    <w:multiLevelType w:val="hybridMultilevel"/>
    <w:tmpl w:val="EF041B1E"/>
    <w:lvl w:ilvl="0" w:tplc="0EC024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04091A"/>
    <w:multiLevelType w:val="hybridMultilevel"/>
    <w:tmpl w:val="B5285E6C"/>
    <w:lvl w:ilvl="0" w:tplc="FCF03816">
      <w:start w:val="3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" w15:restartNumberingAfterBreak="0">
    <w:nsid w:val="44110BBF"/>
    <w:multiLevelType w:val="hybridMultilevel"/>
    <w:tmpl w:val="D248A7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E7429D"/>
    <w:multiLevelType w:val="hybridMultilevel"/>
    <w:tmpl w:val="8B0E0812"/>
    <w:lvl w:ilvl="0" w:tplc="0405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015F01"/>
    <w:multiLevelType w:val="hybridMultilevel"/>
    <w:tmpl w:val="C00C449C"/>
    <w:lvl w:ilvl="0" w:tplc="FFFFFFFF">
      <w:start w:val="8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3D510D"/>
    <w:multiLevelType w:val="multilevel"/>
    <w:tmpl w:val="E79CCEC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956BCF"/>
    <w:multiLevelType w:val="multilevel"/>
    <w:tmpl w:val="4ABA295E"/>
    <w:lvl w:ilvl="0">
      <w:start w:val="4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582143B2"/>
    <w:multiLevelType w:val="multilevel"/>
    <w:tmpl w:val="EB92D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AC19D7"/>
    <w:multiLevelType w:val="hybridMultilevel"/>
    <w:tmpl w:val="E79CCEC8"/>
    <w:lvl w:ilvl="0" w:tplc="C0B6BF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D76FAB"/>
    <w:multiLevelType w:val="hybridMultilevel"/>
    <w:tmpl w:val="652CE030"/>
    <w:lvl w:ilvl="0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</w:abstractNum>
  <w:abstractNum w:abstractNumId="24" w15:restartNumberingAfterBreak="0">
    <w:nsid w:val="65E72B2F"/>
    <w:multiLevelType w:val="multilevel"/>
    <w:tmpl w:val="8F368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0F0947"/>
    <w:multiLevelType w:val="hybridMultilevel"/>
    <w:tmpl w:val="4C6649C8"/>
    <w:lvl w:ilvl="0" w:tplc="8244EE5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6BB378E8"/>
    <w:multiLevelType w:val="hybridMultilevel"/>
    <w:tmpl w:val="72EC51E6"/>
    <w:lvl w:ilvl="0" w:tplc="CDCCB8BA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2672D5"/>
    <w:multiLevelType w:val="hybridMultilevel"/>
    <w:tmpl w:val="4A10D1E4"/>
    <w:lvl w:ilvl="0" w:tplc="0A1C566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0B3D46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8094F8E"/>
    <w:multiLevelType w:val="hybridMultilevel"/>
    <w:tmpl w:val="8F3686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A25C22"/>
    <w:multiLevelType w:val="hybridMultilevel"/>
    <w:tmpl w:val="4B5C7A5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sz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2022CF"/>
    <w:multiLevelType w:val="hybridMultilevel"/>
    <w:tmpl w:val="E2D48BF2"/>
    <w:lvl w:ilvl="0" w:tplc="FFFFFFFF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9"/>
  </w:num>
  <w:num w:numId="3">
    <w:abstractNumId w:val="10"/>
  </w:num>
  <w:num w:numId="4">
    <w:abstractNumId w:val="0"/>
    <w:lvlOverride w:ilvl="0"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color w:val="auto"/>
        </w:rPr>
      </w:lvl>
    </w:lvlOverride>
  </w:num>
  <w:num w:numId="5">
    <w:abstractNumId w:val="11"/>
  </w:num>
  <w:num w:numId="6">
    <w:abstractNumId w:val="31"/>
  </w:num>
  <w:num w:numId="7">
    <w:abstractNumId w:val="26"/>
  </w:num>
  <w:num w:numId="8">
    <w:abstractNumId w:val="13"/>
  </w:num>
  <w:num w:numId="9">
    <w:abstractNumId w:val="18"/>
  </w:num>
  <w:num w:numId="10">
    <w:abstractNumId w:val="28"/>
  </w:num>
  <w:num w:numId="11">
    <w:abstractNumId w:val="4"/>
  </w:num>
  <w:num w:numId="12">
    <w:abstractNumId w:val="20"/>
  </w:num>
  <w:num w:numId="13">
    <w:abstractNumId w:val="16"/>
  </w:num>
  <w:num w:numId="14">
    <w:abstractNumId w:val="8"/>
  </w:num>
  <w:num w:numId="15">
    <w:abstractNumId w:val="30"/>
  </w:num>
  <w:num w:numId="16">
    <w:abstractNumId w:val="3"/>
  </w:num>
  <w:num w:numId="17">
    <w:abstractNumId w:val="24"/>
  </w:num>
  <w:num w:numId="18">
    <w:abstractNumId w:val="17"/>
  </w:num>
  <w:num w:numId="19">
    <w:abstractNumId w:val="22"/>
  </w:num>
  <w:num w:numId="20">
    <w:abstractNumId w:val="19"/>
  </w:num>
  <w:num w:numId="21">
    <w:abstractNumId w:val="12"/>
  </w:num>
  <w:num w:numId="22">
    <w:abstractNumId w:val="21"/>
  </w:num>
  <w:num w:numId="23">
    <w:abstractNumId w:val="14"/>
  </w:num>
  <w:num w:numId="24">
    <w:abstractNumId w:val="1"/>
  </w:num>
  <w:num w:numId="25">
    <w:abstractNumId w:val="7"/>
  </w:num>
  <w:num w:numId="26">
    <w:abstractNumId w:val="27"/>
  </w:num>
  <w:num w:numId="27">
    <w:abstractNumId w:val="5"/>
  </w:num>
  <w:num w:numId="28">
    <w:abstractNumId w:val="15"/>
  </w:num>
  <w:num w:numId="29">
    <w:abstractNumId w:val="23"/>
  </w:num>
  <w:num w:numId="30">
    <w:abstractNumId w:val="25"/>
  </w:num>
  <w:num w:numId="31">
    <w:abstractNumId w:val="6"/>
  </w:num>
  <w:num w:numId="32">
    <w:abstractNumId w:val="32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653"/>
    <w:rsid w:val="000002FA"/>
    <w:rsid w:val="000122EC"/>
    <w:rsid w:val="0001562B"/>
    <w:rsid w:val="0001634E"/>
    <w:rsid w:val="00017E5C"/>
    <w:rsid w:val="0002344A"/>
    <w:rsid w:val="000257A6"/>
    <w:rsid w:val="00025F95"/>
    <w:rsid w:val="000262E6"/>
    <w:rsid w:val="00031D4A"/>
    <w:rsid w:val="0003208E"/>
    <w:rsid w:val="00035ED6"/>
    <w:rsid w:val="00036B37"/>
    <w:rsid w:val="0004288D"/>
    <w:rsid w:val="000430DA"/>
    <w:rsid w:val="00046BFA"/>
    <w:rsid w:val="000471E6"/>
    <w:rsid w:val="00051C77"/>
    <w:rsid w:val="00055B93"/>
    <w:rsid w:val="00055DB9"/>
    <w:rsid w:val="0005736D"/>
    <w:rsid w:val="000633E7"/>
    <w:rsid w:val="000867E5"/>
    <w:rsid w:val="000868D3"/>
    <w:rsid w:val="0009114C"/>
    <w:rsid w:val="00092B28"/>
    <w:rsid w:val="0009420F"/>
    <w:rsid w:val="00094BD9"/>
    <w:rsid w:val="000979CA"/>
    <w:rsid w:val="000A1DC1"/>
    <w:rsid w:val="000A3607"/>
    <w:rsid w:val="000B2B7D"/>
    <w:rsid w:val="000C3AD6"/>
    <w:rsid w:val="000C41A8"/>
    <w:rsid w:val="000C6998"/>
    <w:rsid w:val="000D36FE"/>
    <w:rsid w:val="000D58C8"/>
    <w:rsid w:val="000D5D75"/>
    <w:rsid w:val="000D6EAE"/>
    <w:rsid w:val="000E15F8"/>
    <w:rsid w:val="000E61D7"/>
    <w:rsid w:val="000F1129"/>
    <w:rsid w:val="000F2F74"/>
    <w:rsid w:val="000F35DA"/>
    <w:rsid w:val="000F38AA"/>
    <w:rsid w:val="000F7CEA"/>
    <w:rsid w:val="001148F8"/>
    <w:rsid w:val="00114D85"/>
    <w:rsid w:val="00122755"/>
    <w:rsid w:val="00122FCC"/>
    <w:rsid w:val="001301FE"/>
    <w:rsid w:val="001311D3"/>
    <w:rsid w:val="00131276"/>
    <w:rsid w:val="00134364"/>
    <w:rsid w:val="00134D31"/>
    <w:rsid w:val="001372D5"/>
    <w:rsid w:val="001375C9"/>
    <w:rsid w:val="00140A3E"/>
    <w:rsid w:val="001445DE"/>
    <w:rsid w:val="00146E88"/>
    <w:rsid w:val="00153683"/>
    <w:rsid w:val="0016074E"/>
    <w:rsid w:val="001631ED"/>
    <w:rsid w:val="00173346"/>
    <w:rsid w:val="00174731"/>
    <w:rsid w:val="00182172"/>
    <w:rsid w:val="001835B8"/>
    <w:rsid w:val="00184B98"/>
    <w:rsid w:val="00185667"/>
    <w:rsid w:val="001910D9"/>
    <w:rsid w:val="00193346"/>
    <w:rsid w:val="0019471D"/>
    <w:rsid w:val="00194B68"/>
    <w:rsid w:val="001974FC"/>
    <w:rsid w:val="001A0324"/>
    <w:rsid w:val="001A18DE"/>
    <w:rsid w:val="001B10A1"/>
    <w:rsid w:val="001B5CE6"/>
    <w:rsid w:val="001D0E28"/>
    <w:rsid w:val="001D1B76"/>
    <w:rsid w:val="001D1D38"/>
    <w:rsid w:val="001D60AE"/>
    <w:rsid w:val="001D6D2F"/>
    <w:rsid w:val="001E14AD"/>
    <w:rsid w:val="001E3049"/>
    <w:rsid w:val="001E3C8D"/>
    <w:rsid w:val="001E4DA2"/>
    <w:rsid w:val="001E6C09"/>
    <w:rsid w:val="001F0B50"/>
    <w:rsid w:val="001F59D5"/>
    <w:rsid w:val="001F6118"/>
    <w:rsid w:val="00203127"/>
    <w:rsid w:val="00203423"/>
    <w:rsid w:val="0020356C"/>
    <w:rsid w:val="00203B7B"/>
    <w:rsid w:val="00203C59"/>
    <w:rsid w:val="00205144"/>
    <w:rsid w:val="00206131"/>
    <w:rsid w:val="00206886"/>
    <w:rsid w:val="00215681"/>
    <w:rsid w:val="00217108"/>
    <w:rsid w:val="00220967"/>
    <w:rsid w:val="0022300F"/>
    <w:rsid w:val="0022435A"/>
    <w:rsid w:val="00231698"/>
    <w:rsid w:val="002318DF"/>
    <w:rsid w:val="00233E28"/>
    <w:rsid w:val="00234794"/>
    <w:rsid w:val="00235D97"/>
    <w:rsid w:val="00236702"/>
    <w:rsid w:val="00236D4A"/>
    <w:rsid w:val="00242DC4"/>
    <w:rsid w:val="00243EE4"/>
    <w:rsid w:val="0024484A"/>
    <w:rsid w:val="00255D19"/>
    <w:rsid w:val="002575EA"/>
    <w:rsid w:val="00257A95"/>
    <w:rsid w:val="00260CB2"/>
    <w:rsid w:val="00261EF2"/>
    <w:rsid w:val="0027035C"/>
    <w:rsid w:val="002709F8"/>
    <w:rsid w:val="002729AA"/>
    <w:rsid w:val="00273E71"/>
    <w:rsid w:val="00274F74"/>
    <w:rsid w:val="0028364A"/>
    <w:rsid w:val="002931DF"/>
    <w:rsid w:val="0029511F"/>
    <w:rsid w:val="002967F6"/>
    <w:rsid w:val="00297D26"/>
    <w:rsid w:val="002A00FF"/>
    <w:rsid w:val="002A0C31"/>
    <w:rsid w:val="002A1B92"/>
    <w:rsid w:val="002A2D41"/>
    <w:rsid w:val="002A3D49"/>
    <w:rsid w:val="002A43B6"/>
    <w:rsid w:val="002A607D"/>
    <w:rsid w:val="002A7A84"/>
    <w:rsid w:val="002B6D70"/>
    <w:rsid w:val="002C0398"/>
    <w:rsid w:val="002C03A4"/>
    <w:rsid w:val="002C1471"/>
    <w:rsid w:val="002C32AB"/>
    <w:rsid w:val="002D7F32"/>
    <w:rsid w:val="002E2E97"/>
    <w:rsid w:val="002E42D2"/>
    <w:rsid w:val="002E4C70"/>
    <w:rsid w:val="002E5470"/>
    <w:rsid w:val="002E7C4D"/>
    <w:rsid w:val="002F6846"/>
    <w:rsid w:val="003133ED"/>
    <w:rsid w:val="00314BD1"/>
    <w:rsid w:val="003156F9"/>
    <w:rsid w:val="003162BE"/>
    <w:rsid w:val="00322B7F"/>
    <w:rsid w:val="00322F78"/>
    <w:rsid w:val="0033243E"/>
    <w:rsid w:val="0033252D"/>
    <w:rsid w:val="003349DB"/>
    <w:rsid w:val="00335789"/>
    <w:rsid w:val="003378C5"/>
    <w:rsid w:val="00341A09"/>
    <w:rsid w:val="00344C3D"/>
    <w:rsid w:val="003455D9"/>
    <w:rsid w:val="00345FAC"/>
    <w:rsid w:val="003473C9"/>
    <w:rsid w:val="00353D21"/>
    <w:rsid w:val="003569EC"/>
    <w:rsid w:val="00356CFA"/>
    <w:rsid w:val="003605BD"/>
    <w:rsid w:val="00365491"/>
    <w:rsid w:val="00371E6C"/>
    <w:rsid w:val="003722B3"/>
    <w:rsid w:val="00373362"/>
    <w:rsid w:val="00374142"/>
    <w:rsid w:val="00375505"/>
    <w:rsid w:val="00381101"/>
    <w:rsid w:val="00385A0D"/>
    <w:rsid w:val="00393EF8"/>
    <w:rsid w:val="0039576D"/>
    <w:rsid w:val="003A1039"/>
    <w:rsid w:val="003A1CFB"/>
    <w:rsid w:val="003A3225"/>
    <w:rsid w:val="003A65CA"/>
    <w:rsid w:val="003B2F18"/>
    <w:rsid w:val="003B3A2A"/>
    <w:rsid w:val="003C5989"/>
    <w:rsid w:val="003D22D6"/>
    <w:rsid w:val="003E113B"/>
    <w:rsid w:val="003E1B06"/>
    <w:rsid w:val="003E3000"/>
    <w:rsid w:val="003E3C22"/>
    <w:rsid w:val="003E3D11"/>
    <w:rsid w:val="003E41C2"/>
    <w:rsid w:val="003E5A27"/>
    <w:rsid w:val="003F082A"/>
    <w:rsid w:val="00401369"/>
    <w:rsid w:val="00401574"/>
    <w:rsid w:val="00401F4B"/>
    <w:rsid w:val="00403B23"/>
    <w:rsid w:val="00403DF2"/>
    <w:rsid w:val="0040418E"/>
    <w:rsid w:val="0040526F"/>
    <w:rsid w:val="00405566"/>
    <w:rsid w:val="00406358"/>
    <w:rsid w:val="0041256C"/>
    <w:rsid w:val="00415BFA"/>
    <w:rsid w:val="00416060"/>
    <w:rsid w:val="00426F56"/>
    <w:rsid w:val="0043121C"/>
    <w:rsid w:val="0043151A"/>
    <w:rsid w:val="00433F2F"/>
    <w:rsid w:val="0043442E"/>
    <w:rsid w:val="00440B47"/>
    <w:rsid w:val="004429E6"/>
    <w:rsid w:val="004433A4"/>
    <w:rsid w:val="00446D41"/>
    <w:rsid w:val="00452069"/>
    <w:rsid w:val="00454653"/>
    <w:rsid w:val="00460F83"/>
    <w:rsid w:val="00462D04"/>
    <w:rsid w:val="00463E80"/>
    <w:rsid w:val="00465005"/>
    <w:rsid w:val="00466072"/>
    <w:rsid w:val="00484567"/>
    <w:rsid w:val="00484571"/>
    <w:rsid w:val="00491975"/>
    <w:rsid w:val="0049497F"/>
    <w:rsid w:val="0049534C"/>
    <w:rsid w:val="004A2968"/>
    <w:rsid w:val="004A4241"/>
    <w:rsid w:val="004A7BEC"/>
    <w:rsid w:val="004A7EC8"/>
    <w:rsid w:val="004B0773"/>
    <w:rsid w:val="004B0C55"/>
    <w:rsid w:val="004B274D"/>
    <w:rsid w:val="004B4382"/>
    <w:rsid w:val="004C26AC"/>
    <w:rsid w:val="004C7458"/>
    <w:rsid w:val="004D3A76"/>
    <w:rsid w:val="004D3E6A"/>
    <w:rsid w:val="004D4996"/>
    <w:rsid w:val="004D7897"/>
    <w:rsid w:val="004E12D2"/>
    <w:rsid w:val="004E1B78"/>
    <w:rsid w:val="004E3F8C"/>
    <w:rsid w:val="004E4D5A"/>
    <w:rsid w:val="004E5136"/>
    <w:rsid w:val="004E6A71"/>
    <w:rsid w:val="004E79AF"/>
    <w:rsid w:val="004F1740"/>
    <w:rsid w:val="004F2720"/>
    <w:rsid w:val="004F3313"/>
    <w:rsid w:val="00501E28"/>
    <w:rsid w:val="0050311F"/>
    <w:rsid w:val="00503CD2"/>
    <w:rsid w:val="00504546"/>
    <w:rsid w:val="00504E8C"/>
    <w:rsid w:val="00505359"/>
    <w:rsid w:val="00514B6F"/>
    <w:rsid w:val="00515134"/>
    <w:rsid w:val="00530C58"/>
    <w:rsid w:val="005313E5"/>
    <w:rsid w:val="00534214"/>
    <w:rsid w:val="00534E67"/>
    <w:rsid w:val="005350B6"/>
    <w:rsid w:val="0053783E"/>
    <w:rsid w:val="00540A71"/>
    <w:rsid w:val="00546C28"/>
    <w:rsid w:val="00550852"/>
    <w:rsid w:val="005551B6"/>
    <w:rsid w:val="005553C4"/>
    <w:rsid w:val="00556D28"/>
    <w:rsid w:val="00557AE4"/>
    <w:rsid w:val="00563B42"/>
    <w:rsid w:val="0056538F"/>
    <w:rsid w:val="00567140"/>
    <w:rsid w:val="00576F6B"/>
    <w:rsid w:val="00586D44"/>
    <w:rsid w:val="00590199"/>
    <w:rsid w:val="005923D1"/>
    <w:rsid w:val="00593E19"/>
    <w:rsid w:val="005A3F6B"/>
    <w:rsid w:val="005A5C2C"/>
    <w:rsid w:val="005A6063"/>
    <w:rsid w:val="005A7396"/>
    <w:rsid w:val="005B5C0A"/>
    <w:rsid w:val="005B60F1"/>
    <w:rsid w:val="005C046D"/>
    <w:rsid w:val="005C3131"/>
    <w:rsid w:val="005C4119"/>
    <w:rsid w:val="005C46D0"/>
    <w:rsid w:val="005C78D1"/>
    <w:rsid w:val="005D09ED"/>
    <w:rsid w:val="005F2FA2"/>
    <w:rsid w:val="005F3E6D"/>
    <w:rsid w:val="005F45BA"/>
    <w:rsid w:val="005F5417"/>
    <w:rsid w:val="006011ED"/>
    <w:rsid w:val="00601FCC"/>
    <w:rsid w:val="00605C8B"/>
    <w:rsid w:val="00605DBF"/>
    <w:rsid w:val="00606C46"/>
    <w:rsid w:val="006103CC"/>
    <w:rsid w:val="006109F0"/>
    <w:rsid w:val="00610A5C"/>
    <w:rsid w:val="00615FFB"/>
    <w:rsid w:val="006205A9"/>
    <w:rsid w:val="006213B3"/>
    <w:rsid w:val="00623B1F"/>
    <w:rsid w:val="0062433B"/>
    <w:rsid w:val="00632D41"/>
    <w:rsid w:val="006376DC"/>
    <w:rsid w:val="006421F3"/>
    <w:rsid w:val="0064422B"/>
    <w:rsid w:val="00646633"/>
    <w:rsid w:val="00652F1F"/>
    <w:rsid w:val="00652F42"/>
    <w:rsid w:val="0065522C"/>
    <w:rsid w:val="00655649"/>
    <w:rsid w:val="00657D60"/>
    <w:rsid w:val="00660863"/>
    <w:rsid w:val="00661A94"/>
    <w:rsid w:val="00676477"/>
    <w:rsid w:val="00676814"/>
    <w:rsid w:val="00690148"/>
    <w:rsid w:val="006902BA"/>
    <w:rsid w:val="00691CCC"/>
    <w:rsid w:val="00694138"/>
    <w:rsid w:val="00694220"/>
    <w:rsid w:val="006A4BC8"/>
    <w:rsid w:val="006B0494"/>
    <w:rsid w:val="006B404E"/>
    <w:rsid w:val="006C2CBA"/>
    <w:rsid w:val="006C4907"/>
    <w:rsid w:val="006C6C3E"/>
    <w:rsid w:val="006D3083"/>
    <w:rsid w:val="006D4FDB"/>
    <w:rsid w:val="006E0379"/>
    <w:rsid w:val="006E47F0"/>
    <w:rsid w:val="006F10FF"/>
    <w:rsid w:val="006F5A39"/>
    <w:rsid w:val="006F6C77"/>
    <w:rsid w:val="00701C19"/>
    <w:rsid w:val="00705D6B"/>
    <w:rsid w:val="00706AEE"/>
    <w:rsid w:val="007148C5"/>
    <w:rsid w:val="0071660C"/>
    <w:rsid w:val="00717912"/>
    <w:rsid w:val="00720C9E"/>
    <w:rsid w:val="007234CE"/>
    <w:rsid w:val="00724F7D"/>
    <w:rsid w:val="0072698F"/>
    <w:rsid w:val="00732AB9"/>
    <w:rsid w:val="007334F3"/>
    <w:rsid w:val="00734999"/>
    <w:rsid w:val="00741FF2"/>
    <w:rsid w:val="00742135"/>
    <w:rsid w:val="00750186"/>
    <w:rsid w:val="00751257"/>
    <w:rsid w:val="00756183"/>
    <w:rsid w:val="0075620D"/>
    <w:rsid w:val="00757E7B"/>
    <w:rsid w:val="00761EE6"/>
    <w:rsid w:val="00767AFE"/>
    <w:rsid w:val="00772204"/>
    <w:rsid w:val="00772253"/>
    <w:rsid w:val="007748AC"/>
    <w:rsid w:val="00780AD6"/>
    <w:rsid w:val="00781F25"/>
    <w:rsid w:val="0078404C"/>
    <w:rsid w:val="007853E7"/>
    <w:rsid w:val="0078754D"/>
    <w:rsid w:val="007900C0"/>
    <w:rsid w:val="00792665"/>
    <w:rsid w:val="00794619"/>
    <w:rsid w:val="00796B4E"/>
    <w:rsid w:val="00797313"/>
    <w:rsid w:val="00797766"/>
    <w:rsid w:val="007A23C5"/>
    <w:rsid w:val="007A62C7"/>
    <w:rsid w:val="007A70FA"/>
    <w:rsid w:val="007B1D93"/>
    <w:rsid w:val="007B5FEC"/>
    <w:rsid w:val="007B79EF"/>
    <w:rsid w:val="007C38E9"/>
    <w:rsid w:val="007C4B77"/>
    <w:rsid w:val="007D00B5"/>
    <w:rsid w:val="007D0672"/>
    <w:rsid w:val="007D3447"/>
    <w:rsid w:val="007D5D98"/>
    <w:rsid w:val="007E095D"/>
    <w:rsid w:val="007E0D07"/>
    <w:rsid w:val="007E554A"/>
    <w:rsid w:val="007E6154"/>
    <w:rsid w:val="007E6FAD"/>
    <w:rsid w:val="007F1A71"/>
    <w:rsid w:val="007F49C8"/>
    <w:rsid w:val="00802542"/>
    <w:rsid w:val="008102BB"/>
    <w:rsid w:val="00811800"/>
    <w:rsid w:val="00814C66"/>
    <w:rsid w:val="00821B2A"/>
    <w:rsid w:val="00821F49"/>
    <w:rsid w:val="0082684B"/>
    <w:rsid w:val="00826948"/>
    <w:rsid w:val="00827416"/>
    <w:rsid w:val="008331E6"/>
    <w:rsid w:val="008411A2"/>
    <w:rsid w:val="00841D9A"/>
    <w:rsid w:val="0084742F"/>
    <w:rsid w:val="00847FE3"/>
    <w:rsid w:val="00850438"/>
    <w:rsid w:val="00851056"/>
    <w:rsid w:val="008643C1"/>
    <w:rsid w:val="008675C7"/>
    <w:rsid w:val="008678B9"/>
    <w:rsid w:val="008704BA"/>
    <w:rsid w:val="00871BFB"/>
    <w:rsid w:val="00876765"/>
    <w:rsid w:val="00883598"/>
    <w:rsid w:val="00884DAD"/>
    <w:rsid w:val="00893D8A"/>
    <w:rsid w:val="008A27AC"/>
    <w:rsid w:val="008A31EC"/>
    <w:rsid w:val="008B0019"/>
    <w:rsid w:val="008C02AD"/>
    <w:rsid w:val="008C181B"/>
    <w:rsid w:val="008C223A"/>
    <w:rsid w:val="008D16D7"/>
    <w:rsid w:val="008D4F49"/>
    <w:rsid w:val="008D503E"/>
    <w:rsid w:val="008E1727"/>
    <w:rsid w:val="008E4D4A"/>
    <w:rsid w:val="008F314A"/>
    <w:rsid w:val="008F6E90"/>
    <w:rsid w:val="009011C0"/>
    <w:rsid w:val="009015A5"/>
    <w:rsid w:val="00906CA4"/>
    <w:rsid w:val="00911F45"/>
    <w:rsid w:val="00915277"/>
    <w:rsid w:val="009209A8"/>
    <w:rsid w:val="00926667"/>
    <w:rsid w:val="00931460"/>
    <w:rsid w:val="00931B18"/>
    <w:rsid w:val="00932E76"/>
    <w:rsid w:val="00941B65"/>
    <w:rsid w:val="00942C8C"/>
    <w:rsid w:val="00951FDC"/>
    <w:rsid w:val="009528E9"/>
    <w:rsid w:val="00955ECB"/>
    <w:rsid w:val="00956636"/>
    <w:rsid w:val="00963277"/>
    <w:rsid w:val="009632F3"/>
    <w:rsid w:val="00963C18"/>
    <w:rsid w:val="0096440A"/>
    <w:rsid w:val="00964D0F"/>
    <w:rsid w:val="009740F3"/>
    <w:rsid w:val="00975DCD"/>
    <w:rsid w:val="00981358"/>
    <w:rsid w:val="00992234"/>
    <w:rsid w:val="00992248"/>
    <w:rsid w:val="00996604"/>
    <w:rsid w:val="009A031D"/>
    <w:rsid w:val="009A052A"/>
    <w:rsid w:val="009A1638"/>
    <w:rsid w:val="009A2C42"/>
    <w:rsid w:val="009A2DF4"/>
    <w:rsid w:val="009A3BB4"/>
    <w:rsid w:val="009B24F6"/>
    <w:rsid w:val="009B29FF"/>
    <w:rsid w:val="009B4432"/>
    <w:rsid w:val="009C011B"/>
    <w:rsid w:val="009C15BF"/>
    <w:rsid w:val="009C1936"/>
    <w:rsid w:val="009D4F8B"/>
    <w:rsid w:val="009D5D68"/>
    <w:rsid w:val="009E1A80"/>
    <w:rsid w:val="009E5994"/>
    <w:rsid w:val="009E5D0D"/>
    <w:rsid w:val="009E5D37"/>
    <w:rsid w:val="009F4212"/>
    <w:rsid w:val="009F48B9"/>
    <w:rsid w:val="009F49A1"/>
    <w:rsid w:val="00A035E2"/>
    <w:rsid w:val="00A043FE"/>
    <w:rsid w:val="00A101BA"/>
    <w:rsid w:val="00A11CE9"/>
    <w:rsid w:val="00A129E1"/>
    <w:rsid w:val="00A13F89"/>
    <w:rsid w:val="00A208E0"/>
    <w:rsid w:val="00A24766"/>
    <w:rsid w:val="00A25A69"/>
    <w:rsid w:val="00A27133"/>
    <w:rsid w:val="00A32D14"/>
    <w:rsid w:val="00A33030"/>
    <w:rsid w:val="00A34391"/>
    <w:rsid w:val="00A36334"/>
    <w:rsid w:val="00A36392"/>
    <w:rsid w:val="00A42FDD"/>
    <w:rsid w:val="00A44F6B"/>
    <w:rsid w:val="00A51ACE"/>
    <w:rsid w:val="00A548B5"/>
    <w:rsid w:val="00A549A0"/>
    <w:rsid w:val="00A54EED"/>
    <w:rsid w:val="00A56195"/>
    <w:rsid w:val="00A6241E"/>
    <w:rsid w:val="00A66DD4"/>
    <w:rsid w:val="00A7278E"/>
    <w:rsid w:val="00A735FC"/>
    <w:rsid w:val="00A73953"/>
    <w:rsid w:val="00A75A8A"/>
    <w:rsid w:val="00A80253"/>
    <w:rsid w:val="00A85171"/>
    <w:rsid w:val="00A91C6B"/>
    <w:rsid w:val="00A91F44"/>
    <w:rsid w:val="00A95AB0"/>
    <w:rsid w:val="00AA0391"/>
    <w:rsid w:val="00AA28CD"/>
    <w:rsid w:val="00AA5FF9"/>
    <w:rsid w:val="00AA6CB3"/>
    <w:rsid w:val="00AA730A"/>
    <w:rsid w:val="00AB350B"/>
    <w:rsid w:val="00AB5CBF"/>
    <w:rsid w:val="00AC0A61"/>
    <w:rsid w:val="00AC7E3E"/>
    <w:rsid w:val="00AD0966"/>
    <w:rsid w:val="00AE1623"/>
    <w:rsid w:val="00AE1F68"/>
    <w:rsid w:val="00AE20AA"/>
    <w:rsid w:val="00AE2CA8"/>
    <w:rsid w:val="00AE75AF"/>
    <w:rsid w:val="00AF2E53"/>
    <w:rsid w:val="00AF4590"/>
    <w:rsid w:val="00B001DF"/>
    <w:rsid w:val="00B00212"/>
    <w:rsid w:val="00B02582"/>
    <w:rsid w:val="00B031A6"/>
    <w:rsid w:val="00B03E6B"/>
    <w:rsid w:val="00B04C6B"/>
    <w:rsid w:val="00B0579F"/>
    <w:rsid w:val="00B06576"/>
    <w:rsid w:val="00B11F8B"/>
    <w:rsid w:val="00B14B00"/>
    <w:rsid w:val="00B2569D"/>
    <w:rsid w:val="00B26B03"/>
    <w:rsid w:val="00B26F0A"/>
    <w:rsid w:val="00B313E3"/>
    <w:rsid w:val="00B329CB"/>
    <w:rsid w:val="00B33980"/>
    <w:rsid w:val="00B36667"/>
    <w:rsid w:val="00B37357"/>
    <w:rsid w:val="00B409BA"/>
    <w:rsid w:val="00B40E8C"/>
    <w:rsid w:val="00B412BD"/>
    <w:rsid w:val="00B424EB"/>
    <w:rsid w:val="00B450E1"/>
    <w:rsid w:val="00B46D81"/>
    <w:rsid w:val="00B516ED"/>
    <w:rsid w:val="00B522D0"/>
    <w:rsid w:val="00B53ECF"/>
    <w:rsid w:val="00B60241"/>
    <w:rsid w:val="00B671EB"/>
    <w:rsid w:val="00B8423E"/>
    <w:rsid w:val="00B90109"/>
    <w:rsid w:val="00B955D2"/>
    <w:rsid w:val="00BA071E"/>
    <w:rsid w:val="00BA2C76"/>
    <w:rsid w:val="00BA4953"/>
    <w:rsid w:val="00BA5C4C"/>
    <w:rsid w:val="00BC0016"/>
    <w:rsid w:val="00BD5D3E"/>
    <w:rsid w:val="00BE51EB"/>
    <w:rsid w:val="00BF1BD0"/>
    <w:rsid w:val="00BF48D9"/>
    <w:rsid w:val="00BF7B7D"/>
    <w:rsid w:val="00C002BD"/>
    <w:rsid w:val="00C00AED"/>
    <w:rsid w:val="00C05BF5"/>
    <w:rsid w:val="00C109A6"/>
    <w:rsid w:val="00C2266A"/>
    <w:rsid w:val="00C34F72"/>
    <w:rsid w:val="00C35343"/>
    <w:rsid w:val="00C4023B"/>
    <w:rsid w:val="00C40275"/>
    <w:rsid w:val="00C410A3"/>
    <w:rsid w:val="00C4122B"/>
    <w:rsid w:val="00C42F31"/>
    <w:rsid w:val="00C4588E"/>
    <w:rsid w:val="00C46F16"/>
    <w:rsid w:val="00C50019"/>
    <w:rsid w:val="00C507AA"/>
    <w:rsid w:val="00C50C6E"/>
    <w:rsid w:val="00C57978"/>
    <w:rsid w:val="00C6193C"/>
    <w:rsid w:val="00C62A68"/>
    <w:rsid w:val="00C639D5"/>
    <w:rsid w:val="00C67557"/>
    <w:rsid w:val="00C701AE"/>
    <w:rsid w:val="00C706F1"/>
    <w:rsid w:val="00C765A8"/>
    <w:rsid w:val="00C850E5"/>
    <w:rsid w:val="00C923FC"/>
    <w:rsid w:val="00C941E1"/>
    <w:rsid w:val="00C95F0A"/>
    <w:rsid w:val="00CA209D"/>
    <w:rsid w:val="00CA543B"/>
    <w:rsid w:val="00CB0E3A"/>
    <w:rsid w:val="00CB2C44"/>
    <w:rsid w:val="00CB2EC0"/>
    <w:rsid w:val="00CB7AEF"/>
    <w:rsid w:val="00CC215E"/>
    <w:rsid w:val="00CC55EB"/>
    <w:rsid w:val="00CC7175"/>
    <w:rsid w:val="00CD187A"/>
    <w:rsid w:val="00CD220F"/>
    <w:rsid w:val="00CD29C5"/>
    <w:rsid w:val="00CD2B7A"/>
    <w:rsid w:val="00CD7358"/>
    <w:rsid w:val="00CD7D10"/>
    <w:rsid w:val="00CE7304"/>
    <w:rsid w:val="00CF2DAC"/>
    <w:rsid w:val="00CF5377"/>
    <w:rsid w:val="00CF7331"/>
    <w:rsid w:val="00D0362B"/>
    <w:rsid w:val="00D133C0"/>
    <w:rsid w:val="00D133F8"/>
    <w:rsid w:val="00D14F5A"/>
    <w:rsid w:val="00D21430"/>
    <w:rsid w:val="00D22A3A"/>
    <w:rsid w:val="00D244B1"/>
    <w:rsid w:val="00D252A3"/>
    <w:rsid w:val="00D2563E"/>
    <w:rsid w:val="00D25F1D"/>
    <w:rsid w:val="00D265CA"/>
    <w:rsid w:val="00D27BBB"/>
    <w:rsid w:val="00D27E11"/>
    <w:rsid w:val="00D325E3"/>
    <w:rsid w:val="00D3368B"/>
    <w:rsid w:val="00D411F0"/>
    <w:rsid w:val="00D44395"/>
    <w:rsid w:val="00D45AA9"/>
    <w:rsid w:val="00D45D57"/>
    <w:rsid w:val="00D475AE"/>
    <w:rsid w:val="00D502EB"/>
    <w:rsid w:val="00D51DF6"/>
    <w:rsid w:val="00D53A26"/>
    <w:rsid w:val="00D64DD7"/>
    <w:rsid w:val="00D7539F"/>
    <w:rsid w:val="00D82A68"/>
    <w:rsid w:val="00D83322"/>
    <w:rsid w:val="00D842CE"/>
    <w:rsid w:val="00D8474E"/>
    <w:rsid w:val="00D87A75"/>
    <w:rsid w:val="00D91BCF"/>
    <w:rsid w:val="00D92F0D"/>
    <w:rsid w:val="00D95DF9"/>
    <w:rsid w:val="00DA0224"/>
    <w:rsid w:val="00DA1E68"/>
    <w:rsid w:val="00DA271F"/>
    <w:rsid w:val="00DA40CA"/>
    <w:rsid w:val="00DA4388"/>
    <w:rsid w:val="00DB5A91"/>
    <w:rsid w:val="00DB60D4"/>
    <w:rsid w:val="00DB79CC"/>
    <w:rsid w:val="00DC0BB9"/>
    <w:rsid w:val="00DC3B40"/>
    <w:rsid w:val="00DC4359"/>
    <w:rsid w:val="00DC4DC0"/>
    <w:rsid w:val="00DC528D"/>
    <w:rsid w:val="00DC554C"/>
    <w:rsid w:val="00DC6636"/>
    <w:rsid w:val="00DD3FE7"/>
    <w:rsid w:val="00DE4047"/>
    <w:rsid w:val="00DF06B4"/>
    <w:rsid w:val="00DF2A54"/>
    <w:rsid w:val="00DF2DD7"/>
    <w:rsid w:val="00DF3EB7"/>
    <w:rsid w:val="00E01B2B"/>
    <w:rsid w:val="00E04E45"/>
    <w:rsid w:val="00E067A7"/>
    <w:rsid w:val="00E07F08"/>
    <w:rsid w:val="00E11830"/>
    <w:rsid w:val="00E15425"/>
    <w:rsid w:val="00E26307"/>
    <w:rsid w:val="00E309F0"/>
    <w:rsid w:val="00E32EA5"/>
    <w:rsid w:val="00E3396F"/>
    <w:rsid w:val="00E36835"/>
    <w:rsid w:val="00E402F4"/>
    <w:rsid w:val="00E4179B"/>
    <w:rsid w:val="00E41B62"/>
    <w:rsid w:val="00E437D1"/>
    <w:rsid w:val="00E475A4"/>
    <w:rsid w:val="00E5016F"/>
    <w:rsid w:val="00E51148"/>
    <w:rsid w:val="00E51871"/>
    <w:rsid w:val="00E55981"/>
    <w:rsid w:val="00E60AAA"/>
    <w:rsid w:val="00E63987"/>
    <w:rsid w:val="00E65561"/>
    <w:rsid w:val="00E6681A"/>
    <w:rsid w:val="00E70456"/>
    <w:rsid w:val="00E71653"/>
    <w:rsid w:val="00E71688"/>
    <w:rsid w:val="00E71E5D"/>
    <w:rsid w:val="00E75949"/>
    <w:rsid w:val="00E77021"/>
    <w:rsid w:val="00E86D0B"/>
    <w:rsid w:val="00E8789C"/>
    <w:rsid w:val="00E87DB4"/>
    <w:rsid w:val="00E90214"/>
    <w:rsid w:val="00E95088"/>
    <w:rsid w:val="00E96219"/>
    <w:rsid w:val="00EA0212"/>
    <w:rsid w:val="00EA074E"/>
    <w:rsid w:val="00EA7A42"/>
    <w:rsid w:val="00EB18DF"/>
    <w:rsid w:val="00EB2693"/>
    <w:rsid w:val="00EB4C75"/>
    <w:rsid w:val="00EB6896"/>
    <w:rsid w:val="00EC6C3D"/>
    <w:rsid w:val="00ED0CCD"/>
    <w:rsid w:val="00ED2D92"/>
    <w:rsid w:val="00EE06CA"/>
    <w:rsid w:val="00EE6C76"/>
    <w:rsid w:val="00EE7A7F"/>
    <w:rsid w:val="00EF43FD"/>
    <w:rsid w:val="00EF6E6C"/>
    <w:rsid w:val="00EF71E6"/>
    <w:rsid w:val="00F00FAE"/>
    <w:rsid w:val="00F052F8"/>
    <w:rsid w:val="00F07343"/>
    <w:rsid w:val="00F26BCF"/>
    <w:rsid w:val="00F30324"/>
    <w:rsid w:val="00F317F3"/>
    <w:rsid w:val="00F370B6"/>
    <w:rsid w:val="00F44ECB"/>
    <w:rsid w:val="00F45CCB"/>
    <w:rsid w:val="00F45E0E"/>
    <w:rsid w:val="00F53224"/>
    <w:rsid w:val="00F552F2"/>
    <w:rsid w:val="00F62010"/>
    <w:rsid w:val="00F667C9"/>
    <w:rsid w:val="00F71395"/>
    <w:rsid w:val="00F71EDB"/>
    <w:rsid w:val="00F7774A"/>
    <w:rsid w:val="00F80427"/>
    <w:rsid w:val="00F8098E"/>
    <w:rsid w:val="00F855AB"/>
    <w:rsid w:val="00F93276"/>
    <w:rsid w:val="00F9568E"/>
    <w:rsid w:val="00FA0F39"/>
    <w:rsid w:val="00FA29FA"/>
    <w:rsid w:val="00FA30B3"/>
    <w:rsid w:val="00FA745C"/>
    <w:rsid w:val="00FB4B91"/>
    <w:rsid w:val="00FB53DA"/>
    <w:rsid w:val="00FC771D"/>
    <w:rsid w:val="00FD00AA"/>
    <w:rsid w:val="00FD084B"/>
    <w:rsid w:val="00FD2B39"/>
    <w:rsid w:val="00FD4BB2"/>
    <w:rsid w:val="00FD7063"/>
    <w:rsid w:val="00FE0D79"/>
    <w:rsid w:val="00FE5D2C"/>
    <w:rsid w:val="00FE6A2E"/>
    <w:rsid w:val="00FF0C83"/>
    <w:rsid w:val="00FF531D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121353B5"/>
  <w15:chartTrackingRefBased/>
  <w15:docId w15:val="{39700BBB-89C6-410D-A477-DC16876A1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E3C22"/>
    <w:pPr>
      <w:tabs>
        <w:tab w:val="left" w:pos="567"/>
      </w:tabs>
      <w:spacing w:line="260" w:lineRule="exact"/>
    </w:pPr>
    <w:rPr>
      <w:rFonts w:eastAsia="Times New Roman"/>
      <w:sz w:val="22"/>
      <w:lang w:val="en-GB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3E3C22"/>
    <w:pPr>
      <w:tabs>
        <w:tab w:val="center" w:pos="4153"/>
        <w:tab w:val="right" w:pos="8306"/>
      </w:tabs>
      <w:spacing w:line="240" w:lineRule="auto"/>
    </w:pPr>
    <w:rPr>
      <w:rFonts w:ascii="Helvetica" w:hAnsi="Helvetica"/>
    </w:rPr>
  </w:style>
  <w:style w:type="character" w:customStyle="1" w:styleId="HlavikaChar">
    <w:name w:val="Hlavička Char"/>
    <w:link w:val="Hlavika"/>
    <w:semiHidden/>
    <w:rsid w:val="003E3C22"/>
    <w:rPr>
      <w:rFonts w:ascii="Helvetica" w:hAnsi="Helvetica"/>
      <w:sz w:val="22"/>
      <w:lang w:val="en-GB" w:eastAsia="en-US" w:bidi="ar-SA"/>
    </w:rPr>
  </w:style>
  <w:style w:type="paragraph" w:styleId="Zkladntext3">
    <w:name w:val="Body Text 3"/>
    <w:basedOn w:val="Normlny"/>
    <w:rsid w:val="003E3C22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3">
    <w:name w:val="Body Text Indent 3"/>
    <w:basedOn w:val="Normlny"/>
    <w:rsid w:val="003E3C22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paragraph" w:customStyle="1" w:styleId="Formatvorlage2">
    <w:name w:val="Formatvorlage2"/>
    <w:basedOn w:val="Normlny"/>
    <w:rsid w:val="003E3C22"/>
    <w:pPr>
      <w:tabs>
        <w:tab w:val="clear" w:pos="567"/>
        <w:tab w:val="left" w:pos="7797"/>
      </w:tabs>
      <w:spacing w:line="240" w:lineRule="auto"/>
      <w:jc w:val="both"/>
    </w:pPr>
    <w:rPr>
      <w:sz w:val="24"/>
      <w:lang w:val="de-DE" w:eastAsia="de-DE"/>
    </w:rPr>
  </w:style>
  <w:style w:type="paragraph" w:styleId="Normlnywebov">
    <w:name w:val="Normal (Web)"/>
    <w:basedOn w:val="Normlny"/>
    <w:semiHidden/>
    <w:rsid w:val="003E3C22"/>
    <w:pPr>
      <w:tabs>
        <w:tab w:val="clear" w:pos="567"/>
      </w:tabs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de-DE" w:eastAsia="de-DE"/>
    </w:rPr>
  </w:style>
  <w:style w:type="paragraph" w:styleId="Pta">
    <w:name w:val="footer"/>
    <w:basedOn w:val="Normlny"/>
    <w:link w:val="PtaChar"/>
    <w:uiPriority w:val="99"/>
    <w:rsid w:val="003E3C22"/>
    <w:pPr>
      <w:tabs>
        <w:tab w:val="clear" w:pos="567"/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3E3C22"/>
  </w:style>
  <w:style w:type="paragraph" w:styleId="Textbubliny">
    <w:name w:val="Balloon Text"/>
    <w:basedOn w:val="Normlny"/>
    <w:semiHidden/>
    <w:rsid w:val="003E3C22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3E3C22"/>
    <w:rPr>
      <w:sz w:val="16"/>
      <w:szCs w:val="16"/>
    </w:rPr>
  </w:style>
  <w:style w:type="paragraph" w:styleId="Revzia">
    <w:name w:val="Revision"/>
    <w:hidden/>
    <w:uiPriority w:val="99"/>
    <w:semiHidden/>
    <w:rsid w:val="00356CFA"/>
    <w:rPr>
      <w:rFonts w:eastAsia="Times New Roman"/>
      <w:sz w:val="22"/>
      <w:lang w:val="en-GB" w:eastAsia="en-US"/>
    </w:rPr>
  </w:style>
  <w:style w:type="character" w:styleId="Hypertextovprepojenie">
    <w:name w:val="Hyperlink"/>
    <w:uiPriority w:val="99"/>
    <w:unhideWhenUsed/>
    <w:rsid w:val="00A11CE9"/>
    <w:rPr>
      <w:color w:val="0563C1"/>
      <w:u w:val="single"/>
    </w:rPr>
  </w:style>
  <w:style w:type="character" w:styleId="PouitHypertextovPrepojenie">
    <w:name w:val="FollowedHyperlink"/>
    <w:uiPriority w:val="99"/>
    <w:semiHidden/>
    <w:unhideWhenUsed/>
    <w:rsid w:val="00B8423E"/>
    <w:rPr>
      <w:color w:val="800080"/>
      <w:u w:val="single"/>
    </w:rPr>
  </w:style>
  <w:style w:type="character" w:customStyle="1" w:styleId="PtaChar">
    <w:name w:val="Päta Char"/>
    <w:link w:val="Pta"/>
    <w:uiPriority w:val="99"/>
    <w:rsid w:val="00757E7B"/>
    <w:rPr>
      <w:rFonts w:eastAsia="Times New Roman"/>
      <w:sz w:val="22"/>
      <w:lang w:val="en-GB" w:eastAsia="en-US"/>
    </w:rPr>
  </w:style>
  <w:style w:type="paragraph" w:customStyle="1" w:styleId="EberthPBeinfachabsatzFormatgruppe1">
    <w:name w:val="Eberth_PB_einfach_absatz (Formatgruppe 1)"/>
    <w:basedOn w:val="Normlny"/>
    <w:uiPriority w:val="99"/>
    <w:rsid w:val="004E6A71"/>
    <w:pPr>
      <w:tabs>
        <w:tab w:val="clear" w:pos="567"/>
        <w:tab w:val="left" w:pos="198"/>
      </w:tabs>
      <w:autoSpaceDE w:val="0"/>
      <w:autoSpaceDN w:val="0"/>
      <w:adjustRightInd w:val="0"/>
      <w:spacing w:line="180" w:lineRule="atLeast"/>
      <w:textAlignment w:val="center"/>
    </w:pPr>
    <w:rPr>
      <w:rFonts w:ascii="Frutiger LT Com 45 Light" w:hAnsi="Frutiger LT Com 45 Light" w:cs="Frutiger LT Com 45 Light"/>
      <w:color w:val="000000"/>
      <w:sz w:val="16"/>
      <w:szCs w:val="16"/>
      <w:lang w:val="de-DE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774A"/>
    <w:rPr>
      <w:sz w:val="20"/>
    </w:rPr>
  </w:style>
  <w:style w:type="character" w:customStyle="1" w:styleId="TextkomentraChar">
    <w:name w:val="Text komentára Char"/>
    <w:link w:val="Textkomentra"/>
    <w:uiPriority w:val="99"/>
    <w:semiHidden/>
    <w:rsid w:val="00F7774A"/>
    <w:rPr>
      <w:rFonts w:eastAsia="Times New Roman"/>
      <w:lang w:val="en-GB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774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F7774A"/>
    <w:rPr>
      <w:rFonts w:eastAsia="Times New Roman"/>
      <w:b/>
      <w:bCs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6F6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4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F5D04-018B-4FB0-B1DF-0E840F4D9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19</Pages>
  <Words>5407</Words>
  <Characters>34218</Characters>
  <Application>Microsoft Office Word</Application>
  <DocSecurity>0</DocSecurity>
  <Lines>285</Lines>
  <Paragraphs>79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Hewlett-Packard</Company>
  <LinksUpToDate>false</LinksUpToDate>
  <CharactersWithSpaces>39546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Sarkar</dc:creator>
  <cp:keywords/>
  <dc:description/>
  <cp:lastModifiedBy>Repiščáková, Janka</cp:lastModifiedBy>
  <cp:revision>9</cp:revision>
  <dcterms:created xsi:type="dcterms:W3CDTF">2019-04-14T07:15:00Z</dcterms:created>
  <dcterms:modified xsi:type="dcterms:W3CDTF">2019-04-23T08:21:00Z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-1523488013</vt:i4>
  </property>
  <property fmtid="{D5CDD505-2E9C-101B-9397-08002B2CF9AE}" pid="3" name="_NewReviewCycle">
    <vt:lpwstr/>
  </property>
  <property fmtid="{D5CDD505-2E9C-101B-9397-08002B2CF9AE}" pid="4" name="_EmailSubject">
    <vt:lpwstr>Cefotaxim Eberth - Submitting of texts to the procedure number DK/H/1745/001-003/IB/013/G; ev.No. 2018/04022-Z1B</vt:lpwstr>
  </property>
  <property fmtid="{D5CDD505-2E9C-101B-9397-08002B2CF9AE}" pid="5" name="_AuthorEmail">
    <vt:lpwstr>sarkar.dagmar@martinpharma.eu</vt:lpwstr>
  </property>
  <property fmtid="{D5CDD505-2E9C-101B-9397-08002B2CF9AE}" pid="6" name="_AuthorEmailDisplayName">
    <vt:lpwstr>Dagmar Sarkar</vt:lpwstr>
  </property>
  <property fmtid="{D5CDD505-2E9C-101B-9397-08002B2CF9AE}" pid="7" name="_ReviewingToolsShownOnce">
    <vt:lpwstr/>
  </property>
</Properties>
</file>