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1D375" w14:textId="5BD60813" w:rsidR="00F134F4" w:rsidRPr="00475027" w:rsidRDefault="00F134F4" w:rsidP="00FE4006">
      <w:pPr>
        <w:rPr>
          <w:rFonts w:ascii="Times New Roman" w:hAnsi="Times New Roman" w:cs="Times New Roman"/>
          <w:b/>
          <w:caps/>
          <w:sz w:val="22"/>
          <w:szCs w:val="22"/>
          <w:u w:val="single"/>
          <w:lang w:val="sk-SK"/>
        </w:rPr>
      </w:pPr>
    </w:p>
    <w:p w14:paraId="3D00B699" w14:textId="77777777" w:rsidR="00475027" w:rsidRPr="00475027" w:rsidRDefault="00475027" w:rsidP="00FE4006">
      <w:pPr>
        <w:rPr>
          <w:rFonts w:ascii="Times New Roman" w:hAnsi="Times New Roman" w:cs="Times New Roman"/>
          <w:b/>
          <w:caps/>
          <w:sz w:val="22"/>
          <w:szCs w:val="22"/>
          <w:u w:val="single"/>
          <w:lang w:val="sk-SK"/>
        </w:rPr>
      </w:pPr>
    </w:p>
    <w:p w14:paraId="0A69E934" w14:textId="77D8CC8C" w:rsidR="00F134F4" w:rsidRPr="00475027" w:rsidRDefault="00A612A0" w:rsidP="00475027">
      <w:pPr>
        <w:tabs>
          <w:tab w:val="left" w:pos="1245"/>
          <w:tab w:val="center" w:pos="4311"/>
        </w:tabs>
        <w:rPr>
          <w:rFonts w:ascii="Times New Roman" w:hAnsi="Times New Roman" w:cs="Times New Roman"/>
          <w:b/>
          <w:caps/>
          <w:sz w:val="22"/>
          <w:szCs w:val="22"/>
          <w:lang w:val="sk-SK"/>
        </w:rPr>
      </w:pPr>
      <w:r w:rsidRPr="00475027">
        <w:rPr>
          <w:rFonts w:ascii="Times New Roman" w:hAnsi="Times New Roman" w:cs="Times New Roman"/>
          <w:b/>
          <w:caps/>
          <w:sz w:val="22"/>
          <w:szCs w:val="22"/>
          <w:lang w:val="sk-SK"/>
        </w:rPr>
        <w:tab/>
      </w:r>
      <w:r w:rsidRPr="00475027">
        <w:rPr>
          <w:rFonts w:ascii="Times New Roman" w:hAnsi="Times New Roman" w:cs="Times New Roman"/>
          <w:b/>
          <w:caps/>
          <w:sz w:val="22"/>
          <w:szCs w:val="22"/>
          <w:lang w:val="sk-SK"/>
        </w:rPr>
        <w:tab/>
      </w:r>
      <w:r w:rsidR="00F134F4" w:rsidRPr="00475027">
        <w:rPr>
          <w:rFonts w:ascii="Times New Roman" w:hAnsi="Times New Roman" w:cs="Times New Roman"/>
          <w:b/>
          <w:caps/>
          <w:sz w:val="22"/>
          <w:szCs w:val="22"/>
          <w:lang w:val="sk-SK"/>
        </w:rPr>
        <w:t>SÚHRN CHARAKTERISTICKÝCH VLASTNOSTÍ LIEKU</w:t>
      </w:r>
    </w:p>
    <w:p w14:paraId="1C241E20" w14:textId="77777777" w:rsidR="00F134F4" w:rsidRPr="00475027" w:rsidRDefault="00F134F4" w:rsidP="00FE4006">
      <w:pPr>
        <w:jc w:val="both"/>
        <w:rPr>
          <w:rFonts w:ascii="Times New Roman" w:hAnsi="Times New Roman" w:cs="Times New Roman"/>
          <w:sz w:val="22"/>
          <w:szCs w:val="22"/>
          <w:lang w:val="sk-SK"/>
        </w:rPr>
      </w:pPr>
    </w:p>
    <w:p w14:paraId="30A467E0" w14:textId="77777777" w:rsidR="00F134F4" w:rsidRPr="00475027" w:rsidRDefault="00F134F4" w:rsidP="00FE4006">
      <w:pPr>
        <w:jc w:val="both"/>
        <w:rPr>
          <w:rFonts w:ascii="Times New Roman" w:hAnsi="Times New Roman" w:cs="Times New Roman"/>
          <w:b/>
          <w:caps/>
          <w:sz w:val="22"/>
          <w:szCs w:val="22"/>
          <w:lang w:val="sk-SK"/>
        </w:rPr>
      </w:pPr>
      <w:r w:rsidRPr="00475027">
        <w:rPr>
          <w:rFonts w:ascii="Times New Roman" w:hAnsi="Times New Roman" w:cs="Times New Roman"/>
          <w:b/>
          <w:sz w:val="22"/>
          <w:szCs w:val="22"/>
          <w:lang w:val="sk-SK"/>
        </w:rPr>
        <w:t>1.</w:t>
      </w:r>
      <w:r w:rsidRPr="00475027">
        <w:rPr>
          <w:rFonts w:ascii="Times New Roman" w:hAnsi="Times New Roman" w:cs="Times New Roman"/>
          <w:b/>
          <w:sz w:val="22"/>
          <w:szCs w:val="22"/>
          <w:lang w:val="sk-SK"/>
        </w:rPr>
        <w:tab/>
      </w:r>
      <w:r w:rsidRPr="00475027">
        <w:rPr>
          <w:rFonts w:ascii="Times New Roman" w:hAnsi="Times New Roman" w:cs="Times New Roman"/>
          <w:b/>
          <w:caps/>
          <w:sz w:val="22"/>
          <w:szCs w:val="22"/>
          <w:lang w:val="sk-SK"/>
        </w:rPr>
        <w:t>Názov LIEKU</w:t>
      </w:r>
    </w:p>
    <w:p w14:paraId="2E31C355" w14:textId="77777777" w:rsidR="00F134F4" w:rsidRPr="00475027" w:rsidRDefault="00F134F4" w:rsidP="00FE4006">
      <w:pPr>
        <w:jc w:val="both"/>
        <w:rPr>
          <w:rFonts w:ascii="Times New Roman" w:hAnsi="Times New Roman" w:cs="Times New Roman"/>
          <w:sz w:val="22"/>
          <w:szCs w:val="22"/>
          <w:lang w:val="sk-SK"/>
        </w:rPr>
      </w:pPr>
    </w:p>
    <w:p w14:paraId="461F6E3E" w14:textId="77777777" w:rsidR="00F134F4" w:rsidRPr="00475027" w:rsidRDefault="00F134F4" w:rsidP="00FE4006">
      <w:pPr>
        <w:jc w:val="both"/>
        <w:rPr>
          <w:rFonts w:ascii="Times New Roman" w:hAnsi="Times New Roman" w:cs="Times New Roman"/>
          <w:b/>
          <w:sz w:val="22"/>
          <w:szCs w:val="22"/>
          <w:lang w:val="sk-SK"/>
        </w:rPr>
      </w:pPr>
      <w:r w:rsidRPr="00475027">
        <w:rPr>
          <w:rFonts w:ascii="Times New Roman" w:hAnsi="Times New Roman" w:cs="Times New Roman"/>
          <w:b/>
          <w:sz w:val="22"/>
          <w:szCs w:val="22"/>
          <w:lang w:val="sk-SK"/>
        </w:rPr>
        <w:t>Dysport 500 U</w:t>
      </w:r>
    </w:p>
    <w:p w14:paraId="3ED51C9C"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prášok na injekčný roztok</w:t>
      </w:r>
    </w:p>
    <w:p w14:paraId="10B76F95" w14:textId="77777777" w:rsidR="00F134F4" w:rsidRPr="00475027" w:rsidRDefault="00F134F4" w:rsidP="00FE4006">
      <w:pPr>
        <w:jc w:val="both"/>
        <w:rPr>
          <w:rFonts w:ascii="Times New Roman" w:hAnsi="Times New Roman" w:cs="Times New Roman"/>
          <w:sz w:val="22"/>
          <w:szCs w:val="22"/>
          <w:lang w:val="sk-SK"/>
        </w:rPr>
      </w:pPr>
    </w:p>
    <w:p w14:paraId="6840519C" w14:textId="77777777" w:rsidR="00F134F4" w:rsidRPr="00475027" w:rsidRDefault="00F134F4" w:rsidP="00FE4006">
      <w:pPr>
        <w:jc w:val="both"/>
        <w:rPr>
          <w:rFonts w:ascii="Times New Roman" w:hAnsi="Times New Roman" w:cs="Times New Roman"/>
          <w:sz w:val="22"/>
          <w:szCs w:val="22"/>
          <w:lang w:val="sk-SK"/>
        </w:rPr>
      </w:pPr>
    </w:p>
    <w:p w14:paraId="0687CD81" w14:textId="77777777" w:rsidR="00F134F4" w:rsidRPr="00475027" w:rsidRDefault="00F134F4" w:rsidP="00FE4006">
      <w:pPr>
        <w:jc w:val="both"/>
        <w:rPr>
          <w:rFonts w:ascii="Times New Roman" w:hAnsi="Times New Roman" w:cs="Times New Roman"/>
          <w:b/>
          <w:caps/>
          <w:sz w:val="22"/>
          <w:szCs w:val="22"/>
          <w:lang w:val="sk-SK"/>
        </w:rPr>
      </w:pPr>
      <w:r w:rsidRPr="00475027">
        <w:rPr>
          <w:rFonts w:ascii="Times New Roman" w:hAnsi="Times New Roman" w:cs="Times New Roman"/>
          <w:b/>
          <w:sz w:val="22"/>
          <w:szCs w:val="22"/>
          <w:lang w:val="sk-SK"/>
        </w:rPr>
        <w:t>2.</w:t>
      </w:r>
      <w:r w:rsidRPr="00475027">
        <w:rPr>
          <w:rFonts w:ascii="Times New Roman" w:hAnsi="Times New Roman" w:cs="Times New Roman"/>
          <w:b/>
          <w:sz w:val="22"/>
          <w:szCs w:val="22"/>
          <w:lang w:val="sk-SK"/>
        </w:rPr>
        <w:tab/>
      </w:r>
      <w:r w:rsidRPr="00475027">
        <w:rPr>
          <w:rFonts w:ascii="Times New Roman" w:hAnsi="Times New Roman" w:cs="Times New Roman"/>
          <w:b/>
          <w:caps/>
          <w:sz w:val="22"/>
          <w:szCs w:val="22"/>
          <w:lang w:val="sk-SK"/>
        </w:rPr>
        <w:t xml:space="preserve">KvalitatÍvnE A kvantitatÍvnE ZLOŽENIE </w:t>
      </w:r>
    </w:p>
    <w:p w14:paraId="22E37CB2" w14:textId="77777777" w:rsidR="00F134F4" w:rsidRPr="00475027" w:rsidRDefault="00F134F4" w:rsidP="00FE4006">
      <w:pPr>
        <w:jc w:val="both"/>
        <w:rPr>
          <w:rFonts w:ascii="Times New Roman" w:hAnsi="Times New Roman" w:cs="Times New Roman"/>
          <w:b/>
          <w:caps/>
          <w:sz w:val="22"/>
          <w:szCs w:val="22"/>
          <w:lang w:val="sk-SK"/>
        </w:rPr>
      </w:pPr>
    </w:p>
    <w:p w14:paraId="0C33804D"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1 injekčná liekovka obsahuje:</w:t>
      </w:r>
    </w:p>
    <w:p w14:paraId="2ECDAFF6" w14:textId="77777777" w:rsidR="00F134F4" w:rsidRPr="00475027" w:rsidRDefault="00F134F4" w:rsidP="00FE4006">
      <w:pPr>
        <w:jc w:val="both"/>
        <w:rPr>
          <w:rFonts w:ascii="Times New Roman" w:hAnsi="Times New Roman" w:cs="Times New Roman"/>
          <w:sz w:val="22"/>
          <w:szCs w:val="22"/>
          <w:lang w:val="sk-SK"/>
        </w:rPr>
      </w:pPr>
    </w:p>
    <w:p w14:paraId="23E44DBB"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Botulotoxín typu A – hemaglutinínový komplex</w:t>
      </w:r>
      <w:r w:rsidRPr="00475027" w:rsidDel="00F06E5E">
        <w:rPr>
          <w:rFonts w:ascii="Times New Roman" w:hAnsi="Times New Roman" w:cs="Times New Roman"/>
          <w:sz w:val="22"/>
          <w:szCs w:val="22"/>
          <w:lang w:val="sk-SK"/>
        </w:rPr>
        <w:t xml:space="preserve"> </w:t>
      </w:r>
      <w:r w:rsidRPr="00475027">
        <w:rPr>
          <w:rFonts w:ascii="Times New Roman" w:hAnsi="Times New Roman" w:cs="Times New Roman"/>
          <w:sz w:val="22"/>
          <w:szCs w:val="22"/>
          <w:lang w:val="sk-SK"/>
        </w:rPr>
        <w:t>500 jednotiek (U) suchej substancie.</w:t>
      </w:r>
    </w:p>
    <w:p w14:paraId="244DD02B" w14:textId="77777777" w:rsidR="00F134F4" w:rsidRPr="00475027" w:rsidRDefault="00F134F4" w:rsidP="00FE4006">
      <w:pPr>
        <w:jc w:val="both"/>
        <w:rPr>
          <w:rFonts w:ascii="Times New Roman" w:hAnsi="Times New Roman" w:cs="Times New Roman"/>
          <w:sz w:val="22"/>
          <w:szCs w:val="22"/>
          <w:lang w:val="sk-SK"/>
        </w:rPr>
      </w:pPr>
    </w:p>
    <w:p w14:paraId="5837C14F" w14:textId="77777777" w:rsidR="00F134F4" w:rsidRPr="00475027" w:rsidRDefault="00F134F4" w:rsidP="00FE4006">
      <w:pPr>
        <w:outlineLvl w:val="0"/>
        <w:rPr>
          <w:rFonts w:ascii="Times New Roman" w:hAnsi="Times New Roman" w:cs="Times New Roman"/>
          <w:noProof/>
          <w:sz w:val="22"/>
          <w:szCs w:val="22"/>
          <w:lang w:val="sk-SK"/>
        </w:rPr>
      </w:pPr>
      <w:r w:rsidRPr="00475027">
        <w:rPr>
          <w:rFonts w:ascii="Times New Roman" w:hAnsi="Times New Roman" w:cs="Times New Roman"/>
          <w:noProof/>
          <w:sz w:val="22"/>
          <w:szCs w:val="22"/>
          <w:lang w:val="sk-SK"/>
        </w:rPr>
        <w:t>Úplný zoznam pomocných látok, pozri časť 6.1.</w:t>
      </w:r>
    </w:p>
    <w:p w14:paraId="6DFFDCAC" w14:textId="77777777" w:rsidR="00F134F4" w:rsidRPr="00475027" w:rsidRDefault="00F134F4" w:rsidP="00FE4006">
      <w:pPr>
        <w:jc w:val="both"/>
        <w:rPr>
          <w:rFonts w:ascii="Times New Roman" w:hAnsi="Times New Roman" w:cs="Times New Roman"/>
          <w:b/>
          <w:sz w:val="22"/>
          <w:szCs w:val="22"/>
          <w:lang w:val="sk-SK"/>
        </w:rPr>
      </w:pPr>
    </w:p>
    <w:p w14:paraId="0BC19EAF" w14:textId="77777777" w:rsidR="00F134F4" w:rsidRPr="00475027" w:rsidRDefault="00F134F4" w:rsidP="00FE4006">
      <w:pPr>
        <w:jc w:val="both"/>
        <w:rPr>
          <w:rFonts w:ascii="Times New Roman" w:hAnsi="Times New Roman" w:cs="Times New Roman"/>
          <w:b/>
          <w:sz w:val="22"/>
          <w:szCs w:val="22"/>
          <w:lang w:val="sk-SK"/>
        </w:rPr>
      </w:pPr>
    </w:p>
    <w:p w14:paraId="1DF15E24" w14:textId="77777777" w:rsidR="00F134F4" w:rsidRPr="00475027" w:rsidRDefault="00F134F4" w:rsidP="00FE4006">
      <w:pPr>
        <w:jc w:val="both"/>
        <w:rPr>
          <w:rFonts w:ascii="Times New Roman" w:hAnsi="Times New Roman" w:cs="Times New Roman"/>
          <w:b/>
          <w:sz w:val="22"/>
          <w:szCs w:val="22"/>
          <w:lang w:val="sk-SK"/>
        </w:rPr>
      </w:pPr>
      <w:r w:rsidRPr="00475027">
        <w:rPr>
          <w:rFonts w:ascii="Times New Roman" w:hAnsi="Times New Roman" w:cs="Times New Roman"/>
          <w:b/>
          <w:sz w:val="22"/>
          <w:szCs w:val="22"/>
          <w:lang w:val="sk-SK"/>
        </w:rPr>
        <w:t>3.</w:t>
      </w:r>
      <w:r w:rsidRPr="00475027">
        <w:rPr>
          <w:rFonts w:ascii="Times New Roman" w:hAnsi="Times New Roman" w:cs="Times New Roman"/>
          <w:b/>
          <w:sz w:val="22"/>
          <w:szCs w:val="22"/>
          <w:lang w:val="sk-SK"/>
        </w:rPr>
        <w:tab/>
        <w:t>LIEKOVÁ FORMA</w:t>
      </w:r>
    </w:p>
    <w:p w14:paraId="4FB55841" w14:textId="77777777" w:rsidR="00F134F4" w:rsidRPr="00475027" w:rsidRDefault="00F134F4" w:rsidP="00FE4006">
      <w:pPr>
        <w:jc w:val="both"/>
        <w:rPr>
          <w:rFonts w:ascii="Times New Roman" w:hAnsi="Times New Roman" w:cs="Times New Roman"/>
          <w:b/>
          <w:sz w:val="22"/>
          <w:szCs w:val="22"/>
          <w:lang w:val="sk-SK"/>
        </w:rPr>
      </w:pPr>
    </w:p>
    <w:p w14:paraId="7B0792E5"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Prášok na injekčný roztok.</w:t>
      </w:r>
    </w:p>
    <w:p w14:paraId="6C9B60DC"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Biely sterilný prášok vo forme peletu.</w:t>
      </w:r>
    </w:p>
    <w:p w14:paraId="1FDFD9ED" w14:textId="77777777" w:rsidR="00F134F4" w:rsidRPr="00475027" w:rsidRDefault="00F134F4" w:rsidP="00FE4006">
      <w:pPr>
        <w:jc w:val="both"/>
        <w:rPr>
          <w:rFonts w:ascii="Times New Roman" w:hAnsi="Times New Roman" w:cs="Times New Roman"/>
          <w:sz w:val="22"/>
          <w:szCs w:val="22"/>
          <w:lang w:val="sk-SK"/>
        </w:rPr>
      </w:pPr>
    </w:p>
    <w:p w14:paraId="69B81244" w14:textId="77777777" w:rsidR="00F134F4" w:rsidRPr="00475027" w:rsidRDefault="00F134F4" w:rsidP="00FE4006">
      <w:pPr>
        <w:jc w:val="both"/>
        <w:rPr>
          <w:rFonts w:ascii="Times New Roman" w:hAnsi="Times New Roman" w:cs="Times New Roman"/>
          <w:sz w:val="22"/>
          <w:szCs w:val="22"/>
          <w:lang w:val="sk-SK"/>
        </w:rPr>
      </w:pPr>
    </w:p>
    <w:p w14:paraId="55A1AB3F" w14:textId="77777777" w:rsidR="00F134F4" w:rsidRPr="00475027" w:rsidRDefault="00F134F4" w:rsidP="00FE4006">
      <w:pPr>
        <w:spacing w:line="240" w:lineRule="atLeast"/>
        <w:rPr>
          <w:rFonts w:ascii="Times New Roman" w:hAnsi="Times New Roman" w:cs="Times New Roman"/>
          <w:b/>
          <w:sz w:val="22"/>
          <w:szCs w:val="22"/>
          <w:lang w:val="sk-SK"/>
        </w:rPr>
      </w:pPr>
      <w:r w:rsidRPr="00475027">
        <w:rPr>
          <w:rFonts w:ascii="Times New Roman" w:hAnsi="Times New Roman" w:cs="Times New Roman"/>
          <w:b/>
          <w:sz w:val="22"/>
          <w:szCs w:val="22"/>
          <w:lang w:val="sk-SK"/>
        </w:rPr>
        <w:t>4.</w:t>
      </w:r>
      <w:r w:rsidRPr="00475027">
        <w:rPr>
          <w:rFonts w:ascii="Times New Roman" w:hAnsi="Times New Roman" w:cs="Times New Roman"/>
          <w:b/>
          <w:sz w:val="22"/>
          <w:szCs w:val="22"/>
          <w:lang w:val="sk-SK"/>
        </w:rPr>
        <w:tab/>
        <w:t>KLINICKÉ ÚDAJE</w:t>
      </w:r>
    </w:p>
    <w:p w14:paraId="363362FC" w14:textId="77777777" w:rsidR="00F134F4" w:rsidRPr="00475027" w:rsidRDefault="00F134F4" w:rsidP="00FE4006">
      <w:pPr>
        <w:spacing w:line="240" w:lineRule="atLeast"/>
        <w:rPr>
          <w:rFonts w:ascii="Times New Roman" w:hAnsi="Times New Roman" w:cs="Times New Roman"/>
          <w:b/>
          <w:sz w:val="22"/>
          <w:szCs w:val="22"/>
          <w:lang w:val="sk-SK"/>
        </w:rPr>
      </w:pPr>
    </w:p>
    <w:p w14:paraId="6C6921E1" w14:textId="77777777" w:rsidR="00F134F4" w:rsidRPr="00475027" w:rsidRDefault="00F134F4" w:rsidP="00FE4006">
      <w:pPr>
        <w:spacing w:line="240" w:lineRule="atLeast"/>
        <w:rPr>
          <w:rFonts w:ascii="Times New Roman" w:hAnsi="Times New Roman" w:cs="Times New Roman"/>
          <w:b/>
          <w:sz w:val="22"/>
          <w:szCs w:val="22"/>
          <w:lang w:val="sk-SK"/>
        </w:rPr>
      </w:pPr>
      <w:r w:rsidRPr="00475027">
        <w:rPr>
          <w:rFonts w:ascii="Times New Roman" w:hAnsi="Times New Roman" w:cs="Times New Roman"/>
          <w:b/>
          <w:sz w:val="22"/>
          <w:szCs w:val="22"/>
          <w:lang w:val="sk-SK"/>
        </w:rPr>
        <w:t>4.1</w:t>
      </w:r>
      <w:r w:rsidRPr="00475027">
        <w:rPr>
          <w:rFonts w:ascii="Times New Roman" w:hAnsi="Times New Roman" w:cs="Times New Roman"/>
          <w:b/>
          <w:sz w:val="22"/>
          <w:szCs w:val="22"/>
          <w:lang w:val="sk-SK"/>
        </w:rPr>
        <w:tab/>
        <w:t>Terapeutické indikácie</w:t>
      </w:r>
    </w:p>
    <w:p w14:paraId="1845A7C2" w14:textId="77777777" w:rsidR="00F134F4" w:rsidRPr="00475027" w:rsidRDefault="00F134F4" w:rsidP="00FE4006">
      <w:pPr>
        <w:spacing w:line="240" w:lineRule="atLeast"/>
        <w:rPr>
          <w:rFonts w:ascii="Times New Roman" w:hAnsi="Times New Roman" w:cs="Times New Roman"/>
          <w:b/>
          <w:sz w:val="22"/>
          <w:szCs w:val="22"/>
          <w:lang w:val="sk-SK"/>
        </w:rPr>
      </w:pPr>
    </w:p>
    <w:p w14:paraId="43416A0F"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Dysport 500 U je indikovaný na:</w:t>
      </w:r>
    </w:p>
    <w:p w14:paraId="3F8E9E36" w14:textId="77777777" w:rsidR="00F134F4" w:rsidRPr="00475027" w:rsidRDefault="00F134F4" w:rsidP="00C55A16">
      <w:pPr>
        <w:numPr>
          <w:ilvl w:val="0"/>
          <w:numId w:val="5"/>
        </w:num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symptomatickú liečbu fokálnej spasticity horných končatín u dospelých,</w:t>
      </w:r>
    </w:p>
    <w:p w14:paraId="22B7A721" w14:textId="20992C70" w:rsidR="00BE3A89" w:rsidRPr="00475027" w:rsidRDefault="00BE3A89" w:rsidP="00475027">
      <w:pPr>
        <w:numPr>
          <w:ilvl w:val="0"/>
          <w:numId w:val="5"/>
        </w:numPr>
        <w:rPr>
          <w:rFonts w:ascii="Times New Roman" w:hAnsi="Times New Roman" w:cs="Times New Roman"/>
          <w:sz w:val="22"/>
          <w:szCs w:val="22"/>
          <w:lang w:val="sk-SK"/>
        </w:rPr>
      </w:pPr>
      <w:r w:rsidRPr="00475027">
        <w:rPr>
          <w:rFonts w:ascii="Times New Roman" w:hAnsi="Times New Roman" w:cs="Times New Roman"/>
          <w:sz w:val="22"/>
          <w:szCs w:val="22"/>
          <w:lang w:val="sk-SK"/>
        </w:rPr>
        <w:t>symptomatická liečba fokálnej spasticity členkového kĺbu u dospelých po mozgovej príhode alebo traumatickom poškodení mozgu</w:t>
      </w:r>
    </w:p>
    <w:p w14:paraId="5D585282" w14:textId="3851C32A" w:rsidR="00F134F4" w:rsidRPr="00475027" w:rsidRDefault="00F134F4" w:rsidP="00486345">
      <w:pPr>
        <w:numPr>
          <w:ilvl w:val="0"/>
          <w:numId w:val="5"/>
        </w:num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dynamická deformita nohy v zmysle pes ekvinus na podklade spasticity u </w:t>
      </w:r>
      <w:r w:rsidR="002C7C03" w:rsidRPr="00475027">
        <w:rPr>
          <w:rFonts w:ascii="Times New Roman" w:hAnsi="Times New Roman" w:cs="Times New Roman"/>
          <w:sz w:val="22"/>
          <w:szCs w:val="22"/>
          <w:lang w:val="sk-SK"/>
        </w:rPr>
        <w:t xml:space="preserve">pediatrických </w:t>
      </w:r>
      <w:r w:rsidRPr="00475027">
        <w:rPr>
          <w:rFonts w:ascii="Times New Roman" w:hAnsi="Times New Roman" w:cs="Times New Roman"/>
          <w:sz w:val="22"/>
          <w:szCs w:val="22"/>
          <w:lang w:val="sk-SK"/>
        </w:rPr>
        <w:t>paciento</w:t>
      </w:r>
      <w:r w:rsidR="002C7C03" w:rsidRPr="00475027">
        <w:rPr>
          <w:rFonts w:ascii="Times New Roman" w:hAnsi="Times New Roman" w:cs="Times New Roman"/>
          <w:sz w:val="22"/>
          <w:szCs w:val="22"/>
          <w:lang w:val="sk-SK"/>
        </w:rPr>
        <w:t>v</w:t>
      </w:r>
      <w:r w:rsidRPr="00475027">
        <w:rPr>
          <w:rFonts w:ascii="Times New Roman" w:hAnsi="Times New Roman" w:cs="Times New Roman"/>
          <w:sz w:val="22"/>
          <w:szCs w:val="22"/>
          <w:lang w:val="sk-SK"/>
        </w:rPr>
        <w:t xml:space="preserve"> s detskou mozgovou obrnou (DMO) od 2 rokov,</w:t>
      </w:r>
    </w:p>
    <w:p w14:paraId="20623DB7" w14:textId="77777777" w:rsidR="00F134F4" w:rsidRPr="00475027" w:rsidRDefault="00F134F4" w:rsidP="00486345">
      <w:pPr>
        <w:numPr>
          <w:ilvl w:val="0"/>
          <w:numId w:val="5"/>
        </w:num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spastickú torticollis dospelých,</w:t>
      </w:r>
    </w:p>
    <w:p w14:paraId="73E64BF3" w14:textId="77777777" w:rsidR="00F134F4" w:rsidRPr="00475027" w:rsidRDefault="00F134F4" w:rsidP="00C55A16">
      <w:pPr>
        <w:numPr>
          <w:ilvl w:val="0"/>
          <w:numId w:val="5"/>
        </w:num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blefarospazmus dospelých,</w:t>
      </w:r>
    </w:p>
    <w:p w14:paraId="64FCAB80" w14:textId="77777777" w:rsidR="00F134F4" w:rsidRPr="00475027" w:rsidRDefault="00F134F4" w:rsidP="00C55A16">
      <w:pPr>
        <w:numPr>
          <w:ilvl w:val="0"/>
          <w:numId w:val="5"/>
        </w:num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hemifaciálny spazmus dospelých,</w:t>
      </w:r>
    </w:p>
    <w:p w14:paraId="4C4C4203" w14:textId="77777777" w:rsidR="00F134F4" w:rsidRPr="00475027" w:rsidRDefault="00F134F4" w:rsidP="00C55A16">
      <w:pPr>
        <w:numPr>
          <w:ilvl w:val="0"/>
          <w:numId w:val="5"/>
        </w:numPr>
        <w:jc w:val="both"/>
        <w:rPr>
          <w:rFonts w:ascii="Times New Roman" w:hAnsi="Times New Roman" w:cs="Times New Roman"/>
          <w:b/>
          <w:bCs/>
          <w:sz w:val="22"/>
          <w:szCs w:val="22"/>
          <w:lang w:val="sk-SK"/>
        </w:rPr>
      </w:pPr>
      <w:r w:rsidRPr="00475027">
        <w:rPr>
          <w:rFonts w:ascii="Times New Roman" w:hAnsi="Times New Roman" w:cs="Times New Roman"/>
          <w:bCs/>
          <w:sz w:val="22"/>
          <w:szCs w:val="22"/>
          <w:lang w:val="sk-SK"/>
        </w:rPr>
        <w:t>hyperfunkčné línie na tvári a hyperhidróza.</w:t>
      </w:r>
    </w:p>
    <w:p w14:paraId="40F7F9E0" w14:textId="77777777" w:rsidR="00BE3A89" w:rsidRPr="00475027" w:rsidRDefault="00BE3A89" w:rsidP="00475027">
      <w:pPr>
        <w:ind w:left="720"/>
        <w:jc w:val="both"/>
        <w:rPr>
          <w:rFonts w:ascii="Times New Roman" w:hAnsi="Times New Roman" w:cs="Times New Roman"/>
          <w:b/>
          <w:bCs/>
          <w:sz w:val="22"/>
          <w:szCs w:val="22"/>
          <w:lang w:val="sk-SK"/>
        </w:rPr>
      </w:pPr>
    </w:p>
    <w:p w14:paraId="7B3B172C" w14:textId="77777777" w:rsidR="00BE3A89" w:rsidRPr="00475027" w:rsidRDefault="00BE3A89" w:rsidP="00BE3A89">
      <w:pPr>
        <w:rPr>
          <w:rFonts w:ascii="Times New Roman" w:hAnsi="Times New Roman" w:cs="Times New Roman"/>
          <w:sz w:val="22"/>
          <w:szCs w:val="22"/>
          <w:lang w:val="sk-SK"/>
        </w:rPr>
      </w:pPr>
      <w:r w:rsidRPr="00475027">
        <w:rPr>
          <w:rFonts w:ascii="Times New Roman" w:hAnsi="Times New Roman" w:cs="Times New Roman"/>
          <w:sz w:val="22"/>
          <w:szCs w:val="22"/>
          <w:lang w:val="sk-SK"/>
        </w:rPr>
        <w:t>Poznámka:</w:t>
      </w:r>
    </w:p>
    <w:p w14:paraId="24F4EF5E" w14:textId="77777777" w:rsidR="00BE3A89" w:rsidRPr="00475027" w:rsidRDefault="00BE3A89" w:rsidP="00BE3A89">
      <w:pPr>
        <w:rPr>
          <w:rFonts w:ascii="Times New Roman" w:hAnsi="Times New Roman" w:cs="Times New Roman"/>
          <w:sz w:val="22"/>
          <w:szCs w:val="22"/>
          <w:lang w:val="sk-SK"/>
        </w:rPr>
      </w:pPr>
      <w:r w:rsidRPr="00475027">
        <w:rPr>
          <w:rFonts w:ascii="Times New Roman" w:hAnsi="Times New Roman" w:cs="Times New Roman"/>
          <w:sz w:val="22"/>
          <w:szCs w:val="22"/>
          <w:lang w:val="sk-SK"/>
        </w:rPr>
        <w:t>Pred začatím liečby liekom Dysport 500 má byť pacient informovaný, že existujú aj ďalšie možnosti liečby (medicínske, chirurgické) a že nie všetci pacienti reagujú na liečbu liekom Dysport. Rovnako môžu niektorí pacienti prejaviť len čiastočné zmiernenie príznakov.</w:t>
      </w:r>
    </w:p>
    <w:p w14:paraId="248D583D" w14:textId="77777777" w:rsidR="00F134F4" w:rsidRPr="00475027" w:rsidRDefault="00F134F4" w:rsidP="00FE4006">
      <w:pPr>
        <w:jc w:val="both"/>
        <w:rPr>
          <w:rFonts w:ascii="Times New Roman" w:hAnsi="Times New Roman" w:cs="Times New Roman"/>
          <w:sz w:val="22"/>
          <w:szCs w:val="22"/>
          <w:lang w:val="sk-SK"/>
        </w:rPr>
      </w:pPr>
    </w:p>
    <w:p w14:paraId="5D7EEC42" w14:textId="77777777" w:rsidR="00F134F4" w:rsidRPr="00475027" w:rsidRDefault="00F134F4" w:rsidP="00FE4006">
      <w:pPr>
        <w:spacing w:line="240" w:lineRule="atLeast"/>
        <w:rPr>
          <w:rFonts w:ascii="Times New Roman" w:hAnsi="Times New Roman" w:cs="Times New Roman"/>
          <w:b/>
          <w:sz w:val="22"/>
          <w:szCs w:val="22"/>
          <w:lang w:val="sk-SK"/>
        </w:rPr>
      </w:pPr>
      <w:r w:rsidRPr="00475027">
        <w:rPr>
          <w:rFonts w:ascii="Times New Roman" w:hAnsi="Times New Roman" w:cs="Times New Roman"/>
          <w:b/>
          <w:sz w:val="22"/>
          <w:szCs w:val="22"/>
          <w:lang w:val="sk-SK"/>
        </w:rPr>
        <w:t>4.2</w:t>
      </w:r>
      <w:r w:rsidRPr="00475027">
        <w:rPr>
          <w:rFonts w:ascii="Times New Roman" w:hAnsi="Times New Roman" w:cs="Times New Roman"/>
          <w:b/>
          <w:sz w:val="22"/>
          <w:szCs w:val="22"/>
          <w:lang w:val="sk-SK"/>
        </w:rPr>
        <w:tab/>
        <w:t>Dávkovanie a spôsob podávania</w:t>
      </w:r>
    </w:p>
    <w:p w14:paraId="693A807B" w14:textId="77777777" w:rsidR="00F134F4" w:rsidRPr="00475027" w:rsidRDefault="00F134F4" w:rsidP="00FE4006">
      <w:pPr>
        <w:spacing w:line="240" w:lineRule="atLeast"/>
        <w:rPr>
          <w:rFonts w:ascii="Times New Roman" w:hAnsi="Times New Roman" w:cs="Times New Roman"/>
          <w:b/>
          <w:sz w:val="22"/>
          <w:szCs w:val="22"/>
          <w:lang w:val="sk-SK"/>
        </w:rPr>
      </w:pPr>
    </w:p>
    <w:p w14:paraId="045FED17" w14:textId="77777777" w:rsidR="00F134F4" w:rsidRPr="00475027" w:rsidRDefault="00F134F4" w:rsidP="00FE4006">
      <w:pPr>
        <w:pStyle w:val="Zkladntext"/>
        <w:rPr>
          <w:rFonts w:ascii="Times New Roman" w:hAnsi="Times New Roman" w:cs="Times New Roman"/>
          <w:sz w:val="22"/>
          <w:szCs w:val="22"/>
          <w:lang w:val="sk-SK"/>
        </w:rPr>
      </w:pPr>
      <w:r w:rsidRPr="00475027">
        <w:rPr>
          <w:rFonts w:ascii="Times New Roman" w:hAnsi="Times New Roman" w:cs="Times New Roman"/>
          <w:sz w:val="22"/>
          <w:szCs w:val="22"/>
          <w:lang w:val="sk-SK"/>
        </w:rPr>
        <w:t>Jednotky lieku sú špecifické pre liek Dysport 500 U a nie sú zameniteľné s iným liekom obsahujúcim botulínový toxín.</w:t>
      </w:r>
    </w:p>
    <w:p w14:paraId="6F174F3D" w14:textId="77777777" w:rsidR="00F134F4" w:rsidRPr="00475027" w:rsidRDefault="00F134F4" w:rsidP="00FE4006">
      <w:pPr>
        <w:pStyle w:val="Zkladntext"/>
        <w:rPr>
          <w:rFonts w:ascii="Times New Roman" w:hAnsi="Times New Roman" w:cs="Times New Roman"/>
          <w:sz w:val="22"/>
          <w:szCs w:val="22"/>
          <w:lang w:val="sk-SK"/>
        </w:rPr>
      </w:pPr>
    </w:p>
    <w:p w14:paraId="6C47C6BA" w14:textId="77777777" w:rsidR="00F134F4" w:rsidRPr="00475027" w:rsidRDefault="00F134F4" w:rsidP="00FE4006">
      <w:pPr>
        <w:pStyle w:val="Body"/>
        <w:rPr>
          <w:sz w:val="22"/>
          <w:szCs w:val="22"/>
          <w:lang w:val="sk-SK"/>
        </w:rPr>
      </w:pPr>
      <w:r w:rsidRPr="00475027">
        <w:rPr>
          <w:sz w:val="22"/>
          <w:szCs w:val="22"/>
          <w:lang w:val="sk-SK"/>
        </w:rPr>
        <w:t xml:space="preserve">Dysport 500 U majú podávať len školení lekári. Pred prepichnutím septa sa musí exponované miesto podania hlavnej dávky vyčistiť alkoholom. Odporúčajú sa ihly veľkosti 23 alebo </w:t>
      </w:r>
      <w:smartTag w:uri="urn:schemas-microsoft-com:office:smarttags" w:element="metricconverter">
        <w:smartTagPr>
          <w:attr w:name="ProductID" w:val="25 G"/>
        </w:smartTagPr>
        <w:r w:rsidRPr="00475027">
          <w:rPr>
            <w:sz w:val="22"/>
            <w:szCs w:val="22"/>
            <w:lang w:val="sk-SK"/>
          </w:rPr>
          <w:t>25 G</w:t>
        </w:r>
      </w:smartTag>
      <w:r w:rsidRPr="00475027">
        <w:rPr>
          <w:sz w:val="22"/>
          <w:szCs w:val="22"/>
          <w:lang w:val="sk-SK"/>
        </w:rPr>
        <w:t xml:space="preserve"> /gauge/.</w:t>
      </w:r>
    </w:p>
    <w:p w14:paraId="189FB93F" w14:textId="77777777" w:rsidR="00F134F4" w:rsidRPr="00475027" w:rsidRDefault="00F134F4" w:rsidP="00FE4006">
      <w:pPr>
        <w:pStyle w:val="Body"/>
        <w:rPr>
          <w:sz w:val="22"/>
          <w:szCs w:val="22"/>
          <w:lang w:val="sk-SK"/>
        </w:rPr>
      </w:pPr>
    </w:p>
    <w:p w14:paraId="42925A1D" w14:textId="77777777" w:rsidR="00F134F4" w:rsidRPr="00475027" w:rsidRDefault="00F134F4" w:rsidP="000528D5">
      <w:pPr>
        <w:pStyle w:val="Default"/>
        <w:rPr>
          <w:color w:val="auto"/>
          <w:sz w:val="22"/>
          <w:szCs w:val="22"/>
          <w:lang w:val="sk-SK"/>
        </w:rPr>
      </w:pPr>
      <w:r w:rsidRPr="00475027">
        <w:rPr>
          <w:color w:val="auto"/>
          <w:sz w:val="22"/>
          <w:szCs w:val="22"/>
          <w:lang w:val="sk-SK"/>
        </w:rPr>
        <w:t>Návody na riedenie injekčných liekoviek sú špecifické  pre každú jednotlivú 300 U a 500 U injekčnú liekovku. Objemy uvedené v tabuľke riedenia nižšie poskytujú koncentrácie špecifické pre použitie pre jednotlivé indikácie.</w:t>
      </w:r>
    </w:p>
    <w:p w14:paraId="0397D52B" w14:textId="77777777" w:rsidR="00F134F4" w:rsidRPr="00475027" w:rsidRDefault="00F134F4" w:rsidP="000528D5">
      <w:pPr>
        <w:pStyle w:val="Default"/>
        <w:rPr>
          <w:sz w:val="22"/>
          <w:szCs w:val="22"/>
          <w:lang w:val="sk-SK"/>
        </w:rPr>
      </w:pPr>
    </w:p>
    <w:tbl>
      <w:tblPr>
        <w:tblW w:w="6008" w:type="dxa"/>
        <w:jc w:val="center"/>
        <w:tblLook w:val="0000" w:firstRow="0" w:lastRow="0" w:firstColumn="0" w:lastColumn="0" w:noHBand="0" w:noVBand="0"/>
      </w:tblPr>
      <w:tblGrid>
        <w:gridCol w:w="1958"/>
        <w:gridCol w:w="1890"/>
        <w:gridCol w:w="2160"/>
      </w:tblGrid>
      <w:tr w:rsidR="00F134F4" w:rsidRPr="00475027" w14:paraId="4966A7A7" w14:textId="77777777" w:rsidTr="000528D5">
        <w:trPr>
          <w:trHeight w:val="591"/>
          <w:jc w:val="center"/>
        </w:trPr>
        <w:tc>
          <w:tcPr>
            <w:tcW w:w="1958" w:type="dxa"/>
            <w:tcBorders>
              <w:top w:val="single" w:sz="2" w:space="0" w:color="000000"/>
              <w:left w:val="single" w:sz="2" w:space="0" w:color="000000"/>
              <w:right w:val="single" w:sz="2" w:space="0" w:color="000000"/>
            </w:tcBorders>
            <w:vAlign w:val="center"/>
          </w:tcPr>
          <w:p w14:paraId="72D982CC" w14:textId="77777777" w:rsidR="00F134F4" w:rsidRPr="00475027" w:rsidRDefault="00F134F4" w:rsidP="000528D5">
            <w:pPr>
              <w:pStyle w:val="Default"/>
              <w:rPr>
                <w:sz w:val="22"/>
                <w:szCs w:val="22"/>
                <w:lang w:val="sk-SK"/>
              </w:rPr>
            </w:pPr>
            <w:r w:rsidRPr="00475027">
              <w:rPr>
                <w:sz w:val="22"/>
                <w:szCs w:val="22"/>
                <w:lang w:val="sk-SK"/>
              </w:rPr>
              <w:t>Výsledná dávka</w:t>
            </w:r>
          </w:p>
          <w:p w14:paraId="1D7BC472" w14:textId="77777777" w:rsidR="00F134F4" w:rsidRPr="00475027" w:rsidRDefault="00F134F4" w:rsidP="000528D5">
            <w:pPr>
              <w:pStyle w:val="Default"/>
              <w:rPr>
                <w:sz w:val="22"/>
                <w:szCs w:val="22"/>
                <w:lang w:val="sk-SK"/>
              </w:rPr>
            </w:pPr>
            <w:r w:rsidRPr="00475027">
              <w:rPr>
                <w:sz w:val="22"/>
                <w:szCs w:val="22"/>
                <w:lang w:val="sk-SK"/>
              </w:rPr>
              <w:t xml:space="preserve">   Units/ml</w:t>
            </w:r>
          </w:p>
        </w:tc>
        <w:tc>
          <w:tcPr>
            <w:tcW w:w="1890" w:type="dxa"/>
            <w:tcBorders>
              <w:top w:val="single" w:sz="2" w:space="0" w:color="000000"/>
              <w:left w:val="single" w:sz="2" w:space="0" w:color="000000"/>
              <w:right w:val="single" w:sz="2" w:space="0" w:color="000000"/>
            </w:tcBorders>
            <w:vAlign w:val="center"/>
          </w:tcPr>
          <w:p w14:paraId="302C1877" w14:textId="77777777" w:rsidR="00F134F4" w:rsidRPr="00475027" w:rsidRDefault="00F134F4" w:rsidP="000528D5">
            <w:pPr>
              <w:pStyle w:val="Default"/>
              <w:rPr>
                <w:sz w:val="22"/>
                <w:szCs w:val="22"/>
                <w:lang w:val="sk-SK"/>
              </w:rPr>
            </w:pPr>
            <w:r w:rsidRPr="00475027">
              <w:rPr>
                <w:sz w:val="22"/>
                <w:szCs w:val="22"/>
                <w:lang w:val="sk-SK"/>
              </w:rPr>
              <w:t>Množstvo rozpúšťadla* pre injekčnú liekovku s 500 jednotkami</w:t>
            </w:r>
          </w:p>
        </w:tc>
        <w:tc>
          <w:tcPr>
            <w:tcW w:w="2160" w:type="dxa"/>
            <w:tcBorders>
              <w:top w:val="single" w:sz="2" w:space="0" w:color="000000"/>
              <w:left w:val="single" w:sz="2" w:space="0" w:color="000000"/>
              <w:right w:val="single" w:sz="2" w:space="0" w:color="000000"/>
            </w:tcBorders>
            <w:vAlign w:val="center"/>
          </w:tcPr>
          <w:p w14:paraId="26B358E9" w14:textId="77777777" w:rsidR="00F134F4" w:rsidRPr="00475027" w:rsidRDefault="00F134F4" w:rsidP="000528D5">
            <w:pPr>
              <w:pStyle w:val="Default"/>
              <w:rPr>
                <w:sz w:val="22"/>
                <w:szCs w:val="22"/>
                <w:lang w:val="sk-SK"/>
              </w:rPr>
            </w:pPr>
            <w:r w:rsidRPr="00475027">
              <w:rPr>
                <w:sz w:val="22"/>
                <w:szCs w:val="22"/>
                <w:lang w:val="sk-SK"/>
              </w:rPr>
              <w:t xml:space="preserve">Množstvo rozpúšťadla* pre injekčnú liekovku s 300 jednotkami </w:t>
            </w:r>
          </w:p>
        </w:tc>
      </w:tr>
      <w:tr w:rsidR="00F134F4" w:rsidRPr="00475027" w14:paraId="1DE04A5B" w14:textId="77777777" w:rsidTr="000528D5">
        <w:trPr>
          <w:trHeight w:val="270"/>
          <w:jc w:val="center"/>
        </w:trPr>
        <w:tc>
          <w:tcPr>
            <w:tcW w:w="1958" w:type="dxa"/>
            <w:tcBorders>
              <w:top w:val="single" w:sz="2" w:space="0" w:color="000000"/>
              <w:left w:val="single" w:sz="2" w:space="0" w:color="000000"/>
              <w:right w:val="single" w:sz="2" w:space="0" w:color="000000"/>
            </w:tcBorders>
            <w:vAlign w:val="center"/>
          </w:tcPr>
          <w:p w14:paraId="023A96AD" w14:textId="77777777" w:rsidR="00F134F4" w:rsidRPr="00475027" w:rsidRDefault="00F134F4" w:rsidP="000528D5">
            <w:pPr>
              <w:pStyle w:val="Default"/>
              <w:rPr>
                <w:sz w:val="22"/>
                <w:szCs w:val="22"/>
                <w:lang w:val="sk-SK"/>
              </w:rPr>
            </w:pPr>
            <w:r w:rsidRPr="00475027">
              <w:rPr>
                <w:sz w:val="22"/>
                <w:szCs w:val="22"/>
                <w:lang w:val="sk-SK"/>
              </w:rPr>
              <w:t>500 Units/ml</w:t>
            </w:r>
          </w:p>
        </w:tc>
        <w:tc>
          <w:tcPr>
            <w:tcW w:w="1890" w:type="dxa"/>
            <w:tcBorders>
              <w:top w:val="single" w:sz="2" w:space="0" w:color="000000"/>
              <w:left w:val="single" w:sz="2" w:space="0" w:color="000000"/>
              <w:right w:val="single" w:sz="2" w:space="0" w:color="000000"/>
            </w:tcBorders>
            <w:vAlign w:val="center"/>
          </w:tcPr>
          <w:p w14:paraId="1CB318A2" w14:textId="77777777" w:rsidR="00F134F4" w:rsidRPr="00475027" w:rsidRDefault="00F134F4" w:rsidP="000528D5">
            <w:pPr>
              <w:pStyle w:val="Default"/>
              <w:rPr>
                <w:sz w:val="22"/>
                <w:szCs w:val="22"/>
                <w:lang w:val="sk-SK"/>
              </w:rPr>
            </w:pPr>
            <w:r w:rsidRPr="00475027">
              <w:rPr>
                <w:sz w:val="22"/>
                <w:szCs w:val="22"/>
                <w:lang w:val="sk-SK"/>
              </w:rPr>
              <w:t>1 ml</w:t>
            </w:r>
          </w:p>
        </w:tc>
        <w:tc>
          <w:tcPr>
            <w:tcW w:w="2160" w:type="dxa"/>
            <w:tcBorders>
              <w:top w:val="single" w:sz="2" w:space="0" w:color="000000"/>
              <w:left w:val="single" w:sz="2" w:space="0" w:color="000000"/>
              <w:right w:val="single" w:sz="2" w:space="0" w:color="000000"/>
            </w:tcBorders>
            <w:vAlign w:val="center"/>
          </w:tcPr>
          <w:p w14:paraId="1DC4B1A8" w14:textId="77777777" w:rsidR="00F134F4" w:rsidRPr="00475027" w:rsidRDefault="00F134F4" w:rsidP="000528D5">
            <w:pPr>
              <w:pStyle w:val="Default"/>
              <w:rPr>
                <w:sz w:val="22"/>
                <w:szCs w:val="22"/>
                <w:lang w:val="sk-SK"/>
              </w:rPr>
            </w:pPr>
            <w:r w:rsidRPr="00475027">
              <w:rPr>
                <w:sz w:val="22"/>
                <w:szCs w:val="22"/>
                <w:lang w:val="sk-SK"/>
              </w:rPr>
              <w:t>0.6 ml</w:t>
            </w:r>
          </w:p>
        </w:tc>
      </w:tr>
      <w:tr w:rsidR="00F134F4" w:rsidRPr="00475027" w14:paraId="4FCCA8E5" w14:textId="77777777" w:rsidTr="000528D5">
        <w:trPr>
          <w:trHeight w:val="275"/>
          <w:jc w:val="center"/>
        </w:trPr>
        <w:tc>
          <w:tcPr>
            <w:tcW w:w="1958" w:type="dxa"/>
            <w:tcBorders>
              <w:left w:val="single" w:sz="2" w:space="0" w:color="000000"/>
              <w:bottom w:val="nil"/>
              <w:right w:val="single" w:sz="2" w:space="0" w:color="000000"/>
            </w:tcBorders>
            <w:vAlign w:val="center"/>
          </w:tcPr>
          <w:p w14:paraId="4091541C" w14:textId="77777777" w:rsidR="00F134F4" w:rsidRPr="00475027" w:rsidRDefault="00F134F4" w:rsidP="000528D5">
            <w:pPr>
              <w:pStyle w:val="Default"/>
              <w:rPr>
                <w:sz w:val="22"/>
                <w:szCs w:val="22"/>
                <w:lang w:val="sk-SK"/>
              </w:rPr>
            </w:pPr>
            <w:r w:rsidRPr="00475027">
              <w:rPr>
                <w:sz w:val="22"/>
                <w:szCs w:val="22"/>
                <w:lang w:val="sk-SK"/>
              </w:rPr>
              <w:t>200 Units/ml</w:t>
            </w:r>
          </w:p>
        </w:tc>
        <w:tc>
          <w:tcPr>
            <w:tcW w:w="1890" w:type="dxa"/>
            <w:tcBorders>
              <w:left w:val="single" w:sz="2" w:space="0" w:color="000000"/>
              <w:bottom w:val="nil"/>
              <w:right w:val="single" w:sz="2" w:space="0" w:color="000000"/>
            </w:tcBorders>
            <w:vAlign w:val="center"/>
          </w:tcPr>
          <w:p w14:paraId="225481DA" w14:textId="77777777" w:rsidR="00F134F4" w:rsidRPr="00475027" w:rsidRDefault="00F134F4" w:rsidP="000528D5">
            <w:pPr>
              <w:pStyle w:val="Default"/>
              <w:rPr>
                <w:sz w:val="22"/>
                <w:szCs w:val="22"/>
                <w:lang w:val="sk-SK"/>
              </w:rPr>
            </w:pPr>
            <w:r w:rsidRPr="00475027">
              <w:rPr>
                <w:sz w:val="22"/>
                <w:szCs w:val="22"/>
                <w:lang w:val="sk-SK"/>
              </w:rPr>
              <w:t>2.5 ml</w:t>
            </w:r>
          </w:p>
        </w:tc>
        <w:tc>
          <w:tcPr>
            <w:tcW w:w="2160" w:type="dxa"/>
            <w:tcBorders>
              <w:left w:val="single" w:sz="2" w:space="0" w:color="000000"/>
              <w:bottom w:val="nil"/>
              <w:right w:val="single" w:sz="2" w:space="0" w:color="000000"/>
            </w:tcBorders>
            <w:vAlign w:val="center"/>
          </w:tcPr>
          <w:p w14:paraId="1F064D35" w14:textId="77777777" w:rsidR="00F134F4" w:rsidRPr="00475027" w:rsidRDefault="00F134F4" w:rsidP="000528D5">
            <w:pPr>
              <w:pStyle w:val="Default"/>
              <w:rPr>
                <w:sz w:val="22"/>
                <w:szCs w:val="22"/>
                <w:lang w:val="sk-SK"/>
              </w:rPr>
            </w:pPr>
            <w:r w:rsidRPr="00475027">
              <w:rPr>
                <w:sz w:val="22"/>
                <w:szCs w:val="22"/>
                <w:lang w:val="sk-SK"/>
              </w:rPr>
              <w:t>1.5 ml</w:t>
            </w:r>
          </w:p>
        </w:tc>
      </w:tr>
      <w:tr w:rsidR="00F134F4" w:rsidRPr="00475027" w14:paraId="125A6B17" w14:textId="77777777" w:rsidTr="000528D5">
        <w:trPr>
          <w:trHeight w:val="278"/>
          <w:jc w:val="center"/>
        </w:trPr>
        <w:tc>
          <w:tcPr>
            <w:tcW w:w="1958" w:type="dxa"/>
            <w:tcBorders>
              <w:top w:val="nil"/>
              <w:left w:val="single" w:sz="2" w:space="0" w:color="000000"/>
              <w:bottom w:val="single" w:sz="4" w:space="0" w:color="auto"/>
              <w:right w:val="single" w:sz="2" w:space="0" w:color="000000"/>
            </w:tcBorders>
            <w:vAlign w:val="center"/>
          </w:tcPr>
          <w:p w14:paraId="79782D55" w14:textId="77777777" w:rsidR="00F134F4" w:rsidRPr="00475027" w:rsidRDefault="00F134F4" w:rsidP="000528D5">
            <w:pPr>
              <w:pStyle w:val="Default"/>
              <w:rPr>
                <w:sz w:val="22"/>
                <w:szCs w:val="22"/>
                <w:lang w:val="sk-SK"/>
              </w:rPr>
            </w:pPr>
            <w:r w:rsidRPr="00475027">
              <w:rPr>
                <w:sz w:val="22"/>
                <w:szCs w:val="22"/>
                <w:lang w:val="sk-SK"/>
              </w:rPr>
              <w:t>100 Units/ml</w:t>
            </w:r>
          </w:p>
        </w:tc>
        <w:tc>
          <w:tcPr>
            <w:tcW w:w="1890" w:type="dxa"/>
            <w:tcBorders>
              <w:top w:val="nil"/>
              <w:left w:val="single" w:sz="2" w:space="0" w:color="000000"/>
              <w:bottom w:val="single" w:sz="4" w:space="0" w:color="auto"/>
              <w:right w:val="single" w:sz="2" w:space="0" w:color="000000"/>
            </w:tcBorders>
            <w:vAlign w:val="center"/>
          </w:tcPr>
          <w:p w14:paraId="12701569" w14:textId="77777777" w:rsidR="00F134F4" w:rsidRPr="00475027" w:rsidRDefault="00F134F4" w:rsidP="000528D5">
            <w:pPr>
              <w:pStyle w:val="Default"/>
              <w:rPr>
                <w:sz w:val="22"/>
                <w:szCs w:val="22"/>
                <w:lang w:val="sk-SK"/>
              </w:rPr>
            </w:pPr>
            <w:r w:rsidRPr="00475027">
              <w:rPr>
                <w:sz w:val="22"/>
                <w:szCs w:val="22"/>
                <w:lang w:val="sk-SK"/>
              </w:rPr>
              <w:t>5 ml</w:t>
            </w:r>
          </w:p>
        </w:tc>
        <w:tc>
          <w:tcPr>
            <w:tcW w:w="2160" w:type="dxa"/>
            <w:tcBorders>
              <w:top w:val="nil"/>
              <w:left w:val="single" w:sz="2" w:space="0" w:color="000000"/>
              <w:bottom w:val="single" w:sz="4" w:space="0" w:color="auto"/>
              <w:right w:val="single" w:sz="2" w:space="0" w:color="000000"/>
            </w:tcBorders>
            <w:vAlign w:val="center"/>
          </w:tcPr>
          <w:p w14:paraId="70F2169D" w14:textId="77777777" w:rsidR="00F134F4" w:rsidRPr="00475027" w:rsidRDefault="00F134F4" w:rsidP="000528D5">
            <w:pPr>
              <w:pStyle w:val="Default"/>
              <w:rPr>
                <w:sz w:val="22"/>
                <w:szCs w:val="22"/>
                <w:lang w:val="sk-SK"/>
              </w:rPr>
            </w:pPr>
            <w:r w:rsidRPr="00475027">
              <w:rPr>
                <w:sz w:val="22"/>
                <w:szCs w:val="22"/>
                <w:lang w:val="sk-SK"/>
              </w:rPr>
              <w:t>3 ml</w:t>
            </w:r>
          </w:p>
        </w:tc>
      </w:tr>
      <w:tr w:rsidR="00F134F4" w:rsidRPr="00475027" w14:paraId="56CF96AB" w14:textId="77777777" w:rsidTr="000528D5">
        <w:trPr>
          <w:trHeight w:val="278"/>
          <w:jc w:val="center"/>
        </w:trPr>
        <w:tc>
          <w:tcPr>
            <w:tcW w:w="6008" w:type="dxa"/>
            <w:gridSpan w:val="3"/>
            <w:tcBorders>
              <w:top w:val="single" w:sz="4" w:space="0" w:color="auto"/>
              <w:left w:val="nil"/>
              <w:bottom w:val="nil"/>
              <w:right w:val="nil"/>
            </w:tcBorders>
          </w:tcPr>
          <w:p w14:paraId="31CB141E" w14:textId="77777777" w:rsidR="00F134F4" w:rsidRPr="00475027" w:rsidRDefault="00F134F4" w:rsidP="007A1559">
            <w:pPr>
              <w:pStyle w:val="Default"/>
              <w:rPr>
                <w:sz w:val="22"/>
                <w:szCs w:val="22"/>
                <w:highlight w:val="yellow"/>
                <w:lang w:val="sk-SK"/>
              </w:rPr>
            </w:pPr>
            <w:r w:rsidRPr="00475027">
              <w:rPr>
                <w:sz w:val="16"/>
                <w:szCs w:val="22"/>
                <w:lang w:val="sk-SK"/>
              </w:rPr>
              <w:t>*0,9 % roztok chloridu sodného bez konzervačných látok</w:t>
            </w:r>
          </w:p>
        </w:tc>
      </w:tr>
    </w:tbl>
    <w:p w14:paraId="74D3FACE" w14:textId="77777777" w:rsidR="00F134F4" w:rsidRPr="00475027" w:rsidRDefault="00F134F4" w:rsidP="000528D5">
      <w:pPr>
        <w:pStyle w:val="Zkladntext"/>
        <w:rPr>
          <w:rFonts w:ascii="Times New Roman" w:hAnsi="Times New Roman"/>
          <w:b w:val="0"/>
          <w:color w:val="000000"/>
          <w:szCs w:val="24"/>
          <w:lang w:val="sk-SK"/>
        </w:rPr>
      </w:pPr>
    </w:p>
    <w:p w14:paraId="1A7AD524" w14:textId="55E9B553" w:rsidR="00BE3A89" w:rsidRPr="00475027" w:rsidRDefault="00843BFE" w:rsidP="00FE4006">
      <w:pPr>
        <w:jc w:val="both"/>
        <w:rPr>
          <w:rFonts w:ascii="Times New Roman" w:hAnsi="Times New Roman" w:cs="Times New Roman"/>
          <w:sz w:val="22"/>
          <w:szCs w:val="22"/>
          <w:lang w:val="sk-SK" w:eastAsia="en-US"/>
        </w:rPr>
      </w:pPr>
      <w:r w:rsidRPr="00475027">
        <w:rPr>
          <w:rFonts w:ascii="Times New Roman" w:hAnsi="Times New Roman" w:cs="Times New Roman"/>
          <w:sz w:val="22"/>
          <w:szCs w:val="22"/>
          <w:lang w:val="sk-SK" w:eastAsia="en-US"/>
        </w:rPr>
        <w:t>Na liečbu spasticity u pediatrických pacientov</w:t>
      </w:r>
      <w:r w:rsidR="002C7C03" w:rsidRPr="00475027">
        <w:rPr>
          <w:rFonts w:ascii="Times New Roman" w:hAnsi="Times New Roman" w:cs="Times New Roman"/>
          <w:sz w:val="22"/>
          <w:szCs w:val="22"/>
          <w:lang w:val="sk-SK" w:eastAsia="en-US"/>
        </w:rPr>
        <w:t xml:space="preserve"> s detskou mozgovou obrnou</w:t>
      </w:r>
      <w:r w:rsidRPr="00475027">
        <w:rPr>
          <w:rFonts w:ascii="Times New Roman" w:hAnsi="Times New Roman" w:cs="Times New Roman"/>
          <w:sz w:val="22"/>
          <w:szCs w:val="22"/>
          <w:lang w:val="sk-SK" w:eastAsia="en-US"/>
        </w:rPr>
        <w:t>, pri ktorej je dávkovanie jednotiek prispôsobené telesnej hmotnosti, môže byť požadované ďalšie riedenie, aby sa dosiahol výsledný objem na injekciu.</w:t>
      </w:r>
    </w:p>
    <w:p w14:paraId="638FB0B4" w14:textId="77777777" w:rsidR="00BE3A89" w:rsidRPr="00475027" w:rsidRDefault="00BE3A89" w:rsidP="00475027">
      <w:pPr>
        <w:suppressAutoHyphens w:val="0"/>
        <w:rPr>
          <w:sz w:val="22"/>
          <w:szCs w:val="22"/>
          <w:lang w:val="sk-SK"/>
        </w:rPr>
      </w:pPr>
    </w:p>
    <w:p w14:paraId="1D1F2B1D" w14:textId="77777777" w:rsidR="00F134F4" w:rsidRPr="00475027" w:rsidRDefault="00F134F4" w:rsidP="00FE4006">
      <w:pPr>
        <w:jc w:val="both"/>
        <w:rPr>
          <w:rFonts w:ascii="Times New Roman" w:hAnsi="Times New Roman" w:cs="Times New Roman"/>
          <w:b/>
          <w:sz w:val="22"/>
          <w:szCs w:val="22"/>
          <w:lang w:val="sk-SK"/>
        </w:rPr>
      </w:pPr>
      <w:r w:rsidRPr="00475027">
        <w:rPr>
          <w:rFonts w:ascii="Times New Roman" w:hAnsi="Times New Roman" w:cs="Times New Roman"/>
          <w:b/>
          <w:sz w:val="22"/>
          <w:szCs w:val="22"/>
          <w:lang w:val="sk-SK"/>
        </w:rPr>
        <w:t>Symptomatická liečba fokálnej spasticity horných končatín u dospelých:</w:t>
      </w:r>
    </w:p>
    <w:p w14:paraId="4FC5C78F" w14:textId="77777777" w:rsidR="00F134F4" w:rsidRPr="00475027" w:rsidRDefault="00F134F4" w:rsidP="00FE4006">
      <w:pPr>
        <w:pStyle w:val="WW-Zkladntext2"/>
        <w:rPr>
          <w:rFonts w:ascii="Times New Roman" w:hAnsi="Times New Roman" w:cs="Times New Roman"/>
          <w:sz w:val="22"/>
          <w:szCs w:val="22"/>
          <w:u w:val="single"/>
        </w:rPr>
      </w:pPr>
      <w:r w:rsidRPr="00475027">
        <w:rPr>
          <w:rFonts w:ascii="Times New Roman" w:hAnsi="Times New Roman" w:cs="Times New Roman"/>
          <w:sz w:val="22"/>
          <w:szCs w:val="22"/>
          <w:u w:val="single"/>
        </w:rPr>
        <w:t>Dávkovanie:</w:t>
      </w:r>
    </w:p>
    <w:p w14:paraId="7185927C" w14:textId="77777777" w:rsidR="00F134F4" w:rsidRPr="00475027" w:rsidRDefault="00F134F4" w:rsidP="00FE4006">
      <w:pPr>
        <w:pStyle w:val="WW-Zkladntext2"/>
        <w:rPr>
          <w:rFonts w:ascii="Times New Roman" w:hAnsi="Times New Roman" w:cs="Times New Roman"/>
          <w:sz w:val="22"/>
          <w:szCs w:val="22"/>
          <w:u w:val="single"/>
        </w:rPr>
      </w:pPr>
    </w:p>
    <w:p w14:paraId="2C51A193" w14:textId="158E1CF9" w:rsidR="00E078D0" w:rsidRPr="00475027" w:rsidRDefault="00F134F4" w:rsidP="00E078D0">
      <w:pPr>
        <w:pStyle w:val="Nadpis5"/>
        <w:rPr>
          <w:rFonts w:ascii="Times New Roman" w:hAnsi="Times New Roman" w:cs="Times New Roman"/>
          <w:lang w:val="sk-SK"/>
        </w:rPr>
      </w:pPr>
      <w:r w:rsidRPr="00475027">
        <w:rPr>
          <w:rFonts w:ascii="Times New Roman" w:hAnsi="Times New Roman" w:cs="Times New Roman"/>
          <w:szCs w:val="22"/>
          <w:lang w:val="sk-SK"/>
        </w:rPr>
        <w:t>Dávkovanie pre iniciálne a následné liečebné podania by malo byť prispôsobené individuálne na základe veľkosti, počtu a lokalizácii postihnutých svalov, stupňa spasticity, prítomnosti lokálnej svalovej slabosti, reakcie pacienta na predchádzajúcu liečbu  a/alebo  na základe predchádzajúceho  nežiaduceho účinku s botulotoxínom typu A – komplex hemaglutinínu v anamnéze.  V klinických štúdiách, boli dávky 500 U</w:t>
      </w:r>
      <w:r w:rsidR="00E078D0" w:rsidRPr="00475027">
        <w:rPr>
          <w:rFonts w:ascii="Times New Roman" w:hAnsi="Times New Roman" w:cs="Times New Roman"/>
          <w:szCs w:val="22"/>
          <w:lang w:val="sk-SK"/>
        </w:rPr>
        <w:t xml:space="preserve">, </w:t>
      </w:r>
      <w:r w:rsidRPr="00475027">
        <w:rPr>
          <w:rFonts w:ascii="Times New Roman" w:hAnsi="Times New Roman" w:cs="Times New Roman"/>
          <w:szCs w:val="22"/>
          <w:lang w:val="sk-SK"/>
        </w:rPr>
        <w:t xml:space="preserve"> 1000 U</w:t>
      </w:r>
      <w:r w:rsidR="00E078D0" w:rsidRPr="00475027">
        <w:rPr>
          <w:rFonts w:ascii="Times New Roman" w:hAnsi="Times New Roman" w:cs="Times New Roman"/>
          <w:szCs w:val="22"/>
          <w:lang w:val="sk-SK"/>
        </w:rPr>
        <w:t> a 1500 U</w:t>
      </w:r>
      <w:r w:rsidRPr="00475027">
        <w:rPr>
          <w:rFonts w:ascii="Times New Roman" w:hAnsi="Times New Roman" w:cs="Times New Roman"/>
          <w:szCs w:val="22"/>
          <w:lang w:val="sk-SK"/>
        </w:rPr>
        <w:t xml:space="preserve">  rozdelené medzi vybrané svaly v liečebných podaniach ako je uvedené nižšie. </w:t>
      </w:r>
      <w:r w:rsidR="00E078D0" w:rsidRPr="00475027">
        <w:rPr>
          <w:rFonts w:ascii="Times New Roman" w:hAnsi="Times New Roman" w:cs="Times New Roman"/>
          <w:szCs w:val="22"/>
          <w:lang w:val="sk-SK"/>
        </w:rPr>
        <w:t xml:space="preserve">Dávky vyššie ako 1000 U, </w:t>
      </w:r>
      <w:r w:rsidR="00065250" w:rsidRPr="00475027">
        <w:rPr>
          <w:rFonts w:ascii="Times New Roman" w:hAnsi="Times New Roman" w:cs="Times New Roman"/>
          <w:szCs w:val="22"/>
          <w:lang w:val="sk-SK"/>
        </w:rPr>
        <w:t xml:space="preserve">až </w:t>
      </w:r>
      <w:r w:rsidR="00E078D0" w:rsidRPr="00475027">
        <w:rPr>
          <w:rFonts w:ascii="Times New Roman" w:hAnsi="Times New Roman" w:cs="Times New Roman"/>
          <w:szCs w:val="22"/>
          <w:lang w:val="sk-SK"/>
        </w:rPr>
        <w:t xml:space="preserve">do 1500 U sa možu podať v prípade </w:t>
      </w:r>
      <w:r w:rsidR="00065250" w:rsidRPr="00475027">
        <w:rPr>
          <w:rFonts w:ascii="Times New Roman" w:hAnsi="Times New Roman" w:cs="Times New Roman"/>
          <w:szCs w:val="22"/>
          <w:lang w:val="sk-SK"/>
        </w:rPr>
        <w:t xml:space="preserve">ak dochádza k </w:t>
      </w:r>
      <w:r w:rsidR="00E078D0" w:rsidRPr="00475027">
        <w:rPr>
          <w:rFonts w:ascii="Times New Roman" w:hAnsi="Times New Roman" w:cs="Times New Roman"/>
          <w:szCs w:val="22"/>
          <w:lang w:val="sk-SK"/>
        </w:rPr>
        <w:t>aplikáci</w:t>
      </w:r>
      <w:r w:rsidR="00065250" w:rsidRPr="00475027">
        <w:rPr>
          <w:rFonts w:ascii="Times New Roman" w:hAnsi="Times New Roman" w:cs="Times New Roman"/>
          <w:szCs w:val="22"/>
          <w:lang w:val="sk-SK"/>
        </w:rPr>
        <w:t>i</w:t>
      </w:r>
      <w:r w:rsidR="00E078D0" w:rsidRPr="00475027">
        <w:rPr>
          <w:rFonts w:ascii="Times New Roman" w:hAnsi="Times New Roman" w:cs="Times New Roman"/>
          <w:szCs w:val="22"/>
          <w:lang w:val="sk-SK"/>
        </w:rPr>
        <w:t xml:space="preserve"> </w:t>
      </w:r>
      <w:r w:rsidR="00065250" w:rsidRPr="00475027">
        <w:rPr>
          <w:rFonts w:ascii="Times New Roman" w:hAnsi="Times New Roman" w:cs="Times New Roman"/>
          <w:szCs w:val="22"/>
          <w:lang w:val="sk-SK"/>
        </w:rPr>
        <w:t xml:space="preserve">aj </w:t>
      </w:r>
      <w:r w:rsidR="00E078D0" w:rsidRPr="00475027">
        <w:rPr>
          <w:rFonts w:ascii="Times New Roman" w:hAnsi="Times New Roman" w:cs="Times New Roman"/>
          <w:szCs w:val="22"/>
          <w:lang w:val="sk-SK"/>
        </w:rPr>
        <w:t>do ramenného svalu.</w:t>
      </w:r>
    </w:p>
    <w:p w14:paraId="52B04810" w14:textId="77777777" w:rsidR="00F134F4" w:rsidRPr="00475027" w:rsidRDefault="00F134F4" w:rsidP="003576CA">
      <w:pPr>
        <w:pStyle w:val="Nadpis5"/>
        <w:jc w:val="both"/>
        <w:rPr>
          <w:rFonts w:ascii="Times New Roman" w:hAnsi="Times New Roman" w:cs="Times New Roman"/>
          <w:szCs w:val="22"/>
          <w:lang w:val="sk-SK"/>
        </w:rPr>
      </w:pPr>
    </w:p>
    <w:p w14:paraId="4FC9687A" w14:textId="77777777" w:rsidR="00F134F4" w:rsidRPr="00475027" w:rsidRDefault="00F134F4" w:rsidP="00F04D54">
      <w:pPr>
        <w:pStyle w:val="Default"/>
        <w:numPr>
          <w:ilvl w:val="0"/>
          <w:numId w:val="1"/>
        </w:numPr>
        <w:rPr>
          <w:lang w:val="sk-SK"/>
        </w:rPr>
      </w:pPr>
      <w:r w:rsidRPr="00475027">
        <w:rPr>
          <w:sz w:val="22"/>
          <w:lang w:val="sk-SK"/>
        </w:rPr>
        <w:t>Zvyčajne sa nepodáva viac ako 1 ml do jedného miesta vpichu.</w:t>
      </w:r>
    </w:p>
    <w:p w14:paraId="7CB9E1EA" w14:textId="07FA4C42" w:rsidR="00E078D0" w:rsidRPr="00475027" w:rsidRDefault="00E078D0" w:rsidP="00E078D0">
      <w:pPr>
        <w:pStyle w:val="Nadpis1"/>
        <w:rPr>
          <w:rFonts w:ascii="Times New Roman" w:hAnsi="Times New Roman" w:cs="Times New Roman"/>
          <w:sz w:val="22"/>
          <w:szCs w:val="22"/>
          <w:lang w:val="sk-SK"/>
        </w:rPr>
      </w:pPr>
      <w:r w:rsidRPr="00475027">
        <w:rPr>
          <w:rFonts w:ascii="Times New Roman" w:hAnsi="Times New Roman" w:cs="Times New Roman"/>
          <w:sz w:val="22"/>
          <w:szCs w:val="22"/>
          <w:lang w:val="sk-SK"/>
        </w:rPr>
        <w:t>Dávky presahujúce 1500 U Dysportu neboli pri liečbe spasticity horných končatín u dospelých preskúmané.</w:t>
      </w:r>
    </w:p>
    <w:p w14:paraId="021CC6CC" w14:textId="77777777" w:rsidR="00F134F4" w:rsidRPr="00475027" w:rsidRDefault="00F134F4" w:rsidP="00CD3187">
      <w:pPr>
        <w:numPr>
          <w:ilvl w:val="0"/>
          <w:numId w:val="1"/>
        </w:numPr>
        <w:rPr>
          <w:rFonts w:ascii="Times New Roman" w:hAnsi="Times New Roman" w:cs="Times New Roman"/>
          <w:sz w:val="22"/>
          <w:szCs w:val="22"/>
          <w:lang w:val="sk-SK"/>
        </w:rPr>
      </w:pPr>
    </w:p>
    <w:p w14:paraId="25032C18" w14:textId="77777777" w:rsidR="00F134F4" w:rsidRPr="00475027" w:rsidRDefault="00F134F4" w:rsidP="003576CA">
      <w:pPr>
        <w:pStyle w:val="Default"/>
        <w:numPr>
          <w:ilvl w:val="0"/>
          <w:numId w:val="1"/>
        </w:numPr>
        <w:rPr>
          <w:lang w:val="sk-SK"/>
        </w:rPr>
      </w:pPr>
    </w:p>
    <w:tbl>
      <w:tblPr>
        <w:tblW w:w="4968" w:type="dxa"/>
        <w:jc w:val="center"/>
        <w:tblLayout w:type="fixed"/>
        <w:tblLook w:val="0000" w:firstRow="0" w:lastRow="0" w:firstColumn="0" w:lastColumn="0" w:noHBand="0" w:noVBand="0"/>
      </w:tblPr>
      <w:tblGrid>
        <w:gridCol w:w="3036"/>
        <w:gridCol w:w="1932"/>
      </w:tblGrid>
      <w:tr w:rsidR="00F134F4" w:rsidRPr="00475027" w14:paraId="55CF918D" w14:textId="77777777" w:rsidTr="003576CA">
        <w:trPr>
          <w:trHeight w:val="253"/>
          <w:jc w:val="center"/>
        </w:trPr>
        <w:tc>
          <w:tcPr>
            <w:tcW w:w="3036" w:type="dxa"/>
            <w:tcBorders>
              <w:top w:val="single" w:sz="4" w:space="0" w:color="000000"/>
              <w:left w:val="single" w:sz="4" w:space="0" w:color="000000"/>
              <w:bottom w:val="single" w:sz="4" w:space="0" w:color="000000"/>
              <w:right w:val="single" w:sz="4" w:space="0" w:color="000000"/>
            </w:tcBorders>
          </w:tcPr>
          <w:p w14:paraId="05BF601A" w14:textId="77777777" w:rsidR="00F134F4" w:rsidRPr="00475027" w:rsidRDefault="00F134F4" w:rsidP="007A1559">
            <w:pPr>
              <w:pStyle w:val="Default"/>
              <w:rPr>
                <w:b/>
                <w:bCs/>
                <w:color w:val="auto"/>
                <w:sz w:val="22"/>
                <w:szCs w:val="22"/>
                <w:lang w:val="sk-SK"/>
              </w:rPr>
            </w:pPr>
            <w:r w:rsidRPr="00475027">
              <w:rPr>
                <w:b/>
                <w:bCs/>
                <w:color w:val="auto"/>
                <w:sz w:val="22"/>
                <w:szCs w:val="22"/>
                <w:lang w:val="sk-SK"/>
              </w:rPr>
              <w:t>Injikovaný sval</w:t>
            </w:r>
          </w:p>
        </w:tc>
        <w:tc>
          <w:tcPr>
            <w:tcW w:w="1932" w:type="dxa"/>
            <w:tcBorders>
              <w:top w:val="single" w:sz="4" w:space="0" w:color="000000"/>
              <w:left w:val="single" w:sz="4" w:space="0" w:color="000000"/>
              <w:bottom w:val="single" w:sz="4" w:space="0" w:color="000000"/>
              <w:right w:val="single" w:sz="4" w:space="0" w:color="000000"/>
            </w:tcBorders>
          </w:tcPr>
          <w:p w14:paraId="19D68596" w14:textId="77777777" w:rsidR="00F134F4" w:rsidRPr="00475027" w:rsidRDefault="00F134F4" w:rsidP="003576CA">
            <w:pPr>
              <w:pStyle w:val="Default"/>
              <w:jc w:val="center"/>
              <w:rPr>
                <w:b/>
                <w:bCs/>
                <w:color w:val="auto"/>
                <w:sz w:val="22"/>
                <w:szCs w:val="22"/>
                <w:lang w:val="sk-SK"/>
              </w:rPr>
            </w:pPr>
            <w:r w:rsidRPr="00475027">
              <w:rPr>
                <w:b/>
                <w:bCs/>
                <w:color w:val="auto"/>
                <w:sz w:val="22"/>
                <w:szCs w:val="22"/>
                <w:lang w:val="sk-SK"/>
              </w:rPr>
              <w:t>Odporučená dávka DYSPORTU (U)</w:t>
            </w:r>
          </w:p>
        </w:tc>
      </w:tr>
      <w:tr w:rsidR="00F134F4" w:rsidRPr="00475027" w14:paraId="16C228BC" w14:textId="77777777" w:rsidTr="003576CA">
        <w:trPr>
          <w:trHeight w:val="220"/>
          <w:jc w:val="center"/>
        </w:trPr>
        <w:tc>
          <w:tcPr>
            <w:tcW w:w="3036" w:type="dxa"/>
            <w:tcBorders>
              <w:top w:val="single" w:sz="4" w:space="0" w:color="000000"/>
              <w:left w:val="single" w:sz="4" w:space="0" w:color="000000"/>
              <w:right w:val="single" w:sz="4" w:space="0" w:color="000000"/>
            </w:tcBorders>
            <w:vAlign w:val="center"/>
          </w:tcPr>
          <w:p w14:paraId="170FA1B2" w14:textId="77777777" w:rsidR="00F134F4" w:rsidRPr="00475027" w:rsidRDefault="00F134F4" w:rsidP="003576CA">
            <w:pPr>
              <w:pStyle w:val="Default"/>
              <w:rPr>
                <w:color w:val="auto"/>
                <w:sz w:val="22"/>
                <w:szCs w:val="22"/>
                <w:lang w:val="sk-SK"/>
              </w:rPr>
            </w:pPr>
            <w:r w:rsidRPr="00475027">
              <w:rPr>
                <w:color w:val="auto"/>
                <w:sz w:val="22"/>
                <w:szCs w:val="22"/>
                <w:lang w:val="sk-SK"/>
              </w:rPr>
              <w:t>Flexor carpi radialis (FCR)</w:t>
            </w:r>
          </w:p>
        </w:tc>
        <w:tc>
          <w:tcPr>
            <w:tcW w:w="1932" w:type="dxa"/>
            <w:tcBorders>
              <w:top w:val="single" w:sz="4" w:space="0" w:color="000000"/>
              <w:left w:val="single" w:sz="4" w:space="0" w:color="000000"/>
              <w:right w:val="single" w:sz="4" w:space="0" w:color="000000"/>
            </w:tcBorders>
            <w:vAlign w:val="center"/>
          </w:tcPr>
          <w:p w14:paraId="4DBAEA7A" w14:textId="77777777" w:rsidR="00F134F4" w:rsidRPr="00475027" w:rsidRDefault="00F134F4" w:rsidP="003576CA">
            <w:pPr>
              <w:pStyle w:val="Default"/>
              <w:jc w:val="center"/>
              <w:rPr>
                <w:color w:val="auto"/>
                <w:sz w:val="22"/>
                <w:szCs w:val="22"/>
                <w:lang w:val="sk-SK"/>
              </w:rPr>
            </w:pPr>
            <w:r w:rsidRPr="00475027">
              <w:rPr>
                <w:color w:val="auto"/>
                <w:sz w:val="22"/>
                <w:szCs w:val="22"/>
                <w:lang w:val="sk-SK"/>
              </w:rPr>
              <w:t xml:space="preserve">100-200 U </w:t>
            </w:r>
          </w:p>
        </w:tc>
      </w:tr>
      <w:tr w:rsidR="00F134F4" w:rsidRPr="00475027" w14:paraId="773214C4" w14:textId="77777777" w:rsidTr="003576CA">
        <w:trPr>
          <w:trHeight w:val="250"/>
          <w:jc w:val="center"/>
        </w:trPr>
        <w:tc>
          <w:tcPr>
            <w:tcW w:w="3036" w:type="dxa"/>
            <w:tcBorders>
              <w:left w:val="single" w:sz="4" w:space="0" w:color="000000"/>
              <w:bottom w:val="single" w:sz="4" w:space="0" w:color="000000"/>
              <w:right w:val="single" w:sz="4" w:space="0" w:color="000000"/>
            </w:tcBorders>
            <w:vAlign w:val="center"/>
          </w:tcPr>
          <w:p w14:paraId="31A162AE" w14:textId="77777777" w:rsidR="00F134F4" w:rsidRPr="00475027" w:rsidRDefault="00F134F4" w:rsidP="003576CA">
            <w:pPr>
              <w:pStyle w:val="Default"/>
              <w:rPr>
                <w:color w:val="auto"/>
                <w:sz w:val="22"/>
                <w:szCs w:val="22"/>
                <w:lang w:val="sk-SK"/>
              </w:rPr>
            </w:pPr>
            <w:r w:rsidRPr="00475027">
              <w:rPr>
                <w:color w:val="auto"/>
                <w:sz w:val="22"/>
                <w:szCs w:val="22"/>
                <w:lang w:val="sk-SK"/>
              </w:rPr>
              <w:t>Flexor carpi ulnaris (FCU)</w:t>
            </w:r>
          </w:p>
        </w:tc>
        <w:tc>
          <w:tcPr>
            <w:tcW w:w="1932" w:type="dxa"/>
            <w:tcBorders>
              <w:left w:val="single" w:sz="4" w:space="0" w:color="000000"/>
              <w:bottom w:val="single" w:sz="4" w:space="0" w:color="000000"/>
              <w:right w:val="single" w:sz="4" w:space="0" w:color="000000"/>
            </w:tcBorders>
            <w:vAlign w:val="center"/>
          </w:tcPr>
          <w:p w14:paraId="17537166" w14:textId="77777777" w:rsidR="00F134F4" w:rsidRPr="00475027" w:rsidRDefault="00F134F4" w:rsidP="003576CA">
            <w:pPr>
              <w:pStyle w:val="Default"/>
              <w:jc w:val="center"/>
              <w:rPr>
                <w:color w:val="auto"/>
                <w:sz w:val="22"/>
                <w:szCs w:val="22"/>
                <w:lang w:val="sk-SK"/>
              </w:rPr>
            </w:pPr>
            <w:r w:rsidRPr="00475027">
              <w:rPr>
                <w:color w:val="auto"/>
                <w:sz w:val="22"/>
                <w:szCs w:val="22"/>
                <w:lang w:val="sk-SK"/>
              </w:rPr>
              <w:t xml:space="preserve">100-200 U </w:t>
            </w:r>
          </w:p>
        </w:tc>
      </w:tr>
      <w:tr w:rsidR="00F134F4" w:rsidRPr="00475027" w14:paraId="6B68A9AB" w14:textId="77777777" w:rsidTr="003576CA">
        <w:trPr>
          <w:trHeight w:val="220"/>
          <w:jc w:val="center"/>
        </w:trPr>
        <w:tc>
          <w:tcPr>
            <w:tcW w:w="3036" w:type="dxa"/>
            <w:tcBorders>
              <w:top w:val="single" w:sz="4" w:space="0" w:color="000000"/>
              <w:left w:val="single" w:sz="4" w:space="0" w:color="000000"/>
              <w:right w:val="single" w:sz="4" w:space="0" w:color="000000"/>
            </w:tcBorders>
            <w:vAlign w:val="center"/>
          </w:tcPr>
          <w:p w14:paraId="5753A4AE" w14:textId="77777777" w:rsidR="00F134F4" w:rsidRPr="00475027" w:rsidRDefault="00F134F4" w:rsidP="003576CA">
            <w:pPr>
              <w:pStyle w:val="Default"/>
              <w:rPr>
                <w:color w:val="auto"/>
                <w:sz w:val="22"/>
                <w:szCs w:val="22"/>
                <w:lang w:val="sk-SK"/>
              </w:rPr>
            </w:pPr>
            <w:r w:rsidRPr="00475027">
              <w:rPr>
                <w:color w:val="auto"/>
                <w:sz w:val="22"/>
                <w:szCs w:val="22"/>
                <w:lang w:val="sk-SK"/>
              </w:rPr>
              <w:t>Flexor digitorum profundus (FDP)</w:t>
            </w:r>
          </w:p>
        </w:tc>
        <w:tc>
          <w:tcPr>
            <w:tcW w:w="1932" w:type="dxa"/>
            <w:tcBorders>
              <w:top w:val="single" w:sz="4" w:space="0" w:color="000000"/>
              <w:left w:val="single" w:sz="4" w:space="0" w:color="000000"/>
              <w:right w:val="single" w:sz="4" w:space="0" w:color="000000"/>
            </w:tcBorders>
            <w:vAlign w:val="center"/>
          </w:tcPr>
          <w:p w14:paraId="3EE17C41" w14:textId="77777777" w:rsidR="00F134F4" w:rsidRPr="00475027" w:rsidRDefault="00F134F4" w:rsidP="003576CA">
            <w:pPr>
              <w:pStyle w:val="Default"/>
              <w:jc w:val="center"/>
              <w:rPr>
                <w:color w:val="auto"/>
                <w:sz w:val="22"/>
                <w:szCs w:val="22"/>
                <w:lang w:val="sk-SK"/>
              </w:rPr>
            </w:pPr>
            <w:r w:rsidRPr="00475027">
              <w:rPr>
                <w:color w:val="auto"/>
                <w:sz w:val="22"/>
                <w:szCs w:val="22"/>
                <w:lang w:val="sk-SK"/>
              </w:rPr>
              <w:t xml:space="preserve">100-200 U </w:t>
            </w:r>
          </w:p>
        </w:tc>
      </w:tr>
      <w:tr w:rsidR="00F134F4" w:rsidRPr="00475027" w14:paraId="6947ED90" w14:textId="77777777" w:rsidTr="003576CA">
        <w:trPr>
          <w:trHeight w:val="230"/>
          <w:jc w:val="center"/>
        </w:trPr>
        <w:tc>
          <w:tcPr>
            <w:tcW w:w="3036" w:type="dxa"/>
            <w:tcBorders>
              <w:left w:val="single" w:sz="4" w:space="0" w:color="000000"/>
              <w:right w:val="single" w:sz="4" w:space="0" w:color="000000"/>
            </w:tcBorders>
            <w:vAlign w:val="center"/>
          </w:tcPr>
          <w:p w14:paraId="29420015" w14:textId="77777777" w:rsidR="00F134F4" w:rsidRPr="00475027" w:rsidRDefault="00F134F4" w:rsidP="003576CA">
            <w:pPr>
              <w:pStyle w:val="Default"/>
              <w:rPr>
                <w:color w:val="auto"/>
                <w:sz w:val="22"/>
                <w:szCs w:val="22"/>
                <w:lang w:val="sk-SK"/>
              </w:rPr>
            </w:pPr>
            <w:r w:rsidRPr="00475027">
              <w:rPr>
                <w:color w:val="auto"/>
                <w:sz w:val="22"/>
                <w:szCs w:val="22"/>
                <w:lang w:val="sk-SK"/>
              </w:rPr>
              <w:t>Flexor digitorum superficialis (FDS)</w:t>
            </w:r>
          </w:p>
        </w:tc>
        <w:tc>
          <w:tcPr>
            <w:tcW w:w="1932" w:type="dxa"/>
            <w:tcBorders>
              <w:left w:val="single" w:sz="4" w:space="0" w:color="000000"/>
              <w:right w:val="single" w:sz="4" w:space="0" w:color="000000"/>
            </w:tcBorders>
            <w:vAlign w:val="center"/>
          </w:tcPr>
          <w:p w14:paraId="6409DBF3" w14:textId="77777777" w:rsidR="00F134F4" w:rsidRPr="00475027" w:rsidRDefault="00F134F4" w:rsidP="003576CA">
            <w:pPr>
              <w:pStyle w:val="Default"/>
              <w:jc w:val="center"/>
              <w:rPr>
                <w:color w:val="auto"/>
                <w:sz w:val="22"/>
                <w:szCs w:val="22"/>
                <w:lang w:val="sk-SK"/>
              </w:rPr>
            </w:pPr>
            <w:r w:rsidRPr="00475027">
              <w:rPr>
                <w:color w:val="auto"/>
                <w:sz w:val="22"/>
                <w:szCs w:val="22"/>
                <w:lang w:val="sk-SK"/>
              </w:rPr>
              <w:t>100-200 U</w:t>
            </w:r>
          </w:p>
        </w:tc>
      </w:tr>
      <w:tr w:rsidR="00F134F4" w:rsidRPr="00475027" w14:paraId="777862C2" w14:textId="77777777" w:rsidTr="003576CA">
        <w:trPr>
          <w:trHeight w:val="260"/>
          <w:jc w:val="center"/>
        </w:trPr>
        <w:tc>
          <w:tcPr>
            <w:tcW w:w="3036" w:type="dxa"/>
            <w:tcBorders>
              <w:left w:val="single" w:sz="4" w:space="0" w:color="000000"/>
              <w:right w:val="single" w:sz="4" w:space="0" w:color="000000"/>
            </w:tcBorders>
            <w:vAlign w:val="center"/>
          </w:tcPr>
          <w:p w14:paraId="0771A9EC" w14:textId="77777777" w:rsidR="00F134F4" w:rsidRPr="00475027" w:rsidRDefault="00F134F4" w:rsidP="003576CA">
            <w:pPr>
              <w:pStyle w:val="Default"/>
              <w:rPr>
                <w:color w:val="auto"/>
                <w:sz w:val="22"/>
                <w:szCs w:val="22"/>
                <w:lang w:val="sk-SK"/>
              </w:rPr>
            </w:pPr>
            <w:r w:rsidRPr="00475027">
              <w:rPr>
                <w:color w:val="auto"/>
                <w:sz w:val="22"/>
                <w:szCs w:val="22"/>
                <w:lang w:val="sk-SK"/>
              </w:rPr>
              <w:t xml:space="preserve">Flexor Pollicis Longus </w:t>
            </w:r>
          </w:p>
        </w:tc>
        <w:tc>
          <w:tcPr>
            <w:tcW w:w="1932" w:type="dxa"/>
            <w:tcBorders>
              <w:left w:val="single" w:sz="4" w:space="0" w:color="000000"/>
              <w:right w:val="single" w:sz="4" w:space="0" w:color="000000"/>
            </w:tcBorders>
            <w:vAlign w:val="center"/>
          </w:tcPr>
          <w:p w14:paraId="2E9078D6" w14:textId="77777777" w:rsidR="00F134F4" w:rsidRPr="00475027" w:rsidRDefault="00F134F4" w:rsidP="003576CA">
            <w:pPr>
              <w:pStyle w:val="Default"/>
              <w:jc w:val="center"/>
              <w:rPr>
                <w:color w:val="auto"/>
                <w:sz w:val="22"/>
                <w:szCs w:val="22"/>
                <w:lang w:val="sk-SK"/>
              </w:rPr>
            </w:pPr>
            <w:r w:rsidRPr="00475027">
              <w:rPr>
                <w:color w:val="auto"/>
                <w:sz w:val="22"/>
                <w:szCs w:val="22"/>
                <w:lang w:val="sk-SK"/>
              </w:rPr>
              <w:t>100-200 U</w:t>
            </w:r>
          </w:p>
        </w:tc>
      </w:tr>
      <w:tr w:rsidR="00F134F4" w:rsidRPr="00475027" w14:paraId="1D91FCB3" w14:textId="77777777" w:rsidTr="003576CA">
        <w:trPr>
          <w:trHeight w:val="218"/>
          <w:jc w:val="center"/>
        </w:trPr>
        <w:tc>
          <w:tcPr>
            <w:tcW w:w="3036" w:type="dxa"/>
            <w:tcBorders>
              <w:left w:val="single" w:sz="4" w:space="0" w:color="000000"/>
              <w:bottom w:val="single" w:sz="4" w:space="0" w:color="auto"/>
              <w:right w:val="single" w:sz="4" w:space="0" w:color="000000"/>
            </w:tcBorders>
          </w:tcPr>
          <w:p w14:paraId="6071B572" w14:textId="77777777" w:rsidR="00F134F4" w:rsidRPr="00475027" w:rsidRDefault="00F134F4" w:rsidP="003576CA">
            <w:pPr>
              <w:pStyle w:val="Default"/>
              <w:rPr>
                <w:color w:val="auto"/>
                <w:sz w:val="22"/>
                <w:szCs w:val="22"/>
                <w:lang w:val="sk-SK"/>
              </w:rPr>
            </w:pPr>
            <w:r w:rsidRPr="00475027">
              <w:rPr>
                <w:color w:val="auto"/>
                <w:sz w:val="22"/>
                <w:szCs w:val="22"/>
                <w:lang w:val="sk-SK"/>
              </w:rPr>
              <w:t xml:space="preserve">Adductor Pollicis </w:t>
            </w:r>
          </w:p>
        </w:tc>
        <w:tc>
          <w:tcPr>
            <w:tcW w:w="1932" w:type="dxa"/>
            <w:tcBorders>
              <w:left w:val="single" w:sz="4" w:space="0" w:color="000000"/>
              <w:bottom w:val="single" w:sz="4" w:space="0" w:color="auto"/>
              <w:right w:val="single" w:sz="4" w:space="0" w:color="000000"/>
            </w:tcBorders>
          </w:tcPr>
          <w:p w14:paraId="054AB1C1" w14:textId="77777777" w:rsidR="00F134F4" w:rsidRPr="00475027" w:rsidRDefault="00F134F4" w:rsidP="003576CA">
            <w:pPr>
              <w:pStyle w:val="Default"/>
              <w:jc w:val="center"/>
              <w:rPr>
                <w:color w:val="auto"/>
                <w:sz w:val="22"/>
                <w:szCs w:val="22"/>
                <w:lang w:val="sk-SK"/>
              </w:rPr>
            </w:pPr>
            <w:r w:rsidRPr="00475027">
              <w:rPr>
                <w:color w:val="auto"/>
                <w:sz w:val="22"/>
                <w:szCs w:val="22"/>
                <w:lang w:val="sk-SK"/>
              </w:rPr>
              <w:t xml:space="preserve">25-50 U </w:t>
            </w:r>
          </w:p>
        </w:tc>
      </w:tr>
      <w:tr w:rsidR="00F134F4" w:rsidRPr="00475027" w14:paraId="44692E25" w14:textId="77777777" w:rsidTr="003576CA">
        <w:trPr>
          <w:trHeight w:val="228"/>
          <w:jc w:val="center"/>
        </w:trPr>
        <w:tc>
          <w:tcPr>
            <w:tcW w:w="3036" w:type="dxa"/>
            <w:tcBorders>
              <w:top w:val="single" w:sz="4" w:space="0" w:color="auto"/>
              <w:left w:val="single" w:sz="4" w:space="0" w:color="000000"/>
              <w:right w:val="single" w:sz="4" w:space="0" w:color="000000"/>
            </w:tcBorders>
            <w:vAlign w:val="center"/>
          </w:tcPr>
          <w:p w14:paraId="049832BA" w14:textId="77777777" w:rsidR="00F134F4" w:rsidRPr="00475027" w:rsidRDefault="00F134F4" w:rsidP="003576CA">
            <w:pPr>
              <w:pStyle w:val="Default"/>
              <w:rPr>
                <w:color w:val="auto"/>
                <w:sz w:val="22"/>
                <w:szCs w:val="22"/>
                <w:lang w:val="sk-SK"/>
              </w:rPr>
            </w:pPr>
            <w:r w:rsidRPr="00475027">
              <w:rPr>
                <w:color w:val="auto"/>
                <w:sz w:val="22"/>
                <w:szCs w:val="22"/>
                <w:lang w:val="sk-SK"/>
              </w:rPr>
              <w:t xml:space="preserve">Brachialis </w:t>
            </w:r>
          </w:p>
        </w:tc>
        <w:tc>
          <w:tcPr>
            <w:tcW w:w="1932" w:type="dxa"/>
            <w:tcBorders>
              <w:top w:val="single" w:sz="4" w:space="0" w:color="auto"/>
              <w:left w:val="single" w:sz="4" w:space="0" w:color="000000"/>
              <w:right w:val="single" w:sz="4" w:space="0" w:color="000000"/>
            </w:tcBorders>
            <w:vAlign w:val="center"/>
          </w:tcPr>
          <w:p w14:paraId="5DDEB8EC" w14:textId="77777777" w:rsidR="00F134F4" w:rsidRPr="00475027" w:rsidRDefault="00F134F4" w:rsidP="003576CA">
            <w:pPr>
              <w:pStyle w:val="Default"/>
              <w:jc w:val="center"/>
              <w:rPr>
                <w:color w:val="auto"/>
                <w:sz w:val="22"/>
                <w:szCs w:val="22"/>
                <w:lang w:val="sk-SK"/>
              </w:rPr>
            </w:pPr>
            <w:r w:rsidRPr="00475027">
              <w:rPr>
                <w:color w:val="auto"/>
                <w:sz w:val="22"/>
                <w:szCs w:val="22"/>
                <w:lang w:val="sk-SK"/>
              </w:rPr>
              <w:t xml:space="preserve">200-400 U </w:t>
            </w:r>
          </w:p>
        </w:tc>
      </w:tr>
      <w:tr w:rsidR="00F134F4" w:rsidRPr="00475027" w14:paraId="3C2E3433" w14:textId="77777777" w:rsidTr="003576CA">
        <w:trPr>
          <w:trHeight w:val="228"/>
          <w:jc w:val="center"/>
        </w:trPr>
        <w:tc>
          <w:tcPr>
            <w:tcW w:w="3036" w:type="dxa"/>
            <w:tcBorders>
              <w:left w:val="single" w:sz="4" w:space="0" w:color="000000"/>
              <w:right w:val="single" w:sz="4" w:space="0" w:color="000000"/>
            </w:tcBorders>
            <w:vAlign w:val="center"/>
          </w:tcPr>
          <w:p w14:paraId="121C1750" w14:textId="77777777" w:rsidR="00F134F4" w:rsidRPr="00475027" w:rsidRDefault="00F134F4" w:rsidP="003576CA">
            <w:pPr>
              <w:pStyle w:val="Default"/>
              <w:rPr>
                <w:color w:val="auto"/>
                <w:sz w:val="22"/>
                <w:szCs w:val="22"/>
                <w:lang w:val="sk-SK"/>
              </w:rPr>
            </w:pPr>
            <w:r w:rsidRPr="00475027">
              <w:rPr>
                <w:color w:val="auto"/>
                <w:sz w:val="22"/>
                <w:szCs w:val="22"/>
                <w:lang w:val="sk-SK"/>
              </w:rPr>
              <w:t>Brachioradialis</w:t>
            </w:r>
          </w:p>
        </w:tc>
        <w:tc>
          <w:tcPr>
            <w:tcW w:w="1932" w:type="dxa"/>
            <w:tcBorders>
              <w:left w:val="single" w:sz="4" w:space="0" w:color="000000"/>
              <w:right w:val="single" w:sz="4" w:space="0" w:color="000000"/>
            </w:tcBorders>
            <w:vAlign w:val="center"/>
          </w:tcPr>
          <w:p w14:paraId="5AB711AE" w14:textId="77777777" w:rsidR="00F134F4" w:rsidRPr="00475027" w:rsidRDefault="00F134F4" w:rsidP="003576CA">
            <w:pPr>
              <w:pStyle w:val="Default"/>
              <w:jc w:val="center"/>
              <w:rPr>
                <w:color w:val="auto"/>
                <w:sz w:val="22"/>
                <w:szCs w:val="22"/>
                <w:lang w:val="sk-SK"/>
              </w:rPr>
            </w:pPr>
            <w:r w:rsidRPr="00475027">
              <w:rPr>
                <w:color w:val="auto"/>
                <w:sz w:val="22"/>
                <w:szCs w:val="22"/>
                <w:lang w:val="sk-SK"/>
              </w:rPr>
              <w:t>100-200 U</w:t>
            </w:r>
          </w:p>
        </w:tc>
      </w:tr>
      <w:tr w:rsidR="00F134F4" w:rsidRPr="00475027" w14:paraId="1B2E3C9F" w14:textId="77777777" w:rsidTr="003576CA">
        <w:trPr>
          <w:trHeight w:val="260"/>
          <w:jc w:val="center"/>
        </w:trPr>
        <w:tc>
          <w:tcPr>
            <w:tcW w:w="3036" w:type="dxa"/>
            <w:tcBorders>
              <w:left w:val="single" w:sz="4" w:space="0" w:color="000000"/>
              <w:right w:val="single" w:sz="4" w:space="0" w:color="000000"/>
            </w:tcBorders>
            <w:vAlign w:val="center"/>
          </w:tcPr>
          <w:p w14:paraId="53956942" w14:textId="77777777" w:rsidR="00F134F4" w:rsidRPr="00475027" w:rsidRDefault="00F134F4" w:rsidP="003576CA">
            <w:pPr>
              <w:pStyle w:val="Default"/>
              <w:rPr>
                <w:color w:val="auto"/>
                <w:sz w:val="22"/>
                <w:szCs w:val="22"/>
                <w:lang w:val="sk-SK"/>
              </w:rPr>
            </w:pPr>
            <w:r w:rsidRPr="00475027">
              <w:rPr>
                <w:color w:val="auto"/>
                <w:sz w:val="22"/>
                <w:szCs w:val="22"/>
                <w:lang w:val="sk-SK"/>
              </w:rPr>
              <w:t>Biceps Brachii (BB)</w:t>
            </w:r>
          </w:p>
        </w:tc>
        <w:tc>
          <w:tcPr>
            <w:tcW w:w="1932" w:type="dxa"/>
            <w:tcBorders>
              <w:left w:val="single" w:sz="4" w:space="0" w:color="000000"/>
              <w:right w:val="single" w:sz="4" w:space="0" w:color="000000"/>
            </w:tcBorders>
            <w:vAlign w:val="center"/>
          </w:tcPr>
          <w:p w14:paraId="25F3F5ED" w14:textId="77777777" w:rsidR="00F134F4" w:rsidRPr="00475027" w:rsidRDefault="00F134F4" w:rsidP="003576CA">
            <w:pPr>
              <w:pStyle w:val="Default"/>
              <w:jc w:val="center"/>
              <w:rPr>
                <w:color w:val="auto"/>
                <w:sz w:val="22"/>
                <w:szCs w:val="22"/>
                <w:lang w:val="sk-SK"/>
              </w:rPr>
            </w:pPr>
            <w:r w:rsidRPr="00475027">
              <w:rPr>
                <w:color w:val="auto"/>
                <w:sz w:val="22"/>
                <w:szCs w:val="22"/>
                <w:lang w:val="sk-SK"/>
              </w:rPr>
              <w:t xml:space="preserve">200-400 U </w:t>
            </w:r>
          </w:p>
        </w:tc>
      </w:tr>
      <w:tr w:rsidR="00F134F4" w:rsidRPr="00475027" w14:paraId="3189196C" w14:textId="77777777" w:rsidTr="00475027">
        <w:trPr>
          <w:trHeight w:val="260"/>
          <w:jc w:val="center"/>
        </w:trPr>
        <w:tc>
          <w:tcPr>
            <w:tcW w:w="3036" w:type="dxa"/>
            <w:tcBorders>
              <w:left w:val="single" w:sz="4" w:space="0" w:color="000000"/>
              <w:bottom w:val="single" w:sz="4" w:space="0" w:color="auto"/>
              <w:right w:val="single" w:sz="4" w:space="0" w:color="000000"/>
            </w:tcBorders>
            <w:vAlign w:val="center"/>
          </w:tcPr>
          <w:p w14:paraId="57D86A17" w14:textId="77777777" w:rsidR="00F134F4" w:rsidRPr="00475027" w:rsidRDefault="00F134F4" w:rsidP="003576CA">
            <w:pPr>
              <w:pStyle w:val="Default"/>
              <w:rPr>
                <w:color w:val="auto"/>
                <w:sz w:val="22"/>
                <w:szCs w:val="22"/>
                <w:lang w:val="sk-SK"/>
              </w:rPr>
            </w:pPr>
            <w:r w:rsidRPr="00475027">
              <w:rPr>
                <w:color w:val="auto"/>
                <w:sz w:val="22"/>
                <w:szCs w:val="22"/>
                <w:lang w:val="sk-SK"/>
              </w:rPr>
              <w:t>Pronator Teres</w:t>
            </w:r>
          </w:p>
        </w:tc>
        <w:tc>
          <w:tcPr>
            <w:tcW w:w="1932" w:type="dxa"/>
            <w:tcBorders>
              <w:left w:val="single" w:sz="4" w:space="0" w:color="000000"/>
              <w:bottom w:val="single" w:sz="4" w:space="0" w:color="auto"/>
              <w:right w:val="single" w:sz="4" w:space="0" w:color="000000"/>
            </w:tcBorders>
            <w:vAlign w:val="center"/>
          </w:tcPr>
          <w:p w14:paraId="246AD564" w14:textId="77777777" w:rsidR="00F134F4" w:rsidRPr="00475027" w:rsidRDefault="00F134F4" w:rsidP="003576CA">
            <w:pPr>
              <w:pStyle w:val="Default"/>
              <w:jc w:val="center"/>
              <w:rPr>
                <w:color w:val="auto"/>
                <w:sz w:val="22"/>
                <w:szCs w:val="22"/>
                <w:lang w:val="sk-SK"/>
              </w:rPr>
            </w:pPr>
            <w:r w:rsidRPr="00475027">
              <w:rPr>
                <w:color w:val="auto"/>
                <w:sz w:val="22"/>
                <w:szCs w:val="22"/>
                <w:lang w:val="sk-SK"/>
              </w:rPr>
              <w:t>100-200 U</w:t>
            </w:r>
          </w:p>
        </w:tc>
      </w:tr>
      <w:tr w:rsidR="00E078D0" w:rsidRPr="00475027" w14:paraId="4B8DB05E" w14:textId="77777777" w:rsidTr="00475027">
        <w:trPr>
          <w:trHeight w:val="260"/>
          <w:jc w:val="center"/>
        </w:trPr>
        <w:tc>
          <w:tcPr>
            <w:tcW w:w="3036" w:type="dxa"/>
            <w:tcBorders>
              <w:top w:val="single" w:sz="4" w:space="0" w:color="auto"/>
              <w:left w:val="single" w:sz="4" w:space="0" w:color="000000"/>
              <w:bottom w:val="single" w:sz="4" w:space="0" w:color="auto"/>
              <w:right w:val="single" w:sz="4" w:space="0" w:color="000000"/>
            </w:tcBorders>
            <w:vAlign w:val="center"/>
          </w:tcPr>
          <w:p w14:paraId="73A111A2" w14:textId="77777777" w:rsidR="00E078D0" w:rsidRPr="00475027" w:rsidRDefault="00E078D0" w:rsidP="00E078D0">
            <w:pPr>
              <w:pStyle w:val="Default"/>
              <w:rPr>
                <w:color w:val="auto"/>
                <w:sz w:val="22"/>
                <w:szCs w:val="22"/>
                <w:lang w:val="sk-SK"/>
              </w:rPr>
            </w:pPr>
            <w:r w:rsidRPr="00475027">
              <w:rPr>
                <w:color w:val="auto"/>
                <w:sz w:val="22"/>
                <w:szCs w:val="22"/>
                <w:lang w:val="sk-SK"/>
              </w:rPr>
              <w:t>Triceps Brachii (dlhá hlava)</w:t>
            </w:r>
          </w:p>
          <w:p w14:paraId="052E660C" w14:textId="77777777" w:rsidR="00E078D0" w:rsidRPr="00475027" w:rsidRDefault="00E078D0" w:rsidP="00E078D0">
            <w:pPr>
              <w:pStyle w:val="Default"/>
              <w:rPr>
                <w:color w:val="auto"/>
                <w:sz w:val="22"/>
                <w:szCs w:val="22"/>
                <w:lang w:val="sk-SK"/>
              </w:rPr>
            </w:pPr>
            <w:r w:rsidRPr="00475027">
              <w:rPr>
                <w:color w:val="auto"/>
                <w:sz w:val="22"/>
                <w:szCs w:val="22"/>
                <w:lang w:val="sk-SK"/>
              </w:rPr>
              <w:t>Pectoralis Major</w:t>
            </w:r>
          </w:p>
          <w:p w14:paraId="600D86F1" w14:textId="77777777" w:rsidR="00E078D0" w:rsidRPr="00475027" w:rsidRDefault="00E078D0" w:rsidP="00E078D0">
            <w:pPr>
              <w:pStyle w:val="Default"/>
              <w:rPr>
                <w:color w:val="auto"/>
                <w:sz w:val="22"/>
                <w:szCs w:val="22"/>
                <w:lang w:val="sk-SK"/>
              </w:rPr>
            </w:pPr>
            <w:r w:rsidRPr="00475027">
              <w:rPr>
                <w:color w:val="auto"/>
                <w:sz w:val="22"/>
                <w:szCs w:val="22"/>
                <w:lang w:val="sk-SK"/>
              </w:rPr>
              <w:t>Subscapularis</w:t>
            </w:r>
          </w:p>
          <w:p w14:paraId="01FEA851" w14:textId="77777777" w:rsidR="00E078D0" w:rsidRPr="00475027" w:rsidRDefault="00E078D0" w:rsidP="00E078D0">
            <w:pPr>
              <w:pStyle w:val="Default"/>
              <w:rPr>
                <w:color w:val="auto"/>
                <w:sz w:val="22"/>
                <w:szCs w:val="22"/>
                <w:lang w:val="sk-SK"/>
              </w:rPr>
            </w:pPr>
            <w:r w:rsidRPr="00475027">
              <w:rPr>
                <w:color w:val="auto"/>
                <w:sz w:val="22"/>
                <w:szCs w:val="22"/>
                <w:lang w:val="sk-SK"/>
              </w:rPr>
              <w:t>Latissimus Dorsi</w:t>
            </w:r>
          </w:p>
        </w:tc>
        <w:tc>
          <w:tcPr>
            <w:tcW w:w="1932" w:type="dxa"/>
            <w:tcBorders>
              <w:top w:val="single" w:sz="4" w:space="0" w:color="auto"/>
              <w:left w:val="single" w:sz="4" w:space="0" w:color="000000"/>
              <w:bottom w:val="single" w:sz="4" w:space="0" w:color="auto"/>
              <w:right w:val="single" w:sz="4" w:space="0" w:color="000000"/>
            </w:tcBorders>
            <w:vAlign w:val="center"/>
          </w:tcPr>
          <w:p w14:paraId="218BD9F5" w14:textId="77777777" w:rsidR="00E078D0" w:rsidRPr="00475027" w:rsidRDefault="00E078D0" w:rsidP="00E078D0">
            <w:pPr>
              <w:pStyle w:val="Default"/>
              <w:jc w:val="center"/>
              <w:rPr>
                <w:color w:val="auto"/>
                <w:sz w:val="22"/>
                <w:szCs w:val="22"/>
                <w:lang w:val="sk-SK"/>
              </w:rPr>
            </w:pPr>
            <w:r w:rsidRPr="00475027">
              <w:rPr>
                <w:color w:val="auto"/>
                <w:sz w:val="22"/>
                <w:szCs w:val="22"/>
                <w:lang w:val="sk-SK"/>
              </w:rPr>
              <w:t>150-300 U</w:t>
            </w:r>
          </w:p>
          <w:p w14:paraId="0D355E22" w14:textId="77777777" w:rsidR="00E078D0" w:rsidRPr="00475027" w:rsidRDefault="00E078D0" w:rsidP="00E078D0">
            <w:pPr>
              <w:pStyle w:val="Default"/>
              <w:jc w:val="center"/>
              <w:rPr>
                <w:color w:val="auto"/>
                <w:sz w:val="22"/>
                <w:szCs w:val="22"/>
                <w:lang w:val="sk-SK"/>
              </w:rPr>
            </w:pPr>
            <w:r w:rsidRPr="00475027">
              <w:rPr>
                <w:color w:val="auto"/>
                <w:sz w:val="22"/>
                <w:szCs w:val="22"/>
                <w:lang w:val="sk-SK"/>
              </w:rPr>
              <w:t>150-300 U</w:t>
            </w:r>
          </w:p>
          <w:p w14:paraId="5368E577" w14:textId="77777777" w:rsidR="00E078D0" w:rsidRPr="00475027" w:rsidRDefault="00E078D0" w:rsidP="00E078D0">
            <w:pPr>
              <w:pStyle w:val="Default"/>
              <w:jc w:val="center"/>
              <w:rPr>
                <w:color w:val="auto"/>
                <w:sz w:val="22"/>
                <w:szCs w:val="22"/>
                <w:lang w:val="sk-SK"/>
              </w:rPr>
            </w:pPr>
            <w:r w:rsidRPr="00475027">
              <w:rPr>
                <w:color w:val="auto"/>
                <w:sz w:val="22"/>
                <w:szCs w:val="22"/>
                <w:lang w:val="sk-SK"/>
              </w:rPr>
              <w:t>150-300 U</w:t>
            </w:r>
          </w:p>
          <w:p w14:paraId="7A37D906" w14:textId="77777777" w:rsidR="00E078D0" w:rsidRPr="00475027" w:rsidRDefault="00E078D0" w:rsidP="00E078D0">
            <w:pPr>
              <w:pStyle w:val="Default"/>
              <w:jc w:val="center"/>
              <w:rPr>
                <w:color w:val="auto"/>
                <w:sz w:val="22"/>
                <w:szCs w:val="22"/>
                <w:lang w:val="sk-SK"/>
              </w:rPr>
            </w:pPr>
            <w:r w:rsidRPr="00475027">
              <w:rPr>
                <w:color w:val="auto"/>
                <w:sz w:val="22"/>
                <w:szCs w:val="22"/>
                <w:lang w:val="sk-SK"/>
              </w:rPr>
              <w:t>150-300 U</w:t>
            </w:r>
          </w:p>
        </w:tc>
      </w:tr>
    </w:tbl>
    <w:p w14:paraId="15B3E34A" w14:textId="77777777" w:rsidR="00F134F4" w:rsidRPr="00475027" w:rsidRDefault="00F134F4" w:rsidP="003576CA">
      <w:pPr>
        <w:pStyle w:val="Default"/>
        <w:numPr>
          <w:ilvl w:val="0"/>
          <w:numId w:val="1"/>
        </w:numPr>
        <w:rPr>
          <w:rFonts w:ascii="Arial" w:hAnsi="Arial" w:cs="Arial"/>
          <w:color w:val="FF0000"/>
          <w:sz w:val="18"/>
          <w:szCs w:val="18"/>
          <w:u w:val="single"/>
          <w:lang w:val="sk-SK"/>
        </w:rPr>
      </w:pPr>
    </w:p>
    <w:p w14:paraId="312338E5" w14:textId="77777777" w:rsidR="00F134F4" w:rsidRPr="00475027" w:rsidRDefault="00F134F4" w:rsidP="00F04D54">
      <w:pPr>
        <w:pStyle w:val="Default"/>
        <w:numPr>
          <w:ilvl w:val="0"/>
          <w:numId w:val="1"/>
        </w:numPr>
        <w:tabs>
          <w:tab w:val="left" w:pos="0"/>
        </w:tabs>
        <w:jc w:val="both"/>
        <w:rPr>
          <w:szCs w:val="22"/>
          <w:lang w:val="sk-SK"/>
        </w:rPr>
      </w:pPr>
      <w:r w:rsidRPr="00475027">
        <w:rPr>
          <w:sz w:val="22"/>
          <w:szCs w:val="22"/>
          <w:lang w:val="sk-SK"/>
        </w:rPr>
        <w:t xml:space="preserve">Aj keď konkrétna lokalizácia miesta vpichu môže byť určená palpáciou, odporúča sa použitie techník ako napr. elektromyografia, elektrická stimulácia alebo ultrazvuk pre určenie miesta vpichu. </w:t>
      </w:r>
    </w:p>
    <w:p w14:paraId="2F4A66B5" w14:textId="77777777" w:rsidR="00F134F4" w:rsidRPr="00475027" w:rsidRDefault="00F134F4" w:rsidP="00FE4006">
      <w:pPr>
        <w:pStyle w:val="Zkladntext"/>
        <w:rPr>
          <w:rFonts w:ascii="Times New Roman" w:hAnsi="Times New Roman" w:cs="Times New Roman"/>
          <w:b w:val="0"/>
          <w:i w:val="0"/>
          <w:sz w:val="22"/>
          <w:szCs w:val="22"/>
          <w:lang w:val="sk-SK"/>
        </w:rPr>
      </w:pPr>
      <w:r w:rsidRPr="00475027">
        <w:rPr>
          <w:rFonts w:ascii="Times New Roman" w:hAnsi="Times New Roman" w:cs="Times New Roman"/>
          <w:b w:val="0"/>
          <w:i w:val="0"/>
          <w:sz w:val="22"/>
          <w:szCs w:val="22"/>
          <w:lang w:val="sk-SK"/>
        </w:rPr>
        <w:t xml:space="preserve"> </w:t>
      </w:r>
    </w:p>
    <w:p w14:paraId="54530C76" w14:textId="77777777" w:rsidR="00F134F4" w:rsidRPr="00475027" w:rsidRDefault="00F134F4" w:rsidP="005A170F">
      <w:pPr>
        <w:pStyle w:val="Default"/>
        <w:rPr>
          <w:sz w:val="22"/>
          <w:lang w:val="sk-SK"/>
        </w:rPr>
      </w:pPr>
      <w:r w:rsidRPr="00475027">
        <w:rPr>
          <w:sz w:val="22"/>
          <w:lang w:val="sk-SK"/>
        </w:rPr>
        <w:t xml:space="preserve">Opakovaná liečba s botulotoxínom typu A – komplex hemaglutinínu by mala byť podaná, až vtedy, keď účinok predchádzajúcej injekcie vymizol, ale nie skôr ako 12 týždňov po predchádzajúcej </w:t>
      </w:r>
      <w:r w:rsidRPr="00475027">
        <w:rPr>
          <w:sz w:val="22"/>
          <w:lang w:val="sk-SK"/>
        </w:rPr>
        <w:lastRenderedPageBreak/>
        <w:t xml:space="preserve">injekcii. Väčšina pacientov v klinických štúdiách bola opakovane liečená medzi 12-16 týždňami, avšak niektorí pacienti mali dlhšie trvanie odpovede na liečbu, t.j 20 týždňov. Stupeň a charakter svalovej spasticity v dobe podania opakovanej injekcie si môže vyžadovať zmenu v dávkovaní  </w:t>
      </w:r>
      <w:r w:rsidRPr="00475027">
        <w:rPr>
          <w:sz w:val="22"/>
          <w:szCs w:val="22"/>
          <w:lang w:val="sk-SK"/>
        </w:rPr>
        <w:t>botulotoxínu typu A – komplex hemaglutinínu</w:t>
      </w:r>
      <w:r w:rsidRPr="00475027">
        <w:rPr>
          <w:sz w:val="22"/>
          <w:lang w:val="sk-SK"/>
        </w:rPr>
        <w:t xml:space="preserve"> a zmenu svalov, do ktorých je podávaný.  </w:t>
      </w:r>
    </w:p>
    <w:p w14:paraId="79E99E1C" w14:textId="1F16E151" w:rsidR="00F134F4" w:rsidRPr="00475027" w:rsidRDefault="00F134F4" w:rsidP="00475027">
      <w:pPr>
        <w:pStyle w:val="Default"/>
        <w:rPr>
          <w:sz w:val="22"/>
          <w:lang w:val="sk-SK"/>
        </w:rPr>
      </w:pPr>
      <w:r w:rsidRPr="00475027">
        <w:rPr>
          <w:sz w:val="22"/>
          <w:lang w:val="sk-SK"/>
        </w:rPr>
        <w:t xml:space="preserve">Klinické zlepšenie môže byť očakávané týždeň po podaní </w:t>
      </w:r>
      <w:r w:rsidRPr="00475027">
        <w:rPr>
          <w:sz w:val="22"/>
          <w:szCs w:val="22"/>
          <w:lang w:val="sk-SK"/>
        </w:rPr>
        <w:t>botulotoxínu typu A – komplex hemaglutinínu</w:t>
      </w:r>
      <w:r w:rsidRPr="00475027">
        <w:rPr>
          <w:sz w:val="22"/>
          <w:lang w:val="sk-SK"/>
        </w:rPr>
        <w:t>.</w:t>
      </w:r>
    </w:p>
    <w:p w14:paraId="12637EC0" w14:textId="77777777" w:rsidR="00F134F4" w:rsidRPr="00475027" w:rsidRDefault="00F134F4" w:rsidP="00FE4006">
      <w:pPr>
        <w:jc w:val="both"/>
        <w:rPr>
          <w:rFonts w:ascii="Times New Roman" w:hAnsi="Times New Roman" w:cs="Times New Roman"/>
          <w:sz w:val="22"/>
          <w:szCs w:val="22"/>
          <w:lang w:val="sk-SK"/>
        </w:rPr>
      </w:pPr>
    </w:p>
    <w:p w14:paraId="0E0258DB"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Deti:</w:t>
      </w:r>
    </w:p>
    <w:p w14:paraId="0B177984"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Bezpečnosť a účinnosť Dysportu 500 U v liečbe spasticity horných končatín</w:t>
      </w:r>
      <w:r w:rsidRPr="00475027">
        <w:rPr>
          <w:rFonts w:ascii="Times New Roman" w:hAnsi="Times New Roman" w:cs="Times New Roman"/>
          <w:b/>
          <w:sz w:val="22"/>
          <w:szCs w:val="22"/>
          <w:lang w:val="sk-SK"/>
        </w:rPr>
        <w:t xml:space="preserve"> </w:t>
      </w:r>
      <w:r w:rsidRPr="00475027">
        <w:rPr>
          <w:rFonts w:ascii="Times New Roman" w:hAnsi="Times New Roman" w:cs="Times New Roman"/>
          <w:sz w:val="22"/>
          <w:szCs w:val="22"/>
          <w:lang w:val="sk-SK"/>
        </w:rPr>
        <w:t>u detí nebola preukázaná.</w:t>
      </w:r>
    </w:p>
    <w:p w14:paraId="1E9D7A06" w14:textId="77777777" w:rsidR="00F134F4" w:rsidRPr="00475027" w:rsidRDefault="00F134F4" w:rsidP="00FE4006">
      <w:pPr>
        <w:rPr>
          <w:rFonts w:ascii="Times New Roman" w:hAnsi="Times New Roman" w:cs="Times New Roman"/>
          <w:sz w:val="22"/>
          <w:szCs w:val="22"/>
          <w:lang w:val="sk-SK"/>
        </w:rPr>
      </w:pPr>
    </w:p>
    <w:p w14:paraId="1A5EED15" w14:textId="77777777" w:rsidR="00F134F4" w:rsidRPr="00475027" w:rsidRDefault="00F134F4" w:rsidP="00FE4006">
      <w:pPr>
        <w:rPr>
          <w:rFonts w:ascii="Times New Roman" w:hAnsi="Times New Roman" w:cs="Times New Roman"/>
          <w:sz w:val="22"/>
          <w:szCs w:val="22"/>
          <w:lang w:val="sk-SK"/>
        </w:rPr>
      </w:pPr>
      <w:r w:rsidRPr="00475027">
        <w:rPr>
          <w:rFonts w:ascii="Times New Roman" w:hAnsi="Times New Roman" w:cs="Times New Roman"/>
          <w:sz w:val="22"/>
          <w:szCs w:val="22"/>
          <w:lang w:val="sk-SK"/>
        </w:rPr>
        <w:t>Starší pacienti (≥65 r): Klinická skúsenosť nepotvrdila rozdiely v odpovedi na liečbu medzi staršími a mladšími dospelými pacientmi. Vo všeobecnosti, starší pacienti majú byť sledovaní za účelom zhodnotenia ich znášania liečby s botulotoxínom typu A – komplex hemaglutinínu, z dôvodu vyššieho počtu sprievodných ochorení a užívania iných liekov.</w:t>
      </w:r>
    </w:p>
    <w:p w14:paraId="46B9FB3F" w14:textId="77777777" w:rsidR="00F134F4" w:rsidRPr="00475027" w:rsidRDefault="00F134F4" w:rsidP="00FE4006">
      <w:pPr>
        <w:rPr>
          <w:rFonts w:ascii="Times New Roman" w:hAnsi="Times New Roman" w:cs="Times New Roman"/>
          <w:sz w:val="22"/>
          <w:szCs w:val="22"/>
          <w:lang w:val="sk-SK"/>
        </w:rPr>
      </w:pPr>
    </w:p>
    <w:p w14:paraId="67E877B3" w14:textId="77777777" w:rsidR="00F134F4" w:rsidRPr="00475027" w:rsidRDefault="00F134F4" w:rsidP="00FE4006">
      <w:pPr>
        <w:pStyle w:val="Nadpis3"/>
        <w:tabs>
          <w:tab w:val="left" w:pos="0"/>
        </w:tabs>
        <w:rPr>
          <w:rFonts w:cs="Times New Roman"/>
          <w:b w:val="0"/>
          <w:sz w:val="22"/>
          <w:szCs w:val="22"/>
          <w:u w:val="single"/>
        </w:rPr>
      </w:pPr>
      <w:r w:rsidRPr="00475027">
        <w:rPr>
          <w:rFonts w:cs="Times New Roman"/>
          <w:b w:val="0"/>
          <w:sz w:val="22"/>
          <w:szCs w:val="22"/>
          <w:u w:val="single"/>
        </w:rPr>
        <w:t>Spôsob podávania</w:t>
      </w:r>
    </w:p>
    <w:p w14:paraId="5C4509BC" w14:textId="77777777" w:rsidR="00F134F4" w:rsidRPr="00475027" w:rsidRDefault="00F134F4" w:rsidP="00FE4006">
      <w:pPr>
        <w:jc w:val="both"/>
        <w:rPr>
          <w:rFonts w:ascii="Times New Roman" w:hAnsi="Times New Roman" w:cs="Times New Roman"/>
          <w:sz w:val="22"/>
          <w:szCs w:val="22"/>
          <w:lang w:val="sk-SK"/>
        </w:rPr>
      </w:pPr>
    </w:p>
    <w:p w14:paraId="5606EE99" w14:textId="49E631F2" w:rsidR="00BE3A89" w:rsidRPr="00475027" w:rsidRDefault="00F134F4" w:rsidP="00FE4006">
      <w:pPr>
        <w:pStyle w:val="WW-Zkladntext2"/>
        <w:rPr>
          <w:rFonts w:ascii="Times New Roman" w:hAnsi="Times New Roman" w:cs="Times New Roman"/>
          <w:sz w:val="22"/>
          <w:szCs w:val="22"/>
        </w:rPr>
      </w:pPr>
      <w:r w:rsidRPr="00475027">
        <w:rPr>
          <w:rFonts w:ascii="Times New Roman" w:hAnsi="Times New Roman" w:cs="Times New Roman"/>
          <w:sz w:val="22"/>
          <w:szCs w:val="22"/>
        </w:rPr>
        <w:t xml:space="preserve">Pri liečbe fokálnej spasticity horných </w:t>
      </w:r>
      <w:r w:rsidR="002B3AFF" w:rsidRPr="00475027">
        <w:rPr>
          <w:rFonts w:ascii="Times New Roman" w:hAnsi="Times New Roman" w:cs="Times New Roman"/>
          <w:sz w:val="22"/>
          <w:szCs w:val="22"/>
        </w:rPr>
        <w:t xml:space="preserve">a dolných </w:t>
      </w:r>
      <w:r w:rsidRPr="00475027">
        <w:rPr>
          <w:rFonts w:ascii="Times New Roman" w:hAnsi="Times New Roman" w:cs="Times New Roman"/>
          <w:sz w:val="22"/>
          <w:szCs w:val="22"/>
        </w:rPr>
        <w:t>končatín u dospelých sa Dysport 500 U riedi v 1,0 ml 0,9 % roztoku chloridu sodného injekcie, čím vznikne roztok Dysportu 500 U obsahujúci 100 U v 1 ml, 200 U v 1 ml alebo 500 U v 1 ml. Dysport 500 U sa v tejto indikácii podáva intramuskulárne do vyššie popísaných svalov.</w:t>
      </w:r>
    </w:p>
    <w:p w14:paraId="301276C2" w14:textId="77777777" w:rsidR="00F134F4" w:rsidRPr="00475027" w:rsidRDefault="00F134F4" w:rsidP="00475027">
      <w:pPr>
        <w:pStyle w:val="WW-Zkladntext2"/>
      </w:pPr>
    </w:p>
    <w:p w14:paraId="0BBC83B4" w14:textId="77777777" w:rsidR="00BE3A89" w:rsidRPr="00475027" w:rsidRDefault="00BE3A89" w:rsidP="00BE3A89">
      <w:pPr>
        <w:rPr>
          <w:rFonts w:ascii="Times New Roman" w:hAnsi="Times New Roman" w:cs="Times New Roman"/>
          <w:b/>
          <w:sz w:val="22"/>
          <w:szCs w:val="22"/>
          <w:lang w:val="sk-SK"/>
        </w:rPr>
      </w:pPr>
      <w:r w:rsidRPr="00475027">
        <w:rPr>
          <w:rFonts w:ascii="Times New Roman" w:hAnsi="Times New Roman" w:cs="Times New Roman"/>
          <w:b/>
          <w:sz w:val="22"/>
          <w:szCs w:val="22"/>
          <w:lang w:val="sk-SK"/>
        </w:rPr>
        <w:t>Symptomatická liečba fokálnej spasticity dolných končatín u dospelých</w:t>
      </w:r>
    </w:p>
    <w:p w14:paraId="5A153D7F" w14:textId="77777777" w:rsidR="00BE3A89" w:rsidRPr="00475027" w:rsidRDefault="00BE3A89" w:rsidP="00BE3A89">
      <w:pPr>
        <w:pStyle w:val="WW-Zkladntext2"/>
        <w:jc w:val="left"/>
        <w:rPr>
          <w:rFonts w:ascii="Times New Roman" w:hAnsi="Times New Roman" w:cs="Times New Roman"/>
          <w:sz w:val="22"/>
          <w:szCs w:val="22"/>
          <w:u w:val="single"/>
        </w:rPr>
      </w:pPr>
    </w:p>
    <w:p w14:paraId="7BE5184F" w14:textId="77777777" w:rsidR="00BE3A89" w:rsidRPr="00475027" w:rsidRDefault="00BE3A89" w:rsidP="00BE3A89">
      <w:pPr>
        <w:pStyle w:val="WW-Zkladntext2"/>
        <w:jc w:val="left"/>
        <w:rPr>
          <w:rFonts w:ascii="Times New Roman" w:hAnsi="Times New Roman" w:cs="Times New Roman"/>
          <w:sz w:val="22"/>
          <w:szCs w:val="22"/>
        </w:rPr>
      </w:pPr>
      <w:r w:rsidRPr="00475027">
        <w:rPr>
          <w:rFonts w:ascii="Times New Roman" w:hAnsi="Times New Roman" w:cs="Times New Roman"/>
          <w:sz w:val="22"/>
          <w:szCs w:val="22"/>
          <w:u w:val="single"/>
        </w:rPr>
        <w:t>Dávkovanie:</w:t>
      </w:r>
    </w:p>
    <w:p w14:paraId="1EE29379" w14:textId="77777777" w:rsidR="00BE3A89" w:rsidRPr="00475027" w:rsidRDefault="00BE3A89" w:rsidP="00BE3A89">
      <w:pPr>
        <w:pStyle w:val="WW-Zkladntext2"/>
        <w:jc w:val="left"/>
        <w:rPr>
          <w:rFonts w:ascii="Times New Roman" w:hAnsi="Times New Roman" w:cs="Times New Roman"/>
          <w:sz w:val="22"/>
          <w:szCs w:val="22"/>
        </w:rPr>
      </w:pPr>
      <w:r w:rsidRPr="00475027">
        <w:rPr>
          <w:rFonts w:ascii="Times New Roman" w:hAnsi="Times New Roman" w:cs="Times New Roman"/>
          <w:sz w:val="22"/>
          <w:szCs w:val="22"/>
        </w:rPr>
        <w:t xml:space="preserve">V jednom ošetrení sa môžu podávať intramuskulárne dávky do 1500U. V počiatočných a následných liečebných ošetreniach má byť presná dávka prispôsobená jednotlivcovi na základe veľkosti a počtu svalov, ktorých sa to týka, závažnosti spasticity a tiež na základe zohľadnenia prítomnosti lokálnej svalovej slabosti a reakcie pacienta na predchádzajúcu liečbu. Celková dávka však nemá prekročiť 1500U. Vo všeobecnosti sa nemá podávať do jedného miesta vpichu injekcie viac ako 1 ml. </w:t>
      </w:r>
    </w:p>
    <w:p w14:paraId="75405DB3" w14:textId="77777777" w:rsidR="00BE3A89" w:rsidRPr="00475027" w:rsidRDefault="00BE3A89" w:rsidP="00BE3A89">
      <w:pPr>
        <w:autoSpaceDE w:val="0"/>
        <w:adjustRightInd w:val="0"/>
        <w:rPr>
          <w:rFonts w:ascii="Times New Roman" w:hAnsi="Times New Roman" w:cs="Times New Roman"/>
          <w:sz w:val="22"/>
          <w:szCs w:val="22"/>
          <w:lang w:val="sk-SK"/>
        </w:rPr>
      </w:pPr>
    </w:p>
    <w:tbl>
      <w:tblPr>
        <w:tblW w:w="0" w:type="auto"/>
        <w:tblInd w:w="1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268"/>
      </w:tblGrid>
      <w:tr w:rsidR="00BE3A89" w:rsidRPr="00475027" w14:paraId="709C16A1" w14:textId="77777777" w:rsidTr="00BE3A89">
        <w:tc>
          <w:tcPr>
            <w:tcW w:w="2410" w:type="dxa"/>
            <w:shd w:val="clear" w:color="auto" w:fill="auto"/>
          </w:tcPr>
          <w:p w14:paraId="41578693" w14:textId="77777777" w:rsidR="00BE3A89" w:rsidRPr="00475027" w:rsidRDefault="00BE3A89" w:rsidP="00BE3A89">
            <w:pPr>
              <w:autoSpaceDE w:val="0"/>
              <w:adjustRightInd w:val="0"/>
              <w:jc w:val="center"/>
              <w:rPr>
                <w:rFonts w:ascii="Times New Roman" w:hAnsi="Times New Roman" w:cs="Times New Roman"/>
                <w:b/>
                <w:sz w:val="22"/>
                <w:szCs w:val="22"/>
                <w:lang w:val="sk-SK"/>
              </w:rPr>
            </w:pPr>
            <w:r w:rsidRPr="00475027">
              <w:rPr>
                <w:rFonts w:ascii="Times New Roman" w:hAnsi="Times New Roman" w:cs="Times New Roman"/>
                <w:b/>
                <w:sz w:val="22"/>
                <w:szCs w:val="22"/>
                <w:lang w:val="sk-SK"/>
              </w:rPr>
              <w:t>Sval</w:t>
            </w:r>
          </w:p>
        </w:tc>
        <w:tc>
          <w:tcPr>
            <w:tcW w:w="2410" w:type="dxa"/>
            <w:shd w:val="clear" w:color="auto" w:fill="auto"/>
          </w:tcPr>
          <w:p w14:paraId="55D29AA1" w14:textId="77777777" w:rsidR="00BE3A89" w:rsidRPr="00475027" w:rsidRDefault="00BE3A89" w:rsidP="00BE3A89">
            <w:pPr>
              <w:autoSpaceDE w:val="0"/>
              <w:adjustRightInd w:val="0"/>
              <w:jc w:val="center"/>
              <w:rPr>
                <w:rFonts w:ascii="Times New Roman" w:hAnsi="Times New Roman" w:cs="Times New Roman"/>
                <w:b/>
                <w:sz w:val="22"/>
                <w:szCs w:val="22"/>
                <w:lang w:val="sk-SK"/>
              </w:rPr>
            </w:pPr>
            <w:r w:rsidRPr="00475027">
              <w:rPr>
                <w:rFonts w:ascii="Times New Roman" w:hAnsi="Times New Roman" w:cs="Times New Roman"/>
                <w:b/>
                <w:sz w:val="22"/>
                <w:szCs w:val="22"/>
                <w:lang w:val="sk-SK"/>
              </w:rPr>
              <w:t xml:space="preserve">Odporúčaná dávka </w:t>
            </w:r>
          </w:p>
          <w:p w14:paraId="0B82FB8B" w14:textId="77777777" w:rsidR="00BE3A89" w:rsidRPr="00475027" w:rsidRDefault="00BE3A89" w:rsidP="00BE3A89">
            <w:pPr>
              <w:autoSpaceDE w:val="0"/>
              <w:adjustRightInd w:val="0"/>
              <w:jc w:val="center"/>
              <w:rPr>
                <w:rFonts w:ascii="Times New Roman" w:hAnsi="Times New Roman" w:cs="Times New Roman"/>
                <w:b/>
                <w:sz w:val="22"/>
                <w:szCs w:val="22"/>
                <w:lang w:val="sk-SK"/>
              </w:rPr>
            </w:pPr>
            <w:r w:rsidRPr="00475027">
              <w:rPr>
                <w:rFonts w:ascii="Times New Roman" w:hAnsi="Times New Roman" w:cs="Times New Roman"/>
                <w:b/>
                <w:sz w:val="22"/>
                <w:szCs w:val="22"/>
                <w:lang w:val="sk-SK"/>
              </w:rPr>
              <w:t>DYSPORT (U)</w:t>
            </w:r>
          </w:p>
        </w:tc>
        <w:tc>
          <w:tcPr>
            <w:tcW w:w="2268" w:type="dxa"/>
          </w:tcPr>
          <w:p w14:paraId="3AF8A9EF" w14:textId="77777777" w:rsidR="00BE3A89" w:rsidRPr="00475027" w:rsidRDefault="00BE3A89" w:rsidP="00BE3A89">
            <w:pPr>
              <w:autoSpaceDE w:val="0"/>
              <w:adjustRightInd w:val="0"/>
              <w:jc w:val="center"/>
              <w:rPr>
                <w:rFonts w:ascii="Times New Roman" w:hAnsi="Times New Roman" w:cs="Times New Roman"/>
                <w:b/>
                <w:sz w:val="22"/>
                <w:szCs w:val="22"/>
                <w:lang w:val="sk-SK"/>
              </w:rPr>
            </w:pPr>
            <w:r w:rsidRPr="00475027">
              <w:rPr>
                <w:rFonts w:ascii="Times New Roman" w:hAnsi="Times New Roman" w:cs="Times New Roman"/>
                <w:b/>
                <w:sz w:val="22"/>
                <w:szCs w:val="22"/>
                <w:lang w:val="sk-SK"/>
              </w:rPr>
              <w:t>Počet miest vpichu na sval</w:t>
            </w:r>
          </w:p>
        </w:tc>
      </w:tr>
      <w:tr w:rsidR="00BE3A89" w:rsidRPr="00475027" w14:paraId="0957D343" w14:textId="77777777" w:rsidTr="00BE3A89">
        <w:tc>
          <w:tcPr>
            <w:tcW w:w="7088" w:type="dxa"/>
            <w:gridSpan w:val="3"/>
            <w:shd w:val="clear" w:color="auto" w:fill="auto"/>
          </w:tcPr>
          <w:p w14:paraId="2F1D1267" w14:textId="77777777" w:rsidR="00BE3A89" w:rsidRPr="00475027" w:rsidRDefault="00BE3A89" w:rsidP="00BE3A89">
            <w:pPr>
              <w:autoSpaceDE w:val="0"/>
              <w:adjustRightInd w:val="0"/>
              <w:rPr>
                <w:rFonts w:ascii="Times New Roman" w:hAnsi="Times New Roman" w:cs="Times New Roman"/>
                <w:b/>
                <w:sz w:val="22"/>
                <w:szCs w:val="22"/>
                <w:lang w:val="sk-SK"/>
              </w:rPr>
            </w:pPr>
            <w:r w:rsidRPr="00475027">
              <w:rPr>
                <w:rFonts w:ascii="Times New Roman" w:hAnsi="Times New Roman" w:cs="Times New Roman"/>
                <w:b/>
                <w:sz w:val="22"/>
                <w:szCs w:val="22"/>
                <w:lang w:val="sk-SK"/>
              </w:rPr>
              <w:t>Distálny</w:t>
            </w:r>
          </w:p>
        </w:tc>
      </w:tr>
      <w:tr w:rsidR="00BE3A89" w:rsidRPr="00475027" w14:paraId="50475594" w14:textId="77777777" w:rsidTr="00BE3A89">
        <w:tc>
          <w:tcPr>
            <w:tcW w:w="2410" w:type="dxa"/>
            <w:shd w:val="clear" w:color="auto" w:fill="auto"/>
          </w:tcPr>
          <w:p w14:paraId="09505CA7" w14:textId="77777777" w:rsidR="00BE3A89" w:rsidRPr="00475027" w:rsidRDefault="00BE3A89" w:rsidP="00BE3A89">
            <w:pPr>
              <w:rPr>
                <w:rFonts w:ascii="Times New Roman" w:hAnsi="Times New Roman" w:cs="Times New Roman"/>
                <w:sz w:val="22"/>
                <w:szCs w:val="22"/>
                <w:lang w:val="sk-SK"/>
              </w:rPr>
            </w:pPr>
            <w:r w:rsidRPr="00475027">
              <w:rPr>
                <w:rFonts w:ascii="Times New Roman" w:hAnsi="Times New Roman" w:cs="Times New Roman"/>
                <w:sz w:val="22"/>
                <w:szCs w:val="22"/>
                <w:lang w:val="sk-SK"/>
              </w:rPr>
              <w:t>Plochý lýtkový sval</w:t>
            </w:r>
          </w:p>
        </w:tc>
        <w:tc>
          <w:tcPr>
            <w:tcW w:w="2410" w:type="dxa"/>
            <w:shd w:val="clear" w:color="auto" w:fill="auto"/>
          </w:tcPr>
          <w:p w14:paraId="6AFF25B1" w14:textId="77777777" w:rsidR="00BE3A89" w:rsidRPr="00475027" w:rsidRDefault="00BE3A89" w:rsidP="00BE3A89">
            <w:pPr>
              <w:autoSpaceDE w:val="0"/>
              <w:adjustRightInd w:val="0"/>
              <w:jc w:val="center"/>
              <w:rPr>
                <w:rFonts w:ascii="Times New Roman" w:hAnsi="Times New Roman" w:cs="Times New Roman"/>
                <w:sz w:val="22"/>
                <w:szCs w:val="22"/>
                <w:lang w:val="sk-SK"/>
              </w:rPr>
            </w:pPr>
            <w:r w:rsidRPr="00475027">
              <w:rPr>
                <w:rFonts w:ascii="Times New Roman" w:hAnsi="Times New Roman" w:cs="Times New Roman"/>
                <w:sz w:val="22"/>
                <w:szCs w:val="22"/>
                <w:lang w:val="sk-SK"/>
              </w:rPr>
              <w:t>300 – 550 U</w:t>
            </w:r>
          </w:p>
        </w:tc>
        <w:tc>
          <w:tcPr>
            <w:tcW w:w="2268" w:type="dxa"/>
          </w:tcPr>
          <w:p w14:paraId="5955EBE3" w14:textId="77777777" w:rsidR="00BE3A89" w:rsidRPr="00475027" w:rsidRDefault="00BE3A89" w:rsidP="00BE3A89">
            <w:pPr>
              <w:autoSpaceDE w:val="0"/>
              <w:adjustRightInd w:val="0"/>
              <w:jc w:val="center"/>
              <w:rPr>
                <w:rFonts w:ascii="Times New Roman" w:hAnsi="Times New Roman" w:cs="Times New Roman"/>
                <w:sz w:val="22"/>
                <w:szCs w:val="22"/>
                <w:lang w:val="sk-SK"/>
              </w:rPr>
            </w:pPr>
            <w:r w:rsidRPr="00475027">
              <w:rPr>
                <w:rFonts w:ascii="Times New Roman" w:hAnsi="Times New Roman" w:cs="Times New Roman"/>
                <w:sz w:val="22"/>
                <w:szCs w:val="22"/>
                <w:lang w:val="sk-SK"/>
              </w:rPr>
              <w:t>2 - 4</w:t>
            </w:r>
          </w:p>
        </w:tc>
      </w:tr>
      <w:tr w:rsidR="00BE3A89" w:rsidRPr="00475027" w14:paraId="587850EE" w14:textId="77777777" w:rsidTr="00BE3A89">
        <w:tc>
          <w:tcPr>
            <w:tcW w:w="2410" w:type="dxa"/>
            <w:shd w:val="clear" w:color="auto" w:fill="auto"/>
          </w:tcPr>
          <w:p w14:paraId="5BAB011B" w14:textId="77777777" w:rsidR="00BE3A89" w:rsidRPr="00475027" w:rsidRDefault="00BE3A89" w:rsidP="00BE3A89">
            <w:pPr>
              <w:rPr>
                <w:rFonts w:ascii="Times New Roman" w:hAnsi="Times New Roman" w:cs="Times New Roman"/>
                <w:sz w:val="22"/>
                <w:szCs w:val="22"/>
                <w:lang w:val="sk-SK"/>
              </w:rPr>
            </w:pPr>
            <w:r w:rsidRPr="00475027">
              <w:rPr>
                <w:rFonts w:ascii="Times New Roman" w:hAnsi="Times New Roman" w:cs="Times New Roman"/>
                <w:sz w:val="22"/>
                <w:szCs w:val="22"/>
                <w:lang w:val="sk-SK"/>
              </w:rPr>
              <w:t>Lýtkový sval</w:t>
            </w:r>
          </w:p>
        </w:tc>
        <w:tc>
          <w:tcPr>
            <w:tcW w:w="2410" w:type="dxa"/>
            <w:shd w:val="clear" w:color="auto" w:fill="auto"/>
          </w:tcPr>
          <w:p w14:paraId="4A5649B1" w14:textId="77777777" w:rsidR="00BE3A89" w:rsidRPr="00475027" w:rsidRDefault="00BE3A89" w:rsidP="00BE3A89">
            <w:pPr>
              <w:autoSpaceDE w:val="0"/>
              <w:adjustRightInd w:val="0"/>
              <w:jc w:val="center"/>
              <w:rPr>
                <w:rFonts w:ascii="Times New Roman" w:hAnsi="Times New Roman" w:cs="Times New Roman"/>
                <w:sz w:val="22"/>
                <w:szCs w:val="22"/>
                <w:lang w:val="sk-SK"/>
              </w:rPr>
            </w:pPr>
          </w:p>
        </w:tc>
        <w:tc>
          <w:tcPr>
            <w:tcW w:w="2268" w:type="dxa"/>
          </w:tcPr>
          <w:p w14:paraId="6B55DFD1" w14:textId="77777777" w:rsidR="00BE3A89" w:rsidRPr="00475027" w:rsidRDefault="00BE3A89" w:rsidP="00BE3A89">
            <w:pPr>
              <w:autoSpaceDE w:val="0"/>
              <w:adjustRightInd w:val="0"/>
              <w:jc w:val="center"/>
              <w:rPr>
                <w:rFonts w:ascii="Times New Roman" w:hAnsi="Times New Roman" w:cs="Times New Roman"/>
                <w:sz w:val="22"/>
                <w:szCs w:val="22"/>
                <w:lang w:val="sk-SK"/>
              </w:rPr>
            </w:pPr>
          </w:p>
        </w:tc>
      </w:tr>
      <w:tr w:rsidR="00BE3A89" w:rsidRPr="00475027" w14:paraId="218F492E" w14:textId="77777777" w:rsidTr="00BE3A89">
        <w:tc>
          <w:tcPr>
            <w:tcW w:w="2410" w:type="dxa"/>
            <w:shd w:val="clear" w:color="auto" w:fill="auto"/>
          </w:tcPr>
          <w:p w14:paraId="1AC5ABFB" w14:textId="77777777" w:rsidR="00BE3A89" w:rsidRPr="00475027" w:rsidRDefault="00BE3A89" w:rsidP="00BE3A89">
            <w:pPr>
              <w:rPr>
                <w:rFonts w:ascii="Times New Roman" w:hAnsi="Times New Roman" w:cs="Times New Roman"/>
                <w:sz w:val="22"/>
                <w:szCs w:val="22"/>
                <w:lang w:val="sk-SK"/>
              </w:rPr>
            </w:pPr>
            <w:r w:rsidRPr="00475027">
              <w:rPr>
                <w:rFonts w:ascii="Times New Roman" w:hAnsi="Times New Roman" w:cs="Times New Roman"/>
                <w:sz w:val="22"/>
                <w:szCs w:val="22"/>
                <w:lang w:val="sk-SK"/>
              </w:rPr>
              <w:tab/>
              <w:t>mediálny</w:t>
            </w:r>
          </w:p>
        </w:tc>
        <w:tc>
          <w:tcPr>
            <w:tcW w:w="2410" w:type="dxa"/>
            <w:shd w:val="clear" w:color="auto" w:fill="auto"/>
          </w:tcPr>
          <w:p w14:paraId="2C6376C7" w14:textId="77777777" w:rsidR="00BE3A89" w:rsidRPr="00475027" w:rsidRDefault="00BE3A89" w:rsidP="00BE3A89">
            <w:pPr>
              <w:autoSpaceDE w:val="0"/>
              <w:adjustRightInd w:val="0"/>
              <w:jc w:val="center"/>
              <w:rPr>
                <w:rFonts w:ascii="Times New Roman" w:hAnsi="Times New Roman" w:cs="Times New Roman"/>
                <w:sz w:val="22"/>
                <w:szCs w:val="22"/>
                <w:lang w:val="sk-SK"/>
              </w:rPr>
            </w:pPr>
            <w:r w:rsidRPr="00475027">
              <w:rPr>
                <w:rFonts w:ascii="Times New Roman" w:hAnsi="Times New Roman" w:cs="Times New Roman"/>
                <w:sz w:val="22"/>
                <w:szCs w:val="22"/>
                <w:lang w:val="sk-SK"/>
              </w:rPr>
              <w:t>100 – 450 U</w:t>
            </w:r>
          </w:p>
        </w:tc>
        <w:tc>
          <w:tcPr>
            <w:tcW w:w="2268" w:type="dxa"/>
          </w:tcPr>
          <w:p w14:paraId="7ED08BC7" w14:textId="77777777" w:rsidR="00BE3A89" w:rsidRPr="00475027" w:rsidRDefault="00BE3A89" w:rsidP="00BE3A89">
            <w:pPr>
              <w:autoSpaceDE w:val="0"/>
              <w:adjustRightInd w:val="0"/>
              <w:jc w:val="center"/>
              <w:rPr>
                <w:rFonts w:ascii="Times New Roman" w:hAnsi="Times New Roman" w:cs="Times New Roman"/>
                <w:sz w:val="22"/>
                <w:szCs w:val="22"/>
                <w:lang w:val="sk-SK"/>
              </w:rPr>
            </w:pPr>
            <w:r w:rsidRPr="00475027">
              <w:rPr>
                <w:rFonts w:ascii="Times New Roman" w:hAnsi="Times New Roman" w:cs="Times New Roman"/>
                <w:sz w:val="22"/>
                <w:szCs w:val="22"/>
                <w:lang w:val="sk-SK"/>
              </w:rPr>
              <w:t>1 - 3</w:t>
            </w:r>
          </w:p>
        </w:tc>
      </w:tr>
      <w:tr w:rsidR="00BE3A89" w:rsidRPr="00475027" w14:paraId="27C28E80" w14:textId="77777777" w:rsidTr="00BE3A89">
        <w:tc>
          <w:tcPr>
            <w:tcW w:w="2410" w:type="dxa"/>
            <w:shd w:val="clear" w:color="auto" w:fill="auto"/>
          </w:tcPr>
          <w:p w14:paraId="10F7352B" w14:textId="77777777" w:rsidR="00BE3A89" w:rsidRPr="00475027" w:rsidRDefault="00BE3A89" w:rsidP="00BE3A89">
            <w:pPr>
              <w:rPr>
                <w:rFonts w:ascii="Times New Roman" w:hAnsi="Times New Roman" w:cs="Times New Roman"/>
                <w:sz w:val="22"/>
                <w:szCs w:val="22"/>
                <w:lang w:val="sk-SK"/>
              </w:rPr>
            </w:pPr>
            <w:r w:rsidRPr="00475027">
              <w:rPr>
                <w:rFonts w:ascii="Times New Roman" w:hAnsi="Times New Roman" w:cs="Times New Roman"/>
                <w:sz w:val="22"/>
                <w:szCs w:val="22"/>
                <w:lang w:val="sk-SK"/>
              </w:rPr>
              <w:tab/>
              <w:t>laterálny</w:t>
            </w:r>
          </w:p>
        </w:tc>
        <w:tc>
          <w:tcPr>
            <w:tcW w:w="2410" w:type="dxa"/>
            <w:shd w:val="clear" w:color="auto" w:fill="auto"/>
          </w:tcPr>
          <w:p w14:paraId="76BF62B9" w14:textId="77777777" w:rsidR="00BE3A89" w:rsidRPr="00475027" w:rsidRDefault="00BE3A89" w:rsidP="00BE3A89">
            <w:pPr>
              <w:autoSpaceDE w:val="0"/>
              <w:adjustRightInd w:val="0"/>
              <w:jc w:val="center"/>
              <w:rPr>
                <w:rFonts w:ascii="Times New Roman" w:hAnsi="Times New Roman" w:cs="Times New Roman"/>
                <w:sz w:val="22"/>
                <w:szCs w:val="22"/>
                <w:lang w:val="sk-SK"/>
              </w:rPr>
            </w:pPr>
            <w:r w:rsidRPr="00475027">
              <w:rPr>
                <w:rFonts w:ascii="Times New Roman" w:hAnsi="Times New Roman" w:cs="Times New Roman"/>
                <w:sz w:val="22"/>
                <w:szCs w:val="22"/>
                <w:lang w:val="sk-SK"/>
              </w:rPr>
              <w:t>100 – 450 U</w:t>
            </w:r>
          </w:p>
        </w:tc>
        <w:tc>
          <w:tcPr>
            <w:tcW w:w="2268" w:type="dxa"/>
          </w:tcPr>
          <w:p w14:paraId="273B4493" w14:textId="77777777" w:rsidR="00BE3A89" w:rsidRPr="00475027" w:rsidRDefault="00BE3A89" w:rsidP="00BE3A89">
            <w:pPr>
              <w:autoSpaceDE w:val="0"/>
              <w:adjustRightInd w:val="0"/>
              <w:jc w:val="center"/>
              <w:rPr>
                <w:rFonts w:ascii="Times New Roman" w:hAnsi="Times New Roman" w:cs="Times New Roman"/>
                <w:sz w:val="22"/>
                <w:szCs w:val="22"/>
                <w:lang w:val="sk-SK"/>
              </w:rPr>
            </w:pPr>
            <w:r w:rsidRPr="00475027">
              <w:rPr>
                <w:rFonts w:ascii="Times New Roman" w:hAnsi="Times New Roman" w:cs="Times New Roman"/>
                <w:sz w:val="22"/>
                <w:szCs w:val="22"/>
                <w:lang w:val="sk-SK"/>
              </w:rPr>
              <w:t>1 - 3</w:t>
            </w:r>
          </w:p>
        </w:tc>
      </w:tr>
      <w:tr w:rsidR="00BE3A89" w:rsidRPr="00475027" w14:paraId="227340FB" w14:textId="77777777" w:rsidTr="00BE3A89">
        <w:tc>
          <w:tcPr>
            <w:tcW w:w="2410" w:type="dxa"/>
            <w:shd w:val="clear" w:color="auto" w:fill="auto"/>
          </w:tcPr>
          <w:p w14:paraId="6DE188D5" w14:textId="77777777" w:rsidR="00BE3A89" w:rsidRPr="00475027" w:rsidRDefault="00BE3A89" w:rsidP="00BE3A89">
            <w:pPr>
              <w:rPr>
                <w:rFonts w:ascii="Times New Roman" w:hAnsi="Times New Roman" w:cs="Times New Roman"/>
                <w:sz w:val="22"/>
                <w:szCs w:val="22"/>
                <w:lang w:val="sk-SK"/>
              </w:rPr>
            </w:pPr>
            <w:r w:rsidRPr="00475027">
              <w:rPr>
                <w:rFonts w:ascii="Times New Roman" w:hAnsi="Times New Roman" w:cs="Times New Roman"/>
                <w:sz w:val="22"/>
                <w:szCs w:val="22"/>
                <w:lang w:val="sk-SK"/>
              </w:rPr>
              <w:t>Posteriózny holenný sval</w:t>
            </w:r>
          </w:p>
        </w:tc>
        <w:tc>
          <w:tcPr>
            <w:tcW w:w="2410" w:type="dxa"/>
            <w:shd w:val="clear" w:color="auto" w:fill="auto"/>
          </w:tcPr>
          <w:p w14:paraId="004B4666" w14:textId="77777777" w:rsidR="00BE3A89" w:rsidRPr="00475027" w:rsidRDefault="00BE3A89" w:rsidP="00BE3A89">
            <w:pPr>
              <w:autoSpaceDE w:val="0"/>
              <w:adjustRightInd w:val="0"/>
              <w:jc w:val="center"/>
              <w:rPr>
                <w:rFonts w:ascii="Times New Roman" w:hAnsi="Times New Roman" w:cs="Times New Roman"/>
                <w:sz w:val="22"/>
                <w:szCs w:val="22"/>
                <w:lang w:val="sk-SK"/>
              </w:rPr>
            </w:pPr>
            <w:r w:rsidRPr="00475027">
              <w:rPr>
                <w:rFonts w:ascii="Times New Roman" w:hAnsi="Times New Roman" w:cs="Times New Roman"/>
                <w:sz w:val="22"/>
                <w:szCs w:val="22"/>
                <w:lang w:val="sk-SK"/>
              </w:rPr>
              <w:t>100 – 250 U</w:t>
            </w:r>
          </w:p>
        </w:tc>
        <w:tc>
          <w:tcPr>
            <w:tcW w:w="2268" w:type="dxa"/>
          </w:tcPr>
          <w:p w14:paraId="62D863A3" w14:textId="77777777" w:rsidR="00BE3A89" w:rsidRPr="00475027" w:rsidRDefault="00BE3A89" w:rsidP="00BE3A89">
            <w:pPr>
              <w:autoSpaceDE w:val="0"/>
              <w:adjustRightInd w:val="0"/>
              <w:jc w:val="center"/>
              <w:rPr>
                <w:rFonts w:ascii="Times New Roman" w:hAnsi="Times New Roman" w:cs="Times New Roman"/>
                <w:sz w:val="22"/>
                <w:szCs w:val="22"/>
                <w:lang w:val="sk-SK"/>
              </w:rPr>
            </w:pPr>
            <w:r w:rsidRPr="00475027">
              <w:rPr>
                <w:rFonts w:ascii="Times New Roman" w:hAnsi="Times New Roman" w:cs="Times New Roman"/>
                <w:sz w:val="22"/>
                <w:szCs w:val="22"/>
                <w:lang w:val="sk-SK"/>
              </w:rPr>
              <w:t>1 - 3</w:t>
            </w:r>
          </w:p>
        </w:tc>
      </w:tr>
      <w:tr w:rsidR="00BE3A89" w:rsidRPr="00475027" w14:paraId="32DE9073" w14:textId="77777777" w:rsidTr="00BE3A89">
        <w:tc>
          <w:tcPr>
            <w:tcW w:w="2410" w:type="dxa"/>
            <w:shd w:val="clear" w:color="auto" w:fill="auto"/>
          </w:tcPr>
          <w:p w14:paraId="3A909A1A" w14:textId="77777777" w:rsidR="00BE3A89" w:rsidRPr="00475027" w:rsidRDefault="00BE3A89" w:rsidP="00BE3A89">
            <w:pPr>
              <w:rPr>
                <w:rFonts w:ascii="Times New Roman" w:hAnsi="Times New Roman" w:cs="Times New Roman"/>
                <w:sz w:val="22"/>
                <w:szCs w:val="22"/>
                <w:lang w:val="sk-SK"/>
              </w:rPr>
            </w:pPr>
            <w:r w:rsidRPr="00475027">
              <w:rPr>
                <w:rFonts w:ascii="Times New Roman" w:hAnsi="Times New Roman" w:cs="Times New Roman"/>
                <w:sz w:val="22"/>
                <w:szCs w:val="22"/>
                <w:lang w:val="sk-SK"/>
              </w:rPr>
              <w:t>Flexor digitorum longus</w:t>
            </w:r>
          </w:p>
        </w:tc>
        <w:tc>
          <w:tcPr>
            <w:tcW w:w="2410" w:type="dxa"/>
            <w:shd w:val="clear" w:color="auto" w:fill="auto"/>
          </w:tcPr>
          <w:p w14:paraId="5874A4C5" w14:textId="77777777" w:rsidR="00BE3A89" w:rsidRPr="00475027" w:rsidRDefault="00BE3A89" w:rsidP="00BE3A89">
            <w:pPr>
              <w:autoSpaceDE w:val="0"/>
              <w:adjustRightInd w:val="0"/>
              <w:jc w:val="center"/>
              <w:rPr>
                <w:rFonts w:ascii="Times New Roman" w:hAnsi="Times New Roman" w:cs="Times New Roman"/>
                <w:sz w:val="22"/>
                <w:szCs w:val="22"/>
                <w:lang w:val="sk-SK"/>
              </w:rPr>
            </w:pPr>
            <w:r w:rsidRPr="00475027">
              <w:rPr>
                <w:rFonts w:ascii="Times New Roman" w:hAnsi="Times New Roman" w:cs="Times New Roman"/>
                <w:sz w:val="22"/>
                <w:szCs w:val="22"/>
                <w:lang w:val="sk-SK"/>
              </w:rPr>
              <w:t>50 – 200 U</w:t>
            </w:r>
          </w:p>
        </w:tc>
        <w:tc>
          <w:tcPr>
            <w:tcW w:w="2268" w:type="dxa"/>
          </w:tcPr>
          <w:p w14:paraId="0DE204CB" w14:textId="77777777" w:rsidR="00BE3A89" w:rsidRPr="00475027" w:rsidRDefault="00BE3A89" w:rsidP="00BE3A89">
            <w:pPr>
              <w:autoSpaceDE w:val="0"/>
              <w:adjustRightInd w:val="0"/>
              <w:jc w:val="center"/>
              <w:rPr>
                <w:rFonts w:ascii="Times New Roman" w:hAnsi="Times New Roman" w:cs="Times New Roman"/>
                <w:sz w:val="22"/>
                <w:szCs w:val="22"/>
                <w:lang w:val="sk-SK"/>
              </w:rPr>
            </w:pPr>
            <w:r w:rsidRPr="00475027">
              <w:rPr>
                <w:rFonts w:ascii="Times New Roman" w:hAnsi="Times New Roman" w:cs="Times New Roman"/>
                <w:sz w:val="22"/>
                <w:szCs w:val="22"/>
                <w:lang w:val="sk-SK"/>
              </w:rPr>
              <w:t>1 - 2</w:t>
            </w:r>
          </w:p>
        </w:tc>
      </w:tr>
      <w:tr w:rsidR="00BE3A89" w:rsidRPr="00475027" w14:paraId="1BA74E95" w14:textId="77777777" w:rsidTr="00BE3A89">
        <w:tc>
          <w:tcPr>
            <w:tcW w:w="2410" w:type="dxa"/>
            <w:shd w:val="clear" w:color="auto" w:fill="auto"/>
          </w:tcPr>
          <w:p w14:paraId="1F58682B" w14:textId="77777777" w:rsidR="00BE3A89" w:rsidRPr="00475027" w:rsidRDefault="00BE3A89" w:rsidP="00BE3A89">
            <w:pPr>
              <w:rPr>
                <w:rFonts w:ascii="Times New Roman" w:hAnsi="Times New Roman" w:cs="Times New Roman"/>
                <w:sz w:val="22"/>
                <w:szCs w:val="22"/>
                <w:lang w:val="sk-SK"/>
              </w:rPr>
            </w:pPr>
            <w:r w:rsidRPr="00475027">
              <w:rPr>
                <w:rFonts w:ascii="Times New Roman" w:hAnsi="Times New Roman" w:cs="Times New Roman"/>
                <w:sz w:val="22"/>
                <w:szCs w:val="22"/>
                <w:lang w:val="sk-SK"/>
              </w:rPr>
              <w:t>Flexor digitorum brevis</w:t>
            </w:r>
          </w:p>
        </w:tc>
        <w:tc>
          <w:tcPr>
            <w:tcW w:w="2410" w:type="dxa"/>
            <w:shd w:val="clear" w:color="auto" w:fill="auto"/>
          </w:tcPr>
          <w:p w14:paraId="1DA0EBAD" w14:textId="77777777" w:rsidR="00BE3A89" w:rsidRPr="00475027" w:rsidRDefault="00BE3A89" w:rsidP="00BE3A89">
            <w:pPr>
              <w:autoSpaceDE w:val="0"/>
              <w:adjustRightInd w:val="0"/>
              <w:jc w:val="center"/>
              <w:rPr>
                <w:rFonts w:ascii="Times New Roman" w:hAnsi="Times New Roman" w:cs="Times New Roman"/>
                <w:sz w:val="22"/>
                <w:szCs w:val="22"/>
                <w:lang w:val="sk-SK"/>
              </w:rPr>
            </w:pPr>
            <w:r w:rsidRPr="00475027">
              <w:rPr>
                <w:rFonts w:ascii="Times New Roman" w:hAnsi="Times New Roman" w:cs="Times New Roman"/>
                <w:sz w:val="22"/>
                <w:szCs w:val="22"/>
                <w:lang w:val="sk-SK"/>
              </w:rPr>
              <w:t>50 – 200 U</w:t>
            </w:r>
          </w:p>
        </w:tc>
        <w:tc>
          <w:tcPr>
            <w:tcW w:w="2268" w:type="dxa"/>
          </w:tcPr>
          <w:p w14:paraId="417E0C36" w14:textId="77777777" w:rsidR="00BE3A89" w:rsidRPr="00475027" w:rsidRDefault="00BE3A89" w:rsidP="00BE3A89">
            <w:pPr>
              <w:autoSpaceDE w:val="0"/>
              <w:adjustRightInd w:val="0"/>
              <w:jc w:val="center"/>
              <w:rPr>
                <w:rFonts w:ascii="Times New Roman" w:hAnsi="Times New Roman" w:cs="Times New Roman"/>
                <w:sz w:val="22"/>
                <w:szCs w:val="22"/>
                <w:lang w:val="sk-SK"/>
              </w:rPr>
            </w:pPr>
            <w:r w:rsidRPr="00475027">
              <w:rPr>
                <w:rFonts w:ascii="Times New Roman" w:hAnsi="Times New Roman" w:cs="Times New Roman"/>
                <w:sz w:val="22"/>
                <w:szCs w:val="22"/>
                <w:lang w:val="sk-SK"/>
              </w:rPr>
              <w:t>1 - 2</w:t>
            </w:r>
          </w:p>
        </w:tc>
      </w:tr>
      <w:tr w:rsidR="00BE3A89" w:rsidRPr="00475027" w14:paraId="48A13CC1" w14:textId="77777777" w:rsidTr="00BE3A89">
        <w:tc>
          <w:tcPr>
            <w:tcW w:w="2410" w:type="dxa"/>
            <w:shd w:val="clear" w:color="auto" w:fill="auto"/>
          </w:tcPr>
          <w:p w14:paraId="7C7E713C" w14:textId="77777777" w:rsidR="00BE3A89" w:rsidRPr="00475027" w:rsidRDefault="00BE3A89" w:rsidP="00BE3A89">
            <w:pPr>
              <w:rPr>
                <w:rFonts w:ascii="Times New Roman" w:hAnsi="Times New Roman" w:cs="Times New Roman"/>
                <w:sz w:val="22"/>
                <w:szCs w:val="22"/>
                <w:lang w:val="sk-SK"/>
              </w:rPr>
            </w:pPr>
            <w:r w:rsidRPr="00475027">
              <w:rPr>
                <w:rFonts w:ascii="Times New Roman" w:hAnsi="Times New Roman" w:cs="Times New Roman"/>
                <w:sz w:val="22"/>
                <w:szCs w:val="22"/>
                <w:lang w:val="sk-SK"/>
              </w:rPr>
              <w:t>Flexor hallucis longus</w:t>
            </w:r>
          </w:p>
        </w:tc>
        <w:tc>
          <w:tcPr>
            <w:tcW w:w="2410" w:type="dxa"/>
            <w:shd w:val="clear" w:color="auto" w:fill="auto"/>
          </w:tcPr>
          <w:p w14:paraId="19CAF31A" w14:textId="77777777" w:rsidR="00BE3A89" w:rsidRPr="00475027" w:rsidRDefault="00BE3A89" w:rsidP="00BE3A89">
            <w:pPr>
              <w:autoSpaceDE w:val="0"/>
              <w:adjustRightInd w:val="0"/>
              <w:jc w:val="center"/>
              <w:rPr>
                <w:rFonts w:ascii="Times New Roman" w:hAnsi="Times New Roman" w:cs="Times New Roman"/>
                <w:sz w:val="22"/>
                <w:szCs w:val="22"/>
                <w:lang w:val="sk-SK"/>
              </w:rPr>
            </w:pPr>
            <w:r w:rsidRPr="00475027">
              <w:rPr>
                <w:rFonts w:ascii="Times New Roman" w:hAnsi="Times New Roman" w:cs="Times New Roman"/>
                <w:sz w:val="22"/>
                <w:szCs w:val="22"/>
                <w:lang w:val="sk-SK"/>
              </w:rPr>
              <w:t>50 – 200 U</w:t>
            </w:r>
          </w:p>
        </w:tc>
        <w:tc>
          <w:tcPr>
            <w:tcW w:w="2268" w:type="dxa"/>
          </w:tcPr>
          <w:p w14:paraId="19DCD9EE" w14:textId="77777777" w:rsidR="00BE3A89" w:rsidRPr="00475027" w:rsidRDefault="00BE3A89" w:rsidP="00BE3A89">
            <w:pPr>
              <w:autoSpaceDE w:val="0"/>
              <w:adjustRightInd w:val="0"/>
              <w:jc w:val="center"/>
              <w:rPr>
                <w:rFonts w:ascii="Times New Roman" w:hAnsi="Times New Roman" w:cs="Times New Roman"/>
                <w:sz w:val="22"/>
                <w:szCs w:val="22"/>
                <w:lang w:val="sk-SK"/>
              </w:rPr>
            </w:pPr>
            <w:r w:rsidRPr="00475027">
              <w:rPr>
                <w:rFonts w:ascii="Times New Roman" w:hAnsi="Times New Roman" w:cs="Times New Roman"/>
                <w:sz w:val="22"/>
                <w:szCs w:val="22"/>
                <w:lang w:val="sk-SK"/>
              </w:rPr>
              <w:t>1 - 2</w:t>
            </w:r>
          </w:p>
        </w:tc>
      </w:tr>
      <w:tr w:rsidR="00BE3A89" w:rsidRPr="00475027" w14:paraId="01BBAA0E" w14:textId="77777777" w:rsidTr="00BE3A89">
        <w:tc>
          <w:tcPr>
            <w:tcW w:w="2410" w:type="dxa"/>
            <w:shd w:val="clear" w:color="auto" w:fill="auto"/>
          </w:tcPr>
          <w:p w14:paraId="6CA481EA" w14:textId="77777777" w:rsidR="00BE3A89" w:rsidRPr="00475027" w:rsidRDefault="00BE3A89" w:rsidP="00BE3A89">
            <w:pPr>
              <w:rPr>
                <w:rFonts w:ascii="Times New Roman" w:hAnsi="Times New Roman" w:cs="Times New Roman"/>
                <w:sz w:val="22"/>
                <w:szCs w:val="22"/>
                <w:lang w:val="sk-SK"/>
              </w:rPr>
            </w:pPr>
            <w:r w:rsidRPr="00475027">
              <w:rPr>
                <w:rFonts w:ascii="Times New Roman" w:hAnsi="Times New Roman" w:cs="Times New Roman"/>
                <w:sz w:val="22"/>
                <w:szCs w:val="22"/>
                <w:lang w:val="sk-SK"/>
              </w:rPr>
              <w:t>Flexor hallucis brevis</w:t>
            </w:r>
          </w:p>
        </w:tc>
        <w:tc>
          <w:tcPr>
            <w:tcW w:w="2410" w:type="dxa"/>
            <w:shd w:val="clear" w:color="auto" w:fill="auto"/>
          </w:tcPr>
          <w:p w14:paraId="7E18EAFC" w14:textId="77777777" w:rsidR="00BE3A89" w:rsidRPr="00475027" w:rsidRDefault="00BE3A89" w:rsidP="00BE3A89">
            <w:pPr>
              <w:autoSpaceDE w:val="0"/>
              <w:adjustRightInd w:val="0"/>
              <w:jc w:val="center"/>
              <w:rPr>
                <w:rFonts w:ascii="Times New Roman" w:hAnsi="Times New Roman" w:cs="Times New Roman"/>
                <w:sz w:val="22"/>
                <w:szCs w:val="22"/>
                <w:lang w:val="sk-SK"/>
              </w:rPr>
            </w:pPr>
            <w:r w:rsidRPr="00475027">
              <w:rPr>
                <w:rFonts w:ascii="Times New Roman" w:hAnsi="Times New Roman" w:cs="Times New Roman"/>
                <w:sz w:val="22"/>
                <w:szCs w:val="22"/>
                <w:lang w:val="sk-SK"/>
              </w:rPr>
              <w:t>50 – 100 U</w:t>
            </w:r>
          </w:p>
        </w:tc>
        <w:tc>
          <w:tcPr>
            <w:tcW w:w="2268" w:type="dxa"/>
          </w:tcPr>
          <w:p w14:paraId="1CFBC4DA" w14:textId="77777777" w:rsidR="00BE3A89" w:rsidRPr="00475027" w:rsidRDefault="00BE3A89" w:rsidP="00BE3A89">
            <w:pPr>
              <w:autoSpaceDE w:val="0"/>
              <w:adjustRightInd w:val="0"/>
              <w:jc w:val="center"/>
              <w:rPr>
                <w:rFonts w:ascii="Times New Roman" w:hAnsi="Times New Roman" w:cs="Times New Roman"/>
                <w:sz w:val="22"/>
                <w:szCs w:val="22"/>
                <w:lang w:val="sk-SK"/>
              </w:rPr>
            </w:pPr>
            <w:r w:rsidRPr="00475027">
              <w:rPr>
                <w:rFonts w:ascii="Times New Roman" w:hAnsi="Times New Roman" w:cs="Times New Roman"/>
                <w:sz w:val="22"/>
                <w:szCs w:val="22"/>
                <w:lang w:val="sk-SK"/>
              </w:rPr>
              <w:t>1 - 2</w:t>
            </w:r>
          </w:p>
        </w:tc>
      </w:tr>
    </w:tbl>
    <w:p w14:paraId="177779CF" w14:textId="77777777" w:rsidR="00BE3A89" w:rsidRPr="00475027" w:rsidRDefault="00BE3A89" w:rsidP="00BE3A89">
      <w:pPr>
        <w:rPr>
          <w:rFonts w:ascii="Times New Roman" w:hAnsi="Times New Roman" w:cs="Times New Roman"/>
          <w:sz w:val="22"/>
          <w:szCs w:val="22"/>
          <w:u w:val="single"/>
          <w:lang w:val="sk-SK"/>
        </w:rPr>
      </w:pPr>
    </w:p>
    <w:p w14:paraId="5D88BFCF" w14:textId="77777777" w:rsidR="00BE3A89" w:rsidRPr="00475027" w:rsidRDefault="00BE3A89" w:rsidP="00BE3A89">
      <w:pPr>
        <w:pStyle w:val="WW-Zkladntext2"/>
        <w:jc w:val="left"/>
        <w:rPr>
          <w:rFonts w:ascii="Times New Roman" w:hAnsi="Times New Roman" w:cs="Times New Roman"/>
          <w:sz w:val="22"/>
          <w:szCs w:val="22"/>
        </w:rPr>
      </w:pPr>
      <w:r w:rsidRPr="00475027">
        <w:rPr>
          <w:rFonts w:ascii="Times New Roman" w:hAnsi="Times New Roman" w:cs="Times New Roman"/>
          <w:sz w:val="22"/>
          <w:szCs w:val="22"/>
        </w:rPr>
        <w:t>Stupeň a tvar svalovej spasticity v okamihu opätovnej injekcie môžu vyžadovať zmeny v dávke Dysport 500 a miesta vpichu do svalov.</w:t>
      </w:r>
    </w:p>
    <w:p w14:paraId="62334F39" w14:textId="77777777" w:rsidR="00BE3A89" w:rsidRPr="00475027" w:rsidRDefault="00BE3A89" w:rsidP="00BE3A89">
      <w:pPr>
        <w:pStyle w:val="WW-Zkladntext2"/>
        <w:jc w:val="left"/>
        <w:rPr>
          <w:rFonts w:ascii="Times New Roman" w:hAnsi="Times New Roman" w:cs="Times New Roman"/>
          <w:sz w:val="22"/>
          <w:szCs w:val="22"/>
        </w:rPr>
      </w:pPr>
      <w:r w:rsidRPr="00475027">
        <w:rPr>
          <w:rFonts w:ascii="Times New Roman" w:hAnsi="Times New Roman" w:cs="Times New Roman"/>
          <w:sz w:val="22"/>
          <w:szCs w:val="22"/>
        </w:rPr>
        <w:t>Aj keď sa konkrétne umiestnenie miesta vpichu môže stanoviť palpáciou, na pomoc presného zamerania miesta vpichu sa odporúča používanie injekčných orientačných techník, napr. elektromyografia, elektrická stimulácia alebo ultrazvuk.</w:t>
      </w:r>
    </w:p>
    <w:p w14:paraId="6573348B" w14:textId="77777777" w:rsidR="00BE3A89" w:rsidRPr="00475027" w:rsidRDefault="00BE3A89" w:rsidP="00BE3A89">
      <w:pPr>
        <w:pStyle w:val="WW-Zkladntext2"/>
        <w:jc w:val="left"/>
        <w:rPr>
          <w:rFonts w:ascii="Times New Roman" w:hAnsi="Times New Roman" w:cs="Times New Roman"/>
          <w:sz w:val="22"/>
          <w:szCs w:val="22"/>
        </w:rPr>
      </w:pPr>
    </w:p>
    <w:p w14:paraId="0FB3957C" w14:textId="77777777" w:rsidR="00BE3A89" w:rsidRPr="00475027" w:rsidRDefault="00BE3A89" w:rsidP="00BE3A89">
      <w:pPr>
        <w:pStyle w:val="WW-Zkladntext2"/>
        <w:jc w:val="left"/>
        <w:rPr>
          <w:rFonts w:ascii="Times New Roman" w:hAnsi="Times New Roman" w:cs="Times New Roman"/>
          <w:sz w:val="22"/>
          <w:szCs w:val="22"/>
        </w:rPr>
      </w:pPr>
      <w:r w:rsidRPr="00475027">
        <w:rPr>
          <w:rFonts w:ascii="Times New Roman" w:hAnsi="Times New Roman" w:cs="Times New Roman"/>
          <w:sz w:val="22"/>
          <w:szCs w:val="22"/>
        </w:rPr>
        <w:t>Opakované podanie liečby Dysportom 500 má byť každých 12 až 16 týždňov, alebo dlhšie ak to je potrebné na základe klinických príznakov, a nie skôr ako 12 týždňov po predchádzajúcej injekcii.</w:t>
      </w:r>
    </w:p>
    <w:p w14:paraId="777A797B" w14:textId="77777777" w:rsidR="00BE3A89" w:rsidRPr="00475027" w:rsidRDefault="00BE3A89" w:rsidP="00BE3A89">
      <w:pPr>
        <w:pStyle w:val="WW-Zkladntext2"/>
        <w:jc w:val="left"/>
        <w:rPr>
          <w:rFonts w:ascii="Times New Roman" w:hAnsi="Times New Roman" w:cs="Times New Roman"/>
          <w:sz w:val="22"/>
          <w:szCs w:val="22"/>
        </w:rPr>
      </w:pPr>
    </w:p>
    <w:p w14:paraId="30934FCE" w14:textId="77777777" w:rsidR="00BE3A89" w:rsidRPr="00475027" w:rsidRDefault="00BE3A89" w:rsidP="00BE3A89">
      <w:pPr>
        <w:rPr>
          <w:rFonts w:ascii="Times New Roman" w:hAnsi="Times New Roman" w:cs="Times New Roman"/>
          <w:b/>
          <w:sz w:val="22"/>
          <w:szCs w:val="22"/>
          <w:lang w:val="sk-SK"/>
        </w:rPr>
      </w:pPr>
      <w:r w:rsidRPr="00475027">
        <w:rPr>
          <w:rFonts w:ascii="Times New Roman" w:hAnsi="Times New Roman" w:cs="Times New Roman"/>
          <w:b/>
          <w:sz w:val="22"/>
          <w:szCs w:val="22"/>
          <w:lang w:val="sk-SK"/>
        </w:rPr>
        <w:t>Symptomatická liečba fokálnej spasticity horných a dolných končatín u dospelých</w:t>
      </w:r>
    </w:p>
    <w:p w14:paraId="1E696FE0" w14:textId="77777777" w:rsidR="00BE3A89" w:rsidRPr="00475027" w:rsidRDefault="00BE3A89" w:rsidP="00BE3A89">
      <w:pPr>
        <w:pStyle w:val="WW-Zkladntext2"/>
        <w:jc w:val="left"/>
        <w:rPr>
          <w:rFonts w:ascii="Times New Roman" w:hAnsi="Times New Roman" w:cs="Times New Roman"/>
          <w:sz w:val="22"/>
          <w:szCs w:val="22"/>
        </w:rPr>
      </w:pPr>
      <w:r w:rsidRPr="00475027">
        <w:rPr>
          <w:rFonts w:ascii="Times New Roman" w:hAnsi="Times New Roman" w:cs="Times New Roman"/>
          <w:sz w:val="22"/>
          <w:szCs w:val="22"/>
        </w:rPr>
        <w:lastRenderedPageBreak/>
        <w:t>Pokiaľ je požadovaná úprava v hornej a dolnej končatiny počas jedného ošetrenia, má byť dávka injektovaného Dysportu 500 do každej končatiny prispôsobená individuálnym potrebám, bez prekročenia celkovej dávky 1500U.</w:t>
      </w:r>
    </w:p>
    <w:p w14:paraId="754F8132" w14:textId="77777777" w:rsidR="00BE3A89" w:rsidRPr="00475027" w:rsidRDefault="00BE3A89" w:rsidP="00475027">
      <w:pPr>
        <w:rPr>
          <w:lang w:val="sk-SK"/>
        </w:rPr>
      </w:pPr>
    </w:p>
    <w:p w14:paraId="4F62CE96" w14:textId="77777777" w:rsidR="00F134F4" w:rsidRPr="00475027" w:rsidRDefault="00F134F4" w:rsidP="00FE4006">
      <w:pPr>
        <w:rPr>
          <w:rFonts w:ascii="Times New Roman" w:hAnsi="Times New Roman" w:cs="Times New Roman"/>
          <w:sz w:val="22"/>
          <w:szCs w:val="22"/>
          <w:u w:val="single"/>
          <w:lang w:val="sk-SK"/>
        </w:rPr>
      </w:pPr>
      <w:r w:rsidRPr="00475027">
        <w:rPr>
          <w:rFonts w:ascii="Times New Roman" w:hAnsi="Times New Roman" w:cs="Times New Roman"/>
          <w:b/>
          <w:sz w:val="22"/>
          <w:szCs w:val="22"/>
          <w:lang w:val="sk-SK"/>
        </w:rPr>
        <w:t>Dynamická deformita nohy (pes equinus) v dôsledku spasticity pri DMO u detských pacientov, vo veku 2 roky alebo starších:</w:t>
      </w:r>
    </w:p>
    <w:p w14:paraId="1C9C2FBB" w14:textId="77777777" w:rsidR="00FE3F35" w:rsidRPr="00475027" w:rsidRDefault="00FE3F35" w:rsidP="00FE4006">
      <w:pPr>
        <w:rPr>
          <w:rFonts w:ascii="Times New Roman" w:hAnsi="Times New Roman" w:cs="Times New Roman"/>
          <w:sz w:val="22"/>
          <w:szCs w:val="22"/>
          <w:u w:val="single"/>
          <w:lang w:val="sk-SK"/>
        </w:rPr>
      </w:pPr>
    </w:p>
    <w:p w14:paraId="2EDFC73E" w14:textId="77777777" w:rsidR="00F134F4" w:rsidRPr="00475027" w:rsidRDefault="00F134F4" w:rsidP="00FE4006">
      <w:pPr>
        <w:rPr>
          <w:rFonts w:ascii="Times New Roman" w:hAnsi="Times New Roman" w:cs="Times New Roman"/>
          <w:sz w:val="22"/>
          <w:szCs w:val="22"/>
          <w:u w:val="single"/>
          <w:lang w:val="sk-SK"/>
        </w:rPr>
      </w:pPr>
      <w:r w:rsidRPr="00475027">
        <w:rPr>
          <w:rFonts w:ascii="Times New Roman" w:hAnsi="Times New Roman" w:cs="Times New Roman"/>
          <w:sz w:val="22"/>
          <w:szCs w:val="22"/>
          <w:u w:val="single"/>
          <w:lang w:val="sk-SK"/>
        </w:rPr>
        <w:t>Dávkovanie:</w:t>
      </w:r>
    </w:p>
    <w:p w14:paraId="59EB52BD" w14:textId="77777777" w:rsidR="00F134F4" w:rsidRPr="00475027" w:rsidRDefault="00F134F4" w:rsidP="00FE4006">
      <w:pPr>
        <w:pStyle w:val="Zkladntext"/>
        <w:rPr>
          <w:rFonts w:ascii="Times New Roman" w:hAnsi="Times New Roman" w:cs="Times New Roman"/>
          <w:i w:val="0"/>
          <w:iCs/>
          <w:sz w:val="22"/>
          <w:szCs w:val="22"/>
          <w:lang w:val="sk-SK"/>
        </w:rPr>
      </w:pPr>
    </w:p>
    <w:p w14:paraId="33D205DC" w14:textId="4E7A3D2F" w:rsidR="00843BFE" w:rsidRPr="00475027" w:rsidRDefault="00843BFE" w:rsidP="00FE4006">
      <w:pPr>
        <w:pStyle w:val="Zkladntext"/>
        <w:rPr>
          <w:rFonts w:ascii="Times New Roman" w:hAnsi="Times New Roman" w:cs="Times New Roman"/>
          <w:b w:val="0"/>
          <w:bCs/>
          <w:i w:val="0"/>
          <w:iCs/>
          <w:sz w:val="22"/>
          <w:szCs w:val="22"/>
          <w:lang w:val="sk-SK"/>
        </w:rPr>
      </w:pPr>
    </w:p>
    <w:p w14:paraId="1B37A3AA" w14:textId="77777777" w:rsidR="002C7C03" w:rsidRPr="00475027" w:rsidRDefault="002C7C03" w:rsidP="00FE4006">
      <w:pPr>
        <w:pStyle w:val="Zkladntext"/>
        <w:rPr>
          <w:rFonts w:ascii="Times New Roman" w:hAnsi="Times New Roman" w:cs="Times New Roman"/>
          <w:b w:val="0"/>
          <w:bCs/>
          <w:i w:val="0"/>
          <w:iCs/>
          <w:sz w:val="22"/>
          <w:szCs w:val="22"/>
          <w:lang w:val="sk-SK"/>
        </w:rPr>
      </w:pPr>
      <w:r w:rsidRPr="00475027">
        <w:rPr>
          <w:rFonts w:ascii="Times New Roman" w:hAnsi="Times New Roman" w:cs="Times New Roman"/>
          <w:b w:val="0"/>
          <w:bCs/>
          <w:i w:val="0"/>
          <w:iCs/>
          <w:sz w:val="22"/>
          <w:szCs w:val="22"/>
          <w:lang w:val="sk-SK"/>
        </w:rPr>
        <w:t>Dávkovanie na začiatku liečby a pri následnej liečbe by malo byť individuálne prispôsobené veľkosti, počtu a umiestneniu zasiahnutých svalov, závažnosti spasticity, prítomnosti lokálnej svalovej slabosti, reakcii pacienta na predchádzajúcu liečbu a/alebo minulým nežiadúcim udalostiam s botulotoxínom.</w:t>
      </w:r>
    </w:p>
    <w:p w14:paraId="408E62F6" w14:textId="77777777" w:rsidR="002C7C03" w:rsidRPr="00475027" w:rsidRDefault="002C7C03" w:rsidP="00FE4006">
      <w:pPr>
        <w:pStyle w:val="Zkladntext"/>
        <w:rPr>
          <w:rFonts w:ascii="Times New Roman" w:hAnsi="Times New Roman" w:cs="Times New Roman"/>
          <w:b w:val="0"/>
          <w:bCs/>
          <w:i w:val="0"/>
          <w:iCs/>
          <w:sz w:val="22"/>
          <w:szCs w:val="22"/>
          <w:lang w:val="sk-SK"/>
        </w:rPr>
      </w:pPr>
    </w:p>
    <w:p w14:paraId="317745AB" w14:textId="47F39CC5" w:rsidR="00843BFE" w:rsidRPr="00475027" w:rsidRDefault="00843BFE" w:rsidP="00843BFE">
      <w:pPr>
        <w:autoSpaceDN w:val="0"/>
        <w:textAlignment w:val="baseline"/>
        <w:rPr>
          <w:rFonts w:ascii="Times New Roman" w:hAnsi="Times New Roman" w:cs="Times New Roman"/>
          <w:bCs/>
          <w:iCs/>
          <w:sz w:val="22"/>
          <w:szCs w:val="22"/>
          <w:lang w:val="sk-SK" w:eastAsia="zh-CN"/>
        </w:rPr>
      </w:pPr>
      <w:r w:rsidRPr="00475027">
        <w:rPr>
          <w:rFonts w:ascii="Times New Roman" w:hAnsi="Times New Roman" w:cs="Times New Roman"/>
          <w:bCs/>
          <w:iCs/>
          <w:sz w:val="22"/>
          <w:szCs w:val="22"/>
          <w:lang w:val="sk-SK" w:eastAsia="zh-CN"/>
        </w:rPr>
        <w:t xml:space="preserve">Maximálna podaná dávka Dysportu </w:t>
      </w:r>
      <w:r w:rsidR="002C7C03" w:rsidRPr="00475027">
        <w:rPr>
          <w:rFonts w:ascii="Times New Roman" w:hAnsi="Times New Roman" w:cs="Times New Roman"/>
          <w:bCs/>
          <w:iCs/>
          <w:sz w:val="22"/>
          <w:szCs w:val="22"/>
          <w:lang w:val="sk-SK" w:eastAsia="zh-CN"/>
        </w:rPr>
        <w:t>5</w:t>
      </w:r>
      <w:r w:rsidRPr="00475027">
        <w:rPr>
          <w:rFonts w:ascii="Times New Roman" w:hAnsi="Times New Roman" w:cs="Times New Roman"/>
          <w:bCs/>
          <w:iCs/>
          <w:sz w:val="22"/>
          <w:szCs w:val="22"/>
          <w:lang w:val="sk-SK" w:eastAsia="zh-CN"/>
        </w:rPr>
        <w:t xml:space="preserve">00 U nesmie prekročiť 15 U/kg pri jednostrannej injekcii do dolnej končatiny alebo 30 U/kg pre bilaterálne injekcie. Okrem toho, celková podaná dávka pri jednom liečebnom ošetrení nesmie presiahnuť 1000 jednotiek alebo 30U/kg, podľa toho, čo je nižšie. Celková podaná dávka by mala byť rozdelená medzi postihnuté spastické svaly dolnej končatiny (dolných končatín). Ak je to možné, dávka by mala byť distribuovaná do viac ako 1 injekčného miesta v každom svale. Nie viac ako 0,5 ml Dysportu </w:t>
      </w:r>
      <w:r w:rsidR="002C7C03" w:rsidRPr="00475027">
        <w:rPr>
          <w:rFonts w:ascii="Times New Roman" w:hAnsi="Times New Roman" w:cs="Times New Roman"/>
          <w:bCs/>
          <w:iCs/>
          <w:sz w:val="22"/>
          <w:szCs w:val="22"/>
          <w:lang w:val="sk-SK" w:eastAsia="zh-CN"/>
        </w:rPr>
        <w:t>5</w:t>
      </w:r>
      <w:r w:rsidRPr="00475027">
        <w:rPr>
          <w:rFonts w:ascii="Times New Roman" w:hAnsi="Times New Roman" w:cs="Times New Roman"/>
          <w:bCs/>
          <w:iCs/>
          <w:sz w:val="22"/>
          <w:szCs w:val="22"/>
          <w:lang w:val="sk-SK" w:eastAsia="zh-CN"/>
        </w:rPr>
        <w:t>00U by malo byť podaných do 1 injekčného miesta. Pozri tabuľku pre odporúčané dávkovanie (nižšie).</w:t>
      </w:r>
    </w:p>
    <w:p w14:paraId="47B883D7" w14:textId="77777777" w:rsidR="00843BFE" w:rsidRPr="00475027" w:rsidRDefault="00843BFE" w:rsidP="00843BFE">
      <w:pPr>
        <w:autoSpaceDN w:val="0"/>
        <w:jc w:val="both"/>
        <w:textAlignment w:val="baseline"/>
        <w:rPr>
          <w:rFonts w:ascii="Times New Roman" w:hAnsi="Times New Roman" w:cs="Times New Roman"/>
          <w:sz w:val="22"/>
          <w:szCs w:val="22"/>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3902"/>
        <w:gridCol w:w="2347"/>
      </w:tblGrid>
      <w:tr w:rsidR="00475027" w:rsidRPr="00475027" w14:paraId="61F6CF8D" w14:textId="77777777" w:rsidTr="00D53D1B">
        <w:tc>
          <w:tcPr>
            <w:tcW w:w="2255" w:type="dxa"/>
            <w:shd w:val="clear" w:color="auto" w:fill="auto"/>
            <w:vAlign w:val="center"/>
          </w:tcPr>
          <w:p w14:paraId="0CA6BD54" w14:textId="77777777" w:rsidR="00843BFE" w:rsidRPr="00475027" w:rsidRDefault="00843BFE" w:rsidP="00843BFE">
            <w:pPr>
              <w:widowControl w:val="0"/>
              <w:suppressAutoHyphens w:val="0"/>
              <w:autoSpaceDE w:val="0"/>
              <w:autoSpaceDN w:val="0"/>
              <w:adjustRightInd w:val="0"/>
              <w:jc w:val="center"/>
              <w:rPr>
                <w:rFonts w:ascii="Times New Roman" w:hAnsi="Times New Roman" w:cs="Times New Roman"/>
                <w:sz w:val="20"/>
                <w:lang w:val="sk-SK" w:eastAsia="sv-SE"/>
              </w:rPr>
            </w:pPr>
            <w:r w:rsidRPr="00475027">
              <w:rPr>
                <w:rFonts w:ascii="Times New Roman" w:hAnsi="Times New Roman" w:cs="Times New Roman"/>
                <w:b/>
                <w:sz w:val="20"/>
                <w:lang w:val="sk-SK" w:eastAsia="sv-SE"/>
              </w:rPr>
              <w:t>Sval</w:t>
            </w:r>
          </w:p>
        </w:tc>
        <w:tc>
          <w:tcPr>
            <w:tcW w:w="3902" w:type="dxa"/>
            <w:shd w:val="clear" w:color="auto" w:fill="auto"/>
          </w:tcPr>
          <w:p w14:paraId="73B9FA68" w14:textId="77777777" w:rsidR="00843BFE" w:rsidRPr="00475027" w:rsidRDefault="00843BFE" w:rsidP="00843BFE">
            <w:pPr>
              <w:widowControl w:val="0"/>
              <w:suppressAutoHyphens w:val="0"/>
              <w:autoSpaceDE w:val="0"/>
              <w:autoSpaceDN w:val="0"/>
              <w:adjustRightInd w:val="0"/>
              <w:jc w:val="center"/>
              <w:rPr>
                <w:rFonts w:ascii="Times New Roman" w:hAnsi="Times New Roman" w:cs="Times New Roman"/>
                <w:sz w:val="20"/>
                <w:lang w:val="sk-SK" w:eastAsia="sv-SE"/>
              </w:rPr>
            </w:pPr>
            <w:r w:rsidRPr="00475027">
              <w:rPr>
                <w:rFonts w:ascii="Times New Roman" w:hAnsi="Times New Roman" w:cs="Times New Roman"/>
                <w:b/>
                <w:sz w:val="20"/>
                <w:lang w:val="sk-SK" w:eastAsia="sv-SE"/>
              </w:rPr>
              <w:t>Odporúčaná dávka pre sval/nohu (U/kg telesnej váhy)</w:t>
            </w:r>
          </w:p>
        </w:tc>
        <w:tc>
          <w:tcPr>
            <w:tcW w:w="2347" w:type="dxa"/>
            <w:shd w:val="clear" w:color="auto" w:fill="auto"/>
          </w:tcPr>
          <w:p w14:paraId="40C85F24" w14:textId="77777777" w:rsidR="00843BFE" w:rsidRPr="00475027" w:rsidRDefault="00843BFE" w:rsidP="00843BFE">
            <w:pPr>
              <w:widowControl w:val="0"/>
              <w:suppressAutoHyphens w:val="0"/>
              <w:autoSpaceDE w:val="0"/>
              <w:autoSpaceDN w:val="0"/>
              <w:adjustRightInd w:val="0"/>
              <w:jc w:val="center"/>
              <w:rPr>
                <w:rFonts w:ascii="Times New Roman" w:hAnsi="Times New Roman" w:cs="Times New Roman"/>
                <w:sz w:val="20"/>
                <w:lang w:val="sk-SK" w:eastAsia="sv-SE"/>
              </w:rPr>
            </w:pPr>
            <w:r w:rsidRPr="00475027">
              <w:rPr>
                <w:rFonts w:ascii="Times New Roman" w:hAnsi="Times New Roman" w:cs="Times New Roman"/>
                <w:b/>
                <w:sz w:val="20"/>
                <w:lang w:val="sk-SK" w:eastAsia="sv-SE"/>
              </w:rPr>
              <w:t>Počet injekčných miest na sval</w:t>
            </w:r>
          </w:p>
        </w:tc>
      </w:tr>
      <w:tr w:rsidR="00475027" w:rsidRPr="00475027" w14:paraId="1921957D" w14:textId="77777777" w:rsidTr="00D53D1B">
        <w:trPr>
          <w:trHeight w:val="340"/>
        </w:trPr>
        <w:tc>
          <w:tcPr>
            <w:tcW w:w="8504" w:type="dxa"/>
            <w:gridSpan w:val="3"/>
            <w:shd w:val="clear" w:color="auto" w:fill="auto"/>
            <w:vAlign w:val="center"/>
          </w:tcPr>
          <w:p w14:paraId="54854E81" w14:textId="77777777" w:rsidR="00843BFE" w:rsidRPr="00475027" w:rsidRDefault="00843BFE" w:rsidP="00843BFE">
            <w:pPr>
              <w:widowControl w:val="0"/>
              <w:suppressAutoHyphens w:val="0"/>
              <w:autoSpaceDE w:val="0"/>
              <w:autoSpaceDN w:val="0"/>
              <w:adjustRightInd w:val="0"/>
              <w:jc w:val="center"/>
              <w:rPr>
                <w:rFonts w:ascii="Times New Roman" w:hAnsi="Times New Roman" w:cs="Times New Roman"/>
                <w:b/>
                <w:sz w:val="20"/>
                <w:lang w:val="sk-SK" w:eastAsia="sv-SE"/>
              </w:rPr>
            </w:pPr>
            <w:r w:rsidRPr="00475027">
              <w:rPr>
                <w:rFonts w:ascii="Times New Roman" w:hAnsi="Times New Roman" w:cs="Times New Roman"/>
                <w:b/>
                <w:sz w:val="20"/>
                <w:lang w:val="sk-SK" w:eastAsia="sv-SE"/>
              </w:rPr>
              <w:t>Distal</w:t>
            </w:r>
          </w:p>
        </w:tc>
      </w:tr>
      <w:tr w:rsidR="00475027" w:rsidRPr="00475027" w14:paraId="3E52844E" w14:textId="77777777" w:rsidTr="00D53D1B">
        <w:trPr>
          <w:trHeight w:val="340"/>
        </w:trPr>
        <w:tc>
          <w:tcPr>
            <w:tcW w:w="2255" w:type="dxa"/>
            <w:shd w:val="clear" w:color="auto" w:fill="auto"/>
            <w:vAlign w:val="center"/>
          </w:tcPr>
          <w:p w14:paraId="3870A218" w14:textId="77777777" w:rsidR="00843BFE" w:rsidRPr="00475027" w:rsidRDefault="00843BFE" w:rsidP="00843BFE">
            <w:pPr>
              <w:widowControl w:val="0"/>
              <w:suppressAutoHyphens w:val="0"/>
              <w:autoSpaceDE w:val="0"/>
              <w:autoSpaceDN w:val="0"/>
              <w:adjustRightInd w:val="0"/>
              <w:jc w:val="center"/>
              <w:rPr>
                <w:rFonts w:ascii="Times New Roman" w:hAnsi="Times New Roman" w:cs="Times New Roman"/>
                <w:sz w:val="20"/>
                <w:lang w:val="sk-SK" w:eastAsia="sv-SE"/>
              </w:rPr>
            </w:pPr>
            <w:r w:rsidRPr="00475027">
              <w:rPr>
                <w:rFonts w:ascii="Times New Roman" w:hAnsi="Times New Roman" w:cs="Times New Roman"/>
                <w:bCs/>
                <w:sz w:val="20"/>
                <w:lang w:val="sk-SK" w:eastAsia="sv-SE"/>
              </w:rPr>
              <w:t>m. gastrocnemius</w:t>
            </w:r>
          </w:p>
        </w:tc>
        <w:tc>
          <w:tcPr>
            <w:tcW w:w="3902" w:type="dxa"/>
            <w:shd w:val="clear" w:color="auto" w:fill="auto"/>
            <w:vAlign w:val="center"/>
          </w:tcPr>
          <w:p w14:paraId="540749B6" w14:textId="77777777" w:rsidR="00843BFE" w:rsidRPr="00475027" w:rsidRDefault="00843BFE" w:rsidP="00843BFE">
            <w:pPr>
              <w:widowControl w:val="0"/>
              <w:suppressAutoHyphens w:val="0"/>
              <w:autoSpaceDE w:val="0"/>
              <w:autoSpaceDN w:val="0"/>
              <w:adjustRightInd w:val="0"/>
              <w:jc w:val="center"/>
              <w:rPr>
                <w:rFonts w:ascii="Times New Roman" w:hAnsi="Times New Roman" w:cs="Times New Roman"/>
                <w:sz w:val="20"/>
                <w:lang w:val="sk-SK" w:eastAsia="sv-SE"/>
              </w:rPr>
            </w:pPr>
            <w:r w:rsidRPr="00475027">
              <w:rPr>
                <w:rFonts w:ascii="Times New Roman" w:hAnsi="Times New Roman" w:cs="Times New Roman"/>
                <w:sz w:val="20"/>
                <w:lang w:val="sk-SK" w:eastAsia="sv-SE"/>
              </w:rPr>
              <w:t>5 až 15 U/kg</w:t>
            </w:r>
          </w:p>
        </w:tc>
        <w:tc>
          <w:tcPr>
            <w:tcW w:w="2347" w:type="dxa"/>
            <w:shd w:val="clear" w:color="auto" w:fill="auto"/>
            <w:vAlign w:val="center"/>
          </w:tcPr>
          <w:p w14:paraId="36A3A089" w14:textId="77777777" w:rsidR="00843BFE" w:rsidRPr="00475027" w:rsidRDefault="00843BFE" w:rsidP="00843BFE">
            <w:pPr>
              <w:widowControl w:val="0"/>
              <w:suppressAutoHyphens w:val="0"/>
              <w:autoSpaceDE w:val="0"/>
              <w:autoSpaceDN w:val="0"/>
              <w:adjustRightInd w:val="0"/>
              <w:jc w:val="center"/>
              <w:rPr>
                <w:rFonts w:ascii="Times New Roman" w:hAnsi="Times New Roman" w:cs="Times New Roman"/>
                <w:sz w:val="20"/>
                <w:lang w:val="sk-SK" w:eastAsia="sv-SE"/>
              </w:rPr>
            </w:pPr>
            <w:r w:rsidRPr="00475027">
              <w:rPr>
                <w:rFonts w:ascii="Times New Roman" w:hAnsi="Times New Roman" w:cs="Times New Roman"/>
                <w:sz w:val="20"/>
                <w:lang w:val="sk-SK" w:eastAsia="sv-SE"/>
              </w:rPr>
              <w:t>do 4</w:t>
            </w:r>
          </w:p>
        </w:tc>
      </w:tr>
      <w:tr w:rsidR="00475027" w:rsidRPr="00475027" w14:paraId="43F70C49" w14:textId="77777777" w:rsidTr="00D53D1B">
        <w:trPr>
          <w:trHeight w:val="340"/>
        </w:trPr>
        <w:tc>
          <w:tcPr>
            <w:tcW w:w="2255" w:type="dxa"/>
            <w:shd w:val="clear" w:color="auto" w:fill="auto"/>
            <w:vAlign w:val="center"/>
          </w:tcPr>
          <w:p w14:paraId="7EAA8AAF" w14:textId="77777777" w:rsidR="00843BFE" w:rsidRPr="00475027" w:rsidRDefault="00843BFE" w:rsidP="00843BFE">
            <w:pPr>
              <w:widowControl w:val="0"/>
              <w:suppressAutoHyphens w:val="0"/>
              <w:autoSpaceDE w:val="0"/>
              <w:autoSpaceDN w:val="0"/>
              <w:adjustRightInd w:val="0"/>
              <w:jc w:val="center"/>
              <w:rPr>
                <w:rFonts w:ascii="Times New Roman" w:hAnsi="Times New Roman" w:cs="Times New Roman"/>
                <w:sz w:val="20"/>
                <w:lang w:val="sk-SK" w:eastAsia="sv-SE"/>
              </w:rPr>
            </w:pPr>
            <w:r w:rsidRPr="00475027">
              <w:rPr>
                <w:rFonts w:ascii="Times New Roman" w:hAnsi="Times New Roman" w:cs="Times New Roman"/>
                <w:bCs/>
                <w:sz w:val="20"/>
                <w:lang w:val="sk-SK" w:eastAsia="sv-SE"/>
              </w:rPr>
              <w:t>m. soleus</w:t>
            </w:r>
          </w:p>
        </w:tc>
        <w:tc>
          <w:tcPr>
            <w:tcW w:w="3902" w:type="dxa"/>
            <w:shd w:val="clear" w:color="auto" w:fill="auto"/>
            <w:vAlign w:val="center"/>
          </w:tcPr>
          <w:p w14:paraId="6F97606B" w14:textId="77777777" w:rsidR="00843BFE" w:rsidRPr="00475027" w:rsidRDefault="00843BFE" w:rsidP="00843BFE">
            <w:pPr>
              <w:widowControl w:val="0"/>
              <w:suppressAutoHyphens w:val="0"/>
              <w:autoSpaceDE w:val="0"/>
              <w:autoSpaceDN w:val="0"/>
              <w:adjustRightInd w:val="0"/>
              <w:jc w:val="center"/>
              <w:rPr>
                <w:rFonts w:ascii="Times New Roman" w:hAnsi="Times New Roman" w:cs="Times New Roman"/>
                <w:sz w:val="20"/>
                <w:lang w:val="sk-SK" w:eastAsia="sv-SE"/>
              </w:rPr>
            </w:pPr>
            <w:r w:rsidRPr="00475027">
              <w:rPr>
                <w:rFonts w:ascii="Times New Roman" w:hAnsi="Times New Roman" w:cs="Times New Roman"/>
                <w:sz w:val="20"/>
                <w:lang w:val="sk-SK" w:eastAsia="sv-SE"/>
              </w:rPr>
              <w:t>4 až 6 U/kg</w:t>
            </w:r>
          </w:p>
        </w:tc>
        <w:tc>
          <w:tcPr>
            <w:tcW w:w="2347" w:type="dxa"/>
            <w:shd w:val="clear" w:color="auto" w:fill="auto"/>
            <w:vAlign w:val="center"/>
          </w:tcPr>
          <w:p w14:paraId="1D5AEB06" w14:textId="77777777" w:rsidR="00843BFE" w:rsidRPr="00475027" w:rsidRDefault="00843BFE" w:rsidP="00843BFE">
            <w:pPr>
              <w:widowControl w:val="0"/>
              <w:suppressAutoHyphens w:val="0"/>
              <w:autoSpaceDE w:val="0"/>
              <w:autoSpaceDN w:val="0"/>
              <w:adjustRightInd w:val="0"/>
              <w:jc w:val="center"/>
              <w:rPr>
                <w:rFonts w:ascii="Times New Roman" w:hAnsi="Times New Roman" w:cs="Times New Roman"/>
                <w:sz w:val="20"/>
                <w:lang w:val="sk-SK" w:eastAsia="sv-SE"/>
              </w:rPr>
            </w:pPr>
            <w:r w:rsidRPr="00475027">
              <w:rPr>
                <w:rFonts w:ascii="Times New Roman" w:hAnsi="Times New Roman" w:cs="Times New Roman"/>
                <w:sz w:val="20"/>
                <w:lang w:val="sk-SK" w:eastAsia="sv-SE"/>
              </w:rPr>
              <w:t>do 2</w:t>
            </w:r>
          </w:p>
        </w:tc>
      </w:tr>
      <w:tr w:rsidR="00475027" w:rsidRPr="00475027" w14:paraId="6CA03266" w14:textId="77777777" w:rsidTr="00D53D1B">
        <w:trPr>
          <w:trHeight w:val="340"/>
        </w:trPr>
        <w:tc>
          <w:tcPr>
            <w:tcW w:w="2255" w:type="dxa"/>
            <w:shd w:val="clear" w:color="auto" w:fill="auto"/>
            <w:vAlign w:val="center"/>
          </w:tcPr>
          <w:p w14:paraId="779F34D1" w14:textId="77777777" w:rsidR="00843BFE" w:rsidRPr="00475027" w:rsidRDefault="00843BFE" w:rsidP="00843BFE">
            <w:pPr>
              <w:widowControl w:val="0"/>
              <w:suppressAutoHyphens w:val="0"/>
              <w:autoSpaceDE w:val="0"/>
              <w:autoSpaceDN w:val="0"/>
              <w:adjustRightInd w:val="0"/>
              <w:jc w:val="center"/>
              <w:rPr>
                <w:rFonts w:ascii="Times New Roman" w:hAnsi="Times New Roman" w:cs="Times New Roman"/>
                <w:sz w:val="20"/>
                <w:lang w:val="sk-SK" w:eastAsia="sv-SE"/>
              </w:rPr>
            </w:pPr>
            <w:r w:rsidRPr="00475027">
              <w:rPr>
                <w:rFonts w:ascii="Times New Roman" w:hAnsi="Times New Roman" w:cs="Times New Roman"/>
                <w:bCs/>
                <w:sz w:val="20"/>
                <w:lang w:val="sk-SK" w:eastAsia="sv-SE"/>
              </w:rPr>
              <w:t>m. tibialis posterior</w:t>
            </w:r>
          </w:p>
        </w:tc>
        <w:tc>
          <w:tcPr>
            <w:tcW w:w="3902" w:type="dxa"/>
            <w:shd w:val="clear" w:color="auto" w:fill="auto"/>
            <w:vAlign w:val="center"/>
          </w:tcPr>
          <w:p w14:paraId="31BA3023" w14:textId="77777777" w:rsidR="00843BFE" w:rsidRPr="00475027" w:rsidRDefault="00843BFE" w:rsidP="00843BFE">
            <w:pPr>
              <w:widowControl w:val="0"/>
              <w:suppressAutoHyphens w:val="0"/>
              <w:autoSpaceDE w:val="0"/>
              <w:autoSpaceDN w:val="0"/>
              <w:adjustRightInd w:val="0"/>
              <w:jc w:val="center"/>
              <w:rPr>
                <w:rFonts w:ascii="Times New Roman" w:hAnsi="Times New Roman" w:cs="Times New Roman"/>
                <w:sz w:val="20"/>
                <w:lang w:val="sk-SK" w:eastAsia="sv-SE"/>
              </w:rPr>
            </w:pPr>
            <w:r w:rsidRPr="00475027">
              <w:rPr>
                <w:rFonts w:ascii="Times New Roman" w:hAnsi="Times New Roman" w:cs="Times New Roman"/>
                <w:sz w:val="20"/>
                <w:lang w:val="sk-SK" w:eastAsia="sv-SE"/>
              </w:rPr>
              <w:t>3 až 5 U/kg</w:t>
            </w:r>
          </w:p>
        </w:tc>
        <w:tc>
          <w:tcPr>
            <w:tcW w:w="2347" w:type="dxa"/>
            <w:shd w:val="clear" w:color="auto" w:fill="auto"/>
            <w:vAlign w:val="center"/>
          </w:tcPr>
          <w:p w14:paraId="4ED56C15" w14:textId="77777777" w:rsidR="00843BFE" w:rsidRPr="00475027" w:rsidRDefault="00843BFE" w:rsidP="00843BFE">
            <w:pPr>
              <w:widowControl w:val="0"/>
              <w:suppressAutoHyphens w:val="0"/>
              <w:autoSpaceDE w:val="0"/>
              <w:autoSpaceDN w:val="0"/>
              <w:adjustRightInd w:val="0"/>
              <w:jc w:val="center"/>
              <w:rPr>
                <w:rFonts w:ascii="Times New Roman" w:hAnsi="Times New Roman" w:cs="Times New Roman"/>
                <w:sz w:val="20"/>
                <w:lang w:val="sk-SK" w:eastAsia="sv-SE"/>
              </w:rPr>
            </w:pPr>
            <w:r w:rsidRPr="00475027">
              <w:rPr>
                <w:rFonts w:ascii="Times New Roman" w:hAnsi="Times New Roman" w:cs="Times New Roman"/>
                <w:sz w:val="20"/>
                <w:lang w:val="sk-SK" w:eastAsia="sv-SE"/>
              </w:rPr>
              <w:t>do 2</w:t>
            </w:r>
          </w:p>
        </w:tc>
      </w:tr>
      <w:tr w:rsidR="00843BFE" w:rsidRPr="00475027" w14:paraId="389D1C48" w14:textId="77777777" w:rsidTr="00D53D1B">
        <w:tc>
          <w:tcPr>
            <w:tcW w:w="2255" w:type="dxa"/>
            <w:shd w:val="clear" w:color="auto" w:fill="auto"/>
            <w:vAlign w:val="center"/>
          </w:tcPr>
          <w:p w14:paraId="58BA6BEA" w14:textId="77777777" w:rsidR="00843BFE" w:rsidRPr="00475027" w:rsidRDefault="00843BFE" w:rsidP="00843BFE">
            <w:pPr>
              <w:widowControl w:val="0"/>
              <w:suppressAutoHyphens w:val="0"/>
              <w:autoSpaceDE w:val="0"/>
              <w:autoSpaceDN w:val="0"/>
              <w:adjustRightInd w:val="0"/>
              <w:jc w:val="center"/>
              <w:rPr>
                <w:rFonts w:ascii="Times New Roman" w:hAnsi="Times New Roman" w:cs="Times New Roman"/>
                <w:sz w:val="20"/>
                <w:lang w:val="sk-SK" w:eastAsia="sv-SE"/>
              </w:rPr>
            </w:pPr>
            <w:r w:rsidRPr="00475027">
              <w:rPr>
                <w:rFonts w:ascii="Times New Roman" w:hAnsi="Times New Roman" w:cs="Times New Roman"/>
                <w:b/>
                <w:bCs/>
                <w:sz w:val="20"/>
                <w:lang w:val="sk-SK" w:eastAsia="sv-SE"/>
              </w:rPr>
              <w:t>Celková dávka</w:t>
            </w:r>
          </w:p>
        </w:tc>
        <w:tc>
          <w:tcPr>
            <w:tcW w:w="6249" w:type="dxa"/>
            <w:gridSpan w:val="2"/>
            <w:shd w:val="clear" w:color="auto" w:fill="auto"/>
          </w:tcPr>
          <w:p w14:paraId="02CAC967" w14:textId="77777777" w:rsidR="00843BFE" w:rsidRPr="00475027" w:rsidRDefault="00843BFE" w:rsidP="00475027">
            <w:pPr>
              <w:widowControl w:val="0"/>
              <w:suppressAutoHyphens w:val="0"/>
              <w:autoSpaceDE w:val="0"/>
              <w:autoSpaceDN w:val="0"/>
              <w:adjustRightInd w:val="0"/>
              <w:jc w:val="center"/>
              <w:rPr>
                <w:rFonts w:ascii="Times New Roman" w:hAnsi="Times New Roman" w:cs="Times New Roman"/>
                <w:sz w:val="20"/>
                <w:lang w:val="sk-SK" w:eastAsia="sv-SE"/>
              </w:rPr>
            </w:pPr>
            <w:r w:rsidRPr="00475027">
              <w:rPr>
                <w:rFonts w:ascii="Times New Roman" w:hAnsi="Times New Roman" w:cs="Times New Roman"/>
                <w:sz w:val="20"/>
                <w:lang w:val="sk-SK" w:eastAsia="sv-SE"/>
              </w:rPr>
              <w:t>až do 15 U/kg/dolná končatina</w:t>
            </w:r>
          </w:p>
        </w:tc>
      </w:tr>
    </w:tbl>
    <w:p w14:paraId="7E52C1E8" w14:textId="77777777" w:rsidR="00843BFE" w:rsidRPr="00475027" w:rsidRDefault="00843BFE" w:rsidP="00843BFE">
      <w:pPr>
        <w:autoSpaceDN w:val="0"/>
        <w:textAlignment w:val="baseline"/>
        <w:rPr>
          <w:rFonts w:ascii="Times New Roman" w:hAnsi="Times New Roman" w:cs="Times New Roman"/>
          <w:b/>
          <w:bCs/>
          <w:i/>
          <w:iCs/>
          <w:sz w:val="22"/>
          <w:szCs w:val="22"/>
          <w:lang w:val="sk-SK" w:eastAsia="zh-CN"/>
        </w:rPr>
      </w:pPr>
    </w:p>
    <w:p w14:paraId="47E5EAA0" w14:textId="77777777" w:rsidR="00843BFE" w:rsidRPr="00475027" w:rsidRDefault="00843BFE" w:rsidP="00843BFE">
      <w:pPr>
        <w:autoSpaceDN w:val="0"/>
        <w:textAlignment w:val="baseline"/>
        <w:rPr>
          <w:rFonts w:ascii="Times New Roman" w:hAnsi="Times New Roman" w:cs="Times New Roman"/>
          <w:bCs/>
          <w:iCs/>
          <w:sz w:val="22"/>
          <w:szCs w:val="22"/>
          <w:lang w:val="sk-SK" w:eastAsia="zh-CN"/>
        </w:rPr>
      </w:pPr>
      <w:r w:rsidRPr="00475027">
        <w:rPr>
          <w:rFonts w:ascii="Times New Roman" w:hAnsi="Times New Roman" w:cs="Times New Roman"/>
          <w:bCs/>
          <w:iCs/>
          <w:sz w:val="22"/>
          <w:szCs w:val="22"/>
          <w:lang w:val="sk-SK" w:eastAsia="zh-CN"/>
        </w:rPr>
        <w:t>Hoci aktuálna lokalizácia miesta vpichu môže byť určená palpáciou, použitie navádzacej techniky, napr.elektromyografie, elektrickej stimulácie alebo ultrazvuku je odporúčané pre určenie miesta vpichu.</w:t>
      </w:r>
    </w:p>
    <w:p w14:paraId="5A66D404" w14:textId="77777777" w:rsidR="00843BFE" w:rsidRPr="00475027" w:rsidRDefault="00843BFE" w:rsidP="00843BFE">
      <w:pPr>
        <w:autoSpaceDN w:val="0"/>
        <w:textAlignment w:val="baseline"/>
        <w:rPr>
          <w:rFonts w:ascii="Times New Roman" w:hAnsi="Times New Roman" w:cs="Times New Roman"/>
          <w:bCs/>
          <w:iCs/>
          <w:sz w:val="22"/>
          <w:szCs w:val="22"/>
          <w:lang w:val="sk-SK" w:eastAsia="zh-CN"/>
        </w:rPr>
      </w:pPr>
    </w:p>
    <w:p w14:paraId="35E079C4" w14:textId="67D21777" w:rsidR="00843BFE" w:rsidRPr="00475027" w:rsidRDefault="00843BFE" w:rsidP="00843BFE">
      <w:pPr>
        <w:autoSpaceDN w:val="0"/>
        <w:jc w:val="both"/>
        <w:textAlignment w:val="baseline"/>
        <w:rPr>
          <w:rFonts w:ascii="Times New Roman" w:hAnsi="Times New Roman" w:cs="Times New Roman"/>
          <w:sz w:val="22"/>
          <w:szCs w:val="22"/>
          <w:lang w:val="sk-SK"/>
        </w:rPr>
      </w:pPr>
      <w:r w:rsidRPr="00475027">
        <w:rPr>
          <w:rFonts w:ascii="Times New Roman" w:hAnsi="Times New Roman" w:cs="Times New Roman"/>
          <w:bCs/>
          <w:iCs/>
          <w:sz w:val="22"/>
          <w:szCs w:val="22"/>
          <w:lang w:val="sk-SK" w:eastAsia="zh-CN"/>
        </w:rPr>
        <w:t xml:space="preserve">Opakovaná liečba Dysportom </w:t>
      </w:r>
      <w:r w:rsidR="002C7C03" w:rsidRPr="00475027">
        <w:rPr>
          <w:rFonts w:ascii="Times New Roman" w:hAnsi="Times New Roman" w:cs="Times New Roman"/>
          <w:bCs/>
          <w:iCs/>
          <w:sz w:val="22"/>
          <w:szCs w:val="22"/>
          <w:lang w:val="sk-SK" w:eastAsia="zh-CN"/>
        </w:rPr>
        <w:t>5</w:t>
      </w:r>
      <w:r w:rsidRPr="00475027">
        <w:rPr>
          <w:rFonts w:ascii="Times New Roman" w:hAnsi="Times New Roman" w:cs="Times New Roman"/>
          <w:bCs/>
          <w:iCs/>
          <w:sz w:val="22"/>
          <w:szCs w:val="22"/>
          <w:lang w:val="sk-SK" w:eastAsia="zh-CN"/>
        </w:rPr>
        <w:t>00 U by mala byť podaná v prípade, že sa znížil vplyv predchádzajúcej injekcie, ale nie skôr ako 12 týždňov po predchádzajúcej injekcii. Väčšina pacientov v klinických štúdiách bola opakovane ošetrená medzi 16-22 týždňami; avšak niektorí pacienti mali dlhšie trvanie odpovede, t.j. 28 týždňov. Stupeň a stav svalovej spasticity v čase opakovanej injekcie si môžu vynútiť zmeny v dávke Dysportu a svaloch, ktoré majú byť injikované.</w:t>
      </w:r>
    </w:p>
    <w:p w14:paraId="7FAC25A6" w14:textId="77777777" w:rsidR="00843BFE" w:rsidRPr="00475027" w:rsidRDefault="00843BFE" w:rsidP="00FE4006">
      <w:pPr>
        <w:pStyle w:val="Zkladntext"/>
        <w:rPr>
          <w:rFonts w:ascii="Times New Roman" w:hAnsi="Times New Roman" w:cs="Times New Roman"/>
          <w:b w:val="0"/>
          <w:bCs/>
          <w:i w:val="0"/>
          <w:iCs/>
          <w:sz w:val="22"/>
          <w:szCs w:val="22"/>
          <w:lang w:val="sk-SK"/>
        </w:rPr>
      </w:pPr>
    </w:p>
    <w:p w14:paraId="0A2D3C28" w14:textId="77777777" w:rsidR="00843BFE" w:rsidRPr="00475027" w:rsidRDefault="00843BFE" w:rsidP="00FE4006">
      <w:pPr>
        <w:pStyle w:val="Zkladntext"/>
        <w:rPr>
          <w:rFonts w:ascii="Times New Roman" w:hAnsi="Times New Roman" w:cs="Times New Roman"/>
          <w:b w:val="0"/>
          <w:bCs/>
          <w:i w:val="0"/>
          <w:iCs/>
          <w:sz w:val="22"/>
          <w:szCs w:val="22"/>
          <w:lang w:val="sk-SK"/>
        </w:rPr>
      </w:pPr>
    </w:p>
    <w:p w14:paraId="04697EE9" w14:textId="77777777" w:rsidR="00843BFE" w:rsidRPr="00475027" w:rsidRDefault="00843BFE" w:rsidP="00FE4006">
      <w:pPr>
        <w:pStyle w:val="Zkladntext"/>
        <w:rPr>
          <w:rFonts w:ascii="Times New Roman" w:hAnsi="Times New Roman" w:cs="Times New Roman"/>
          <w:b w:val="0"/>
          <w:bCs/>
          <w:i w:val="0"/>
          <w:iCs/>
          <w:sz w:val="22"/>
          <w:szCs w:val="22"/>
          <w:lang w:val="sk-SK"/>
        </w:rPr>
      </w:pPr>
    </w:p>
    <w:p w14:paraId="677AED21" w14:textId="0B5DB4FC" w:rsidR="00F134F4" w:rsidRPr="00475027" w:rsidRDefault="00F134F4" w:rsidP="00FE4006">
      <w:pPr>
        <w:pStyle w:val="Zkladntext"/>
        <w:rPr>
          <w:rFonts w:ascii="Times New Roman" w:hAnsi="Times New Roman" w:cs="Times New Roman"/>
          <w:b w:val="0"/>
          <w:bCs/>
          <w:i w:val="0"/>
          <w:iCs/>
          <w:sz w:val="22"/>
          <w:szCs w:val="22"/>
          <w:lang w:val="sk-SK"/>
        </w:rPr>
      </w:pPr>
      <w:r w:rsidRPr="00475027">
        <w:rPr>
          <w:rFonts w:ascii="Times New Roman" w:hAnsi="Times New Roman" w:cs="Times New Roman"/>
          <w:b w:val="0"/>
          <w:bCs/>
          <w:i w:val="0"/>
          <w:iCs/>
          <w:sz w:val="22"/>
          <w:szCs w:val="22"/>
          <w:lang w:val="sk-SK"/>
        </w:rPr>
        <w:t xml:space="preserve"> </w:t>
      </w:r>
    </w:p>
    <w:p w14:paraId="71E80412" w14:textId="77777777" w:rsidR="00F134F4" w:rsidRPr="00475027" w:rsidRDefault="00F134F4" w:rsidP="00FE4006">
      <w:pPr>
        <w:rPr>
          <w:rFonts w:ascii="Times New Roman" w:hAnsi="Times New Roman" w:cs="Times New Roman"/>
          <w:sz w:val="22"/>
          <w:szCs w:val="22"/>
          <w:lang w:val="sk-SK"/>
        </w:rPr>
      </w:pPr>
    </w:p>
    <w:p w14:paraId="6CF114C2" w14:textId="77777777" w:rsidR="00F134F4" w:rsidRPr="00475027" w:rsidRDefault="00F134F4" w:rsidP="00FE4006">
      <w:pPr>
        <w:rPr>
          <w:rFonts w:ascii="Times New Roman" w:hAnsi="Times New Roman" w:cs="Times New Roman"/>
          <w:sz w:val="22"/>
          <w:szCs w:val="22"/>
          <w:u w:val="single"/>
          <w:lang w:val="sk-SK"/>
        </w:rPr>
      </w:pPr>
      <w:r w:rsidRPr="00475027">
        <w:rPr>
          <w:rFonts w:ascii="Times New Roman" w:hAnsi="Times New Roman" w:cs="Times New Roman"/>
          <w:sz w:val="22"/>
          <w:szCs w:val="22"/>
          <w:u w:val="single"/>
          <w:lang w:val="sk-SK"/>
        </w:rPr>
        <w:t>Spôsob podávania</w:t>
      </w:r>
    </w:p>
    <w:p w14:paraId="77B637CE" w14:textId="77777777" w:rsidR="00F134F4" w:rsidRPr="00475027" w:rsidRDefault="00F134F4" w:rsidP="00FE4006">
      <w:pPr>
        <w:jc w:val="both"/>
        <w:rPr>
          <w:rFonts w:ascii="Times New Roman" w:hAnsi="Times New Roman" w:cs="Times New Roman"/>
          <w:sz w:val="22"/>
          <w:szCs w:val="22"/>
          <w:lang w:val="sk-SK"/>
        </w:rPr>
      </w:pPr>
    </w:p>
    <w:p w14:paraId="2487D83E" w14:textId="418ABC14"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Pri liečbe spasticity </w:t>
      </w:r>
      <w:r w:rsidR="002C7C03" w:rsidRPr="00475027">
        <w:rPr>
          <w:rFonts w:ascii="Times New Roman" w:hAnsi="Times New Roman" w:cs="Times New Roman"/>
          <w:sz w:val="22"/>
          <w:szCs w:val="22"/>
          <w:lang w:val="sk-SK"/>
        </w:rPr>
        <w:t>u pediatrických pacientov s detskou mozgovou obrnou</w:t>
      </w:r>
      <w:r w:rsidRPr="00475027">
        <w:rPr>
          <w:rFonts w:ascii="Times New Roman" w:hAnsi="Times New Roman" w:cs="Times New Roman"/>
          <w:sz w:val="22"/>
          <w:szCs w:val="22"/>
          <w:lang w:val="sk-SK"/>
        </w:rPr>
        <w:t xml:space="preserve"> sa Dysport 500 U </w:t>
      </w:r>
      <w:r w:rsidR="00F95F01" w:rsidRPr="00475027">
        <w:rPr>
          <w:rFonts w:ascii="Times New Roman" w:hAnsi="Times New Roman" w:cs="Times New Roman"/>
          <w:sz w:val="22"/>
          <w:szCs w:val="22"/>
          <w:lang w:val="sk-SK"/>
        </w:rPr>
        <w:t xml:space="preserve">riedi </w:t>
      </w:r>
      <w:r w:rsidRPr="00475027">
        <w:rPr>
          <w:rFonts w:ascii="Times New Roman" w:hAnsi="Times New Roman" w:cs="Times New Roman"/>
          <w:sz w:val="22"/>
          <w:szCs w:val="22"/>
          <w:lang w:val="sk-SK"/>
        </w:rPr>
        <w:t>v 0,9 % roztoku chloridu sodného</w:t>
      </w:r>
      <w:r w:rsidR="00F95F01" w:rsidRPr="00475027">
        <w:rPr>
          <w:rFonts w:ascii="Times New Roman" w:hAnsi="Times New Roman" w:cs="Times New Roman"/>
          <w:sz w:val="22"/>
          <w:szCs w:val="22"/>
          <w:lang w:val="sk-SK"/>
        </w:rPr>
        <w:t xml:space="preserve"> a je podaný </w:t>
      </w:r>
      <w:r w:rsidRPr="00475027">
        <w:rPr>
          <w:rFonts w:ascii="Times New Roman" w:hAnsi="Times New Roman" w:cs="Times New Roman"/>
          <w:sz w:val="22"/>
          <w:szCs w:val="22"/>
          <w:lang w:val="sk-SK"/>
        </w:rPr>
        <w:t>intramuskulárne  tak, ako je popísané vyššie.</w:t>
      </w:r>
    </w:p>
    <w:p w14:paraId="0A7F867D" w14:textId="77777777" w:rsidR="00F134F4" w:rsidRPr="00475027" w:rsidRDefault="00F134F4" w:rsidP="00FE4006">
      <w:pPr>
        <w:jc w:val="both"/>
        <w:rPr>
          <w:rFonts w:ascii="Times New Roman" w:hAnsi="Times New Roman" w:cs="Times New Roman"/>
          <w:sz w:val="22"/>
          <w:szCs w:val="22"/>
          <w:lang w:val="sk-SK"/>
        </w:rPr>
      </w:pPr>
    </w:p>
    <w:p w14:paraId="59571338" w14:textId="77777777" w:rsidR="00F134F4" w:rsidRPr="00475027" w:rsidRDefault="00F134F4" w:rsidP="00FE4006">
      <w:pPr>
        <w:jc w:val="both"/>
        <w:rPr>
          <w:rFonts w:ascii="Times New Roman" w:hAnsi="Times New Roman" w:cs="Times New Roman"/>
          <w:b/>
          <w:sz w:val="22"/>
          <w:szCs w:val="22"/>
          <w:lang w:val="sk-SK"/>
        </w:rPr>
      </w:pPr>
      <w:r w:rsidRPr="00475027">
        <w:rPr>
          <w:rFonts w:ascii="Times New Roman" w:hAnsi="Times New Roman" w:cs="Times New Roman"/>
          <w:b/>
          <w:sz w:val="22"/>
          <w:szCs w:val="22"/>
          <w:lang w:val="sk-SK"/>
        </w:rPr>
        <w:t>Liečba spastického torticollis:</w:t>
      </w:r>
    </w:p>
    <w:p w14:paraId="7C8932D1" w14:textId="77777777" w:rsidR="00F134F4" w:rsidRPr="00475027" w:rsidRDefault="00F134F4" w:rsidP="00FE4006">
      <w:pPr>
        <w:jc w:val="both"/>
        <w:rPr>
          <w:rFonts w:ascii="Times New Roman" w:hAnsi="Times New Roman" w:cs="Times New Roman"/>
          <w:sz w:val="22"/>
          <w:szCs w:val="22"/>
          <w:u w:val="single"/>
          <w:lang w:val="sk-SK"/>
        </w:rPr>
      </w:pPr>
      <w:r w:rsidRPr="00475027">
        <w:rPr>
          <w:rFonts w:ascii="Times New Roman" w:hAnsi="Times New Roman" w:cs="Times New Roman"/>
          <w:sz w:val="22"/>
          <w:szCs w:val="22"/>
          <w:u w:val="single"/>
          <w:lang w:val="sk-SK"/>
        </w:rPr>
        <w:t>Dávkovanie:</w:t>
      </w:r>
    </w:p>
    <w:p w14:paraId="366F7636" w14:textId="77777777" w:rsidR="00F134F4" w:rsidRPr="00475027" w:rsidRDefault="00F134F4" w:rsidP="00FE4006">
      <w:pPr>
        <w:jc w:val="both"/>
        <w:rPr>
          <w:rFonts w:ascii="Times New Roman" w:hAnsi="Times New Roman" w:cs="Times New Roman"/>
          <w:sz w:val="22"/>
          <w:szCs w:val="22"/>
          <w:lang w:val="sk-SK"/>
        </w:rPr>
      </w:pPr>
    </w:p>
    <w:p w14:paraId="6D16B9E0"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Dávky odporúčané na torticollis sa dajú podať dospelým každého veku za predpokladu, že majú normálnu hmotnosť a žiadne známky zmenšenej krčnej svalovej hmoty. Nižšia dávka je vhodná u </w:t>
      </w:r>
      <w:r w:rsidRPr="00475027">
        <w:rPr>
          <w:rFonts w:ascii="Times New Roman" w:hAnsi="Times New Roman" w:cs="Times New Roman"/>
          <w:sz w:val="22"/>
          <w:szCs w:val="22"/>
          <w:lang w:val="sk-SK"/>
        </w:rPr>
        <w:lastRenderedPageBreak/>
        <w:t>pacientov so zmenšenou telesnou hmotnosťou a u starších pacientov, kde môže byť zmenšená  svalová hmota.</w:t>
      </w:r>
    </w:p>
    <w:p w14:paraId="1BE5B26D" w14:textId="77777777" w:rsidR="00F134F4" w:rsidRPr="00475027" w:rsidRDefault="00F134F4" w:rsidP="00FE4006">
      <w:pPr>
        <w:jc w:val="both"/>
        <w:rPr>
          <w:rFonts w:ascii="Times New Roman" w:hAnsi="Times New Roman" w:cs="Times New Roman"/>
          <w:sz w:val="22"/>
          <w:szCs w:val="22"/>
          <w:lang w:val="sk-SK"/>
        </w:rPr>
      </w:pPr>
    </w:p>
    <w:p w14:paraId="55FAB060"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Iniciálna odporúčaná dávka na liečbu spastického torticollis je 500 U (1 ml) na pacienta, podaná rozdelene do 2 alebo 3 najaktívnejších krčných svalov. </w:t>
      </w:r>
    </w:p>
    <w:p w14:paraId="0D4D363C" w14:textId="77777777" w:rsidR="00F134F4" w:rsidRPr="00475027" w:rsidRDefault="00F134F4" w:rsidP="00FE4006">
      <w:pPr>
        <w:jc w:val="both"/>
        <w:rPr>
          <w:rFonts w:ascii="Times New Roman" w:hAnsi="Times New Roman" w:cs="Times New Roman"/>
          <w:sz w:val="22"/>
          <w:szCs w:val="22"/>
          <w:lang w:val="sk-SK"/>
        </w:rPr>
      </w:pPr>
    </w:p>
    <w:p w14:paraId="662649BA"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Pri rotačnom torticollis sa rozdelí 500 U podaním 350 U do </w:t>
      </w:r>
      <w:r w:rsidRPr="00475027">
        <w:rPr>
          <w:rFonts w:ascii="Times New Roman" w:hAnsi="Times New Roman" w:cs="Times New Roman"/>
          <w:i/>
          <w:sz w:val="22"/>
          <w:szCs w:val="22"/>
          <w:lang w:val="sk-SK"/>
        </w:rPr>
        <w:t xml:space="preserve">musculus splenius capitis </w:t>
      </w:r>
      <w:r w:rsidRPr="00475027">
        <w:rPr>
          <w:rFonts w:ascii="Times New Roman" w:hAnsi="Times New Roman" w:cs="Times New Roman"/>
          <w:sz w:val="22"/>
          <w:szCs w:val="22"/>
          <w:lang w:val="sk-SK"/>
        </w:rPr>
        <w:t xml:space="preserve">ipsilaterálne v smere rotácie brady/hlavy a 150 U do </w:t>
      </w:r>
      <w:r w:rsidRPr="00475027">
        <w:rPr>
          <w:rFonts w:ascii="Times New Roman" w:hAnsi="Times New Roman" w:cs="Times New Roman"/>
          <w:i/>
          <w:sz w:val="22"/>
          <w:szCs w:val="22"/>
          <w:lang w:val="sk-SK"/>
        </w:rPr>
        <w:t xml:space="preserve">musculus sternocleidomastoideus </w:t>
      </w:r>
      <w:r w:rsidRPr="00475027">
        <w:rPr>
          <w:rFonts w:ascii="Times New Roman" w:hAnsi="Times New Roman" w:cs="Times New Roman"/>
          <w:sz w:val="22"/>
          <w:szCs w:val="22"/>
          <w:lang w:val="sk-SK"/>
        </w:rPr>
        <w:t>kontralaterálne k rotácii.</w:t>
      </w:r>
    </w:p>
    <w:p w14:paraId="65E74BAB" w14:textId="77777777" w:rsidR="00F134F4" w:rsidRPr="00475027" w:rsidRDefault="00F134F4" w:rsidP="00FE4006">
      <w:pPr>
        <w:jc w:val="both"/>
        <w:rPr>
          <w:rFonts w:ascii="Times New Roman" w:hAnsi="Times New Roman" w:cs="Times New Roman"/>
          <w:sz w:val="22"/>
          <w:szCs w:val="22"/>
          <w:lang w:val="sk-SK"/>
        </w:rPr>
      </w:pPr>
    </w:p>
    <w:p w14:paraId="754EDCEC"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Pri laterocollis sa rozdelí 500 U podaním 350 U do ipsilaterálneho </w:t>
      </w:r>
      <w:r w:rsidRPr="00475027">
        <w:rPr>
          <w:rFonts w:ascii="Times New Roman" w:hAnsi="Times New Roman" w:cs="Times New Roman"/>
          <w:i/>
          <w:sz w:val="22"/>
          <w:szCs w:val="22"/>
          <w:lang w:val="sk-SK"/>
        </w:rPr>
        <w:t>musculus splenius capitis</w:t>
      </w:r>
      <w:r w:rsidRPr="00475027">
        <w:rPr>
          <w:rFonts w:ascii="Times New Roman" w:hAnsi="Times New Roman" w:cs="Times New Roman"/>
          <w:sz w:val="22"/>
          <w:szCs w:val="22"/>
          <w:lang w:val="sk-SK"/>
        </w:rPr>
        <w:t xml:space="preserve"> a 150 U do ipsilaterálneho </w:t>
      </w:r>
      <w:r w:rsidRPr="00475027">
        <w:rPr>
          <w:rFonts w:ascii="Times New Roman" w:hAnsi="Times New Roman" w:cs="Times New Roman"/>
          <w:i/>
          <w:sz w:val="22"/>
          <w:szCs w:val="22"/>
          <w:lang w:val="sk-SK"/>
        </w:rPr>
        <w:t>musculus sternocleidomastoideus</w:t>
      </w:r>
      <w:r w:rsidRPr="00475027">
        <w:rPr>
          <w:rFonts w:ascii="Times New Roman" w:hAnsi="Times New Roman" w:cs="Times New Roman"/>
          <w:sz w:val="22"/>
          <w:szCs w:val="22"/>
          <w:lang w:val="sk-SK"/>
        </w:rPr>
        <w:t xml:space="preserve">. V prípadoch spojených s eleváciou ramena môže vyžadovať liečbu aj ipsilaterálny </w:t>
      </w:r>
      <w:r w:rsidRPr="00475027">
        <w:rPr>
          <w:rFonts w:ascii="Times New Roman" w:hAnsi="Times New Roman" w:cs="Times New Roman"/>
          <w:i/>
          <w:sz w:val="22"/>
          <w:szCs w:val="22"/>
          <w:lang w:val="sk-SK"/>
        </w:rPr>
        <w:t>musculus trapezoideus</w:t>
      </w:r>
      <w:r w:rsidRPr="00475027">
        <w:rPr>
          <w:rFonts w:ascii="Times New Roman" w:hAnsi="Times New Roman" w:cs="Times New Roman"/>
          <w:sz w:val="22"/>
          <w:szCs w:val="22"/>
          <w:lang w:val="sk-SK"/>
        </w:rPr>
        <w:t xml:space="preserve"> alebo </w:t>
      </w:r>
      <w:r w:rsidRPr="00475027">
        <w:rPr>
          <w:rFonts w:ascii="Times New Roman" w:hAnsi="Times New Roman" w:cs="Times New Roman"/>
          <w:i/>
          <w:sz w:val="22"/>
          <w:szCs w:val="22"/>
          <w:lang w:val="sk-SK"/>
        </w:rPr>
        <w:t>musculus levator scapulae,</w:t>
      </w:r>
      <w:r w:rsidRPr="00475027">
        <w:rPr>
          <w:rFonts w:ascii="Times New Roman" w:hAnsi="Times New Roman" w:cs="Times New Roman"/>
          <w:sz w:val="22"/>
          <w:szCs w:val="22"/>
          <w:lang w:val="sk-SK"/>
        </w:rPr>
        <w:t xml:space="preserve"> a to pri viditeľnej hypertrofii svalu alebo podľa elektromyografických nálezov (EMG). Pokiaľ je potrebné podať injekciu do 3 svalov, rozdelí sa 500 U podaním 300 U do </w:t>
      </w:r>
      <w:r w:rsidRPr="00475027">
        <w:rPr>
          <w:rFonts w:ascii="Times New Roman" w:hAnsi="Times New Roman" w:cs="Times New Roman"/>
          <w:i/>
          <w:sz w:val="22"/>
          <w:szCs w:val="22"/>
          <w:lang w:val="sk-SK"/>
        </w:rPr>
        <w:t>musculus splenius capitis</w:t>
      </w:r>
      <w:r w:rsidRPr="00475027">
        <w:rPr>
          <w:rFonts w:ascii="Times New Roman" w:hAnsi="Times New Roman" w:cs="Times New Roman"/>
          <w:sz w:val="22"/>
          <w:szCs w:val="22"/>
          <w:lang w:val="sk-SK"/>
        </w:rPr>
        <w:t xml:space="preserve">, 100 U do </w:t>
      </w:r>
      <w:r w:rsidRPr="00475027">
        <w:rPr>
          <w:rFonts w:ascii="Times New Roman" w:hAnsi="Times New Roman" w:cs="Times New Roman"/>
          <w:i/>
          <w:sz w:val="22"/>
          <w:szCs w:val="22"/>
          <w:lang w:val="sk-SK"/>
        </w:rPr>
        <w:t>musculus sternocleidomastoideus</w:t>
      </w:r>
      <w:r w:rsidRPr="00475027">
        <w:rPr>
          <w:rFonts w:ascii="Times New Roman" w:hAnsi="Times New Roman" w:cs="Times New Roman"/>
          <w:sz w:val="22"/>
          <w:szCs w:val="22"/>
          <w:lang w:val="sk-SK"/>
        </w:rPr>
        <w:t xml:space="preserve"> a 100 U do tretieho svalu. </w:t>
      </w:r>
    </w:p>
    <w:p w14:paraId="6D7E48F6" w14:textId="77777777" w:rsidR="00F134F4" w:rsidRPr="00475027" w:rsidRDefault="00F134F4" w:rsidP="00FE4006">
      <w:pPr>
        <w:jc w:val="both"/>
        <w:rPr>
          <w:rFonts w:ascii="Times New Roman" w:hAnsi="Times New Roman" w:cs="Times New Roman"/>
          <w:b/>
          <w:sz w:val="22"/>
          <w:szCs w:val="22"/>
          <w:lang w:val="sk-SK"/>
        </w:rPr>
      </w:pPr>
    </w:p>
    <w:p w14:paraId="20C1EFB1"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Pri retrocollis sa rozdelí 500 U podaním 250 U do každého </w:t>
      </w:r>
      <w:r w:rsidRPr="00475027">
        <w:rPr>
          <w:rFonts w:ascii="Times New Roman" w:hAnsi="Times New Roman" w:cs="Times New Roman"/>
          <w:i/>
          <w:sz w:val="22"/>
          <w:szCs w:val="22"/>
          <w:lang w:val="sk-SK"/>
        </w:rPr>
        <w:t>musculus splenius capitis</w:t>
      </w:r>
      <w:r w:rsidRPr="00475027">
        <w:rPr>
          <w:rFonts w:ascii="Times New Roman" w:hAnsi="Times New Roman" w:cs="Times New Roman"/>
          <w:sz w:val="22"/>
          <w:szCs w:val="22"/>
          <w:lang w:val="sk-SK"/>
        </w:rPr>
        <w:t xml:space="preserve">.  Obojstranná injekcia do </w:t>
      </w:r>
      <w:r w:rsidRPr="00475027">
        <w:rPr>
          <w:rFonts w:ascii="Times New Roman" w:hAnsi="Times New Roman" w:cs="Times New Roman"/>
          <w:i/>
          <w:sz w:val="22"/>
          <w:szCs w:val="22"/>
          <w:lang w:val="sk-SK"/>
        </w:rPr>
        <w:t>musculus splenius</w:t>
      </w:r>
      <w:r w:rsidRPr="00475027">
        <w:rPr>
          <w:rFonts w:ascii="Times New Roman" w:hAnsi="Times New Roman" w:cs="Times New Roman"/>
          <w:sz w:val="22"/>
          <w:szCs w:val="22"/>
          <w:lang w:val="sk-SK"/>
        </w:rPr>
        <w:t xml:space="preserve"> môže zvýšiť riziko slabosti krčných svalov.</w:t>
      </w:r>
    </w:p>
    <w:p w14:paraId="4B15298C" w14:textId="77777777" w:rsidR="00F134F4" w:rsidRPr="00475027" w:rsidRDefault="00F134F4" w:rsidP="00FE4006">
      <w:pPr>
        <w:jc w:val="both"/>
        <w:rPr>
          <w:rFonts w:ascii="Times New Roman" w:hAnsi="Times New Roman" w:cs="Times New Roman"/>
          <w:sz w:val="22"/>
          <w:szCs w:val="22"/>
          <w:lang w:val="sk-SK"/>
        </w:rPr>
      </w:pPr>
    </w:p>
    <w:p w14:paraId="05E7CE4F"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U všetkých ostatných foriem torticollis veľmi závisí na znalosti špecialistu a na EMG, aby boli určené a liečené najaktívnejšie svaly. EMG sa má používať diagnosticky na všetky komplexné formy torticollis, na prehodnotenie po neúspešnej injekcii u nekomplexných prípadov a na zavádzanie injekcie do hlbokých svalov alebo u pacientov s nadváhou so zle palpovateľnými krčnými svalmi.</w:t>
      </w:r>
    </w:p>
    <w:p w14:paraId="28E25623" w14:textId="77777777" w:rsidR="00F134F4" w:rsidRPr="00475027" w:rsidRDefault="00F134F4" w:rsidP="00FE4006">
      <w:pPr>
        <w:jc w:val="both"/>
        <w:rPr>
          <w:rFonts w:ascii="Times New Roman" w:hAnsi="Times New Roman" w:cs="Times New Roman"/>
          <w:sz w:val="22"/>
          <w:szCs w:val="22"/>
          <w:lang w:val="sk-SK"/>
        </w:rPr>
      </w:pPr>
    </w:p>
    <w:p w14:paraId="0E0F415A" w14:textId="77777777" w:rsidR="00F134F4" w:rsidRPr="00475027" w:rsidRDefault="00F134F4" w:rsidP="00622EA3">
      <w:pPr>
        <w:rPr>
          <w:rFonts w:ascii="Times New Roman" w:hAnsi="Times New Roman" w:cs="Times New Roman"/>
          <w:sz w:val="22"/>
          <w:szCs w:val="22"/>
          <w:lang w:val="sk-SK"/>
        </w:rPr>
      </w:pPr>
      <w:r w:rsidRPr="00475027">
        <w:rPr>
          <w:rFonts w:ascii="Times New Roman" w:hAnsi="Times New Roman" w:cs="Times New Roman"/>
          <w:sz w:val="22"/>
          <w:szCs w:val="22"/>
          <w:lang w:val="sk-SK"/>
        </w:rPr>
        <w:t>Pri opakovanom podaní môže byť dávka prispôsobená klinickej odpovedi a pozorovaným nežiaducim účinkom. Odporúča sa rozmedzie dávok od 250 U do 1000 U. Vyššia dávka už môže byť spojená so zvýšením nežiaducich účinkov, predovšetkým dysfágie. Maximálna podaná dávka nesmie presiahnuť 1000 U.</w:t>
      </w:r>
    </w:p>
    <w:p w14:paraId="7A4ADBDB" w14:textId="77777777" w:rsidR="00F134F4" w:rsidRPr="00475027" w:rsidRDefault="00F134F4" w:rsidP="00FE4006">
      <w:pPr>
        <w:jc w:val="both"/>
        <w:rPr>
          <w:rFonts w:ascii="Times New Roman" w:hAnsi="Times New Roman" w:cs="Times New Roman"/>
          <w:sz w:val="22"/>
          <w:szCs w:val="22"/>
          <w:lang w:val="sk-SK"/>
        </w:rPr>
      </w:pPr>
    </w:p>
    <w:p w14:paraId="24E1494F"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Ústup symptómov pri torticollis sa dá očakávať v priebehu týždňa po injekcii. Injekcia sa má opakovať približne každých 16 týždňov alebo tak, </w:t>
      </w:r>
      <w:r w:rsidRPr="00475027">
        <w:rPr>
          <w:rFonts w:ascii="Times New Roman" w:hAnsi="Times New Roman" w:cs="Times New Roman"/>
          <w:bCs/>
          <w:i/>
          <w:iCs/>
          <w:sz w:val="22"/>
          <w:szCs w:val="22"/>
          <w:lang w:val="sk-SK"/>
        </w:rPr>
        <w:t>ako to vyžadujú opakujúce  sa príznaky, ale nie častejšie než každých 12 týždňov.</w:t>
      </w:r>
      <w:r w:rsidRPr="00475027">
        <w:rPr>
          <w:rFonts w:ascii="Times New Roman" w:hAnsi="Times New Roman" w:cs="Times New Roman"/>
          <w:sz w:val="22"/>
          <w:szCs w:val="22"/>
          <w:lang w:val="sk-SK"/>
        </w:rPr>
        <w:t xml:space="preserve"> </w:t>
      </w:r>
    </w:p>
    <w:p w14:paraId="71C63323" w14:textId="77777777" w:rsidR="00F134F4" w:rsidRPr="00475027" w:rsidRDefault="00F134F4" w:rsidP="00FE4006">
      <w:pPr>
        <w:jc w:val="both"/>
        <w:rPr>
          <w:rFonts w:ascii="Times New Roman" w:hAnsi="Times New Roman" w:cs="Times New Roman"/>
          <w:sz w:val="22"/>
          <w:szCs w:val="22"/>
          <w:lang w:val="sk-SK"/>
        </w:rPr>
      </w:pPr>
    </w:p>
    <w:p w14:paraId="5BA4C4F1" w14:textId="77777777" w:rsidR="00F134F4" w:rsidRPr="00475027" w:rsidRDefault="00F134F4" w:rsidP="00FE4006">
      <w:pPr>
        <w:jc w:val="both"/>
        <w:rPr>
          <w:rFonts w:ascii="Times New Roman" w:hAnsi="Times New Roman" w:cs="Times New Roman"/>
          <w:sz w:val="22"/>
          <w:szCs w:val="22"/>
          <w:u w:val="single"/>
          <w:lang w:val="sk-SK"/>
        </w:rPr>
      </w:pPr>
      <w:r w:rsidRPr="00475027">
        <w:rPr>
          <w:rFonts w:ascii="Times New Roman" w:hAnsi="Times New Roman" w:cs="Times New Roman"/>
          <w:sz w:val="22"/>
          <w:szCs w:val="22"/>
          <w:u w:val="single"/>
          <w:lang w:val="sk-SK"/>
        </w:rPr>
        <w:t>Deti:</w:t>
      </w:r>
    </w:p>
    <w:p w14:paraId="5B243BDF"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Bezpečnosť a účinnosť Dysportu 500 U u detí v liečbe spastického torticollis nebola preukázaná.</w:t>
      </w:r>
    </w:p>
    <w:p w14:paraId="1819D08D" w14:textId="4183FE5D" w:rsidR="00F134F4" w:rsidRDefault="00F134F4" w:rsidP="00FE4006">
      <w:pPr>
        <w:jc w:val="both"/>
        <w:rPr>
          <w:rFonts w:ascii="Times New Roman" w:hAnsi="Times New Roman" w:cs="Times New Roman"/>
          <w:sz w:val="22"/>
          <w:szCs w:val="22"/>
          <w:lang w:val="sk-SK"/>
        </w:rPr>
      </w:pPr>
    </w:p>
    <w:p w14:paraId="7FC1FBC4" w14:textId="4FE48111" w:rsidR="007648C4" w:rsidRDefault="007648C4" w:rsidP="00FE4006">
      <w:pPr>
        <w:jc w:val="both"/>
        <w:rPr>
          <w:rFonts w:ascii="Times New Roman" w:hAnsi="Times New Roman" w:cs="Times New Roman"/>
          <w:sz w:val="22"/>
          <w:szCs w:val="22"/>
          <w:lang w:val="sk-SK"/>
        </w:rPr>
      </w:pPr>
    </w:p>
    <w:p w14:paraId="0C38548D" w14:textId="77777777" w:rsidR="007648C4" w:rsidRPr="00475027" w:rsidRDefault="007648C4" w:rsidP="00FE4006">
      <w:pPr>
        <w:jc w:val="both"/>
        <w:rPr>
          <w:rFonts w:ascii="Times New Roman" w:hAnsi="Times New Roman" w:cs="Times New Roman"/>
          <w:sz w:val="22"/>
          <w:szCs w:val="22"/>
          <w:lang w:val="sk-SK"/>
        </w:rPr>
      </w:pPr>
    </w:p>
    <w:p w14:paraId="31627256" w14:textId="77777777" w:rsidR="00F134F4" w:rsidRPr="00475027" w:rsidRDefault="00F134F4" w:rsidP="00FE4006">
      <w:pPr>
        <w:jc w:val="both"/>
        <w:rPr>
          <w:rFonts w:ascii="Times New Roman" w:hAnsi="Times New Roman" w:cs="Times New Roman"/>
          <w:sz w:val="22"/>
          <w:szCs w:val="22"/>
          <w:u w:val="single"/>
          <w:lang w:val="sk-SK"/>
        </w:rPr>
      </w:pPr>
      <w:r w:rsidRPr="00475027">
        <w:rPr>
          <w:rFonts w:ascii="Times New Roman" w:hAnsi="Times New Roman" w:cs="Times New Roman"/>
          <w:sz w:val="22"/>
          <w:szCs w:val="22"/>
          <w:u w:val="single"/>
          <w:lang w:val="sk-SK"/>
        </w:rPr>
        <w:t>Spôsob podávania</w:t>
      </w:r>
    </w:p>
    <w:p w14:paraId="28C9212A"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Na liečbu spastického torticollis sa Dysport 500 U pripraví pridaním 1 ml 0,9 % roztoku chloridu sodného injekcie, aby sa získal roztok obsahujúci 500 U v 1 ml Dysportu 500 U. Dysport 500 U sa podáva intramuskulárnou injekciou do určených miest.</w:t>
      </w:r>
    </w:p>
    <w:p w14:paraId="470A0C84" w14:textId="77777777" w:rsidR="00F134F4" w:rsidRPr="00475027" w:rsidRDefault="00F134F4" w:rsidP="00FE4006">
      <w:pPr>
        <w:jc w:val="both"/>
        <w:rPr>
          <w:rFonts w:ascii="Times New Roman" w:hAnsi="Times New Roman" w:cs="Times New Roman"/>
          <w:b/>
          <w:sz w:val="22"/>
          <w:szCs w:val="22"/>
          <w:lang w:val="sk-SK"/>
        </w:rPr>
      </w:pPr>
    </w:p>
    <w:p w14:paraId="678F0FFF" w14:textId="77777777" w:rsidR="00F134F4" w:rsidRPr="00475027" w:rsidRDefault="00F134F4" w:rsidP="00FE4006">
      <w:pPr>
        <w:jc w:val="both"/>
        <w:rPr>
          <w:rFonts w:ascii="Times New Roman" w:hAnsi="Times New Roman" w:cs="Times New Roman"/>
          <w:b/>
          <w:sz w:val="22"/>
          <w:szCs w:val="22"/>
          <w:lang w:val="sk-SK"/>
        </w:rPr>
      </w:pPr>
      <w:r w:rsidRPr="00475027">
        <w:rPr>
          <w:rFonts w:ascii="Times New Roman" w:hAnsi="Times New Roman" w:cs="Times New Roman"/>
          <w:b/>
          <w:sz w:val="22"/>
          <w:szCs w:val="22"/>
          <w:lang w:val="sk-SK"/>
        </w:rPr>
        <w:t>Liečba blefarospazmu a hemifaciálneho spazmu:</w:t>
      </w:r>
    </w:p>
    <w:p w14:paraId="7665A6FD" w14:textId="77777777" w:rsidR="00F134F4" w:rsidRPr="00475027" w:rsidRDefault="00F134F4" w:rsidP="00FE4006">
      <w:pPr>
        <w:rPr>
          <w:rFonts w:ascii="Times New Roman" w:hAnsi="Times New Roman" w:cs="Times New Roman"/>
          <w:i/>
          <w:sz w:val="22"/>
          <w:szCs w:val="22"/>
          <w:u w:val="single"/>
          <w:lang w:val="sk-SK"/>
        </w:rPr>
      </w:pPr>
      <w:r w:rsidRPr="00475027">
        <w:rPr>
          <w:rFonts w:ascii="Times New Roman" w:hAnsi="Times New Roman" w:cs="Times New Roman"/>
          <w:i/>
          <w:sz w:val="22"/>
          <w:szCs w:val="22"/>
          <w:u w:val="single"/>
          <w:lang w:val="sk-SK"/>
        </w:rPr>
        <w:t>Dávkovanie:</w:t>
      </w:r>
    </w:p>
    <w:p w14:paraId="34C433B1" w14:textId="77777777" w:rsidR="00F134F4" w:rsidRPr="00475027" w:rsidRDefault="00F134F4" w:rsidP="00FE4006">
      <w:pPr>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V klinických štúdiách skúmajúcich dávku použitého Dysportu 500 U na liečbu benígneho esenciálneho blefarospazmu bola dávka 40 U na jedno oko významne účinná. Dávka 80 U na jedno oko mala za následok dlhšie trvanie účinku. Avšak výskyt lokálnych nežiaducich účinkov (najmä ptóza), boli závislé na dávke. </w:t>
      </w:r>
    </w:p>
    <w:p w14:paraId="65FFE9D6"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Injekcia 10 U (0,05 ml ) sa má podať mediálne a 10 U (0,05 ml ) laterálne do spojenia medzi preseptálnou a orbitálnou časťou horného (3 a 4) a dolného </w:t>
      </w:r>
      <w:r w:rsidRPr="00475027">
        <w:rPr>
          <w:rFonts w:ascii="Times New Roman" w:hAnsi="Times New Roman" w:cs="Times New Roman"/>
          <w:i/>
          <w:sz w:val="22"/>
          <w:szCs w:val="22"/>
          <w:lang w:val="sk-SK"/>
        </w:rPr>
        <w:t>musculus orbicularis oculi</w:t>
      </w:r>
      <w:r w:rsidRPr="00475027">
        <w:rPr>
          <w:rFonts w:ascii="Times New Roman" w:hAnsi="Times New Roman" w:cs="Times New Roman"/>
          <w:sz w:val="22"/>
          <w:szCs w:val="22"/>
          <w:lang w:val="sk-SK"/>
        </w:rPr>
        <w:t xml:space="preserve"> (5 a 6) každého oka.</w:t>
      </w:r>
    </w:p>
    <w:p w14:paraId="25BA9D19" w14:textId="77777777" w:rsidR="00F134F4" w:rsidRPr="00475027" w:rsidRDefault="00F134F4" w:rsidP="00FE4006">
      <w:pPr>
        <w:pStyle w:val="Textvysvetlivky"/>
        <w:widowControl w:val="0"/>
        <w:jc w:val="both"/>
        <w:rPr>
          <w:i/>
          <w:sz w:val="22"/>
          <w:szCs w:val="22"/>
          <w:lang w:val="sk-SK"/>
        </w:rPr>
      </w:pPr>
      <w:r w:rsidRPr="00475027">
        <w:rPr>
          <w:sz w:val="22"/>
          <w:szCs w:val="22"/>
          <w:lang w:val="sk-SK"/>
        </w:rPr>
        <w:t xml:space="preserve">Za účelom zníženia rizika ptózy, je potrebné sa vyvarovať injekcie blízko </w:t>
      </w:r>
      <w:r w:rsidRPr="00475027">
        <w:rPr>
          <w:i/>
          <w:sz w:val="22"/>
          <w:szCs w:val="22"/>
          <w:lang w:val="sk-SK"/>
        </w:rPr>
        <w:t>musculus levator palpebrae superioris.</w:t>
      </w:r>
    </w:p>
    <w:p w14:paraId="03298035" w14:textId="77777777" w:rsidR="00F134F4" w:rsidRPr="00475027" w:rsidRDefault="00F134F4" w:rsidP="00FE4006">
      <w:pPr>
        <w:pStyle w:val="Textvysvetlivky"/>
        <w:widowControl w:val="0"/>
        <w:jc w:val="both"/>
        <w:rPr>
          <w:sz w:val="22"/>
          <w:szCs w:val="22"/>
          <w:lang w:val="sk-SK"/>
        </w:rPr>
      </w:pPr>
    </w:p>
    <w:p w14:paraId="6A28269A" w14:textId="77777777" w:rsidR="00F134F4" w:rsidRPr="00475027" w:rsidRDefault="00F134F4" w:rsidP="00FE4006">
      <w:pPr>
        <w:jc w:val="both"/>
        <w:rPr>
          <w:rFonts w:ascii="Times New Roman" w:hAnsi="Times New Roman" w:cs="Times New Roman"/>
          <w:sz w:val="22"/>
          <w:szCs w:val="22"/>
          <w:lang w:val="sk-SK"/>
        </w:rPr>
      </w:pPr>
    </w:p>
    <w:p w14:paraId="215DC860" w14:textId="77777777" w:rsidR="00F134F4" w:rsidRPr="00475027" w:rsidRDefault="00F134F4" w:rsidP="00FE4006">
      <w:pPr>
        <w:jc w:val="both"/>
        <w:rPr>
          <w:rFonts w:ascii="Times New Roman" w:hAnsi="Times New Roman" w:cs="Times New Roman"/>
          <w:sz w:val="22"/>
          <w:szCs w:val="22"/>
          <w:lang w:val="sk-SK"/>
        </w:rPr>
      </w:pPr>
    </w:p>
    <w:p w14:paraId="25DCE0F8" w14:textId="77777777" w:rsidR="00F134F4" w:rsidRPr="00475027" w:rsidRDefault="00F134F4" w:rsidP="00FE4006">
      <w:pPr>
        <w:jc w:val="both"/>
        <w:rPr>
          <w:rFonts w:ascii="Times New Roman" w:hAnsi="Times New Roman" w:cs="Times New Roman"/>
          <w:sz w:val="22"/>
          <w:szCs w:val="22"/>
          <w:lang w:val="sk-SK"/>
        </w:rPr>
      </w:pPr>
    </w:p>
    <w:p w14:paraId="25AF589F" w14:textId="77777777" w:rsidR="00F134F4" w:rsidRPr="00475027" w:rsidRDefault="00523E14" w:rsidP="00FE4006">
      <w:pPr>
        <w:jc w:val="center"/>
        <w:rPr>
          <w:rFonts w:ascii="Times New Roman" w:hAnsi="Times New Roman" w:cs="Times New Roman"/>
          <w:sz w:val="22"/>
          <w:szCs w:val="22"/>
          <w:lang w:val="sk-SK"/>
        </w:rPr>
      </w:pPr>
      <w:r w:rsidRPr="00475027">
        <w:rPr>
          <w:rFonts w:ascii="Times New Roman" w:hAnsi="Times New Roman" w:cs="Times New Roman"/>
          <w:noProof/>
          <w:sz w:val="22"/>
          <w:szCs w:val="22"/>
          <w:lang w:val="sk-SK" w:eastAsia="sk-SK"/>
        </w:rPr>
        <w:drawing>
          <wp:inline distT="0" distB="0" distL="0" distR="0" wp14:anchorId="5A7DA689" wp14:editId="216AB2FC">
            <wp:extent cx="2990850" cy="2352675"/>
            <wp:effectExtent l="0" t="0" r="0" b="0"/>
            <wp:docPr id="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2352675"/>
                    </a:xfrm>
                    <a:prstGeom prst="rect">
                      <a:avLst/>
                    </a:prstGeom>
                    <a:noFill/>
                    <a:ln>
                      <a:noFill/>
                    </a:ln>
                  </pic:spPr>
                </pic:pic>
              </a:graphicData>
            </a:graphic>
          </wp:inline>
        </w:drawing>
      </w:r>
    </w:p>
    <w:p w14:paraId="52E78D06" w14:textId="77777777" w:rsidR="00F134F4" w:rsidRPr="00475027" w:rsidRDefault="00F134F4" w:rsidP="00FE4006">
      <w:pPr>
        <w:jc w:val="both"/>
        <w:rPr>
          <w:rFonts w:ascii="Times New Roman" w:hAnsi="Times New Roman" w:cs="Times New Roman"/>
          <w:sz w:val="22"/>
          <w:szCs w:val="22"/>
          <w:lang w:val="sk-SK"/>
        </w:rPr>
      </w:pPr>
    </w:p>
    <w:p w14:paraId="181A010A" w14:textId="77777777" w:rsidR="00F134F4" w:rsidRPr="00475027" w:rsidRDefault="00F134F4" w:rsidP="00FE4006">
      <w:pPr>
        <w:jc w:val="both"/>
        <w:rPr>
          <w:rFonts w:ascii="Times New Roman" w:hAnsi="Times New Roman" w:cs="Times New Roman"/>
          <w:sz w:val="22"/>
          <w:szCs w:val="22"/>
          <w:lang w:val="sk-SK"/>
        </w:rPr>
      </w:pPr>
    </w:p>
    <w:p w14:paraId="38A698A7" w14:textId="77777777" w:rsidR="00F134F4" w:rsidRPr="00475027" w:rsidRDefault="00F134F4" w:rsidP="00FE4006">
      <w:pPr>
        <w:jc w:val="both"/>
        <w:rPr>
          <w:rFonts w:ascii="Times New Roman" w:hAnsi="Times New Roman" w:cs="Times New Roman"/>
          <w:sz w:val="22"/>
          <w:szCs w:val="22"/>
          <w:lang w:val="sk-SK"/>
        </w:rPr>
      </w:pPr>
    </w:p>
    <w:p w14:paraId="6A3B0519" w14:textId="77777777" w:rsidR="00F134F4" w:rsidRPr="00475027" w:rsidRDefault="00F134F4" w:rsidP="00FE4006">
      <w:pPr>
        <w:jc w:val="both"/>
        <w:rPr>
          <w:rFonts w:ascii="Times New Roman" w:hAnsi="Times New Roman" w:cs="Times New Roman"/>
          <w:sz w:val="22"/>
          <w:szCs w:val="22"/>
          <w:lang w:val="sk-SK"/>
        </w:rPr>
      </w:pPr>
    </w:p>
    <w:p w14:paraId="753F8664"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Pri injekcii do horného viečka sa ihla má smerovať von z jeho stredu, aby nebol zasiahnutý </w:t>
      </w:r>
      <w:r w:rsidRPr="00475027">
        <w:rPr>
          <w:rFonts w:ascii="Times New Roman" w:hAnsi="Times New Roman" w:cs="Times New Roman"/>
          <w:i/>
          <w:sz w:val="22"/>
          <w:szCs w:val="22"/>
          <w:lang w:val="sk-SK"/>
        </w:rPr>
        <w:t>musculus levator</w:t>
      </w:r>
      <w:r w:rsidRPr="00475027">
        <w:rPr>
          <w:rFonts w:ascii="Times New Roman" w:hAnsi="Times New Roman" w:cs="Times New Roman"/>
          <w:sz w:val="22"/>
          <w:szCs w:val="22"/>
          <w:lang w:val="sk-SK"/>
        </w:rPr>
        <w:t>. Priložený obrázok má pomôcť v umiestnení injekcií. Začiatok ústupu symptómov sa dá očakávať v priebehu 2 až 4 dní s maximálnym efektom za 2 týždne.</w:t>
      </w:r>
    </w:p>
    <w:p w14:paraId="2113A344" w14:textId="77777777" w:rsidR="00F134F4" w:rsidRPr="00475027" w:rsidRDefault="00F134F4" w:rsidP="00FE4006">
      <w:pPr>
        <w:jc w:val="both"/>
        <w:rPr>
          <w:rFonts w:ascii="Times New Roman" w:hAnsi="Times New Roman" w:cs="Times New Roman"/>
          <w:sz w:val="22"/>
          <w:szCs w:val="22"/>
          <w:lang w:val="sk-SK"/>
        </w:rPr>
      </w:pPr>
    </w:p>
    <w:p w14:paraId="096B21C7" w14:textId="77777777" w:rsidR="00F134F4" w:rsidRPr="00475027" w:rsidRDefault="00F134F4" w:rsidP="00682658">
      <w:pPr>
        <w:pStyle w:val="Zarkazkladnhotextu2"/>
        <w:widowControl w:val="0"/>
        <w:spacing w:line="240" w:lineRule="auto"/>
        <w:ind w:left="0"/>
        <w:jc w:val="both"/>
        <w:rPr>
          <w:sz w:val="22"/>
          <w:szCs w:val="22"/>
          <w:lang w:val="sk-SK"/>
        </w:rPr>
      </w:pPr>
      <w:r w:rsidRPr="00475027">
        <w:rPr>
          <w:sz w:val="22"/>
          <w:szCs w:val="22"/>
          <w:lang w:val="sk-SK"/>
        </w:rPr>
        <w:t>Injekcie sa majú opakovať približne každých 12 týždňov alebo podľa potreby k prevencii návratu príznakov, ale nie častejšie než každých dvanásť týždňov. Pri nasledujúcom podaní, ak odpoveď počiatočnej liečby je považovaná za nedostatočnú, potreba dávky môže byť zvýšená na 60 jednotiek: 10 U (0,05 ml) mediálne a 20 U (0,1 ml) laterálne, na 80 jednotiek: 20 U (0,1 ml) mediálne a 20 U (0,1 ml) laterálne alebo až na 120 jednotiek: 20 U (0,1 ml) mediálne a 40 U (0,2 ml) laterálne nad a pod každé oko podľa vyššie popísaného spôsobu. Je možné injikovať rovnaké miesta v </w:t>
      </w:r>
      <w:r w:rsidRPr="00475027">
        <w:rPr>
          <w:i/>
          <w:sz w:val="22"/>
          <w:szCs w:val="22"/>
          <w:lang w:val="sk-SK"/>
        </w:rPr>
        <w:t>musculus frontalis</w:t>
      </w:r>
      <w:r w:rsidRPr="00475027">
        <w:rPr>
          <w:sz w:val="22"/>
          <w:szCs w:val="22"/>
          <w:lang w:val="sk-SK"/>
        </w:rPr>
        <w:t xml:space="preserve"> nad obočím (1 a 2), ak spazmus prekáža zraku.</w:t>
      </w:r>
    </w:p>
    <w:p w14:paraId="6DFB7A00" w14:textId="77777777" w:rsidR="00F134F4" w:rsidRPr="00475027" w:rsidRDefault="00F134F4" w:rsidP="00A234DF">
      <w:pPr>
        <w:jc w:val="both"/>
        <w:rPr>
          <w:rFonts w:ascii="Times New Roman" w:hAnsi="Times New Roman" w:cs="Times New Roman"/>
          <w:sz w:val="22"/>
          <w:szCs w:val="22"/>
          <w:lang w:val="sk-SK"/>
        </w:rPr>
      </w:pPr>
    </w:p>
    <w:p w14:paraId="6384405E" w14:textId="77777777" w:rsidR="00F134F4" w:rsidRPr="00475027" w:rsidRDefault="00F134F4" w:rsidP="00A234DF">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V prípade jednostranného blefarospazmu sa injekcie obmedzia na postihnuté oko.</w:t>
      </w:r>
    </w:p>
    <w:p w14:paraId="63A6456A" w14:textId="77777777" w:rsidR="00F134F4" w:rsidRPr="00475027" w:rsidRDefault="00F134F4" w:rsidP="00682658">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Pacienti s hemifaciálnym spazmom sa majú liečiť ako pri jednostrannom blefarospazme. </w:t>
      </w:r>
    </w:p>
    <w:p w14:paraId="7CC1E997" w14:textId="77777777" w:rsidR="00F134F4" w:rsidRPr="00475027" w:rsidRDefault="00F134F4" w:rsidP="00682658">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Odporúčané dávky sa dajú podať dospelým každého veku vrátane starších pacientov.</w:t>
      </w:r>
    </w:p>
    <w:p w14:paraId="362B5040" w14:textId="77777777" w:rsidR="00F134F4" w:rsidRPr="00475027" w:rsidRDefault="00F134F4" w:rsidP="00682658">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V liečbe blefarospazmu a hemifaciálneho spazmu, maximálna dávka nemá prekročiť celkovú dávku 120 U na jedno oko.</w:t>
      </w:r>
    </w:p>
    <w:p w14:paraId="36B26D9C" w14:textId="77777777" w:rsidR="00F134F4" w:rsidRPr="00475027" w:rsidRDefault="00F134F4" w:rsidP="00FE4006">
      <w:pPr>
        <w:jc w:val="both"/>
        <w:rPr>
          <w:rFonts w:ascii="Times New Roman" w:hAnsi="Times New Roman" w:cs="Times New Roman"/>
          <w:sz w:val="22"/>
          <w:szCs w:val="22"/>
          <w:lang w:val="sk-SK"/>
        </w:rPr>
      </w:pPr>
    </w:p>
    <w:p w14:paraId="7623C2A6"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Deti:</w:t>
      </w:r>
    </w:p>
    <w:p w14:paraId="54EF575C"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Bezpečnosť a účinnosť Dysportu 500 U v liečbe blefarospazmu a hemifaciálneho spazmu u detí nebola preukázaná.</w:t>
      </w:r>
    </w:p>
    <w:p w14:paraId="7CF74467" w14:textId="77777777" w:rsidR="00F134F4" w:rsidRPr="00475027" w:rsidRDefault="00F134F4" w:rsidP="00FE4006">
      <w:pPr>
        <w:jc w:val="both"/>
        <w:rPr>
          <w:rFonts w:ascii="Times New Roman" w:hAnsi="Times New Roman" w:cs="Times New Roman"/>
          <w:sz w:val="22"/>
          <w:szCs w:val="22"/>
          <w:lang w:val="sk-SK"/>
        </w:rPr>
      </w:pPr>
    </w:p>
    <w:p w14:paraId="35081768" w14:textId="77777777" w:rsidR="00F134F4" w:rsidRPr="00475027" w:rsidRDefault="00F134F4" w:rsidP="00FE4006">
      <w:pPr>
        <w:jc w:val="both"/>
        <w:rPr>
          <w:rFonts w:ascii="Times New Roman" w:hAnsi="Times New Roman" w:cs="Times New Roman"/>
          <w:b/>
          <w:sz w:val="22"/>
          <w:szCs w:val="22"/>
          <w:u w:val="single"/>
          <w:lang w:val="sk-SK"/>
        </w:rPr>
      </w:pPr>
      <w:r w:rsidRPr="00475027">
        <w:rPr>
          <w:rFonts w:ascii="Times New Roman" w:hAnsi="Times New Roman" w:cs="Times New Roman"/>
          <w:sz w:val="22"/>
          <w:szCs w:val="22"/>
          <w:u w:val="single"/>
          <w:lang w:val="sk-SK"/>
        </w:rPr>
        <w:t>Spôsob podávania</w:t>
      </w:r>
    </w:p>
    <w:p w14:paraId="1276D184" w14:textId="77777777" w:rsidR="00F134F4" w:rsidRPr="00475027" w:rsidRDefault="00F134F4" w:rsidP="00FE4006">
      <w:pPr>
        <w:jc w:val="both"/>
        <w:rPr>
          <w:rFonts w:ascii="Times New Roman" w:hAnsi="Times New Roman" w:cs="Times New Roman"/>
          <w:sz w:val="22"/>
          <w:szCs w:val="22"/>
          <w:lang w:val="sk-SK"/>
        </w:rPr>
      </w:pPr>
    </w:p>
    <w:p w14:paraId="73507B88"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Na liečbu blefarospazmu alebo hemifaciálneho spazmu sa Dysport 500 U pripraví pridaním 2,5 ml </w:t>
      </w:r>
    </w:p>
    <w:p w14:paraId="71A014A7"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0,9 % roztoku chloridu sodného injekcie, aby sa dosiahlo riedenie roztoku obsahujúce 200 U v 1 ml Dysportu 500 U. Dysport 500 U sa podáva subkutánnou injekciou mediálne a laterálne do spojenia  medzi preseptálnou a orbitálnou časťou horného a dolného </w:t>
      </w:r>
      <w:r w:rsidRPr="00475027">
        <w:rPr>
          <w:rFonts w:ascii="Times New Roman" w:hAnsi="Times New Roman" w:cs="Times New Roman"/>
          <w:i/>
          <w:sz w:val="22"/>
          <w:szCs w:val="22"/>
          <w:lang w:val="sk-SK"/>
        </w:rPr>
        <w:t>musculus orbicularis oculi</w:t>
      </w:r>
      <w:r w:rsidRPr="00475027">
        <w:rPr>
          <w:rFonts w:ascii="Times New Roman" w:hAnsi="Times New Roman" w:cs="Times New Roman"/>
          <w:sz w:val="22"/>
          <w:szCs w:val="22"/>
          <w:lang w:val="sk-SK"/>
        </w:rPr>
        <w:t>.</w:t>
      </w:r>
    </w:p>
    <w:p w14:paraId="25453B70" w14:textId="77777777" w:rsidR="00F134F4" w:rsidRPr="00475027" w:rsidRDefault="00F134F4" w:rsidP="00FE4006">
      <w:pPr>
        <w:jc w:val="both"/>
        <w:rPr>
          <w:rFonts w:ascii="Times New Roman" w:hAnsi="Times New Roman" w:cs="Times New Roman"/>
          <w:sz w:val="22"/>
          <w:szCs w:val="22"/>
          <w:lang w:val="sk-SK"/>
        </w:rPr>
      </w:pPr>
    </w:p>
    <w:p w14:paraId="6C05F966" w14:textId="77777777" w:rsidR="00F134F4" w:rsidRPr="00475027" w:rsidRDefault="00F134F4" w:rsidP="00FE4006">
      <w:pPr>
        <w:jc w:val="both"/>
        <w:rPr>
          <w:rFonts w:ascii="Times New Roman" w:hAnsi="Times New Roman" w:cs="Times New Roman"/>
          <w:bCs/>
          <w:sz w:val="22"/>
          <w:szCs w:val="22"/>
          <w:lang w:val="sk-SK"/>
        </w:rPr>
      </w:pPr>
      <w:r w:rsidRPr="00475027">
        <w:rPr>
          <w:rFonts w:ascii="Times New Roman" w:hAnsi="Times New Roman" w:cs="Times New Roman"/>
          <w:b/>
          <w:bCs/>
          <w:sz w:val="22"/>
          <w:szCs w:val="22"/>
          <w:lang w:val="sk-SK"/>
        </w:rPr>
        <w:t>Axilárna hyperhidróza</w:t>
      </w:r>
    </w:p>
    <w:p w14:paraId="3C3DA35C" w14:textId="77777777" w:rsidR="00F134F4" w:rsidRPr="00475027" w:rsidRDefault="00F134F4" w:rsidP="00FE4006">
      <w:pPr>
        <w:jc w:val="both"/>
        <w:rPr>
          <w:rFonts w:ascii="Times New Roman" w:hAnsi="Times New Roman" w:cs="Times New Roman"/>
          <w:bCs/>
          <w:sz w:val="22"/>
          <w:szCs w:val="22"/>
          <w:lang w:val="sk-SK"/>
        </w:rPr>
      </w:pPr>
    </w:p>
    <w:p w14:paraId="23B0CA14" w14:textId="77777777" w:rsidR="00F134F4" w:rsidRPr="00475027" w:rsidRDefault="00F134F4" w:rsidP="00FE4006">
      <w:pPr>
        <w:jc w:val="both"/>
        <w:rPr>
          <w:rFonts w:ascii="Times New Roman" w:hAnsi="Times New Roman" w:cs="Times New Roman"/>
          <w:bCs/>
          <w:sz w:val="22"/>
          <w:szCs w:val="22"/>
          <w:lang w:val="sk-SK"/>
        </w:rPr>
      </w:pPr>
      <w:r w:rsidRPr="00475027">
        <w:rPr>
          <w:rFonts w:ascii="Times New Roman" w:hAnsi="Times New Roman" w:cs="Times New Roman"/>
          <w:bCs/>
          <w:sz w:val="22"/>
          <w:szCs w:val="22"/>
          <w:u w:val="single"/>
          <w:lang w:val="sk-SK"/>
        </w:rPr>
        <w:t>Dávkovanie</w:t>
      </w:r>
      <w:r w:rsidRPr="00475027">
        <w:rPr>
          <w:rFonts w:ascii="Times New Roman" w:hAnsi="Times New Roman" w:cs="Times New Roman"/>
          <w:bCs/>
          <w:sz w:val="22"/>
          <w:szCs w:val="22"/>
          <w:lang w:val="sk-SK"/>
        </w:rPr>
        <w:t>:</w:t>
      </w:r>
    </w:p>
    <w:p w14:paraId="504529F2" w14:textId="77777777" w:rsidR="00F134F4" w:rsidRPr="00475027" w:rsidRDefault="00F134F4" w:rsidP="00FE4006">
      <w:pPr>
        <w:jc w:val="both"/>
        <w:rPr>
          <w:rFonts w:ascii="Times New Roman" w:hAnsi="Times New Roman" w:cs="Times New Roman"/>
          <w:bCs/>
          <w:sz w:val="22"/>
          <w:szCs w:val="22"/>
          <w:lang w:val="sk-SK"/>
        </w:rPr>
      </w:pPr>
    </w:p>
    <w:p w14:paraId="08670A1A" w14:textId="77777777" w:rsidR="00F134F4" w:rsidRPr="00475027" w:rsidRDefault="00F134F4" w:rsidP="00AA06FF">
      <w:pPr>
        <w:rPr>
          <w:rFonts w:ascii="Times New Roman" w:hAnsi="Times New Roman" w:cs="Times New Roman"/>
          <w:bCs/>
          <w:sz w:val="22"/>
          <w:szCs w:val="22"/>
          <w:lang w:val="sk-SK"/>
        </w:rPr>
      </w:pPr>
      <w:r w:rsidRPr="00475027">
        <w:rPr>
          <w:rFonts w:ascii="Times New Roman" w:hAnsi="Times New Roman" w:cs="Times New Roman"/>
          <w:bCs/>
          <w:sz w:val="22"/>
          <w:szCs w:val="22"/>
          <w:lang w:val="sk-SK"/>
        </w:rPr>
        <w:t xml:space="preserve">Odporúčaná počiatočná dávka je 100 U na podpazušie. Ak sa požadovaný efekt nedostaví, v opakovaných aplikáciách sa môže zvýšiť dávka až na 200 U. </w:t>
      </w:r>
    </w:p>
    <w:p w14:paraId="73FB2B1C" w14:textId="77777777" w:rsidR="00F134F4" w:rsidRPr="00475027" w:rsidRDefault="00F134F4" w:rsidP="00AA06FF">
      <w:pPr>
        <w:rPr>
          <w:rFonts w:ascii="Times New Roman" w:hAnsi="Times New Roman" w:cs="Times New Roman"/>
          <w:bCs/>
          <w:sz w:val="22"/>
          <w:szCs w:val="22"/>
          <w:lang w:val="sk-SK"/>
        </w:rPr>
      </w:pPr>
      <w:r w:rsidRPr="00475027">
        <w:rPr>
          <w:rFonts w:ascii="Times New Roman" w:hAnsi="Times New Roman" w:cs="Times New Roman"/>
          <w:bCs/>
          <w:sz w:val="22"/>
          <w:szCs w:val="22"/>
          <w:lang w:val="sk-SK"/>
        </w:rPr>
        <w:t>Maximálna podaná dávka nesmie presiahnuť 200 U na axillu.</w:t>
      </w:r>
    </w:p>
    <w:p w14:paraId="05B1BCB3" w14:textId="77777777" w:rsidR="00F134F4" w:rsidRPr="00475027" w:rsidRDefault="00F134F4" w:rsidP="00FE4006">
      <w:pPr>
        <w:tabs>
          <w:tab w:val="left" w:pos="720"/>
        </w:tabs>
        <w:jc w:val="both"/>
        <w:rPr>
          <w:rFonts w:ascii="Times New Roman" w:hAnsi="Times New Roman" w:cs="Times New Roman"/>
          <w:bCs/>
          <w:sz w:val="22"/>
          <w:szCs w:val="22"/>
          <w:lang w:val="sk-SK"/>
        </w:rPr>
      </w:pPr>
      <w:r w:rsidRPr="00475027">
        <w:rPr>
          <w:rFonts w:ascii="Times New Roman" w:hAnsi="Times New Roman" w:cs="Times New Roman"/>
          <w:bCs/>
          <w:sz w:val="22"/>
          <w:szCs w:val="22"/>
          <w:lang w:val="sk-SK"/>
        </w:rPr>
        <w:lastRenderedPageBreak/>
        <w:t>Oblasť, ktorá sa má ošetriť, sa má určiť dopredu Minorovým „jódamidovým“ testom. Obe axily sa majú očistiť a dezinfikovať. Liek sa má injikovať do 10 bodov intradermálne po 10 U a tak sa dosiahne celková dávka 100 U. Maximálny účinok sa dostaví na druhý týždeň po aplikácii. Vo väčšine prípadov odporúčaná dávka zabezpečí 48 týždňový ústup potenia. Ďalšia aplikácia sa má načasovať individuálne, keď sa pacientove potenie vráti k hodnotám pred aplikáciou, ale nie častejšie ako každých 12 týždňov. Existujú dôkazy kumulatívneho efektu opakovaných dávok, a preto sa tieto musia určiť individuálne. U palmárnej hyperhidrózy je celková dávka na jednu dlaň 120 U subkutánne, rozmiestnená do 6 rôznych miest, 20 U na jedno injekčné miesto.</w:t>
      </w:r>
    </w:p>
    <w:p w14:paraId="0EA0C552" w14:textId="77777777" w:rsidR="00F134F4" w:rsidRPr="00475027" w:rsidRDefault="00F134F4" w:rsidP="00FE4006">
      <w:pPr>
        <w:jc w:val="both"/>
        <w:rPr>
          <w:rFonts w:ascii="Times New Roman" w:hAnsi="Times New Roman" w:cs="Times New Roman"/>
          <w:bCs/>
          <w:sz w:val="22"/>
          <w:szCs w:val="22"/>
          <w:lang w:val="sk-SK"/>
        </w:rPr>
      </w:pPr>
    </w:p>
    <w:p w14:paraId="48BE874C" w14:textId="77777777" w:rsidR="00F134F4" w:rsidRPr="00475027" w:rsidRDefault="00F134F4" w:rsidP="00FE4006">
      <w:pPr>
        <w:jc w:val="both"/>
        <w:rPr>
          <w:rFonts w:ascii="Times New Roman" w:hAnsi="Times New Roman" w:cs="Times New Roman"/>
          <w:bCs/>
          <w:sz w:val="22"/>
          <w:szCs w:val="22"/>
          <w:lang w:val="sk-SK"/>
        </w:rPr>
      </w:pPr>
      <w:r w:rsidRPr="00475027">
        <w:rPr>
          <w:rFonts w:ascii="Times New Roman" w:hAnsi="Times New Roman" w:cs="Times New Roman"/>
          <w:bCs/>
          <w:sz w:val="22"/>
          <w:szCs w:val="22"/>
          <w:lang w:val="sk-SK"/>
        </w:rPr>
        <w:t xml:space="preserve">Deti: Bezpečnosť a účinnosť Dysportu 500 U v liečbe hyperhidrózy detí nie je dokázaná. </w:t>
      </w:r>
    </w:p>
    <w:p w14:paraId="50594467" w14:textId="77777777" w:rsidR="00F134F4" w:rsidRPr="00475027" w:rsidRDefault="00F134F4" w:rsidP="00FE4006">
      <w:pPr>
        <w:pStyle w:val="Nadpis4"/>
        <w:rPr>
          <w:rFonts w:cs="Times New Roman"/>
          <w:color w:val="000000"/>
          <w:sz w:val="22"/>
          <w:szCs w:val="22"/>
        </w:rPr>
      </w:pPr>
    </w:p>
    <w:p w14:paraId="0BA1FC70" w14:textId="77777777" w:rsidR="00F134F4" w:rsidRPr="00475027" w:rsidRDefault="00F134F4" w:rsidP="00FE4006">
      <w:pPr>
        <w:pStyle w:val="Nadpis4"/>
        <w:rPr>
          <w:rFonts w:cs="Times New Roman"/>
          <w:b w:val="0"/>
          <w:i w:val="0"/>
          <w:color w:val="000000"/>
          <w:sz w:val="22"/>
          <w:szCs w:val="22"/>
          <w:u w:val="single"/>
        </w:rPr>
      </w:pPr>
      <w:r w:rsidRPr="00475027">
        <w:rPr>
          <w:rFonts w:cs="Times New Roman"/>
          <w:b w:val="0"/>
          <w:i w:val="0"/>
          <w:color w:val="000000"/>
          <w:sz w:val="22"/>
          <w:szCs w:val="22"/>
          <w:u w:val="single"/>
        </w:rPr>
        <w:t>Spôsob podávania</w:t>
      </w:r>
    </w:p>
    <w:p w14:paraId="605E0012" w14:textId="77777777" w:rsidR="00F134F4" w:rsidRPr="00475027" w:rsidRDefault="00F134F4" w:rsidP="00682658">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Na liečbu axilárnej hyperhidrózy sa Dysport 500 U rekonštituuje s 2, 5 ml 0,9 % roztoku chloridu sodného injekcie, ktorý obsahuje 200 U v 1 ml Dysportu 500 U a podáva sa intradermálnou injekciou tak, ako je popísané vyššie. Dysport 500 U sa aplikuje intradermálnou  injekciou na desiatich miestach.</w:t>
      </w:r>
    </w:p>
    <w:p w14:paraId="113592E6" w14:textId="77777777" w:rsidR="00F134F4" w:rsidRPr="00475027" w:rsidRDefault="00F134F4" w:rsidP="00FE4006">
      <w:pPr>
        <w:jc w:val="both"/>
        <w:rPr>
          <w:rFonts w:ascii="Times New Roman" w:hAnsi="Times New Roman" w:cs="Times New Roman"/>
          <w:bCs/>
          <w:sz w:val="22"/>
          <w:szCs w:val="22"/>
          <w:lang w:val="sk-SK"/>
        </w:rPr>
      </w:pPr>
    </w:p>
    <w:p w14:paraId="4F514BA8" w14:textId="77777777" w:rsidR="00F134F4" w:rsidRPr="00475027" w:rsidRDefault="00F134F4" w:rsidP="00FE4006">
      <w:pPr>
        <w:jc w:val="both"/>
        <w:rPr>
          <w:rFonts w:ascii="Times New Roman" w:hAnsi="Times New Roman" w:cs="Times New Roman"/>
          <w:b/>
          <w:bCs/>
          <w:sz w:val="22"/>
          <w:szCs w:val="22"/>
          <w:lang w:val="sk-SK"/>
        </w:rPr>
      </w:pPr>
      <w:r w:rsidRPr="00475027">
        <w:rPr>
          <w:rFonts w:ascii="Times New Roman" w:hAnsi="Times New Roman" w:cs="Times New Roman"/>
          <w:b/>
          <w:bCs/>
          <w:sz w:val="22"/>
          <w:szCs w:val="22"/>
          <w:lang w:val="sk-SK"/>
        </w:rPr>
        <w:t>Hyperfunkčné línie na tvári</w:t>
      </w:r>
    </w:p>
    <w:p w14:paraId="7CD05E85" w14:textId="77777777" w:rsidR="00F134F4" w:rsidRPr="00475027" w:rsidRDefault="00F134F4" w:rsidP="00FE4006">
      <w:pPr>
        <w:jc w:val="both"/>
        <w:rPr>
          <w:rFonts w:ascii="Times New Roman" w:hAnsi="Times New Roman" w:cs="Times New Roman"/>
          <w:b/>
          <w:bCs/>
          <w:sz w:val="22"/>
          <w:szCs w:val="22"/>
          <w:lang w:val="sk-SK"/>
        </w:rPr>
      </w:pPr>
    </w:p>
    <w:p w14:paraId="60C70322" w14:textId="77777777" w:rsidR="00F134F4" w:rsidRPr="00475027" w:rsidRDefault="00F134F4" w:rsidP="00FE4006">
      <w:pPr>
        <w:jc w:val="both"/>
        <w:rPr>
          <w:rFonts w:ascii="Times New Roman" w:hAnsi="Times New Roman" w:cs="Times New Roman"/>
          <w:bCs/>
          <w:sz w:val="22"/>
          <w:szCs w:val="22"/>
          <w:u w:val="single"/>
          <w:lang w:val="sk-SK"/>
        </w:rPr>
      </w:pPr>
      <w:r w:rsidRPr="00475027">
        <w:rPr>
          <w:rFonts w:ascii="Times New Roman" w:hAnsi="Times New Roman" w:cs="Times New Roman"/>
          <w:bCs/>
          <w:sz w:val="22"/>
          <w:szCs w:val="22"/>
          <w:u w:val="single"/>
          <w:lang w:val="sk-SK"/>
        </w:rPr>
        <w:t>Dávkovanie:</w:t>
      </w:r>
    </w:p>
    <w:p w14:paraId="4DD02211" w14:textId="77777777" w:rsidR="00F134F4" w:rsidRPr="00475027" w:rsidRDefault="00F134F4" w:rsidP="00FE4006">
      <w:pPr>
        <w:jc w:val="both"/>
        <w:rPr>
          <w:rFonts w:ascii="Times New Roman" w:hAnsi="Times New Roman" w:cs="Times New Roman"/>
          <w:b/>
          <w:bCs/>
          <w:sz w:val="22"/>
          <w:szCs w:val="22"/>
          <w:lang w:val="sk-SK"/>
        </w:rPr>
      </w:pPr>
    </w:p>
    <w:p w14:paraId="44B7C389" w14:textId="77777777" w:rsidR="00F134F4" w:rsidRPr="00475027" w:rsidRDefault="00F134F4" w:rsidP="00FE4006">
      <w:pPr>
        <w:jc w:val="both"/>
        <w:rPr>
          <w:rFonts w:ascii="Times New Roman" w:hAnsi="Times New Roman" w:cs="Times New Roman"/>
          <w:bCs/>
          <w:sz w:val="22"/>
          <w:szCs w:val="22"/>
          <w:lang w:val="sk-SK"/>
        </w:rPr>
      </w:pPr>
      <w:r w:rsidRPr="00475027">
        <w:rPr>
          <w:rFonts w:ascii="Times New Roman" w:hAnsi="Times New Roman" w:cs="Times New Roman"/>
          <w:bCs/>
          <w:sz w:val="22"/>
          <w:szCs w:val="22"/>
          <w:lang w:val="sk-SK"/>
        </w:rPr>
        <w:t>Na liečbu hyperfunkčných línií na tvári sa odporúča použiť elektromyografiu s cieľom získať maximálny terapeutický efekt pri minimálnej možnej použitej dávke lieku.</w:t>
      </w:r>
    </w:p>
    <w:p w14:paraId="58D5450C" w14:textId="77777777" w:rsidR="00F134F4" w:rsidRPr="00475027" w:rsidRDefault="00F134F4" w:rsidP="00FE4006">
      <w:pPr>
        <w:jc w:val="both"/>
        <w:rPr>
          <w:rFonts w:ascii="Times New Roman" w:hAnsi="Times New Roman" w:cs="Times New Roman"/>
          <w:bCs/>
          <w:sz w:val="22"/>
          <w:szCs w:val="22"/>
          <w:lang w:val="sk-SK"/>
        </w:rPr>
      </w:pPr>
      <w:r w:rsidRPr="00475027">
        <w:rPr>
          <w:rFonts w:ascii="Times New Roman" w:hAnsi="Times New Roman" w:cs="Times New Roman"/>
          <w:bCs/>
          <w:sz w:val="22"/>
          <w:szCs w:val="22"/>
          <w:lang w:val="sk-SK"/>
        </w:rPr>
        <w:t>Dávku musí stanoviť lekár na základe svalovej sily a svalovej kinetiky pacienta.</w:t>
      </w:r>
    </w:p>
    <w:p w14:paraId="08C6B4E1" w14:textId="77777777" w:rsidR="00F134F4" w:rsidRPr="00475027" w:rsidRDefault="00F134F4" w:rsidP="00FE4006">
      <w:pPr>
        <w:jc w:val="both"/>
        <w:rPr>
          <w:rFonts w:ascii="Times New Roman" w:hAnsi="Times New Roman" w:cs="Times New Roman"/>
          <w:bCs/>
          <w:sz w:val="22"/>
          <w:szCs w:val="22"/>
          <w:lang w:val="sk-SK"/>
        </w:rPr>
      </w:pPr>
      <w:r w:rsidRPr="00475027">
        <w:rPr>
          <w:rFonts w:ascii="Times New Roman" w:hAnsi="Times New Roman" w:cs="Times New Roman"/>
          <w:bCs/>
          <w:sz w:val="22"/>
          <w:szCs w:val="22"/>
          <w:lang w:val="sk-SK"/>
        </w:rPr>
        <w:t>Aplikácia sa vykonáva intramuskulárne do svalu súvisiaceho s hyperfunkčnou líniou, a to injekčnou striekačkou s inzulínovou ihlou 30 ½ gauge.</w:t>
      </w:r>
    </w:p>
    <w:p w14:paraId="4A15D535" w14:textId="77777777" w:rsidR="00F134F4" w:rsidRPr="00475027" w:rsidRDefault="00F134F4" w:rsidP="00FE4006">
      <w:pPr>
        <w:jc w:val="both"/>
        <w:rPr>
          <w:rFonts w:ascii="Times New Roman" w:hAnsi="Times New Roman" w:cs="Times New Roman"/>
          <w:bCs/>
          <w:sz w:val="22"/>
          <w:szCs w:val="22"/>
          <w:lang w:val="sk-SK"/>
        </w:rPr>
      </w:pPr>
      <w:r w:rsidRPr="00475027">
        <w:rPr>
          <w:rFonts w:ascii="Times New Roman" w:hAnsi="Times New Roman" w:cs="Times New Roman"/>
          <w:bCs/>
          <w:sz w:val="22"/>
          <w:szCs w:val="22"/>
          <w:lang w:val="sk-SK"/>
        </w:rPr>
        <w:t>Objem sa môže líšiť podľa rekonštitúcie (nariedenia), o ktorom rozhodne lekár podľa toho, aký objem považuje za najvhodnejší pre daného pacienta.</w:t>
      </w:r>
    </w:p>
    <w:p w14:paraId="42A1384E" w14:textId="77777777" w:rsidR="00F134F4" w:rsidRPr="00475027" w:rsidRDefault="00F134F4" w:rsidP="00FE4006">
      <w:pPr>
        <w:pStyle w:val="Text"/>
        <w:ind w:left="0"/>
        <w:jc w:val="left"/>
        <w:rPr>
          <w:rFonts w:ascii="Times New Roman" w:hAnsi="Times New Roman"/>
          <w:sz w:val="22"/>
          <w:szCs w:val="22"/>
          <w:lang w:val="sk-SK"/>
        </w:rPr>
      </w:pPr>
    </w:p>
    <w:p w14:paraId="3DF9F150" w14:textId="77777777" w:rsidR="00F134F4" w:rsidRPr="00475027" w:rsidRDefault="00F134F4" w:rsidP="00FE4006">
      <w:pPr>
        <w:pStyle w:val="Text"/>
        <w:ind w:left="0"/>
        <w:jc w:val="left"/>
        <w:rPr>
          <w:rFonts w:ascii="Times New Roman" w:hAnsi="Times New Roman"/>
          <w:sz w:val="22"/>
          <w:szCs w:val="22"/>
          <w:lang w:val="sk-SK"/>
        </w:rPr>
      </w:pPr>
      <w:r w:rsidRPr="00475027">
        <w:rPr>
          <w:rFonts w:ascii="Times New Roman" w:hAnsi="Times New Roman"/>
          <w:sz w:val="22"/>
          <w:szCs w:val="22"/>
          <w:lang w:val="sk-SK"/>
        </w:rPr>
        <w:t>Odlíčte a dezinfikujte pokožku lokálnym antiseptikom v glabelárnej oblasti. Intramuskulárnu injekciu treba aplikovať do pokožky pod pravým uhlom pri použití sterilných ihiel veľkosti 29 – 30.</w:t>
      </w:r>
    </w:p>
    <w:p w14:paraId="38AB4FE5" w14:textId="77777777" w:rsidR="00F134F4" w:rsidRPr="00475027" w:rsidRDefault="00F134F4" w:rsidP="00682658">
      <w:pPr>
        <w:pStyle w:val="Text"/>
        <w:ind w:left="0"/>
        <w:rPr>
          <w:rFonts w:ascii="Times New Roman" w:hAnsi="Times New Roman"/>
          <w:sz w:val="22"/>
          <w:szCs w:val="22"/>
          <w:lang w:val="sk-SK"/>
        </w:rPr>
      </w:pPr>
      <w:r w:rsidRPr="00475027">
        <w:rPr>
          <w:rFonts w:ascii="Times New Roman" w:hAnsi="Times New Roman"/>
          <w:sz w:val="22"/>
          <w:szCs w:val="22"/>
          <w:lang w:val="sk-SK"/>
        </w:rPr>
        <w:t>Odporúčaná dávka 50 U (0,25 ml) Dysportu 500 U sa musí rozdeliť do 5 injekčných miest.</w:t>
      </w:r>
    </w:p>
    <w:p w14:paraId="1F24E91F" w14:textId="77777777" w:rsidR="00F134F4" w:rsidRPr="00475027" w:rsidRDefault="00F134F4" w:rsidP="00682658">
      <w:pPr>
        <w:pStyle w:val="Text"/>
        <w:ind w:left="0"/>
        <w:rPr>
          <w:rFonts w:ascii="Times New Roman" w:hAnsi="Times New Roman"/>
          <w:sz w:val="22"/>
          <w:szCs w:val="22"/>
          <w:lang w:val="sk-SK"/>
        </w:rPr>
      </w:pPr>
      <w:r w:rsidRPr="00475027">
        <w:rPr>
          <w:rFonts w:ascii="Times New Roman" w:hAnsi="Times New Roman"/>
          <w:sz w:val="22"/>
          <w:szCs w:val="22"/>
          <w:lang w:val="sk-SK"/>
        </w:rPr>
        <w:t>10 jednotiek je nutné intramuskulárne aplikovať do každého z piatich miest: 2 injekcie do zvrašťovača obočia (</w:t>
      </w:r>
      <w:r w:rsidRPr="00475027">
        <w:rPr>
          <w:rFonts w:ascii="Times New Roman" w:hAnsi="Times New Roman"/>
          <w:i/>
          <w:sz w:val="22"/>
          <w:szCs w:val="22"/>
          <w:lang w:val="sk-SK"/>
        </w:rPr>
        <w:t>corrugator supercilii</w:t>
      </w:r>
      <w:r w:rsidRPr="00475027">
        <w:rPr>
          <w:rFonts w:ascii="Times New Roman" w:hAnsi="Times New Roman"/>
          <w:sz w:val="22"/>
          <w:szCs w:val="22"/>
          <w:lang w:val="sk-SK"/>
        </w:rPr>
        <w:t>) v 5 mm rozmedzí a jedna injekcia do štíhleho svalu (</w:t>
      </w:r>
      <w:r w:rsidRPr="00475027">
        <w:rPr>
          <w:rFonts w:ascii="Times New Roman" w:hAnsi="Times New Roman"/>
          <w:i/>
          <w:sz w:val="22"/>
          <w:szCs w:val="22"/>
          <w:lang w:val="sk-SK"/>
        </w:rPr>
        <w:t>musculus procerus</w:t>
      </w:r>
      <w:r w:rsidRPr="00475027">
        <w:rPr>
          <w:rFonts w:ascii="Times New Roman" w:hAnsi="Times New Roman"/>
          <w:sz w:val="22"/>
          <w:szCs w:val="22"/>
          <w:lang w:val="sk-SK"/>
        </w:rPr>
        <w:t xml:space="preserve">) blízko nazálno frontálneho oblúka. </w:t>
      </w:r>
    </w:p>
    <w:p w14:paraId="66101770" w14:textId="77777777" w:rsidR="00F134F4" w:rsidRPr="00475027" w:rsidRDefault="00F134F4" w:rsidP="00682658">
      <w:pPr>
        <w:pStyle w:val="Text"/>
        <w:ind w:left="0"/>
        <w:rPr>
          <w:rFonts w:ascii="Times New Roman" w:hAnsi="Times New Roman"/>
          <w:sz w:val="22"/>
          <w:szCs w:val="22"/>
          <w:lang w:val="sk-SK"/>
        </w:rPr>
      </w:pPr>
      <w:r w:rsidRPr="00475027">
        <w:rPr>
          <w:rFonts w:ascii="Times New Roman" w:hAnsi="Times New Roman"/>
          <w:sz w:val="22"/>
          <w:szCs w:val="22"/>
          <w:lang w:val="sk-SK"/>
        </w:rPr>
        <w:t xml:space="preserve">Najvnútornejší bod, </w:t>
      </w:r>
      <w:r w:rsidRPr="00475027">
        <w:rPr>
          <w:rFonts w:ascii="Times New Roman" w:hAnsi="Times New Roman"/>
          <w:i/>
          <w:sz w:val="22"/>
          <w:szCs w:val="22"/>
          <w:lang w:val="sk-SK"/>
        </w:rPr>
        <w:t>corrugator</w:t>
      </w:r>
      <w:r w:rsidRPr="00475027">
        <w:rPr>
          <w:rFonts w:ascii="Times New Roman" w:hAnsi="Times New Roman"/>
          <w:sz w:val="22"/>
          <w:szCs w:val="22"/>
          <w:lang w:val="sk-SK"/>
        </w:rPr>
        <w:t xml:space="preserve">, sa nachádza 8 mm od </w:t>
      </w:r>
      <w:r w:rsidRPr="00475027">
        <w:rPr>
          <w:rFonts w:ascii="Times New Roman" w:hAnsi="Times New Roman"/>
          <w:i/>
          <w:sz w:val="22"/>
          <w:szCs w:val="22"/>
          <w:lang w:val="sk-SK"/>
        </w:rPr>
        <w:t>procerus</w:t>
      </w:r>
      <w:r w:rsidRPr="00475027">
        <w:rPr>
          <w:rFonts w:ascii="Times New Roman" w:hAnsi="Times New Roman"/>
          <w:sz w:val="22"/>
          <w:szCs w:val="22"/>
          <w:lang w:val="sk-SK"/>
        </w:rPr>
        <w:t xml:space="preserve"> a 8 mm od vrchnej strany očnice. Pacient by mal pravidelne zmršťovať čelo, aby sa tieto body dali lepšie určiť.</w:t>
      </w:r>
    </w:p>
    <w:p w14:paraId="126000FA" w14:textId="77777777" w:rsidR="00F134F4" w:rsidRPr="00475027" w:rsidRDefault="00F134F4" w:rsidP="00682658">
      <w:pPr>
        <w:pStyle w:val="Text"/>
        <w:ind w:left="0"/>
        <w:rPr>
          <w:rFonts w:ascii="Times New Roman" w:hAnsi="Times New Roman"/>
          <w:sz w:val="22"/>
          <w:szCs w:val="22"/>
          <w:lang w:val="sk-SK"/>
        </w:rPr>
      </w:pPr>
      <w:r w:rsidRPr="00475027">
        <w:rPr>
          <w:rFonts w:ascii="Times New Roman" w:hAnsi="Times New Roman"/>
          <w:sz w:val="22"/>
          <w:szCs w:val="22"/>
          <w:lang w:val="sk-SK"/>
        </w:rPr>
        <w:t xml:space="preserve">Aby nedošlo k ptóze, je nutné vyhnúť sa injekciám do oblasti </w:t>
      </w:r>
      <w:r w:rsidRPr="00475027">
        <w:rPr>
          <w:rFonts w:ascii="Times New Roman" w:hAnsi="Times New Roman"/>
          <w:i/>
          <w:sz w:val="22"/>
          <w:szCs w:val="22"/>
          <w:lang w:val="sk-SK"/>
        </w:rPr>
        <w:t>levator palpebrae superoris</w:t>
      </w:r>
      <w:r w:rsidRPr="00475027">
        <w:rPr>
          <w:rFonts w:ascii="Times New Roman" w:hAnsi="Times New Roman"/>
          <w:sz w:val="22"/>
          <w:szCs w:val="22"/>
          <w:lang w:val="sk-SK"/>
        </w:rPr>
        <w:t xml:space="preserve">. Vpichy do laterálneho </w:t>
      </w:r>
      <w:r w:rsidRPr="00475027">
        <w:rPr>
          <w:rFonts w:ascii="Times New Roman" w:hAnsi="Times New Roman"/>
          <w:i/>
          <w:sz w:val="22"/>
          <w:szCs w:val="22"/>
          <w:lang w:val="sk-SK"/>
        </w:rPr>
        <w:t>corrugatora</w:t>
      </w:r>
      <w:r w:rsidRPr="00475027">
        <w:rPr>
          <w:rFonts w:ascii="Times New Roman" w:hAnsi="Times New Roman"/>
          <w:sz w:val="22"/>
          <w:szCs w:val="22"/>
          <w:lang w:val="sk-SK"/>
        </w:rPr>
        <w:t xml:space="preserve"> musia byť vykonané aspoň 1cm nad oblasťou nadočnicovej kosti.</w:t>
      </w:r>
    </w:p>
    <w:p w14:paraId="08122FC5" w14:textId="77777777" w:rsidR="00F134F4" w:rsidRPr="00475027" w:rsidRDefault="00F134F4" w:rsidP="00FE4006">
      <w:pPr>
        <w:pStyle w:val="Text"/>
        <w:ind w:left="0"/>
        <w:jc w:val="left"/>
        <w:rPr>
          <w:rFonts w:ascii="Times New Roman" w:hAnsi="Times New Roman"/>
          <w:sz w:val="22"/>
          <w:szCs w:val="22"/>
          <w:lang w:val="sk-SK"/>
        </w:rPr>
      </w:pPr>
      <w:r w:rsidRPr="00475027">
        <w:rPr>
          <w:rFonts w:ascii="Times New Roman" w:hAnsi="Times New Roman"/>
          <w:sz w:val="22"/>
          <w:szCs w:val="22"/>
          <w:lang w:val="sk-SK"/>
        </w:rPr>
        <w:t>(obr.:C1- C2</w:t>
      </w:r>
      <w:r w:rsidRPr="00475027">
        <w:rPr>
          <w:rFonts w:ascii="Times New Roman" w:hAnsi="Times New Roman"/>
          <w:i/>
          <w:sz w:val="22"/>
          <w:szCs w:val="22"/>
          <w:lang w:val="sk-SK"/>
        </w:rPr>
        <w:t>: Corrugator supercilii</w:t>
      </w:r>
      <w:r w:rsidRPr="00475027">
        <w:rPr>
          <w:rFonts w:ascii="Times New Roman" w:hAnsi="Times New Roman"/>
          <w:sz w:val="22"/>
          <w:szCs w:val="22"/>
          <w:lang w:val="sk-SK"/>
        </w:rPr>
        <w:t xml:space="preserve">/ P: </w:t>
      </w:r>
      <w:r w:rsidRPr="00475027">
        <w:rPr>
          <w:rFonts w:ascii="Times New Roman" w:hAnsi="Times New Roman"/>
          <w:i/>
          <w:sz w:val="22"/>
          <w:szCs w:val="22"/>
          <w:lang w:val="sk-SK"/>
        </w:rPr>
        <w:t>Musculus procerus</w:t>
      </w:r>
      <w:r w:rsidRPr="00475027">
        <w:rPr>
          <w:rFonts w:ascii="Times New Roman" w:hAnsi="Times New Roman"/>
          <w:sz w:val="22"/>
          <w:szCs w:val="22"/>
          <w:lang w:val="sk-SK"/>
        </w:rPr>
        <w:t>).</w:t>
      </w:r>
    </w:p>
    <w:p w14:paraId="3CBF4DD7" w14:textId="77777777" w:rsidR="00F134F4" w:rsidRPr="00475027" w:rsidRDefault="00F134F4" w:rsidP="00FE4006">
      <w:pPr>
        <w:pStyle w:val="Text"/>
        <w:ind w:left="0"/>
        <w:jc w:val="left"/>
        <w:rPr>
          <w:rFonts w:ascii="Times New Roman" w:hAnsi="Times New Roman"/>
          <w:sz w:val="22"/>
          <w:szCs w:val="22"/>
          <w:lang w:val="sk-SK"/>
        </w:rPr>
      </w:pPr>
    </w:p>
    <w:p w14:paraId="121A1091" w14:textId="77777777" w:rsidR="00F134F4" w:rsidRPr="00475027" w:rsidRDefault="00523E14" w:rsidP="00FE4006">
      <w:pPr>
        <w:pStyle w:val="Text"/>
        <w:ind w:left="0"/>
        <w:jc w:val="center"/>
        <w:rPr>
          <w:rFonts w:ascii="Times New Roman" w:hAnsi="Times New Roman"/>
          <w:sz w:val="22"/>
          <w:szCs w:val="22"/>
          <w:lang w:val="sk-SK"/>
        </w:rPr>
      </w:pPr>
      <w:bookmarkStart w:id="0" w:name="OLE_LINK1"/>
      <w:r w:rsidRPr="00475027">
        <w:rPr>
          <w:rFonts w:ascii="Times New Roman" w:hAnsi="Times New Roman"/>
          <w:noProof/>
          <w:sz w:val="22"/>
          <w:szCs w:val="22"/>
          <w:lang w:val="sk-SK" w:eastAsia="sk-SK"/>
        </w:rPr>
        <w:drawing>
          <wp:inline distT="0" distB="0" distL="0" distR="0" wp14:anchorId="15611F87" wp14:editId="4A033770">
            <wp:extent cx="2362200" cy="208597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2085975"/>
                    </a:xfrm>
                    <a:prstGeom prst="rect">
                      <a:avLst/>
                    </a:prstGeom>
                    <a:noFill/>
                    <a:ln>
                      <a:noFill/>
                    </a:ln>
                  </pic:spPr>
                </pic:pic>
              </a:graphicData>
            </a:graphic>
          </wp:inline>
        </w:drawing>
      </w:r>
      <w:bookmarkEnd w:id="0"/>
    </w:p>
    <w:p w14:paraId="0CFA4DE4" w14:textId="77777777" w:rsidR="00F134F4" w:rsidRPr="00475027" w:rsidRDefault="00523E14" w:rsidP="00FE4006">
      <w:pPr>
        <w:pStyle w:val="Text"/>
        <w:ind w:left="0"/>
        <w:jc w:val="center"/>
        <w:rPr>
          <w:rFonts w:ascii="Times New Roman" w:hAnsi="Times New Roman"/>
          <w:sz w:val="22"/>
          <w:szCs w:val="22"/>
          <w:lang w:val="sk-SK"/>
        </w:rPr>
      </w:pPr>
      <w:r w:rsidRPr="00475027">
        <w:rPr>
          <w:rFonts w:ascii="Times New Roman" w:hAnsi="Times New Roman"/>
          <w:noProof/>
          <w:color w:val="FF0000"/>
          <w:sz w:val="22"/>
          <w:szCs w:val="22"/>
          <w:lang w:val="sk-SK" w:eastAsia="sk-SK"/>
        </w:rPr>
        <w:lastRenderedPageBreak/>
        <w:drawing>
          <wp:inline distT="0" distB="0" distL="0" distR="0" wp14:anchorId="7872A2C5" wp14:editId="60DB4CA9">
            <wp:extent cx="4029075" cy="19621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9075" cy="1962150"/>
                    </a:xfrm>
                    <a:prstGeom prst="rect">
                      <a:avLst/>
                    </a:prstGeom>
                    <a:solidFill>
                      <a:srgbClr val="000000"/>
                    </a:solidFill>
                    <a:ln>
                      <a:noFill/>
                    </a:ln>
                  </pic:spPr>
                </pic:pic>
              </a:graphicData>
            </a:graphic>
          </wp:inline>
        </w:drawing>
      </w:r>
    </w:p>
    <w:p w14:paraId="798AD4AE" w14:textId="77777777" w:rsidR="00F134F4" w:rsidRPr="00475027" w:rsidRDefault="00F134F4" w:rsidP="00FE4006">
      <w:pPr>
        <w:pStyle w:val="Text"/>
        <w:ind w:left="0"/>
        <w:rPr>
          <w:rFonts w:ascii="Times New Roman" w:hAnsi="Times New Roman"/>
          <w:sz w:val="22"/>
          <w:szCs w:val="22"/>
          <w:lang w:val="sk-SK"/>
        </w:rPr>
      </w:pPr>
    </w:p>
    <w:p w14:paraId="5E0E0188" w14:textId="77777777" w:rsidR="00F134F4" w:rsidRPr="00475027" w:rsidRDefault="00F134F4" w:rsidP="00FE4006">
      <w:pPr>
        <w:pStyle w:val="Text"/>
        <w:pBdr>
          <w:top w:val="single" w:sz="4" w:space="1" w:color="auto"/>
          <w:left w:val="single" w:sz="4" w:space="4" w:color="auto"/>
          <w:bottom w:val="single" w:sz="4" w:space="1" w:color="auto"/>
          <w:right w:val="single" w:sz="4" w:space="4" w:color="auto"/>
        </w:pBdr>
        <w:ind w:left="0"/>
        <w:jc w:val="left"/>
        <w:rPr>
          <w:rFonts w:ascii="Times New Roman" w:hAnsi="Times New Roman"/>
          <w:b/>
          <w:sz w:val="22"/>
          <w:szCs w:val="22"/>
          <w:lang w:val="sk-SK"/>
        </w:rPr>
      </w:pPr>
      <w:r w:rsidRPr="00475027">
        <w:rPr>
          <w:rFonts w:ascii="Times New Roman" w:hAnsi="Times New Roman"/>
          <w:b/>
          <w:sz w:val="22"/>
          <w:szCs w:val="22"/>
          <w:lang w:val="sk-SK"/>
        </w:rPr>
        <w:t>Injekcie sa musia opakovať približne každých 16 týždňov. Prestávka medzi injekciami nemá byť menej ako 3 mesiace.</w:t>
      </w:r>
    </w:p>
    <w:p w14:paraId="5A5DB504" w14:textId="77777777" w:rsidR="00F134F4" w:rsidRPr="00475027" w:rsidRDefault="00F134F4" w:rsidP="00FE4006">
      <w:pPr>
        <w:jc w:val="both"/>
        <w:rPr>
          <w:rFonts w:ascii="Times New Roman" w:hAnsi="Times New Roman" w:cs="Times New Roman"/>
          <w:bCs/>
          <w:sz w:val="22"/>
          <w:szCs w:val="22"/>
          <w:lang w:val="sk-SK"/>
        </w:rPr>
      </w:pPr>
      <w:r w:rsidRPr="00475027">
        <w:rPr>
          <w:rFonts w:ascii="Times New Roman" w:hAnsi="Times New Roman" w:cs="Times New Roman"/>
          <w:bCs/>
          <w:sz w:val="22"/>
          <w:szCs w:val="22"/>
          <w:u w:val="single"/>
          <w:lang w:val="sk-SK"/>
        </w:rPr>
        <w:t>Vejáriky vrások:</w:t>
      </w:r>
      <w:r w:rsidRPr="00475027">
        <w:rPr>
          <w:rFonts w:ascii="Times New Roman" w:hAnsi="Times New Roman" w:cs="Times New Roman"/>
          <w:bCs/>
          <w:sz w:val="22"/>
          <w:szCs w:val="22"/>
          <w:lang w:val="sk-SK"/>
        </w:rPr>
        <w:t xml:space="preserve"> 30 U - 45 U na každej strane, rozmiestnených do troch bodov od 10 U do 15 U v úrovni očného kútika a 1 cm laterálne k laterálnej stene orbity. Ďalší bod leží 1,5 cm pod vyššie uvedeným bodom a mierne mediálne od prvého aplikačného miesta.</w:t>
      </w:r>
    </w:p>
    <w:p w14:paraId="57F648E5" w14:textId="77777777" w:rsidR="00F134F4" w:rsidRPr="00475027" w:rsidRDefault="00F134F4" w:rsidP="00FE4006">
      <w:pPr>
        <w:jc w:val="both"/>
        <w:rPr>
          <w:rFonts w:ascii="Times New Roman" w:hAnsi="Times New Roman" w:cs="Times New Roman"/>
          <w:bCs/>
          <w:sz w:val="22"/>
          <w:szCs w:val="22"/>
          <w:lang w:val="sk-SK"/>
        </w:rPr>
      </w:pPr>
      <w:r w:rsidRPr="00475027">
        <w:rPr>
          <w:rFonts w:ascii="Times New Roman" w:hAnsi="Times New Roman" w:cs="Times New Roman"/>
          <w:bCs/>
          <w:sz w:val="22"/>
          <w:szCs w:val="22"/>
          <w:lang w:val="sk-SK"/>
        </w:rPr>
        <w:t xml:space="preserve">Aby sa dosiahol lepší výsledok liečby, môže sa aplikačné miesto jemne masírovať, silnejšie vonkajším smerom. Je možné pridať aplikačné miesta, je však treba mať na pamäti, že  účinok toxínu sa obvykle rozšíri v oblasti 1 cm od injekčného miesta. Táto injekcia môže spôsobiť diplopiu, ektropium a asymetrický úsmev z poškodenia hornej časti </w:t>
      </w:r>
      <w:r w:rsidRPr="00475027">
        <w:rPr>
          <w:rFonts w:ascii="Times New Roman" w:hAnsi="Times New Roman" w:cs="Times New Roman"/>
          <w:bCs/>
          <w:i/>
          <w:sz w:val="22"/>
          <w:szCs w:val="22"/>
          <w:lang w:val="sk-SK"/>
        </w:rPr>
        <w:t>m. zygomaticus</w:t>
      </w:r>
      <w:r w:rsidRPr="00475027">
        <w:rPr>
          <w:rFonts w:ascii="Times New Roman" w:hAnsi="Times New Roman" w:cs="Times New Roman"/>
          <w:bCs/>
          <w:sz w:val="22"/>
          <w:szCs w:val="22"/>
          <w:lang w:val="sk-SK"/>
        </w:rPr>
        <w:t>.</w:t>
      </w:r>
    </w:p>
    <w:p w14:paraId="1E576F5B" w14:textId="77777777" w:rsidR="00F134F4" w:rsidRPr="00475027" w:rsidRDefault="00F134F4" w:rsidP="00FE4006">
      <w:pPr>
        <w:jc w:val="both"/>
        <w:rPr>
          <w:rFonts w:ascii="Times New Roman" w:hAnsi="Times New Roman" w:cs="Times New Roman"/>
          <w:bCs/>
          <w:sz w:val="22"/>
          <w:szCs w:val="22"/>
          <w:lang w:val="sk-SK"/>
        </w:rPr>
      </w:pPr>
      <w:r w:rsidRPr="00475027">
        <w:rPr>
          <w:rFonts w:ascii="Times New Roman" w:hAnsi="Times New Roman" w:cs="Times New Roman"/>
          <w:bCs/>
          <w:sz w:val="22"/>
          <w:szCs w:val="22"/>
          <w:u w:val="single"/>
          <w:lang w:val="sk-SK"/>
        </w:rPr>
        <w:t>Horizontálne línie v oblasti čela:</w:t>
      </w:r>
      <w:r w:rsidRPr="00475027">
        <w:rPr>
          <w:rFonts w:ascii="Times New Roman" w:hAnsi="Times New Roman" w:cs="Times New Roman"/>
          <w:bCs/>
          <w:sz w:val="22"/>
          <w:szCs w:val="22"/>
          <w:lang w:val="sk-SK"/>
        </w:rPr>
        <w:t xml:space="preserve"> aplikuje sa 30 U - 45 U pre parciálnu liečbu a 60 U - 80 U pre úplnú paralýzu. Zdanlivá čiara sa vedie horizontálne cez čelo medzi obočím a vlasovou čiarou. Do každého bodu sa aplikuje 6 U. Počiatočná čiara môže začínať na vertikálnej čiare prechádzajúcej cez každú pupilu. Medzi tieto dve miesta sa aplikujú dve ďalšie injekcie s rovnakými dávkami, takže celkom sa liek podá na tejto horizontálnej čiare do štyroch rovnako vzdialených miest. Miesta aplikácie sa pevne masírujú.</w:t>
      </w:r>
    </w:p>
    <w:p w14:paraId="1B57BAB2" w14:textId="77777777" w:rsidR="00F134F4" w:rsidRPr="00475027" w:rsidRDefault="00F134F4" w:rsidP="00FE4006">
      <w:pPr>
        <w:jc w:val="both"/>
        <w:rPr>
          <w:rFonts w:ascii="Times New Roman" w:hAnsi="Times New Roman" w:cs="Times New Roman"/>
          <w:bCs/>
          <w:sz w:val="22"/>
          <w:szCs w:val="22"/>
          <w:lang w:val="sk-SK"/>
        </w:rPr>
      </w:pPr>
    </w:p>
    <w:p w14:paraId="0FA200D4" w14:textId="77777777" w:rsidR="00F134F4" w:rsidRPr="00475027" w:rsidRDefault="00F134F4" w:rsidP="00FE4006">
      <w:pPr>
        <w:jc w:val="both"/>
        <w:rPr>
          <w:rFonts w:ascii="Times New Roman" w:hAnsi="Times New Roman" w:cs="Times New Roman"/>
          <w:bCs/>
          <w:sz w:val="22"/>
          <w:szCs w:val="22"/>
          <w:lang w:val="sk-SK"/>
        </w:rPr>
      </w:pPr>
      <w:r w:rsidRPr="00475027">
        <w:rPr>
          <w:rFonts w:ascii="Times New Roman" w:hAnsi="Times New Roman" w:cs="Times New Roman"/>
          <w:bCs/>
          <w:sz w:val="22"/>
          <w:szCs w:val="22"/>
          <w:lang w:val="sk-SK"/>
        </w:rPr>
        <w:t>Pevne masírujte nasledujúce miesta; krk (platyzma) 90 U - 180 U celkom na oboch stranách. Vyššie dávky môžu spôsobiť dysfágiu alebo slabosť krčných svalov z pôsobenia toxínu na svalovú skupinu v blízkosti miesta aplikácie.</w:t>
      </w:r>
    </w:p>
    <w:p w14:paraId="55068767" w14:textId="77777777" w:rsidR="00F134F4" w:rsidRPr="00475027" w:rsidRDefault="00F134F4" w:rsidP="00FE4006">
      <w:pPr>
        <w:jc w:val="both"/>
        <w:rPr>
          <w:rFonts w:ascii="Times New Roman" w:hAnsi="Times New Roman" w:cs="Times New Roman"/>
          <w:bCs/>
          <w:sz w:val="22"/>
          <w:szCs w:val="22"/>
          <w:lang w:val="sk-SK"/>
        </w:rPr>
      </w:pPr>
      <w:r w:rsidRPr="00475027">
        <w:rPr>
          <w:rFonts w:ascii="Times New Roman" w:hAnsi="Times New Roman" w:cs="Times New Roman"/>
          <w:bCs/>
          <w:sz w:val="22"/>
          <w:szCs w:val="22"/>
          <w:lang w:val="sk-SK"/>
        </w:rPr>
        <w:t>Poučte pacienta, aby vyvolal kontrakciu platyzmy, čím sa zreteľne ukážu pruhy platyzmy.</w:t>
      </w:r>
    </w:p>
    <w:p w14:paraId="768551B5" w14:textId="77777777" w:rsidR="00F134F4" w:rsidRPr="00475027" w:rsidRDefault="00F134F4" w:rsidP="00FE4006">
      <w:pPr>
        <w:jc w:val="both"/>
        <w:rPr>
          <w:rFonts w:ascii="Times New Roman" w:hAnsi="Times New Roman" w:cs="Times New Roman"/>
          <w:bCs/>
          <w:sz w:val="22"/>
          <w:szCs w:val="22"/>
          <w:lang w:val="sk-SK"/>
        </w:rPr>
      </w:pPr>
      <w:r w:rsidRPr="00475027">
        <w:rPr>
          <w:rFonts w:ascii="Times New Roman" w:hAnsi="Times New Roman" w:cs="Times New Roman"/>
          <w:bCs/>
          <w:sz w:val="22"/>
          <w:szCs w:val="22"/>
          <w:lang w:val="sk-SK"/>
        </w:rPr>
        <w:t>Celková dávka 45 U sa aplikuje do 3 miest (15 U do každého miesta). Normálne sa liek aplikuje pri každej návšteve do 2 - 4 oblastí, celkom teda 90 U - 180 U. Horizontálne línie sa liečia podaním 60 U - 90 U pozdĺž línií vo vzdialenostiach 2-3 cm.</w:t>
      </w:r>
    </w:p>
    <w:p w14:paraId="739C7E0B" w14:textId="77777777" w:rsidR="00F134F4" w:rsidRPr="00475027" w:rsidRDefault="00F134F4" w:rsidP="00FE4006">
      <w:pPr>
        <w:jc w:val="both"/>
        <w:rPr>
          <w:rFonts w:ascii="Times New Roman" w:hAnsi="Times New Roman" w:cs="Times New Roman"/>
          <w:bCs/>
          <w:sz w:val="22"/>
          <w:szCs w:val="22"/>
          <w:lang w:val="sk-SK"/>
        </w:rPr>
      </w:pPr>
      <w:r w:rsidRPr="00475027">
        <w:rPr>
          <w:rFonts w:ascii="Times New Roman" w:hAnsi="Times New Roman" w:cs="Times New Roman"/>
          <w:bCs/>
          <w:sz w:val="22"/>
          <w:szCs w:val="22"/>
          <w:u w:val="single"/>
          <w:lang w:val="sk-SK"/>
        </w:rPr>
        <w:t>Línie v hornej oblasti pery</w:t>
      </w:r>
      <w:r w:rsidRPr="00475027">
        <w:rPr>
          <w:rFonts w:ascii="Times New Roman" w:hAnsi="Times New Roman" w:cs="Times New Roman"/>
          <w:bCs/>
          <w:sz w:val="22"/>
          <w:szCs w:val="22"/>
          <w:lang w:val="sk-SK"/>
        </w:rPr>
        <w:t xml:space="preserve">: aplikuje sa 6 U - 27 U, 3 U - 6 U na líniu. Začína sa s nižšou dávkou a povrchnejšie, aby sa neohrozila činnosť úst. </w:t>
      </w:r>
      <w:r w:rsidRPr="00475027">
        <w:rPr>
          <w:rFonts w:ascii="Times New Roman" w:hAnsi="Times New Roman" w:cs="Times New Roman"/>
          <w:bCs/>
          <w:i/>
          <w:sz w:val="22"/>
          <w:szCs w:val="22"/>
          <w:lang w:val="sk-SK"/>
        </w:rPr>
        <w:t>Sulcus nasolabialis</w:t>
      </w:r>
      <w:r w:rsidRPr="00475027">
        <w:rPr>
          <w:rFonts w:ascii="Times New Roman" w:hAnsi="Times New Roman" w:cs="Times New Roman"/>
          <w:bCs/>
          <w:sz w:val="22"/>
          <w:szCs w:val="22"/>
          <w:lang w:val="sk-SK"/>
        </w:rPr>
        <w:t xml:space="preserve"> – 6 U - 10 U na každej strane za EMG lokalizácie </w:t>
      </w:r>
      <w:r w:rsidRPr="00475027">
        <w:rPr>
          <w:rFonts w:ascii="Times New Roman" w:hAnsi="Times New Roman" w:cs="Times New Roman"/>
          <w:bCs/>
          <w:i/>
          <w:sz w:val="22"/>
          <w:szCs w:val="22"/>
          <w:lang w:val="sk-SK"/>
        </w:rPr>
        <w:t>m. levator labii superioris</w:t>
      </w:r>
      <w:r w:rsidRPr="00475027">
        <w:rPr>
          <w:rFonts w:ascii="Times New Roman" w:hAnsi="Times New Roman" w:cs="Times New Roman"/>
          <w:bCs/>
          <w:sz w:val="22"/>
          <w:szCs w:val="22"/>
          <w:lang w:val="sk-SK"/>
        </w:rPr>
        <w:t xml:space="preserve"> a nosného krídla. Oblasť brady – 15 U - 30 U. Injekcie v tejto oblasti môžu ľahko viesť k poškodeniu funkcie úst. Použite nižšiu počiatočnú dávku. Stupňujte oslabovanie ďalšími aplikáciami pri opakovaných návštevách. Účinok začína obvykle za 4-72 hodín po podaní a trvá 4-6 mesiacov.</w:t>
      </w:r>
    </w:p>
    <w:p w14:paraId="559C5E69" w14:textId="77777777" w:rsidR="00F134F4" w:rsidRPr="00475027" w:rsidRDefault="00F134F4" w:rsidP="00206052">
      <w:pPr>
        <w:jc w:val="both"/>
        <w:rPr>
          <w:rFonts w:ascii="Times New Roman" w:hAnsi="Times New Roman" w:cs="Times New Roman"/>
          <w:bCs/>
          <w:sz w:val="22"/>
          <w:szCs w:val="22"/>
          <w:lang w:val="sk-SK"/>
        </w:rPr>
      </w:pPr>
    </w:p>
    <w:p w14:paraId="6ADECA11" w14:textId="77777777" w:rsidR="00F134F4" w:rsidRPr="00475027" w:rsidRDefault="00F134F4" w:rsidP="00206052">
      <w:pPr>
        <w:jc w:val="both"/>
        <w:rPr>
          <w:rFonts w:ascii="Times New Roman" w:hAnsi="Times New Roman" w:cs="Times New Roman"/>
          <w:bCs/>
          <w:sz w:val="22"/>
          <w:szCs w:val="22"/>
          <w:lang w:val="sk-SK"/>
        </w:rPr>
      </w:pPr>
      <w:r w:rsidRPr="00475027">
        <w:rPr>
          <w:rFonts w:ascii="Times New Roman" w:hAnsi="Times New Roman" w:cs="Times New Roman"/>
          <w:bCs/>
          <w:sz w:val="22"/>
          <w:szCs w:val="22"/>
          <w:lang w:val="sk-SK"/>
        </w:rPr>
        <w:t>Deti: Použitie Dysportu 500 U pri liečbe hyperfunkčných línií na tvári sa neodporúča u pacientov mladších ako 18 rokov.</w:t>
      </w:r>
    </w:p>
    <w:p w14:paraId="7FFAEBE7" w14:textId="77777777" w:rsidR="00F134F4" w:rsidRPr="00475027" w:rsidRDefault="00F134F4" w:rsidP="00FE4006">
      <w:pPr>
        <w:jc w:val="both"/>
        <w:rPr>
          <w:rFonts w:ascii="Times New Roman" w:hAnsi="Times New Roman" w:cs="Times New Roman"/>
          <w:bCs/>
          <w:sz w:val="22"/>
          <w:szCs w:val="22"/>
          <w:lang w:val="sk-SK"/>
        </w:rPr>
      </w:pPr>
    </w:p>
    <w:p w14:paraId="5838F554" w14:textId="77777777" w:rsidR="00F134F4" w:rsidRPr="00475027" w:rsidRDefault="00F134F4" w:rsidP="00FE4006">
      <w:pPr>
        <w:jc w:val="both"/>
        <w:rPr>
          <w:rFonts w:ascii="Times New Roman" w:hAnsi="Times New Roman" w:cs="Times New Roman"/>
          <w:bCs/>
          <w:sz w:val="22"/>
          <w:szCs w:val="22"/>
          <w:u w:val="single"/>
          <w:lang w:val="sk-SK"/>
        </w:rPr>
      </w:pPr>
      <w:r w:rsidRPr="00475027">
        <w:rPr>
          <w:rFonts w:ascii="Times New Roman" w:hAnsi="Times New Roman" w:cs="Times New Roman"/>
          <w:bCs/>
          <w:sz w:val="22"/>
          <w:szCs w:val="22"/>
          <w:u w:val="single"/>
          <w:lang w:val="sk-SK"/>
        </w:rPr>
        <w:t>Spôsob podávania</w:t>
      </w:r>
    </w:p>
    <w:p w14:paraId="1C286D76" w14:textId="77777777" w:rsidR="00F134F4" w:rsidRPr="00475027" w:rsidRDefault="00F134F4" w:rsidP="00FE4006">
      <w:pPr>
        <w:jc w:val="both"/>
        <w:rPr>
          <w:rFonts w:ascii="Times New Roman" w:hAnsi="Times New Roman" w:cs="Times New Roman"/>
          <w:bCs/>
          <w:sz w:val="22"/>
          <w:szCs w:val="22"/>
          <w:lang w:val="sk-SK"/>
        </w:rPr>
      </w:pPr>
    </w:p>
    <w:p w14:paraId="55FC0874" w14:textId="77777777" w:rsidR="00F134F4" w:rsidRPr="00475027" w:rsidRDefault="00F134F4" w:rsidP="00FE4006">
      <w:pPr>
        <w:jc w:val="both"/>
        <w:rPr>
          <w:rFonts w:ascii="Times New Roman" w:hAnsi="Times New Roman" w:cs="Times New Roman"/>
          <w:bCs/>
          <w:sz w:val="22"/>
          <w:szCs w:val="22"/>
          <w:lang w:val="sk-SK"/>
        </w:rPr>
      </w:pPr>
      <w:r w:rsidRPr="00475027">
        <w:rPr>
          <w:rFonts w:ascii="Times New Roman" w:hAnsi="Times New Roman" w:cs="Times New Roman"/>
          <w:bCs/>
          <w:sz w:val="22"/>
          <w:szCs w:val="22"/>
          <w:lang w:val="sk-SK"/>
        </w:rPr>
        <w:t>Stredná časť veka (gumová zátka), ktorá je vystavená vplyvu vzduchu, sa musí bezprostredne pred prepichnutím gumovej zátky očistiť alkoholom.</w:t>
      </w:r>
    </w:p>
    <w:p w14:paraId="40DD3A02" w14:textId="77777777" w:rsidR="00F134F4" w:rsidRPr="00475027" w:rsidRDefault="00F134F4" w:rsidP="00FE4006">
      <w:pPr>
        <w:jc w:val="both"/>
        <w:rPr>
          <w:rFonts w:ascii="Times New Roman" w:hAnsi="Times New Roman" w:cs="Times New Roman"/>
          <w:bCs/>
          <w:sz w:val="22"/>
          <w:szCs w:val="22"/>
          <w:lang w:val="sk-SK"/>
        </w:rPr>
      </w:pPr>
    </w:p>
    <w:p w14:paraId="02073FD6" w14:textId="77777777" w:rsidR="00F134F4" w:rsidRPr="00475027" w:rsidRDefault="00F134F4" w:rsidP="00FE4006">
      <w:pPr>
        <w:jc w:val="both"/>
        <w:rPr>
          <w:rFonts w:ascii="Times New Roman" w:hAnsi="Times New Roman" w:cs="Times New Roman"/>
          <w:b/>
          <w:bCs/>
          <w:caps/>
          <w:sz w:val="22"/>
          <w:szCs w:val="22"/>
          <w:lang w:val="sk-SK"/>
        </w:rPr>
      </w:pPr>
      <w:r w:rsidRPr="00475027">
        <w:rPr>
          <w:rFonts w:ascii="Times New Roman" w:hAnsi="Times New Roman" w:cs="Times New Roman"/>
          <w:b/>
          <w:bCs/>
          <w:caps/>
          <w:sz w:val="22"/>
          <w:szCs w:val="22"/>
          <w:lang w:val="sk-SK"/>
        </w:rPr>
        <w:t xml:space="preserve">rekonštitúcia LIEku </w:t>
      </w:r>
      <w:r w:rsidRPr="00475027">
        <w:rPr>
          <w:rFonts w:ascii="Times New Roman" w:hAnsi="Times New Roman" w:cs="Times New Roman"/>
          <w:b/>
          <w:bCs/>
          <w:sz w:val="22"/>
          <w:szCs w:val="22"/>
          <w:lang w:val="sk-SK"/>
        </w:rPr>
        <w:t>Dysport 500 U</w:t>
      </w:r>
    </w:p>
    <w:p w14:paraId="6B28B7CD" w14:textId="77777777" w:rsidR="00F134F4" w:rsidRPr="00475027" w:rsidRDefault="00F134F4" w:rsidP="00FE4006">
      <w:pPr>
        <w:jc w:val="both"/>
        <w:rPr>
          <w:rFonts w:ascii="Times New Roman" w:hAnsi="Times New Roman" w:cs="Times New Roman"/>
          <w:b/>
          <w:bCs/>
          <w:caps/>
          <w:sz w:val="22"/>
          <w:szCs w:val="22"/>
          <w:vertAlign w:val="superscript"/>
          <w:lang w:val="sk-SK"/>
        </w:rPr>
      </w:pPr>
    </w:p>
    <w:tbl>
      <w:tblPr>
        <w:tblW w:w="0" w:type="auto"/>
        <w:tblInd w:w="-13" w:type="dxa"/>
        <w:tblLayout w:type="fixed"/>
        <w:tblCellMar>
          <w:left w:w="70" w:type="dxa"/>
          <w:right w:w="70" w:type="dxa"/>
        </w:tblCellMar>
        <w:tblLook w:val="0000" w:firstRow="0" w:lastRow="0" w:firstColumn="0" w:lastColumn="0" w:noHBand="0" w:noVBand="0"/>
      </w:tblPr>
      <w:tblGrid>
        <w:gridCol w:w="3295"/>
        <w:gridCol w:w="3323"/>
      </w:tblGrid>
      <w:tr w:rsidR="00F134F4" w:rsidRPr="00475027" w14:paraId="2902C70A" w14:textId="77777777">
        <w:trPr>
          <w:cantSplit/>
        </w:trPr>
        <w:tc>
          <w:tcPr>
            <w:tcW w:w="3295" w:type="dxa"/>
            <w:tcBorders>
              <w:top w:val="single" w:sz="2" w:space="0" w:color="000000"/>
              <w:left w:val="single" w:sz="2" w:space="0" w:color="000000"/>
              <w:bottom w:val="single" w:sz="2" w:space="0" w:color="000000"/>
            </w:tcBorders>
          </w:tcPr>
          <w:p w14:paraId="1420231F" w14:textId="77777777" w:rsidR="00F134F4" w:rsidRPr="00475027" w:rsidRDefault="00F134F4" w:rsidP="00EB4AD4">
            <w:pPr>
              <w:snapToGrid w:val="0"/>
              <w:jc w:val="both"/>
              <w:rPr>
                <w:rFonts w:ascii="Times New Roman" w:hAnsi="Times New Roman" w:cs="Times New Roman"/>
                <w:b/>
                <w:bCs/>
                <w:sz w:val="22"/>
                <w:szCs w:val="22"/>
                <w:lang w:val="sk-SK"/>
              </w:rPr>
            </w:pPr>
            <w:r w:rsidRPr="00475027">
              <w:rPr>
                <w:rFonts w:ascii="Times New Roman" w:hAnsi="Times New Roman" w:cs="Times New Roman"/>
                <w:b/>
                <w:bCs/>
                <w:sz w:val="22"/>
                <w:szCs w:val="22"/>
                <w:lang w:val="sk-SK"/>
              </w:rPr>
              <w:t>fyziologický roztok</w:t>
            </w:r>
          </w:p>
        </w:tc>
        <w:tc>
          <w:tcPr>
            <w:tcW w:w="3323" w:type="dxa"/>
            <w:tcBorders>
              <w:top w:val="single" w:sz="2" w:space="0" w:color="000000"/>
              <w:left w:val="single" w:sz="2" w:space="0" w:color="000000"/>
              <w:bottom w:val="single" w:sz="2" w:space="0" w:color="000000"/>
              <w:right w:val="single" w:sz="2" w:space="0" w:color="000000"/>
            </w:tcBorders>
          </w:tcPr>
          <w:p w14:paraId="2FF0192E" w14:textId="77777777" w:rsidR="00F134F4" w:rsidRPr="00475027" w:rsidRDefault="00F134F4" w:rsidP="00EB4AD4">
            <w:pPr>
              <w:snapToGrid w:val="0"/>
              <w:jc w:val="both"/>
              <w:rPr>
                <w:rFonts w:ascii="Times New Roman" w:hAnsi="Times New Roman" w:cs="Times New Roman"/>
                <w:b/>
                <w:bCs/>
                <w:sz w:val="22"/>
                <w:szCs w:val="22"/>
                <w:lang w:val="sk-SK"/>
              </w:rPr>
            </w:pPr>
            <w:r w:rsidRPr="00475027">
              <w:rPr>
                <w:rFonts w:ascii="Times New Roman" w:hAnsi="Times New Roman" w:cs="Times New Roman"/>
                <w:b/>
                <w:bCs/>
                <w:sz w:val="22"/>
                <w:szCs w:val="22"/>
                <w:lang w:val="sk-SK"/>
              </w:rPr>
              <w:t>jednotky / 0,1 ml</w:t>
            </w:r>
          </w:p>
        </w:tc>
      </w:tr>
      <w:tr w:rsidR="00F134F4" w:rsidRPr="00475027" w14:paraId="2AF0337E" w14:textId="77777777">
        <w:trPr>
          <w:cantSplit/>
        </w:trPr>
        <w:tc>
          <w:tcPr>
            <w:tcW w:w="3295" w:type="dxa"/>
            <w:tcBorders>
              <w:left w:val="single" w:sz="2" w:space="0" w:color="000000"/>
              <w:bottom w:val="single" w:sz="2" w:space="0" w:color="000000"/>
            </w:tcBorders>
          </w:tcPr>
          <w:p w14:paraId="6A9A8F7D" w14:textId="77777777" w:rsidR="00F134F4" w:rsidRPr="00475027" w:rsidRDefault="00F134F4" w:rsidP="00EB4AD4">
            <w:pPr>
              <w:snapToGrid w:val="0"/>
              <w:jc w:val="both"/>
              <w:rPr>
                <w:rFonts w:ascii="Times New Roman" w:hAnsi="Times New Roman" w:cs="Times New Roman"/>
                <w:b/>
                <w:bCs/>
                <w:sz w:val="22"/>
                <w:szCs w:val="22"/>
                <w:lang w:val="sk-SK"/>
              </w:rPr>
            </w:pPr>
            <w:r w:rsidRPr="00475027">
              <w:rPr>
                <w:rFonts w:ascii="Times New Roman" w:hAnsi="Times New Roman" w:cs="Times New Roman"/>
                <w:b/>
                <w:bCs/>
                <w:sz w:val="22"/>
                <w:szCs w:val="22"/>
                <w:lang w:val="sk-SK"/>
              </w:rPr>
              <w:t>1,66 ml</w:t>
            </w:r>
          </w:p>
        </w:tc>
        <w:tc>
          <w:tcPr>
            <w:tcW w:w="3323" w:type="dxa"/>
            <w:tcBorders>
              <w:left w:val="single" w:sz="2" w:space="0" w:color="000000"/>
              <w:bottom w:val="single" w:sz="2" w:space="0" w:color="000000"/>
              <w:right w:val="single" w:sz="2" w:space="0" w:color="000000"/>
            </w:tcBorders>
          </w:tcPr>
          <w:p w14:paraId="467FABD7" w14:textId="77777777" w:rsidR="00F134F4" w:rsidRPr="00475027" w:rsidRDefault="00F134F4" w:rsidP="00EB4AD4">
            <w:pPr>
              <w:snapToGrid w:val="0"/>
              <w:jc w:val="both"/>
              <w:rPr>
                <w:rFonts w:ascii="Times New Roman" w:hAnsi="Times New Roman" w:cs="Times New Roman"/>
                <w:b/>
                <w:bCs/>
                <w:sz w:val="22"/>
                <w:szCs w:val="22"/>
                <w:lang w:val="sk-SK"/>
              </w:rPr>
            </w:pPr>
            <w:r w:rsidRPr="00475027">
              <w:rPr>
                <w:rFonts w:ascii="Times New Roman" w:hAnsi="Times New Roman" w:cs="Times New Roman"/>
                <w:b/>
                <w:bCs/>
                <w:sz w:val="22"/>
                <w:szCs w:val="22"/>
                <w:lang w:val="sk-SK"/>
              </w:rPr>
              <w:t>30 U</w:t>
            </w:r>
          </w:p>
        </w:tc>
      </w:tr>
      <w:tr w:rsidR="00F134F4" w:rsidRPr="00475027" w14:paraId="72B3E738" w14:textId="77777777">
        <w:trPr>
          <w:cantSplit/>
        </w:trPr>
        <w:tc>
          <w:tcPr>
            <w:tcW w:w="3295" w:type="dxa"/>
            <w:tcBorders>
              <w:left w:val="single" w:sz="2" w:space="0" w:color="000000"/>
              <w:bottom w:val="single" w:sz="2" w:space="0" w:color="000000"/>
            </w:tcBorders>
          </w:tcPr>
          <w:p w14:paraId="5BF44130" w14:textId="77777777" w:rsidR="00F134F4" w:rsidRPr="00475027" w:rsidRDefault="00F134F4" w:rsidP="00EB4AD4">
            <w:pPr>
              <w:snapToGrid w:val="0"/>
              <w:jc w:val="both"/>
              <w:rPr>
                <w:rFonts w:ascii="Times New Roman" w:hAnsi="Times New Roman" w:cs="Times New Roman"/>
                <w:b/>
                <w:bCs/>
                <w:sz w:val="22"/>
                <w:szCs w:val="22"/>
                <w:lang w:val="sk-SK"/>
              </w:rPr>
            </w:pPr>
            <w:r w:rsidRPr="00475027">
              <w:rPr>
                <w:rFonts w:ascii="Times New Roman" w:hAnsi="Times New Roman" w:cs="Times New Roman"/>
                <w:b/>
                <w:bCs/>
                <w:sz w:val="22"/>
                <w:szCs w:val="22"/>
                <w:lang w:val="sk-SK"/>
              </w:rPr>
              <w:lastRenderedPageBreak/>
              <w:t>2,5 ml</w:t>
            </w:r>
          </w:p>
        </w:tc>
        <w:tc>
          <w:tcPr>
            <w:tcW w:w="3323" w:type="dxa"/>
            <w:tcBorders>
              <w:left w:val="single" w:sz="2" w:space="0" w:color="000000"/>
              <w:bottom w:val="single" w:sz="2" w:space="0" w:color="000000"/>
              <w:right w:val="single" w:sz="2" w:space="0" w:color="000000"/>
            </w:tcBorders>
          </w:tcPr>
          <w:p w14:paraId="4475B52A" w14:textId="77777777" w:rsidR="00F134F4" w:rsidRPr="00475027" w:rsidRDefault="00F134F4" w:rsidP="00EB4AD4">
            <w:pPr>
              <w:snapToGrid w:val="0"/>
              <w:jc w:val="both"/>
              <w:rPr>
                <w:rFonts w:ascii="Times New Roman" w:hAnsi="Times New Roman" w:cs="Times New Roman"/>
                <w:b/>
                <w:bCs/>
                <w:sz w:val="22"/>
                <w:szCs w:val="22"/>
                <w:lang w:val="sk-SK"/>
              </w:rPr>
            </w:pPr>
            <w:r w:rsidRPr="00475027">
              <w:rPr>
                <w:rFonts w:ascii="Times New Roman" w:hAnsi="Times New Roman" w:cs="Times New Roman"/>
                <w:b/>
                <w:bCs/>
                <w:sz w:val="22"/>
                <w:szCs w:val="22"/>
                <w:lang w:val="sk-SK"/>
              </w:rPr>
              <w:t>20 U</w:t>
            </w:r>
          </w:p>
        </w:tc>
      </w:tr>
      <w:tr w:rsidR="00F134F4" w:rsidRPr="00475027" w14:paraId="238AD514" w14:textId="77777777">
        <w:trPr>
          <w:cantSplit/>
        </w:trPr>
        <w:tc>
          <w:tcPr>
            <w:tcW w:w="3295" w:type="dxa"/>
            <w:tcBorders>
              <w:left w:val="single" w:sz="2" w:space="0" w:color="000000"/>
              <w:bottom w:val="single" w:sz="2" w:space="0" w:color="000000"/>
            </w:tcBorders>
          </w:tcPr>
          <w:p w14:paraId="7ABA3CD0" w14:textId="77777777" w:rsidR="00F134F4" w:rsidRPr="00475027" w:rsidRDefault="00F134F4" w:rsidP="00EB4AD4">
            <w:pPr>
              <w:snapToGrid w:val="0"/>
              <w:jc w:val="both"/>
              <w:rPr>
                <w:rFonts w:ascii="Times New Roman" w:hAnsi="Times New Roman" w:cs="Times New Roman"/>
                <w:b/>
                <w:bCs/>
                <w:sz w:val="22"/>
                <w:szCs w:val="22"/>
                <w:lang w:val="sk-SK"/>
              </w:rPr>
            </w:pPr>
            <w:r w:rsidRPr="00475027">
              <w:rPr>
                <w:rFonts w:ascii="Times New Roman" w:hAnsi="Times New Roman" w:cs="Times New Roman"/>
                <w:b/>
                <w:bCs/>
                <w:sz w:val="22"/>
                <w:szCs w:val="22"/>
                <w:lang w:val="sk-SK"/>
              </w:rPr>
              <w:t>3,3 ml</w:t>
            </w:r>
          </w:p>
        </w:tc>
        <w:tc>
          <w:tcPr>
            <w:tcW w:w="3323" w:type="dxa"/>
            <w:tcBorders>
              <w:left w:val="single" w:sz="2" w:space="0" w:color="000000"/>
              <w:bottom w:val="single" w:sz="2" w:space="0" w:color="000000"/>
              <w:right w:val="single" w:sz="2" w:space="0" w:color="000000"/>
            </w:tcBorders>
          </w:tcPr>
          <w:p w14:paraId="55BBDFF0" w14:textId="77777777" w:rsidR="00F134F4" w:rsidRPr="00475027" w:rsidRDefault="00F134F4" w:rsidP="00EB4AD4">
            <w:pPr>
              <w:snapToGrid w:val="0"/>
              <w:jc w:val="both"/>
              <w:rPr>
                <w:rFonts w:ascii="Times New Roman" w:hAnsi="Times New Roman" w:cs="Times New Roman"/>
                <w:b/>
                <w:bCs/>
                <w:sz w:val="22"/>
                <w:szCs w:val="22"/>
                <w:lang w:val="sk-SK"/>
              </w:rPr>
            </w:pPr>
            <w:r w:rsidRPr="00475027">
              <w:rPr>
                <w:rFonts w:ascii="Times New Roman" w:hAnsi="Times New Roman" w:cs="Times New Roman"/>
                <w:b/>
                <w:bCs/>
                <w:sz w:val="22"/>
                <w:szCs w:val="22"/>
                <w:lang w:val="sk-SK"/>
              </w:rPr>
              <w:t>15 U</w:t>
            </w:r>
          </w:p>
        </w:tc>
      </w:tr>
      <w:tr w:rsidR="00F134F4" w:rsidRPr="00475027" w14:paraId="417A3A93" w14:textId="77777777">
        <w:trPr>
          <w:cantSplit/>
        </w:trPr>
        <w:tc>
          <w:tcPr>
            <w:tcW w:w="3295" w:type="dxa"/>
            <w:tcBorders>
              <w:left w:val="single" w:sz="2" w:space="0" w:color="000000"/>
              <w:bottom w:val="single" w:sz="2" w:space="0" w:color="000000"/>
            </w:tcBorders>
          </w:tcPr>
          <w:p w14:paraId="201D2068" w14:textId="77777777" w:rsidR="00F134F4" w:rsidRPr="00475027" w:rsidRDefault="00F134F4" w:rsidP="00EB4AD4">
            <w:pPr>
              <w:snapToGrid w:val="0"/>
              <w:jc w:val="both"/>
              <w:rPr>
                <w:rFonts w:ascii="Times New Roman" w:hAnsi="Times New Roman" w:cs="Times New Roman"/>
                <w:b/>
                <w:bCs/>
                <w:sz w:val="22"/>
                <w:szCs w:val="22"/>
                <w:lang w:val="sk-SK"/>
              </w:rPr>
            </w:pPr>
            <w:r w:rsidRPr="00475027">
              <w:rPr>
                <w:rFonts w:ascii="Times New Roman" w:hAnsi="Times New Roman" w:cs="Times New Roman"/>
                <w:b/>
                <w:bCs/>
                <w:sz w:val="22"/>
                <w:szCs w:val="22"/>
                <w:lang w:val="sk-SK"/>
              </w:rPr>
              <w:t>4,0 ml</w:t>
            </w:r>
          </w:p>
        </w:tc>
        <w:tc>
          <w:tcPr>
            <w:tcW w:w="3323" w:type="dxa"/>
            <w:tcBorders>
              <w:left w:val="single" w:sz="2" w:space="0" w:color="000000"/>
              <w:bottom w:val="single" w:sz="2" w:space="0" w:color="000000"/>
              <w:right w:val="single" w:sz="2" w:space="0" w:color="000000"/>
            </w:tcBorders>
          </w:tcPr>
          <w:p w14:paraId="1870FBD8" w14:textId="77777777" w:rsidR="00F134F4" w:rsidRPr="00475027" w:rsidRDefault="00F134F4" w:rsidP="00EB4AD4">
            <w:pPr>
              <w:snapToGrid w:val="0"/>
              <w:jc w:val="both"/>
              <w:rPr>
                <w:rFonts w:ascii="Times New Roman" w:hAnsi="Times New Roman" w:cs="Times New Roman"/>
                <w:b/>
                <w:bCs/>
                <w:sz w:val="22"/>
                <w:szCs w:val="22"/>
                <w:lang w:val="sk-SK"/>
              </w:rPr>
            </w:pPr>
            <w:r w:rsidRPr="00475027">
              <w:rPr>
                <w:rFonts w:ascii="Times New Roman" w:hAnsi="Times New Roman" w:cs="Times New Roman"/>
                <w:b/>
                <w:bCs/>
                <w:sz w:val="22"/>
                <w:szCs w:val="22"/>
                <w:lang w:val="sk-SK"/>
              </w:rPr>
              <w:t>12,5 U</w:t>
            </w:r>
          </w:p>
        </w:tc>
      </w:tr>
    </w:tbl>
    <w:p w14:paraId="09260095" w14:textId="77777777" w:rsidR="00F134F4" w:rsidRPr="00475027" w:rsidRDefault="00F134F4" w:rsidP="00FE4006">
      <w:pPr>
        <w:jc w:val="both"/>
        <w:rPr>
          <w:rFonts w:ascii="Times New Roman" w:hAnsi="Times New Roman" w:cs="Times New Roman"/>
          <w:sz w:val="22"/>
          <w:szCs w:val="22"/>
          <w:lang w:val="sk-SK"/>
        </w:rPr>
      </w:pPr>
    </w:p>
    <w:p w14:paraId="11F10C2E" w14:textId="77777777" w:rsidR="00F134F4" w:rsidRPr="00475027" w:rsidRDefault="00F134F4" w:rsidP="00FE4006">
      <w:pPr>
        <w:jc w:val="both"/>
        <w:rPr>
          <w:rFonts w:ascii="Times New Roman" w:hAnsi="Times New Roman" w:cs="Times New Roman"/>
          <w:bCs/>
          <w:sz w:val="22"/>
          <w:szCs w:val="22"/>
          <w:lang w:val="sk-SK"/>
        </w:rPr>
      </w:pPr>
      <w:r w:rsidRPr="00475027">
        <w:rPr>
          <w:rFonts w:ascii="Times New Roman" w:hAnsi="Times New Roman" w:cs="Times New Roman"/>
          <w:bCs/>
          <w:sz w:val="22"/>
          <w:szCs w:val="22"/>
          <w:lang w:val="sk-SK"/>
        </w:rPr>
        <w:t>Pri liečbe hyperfunkčných línií na tvári a hyperhidrózy sa musí urobiť rekonštitúcia (nariedenie) podľa indikácií pomocou tabuľky</w:t>
      </w:r>
      <w:r w:rsidRPr="00475027">
        <w:rPr>
          <w:rFonts w:ascii="Times New Roman" w:hAnsi="Times New Roman" w:cs="Times New Roman"/>
          <w:bCs/>
          <w:caps/>
          <w:sz w:val="22"/>
          <w:szCs w:val="22"/>
          <w:lang w:val="sk-SK"/>
        </w:rPr>
        <w:t xml:space="preserve"> rekonštitúcia LIEku </w:t>
      </w:r>
      <w:r w:rsidRPr="00475027">
        <w:rPr>
          <w:rFonts w:ascii="Times New Roman" w:hAnsi="Times New Roman" w:cs="Times New Roman"/>
          <w:bCs/>
          <w:sz w:val="22"/>
          <w:szCs w:val="22"/>
          <w:lang w:val="sk-SK"/>
        </w:rPr>
        <w:t>Dysportu 500 U uvedenej vyššie. Lekár určí správne dávkovanie na základe klinickej anamnézy pacienta.</w:t>
      </w:r>
    </w:p>
    <w:p w14:paraId="676CEF17" w14:textId="77777777" w:rsidR="00F134F4" w:rsidRPr="00475027" w:rsidRDefault="00F134F4" w:rsidP="00FE4006">
      <w:pPr>
        <w:jc w:val="both"/>
        <w:rPr>
          <w:rFonts w:ascii="Times New Roman" w:hAnsi="Times New Roman" w:cs="Times New Roman"/>
          <w:bCs/>
          <w:sz w:val="22"/>
          <w:szCs w:val="22"/>
          <w:lang w:val="sk-SK"/>
        </w:rPr>
      </w:pPr>
    </w:p>
    <w:p w14:paraId="591D2FE7" w14:textId="77777777" w:rsidR="00F134F4" w:rsidRPr="00475027" w:rsidRDefault="00F134F4" w:rsidP="00FE4006">
      <w:pPr>
        <w:jc w:val="both"/>
        <w:rPr>
          <w:rFonts w:ascii="Times New Roman" w:hAnsi="Times New Roman" w:cs="Times New Roman"/>
          <w:bCs/>
          <w:sz w:val="22"/>
          <w:szCs w:val="22"/>
          <w:lang w:val="sk-SK"/>
        </w:rPr>
      </w:pPr>
      <w:r w:rsidRPr="00475027">
        <w:rPr>
          <w:rFonts w:ascii="Times New Roman" w:hAnsi="Times New Roman" w:cs="Times New Roman"/>
          <w:bCs/>
          <w:sz w:val="22"/>
          <w:szCs w:val="22"/>
          <w:lang w:val="sk-SK"/>
        </w:rPr>
        <w:t>Pri liečbe hyperfunkčných línií na tvári sa liek musí rekonštituovať 0,9 % roztokom chloridu sodného pre intravenózne použitie (fyziologický roztok). Liek sa musí aplikovať intramuskulárne, obvykle ihlou 30 G do vopred určených oblastí.</w:t>
      </w:r>
    </w:p>
    <w:p w14:paraId="4FC395FF" w14:textId="77777777" w:rsidR="00F134F4" w:rsidRPr="00475027" w:rsidRDefault="00F134F4" w:rsidP="00FE4006">
      <w:pPr>
        <w:pStyle w:val="Text"/>
        <w:ind w:left="0"/>
        <w:jc w:val="left"/>
        <w:rPr>
          <w:rFonts w:ascii="Times New Roman" w:hAnsi="Times New Roman"/>
          <w:sz w:val="22"/>
          <w:szCs w:val="22"/>
          <w:lang w:val="sk-SK"/>
        </w:rPr>
      </w:pPr>
    </w:p>
    <w:p w14:paraId="1D5E32C1" w14:textId="77777777" w:rsidR="00F134F4" w:rsidRPr="00475027" w:rsidRDefault="00F134F4" w:rsidP="00682658">
      <w:pPr>
        <w:pStyle w:val="Text"/>
        <w:ind w:left="0"/>
        <w:rPr>
          <w:rFonts w:ascii="Times New Roman" w:hAnsi="Times New Roman"/>
          <w:sz w:val="22"/>
          <w:szCs w:val="22"/>
          <w:lang w:val="sk-SK"/>
        </w:rPr>
      </w:pPr>
      <w:r w:rsidRPr="00475027">
        <w:rPr>
          <w:rFonts w:ascii="Times New Roman" w:hAnsi="Times New Roman"/>
          <w:sz w:val="22"/>
          <w:szCs w:val="22"/>
          <w:lang w:val="sk-SK"/>
        </w:rPr>
        <w:t>Pri liečbe glabelárnych vrások má byť liek pred injekciou pripravený pomocou 0,6 ml roztoku chloridu sodného 9 mg/ml (0,9 %). Toto poskytne číry roztok obsahujúci 125 Ipsenove jednotky aktívneho roztoku.</w:t>
      </w:r>
    </w:p>
    <w:p w14:paraId="41CDC4CB" w14:textId="77777777" w:rsidR="00F134F4" w:rsidRPr="00475027" w:rsidRDefault="00F134F4" w:rsidP="00FE4006">
      <w:pPr>
        <w:jc w:val="both"/>
        <w:rPr>
          <w:rFonts w:ascii="Times New Roman" w:hAnsi="Times New Roman" w:cs="Times New Roman"/>
          <w:bCs/>
          <w:sz w:val="22"/>
          <w:szCs w:val="22"/>
          <w:lang w:val="sk-SK"/>
        </w:rPr>
      </w:pPr>
    </w:p>
    <w:p w14:paraId="0E037FCF" w14:textId="77777777" w:rsidR="00F134F4" w:rsidRPr="00475027" w:rsidRDefault="00F134F4" w:rsidP="00FE4006">
      <w:pPr>
        <w:jc w:val="both"/>
        <w:rPr>
          <w:rFonts w:ascii="Times New Roman" w:hAnsi="Times New Roman" w:cs="Times New Roman"/>
          <w:bCs/>
          <w:sz w:val="22"/>
          <w:szCs w:val="22"/>
          <w:lang w:val="sk-SK"/>
        </w:rPr>
      </w:pPr>
      <w:r w:rsidRPr="00475027">
        <w:rPr>
          <w:rFonts w:ascii="Times New Roman" w:hAnsi="Times New Roman" w:cs="Times New Roman"/>
          <w:bCs/>
          <w:sz w:val="22"/>
          <w:szCs w:val="22"/>
          <w:lang w:val="sk-SK"/>
        </w:rPr>
        <w:t>Jednotky liečiva (botulotoxín typu A) sú špecifické pre tento liek a nesmú byť použité ako numericky rovnocenné u iných prípravkov obsahujúcich botulotoxín typu A. Štúdie klinickej ekvivalencie ukazujú na pomer jednotiek 1:3 medzi botulotoxínom typu A amerického a európskeho pôvodu. Dávku a riedenie musí určiť odborný lekár, pričom berie do úvahy kinetické svalové rozdiely medzi jednotlivými pacientmi.</w:t>
      </w:r>
    </w:p>
    <w:p w14:paraId="374AD66E" w14:textId="77777777" w:rsidR="00F134F4" w:rsidRPr="00475027" w:rsidRDefault="00F134F4" w:rsidP="00FE4006">
      <w:pPr>
        <w:jc w:val="both"/>
        <w:rPr>
          <w:rFonts w:ascii="Times New Roman" w:hAnsi="Times New Roman" w:cs="Times New Roman"/>
          <w:sz w:val="22"/>
          <w:szCs w:val="22"/>
          <w:lang w:val="sk-SK"/>
        </w:rPr>
      </w:pPr>
    </w:p>
    <w:p w14:paraId="4D111692" w14:textId="77777777" w:rsidR="00F134F4" w:rsidRPr="00475027" w:rsidRDefault="00F134F4" w:rsidP="00FE4006">
      <w:pPr>
        <w:spacing w:line="240" w:lineRule="atLeast"/>
        <w:rPr>
          <w:rFonts w:ascii="Times New Roman" w:hAnsi="Times New Roman" w:cs="Times New Roman"/>
          <w:b/>
          <w:sz w:val="22"/>
          <w:szCs w:val="22"/>
          <w:lang w:val="sk-SK"/>
        </w:rPr>
      </w:pPr>
      <w:r w:rsidRPr="00475027">
        <w:rPr>
          <w:rFonts w:ascii="Times New Roman" w:hAnsi="Times New Roman" w:cs="Times New Roman"/>
          <w:b/>
          <w:sz w:val="22"/>
          <w:szCs w:val="22"/>
          <w:lang w:val="sk-SK"/>
        </w:rPr>
        <w:t>4.3</w:t>
      </w:r>
      <w:r w:rsidRPr="00475027">
        <w:rPr>
          <w:rFonts w:ascii="Times New Roman" w:hAnsi="Times New Roman" w:cs="Times New Roman"/>
          <w:b/>
          <w:sz w:val="22"/>
          <w:szCs w:val="22"/>
          <w:lang w:val="sk-SK"/>
        </w:rPr>
        <w:tab/>
        <w:t>Kontraindikácie</w:t>
      </w:r>
    </w:p>
    <w:p w14:paraId="239BCC5D" w14:textId="77777777" w:rsidR="00F134F4" w:rsidRPr="00475027" w:rsidRDefault="00F134F4" w:rsidP="00FE4006">
      <w:pPr>
        <w:spacing w:line="240" w:lineRule="atLeast"/>
        <w:rPr>
          <w:rFonts w:ascii="Times New Roman" w:hAnsi="Times New Roman" w:cs="Times New Roman"/>
          <w:b/>
          <w:sz w:val="22"/>
          <w:szCs w:val="22"/>
          <w:lang w:val="sk-SK"/>
        </w:rPr>
      </w:pPr>
    </w:p>
    <w:p w14:paraId="2AFBBFC9"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Precitlivenosť na liečivo alebo na ktorúkoľvek z pomocných látok uvedených v časti 6.1.</w:t>
      </w:r>
    </w:p>
    <w:p w14:paraId="16F95E1C" w14:textId="77777777" w:rsidR="00F134F4" w:rsidRPr="00475027" w:rsidRDefault="00F134F4" w:rsidP="00FE4006">
      <w:pPr>
        <w:jc w:val="both"/>
        <w:rPr>
          <w:rFonts w:ascii="Times New Roman" w:hAnsi="Times New Roman" w:cs="Times New Roman"/>
          <w:sz w:val="22"/>
          <w:szCs w:val="22"/>
          <w:lang w:val="sk-SK"/>
        </w:rPr>
      </w:pPr>
    </w:p>
    <w:p w14:paraId="779C14B6" w14:textId="77777777" w:rsidR="00F134F4" w:rsidRPr="00475027" w:rsidRDefault="00F134F4" w:rsidP="00FE4006">
      <w:pPr>
        <w:rPr>
          <w:rFonts w:ascii="Times New Roman" w:hAnsi="Times New Roman" w:cs="Times New Roman"/>
          <w:b/>
          <w:noProof/>
          <w:sz w:val="22"/>
          <w:szCs w:val="22"/>
          <w:lang w:val="sk-SK"/>
        </w:rPr>
      </w:pPr>
      <w:r w:rsidRPr="00475027">
        <w:rPr>
          <w:rFonts w:ascii="Times New Roman" w:hAnsi="Times New Roman" w:cs="Times New Roman"/>
          <w:b/>
          <w:noProof/>
          <w:sz w:val="22"/>
          <w:szCs w:val="22"/>
          <w:lang w:val="sk-SK"/>
        </w:rPr>
        <w:t>4.4</w:t>
      </w:r>
      <w:r w:rsidRPr="00475027">
        <w:rPr>
          <w:rFonts w:ascii="Times New Roman" w:hAnsi="Times New Roman" w:cs="Times New Roman"/>
          <w:b/>
          <w:noProof/>
          <w:sz w:val="22"/>
          <w:szCs w:val="22"/>
          <w:lang w:val="sk-SK"/>
        </w:rPr>
        <w:tab/>
        <w:t>Osobitné upozornenia a opatrenia pri používaní</w:t>
      </w:r>
    </w:p>
    <w:p w14:paraId="39D38154" w14:textId="77777777" w:rsidR="00F134F4" w:rsidRPr="00475027" w:rsidRDefault="00F134F4" w:rsidP="00FE4006">
      <w:pPr>
        <w:rPr>
          <w:rFonts w:ascii="Times New Roman" w:hAnsi="Times New Roman" w:cs="Times New Roman"/>
          <w:b/>
          <w:noProof/>
          <w:sz w:val="22"/>
          <w:szCs w:val="22"/>
          <w:lang w:val="sk-SK"/>
        </w:rPr>
      </w:pPr>
    </w:p>
    <w:p w14:paraId="02154D0F" w14:textId="77777777" w:rsidR="00F134F4" w:rsidRPr="00475027" w:rsidRDefault="00F134F4" w:rsidP="00FE4006">
      <w:pPr>
        <w:tabs>
          <w:tab w:val="left" w:pos="5387"/>
        </w:tabs>
        <w:jc w:val="both"/>
        <w:rPr>
          <w:rFonts w:ascii="Times New Roman" w:hAnsi="Times New Roman" w:cs="Times New Roman"/>
          <w:i/>
          <w:strike/>
          <w:sz w:val="22"/>
          <w:szCs w:val="22"/>
          <w:lang w:val="sk-SK"/>
        </w:rPr>
      </w:pPr>
      <w:r w:rsidRPr="00475027">
        <w:rPr>
          <w:rFonts w:ascii="Times New Roman" w:hAnsi="Times New Roman" w:cs="Times New Roman"/>
          <w:sz w:val="22"/>
          <w:szCs w:val="22"/>
          <w:lang w:val="sk-SK"/>
        </w:rPr>
        <w:t xml:space="preserve">Hlásené boli nežiaduce účinky súvisiace so šírením toxínu mimo miesta aplikácie (pozri časť 4.8).   </w:t>
      </w:r>
    </w:p>
    <w:p w14:paraId="0639EE40" w14:textId="77777777" w:rsidR="00F134F4" w:rsidRPr="00475027" w:rsidRDefault="00F134F4" w:rsidP="00FE4006">
      <w:pPr>
        <w:pStyle w:val="Body"/>
        <w:rPr>
          <w:color w:val="FF0000"/>
          <w:sz w:val="22"/>
          <w:szCs w:val="22"/>
          <w:lang w:val="sk-SK"/>
        </w:rPr>
      </w:pPr>
      <w:r w:rsidRPr="00475027">
        <w:rPr>
          <w:sz w:val="22"/>
          <w:szCs w:val="22"/>
          <w:lang w:val="sk-SK"/>
        </w:rPr>
        <w:t>U pacientov liečených terapeutickými dávkami sa môže vyskytnúť nadmerná svalová slabosť.</w:t>
      </w:r>
    </w:p>
    <w:p w14:paraId="7775D0C2"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Riziko výskytu týchto nežiaducich účinkov môže byť znížené použitím najnižšej účinnej dávky a neprekročením maximálnej odporučenej dávky.</w:t>
      </w:r>
    </w:p>
    <w:p w14:paraId="7DD6AC8E"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Komplex botulotoxínu typu A - hemaglutinín sa má použiť s opatrnosťou pod prísnym dohľadom a u pacientov so subklinickými alebo klinickými známkami zistiteľnej poruchy neuromuskulárneho prenosu (napr. myasténia gravis). Títo pacienti môžu mať na liečivá ako je komplex botulotoxínu typu A – hemaglutinín  zvýšenú citlivosť, ktorá môže viesť k nadmernej slabosti svalov.</w:t>
      </w:r>
    </w:p>
    <w:p w14:paraId="5FBF0BCA" w14:textId="77777777" w:rsidR="00F134F4" w:rsidRPr="00475027" w:rsidRDefault="00F134F4" w:rsidP="00FE4006">
      <w:pPr>
        <w:jc w:val="both"/>
        <w:rPr>
          <w:rFonts w:ascii="Times New Roman" w:hAnsi="Times New Roman" w:cs="Times New Roman"/>
          <w:sz w:val="22"/>
          <w:szCs w:val="22"/>
          <w:lang w:val="sk-SK"/>
        </w:rPr>
      </w:pPr>
    </w:p>
    <w:p w14:paraId="3F342E8E" w14:textId="77777777" w:rsidR="00F134F4" w:rsidRPr="00475027" w:rsidRDefault="00F134F4" w:rsidP="00FE4006">
      <w:pPr>
        <w:shd w:val="clear" w:color="auto" w:fill="FFFFFF"/>
        <w:spacing w:line="278" w:lineRule="exact"/>
        <w:ind w:right="120"/>
        <w:jc w:val="both"/>
        <w:rPr>
          <w:rFonts w:ascii="Times New Roman" w:hAnsi="Times New Roman" w:cs="Times New Roman"/>
          <w:sz w:val="22"/>
          <w:szCs w:val="22"/>
          <w:lang w:val="sk-SK"/>
        </w:rPr>
      </w:pPr>
      <w:r w:rsidRPr="00475027">
        <w:rPr>
          <w:rFonts w:ascii="Times New Roman" w:hAnsi="Times New Roman" w:cs="Times New Roman"/>
          <w:color w:val="000000"/>
          <w:sz w:val="22"/>
          <w:szCs w:val="22"/>
          <w:lang w:val="sk-SK"/>
        </w:rPr>
        <w:t>Odporúčané dávkovanie a frekvencia podávania Dysportu 500 U sa nesmie prekročiť.</w:t>
      </w:r>
    </w:p>
    <w:p w14:paraId="4FEAE62F" w14:textId="77777777" w:rsidR="00F134F4" w:rsidRPr="00475027" w:rsidRDefault="00F134F4" w:rsidP="00FE4006">
      <w:pPr>
        <w:tabs>
          <w:tab w:val="left" w:pos="5387"/>
        </w:tabs>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U pacientov liečených terapeutickými dávkami sa môže vyskytnúť nadmerná svalová slabosť. </w:t>
      </w:r>
    </w:p>
    <w:p w14:paraId="018D88CC" w14:textId="77777777" w:rsidR="00F134F4" w:rsidRPr="00475027" w:rsidRDefault="00F134F4" w:rsidP="00F66231">
      <w:pPr>
        <w:tabs>
          <w:tab w:val="left" w:pos="5387"/>
        </w:tabs>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Veľmi vzácne prípady smrti boli hlásené po liečbe botulotoxínom typu A alebo B, občas  súvisiace s dysfágiou, pneumopatiou (ktorá zahŕňala, ale nebola obmedzená len na dyspnoe, respiračné zlyhanie, zastavenie dýchania) a/alebo u pacientov s významnou asténiou. </w:t>
      </w:r>
    </w:p>
    <w:p w14:paraId="2DC5A6EB" w14:textId="77777777" w:rsidR="00F134F4" w:rsidRPr="00475027" w:rsidRDefault="00F134F4" w:rsidP="00FE4006">
      <w:pPr>
        <w:tabs>
          <w:tab w:val="left" w:pos="5387"/>
        </w:tabs>
        <w:jc w:val="both"/>
        <w:rPr>
          <w:rFonts w:ascii="Times New Roman" w:hAnsi="Times New Roman" w:cs="Times New Roman"/>
          <w:iCs/>
          <w:sz w:val="22"/>
          <w:szCs w:val="22"/>
          <w:lang w:val="sk-SK"/>
        </w:rPr>
      </w:pPr>
      <w:r w:rsidRPr="00475027">
        <w:rPr>
          <w:rFonts w:ascii="Times New Roman" w:hAnsi="Times New Roman" w:cs="Times New Roman"/>
          <w:iCs/>
          <w:sz w:val="22"/>
          <w:szCs w:val="22"/>
          <w:lang w:val="sk-SK"/>
        </w:rPr>
        <w:t xml:space="preserve">U pacientov s primárnymi neurologickými poruchami vrátane ťažkostí s prehĺtaním je zvýšené riziko výskytu týchto nežiaducich účinkov. U týchto pacientov musí byť liečba použitá pod dozorom lekára - špecialistu a má sa použiť len vtedy, ak sa zhodnotí, že prínos liečby vyváži riziko. </w:t>
      </w:r>
    </w:p>
    <w:p w14:paraId="12A150AE" w14:textId="77777777" w:rsidR="00F134F4" w:rsidRPr="00475027" w:rsidRDefault="00F134F4" w:rsidP="00FE4006">
      <w:pPr>
        <w:tabs>
          <w:tab w:val="left" w:pos="5387"/>
        </w:tabs>
        <w:jc w:val="both"/>
        <w:rPr>
          <w:rFonts w:ascii="Times New Roman" w:hAnsi="Times New Roman" w:cs="Times New Roman"/>
          <w:iCs/>
          <w:sz w:val="22"/>
          <w:szCs w:val="22"/>
          <w:lang w:val="sk-SK"/>
        </w:rPr>
      </w:pPr>
    </w:p>
    <w:p w14:paraId="51A0D0E1" w14:textId="77777777" w:rsidR="00F134F4" w:rsidRPr="00475027" w:rsidRDefault="00F134F4" w:rsidP="00FE4006">
      <w:pPr>
        <w:tabs>
          <w:tab w:val="left" w:pos="5387"/>
        </w:tabs>
        <w:jc w:val="both"/>
        <w:rPr>
          <w:rFonts w:ascii="Times New Roman" w:hAnsi="Times New Roman" w:cs="Times New Roman"/>
          <w:sz w:val="22"/>
          <w:szCs w:val="22"/>
          <w:lang w:val="sk-SK"/>
        </w:rPr>
      </w:pPr>
      <w:r w:rsidRPr="00475027">
        <w:rPr>
          <w:rFonts w:ascii="Times New Roman" w:hAnsi="Times New Roman" w:cs="Times New Roman"/>
          <w:iCs/>
          <w:sz w:val="22"/>
          <w:szCs w:val="22"/>
          <w:lang w:val="sk-SK"/>
        </w:rPr>
        <w:t>Dysport 500 U sa má podávať s opatrnosťou u pacientov s už existujúcimi problémami s prehĺtaním alebo dýchaním, nakoľko tieto sa môžu zhoršiť a následne rozšíriť účinok toxínu do príslušných svalov. Zriedkavo sa pozorovala ašpirácia a je rizikom pri liečbe pacientov s chronickým respiračným ochorením.</w:t>
      </w:r>
    </w:p>
    <w:p w14:paraId="217A29A2" w14:textId="77777777" w:rsidR="00F134F4" w:rsidRPr="00475027" w:rsidRDefault="00F134F4" w:rsidP="00FE4006">
      <w:pPr>
        <w:pStyle w:val="Text"/>
        <w:spacing w:before="0" w:after="0"/>
        <w:ind w:left="0"/>
        <w:jc w:val="left"/>
        <w:rPr>
          <w:rFonts w:ascii="Times New Roman" w:hAnsi="Times New Roman"/>
          <w:iCs/>
          <w:color w:val="333399"/>
          <w:sz w:val="22"/>
          <w:szCs w:val="22"/>
          <w:lang w:val="sk-SK"/>
        </w:rPr>
      </w:pPr>
    </w:p>
    <w:p w14:paraId="669BFE92" w14:textId="57BE394A" w:rsidR="00F134F4" w:rsidRPr="007648C4" w:rsidRDefault="00F134F4" w:rsidP="00FE4006">
      <w:pPr>
        <w:jc w:val="both"/>
        <w:rPr>
          <w:rFonts w:ascii="Times New Roman" w:hAnsi="Times New Roman" w:cs="Times New Roman"/>
          <w:color w:val="000000"/>
          <w:sz w:val="22"/>
          <w:szCs w:val="22"/>
          <w:lang w:val="sk-SK"/>
        </w:rPr>
      </w:pPr>
      <w:r w:rsidRPr="007648C4">
        <w:rPr>
          <w:rFonts w:ascii="Times New Roman" w:hAnsi="Times New Roman" w:cs="Times New Roman"/>
          <w:color w:val="000000"/>
          <w:sz w:val="22"/>
          <w:szCs w:val="22"/>
          <w:lang w:val="sk-SK"/>
        </w:rPr>
        <w:t>Pacienti a opatrovatelia musia byť poučení tak, aby vyhľadali okamžité lekárske ošetrenie ak sa objavia poruchy prehĺtania, reči alebo dýchania.</w:t>
      </w:r>
    </w:p>
    <w:p w14:paraId="37A8B8E8" w14:textId="77777777" w:rsidR="00BE3A89" w:rsidRPr="007648C4" w:rsidRDefault="00BE3A89" w:rsidP="00FE4006">
      <w:pPr>
        <w:jc w:val="both"/>
        <w:rPr>
          <w:rFonts w:ascii="Times New Roman" w:hAnsi="Times New Roman" w:cs="Times New Roman"/>
          <w:color w:val="000000"/>
          <w:sz w:val="22"/>
          <w:szCs w:val="22"/>
          <w:lang w:val="sk-SK"/>
        </w:rPr>
      </w:pPr>
    </w:p>
    <w:p w14:paraId="3DBC341F" w14:textId="77777777" w:rsidR="00BE3A89" w:rsidRPr="007648C4" w:rsidRDefault="00BE3A89" w:rsidP="00BE3A89">
      <w:pPr>
        <w:rPr>
          <w:rFonts w:ascii="Times New Roman" w:hAnsi="Times New Roman" w:cs="Times New Roman"/>
          <w:sz w:val="22"/>
          <w:szCs w:val="22"/>
          <w:lang w:val="sk-SK"/>
        </w:rPr>
      </w:pPr>
      <w:r w:rsidRPr="007648C4">
        <w:rPr>
          <w:rFonts w:ascii="Times New Roman" w:hAnsi="Times New Roman" w:cs="Times New Roman"/>
          <w:sz w:val="22"/>
          <w:szCs w:val="22"/>
          <w:lang w:val="sk-SK"/>
        </w:rPr>
        <w:lastRenderedPageBreak/>
        <w:t>Pri liečbe fokálnej spasticity postihujúcej dolné končatiny u dospelých je potrebná opatrnosť najmä u starších pacientov, ktorí môžu byť vystavení vyššiemu riziku pádu. V placebo kontrolovaných klinických štúdiách, kde boli pacienti liečení na spasticitu dolných končatín došlo k pádu u 9,4 % (Dysport 1000 U), 6,3 % (Dysport 1500 U) a 3,7 % (placebo) pacientov.</w:t>
      </w:r>
    </w:p>
    <w:p w14:paraId="5ECA5AC5" w14:textId="77777777" w:rsidR="00BE3A89" w:rsidRPr="007648C4" w:rsidRDefault="00BE3A89" w:rsidP="00FE4006">
      <w:pPr>
        <w:jc w:val="both"/>
        <w:rPr>
          <w:rFonts w:ascii="Times New Roman" w:hAnsi="Times New Roman" w:cs="Times New Roman"/>
          <w:sz w:val="22"/>
          <w:szCs w:val="22"/>
          <w:lang w:val="sk-SK"/>
        </w:rPr>
      </w:pPr>
    </w:p>
    <w:p w14:paraId="09821543" w14:textId="77777777" w:rsidR="00F134F4" w:rsidRPr="007648C4" w:rsidRDefault="00F134F4" w:rsidP="00FE4006">
      <w:pPr>
        <w:jc w:val="both"/>
        <w:rPr>
          <w:rFonts w:ascii="Times New Roman" w:hAnsi="Times New Roman" w:cs="Times New Roman"/>
          <w:sz w:val="22"/>
          <w:szCs w:val="22"/>
          <w:lang w:val="sk-SK"/>
        </w:rPr>
      </w:pPr>
    </w:p>
    <w:p w14:paraId="5E76663B"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Tréning: firma pomôže s tréningom na podávanie injekcií Dysportu 500 U.</w:t>
      </w:r>
    </w:p>
    <w:p w14:paraId="7F3CDCCA" w14:textId="77777777" w:rsidR="00F134F4" w:rsidRPr="00475027" w:rsidRDefault="00F134F4" w:rsidP="00FE4006">
      <w:pPr>
        <w:jc w:val="both"/>
        <w:rPr>
          <w:rFonts w:ascii="Times New Roman" w:hAnsi="Times New Roman" w:cs="Times New Roman"/>
          <w:sz w:val="22"/>
          <w:szCs w:val="22"/>
          <w:lang w:val="sk-SK"/>
        </w:rPr>
      </w:pPr>
    </w:p>
    <w:p w14:paraId="5CEF3F25"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Dysport 500 U sa nesmie používať na liečbu spasticity u pacientov, ktorým sa vyvinula fixovaná kontraktúra.</w:t>
      </w:r>
    </w:p>
    <w:p w14:paraId="615661C1" w14:textId="77777777" w:rsidR="00F134F4" w:rsidRPr="00475027" w:rsidRDefault="00F134F4" w:rsidP="00FE4006">
      <w:pPr>
        <w:shd w:val="clear" w:color="auto" w:fill="FFFFFF"/>
        <w:spacing w:before="115" w:line="274" w:lineRule="exact"/>
        <w:ind w:left="29" w:right="106"/>
        <w:jc w:val="both"/>
        <w:rPr>
          <w:rFonts w:ascii="Times New Roman" w:hAnsi="Times New Roman" w:cs="Times New Roman"/>
          <w:color w:val="000000"/>
          <w:sz w:val="22"/>
          <w:szCs w:val="22"/>
          <w:lang w:val="sk-SK"/>
        </w:rPr>
      </w:pPr>
      <w:r w:rsidRPr="00475027">
        <w:rPr>
          <w:rFonts w:ascii="Times New Roman" w:hAnsi="Times New Roman" w:cs="Times New Roman"/>
          <w:sz w:val="22"/>
          <w:szCs w:val="22"/>
          <w:lang w:val="sk-SK"/>
        </w:rPr>
        <w:t xml:space="preserve">Je dôležité sledovať pacientovu anatómiu tváre pred podaním </w:t>
      </w:r>
      <w:r w:rsidRPr="00475027">
        <w:rPr>
          <w:rFonts w:ascii="Times New Roman" w:hAnsi="Times New Roman" w:cs="Times New Roman"/>
          <w:color w:val="000000"/>
          <w:sz w:val="22"/>
          <w:szCs w:val="22"/>
          <w:lang w:val="sk-SK"/>
        </w:rPr>
        <w:t>Dysportu 500 U na reguláciu glabelárnych a laterálnych očných línii.</w:t>
      </w:r>
      <w:r w:rsidRPr="00475027">
        <w:rPr>
          <w:rFonts w:ascii="Times New Roman" w:hAnsi="Times New Roman" w:cs="Times New Roman"/>
          <w:sz w:val="22"/>
          <w:szCs w:val="22"/>
          <w:lang w:val="sk-SK"/>
        </w:rPr>
        <w:t xml:space="preserve"> Asymetria tváre, </w:t>
      </w:r>
      <w:r w:rsidRPr="00475027">
        <w:rPr>
          <w:rFonts w:ascii="Times New Roman" w:hAnsi="Times New Roman" w:cs="Times New Roman"/>
          <w:color w:val="000000"/>
          <w:sz w:val="22"/>
          <w:szCs w:val="22"/>
          <w:lang w:val="sk-SK"/>
        </w:rPr>
        <w:t>ptóza, neúmerné uvoľňovanie kože, zjazvenie a hociktoré zmeny tejto anatómie ako výsledok predchádzajúcich chirurgických zákrokov majú byť brané do úvahy.</w:t>
      </w:r>
    </w:p>
    <w:p w14:paraId="49F117DB" w14:textId="77777777" w:rsidR="00F134F4" w:rsidRPr="00475027" w:rsidRDefault="00F134F4" w:rsidP="00FE4006">
      <w:pPr>
        <w:shd w:val="clear" w:color="auto" w:fill="FFFFFF"/>
        <w:spacing w:before="115" w:line="274" w:lineRule="exact"/>
        <w:ind w:left="29" w:right="106"/>
        <w:jc w:val="both"/>
        <w:rPr>
          <w:rFonts w:ascii="Times New Roman" w:hAnsi="Times New Roman" w:cs="Times New Roman"/>
          <w:sz w:val="22"/>
          <w:szCs w:val="22"/>
          <w:lang w:val="sk-SK"/>
        </w:rPr>
      </w:pPr>
    </w:p>
    <w:p w14:paraId="412D183B"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Tvorba protilátok proti botulínovému toxínu bola vyšetrovaná u malého počtu pacientov liečených botulotoxínom typu A – komplex hemaglutinínu. Klinicky môžu byť neutralizujúce protilátky zistené významné zníženou odpoveďou a/alebo potrebou trvalého užívania vyšších dávok. </w:t>
      </w:r>
    </w:p>
    <w:p w14:paraId="7A0769F2" w14:textId="77777777" w:rsidR="00F134F4" w:rsidRPr="00475027" w:rsidRDefault="00F134F4" w:rsidP="00FE4006">
      <w:pPr>
        <w:pStyle w:val="Text"/>
        <w:ind w:left="0"/>
        <w:jc w:val="left"/>
        <w:rPr>
          <w:rFonts w:ascii="Times New Roman" w:hAnsi="Times New Roman"/>
          <w:sz w:val="22"/>
          <w:szCs w:val="22"/>
          <w:lang w:val="sk-SK"/>
        </w:rPr>
      </w:pPr>
    </w:p>
    <w:p w14:paraId="097852F1" w14:textId="77777777" w:rsidR="00F134F4" w:rsidRPr="00475027" w:rsidRDefault="00F134F4" w:rsidP="00FE4006">
      <w:pPr>
        <w:pStyle w:val="Text"/>
        <w:ind w:left="0"/>
        <w:jc w:val="left"/>
        <w:rPr>
          <w:rFonts w:ascii="Times New Roman" w:hAnsi="Times New Roman"/>
          <w:sz w:val="22"/>
          <w:szCs w:val="22"/>
          <w:lang w:val="sk-SK"/>
        </w:rPr>
      </w:pPr>
      <w:r w:rsidRPr="00475027">
        <w:rPr>
          <w:rFonts w:ascii="Times New Roman" w:hAnsi="Times New Roman"/>
          <w:sz w:val="22"/>
          <w:szCs w:val="22"/>
          <w:lang w:val="sk-SK"/>
        </w:rPr>
        <w:t>Ako pri každej intramuskulárnej injekcii má byť Dysport 500 U používaný iba u tých pacientov, kde je to naozaj nutné - v prípade dlhotrvajúcich krvácaní, infekcií alebo zápalov na príslušnom mieste.</w:t>
      </w:r>
    </w:p>
    <w:p w14:paraId="68129BEC" w14:textId="77777777" w:rsidR="00F134F4" w:rsidRPr="00475027" w:rsidRDefault="00F134F4" w:rsidP="00FE4006">
      <w:pPr>
        <w:shd w:val="clear" w:color="auto" w:fill="FFFFFF"/>
        <w:spacing w:line="278" w:lineRule="exact"/>
        <w:ind w:right="120"/>
        <w:jc w:val="both"/>
        <w:rPr>
          <w:rFonts w:ascii="Times New Roman" w:hAnsi="Times New Roman" w:cs="Times New Roman"/>
          <w:sz w:val="22"/>
          <w:szCs w:val="22"/>
          <w:lang w:val="sk-SK"/>
        </w:rPr>
      </w:pPr>
      <w:r w:rsidRPr="00475027">
        <w:rPr>
          <w:rFonts w:ascii="Times New Roman" w:hAnsi="Times New Roman" w:cs="Times New Roman"/>
          <w:color w:val="000000"/>
          <w:sz w:val="22"/>
          <w:szCs w:val="22"/>
          <w:lang w:val="sk-SK"/>
        </w:rPr>
        <w:t>Dysport 500 U má byť použitý len na liečbu jedného pacienta, počas jednej liečby . Akékoľvek nepoužité zvyšky lieku majú byť zlikvidované v súlade s časťou 6.6 (Špeciálne opatrenia na likvidáciu a iné zaobchádzanie s liekom). Špecifické opatrenia sú požadované k príprave a spôsobu podania lieku, k inaktivácii a </w:t>
      </w:r>
      <w:r w:rsidRPr="00475027">
        <w:rPr>
          <w:rFonts w:ascii="Times New Roman" w:hAnsi="Times New Roman" w:cs="Times New Roman"/>
          <w:sz w:val="22"/>
          <w:szCs w:val="22"/>
          <w:lang w:val="sk-SK"/>
        </w:rPr>
        <w:t xml:space="preserve">likvidácii nepoužitého nariedeného roztoku </w:t>
      </w:r>
      <w:r w:rsidRPr="00475027">
        <w:rPr>
          <w:rFonts w:ascii="Times New Roman" w:hAnsi="Times New Roman" w:cs="Times New Roman"/>
          <w:color w:val="000000"/>
          <w:sz w:val="22"/>
          <w:szCs w:val="22"/>
          <w:lang w:val="sk-SK"/>
        </w:rPr>
        <w:t>(pozri časť 6.6).</w:t>
      </w:r>
    </w:p>
    <w:p w14:paraId="2CF4ABAA" w14:textId="77777777" w:rsidR="00F134F4" w:rsidRPr="00475027" w:rsidRDefault="00F134F4" w:rsidP="00FE4006">
      <w:pPr>
        <w:jc w:val="both"/>
        <w:rPr>
          <w:rFonts w:ascii="Times New Roman" w:hAnsi="Times New Roman" w:cs="Times New Roman"/>
          <w:sz w:val="22"/>
          <w:szCs w:val="22"/>
          <w:lang w:val="sk-SK"/>
        </w:rPr>
      </w:pPr>
    </w:p>
    <w:p w14:paraId="416A670F" w14:textId="77777777" w:rsidR="00F134F4" w:rsidRPr="007648C4"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Tento liek obsahuje malé množstvo ľudského albumínu. Riziko prenosu vírusovej infekcie po </w:t>
      </w:r>
      <w:r w:rsidRPr="007648C4">
        <w:rPr>
          <w:rFonts w:ascii="Times New Roman" w:hAnsi="Times New Roman" w:cs="Times New Roman"/>
          <w:sz w:val="22"/>
          <w:szCs w:val="22"/>
          <w:lang w:val="sk-SK"/>
        </w:rPr>
        <w:t>použití ľudskej krvi alebo prípravkov z krvi sa nemôže vylúčiť s absolútnou istotou.</w:t>
      </w:r>
    </w:p>
    <w:p w14:paraId="2A007D2C" w14:textId="77777777" w:rsidR="00F134F4" w:rsidRPr="007648C4" w:rsidRDefault="00F134F4" w:rsidP="00FE4006">
      <w:pPr>
        <w:jc w:val="both"/>
        <w:rPr>
          <w:rFonts w:ascii="Times New Roman" w:hAnsi="Times New Roman" w:cs="Times New Roman"/>
          <w:sz w:val="22"/>
          <w:szCs w:val="22"/>
          <w:lang w:val="sk-SK"/>
        </w:rPr>
      </w:pPr>
    </w:p>
    <w:p w14:paraId="2B90A61B" w14:textId="77777777" w:rsidR="00BE3A89" w:rsidRPr="007648C4" w:rsidRDefault="00BE3A89" w:rsidP="00BE3A89">
      <w:pPr>
        <w:jc w:val="both"/>
        <w:rPr>
          <w:rFonts w:ascii="Times New Roman" w:hAnsi="Times New Roman" w:cs="Times New Roman"/>
          <w:sz w:val="22"/>
          <w:szCs w:val="22"/>
          <w:u w:val="single"/>
          <w:lang w:val="sk-SK"/>
        </w:rPr>
      </w:pPr>
      <w:bookmarkStart w:id="1" w:name="_Hlk529958400"/>
      <w:r w:rsidRPr="007648C4">
        <w:rPr>
          <w:rFonts w:ascii="Times New Roman" w:hAnsi="Times New Roman" w:cs="Times New Roman"/>
          <w:sz w:val="22"/>
          <w:szCs w:val="22"/>
          <w:u w:val="single"/>
          <w:lang w:val="sk-SK"/>
        </w:rPr>
        <w:t>Použitie u detí</w:t>
      </w:r>
    </w:p>
    <w:p w14:paraId="6741215D" w14:textId="77777777" w:rsidR="00BE3A89" w:rsidRPr="007648C4" w:rsidRDefault="00BE3A89" w:rsidP="00BE3A89">
      <w:pPr>
        <w:jc w:val="both"/>
        <w:rPr>
          <w:rFonts w:ascii="Times New Roman" w:hAnsi="Times New Roman" w:cs="Times New Roman"/>
          <w:sz w:val="22"/>
          <w:szCs w:val="22"/>
          <w:lang w:val="sk-SK"/>
        </w:rPr>
      </w:pPr>
    </w:p>
    <w:p w14:paraId="48A9D888" w14:textId="77777777" w:rsidR="00BE3A89" w:rsidRPr="007648C4" w:rsidRDefault="00BE3A89" w:rsidP="00BE3A89">
      <w:pPr>
        <w:jc w:val="both"/>
        <w:rPr>
          <w:rFonts w:ascii="Times New Roman" w:hAnsi="Times New Roman" w:cs="Times New Roman"/>
          <w:sz w:val="22"/>
          <w:szCs w:val="22"/>
          <w:lang w:val="sk-SK"/>
        </w:rPr>
      </w:pPr>
      <w:r w:rsidRPr="007648C4">
        <w:rPr>
          <w:rFonts w:ascii="Times New Roman" w:hAnsi="Times New Roman" w:cs="Times New Roman"/>
          <w:sz w:val="22"/>
          <w:szCs w:val="22"/>
          <w:lang w:val="sk-SK"/>
        </w:rPr>
        <w:t>Pri liečbe spasticity súvisiacej s detskou mozgovou obrnou sa má Dysport 500 U použiť iba u detí starších ako 2 roky. Postmarketingové správy o možnom šírení toxínu do vzdialených miest od podania u pediatrických pacientov s komorbiditou, najmä s mozgovou obrnou boli hlásené veľmi zriedkavo. Vo všeobecnosti bola v týchto prípadoch použitá vyššia dávka ako je odporúčaná dávka (pozri časť 4.8).</w:t>
      </w:r>
    </w:p>
    <w:p w14:paraId="36E4BAE4" w14:textId="77777777" w:rsidR="00BE3A89" w:rsidRPr="007648C4" w:rsidRDefault="00BE3A89" w:rsidP="00BE3A89">
      <w:pPr>
        <w:jc w:val="both"/>
        <w:rPr>
          <w:rFonts w:ascii="Times New Roman" w:hAnsi="Times New Roman" w:cs="Times New Roman"/>
          <w:sz w:val="22"/>
          <w:szCs w:val="22"/>
          <w:lang w:val="sk-SK"/>
        </w:rPr>
      </w:pPr>
    </w:p>
    <w:p w14:paraId="7FE27C5D" w14:textId="77777777" w:rsidR="00BE3A89" w:rsidRPr="00475027" w:rsidRDefault="00BE3A89" w:rsidP="00BE3A89">
      <w:pPr>
        <w:jc w:val="both"/>
        <w:rPr>
          <w:rFonts w:ascii="Times New Roman" w:hAnsi="Times New Roman" w:cs="Times New Roman"/>
          <w:sz w:val="22"/>
          <w:szCs w:val="22"/>
          <w:lang w:val="sk-SK"/>
        </w:rPr>
      </w:pPr>
      <w:r w:rsidRPr="007648C4">
        <w:rPr>
          <w:rFonts w:ascii="Times New Roman" w:hAnsi="Times New Roman" w:cs="Times New Roman"/>
          <w:sz w:val="22"/>
          <w:szCs w:val="22"/>
          <w:lang w:val="sk-SK"/>
        </w:rPr>
        <w:t>Vyskytli sa zriedkavé spontánne hlásenia úmrtí, ktoré sa spájajú s aspiračnou pneumóniou u detí s ťažkou mozgovou obrnou po liečbe botulotoxínom, vrátane následného použitia mimo indikácie – off label use (napríklad oblasť krku). Je potrebná mimoriadna opatrnosť pri liečbe pediatrických pacientov s výraznou neurologickou poruchou, dysfágiou alebo s nedávnou anamnézou aspiračnej pneumónie alebo pľúcnym ochorením. U pacientov s nevyhovujúcim zdravotným stavom sa má liečba podávať iba vtedy, ak potenciálny prínos pre konkrétneho pacienta prevažuje nad jeho rizikami.</w:t>
      </w:r>
    </w:p>
    <w:bookmarkEnd w:id="1"/>
    <w:p w14:paraId="7AF5321E" w14:textId="77777777" w:rsidR="00BE3A89" w:rsidRPr="00475027" w:rsidRDefault="00BE3A89" w:rsidP="00FE4006">
      <w:pPr>
        <w:jc w:val="both"/>
        <w:rPr>
          <w:rFonts w:ascii="Times New Roman" w:hAnsi="Times New Roman" w:cs="Times New Roman"/>
          <w:sz w:val="22"/>
          <w:szCs w:val="22"/>
          <w:lang w:val="sk-SK"/>
        </w:rPr>
      </w:pPr>
    </w:p>
    <w:p w14:paraId="6FCEC8D7" w14:textId="77777777" w:rsidR="00F134F4" w:rsidRPr="00475027" w:rsidRDefault="00F134F4" w:rsidP="00FE4006">
      <w:pPr>
        <w:spacing w:line="240" w:lineRule="atLeast"/>
        <w:rPr>
          <w:rFonts w:ascii="Times New Roman" w:hAnsi="Times New Roman" w:cs="Times New Roman"/>
          <w:b/>
          <w:sz w:val="22"/>
          <w:szCs w:val="22"/>
          <w:lang w:val="sk-SK"/>
        </w:rPr>
      </w:pPr>
      <w:r w:rsidRPr="00475027">
        <w:rPr>
          <w:rFonts w:ascii="Times New Roman" w:hAnsi="Times New Roman" w:cs="Times New Roman"/>
          <w:b/>
          <w:sz w:val="22"/>
          <w:szCs w:val="22"/>
          <w:lang w:val="sk-SK"/>
        </w:rPr>
        <w:t>4.5</w:t>
      </w:r>
      <w:r w:rsidRPr="00475027">
        <w:rPr>
          <w:rFonts w:ascii="Times New Roman" w:hAnsi="Times New Roman" w:cs="Times New Roman"/>
          <w:b/>
          <w:sz w:val="22"/>
          <w:szCs w:val="22"/>
          <w:lang w:val="sk-SK"/>
        </w:rPr>
        <w:tab/>
        <w:t>Liekové a iné interakcie</w:t>
      </w:r>
    </w:p>
    <w:p w14:paraId="6AFBC15C" w14:textId="77777777" w:rsidR="00F134F4" w:rsidRPr="00475027" w:rsidRDefault="00F134F4" w:rsidP="00FE4006">
      <w:pPr>
        <w:shd w:val="clear" w:color="auto" w:fill="FFFFFF"/>
        <w:spacing w:before="110" w:line="274" w:lineRule="exact"/>
        <w:ind w:left="53" w:right="72"/>
        <w:jc w:val="both"/>
        <w:rPr>
          <w:rFonts w:ascii="Times New Roman" w:hAnsi="Times New Roman" w:cs="Times New Roman"/>
          <w:sz w:val="22"/>
          <w:szCs w:val="22"/>
          <w:lang w:val="sk-SK"/>
        </w:rPr>
      </w:pPr>
      <w:r w:rsidRPr="00475027">
        <w:rPr>
          <w:rFonts w:ascii="Times New Roman" w:hAnsi="Times New Roman" w:cs="Times New Roman"/>
          <w:color w:val="000000"/>
          <w:sz w:val="22"/>
          <w:szCs w:val="22"/>
          <w:lang w:val="sk-SK"/>
        </w:rPr>
        <w:t>Účinky botulotoxínu sa zosilňujú u liekov interferovaných priamo alebo nepriamo s neuromuskulárnou funkciou, a takéto lieky sa majú používať s opatrnosťou u pacientov liečených botulotoxínom.</w:t>
      </w:r>
    </w:p>
    <w:p w14:paraId="5735DDEE" w14:textId="77777777" w:rsidR="00F134F4" w:rsidRPr="00475027" w:rsidRDefault="00F134F4" w:rsidP="00FE4006">
      <w:pPr>
        <w:jc w:val="both"/>
        <w:rPr>
          <w:rFonts w:ascii="Times New Roman" w:hAnsi="Times New Roman" w:cs="Times New Roman"/>
          <w:sz w:val="22"/>
          <w:szCs w:val="22"/>
          <w:lang w:val="sk-SK"/>
        </w:rPr>
      </w:pPr>
    </w:p>
    <w:p w14:paraId="488FE8E0" w14:textId="77777777" w:rsidR="00F134F4" w:rsidRPr="00475027" w:rsidRDefault="00F134F4" w:rsidP="00FE4006">
      <w:pPr>
        <w:rPr>
          <w:rFonts w:ascii="Times New Roman" w:hAnsi="Times New Roman" w:cs="Times New Roman"/>
          <w:b/>
          <w:noProof/>
          <w:sz w:val="22"/>
          <w:szCs w:val="22"/>
          <w:lang w:val="sk-SK"/>
        </w:rPr>
      </w:pPr>
      <w:r w:rsidRPr="00475027">
        <w:rPr>
          <w:rFonts w:ascii="Times New Roman" w:hAnsi="Times New Roman" w:cs="Times New Roman"/>
          <w:b/>
          <w:noProof/>
          <w:sz w:val="22"/>
          <w:szCs w:val="22"/>
          <w:lang w:val="sk-SK"/>
        </w:rPr>
        <w:t>4.6</w:t>
      </w:r>
      <w:r w:rsidRPr="00475027">
        <w:rPr>
          <w:rFonts w:ascii="Times New Roman" w:hAnsi="Times New Roman" w:cs="Times New Roman"/>
          <w:b/>
          <w:noProof/>
          <w:sz w:val="22"/>
          <w:szCs w:val="22"/>
          <w:lang w:val="sk-SK"/>
        </w:rPr>
        <w:tab/>
        <w:t>Fertilita, gravidita a laktácia</w:t>
      </w:r>
    </w:p>
    <w:p w14:paraId="53E5A50D" w14:textId="77777777" w:rsidR="00F134F4" w:rsidRPr="00475027" w:rsidRDefault="00F134F4" w:rsidP="00E12229">
      <w:pPr>
        <w:jc w:val="both"/>
        <w:rPr>
          <w:rFonts w:ascii="Times New Roman" w:hAnsi="Times New Roman" w:cs="Times New Roman"/>
          <w:sz w:val="22"/>
          <w:szCs w:val="22"/>
          <w:lang w:val="sk-SK"/>
        </w:rPr>
      </w:pPr>
    </w:p>
    <w:p w14:paraId="2BF9CF19" w14:textId="77777777" w:rsidR="00F134F4" w:rsidRPr="00475027" w:rsidRDefault="00F134F4" w:rsidP="00E12229">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Existujú obmedzené údaje o použití komplexu </w:t>
      </w:r>
      <w:r w:rsidRPr="00475027">
        <w:rPr>
          <w:rFonts w:ascii="Times New Roman" w:hAnsi="Times New Roman" w:cs="Times New Roman"/>
          <w:i/>
          <w:sz w:val="22"/>
          <w:szCs w:val="22"/>
          <w:lang w:val="sk-SK"/>
        </w:rPr>
        <w:t>Clostridium botulinum</w:t>
      </w:r>
      <w:r w:rsidRPr="00475027">
        <w:rPr>
          <w:rFonts w:ascii="Times New Roman" w:hAnsi="Times New Roman" w:cs="Times New Roman"/>
          <w:sz w:val="22"/>
          <w:szCs w:val="22"/>
          <w:lang w:val="sk-SK"/>
        </w:rPr>
        <w:t xml:space="preserve"> toxínu typu A - hemaglutinín u gravidných žien. Štúdie na zvieratách nesignalizujú priame a nepriame škodlivé účinky čo sa týka </w:t>
      </w:r>
      <w:r w:rsidRPr="00475027">
        <w:rPr>
          <w:rFonts w:ascii="Times New Roman" w:hAnsi="Times New Roman" w:cs="Times New Roman"/>
          <w:sz w:val="22"/>
          <w:szCs w:val="22"/>
          <w:lang w:val="sk-SK"/>
        </w:rPr>
        <w:lastRenderedPageBreak/>
        <w:t>gravidity, embryonálneho/fetálneho vývoja, pôrodu alebo popôrodného vývoja, iné ako pri vysokých dávkach spôsobujúcich toxicitu u matiek (pozri časť 5.3).</w:t>
      </w:r>
    </w:p>
    <w:p w14:paraId="298AB0B9" w14:textId="77777777" w:rsidR="00F134F4" w:rsidRPr="00475027" w:rsidRDefault="00F134F4" w:rsidP="00E12229">
      <w:pPr>
        <w:jc w:val="both"/>
        <w:rPr>
          <w:rFonts w:ascii="Times New Roman" w:hAnsi="Times New Roman" w:cs="Times New Roman"/>
          <w:sz w:val="22"/>
          <w:szCs w:val="22"/>
          <w:lang w:val="sk-SK"/>
        </w:rPr>
      </w:pPr>
    </w:p>
    <w:p w14:paraId="48AA7D5A" w14:textId="77777777" w:rsidR="00F134F4" w:rsidRPr="00475027" w:rsidRDefault="00F134F4" w:rsidP="00E12229">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Komplex botulotoxínu typu A s hemaglutinínom má byť použitý počas gravidity iba pokiaľ prínos prevýši akékoľvek potenciálne riziko pre plod. Pri predpísaní Dysportu 500 U tehotnej žene je potrebné ju náležité poučiť.</w:t>
      </w:r>
    </w:p>
    <w:p w14:paraId="4F97BEDC" w14:textId="77777777" w:rsidR="00F134F4" w:rsidRPr="00475027" w:rsidRDefault="00F134F4" w:rsidP="00E12229">
      <w:pPr>
        <w:jc w:val="both"/>
        <w:rPr>
          <w:rFonts w:ascii="Times New Roman" w:hAnsi="Times New Roman" w:cs="Times New Roman"/>
          <w:sz w:val="22"/>
          <w:szCs w:val="22"/>
          <w:lang w:val="sk-SK"/>
        </w:rPr>
      </w:pPr>
    </w:p>
    <w:p w14:paraId="0B81DD9C" w14:textId="77777777" w:rsidR="00F134F4" w:rsidRPr="00475027" w:rsidRDefault="00F134F4" w:rsidP="00682658">
      <w:pPr>
        <w:jc w:val="both"/>
        <w:rPr>
          <w:rFonts w:ascii="Times New Roman" w:hAnsi="Times New Roman" w:cs="Times New Roman"/>
          <w:noProof/>
          <w:sz w:val="22"/>
          <w:szCs w:val="22"/>
          <w:lang w:val="sk-SK"/>
        </w:rPr>
      </w:pPr>
      <w:r w:rsidRPr="00475027">
        <w:rPr>
          <w:rFonts w:ascii="Times New Roman" w:hAnsi="Times New Roman" w:cs="Times New Roman"/>
          <w:sz w:val="22"/>
          <w:szCs w:val="22"/>
          <w:lang w:val="sk-SK"/>
        </w:rPr>
        <w:t xml:space="preserve">Nie je známe, či je komplex </w:t>
      </w:r>
      <w:r w:rsidRPr="00475027">
        <w:rPr>
          <w:rFonts w:ascii="Times New Roman" w:hAnsi="Times New Roman" w:cs="Times New Roman"/>
          <w:i/>
          <w:sz w:val="22"/>
          <w:szCs w:val="22"/>
          <w:lang w:val="sk-SK"/>
        </w:rPr>
        <w:t>Clostridium botulinum</w:t>
      </w:r>
      <w:r w:rsidRPr="00475027">
        <w:rPr>
          <w:rFonts w:ascii="Times New Roman" w:hAnsi="Times New Roman" w:cs="Times New Roman"/>
          <w:sz w:val="22"/>
          <w:szCs w:val="22"/>
          <w:lang w:val="sk-SK"/>
        </w:rPr>
        <w:t xml:space="preserve"> toxín A- hemaglutinín vylučovaný do materského mlieka. Exkrécia do mlieka nebola študovaná ani u zvierat. Použitie komplexu botulotoxín typu A- hemaglutinín počas laktácie sa neodporúča.</w:t>
      </w:r>
    </w:p>
    <w:p w14:paraId="101F5B6D" w14:textId="77777777" w:rsidR="00F134F4" w:rsidRPr="00475027" w:rsidRDefault="00F134F4" w:rsidP="00FE4006">
      <w:pPr>
        <w:spacing w:line="240" w:lineRule="atLeast"/>
        <w:rPr>
          <w:rFonts w:ascii="Times New Roman" w:hAnsi="Times New Roman" w:cs="Times New Roman"/>
          <w:b/>
          <w:sz w:val="22"/>
          <w:szCs w:val="22"/>
          <w:lang w:val="sk-SK"/>
        </w:rPr>
      </w:pPr>
    </w:p>
    <w:p w14:paraId="1E032F74" w14:textId="77777777" w:rsidR="00F134F4" w:rsidRPr="00475027" w:rsidRDefault="00F134F4" w:rsidP="00FE4006">
      <w:pPr>
        <w:numPr>
          <w:ilvl w:val="1"/>
          <w:numId w:val="2"/>
        </w:numPr>
        <w:spacing w:line="240" w:lineRule="atLeast"/>
        <w:rPr>
          <w:rFonts w:ascii="Times New Roman" w:hAnsi="Times New Roman" w:cs="Times New Roman"/>
          <w:b/>
          <w:sz w:val="22"/>
          <w:szCs w:val="22"/>
          <w:lang w:val="sk-SK"/>
        </w:rPr>
      </w:pPr>
      <w:r w:rsidRPr="00475027">
        <w:rPr>
          <w:rFonts w:ascii="Times New Roman" w:hAnsi="Times New Roman" w:cs="Times New Roman"/>
          <w:b/>
          <w:sz w:val="22"/>
          <w:szCs w:val="22"/>
          <w:lang w:val="sk-SK"/>
        </w:rPr>
        <w:t>Ovplyvnenie schopnosti viesť vozidlá a obsluhovať stroje</w:t>
      </w:r>
    </w:p>
    <w:p w14:paraId="7B403A39" w14:textId="77777777" w:rsidR="00F134F4" w:rsidRPr="00475027" w:rsidRDefault="00F134F4" w:rsidP="00FE4006">
      <w:pPr>
        <w:jc w:val="both"/>
        <w:rPr>
          <w:rFonts w:ascii="Times New Roman" w:hAnsi="Times New Roman" w:cs="Times New Roman"/>
          <w:sz w:val="22"/>
          <w:szCs w:val="22"/>
          <w:lang w:val="sk-SK"/>
        </w:rPr>
      </w:pPr>
    </w:p>
    <w:p w14:paraId="6A0688AD"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Existuje potenciálne riziko svalovej slabosti alebo poruchy zraku, ktorá, pokiaľ sa vyskytne, môže dočasne narušiť schopnosť viesť vozidlá a obsluhovať stroje.</w:t>
      </w:r>
      <w:r w:rsidRPr="00475027" w:rsidDel="00D911D1">
        <w:rPr>
          <w:rFonts w:ascii="Times New Roman" w:hAnsi="Times New Roman" w:cs="Times New Roman"/>
          <w:sz w:val="22"/>
          <w:szCs w:val="22"/>
          <w:lang w:val="sk-SK"/>
        </w:rPr>
        <w:t xml:space="preserve"> </w:t>
      </w:r>
    </w:p>
    <w:p w14:paraId="17B64B50" w14:textId="77777777" w:rsidR="00F134F4" w:rsidRPr="00475027" w:rsidRDefault="00F134F4" w:rsidP="00FE4006">
      <w:pPr>
        <w:jc w:val="both"/>
        <w:rPr>
          <w:rFonts w:ascii="Times New Roman" w:hAnsi="Times New Roman" w:cs="Times New Roman"/>
          <w:sz w:val="22"/>
          <w:szCs w:val="22"/>
          <w:lang w:val="sk-SK"/>
        </w:rPr>
      </w:pPr>
    </w:p>
    <w:p w14:paraId="4773F635" w14:textId="77777777" w:rsidR="00F134F4" w:rsidRPr="00475027" w:rsidRDefault="00F134F4" w:rsidP="00D911D1">
      <w:pPr>
        <w:jc w:val="both"/>
        <w:rPr>
          <w:rFonts w:ascii="Times New Roman" w:hAnsi="Times New Roman" w:cs="Times New Roman"/>
          <w:b/>
          <w:sz w:val="22"/>
          <w:szCs w:val="22"/>
          <w:lang w:val="sk-SK"/>
        </w:rPr>
      </w:pPr>
      <w:r w:rsidRPr="00475027">
        <w:rPr>
          <w:rFonts w:ascii="Times New Roman" w:hAnsi="Times New Roman" w:cs="Times New Roman"/>
          <w:b/>
          <w:sz w:val="22"/>
          <w:szCs w:val="22"/>
          <w:lang w:val="sk-SK"/>
        </w:rPr>
        <w:t>4.8</w:t>
      </w:r>
      <w:r w:rsidRPr="00475027">
        <w:rPr>
          <w:rFonts w:ascii="Times New Roman" w:hAnsi="Times New Roman" w:cs="Times New Roman"/>
          <w:b/>
          <w:sz w:val="22"/>
          <w:szCs w:val="22"/>
          <w:lang w:val="sk-SK"/>
        </w:rPr>
        <w:tab/>
        <w:t>Nežiaduce účinky</w:t>
      </w:r>
    </w:p>
    <w:p w14:paraId="46B9274B" w14:textId="77777777" w:rsidR="00F134F4" w:rsidRPr="00475027" w:rsidRDefault="00F134F4" w:rsidP="00FE4006">
      <w:pPr>
        <w:autoSpaceDE w:val="0"/>
        <w:autoSpaceDN w:val="0"/>
        <w:adjustRightInd w:val="0"/>
        <w:rPr>
          <w:rFonts w:ascii="Times New Roman" w:hAnsi="Times New Roman" w:cs="Times New Roman"/>
          <w:sz w:val="22"/>
          <w:szCs w:val="22"/>
          <w:u w:val="single"/>
          <w:lang w:val="sk-SK"/>
        </w:rPr>
      </w:pPr>
    </w:p>
    <w:p w14:paraId="4825527F" w14:textId="77777777" w:rsidR="00F134F4" w:rsidRPr="00475027" w:rsidRDefault="00F134F4" w:rsidP="00FE4006">
      <w:pPr>
        <w:autoSpaceDE w:val="0"/>
        <w:autoSpaceDN w:val="0"/>
        <w:adjustRightInd w:val="0"/>
        <w:rPr>
          <w:rFonts w:ascii="Times New Roman" w:hAnsi="Times New Roman" w:cs="Times New Roman"/>
          <w:noProof/>
          <w:sz w:val="22"/>
          <w:szCs w:val="22"/>
          <w:lang w:val="sk-SK"/>
        </w:rPr>
      </w:pPr>
      <w:r w:rsidRPr="00475027">
        <w:rPr>
          <w:rFonts w:ascii="Times New Roman" w:hAnsi="Times New Roman" w:cs="Times New Roman"/>
          <w:sz w:val="22"/>
          <w:szCs w:val="22"/>
          <w:u w:val="single"/>
          <w:lang w:val="sk-SK"/>
        </w:rPr>
        <w:t>Veľmi časté:</w:t>
      </w:r>
      <w:r w:rsidRPr="00475027">
        <w:rPr>
          <w:rFonts w:ascii="Times New Roman" w:hAnsi="Times New Roman" w:cs="Times New Roman"/>
          <w:sz w:val="22"/>
          <w:szCs w:val="22"/>
          <w:lang w:val="sk-SK"/>
        </w:rPr>
        <w:t xml:space="preserve"> </w:t>
      </w:r>
      <w:r w:rsidRPr="00475027">
        <w:rPr>
          <w:rFonts w:ascii="Times New Roman" w:hAnsi="Times New Roman" w:cs="Times New Roman"/>
          <w:noProof/>
          <w:sz w:val="22"/>
          <w:szCs w:val="22"/>
          <w:lang w:val="sk-SK"/>
        </w:rPr>
        <w:t>(</w:t>
      </w:r>
      <w:r w:rsidRPr="00475027">
        <w:rPr>
          <w:rFonts w:ascii="Times New Roman" w:hAnsi="Times New Roman" w:cs="Times New Roman"/>
          <w:bCs/>
          <w:iCs/>
          <w:sz w:val="22"/>
          <w:szCs w:val="22"/>
          <w:lang w:val="sk-SK"/>
        </w:rPr>
        <w:t xml:space="preserve">≥ </w:t>
      </w:r>
      <w:r w:rsidRPr="00475027">
        <w:rPr>
          <w:rFonts w:ascii="Times New Roman" w:hAnsi="Times New Roman" w:cs="Times New Roman"/>
          <w:noProof/>
          <w:sz w:val="22"/>
          <w:szCs w:val="22"/>
          <w:lang w:val="sk-SK"/>
        </w:rPr>
        <w:t xml:space="preserve">1/10). </w:t>
      </w:r>
      <w:r w:rsidRPr="00475027">
        <w:rPr>
          <w:rFonts w:ascii="Times New Roman" w:hAnsi="Times New Roman" w:cs="Times New Roman"/>
          <w:sz w:val="22"/>
          <w:szCs w:val="22"/>
          <w:u w:val="single"/>
          <w:lang w:val="sk-SK"/>
        </w:rPr>
        <w:t>Časté:</w:t>
      </w:r>
      <w:r w:rsidRPr="00475027">
        <w:rPr>
          <w:rFonts w:ascii="Times New Roman" w:hAnsi="Times New Roman" w:cs="Times New Roman"/>
          <w:sz w:val="22"/>
          <w:szCs w:val="22"/>
          <w:lang w:val="sk-SK"/>
        </w:rPr>
        <w:t xml:space="preserve"> </w:t>
      </w:r>
      <w:r w:rsidRPr="00475027">
        <w:rPr>
          <w:rFonts w:ascii="Times New Roman" w:hAnsi="Times New Roman" w:cs="Times New Roman"/>
          <w:noProof/>
          <w:sz w:val="22"/>
          <w:szCs w:val="22"/>
          <w:lang w:val="sk-SK"/>
        </w:rPr>
        <w:t>(</w:t>
      </w:r>
      <w:r w:rsidRPr="00475027">
        <w:rPr>
          <w:rFonts w:ascii="Times New Roman" w:hAnsi="Times New Roman" w:cs="Times New Roman"/>
          <w:bCs/>
          <w:iCs/>
          <w:noProof/>
          <w:sz w:val="22"/>
          <w:szCs w:val="22"/>
          <w:lang w:val="sk-SK"/>
        </w:rPr>
        <w:t xml:space="preserve">≥ </w:t>
      </w:r>
      <w:r w:rsidRPr="00475027">
        <w:rPr>
          <w:rFonts w:ascii="Times New Roman" w:hAnsi="Times New Roman" w:cs="Times New Roman"/>
          <w:noProof/>
          <w:sz w:val="22"/>
          <w:szCs w:val="22"/>
          <w:lang w:val="sk-SK"/>
        </w:rPr>
        <w:t xml:space="preserve">1/100 až &lt; 1/10). </w:t>
      </w:r>
      <w:r w:rsidRPr="00475027">
        <w:rPr>
          <w:rFonts w:ascii="Times New Roman" w:hAnsi="Times New Roman" w:cs="Times New Roman"/>
          <w:sz w:val="22"/>
          <w:szCs w:val="22"/>
          <w:u w:val="single"/>
          <w:lang w:val="sk-SK"/>
        </w:rPr>
        <w:t>Menej časté:</w:t>
      </w:r>
      <w:r w:rsidRPr="00475027">
        <w:rPr>
          <w:rFonts w:ascii="Times New Roman" w:hAnsi="Times New Roman" w:cs="Times New Roman"/>
          <w:sz w:val="22"/>
          <w:szCs w:val="22"/>
          <w:lang w:val="sk-SK"/>
        </w:rPr>
        <w:t xml:space="preserve"> </w:t>
      </w:r>
      <w:r w:rsidRPr="00475027">
        <w:rPr>
          <w:rFonts w:ascii="Times New Roman" w:hAnsi="Times New Roman" w:cs="Times New Roman"/>
          <w:noProof/>
          <w:sz w:val="22"/>
          <w:szCs w:val="22"/>
          <w:lang w:val="sk-SK"/>
        </w:rPr>
        <w:t>(</w:t>
      </w:r>
      <w:r w:rsidRPr="00475027">
        <w:rPr>
          <w:rFonts w:ascii="Times New Roman" w:hAnsi="Times New Roman" w:cs="Times New Roman"/>
          <w:bCs/>
          <w:iCs/>
          <w:noProof/>
          <w:sz w:val="22"/>
          <w:szCs w:val="22"/>
          <w:lang w:val="sk-SK"/>
        </w:rPr>
        <w:t xml:space="preserve">≥ </w:t>
      </w:r>
      <w:r w:rsidRPr="00475027">
        <w:rPr>
          <w:rFonts w:ascii="Times New Roman" w:hAnsi="Times New Roman" w:cs="Times New Roman"/>
          <w:noProof/>
          <w:sz w:val="22"/>
          <w:szCs w:val="22"/>
          <w:lang w:val="sk-SK"/>
        </w:rPr>
        <w:t xml:space="preserve">1/1000 až&lt; 1/100). </w:t>
      </w:r>
      <w:r w:rsidRPr="00475027">
        <w:rPr>
          <w:rFonts w:ascii="Times New Roman" w:hAnsi="Times New Roman" w:cs="Times New Roman"/>
          <w:sz w:val="22"/>
          <w:szCs w:val="22"/>
          <w:u w:val="single"/>
          <w:lang w:val="sk-SK"/>
        </w:rPr>
        <w:t>Zriedkavé</w:t>
      </w:r>
      <w:r w:rsidRPr="00475027">
        <w:rPr>
          <w:rFonts w:ascii="Times New Roman" w:hAnsi="Times New Roman" w:cs="Times New Roman"/>
          <w:sz w:val="22"/>
          <w:szCs w:val="22"/>
          <w:lang w:val="sk-SK"/>
        </w:rPr>
        <w:t xml:space="preserve">: </w:t>
      </w:r>
      <w:r w:rsidRPr="00475027">
        <w:rPr>
          <w:rFonts w:ascii="Times New Roman" w:hAnsi="Times New Roman" w:cs="Times New Roman"/>
          <w:noProof/>
          <w:sz w:val="22"/>
          <w:szCs w:val="22"/>
          <w:lang w:val="sk-SK"/>
        </w:rPr>
        <w:t>(</w:t>
      </w:r>
      <w:r w:rsidRPr="00475027">
        <w:rPr>
          <w:rFonts w:ascii="Times New Roman" w:hAnsi="Times New Roman" w:cs="Times New Roman"/>
          <w:bCs/>
          <w:iCs/>
          <w:noProof/>
          <w:sz w:val="22"/>
          <w:szCs w:val="22"/>
          <w:lang w:val="sk-SK"/>
        </w:rPr>
        <w:t xml:space="preserve">≥ </w:t>
      </w:r>
      <w:r w:rsidRPr="00475027">
        <w:rPr>
          <w:rFonts w:ascii="Times New Roman" w:hAnsi="Times New Roman" w:cs="Times New Roman"/>
          <w:noProof/>
          <w:sz w:val="22"/>
          <w:szCs w:val="22"/>
          <w:lang w:val="sk-SK"/>
        </w:rPr>
        <w:t xml:space="preserve">1/10000 až&lt; 1/1000). </w:t>
      </w:r>
      <w:r w:rsidRPr="00475027">
        <w:rPr>
          <w:rFonts w:ascii="Times New Roman" w:hAnsi="Times New Roman" w:cs="Times New Roman"/>
          <w:sz w:val="22"/>
          <w:szCs w:val="22"/>
          <w:u w:val="single"/>
          <w:lang w:val="sk-SK"/>
        </w:rPr>
        <w:t>Veľmi zriedkavé:</w:t>
      </w:r>
      <w:r w:rsidRPr="00475027">
        <w:rPr>
          <w:rFonts w:ascii="Times New Roman" w:hAnsi="Times New Roman" w:cs="Times New Roman"/>
          <w:sz w:val="22"/>
          <w:szCs w:val="22"/>
          <w:lang w:val="sk-SK"/>
        </w:rPr>
        <w:t xml:space="preserve"> </w:t>
      </w:r>
      <w:r w:rsidRPr="00475027">
        <w:rPr>
          <w:rFonts w:ascii="Times New Roman" w:hAnsi="Times New Roman" w:cs="Times New Roman"/>
          <w:noProof/>
          <w:sz w:val="22"/>
          <w:szCs w:val="22"/>
          <w:lang w:val="sk-SK"/>
        </w:rPr>
        <w:t>(&lt; 1/10000)</w:t>
      </w:r>
    </w:p>
    <w:p w14:paraId="5ADA9B57" w14:textId="77777777" w:rsidR="00F134F4" w:rsidRPr="00475027" w:rsidRDefault="00F134F4" w:rsidP="00FE4006">
      <w:pPr>
        <w:autoSpaceDE w:val="0"/>
        <w:autoSpaceDN w:val="0"/>
        <w:adjustRightInd w:val="0"/>
        <w:rPr>
          <w:rFonts w:ascii="Times New Roman" w:hAnsi="Times New Roman" w:cs="Times New Roman"/>
          <w:b/>
          <w:sz w:val="22"/>
          <w:szCs w:val="22"/>
          <w:lang w:val="sk-SK"/>
        </w:rPr>
      </w:pPr>
    </w:p>
    <w:p w14:paraId="0F864435" w14:textId="77777777" w:rsidR="00F134F4" w:rsidRPr="00475027" w:rsidRDefault="00F134F4" w:rsidP="00FE4006">
      <w:pPr>
        <w:spacing w:line="240" w:lineRule="atLeast"/>
        <w:rPr>
          <w:rFonts w:ascii="Times New Roman" w:hAnsi="Times New Roman" w:cs="Times New Roman"/>
          <w:b/>
          <w:sz w:val="22"/>
          <w:szCs w:val="22"/>
          <w:lang w:val="sk-SK"/>
        </w:rPr>
      </w:pPr>
      <w:r w:rsidRPr="00475027">
        <w:rPr>
          <w:rFonts w:ascii="Times New Roman" w:hAnsi="Times New Roman" w:cs="Times New Roman"/>
          <w:b/>
          <w:sz w:val="22"/>
          <w:szCs w:val="22"/>
          <w:lang w:val="sk-SK"/>
        </w:rPr>
        <w:t>Všeobecné:</w:t>
      </w:r>
    </w:p>
    <w:p w14:paraId="2CF35270" w14:textId="77777777" w:rsidR="00F134F4" w:rsidRPr="00475027" w:rsidRDefault="00F134F4" w:rsidP="00FE4006">
      <w:pPr>
        <w:spacing w:line="240" w:lineRule="atLeast"/>
        <w:rPr>
          <w:rFonts w:ascii="Times New Roman" w:hAnsi="Times New Roman" w:cs="Times New Roman"/>
          <w:b/>
          <w:sz w:val="22"/>
          <w:szCs w:val="22"/>
          <w:lang w:val="sk-SK"/>
        </w:rPr>
      </w:pPr>
    </w:p>
    <w:p w14:paraId="0DAE5A79" w14:textId="77777777" w:rsidR="00F134F4" w:rsidRPr="007648C4" w:rsidRDefault="00F134F4" w:rsidP="00A13315">
      <w:pPr>
        <w:shd w:val="clear" w:color="auto" w:fill="FFFFFF"/>
        <w:rPr>
          <w:rFonts w:ascii="Times New Roman" w:hAnsi="Times New Roman" w:cs="Times New Roman"/>
          <w:color w:val="000000"/>
          <w:sz w:val="22"/>
          <w:szCs w:val="22"/>
          <w:lang w:val="sk-SK"/>
        </w:rPr>
      </w:pPr>
      <w:r w:rsidRPr="00475027">
        <w:rPr>
          <w:rFonts w:ascii="Times New Roman" w:hAnsi="Times New Roman" w:cs="Times New Roman"/>
          <w:color w:val="000000"/>
          <w:spacing w:val="-1"/>
          <w:sz w:val="22"/>
          <w:szCs w:val="22"/>
          <w:lang w:val="sk-SK"/>
        </w:rPr>
        <w:t xml:space="preserve">Približne u 25 % pacientov, ktorí boli liečení Dysportom 500 U počas niekoľkých klinických štúdií na </w:t>
      </w:r>
      <w:r w:rsidRPr="00475027">
        <w:rPr>
          <w:rFonts w:ascii="Times New Roman" w:hAnsi="Times New Roman" w:cs="Times New Roman"/>
          <w:color w:val="000000"/>
          <w:sz w:val="22"/>
          <w:szCs w:val="22"/>
          <w:lang w:val="sk-SK"/>
        </w:rPr>
        <w:t xml:space="preserve"> blefarospazmus, hemifaciálny spazmus, torticollis, spasticitu spojenú s mozgovým ochrnutím alebo cievnu mozgovú príhodu a bočné vejáriky vrások boli pozorované nežiaduce </w:t>
      </w:r>
      <w:r w:rsidRPr="007648C4">
        <w:rPr>
          <w:rFonts w:ascii="Times New Roman" w:hAnsi="Times New Roman" w:cs="Times New Roman"/>
          <w:color w:val="000000"/>
          <w:sz w:val="22"/>
          <w:szCs w:val="22"/>
          <w:lang w:val="sk-SK"/>
        </w:rPr>
        <w:t>účinky.</w:t>
      </w:r>
    </w:p>
    <w:p w14:paraId="67F501CA" w14:textId="77777777" w:rsidR="00BE3A89" w:rsidRPr="007648C4" w:rsidRDefault="00BE3A89" w:rsidP="00A13315">
      <w:pPr>
        <w:shd w:val="clear" w:color="auto" w:fill="FFFFFF"/>
        <w:rPr>
          <w:rFonts w:ascii="Times New Roman" w:hAnsi="Times New Roman" w:cs="Times New Roman"/>
          <w:color w:val="000000"/>
          <w:sz w:val="22"/>
          <w:szCs w:val="22"/>
          <w:lang w:val="sk-SK"/>
        </w:rPr>
      </w:pPr>
    </w:p>
    <w:p w14:paraId="23C1825C" w14:textId="77777777" w:rsidR="00BE3A89" w:rsidRPr="007648C4" w:rsidRDefault="00BE3A89" w:rsidP="00BE3A89">
      <w:pPr>
        <w:rPr>
          <w:rFonts w:ascii="Times New Roman" w:hAnsi="Times New Roman" w:cs="Times New Roman"/>
          <w:noProof/>
          <w:sz w:val="22"/>
          <w:szCs w:val="22"/>
          <w:lang w:val="sk-SK"/>
        </w:rPr>
      </w:pPr>
      <w:r w:rsidRPr="007648C4">
        <w:rPr>
          <w:rFonts w:ascii="Times New Roman" w:hAnsi="Times New Roman" w:cs="Times New Roman"/>
          <w:noProof/>
          <w:sz w:val="22"/>
          <w:szCs w:val="22"/>
          <w:lang w:val="sk-SK"/>
        </w:rPr>
        <w:t>Existujú ojedinelé správy o precitlivenosti.</w:t>
      </w:r>
    </w:p>
    <w:p w14:paraId="51B2C67B" w14:textId="77777777" w:rsidR="00BE3A89" w:rsidRPr="007648C4" w:rsidRDefault="00BE3A89" w:rsidP="00BE3A89">
      <w:pPr>
        <w:rPr>
          <w:rFonts w:ascii="Times New Roman" w:hAnsi="Times New Roman" w:cs="Times New Roman"/>
          <w:noProof/>
          <w:sz w:val="22"/>
          <w:szCs w:val="22"/>
          <w:lang w:val="sk-SK"/>
        </w:rPr>
      </w:pPr>
      <w:r w:rsidRPr="007648C4">
        <w:rPr>
          <w:rFonts w:ascii="Times New Roman" w:hAnsi="Times New Roman" w:cs="Times New Roman"/>
          <w:noProof/>
          <w:sz w:val="22"/>
          <w:szCs w:val="22"/>
          <w:lang w:val="sk-SK"/>
        </w:rPr>
        <w:t>Nežiaduce účinky pochádzajúce z rozdelenia účinkov toxínu do miest vzdialených od miesta injekcie boli hlásené veľmi zriedkavo (nadmerná svalová slabosť, dysfágia, aspiračná pneumónia, ktorá môže byť fatálna).</w:t>
      </w:r>
    </w:p>
    <w:p w14:paraId="74D187E1" w14:textId="77777777" w:rsidR="00F134F4" w:rsidRPr="007648C4" w:rsidRDefault="00F134F4" w:rsidP="00FE4006">
      <w:pPr>
        <w:rPr>
          <w:rFonts w:ascii="Times New Roman" w:hAnsi="Times New Roman" w:cs="Times New Roman"/>
          <w:noProof/>
          <w:sz w:val="22"/>
          <w:szCs w:val="22"/>
          <w:u w:val="single"/>
          <w:lang w:val="sk-SK"/>
        </w:rPr>
      </w:pPr>
    </w:p>
    <w:p w14:paraId="2556BE39" w14:textId="77777777" w:rsidR="00F134F4" w:rsidRPr="007648C4" w:rsidRDefault="00F134F4" w:rsidP="00FE4006">
      <w:pPr>
        <w:rPr>
          <w:rFonts w:ascii="Times New Roman" w:hAnsi="Times New Roman" w:cs="Times New Roman"/>
          <w:noProof/>
          <w:sz w:val="22"/>
          <w:szCs w:val="22"/>
          <w:u w:val="single"/>
          <w:lang w:val="sk-SK"/>
        </w:rPr>
      </w:pPr>
      <w:r w:rsidRPr="007648C4">
        <w:rPr>
          <w:rFonts w:ascii="Times New Roman" w:hAnsi="Times New Roman" w:cs="Times New Roman"/>
          <w:noProof/>
          <w:sz w:val="22"/>
          <w:szCs w:val="22"/>
          <w:u w:val="single"/>
          <w:lang w:val="sk-SK"/>
        </w:rPr>
        <w:t>Poruchy nervového systému:</w:t>
      </w:r>
    </w:p>
    <w:p w14:paraId="0BCC5160" w14:textId="77777777" w:rsidR="00F134F4" w:rsidRPr="007648C4" w:rsidRDefault="00F134F4" w:rsidP="00FE4006">
      <w:pPr>
        <w:spacing w:line="240" w:lineRule="atLeast"/>
        <w:jc w:val="both"/>
        <w:rPr>
          <w:rFonts w:ascii="Times New Roman" w:hAnsi="Times New Roman" w:cs="Times New Roman"/>
          <w:sz w:val="22"/>
          <w:szCs w:val="22"/>
          <w:lang w:val="sk-SK"/>
        </w:rPr>
      </w:pPr>
      <w:r w:rsidRPr="007648C4">
        <w:rPr>
          <w:rFonts w:ascii="Times New Roman" w:hAnsi="Times New Roman" w:cs="Times New Roman"/>
          <w:sz w:val="22"/>
          <w:szCs w:val="22"/>
          <w:lang w:val="sk-SK"/>
        </w:rPr>
        <w:t>Zriedkavé: neuralgická amyotrofia</w:t>
      </w:r>
    </w:p>
    <w:p w14:paraId="385A79FC" w14:textId="77777777" w:rsidR="00F134F4" w:rsidRPr="007648C4" w:rsidRDefault="00F134F4" w:rsidP="00FE4006">
      <w:pPr>
        <w:spacing w:line="240" w:lineRule="atLeast"/>
        <w:jc w:val="both"/>
        <w:rPr>
          <w:rFonts w:ascii="Times New Roman" w:hAnsi="Times New Roman" w:cs="Times New Roman"/>
          <w:sz w:val="22"/>
          <w:szCs w:val="22"/>
          <w:lang w:val="sk-SK"/>
        </w:rPr>
      </w:pPr>
    </w:p>
    <w:p w14:paraId="02069589" w14:textId="77777777" w:rsidR="00F134F4" w:rsidRPr="007648C4" w:rsidRDefault="00F134F4" w:rsidP="00FE4006">
      <w:pPr>
        <w:rPr>
          <w:rFonts w:ascii="Times New Roman" w:hAnsi="Times New Roman" w:cs="Times New Roman"/>
          <w:noProof/>
          <w:sz w:val="22"/>
          <w:szCs w:val="22"/>
          <w:u w:val="single"/>
          <w:lang w:val="sk-SK"/>
        </w:rPr>
      </w:pPr>
      <w:r w:rsidRPr="007648C4">
        <w:rPr>
          <w:rFonts w:ascii="Times New Roman" w:hAnsi="Times New Roman" w:cs="Times New Roman"/>
          <w:noProof/>
          <w:sz w:val="22"/>
          <w:szCs w:val="22"/>
          <w:u w:val="single"/>
          <w:lang w:val="sk-SK"/>
        </w:rPr>
        <w:t>Poruchy kože a podkožného tkaniva:</w:t>
      </w:r>
    </w:p>
    <w:p w14:paraId="51A36C34" w14:textId="77777777" w:rsidR="00F134F4" w:rsidRPr="007648C4" w:rsidRDefault="00F134F4" w:rsidP="00FE4006">
      <w:pPr>
        <w:spacing w:line="240" w:lineRule="atLeast"/>
        <w:jc w:val="both"/>
        <w:rPr>
          <w:rFonts w:ascii="Times New Roman" w:hAnsi="Times New Roman" w:cs="Times New Roman"/>
          <w:sz w:val="22"/>
          <w:szCs w:val="22"/>
          <w:lang w:val="sk-SK"/>
        </w:rPr>
      </w:pPr>
      <w:r w:rsidRPr="007648C4">
        <w:rPr>
          <w:rFonts w:ascii="Times New Roman" w:hAnsi="Times New Roman" w:cs="Times New Roman"/>
          <w:sz w:val="22"/>
          <w:szCs w:val="22"/>
          <w:lang w:val="sk-SK"/>
        </w:rPr>
        <w:t>Menej časté: svrbenie</w:t>
      </w:r>
    </w:p>
    <w:p w14:paraId="057AF305" w14:textId="77777777" w:rsidR="00F134F4" w:rsidRPr="007648C4" w:rsidRDefault="00F134F4" w:rsidP="00FE4006">
      <w:pPr>
        <w:spacing w:line="240" w:lineRule="atLeast"/>
        <w:jc w:val="both"/>
        <w:rPr>
          <w:rFonts w:ascii="Times New Roman" w:hAnsi="Times New Roman" w:cs="Times New Roman"/>
          <w:sz w:val="22"/>
          <w:szCs w:val="22"/>
          <w:lang w:val="sk-SK"/>
        </w:rPr>
      </w:pPr>
      <w:r w:rsidRPr="007648C4">
        <w:rPr>
          <w:rFonts w:ascii="Times New Roman" w:hAnsi="Times New Roman" w:cs="Times New Roman"/>
          <w:sz w:val="22"/>
          <w:szCs w:val="22"/>
          <w:lang w:val="sk-SK"/>
        </w:rPr>
        <w:t>Zriedkavé: vyrážky</w:t>
      </w:r>
    </w:p>
    <w:p w14:paraId="58C9AF0D" w14:textId="77777777" w:rsidR="00F134F4" w:rsidRPr="007648C4" w:rsidRDefault="00F134F4" w:rsidP="00FE4006">
      <w:pPr>
        <w:spacing w:line="240" w:lineRule="atLeast"/>
        <w:jc w:val="both"/>
        <w:rPr>
          <w:rFonts w:ascii="Times New Roman" w:hAnsi="Times New Roman" w:cs="Times New Roman"/>
          <w:sz w:val="22"/>
          <w:szCs w:val="22"/>
          <w:lang w:val="sk-SK"/>
        </w:rPr>
      </w:pPr>
    </w:p>
    <w:p w14:paraId="4C4D7451" w14:textId="77777777" w:rsidR="00F134F4" w:rsidRPr="007648C4" w:rsidRDefault="00F134F4" w:rsidP="00FE4006">
      <w:pPr>
        <w:rPr>
          <w:rFonts w:ascii="Times New Roman" w:hAnsi="Times New Roman" w:cs="Times New Roman"/>
          <w:noProof/>
          <w:sz w:val="22"/>
          <w:szCs w:val="22"/>
          <w:u w:val="single"/>
          <w:lang w:val="sk-SK"/>
        </w:rPr>
      </w:pPr>
      <w:r w:rsidRPr="007648C4">
        <w:rPr>
          <w:rFonts w:ascii="Times New Roman" w:hAnsi="Times New Roman" w:cs="Times New Roman"/>
          <w:noProof/>
          <w:sz w:val="22"/>
          <w:szCs w:val="22"/>
          <w:u w:val="single"/>
          <w:lang w:val="sk-SK"/>
        </w:rPr>
        <w:t>Celkové poruchy a reakcie v mieste podania:</w:t>
      </w:r>
    </w:p>
    <w:p w14:paraId="52742529" w14:textId="77777777" w:rsidR="00F134F4" w:rsidRPr="007648C4" w:rsidRDefault="00F134F4" w:rsidP="00FE4006">
      <w:pPr>
        <w:spacing w:line="240" w:lineRule="atLeast"/>
        <w:jc w:val="both"/>
        <w:rPr>
          <w:rFonts w:ascii="Times New Roman" w:hAnsi="Times New Roman" w:cs="Times New Roman"/>
          <w:sz w:val="22"/>
          <w:szCs w:val="22"/>
          <w:lang w:val="sk-SK"/>
        </w:rPr>
      </w:pPr>
      <w:r w:rsidRPr="007648C4">
        <w:rPr>
          <w:rFonts w:ascii="Times New Roman" w:hAnsi="Times New Roman" w:cs="Times New Roman"/>
          <w:sz w:val="22"/>
          <w:szCs w:val="22"/>
          <w:lang w:val="sk-SK"/>
        </w:rPr>
        <w:t>Časté: celková slabosť, únava, príznaky podobné chrípke, bolesť a/alebo modrina v mieste vpichu.</w:t>
      </w:r>
    </w:p>
    <w:p w14:paraId="4CC278A6" w14:textId="77777777" w:rsidR="00F134F4" w:rsidRPr="007648C4" w:rsidRDefault="00F134F4" w:rsidP="00FE4006">
      <w:pPr>
        <w:spacing w:line="240" w:lineRule="atLeast"/>
        <w:rPr>
          <w:rFonts w:ascii="Times New Roman" w:hAnsi="Times New Roman" w:cs="Times New Roman"/>
          <w:bCs/>
          <w:sz w:val="22"/>
          <w:szCs w:val="22"/>
          <w:lang w:val="sk-SK"/>
        </w:rPr>
      </w:pPr>
    </w:p>
    <w:p w14:paraId="5B9B6194" w14:textId="6F6591BB" w:rsidR="00F134F4" w:rsidRPr="007648C4" w:rsidRDefault="00E078D0" w:rsidP="00FE4006">
      <w:pPr>
        <w:spacing w:line="240" w:lineRule="atLeast"/>
        <w:rPr>
          <w:rFonts w:ascii="Times New Roman" w:hAnsi="Times New Roman" w:cs="Times New Roman"/>
          <w:b/>
          <w:sz w:val="22"/>
          <w:szCs w:val="22"/>
          <w:lang w:val="sk-SK"/>
        </w:rPr>
      </w:pPr>
      <w:r w:rsidRPr="007648C4">
        <w:rPr>
          <w:rFonts w:ascii="Times New Roman" w:hAnsi="Times New Roman" w:cs="Times New Roman"/>
          <w:b/>
          <w:sz w:val="22"/>
          <w:szCs w:val="22"/>
          <w:lang w:val="sk-SK"/>
        </w:rPr>
        <w:t xml:space="preserve">Fokálna </w:t>
      </w:r>
      <w:r w:rsidR="00F134F4" w:rsidRPr="007648C4">
        <w:rPr>
          <w:rFonts w:ascii="Times New Roman" w:hAnsi="Times New Roman" w:cs="Times New Roman"/>
          <w:b/>
          <w:sz w:val="22"/>
          <w:szCs w:val="22"/>
          <w:lang w:val="sk-SK"/>
        </w:rPr>
        <w:t>spasticit</w:t>
      </w:r>
      <w:r w:rsidRPr="007648C4">
        <w:rPr>
          <w:rFonts w:ascii="Times New Roman" w:hAnsi="Times New Roman" w:cs="Times New Roman"/>
          <w:b/>
          <w:sz w:val="22"/>
          <w:szCs w:val="22"/>
          <w:lang w:val="sk-SK"/>
        </w:rPr>
        <w:t>a</w:t>
      </w:r>
      <w:r w:rsidR="00F134F4" w:rsidRPr="007648C4">
        <w:rPr>
          <w:rFonts w:ascii="Times New Roman" w:hAnsi="Times New Roman" w:cs="Times New Roman"/>
          <w:b/>
          <w:sz w:val="22"/>
          <w:szCs w:val="22"/>
          <w:lang w:val="sk-SK"/>
        </w:rPr>
        <w:t xml:space="preserve"> horných končatín u dospelých:</w:t>
      </w:r>
    </w:p>
    <w:p w14:paraId="72FB4C78" w14:textId="77777777" w:rsidR="00F134F4" w:rsidRPr="007648C4" w:rsidRDefault="00F134F4" w:rsidP="00FE4006">
      <w:pPr>
        <w:shd w:val="clear" w:color="auto" w:fill="FFFFFF"/>
        <w:rPr>
          <w:rFonts w:ascii="Times New Roman" w:hAnsi="Times New Roman" w:cs="Times New Roman"/>
          <w:sz w:val="22"/>
          <w:szCs w:val="22"/>
          <w:lang w:val="sk-SK"/>
        </w:rPr>
      </w:pPr>
    </w:p>
    <w:p w14:paraId="2DB19267" w14:textId="77777777" w:rsidR="00F134F4" w:rsidRPr="007648C4" w:rsidRDefault="00F134F4" w:rsidP="00FE4006">
      <w:pPr>
        <w:spacing w:line="240" w:lineRule="atLeast"/>
        <w:rPr>
          <w:rFonts w:ascii="Times New Roman" w:hAnsi="Times New Roman" w:cs="Times New Roman"/>
          <w:bCs/>
          <w:sz w:val="22"/>
          <w:szCs w:val="22"/>
          <w:lang w:val="sk-SK"/>
        </w:rPr>
      </w:pPr>
      <w:r w:rsidRPr="007648C4">
        <w:rPr>
          <w:rFonts w:ascii="Times New Roman" w:hAnsi="Times New Roman" w:cs="Times New Roman"/>
          <w:sz w:val="22"/>
          <w:szCs w:val="22"/>
          <w:lang w:val="sk-SK"/>
        </w:rPr>
        <w:t xml:space="preserve">Nasledujúce nežiaduce účinky, boli hlásené u pacientov liečených </w:t>
      </w:r>
      <w:r w:rsidRPr="007648C4">
        <w:rPr>
          <w:rFonts w:ascii="Times New Roman" w:hAnsi="Times New Roman" w:cs="Times New Roman"/>
          <w:color w:val="000000"/>
          <w:spacing w:val="-1"/>
          <w:sz w:val="22"/>
          <w:szCs w:val="22"/>
          <w:lang w:val="sk-SK"/>
        </w:rPr>
        <w:t xml:space="preserve">Dysportom 500 U </w:t>
      </w:r>
      <w:r w:rsidRPr="007648C4">
        <w:rPr>
          <w:rFonts w:ascii="Times New Roman" w:hAnsi="Times New Roman" w:cs="Times New Roman"/>
          <w:sz w:val="22"/>
          <w:szCs w:val="22"/>
          <w:lang w:val="sk-SK"/>
        </w:rPr>
        <w:t>pri symptomatickej liečbe fokálnej spasticity horných končatín u dospelých</w:t>
      </w:r>
      <w:r w:rsidRPr="007648C4">
        <w:rPr>
          <w:rFonts w:ascii="Times New Roman" w:hAnsi="Times New Roman" w:cs="Times New Roman"/>
          <w:bCs/>
          <w:sz w:val="22"/>
          <w:szCs w:val="22"/>
          <w:lang w:val="sk-SK"/>
        </w:rPr>
        <w:t>:</w:t>
      </w:r>
    </w:p>
    <w:p w14:paraId="104A482C" w14:textId="77777777" w:rsidR="00F134F4" w:rsidRPr="007648C4" w:rsidRDefault="00F134F4" w:rsidP="00FE4006">
      <w:pPr>
        <w:rPr>
          <w:rFonts w:ascii="Times New Roman" w:hAnsi="Times New Roman" w:cs="Times New Roman"/>
          <w:noProof/>
          <w:sz w:val="22"/>
          <w:szCs w:val="22"/>
          <w:u w:val="single"/>
          <w:lang w:val="sk-SK"/>
        </w:rPr>
      </w:pPr>
    </w:p>
    <w:p w14:paraId="0CBF6FCB" w14:textId="77777777" w:rsidR="00F134F4" w:rsidRPr="007648C4" w:rsidRDefault="00F134F4" w:rsidP="004A3A8D">
      <w:pPr>
        <w:rPr>
          <w:rFonts w:ascii="Times New Roman" w:hAnsi="Times New Roman" w:cs="Times New Roman"/>
          <w:noProof/>
          <w:sz w:val="22"/>
          <w:szCs w:val="22"/>
          <w:u w:val="single"/>
          <w:lang w:val="sk-SK"/>
        </w:rPr>
      </w:pPr>
      <w:r w:rsidRPr="007648C4">
        <w:rPr>
          <w:rFonts w:ascii="Times New Roman" w:hAnsi="Times New Roman" w:cs="Times New Roman"/>
          <w:noProof/>
          <w:sz w:val="22"/>
          <w:szCs w:val="22"/>
          <w:u w:val="single"/>
          <w:lang w:val="sk-SK"/>
        </w:rPr>
        <w:t>Celkové poruchy  a reakcie v miesta podania:</w:t>
      </w:r>
    </w:p>
    <w:p w14:paraId="07F40DE2" w14:textId="5E049DCF" w:rsidR="00F134F4" w:rsidRPr="007648C4" w:rsidRDefault="00F134F4" w:rsidP="00E078D0">
      <w:pPr>
        <w:rPr>
          <w:rFonts w:ascii="Times New Roman" w:hAnsi="Times New Roman" w:cs="Times New Roman"/>
          <w:noProof/>
          <w:sz w:val="22"/>
          <w:szCs w:val="22"/>
          <w:lang w:val="sk-SK"/>
        </w:rPr>
      </w:pPr>
      <w:r w:rsidRPr="007648C4">
        <w:rPr>
          <w:rFonts w:ascii="Times New Roman" w:hAnsi="Times New Roman" w:cs="Times New Roman"/>
          <w:noProof/>
          <w:sz w:val="22"/>
          <w:szCs w:val="22"/>
          <w:lang w:val="sk-SK"/>
        </w:rPr>
        <w:t>Časté: reakcie v mieste vpichu ( napr. bolesť, erytém, opuch, atď)</w:t>
      </w:r>
      <w:r w:rsidR="00E078D0" w:rsidRPr="007648C4">
        <w:rPr>
          <w:rFonts w:ascii="Times New Roman" w:hAnsi="Times New Roman" w:cs="Times New Roman"/>
          <w:noProof/>
          <w:sz w:val="22"/>
          <w:szCs w:val="22"/>
          <w:lang w:val="sk-SK"/>
        </w:rPr>
        <w:t xml:space="preserve">, </w:t>
      </w:r>
      <w:r w:rsidRPr="007648C4">
        <w:rPr>
          <w:rFonts w:ascii="Times New Roman" w:hAnsi="Times New Roman" w:cs="Times New Roman"/>
          <w:noProof/>
          <w:sz w:val="22"/>
          <w:szCs w:val="22"/>
          <w:lang w:val="sk-SK"/>
        </w:rPr>
        <w:t>asténia, únava, príznaky podobné chrípke</w:t>
      </w:r>
    </w:p>
    <w:p w14:paraId="38C552F8" w14:textId="77777777" w:rsidR="00F134F4" w:rsidRPr="007648C4" w:rsidRDefault="00F134F4" w:rsidP="00FE4006">
      <w:pPr>
        <w:spacing w:line="240" w:lineRule="atLeast"/>
        <w:rPr>
          <w:rFonts w:ascii="Times New Roman" w:hAnsi="Times New Roman" w:cs="Times New Roman"/>
          <w:sz w:val="22"/>
          <w:szCs w:val="22"/>
          <w:lang w:val="sk-SK"/>
        </w:rPr>
      </w:pPr>
    </w:p>
    <w:p w14:paraId="050CD2F5" w14:textId="77777777" w:rsidR="00F134F4" w:rsidRPr="007648C4" w:rsidRDefault="00F134F4" w:rsidP="00FE4006">
      <w:pPr>
        <w:spacing w:line="240" w:lineRule="atLeast"/>
        <w:rPr>
          <w:rFonts w:ascii="Times New Roman" w:hAnsi="Times New Roman" w:cs="Times New Roman"/>
          <w:sz w:val="22"/>
          <w:szCs w:val="22"/>
          <w:u w:val="single"/>
          <w:lang w:val="sk-SK"/>
        </w:rPr>
      </w:pPr>
      <w:r w:rsidRPr="007648C4">
        <w:rPr>
          <w:rFonts w:ascii="Times New Roman" w:hAnsi="Times New Roman" w:cs="Times New Roman"/>
          <w:sz w:val="22"/>
          <w:szCs w:val="22"/>
          <w:u w:val="single"/>
          <w:lang w:val="sk-SK"/>
        </w:rPr>
        <w:t>Poruchy kostrovej a svalovej sústavy a spojivového tkaniva:</w:t>
      </w:r>
    </w:p>
    <w:p w14:paraId="5805B2D5" w14:textId="3704FAD9" w:rsidR="00F134F4" w:rsidRPr="007648C4" w:rsidRDefault="00F134F4" w:rsidP="00FE4006">
      <w:pPr>
        <w:spacing w:line="240" w:lineRule="atLeast"/>
        <w:rPr>
          <w:rFonts w:ascii="Times New Roman" w:hAnsi="Times New Roman" w:cs="Times New Roman"/>
          <w:sz w:val="22"/>
          <w:szCs w:val="22"/>
          <w:lang w:val="sk-SK"/>
        </w:rPr>
      </w:pPr>
      <w:r w:rsidRPr="007648C4">
        <w:rPr>
          <w:rFonts w:ascii="Times New Roman" w:hAnsi="Times New Roman" w:cs="Times New Roman"/>
          <w:sz w:val="22"/>
          <w:szCs w:val="22"/>
          <w:lang w:val="sk-SK"/>
        </w:rPr>
        <w:t>Časté: svalová slabosť</w:t>
      </w:r>
      <w:r w:rsidR="00E078D0" w:rsidRPr="007648C4">
        <w:rPr>
          <w:rFonts w:ascii="Times New Roman" w:hAnsi="Times New Roman" w:cs="Times New Roman"/>
          <w:sz w:val="22"/>
          <w:szCs w:val="22"/>
          <w:lang w:val="sk-SK"/>
        </w:rPr>
        <w:t xml:space="preserve">, </w:t>
      </w:r>
      <w:r w:rsidR="00187FEF" w:rsidRPr="007648C4">
        <w:rPr>
          <w:rFonts w:ascii="Times New Roman" w:hAnsi="Times New Roman" w:cs="Times New Roman"/>
          <w:sz w:val="22"/>
          <w:szCs w:val="22"/>
          <w:lang w:val="sk-SK"/>
        </w:rPr>
        <w:t xml:space="preserve">kostrová a </w:t>
      </w:r>
      <w:r w:rsidR="00E078D0" w:rsidRPr="007648C4">
        <w:rPr>
          <w:rFonts w:ascii="Times New Roman" w:hAnsi="Times New Roman" w:cs="Times New Roman"/>
          <w:sz w:val="22"/>
          <w:szCs w:val="22"/>
          <w:lang w:val="sk-SK"/>
        </w:rPr>
        <w:t>svalová bolesť</w:t>
      </w:r>
    </w:p>
    <w:p w14:paraId="6DAA6733" w14:textId="77777777" w:rsidR="00E078D0" w:rsidRPr="007648C4" w:rsidRDefault="00E078D0" w:rsidP="00FE4006">
      <w:pPr>
        <w:spacing w:line="240" w:lineRule="atLeast"/>
        <w:rPr>
          <w:rFonts w:ascii="Times New Roman" w:hAnsi="Times New Roman" w:cs="Times New Roman"/>
          <w:sz w:val="22"/>
          <w:szCs w:val="22"/>
          <w:lang w:val="sk-SK"/>
        </w:rPr>
      </w:pPr>
      <w:r w:rsidRPr="007648C4">
        <w:rPr>
          <w:rFonts w:ascii="Times New Roman" w:hAnsi="Times New Roman" w:cs="Times New Roman"/>
          <w:sz w:val="22"/>
          <w:szCs w:val="22"/>
          <w:lang w:val="sk-SK"/>
        </w:rPr>
        <w:t>Menej časté: bolesť v končatine</w:t>
      </w:r>
    </w:p>
    <w:p w14:paraId="3D45F6DB" w14:textId="77777777" w:rsidR="00F134F4" w:rsidRPr="007648C4" w:rsidRDefault="00F134F4" w:rsidP="00FE4006">
      <w:pPr>
        <w:spacing w:line="240" w:lineRule="atLeast"/>
        <w:rPr>
          <w:rFonts w:ascii="Times New Roman" w:hAnsi="Times New Roman" w:cs="Times New Roman"/>
          <w:sz w:val="22"/>
          <w:szCs w:val="22"/>
          <w:lang w:val="sk-SK"/>
        </w:rPr>
      </w:pPr>
    </w:p>
    <w:p w14:paraId="483DE825" w14:textId="77777777" w:rsidR="00F134F4" w:rsidRPr="007648C4" w:rsidRDefault="00F134F4" w:rsidP="00F56759">
      <w:pPr>
        <w:pStyle w:val="Body"/>
        <w:rPr>
          <w:sz w:val="22"/>
          <w:szCs w:val="22"/>
          <w:lang w:val="sk-SK"/>
        </w:rPr>
      </w:pPr>
    </w:p>
    <w:p w14:paraId="09FFACE9" w14:textId="77777777" w:rsidR="00F134F4" w:rsidRPr="007648C4" w:rsidRDefault="00F134F4" w:rsidP="00F56759">
      <w:pPr>
        <w:pStyle w:val="Body"/>
        <w:rPr>
          <w:color w:val="000000"/>
          <w:sz w:val="22"/>
          <w:szCs w:val="22"/>
          <w:lang w:val="sk-SK"/>
        </w:rPr>
      </w:pPr>
      <w:r w:rsidRPr="007648C4">
        <w:rPr>
          <w:color w:val="000000"/>
          <w:sz w:val="22"/>
          <w:szCs w:val="22"/>
          <w:lang w:val="sk-SK"/>
        </w:rPr>
        <w:lastRenderedPageBreak/>
        <w:t>Poruchy gastrointestinálneho traktu:</w:t>
      </w:r>
    </w:p>
    <w:p w14:paraId="3099157A" w14:textId="77777777" w:rsidR="00F134F4" w:rsidRPr="007648C4" w:rsidRDefault="00E078D0" w:rsidP="00F56759">
      <w:pPr>
        <w:pStyle w:val="Body"/>
        <w:rPr>
          <w:color w:val="000000"/>
          <w:sz w:val="22"/>
          <w:szCs w:val="22"/>
          <w:lang w:val="sk-SK"/>
        </w:rPr>
      </w:pPr>
      <w:r w:rsidRPr="007648C4">
        <w:rPr>
          <w:color w:val="000000"/>
          <w:sz w:val="22"/>
          <w:szCs w:val="22"/>
          <w:lang w:val="sk-SK"/>
        </w:rPr>
        <w:t xml:space="preserve">Menej časté: </w:t>
      </w:r>
      <w:r w:rsidR="00F134F4" w:rsidRPr="007648C4">
        <w:rPr>
          <w:color w:val="000000"/>
          <w:sz w:val="22"/>
          <w:szCs w:val="22"/>
          <w:lang w:val="sk-SK"/>
        </w:rPr>
        <w:t>Dysfágia</w:t>
      </w:r>
      <w:r w:rsidRPr="007648C4">
        <w:rPr>
          <w:color w:val="000000"/>
          <w:sz w:val="22"/>
          <w:szCs w:val="22"/>
          <w:lang w:val="sk-SK"/>
        </w:rPr>
        <w:t>*</w:t>
      </w:r>
    </w:p>
    <w:p w14:paraId="7BD9B0F3" w14:textId="77777777" w:rsidR="00E078D0" w:rsidRPr="007648C4" w:rsidRDefault="00E078D0" w:rsidP="00E078D0">
      <w:pPr>
        <w:pStyle w:val="Body"/>
        <w:rPr>
          <w:color w:val="000000"/>
          <w:sz w:val="22"/>
          <w:szCs w:val="22"/>
          <w:lang w:val="sk-SK"/>
        </w:rPr>
      </w:pPr>
      <w:r w:rsidRPr="007648C4">
        <w:rPr>
          <w:color w:val="000000"/>
          <w:sz w:val="22"/>
          <w:szCs w:val="22"/>
          <w:lang w:val="sk-SK"/>
        </w:rPr>
        <w:t xml:space="preserve">*Frekvencia dysfágie bola odvodená z údajov zhromaždených z otvorenej štúdie. Dysfágia nebola pozorovaná v dvojito zaslepených štúdiách pre indikáciu horných končatín u dospelých. </w:t>
      </w:r>
    </w:p>
    <w:p w14:paraId="69664CFE" w14:textId="77777777" w:rsidR="00E078D0" w:rsidRPr="007648C4" w:rsidRDefault="00E078D0" w:rsidP="00E078D0">
      <w:pPr>
        <w:pStyle w:val="Body"/>
        <w:rPr>
          <w:color w:val="000000"/>
          <w:sz w:val="22"/>
          <w:szCs w:val="22"/>
          <w:lang w:val="sk-SK"/>
        </w:rPr>
      </w:pPr>
    </w:p>
    <w:p w14:paraId="14A489B6" w14:textId="77777777" w:rsidR="00E078D0" w:rsidRPr="007648C4" w:rsidRDefault="00E078D0" w:rsidP="00E078D0">
      <w:pPr>
        <w:pStyle w:val="Body"/>
        <w:rPr>
          <w:color w:val="000000"/>
          <w:sz w:val="22"/>
          <w:szCs w:val="22"/>
          <w:lang w:val="sk-SK"/>
        </w:rPr>
      </w:pPr>
      <w:r w:rsidRPr="007648C4">
        <w:rPr>
          <w:color w:val="000000"/>
          <w:sz w:val="22"/>
          <w:szCs w:val="22"/>
          <w:lang w:val="sk-SK"/>
        </w:rPr>
        <w:t>Post-marketingová skúsenosť:</w:t>
      </w:r>
    </w:p>
    <w:p w14:paraId="4FDC1D65" w14:textId="0886C1D2" w:rsidR="00E078D0" w:rsidRPr="007648C4" w:rsidRDefault="00E078D0" w:rsidP="00E078D0">
      <w:pPr>
        <w:pStyle w:val="Body"/>
        <w:rPr>
          <w:color w:val="000000"/>
          <w:sz w:val="22"/>
          <w:szCs w:val="22"/>
          <w:lang w:val="sk-SK"/>
        </w:rPr>
      </w:pPr>
      <w:r w:rsidRPr="007648C4">
        <w:rPr>
          <w:color w:val="000000"/>
          <w:sz w:val="22"/>
          <w:szCs w:val="22"/>
          <w:lang w:val="sk-SK"/>
        </w:rPr>
        <w:t>Profil nežiaducich účinkov hlásených spoločnosti počas post-marketingového použitia je odrazom farmakológie lieku a účinkov, ktoré sa pozorovali počas klinických štúdií. Sporadicky bola zaznamenaná precitlivenosť.</w:t>
      </w:r>
    </w:p>
    <w:p w14:paraId="4A608BE6" w14:textId="77777777" w:rsidR="00E078D0" w:rsidRPr="007648C4" w:rsidRDefault="00E078D0" w:rsidP="00E078D0">
      <w:pPr>
        <w:pStyle w:val="Body"/>
        <w:rPr>
          <w:color w:val="000000"/>
          <w:sz w:val="22"/>
          <w:szCs w:val="22"/>
          <w:lang w:val="sk-SK"/>
        </w:rPr>
      </w:pPr>
    </w:p>
    <w:p w14:paraId="74E3D915" w14:textId="77777777" w:rsidR="00E078D0" w:rsidRPr="007648C4" w:rsidRDefault="00E078D0" w:rsidP="00E078D0">
      <w:pPr>
        <w:pStyle w:val="Body"/>
        <w:rPr>
          <w:color w:val="000000"/>
          <w:sz w:val="22"/>
          <w:szCs w:val="22"/>
          <w:lang w:val="sk-SK"/>
        </w:rPr>
      </w:pPr>
      <w:r w:rsidRPr="007648C4">
        <w:rPr>
          <w:color w:val="000000"/>
          <w:sz w:val="22"/>
          <w:szCs w:val="22"/>
          <w:lang w:val="sk-SK"/>
        </w:rPr>
        <w:t xml:space="preserve">Nežiaduce účinky vyplývajúce z distribúcie účinkov toxínu do miest vzdialených od miesta injekcie boli hlásené veľmi zriedkavo (nadmerná svalová slabosť, dysfágia, aspiračná pneumónia, ktorá môže byť fatálna).  </w:t>
      </w:r>
    </w:p>
    <w:p w14:paraId="640BF55C" w14:textId="77777777" w:rsidR="00E078D0" w:rsidRPr="007648C4" w:rsidRDefault="00E078D0" w:rsidP="00F56759">
      <w:pPr>
        <w:pStyle w:val="Body"/>
        <w:rPr>
          <w:color w:val="000000"/>
          <w:sz w:val="22"/>
          <w:szCs w:val="22"/>
          <w:lang w:val="sk-SK"/>
        </w:rPr>
      </w:pPr>
    </w:p>
    <w:p w14:paraId="4EF97124" w14:textId="2202E8C0" w:rsidR="00BE3A89" w:rsidRPr="007648C4" w:rsidRDefault="00BE3A89" w:rsidP="00BE3A89">
      <w:pPr>
        <w:spacing w:line="240" w:lineRule="atLeast"/>
        <w:rPr>
          <w:rFonts w:ascii="Times New Roman" w:hAnsi="Times New Roman" w:cs="Times New Roman"/>
          <w:b/>
          <w:sz w:val="22"/>
          <w:szCs w:val="22"/>
          <w:lang w:val="sk-SK"/>
        </w:rPr>
      </w:pPr>
      <w:r w:rsidRPr="007648C4">
        <w:rPr>
          <w:rFonts w:ascii="Times New Roman" w:hAnsi="Times New Roman" w:cs="Times New Roman"/>
          <w:b/>
          <w:sz w:val="22"/>
          <w:szCs w:val="22"/>
          <w:lang w:val="sk-SK"/>
        </w:rPr>
        <w:t>Fokálna spasticita dolných končatín u dospelých:</w:t>
      </w:r>
    </w:p>
    <w:p w14:paraId="4B8382EC" w14:textId="77777777" w:rsidR="00BE3A89" w:rsidRPr="007648C4" w:rsidRDefault="00BE3A89" w:rsidP="00BE3A89">
      <w:pPr>
        <w:pStyle w:val="Text"/>
        <w:ind w:left="0"/>
        <w:jc w:val="left"/>
        <w:rPr>
          <w:rFonts w:ascii="Times New Roman" w:hAnsi="Times New Roman"/>
          <w:b/>
          <w:i/>
          <w:sz w:val="22"/>
          <w:szCs w:val="22"/>
          <w:lang w:val="sk-SK"/>
        </w:rPr>
      </w:pPr>
    </w:p>
    <w:p w14:paraId="0F427ADE" w14:textId="341F0D2E" w:rsidR="00BE3A89" w:rsidRPr="007648C4" w:rsidRDefault="00BE3A89" w:rsidP="00BE3A89">
      <w:pPr>
        <w:pStyle w:val="Text"/>
        <w:ind w:left="0"/>
        <w:jc w:val="left"/>
        <w:rPr>
          <w:rFonts w:ascii="Times New Roman" w:hAnsi="Times New Roman"/>
          <w:sz w:val="22"/>
          <w:szCs w:val="22"/>
          <w:lang w:val="sk-SK"/>
        </w:rPr>
      </w:pPr>
      <w:r w:rsidRPr="007648C4">
        <w:rPr>
          <w:rFonts w:ascii="Times New Roman" w:hAnsi="Times New Roman"/>
          <w:sz w:val="22"/>
          <w:szCs w:val="22"/>
          <w:lang w:val="sk-SK"/>
        </w:rPr>
        <w:t xml:space="preserve">Nasledujúce nežiaduce účinky, boli hlásené pacientov liečených s Dysportom </w:t>
      </w:r>
      <w:r w:rsidR="007648C4">
        <w:rPr>
          <w:rFonts w:ascii="Times New Roman" w:hAnsi="Times New Roman"/>
          <w:sz w:val="22"/>
          <w:szCs w:val="22"/>
          <w:lang w:val="sk-SK"/>
        </w:rPr>
        <w:t>5</w:t>
      </w:r>
      <w:r w:rsidRPr="007648C4">
        <w:rPr>
          <w:rFonts w:ascii="Times New Roman" w:hAnsi="Times New Roman"/>
          <w:sz w:val="22"/>
          <w:szCs w:val="22"/>
          <w:lang w:val="sk-SK"/>
        </w:rPr>
        <w:t>00 pri symptomatickej liečbe fokálnej spasticity dolných končatín u dospelých.</w:t>
      </w:r>
    </w:p>
    <w:p w14:paraId="0470560B" w14:textId="77777777" w:rsidR="00BE3A89" w:rsidRPr="007648C4" w:rsidRDefault="00BE3A89" w:rsidP="00BE3A89">
      <w:pPr>
        <w:rPr>
          <w:rFonts w:ascii="Times New Roman" w:hAnsi="Times New Roman" w:cs="Times New Roman"/>
          <w:i/>
          <w:noProof/>
          <w:sz w:val="22"/>
          <w:szCs w:val="22"/>
          <w:u w:val="single"/>
          <w:lang w:val="sk-SK"/>
        </w:rPr>
      </w:pPr>
      <w:r w:rsidRPr="007648C4">
        <w:rPr>
          <w:rFonts w:ascii="Times New Roman" w:hAnsi="Times New Roman" w:cs="Times New Roman"/>
          <w:i/>
          <w:noProof/>
          <w:sz w:val="22"/>
          <w:szCs w:val="22"/>
          <w:u w:val="single"/>
          <w:lang w:val="sk-SK"/>
        </w:rPr>
        <w:t>Celkové poruchy  a reakcie v miesta podania:</w:t>
      </w:r>
    </w:p>
    <w:p w14:paraId="64A18ABB" w14:textId="77777777" w:rsidR="00BE3A89" w:rsidRPr="007648C4" w:rsidRDefault="00BE3A89" w:rsidP="00BE3A89">
      <w:pPr>
        <w:rPr>
          <w:rFonts w:ascii="Times New Roman" w:hAnsi="Times New Roman" w:cs="Times New Roman"/>
          <w:i/>
          <w:noProof/>
          <w:sz w:val="22"/>
          <w:szCs w:val="22"/>
          <w:u w:val="single"/>
          <w:lang w:val="sk-SK"/>
        </w:rPr>
      </w:pPr>
      <w:r w:rsidRPr="007648C4">
        <w:rPr>
          <w:rFonts w:ascii="Times New Roman" w:hAnsi="Times New Roman" w:cs="Times New Roman"/>
          <w:noProof/>
          <w:sz w:val="22"/>
          <w:szCs w:val="22"/>
          <w:u w:val="single"/>
          <w:lang w:val="sk-SK"/>
        </w:rPr>
        <w:t xml:space="preserve">Časté: slabosť, únava, ochorenie podobné chrípke, reakcie v mieste vpichu (bolesť, podliatiny, </w:t>
      </w:r>
      <w:r w:rsidRPr="007648C4">
        <w:rPr>
          <w:rFonts w:ascii="Times New Roman" w:hAnsi="Times New Roman" w:cs="Times New Roman"/>
          <w:i/>
          <w:noProof/>
          <w:sz w:val="22"/>
          <w:szCs w:val="22"/>
          <w:u w:val="single"/>
          <w:lang w:val="sk-SK"/>
        </w:rPr>
        <w:t>vyrážka, svrbenie)</w:t>
      </w:r>
    </w:p>
    <w:p w14:paraId="2454249E" w14:textId="77777777" w:rsidR="00BE3A89" w:rsidRPr="007648C4" w:rsidRDefault="00BE3A89" w:rsidP="00BE3A89">
      <w:pPr>
        <w:rPr>
          <w:rFonts w:ascii="Times New Roman" w:hAnsi="Times New Roman" w:cs="Times New Roman"/>
          <w:i/>
          <w:noProof/>
          <w:sz w:val="22"/>
          <w:szCs w:val="22"/>
          <w:u w:val="single"/>
          <w:lang w:val="sk-SK"/>
        </w:rPr>
      </w:pPr>
      <w:r w:rsidRPr="007648C4">
        <w:rPr>
          <w:rFonts w:ascii="Times New Roman" w:hAnsi="Times New Roman" w:cs="Times New Roman"/>
          <w:i/>
          <w:noProof/>
          <w:sz w:val="22"/>
          <w:szCs w:val="22"/>
          <w:u w:val="single"/>
          <w:lang w:val="sk-SK"/>
        </w:rPr>
        <w:t>Poranenia, otravy a procedurálne komplikácie:</w:t>
      </w:r>
    </w:p>
    <w:p w14:paraId="4B0D7E77" w14:textId="77777777" w:rsidR="00BE3A89" w:rsidRPr="007648C4" w:rsidRDefault="00BE3A89" w:rsidP="00BE3A89">
      <w:pPr>
        <w:rPr>
          <w:rFonts w:ascii="Times New Roman" w:hAnsi="Times New Roman" w:cs="Times New Roman"/>
          <w:noProof/>
          <w:sz w:val="22"/>
          <w:szCs w:val="22"/>
          <w:lang w:val="sk-SK"/>
        </w:rPr>
      </w:pPr>
      <w:r w:rsidRPr="007648C4">
        <w:rPr>
          <w:rFonts w:ascii="Times New Roman" w:hAnsi="Times New Roman" w:cs="Times New Roman"/>
          <w:noProof/>
          <w:sz w:val="22"/>
          <w:szCs w:val="22"/>
          <w:u w:val="single"/>
          <w:lang w:val="sk-SK"/>
        </w:rPr>
        <w:t>Časté:</w:t>
      </w:r>
      <w:r w:rsidRPr="007648C4">
        <w:rPr>
          <w:rFonts w:ascii="Times New Roman" w:hAnsi="Times New Roman" w:cs="Times New Roman"/>
          <w:noProof/>
          <w:sz w:val="22"/>
          <w:szCs w:val="22"/>
          <w:lang w:val="sk-SK"/>
        </w:rPr>
        <w:t xml:space="preserve"> pád</w:t>
      </w:r>
    </w:p>
    <w:p w14:paraId="5FB9767E" w14:textId="77777777" w:rsidR="00BE3A89" w:rsidRPr="007648C4" w:rsidRDefault="00BE3A89" w:rsidP="00BE3A89">
      <w:pPr>
        <w:rPr>
          <w:rFonts w:ascii="Times New Roman" w:hAnsi="Times New Roman" w:cs="Times New Roman"/>
          <w:i/>
          <w:noProof/>
          <w:sz w:val="22"/>
          <w:szCs w:val="22"/>
          <w:u w:val="single"/>
          <w:lang w:val="sk-SK"/>
        </w:rPr>
      </w:pPr>
      <w:r w:rsidRPr="007648C4">
        <w:rPr>
          <w:rFonts w:ascii="Times New Roman" w:hAnsi="Times New Roman" w:cs="Times New Roman"/>
          <w:i/>
          <w:noProof/>
          <w:sz w:val="22"/>
          <w:szCs w:val="22"/>
          <w:u w:val="single"/>
          <w:lang w:val="sk-SK"/>
        </w:rPr>
        <w:t>Poruchy kostrovej a svalovej sústavy a spojivového tkaniva:</w:t>
      </w:r>
    </w:p>
    <w:p w14:paraId="6903A2C0" w14:textId="77777777" w:rsidR="00BE3A89" w:rsidRPr="007648C4" w:rsidRDefault="00BE3A89" w:rsidP="00BE3A89">
      <w:pPr>
        <w:rPr>
          <w:rFonts w:ascii="Times New Roman" w:hAnsi="Times New Roman" w:cs="Times New Roman"/>
          <w:noProof/>
          <w:sz w:val="22"/>
          <w:szCs w:val="22"/>
          <w:u w:val="single"/>
          <w:lang w:val="sk-SK"/>
        </w:rPr>
      </w:pPr>
      <w:r w:rsidRPr="007648C4">
        <w:rPr>
          <w:rFonts w:ascii="Times New Roman" w:hAnsi="Times New Roman" w:cs="Times New Roman"/>
          <w:noProof/>
          <w:sz w:val="22"/>
          <w:szCs w:val="22"/>
          <w:u w:val="single"/>
          <w:lang w:val="sk-SK"/>
        </w:rPr>
        <w:t>Časté: svalová slabosť, bolesti svalov</w:t>
      </w:r>
    </w:p>
    <w:p w14:paraId="4B879DEE" w14:textId="77777777" w:rsidR="00BE3A89" w:rsidRPr="007648C4" w:rsidRDefault="00BE3A89" w:rsidP="00BE3A89">
      <w:pPr>
        <w:rPr>
          <w:rFonts w:ascii="Times New Roman" w:hAnsi="Times New Roman" w:cs="Times New Roman"/>
          <w:i/>
          <w:noProof/>
          <w:sz w:val="22"/>
          <w:szCs w:val="22"/>
          <w:u w:val="single"/>
          <w:lang w:val="sk-SK"/>
        </w:rPr>
      </w:pPr>
      <w:r w:rsidRPr="007648C4">
        <w:rPr>
          <w:rFonts w:ascii="Times New Roman" w:hAnsi="Times New Roman" w:cs="Times New Roman"/>
          <w:i/>
          <w:noProof/>
          <w:sz w:val="22"/>
          <w:szCs w:val="22"/>
          <w:u w:val="single"/>
          <w:lang w:val="sk-SK"/>
        </w:rPr>
        <w:t>Poruchy gastrointestinálneho traktu:</w:t>
      </w:r>
    </w:p>
    <w:p w14:paraId="2CC288CE" w14:textId="77777777" w:rsidR="00BE3A89" w:rsidRPr="007648C4" w:rsidRDefault="00BE3A89" w:rsidP="00BE3A89">
      <w:pPr>
        <w:rPr>
          <w:rFonts w:ascii="Times New Roman" w:hAnsi="Times New Roman" w:cs="Times New Roman"/>
          <w:noProof/>
          <w:sz w:val="22"/>
          <w:szCs w:val="22"/>
          <w:lang w:val="sk-SK"/>
        </w:rPr>
      </w:pPr>
      <w:r w:rsidRPr="007648C4">
        <w:rPr>
          <w:rFonts w:ascii="Times New Roman" w:hAnsi="Times New Roman" w:cs="Times New Roman"/>
          <w:noProof/>
          <w:sz w:val="22"/>
          <w:szCs w:val="22"/>
          <w:u w:val="single"/>
          <w:lang w:val="sk-SK"/>
        </w:rPr>
        <w:t>Časté:</w:t>
      </w:r>
      <w:r w:rsidRPr="007648C4">
        <w:rPr>
          <w:rFonts w:ascii="Times New Roman" w:hAnsi="Times New Roman" w:cs="Times New Roman"/>
          <w:noProof/>
          <w:sz w:val="22"/>
          <w:szCs w:val="22"/>
          <w:lang w:val="sk-SK"/>
        </w:rPr>
        <w:t xml:space="preserve"> dysfagia</w:t>
      </w:r>
    </w:p>
    <w:p w14:paraId="3E071C68" w14:textId="77777777" w:rsidR="00BE3A89" w:rsidRPr="007648C4" w:rsidRDefault="00BE3A89" w:rsidP="00BE3A89">
      <w:pPr>
        <w:pStyle w:val="Text"/>
        <w:ind w:left="0"/>
        <w:jc w:val="left"/>
        <w:rPr>
          <w:rFonts w:ascii="Times New Roman" w:hAnsi="Times New Roman"/>
          <w:sz w:val="22"/>
          <w:szCs w:val="22"/>
          <w:lang w:val="sk-SK"/>
        </w:rPr>
      </w:pPr>
    </w:p>
    <w:p w14:paraId="31D985E4" w14:textId="77777777" w:rsidR="00BE3A89" w:rsidRPr="00475027" w:rsidRDefault="00BE3A89" w:rsidP="00BE3A89">
      <w:pPr>
        <w:spacing w:line="240" w:lineRule="atLeast"/>
        <w:rPr>
          <w:rFonts w:ascii="Times New Roman" w:hAnsi="Times New Roman" w:cs="Times New Roman"/>
          <w:sz w:val="22"/>
          <w:szCs w:val="22"/>
          <w:lang w:val="sk-SK"/>
        </w:rPr>
      </w:pPr>
      <w:r w:rsidRPr="007648C4">
        <w:rPr>
          <w:rFonts w:ascii="Times New Roman" w:hAnsi="Times New Roman" w:cs="Times New Roman"/>
          <w:sz w:val="22"/>
          <w:szCs w:val="22"/>
          <w:lang w:val="sk-SK"/>
        </w:rPr>
        <w:t>Pri liečbe oboch, horných a dolných, končatín súčasne liekom Dysport v celkovej dávke do 1500 U, neexistujú bezpečnostné poznatky okrem tých, ktoré sa dajú očakávať od samostatného ošetrenia svalov buď hornej alebo dolnej končatiny.</w:t>
      </w:r>
    </w:p>
    <w:p w14:paraId="7FE3000F" w14:textId="5BCAA773" w:rsidR="00F134F4" w:rsidRPr="00475027" w:rsidRDefault="00F134F4" w:rsidP="00FE4006">
      <w:pPr>
        <w:spacing w:line="240" w:lineRule="atLeast"/>
        <w:rPr>
          <w:rFonts w:ascii="Times New Roman" w:hAnsi="Times New Roman" w:cs="Times New Roman"/>
          <w:b/>
          <w:sz w:val="22"/>
          <w:szCs w:val="22"/>
          <w:lang w:val="sk-SK"/>
        </w:rPr>
      </w:pPr>
    </w:p>
    <w:p w14:paraId="428632C4" w14:textId="77777777" w:rsidR="00EB3001" w:rsidRPr="00475027" w:rsidRDefault="00EB3001" w:rsidP="00FE4006">
      <w:pPr>
        <w:spacing w:line="240" w:lineRule="atLeast"/>
        <w:rPr>
          <w:rFonts w:ascii="Times New Roman" w:hAnsi="Times New Roman" w:cs="Times New Roman"/>
          <w:b/>
          <w:sz w:val="22"/>
          <w:szCs w:val="22"/>
          <w:lang w:val="sk-SK"/>
        </w:rPr>
      </w:pPr>
      <w:r w:rsidRPr="00475027">
        <w:rPr>
          <w:rFonts w:ascii="Times New Roman" w:hAnsi="Times New Roman" w:cs="Times New Roman"/>
          <w:b/>
          <w:sz w:val="22"/>
          <w:szCs w:val="22"/>
          <w:lang w:val="sk-SK"/>
        </w:rPr>
        <w:t>Dynamická deformita nohy (pes equinus) v</w:t>
      </w:r>
      <w:r w:rsidR="00474ACD" w:rsidRPr="00475027">
        <w:rPr>
          <w:rFonts w:ascii="Times New Roman" w:hAnsi="Times New Roman" w:cs="Times New Roman"/>
          <w:b/>
          <w:sz w:val="22"/>
          <w:szCs w:val="22"/>
          <w:lang w:val="sk-SK"/>
        </w:rPr>
        <w:t> </w:t>
      </w:r>
      <w:r w:rsidRPr="00475027">
        <w:rPr>
          <w:rFonts w:ascii="Times New Roman" w:hAnsi="Times New Roman" w:cs="Times New Roman"/>
          <w:b/>
          <w:sz w:val="22"/>
          <w:szCs w:val="22"/>
          <w:lang w:val="sk-SK"/>
        </w:rPr>
        <w:t>d</w:t>
      </w:r>
      <w:r w:rsidRPr="007648C4">
        <w:rPr>
          <w:rFonts w:ascii="Times New Roman" w:hAnsi="Times New Roman" w:cs="Times New Roman"/>
          <w:b/>
          <w:sz w:val="22"/>
          <w:szCs w:val="22"/>
          <w:lang w:val="sk-SK"/>
        </w:rPr>
        <w:t>ôsle</w:t>
      </w:r>
      <w:r w:rsidR="00474ACD" w:rsidRPr="007648C4">
        <w:rPr>
          <w:rFonts w:ascii="Times New Roman" w:hAnsi="Times New Roman" w:cs="Times New Roman"/>
          <w:b/>
          <w:sz w:val="22"/>
          <w:szCs w:val="22"/>
          <w:lang w:val="sk-SK"/>
        </w:rPr>
        <w:t>dku spasticity pri DMO u detských pacientov, vo veku 2 roky alebo starších</w:t>
      </w:r>
    </w:p>
    <w:p w14:paraId="315651A9" w14:textId="77777777" w:rsidR="00F134F4" w:rsidRPr="00475027" w:rsidRDefault="00F134F4" w:rsidP="00FE4006">
      <w:pPr>
        <w:pStyle w:val="Zkladntext"/>
        <w:spacing w:line="240" w:lineRule="atLeast"/>
        <w:rPr>
          <w:rFonts w:ascii="Times New Roman" w:hAnsi="Times New Roman" w:cs="Times New Roman"/>
          <w:b w:val="0"/>
          <w:i w:val="0"/>
          <w:sz w:val="22"/>
          <w:szCs w:val="22"/>
          <w:lang w:val="sk-SK"/>
        </w:rPr>
      </w:pPr>
    </w:p>
    <w:p w14:paraId="57878CAC" w14:textId="32AFEC11" w:rsidR="00F134F4" w:rsidRPr="00475027" w:rsidRDefault="00F134F4" w:rsidP="00FE4006">
      <w:pPr>
        <w:spacing w:line="240" w:lineRule="atLeast"/>
        <w:rPr>
          <w:rFonts w:ascii="Times New Roman" w:hAnsi="Times New Roman" w:cs="Times New Roman"/>
          <w:bCs/>
          <w:sz w:val="22"/>
          <w:szCs w:val="22"/>
          <w:lang w:val="sk-SK"/>
        </w:rPr>
      </w:pPr>
      <w:r w:rsidRPr="00475027">
        <w:rPr>
          <w:rFonts w:ascii="Times New Roman" w:hAnsi="Times New Roman" w:cs="Times New Roman"/>
          <w:sz w:val="22"/>
          <w:szCs w:val="22"/>
          <w:lang w:val="sk-SK"/>
        </w:rPr>
        <w:t>Nasledujúce nežiaduce účinky, boli hlásené u</w:t>
      </w:r>
      <w:r w:rsidR="001F6153" w:rsidRPr="00475027">
        <w:rPr>
          <w:rFonts w:ascii="Times New Roman" w:hAnsi="Times New Roman" w:cs="Times New Roman"/>
          <w:sz w:val="22"/>
          <w:szCs w:val="22"/>
          <w:lang w:val="sk-SK"/>
        </w:rPr>
        <w:t xml:space="preserve"> detských </w:t>
      </w:r>
      <w:r w:rsidRPr="00475027">
        <w:rPr>
          <w:rFonts w:ascii="Times New Roman" w:hAnsi="Times New Roman" w:cs="Times New Roman"/>
          <w:sz w:val="22"/>
          <w:szCs w:val="22"/>
          <w:lang w:val="sk-SK"/>
        </w:rPr>
        <w:t xml:space="preserve">pacientov liečených </w:t>
      </w:r>
      <w:r w:rsidRPr="00475027">
        <w:rPr>
          <w:rFonts w:ascii="Times New Roman" w:hAnsi="Times New Roman" w:cs="Times New Roman"/>
          <w:color w:val="000000"/>
          <w:spacing w:val="-1"/>
          <w:sz w:val="22"/>
          <w:szCs w:val="22"/>
          <w:lang w:val="sk-SK"/>
        </w:rPr>
        <w:t>Dysportom 500 U</w:t>
      </w:r>
      <w:r w:rsidRPr="00475027">
        <w:rPr>
          <w:rFonts w:ascii="Times New Roman" w:hAnsi="Times New Roman" w:cs="Times New Roman"/>
          <w:b/>
          <w:sz w:val="22"/>
          <w:szCs w:val="22"/>
          <w:lang w:val="sk-SK"/>
        </w:rPr>
        <w:t xml:space="preserve"> </w:t>
      </w:r>
      <w:r w:rsidRPr="00475027">
        <w:rPr>
          <w:rFonts w:ascii="Times New Roman" w:hAnsi="Times New Roman" w:cs="Times New Roman"/>
          <w:sz w:val="22"/>
          <w:szCs w:val="22"/>
          <w:lang w:val="sk-SK"/>
        </w:rPr>
        <w:t>kvôli spasticite</w:t>
      </w:r>
      <w:r w:rsidR="001F6153" w:rsidRPr="00475027">
        <w:rPr>
          <w:rFonts w:ascii="Times New Roman" w:hAnsi="Times New Roman" w:cs="Times New Roman"/>
          <w:sz w:val="22"/>
          <w:szCs w:val="22"/>
          <w:lang w:val="sk-SK"/>
        </w:rPr>
        <w:t xml:space="preserve"> dolných končatín</w:t>
      </w:r>
      <w:r w:rsidRPr="00475027">
        <w:rPr>
          <w:rFonts w:ascii="Times New Roman" w:hAnsi="Times New Roman" w:cs="Times New Roman"/>
          <w:sz w:val="22"/>
          <w:szCs w:val="22"/>
          <w:lang w:val="sk-SK"/>
        </w:rPr>
        <w:t xml:space="preserve"> pri DMO</w:t>
      </w:r>
      <w:r w:rsidRPr="00475027">
        <w:rPr>
          <w:rFonts w:ascii="Times New Roman" w:hAnsi="Times New Roman" w:cs="Times New Roman"/>
          <w:bCs/>
          <w:sz w:val="22"/>
          <w:szCs w:val="22"/>
          <w:lang w:val="sk-SK"/>
        </w:rPr>
        <w:t>:</w:t>
      </w:r>
    </w:p>
    <w:p w14:paraId="16D16A13" w14:textId="28DE3A26" w:rsidR="00F134F4" w:rsidRPr="00475027" w:rsidRDefault="00F134F4" w:rsidP="00FE4006">
      <w:pPr>
        <w:rPr>
          <w:rFonts w:ascii="Times New Roman" w:hAnsi="Times New Roman" w:cs="Times New Roman"/>
          <w:sz w:val="22"/>
          <w:szCs w:val="22"/>
          <w:lang w:val="sk-SK"/>
        </w:rPr>
      </w:pPr>
    </w:p>
    <w:p w14:paraId="7ADF17F7" w14:textId="77777777" w:rsidR="00F134F4" w:rsidRPr="00475027" w:rsidRDefault="00F134F4" w:rsidP="00FE4006">
      <w:pPr>
        <w:pStyle w:val="Body"/>
        <w:rPr>
          <w:sz w:val="22"/>
          <w:szCs w:val="22"/>
          <w:u w:val="single"/>
          <w:lang w:val="sk-SK"/>
        </w:rPr>
      </w:pPr>
    </w:p>
    <w:p w14:paraId="5BA7605B" w14:textId="77777777" w:rsidR="00F134F4" w:rsidRPr="00475027" w:rsidRDefault="00F134F4" w:rsidP="00FE4006">
      <w:pPr>
        <w:pStyle w:val="Body"/>
        <w:rPr>
          <w:sz w:val="22"/>
          <w:szCs w:val="22"/>
          <w:u w:val="single"/>
          <w:lang w:val="sk-SK"/>
        </w:rPr>
      </w:pPr>
      <w:r w:rsidRPr="00475027">
        <w:rPr>
          <w:sz w:val="22"/>
          <w:szCs w:val="22"/>
          <w:u w:val="single"/>
          <w:lang w:val="sk-SK"/>
        </w:rPr>
        <w:t>Poruchy kostrovej a svalovej sústavy a spojivového tkaniva</w:t>
      </w:r>
    </w:p>
    <w:p w14:paraId="3F286630" w14:textId="70698B22" w:rsidR="00F134F4" w:rsidRPr="00475027" w:rsidRDefault="00F134F4" w:rsidP="00FE4006">
      <w:pPr>
        <w:pStyle w:val="Body"/>
        <w:rPr>
          <w:sz w:val="22"/>
          <w:szCs w:val="22"/>
          <w:lang w:val="sk-SK"/>
        </w:rPr>
      </w:pPr>
      <w:r w:rsidRPr="00475027">
        <w:rPr>
          <w:sz w:val="22"/>
          <w:szCs w:val="22"/>
          <w:lang w:val="sk-SK"/>
        </w:rPr>
        <w:t>Časté: svalová slabosť, svalová bolesť</w:t>
      </w:r>
    </w:p>
    <w:p w14:paraId="0BE52532" w14:textId="77777777" w:rsidR="00F134F4" w:rsidRPr="00475027" w:rsidRDefault="00F134F4" w:rsidP="00FE4006">
      <w:pPr>
        <w:rPr>
          <w:rFonts w:ascii="Times New Roman" w:hAnsi="Times New Roman" w:cs="Times New Roman"/>
          <w:i/>
          <w:sz w:val="22"/>
          <w:szCs w:val="22"/>
          <w:u w:val="single"/>
          <w:lang w:val="sk-SK"/>
        </w:rPr>
      </w:pPr>
    </w:p>
    <w:p w14:paraId="70D095E6" w14:textId="77777777" w:rsidR="00F134F4" w:rsidRPr="00475027" w:rsidRDefault="00F134F4" w:rsidP="00FE4006">
      <w:pPr>
        <w:pStyle w:val="Body"/>
        <w:rPr>
          <w:sz w:val="22"/>
          <w:szCs w:val="22"/>
          <w:u w:val="single"/>
          <w:lang w:val="sk-SK"/>
        </w:rPr>
      </w:pPr>
      <w:r w:rsidRPr="00475027">
        <w:rPr>
          <w:sz w:val="22"/>
          <w:szCs w:val="22"/>
          <w:u w:val="single"/>
          <w:lang w:val="sk-SK"/>
        </w:rPr>
        <w:t>Poruchy obličiek a močových ciest</w:t>
      </w:r>
    </w:p>
    <w:p w14:paraId="0D13953D" w14:textId="77777777" w:rsidR="00F134F4" w:rsidRPr="00475027" w:rsidRDefault="00F134F4" w:rsidP="00FE4006">
      <w:pPr>
        <w:pStyle w:val="Body"/>
        <w:rPr>
          <w:sz w:val="22"/>
          <w:szCs w:val="22"/>
          <w:lang w:val="sk-SK"/>
        </w:rPr>
      </w:pPr>
      <w:r w:rsidRPr="00475027">
        <w:rPr>
          <w:sz w:val="22"/>
          <w:szCs w:val="22"/>
          <w:lang w:val="sk-SK"/>
        </w:rPr>
        <w:t>Časté: močová inkontinencia</w:t>
      </w:r>
    </w:p>
    <w:p w14:paraId="4351023A" w14:textId="77777777" w:rsidR="00F134F4" w:rsidRPr="00475027" w:rsidRDefault="00F134F4" w:rsidP="00FE4006">
      <w:pPr>
        <w:pStyle w:val="Body"/>
        <w:rPr>
          <w:sz w:val="22"/>
          <w:szCs w:val="22"/>
          <w:lang w:val="sk-SK"/>
        </w:rPr>
      </w:pPr>
    </w:p>
    <w:p w14:paraId="15CF4656" w14:textId="77777777" w:rsidR="00F134F4" w:rsidRPr="00475027" w:rsidRDefault="00F134F4" w:rsidP="00FE4006">
      <w:pPr>
        <w:rPr>
          <w:rFonts w:ascii="Times New Roman" w:hAnsi="Times New Roman" w:cs="Times New Roman"/>
          <w:noProof/>
          <w:sz w:val="22"/>
          <w:szCs w:val="22"/>
          <w:u w:val="single"/>
          <w:lang w:val="sk-SK"/>
        </w:rPr>
      </w:pPr>
      <w:r w:rsidRPr="00475027">
        <w:rPr>
          <w:rFonts w:ascii="Times New Roman" w:hAnsi="Times New Roman" w:cs="Times New Roman"/>
          <w:noProof/>
          <w:sz w:val="22"/>
          <w:szCs w:val="22"/>
          <w:u w:val="single"/>
          <w:lang w:val="sk-SK"/>
        </w:rPr>
        <w:t>Celkové poruchy  a reakcie v miesta podania:</w:t>
      </w:r>
    </w:p>
    <w:p w14:paraId="4BCA0DDC" w14:textId="1C0B948F" w:rsidR="00F134F4" w:rsidRPr="00475027" w:rsidRDefault="00F134F4" w:rsidP="00FE4006">
      <w:pPr>
        <w:pStyle w:val="Body"/>
        <w:rPr>
          <w:sz w:val="22"/>
          <w:szCs w:val="22"/>
          <w:lang w:val="sk-SK"/>
        </w:rPr>
      </w:pPr>
    </w:p>
    <w:p w14:paraId="218288BD" w14:textId="77777777" w:rsidR="00474ACD" w:rsidRPr="00475027" w:rsidRDefault="00474ACD" w:rsidP="00FE4006">
      <w:pPr>
        <w:pStyle w:val="Body"/>
        <w:rPr>
          <w:sz w:val="22"/>
          <w:szCs w:val="22"/>
          <w:lang w:val="sk-SK"/>
        </w:rPr>
      </w:pPr>
      <w:r w:rsidRPr="00475027">
        <w:rPr>
          <w:sz w:val="22"/>
          <w:szCs w:val="22"/>
          <w:lang w:val="sk-SK"/>
        </w:rPr>
        <w:t>Časté: chrípke podobné ochorenie, reakcia v mieste vpichu (bolesť, začervenanie, modriny atď.),</w:t>
      </w:r>
    </w:p>
    <w:p w14:paraId="27C49001" w14:textId="77777777" w:rsidR="00474ACD" w:rsidRPr="00475027" w:rsidRDefault="00474ACD" w:rsidP="00FE4006">
      <w:pPr>
        <w:pStyle w:val="Body"/>
        <w:rPr>
          <w:sz w:val="22"/>
          <w:szCs w:val="22"/>
          <w:lang w:val="sk-SK"/>
        </w:rPr>
      </w:pPr>
      <w:r w:rsidRPr="00475027">
        <w:rPr>
          <w:sz w:val="22"/>
          <w:szCs w:val="22"/>
          <w:lang w:val="sk-SK"/>
        </w:rPr>
        <w:t>poruchy chôdze, únava</w:t>
      </w:r>
    </w:p>
    <w:p w14:paraId="3AD54BEF" w14:textId="77777777" w:rsidR="00474ACD" w:rsidRPr="00475027" w:rsidRDefault="00474ACD" w:rsidP="00FE4006">
      <w:pPr>
        <w:pStyle w:val="Body"/>
        <w:rPr>
          <w:sz w:val="22"/>
          <w:szCs w:val="22"/>
          <w:lang w:val="sk-SK"/>
        </w:rPr>
      </w:pPr>
      <w:r w:rsidRPr="00475027">
        <w:rPr>
          <w:sz w:val="22"/>
          <w:szCs w:val="22"/>
          <w:lang w:val="sk-SK"/>
        </w:rPr>
        <w:t>Menej časté: asténia</w:t>
      </w:r>
    </w:p>
    <w:p w14:paraId="23CED3F0" w14:textId="77777777" w:rsidR="00F134F4" w:rsidRPr="00475027" w:rsidRDefault="00F134F4" w:rsidP="00FE4006">
      <w:pPr>
        <w:rPr>
          <w:rFonts w:ascii="Times New Roman" w:hAnsi="Times New Roman" w:cs="Times New Roman"/>
          <w:i/>
          <w:sz w:val="22"/>
          <w:szCs w:val="22"/>
          <w:u w:val="single"/>
          <w:lang w:val="sk-SK"/>
        </w:rPr>
      </w:pPr>
    </w:p>
    <w:p w14:paraId="50A555EF" w14:textId="77777777" w:rsidR="00F134F4" w:rsidRPr="00475027" w:rsidRDefault="00F134F4" w:rsidP="00FE4006">
      <w:pPr>
        <w:rPr>
          <w:rFonts w:ascii="Times New Roman" w:hAnsi="Times New Roman" w:cs="Times New Roman"/>
          <w:sz w:val="22"/>
          <w:szCs w:val="22"/>
          <w:u w:val="single"/>
          <w:lang w:val="sk-SK"/>
        </w:rPr>
      </w:pPr>
      <w:r w:rsidRPr="00475027">
        <w:rPr>
          <w:rFonts w:ascii="Times New Roman" w:hAnsi="Times New Roman" w:cs="Times New Roman"/>
          <w:sz w:val="22"/>
          <w:szCs w:val="22"/>
          <w:u w:val="single"/>
          <w:lang w:val="sk-SK"/>
        </w:rPr>
        <w:t>Úrazy, otravy a komplikácie liečebného postupu</w:t>
      </w:r>
    </w:p>
    <w:p w14:paraId="71DE910E" w14:textId="034EF983" w:rsidR="00F134F4" w:rsidRPr="00475027" w:rsidRDefault="00F134F4" w:rsidP="00FE4006">
      <w:pPr>
        <w:pStyle w:val="Body"/>
        <w:rPr>
          <w:sz w:val="22"/>
          <w:szCs w:val="22"/>
          <w:lang w:val="sk-SK"/>
        </w:rPr>
      </w:pPr>
      <w:r w:rsidRPr="00475027">
        <w:rPr>
          <w:sz w:val="22"/>
          <w:szCs w:val="22"/>
          <w:lang w:val="sk-SK"/>
        </w:rPr>
        <w:t xml:space="preserve">Časté: </w:t>
      </w:r>
      <w:r w:rsidR="002C7C03" w:rsidRPr="00475027">
        <w:rPr>
          <w:sz w:val="22"/>
          <w:szCs w:val="22"/>
          <w:lang w:val="sk-SK"/>
        </w:rPr>
        <w:t>pády</w:t>
      </w:r>
    </w:p>
    <w:p w14:paraId="6F3D1443" w14:textId="77777777" w:rsidR="00F134F4" w:rsidRPr="00475027" w:rsidRDefault="00F134F4" w:rsidP="00FE4006">
      <w:pPr>
        <w:pStyle w:val="Zkladntext"/>
        <w:spacing w:line="240" w:lineRule="atLeast"/>
        <w:rPr>
          <w:rFonts w:ascii="Times New Roman" w:hAnsi="Times New Roman" w:cs="Times New Roman"/>
          <w:b w:val="0"/>
          <w:i w:val="0"/>
          <w:sz w:val="22"/>
          <w:szCs w:val="22"/>
          <w:lang w:val="sk-SK"/>
        </w:rPr>
      </w:pPr>
    </w:p>
    <w:p w14:paraId="153F37D8" w14:textId="77777777" w:rsidR="00F134F4" w:rsidRPr="00475027" w:rsidRDefault="00F134F4" w:rsidP="00FE4006">
      <w:pPr>
        <w:jc w:val="both"/>
        <w:rPr>
          <w:rFonts w:ascii="Times New Roman" w:hAnsi="Times New Roman" w:cs="Times New Roman"/>
          <w:b/>
          <w:sz w:val="22"/>
          <w:szCs w:val="22"/>
          <w:lang w:val="sk-SK"/>
        </w:rPr>
      </w:pPr>
      <w:r w:rsidRPr="00475027">
        <w:rPr>
          <w:rFonts w:ascii="Times New Roman" w:hAnsi="Times New Roman" w:cs="Times New Roman"/>
          <w:b/>
          <w:sz w:val="22"/>
          <w:szCs w:val="22"/>
          <w:lang w:val="sk-SK"/>
        </w:rPr>
        <w:t>Nežiaduce účinky pri liečbe torticollis:</w:t>
      </w:r>
    </w:p>
    <w:p w14:paraId="354E035B" w14:textId="77777777" w:rsidR="00F134F4" w:rsidRPr="00475027" w:rsidRDefault="00F134F4" w:rsidP="00FE4006">
      <w:pPr>
        <w:spacing w:line="240" w:lineRule="atLeast"/>
        <w:rPr>
          <w:rFonts w:ascii="Times New Roman" w:hAnsi="Times New Roman" w:cs="Times New Roman"/>
          <w:sz w:val="22"/>
          <w:szCs w:val="22"/>
          <w:lang w:val="sk-SK"/>
        </w:rPr>
      </w:pPr>
    </w:p>
    <w:p w14:paraId="0CE38225" w14:textId="77777777" w:rsidR="00F134F4" w:rsidRPr="00475027" w:rsidRDefault="00F134F4" w:rsidP="00FE4006">
      <w:pPr>
        <w:spacing w:line="240" w:lineRule="atLeast"/>
        <w:rPr>
          <w:rFonts w:ascii="Times New Roman" w:hAnsi="Times New Roman" w:cs="Times New Roman"/>
          <w:bCs/>
          <w:sz w:val="22"/>
          <w:szCs w:val="22"/>
          <w:lang w:val="sk-SK"/>
        </w:rPr>
      </w:pPr>
      <w:r w:rsidRPr="00475027">
        <w:rPr>
          <w:rFonts w:ascii="Times New Roman" w:hAnsi="Times New Roman" w:cs="Times New Roman"/>
          <w:sz w:val="22"/>
          <w:szCs w:val="22"/>
          <w:lang w:val="sk-SK"/>
        </w:rPr>
        <w:t xml:space="preserve">Nasledujúce nežiaduce účinky, boli hlásené u pacientov liečených </w:t>
      </w:r>
      <w:r w:rsidRPr="00475027">
        <w:rPr>
          <w:rFonts w:ascii="Times New Roman" w:hAnsi="Times New Roman" w:cs="Times New Roman"/>
          <w:color w:val="000000"/>
          <w:spacing w:val="-1"/>
          <w:sz w:val="22"/>
          <w:szCs w:val="22"/>
          <w:lang w:val="sk-SK"/>
        </w:rPr>
        <w:t>Dysportom 500 U</w:t>
      </w:r>
      <w:r w:rsidRPr="00475027">
        <w:rPr>
          <w:rFonts w:ascii="Times New Roman" w:hAnsi="Times New Roman" w:cs="Times New Roman"/>
          <w:b/>
          <w:sz w:val="22"/>
          <w:szCs w:val="22"/>
          <w:lang w:val="sk-SK"/>
        </w:rPr>
        <w:t xml:space="preserve"> </w:t>
      </w:r>
      <w:r w:rsidRPr="00475027">
        <w:rPr>
          <w:rFonts w:ascii="Times New Roman" w:hAnsi="Times New Roman" w:cs="Times New Roman"/>
          <w:sz w:val="22"/>
          <w:szCs w:val="22"/>
          <w:lang w:val="sk-SK"/>
        </w:rPr>
        <w:t>pri liečbe torticollis</w:t>
      </w:r>
      <w:r w:rsidRPr="00475027">
        <w:rPr>
          <w:rFonts w:ascii="Times New Roman" w:hAnsi="Times New Roman" w:cs="Times New Roman"/>
          <w:bCs/>
          <w:sz w:val="22"/>
          <w:szCs w:val="22"/>
          <w:lang w:val="sk-SK"/>
        </w:rPr>
        <w:t>:</w:t>
      </w:r>
    </w:p>
    <w:p w14:paraId="0F046EE1" w14:textId="77777777" w:rsidR="00F134F4" w:rsidRPr="00475027" w:rsidRDefault="00F134F4" w:rsidP="00FE4006">
      <w:pPr>
        <w:rPr>
          <w:rFonts w:ascii="Times New Roman" w:hAnsi="Times New Roman" w:cs="Times New Roman"/>
          <w:sz w:val="22"/>
          <w:szCs w:val="22"/>
          <w:lang w:val="sk-SK"/>
        </w:rPr>
      </w:pPr>
    </w:p>
    <w:p w14:paraId="381E7260" w14:textId="77777777" w:rsidR="00F134F4" w:rsidRPr="00475027" w:rsidRDefault="00F134F4" w:rsidP="00FE4006">
      <w:pPr>
        <w:rPr>
          <w:rFonts w:ascii="Times New Roman" w:hAnsi="Times New Roman" w:cs="Times New Roman"/>
          <w:noProof/>
          <w:sz w:val="22"/>
          <w:szCs w:val="22"/>
          <w:u w:val="single"/>
          <w:lang w:val="sk-SK"/>
        </w:rPr>
      </w:pPr>
      <w:r w:rsidRPr="00475027">
        <w:rPr>
          <w:rFonts w:ascii="Times New Roman" w:hAnsi="Times New Roman" w:cs="Times New Roman"/>
          <w:noProof/>
          <w:sz w:val="22"/>
          <w:szCs w:val="22"/>
          <w:u w:val="single"/>
          <w:lang w:val="sk-SK"/>
        </w:rPr>
        <w:t>Poruchy nervového systému:</w:t>
      </w:r>
    </w:p>
    <w:p w14:paraId="03168F0A" w14:textId="77777777" w:rsidR="00F134F4" w:rsidRPr="00475027" w:rsidRDefault="00F134F4" w:rsidP="00FE4006">
      <w:pPr>
        <w:rPr>
          <w:rFonts w:ascii="Times New Roman" w:hAnsi="Times New Roman" w:cs="Times New Roman"/>
          <w:sz w:val="22"/>
          <w:szCs w:val="22"/>
          <w:lang w:val="sk-SK"/>
        </w:rPr>
      </w:pPr>
      <w:r w:rsidRPr="00475027">
        <w:rPr>
          <w:rFonts w:ascii="Times New Roman" w:hAnsi="Times New Roman" w:cs="Times New Roman"/>
          <w:sz w:val="22"/>
          <w:szCs w:val="22"/>
          <w:lang w:val="sk-SK"/>
        </w:rPr>
        <w:t>Časté: bolesť hlavy, závrat, faciálna paréza</w:t>
      </w:r>
    </w:p>
    <w:p w14:paraId="137A3506" w14:textId="77777777" w:rsidR="00F134F4" w:rsidRPr="00475027" w:rsidRDefault="00F134F4" w:rsidP="00FE4006">
      <w:pPr>
        <w:rPr>
          <w:rFonts w:ascii="Times New Roman" w:hAnsi="Times New Roman" w:cs="Times New Roman"/>
          <w:sz w:val="22"/>
          <w:szCs w:val="22"/>
          <w:u w:val="single"/>
          <w:lang w:val="sk-SK"/>
        </w:rPr>
      </w:pPr>
    </w:p>
    <w:p w14:paraId="5250D81C" w14:textId="77777777" w:rsidR="00F134F4" w:rsidRPr="00475027" w:rsidRDefault="00F134F4" w:rsidP="00FE4006">
      <w:pPr>
        <w:rPr>
          <w:rFonts w:ascii="Times New Roman" w:hAnsi="Times New Roman" w:cs="Times New Roman"/>
          <w:sz w:val="22"/>
          <w:szCs w:val="22"/>
          <w:u w:val="single"/>
          <w:lang w:val="sk-SK"/>
        </w:rPr>
      </w:pPr>
      <w:r w:rsidRPr="00475027">
        <w:rPr>
          <w:rFonts w:ascii="Times New Roman" w:hAnsi="Times New Roman" w:cs="Times New Roman"/>
          <w:sz w:val="22"/>
          <w:szCs w:val="22"/>
          <w:u w:val="single"/>
          <w:lang w:val="sk-SK"/>
        </w:rPr>
        <w:t>Poruchy oka</w:t>
      </w:r>
    </w:p>
    <w:p w14:paraId="027F8C1B" w14:textId="77777777" w:rsidR="00F134F4" w:rsidRPr="00475027" w:rsidRDefault="00F134F4" w:rsidP="00FE4006">
      <w:pPr>
        <w:rPr>
          <w:rFonts w:ascii="Times New Roman" w:hAnsi="Times New Roman" w:cs="Times New Roman"/>
          <w:sz w:val="22"/>
          <w:szCs w:val="22"/>
          <w:u w:val="single"/>
          <w:lang w:val="sk-SK"/>
        </w:rPr>
      </w:pPr>
      <w:r w:rsidRPr="00475027">
        <w:rPr>
          <w:rFonts w:ascii="Times New Roman" w:hAnsi="Times New Roman" w:cs="Times New Roman"/>
          <w:sz w:val="22"/>
          <w:szCs w:val="22"/>
          <w:lang w:val="sk-SK"/>
        </w:rPr>
        <w:t>Časté: zahmlené videnie, zníženie zrakovej ostrosti</w:t>
      </w:r>
    </w:p>
    <w:p w14:paraId="722EAACB" w14:textId="77777777" w:rsidR="00F134F4" w:rsidRPr="00475027" w:rsidRDefault="00F134F4" w:rsidP="00FE4006">
      <w:pPr>
        <w:rPr>
          <w:rFonts w:ascii="Times New Roman" w:hAnsi="Times New Roman" w:cs="Times New Roman"/>
          <w:sz w:val="22"/>
          <w:szCs w:val="22"/>
          <w:lang w:val="sk-SK"/>
        </w:rPr>
      </w:pPr>
      <w:r w:rsidRPr="00475027">
        <w:rPr>
          <w:rFonts w:ascii="Times New Roman" w:hAnsi="Times New Roman" w:cs="Times New Roman"/>
          <w:sz w:val="22"/>
          <w:szCs w:val="22"/>
          <w:lang w:val="sk-SK"/>
        </w:rPr>
        <w:t>Menej časté: diplopia, ptóza</w:t>
      </w:r>
    </w:p>
    <w:p w14:paraId="035B166D" w14:textId="77777777" w:rsidR="00F134F4" w:rsidRPr="00475027" w:rsidRDefault="00F134F4" w:rsidP="00FE4006">
      <w:pPr>
        <w:rPr>
          <w:rFonts w:ascii="Times New Roman" w:hAnsi="Times New Roman" w:cs="Times New Roman"/>
          <w:sz w:val="22"/>
          <w:szCs w:val="22"/>
          <w:lang w:val="sk-SK"/>
        </w:rPr>
      </w:pPr>
    </w:p>
    <w:p w14:paraId="5878148F" w14:textId="77777777" w:rsidR="00F134F4" w:rsidRPr="00475027" w:rsidRDefault="00F134F4" w:rsidP="00FE4006">
      <w:pPr>
        <w:rPr>
          <w:rFonts w:ascii="Times New Roman" w:hAnsi="Times New Roman" w:cs="Times New Roman"/>
          <w:noProof/>
          <w:sz w:val="22"/>
          <w:szCs w:val="22"/>
          <w:u w:val="single"/>
          <w:lang w:val="sk-SK"/>
        </w:rPr>
      </w:pPr>
      <w:r w:rsidRPr="00475027">
        <w:rPr>
          <w:rFonts w:ascii="Times New Roman" w:hAnsi="Times New Roman" w:cs="Times New Roman"/>
          <w:noProof/>
          <w:sz w:val="22"/>
          <w:szCs w:val="22"/>
          <w:u w:val="single"/>
          <w:lang w:val="sk-SK"/>
        </w:rPr>
        <w:t>Poruchy dýchacej sústavy, hrudníka a mediastína</w:t>
      </w:r>
    </w:p>
    <w:p w14:paraId="11B99E4C" w14:textId="77777777" w:rsidR="00F134F4" w:rsidRPr="00475027" w:rsidRDefault="00F134F4" w:rsidP="00FE4006">
      <w:pPr>
        <w:rPr>
          <w:rFonts w:ascii="Times New Roman" w:hAnsi="Times New Roman" w:cs="Times New Roman"/>
          <w:noProof/>
          <w:sz w:val="22"/>
          <w:szCs w:val="22"/>
          <w:lang w:val="sk-SK"/>
        </w:rPr>
      </w:pPr>
      <w:r w:rsidRPr="00475027">
        <w:rPr>
          <w:rFonts w:ascii="Times New Roman" w:hAnsi="Times New Roman" w:cs="Times New Roman"/>
          <w:noProof/>
          <w:sz w:val="22"/>
          <w:szCs w:val="22"/>
          <w:lang w:val="sk-SK"/>
        </w:rPr>
        <w:t>Časté: dysfónia, dýchavičnosť</w:t>
      </w:r>
    </w:p>
    <w:p w14:paraId="18FA961D" w14:textId="77777777" w:rsidR="00F134F4" w:rsidRPr="00475027" w:rsidRDefault="00F134F4" w:rsidP="00FE4006">
      <w:pPr>
        <w:rPr>
          <w:rFonts w:ascii="Times New Roman" w:hAnsi="Times New Roman" w:cs="Times New Roman"/>
          <w:sz w:val="22"/>
          <w:szCs w:val="22"/>
          <w:lang w:val="sk-SK"/>
        </w:rPr>
      </w:pPr>
      <w:r w:rsidRPr="00475027">
        <w:rPr>
          <w:rFonts w:ascii="Times New Roman" w:hAnsi="Times New Roman" w:cs="Times New Roman"/>
          <w:sz w:val="22"/>
          <w:szCs w:val="22"/>
          <w:lang w:val="sk-SK"/>
        </w:rPr>
        <w:t>Zriedkavé: aspirácia</w:t>
      </w:r>
    </w:p>
    <w:p w14:paraId="605D9B78" w14:textId="77777777" w:rsidR="00F134F4" w:rsidRPr="00475027" w:rsidRDefault="00F134F4" w:rsidP="00FE4006">
      <w:pPr>
        <w:rPr>
          <w:rFonts w:ascii="Times New Roman" w:hAnsi="Times New Roman" w:cs="Times New Roman"/>
          <w:sz w:val="22"/>
          <w:szCs w:val="22"/>
          <w:lang w:val="sk-SK"/>
        </w:rPr>
      </w:pPr>
    </w:p>
    <w:p w14:paraId="022228A2" w14:textId="77777777" w:rsidR="00F134F4" w:rsidRPr="00475027" w:rsidRDefault="00F134F4" w:rsidP="00FE4006">
      <w:pPr>
        <w:rPr>
          <w:rFonts w:ascii="Times New Roman" w:hAnsi="Times New Roman" w:cs="Times New Roman"/>
          <w:noProof/>
          <w:sz w:val="22"/>
          <w:szCs w:val="22"/>
          <w:u w:val="single"/>
          <w:lang w:val="sk-SK"/>
        </w:rPr>
      </w:pPr>
      <w:r w:rsidRPr="00475027">
        <w:rPr>
          <w:rFonts w:ascii="Times New Roman" w:hAnsi="Times New Roman" w:cs="Times New Roman"/>
          <w:noProof/>
          <w:sz w:val="22"/>
          <w:szCs w:val="22"/>
          <w:u w:val="single"/>
          <w:lang w:val="sk-SK"/>
        </w:rPr>
        <w:t>Poruchy gastrointestinálneho traktu:</w:t>
      </w:r>
    </w:p>
    <w:p w14:paraId="737D80C0" w14:textId="77777777" w:rsidR="00F134F4" w:rsidRPr="00475027" w:rsidRDefault="00F134F4" w:rsidP="00FE4006">
      <w:pPr>
        <w:rPr>
          <w:rFonts w:ascii="Times New Roman" w:hAnsi="Times New Roman" w:cs="Times New Roman"/>
          <w:sz w:val="22"/>
          <w:szCs w:val="22"/>
          <w:lang w:val="sk-SK"/>
        </w:rPr>
      </w:pPr>
      <w:r w:rsidRPr="00475027">
        <w:rPr>
          <w:rFonts w:ascii="Times New Roman" w:hAnsi="Times New Roman" w:cs="Times New Roman"/>
          <w:sz w:val="22"/>
          <w:szCs w:val="22"/>
          <w:lang w:val="sk-SK"/>
        </w:rPr>
        <w:t>Veľmi časté: dysfágia, sucho v ústach</w:t>
      </w:r>
    </w:p>
    <w:p w14:paraId="30C144E8" w14:textId="77777777" w:rsidR="00F134F4" w:rsidRPr="00475027" w:rsidRDefault="00F134F4" w:rsidP="00FE4006">
      <w:pPr>
        <w:rPr>
          <w:rFonts w:ascii="Times New Roman" w:hAnsi="Times New Roman" w:cs="Times New Roman"/>
          <w:sz w:val="22"/>
          <w:szCs w:val="22"/>
          <w:lang w:val="sk-SK"/>
        </w:rPr>
      </w:pPr>
      <w:r w:rsidRPr="00475027">
        <w:rPr>
          <w:rFonts w:ascii="Times New Roman" w:hAnsi="Times New Roman" w:cs="Times New Roman"/>
          <w:sz w:val="22"/>
          <w:szCs w:val="22"/>
          <w:lang w:val="sk-SK"/>
        </w:rPr>
        <w:t>Menej časté: nevoľnosť</w:t>
      </w:r>
    </w:p>
    <w:p w14:paraId="017D4C21" w14:textId="77777777" w:rsidR="00F134F4" w:rsidRPr="00475027" w:rsidRDefault="00F134F4" w:rsidP="00FE4006">
      <w:pPr>
        <w:rPr>
          <w:rFonts w:ascii="Times New Roman" w:hAnsi="Times New Roman" w:cs="Times New Roman"/>
          <w:sz w:val="22"/>
          <w:szCs w:val="22"/>
          <w:lang w:val="sk-SK"/>
        </w:rPr>
      </w:pPr>
    </w:p>
    <w:p w14:paraId="3EDE4B48" w14:textId="77777777" w:rsidR="00F134F4" w:rsidRPr="00475027" w:rsidRDefault="00F134F4" w:rsidP="00FE4006">
      <w:pPr>
        <w:rPr>
          <w:rFonts w:ascii="Times New Roman" w:hAnsi="Times New Roman" w:cs="Times New Roman"/>
          <w:i/>
          <w:sz w:val="22"/>
          <w:szCs w:val="22"/>
          <w:u w:val="single"/>
          <w:lang w:val="sk-SK"/>
        </w:rPr>
      </w:pPr>
      <w:r w:rsidRPr="00475027">
        <w:rPr>
          <w:rFonts w:ascii="Times New Roman" w:hAnsi="Times New Roman" w:cs="Times New Roman"/>
          <w:sz w:val="22"/>
          <w:szCs w:val="22"/>
          <w:u w:val="single"/>
          <w:lang w:val="sk-SK"/>
        </w:rPr>
        <w:t>Poruchy kostrovej a svalovej sústavy a spojivového tkaniva</w:t>
      </w:r>
    </w:p>
    <w:p w14:paraId="70FAD2F6" w14:textId="77777777" w:rsidR="00F134F4" w:rsidRPr="00475027" w:rsidRDefault="00F134F4" w:rsidP="00FE4006">
      <w:pPr>
        <w:pStyle w:val="Body"/>
        <w:rPr>
          <w:sz w:val="22"/>
          <w:szCs w:val="22"/>
          <w:lang w:val="sk-SK"/>
        </w:rPr>
      </w:pPr>
      <w:r w:rsidRPr="00475027">
        <w:rPr>
          <w:sz w:val="22"/>
          <w:szCs w:val="22"/>
          <w:lang w:val="sk-SK"/>
        </w:rPr>
        <w:t>Veľmi časté: svalová slabosť</w:t>
      </w:r>
    </w:p>
    <w:p w14:paraId="617C0972" w14:textId="77777777" w:rsidR="00F134F4" w:rsidRPr="00475027" w:rsidRDefault="00F134F4" w:rsidP="00FE4006">
      <w:pPr>
        <w:pStyle w:val="Body"/>
        <w:rPr>
          <w:sz w:val="22"/>
          <w:szCs w:val="22"/>
          <w:lang w:val="sk-SK"/>
        </w:rPr>
      </w:pPr>
      <w:r w:rsidRPr="00475027">
        <w:rPr>
          <w:sz w:val="22"/>
          <w:szCs w:val="22"/>
          <w:lang w:val="sk-SK"/>
        </w:rPr>
        <w:t>Časté: bolesť krku, bolesť kostrovej a svalovej sústavy, myalgia, bolesť rúk a prstov, stuhnutosť kostrovej a svalovej sústavy</w:t>
      </w:r>
    </w:p>
    <w:p w14:paraId="6E8351C6" w14:textId="77777777" w:rsidR="00F134F4" w:rsidRPr="00475027" w:rsidRDefault="00F134F4" w:rsidP="00FE4006">
      <w:pPr>
        <w:pStyle w:val="Body"/>
        <w:rPr>
          <w:sz w:val="22"/>
          <w:szCs w:val="22"/>
          <w:lang w:val="sk-SK"/>
        </w:rPr>
      </w:pPr>
      <w:r w:rsidRPr="00475027">
        <w:rPr>
          <w:sz w:val="22"/>
          <w:szCs w:val="22"/>
          <w:lang w:val="sk-SK"/>
        </w:rPr>
        <w:t>Zriedkavé: svalová atrofia, porucha čeľuste</w:t>
      </w:r>
    </w:p>
    <w:p w14:paraId="3EE50055" w14:textId="77777777" w:rsidR="00F134F4" w:rsidRPr="00475027" w:rsidRDefault="00F134F4" w:rsidP="00FE4006">
      <w:pPr>
        <w:rPr>
          <w:rFonts w:ascii="Times New Roman" w:hAnsi="Times New Roman" w:cs="Times New Roman"/>
          <w:sz w:val="22"/>
          <w:szCs w:val="22"/>
          <w:lang w:val="sk-SK"/>
        </w:rPr>
      </w:pPr>
    </w:p>
    <w:p w14:paraId="724A89D4" w14:textId="77777777" w:rsidR="00F134F4" w:rsidRPr="00475027" w:rsidRDefault="00F134F4" w:rsidP="00FE4006">
      <w:pPr>
        <w:pStyle w:val="Text"/>
        <w:ind w:left="0"/>
        <w:jc w:val="left"/>
        <w:rPr>
          <w:rFonts w:ascii="Times New Roman" w:hAnsi="Times New Roman"/>
          <w:sz w:val="22"/>
          <w:szCs w:val="22"/>
          <w:lang w:val="sk-SK"/>
        </w:rPr>
      </w:pPr>
      <w:r w:rsidRPr="00475027">
        <w:rPr>
          <w:rFonts w:ascii="Times New Roman" w:hAnsi="Times New Roman"/>
          <w:sz w:val="22"/>
          <w:szCs w:val="22"/>
          <w:lang w:val="sk-SK"/>
        </w:rPr>
        <w:t>Dysfágia bola spojená s dávkovaním a vyskytla sa najčastejšie po injekcii do svalu kývača hlavy. Je potrebné dodržovať miernu diétu, pokiaľ nepominú príznaky.</w:t>
      </w:r>
    </w:p>
    <w:p w14:paraId="309678C3" w14:textId="77777777" w:rsidR="00F134F4" w:rsidRPr="00475027" w:rsidRDefault="00F134F4" w:rsidP="00FE4006">
      <w:pPr>
        <w:jc w:val="both"/>
        <w:rPr>
          <w:rFonts w:ascii="Times New Roman" w:hAnsi="Times New Roman" w:cs="Times New Roman"/>
          <w:b/>
          <w:sz w:val="22"/>
          <w:szCs w:val="22"/>
          <w:lang w:val="sk-SK"/>
        </w:rPr>
      </w:pPr>
    </w:p>
    <w:p w14:paraId="17A3964D" w14:textId="77777777" w:rsidR="00F134F4" w:rsidRPr="00475027" w:rsidRDefault="00F134F4" w:rsidP="00FE4006">
      <w:pPr>
        <w:jc w:val="both"/>
        <w:rPr>
          <w:rFonts w:ascii="Times New Roman" w:hAnsi="Times New Roman" w:cs="Times New Roman"/>
          <w:b/>
          <w:sz w:val="22"/>
          <w:szCs w:val="22"/>
          <w:lang w:val="sk-SK"/>
        </w:rPr>
      </w:pPr>
      <w:r w:rsidRPr="00475027">
        <w:rPr>
          <w:rFonts w:ascii="Times New Roman" w:hAnsi="Times New Roman" w:cs="Times New Roman"/>
          <w:b/>
          <w:sz w:val="22"/>
          <w:szCs w:val="22"/>
          <w:lang w:val="sk-SK"/>
        </w:rPr>
        <w:t>Nežiaduce účinky pri liečbe blefarospazmu a hemifaciálneho spazmu:</w:t>
      </w:r>
    </w:p>
    <w:p w14:paraId="79C9CA0E" w14:textId="77777777" w:rsidR="00F134F4" w:rsidRPr="00475027" w:rsidRDefault="00F134F4" w:rsidP="00FE4006">
      <w:pPr>
        <w:spacing w:line="240" w:lineRule="atLeast"/>
        <w:rPr>
          <w:rFonts w:ascii="Times New Roman" w:hAnsi="Times New Roman" w:cs="Times New Roman"/>
          <w:sz w:val="22"/>
          <w:szCs w:val="22"/>
          <w:lang w:val="sk-SK"/>
        </w:rPr>
      </w:pPr>
    </w:p>
    <w:p w14:paraId="4D59833B" w14:textId="77777777" w:rsidR="00F134F4" w:rsidRPr="00475027" w:rsidRDefault="00F134F4" w:rsidP="00FE4006">
      <w:pPr>
        <w:spacing w:line="240" w:lineRule="atLeast"/>
        <w:rPr>
          <w:rFonts w:ascii="Times New Roman" w:hAnsi="Times New Roman" w:cs="Times New Roman"/>
          <w:bCs/>
          <w:sz w:val="22"/>
          <w:szCs w:val="22"/>
          <w:lang w:val="sk-SK"/>
        </w:rPr>
      </w:pPr>
      <w:r w:rsidRPr="00475027">
        <w:rPr>
          <w:rFonts w:ascii="Times New Roman" w:hAnsi="Times New Roman" w:cs="Times New Roman"/>
          <w:sz w:val="22"/>
          <w:szCs w:val="22"/>
          <w:lang w:val="sk-SK"/>
        </w:rPr>
        <w:t xml:space="preserve">Nasledujúce nežiaduce účinky, boli hlásené u pacientov liečených </w:t>
      </w:r>
      <w:r w:rsidRPr="00475027">
        <w:rPr>
          <w:rFonts w:ascii="Times New Roman" w:hAnsi="Times New Roman" w:cs="Times New Roman"/>
          <w:color w:val="000000"/>
          <w:spacing w:val="-1"/>
          <w:sz w:val="22"/>
          <w:szCs w:val="22"/>
          <w:lang w:val="sk-SK"/>
        </w:rPr>
        <w:t>Dysportom</w:t>
      </w:r>
      <w:r w:rsidRPr="00475027">
        <w:rPr>
          <w:rFonts w:ascii="Times New Roman" w:hAnsi="Times New Roman" w:cs="Times New Roman"/>
          <w:sz w:val="22"/>
          <w:szCs w:val="22"/>
          <w:lang w:val="sk-SK"/>
        </w:rPr>
        <w:t xml:space="preserve"> 500 U</w:t>
      </w:r>
      <w:r w:rsidRPr="00475027">
        <w:rPr>
          <w:rFonts w:ascii="Times New Roman" w:hAnsi="Times New Roman" w:cs="Times New Roman"/>
          <w:b/>
          <w:sz w:val="22"/>
          <w:szCs w:val="22"/>
          <w:lang w:val="sk-SK"/>
        </w:rPr>
        <w:t xml:space="preserve"> </w:t>
      </w:r>
      <w:r w:rsidRPr="00475027">
        <w:rPr>
          <w:rFonts w:ascii="Times New Roman" w:hAnsi="Times New Roman" w:cs="Times New Roman"/>
          <w:sz w:val="22"/>
          <w:szCs w:val="22"/>
          <w:lang w:val="sk-SK"/>
        </w:rPr>
        <w:t>pri liečbe blefarospazmu a hemifaciálneho spazmu</w:t>
      </w:r>
      <w:r w:rsidRPr="00475027">
        <w:rPr>
          <w:rFonts w:ascii="Times New Roman" w:hAnsi="Times New Roman" w:cs="Times New Roman"/>
          <w:bCs/>
          <w:sz w:val="22"/>
          <w:szCs w:val="22"/>
          <w:lang w:val="sk-SK"/>
        </w:rPr>
        <w:t>:</w:t>
      </w:r>
    </w:p>
    <w:p w14:paraId="7E0C49EB" w14:textId="77777777" w:rsidR="00F134F4" w:rsidRPr="00475027" w:rsidRDefault="00F134F4" w:rsidP="00FE4006">
      <w:pPr>
        <w:rPr>
          <w:rFonts w:ascii="Times New Roman" w:hAnsi="Times New Roman" w:cs="Times New Roman"/>
          <w:sz w:val="22"/>
          <w:szCs w:val="22"/>
          <w:lang w:val="sk-SK"/>
        </w:rPr>
      </w:pPr>
    </w:p>
    <w:p w14:paraId="387CB442" w14:textId="77777777" w:rsidR="00F134F4" w:rsidRPr="00475027" w:rsidRDefault="00F134F4" w:rsidP="00FE4006">
      <w:pPr>
        <w:rPr>
          <w:rFonts w:ascii="Times New Roman" w:hAnsi="Times New Roman" w:cs="Times New Roman"/>
          <w:noProof/>
          <w:sz w:val="22"/>
          <w:szCs w:val="22"/>
          <w:u w:val="single"/>
          <w:lang w:val="sk-SK"/>
        </w:rPr>
      </w:pPr>
      <w:r w:rsidRPr="00475027">
        <w:rPr>
          <w:rFonts w:ascii="Times New Roman" w:hAnsi="Times New Roman" w:cs="Times New Roman"/>
          <w:noProof/>
          <w:sz w:val="22"/>
          <w:szCs w:val="22"/>
          <w:u w:val="single"/>
          <w:lang w:val="sk-SK"/>
        </w:rPr>
        <w:t>Poruchy nervového systému</w:t>
      </w:r>
    </w:p>
    <w:p w14:paraId="231C136E" w14:textId="77777777" w:rsidR="00F134F4" w:rsidRPr="00475027" w:rsidRDefault="00F134F4" w:rsidP="00FE4006">
      <w:pPr>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Časté: faciálna paréza </w:t>
      </w:r>
    </w:p>
    <w:p w14:paraId="0722396F" w14:textId="77777777" w:rsidR="00F134F4" w:rsidRPr="00475027" w:rsidRDefault="00F134F4" w:rsidP="00FE4006">
      <w:pPr>
        <w:rPr>
          <w:rFonts w:ascii="Times New Roman" w:hAnsi="Times New Roman" w:cs="Times New Roman"/>
          <w:sz w:val="22"/>
          <w:szCs w:val="22"/>
          <w:lang w:val="sk-SK"/>
        </w:rPr>
      </w:pPr>
      <w:r w:rsidRPr="00475027">
        <w:rPr>
          <w:rFonts w:ascii="Times New Roman" w:hAnsi="Times New Roman" w:cs="Times New Roman"/>
          <w:sz w:val="22"/>
          <w:szCs w:val="22"/>
          <w:lang w:val="sk-SK"/>
        </w:rPr>
        <w:t>Menej časté: paralýza VII. nervu</w:t>
      </w:r>
    </w:p>
    <w:p w14:paraId="4701FBF7" w14:textId="77777777" w:rsidR="00F134F4" w:rsidRPr="00475027" w:rsidRDefault="00F134F4" w:rsidP="00FE4006">
      <w:pPr>
        <w:rPr>
          <w:rFonts w:ascii="Times New Roman" w:hAnsi="Times New Roman" w:cs="Times New Roman"/>
          <w:sz w:val="22"/>
          <w:szCs w:val="22"/>
          <w:u w:val="single"/>
          <w:lang w:val="sk-SK"/>
        </w:rPr>
      </w:pPr>
    </w:p>
    <w:p w14:paraId="322C05C1" w14:textId="77777777" w:rsidR="00F134F4" w:rsidRPr="00475027" w:rsidRDefault="00F134F4" w:rsidP="00FE4006">
      <w:pPr>
        <w:rPr>
          <w:rFonts w:ascii="Times New Roman" w:hAnsi="Times New Roman" w:cs="Times New Roman"/>
          <w:sz w:val="22"/>
          <w:szCs w:val="22"/>
          <w:u w:val="single"/>
          <w:lang w:val="sk-SK"/>
        </w:rPr>
      </w:pPr>
      <w:r w:rsidRPr="00475027">
        <w:rPr>
          <w:rFonts w:ascii="Times New Roman" w:hAnsi="Times New Roman" w:cs="Times New Roman"/>
          <w:sz w:val="22"/>
          <w:szCs w:val="22"/>
          <w:u w:val="single"/>
          <w:lang w:val="sk-SK"/>
        </w:rPr>
        <w:t>Poruchy oka</w:t>
      </w:r>
    </w:p>
    <w:p w14:paraId="5DE57A7A" w14:textId="77777777" w:rsidR="00F134F4" w:rsidRPr="00475027" w:rsidRDefault="00F134F4" w:rsidP="00FE4006">
      <w:pPr>
        <w:rPr>
          <w:rFonts w:ascii="Times New Roman" w:hAnsi="Times New Roman" w:cs="Times New Roman"/>
          <w:sz w:val="22"/>
          <w:szCs w:val="22"/>
          <w:lang w:val="sk-SK"/>
        </w:rPr>
      </w:pPr>
      <w:r w:rsidRPr="00475027">
        <w:rPr>
          <w:rFonts w:ascii="Times New Roman" w:hAnsi="Times New Roman" w:cs="Times New Roman"/>
          <w:sz w:val="22"/>
          <w:szCs w:val="22"/>
          <w:lang w:val="sk-SK"/>
        </w:rPr>
        <w:t>Veľmi časté: ptóza</w:t>
      </w:r>
    </w:p>
    <w:p w14:paraId="47989175" w14:textId="77777777" w:rsidR="00F134F4" w:rsidRPr="00475027" w:rsidRDefault="00F134F4" w:rsidP="00FE4006">
      <w:pPr>
        <w:rPr>
          <w:rFonts w:ascii="Times New Roman" w:hAnsi="Times New Roman" w:cs="Times New Roman"/>
          <w:sz w:val="22"/>
          <w:szCs w:val="22"/>
          <w:lang w:val="sk-SK"/>
        </w:rPr>
      </w:pPr>
      <w:r w:rsidRPr="00475027">
        <w:rPr>
          <w:rFonts w:ascii="Times New Roman" w:hAnsi="Times New Roman" w:cs="Times New Roman"/>
          <w:sz w:val="22"/>
          <w:szCs w:val="22"/>
          <w:lang w:val="sk-SK"/>
        </w:rPr>
        <w:t>Časté: diplopia, suché oko, zvýšené slzenie</w:t>
      </w:r>
    </w:p>
    <w:p w14:paraId="43110800" w14:textId="77777777" w:rsidR="00F134F4" w:rsidRPr="00475027" w:rsidRDefault="00F134F4" w:rsidP="00FE4006">
      <w:pPr>
        <w:rPr>
          <w:rFonts w:ascii="Times New Roman" w:hAnsi="Times New Roman" w:cs="Times New Roman"/>
          <w:sz w:val="22"/>
          <w:szCs w:val="22"/>
          <w:lang w:val="sk-SK"/>
        </w:rPr>
      </w:pPr>
      <w:r w:rsidRPr="00475027">
        <w:rPr>
          <w:rFonts w:ascii="Times New Roman" w:hAnsi="Times New Roman" w:cs="Times New Roman"/>
          <w:sz w:val="22"/>
          <w:szCs w:val="22"/>
          <w:lang w:val="sk-SK"/>
        </w:rPr>
        <w:t>Zriedkavé: oftalmoplégia</w:t>
      </w:r>
    </w:p>
    <w:p w14:paraId="7F6CC150" w14:textId="77777777" w:rsidR="00F134F4" w:rsidRPr="00475027" w:rsidRDefault="00F134F4" w:rsidP="00FE4006">
      <w:pPr>
        <w:rPr>
          <w:rFonts w:ascii="Times New Roman" w:hAnsi="Times New Roman" w:cs="Times New Roman"/>
          <w:sz w:val="22"/>
          <w:szCs w:val="22"/>
          <w:lang w:val="sk-SK"/>
        </w:rPr>
      </w:pPr>
    </w:p>
    <w:p w14:paraId="0A4107B0" w14:textId="77777777" w:rsidR="00F134F4" w:rsidRPr="00475027" w:rsidRDefault="00F134F4" w:rsidP="00FE4006">
      <w:pPr>
        <w:rPr>
          <w:rFonts w:ascii="Times New Roman" w:hAnsi="Times New Roman" w:cs="Times New Roman"/>
          <w:noProof/>
          <w:sz w:val="22"/>
          <w:szCs w:val="22"/>
          <w:u w:val="single"/>
          <w:lang w:val="sk-SK"/>
        </w:rPr>
      </w:pPr>
      <w:r w:rsidRPr="00475027">
        <w:rPr>
          <w:rFonts w:ascii="Times New Roman" w:hAnsi="Times New Roman" w:cs="Times New Roman"/>
          <w:noProof/>
          <w:sz w:val="22"/>
          <w:szCs w:val="22"/>
          <w:u w:val="single"/>
          <w:lang w:val="sk-SK"/>
        </w:rPr>
        <w:t>Poruchy kože a podkožného tkaniva</w:t>
      </w:r>
    </w:p>
    <w:p w14:paraId="7BD09485" w14:textId="77777777" w:rsidR="00F134F4" w:rsidRPr="00475027" w:rsidRDefault="00F134F4" w:rsidP="00FE4006">
      <w:pPr>
        <w:rPr>
          <w:rFonts w:ascii="Times New Roman" w:hAnsi="Times New Roman" w:cs="Times New Roman"/>
          <w:sz w:val="22"/>
          <w:szCs w:val="22"/>
          <w:lang w:val="sk-SK"/>
        </w:rPr>
      </w:pPr>
      <w:r w:rsidRPr="00475027">
        <w:rPr>
          <w:rFonts w:ascii="Times New Roman" w:hAnsi="Times New Roman" w:cs="Times New Roman"/>
          <w:sz w:val="22"/>
          <w:szCs w:val="22"/>
          <w:lang w:val="sk-SK"/>
        </w:rPr>
        <w:t>Časté: edém viečka</w:t>
      </w:r>
    </w:p>
    <w:p w14:paraId="0BDEAB41" w14:textId="77777777" w:rsidR="00F134F4" w:rsidRPr="00475027" w:rsidRDefault="00F134F4" w:rsidP="00FE4006">
      <w:pPr>
        <w:rPr>
          <w:rFonts w:ascii="Times New Roman" w:hAnsi="Times New Roman" w:cs="Times New Roman"/>
          <w:i/>
          <w:sz w:val="22"/>
          <w:szCs w:val="22"/>
          <w:u w:val="single"/>
          <w:lang w:val="sk-SK"/>
        </w:rPr>
      </w:pPr>
      <w:r w:rsidRPr="00475027">
        <w:rPr>
          <w:rFonts w:ascii="Times New Roman" w:hAnsi="Times New Roman" w:cs="Times New Roman"/>
          <w:sz w:val="22"/>
          <w:szCs w:val="22"/>
          <w:lang w:val="sk-SK"/>
        </w:rPr>
        <w:t>Zriedkavé: entropia</w:t>
      </w:r>
    </w:p>
    <w:p w14:paraId="785C96AE" w14:textId="77777777" w:rsidR="00F134F4" w:rsidRPr="00475027" w:rsidRDefault="00F134F4" w:rsidP="00FE4006">
      <w:pPr>
        <w:rPr>
          <w:rFonts w:ascii="Times New Roman" w:hAnsi="Times New Roman" w:cs="Times New Roman"/>
          <w:color w:val="000000"/>
          <w:sz w:val="22"/>
          <w:szCs w:val="22"/>
          <w:lang w:val="sk-SK"/>
        </w:rPr>
      </w:pPr>
    </w:p>
    <w:p w14:paraId="130D88A6" w14:textId="77777777" w:rsidR="00F134F4" w:rsidRPr="00475027" w:rsidRDefault="00F134F4" w:rsidP="00FE4006">
      <w:pPr>
        <w:pStyle w:val="Text"/>
        <w:ind w:left="0"/>
        <w:jc w:val="left"/>
        <w:rPr>
          <w:rFonts w:ascii="Times New Roman" w:hAnsi="Times New Roman"/>
          <w:sz w:val="22"/>
          <w:szCs w:val="22"/>
          <w:lang w:val="sk-SK"/>
        </w:rPr>
      </w:pPr>
      <w:r w:rsidRPr="00475027">
        <w:rPr>
          <w:rFonts w:ascii="Times New Roman" w:hAnsi="Times New Roman"/>
          <w:sz w:val="22"/>
          <w:szCs w:val="22"/>
          <w:lang w:val="sk-SK"/>
        </w:rPr>
        <w:t>Vedľajšie účinky môžu byť spôsobené injekciou Dysportu 500 U do nesprávneho miesta alebo hĺbky a následnou paralýzou susedných svalových skupín.</w:t>
      </w:r>
    </w:p>
    <w:p w14:paraId="09401077" w14:textId="77777777" w:rsidR="00F134F4" w:rsidRPr="00475027" w:rsidRDefault="00F134F4" w:rsidP="00FE4006">
      <w:pPr>
        <w:jc w:val="both"/>
        <w:rPr>
          <w:rFonts w:ascii="Times New Roman" w:hAnsi="Times New Roman" w:cs="Times New Roman"/>
          <w:b/>
          <w:bCs/>
          <w:sz w:val="22"/>
          <w:szCs w:val="22"/>
          <w:lang w:val="sk-SK"/>
        </w:rPr>
      </w:pPr>
    </w:p>
    <w:p w14:paraId="79C455A2" w14:textId="77777777" w:rsidR="00F134F4" w:rsidRPr="00475027" w:rsidRDefault="00F134F4" w:rsidP="00FE4006">
      <w:pPr>
        <w:jc w:val="both"/>
        <w:rPr>
          <w:rFonts w:ascii="Times New Roman" w:hAnsi="Times New Roman" w:cs="Times New Roman"/>
          <w:b/>
          <w:bCs/>
          <w:sz w:val="22"/>
          <w:szCs w:val="22"/>
          <w:lang w:val="sk-SK"/>
        </w:rPr>
      </w:pPr>
      <w:r w:rsidRPr="00475027">
        <w:rPr>
          <w:rFonts w:ascii="Times New Roman" w:hAnsi="Times New Roman" w:cs="Times New Roman"/>
          <w:b/>
          <w:bCs/>
          <w:sz w:val="22"/>
          <w:szCs w:val="22"/>
          <w:lang w:val="sk-SK"/>
        </w:rPr>
        <w:t>Nežiaduce účinky pri liečbe hyperfunkčných línií na tvári:</w:t>
      </w:r>
    </w:p>
    <w:p w14:paraId="7C160EBA" w14:textId="77777777" w:rsidR="00F134F4" w:rsidRPr="00475027" w:rsidRDefault="00F134F4" w:rsidP="00FE4006">
      <w:pPr>
        <w:jc w:val="both"/>
        <w:rPr>
          <w:rFonts w:ascii="Times New Roman" w:hAnsi="Times New Roman" w:cs="Times New Roman"/>
          <w:b/>
          <w:bCs/>
          <w:sz w:val="22"/>
          <w:szCs w:val="22"/>
          <w:lang w:val="sk-SK"/>
        </w:rPr>
      </w:pPr>
    </w:p>
    <w:p w14:paraId="753FDE8B" w14:textId="77777777" w:rsidR="00F134F4" w:rsidRPr="00475027" w:rsidRDefault="00F134F4" w:rsidP="00FE4006">
      <w:pPr>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Nasledujúce nežiaduce účinky, boli hlásené u pacientov liečených </w:t>
      </w:r>
      <w:r w:rsidRPr="00475027">
        <w:rPr>
          <w:rFonts w:ascii="Times New Roman" w:hAnsi="Times New Roman" w:cs="Times New Roman"/>
          <w:color w:val="000000"/>
          <w:spacing w:val="-1"/>
          <w:sz w:val="22"/>
          <w:szCs w:val="22"/>
          <w:lang w:val="sk-SK"/>
        </w:rPr>
        <w:t>Dysportom 500 U</w:t>
      </w:r>
      <w:r w:rsidRPr="00475027">
        <w:rPr>
          <w:rFonts w:ascii="Times New Roman" w:hAnsi="Times New Roman" w:cs="Times New Roman"/>
          <w:b/>
          <w:sz w:val="22"/>
          <w:szCs w:val="22"/>
          <w:lang w:val="sk-SK"/>
        </w:rPr>
        <w:t xml:space="preserve"> </w:t>
      </w:r>
      <w:r w:rsidRPr="00475027">
        <w:rPr>
          <w:rFonts w:ascii="Times New Roman" w:hAnsi="Times New Roman" w:cs="Times New Roman"/>
          <w:sz w:val="22"/>
          <w:szCs w:val="22"/>
          <w:lang w:val="sk-SK"/>
        </w:rPr>
        <w:t>pri liečbe hyperfunkčných línií na tvári:</w:t>
      </w:r>
    </w:p>
    <w:p w14:paraId="2E4966C5" w14:textId="77777777" w:rsidR="00F134F4" w:rsidRPr="00475027" w:rsidRDefault="00F134F4" w:rsidP="00FE4006">
      <w:pPr>
        <w:rPr>
          <w:rFonts w:ascii="Times New Roman" w:hAnsi="Times New Roman" w:cs="Times New Roman"/>
          <w:sz w:val="22"/>
          <w:szCs w:val="22"/>
          <w:u w:val="single"/>
          <w:lang w:val="sk-SK"/>
        </w:rPr>
      </w:pPr>
    </w:p>
    <w:p w14:paraId="50F8592D" w14:textId="77777777" w:rsidR="00F134F4" w:rsidRPr="00475027" w:rsidRDefault="00F134F4" w:rsidP="00FE4006">
      <w:pPr>
        <w:rPr>
          <w:rFonts w:ascii="Times New Roman" w:hAnsi="Times New Roman" w:cs="Times New Roman"/>
          <w:sz w:val="22"/>
          <w:szCs w:val="22"/>
          <w:u w:val="single"/>
          <w:lang w:val="sk-SK"/>
        </w:rPr>
      </w:pPr>
      <w:r w:rsidRPr="00475027">
        <w:rPr>
          <w:rFonts w:ascii="Times New Roman" w:hAnsi="Times New Roman" w:cs="Times New Roman"/>
          <w:sz w:val="22"/>
          <w:szCs w:val="22"/>
          <w:u w:val="single"/>
          <w:lang w:val="sk-SK"/>
        </w:rPr>
        <w:t>Poruchy oka</w:t>
      </w:r>
    </w:p>
    <w:p w14:paraId="6281E35F" w14:textId="77777777" w:rsidR="00F134F4" w:rsidRPr="00475027" w:rsidRDefault="00F134F4" w:rsidP="00FE4006">
      <w:pPr>
        <w:pStyle w:val="Text"/>
        <w:spacing w:before="0" w:after="0"/>
        <w:ind w:left="0"/>
        <w:jc w:val="left"/>
        <w:rPr>
          <w:rFonts w:ascii="Times New Roman" w:hAnsi="Times New Roman"/>
          <w:sz w:val="22"/>
          <w:szCs w:val="22"/>
          <w:lang w:val="sk-SK"/>
        </w:rPr>
      </w:pPr>
      <w:r w:rsidRPr="00475027">
        <w:rPr>
          <w:rFonts w:ascii="Times New Roman" w:hAnsi="Times New Roman"/>
          <w:sz w:val="22"/>
          <w:szCs w:val="22"/>
          <w:lang w:val="sk-SK"/>
        </w:rPr>
        <w:lastRenderedPageBreak/>
        <w:t xml:space="preserve">Časté: astenopia, ptóza, edém viečka, zvýšené slzenie, suché oko, svalové trhanie.  </w:t>
      </w:r>
    </w:p>
    <w:p w14:paraId="2BFC8D0D" w14:textId="77777777" w:rsidR="00F134F4" w:rsidRPr="00475027" w:rsidRDefault="00F134F4" w:rsidP="00FE4006">
      <w:pPr>
        <w:pStyle w:val="Text"/>
        <w:spacing w:before="0" w:after="0"/>
        <w:ind w:left="0"/>
        <w:jc w:val="left"/>
        <w:rPr>
          <w:rFonts w:ascii="Times New Roman" w:hAnsi="Times New Roman"/>
          <w:i/>
          <w:sz w:val="22"/>
          <w:szCs w:val="22"/>
          <w:u w:val="single"/>
          <w:lang w:val="sk-SK"/>
        </w:rPr>
      </w:pPr>
      <w:r w:rsidRPr="00475027">
        <w:rPr>
          <w:rFonts w:ascii="Times New Roman" w:hAnsi="Times New Roman"/>
          <w:sz w:val="22"/>
          <w:szCs w:val="22"/>
          <w:lang w:val="sk-SK"/>
        </w:rPr>
        <w:t>Zriedkavé: porucha videnia, škvrnité videnie, diplopia, porucha pohyblivostí očí.</w:t>
      </w:r>
      <w:r w:rsidRPr="00475027" w:rsidDel="002A29EE">
        <w:rPr>
          <w:rFonts w:ascii="Times New Roman" w:hAnsi="Times New Roman"/>
          <w:sz w:val="22"/>
          <w:szCs w:val="22"/>
          <w:lang w:val="sk-SK"/>
        </w:rPr>
        <w:t xml:space="preserve"> </w:t>
      </w:r>
    </w:p>
    <w:p w14:paraId="12BC07E3" w14:textId="77777777" w:rsidR="00F134F4" w:rsidRPr="00475027" w:rsidRDefault="00F134F4" w:rsidP="00FE4006">
      <w:pPr>
        <w:pStyle w:val="Text"/>
        <w:spacing w:before="0" w:after="0"/>
        <w:ind w:left="0"/>
        <w:jc w:val="left"/>
        <w:rPr>
          <w:rFonts w:ascii="Times New Roman" w:hAnsi="Times New Roman"/>
          <w:sz w:val="22"/>
          <w:szCs w:val="22"/>
          <w:u w:val="single"/>
          <w:lang w:val="sk-SK"/>
        </w:rPr>
      </w:pPr>
    </w:p>
    <w:p w14:paraId="528752F9" w14:textId="77777777" w:rsidR="00F134F4" w:rsidRPr="00475027" w:rsidRDefault="00F134F4" w:rsidP="00FE4006">
      <w:pPr>
        <w:pStyle w:val="Text"/>
        <w:spacing w:before="0" w:after="0"/>
        <w:ind w:left="0"/>
        <w:jc w:val="left"/>
        <w:rPr>
          <w:rFonts w:ascii="Times New Roman" w:hAnsi="Times New Roman"/>
          <w:sz w:val="22"/>
          <w:szCs w:val="22"/>
          <w:u w:val="single"/>
          <w:lang w:val="sk-SK"/>
        </w:rPr>
      </w:pPr>
      <w:r w:rsidRPr="00475027">
        <w:rPr>
          <w:rFonts w:ascii="Times New Roman" w:hAnsi="Times New Roman"/>
          <w:sz w:val="22"/>
          <w:szCs w:val="22"/>
          <w:u w:val="single"/>
          <w:lang w:val="sk-SK"/>
        </w:rPr>
        <w:t xml:space="preserve">Poruchy imunitného systému </w:t>
      </w:r>
    </w:p>
    <w:p w14:paraId="2C870D8C" w14:textId="77777777" w:rsidR="00F134F4" w:rsidRPr="00475027" w:rsidRDefault="00F134F4" w:rsidP="00FE4006">
      <w:pPr>
        <w:pStyle w:val="Text"/>
        <w:spacing w:before="0" w:after="0"/>
        <w:ind w:left="0"/>
        <w:jc w:val="left"/>
        <w:rPr>
          <w:rFonts w:ascii="Times New Roman" w:hAnsi="Times New Roman"/>
          <w:sz w:val="22"/>
          <w:szCs w:val="22"/>
          <w:lang w:val="sk-SK"/>
        </w:rPr>
      </w:pPr>
      <w:r w:rsidRPr="00475027">
        <w:rPr>
          <w:rFonts w:ascii="Times New Roman" w:hAnsi="Times New Roman"/>
          <w:sz w:val="22"/>
          <w:szCs w:val="22"/>
          <w:lang w:val="sk-SK"/>
        </w:rPr>
        <w:t xml:space="preserve">Zriedkavé: hypersenzitivita </w:t>
      </w:r>
    </w:p>
    <w:p w14:paraId="541F8DB3" w14:textId="77777777" w:rsidR="00F134F4" w:rsidRPr="00475027" w:rsidRDefault="00F134F4" w:rsidP="00FE4006">
      <w:pPr>
        <w:pStyle w:val="Text"/>
        <w:spacing w:before="0" w:after="0"/>
        <w:ind w:left="0"/>
        <w:jc w:val="left"/>
        <w:rPr>
          <w:rFonts w:ascii="Times New Roman" w:hAnsi="Times New Roman"/>
          <w:i/>
          <w:sz w:val="22"/>
          <w:szCs w:val="22"/>
          <w:lang w:val="sk-SK"/>
        </w:rPr>
      </w:pPr>
    </w:p>
    <w:p w14:paraId="598BDDB3" w14:textId="77777777" w:rsidR="00F134F4" w:rsidRPr="00475027" w:rsidRDefault="00F134F4" w:rsidP="00FE4006">
      <w:pPr>
        <w:pStyle w:val="Text"/>
        <w:spacing w:before="0" w:after="0"/>
        <w:ind w:left="0"/>
        <w:jc w:val="left"/>
        <w:rPr>
          <w:rFonts w:ascii="Times New Roman" w:hAnsi="Times New Roman"/>
          <w:sz w:val="22"/>
          <w:szCs w:val="22"/>
          <w:u w:val="single"/>
          <w:lang w:val="sk-SK"/>
        </w:rPr>
      </w:pPr>
      <w:r w:rsidRPr="00475027">
        <w:rPr>
          <w:rFonts w:ascii="Times New Roman" w:hAnsi="Times New Roman"/>
          <w:sz w:val="22"/>
          <w:szCs w:val="22"/>
          <w:u w:val="single"/>
          <w:lang w:val="sk-SK"/>
        </w:rPr>
        <w:t>Poruchy kostrovej a svalovej sústavy a spojivového tkaniva</w:t>
      </w:r>
    </w:p>
    <w:p w14:paraId="65C4F56A" w14:textId="77777777" w:rsidR="00F134F4" w:rsidRPr="00475027" w:rsidRDefault="00F134F4" w:rsidP="00FE4006">
      <w:pPr>
        <w:pStyle w:val="Text"/>
        <w:spacing w:before="0" w:after="0"/>
        <w:ind w:left="0"/>
        <w:jc w:val="left"/>
        <w:rPr>
          <w:rFonts w:ascii="Times New Roman" w:hAnsi="Times New Roman"/>
          <w:sz w:val="22"/>
          <w:szCs w:val="22"/>
          <w:lang w:val="sk-SK"/>
        </w:rPr>
      </w:pPr>
      <w:r w:rsidRPr="00475027">
        <w:rPr>
          <w:rFonts w:ascii="Times New Roman" w:hAnsi="Times New Roman"/>
          <w:sz w:val="22"/>
          <w:szCs w:val="22"/>
          <w:lang w:val="sk-SK"/>
        </w:rPr>
        <w:t>Časté: slabosť priľahlého svalu v oblasti injekcie. Toto môže zvyčajne viesť k zníženiu očného viečka, astenópii alebo paréze lícneho svalu alebo poruche zraku.</w:t>
      </w:r>
    </w:p>
    <w:p w14:paraId="5007D818" w14:textId="77777777" w:rsidR="00F134F4" w:rsidRPr="00475027" w:rsidRDefault="00F134F4" w:rsidP="00FE4006">
      <w:pPr>
        <w:rPr>
          <w:rFonts w:ascii="Times New Roman" w:hAnsi="Times New Roman" w:cs="Times New Roman"/>
          <w:noProof/>
          <w:sz w:val="22"/>
          <w:szCs w:val="22"/>
          <w:u w:val="single"/>
          <w:lang w:val="sk-SK"/>
        </w:rPr>
      </w:pPr>
    </w:p>
    <w:p w14:paraId="57FA02D5" w14:textId="77777777" w:rsidR="00F134F4" w:rsidRPr="00475027" w:rsidRDefault="00F134F4" w:rsidP="00FE4006">
      <w:pPr>
        <w:rPr>
          <w:rFonts w:ascii="Times New Roman" w:hAnsi="Times New Roman" w:cs="Times New Roman"/>
          <w:noProof/>
          <w:sz w:val="22"/>
          <w:szCs w:val="22"/>
          <w:u w:val="single"/>
          <w:lang w:val="sk-SK"/>
        </w:rPr>
      </w:pPr>
      <w:r w:rsidRPr="00475027">
        <w:rPr>
          <w:rFonts w:ascii="Times New Roman" w:hAnsi="Times New Roman" w:cs="Times New Roman"/>
          <w:noProof/>
          <w:sz w:val="22"/>
          <w:szCs w:val="22"/>
          <w:u w:val="single"/>
          <w:lang w:val="sk-SK"/>
        </w:rPr>
        <w:t>Poruchy nervového systému</w:t>
      </w:r>
    </w:p>
    <w:p w14:paraId="2D4B97B9" w14:textId="77777777" w:rsidR="00F134F4" w:rsidRPr="00475027" w:rsidRDefault="00F134F4" w:rsidP="00FE4006">
      <w:pPr>
        <w:pStyle w:val="Text"/>
        <w:spacing w:before="0" w:after="0"/>
        <w:ind w:left="0"/>
        <w:jc w:val="left"/>
        <w:rPr>
          <w:rFonts w:ascii="Times New Roman" w:hAnsi="Times New Roman"/>
          <w:sz w:val="22"/>
          <w:szCs w:val="22"/>
          <w:highlight w:val="yellow"/>
          <w:lang w:val="sk-SK"/>
        </w:rPr>
      </w:pPr>
      <w:r w:rsidRPr="00475027">
        <w:rPr>
          <w:rFonts w:ascii="Times New Roman" w:hAnsi="Times New Roman"/>
          <w:sz w:val="22"/>
          <w:szCs w:val="22"/>
          <w:lang w:val="sk-SK"/>
        </w:rPr>
        <w:t xml:space="preserve">Veľmi časté: bolesť hlavy </w:t>
      </w:r>
    </w:p>
    <w:p w14:paraId="48084EBA" w14:textId="77777777" w:rsidR="00F134F4" w:rsidRPr="00475027" w:rsidRDefault="00F134F4" w:rsidP="00FE4006">
      <w:pPr>
        <w:rPr>
          <w:rFonts w:ascii="Times New Roman" w:hAnsi="Times New Roman" w:cs="Times New Roman"/>
          <w:sz w:val="22"/>
          <w:szCs w:val="22"/>
          <w:lang w:val="sk-SK"/>
        </w:rPr>
      </w:pPr>
      <w:r w:rsidRPr="00475027">
        <w:rPr>
          <w:rFonts w:ascii="Times New Roman" w:hAnsi="Times New Roman" w:cs="Times New Roman"/>
          <w:sz w:val="22"/>
          <w:szCs w:val="22"/>
          <w:lang w:val="sk-SK"/>
        </w:rPr>
        <w:t>Časté: paréza lícneho nervu</w:t>
      </w:r>
    </w:p>
    <w:p w14:paraId="01C10A18" w14:textId="77777777" w:rsidR="00F134F4" w:rsidRPr="00475027" w:rsidRDefault="00F134F4" w:rsidP="00FE4006">
      <w:pPr>
        <w:rPr>
          <w:rFonts w:ascii="Times New Roman" w:hAnsi="Times New Roman" w:cs="Times New Roman"/>
          <w:noProof/>
          <w:sz w:val="22"/>
          <w:szCs w:val="22"/>
          <w:lang w:val="sk-SK"/>
        </w:rPr>
      </w:pPr>
    </w:p>
    <w:p w14:paraId="65ACE9FF" w14:textId="77777777" w:rsidR="00F134F4" w:rsidRPr="00475027" w:rsidRDefault="00F134F4" w:rsidP="00FE4006">
      <w:pPr>
        <w:rPr>
          <w:rFonts w:ascii="Times New Roman" w:hAnsi="Times New Roman" w:cs="Times New Roman"/>
          <w:noProof/>
          <w:sz w:val="22"/>
          <w:szCs w:val="22"/>
          <w:u w:val="single"/>
          <w:lang w:val="sk-SK"/>
        </w:rPr>
      </w:pPr>
      <w:r w:rsidRPr="00475027">
        <w:rPr>
          <w:rFonts w:ascii="Times New Roman" w:hAnsi="Times New Roman" w:cs="Times New Roman"/>
          <w:noProof/>
          <w:sz w:val="22"/>
          <w:szCs w:val="22"/>
          <w:u w:val="single"/>
          <w:lang w:val="sk-SK"/>
        </w:rPr>
        <w:t>Poruchy kože a podkožného tkaniva</w:t>
      </w:r>
    </w:p>
    <w:p w14:paraId="3599CD15" w14:textId="77777777" w:rsidR="00F134F4" w:rsidRPr="00475027" w:rsidRDefault="00F134F4" w:rsidP="00FE4006">
      <w:pPr>
        <w:pStyle w:val="Text"/>
        <w:spacing w:before="0" w:after="0"/>
        <w:ind w:left="0"/>
        <w:jc w:val="left"/>
        <w:rPr>
          <w:rFonts w:ascii="Times New Roman" w:hAnsi="Times New Roman"/>
          <w:color w:val="000000"/>
          <w:sz w:val="22"/>
          <w:szCs w:val="22"/>
          <w:lang w:val="sk-SK"/>
        </w:rPr>
      </w:pPr>
      <w:r w:rsidRPr="00475027">
        <w:rPr>
          <w:rFonts w:ascii="Times New Roman" w:hAnsi="Times New Roman"/>
          <w:sz w:val="22"/>
          <w:szCs w:val="22"/>
          <w:lang w:val="sk-SK"/>
        </w:rPr>
        <w:t>Menej časté</w:t>
      </w:r>
      <w:r w:rsidRPr="00475027">
        <w:rPr>
          <w:rFonts w:ascii="Times New Roman" w:hAnsi="Times New Roman"/>
          <w:color w:val="000000"/>
          <w:sz w:val="22"/>
          <w:szCs w:val="22"/>
          <w:lang w:val="sk-SK"/>
        </w:rPr>
        <w:t xml:space="preserve">: kožná vyrážka, svrbenie       </w:t>
      </w:r>
    </w:p>
    <w:p w14:paraId="685D6941" w14:textId="77777777" w:rsidR="00F134F4" w:rsidRPr="00475027" w:rsidRDefault="00F134F4" w:rsidP="00FE4006">
      <w:pPr>
        <w:pStyle w:val="Text"/>
        <w:spacing w:before="0" w:after="0"/>
        <w:ind w:left="0"/>
        <w:jc w:val="left"/>
        <w:rPr>
          <w:rFonts w:ascii="Times New Roman" w:hAnsi="Times New Roman"/>
          <w:color w:val="000000"/>
          <w:sz w:val="22"/>
          <w:szCs w:val="22"/>
          <w:lang w:val="sk-SK"/>
        </w:rPr>
      </w:pPr>
      <w:r w:rsidRPr="00475027">
        <w:rPr>
          <w:rFonts w:ascii="Times New Roman" w:hAnsi="Times New Roman"/>
          <w:sz w:val="22"/>
          <w:szCs w:val="22"/>
          <w:lang w:val="sk-SK"/>
        </w:rPr>
        <w:t>Zriedkavé</w:t>
      </w:r>
      <w:r w:rsidRPr="00475027">
        <w:rPr>
          <w:rFonts w:ascii="Times New Roman" w:hAnsi="Times New Roman"/>
          <w:color w:val="000000"/>
          <w:sz w:val="22"/>
          <w:szCs w:val="22"/>
          <w:lang w:val="sk-SK"/>
        </w:rPr>
        <w:t>: žihľavka</w:t>
      </w:r>
    </w:p>
    <w:p w14:paraId="629BDF84" w14:textId="77777777" w:rsidR="00F134F4" w:rsidRPr="00475027" w:rsidRDefault="00F134F4" w:rsidP="00FE4006">
      <w:pPr>
        <w:pStyle w:val="Text"/>
        <w:spacing w:before="0" w:after="0"/>
        <w:ind w:left="0"/>
        <w:jc w:val="left"/>
        <w:rPr>
          <w:rFonts w:ascii="Times New Roman" w:hAnsi="Times New Roman"/>
          <w:color w:val="000000"/>
          <w:sz w:val="22"/>
          <w:szCs w:val="22"/>
          <w:lang w:val="sk-SK"/>
        </w:rPr>
      </w:pPr>
    </w:p>
    <w:p w14:paraId="10DAC34B" w14:textId="77777777" w:rsidR="00F134F4" w:rsidRPr="00475027" w:rsidRDefault="00F134F4" w:rsidP="00FE4006">
      <w:pPr>
        <w:pStyle w:val="Text"/>
        <w:spacing w:before="0" w:after="0"/>
        <w:ind w:left="0"/>
        <w:jc w:val="left"/>
        <w:rPr>
          <w:rFonts w:ascii="Times New Roman" w:hAnsi="Times New Roman"/>
          <w:b/>
          <w:color w:val="000000"/>
          <w:sz w:val="22"/>
          <w:szCs w:val="22"/>
          <w:lang w:val="sk-SK"/>
        </w:rPr>
      </w:pPr>
      <w:r w:rsidRPr="00475027">
        <w:rPr>
          <w:rFonts w:ascii="Times New Roman" w:hAnsi="Times New Roman"/>
          <w:b/>
          <w:color w:val="000000"/>
          <w:sz w:val="22"/>
          <w:szCs w:val="22"/>
          <w:lang w:val="sk-SK"/>
        </w:rPr>
        <w:t>Nežiaduce účinky pri liečbe hyperhidrózy:</w:t>
      </w:r>
    </w:p>
    <w:p w14:paraId="3382BCC9" w14:textId="77777777" w:rsidR="00F134F4" w:rsidRPr="00475027" w:rsidRDefault="00F134F4" w:rsidP="00FE4006">
      <w:pPr>
        <w:pStyle w:val="Text"/>
        <w:spacing w:before="0" w:after="0"/>
        <w:ind w:left="0"/>
        <w:jc w:val="left"/>
        <w:rPr>
          <w:rFonts w:ascii="Times New Roman" w:hAnsi="Times New Roman"/>
          <w:color w:val="000000"/>
          <w:sz w:val="22"/>
          <w:szCs w:val="22"/>
          <w:lang w:val="sk-SK"/>
        </w:rPr>
      </w:pPr>
      <w:r w:rsidRPr="00475027">
        <w:rPr>
          <w:rFonts w:ascii="Times New Roman" w:hAnsi="Times New Roman"/>
          <w:color w:val="000000"/>
          <w:sz w:val="22"/>
          <w:szCs w:val="22"/>
          <w:lang w:val="sk-SK"/>
        </w:rPr>
        <w:t>Nasledujúce nežiaduce účinky boli hlásené u pacientov liečených Dysportom 500 U pri liečbe hyperhidrózy:</w:t>
      </w:r>
    </w:p>
    <w:p w14:paraId="399128C3" w14:textId="77777777" w:rsidR="00F134F4" w:rsidRPr="00475027" w:rsidRDefault="00F134F4" w:rsidP="00FE4006">
      <w:pPr>
        <w:pStyle w:val="Text"/>
        <w:spacing w:before="0" w:after="0"/>
        <w:ind w:left="0"/>
        <w:jc w:val="left"/>
        <w:rPr>
          <w:rFonts w:ascii="Times New Roman" w:hAnsi="Times New Roman"/>
          <w:color w:val="000000"/>
          <w:sz w:val="22"/>
          <w:szCs w:val="22"/>
          <w:lang w:val="sk-SK"/>
        </w:rPr>
      </w:pPr>
    </w:p>
    <w:p w14:paraId="10D58E18" w14:textId="77777777" w:rsidR="00F134F4" w:rsidRPr="00475027" w:rsidRDefault="00F134F4" w:rsidP="00FE4006">
      <w:pPr>
        <w:pStyle w:val="Text"/>
        <w:spacing w:before="0" w:after="0"/>
        <w:ind w:left="0"/>
        <w:jc w:val="left"/>
        <w:rPr>
          <w:rFonts w:ascii="Times New Roman" w:hAnsi="Times New Roman"/>
          <w:color w:val="000000"/>
          <w:sz w:val="22"/>
          <w:szCs w:val="22"/>
          <w:u w:val="single"/>
          <w:lang w:val="sk-SK"/>
        </w:rPr>
      </w:pPr>
      <w:r w:rsidRPr="00475027">
        <w:rPr>
          <w:rFonts w:ascii="Times New Roman" w:hAnsi="Times New Roman"/>
          <w:color w:val="000000"/>
          <w:sz w:val="22"/>
          <w:szCs w:val="22"/>
          <w:u w:val="single"/>
          <w:lang w:val="sk-SK"/>
        </w:rPr>
        <w:t>Poruchy nervového systému</w:t>
      </w:r>
    </w:p>
    <w:p w14:paraId="6BB8EC9B" w14:textId="77777777" w:rsidR="00F134F4" w:rsidRPr="00475027" w:rsidRDefault="00F134F4" w:rsidP="00FE4006">
      <w:pPr>
        <w:pStyle w:val="Text"/>
        <w:spacing w:before="0" w:after="0"/>
        <w:ind w:left="0"/>
        <w:jc w:val="left"/>
        <w:rPr>
          <w:rFonts w:ascii="Times New Roman" w:hAnsi="Times New Roman"/>
          <w:color w:val="000000"/>
          <w:sz w:val="22"/>
          <w:szCs w:val="22"/>
          <w:lang w:val="sk-SK"/>
        </w:rPr>
      </w:pPr>
      <w:r w:rsidRPr="00475027">
        <w:rPr>
          <w:rFonts w:ascii="Times New Roman" w:hAnsi="Times New Roman"/>
          <w:color w:val="000000"/>
          <w:sz w:val="22"/>
          <w:szCs w:val="22"/>
          <w:lang w:val="sk-SK"/>
        </w:rPr>
        <w:t>Menej časté: závrat, bolesť hlavy, parestézia, mimovoľné svalové sťahy očného viečka</w:t>
      </w:r>
    </w:p>
    <w:p w14:paraId="3059F7DC" w14:textId="77777777" w:rsidR="00F134F4" w:rsidRPr="00475027" w:rsidRDefault="00F134F4" w:rsidP="00FE4006">
      <w:pPr>
        <w:pStyle w:val="Text"/>
        <w:spacing w:before="0" w:after="0"/>
        <w:ind w:left="0"/>
        <w:jc w:val="left"/>
        <w:rPr>
          <w:rFonts w:ascii="Times New Roman" w:hAnsi="Times New Roman"/>
          <w:color w:val="000000"/>
          <w:sz w:val="22"/>
          <w:szCs w:val="22"/>
          <w:lang w:val="sk-SK"/>
        </w:rPr>
      </w:pPr>
    </w:p>
    <w:p w14:paraId="06868F03" w14:textId="77777777" w:rsidR="00F134F4" w:rsidRPr="00475027" w:rsidRDefault="00F134F4" w:rsidP="00FE4006">
      <w:pPr>
        <w:pStyle w:val="Text"/>
        <w:spacing w:before="0" w:after="0"/>
        <w:ind w:left="0"/>
        <w:jc w:val="left"/>
        <w:rPr>
          <w:rFonts w:ascii="Times New Roman" w:hAnsi="Times New Roman"/>
          <w:color w:val="000000"/>
          <w:sz w:val="22"/>
          <w:szCs w:val="22"/>
          <w:u w:val="single"/>
          <w:lang w:val="sk-SK"/>
        </w:rPr>
      </w:pPr>
      <w:r w:rsidRPr="00475027">
        <w:rPr>
          <w:rFonts w:ascii="Times New Roman" w:hAnsi="Times New Roman"/>
          <w:color w:val="000000"/>
          <w:sz w:val="22"/>
          <w:szCs w:val="22"/>
          <w:u w:val="single"/>
          <w:lang w:val="sk-SK"/>
        </w:rPr>
        <w:t>Poruchy ciev</w:t>
      </w:r>
    </w:p>
    <w:p w14:paraId="732922A1" w14:textId="77777777" w:rsidR="00F134F4" w:rsidRPr="00475027" w:rsidRDefault="00F134F4" w:rsidP="00FE4006">
      <w:pPr>
        <w:pStyle w:val="Text"/>
        <w:spacing w:before="0" w:after="0"/>
        <w:ind w:left="0"/>
        <w:jc w:val="left"/>
        <w:rPr>
          <w:rFonts w:ascii="Times New Roman" w:hAnsi="Times New Roman"/>
          <w:color w:val="000000"/>
          <w:sz w:val="22"/>
          <w:szCs w:val="22"/>
          <w:lang w:val="sk-SK"/>
        </w:rPr>
      </w:pPr>
      <w:r w:rsidRPr="00475027">
        <w:rPr>
          <w:rFonts w:ascii="Times New Roman" w:hAnsi="Times New Roman"/>
          <w:color w:val="000000"/>
          <w:sz w:val="22"/>
          <w:szCs w:val="22"/>
          <w:lang w:val="sk-SK"/>
        </w:rPr>
        <w:t>Menej časté: nával horúčavy</w:t>
      </w:r>
    </w:p>
    <w:p w14:paraId="0C2271B4" w14:textId="77777777" w:rsidR="00F134F4" w:rsidRPr="00475027" w:rsidRDefault="00F134F4" w:rsidP="00FE4006">
      <w:pPr>
        <w:pStyle w:val="Text"/>
        <w:spacing w:before="0" w:after="0"/>
        <w:ind w:left="0"/>
        <w:jc w:val="left"/>
        <w:rPr>
          <w:rFonts w:ascii="Times New Roman" w:hAnsi="Times New Roman"/>
          <w:color w:val="000000"/>
          <w:sz w:val="22"/>
          <w:szCs w:val="22"/>
          <w:lang w:val="sk-SK"/>
        </w:rPr>
      </w:pPr>
    </w:p>
    <w:p w14:paraId="2070B992" w14:textId="77777777" w:rsidR="00F134F4" w:rsidRPr="00475027" w:rsidRDefault="00F134F4" w:rsidP="00FE4006">
      <w:pPr>
        <w:pStyle w:val="Text"/>
        <w:spacing w:before="0" w:after="0"/>
        <w:ind w:left="0"/>
        <w:jc w:val="left"/>
        <w:rPr>
          <w:rFonts w:ascii="Times New Roman" w:hAnsi="Times New Roman"/>
          <w:color w:val="000000"/>
          <w:sz w:val="22"/>
          <w:szCs w:val="22"/>
          <w:u w:val="single"/>
          <w:lang w:val="sk-SK"/>
        </w:rPr>
      </w:pPr>
      <w:r w:rsidRPr="00475027">
        <w:rPr>
          <w:rFonts w:ascii="Times New Roman" w:hAnsi="Times New Roman"/>
          <w:color w:val="000000"/>
          <w:sz w:val="22"/>
          <w:szCs w:val="22"/>
          <w:u w:val="single"/>
          <w:lang w:val="sk-SK"/>
        </w:rPr>
        <w:t>Poruchy dýchacej sústavy, hrudníka a mediastína</w:t>
      </w:r>
    </w:p>
    <w:p w14:paraId="1F8BCBD7" w14:textId="77777777" w:rsidR="00F134F4" w:rsidRPr="00475027" w:rsidRDefault="00F134F4" w:rsidP="00FE4006">
      <w:pPr>
        <w:pStyle w:val="Text"/>
        <w:spacing w:before="0" w:after="0"/>
        <w:ind w:left="0"/>
        <w:jc w:val="left"/>
        <w:rPr>
          <w:rFonts w:ascii="Times New Roman" w:hAnsi="Times New Roman"/>
          <w:color w:val="000000"/>
          <w:sz w:val="22"/>
          <w:szCs w:val="22"/>
          <w:lang w:val="sk-SK"/>
        </w:rPr>
      </w:pPr>
      <w:r w:rsidRPr="00475027">
        <w:rPr>
          <w:rFonts w:ascii="Times New Roman" w:hAnsi="Times New Roman"/>
          <w:color w:val="000000"/>
          <w:sz w:val="22"/>
          <w:szCs w:val="22"/>
          <w:lang w:val="sk-SK"/>
        </w:rPr>
        <w:t>Časté: dyspnoe</w:t>
      </w:r>
    </w:p>
    <w:p w14:paraId="5117BA9D" w14:textId="77777777" w:rsidR="00F134F4" w:rsidRPr="00475027" w:rsidRDefault="00F134F4" w:rsidP="00FE4006">
      <w:pPr>
        <w:pStyle w:val="Text"/>
        <w:spacing w:before="0" w:after="0"/>
        <w:ind w:left="0"/>
        <w:jc w:val="left"/>
        <w:rPr>
          <w:rFonts w:ascii="Times New Roman" w:hAnsi="Times New Roman"/>
          <w:color w:val="000000"/>
          <w:sz w:val="22"/>
          <w:szCs w:val="22"/>
          <w:lang w:val="sk-SK"/>
        </w:rPr>
      </w:pPr>
      <w:r w:rsidRPr="00475027">
        <w:rPr>
          <w:rFonts w:ascii="Times New Roman" w:hAnsi="Times New Roman"/>
          <w:color w:val="000000"/>
          <w:sz w:val="22"/>
          <w:szCs w:val="22"/>
          <w:lang w:val="sk-SK"/>
        </w:rPr>
        <w:t>Menej časté: epistaxa</w:t>
      </w:r>
    </w:p>
    <w:p w14:paraId="165F0C21" w14:textId="77777777" w:rsidR="00F134F4" w:rsidRPr="00475027" w:rsidRDefault="00F134F4" w:rsidP="00FE4006">
      <w:pPr>
        <w:pStyle w:val="Text"/>
        <w:spacing w:before="0" w:after="0"/>
        <w:ind w:left="0"/>
        <w:jc w:val="left"/>
        <w:rPr>
          <w:rFonts w:ascii="Times New Roman" w:hAnsi="Times New Roman"/>
          <w:color w:val="000000"/>
          <w:sz w:val="22"/>
          <w:szCs w:val="22"/>
          <w:lang w:val="sk-SK"/>
        </w:rPr>
      </w:pPr>
    </w:p>
    <w:p w14:paraId="57610177" w14:textId="77777777" w:rsidR="00F134F4" w:rsidRPr="00475027" w:rsidRDefault="00F134F4" w:rsidP="00FE4006">
      <w:pPr>
        <w:pStyle w:val="Text"/>
        <w:spacing w:before="0" w:after="0"/>
        <w:ind w:left="0"/>
        <w:jc w:val="left"/>
        <w:rPr>
          <w:rFonts w:ascii="Times New Roman" w:hAnsi="Times New Roman"/>
          <w:color w:val="000000"/>
          <w:sz w:val="22"/>
          <w:szCs w:val="22"/>
          <w:u w:val="single"/>
          <w:lang w:val="sk-SK"/>
        </w:rPr>
      </w:pPr>
      <w:r w:rsidRPr="00475027">
        <w:rPr>
          <w:rFonts w:ascii="Times New Roman" w:hAnsi="Times New Roman"/>
          <w:color w:val="000000"/>
          <w:sz w:val="22"/>
          <w:szCs w:val="22"/>
          <w:u w:val="single"/>
          <w:lang w:val="sk-SK"/>
        </w:rPr>
        <w:t>Poruchy kože a podkožného tkaniva</w:t>
      </w:r>
    </w:p>
    <w:p w14:paraId="3F8203E7" w14:textId="77777777" w:rsidR="00F134F4" w:rsidRPr="00475027" w:rsidRDefault="00F134F4" w:rsidP="00FE4006">
      <w:pPr>
        <w:pStyle w:val="Text"/>
        <w:spacing w:before="0" w:after="0"/>
        <w:ind w:left="0"/>
        <w:jc w:val="left"/>
        <w:rPr>
          <w:rFonts w:ascii="Times New Roman" w:hAnsi="Times New Roman"/>
          <w:color w:val="000000"/>
          <w:sz w:val="22"/>
          <w:szCs w:val="22"/>
          <w:lang w:val="sk-SK"/>
        </w:rPr>
      </w:pPr>
      <w:r w:rsidRPr="00475027">
        <w:rPr>
          <w:rFonts w:ascii="Times New Roman" w:hAnsi="Times New Roman"/>
          <w:color w:val="000000"/>
          <w:sz w:val="22"/>
          <w:szCs w:val="22"/>
          <w:lang w:val="sk-SK"/>
        </w:rPr>
        <w:t>Časté: kompenzačné potenie</w:t>
      </w:r>
    </w:p>
    <w:p w14:paraId="79DC8E4E" w14:textId="77777777" w:rsidR="00F134F4" w:rsidRPr="00475027" w:rsidRDefault="00F134F4" w:rsidP="00FE4006">
      <w:pPr>
        <w:pStyle w:val="Text"/>
        <w:spacing w:before="0" w:after="0"/>
        <w:ind w:left="0"/>
        <w:jc w:val="left"/>
        <w:rPr>
          <w:rFonts w:ascii="Times New Roman" w:hAnsi="Times New Roman"/>
          <w:color w:val="000000"/>
          <w:sz w:val="22"/>
          <w:szCs w:val="22"/>
          <w:u w:val="single"/>
          <w:lang w:val="sk-SK"/>
        </w:rPr>
      </w:pPr>
    </w:p>
    <w:p w14:paraId="1D4C3AED" w14:textId="77777777" w:rsidR="00F134F4" w:rsidRPr="00475027" w:rsidRDefault="00F134F4" w:rsidP="00FE4006">
      <w:pPr>
        <w:pStyle w:val="Text"/>
        <w:spacing w:before="0" w:after="0"/>
        <w:ind w:left="0"/>
        <w:jc w:val="left"/>
        <w:rPr>
          <w:rFonts w:ascii="Times New Roman" w:hAnsi="Times New Roman"/>
          <w:color w:val="000000"/>
          <w:sz w:val="22"/>
          <w:szCs w:val="22"/>
          <w:u w:val="single"/>
          <w:lang w:val="sk-SK"/>
        </w:rPr>
      </w:pPr>
      <w:r w:rsidRPr="00475027">
        <w:rPr>
          <w:rFonts w:ascii="Times New Roman" w:hAnsi="Times New Roman"/>
          <w:color w:val="000000"/>
          <w:sz w:val="22"/>
          <w:szCs w:val="22"/>
          <w:u w:val="single"/>
          <w:lang w:val="sk-SK"/>
        </w:rPr>
        <w:t>Poruchy kostrovej a svalovej sústavy a spojivového tkaniva</w:t>
      </w:r>
    </w:p>
    <w:p w14:paraId="107D61DA" w14:textId="77777777" w:rsidR="00F134F4" w:rsidRPr="00475027" w:rsidRDefault="00F134F4" w:rsidP="00FE4006">
      <w:pPr>
        <w:pStyle w:val="Text"/>
        <w:spacing w:before="0" w:after="0"/>
        <w:ind w:left="0"/>
        <w:jc w:val="left"/>
        <w:rPr>
          <w:rFonts w:ascii="Times New Roman" w:hAnsi="Times New Roman"/>
          <w:color w:val="000000"/>
          <w:sz w:val="22"/>
          <w:szCs w:val="22"/>
          <w:lang w:val="sk-SK"/>
        </w:rPr>
      </w:pPr>
      <w:r w:rsidRPr="00475027">
        <w:rPr>
          <w:rFonts w:ascii="Times New Roman" w:hAnsi="Times New Roman"/>
          <w:color w:val="000000"/>
          <w:sz w:val="22"/>
          <w:szCs w:val="22"/>
          <w:lang w:val="sk-SK"/>
        </w:rPr>
        <w:t xml:space="preserve">Časté: bolesť  ramena, paže a krku, myalgia ramena a lýtka  </w:t>
      </w:r>
    </w:p>
    <w:p w14:paraId="351FB42C" w14:textId="77777777" w:rsidR="00F134F4" w:rsidRPr="00475027" w:rsidRDefault="00F134F4" w:rsidP="00FE4006">
      <w:pPr>
        <w:pStyle w:val="Text"/>
        <w:spacing w:before="0" w:after="0"/>
        <w:ind w:left="0"/>
        <w:jc w:val="left"/>
        <w:rPr>
          <w:rFonts w:ascii="Times New Roman" w:hAnsi="Times New Roman"/>
          <w:color w:val="000000"/>
          <w:sz w:val="22"/>
          <w:szCs w:val="22"/>
          <w:u w:val="single"/>
          <w:lang w:val="sk-SK"/>
        </w:rPr>
      </w:pPr>
    </w:p>
    <w:p w14:paraId="1C4FDCDF" w14:textId="77777777" w:rsidR="00F134F4" w:rsidRPr="00475027" w:rsidRDefault="00F134F4" w:rsidP="00FE4006">
      <w:pPr>
        <w:pStyle w:val="Body"/>
        <w:rPr>
          <w:b/>
          <w:color w:val="000000"/>
          <w:sz w:val="22"/>
          <w:szCs w:val="22"/>
          <w:lang w:val="sk-SK"/>
        </w:rPr>
      </w:pPr>
      <w:r w:rsidRPr="00475027">
        <w:rPr>
          <w:b/>
          <w:color w:val="000000"/>
          <w:sz w:val="22"/>
          <w:szCs w:val="22"/>
          <w:lang w:val="sk-SK"/>
        </w:rPr>
        <w:t>Post-marketingová skúsenosť</w:t>
      </w:r>
    </w:p>
    <w:p w14:paraId="3ED9052B"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Profil nežiaducich účinkov hlásených spoločnosti počas post-marketingového používania odráža farmakológiu lieku a odpovedá zodpovedá nežiaducim účinkom počas klinických štúdií. </w:t>
      </w:r>
    </w:p>
    <w:p w14:paraId="26A81844" w14:textId="77777777" w:rsidR="00F134F4" w:rsidRPr="00475027" w:rsidRDefault="00F134F4" w:rsidP="00FE4006">
      <w:pPr>
        <w:shd w:val="clear" w:color="auto" w:fill="FFFFFF"/>
        <w:rPr>
          <w:rFonts w:ascii="Times New Roman" w:hAnsi="Times New Roman" w:cs="Times New Roman"/>
          <w:color w:val="000000"/>
          <w:sz w:val="22"/>
          <w:szCs w:val="22"/>
          <w:lang w:val="sk-SK"/>
        </w:rPr>
      </w:pPr>
    </w:p>
    <w:p w14:paraId="19B7B3C9" w14:textId="77777777" w:rsidR="00F134F4" w:rsidRPr="00475027" w:rsidRDefault="00F134F4" w:rsidP="00FE4006">
      <w:pPr>
        <w:shd w:val="clear" w:color="auto" w:fill="FFFFFF"/>
        <w:rPr>
          <w:rFonts w:ascii="Times New Roman" w:hAnsi="Times New Roman" w:cs="Times New Roman"/>
          <w:color w:val="000000"/>
          <w:sz w:val="22"/>
          <w:szCs w:val="22"/>
          <w:lang w:val="sk-SK"/>
        </w:rPr>
      </w:pPr>
      <w:r w:rsidRPr="00475027">
        <w:rPr>
          <w:rFonts w:ascii="Times New Roman" w:hAnsi="Times New Roman" w:cs="Times New Roman"/>
          <w:color w:val="000000"/>
          <w:sz w:val="22"/>
          <w:szCs w:val="22"/>
          <w:lang w:val="sk-SK"/>
        </w:rPr>
        <w:t xml:space="preserve">Ojedinele bola hlásená precitlivenosť. </w:t>
      </w:r>
    </w:p>
    <w:p w14:paraId="3778D9A5" w14:textId="77777777" w:rsidR="00F134F4" w:rsidRPr="00475027" w:rsidRDefault="00F134F4" w:rsidP="00FE4006">
      <w:pPr>
        <w:pStyle w:val="Body"/>
        <w:rPr>
          <w:color w:val="000000"/>
          <w:sz w:val="22"/>
          <w:szCs w:val="22"/>
          <w:lang w:val="sk-SK"/>
        </w:rPr>
      </w:pPr>
    </w:p>
    <w:p w14:paraId="32426E8D" w14:textId="77777777" w:rsidR="00F134F4" w:rsidRPr="00475027" w:rsidRDefault="00F134F4" w:rsidP="00FE4006">
      <w:pPr>
        <w:tabs>
          <w:tab w:val="left" w:pos="5387"/>
        </w:tabs>
        <w:jc w:val="both"/>
        <w:rPr>
          <w:rFonts w:ascii="Times New Roman" w:hAnsi="Times New Roman" w:cs="Times New Roman"/>
          <w:color w:val="000000"/>
          <w:sz w:val="22"/>
          <w:szCs w:val="22"/>
          <w:lang w:val="sk-SK"/>
        </w:rPr>
      </w:pPr>
      <w:r w:rsidRPr="00475027">
        <w:rPr>
          <w:rFonts w:ascii="Times New Roman" w:hAnsi="Times New Roman" w:cs="Times New Roman"/>
          <w:color w:val="000000"/>
          <w:sz w:val="22"/>
          <w:szCs w:val="22"/>
          <w:lang w:val="sk-SK"/>
        </w:rPr>
        <w:t>Nežiaduce účinky súvisiace so šírením toxínu mimo miesta aplikácie boli hlásené veľmi zriedkavo (zvýšená svalová slabosť, dysfágia, aspiračná pneumónia s následkom smrti v niektorých prípadoch) (pozri časť 4.4).</w:t>
      </w:r>
    </w:p>
    <w:p w14:paraId="3997E85F" w14:textId="77777777" w:rsidR="00F134F4" w:rsidRPr="00475027" w:rsidRDefault="00F134F4" w:rsidP="00FE4006">
      <w:pPr>
        <w:tabs>
          <w:tab w:val="left" w:pos="5387"/>
        </w:tabs>
        <w:jc w:val="both"/>
        <w:rPr>
          <w:rFonts w:ascii="Times New Roman" w:hAnsi="Times New Roman" w:cs="Times New Roman"/>
          <w:color w:val="000000"/>
          <w:sz w:val="22"/>
          <w:szCs w:val="22"/>
          <w:lang w:val="sk-SK"/>
        </w:rPr>
      </w:pPr>
    </w:p>
    <w:p w14:paraId="13BA537D" w14:textId="77777777" w:rsidR="00F134F4" w:rsidRPr="00475027" w:rsidRDefault="00F134F4" w:rsidP="0032454E">
      <w:pPr>
        <w:suppressLineNumbers/>
        <w:autoSpaceDE w:val="0"/>
        <w:autoSpaceDN w:val="0"/>
        <w:adjustRightInd w:val="0"/>
        <w:rPr>
          <w:rFonts w:ascii="Times New Roman" w:hAnsi="Times New Roman" w:cs="Times New Roman"/>
          <w:color w:val="000000"/>
          <w:sz w:val="22"/>
          <w:szCs w:val="22"/>
          <w:u w:val="single"/>
          <w:lang w:val="sk-SK"/>
        </w:rPr>
      </w:pPr>
      <w:r w:rsidRPr="00475027">
        <w:rPr>
          <w:rFonts w:ascii="Times New Roman" w:hAnsi="Times New Roman" w:cs="Times New Roman"/>
          <w:color w:val="000000"/>
          <w:sz w:val="22"/>
          <w:szCs w:val="22"/>
          <w:u w:val="single"/>
          <w:lang w:val="sk-SK"/>
        </w:rPr>
        <w:t>Hlásenie podozrení na nežiaduce reakcie</w:t>
      </w:r>
    </w:p>
    <w:p w14:paraId="6E21A71E" w14:textId="0B5CC192" w:rsidR="00F134F4" w:rsidRPr="00475027" w:rsidRDefault="00F134F4" w:rsidP="00244608">
      <w:pPr>
        <w:suppressLineNumbers/>
        <w:autoSpaceDE w:val="0"/>
        <w:autoSpaceDN w:val="0"/>
        <w:adjustRightInd w:val="0"/>
        <w:jc w:val="both"/>
        <w:rPr>
          <w:rFonts w:ascii="Times New Roman" w:hAnsi="Times New Roman" w:cs="Times New Roman"/>
          <w:color w:val="000000"/>
          <w:sz w:val="22"/>
          <w:szCs w:val="22"/>
          <w:lang w:val="sk-SK"/>
        </w:rPr>
      </w:pPr>
      <w:r w:rsidRPr="00475027">
        <w:rPr>
          <w:rFonts w:ascii="Times New Roman" w:hAnsi="Times New Roman" w:cs="Times New Roman"/>
          <w:noProof/>
          <w:sz w:val="22"/>
          <w:szCs w:val="22"/>
          <w:lang w:val="sk-SK" w:eastAsia="sk-SK"/>
        </w:rPr>
        <w:t>Hlásenie podozrení na nežiaduce reakcie po registrácii lieku je dôležité.</w:t>
      </w:r>
      <w:r w:rsidRPr="00475027">
        <w:rPr>
          <w:rFonts w:ascii="Times New Roman" w:hAnsi="Times New Roman" w:cs="Times New Roman"/>
          <w:sz w:val="22"/>
          <w:szCs w:val="22"/>
          <w:lang w:val="sk-SK" w:eastAsia="sk-SK"/>
        </w:rPr>
        <w:t xml:space="preserve"> </w:t>
      </w:r>
      <w:r w:rsidRPr="00475027">
        <w:rPr>
          <w:rFonts w:ascii="Times New Roman" w:hAnsi="Times New Roman" w:cs="Times New Roman"/>
          <w:noProof/>
          <w:sz w:val="22"/>
          <w:szCs w:val="22"/>
          <w:lang w:val="sk-SK" w:eastAsia="sk-SK"/>
        </w:rPr>
        <w:t>Umožňuje priebežné monitorovanie pomeru prínosu a rizika lieku.</w:t>
      </w:r>
      <w:r w:rsidRPr="00475027">
        <w:rPr>
          <w:rFonts w:ascii="Times New Roman" w:hAnsi="Times New Roman" w:cs="Times New Roman"/>
          <w:sz w:val="22"/>
          <w:szCs w:val="22"/>
          <w:lang w:val="sk-SK" w:eastAsia="sk-SK"/>
        </w:rPr>
        <w:t xml:space="preserve"> Od </w:t>
      </w:r>
      <w:r w:rsidRPr="00475027">
        <w:rPr>
          <w:rFonts w:ascii="Times New Roman" w:hAnsi="Times New Roman" w:cs="Times New Roman"/>
          <w:noProof/>
          <w:sz w:val="22"/>
          <w:szCs w:val="22"/>
          <w:lang w:val="sk-SK" w:eastAsia="sk-SK"/>
        </w:rPr>
        <w:t xml:space="preserve">zdravotníckych pracovníkov sa vyžaduje, aby hlásili akékoľvek podozrenia na nežiaduce reakcie </w:t>
      </w:r>
      <w:r w:rsidR="00C870A9">
        <w:rPr>
          <w:rFonts w:ascii="Times New Roman" w:hAnsi="Times New Roman" w:cs="Times New Roman"/>
          <w:noProof/>
          <w:sz w:val="22"/>
          <w:szCs w:val="22"/>
          <w:lang w:val="sk-SK" w:eastAsia="sk-SK"/>
        </w:rPr>
        <w:t>na</w:t>
      </w:r>
      <w:r w:rsidRPr="00475027">
        <w:rPr>
          <w:rFonts w:ascii="Times New Roman" w:hAnsi="Times New Roman" w:cs="Times New Roman"/>
          <w:noProof/>
          <w:sz w:val="22"/>
          <w:szCs w:val="22"/>
          <w:lang w:val="sk-SK" w:eastAsia="sk-SK"/>
        </w:rPr>
        <w:t xml:space="preserve"> </w:t>
      </w:r>
      <w:r w:rsidRPr="00475027">
        <w:rPr>
          <w:rFonts w:ascii="Times New Roman" w:hAnsi="Times New Roman" w:cs="Times New Roman"/>
          <w:noProof/>
          <w:sz w:val="22"/>
          <w:szCs w:val="22"/>
          <w:highlight w:val="lightGray"/>
          <w:lang w:val="sk-SK" w:eastAsia="sk-SK"/>
        </w:rPr>
        <w:t xml:space="preserve">národné </w:t>
      </w:r>
      <w:r w:rsidR="00C870A9">
        <w:rPr>
          <w:rFonts w:ascii="Times New Roman" w:hAnsi="Times New Roman" w:cs="Times New Roman"/>
          <w:noProof/>
          <w:sz w:val="22"/>
          <w:szCs w:val="22"/>
          <w:highlight w:val="lightGray"/>
          <w:lang w:val="sk-SK" w:eastAsia="sk-SK"/>
        </w:rPr>
        <w:t xml:space="preserve">centrum </w:t>
      </w:r>
      <w:r w:rsidRPr="00475027">
        <w:rPr>
          <w:rFonts w:ascii="Times New Roman" w:hAnsi="Times New Roman" w:cs="Times New Roman"/>
          <w:noProof/>
          <w:sz w:val="22"/>
          <w:szCs w:val="22"/>
          <w:highlight w:val="lightGray"/>
          <w:lang w:val="sk-SK" w:eastAsia="sk-SK"/>
        </w:rPr>
        <w:t>hlásenia uvedené v </w:t>
      </w:r>
      <w:hyperlink r:id="rId10" w:history="1">
        <w:r w:rsidRPr="00475027">
          <w:rPr>
            <w:rFonts w:ascii="Times New Roman" w:hAnsi="Times New Roman" w:cs="Times New Roman"/>
            <w:noProof/>
            <w:color w:val="0000FF"/>
            <w:sz w:val="22"/>
            <w:szCs w:val="22"/>
            <w:highlight w:val="lightGray"/>
            <w:u w:val="single"/>
            <w:lang w:val="sk-SK" w:eastAsia="sk-SK"/>
          </w:rPr>
          <w:t>Prílohe V</w:t>
        </w:r>
      </w:hyperlink>
      <w:r w:rsidRPr="00475027">
        <w:rPr>
          <w:rFonts w:ascii="Times New Roman" w:hAnsi="Times New Roman" w:cs="Times New Roman"/>
          <w:noProof/>
          <w:sz w:val="22"/>
          <w:szCs w:val="22"/>
          <w:lang w:val="sk-SK" w:eastAsia="sk-SK"/>
        </w:rPr>
        <w:t>.</w:t>
      </w:r>
    </w:p>
    <w:p w14:paraId="1C151965" w14:textId="77777777" w:rsidR="00F134F4" w:rsidRPr="00475027" w:rsidRDefault="00F134F4" w:rsidP="00FE4006">
      <w:pPr>
        <w:tabs>
          <w:tab w:val="left" w:pos="5387"/>
        </w:tabs>
        <w:jc w:val="both"/>
        <w:rPr>
          <w:rFonts w:ascii="Times New Roman" w:hAnsi="Times New Roman" w:cs="Times New Roman"/>
          <w:color w:val="000000"/>
          <w:sz w:val="22"/>
          <w:szCs w:val="22"/>
          <w:lang w:val="sk-SK"/>
        </w:rPr>
      </w:pPr>
    </w:p>
    <w:p w14:paraId="707BF5F4" w14:textId="77777777" w:rsidR="00F134F4" w:rsidRPr="00475027" w:rsidRDefault="00F134F4" w:rsidP="00FE4006">
      <w:pPr>
        <w:spacing w:line="240" w:lineRule="atLeast"/>
        <w:rPr>
          <w:rFonts w:ascii="Times New Roman" w:hAnsi="Times New Roman" w:cs="Times New Roman"/>
          <w:b/>
          <w:sz w:val="22"/>
          <w:szCs w:val="22"/>
          <w:lang w:val="sk-SK"/>
        </w:rPr>
      </w:pPr>
      <w:r w:rsidRPr="00475027">
        <w:rPr>
          <w:rFonts w:ascii="Times New Roman" w:hAnsi="Times New Roman" w:cs="Times New Roman"/>
          <w:b/>
          <w:sz w:val="22"/>
          <w:szCs w:val="22"/>
          <w:lang w:val="sk-SK"/>
        </w:rPr>
        <w:t>4.9</w:t>
      </w:r>
      <w:r w:rsidRPr="00475027">
        <w:rPr>
          <w:rFonts w:ascii="Times New Roman" w:hAnsi="Times New Roman" w:cs="Times New Roman"/>
          <w:b/>
          <w:sz w:val="22"/>
          <w:szCs w:val="22"/>
          <w:lang w:val="sk-SK"/>
        </w:rPr>
        <w:tab/>
        <w:t>Predávkovanie</w:t>
      </w:r>
    </w:p>
    <w:p w14:paraId="5E978FAB" w14:textId="77777777" w:rsidR="00F134F4" w:rsidRPr="00475027" w:rsidRDefault="00F134F4" w:rsidP="00FE4006">
      <w:pPr>
        <w:spacing w:line="240" w:lineRule="atLeast"/>
        <w:rPr>
          <w:rFonts w:ascii="Times New Roman" w:hAnsi="Times New Roman" w:cs="Times New Roman"/>
          <w:b/>
          <w:sz w:val="22"/>
          <w:szCs w:val="22"/>
          <w:lang w:val="sk-SK"/>
        </w:rPr>
      </w:pPr>
    </w:p>
    <w:p w14:paraId="776F810A" w14:textId="77777777" w:rsidR="00F134F4" w:rsidRPr="00475027" w:rsidRDefault="00F134F4" w:rsidP="00EB2A6F">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lastRenderedPageBreak/>
        <w:t>Excesívne dávky môžu spôsobiť vzdialenú a hlbokú nervovosvalovú paralýzu. Predávkovanie môže viesť k zvýšenému riziku vstupu neurotoxínu do krvného obehu a môže zapríčiniť komplikácie spojené s účinkom perorálnej otravy botulotoxínom (napr. sťažené prehĺtanie a dysfónia).</w:t>
      </w:r>
    </w:p>
    <w:p w14:paraId="0BB64862"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Pokiaľ spôsobia excesívne dávky paralýzu respiračných svalov, môže byť nutná respiračná podpora. Neexistuje žiadne špecifické antidotum, nedá sa očakávať úspešnosť antitoxínu a odporúča sa celková podporná starostlivosť. </w:t>
      </w:r>
    </w:p>
    <w:p w14:paraId="6B0392DE" w14:textId="77777777" w:rsidR="00F134F4" w:rsidRPr="00475027" w:rsidRDefault="00F134F4" w:rsidP="00FE4006">
      <w:pPr>
        <w:shd w:val="clear" w:color="auto" w:fill="FFFFFF"/>
        <w:spacing w:line="274" w:lineRule="exact"/>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V prípade predávkovania má byť pacient sledovaný lekárom na prípadné známky a/alebo príznaky nadmernej svalovej slabosti alebo svalovej paralýzy. V prípade potreby môže byť začatá symptomatická liečba. </w:t>
      </w:r>
    </w:p>
    <w:p w14:paraId="0326427E" w14:textId="77777777" w:rsidR="00F134F4" w:rsidRPr="00475027" w:rsidRDefault="00F134F4" w:rsidP="00FE4006">
      <w:pPr>
        <w:jc w:val="both"/>
        <w:rPr>
          <w:rFonts w:ascii="Times New Roman" w:hAnsi="Times New Roman" w:cs="Times New Roman"/>
          <w:sz w:val="22"/>
          <w:szCs w:val="22"/>
          <w:highlight w:val="yellow"/>
          <w:lang w:val="sk-SK"/>
        </w:rPr>
      </w:pPr>
    </w:p>
    <w:p w14:paraId="6DD1885A" w14:textId="77777777" w:rsidR="00F134F4" w:rsidRPr="00475027" w:rsidRDefault="00F134F4" w:rsidP="00FA64EF">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Príznaky predávkovania sa nemusia objaviť bezprostredne po injekcií. V prípade použitia náhodnej injekcie alebo perorálneho užitia, pacient má byť sledovaný lekárskymi vyšetreniami až po dobu niekoľkých týždňov na prípadné prejavy a/alebo príznaky nadmernej svalovej slabosti alebo svalovej paralýzy.</w:t>
      </w:r>
    </w:p>
    <w:p w14:paraId="1A68E7D3" w14:textId="77777777" w:rsidR="00F134F4" w:rsidRPr="00475027" w:rsidRDefault="00F134F4" w:rsidP="00FA64EF">
      <w:pPr>
        <w:jc w:val="both"/>
        <w:rPr>
          <w:rFonts w:ascii="Times New Roman" w:hAnsi="Times New Roman" w:cs="Times New Roman"/>
          <w:sz w:val="22"/>
          <w:szCs w:val="22"/>
          <w:lang w:val="sk-SK"/>
        </w:rPr>
      </w:pPr>
    </w:p>
    <w:p w14:paraId="45924F43" w14:textId="77777777" w:rsidR="00F134F4" w:rsidRPr="00475027" w:rsidRDefault="00F134F4" w:rsidP="00FA64EF">
      <w:pPr>
        <w:jc w:val="both"/>
        <w:rPr>
          <w:rFonts w:ascii="Times New Roman" w:hAnsi="Times New Roman" w:cs="Times New Roman"/>
          <w:sz w:val="22"/>
          <w:szCs w:val="22"/>
          <w:lang w:val="sk-SK"/>
        </w:rPr>
      </w:pPr>
    </w:p>
    <w:p w14:paraId="18F78D5E" w14:textId="77777777" w:rsidR="00F134F4" w:rsidRPr="00475027" w:rsidRDefault="00F134F4" w:rsidP="00FE4006">
      <w:pPr>
        <w:spacing w:line="240" w:lineRule="atLeast"/>
        <w:rPr>
          <w:rFonts w:ascii="Times New Roman" w:hAnsi="Times New Roman" w:cs="Times New Roman"/>
          <w:b/>
          <w:sz w:val="22"/>
          <w:szCs w:val="22"/>
          <w:lang w:val="sk-SK"/>
        </w:rPr>
      </w:pPr>
      <w:r w:rsidRPr="00475027">
        <w:rPr>
          <w:rFonts w:ascii="Times New Roman" w:hAnsi="Times New Roman" w:cs="Times New Roman"/>
          <w:b/>
          <w:sz w:val="22"/>
          <w:szCs w:val="22"/>
          <w:lang w:val="sk-SK"/>
        </w:rPr>
        <w:t>5.</w:t>
      </w:r>
      <w:r w:rsidRPr="00475027">
        <w:rPr>
          <w:rFonts w:ascii="Times New Roman" w:hAnsi="Times New Roman" w:cs="Times New Roman"/>
          <w:b/>
          <w:sz w:val="22"/>
          <w:szCs w:val="22"/>
          <w:lang w:val="sk-SK"/>
        </w:rPr>
        <w:tab/>
        <w:t>FARMAKOLOGICKÉ VLASTNOSTI</w:t>
      </w:r>
    </w:p>
    <w:p w14:paraId="6BF70252" w14:textId="77777777" w:rsidR="00F134F4" w:rsidRPr="00475027" w:rsidRDefault="00F134F4" w:rsidP="00FE4006">
      <w:pPr>
        <w:spacing w:line="240" w:lineRule="atLeast"/>
        <w:rPr>
          <w:rFonts w:ascii="Times New Roman" w:hAnsi="Times New Roman" w:cs="Times New Roman"/>
          <w:b/>
          <w:sz w:val="22"/>
          <w:szCs w:val="22"/>
          <w:lang w:val="sk-SK"/>
        </w:rPr>
      </w:pPr>
    </w:p>
    <w:p w14:paraId="7E210650" w14:textId="77777777" w:rsidR="00F134F4" w:rsidRPr="00475027" w:rsidRDefault="00F134F4" w:rsidP="00FE4006">
      <w:pPr>
        <w:spacing w:line="240" w:lineRule="atLeast"/>
        <w:rPr>
          <w:rFonts w:ascii="Times New Roman" w:hAnsi="Times New Roman" w:cs="Times New Roman"/>
          <w:b/>
          <w:sz w:val="22"/>
          <w:szCs w:val="22"/>
          <w:lang w:val="sk-SK"/>
        </w:rPr>
      </w:pPr>
      <w:r w:rsidRPr="00475027">
        <w:rPr>
          <w:rFonts w:ascii="Times New Roman" w:hAnsi="Times New Roman" w:cs="Times New Roman"/>
          <w:b/>
          <w:sz w:val="22"/>
          <w:szCs w:val="22"/>
          <w:lang w:val="sk-SK"/>
        </w:rPr>
        <w:t>5.1</w:t>
      </w:r>
      <w:r w:rsidRPr="00475027">
        <w:rPr>
          <w:rFonts w:ascii="Times New Roman" w:hAnsi="Times New Roman" w:cs="Times New Roman"/>
          <w:b/>
          <w:sz w:val="22"/>
          <w:szCs w:val="22"/>
          <w:lang w:val="sk-SK"/>
        </w:rPr>
        <w:tab/>
        <w:t>Farmakodynamické vlastnosti</w:t>
      </w:r>
    </w:p>
    <w:p w14:paraId="53FC1516" w14:textId="77777777" w:rsidR="00F134F4" w:rsidRPr="00475027" w:rsidRDefault="00F134F4" w:rsidP="00FE4006">
      <w:pPr>
        <w:spacing w:line="240" w:lineRule="atLeast"/>
        <w:rPr>
          <w:rFonts w:ascii="Times New Roman" w:hAnsi="Times New Roman" w:cs="Times New Roman"/>
          <w:b/>
          <w:sz w:val="22"/>
          <w:szCs w:val="22"/>
          <w:lang w:val="sk-SK"/>
        </w:rPr>
      </w:pPr>
    </w:p>
    <w:p w14:paraId="08C1C7BC" w14:textId="77777777" w:rsidR="00F134F4" w:rsidRPr="00475027" w:rsidRDefault="00F134F4" w:rsidP="00FE4006">
      <w:pPr>
        <w:spacing w:line="240" w:lineRule="atLeast"/>
        <w:rPr>
          <w:rFonts w:ascii="Times New Roman" w:hAnsi="Times New Roman" w:cs="Times New Roman"/>
          <w:sz w:val="22"/>
          <w:szCs w:val="22"/>
          <w:lang w:val="sk-SK"/>
        </w:rPr>
      </w:pPr>
      <w:r w:rsidRPr="00475027">
        <w:rPr>
          <w:rFonts w:ascii="Times New Roman" w:hAnsi="Times New Roman" w:cs="Times New Roman"/>
          <w:sz w:val="22"/>
          <w:szCs w:val="22"/>
          <w:lang w:val="sk-SK"/>
        </w:rPr>
        <w:t>Farmakoterapeutická skupina: myorelaxans,</w:t>
      </w:r>
    </w:p>
    <w:p w14:paraId="0D182981" w14:textId="77777777" w:rsidR="00F134F4" w:rsidRPr="00475027" w:rsidRDefault="00F134F4" w:rsidP="00FE4006">
      <w:pPr>
        <w:spacing w:line="240" w:lineRule="atLeast"/>
        <w:rPr>
          <w:rFonts w:ascii="Times New Roman" w:hAnsi="Times New Roman" w:cs="Times New Roman"/>
          <w:sz w:val="22"/>
          <w:szCs w:val="22"/>
          <w:lang w:val="sk-SK"/>
        </w:rPr>
      </w:pPr>
      <w:r w:rsidRPr="00475027">
        <w:rPr>
          <w:rFonts w:ascii="Times New Roman" w:hAnsi="Times New Roman" w:cs="Times New Roman"/>
          <w:sz w:val="22"/>
          <w:szCs w:val="22"/>
          <w:lang w:val="sk-SK"/>
        </w:rPr>
        <w:t>ATC kód: M03AX01.</w:t>
      </w:r>
    </w:p>
    <w:p w14:paraId="72FCE1CC" w14:textId="77777777" w:rsidR="00F134F4" w:rsidRPr="00475027" w:rsidRDefault="00F134F4" w:rsidP="00FE4006">
      <w:pPr>
        <w:spacing w:line="240" w:lineRule="atLeast"/>
        <w:rPr>
          <w:rFonts w:ascii="Times New Roman" w:hAnsi="Times New Roman" w:cs="Times New Roman"/>
          <w:sz w:val="22"/>
          <w:szCs w:val="22"/>
          <w:lang w:val="sk-SK"/>
        </w:rPr>
      </w:pPr>
    </w:p>
    <w:p w14:paraId="6A6F4831"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i/>
          <w:sz w:val="22"/>
          <w:szCs w:val="22"/>
          <w:lang w:val="sk-SK"/>
        </w:rPr>
        <w:t xml:space="preserve">Clostridium botulinum toxin </w:t>
      </w:r>
      <w:r w:rsidRPr="00475027">
        <w:rPr>
          <w:rFonts w:ascii="Times New Roman" w:hAnsi="Times New Roman" w:cs="Times New Roman"/>
          <w:sz w:val="22"/>
          <w:szCs w:val="22"/>
          <w:lang w:val="sk-SK"/>
        </w:rPr>
        <w:t>typu A - hemaglutinín komplex blokuje periférny cholinergický prenos na neuromuskulárnom spojení blokádou uvoľňovania acetylcholínu na presynaptickej membráne. Toxín účinkuje na nervovom zakončení, kde antagonizuje tie pochody, ktoré sú spustené Ca</w:t>
      </w:r>
      <w:r w:rsidRPr="00475027">
        <w:rPr>
          <w:rFonts w:ascii="Times New Roman" w:hAnsi="Times New Roman" w:cs="Times New Roman"/>
          <w:sz w:val="22"/>
          <w:szCs w:val="22"/>
          <w:vertAlign w:val="superscript"/>
          <w:lang w:val="sk-SK"/>
        </w:rPr>
        <w:t>2+</w:t>
      </w:r>
      <w:r w:rsidRPr="00475027">
        <w:rPr>
          <w:rFonts w:ascii="Times New Roman" w:hAnsi="Times New Roman" w:cs="Times New Roman"/>
          <w:sz w:val="22"/>
          <w:szCs w:val="22"/>
          <w:lang w:val="sk-SK"/>
        </w:rPr>
        <w:t xml:space="preserve"> a vrcholí uvoľnením transmiteru. Neúčinkuje na postganglionálny cholinergický prenos ani na postganglionálny sympatický prenos.</w:t>
      </w:r>
    </w:p>
    <w:p w14:paraId="4A316E05" w14:textId="77777777" w:rsidR="00F134F4" w:rsidRPr="00475027" w:rsidRDefault="00F134F4" w:rsidP="00FE4006">
      <w:pPr>
        <w:jc w:val="both"/>
        <w:rPr>
          <w:rFonts w:ascii="Times New Roman" w:hAnsi="Times New Roman" w:cs="Times New Roman"/>
          <w:sz w:val="22"/>
          <w:szCs w:val="22"/>
          <w:lang w:val="sk-SK"/>
        </w:rPr>
      </w:pPr>
    </w:p>
    <w:p w14:paraId="65569712"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Účinok toxínu zahŕňa iniciálny krok naviazania sa, čím sa toxín rýchle a dychtivo pripojí na presynaptickú nervovú membránu. Druhotne nastáva krok internalizácie, v ktorom toxín prechádza presynaptickou membránou, ale ešte nenastáva paralýza. Nakoniec toxín inhibuje uvoľnenie acetylcholínu prerušením Ca</w:t>
      </w:r>
      <w:r w:rsidRPr="00475027">
        <w:rPr>
          <w:rFonts w:ascii="Times New Roman" w:hAnsi="Times New Roman" w:cs="Times New Roman"/>
          <w:sz w:val="22"/>
          <w:szCs w:val="22"/>
          <w:vertAlign w:val="superscript"/>
          <w:lang w:val="sk-SK"/>
        </w:rPr>
        <w:t xml:space="preserve">2+ </w:t>
      </w:r>
      <w:r w:rsidRPr="00475027">
        <w:rPr>
          <w:rFonts w:ascii="Times New Roman" w:hAnsi="Times New Roman" w:cs="Times New Roman"/>
          <w:sz w:val="22"/>
          <w:szCs w:val="22"/>
          <w:lang w:val="sk-SK"/>
        </w:rPr>
        <w:t>sprostredkovaného mechanizmu uvoľnenia acetylcholínu, čím zmenšuje potenciál platničiek a spôsobí paralýzu.</w:t>
      </w:r>
    </w:p>
    <w:p w14:paraId="45EE84E6" w14:textId="77777777" w:rsidR="00F134F4" w:rsidRPr="00475027" w:rsidRDefault="00F134F4" w:rsidP="00FE4006">
      <w:pPr>
        <w:jc w:val="both"/>
        <w:rPr>
          <w:rFonts w:ascii="Times New Roman" w:hAnsi="Times New Roman" w:cs="Times New Roman"/>
          <w:sz w:val="22"/>
          <w:szCs w:val="22"/>
          <w:lang w:val="sk-SK"/>
        </w:rPr>
      </w:pPr>
    </w:p>
    <w:p w14:paraId="6A6D52F4"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Obnova prenosu vzruchu sa objavuje postupne tak, ako pučia nové nervové zakončenia a tvorí sa kontakt s postsynaptickou motorickou platničkou. Tento proces trvá u experimentálnych zvierat 6-8 týždňov. </w:t>
      </w:r>
    </w:p>
    <w:p w14:paraId="7F144DF4" w14:textId="77777777" w:rsidR="00F134F4" w:rsidRPr="00475027" w:rsidRDefault="00F134F4" w:rsidP="00FE4006">
      <w:pPr>
        <w:jc w:val="both"/>
        <w:rPr>
          <w:rFonts w:ascii="Times New Roman" w:hAnsi="Times New Roman" w:cs="Times New Roman"/>
          <w:sz w:val="22"/>
          <w:szCs w:val="22"/>
          <w:lang w:val="sk-SK"/>
        </w:rPr>
      </w:pPr>
    </w:p>
    <w:p w14:paraId="48FF7862" w14:textId="77777777" w:rsidR="00F134F4" w:rsidRPr="00475027" w:rsidRDefault="00F134F4" w:rsidP="00FE4006">
      <w:pPr>
        <w:jc w:val="both"/>
        <w:rPr>
          <w:rFonts w:ascii="Times New Roman" w:hAnsi="Times New Roman" w:cs="Times New Roman"/>
          <w:sz w:val="22"/>
          <w:szCs w:val="22"/>
          <w:u w:val="single"/>
          <w:lang w:val="sk-SK"/>
        </w:rPr>
      </w:pPr>
      <w:r w:rsidRPr="00475027">
        <w:rPr>
          <w:rFonts w:ascii="Times New Roman" w:hAnsi="Times New Roman" w:cs="Times New Roman"/>
          <w:sz w:val="22"/>
          <w:szCs w:val="22"/>
          <w:u w:val="single"/>
          <w:lang w:val="sk-SK"/>
        </w:rPr>
        <w:t>Symptomatická liečba fokálnej spasticity horných končatín u dospelých</w:t>
      </w:r>
    </w:p>
    <w:p w14:paraId="0BBA336D" w14:textId="77777777" w:rsidR="00F134F4" w:rsidRPr="00475027" w:rsidRDefault="00F134F4" w:rsidP="00FE4006">
      <w:pPr>
        <w:jc w:val="both"/>
        <w:rPr>
          <w:rFonts w:ascii="Times New Roman" w:hAnsi="Times New Roman" w:cs="Times New Roman"/>
          <w:sz w:val="22"/>
          <w:szCs w:val="22"/>
          <w:u w:val="single"/>
          <w:lang w:val="sk-SK"/>
        </w:rPr>
      </w:pPr>
    </w:p>
    <w:p w14:paraId="01539EB0"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Účinnosť a bezpečnosť liečby Dysportom pri spasticite horných končatín bola hodnotená v randomizovanej, multicentrickej, dvojito-zaslepenej, placebom-kontrolovanej štúdii, v ktorej bolo zaradených 238 pacientov (159 liečených liekom Dysport a 79 placebom) so spasticitou hornej končatiny, ktorí boli najmenej 6 mesiacov po cievnej mozgovej príhode alebo post-traumatickom poškodení mozgu.</w:t>
      </w:r>
    </w:p>
    <w:p w14:paraId="7FFB815A"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Primárnym parametrom účinnosti bola zmena svalového tonusu v 4. týždni v primárnej cieľovej svalovej skupine (PTMG), zahŕňajúcej vonkajšie flexory prstov (</w:t>
      </w:r>
      <w:r w:rsidRPr="00475027">
        <w:rPr>
          <w:rFonts w:ascii="Times New Roman" w:hAnsi="Times New Roman" w:cs="Times New Roman"/>
          <w:i/>
          <w:sz w:val="22"/>
          <w:szCs w:val="22"/>
          <w:lang w:val="sk-SK"/>
        </w:rPr>
        <w:t>m. flexor digitorum profundus</w:t>
      </w:r>
      <w:r w:rsidRPr="00475027">
        <w:rPr>
          <w:rFonts w:ascii="Times New Roman" w:hAnsi="Times New Roman" w:cs="Times New Roman"/>
          <w:sz w:val="22"/>
          <w:szCs w:val="22"/>
          <w:lang w:val="sk-SK"/>
        </w:rPr>
        <w:t xml:space="preserve"> a </w:t>
      </w:r>
      <w:r w:rsidRPr="00475027">
        <w:rPr>
          <w:rFonts w:ascii="Times New Roman" w:hAnsi="Times New Roman" w:cs="Times New Roman"/>
          <w:i/>
          <w:sz w:val="22"/>
          <w:szCs w:val="22"/>
          <w:lang w:val="sk-SK"/>
        </w:rPr>
        <w:t>m. flexor digitorum superficialis</w:t>
      </w:r>
      <w:r w:rsidRPr="00475027">
        <w:rPr>
          <w:rFonts w:ascii="Times New Roman" w:hAnsi="Times New Roman" w:cs="Times New Roman"/>
          <w:sz w:val="22"/>
          <w:szCs w:val="22"/>
          <w:lang w:val="sk-SK"/>
        </w:rPr>
        <w:t>), flexory zápästia (</w:t>
      </w:r>
      <w:r w:rsidRPr="00475027">
        <w:rPr>
          <w:rFonts w:ascii="Times New Roman" w:hAnsi="Times New Roman" w:cs="Times New Roman"/>
          <w:i/>
          <w:sz w:val="22"/>
          <w:szCs w:val="22"/>
          <w:lang w:val="sk-SK"/>
        </w:rPr>
        <w:t>m. flexor carpi radialis</w:t>
      </w:r>
      <w:r w:rsidRPr="00475027">
        <w:rPr>
          <w:rFonts w:ascii="Times New Roman" w:hAnsi="Times New Roman" w:cs="Times New Roman"/>
          <w:sz w:val="22"/>
          <w:szCs w:val="22"/>
          <w:lang w:val="sk-SK"/>
        </w:rPr>
        <w:t xml:space="preserve"> a </w:t>
      </w:r>
      <w:r w:rsidRPr="00475027">
        <w:rPr>
          <w:rFonts w:ascii="Times New Roman" w:hAnsi="Times New Roman" w:cs="Times New Roman"/>
          <w:i/>
          <w:sz w:val="22"/>
          <w:szCs w:val="22"/>
          <w:lang w:val="sk-SK"/>
        </w:rPr>
        <w:t>m. carpi ulnaris</w:t>
      </w:r>
      <w:r w:rsidRPr="00475027">
        <w:rPr>
          <w:rFonts w:ascii="Times New Roman" w:hAnsi="Times New Roman" w:cs="Times New Roman"/>
          <w:sz w:val="22"/>
          <w:szCs w:val="22"/>
          <w:lang w:val="sk-SK"/>
        </w:rPr>
        <w:t>), alebo flexory lakťa (</w:t>
      </w:r>
      <w:r w:rsidRPr="00475027">
        <w:rPr>
          <w:rFonts w:ascii="Times New Roman" w:hAnsi="Times New Roman" w:cs="Times New Roman"/>
          <w:i/>
          <w:sz w:val="22"/>
          <w:szCs w:val="22"/>
          <w:lang w:val="sk-SK"/>
        </w:rPr>
        <w:t>m. brachialis</w:t>
      </w:r>
      <w:r w:rsidRPr="00475027">
        <w:rPr>
          <w:rFonts w:ascii="Times New Roman" w:hAnsi="Times New Roman" w:cs="Times New Roman"/>
          <w:sz w:val="22"/>
          <w:szCs w:val="22"/>
          <w:lang w:val="sk-SK"/>
        </w:rPr>
        <w:t xml:space="preserve"> a prípadne </w:t>
      </w:r>
      <w:r w:rsidRPr="00475027">
        <w:rPr>
          <w:rFonts w:ascii="Times New Roman" w:hAnsi="Times New Roman" w:cs="Times New Roman"/>
          <w:i/>
          <w:sz w:val="22"/>
          <w:szCs w:val="22"/>
          <w:lang w:val="sk-SK"/>
        </w:rPr>
        <w:t>m. brachioradialis</w:t>
      </w:r>
      <w:r w:rsidRPr="00475027">
        <w:rPr>
          <w:rFonts w:ascii="Times New Roman" w:hAnsi="Times New Roman" w:cs="Times New Roman"/>
          <w:sz w:val="22"/>
          <w:szCs w:val="22"/>
          <w:lang w:val="sk-SK"/>
        </w:rPr>
        <w:t>), hodnoteného pomocou modifikovanej Ashworthovej škály (MAS). Sekundárnym parametrom účinnosti bolo celkové hodnotenie odpovede na liečbu lekárom (PGA) v 4. týždni v porovnaní s placebom. Hlavné výsledky dosiahnuté v 4. a 12. týždni sú uvedené nižšie.</w:t>
      </w:r>
    </w:p>
    <w:p w14:paraId="6E9E5B78" w14:textId="77777777" w:rsidR="00F134F4" w:rsidRPr="00475027" w:rsidRDefault="00F134F4" w:rsidP="00FE4006">
      <w:pPr>
        <w:jc w:val="both"/>
        <w:rPr>
          <w:rFonts w:ascii="Times New Roman" w:hAnsi="Times New Roman" w:cs="Times New Roman"/>
          <w:sz w:val="22"/>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798"/>
        <w:gridCol w:w="916"/>
        <w:gridCol w:w="1108"/>
        <w:gridCol w:w="1108"/>
        <w:gridCol w:w="913"/>
        <w:gridCol w:w="1108"/>
        <w:gridCol w:w="1108"/>
      </w:tblGrid>
      <w:tr w:rsidR="00F134F4" w:rsidRPr="00475027" w14:paraId="5AE79156" w14:textId="77777777" w:rsidTr="006C3BB3">
        <w:trPr>
          <w:trHeight w:val="333"/>
        </w:trPr>
        <w:tc>
          <w:tcPr>
            <w:tcW w:w="1586" w:type="pct"/>
            <w:vMerge w:val="restart"/>
          </w:tcPr>
          <w:p w14:paraId="4C28070D" w14:textId="77777777" w:rsidR="00F134F4" w:rsidRPr="00475027" w:rsidRDefault="00F134F4" w:rsidP="006C3BB3">
            <w:pPr>
              <w:spacing w:before="100" w:beforeAutospacing="1" w:after="100" w:afterAutospacing="1"/>
              <w:rPr>
                <w:rFonts w:ascii="Times New Roman" w:hAnsi="Times New Roman"/>
                <w:szCs w:val="24"/>
                <w:highlight w:val="yellow"/>
                <w:lang w:val="sk-SK"/>
              </w:rPr>
            </w:pPr>
          </w:p>
        </w:tc>
        <w:tc>
          <w:tcPr>
            <w:tcW w:w="1705" w:type="pct"/>
            <w:gridSpan w:val="3"/>
          </w:tcPr>
          <w:p w14:paraId="36A34C53" w14:textId="77777777" w:rsidR="00F134F4" w:rsidRPr="00475027" w:rsidRDefault="00F134F4" w:rsidP="005D5FF7">
            <w:pPr>
              <w:pStyle w:val="Body"/>
              <w:jc w:val="center"/>
              <w:rPr>
                <w:sz w:val="22"/>
                <w:lang w:val="sk-SK"/>
              </w:rPr>
            </w:pPr>
            <w:r w:rsidRPr="00475027">
              <w:rPr>
                <w:sz w:val="22"/>
                <w:lang w:val="sk-SK"/>
              </w:rPr>
              <w:t>4. týždeň</w:t>
            </w:r>
          </w:p>
        </w:tc>
        <w:tc>
          <w:tcPr>
            <w:tcW w:w="1709" w:type="pct"/>
            <w:gridSpan w:val="3"/>
          </w:tcPr>
          <w:p w14:paraId="31B3D462" w14:textId="77777777" w:rsidR="00F134F4" w:rsidRPr="00475027" w:rsidRDefault="00F134F4" w:rsidP="005D5FF7">
            <w:pPr>
              <w:pStyle w:val="Body"/>
              <w:jc w:val="center"/>
              <w:rPr>
                <w:sz w:val="22"/>
                <w:lang w:val="sk-SK"/>
              </w:rPr>
            </w:pPr>
            <w:r w:rsidRPr="00475027">
              <w:rPr>
                <w:sz w:val="22"/>
                <w:lang w:val="sk-SK"/>
              </w:rPr>
              <w:t>12. týždeň</w:t>
            </w:r>
          </w:p>
        </w:tc>
      </w:tr>
      <w:tr w:rsidR="00F134F4" w:rsidRPr="00475027" w14:paraId="3272122C" w14:textId="77777777" w:rsidTr="00AA1E3A">
        <w:trPr>
          <w:trHeight w:val="584"/>
        </w:trPr>
        <w:tc>
          <w:tcPr>
            <w:tcW w:w="1586" w:type="pct"/>
            <w:vMerge/>
          </w:tcPr>
          <w:p w14:paraId="00BF7300" w14:textId="77777777" w:rsidR="00F134F4" w:rsidRPr="00475027" w:rsidRDefault="00F134F4" w:rsidP="006C3BB3">
            <w:pPr>
              <w:spacing w:before="100" w:beforeAutospacing="1" w:after="100" w:afterAutospacing="1"/>
              <w:rPr>
                <w:rFonts w:ascii="Times New Roman" w:hAnsi="Times New Roman"/>
                <w:szCs w:val="24"/>
                <w:highlight w:val="yellow"/>
                <w:lang w:val="sk-SK"/>
              </w:rPr>
            </w:pPr>
          </w:p>
        </w:tc>
        <w:tc>
          <w:tcPr>
            <w:tcW w:w="547" w:type="pct"/>
          </w:tcPr>
          <w:p w14:paraId="4BAB89E9" w14:textId="77777777" w:rsidR="00F134F4" w:rsidRPr="00475027" w:rsidRDefault="00F134F4" w:rsidP="005D5FF7">
            <w:pPr>
              <w:pStyle w:val="Body"/>
              <w:jc w:val="center"/>
              <w:rPr>
                <w:sz w:val="22"/>
                <w:lang w:val="sk-SK"/>
              </w:rPr>
            </w:pPr>
            <w:r w:rsidRPr="00475027">
              <w:rPr>
                <w:sz w:val="22"/>
                <w:lang w:val="sk-SK"/>
              </w:rPr>
              <w:t>Placebo</w:t>
            </w:r>
          </w:p>
          <w:p w14:paraId="0ED6915B" w14:textId="77777777" w:rsidR="00F134F4" w:rsidRPr="00475027" w:rsidRDefault="00F134F4" w:rsidP="005D5FF7">
            <w:pPr>
              <w:pStyle w:val="Body"/>
              <w:jc w:val="center"/>
              <w:rPr>
                <w:sz w:val="22"/>
                <w:lang w:val="sk-SK"/>
              </w:rPr>
            </w:pPr>
            <w:r w:rsidRPr="00475027">
              <w:rPr>
                <w:sz w:val="22"/>
                <w:lang w:val="sk-SK"/>
              </w:rPr>
              <w:t>(N=79)</w:t>
            </w:r>
          </w:p>
        </w:tc>
        <w:tc>
          <w:tcPr>
            <w:tcW w:w="578" w:type="pct"/>
          </w:tcPr>
          <w:p w14:paraId="5893099A" w14:textId="77777777" w:rsidR="00F134F4" w:rsidRPr="00475027" w:rsidRDefault="00F134F4" w:rsidP="005D5FF7">
            <w:pPr>
              <w:pStyle w:val="Body"/>
              <w:jc w:val="center"/>
              <w:rPr>
                <w:sz w:val="22"/>
                <w:lang w:val="sk-SK"/>
              </w:rPr>
            </w:pPr>
            <w:r w:rsidRPr="00475027">
              <w:rPr>
                <w:sz w:val="22"/>
                <w:lang w:val="sk-SK"/>
              </w:rPr>
              <w:t>Dysport</w:t>
            </w:r>
          </w:p>
          <w:p w14:paraId="1BE445F8" w14:textId="77777777" w:rsidR="00F134F4" w:rsidRPr="00475027" w:rsidRDefault="00F134F4" w:rsidP="005D5FF7">
            <w:pPr>
              <w:pStyle w:val="Body"/>
              <w:jc w:val="center"/>
              <w:rPr>
                <w:sz w:val="22"/>
                <w:lang w:val="sk-SK"/>
              </w:rPr>
            </w:pPr>
            <w:r w:rsidRPr="00475027">
              <w:rPr>
                <w:sz w:val="22"/>
                <w:lang w:val="sk-SK"/>
              </w:rPr>
              <w:t>(500 jednotiek)</w:t>
            </w:r>
          </w:p>
          <w:p w14:paraId="1F5CF996" w14:textId="77777777" w:rsidR="00F134F4" w:rsidRPr="00475027" w:rsidRDefault="00F134F4" w:rsidP="005D5FF7">
            <w:pPr>
              <w:pStyle w:val="Body"/>
              <w:jc w:val="center"/>
              <w:rPr>
                <w:sz w:val="22"/>
                <w:lang w:val="sk-SK"/>
              </w:rPr>
            </w:pPr>
            <w:r w:rsidRPr="00475027">
              <w:rPr>
                <w:sz w:val="22"/>
                <w:lang w:val="sk-SK"/>
              </w:rPr>
              <w:t>(N=80)</w:t>
            </w:r>
          </w:p>
        </w:tc>
        <w:tc>
          <w:tcPr>
            <w:tcW w:w="580" w:type="pct"/>
          </w:tcPr>
          <w:p w14:paraId="4CDFB5B3" w14:textId="77777777" w:rsidR="00F134F4" w:rsidRPr="00475027" w:rsidRDefault="00F134F4" w:rsidP="005D5FF7">
            <w:pPr>
              <w:pStyle w:val="Body"/>
              <w:jc w:val="center"/>
              <w:rPr>
                <w:sz w:val="22"/>
                <w:lang w:val="sk-SK"/>
              </w:rPr>
            </w:pPr>
            <w:r w:rsidRPr="00475027">
              <w:rPr>
                <w:sz w:val="22"/>
                <w:lang w:val="sk-SK"/>
              </w:rPr>
              <w:t>Dysport</w:t>
            </w:r>
          </w:p>
          <w:p w14:paraId="3D4A756F" w14:textId="77777777" w:rsidR="00F134F4" w:rsidRPr="00475027" w:rsidRDefault="00F134F4" w:rsidP="005D5FF7">
            <w:pPr>
              <w:pStyle w:val="Body"/>
              <w:jc w:val="center"/>
              <w:rPr>
                <w:sz w:val="22"/>
                <w:lang w:val="sk-SK"/>
              </w:rPr>
            </w:pPr>
            <w:r w:rsidRPr="00475027">
              <w:rPr>
                <w:sz w:val="22"/>
                <w:lang w:val="sk-SK"/>
              </w:rPr>
              <w:t>(1000 jednotiek)</w:t>
            </w:r>
          </w:p>
          <w:p w14:paraId="6C880242" w14:textId="77777777" w:rsidR="00F134F4" w:rsidRPr="00475027" w:rsidRDefault="00F134F4" w:rsidP="005D5FF7">
            <w:pPr>
              <w:pStyle w:val="Body"/>
              <w:jc w:val="center"/>
              <w:rPr>
                <w:sz w:val="22"/>
                <w:lang w:val="sk-SK"/>
              </w:rPr>
            </w:pPr>
            <w:r w:rsidRPr="00475027">
              <w:rPr>
                <w:sz w:val="22"/>
                <w:lang w:val="sk-SK"/>
              </w:rPr>
              <w:t>(N=79)</w:t>
            </w:r>
          </w:p>
        </w:tc>
        <w:tc>
          <w:tcPr>
            <w:tcW w:w="525" w:type="pct"/>
          </w:tcPr>
          <w:p w14:paraId="38CB7D23" w14:textId="77777777" w:rsidR="00F134F4" w:rsidRPr="00475027" w:rsidRDefault="00F134F4" w:rsidP="005D5FF7">
            <w:pPr>
              <w:pStyle w:val="Body"/>
              <w:jc w:val="center"/>
              <w:rPr>
                <w:sz w:val="22"/>
                <w:lang w:val="sk-SK"/>
              </w:rPr>
            </w:pPr>
            <w:r w:rsidRPr="00475027">
              <w:rPr>
                <w:sz w:val="22"/>
                <w:lang w:val="sk-SK"/>
              </w:rPr>
              <w:t>Placebo</w:t>
            </w:r>
          </w:p>
          <w:p w14:paraId="718C7590" w14:textId="77777777" w:rsidR="00F134F4" w:rsidRPr="00475027" w:rsidRDefault="00F134F4" w:rsidP="005D5FF7">
            <w:pPr>
              <w:pStyle w:val="Body"/>
              <w:jc w:val="center"/>
              <w:rPr>
                <w:sz w:val="22"/>
                <w:lang w:val="sk-SK"/>
              </w:rPr>
            </w:pPr>
            <w:r w:rsidRPr="00475027">
              <w:rPr>
                <w:sz w:val="22"/>
                <w:lang w:val="sk-SK"/>
              </w:rPr>
              <w:t>(N=79)</w:t>
            </w:r>
          </w:p>
        </w:tc>
        <w:tc>
          <w:tcPr>
            <w:tcW w:w="657" w:type="pct"/>
          </w:tcPr>
          <w:p w14:paraId="34870AF3" w14:textId="77777777" w:rsidR="00F134F4" w:rsidRPr="00475027" w:rsidRDefault="00F134F4" w:rsidP="005D5FF7">
            <w:pPr>
              <w:pStyle w:val="Body"/>
              <w:jc w:val="center"/>
              <w:rPr>
                <w:sz w:val="22"/>
                <w:lang w:val="sk-SK"/>
              </w:rPr>
            </w:pPr>
            <w:r w:rsidRPr="00475027">
              <w:rPr>
                <w:sz w:val="22"/>
                <w:lang w:val="sk-SK"/>
              </w:rPr>
              <w:t>Dysport</w:t>
            </w:r>
          </w:p>
          <w:p w14:paraId="3BBBED03" w14:textId="77777777" w:rsidR="00F134F4" w:rsidRPr="00475027" w:rsidRDefault="00F134F4" w:rsidP="005D5FF7">
            <w:pPr>
              <w:pStyle w:val="Body"/>
              <w:jc w:val="center"/>
              <w:rPr>
                <w:sz w:val="22"/>
                <w:lang w:val="sk-SK"/>
              </w:rPr>
            </w:pPr>
            <w:r w:rsidRPr="00475027">
              <w:rPr>
                <w:sz w:val="22"/>
                <w:lang w:val="sk-SK"/>
              </w:rPr>
              <w:t>(500 jednotiek)</w:t>
            </w:r>
          </w:p>
          <w:p w14:paraId="338052AC" w14:textId="77777777" w:rsidR="00F134F4" w:rsidRPr="00475027" w:rsidRDefault="00F134F4" w:rsidP="005D5FF7">
            <w:pPr>
              <w:pStyle w:val="Body"/>
              <w:jc w:val="center"/>
              <w:rPr>
                <w:sz w:val="22"/>
                <w:lang w:val="sk-SK"/>
              </w:rPr>
            </w:pPr>
            <w:r w:rsidRPr="00475027">
              <w:rPr>
                <w:sz w:val="22"/>
                <w:lang w:val="sk-SK"/>
              </w:rPr>
              <w:t>(N=80)</w:t>
            </w:r>
          </w:p>
        </w:tc>
        <w:tc>
          <w:tcPr>
            <w:tcW w:w="527" w:type="pct"/>
          </w:tcPr>
          <w:p w14:paraId="5CF06E5E" w14:textId="77777777" w:rsidR="00F134F4" w:rsidRPr="00475027" w:rsidRDefault="00F134F4" w:rsidP="005D5FF7">
            <w:pPr>
              <w:pStyle w:val="Body"/>
              <w:jc w:val="center"/>
              <w:rPr>
                <w:sz w:val="22"/>
                <w:lang w:val="sk-SK"/>
              </w:rPr>
            </w:pPr>
            <w:r w:rsidRPr="00475027">
              <w:rPr>
                <w:sz w:val="22"/>
                <w:lang w:val="sk-SK"/>
              </w:rPr>
              <w:t>Dysport</w:t>
            </w:r>
          </w:p>
          <w:p w14:paraId="0EC6FCD8" w14:textId="77777777" w:rsidR="00F134F4" w:rsidRPr="00475027" w:rsidRDefault="00F134F4" w:rsidP="005D5FF7">
            <w:pPr>
              <w:pStyle w:val="Body"/>
              <w:jc w:val="center"/>
              <w:rPr>
                <w:sz w:val="22"/>
                <w:lang w:val="sk-SK"/>
              </w:rPr>
            </w:pPr>
            <w:r w:rsidRPr="00475027">
              <w:rPr>
                <w:sz w:val="22"/>
                <w:lang w:val="sk-SK"/>
              </w:rPr>
              <w:t>(1000 jednotiek)</w:t>
            </w:r>
          </w:p>
          <w:p w14:paraId="02DEA524" w14:textId="77777777" w:rsidR="00F134F4" w:rsidRPr="00475027" w:rsidRDefault="00F134F4" w:rsidP="005D5FF7">
            <w:pPr>
              <w:pStyle w:val="Body"/>
              <w:jc w:val="center"/>
              <w:rPr>
                <w:sz w:val="22"/>
                <w:lang w:val="sk-SK"/>
              </w:rPr>
            </w:pPr>
            <w:r w:rsidRPr="00475027">
              <w:rPr>
                <w:sz w:val="22"/>
                <w:lang w:val="sk-SK"/>
              </w:rPr>
              <w:t>(N=79)</w:t>
            </w:r>
          </w:p>
        </w:tc>
      </w:tr>
      <w:tr w:rsidR="00F134F4" w:rsidRPr="00475027" w14:paraId="0C04FC57" w14:textId="77777777" w:rsidTr="00AA1E3A">
        <w:trPr>
          <w:trHeight w:val="800"/>
        </w:trPr>
        <w:tc>
          <w:tcPr>
            <w:tcW w:w="1586" w:type="pct"/>
          </w:tcPr>
          <w:p w14:paraId="5D2FEF63" w14:textId="77777777" w:rsidR="00F134F4" w:rsidRPr="00475027" w:rsidRDefault="00F134F4" w:rsidP="00742F91">
            <w:pPr>
              <w:pStyle w:val="Body"/>
              <w:rPr>
                <w:sz w:val="22"/>
                <w:lang w:val="sk-SK"/>
              </w:rPr>
            </w:pPr>
            <w:r w:rsidRPr="00475027">
              <w:rPr>
                <w:sz w:val="22"/>
                <w:lang w:val="sk-SK"/>
              </w:rPr>
              <w:t>LS priemerná zmena z východiskovej hodnoty pre PTMG svalový tonus na MAS</w:t>
            </w:r>
          </w:p>
        </w:tc>
        <w:tc>
          <w:tcPr>
            <w:tcW w:w="547" w:type="pct"/>
            <w:vAlign w:val="center"/>
          </w:tcPr>
          <w:p w14:paraId="12FF8BCC" w14:textId="77777777" w:rsidR="00F134F4" w:rsidRPr="00475027" w:rsidRDefault="00F134F4" w:rsidP="006C3BB3">
            <w:pPr>
              <w:pStyle w:val="Body"/>
              <w:jc w:val="center"/>
              <w:rPr>
                <w:lang w:val="sk-SK"/>
              </w:rPr>
            </w:pPr>
            <w:r w:rsidRPr="00475027">
              <w:rPr>
                <w:lang w:val="sk-SK"/>
              </w:rPr>
              <w:t>-0.3</w:t>
            </w:r>
          </w:p>
        </w:tc>
        <w:tc>
          <w:tcPr>
            <w:tcW w:w="578" w:type="pct"/>
            <w:vAlign w:val="center"/>
          </w:tcPr>
          <w:p w14:paraId="70A2DAFC" w14:textId="77777777" w:rsidR="00F134F4" w:rsidRPr="00475027" w:rsidRDefault="00F134F4" w:rsidP="006C3BB3">
            <w:pPr>
              <w:pStyle w:val="Body"/>
              <w:jc w:val="center"/>
              <w:rPr>
                <w:lang w:val="sk-SK"/>
              </w:rPr>
            </w:pPr>
            <w:r w:rsidRPr="00475027">
              <w:rPr>
                <w:lang w:val="sk-SK"/>
              </w:rPr>
              <w:t>-1.2**</w:t>
            </w:r>
          </w:p>
        </w:tc>
        <w:tc>
          <w:tcPr>
            <w:tcW w:w="580" w:type="pct"/>
            <w:vAlign w:val="center"/>
          </w:tcPr>
          <w:p w14:paraId="32B7F97F" w14:textId="77777777" w:rsidR="00F134F4" w:rsidRPr="00475027" w:rsidRDefault="00F134F4" w:rsidP="006C3BB3">
            <w:pPr>
              <w:pStyle w:val="Body"/>
              <w:jc w:val="center"/>
              <w:rPr>
                <w:lang w:val="sk-SK"/>
              </w:rPr>
            </w:pPr>
            <w:r w:rsidRPr="00475027">
              <w:rPr>
                <w:lang w:val="sk-SK"/>
              </w:rPr>
              <w:t>-1.4**</w:t>
            </w:r>
          </w:p>
        </w:tc>
        <w:tc>
          <w:tcPr>
            <w:tcW w:w="525" w:type="pct"/>
            <w:vAlign w:val="center"/>
          </w:tcPr>
          <w:p w14:paraId="56EB5208" w14:textId="77777777" w:rsidR="00F134F4" w:rsidRPr="00475027" w:rsidRDefault="00F134F4" w:rsidP="006C3BB3">
            <w:pPr>
              <w:pStyle w:val="Body"/>
              <w:jc w:val="center"/>
              <w:rPr>
                <w:lang w:val="sk-SK"/>
              </w:rPr>
            </w:pPr>
            <w:r w:rsidRPr="00475027">
              <w:rPr>
                <w:lang w:val="sk-SK"/>
              </w:rPr>
              <w:t>-0.1</w:t>
            </w:r>
          </w:p>
          <w:p w14:paraId="1CB6CF08" w14:textId="77777777" w:rsidR="00F134F4" w:rsidRPr="00475027" w:rsidRDefault="00F134F4" w:rsidP="006C3BB3">
            <w:pPr>
              <w:pStyle w:val="Body"/>
              <w:jc w:val="center"/>
              <w:rPr>
                <w:lang w:val="sk-SK"/>
              </w:rPr>
            </w:pPr>
            <w:r w:rsidRPr="00475027">
              <w:rPr>
                <w:lang w:val="sk-SK"/>
              </w:rPr>
              <w:t>n=75</w:t>
            </w:r>
          </w:p>
        </w:tc>
        <w:tc>
          <w:tcPr>
            <w:tcW w:w="657" w:type="pct"/>
            <w:vAlign w:val="center"/>
          </w:tcPr>
          <w:p w14:paraId="2C311C61" w14:textId="77777777" w:rsidR="00F134F4" w:rsidRPr="00475027" w:rsidRDefault="00F134F4" w:rsidP="006C3BB3">
            <w:pPr>
              <w:pStyle w:val="Body"/>
              <w:jc w:val="center"/>
              <w:rPr>
                <w:lang w:val="sk-SK"/>
              </w:rPr>
            </w:pPr>
            <w:r w:rsidRPr="00475027">
              <w:rPr>
                <w:lang w:val="sk-SK"/>
              </w:rPr>
              <w:t>-0.7**</w:t>
            </w:r>
          </w:p>
          <w:p w14:paraId="731A9119" w14:textId="77777777" w:rsidR="00F134F4" w:rsidRPr="00475027" w:rsidRDefault="00F134F4" w:rsidP="006C3BB3">
            <w:pPr>
              <w:pStyle w:val="Body"/>
              <w:jc w:val="center"/>
              <w:rPr>
                <w:lang w:val="sk-SK"/>
              </w:rPr>
            </w:pPr>
            <w:r w:rsidRPr="00475027">
              <w:rPr>
                <w:lang w:val="sk-SK"/>
              </w:rPr>
              <w:t>n=76</w:t>
            </w:r>
          </w:p>
        </w:tc>
        <w:tc>
          <w:tcPr>
            <w:tcW w:w="527" w:type="pct"/>
            <w:vAlign w:val="center"/>
          </w:tcPr>
          <w:p w14:paraId="5D3D6072" w14:textId="77777777" w:rsidR="00F134F4" w:rsidRPr="00475027" w:rsidRDefault="00F134F4" w:rsidP="006C3BB3">
            <w:pPr>
              <w:pStyle w:val="Body"/>
              <w:jc w:val="center"/>
              <w:rPr>
                <w:lang w:val="sk-SK"/>
              </w:rPr>
            </w:pPr>
            <w:r w:rsidRPr="00475027">
              <w:rPr>
                <w:lang w:val="sk-SK"/>
              </w:rPr>
              <w:t>-0.8**</w:t>
            </w:r>
          </w:p>
          <w:p w14:paraId="16A9D2B4" w14:textId="77777777" w:rsidR="00F134F4" w:rsidRPr="00475027" w:rsidRDefault="00F134F4" w:rsidP="006C3BB3">
            <w:pPr>
              <w:pStyle w:val="Body"/>
              <w:jc w:val="center"/>
              <w:rPr>
                <w:lang w:val="sk-SK"/>
              </w:rPr>
            </w:pPr>
            <w:r w:rsidRPr="00475027">
              <w:rPr>
                <w:lang w:val="sk-SK"/>
              </w:rPr>
              <w:t>n=76</w:t>
            </w:r>
          </w:p>
        </w:tc>
      </w:tr>
      <w:tr w:rsidR="00F134F4" w:rsidRPr="00475027" w14:paraId="2FA8A5E0" w14:textId="77777777" w:rsidTr="00AA1E3A">
        <w:trPr>
          <w:trHeight w:val="584"/>
        </w:trPr>
        <w:tc>
          <w:tcPr>
            <w:tcW w:w="1586" w:type="pct"/>
          </w:tcPr>
          <w:p w14:paraId="36514AE1" w14:textId="77777777" w:rsidR="00F134F4" w:rsidRPr="00475027" w:rsidRDefault="00F134F4" w:rsidP="005D5FF7">
            <w:pPr>
              <w:pStyle w:val="Body"/>
              <w:rPr>
                <w:sz w:val="22"/>
                <w:lang w:val="sk-SK"/>
              </w:rPr>
            </w:pPr>
            <w:r w:rsidRPr="00475027">
              <w:rPr>
                <w:sz w:val="22"/>
                <w:lang w:val="sk-SK"/>
              </w:rPr>
              <w:t>LS priemerné zmena PGA odpovede na liečbu</w:t>
            </w:r>
          </w:p>
        </w:tc>
        <w:tc>
          <w:tcPr>
            <w:tcW w:w="547" w:type="pct"/>
            <w:vAlign w:val="center"/>
          </w:tcPr>
          <w:p w14:paraId="67B27932" w14:textId="77777777" w:rsidR="00F134F4" w:rsidRPr="00475027" w:rsidRDefault="00F134F4" w:rsidP="005D5FF7">
            <w:pPr>
              <w:pStyle w:val="Body"/>
              <w:jc w:val="center"/>
              <w:rPr>
                <w:lang w:val="sk-SK"/>
              </w:rPr>
            </w:pPr>
            <w:r w:rsidRPr="00475027">
              <w:rPr>
                <w:lang w:val="sk-SK"/>
              </w:rPr>
              <w:t>0.7</w:t>
            </w:r>
          </w:p>
        </w:tc>
        <w:tc>
          <w:tcPr>
            <w:tcW w:w="578" w:type="pct"/>
            <w:vAlign w:val="center"/>
          </w:tcPr>
          <w:p w14:paraId="44E05CBD" w14:textId="77777777" w:rsidR="00F134F4" w:rsidRPr="00475027" w:rsidRDefault="00F134F4" w:rsidP="005D5FF7">
            <w:pPr>
              <w:pStyle w:val="Body"/>
              <w:jc w:val="center"/>
              <w:rPr>
                <w:lang w:val="sk-SK"/>
              </w:rPr>
            </w:pPr>
            <w:r w:rsidRPr="00475027">
              <w:rPr>
                <w:lang w:val="sk-SK"/>
              </w:rPr>
              <w:t>1.4*</w:t>
            </w:r>
          </w:p>
        </w:tc>
        <w:tc>
          <w:tcPr>
            <w:tcW w:w="580" w:type="pct"/>
            <w:vAlign w:val="center"/>
          </w:tcPr>
          <w:p w14:paraId="6E5295E0" w14:textId="77777777" w:rsidR="00F134F4" w:rsidRPr="00475027" w:rsidRDefault="00F134F4" w:rsidP="005D5FF7">
            <w:pPr>
              <w:pStyle w:val="Body"/>
              <w:jc w:val="center"/>
              <w:rPr>
                <w:lang w:val="sk-SK"/>
              </w:rPr>
            </w:pPr>
            <w:r w:rsidRPr="00475027">
              <w:rPr>
                <w:lang w:val="sk-SK"/>
              </w:rPr>
              <w:t>1.8**</w:t>
            </w:r>
          </w:p>
        </w:tc>
        <w:tc>
          <w:tcPr>
            <w:tcW w:w="525" w:type="pct"/>
            <w:vAlign w:val="center"/>
          </w:tcPr>
          <w:p w14:paraId="714C9CB2" w14:textId="77777777" w:rsidR="00F134F4" w:rsidRPr="00475027" w:rsidRDefault="00F134F4" w:rsidP="005D5FF7">
            <w:pPr>
              <w:pStyle w:val="Body"/>
              <w:jc w:val="center"/>
              <w:rPr>
                <w:lang w:val="sk-SK"/>
              </w:rPr>
            </w:pPr>
            <w:r w:rsidRPr="00475027">
              <w:rPr>
                <w:lang w:val="sk-SK"/>
              </w:rPr>
              <w:t>0.4</w:t>
            </w:r>
          </w:p>
          <w:p w14:paraId="23244F47" w14:textId="77777777" w:rsidR="00F134F4" w:rsidRPr="00475027" w:rsidRDefault="00F134F4" w:rsidP="00F00DE4">
            <w:pPr>
              <w:pStyle w:val="Body"/>
              <w:jc w:val="center"/>
              <w:rPr>
                <w:lang w:val="sk-SK"/>
              </w:rPr>
            </w:pPr>
            <w:r w:rsidRPr="00475027">
              <w:rPr>
                <w:lang w:val="sk-SK"/>
              </w:rPr>
              <w:t>n=75</w:t>
            </w:r>
          </w:p>
        </w:tc>
        <w:tc>
          <w:tcPr>
            <w:tcW w:w="657" w:type="pct"/>
            <w:vAlign w:val="center"/>
          </w:tcPr>
          <w:p w14:paraId="43021EF3" w14:textId="77777777" w:rsidR="00F134F4" w:rsidRPr="00475027" w:rsidRDefault="00F134F4" w:rsidP="005D5FF7">
            <w:pPr>
              <w:pStyle w:val="Body"/>
              <w:jc w:val="center"/>
              <w:rPr>
                <w:lang w:val="sk-SK"/>
              </w:rPr>
            </w:pPr>
            <w:r w:rsidRPr="00475027">
              <w:rPr>
                <w:lang w:val="sk-SK"/>
              </w:rPr>
              <w:t>0.5</w:t>
            </w:r>
          </w:p>
          <w:p w14:paraId="436A270B" w14:textId="77777777" w:rsidR="00F134F4" w:rsidRPr="00475027" w:rsidRDefault="00F134F4" w:rsidP="00F00DE4">
            <w:pPr>
              <w:pStyle w:val="Body"/>
              <w:jc w:val="center"/>
              <w:rPr>
                <w:lang w:val="sk-SK"/>
              </w:rPr>
            </w:pPr>
            <w:r w:rsidRPr="00475027">
              <w:rPr>
                <w:lang w:val="sk-SK"/>
              </w:rPr>
              <w:t>n=76</w:t>
            </w:r>
          </w:p>
        </w:tc>
        <w:tc>
          <w:tcPr>
            <w:tcW w:w="527" w:type="pct"/>
            <w:vAlign w:val="center"/>
          </w:tcPr>
          <w:p w14:paraId="5A68B7DF" w14:textId="77777777" w:rsidR="00F134F4" w:rsidRPr="00475027" w:rsidRDefault="00F134F4" w:rsidP="005D5FF7">
            <w:pPr>
              <w:pStyle w:val="Body"/>
              <w:jc w:val="center"/>
              <w:rPr>
                <w:lang w:val="sk-SK"/>
              </w:rPr>
            </w:pPr>
            <w:r w:rsidRPr="00475027">
              <w:rPr>
                <w:lang w:val="sk-SK"/>
              </w:rPr>
              <w:t>1.0*</w:t>
            </w:r>
          </w:p>
          <w:p w14:paraId="7E62CEE8" w14:textId="77777777" w:rsidR="00F134F4" w:rsidRPr="00475027" w:rsidRDefault="00F134F4" w:rsidP="00F00DE4">
            <w:pPr>
              <w:pStyle w:val="Body"/>
              <w:jc w:val="center"/>
              <w:rPr>
                <w:lang w:val="sk-SK"/>
              </w:rPr>
            </w:pPr>
            <w:r w:rsidRPr="00475027">
              <w:rPr>
                <w:lang w:val="sk-SK"/>
              </w:rPr>
              <w:t>n=76</w:t>
            </w:r>
          </w:p>
        </w:tc>
      </w:tr>
      <w:tr w:rsidR="00F134F4" w:rsidRPr="00475027" w14:paraId="3D48D38E" w14:textId="77777777" w:rsidTr="00AA1E3A">
        <w:trPr>
          <w:trHeight w:val="584"/>
        </w:trPr>
        <w:tc>
          <w:tcPr>
            <w:tcW w:w="1586" w:type="pct"/>
          </w:tcPr>
          <w:p w14:paraId="73F04522" w14:textId="77777777" w:rsidR="00F134F4" w:rsidRPr="00475027" w:rsidRDefault="00F134F4" w:rsidP="005D5FF7">
            <w:pPr>
              <w:pStyle w:val="Body"/>
              <w:rPr>
                <w:sz w:val="22"/>
                <w:lang w:val="sk-SK"/>
              </w:rPr>
            </w:pPr>
            <w:r w:rsidRPr="00475027">
              <w:rPr>
                <w:sz w:val="22"/>
                <w:lang w:val="sk-SK"/>
              </w:rPr>
              <w:t>LS priemerná zmena svalového tonu  flexora zápästia z východiskovej hodnoty na MAS</w:t>
            </w:r>
          </w:p>
        </w:tc>
        <w:tc>
          <w:tcPr>
            <w:tcW w:w="547" w:type="pct"/>
            <w:vAlign w:val="center"/>
          </w:tcPr>
          <w:p w14:paraId="6399237C" w14:textId="77777777" w:rsidR="00F134F4" w:rsidRPr="00475027" w:rsidRDefault="00F134F4" w:rsidP="006C3BB3">
            <w:pPr>
              <w:pStyle w:val="Body"/>
              <w:jc w:val="center"/>
              <w:rPr>
                <w:lang w:val="sk-SK"/>
              </w:rPr>
            </w:pPr>
            <w:r w:rsidRPr="00475027">
              <w:rPr>
                <w:lang w:val="sk-SK"/>
              </w:rPr>
              <w:t>-0.3</w:t>
            </w:r>
          </w:p>
          <w:p w14:paraId="04F328E3" w14:textId="77777777" w:rsidR="00F134F4" w:rsidRPr="00475027" w:rsidRDefault="00F134F4" w:rsidP="006C3BB3">
            <w:pPr>
              <w:pStyle w:val="Body"/>
              <w:jc w:val="center"/>
              <w:rPr>
                <w:lang w:val="sk-SK"/>
              </w:rPr>
            </w:pPr>
            <w:r w:rsidRPr="00475027">
              <w:rPr>
                <w:lang w:val="sk-SK"/>
              </w:rPr>
              <w:t>n=54</w:t>
            </w:r>
          </w:p>
        </w:tc>
        <w:tc>
          <w:tcPr>
            <w:tcW w:w="578" w:type="pct"/>
            <w:vAlign w:val="center"/>
          </w:tcPr>
          <w:p w14:paraId="7F7441F6" w14:textId="77777777" w:rsidR="00F134F4" w:rsidRPr="00475027" w:rsidRDefault="00F134F4" w:rsidP="006C3BB3">
            <w:pPr>
              <w:pStyle w:val="Body"/>
              <w:jc w:val="center"/>
              <w:rPr>
                <w:lang w:val="sk-SK"/>
              </w:rPr>
            </w:pPr>
            <w:r w:rsidRPr="00475027">
              <w:rPr>
                <w:lang w:val="sk-SK"/>
              </w:rPr>
              <w:t>-1.4**</w:t>
            </w:r>
          </w:p>
          <w:p w14:paraId="2A136EBC" w14:textId="77777777" w:rsidR="00F134F4" w:rsidRPr="00475027" w:rsidRDefault="00F134F4" w:rsidP="006C3BB3">
            <w:pPr>
              <w:pStyle w:val="Body"/>
              <w:jc w:val="center"/>
              <w:rPr>
                <w:lang w:val="sk-SK"/>
              </w:rPr>
            </w:pPr>
            <w:r w:rsidRPr="00475027">
              <w:rPr>
                <w:lang w:val="sk-SK"/>
              </w:rPr>
              <w:t>n=57</w:t>
            </w:r>
          </w:p>
        </w:tc>
        <w:tc>
          <w:tcPr>
            <w:tcW w:w="580" w:type="pct"/>
            <w:vAlign w:val="center"/>
          </w:tcPr>
          <w:p w14:paraId="468BD938" w14:textId="77777777" w:rsidR="00F134F4" w:rsidRPr="00475027" w:rsidRDefault="00F134F4" w:rsidP="006C3BB3">
            <w:pPr>
              <w:pStyle w:val="Body"/>
              <w:jc w:val="center"/>
              <w:rPr>
                <w:lang w:val="sk-SK"/>
              </w:rPr>
            </w:pPr>
            <w:r w:rsidRPr="00475027">
              <w:rPr>
                <w:lang w:val="sk-SK"/>
              </w:rPr>
              <w:t>-1.6**</w:t>
            </w:r>
          </w:p>
          <w:p w14:paraId="7E1918A6" w14:textId="77777777" w:rsidR="00F134F4" w:rsidRPr="00475027" w:rsidRDefault="00F134F4" w:rsidP="006C3BB3">
            <w:pPr>
              <w:pStyle w:val="Body"/>
              <w:jc w:val="center"/>
              <w:rPr>
                <w:lang w:val="sk-SK"/>
              </w:rPr>
            </w:pPr>
            <w:r w:rsidRPr="00475027">
              <w:rPr>
                <w:lang w:val="sk-SK"/>
              </w:rPr>
              <w:t>n=58</w:t>
            </w:r>
          </w:p>
        </w:tc>
        <w:tc>
          <w:tcPr>
            <w:tcW w:w="525" w:type="pct"/>
            <w:vAlign w:val="center"/>
          </w:tcPr>
          <w:p w14:paraId="23D39A4F" w14:textId="77777777" w:rsidR="00F134F4" w:rsidRPr="00475027" w:rsidRDefault="00F134F4" w:rsidP="006C3BB3">
            <w:pPr>
              <w:pStyle w:val="Body"/>
              <w:jc w:val="center"/>
              <w:rPr>
                <w:lang w:val="sk-SK"/>
              </w:rPr>
            </w:pPr>
            <w:r w:rsidRPr="00475027">
              <w:rPr>
                <w:lang w:val="sk-SK"/>
              </w:rPr>
              <w:t>-0.3</w:t>
            </w:r>
          </w:p>
          <w:p w14:paraId="07D381E0" w14:textId="77777777" w:rsidR="00F134F4" w:rsidRPr="00475027" w:rsidRDefault="00F134F4" w:rsidP="006C3BB3">
            <w:pPr>
              <w:pStyle w:val="Body"/>
              <w:jc w:val="center"/>
              <w:rPr>
                <w:lang w:val="sk-SK"/>
              </w:rPr>
            </w:pPr>
            <w:r w:rsidRPr="00475027">
              <w:rPr>
                <w:lang w:val="sk-SK"/>
              </w:rPr>
              <w:t>n=52</w:t>
            </w:r>
          </w:p>
        </w:tc>
        <w:tc>
          <w:tcPr>
            <w:tcW w:w="657" w:type="pct"/>
            <w:vAlign w:val="center"/>
          </w:tcPr>
          <w:p w14:paraId="582A1231" w14:textId="77777777" w:rsidR="00F134F4" w:rsidRPr="00475027" w:rsidRDefault="00F134F4" w:rsidP="006C3BB3">
            <w:pPr>
              <w:pStyle w:val="Body"/>
              <w:jc w:val="center"/>
              <w:rPr>
                <w:lang w:val="sk-SK"/>
              </w:rPr>
            </w:pPr>
            <w:r w:rsidRPr="00475027">
              <w:rPr>
                <w:lang w:val="sk-SK"/>
              </w:rPr>
              <w:t>-0.7*</w:t>
            </w:r>
          </w:p>
          <w:p w14:paraId="6108B4E5" w14:textId="77777777" w:rsidR="00F134F4" w:rsidRPr="00475027" w:rsidRDefault="00F134F4" w:rsidP="006C3BB3">
            <w:pPr>
              <w:pStyle w:val="Body"/>
              <w:jc w:val="center"/>
              <w:rPr>
                <w:lang w:val="sk-SK"/>
              </w:rPr>
            </w:pPr>
            <w:r w:rsidRPr="00475027">
              <w:rPr>
                <w:lang w:val="sk-SK"/>
              </w:rPr>
              <w:t>n=54</w:t>
            </w:r>
          </w:p>
        </w:tc>
        <w:tc>
          <w:tcPr>
            <w:tcW w:w="527" w:type="pct"/>
            <w:vAlign w:val="center"/>
          </w:tcPr>
          <w:p w14:paraId="26109FE4" w14:textId="77777777" w:rsidR="00F134F4" w:rsidRPr="00475027" w:rsidRDefault="00F134F4" w:rsidP="006C3BB3">
            <w:pPr>
              <w:pStyle w:val="Body"/>
              <w:jc w:val="center"/>
              <w:rPr>
                <w:lang w:val="sk-SK"/>
              </w:rPr>
            </w:pPr>
            <w:r w:rsidRPr="00475027">
              <w:rPr>
                <w:lang w:val="sk-SK"/>
              </w:rPr>
              <w:t>-0.9*</w:t>
            </w:r>
          </w:p>
          <w:p w14:paraId="66D2BA7A" w14:textId="77777777" w:rsidR="00F134F4" w:rsidRPr="00475027" w:rsidRDefault="00F134F4" w:rsidP="006C3BB3">
            <w:pPr>
              <w:pStyle w:val="Body"/>
              <w:jc w:val="center"/>
              <w:rPr>
                <w:lang w:val="sk-SK"/>
              </w:rPr>
            </w:pPr>
            <w:r w:rsidRPr="00475027">
              <w:rPr>
                <w:lang w:val="sk-SK"/>
              </w:rPr>
              <w:t>n=56</w:t>
            </w:r>
          </w:p>
        </w:tc>
      </w:tr>
      <w:tr w:rsidR="00F134F4" w:rsidRPr="00475027" w14:paraId="6EE50B35" w14:textId="77777777" w:rsidTr="00AA1E3A">
        <w:trPr>
          <w:trHeight w:val="584"/>
        </w:trPr>
        <w:tc>
          <w:tcPr>
            <w:tcW w:w="1586" w:type="pct"/>
          </w:tcPr>
          <w:p w14:paraId="2DE8C461" w14:textId="77777777" w:rsidR="00F134F4" w:rsidRPr="00475027" w:rsidRDefault="00F134F4" w:rsidP="005D5FF7">
            <w:pPr>
              <w:pStyle w:val="Body"/>
              <w:rPr>
                <w:sz w:val="22"/>
                <w:lang w:val="sk-SK"/>
              </w:rPr>
            </w:pPr>
            <w:r w:rsidRPr="00475027">
              <w:rPr>
                <w:sz w:val="22"/>
                <w:lang w:val="sk-SK"/>
              </w:rPr>
              <w:t>LS priemerná zmena svalového tonu flexora prstu z východiskovej hodnoty na MAS</w:t>
            </w:r>
          </w:p>
        </w:tc>
        <w:tc>
          <w:tcPr>
            <w:tcW w:w="547" w:type="pct"/>
            <w:vAlign w:val="center"/>
          </w:tcPr>
          <w:p w14:paraId="55C29641" w14:textId="77777777" w:rsidR="00F134F4" w:rsidRPr="00475027" w:rsidRDefault="00F134F4" w:rsidP="006C3BB3">
            <w:pPr>
              <w:pStyle w:val="Body"/>
              <w:jc w:val="center"/>
              <w:rPr>
                <w:lang w:val="sk-SK"/>
              </w:rPr>
            </w:pPr>
            <w:r w:rsidRPr="00475027">
              <w:rPr>
                <w:lang w:val="sk-SK"/>
              </w:rPr>
              <w:t>-0.3</w:t>
            </w:r>
          </w:p>
          <w:p w14:paraId="250B0D5D" w14:textId="77777777" w:rsidR="00F134F4" w:rsidRPr="00475027" w:rsidRDefault="00F134F4" w:rsidP="006C3BB3">
            <w:pPr>
              <w:pStyle w:val="Body"/>
              <w:jc w:val="center"/>
              <w:rPr>
                <w:lang w:val="sk-SK"/>
              </w:rPr>
            </w:pPr>
            <w:r w:rsidRPr="00475027">
              <w:rPr>
                <w:lang w:val="sk-SK"/>
              </w:rPr>
              <w:t>n=70</w:t>
            </w:r>
          </w:p>
        </w:tc>
        <w:tc>
          <w:tcPr>
            <w:tcW w:w="578" w:type="pct"/>
            <w:vAlign w:val="center"/>
          </w:tcPr>
          <w:p w14:paraId="340C62C8" w14:textId="77777777" w:rsidR="00F134F4" w:rsidRPr="00475027" w:rsidRDefault="00F134F4" w:rsidP="006C3BB3">
            <w:pPr>
              <w:pStyle w:val="Body"/>
              <w:jc w:val="center"/>
              <w:rPr>
                <w:lang w:val="sk-SK"/>
              </w:rPr>
            </w:pPr>
            <w:r w:rsidRPr="00475027">
              <w:rPr>
                <w:lang w:val="sk-SK"/>
              </w:rPr>
              <w:t>-0.9*</w:t>
            </w:r>
          </w:p>
          <w:p w14:paraId="5A365CC2" w14:textId="77777777" w:rsidR="00F134F4" w:rsidRPr="00475027" w:rsidRDefault="00F134F4" w:rsidP="006C3BB3">
            <w:pPr>
              <w:pStyle w:val="Body"/>
              <w:jc w:val="center"/>
              <w:rPr>
                <w:lang w:val="sk-SK"/>
              </w:rPr>
            </w:pPr>
            <w:r w:rsidRPr="00475027">
              <w:rPr>
                <w:lang w:val="sk-SK"/>
              </w:rPr>
              <w:t>n=66</w:t>
            </w:r>
          </w:p>
        </w:tc>
        <w:tc>
          <w:tcPr>
            <w:tcW w:w="580" w:type="pct"/>
            <w:vAlign w:val="center"/>
          </w:tcPr>
          <w:p w14:paraId="729170F7" w14:textId="77777777" w:rsidR="00F134F4" w:rsidRPr="00475027" w:rsidRDefault="00F134F4" w:rsidP="006C3BB3">
            <w:pPr>
              <w:pStyle w:val="Body"/>
              <w:jc w:val="center"/>
              <w:rPr>
                <w:lang w:val="sk-SK"/>
              </w:rPr>
            </w:pPr>
            <w:r w:rsidRPr="00475027">
              <w:rPr>
                <w:lang w:val="sk-SK"/>
              </w:rPr>
              <w:t>-1.2**</w:t>
            </w:r>
          </w:p>
          <w:p w14:paraId="50A7A28C" w14:textId="77777777" w:rsidR="00F134F4" w:rsidRPr="00475027" w:rsidRDefault="00F134F4" w:rsidP="006C3BB3">
            <w:pPr>
              <w:pStyle w:val="Body"/>
              <w:jc w:val="center"/>
              <w:rPr>
                <w:lang w:val="sk-SK"/>
              </w:rPr>
            </w:pPr>
            <w:r w:rsidRPr="00475027">
              <w:rPr>
                <w:lang w:val="sk-SK"/>
              </w:rPr>
              <w:t>n=73</w:t>
            </w:r>
          </w:p>
        </w:tc>
        <w:tc>
          <w:tcPr>
            <w:tcW w:w="525" w:type="pct"/>
            <w:vAlign w:val="center"/>
          </w:tcPr>
          <w:p w14:paraId="4A13C793" w14:textId="77777777" w:rsidR="00F134F4" w:rsidRPr="00475027" w:rsidRDefault="00F134F4" w:rsidP="006C3BB3">
            <w:pPr>
              <w:pStyle w:val="Body"/>
              <w:jc w:val="center"/>
              <w:rPr>
                <w:lang w:val="sk-SK"/>
              </w:rPr>
            </w:pPr>
            <w:r w:rsidRPr="00475027">
              <w:rPr>
                <w:lang w:val="sk-SK"/>
              </w:rPr>
              <w:t>-0.1</w:t>
            </w:r>
          </w:p>
          <w:p w14:paraId="73DC2FC3" w14:textId="77777777" w:rsidR="00F134F4" w:rsidRPr="00475027" w:rsidRDefault="00F134F4" w:rsidP="006C3BB3">
            <w:pPr>
              <w:pStyle w:val="Body"/>
              <w:jc w:val="center"/>
              <w:rPr>
                <w:lang w:val="sk-SK"/>
              </w:rPr>
            </w:pPr>
            <w:r w:rsidRPr="00475027">
              <w:rPr>
                <w:lang w:val="sk-SK"/>
              </w:rPr>
              <w:t>n=67</w:t>
            </w:r>
          </w:p>
        </w:tc>
        <w:tc>
          <w:tcPr>
            <w:tcW w:w="657" w:type="pct"/>
            <w:vAlign w:val="center"/>
          </w:tcPr>
          <w:p w14:paraId="6121321E" w14:textId="77777777" w:rsidR="00F134F4" w:rsidRPr="00475027" w:rsidRDefault="00F134F4" w:rsidP="006C3BB3">
            <w:pPr>
              <w:pStyle w:val="Body"/>
              <w:jc w:val="center"/>
              <w:rPr>
                <w:lang w:val="sk-SK"/>
              </w:rPr>
            </w:pPr>
            <w:r w:rsidRPr="00475027">
              <w:rPr>
                <w:lang w:val="sk-SK"/>
              </w:rPr>
              <w:t>-0.4*</w:t>
            </w:r>
          </w:p>
          <w:p w14:paraId="518C807D" w14:textId="77777777" w:rsidR="00F134F4" w:rsidRPr="00475027" w:rsidRDefault="00F134F4" w:rsidP="006C3BB3">
            <w:pPr>
              <w:pStyle w:val="Body"/>
              <w:jc w:val="center"/>
              <w:rPr>
                <w:lang w:val="sk-SK"/>
              </w:rPr>
            </w:pPr>
            <w:r w:rsidRPr="00475027">
              <w:rPr>
                <w:lang w:val="sk-SK"/>
              </w:rPr>
              <w:t>n=62</w:t>
            </w:r>
          </w:p>
        </w:tc>
        <w:tc>
          <w:tcPr>
            <w:tcW w:w="527" w:type="pct"/>
            <w:vAlign w:val="center"/>
          </w:tcPr>
          <w:p w14:paraId="162A2237" w14:textId="77777777" w:rsidR="00F134F4" w:rsidRPr="00475027" w:rsidRDefault="00F134F4" w:rsidP="006C3BB3">
            <w:pPr>
              <w:pStyle w:val="Body"/>
              <w:jc w:val="center"/>
              <w:rPr>
                <w:lang w:val="sk-SK"/>
              </w:rPr>
            </w:pPr>
            <w:r w:rsidRPr="00475027">
              <w:rPr>
                <w:lang w:val="sk-SK"/>
              </w:rPr>
              <w:t>-0.6*</w:t>
            </w:r>
          </w:p>
          <w:p w14:paraId="696F538C" w14:textId="77777777" w:rsidR="00F134F4" w:rsidRPr="00475027" w:rsidRDefault="00F134F4" w:rsidP="006C3BB3">
            <w:pPr>
              <w:pStyle w:val="Body"/>
              <w:jc w:val="center"/>
              <w:rPr>
                <w:lang w:val="sk-SK"/>
              </w:rPr>
            </w:pPr>
            <w:r w:rsidRPr="00475027">
              <w:rPr>
                <w:lang w:val="sk-SK"/>
              </w:rPr>
              <w:t>n=70</w:t>
            </w:r>
          </w:p>
        </w:tc>
      </w:tr>
      <w:tr w:rsidR="00F134F4" w:rsidRPr="00475027" w14:paraId="612DFECE" w14:textId="77777777" w:rsidTr="00AA1E3A">
        <w:trPr>
          <w:trHeight w:val="584"/>
        </w:trPr>
        <w:tc>
          <w:tcPr>
            <w:tcW w:w="1586" w:type="pct"/>
          </w:tcPr>
          <w:p w14:paraId="63EBD8ED" w14:textId="77777777" w:rsidR="00F134F4" w:rsidRPr="00475027" w:rsidRDefault="00F134F4" w:rsidP="005D5FF7">
            <w:pPr>
              <w:pStyle w:val="Body"/>
              <w:rPr>
                <w:sz w:val="22"/>
                <w:lang w:val="sk-SK"/>
              </w:rPr>
            </w:pPr>
            <w:r w:rsidRPr="00475027">
              <w:rPr>
                <w:sz w:val="22"/>
                <w:lang w:val="sk-SK"/>
              </w:rPr>
              <w:t>LS priemerná zmena svalového tonu flexora lakťa z východiskovej hodnoty na MAS</w:t>
            </w:r>
          </w:p>
        </w:tc>
        <w:tc>
          <w:tcPr>
            <w:tcW w:w="547" w:type="pct"/>
            <w:vAlign w:val="center"/>
          </w:tcPr>
          <w:p w14:paraId="69EDF2DB" w14:textId="77777777" w:rsidR="00F134F4" w:rsidRPr="00475027" w:rsidRDefault="00F134F4" w:rsidP="006C3BB3">
            <w:pPr>
              <w:pStyle w:val="Body"/>
              <w:jc w:val="center"/>
              <w:rPr>
                <w:lang w:val="sk-SK"/>
              </w:rPr>
            </w:pPr>
            <w:r w:rsidRPr="00475027">
              <w:rPr>
                <w:lang w:val="sk-SK"/>
              </w:rPr>
              <w:t>-0.3</w:t>
            </w:r>
          </w:p>
          <w:p w14:paraId="688AB7F0" w14:textId="77777777" w:rsidR="00F134F4" w:rsidRPr="00475027" w:rsidRDefault="00F134F4" w:rsidP="006C3BB3">
            <w:pPr>
              <w:pStyle w:val="Body"/>
              <w:jc w:val="center"/>
              <w:rPr>
                <w:lang w:val="sk-SK"/>
              </w:rPr>
            </w:pPr>
            <w:r w:rsidRPr="00475027">
              <w:rPr>
                <w:lang w:val="sk-SK"/>
              </w:rPr>
              <w:t>n=56</w:t>
            </w:r>
          </w:p>
        </w:tc>
        <w:tc>
          <w:tcPr>
            <w:tcW w:w="578" w:type="pct"/>
            <w:vAlign w:val="center"/>
          </w:tcPr>
          <w:p w14:paraId="2CBF601C" w14:textId="77777777" w:rsidR="00F134F4" w:rsidRPr="00475027" w:rsidRDefault="00F134F4" w:rsidP="006C3BB3">
            <w:pPr>
              <w:pStyle w:val="Body"/>
              <w:jc w:val="center"/>
              <w:rPr>
                <w:lang w:val="sk-SK"/>
              </w:rPr>
            </w:pPr>
            <w:r w:rsidRPr="00475027">
              <w:rPr>
                <w:lang w:val="sk-SK"/>
              </w:rPr>
              <w:t>-1.0*</w:t>
            </w:r>
          </w:p>
          <w:p w14:paraId="44D6D78E" w14:textId="77777777" w:rsidR="00F134F4" w:rsidRPr="00475027" w:rsidRDefault="00F134F4" w:rsidP="006C3BB3">
            <w:pPr>
              <w:pStyle w:val="Body"/>
              <w:jc w:val="center"/>
              <w:rPr>
                <w:lang w:val="sk-SK"/>
              </w:rPr>
            </w:pPr>
            <w:r w:rsidRPr="00475027">
              <w:rPr>
                <w:lang w:val="sk-SK"/>
              </w:rPr>
              <w:t>n=61</w:t>
            </w:r>
          </w:p>
        </w:tc>
        <w:tc>
          <w:tcPr>
            <w:tcW w:w="580" w:type="pct"/>
            <w:vAlign w:val="center"/>
          </w:tcPr>
          <w:p w14:paraId="01184412" w14:textId="77777777" w:rsidR="00F134F4" w:rsidRPr="00475027" w:rsidRDefault="00F134F4" w:rsidP="006C3BB3">
            <w:pPr>
              <w:pStyle w:val="Body"/>
              <w:jc w:val="center"/>
              <w:rPr>
                <w:lang w:val="sk-SK"/>
              </w:rPr>
            </w:pPr>
            <w:r w:rsidRPr="00475027">
              <w:rPr>
                <w:lang w:val="sk-SK"/>
              </w:rPr>
              <w:t>-1.2**</w:t>
            </w:r>
          </w:p>
          <w:p w14:paraId="1AF82615" w14:textId="77777777" w:rsidR="00F134F4" w:rsidRPr="00475027" w:rsidRDefault="00F134F4" w:rsidP="006C3BB3">
            <w:pPr>
              <w:pStyle w:val="Body"/>
              <w:jc w:val="center"/>
              <w:rPr>
                <w:lang w:val="sk-SK"/>
              </w:rPr>
            </w:pPr>
            <w:r w:rsidRPr="00475027">
              <w:rPr>
                <w:lang w:val="sk-SK"/>
              </w:rPr>
              <w:t>n=48</w:t>
            </w:r>
          </w:p>
        </w:tc>
        <w:tc>
          <w:tcPr>
            <w:tcW w:w="525" w:type="pct"/>
            <w:vAlign w:val="center"/>
          </w:tcPr>
          <w:p w14:paraId="3CD9A84E" w14:textId="77777777" w:rsidR="00F134F4" w:rsidRPr="00475027" w:rsidRDefault="00F134F4" w:rsidP="006C3BB3">
            <w:pPr>
              <w:pStyle w:val="Body"/>
              <w:jc w:val="center"/>
              <w:rPr>
                <w:lang w:val="sk-SK"/>
              </w:rPr>
            </w:pPr>
            <w:r w:rsidRPr="00475027">
              <w:rPr>
                <w:lang w:val="sk-SK"/>
              </w:rPr>
              <w:t>-0.3</w:t>
            </w:r>
          </w:p>
          <w:p w14:paraId="051A91EB" w14:textId="77777777" w:rsidR="00F134F4" w:rsidRPr="00475027" w:rsidRDefault="00F134F4" w:rsidP="006C3BB3">
            <w:pPr>
              <w:pStyle w:val="Body"/>
              <w:jc w:val="center"/>
              <w:rPr>
                <w:lang w:val="sk-SK"/>
              </w:rPr>
            </w:pPr>
            <w:r w:rsidRPr="00475027">
              <w:rPr>
                <w:lang w:val="sk-SK"/>
              </w:rPr>
              <w:t>n=53</w:t>
            </w:r>
          </w:p>
        </w:tc>
        <w:tc>
          <w:tcPr>
            <w:tcW w:w="657" w:type="pct"/>
            <w:vAlign w:val="center"/>
          </w:tcPr>
          <w:p w14:paraId="675C8A6F" w14:textId="77777777" w:rsidR="00F134F4" w:rsidRPr="00475027" w:rsidRDefault="00F134F4" w:rsidP="006C3BB3">
            <w:pPr>
              <w:pStyle w:val="Body"/>
              <w:jc w:val="center"/>
              <w:rPr>
                <w:lang w:val="sk-SK"/>
              </w:rPr>
            </w:pPr>
            <w:r w:rsidRPr="00475027">
              <w:rPr>
                <w:lang w:val="sk-SK"/>
              </w:rPr>
              <w:t>-0.7*</w:t>
            </w:r>
          </w:p>
          <w:p w14:paraId="6437A8A7" w14:textId="77777777" w:rsidR="00F134F4" w:rsidRPr="00475027" w:rsidRDefault="00F134F4" w:rsidP="006C3BB3">
            <w:pPr>
              <w:pStyle w:val="Body"/>
              <w:jc w:val="center"/>
              <w:rPr>
                <w:lang w:val="sk-SK"/>
              </w:rPr>
            </w:pPr>
            <w:r w:rsidRPr="00475027">
              <w:rPr>
                <w:lang w:val="sk-SK"/>
              </w:rPr>
              <w:t>n=58</w:t>
            </w:r>
          </w:p>
        </w:tc>
        <w:tc>
          <w:tcPr>
            <w:tcW w:w="527" w:type="pct"/>
            <w:vAlign w:val="center"/>
          </w:tcPr>
          <w:p w14:paraId="464DF0D3" w14:textId="77777777" w:rsidR="00F134F4" w:rsidRPr="00475027" w:rsidRDefault="00F134F4" w:rsidP="006C3BB3">
            <w:pPr>
              <w:pStyle w:val="Body"/>
              <w:jc w:val="center"/>
              <w:rPr>
                <w:lang w:val="sk-SK"/>
              </w:rPr>
            </w:pPr>
            <w:r w:rsidRPr="00475027">
              <w:rPr>
                <w:lang w:val="sk-SK"/>
              </w:rPr>
              <w:t>-0.8*</w:t>
            </w:r>
          </w:p>
          <w:p w14:paraId="371CA68B" w14:textId="77777777" w:rsidR="00F134F4" w:rsidRPr="00475027" w:rsidRDefault="00F134F4" w:rsidP="006C3BB3">
            <w:pPr>
              <w:pStyle w:val="Body"/>
              <w:jc w:val="center"/>
              <w:rPr>
                <w:lang w:val="sk-SK"/>
              </w:rPr>
            </w:pPr>
            <w:r w:rsidRPr="00475027">
              <w:rPr>
                <w:lang w:val="sk-SK"/>
              </w:rPr>
              <w:t>n=46</w:t>
            </w:r>
          </w:p>
        </w:tc>
      </w:tr>
      <w:tr w:rsidR="00F134F4" w:rsidRPr="00475027" w14:paraId="77B5BE46" w14:textId="77777777" w:rsidTr="00AA1E3A">
        <w:trPr>
          <w:trHeight w:val="584"/>
        </w:trPr>
        <w:tc>
          <w:tcPr>
            <w:tcW w:w="1586" w:type="pct"/>
          </w:tcPr>
          <w:p w14:paraId="3C951CA6" w14:textId="77777777" w:rsidR="00F134F4" w:rsidRPr="00475027" w:rsidRDefault="00F134F4" w:rsidP="005D5FF7">
            <w:pPr>
              <w:pStyle w:val="Body"/>
              <w:rPr>
                <w:sz w:val="22"/>
                <w:lang w:val="sk-SK"/>
              </w:rPr>
            </w:pPr>
            <w:r w:rsidRPr="00475027">
              <w:rPr>
                <w:sz w:val="22"/>
                <w:lang w:val="sk-SK"/>
              </w:rPr>
              <w:t>Priemerná zmena svalového tonu extenzorov ramena z východiskovej hodnoty na MAS (1)</w:t>
            </w:r>
          </w:p>
        </w:tc>
        <w:tc>
          <w:tcPr>
            <w:tcW w:w="547" w:type="pct"/>
            <w:vAlign w:val="center"/>
          </w:tcPr>
          <w:p w14:paraId="3F78D0CA" w14:textId="77777777" w:rsidR="00F134F4" w:rsidRPr="00475027" w:rsidRDefault="00F134F4" w:rsidP="006C3BB3">
            <w:pPr>
              <w:pStyle w:val="Body"/>
              <w:jc w:val="center"/>
              <w:rPr>
                <w:lang w:val="sk-SK"/>
              </w:rPr>
            </w:pPr>
            <w:r w:rsidRPr="00475027">
              <w:rPr>
                <w:lang w:val="sk-SK"/>
              </w:rPr>
              <w:t>-0.4</w:t>
            </w:r>
            <w:r w:rsidRPr="00475027">
              <w:rPr>
                <w:lang w:val="sk-SK"/>
              </w:rPr>
              <w:br/>
              <w:t>n=12</w:t>
            </w:r>
          </w:p>
        </w:tc>
        <w:tc>
          <w:tcPr>
            <w:tcW w:w="578" w:type="pct"/>
            <w:vAlign w:val="center"/>
          </w:tcPr>
          <w:p w14:paraId="18EEAFF9" w14:textId="77777777" w:rsidR="00F134F4" w:rsidRPr="00475027" w:rsidRDefault="00F134F4" w:rsidP="006C3BB3">
            <w:pPr>
              <w:pStyle w:val="Body"/>
              <w:jc w:val="center"/>
              <w:rPr>
                <w:lang w:val="sk-SK"/>
              </w:rPr>
            </w:pPr>
            <w:r w:rsidRPr="00475027">
              <w:rPr>
                <w:lang w:val="sk-SK"/>
              </w:rPr>
              <w:t>-0.6</w:t>
            </w:r>
          </w:p>
          <w:p w14:paraId="17E1AE17" w14:textId="77777777" w:rsidR="00F134F4" w:rsidRPr="00475027" w:rsidRDefault="00F134F4" w:rsidP="006C3BB3">
            <w:pPr>
              <w:pStyle w:val="Body"/>
              <w:jc w:val="center"/>
              <w:rPr>
                <w:lang w:val="sk-SK"/>
              </w:rPr>
            </w:pPr>
            <w:r w:rsidRPr="00475027">
              <w:rPr>
                <w:lang w:val="sk-SK"/>
              </w:rPr>
              <w:t>n=7</w:t>
            </w:r>
          </w:p>
        </w:tc>
        <w:tc>
          <w:tcPr>
            <w:tcW w:w="580" w:type="pct"/>
            <w:vAlign w:val="center"/>
          </w:tcPr>
          <w:p w14:paraId="47E05889" w14:textId="77777777" w:rsidR="00F134F4" w:rsidRPr="00475027" w:rsidRDefault="00F134F4" w:rsidP="006C3BB3">
            <w:pPr>
              <w:pStyle w:val="Body"/>
              <w:jc w:val="center"/>
              <w:rPr>
                <w:lang w:val="sk-SK"/>
              </w:rPr>
            </w:pPr>
            <w:r w:rsidRPr="00475027">
              <w:rPr>
                <w:lang w:val="sk-SK"/>
              </w:rPr>
              <w:t>-0.7</w:t>
            </w:r>
          </w:p>
          <w:p w14:paraId="04B151BF" w14:textId="77777777" w:rsidR="00F134F4" w:rsidRPr="00475027" w:rsidRDefault="00F134F4" w:rsidP="006C3BB3">
            <w:pPr>
              <w:pStyle w:val="Body"/>
              <w:jc w:val="center"/>
              <w:rPr>
                <w:lang w:val="sk-SK"/>
              </w:rPr>
            </w:pPr>
            <w:r w:rsidRPr="00475027">
              <w:rPr>
                <w:lang w:val="sk-SK"/>
              </w:rPr>
              <w:t>n=6</w:t>
            </w:r>
          </w:p>
        </w:tc>
        <w:tc>
          <w:tcPr>
            <w:tcW w:w="525" w:type="pct"/>
            <w:vAlign w:val="center"/>
          </w:tcPr>
          <w:p w14:paraId="2199B4ED" w14:textId="77777777" w:rsidR="00F134F4" w:rsidRPr="00475027" w:rsidRDefault="00F134F4" w:rsidP="006C3BB3">
            <w:pPr>
              <w:pStyle w:val="Body"/>
              <w:jc w:val="center"/>
              <w:rPr>
                <w:lang w:val="sk-SK"/>
              </w:rPr>
            </w:pPr>
            <w:r w:rsidRPr="00475027">
              <w:rPr>
                <w:lang w:val="sk-SK"/>
              </w:rPr>
              <w:t>0.0</w:t>
            </w:r>
          </w:p>
          <w:p w14:paraId="20BEA5D7" w14:textId="77777777" w:rsidR="00F134F4" w:rsidRPr="00475027" w:rsidRDefault="00F134F4" w:rsidP="006C3BB3">
            <w:pPr>
              <w:pStyle w:val="Body"/>
              <w:jc w:val="center"/>
              <w:rPr>
                <w:lang w:val="sk-SK"/>
              </w:rPr>
            </w:pPr>
            <w:r w:rsidRPr="00475027">
              <w:rPr>
                <w:lang w:val="sk-SK"/>
              </w:rPr>
              <w:t>n=12</w:t>
            </w:r>
          </w:p>
        </w:tc>
        <w:tc>
          <w:tcPr>
            <w:tcW w:w="657" w:type="pct"/>
            <w:vAlign w:val="center"/>
          </w:tcPr>
          <w:p w14:paraId="4CECF65B" w14:textId="77777777" w:rsidR="00F134F4" w:rsidRPr="00475027" w:rsidRDefault="00F134F4" w:rsidP="006C3BB3">
            <w:pPr>
              <w:pStyle w:val="Body"/>
              <w:jc w:val="center"/>
              <w:rPr>
                <w:lang w:val="sk-SK"/>
              </w:rPr>
            </w:pPr>
            <w:r w:rsidRPr="00475027">
              <w:rPr>
                <w:lang w:val="sk-SK"/>
              </w:rPr>
              <w:t>-0.9</w:t>
            </w:r>
          </w:p>
          <w:p w14:paraId="39B3E550" w14:textId="77777777" w:rsidR="00F134F4" w:rsidRPr="00475027" w:rsidRDefault="00F134F4" w:rsidP="006C3BB3">
            <w:pPr>
              <w:pStyle w:val="Body"/>
              <w:jc w:val="center"/>
              <w:rPr>
                <w:lang w:val="sk-SK"/>
              </w:rPr>
            </w:pPr>
            <w:r w:rsidRPr="00475027">
              <w:rPr>
                <w:lang w:val="sk-SK"/>
              </w:rPr>
              <w:t>n=7</w:t>
            </w:r>
          </w:p>
        </w:tc>
        <w:tc>
          <w:tcPr>
            <w:tcW w:w="527" w:type="pct"/>
            <w:vAlign w:val="center"/>
          </w:tcPr>
          <w:p w14:paraId="45710940" w14:textId="77777777" w:rsidR="00F134F4" w:rsidRPr="00475027" w:rsidRDefault="00F134F4" w:rsidP="006C3BB3">
            <w:pPr>
              <w:pStyle w:val="Body"/>
              <w:jc w:val="center"/>
              <w:rPr>
                <w:lang w:val="sk-SK"/>
              </w:rPr>
            </w:pPr>
            <w:r w:rsidRPr="00475027">
              <w:rPr>
                <w:lang w:val="sk-SK"/>
              </w:rPr>
              <w:t>0.0</w:t>
            </w:r>
          </w:p>
          <w:p w14:paraId="1C7CB844" w14:textId="77777777" w:rsidR="00F134F4" w:rsidRPr="00475027" w:rsidRDefault="00F134F4" w:rsidP="006C3BB3">
            <w:pPr>
              <w:pStyle w:val="Body"/>
              <w:jc w:val="center"/>
              <w:rPr>
                <w:lang w:val="sk-SK"/>
              </w:rPr>
            </w:pPr>
            <w:r w:rsidRPr="00475027">
              <w:rPr>
                <w:lang w:val="sk-SK"/>
              </w:rPr>
              <w:t>n=6</w:t>
            </w:r>
          </w:p>
        </w:tc>
      </w:tr>
      <w:tr w:rsidR="00F134F4" w:rsidRPr="00475027" w14:paraId="5B78D814" w14:textId="77777777" w:rsidTr="006C3BB3">
        <w:trPr>
          <w:trHeight w:val="277"/>
        </w:trPr>
        <w:tc>
          <w:tcPr>
            <w:tcW w:w="5000" w:type="pct"/>
            <w:gridSpan w:val="7"/>
          </w:tcPr>
          <w:p w14:paraId="12517EC4" w14:textId="77777777" w:rsidR="00F134F4" w:rsidRPr="00475027" w:rsidRDefault="00F134F4" w:rsidP="00D73A56">
            <w:pPr>
              <w:spacing w:before="100" w:beforeAutospacing="1" w:after="100" w:afterAutospacing="1"/>
              <w:rPr>
                <w:rFonts w:ascii="Times New Roman" w:hAnsi="Times New Roman"/>
                <w:sz w:val="20"/>
                <w:szCs w:val="24"/>
                <w:highlight w:val="yellow"/>
                <w:lang w:val="sk-SK"/>
              </w:rPr>
            </w:pPr>
            <w:r w:rsidRPr="00475027">
              <w:rPr>
                <w:rFonts w:ascii="Times New Roman" w:hAnsi="Times New Roman"/>
                <w:sz w:val="20"/>
                <w:szCs w:val="24"/>
                <w:lang w:val="sk-SK"/>
              </w:rPr>
              <w:t xml:space="preserve">*p&lt;0.05; ** p&lt;0.0001; </w:t>
            </w:r>
            <w:r w:rsidRPr="00475027">
              <w:rPr>
                <w:rFonts w:ascii="Times New Roman" w:hAnsi="Times New Roman"/>
                <w:sz w:val="20"/>
                <w:szCs w:val="24"/>
                <w:lang w:val="sk-SK"/>
              </w:rPr>
              <w:br/>
              <w:t>LS = Least Square (Metóda najmenších štvorcov)</w:t>
            </w:r>
            <w:r w:rsidRPr="00475027">
              <w:rPr>
                <w:rFonts w:ascii="Times New Roman" w:hAnsi="Times New Roman"/>
                <w:sz w:val="20"/>
                <w:szCs w:val="24"/>
                <w:lang w:val="sk-SK"/>
              </w:rPr>
              <w:br/>
              <w:t xml:space="preserve">(1) Žiadne štatistické testy neboli vykonávané v dôsledku nízkej početnosti placebo skupiny a liečenej skupiny </w:t>
            </w:r>
          </w:p>
        </w:tc>
      </w:tr>
    </w:tbl>
    <w:p w14:paraId="46065DEB" w14:textId="77777777" w:rsidR="00F134F4" w:rsidRPr="00475027" w:rsidRDefault="00F134F4" w:rsidP="00FE4006">
      <w:pPr>
        <w:jc w:val="both"/>
        <w:rPr>
          <w:rFonts w:ascii="Times New Roman" w:hAnsi="Times New Roman" w:cs="Times New Roman"/>
          <w:sz w:val="22"/>
          <w:szCs w:val="22"/>
          <w:lang w:val="sk-SK"/>
        </w:rPr>
      </w:pPr>
    </w:p>
    <w:p w14:paraId="7D4DD45D"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Na hodnotenie účinnosti liečby na funkčné poškodenie sa vykonalo hodnotenie s použitím Disability Assessment Scale (DAS).  DAS skóre respondentov pre hlavný cieľ liečby (v ITT populácii) je uvedené nižšie.</w:t>
      </w:r>
    </w:p>
    <w:p w14:paraId="2DD8E561" w14:textId="77777777" w:rsidR="00F134F4" w:rsidRPr="00475027" w:rsidRDefault="00F134F4" w:rsidP="00FE4006">
      <w:pPr>
        <w:jc w:val="both"/>
        <w:rPr>
          <w:rFonts w:ascii="Times New Roman" w:hAnsi="Times New Roman" w:cs="Times New Roman"/>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7"/>
        <w:gridCol w:w="1890"/>
        <w:gridCol w:w="1800"/>
      </w:tblGrid>
      <w:tr w:rsidR="00F134F4" w:rsidRPr="00475027" w14:paraId="023FFE1D" w14:textId="77777777" w:rsidTr="006C3BB3">
        <w:trPr>
          <w:jc w:val="center"/>
        </w:trPr>
        <w:tc>
          <w:tcPr>
            <w:tcW w:w="1777" w:type="dxa"/>
          </w:tcPr>
          <w:p w14:paraId="74E47BCC" w14:textId="77777777" w:rsidR="00F134F4" w:rsidRPr="00475027" w:rsidRDefault="00F134F4" w:rsidP="006C3BB3">
            <w:pPr>
              <w:rPr>
                <w:rFonts w:ascii="Times New Roman" w:hAnsi="Times New Roman"/>
                <w:sz w:val="24"/>
                <w:szCs w:val="24"/>
                <w:lang w:val="sk-SK"/>
              </w:rPr>
            </w:pPr>
            <w:r w:rsidRPr="00475027">
              <w:rPr>
                <w:rFonts w:ascii="Times New Roman" w:hAnsi="Times New Roman"/>
                <w:sz w:val="24"/>
                <w:szCs w:val="24"/>
                <w:lang w:val="sk-SK"/>
              </w:rPr>
              <w:t>Liečená skupina</w:t>
            </w:r>
          </w:p>
        </w:tc>
        <w:tc>
          <w:tcPr>
            <w:tcW w:w="1890" w:type="dxa"/>
          </w:tcPr>
          <w:p w14:paraId="7C6E3ED6" w14:textId="77777777" w:rsidR="00F134F4" w:rsidRPr="00475027" w:rsidRDefault="00F134F4" w:rsidP="00AA1E3A">
            <w:pPr>
              <w:jc w:val="center"/>
              <w:rPr>
                <w:rFonts w:ascii="Times New Roman" w:hAnsi="Times New Roman"/>
                <w:sz w:val="24"/>
                <w:szCs w:val="24"/>
                <w:lang w:val="sk-SK"/>
              </w:rPr>
            </w:pPr>
            <w:r w:rsidRPr="00475027">
              <w:rPr>
                <w:rFonts w:ascii="Times New Roman" w:hAnsi="Times New Roman"/>
                <w:sz w:val="24"/>
                <w:szCs w:val="24"/>
                <w:lang w:val="sk-SK"/>
              </w:rPr>
              <w:t>4. týždeň % respondentov</w:t>
            </w:r>
          </w:p>
        </w:tc>
        <w:tc>
          <w:tcPr>
            <w:tcW w:w="1800" w:type="dxa"/>
          </w:tcPr>
          <w:p w14:paraId="2C6D9027" w14:textId="77777777" w:rsidR="00F134F4" w:rsidRPr="00475027" w:rsidRDefault="00F134F4" w:rsidP="00AA1E3A">
            <w:pPr>
              <w:jc w:val="center"/>
              <w:rPr>
                <w:rFonts w:ascii="Times New Roman" w:hAnsi="Times New Roman"/>
                <w:sz w:val="24"/>
                <w:szCs w:val="24"/>
                <w:lang w:val="sk-SK"/>
              </w:rPr>
            </w:pPr>
            <w:r w:rsidRPr="00475027">
              <w:rPr>
                <w:rFonts w:ascii="Times New Roman" w:hAnsi="Times New Roman"/>
                <w:sz w:val="24"/>
                <w:szCs w:val="24"/>
                <w:lang w:val="sk-SK"/>
              </w:rPr>
              <w:t>12. týždeň % respondentov</w:t>
            </w:r>
          </w:p>
        </w:tc>
      </w:tr>
      <w:tr w:rsidR="00F134F4" w:rsidRPr="00475027" w14:paraId="6B554A6B" w14:textId="77777777" w:rsidTr="006C3BB3">
        <w:trPr>
          <w:jc w:val="center"/>
        </w:trPr>
        <w:tc>
          <w:tcPr>
            <w:tcW w:w="1777" w:type="dxa"/>
          </w:tcPr>
          <w:p w14:paraId="6C045F1F" w14:textId="77777777" w:rsidR="00F134F4" w:rsidRPr="00475027" w:rsidRDefault="00F134F4" w:rsidP="006C3BB3">
            <w:pPr>
              <w:rPr>
                <w:rFonts w:ascii="Times New Roman" w:hAnsi="Times New Roman"/>
                <w:sz w:val="24"/>
                <w:szCs w:val="24"/>
                <w:lang w:val="sk-SK"/>
              </w:rPr>
            </w:pPr>
            <w:r w:rsidRPr="00475027">
              <w:rPr>
                <w:rFonts w:ascii="Times New Roman" w:hAnsi="Times New Roman"/>
                <w:sz w:val="24"/>
                <w:szCs w:val="24"/>
                <w:lang w:val="sk-SK"/>
              </w:rPr>
              <w:t>Dysport 500U</w:t>
            </w:r>
          </w:p>
        </w:tc>
        <w:tc>
          <w:tcPr>
            <w:tcW w:w="1890" w:type="dxa"/>
          </w:tcPr>
          <w:p w14:paraId="7EC21821" w14:textId="77777777" w:rsidR="00F134F4" w:rsidRPr="00475027" w:rsidRDefault="00F134F4" w:rsidP="006C3BB3">
            <w:pPr>
              <w:jc w:val="center"/>
              <w:rPr>
                <w:rFonts w:ascii="Times New Roman" w:hAnsi="Times New Roman"/>
                <w:sz w:val="24"/>
                <w:szCs w:val="24"/>
                <w:lang w:val="sk-SK"/>
              </w:rPr>
            </w:pPr>
            <w:r w:rsidRPr="00475027">
              <w:rPr>
                <w:rFonts w:ascii="Times New Roman" w:hAnsi="Times New Roman"/>
                <w:sz w:val="24"/>
                <w:szCs w:val="24"/>
                <w:lang w:val="sk-SK"/>
              </w:rPr>
              <w:t>50.0</w:t>
            </w:r>
            <w:r w:rsidRPr="00475027">
              <w:rPr>
                <w:rFonts w:ascii="Times New Roman" w:hAnsi="Times New Roman"/>
                <w:sz w:val="24"/>
                <w:szCs w:val="24"/>
                <w:lang w:val="sk-SK"/>
              </w:rPr>
              <w:br/>
              <w:t>n=80</w:t>
            </w:r>
          </w:p>
          <w:p w14:paraId="7724A218" w14:textId="77777777" w:rsidR="00F134F4" w:rsidRPr="00475027" w:rsidRDefault="00F134F4" w:rsidP="006C3BB3">
            <w:pPr>
              <w:jc w:val="center"/>
              <w:rPr>
                <w:rFonts w:ascii="Times New Roman" w:hAnsi="Times New Roman"/>
                <w:sz w:val="24"/>
                <w:szCs w:val="24"/>
                <w:lang w:val="sk-SK"/>
              </w:rPr>
            </w:pPr>
            <w:r w:rsidRPr="00475027">
              <w:rPr>
                <w:rFonts w:ascii="Times New Roman" w:hAnsi="Times New Roman"/>
                <w:sz w:val="24"/>
                <w:szCs w:val="24"/>
                <w:lang w:val="sk-SK"/>
              </w:rPr>
              <w:t>p = 0.13</w:t>
            </w:r>
          </w:p>
        </w:tc>
        <w:tc>
          <w:tcPr>
            <w:tcW w:w="1800" w:type="dxa"/>
          </w:tcPr>
          <w:p w14:paraId="536B7984" w14:textId="77777777" w:rsidR="00F134F4" w:rsidRPr="00475027" w:rsidRDefault="00F134F4" w:rsidP="006C3BB3">
            <w:pPr>
              <w:jc w:val="center"/>
              <w:rPr>
                <w:rFonts w:ascii="Times New Roman" w:hAnsi="Times New Roman"/>
                <w:sz w:val="24"/>
                <w:szCs w:val="24"/>
                <w:lang w:val="sk-SK"/>
              </w:rPr>
            </w:pPr>
            <w:r w:rsidRPr="00475027">
              <w:rPr>
                <w:rFonts w:ascii="Times New Roman" w:hAnsi="Times New Roman"/>
                <w:sz w:val="24"/>
                <w:szCs w:val="24"/>
                <w:lang w:val="sk-SK"/>
              </w:rPr>
              <w:t>41.3</w:t>
            </w:r>
            <w:r w:rsidRPr="00475027">
              <w:rPr>
                <w:rFonts w:ascii="Times New Roman" w:hAnsi="Times New Roman"/>
                <w:sz w:val="24"/>
                <w:szCs w:val="24"/>
                <w:lang w:val="sk-SK"/>
              </w:rPr>
              <w:br/>
              <w:t>n=76</w:t>
            </w:r>
          </w:p>
          <w:p w14:paraId="5D218E19" w14:textId="77777777" w:rsidR="00F134F4" w:rsidRPr="00475027" w:rsidRDefault="00F134F4" w:rsidP="006C3BB3">
            <w:pPr>
              <w:jc w:val="center"/>
              <w:rPr>
                <w:rFonts w:ascii="Times New Roman" w:hAnsi="Times New Roman"/>
                <w:sz w:val="24"/>
                <w:szCs w:val="24"/>
                <w:lang w:val="sk-SK"/>
              </w:rPr>
            </w:pPr>
            <w:r w:rsidRPr="00475027">
              <w:rPr>
                <w:rFonts w:ascii="Times New Roman" w:hAnsi="Times New Roman"/>
                <w:sz w:val="24"/>
                <w:szCs w:val="24"/>
                <w:lang w:val="sk-SK"/>
              </w:rPr>
              <w:t>p = 0.11</w:t>
            </w:r>
          </w:p>
        </w:tc>
      </w:tr>
      <w:tr w:rsidR="00F134F4" w:rsidRPr="00475027" w14:paraId="47438D38" w14:textId="77777777" w:rsidTr="006C3BB3">
        <w:trPr>
          <w:jc w:val="center"/>
        </w:trPr>
        <w:tc>
          <w:tcPr>
            <w:tcW w:w="1777" w:type="dxa"/>
          </w:tcPr>
          <w:p w14:paraId="4214D5F2" w14:textId="77777777" w:rsidR="00F134F4" w:rsidRPr="00475027" w:rsidRDefault="00F134F4" w:rsidP="006C3BB3">
            <w:pPr>
              <w:rPr>
                <w:rFonts w:ascii="Times New Roman" w:hAnsi="Times New Roman"/>
                <w:sz w:val="24"/>
                <w:szCs w:val="24"/>
                <w:lang w:val="sk-SK"/>
              </w:rPr>
            </w:pPr>
            <w:r w:rsidRPr="00475027">
              <w:rPr>
                <w:rFonts w:ascii="Times New Roman" w:hAnsi="Times New Roman"/>
                <w:sz w:val="24"/>
                <w:szCs w:val="24"/>
                <w:lang w:val="sk-SK"/>
              </w:rPr>
              <w:t>Dysport 1000U</w:t>
            </w:r>
          </w:p>
        </w:tc>
        <w:tc>
          <w:tcPr>
            <w:tcW w:w="1890" w:type="dxa"/>
          </w:tcPr>
          <w:p w14:paraId="34606E1F" w14:textId="77777777" w:rsidR="00F134F4" w:rsidRPr="00475027" w:rsidRDefault="00F134F4" w:rsidP="006C3BB3">
            <w:pPr>
              <w:jc w:val="center"/>
              <w:rPr>
                <w:rFonts w:ascii="Times New Roman" w:hAnsi="Times New Roman"/>
                <w:sz w:val="24"/>
                <w:szCs w:val="24"/>
                <w:lang w:val="sk-SK"/>
              </w:rPr>
            </w:pPr>
            <w:r w:rsidRPr="00475027">
              <w:rPr>
                <w:rFonts w:ascii="Times New Roman" w:hAnsi="Times New Roman"/>
                <w:sz w:val="24"/>
                <w:szCs w:val="24"/>
                <w:lang w:val="sk-SK"/>
              </w:rPr>
              <w:t>62.0</w:t>
            </w:r>
            <w:r w:rsidRPr="00475027">
              <w:rPr>
                <w:rFonts w:ascii="Times New Roman" w:hAnsi="Times New Roman"/>
                <w:sz w:val="24"/>
                <w:szCs w:val="24"/>
                <w:lang w:val="sk-SK"/>
              </w:rPr>
              <w:br/>
              <w:t>n=78</w:t>
            </w:r>
          </w:p>
          <w:p w14:paraId="726D607E" w14:textId="77777777" w:rsidR="00F134F4" w:rsidRPr="00475027" w:rsidRDefault="00F134F4" w:rsidP="006C3BB3">
            <w:pPr>
              <w:jc w:val="center"/>
              <w:rPr>
                <w:rFonts w:ascii="Times New Roman" w:hAnsi="Times New Roman"/>
                <w:sz w:val="24"/>
                <w:szCs w:val="24"/>
                <w:lang w:val="sk-SK"/>
              </w:rPr>
            </w:pPr>
            <w:r w:rsidRPr="00475027">
              <w:rPr>
                <w:rFonts w:ascii="Times New Roman" w:hAnsi="Times New Roman"/>
                <w:sz w:val="24"/>
                <w:szCs w:val="24"/>
                <w:lang w:val="sk-SK"/>
              </w:rPr>
              <w:t>p = 0.0018</w:t>
            </w:r>
          </w:p>
        </w:tc>
        <w:tc>
          <w:tcPr>
            <w:tcW w:w="1800" w:type="dxa"/>
          </w:tcPr>
          <w:p w14:paraId="691BBBAE" w14:textId="77777777" w:rsidR="00F134F4" w:rsidRPr="00475027" w:rsidRDefault="00F134F4" w:rsidP="006C3BB3">
            <w:pPr>
              <w:jc w:val="center"/>
              <w:rPr>
                <w:rFonts w:ascii="Times New Roman" w:hAnsi="Times New Roman"/>
                <w:sz w:val="24"/>
                <w:szCs w:val="24"/>
                <w:lang w:val="sk-SK"/>
              </w:rPr>
            </w:pPr>
            <w:r w:rsidRPr="00475027">
              <w:rPr>
                <w:rFonts w:ascii="Times New Roman" w:hAnsi="Times New Roman"/>
                <w:sz w:val="24"/>
                <w:szCs w:val="24"/>
                <w:lang w:val="sk-SK"/>
              </w:rPr>
              <w:t>55.7</w:t>
            </w:r>
            <w:r w:rsidRPr="00475027">
              <w:rPr>
                <w:rFonts w:ascii="Times New Roman" w:hAnsi="Times New Roman"/>
                <w:sz w:val="24"/>
                <w:szCs w:val="24"/>
                <w:lang w:val="sk-SK"/>
              </w:rPr>
              <w:br/>
              <w:t>n=76</w:t>
            </w:r>
          </w:p>
          <w:p w14:paraId="67FBF06E" w14:textId="77777777" w:rsidR="00F134F4" w:rsidRPr="00475027" w:rsidRDefault="00F134F4" w:rsidP="006C3BB3">
            <w:pPr>
              <w:jc w:val="center"/>
              <w:rPr>
                <w:rFonts w:ascii="Times New Roman" w:hAnsi="Times New Roman"/>
                <w:sz w:val="24"/>
                <w:szCs w:val="24"/>
                <w:lang w:val="sk-SK"/>
              </w:rPr>
            </w:pPr>
            <w:r w:rsidRPr="00475027">
              <w:rPr>
                <w:rFonts w:ascii="Times New Roman" w:hAnsi="Times New Roman"/>
                <w:sz w:val="24"/>
                <w:szCs w:val="24"/>
                <w:lang w:val="sk-SK"/>
              </w:rPr>
              <w:t>p = 0.0004</w:t>
            </w:r>
          </w:p>
        </w:tc>
      </w:tr>
      <w:tr w:rsidR="00F134F4" w:rsidRPr="00475027" w14:paraId="619D4F97" w14:textId="77777777" w:rsidTr="006C3BB3">
        <w:trPr>
          <w:jc w:val="center"/>
        </w:trPr>
        <w:tc>
          <w:tcPr>
            <w:tcW w:w="1777" w:type="dxa"/>
          </w:tcPr>
          <w:p w14:paraId="058D6E58" w14:textId="77777777" w:rsidR="00F134F4" w:rsidRPr="00475027" w:rsidRDefault="00F134F4" w:rsidP="006C3BB3">
            <w:pPr>
              <w:rPr>
                <w:rFonts w:ascii="Times New Roman" w:hAnsi="Times New Roman"/>
                <w:sz w:val="24"/>
                <w:szCs w:val="24"/>
                <w:lang w:val="sk-SK"/>
              </w:rPr>
            </w:pPr>
            <w:r w:rsidRPr="00475027">
              <w:rPr>
                <w:rFonts w:ascii="Times New Roman" w:hAnsi="Times New Roman"/>
                <w:sz w:val="24"/>
                <w:szCs w:val="24"/>
                <w:lang w:val="sk-SK"/>
              </w:rPr>
              <w:t>Placebo</w:t>
            </w:r>
          </w:p>
        </w:tc>
        <w:tc>
          <w:tcPr>
            <w:tcW w:w="1890" w:type="dxa"/>
          </w:tcPr>
          <w:p w14:paraId="1DCEE702" w14:textId="77777777" w:rsidR="00F134F4" w:rsidRPr="00475027" w:rsidRDefault="00F134F4" w:rsidP="006C3BB3">
            <w:pPr>
              <w:jc w:val="center"/>
              <w:rPr>
                <w:rFonts w:ascii="Times New Roman" w:hAnsi="Times New Roman"/>
                <w:sz w:val="24"/>
                <w:szCs w:val="24"/>
                <w:lang w:val="sk-SK"/>
              </w:rPr>
            </w:pPr>
            <w:r w:rsidRPr="00475027">
              <w:rPr>
                <w:rFonts w:ascii="Times New Roman" w:hAnsi="Times New Roman"/>
                <w:sz w:val="24"/>
                <w:szCs w:val="24"/>
                <w:lang w:val="sk-SK"/>
              </w:rPr>
              <w:t>39.2</w:t>
            </w:r>
            <w:r w:rsidRPr="00475027">
              <w:rPr>
                <w:rFonts w:ascii="Times New Roman" w:hAnsi="Times New Roman"/>
                <w:sz w:val="24"/>
                <w:szCs w:val="24"/>
                <w:lang w:val="sk-SK"/>
              </w:rPr>
              <w:br/>
              <w:t>n=79</w:t>
            </w:r>
          </w:p>
        </w:tc>
        <w:tc>
          <w:tcPr>
            <w:tcW w:w="1800" w:type="dxa"/>
          </w:tcPr>
          <w:p w14:paraId="258104AE" w14:textId="77777777" w:rsidR="00F134F4" w:rsidRPr="00475027" w:rsidRDefault="00F134F4" w:rsidP="006C3BB3">
            <w:pPr>
              <w:jc w:val="center"/>
              <w:rPr>
                <w:rFonts w:ascii="Times New Roman" w:hAnsi="Times New Roman"/>
                <w:sz w:val="24"/>
                <w:szCs w:val="24"/>
                <w:lang w:val="sk-SK"/>
              </w:rPr>
            </w:pPr>
            <w:r w:rsidRPr="00475027">
              <w:rPr>
                <w:rFonts w:ascii="Times New Roman" w:hAnsi="Times New Roman"/>
                <w:sz w:val="24"/>
                <w:szCs w:val="24"/>
                <w:lang w:val="sk-SK"/>
              </w:rPr>
              <w:t>32.9</w:t>
            </w:r>
            <w:r w:rsidRPr="00475027">
              <w:rPr>
                <w:rFonts w:ascii="Times New Roman" w:hAnsi="Times New Roman"/>
                <w:sz w:val="24"/>
                <w:szCs w:val="24"/>
                <w:lang w:val="sk-SK"/>
              </w:rPr>
              <w:br/>
              <w:t>n=75</w:t>
            </w:r>
          </w:p>
        </w:tc>
      </w:tr>
      <w:tr w:rsidR="00F134F4" w:rsidRPr="00475027" w14:paraId="76A8F88E" w14:textId="77777777" w:rsidTr="006C3BB3">
        <w:trPr>
          <w:jc w:val="center"/>
        </w:trPr>
        <w:tc>
          <w:tcPr>
            <w:tcW w:w="5467" w:type="dxa"/>
            <w:gridSpan w:val="3"/>
            <w:tcBorders>
              <w:left w:val="nil"/>
              <w:bottom w:val="nil"/>
              <w:right w:val="nil"/>
            </w:tcBorders>
          </w:tcPr>
          <w:p w14:paraId="6B033F86" w14:textId="77777777" w:rsidR="00F134F4" w:rsidRPr="00475027" w:rsidRDefault="00F134F4" w:rsidP="00F21B90">
            <w:pPr>
              <w:rPr>
                <w:rFonts w:ascii="Times New Roman" w:hAnsi="Times New Roman"/>
                <w:szCs w:val="24"/>
                <w:lang w:val="sk-SK"/>
              </w:rPr>
            </w:pPr>
            <w:r w:rsidRPr="00475027">
              <w:rPr>
                <w:rFonts w:ascii="Times New Roman" w:hAnsi="Times New Roman"/>
                <w:sz w:val="20"/>
                <w:szCs w:val="24"/>
                <w:lang w:val="sk-SK"/>
              </w:rPr>
              <w:t>* Domény zahrnuté v DAS sú hygiena, postavenie končatiny, obliekanie a bolestivosť</w:t>
            </w:r>
          </w:p>
        </w:tc>
      </w:tr>
    </w:tbl>
    <w:p w14:paraId="4B54499C" w14:textId="77777777" w:rsidR="00F134F4" w:rsidRPr="00475027" w:rsidRDefault="00F134F4" w:rsidP="00FE4006">
      <w:pPr>
        <w:jc w:val="both"/>
        <w:rPr>
          <w:rFonts w:ascii="Times New Roman" w:hAnsi="Times New Roman" w:cs="Times New Roman"/>
          <w:sz w:val="22"/>
          <w:szCs w:val="22"/>
          <w:highlight w:val="yellow"/>
          <w:lang w:val="sk-SK"/>
        </w:rPr>
      </w:pPr>
    </w:p>
    <w:p w14:paraId="65C40792" w14:textId="77777777" w:rsidR="00A612A0" w:rsidRPr="007648C4" w:rsidRDefault="00F134F4" w:rsidP="006C3BB3">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V oboch  skupinách 500 U aj 1000 U boli výsledkom štatisticky signifikantné zlepšenia v uhle  a stupni spasticity, ktoré boli hodnotené pomocou Tardieu Scale v 4. týždni vo všetkých svalových skupinách (flexory prstov, zápästia a lakťa) pri porovnaní s placebom. Zníženie stupňa spasticity boli pri dávke 1000 U  signifikantné tiež v 12. týždni vo všetkých svalových skupinách v porovnaní </w:t>
      </w:r>
      <w:r w:rsidRPr="007648C4">
        <w:rPr>
          <w:rFonts w:ascii="Times New Roman" w:hAnsi="Times New Roman" w:cs="Times New Roman"/>
          <w:sz w:val="22"/>
          <w:szCs w:val="22"/>
          <w:lang w:val="sk-SK"/>
        </w:rPr>
        <w:t>s placebom.</w:t>
      </w:r>
    </w:p>
    <w:p w14:paraId="7B98C068" w14:textId="7C03064A" w:rsidR="00F134F4" w:rsidRPr="007648C4" w:rsidRDefault="00A612A0" w:rsidP="006C3BB3">
      <w:pPr>
        <w:jc w:val="both"/>
        <w:rPr>
          <w:rFonts w:ascii="Times New Roman" w:hAnsi="Times New Roman" w:cs="Times New Roman"/>
          <w:sz w:val="22"/>
          <w:szCs w:val="22"/>
          <w:lang w:val="sk-SK"/>
        </w:rPr>
      </w:pPr>
      <w:r w:rsidRPr="007648C4">
        <w:rPr>
          <w:rFonts w:ascii="Times New Roman" w:hAnsi="Times New Roman" w:cs="Times New Roman"/>
          <w:sz w:val="22"/>
          <w:szCs w:val="22"/>
          <w:lang w:val="sk-SK"/>
        </w:rPr>
        <w:t xml:space="preserve">Pacienti so súbežnou spasticitou horných a dolných končatín, boli schopní prijať injekcie Dysportu 500 do postihnutej dolnej končatiny a zároveň 1000 U do hornej končatiny, s celkovou dávkou maximálne 1500 U. </w:t>
      </w:r>
      <w:r w:rsidR="00F134F4" w:rsidRPr="007648C4">
        <w:rPr>
          <w:rFonts w:ascii="Times New Roman" w:hAnsi="Times New Roman" w:cs="Times New Roman"/>
          <w:sz w:val="22"/>
          <w:szCs w:val="22"/>
          <w:lang w:val="sk-SK"/>
        </w:rPr>
        <w:t xml:space="preserve"> </w:t>
      </w:r>
    </w:p>
    <w:p w14:paraId="2E1A54B6" w14:textId="77777777" w:rsidR="00F134F4" w:rsidRPr="007648C4" w:rsidRDefault="00F134F4" w:rsidP="006C3BB3">
      <w:pPr>
        <w:jc w:val="both"/>
        <w:rPr>
          <w:rFonts w:ascii="Times New Roman" w:hAnsi="Times New Roman" w:cs="Times New Roman"/>
          <w:sz w:val="22"/>
          <w:szCs w:val="22"/>
          <w:lang w:val="sk-SK"/>
        </w:rPr>
      </w:pPr>
      <w:r w:rsidRPr="007648C4">
        <w:rPr>
          <w:rFonts w:ascii="Times New Roman" w:hAnsi="Times New Roman" w:cs="Times New Roman"/>
          <w:sz w:val="22"/>
          <w:szCs w:val="22"/>
          <w:lang w:val="sk-SK"/>
        </w:rPr>
        <w:lastRenderedPageBreak/>
        <w:t>Dysport 1000 U štatisticky zlepšil v 4. týždni aktívny rozsah pohybu (AROM) klinicky významným rozdielom v lakti (+18,3 stupňa), zápästí (+35,2 stupňa) a svaloch prstov (+11,8 stupňa), zatiaľ čo žiadne zlepšenie nebolo pozorované v placebo skupine. Dysport 500 U preukázal podobný benefit pri AROM na svaly prstov.</w:t>
      </w:r>
    </w:p>
    <w:p w14:paraId="43309891" w14:textId="77777777" w:rsidR="00F134F4" w:rsidRPr="007648C4" w:rsidRDefault="00F134F4" w:rsidP="006C3BB3">
      <w:pPr>
        <w:jc w:val="both"/>
        <w:rPr>
          <w:rFonts w:ascii="Times New Roman" w:hAnsi="Times New Roman" w:cs="Times New Roman"/>
          <w:sz w:val="22"/>
          <w:szCs w:val="22"/>
          <w:lang w:val="sk-SK"/>
        </w:rPr>
      </w:pPr>
      <w:r w:rsidRPr="007648C4">
        <w:rPr>
          <w:rFonts w:ascii="Times New Roman" w:hAnsi="Times New Roman" w:cs="Times New Roman"/>
          <w:sz w:val="22"/>
          <w:szCs w:val="22"/>
          <w:lang w:val="sk-SK"/>
        </w:rPr>
        <w:t>Zlepšenia v ľahkosti nasadenia fixačnej dlahy sledovaným subjektom boli štatisticky signifikantne väčšie v skupinách liečených dávkami Dysportu 1000 U a 500 U než v placebo skupine v 4. a 12. týždni.</w:t>
      </w:r>
    </w:p>
    <w:p w14:paraId="3A59D355" w14:textId="34D9521E" w:rsidR="00E078D0" w:rsidRPr="007648C4" w:rsidRDefault="00E078D0" w:rsidP="00E078D0">
      <w:pPr>
        <w:jc w:val="both"/>
        <w:rPr>
          <w:rFonts w:ascii="Times New Roman" w:hAnsi="Times New Roman" w:cs="Times New Roman"/>
          <w:sz w:val="22"/>
          <w:szCs w:val="22"/>
          <w:lang w:val="sk-SK"/>
        </w:rPr>
      </w:pPr>
      <w:r w:rsidRPr="007648C4">
        <w:rPr>
          <w:rFonts w:ascii="Times New Roman" w:hAnsi="Times New Roman" w:cs="Times New Roman"/>
          <w:sz w:val="22"/>
          <w:szCs w:val="22"/>
          <w:lang w:val="sk-SK"/>
        </w:rPr>
        <w:t xml:space="preserve">V následnej otvorenej predĺženej štúdií bola opätovná liečba stanovená </w:t>
      </w:r>
      <w:r w:rsidR="00065250" w:rsidRPr="007648C4">
        <w:rPr>
          <w:rFonts w:ascii="Times New Roman" w:hAnsi="Times New Roman" w:cs="Times New Roman"/>
          <w:sz w:val="22"/>
          <w:szCs w:val="22"/>
          <w:lang w:val="sk-SK"/>
        </w:rPr>
        <w:t xml:space="preserve">na základe </w:t>
      </w:r>
      <w:r w:rsidRPr="007648C4">
        <w:rPr>
          <w:rFonts w:ascii="Times New Roman" w:hAnsi="Times New Roman" w:cs="Times New Roman"/>
          <w:sz w:val="22"/>
          <w:szCs w:val="22"/>
          <w:lang w:val="sk-SK"/>
        </w:rPr>
        <w:t>klinick</w:t>
      </w:r>
      <w:r w:rsidR="00065250" w:rsidRPr="007648C4">
        <w:rPr>
          <w:rFonts w:ascii="Times New Roman" w:hAnsi="Times New Roman" w:cs="Times New Roman"/>
          <w:sz w:val="22"/>
          <w:szCs w:val="22"/>
          <w:lang w:val="sk-SK"/>
        </w:rPr>
        <w:t>ej</w:t>
      </w:r>
      <w:r w:rsidRPr="007648C4">
        <w:rPr>
          <w:rFonts w:ascii="Times New Roman" w:hAnsi="Times New Roman" w:cs="Times New Roman"/>
          <w:sz w:val="22"/>
          <w:szCs w:val="22"/>
          <w:lang w:val="sk-SK"/>
        </w:rPr>
        <w:t xml:space="preserve"> potreb</w:t>
      </w:r>
      <w:r w:rsidR="00065250" w:rsidRPr="007648C4">
        <w:rPr>
          <w:rFonts w:ascii="Times New Roman" w:hAnsi="Times New Roman" w:cs="Times New Roman"/>
          <w:sz w:val="22"/>
          <w:szCs w:val="22"/>
          <w:lang w:val="sk-SK"/>
        </w:rPr>
        <w:t>y</w:t>
      </w:r>
      <w:r w:rsidRPr="007648C4">
        <w:rPr>
          <w:rFonts w:ascii="Times New Roman" w:hAnsi="Times New Roman" w:cs="Times New Roman"/>
          <w:sz w:val="22"/>
          <w:szCs w:val="22"/>
          <w:lang w:val="sk-SK"/>
        </w:rPr>
        <w:t xml:space="preserve"> po minimálne 12 týždňoch. Dávky presahujúce 1000 U, až do 1500 U </w:t>
      </w:r>
      <w:r w:rsidR="00065250" w:rsidRPr="007648C4">
        <w:rPr>
          <w:rFonts w:ascii="Times New Roman" w:hAnsi="Times New Roman" w:cs="Times New Roman"/>
          <w:sz w:val="22"/>
          <w:szCs w:val="22"/>
          <w:lang w:val="sk-SK"/>
        </w:rPr>
        <w:t>boli</w:t>
      </w:r>
      <w:r w:rsidRPr="007648C4">
        <w:rPr>
          <w:rFonts w:ascii="Times New Roman" w:hAnsi="Times New Roman" w:cs="Times New Roman"/>
          <w:sz w:val="22"/>
          <w:szCs w:val="22"/>
          <w:lang w:val="sk-SK"/>
        </w:rPr>
        <w:t xml:space="preserve"> </w:t>
      </w:r>
      <w:r w:rsidR="00065250" w:rsidRPr="007648C4">
        <w:rPr>
          <w:rFonts w:ascii="Times New Roman" w:hAnsi="Times New Roman" w:cs="Times New Roman"/>
          <w:sz w:val="22"/>
          <w:szCs w:val="22"/>
          <w:lang w:val="sk-SK"/>
        </w:rPr>
        <w:t>p</w:t>
      </w:r>
      <w:r w:rsidRPr="007648C4">
        <w:rPr>
          <w:rFonts w:ascii="Times New Roman" w:hAnsi="Times New Roman" w:cs="Times New Roman"/>
          <w:sz w:val="22"/>
          <w:szCs w:val="22"/>
          <w:lang w:val="sk-SK"/>
        </w:rPr>
        <w:t xml:space="preserve">ovolené pri injekciách do ramenného svalu. Pri opakovanej liečbe účinnosť Dysportu pretrváva až po dobu jedného roka, ako bolo vyhodnotené </w:t>
      </w:r>
      <w:r w:rsidR="00065250" w:rsidRPr="007648C4">
        <w:rPr>
          <w:rFonts w:ascii="Times New Roman" w:hAnsi="Times New Roman" w:cs="Times New Roman"/>
          <w:sz w:val="22"/>
          <w:szCs w:val="22"/>
          <w:lang w:val="sk-SK"/>
        </w:rPr>
        <w:t xml:space="preserve">prostredníctvom </w:t>
      </w:r>
      <w:r w:rsidRPr="007648C4">
        <w:rPr>
          <w:rFonts w:ascii="Times New Roman" w:hAnsi="Times New Roman" w:cs="Times New Roman"/>
          <w:sz w:val="22"/>
          <w:szCs w:val="22"/>
          <w:lang w:val="sk-SK"/>
        </w:rPr>
        <w:t xml:space="preserve">MAS (ako dokazujú </w:t>
      </w:r>
      <w:r w:rsidR="00065250" w:rsidRPr="007648C4">
        <w:rPr>
          <w:rFonts w:ascii="Times New Roman" w:hAnsi="Times New Roman" w:cs="Times New Roman"/>
          <w:sz w:val="22"/>
          <w:szCs w:val="22"/>
          <w:lang w:val="sk-SK"/>
        </w:rPr>
        <w:t>počty pacientov reagujúcich na liečbu</w:t>
      </w:r>
      <w:r w:rsidRPr="007648C4">
        <w:rPr>
          <w:rFonts w:ascii="Times New Roman" w:hAnsi="Times New Roman" w:cs="Times New Roman"/>
          <w:sz w:val="22"/>
          <w:szCs w:val="22"/>
          <w:lang w:val="sk-SK"/>
        </w:rPr>
        <w:t xml:space="preserve"> od 75 % do 80 % v otvorenej štúdií v porovnaní so 75 % v placebom kontrolovanej štúdií) a PGA v prípade aplikácie do svalstva hornej končatiny. Účinnosť Dysportu taktiež pretrvala, alebo sa zlepšila </w:t>
      </w:r>
      <w:r w:rsidR="00065250" w:rsidRPr="007648C4">
        <w:rPr>
          <w:rFonts w:ascii="Times New Roman" w:hAnsi="Times New Roman" w:cs="Times New Roman"/>
          <w:sz w:val="22"/>
          <w:szCs w:val="22"/>
          <w:lang w:val="sk-SK"/>
        </w:rPr>
        <w:t xml:space="preserve">s ohľadom na </w:t>
      </w:r>
      <w:r w:rsidRPr="007648C4">
        <w:rPr>
          <w:rFonts w:ascii="Times New Roman" w:hAnsi="Times New Roman" w:cs="Times New Roman"/>
          <w:sz w:val="22"/>
          <w:szCs w:val="22"/>
          <w:lang w:val="sk-SK"/>
        </w:rPr>
        <w:t>pasívn</w:t>
      </w:r>
      <w:r w:rsidR="00065250" w:rsidRPr="007648C4">
        <w:rPr>
          <w:rFonts w:ascii="Times New Roman" w:hAnsi="Times New Roman" w:cs="Times New Roman"/>
          <w:sz w:val="22"/>
          <w:szCs w:val="22"/>
          <w:lang w:val="sk-SK"/>
        </w:rPr>
        <w:t>u</w:t>
      </w:r>
      <w:r w:rsidRPr="007648C4">
        <w:rPr>
          <w:rFonts w:ascii="Times New Roman" w:hAnsi="Times New Roman" w:cs="Times New Roman"/>
          <w:sz w:val="22"/>
          <w:szCs w:val="22"/>
          <w:lang w:val="sk-SK"/>
        </w:rPr>
        <w:t xml:space="preserve"> funk</w:t>
      </w:r>
      <w:r w:rsidR="00065250" w:rsidRPr="007648C4">
        <w:rPr>
          <w:rFonts w:ascii="Times New Roman" w:hAnsi="Times New Roman" w:cs="Times New Roman"/>
          <w:sz w:val="22"/>
          <w:szCs w:val="22"/>
          <w:lang w:val="sk-SK"/>
        </w:rPr>
        <w:t>čnosť</w:t>
      </w:r>
      <w:r w:rsidRPr="007648C4">
        <w:rPr>
          <w:rFonts w:ascii="Times New Roman" w:hAnsi="Times New Roman" w:cs="Times New Roman"/>
          <w:sz w:val="22"/>
          <w:szCs w:val="22"/>
          <w:lang w:val="sk-SK"/>
        </w:rPr>
        <w:t xml:space="preserve"> (Dissability Assessment Scale), spasticit</w:t>
      </w:r>
      <w:r w:rsidR="00065250" w:rsidRPr="007648C4">
        <w:rPr>
          <w:rFonts w:ascii="Times New Roman" w:hAnsi="Times New Roman" w:cs="Times New Roman"/>
          <w:sz w:val="22"/>
          <w:szCs w:val="22"/>
          <w:lang w:val="sk-SK"/>
        </w:rPr>
        <w:t>u</w:t>
      </w:r>
      <w:r w:rsidRPr="007648C4">
        <w:rPr>
          <w:rFonts w:ascii="Times New Roman" w:hAnsi="Times New Roman" w:cs="Times New Roman"/>
          <w:sz w:val="22"/>
          <w:szCs w:val="22"/>
          <w:lang w:val="sk-SK"/>
        </w:rPr>
        <w:t xml:space="preserve"> ( Tardieu scale), AROM a uľahčila aplikáciu dláh.</w:t>
      </w:r>
    </w:p>
    <w:p w14:paraId="0250EC19" w14:textId="77777777" w:rsidR="00A612A0" w:rsidRPr="007648C4" w:rsidRDefault="00A612A0" w:rsidP="006C3BB3">
      <w:pPr>
        <w:jc w:val="both"/>
        <w:rPr>
          <w:rFonts w:ascii="Times New Roman" w:hAnsi="Times New Roman" w:cs="Times New Roman"/>
          <w:sz w:val="22"/>
          <w:szCs w:val="22"/>
          <w:lang w:val="sk-SK"/>
        </w:rPr>
      </w:pPr>
    </w:p>
    <w:p w14:paraId="05DB2978" w14:textId="55DA5257" w:rsidR="00A612A0" w:rsidRPr="007648C4" w:rsidRDefault="00A612A0" w:rsidP="00A612A0">
      <w:pPr>
        <w:jc w:val="both"/>
        <w:rPr>
          <w:rFonts w:ascii="Times New Roman" w:hAnsi="Times New Roman" w:cs="Times New Roman"/>
          <w:sz w:val="22"/>
          <w:szCs w:val="22"/>
          <w:u w:val="single"/>
          <w:lang w:val="sk-SK"/>
        </w:rPr>
      </w:pPr>
      <w:r w:rsidRPr="007648C4">
        <w:rPr>
          <w:rFonts w:ascii="Times New Roman" w:hAnsi="Times New Roman" w:cs="Times New Roman"/>
          <w:sz w:val="22"/>
          <w:szCs w:val="22"/>
          <w:u w:val="single"/>
          <w:lang w:val="sk-SK"/>
        </w:rPr>
        <w:t>Symptomatická liečba fokálnej spasticity d</w:t>
      </w:r>
      <w:r w:rsidR="00C95A60" w:rsidRPr="007648C4">
        <w:rPr>
          <w:rFonts w:ascii="Times New Roman" w:hAnsi="Times New Roman" w:cs="Times New Roman"/>
          <w:sz w:val="22"/>
          <w:szCs w:val="22"/>
          <w:u w:val="single"/>
          <w:lang w:val="sk-SK"/>
        </w:rPr>
        <w:t>o</w:t>
      </w:r>
      <w:r w:rsidRPr="007648C4">
        <w:rPr>
          <w:rFonts w:ascii="Times New Roman" w:hAnsi="Times New Roman" w:cs="Times New Roman"/>
          <w:sz w:val="22"/>
          <w:szCs w:val="22"/>
          <w:u w:val="single"/>
          <w:lang w:val="sk-SK"/>
        </w:rPr>
        <w:t>lných končatín u dospelých</w:t>
      </w:r>
    </w:p>
    <w:p w14:paraId="41B8A72B" w14:textId="77777777" w:rsidR="00A612A0" w:rsidRPr="007648C4" w:rsidRDefault="00A612A0" w:rsidP="00A612A0">
      <w:pPr>
        <w:jc w:val="both"/>
        <w:rPr>
          <w:rFonts w:ascii="Times New Roman" w:hAnsi="Times New Roman" w:cs="Times New Roman"/>
          <w:sz w:val="22"/>
          <w:szCs w:val="22"/>
          <w:u w:val="single"/>
          <w:lang w:val="sk-SK"/>
        </w:rPr>
      </w:pPr>
    </w:p>
    <w:p w14:paraId="601201B7" w14:textId="77777777" w:rsidR="00A612A0" w:rsidRPr="007648C4" w:rsidRDefault="00A612A0" w:rsidP="00A612A0">
      <w:pPr>
        <w:jc w:val="both"/>
        <w:rPr>
          <w:rFonts w:ascii="Times New Roman" w:hAnsi="Times New Roman" w:cs="Times New Roman"/>
          <w:sz w:val="22"/>
          <w:szCs w:val="22"/>
          <w:lang w:val="sk-SK"/>
        </w:rPr>
      </w:pPr>
      <w:r w:rsidRPr="007648C4">
        <w:rPr>
          <w:rFonts w:ascii="Times New Roman" w:hAnsi="Times New Roman" w:cs="Times New Roman"/>
          <w:sz w:val="22"/>
          <w:szCs w:val="22"/>
          <w:lang w:val="sk-SK"/>
        </w:rPr>
        <w:t>Účinnosť a bezpečnosť Dysportu pre liečbu spasticity dolných končatín bola hodnotená v pivotnej randomizovanej, multicentrickej, dvojito zaslepenej, placebom kontrolovanej štúdii, ktorá zahŕňala 385 pacientov so spasticitou dolnej končatiny, s mŕtvicou a poranením mozgu (255 pacientov liečených Dysportom a 130 placebom). Primárnym cieľom bolo skóre MAS (Modified Ashworth Scale) odhadovaný pre členkový kĺb.</w:t>
      </w:r>
    </w:p>
    <w:p w14:paraId="2DD8B634" w14:textId="77777777" w:rsidR="00A612A0" w:rsidRPr="007648C4" w:rsidRDefault="00A612A0" w:rsidP="00A612A0">
      <w:pPr>
        <w:jc w:val="both"/>
        <w:rPr>
          <w:rFonts w:ascii="Times New Roman" w:hAnsi="Times New Roman" w:cs="Times New Roman"/>
          <w:sz w:val="22"/>
          <w:szCs w:val="22"/>
          <w:lang w:val="sk-SK"/>
        </w:rPr>
      </w:pPr>
    </w:p>
    <w:p w14:paraId="6DD2B1DE" w14:textId="77777777" w:rsidR="00A612A0" w:rsidRPr="007648C4" w:rsidRDefault="00A612A0" w:rsidP="00A612A0">
      <w:pPr>
        <w:jc w:val="both"/>
        <w:rPr>
          <w:rFonts w:ascii="Times New Roman" w:hAnsi="Times New Roman" w:cs="Times New Roman"/>
          <w:sz w:val="22"/>
          <w:szCs w:val="22"/>
          <w:lang w:val="sk-SK"/>
        </w:rPr>
      </w:pPr>
      <w:r w:rsidRPr="007648C4">
        <w:rPr>
          <w:rFonts w:ascii="Times New Roman" w:hAnsi="Times New Roman" w:cs="Times New Roman"/>
          <w:sz w:val="22"/>
          <w:szCs w:val="22"/>
          <w:lang w:val="sk-SK"/>
        </w:rPr>
        <w:t>Celkový objem 7,5 ml buď Dysportu 1000 U (N=127), Dysportu 1500 U (N=128) alebo Placeba (N=128) bolo rozdelených medzi lýtkový sval (gastrocnemius) a plochý lýtkový sval (soleus muscles) a aspoň jeden ďalší sval dolnej končatiny podľa klinického stavu.</w:t>
      </w:r>
    </w:p>
    <w:p w14:paraId="46FE8EB4" w14:textId="77777777" w:rsidR="00A612A0" w:rsidRPr="007648C4" w:rsidRDefault="00A612A0" w:rsidP="00A612A0">
      <w:pPr>
        <w:jc w:val="both"/>
        <w:rPr>
          <w:rFonts w:ascii="Times New Roman" w:hAnsi="Times New Roman" w:cs="Times New Roman"/>
          <w:sz w:val="22"/>
          <w:szCs w:val="22"/>
          <w:lang w:val="sk-SK"/>
        </w:rPr>
      </w:pPr>
    </w:p>
    <w:p w14:paraId="2EB56F60" w14:textId="77777777" w:rsidR="00A612A0" w:rsidRPr="007648C4" w:rsidRDefault="00A612A0" w:rsidP="00A612A0">
      <w:pPr>
        <w:jc w:val="both"/>
        <w:rPr>
          <w:rFonts w:ascii="Times New Roman" w:hAnsi="Times New Roman" w:cs="Times New Roman"/>
          <w:sz w:val="22"/>
          <w:szCs w:val="22"/>
          <w:lang w:val="sk-SK"/>
        </w:rPr>
      </w:pPr>
      <w:r w:rsidRPr="007648C4">
        <w:rPr>
          <w:rFonts w:ascii="Times New Roman" w:hAnsi="Times New Roman" w:cs="Times New Roman"/>
          <w:sz w:val="22"/>
          <w:szCs w:val="22"/>
          <w:lang w:val="sk-SK"/>
        </w:rPr>
        <w:t>Pri hodnotení MAS pre členkový kĺb s vystretým kolenom (zahŕňajúci všetky plantárne flexory), bolo pozorované štatisticky významné zlepšenie pri 1500 U. Pri hodnotení MAS pre členkový kĺb s ohnutým kolenom (zhŕňajúci všetky plantárne flexory okrem gastrocnemius), bolo pozorované štatisticky významné zlepšenie pre 1000 U a 1500 U.</w:t>
      </w:r>
    </w:p>
    <w:p w14:paraId="017E8381" w14:textId="77777777" w:rsidR="00A612A0" w:rsidRPr="007648C4" w:rsidRDefault="00A612A0" w:rsidP="00A612A0">
      <w:pPr>
        <w:jc w:val="both"/>
        <w:rPr>
          <w:rFonts w:ascii="Times New Roman" w:hAnsi="Times New Roman" w:cs="Times New Roman"/>
          <w:sz w:val="22"/>
          <w:szCs w:val="22"/>
          <w:lang w:val="sk-SK"/>
        </w:rPr>
      </w:pPr>
    </w:p>
    <w:p w14:paraId="6D87A63B" w14:textId="77777777" w:rsidR="00A612A0" w:rsidRPr="007648C4" w:rsidRDefault="00A612A0" w:rsidP="00A612A0">
      <w:pPr>
        <w:jc w:val="both"/>
        <w:rPr>
          <w:rFonts w:ascii="Times New Roman" w:hAnsi="Times New Roman" w:cs="Times New Roman"/>
          <w:sz w:val="22"/>
          <w:szCs w:val="22"/>
          <w:lang w:val="sk-SK"/>
        </w:rPr>
      </w:pPr>
      <w:r w:rsidRPr="007648C4">
        <w:rPr>
          <w:rFonts w:ascii="Times New Roman" w:hAnsi="Times New Roman" w:cs="Times New Roman"/>
          <w:sz w:val="22"/>
          <w:szCs w:val="22"/>
          <w:lang w:val="sk-SK"/>
        </w:rPr>
        <w:t>Zlepšenie v spasticite členkového kĺbu sa preukázalo pomocou Tardieu Scale (TS) so štatisticky významným zlepšením, v stupni závažnosti spasticity, pozorovaného u oboch 1000 U aj 1500 U.</w:t>
      </w:r>
    </w:p>
    <w:p w14:paraId="08011262" w14:textId="77777777" w:rsidR="00A612A0" w:rsidRPr="007648C4" w:rsidRDefault="00A612A0" w:rsidP="00A612A0">
      <w:pPr>
        <w:jc w:val="both"/>
        <w:rPr>
          <w:rFonts w:ascii="Times New Roman" w:hAnsi="Times New Roman" w:cs="Times New Roman"/>
          <w:sz w:val="22"/>
          <w:szCs w:val="22"/>
          <w:lang w:val="sk-SK"/>
        </w:rPr>
      </w:pPr>
    </w:p>
    <w:p w14:paraId="2C2AFCAA" w14:textId="77777777" w:rsidR="00A612A0" w:rsidRPr="007648C4" w:rsidRDefault="00A612A0" w:rsidP="00A612A0">
      <w:pPr>
        <w:jc w:val="both"/>
        <w:rPr>
          <w:rFonts w:ascii="Times New Roman" w:hAnsi="Times New Roman" w:cs="Times New Roman"/>
          <w:sz w:val="22"/>
          <w:szCs w:val="22"/>
          <w:lang w:val="sk-SK"/>
        </w:rPr>
      </w:pPr>
      <w:r w:rsidRPr="007648C4">
        <w:rPr>
          <w:rFonts w:ascii="Times New Roman" w:hAnsi="Times New Roman" w:cs="Times New Roman"/>
          <w:sz w:val="22"/>
          <w:szCs w:val="22"/>
          <w:lang w:val="sk-SK"/>
        </w:rPr>
        <w:t>Liečba Dysportom bola a tiež spojená so štatisticky významným klinickým zlepšením v oboch dávkach meraného pomocou PGA (Physician Global Assessment).</w:t>
      </w:r>
    </w:p>
    <w:p w14:paraId="082BCF0B" w14:textId="77777777" w:rsidR="00A612A0" w:rsidRPr="007648C4" w:rsidRDefault="00A612A0" w:rsidP="00A612A0">
      <w:pPr>
        <w:jc w:val="both"/>
        <w:rPr>
          <w:rFonts w:ascii="Times New Roman" w:hAnsi="Times New Roman" w:cs="Times New Roman"/>
          <w:sz w:val="22"/>
          <w:szCs w:val="22"/>
          <w:lang w:val="sk-SK"/>
        </w:rPr>
      </w:pPr>
    </w:p>
    <w:p w14:paraId="757E3599" w14:textId="13B27ED7" w:rsidR="00A612A0" w:rsidRPr="007648C4" w:rsidRDefault="00A612A0" w:rsidP="00A612A0">
      <w:pPr>
        <w:jc w:val="both"/>
        <w:rPr>
          <w:rFonts w:ascii="Times New Roman" w:hAnsi="Times New Roman" w:cs="Times New Roman"/>
          <w:sz w:val="22"/>
          <w:szCs w:val="22"/>
          <w:lang w:val="sk-SK"/>
        </w:rPr>
      </w:pPr>
      <w:r w:rsidRPr="007648C4">
        <w:rPr>
          <w:rFonts w:ascii="Times New Roman" w:hAnsi="Times New Roman" w:cs="Times New Roman"/>
          <w:sz w:val="22"/>
          <w:szCs w:val="22"/>
          <w:lang w:val="sk-SK"/>
        </w:rPr>
        <w:t>Po dokončení tejto štúdie vstúpilo 345 pacientov do predĺženej otvorenej štúdie, v ktorej bola stanovená opätovná liečba Dysportom 1000 U alebo 1500 U podľa klinickej potreby. Pacienti so súbežnou spasticitou horných a dolných končatín, boli schopní prijať injekcie Dysportu 500 U do postihnutej hornej končatiny a zároveň 1000 U do dolnej končatiny, s celkovou dávkou maximálne 1500 U. Zlepšenie v parametroch účinnosti (MAS, PGA a TS) pozorovaných po 4 týždňoch dvojitej zaslepenej liečby dolných končatín s liekom Dysportom, pokračovalo zlepšením v priebehu opakovanej liečby. V dvojito zaslepenej štúdii nebolo pozorované zlepšenie rýchlosti chôdze po jednom ošetrení, ale pozorované bolo po opakovanom ošetrení</w:t>
      </w:r>
    </w:p>
    <w:p w14:paraId="4FD73890" w14:textId="77777777" w:rsidR="00474ACD" w:rsidRPr="007648C4" w:rsidRDefault="00474ACD" w:rsidP="006C3BB3">
      <w:pPr>
        <w:jc w:val="both"/>
        <w:rPr>
          <w:rFonts w:ascii="Times New Roman" w:hAnsi="Times New Roman" w:cs="Times New Roman"/>
          <w:sz w:val="22"/>
          <w:szCs w:val="22"/>
          <w:lang w:val="sk-SK"/>
        </w:rPr>
      </w:pPr>
    </w:p>
    <w:p w14:paraId="0EA1DCA2" w14:textId="77777777" w:rsidR="00474ACD" w:rsidRPr="007648C4" w:rsidRDefault="00474ACD" w:rsidP="00474ACD">
      <w:pPr>
        <w:autoSpaceDN w:val="0"/>
        <w:spacing w:line="240" w:lineRule="atLeast"/>
        <w:textAlignment w:val="baseline"/>
        <w:rPr>
          <w:rFonts w:ascii="Times New Roman" w:hAnsi="Times New Roman" w:cs="Times New Roman"/>
          <w:bCs/>
          <w:sz w:val="22"/>
          <w:szCs w:val="22"/>
          <w:lang w:val="sk-SK" w:eastAsia="zh-CN"/>
        </w:rPr>
      </w:pPr>
      <w:r w:rsidRPr="007648C4">
        <w:rPr>
          <w:rFonts w:ascii="Times New Roman" w:hAnsi="Times New Roman" w:cs="Times New Roman"/>
          <w:b/>
          <w:bCs/>
          <w:sz w:val="22"/>
          <w:szCs w:val="22"/>
          <w:lang w:val="sk-SK" w:eastAsia="zh-CN"/>
        </w:rPr>
        <w:t>Dynamická deformita nohy (pes equinus) v dôsledku spasticity pri DMO u detských pacientov, vo veku 2 roky alebo starších</w:t>
      </w:r>
    </w:p>
    <w:p w14:paraId="7299F10A" w14:textId="77777777" w:rsidR="00474ACD" w:rsidRPr="007648C4" w:rsidRDefault="00474ACD" w:rsidP="00474ACD">
      <w:pPr>
        <w:autoSpaceDN w:val="0"/>
        <w:jc w:val="both"/>
        <w:textAlignment w:val="baseline"/>
        <w:rPr>
          <w:rFonts w:ascii="Times New Roman" w:hAnsi="Times New Roman" w:cs="Times New Roman"/>
          <w:sz w:val="22"/>
          <w:szCs w:val="22"/>
          <w:lang w:val="sk-SK" w:eastAsia="zh-CN"/>
        </w:rPr>
      </w:pPr>
    </w:p>
    <w:p w14:paraId="16C103B2" w14:textId="10300E5C" w:rsidR="00474ACD" w:rsidRPr="007648C4" w:rsidRDefault="00474ACD" w:rsidP="00474ACD">
      <w:pPr>
        <w:autoSpaceDN w:val="0"/>
        <w:jc w:val="both"/>
        <w:textAlignment w:val="baseline"/>
        <w:rPr>
          <w:rFonts w:ascii="Times New Roman" w:hAnsi="Times New Roman" w:cs="Times New Roman"/>
          <w:sz w:val="22"/>
          <w:szCs w:val="22"/>
          <w:lang w:val="sk-SK" w:eastAsia="zh-CN"/>
        </w:rPr>
      </w:pPr>
      <w:r w:rsidRPr="007648C4">
        <w:rPr>
          <w:rFonts w:ascii="Times New Roman" w:hAnsi="Times New Roman" w:cs="Times New Roman"/>
          <w:sz w:val="22"/>
          <w:szCs w:val="22"/>
          <w:lang w:val="sk-SK" w:eastAsia="zh-CN"/>
        </w:rPr>
        <w:t xml:space="preserve">Dvojito zaslepená, placebom kontrolovaná multicentrická štúdia (štúdia Y-55-52120-141) bola vykonaná u detí s dynamickou deformitou nohy v zmysle pes equinus kvôli spasticite (u detí s detskou mozgovou obrnou). Celkovo 235 botulotoxínom doteraz neliečených alebo liečených pacientov s Modified Ashworth Score (MAS) druhého alebo vyššieho stupňa </w:t>
      </w:r>
      <w:r w:rsidR="002C7C03" w:rsidRPr="007648C4">
        <w:rPr>
          <w:rFonts w:ascii="Times New Roman" w:hAnsi="Times New Roman" w:cs="Times New Roman"/>
          <w:sz w:val="22"/>
          <w:szCs w:val="22"/>
          <w:lang w:val="sk-SK" w:eastAsia="zh-CN"/>
        </w:rPr>
        <w:t>dostalo</w:t>
      </w:r>
      <w:r w:rsidRPr="007648C4">
        <w:rPr>
          <w:rFonts w:ascii="Times New Roman" w:hAnsi="Times New Roman" w:cs="Times New Roman"/>
          <w:sz w:val="22"/>
          <w:szCs w:val="22"/>
          <w:lang w:val="sk-SK" w:eastAsia="zh-CN"/>
        </w:rPr>
        <w:t xml:space="preserve"> Dysport v dávke 10 U/kg/noha alebo Dysport 15 U/kg/noha alebo placebo. Štyridsaťjeden percent pacientov bolo liečených bilaterálne s výslednou dávkou Dysportu buď 20 U/kg alebo 30 U/kg. Primárnou premennou účinnosti bola </w:t>
      </w:r>
      <w:r w:rsidRPr="007648C4">
        <w:rPr>
          <w:rFonts w:ascii="Times New Roman" w:hAnsi="Times New Roman" w:cs="Times New Roman"/>
          <w:sz w:val="22"/>
          <w:szCs w:val="22"/>
          <w:lang w:val="sk-SK" w:eastAsia="zh-CN"/>
        </w:rPr>
        <w:lastRenderedPageBreak/>
        <w:t>priemerná zmena z východiskového stavu v MAS v plantárnych flexoroch členka v 4. týždni. Sekundárnou premennou účinnosti boli Physicians Global Assessment (PGA) skóre a Mean Goal Attainment Scaling (GAS) skóre v 4. týždni. Pacienti boli sledovaní najmenej po dobu 12 týždňov po ukončení liečby, maximálne však 28 týždňov. Po dokončení tejto štúdie bol pacientom ponúknutý vstup do otvorenej predĺženej štúdie (štúdia Y-55-52120-147).</w:t>
      </w:r>
    </w:p>
    <w:p w14:paraId="05B78F45" w14:textId="77777777" w:rsidR="00474ACD" w:rsidRPr="007648C4" w:rsidRDefault="00474ACD" w:rsidP="00474ACD">
      <w:pPr>
        <w:autoSpaceDN w:val="0"/>
        <w:ind w:left="567" w:hanging="567"/>
        <w:jc w:val="both"/>
        <w:textAlignment w:val="baseline"/>
        <w:rPr>
          <w:rFonts w:ascii="Times New Roman" w:hAnsi="Times New Roman" w:cs="Times New Roman"/>
          <w:sz w:val="22"/>
          <w:szCs w:val="22"/>
          <w:lang w:val="sk-SK" w:eastAsia="zh-CN"/>
        </w:rPr>
      </w:pPr>
    </w:p>
    <w:p w14:paraId="6E00081B" w14:textId="77777777" w:rsidR="00474ACD" w:rsidRPr="007648C4" w:rsidRDefault="00474ACD" w:rsidP="007648C4">
      <w:pPr>
        <w:autoSpaceDN w:val="0"/>
        <w:textAlignment w:val="baseline"/>
        <w:rPr>
          <w:rFonts w:ascii="Times New Roman" w:hAnsi="Times New Roman" w:cs="Times New Roman"/>
          <w:b/>
          <w:sz w:val="22"/>
          <w:szCs w:val="22"/>
          <w:u w:val="single"/>
          <w:lang w:val="sk-SK" w:eastAsia="zh-CN"/>
        </w:rPr>
      </w:pPr>
      <w:r w:rsidRPr="007648C4">
        <w:rPr>
          <w:rFonts w:ascii="Times New Roman" w:hAnsi="Times New Roman" w:cs="Times New Roman"/>
          <w:b/>
          <w:sz w:val="22"/>
          <w:szCs w:val="22"/>
          <w:u w:val="single"/>
          <w:lang w:val="sk-SK" w:eastAsia="zh-CN"/>
        </w:rPr>
        <w:t xml:space="preserve">MAS Zmena z východiskového stavu v 4. a 12. týždni, PGA a GAS 4. a 12. týždni </w:t>
      </w:r>
      <w:r w:rsidR="002C7C03" w:rsidRPr="007648C4">
        <w:rPr>
          <w:rFonts w:ascii="Times New Roman" w:hAnsi="Times New Roman" w:cs="Times New Roman"/>
          <w:b/>
          <w:sz w:val="22"/>
          <w:szCs w:val="22"/>
          <w:u w:val="single"/>
          <w:lang w:val="sk-SK" w:eastAsia="zh-CN"/>
        </w:rPr>
        <w:t xml:space="preserve">(ITT populácia) </w:t>
      </w:r>
    </w:p>
    <w:p w14:paraId="1243DCF0" w14:textId="77777777" w:rsidR="00474ACD" w:rsidRPr="007648C4" w:rsidRDefault="00474ACD" w:rsidP="00474ACD">
      <w:pPr>
        <w:autoSpaceDN w:val="0"/>
        <w:ind w:left="567" w:hanging="567"/>
        <w:textAlignment w:val="baseline"/>
        <w:rPr>
          <w:rFonts w:ascii="Times New Roman" w:hAnsi="Times New Roman" w:cs="Times New Roman"/>
          <w:b/>
          <w:sz w:val="24"/>
          <w:szCs w:val="24"/>
          <w:u w:val="single"/>
          <w:lang w:val="sk-SK" w:eastAsia="zh-CN"/>
        </w:rPr>
      </w:pPr>
    </w:p>
    <w:tbl>
      <w:tblPr>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554"/>
        <w:gridCol w:w="1628"/>
        <w:gridCol w:w="1559"/>
      </w:tblGrid>
      <w:tr w:rsidR="007648C4" w:rsidRPr="007648C4" w14:paraId="361967F8" w14:textId="77777777" w:rsidTr="002C7C03">
        <w:tc>
          <w:tcPr>
            <w:tcW w:w="3652" w:type="dxa"/>
            <w:vMerge w:val="restart"/>
            <w:shd w:val="clear" w:color="auto" w:fill="auto"/>
            <w:vAlign w:val="center"/>
          </w:tcPr>
          <w:p w14:paraId="507F90AB" w14:textId="77777777" w:rsidR="00474ACD" w:rsidRPr="007648C4" w:rsidRDefault="00474ACD" w:rsidP="00474ACD">
            <w:pPr>
              <w:autoSpaceDN w:val="0"/>
              <w:ind w:left="567" w:hanging="567"/>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Parameter</w:t>
            </w:r>
          </w:p>
        </w:tc>
        <w:tc>
          <w:tcPr>
            <w:tcW w:w="1554" w:type="dxa"/>
            <w:vMerge w:val="restart"/>
            <w:shd w:val="clear" w:color="auto" w:fill="auto"/>
            <w:vAlign w:val="bottom"/>
          </w:tcPr>
          <w:p w14:paraId="48DDD3C7" w14:textId="77777777" w:rsidR="00474ACD" w:rsidRPr="007648C4" w:rsidRDefault="00474ACD" w:rsidP="00474ACD">
            <w:pPr>
              <w:autoSpaceDN w:val="0"/>
              <w:ind w:left="567" w:hanging="567"/>
              <w:jc w:val="center"/>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 xml:space="preserve">Placebo </w:t>
            </w:r>
          </w:p>
          <w:p w14:paraId="0112431A" w14:textId="77777777" w:rsidR="00474ACD" w:rsidRPr="007648C4" w:rsidRDefault="00474ACD" w:rsidP="00474ACD">
            <w:pPr>
              <w:autoSpaceDN w:val="0"/>
              <w:ind w:left="567" w:hanging="567"/>
              <w:jc w:val="center"/>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(N=77)</w:t>
            </w:r>
          </w:p>
        </w:tc>
        <w:tc>
          <w:tcPr>
            <w:tcW w:w="3187" w:type="dxa"/>
            <w:gridSpan w:val="2"/>
            <w:shd w:val="clear" w:color="auto" w:fill="auto"/>
          </w:tcPr>
          <w:p w14:paraId="34A4ECB3" w14:textId="77777777" w:rsidR="00474ACD" w:rsidRPr="007648C4" w:rsidRDefault="00474ACD" w:rsidP="00474ACD">
            <w:pPr>
              <w:autoSpaceDN w:val="0"/>
              <w:ind w:left="567" w:right="382" w:hanging="567"/>
              <w:jc w:val="center"/>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DYSPORT</w:t>
            </w:r>
          </w:p>
        </w:tc>
      </w:tr>
      <w:tr w:rsidR="007648C4" w:rsidRPr="007648C4" w14:paraId="45B09500" w14:textId="77777777" w:rsidTr="002C7C03">
        <w:tc>
          <w:tcPr>
            <w:tcW w:w="3652" w:type="dxa"/>
            <w:vMerge/>
            <w:tcBorders>
              <w:bottom w:val="single" w:sz="4" w:space="0" w:color="auto"/>
            </w:tcBorders>
            <w:shd w:val="clear" w:color="auto" w:fill="auto"/>
          </w:tcPr>
          <w:p w14:paraId="07B66B61" w14:textId="77777777" w:rsidR="00474ACD" w:rsidRPr="007648C4" w:rsidRDefault="00474ACD" w:rsidP="00474ACD">
            <w:pPr>
              <w:autoSpaceDN w:val="0"/>
              <w:ind w:left="567" w:hanging="567"/>
              <w:textAlignment w:val="baseline"/>
              <w:rPr>
                <w:rFonts w:ascii="Times New Roman" w:hAnsi="Times New Roman" w:cs="Times New Roman"/>
                <w:sz w:val="20"/>
                <w:szCs w:val="24"/>
                <w:lang w:val="sk-SK" w:eastAsia="zh-CN"/>
              </w:rPr>
            </w:pPr>
          </w:p>
        </w:tc>
        <w:tc>
          <w:tcPr>
            <w:tcW w:w="1554" w:type="dxa"/>
            <w:vMerge/>
            <w:tcBorders>
              <w:bottom w:val="single" w:sz="4" w:space="0" w:color="auto"/>
            </w:tcBorders>
            <w:shd w:val="clear" w:color="auto" w:fill="auto"/>
          </w:tcPr>
          <w:p w14:paraId="7C420E99" w14:textId="77777777" w:rsidR="00474ACD" w:rsidRPr="007648C4" w:rsidRDefault="00474ACD" w:rsidP="00474ACD">
            <w:pPr>
              <w:autoSpaceDN w:val="0"/>
              <w:ind w:left="567" w:hanging="567"/>
              <w:textAlignment w:val="baseline"/>
              <w:rPr>
                <w:rFonts w:ascii="Times New Roman" w:hAnsi="Times New Roman" w:cs="Times New Roman"/>
                <w:sz w:val="20"/>
                <w:szCs w:val="24"/>
                <w:lang w:val="sk-SK" w:eastAsia="zh-CN"/>
              </w:rPr>
            </w:pPr>
          </w:p>
        </w:tc>
        <w:tc>
          <w:tcPr>
            <w:tcW w:w="1628" w:type="dxa"/>
            <w:tcBorders>
              <w:bottom w:val="single" w:sz="4" w:space="0" w:color="auto"/>
            </w:tcBorders>
            <w:shd w:val="clear" w:color="auto" w:fill="auto"/>
            <w:vAlign w:val="center"/>
          </w:tcPr>
          <w:p w14:paraId="0D3703CA" w14:textId="77777777" w:rsidR="00474ACD" w:rsidRPr="007648C4" w:rsidRDefault="00474ACD" w:rsidP="00474ACD">
            <w:pPr>
              <w:autoSpaceDN w:val="0"/>
              <w:ind w:left="567" w:hanging="567"/>
              <w:jc w:val="center"/>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10 U/kg/noha</w:t>
            </w:r>
          </w:p>
          <w:p w14:paraId="129907C5" w14:textId="77777777" w:rsidR="00474ACD" w:rsidRPr="007648C4" w:rsidRDefault="00474ACD" w:rsidP="00474ACD">
            <w:pPr>
              <w:autoSpaceDN w:val="0"/>
              <w:ind w:left="567" w:hanging="567"/>
              <w:jc w:val="center"/>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(N=79)</w:t>
            </w:r>
          </w:p>
        </w:tc>
        <w:tc>
          <w:tcPr>
            <w:tcW w:w="1559" w:type="dxa"/>
            <w:shd w:val="clear" w:color="auto" w:fill="auto"/>
            <w:vAlign w:val="center"/>
          </w:tcPr>
          <w:p w14:paraId="13CBCA90" w14:textId="77777777" w:rsidR="00474ACD" w:rsidRPr="007648C4" w:rsidRDefault="00474ACD" w:rsidP="00474ACD">
            <w:pPr>
              <w:autoSpaceDN w:val="0"/>
              <w:ind w:left="567" w:right="382" w:hanging="567"/>
              <w:jc w:val="center"/>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15 U/kg/leg</w:t>
            </w:r>
          </w:p>
          <w:p w14:paraId="0C26C06C" w14:textId="77777777" w:rsidR="00474ACD" w:rsidRPr="007648C4" w:rsidRDefault="00474ACD" w:rsidP="00474ACD">
            <w:pPr>
              <w:autoSpaceDN w:val="0"/>
              <w:ind w:left="567" w:right="382" w:hanging="567"/>
              <w:jc w:val="center"/>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(N=79)</w:t>
            </w:r>
          </w:p>
        </w:tc>
      </w:tr>
      <w:tr w:rsidR="007648C4" w:rsidRPr="007648C4" w14:paraId="25FA6B9F" w14:textId="77777777" w:rsidTr="002C7C03">
        <w:tc>
          <w:tcPr>
            <w:tcW w:w="3652" w:type="dxa"/>
            <w:tcBorders>
              <w:bottom w:val="nil"/>
            </w:tcBorders>
            <w:shd w:val="clear" w:color="auto" w:fill="auto"/>
          </w:tcPr>
          <w:p w14:paraId="2250E975" w14:textId="3EF35A24" w:rsidR="00474ACD" w:rsidRPr="007648C4" w:rsidRDefault="00474ACD" w:rsidP="002C7C03">
            <w:pPr>
              <w:autoSpaceDN w:val="0"/>
              <w:ind w:left="567" w:hanging="567"/>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LS priemerná zm</w:t>
            </w:r>
            <w:r w:rsidR="002C7C03" w:rsidRPr="007648C4">
              <w:rPr>
                <w:rFonts w:ascii="Times New Roman" w:hAnsi="Times New Roman" w:cs="Times New Roman"/>
                <w:sz w:val="20"/>
                <w:szCs w:val="24"/>
                <w:lang w:val="sk-SK" w:eastAsia="zh-CN"/>
              </w:rPr>
              <w:t>e</w:t>
            </w:r>
            <w:r w:rsidRPr="007648C4">
              <w:rPr>
                <w:rFonts w:ascii="Times New Roman" w:hAnsi="Times New Roman" w:cs="Times New Roman"/>
                <w:sz w:val="20"/>
                <w:szCs w:val="24"/>
                <w:lang w:val="sk-SK" w:eastAsia="zh-CN"/>
              </w:rPr>
              <w:t xml:space="preserve">na z východiskového stavu, </w:t>
            </w:r>
            <w:r w:rsidR="002C7C03" w:rsidRPr="007648C4">
              <w:rPr>
                <w:rFonts w:ascii="Times New Roman" w:hAnsi="Times New Roman" w:cs="Times New Roman"/>
                <w:sz w:val="20"/>
                <w:szCs w:val="24"/>
                <w:lang w:val="sk-SK" w:eastAsia="zh-CN"/>
              </w:rPr>
              <w:t xml:space="preserve">plantárny sval </w:t>
            </w:r>
            <w:r w:rsidRPr="007648C4">
              <w:rPr>
                <w:rFonts w:ascii="Times New Roman" w:hAnsi="Times New Roman" w:cs="Times New Roman"/>
                <w:sz w:val="20"/>
                <w:szCs w:val="24"/>
                <w:lang w:val="sk-SK" w:eastAsia="zh-CN"/>
              </w:rPr>
              <w:t>členk</w:t>
            </w:r>
            <w:r w:rsidR="002C7C03" w:rsidRPr="007648C4">
              <w:rPr>
                <w:rFonts w:ascii="Times New Roman" w:hAnsi="Times New Roman" w:cs="Times New Roman"/>
                <w:sz w:val="20"/>
                <w:szCs w:val="24"/>
                <w:lang w:val="sk-SK" w:eastAsia="zh-CN"/>
              </w:rPr>
              <w:t>a</w:t>
            </w:r>
            <w:r w:rsidRPr="007648C4">
              <w:rPr>
                <w:rFonts w:ascii="Times New Roman" w:hAnsi="Times New Roman" w:cs="Times New Roman"/>
                <w:sz w:val="20"/>
                <w:szCs w:val="24"/>
                <w:lang w:val="sk-SK" w:eastAsia="zh-CN"/>
              </w:rPr>
              <w:t>, MAS skóre</w:t>
            </w:r>
          </w:p>
        </w:tc>
        <w:tc>
          <w:tcPr>
            <w:tcW w:w="1554" w:type="dxa"/>
            <w:tcBorders>
              <w:bottom w:val="nil"/>
            </w:tcBorders>
            <w:shd w:val="clear" w:color="auto" w:fill="auto"/>
          </w:tcPr>
          <w:p w14:paraId="1518F9C9" w14:textId="77777777" w:rsidR="00474ACD" w:rsidRPr="007648C4" w:rsidRDefault="00474ACD" w:rsidP="00474ACD">
            <w:pPr>
              <w:autoSpaceDN w:val="0"/>
              <w:ind w:left="567" w:hanging="567"/>
              <w:textAlignment w:val="baseline"/>
              <w:rPr>
                <w:rFonts w:ascii="Times New Roman" w:hAnsi="Times New Roman" w:cs="Times New Roman"/>
                <w:sz w:val="20"/>
                <w:szCs w:val="24"/>
                <w:lang w:val="sk-SK" w:eastAsia="zh-CN"/>
              </w:rPr>
            </w:pPr>
          </w:p>
        </w:tc>
        <w:tc>
          <w:tcPr>
            <w:tcW w:w="1628" w:type="dxa"/>
            <w:tcBorders>
              <w:bottom w:val="nil"/>
            </w:tcBorders>
            <w:shd w:val="clear" w:color="auto" w:fill="auto"/>
          </w:tcPr>
          <w:p w14:paraId="7A33440C" w14:textId="77777777" w:rsidR="00474ACD" w:rsidRPr="007648C4" w:rsidRDefault="00474ACD" w:rsidP="00474ACD">
            <w:pPr>
              <w:autoSpaceDN w:val="0"/>
              <w:ind w:left="595" w:hanging="595"/>
              <w:textAlignment w:val="baseline"/>
              <w:rPr>
                <w:rFonts w:ascii="Times New Roman" w:hAnsi="Times New Roman" w:cs="Times New Roman"/>
                <w:sz w:val="20"/>
                <w:szCs w:val="24"/>
                <w:lang w:val="sk-SK" w:eastAsia="zh-CN"/>
              </w:rPr>
            </w:pPr>
          </w:p>
        </w:tc>
        <w:tc>
          <w:tcPr>
            <w:tcW w:w="1559" w:type="dxa"/>
            <w:tcBorders>
              <w:bottom w:val="nil"/>
            </w:tcBorders>
            <w:shd w:val="clear" w:color="auto" w:fill="auto"/>
          </w:tcPr>
          <w:p w14:paraId="1BC66AC3" w14:textId="77777777" w:rsidR="00474ACD" w:rsidRPr="007648C4" w:rsidRDefault="00474ACD" w:rsidP="00474ACD">
            <w:pPr>
              <w:autoSpaceDN w:val="0"/>
              <w:ind w:left="601" w:hanging="601"/>
              <w:textAlignment w:val="baseline"/>
              <w:rPr>
                <w:rFonts w:ascii="Times New Roman" w:hAnsi="Times New Roman" w:cs="Times New Roman"/>
                <w:sz w:val="20"/>
                <w:szCs w:val="24"/>
                <w:lang w:val="sk-SK" w:eastAsia="zh-CN"/>
              </w:rPr>
            </w:pPr>
          </w:p>
        </w:tc>
      </w:tr>
      <w:tr w:rsidR="007648C4" w:rsidRPr="007648C4" w14:paraId="4CE4296F" w14:textId="77777777" w:rsidTr="002C7C03">
        <w:tc>
          <w:tcPr>
            <w:tcW w:w="3652" w:type="dxa"/>
            <w:tcBorders>
              <w:top w:val="nil"/>
              <w:bottom w:val="nil"/>
            </w:tcBorders>
            <w:shd w:val="clear" w:color="auto" w:fill="auto"/>
          </w:tcPr>
          <w:p w14:paraId="12FF6FC2" w14:textId="77777777" w:rsidR="00474ACD" w:rsidRPr="007648C4" w:rsidRDefault="00474ACD" w:rsidP="00474ACD">
            <w:pPr>
              <w:autoSpaceDN w:val="0"/>
              <w:ind w:left="567" w:firstLine="284"/>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Týždeň 4</w:t>
            </w:r>
          </w:p>
        </w:tc>
        <w:tc>
          <w:tcPr>
            <w:tcW w:w="1554" w:type="dxa"/>
            <w:tcBorders>
              <w:top w:val="nil"/>
              <w:bottom w:val="nil"/>
              <w:right w:val="single" w:sz="4" w:space="0" w:color="auto"/>
            </w:tcBorders>
            <w:shd w:val="clear" w:color="auto" w:fill="auto"/>
            <w:vAlign w:val="bottom"/>
          </w:tcPr>
          <w:p w14:paraId="6C6F1368" w14:textId="77777777" w:rsidR="00474ACD" w:rsidRPr="007648C4" w:rsidRDefault="00474ACD" w:rsidP="00474ACD">
            <w:pPr>
              <w:autoSpaceDN w:val="0"/>
              <w:ind w:left="567" w:hanging="567"/>
              <w:jc w:val="center"/>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-0.5</w:t>
            </w:r>
          </w:p>
        </w:tc>
        <w:tc>
          <w:tcPr>
            <w:tcW w:w="1628" w:type="dxa"/>
            <w:tcBorders>
              <w:top w:val="nil"/>
              <w:left w:val="single" w:sz="4" w:space="0" w:color="auto"/>
              <w:bottom w:val="nil"/>
              <w:right w:val="single" w:sz="4" w:space="0" w:color="auto"/>
            </w:tcBorders>
            <w:shd w:val="clear" w:color="auto" w:fill="auto"/>
            <w:vAlign w:val="bottom"/>
          </w:tcPr>
          <w:p w14:paraId="7C4863E1" w14:textId="77777777" w:rsidR="00474ACD" w:rsidRPr="007648C4" w:rsidRDefault="00474ACD" w:rsidP="00474ACD">
            <w:pPr>
              <w:autoSpaceDN w:val="0"/>
              <w:ind w:left="595" w:hanging="595"/>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ab/>
              <w:t>-0.9 **</w:t>
            </w:r>
          </w:p>
        </w:tc>
        <w:tc>
          <w:tcPr>
            <w:tcW w:w="1559" w:type="dxa"/>
            <w:tcBorders>
              <w:top w:val="nil"/>
              <w:left w:val="single" w:sz="4" w:space="0" w:color="auto"/>
              <w:bottom w:val="nil"/>
            </w:tcBorders>
            <w:shd w:val="clear" w:color="auto" w:fill="auto"/>
            <w:vAlign w:val="bottom"/>
          </w:tcPr>
          <w:p w14:paraId="002CAC8C" w14:textId="77777777" w:rsidR="00474ACD" w:rsidRPr="007648C4" w:rsidRDefault="00474ACD" w:rsidP="00474ACD">
            <w:pPr>
              <w:autoSpaceDN w:val="0"/>
              <w:ind w:left="601" w:hanging="601"/>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ab/>
              <w:t>-1.0 ***</w:t>
            </w:r>
          </w:p>
        </w:tc>
      </w:tr>
      <w:tr w:rsidR="007648C4" w:rsidRPr="007648C4" w14:paraId="4C9352AD" w14:textId="77777777" w:rsidTr="002C7C03">
        <w:tc>
          <w:tcPr>
            <w:tcW w:w="3652" w:type="dxa"/>
            <w:tcBorders>
              <w:top w:val="nil"/>
            </w:tcBorders>
            <w:shd w:val="clear" w:color="auto" w:fill="auto"/>
          </w:tcPr>
          <w:p w14:paraId="68167877" w14:textId="77777777" w:rsidR="00474ACD" w:rsidRPr="007648C4" w:rsidRDefault="00474ACD" w:rsidP="00474ACD">
            <w:pPr>
              <w:autoSpaceDN w:val="0"/>
              <w:ind w:left="567" w:firstLine="284"/>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Týždeň 12</w:t>
            </w:r>
          </w:p>
        </w:tc>
        <w:tc>
          <w:tcPr>
            <w:tcW w:w="1554" w:type="dxa"/>
            <w:tcBorders>
              <w:top w:val="nil"/>
              <w:right w:val="single" w:sz="4" w:space="0" w:color="auto"/>
            </w:tcBorders>
            <w:shd w:val="clear" w:color="auto" w:fill="auto"/>
            <w:vAlign w:val="bottom"/>
          </w:tcPr>
          <w:p w14:paraId="41186019" w14:textId="77777777" w:rsidR="00474ACD" w:rsidRPr="007648C4" w:rsidRDefault="00474ACD" w:rsidP="00474ACD">
            <w:pPr>
              <w:autoSpaceDN w:val="0"/>
              <w:ind w:left="567" w:hanging="567"/>
              <w:jc w:val="center"/>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-0.5</w:t>
            </w:r>
          </w:p>
        </w:tc>
        <w:tc>
          <w:tcPr>
            <w:tcW w:w="1628" w:type="dxa"/>
            <w:tcBorders>
              <w:top w:val="nil"/>
              <w:left w:val="single" w:sz="4" w:space="0" w:color="auto"/>
              <w:right w:val="single" w:sz="4" w:space="0" w:color="auto"/>
            </w:tcBorders>
            <w:shd w:val="clear" w:color="auto" w:fill="auto"/>
            <w:vAlign w:val="bottom"/>
          </w:tcPr>
          <w:p w14:paraId="5F2B6404" w14:textId="77777777" w:rsidR="00474ACD" w:rsidRPr="007648C4" w:rsidRDefault="00474ACD" w:rsidP="00474ACD">
            <w:pPr>
              <w:autoSpaceDN w:val="0"/>
              <w:ind w:left="595" w:hanging="595"/>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ab/>
              <w:t>-0.8 *</w:t>
            </w:r>
          </w:p>
        </w:tc>
        <w:tc>
          <w:tcPr>
            <w:tcW w:w="1559" w:type="dxa"/>
            <w:tcBorders>
              <w:top w:val="nil"/>
              <w:left w:val="single" w:sz="4" w:space="0" w:color="auto"/>
            </w:tcBorders>
            <w:shd w:val="clear" w:color="auto" w:fill="auto"/>
            <w:vAlign w:val="bottom"/>
          </w:tcPr>
          <w:p w14:paraId="1EA8CB7E" w14:textId="77777777" w:rsidR="00474ACD" w:rsidRPr="007648C4" w:rsidRDefault="00474ACD" w:rsidP="00474ACD">
            <w:pPr>
              <w:autoSpaceDN w:val="0"/>
              <w:ind w:left="601" w:hanging="601"/>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ab/>
              <w:t>-1.0 ***</w:t>
            </w:r>
          </w:p>
        </w:tc>
      </w:tr>
      <w:tr w:rsidR="007648C4" w:rsidRPr="007648C4" w14:paraId="06BC7739" w14:textId="77777777" w:rsidTr="002C7C03">
        <w:tc>
          <w:tcPr>
            <w:tcW w:w="3652" w:type="dxa"/>
            <w:tcBorders>
              <w:bottom w:val="nil"/>
            </w:tcBorders>
            <w:shd w:val="clear" w:color="auto" w:fill="auto"/>
          </w:tcPr>
          <w:p w14:paraId="4AD78FA3" w14:textId="77777777" w:rsidR="00474ACD" w:rsidRPr="007648C4" w:rsidRDefault="00474ACD" w:rsidP="00474ACD">
            <w:pPr>
              <w:autoSpaceDN w:val="0"/>
              <w:ind w:left="567" w:hanging="567"/>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LS priemer skóre pre PGA odpoveď na liečbu [b]</w:t>
            </w:r>
          </w:p>
        </w:tc>
        <w:tc>
          <w:tcPr>
            <w:tcW w:w="1554" w:type="dxa"/>
            <w:tcBorders>
              <w:bottom w:val="nil"/>
            </w:tcBorders>
            <w:shd w:val="clear" w:color="auto" w:fill="auto"/>
            <w:vAlign w:val="bottom"/>
          </w:tcPr>
          <w:p w14:paraId="4AAE436B" w14:textId="77777777" w:rsidR="00474ACD" w:rsidRPr="007648C4" w:rsidRDefault="00474ACD" w:rsidP="00474ACD">
            <w:pPr>
              <w:autoSpaceDN w:val="0"/>
              <w:ind w:left="567" w:hanging="567"/>
              <w:jc w:val="center"/>
              <w:textAlignment w:val="baseline"/>
              <w:rPr>
                <w:rFonts w:ascii="Times New Roman" w:hAnsi="Times New Roman" w:cs="Times New Roman"/>
                <w:sz w:val="20"/>
                <w:szCs w:val="24"/>
                <w:lang w:val="sk-SK" w:eastAsia="zh-CN"/>
              </w:rPr>
            </w:pPr>
          </w:p>
        </w:tc>
        <w:tc>
          <w:tcPr>
            <w:tcW w:w="1628" w:type="dxa"/>
            <w:tcBorders>
              <w:bottom w:val="nil"/>
            </w:tcBorders>
            <w:shd w:val="clear" w:color="auto" w:fill="auto"/>
            <w:vAlign w:val="bottom"/>
          </w:tcPr>
          <w:p w14:paraId="1A5D4C98" w14:textId="77777777" w:rsidR="00474ACD" w:rsidRPr="007648C4" w:rsidRDefault="00474ACD" w:rsidP="00474ACD">
            <w:pPr>
              <w:autoSpaceDN w:val="0"/>
              <w:ind w:left="595" w:hanging="595"/>
              <w:textAlignment w:val="baseline"/>
              <w:rPr>
                <w:rFonts w:ascii="Times New Roman" w:hAnsi="Times New Roman" w:cs="Times New Roman"/>
                <w:sz w:val="20"/>
                <w:szCs w:val="24"/>
                <w:lang w:val="sk-SK" w:eastAsia="zh-CN"/>
              </w:rPr>
            </w:pPr>
          </w:p>
        </w:tc>
        <w:tc>
          <w:tcPr>
            <w:tcW w:w="1559" w:type="dxa"/>
            <w:tcBorders>
              <w:bottom w:val="nil"/>
            </w:tcBorders>
            <w:shd w:val="clear" w:color="auto" w:fill="auto"/>
            <w:vAlign w:val="bottom"/>
          </w:tcPr>
          <w:p w14:paraId="08502C34" w14:textId="77777777" w:rsidR="00474ACD" w:rsidRPr="007648C4" w:rsidRDefault="00474ACD" w:rsidP="00474ACD">
            <w:pPr>
              <w:autoSpaceDN w:val="0"/>
              <w:ind w:left="601" w:hanging="601"/>
              <w:textAlignment w:val="baseline"/>
              <w:rPr>
                <w:rFonts w:ascii="Times New Roman" w:hAnsi="Times New Roman" w:cs="Times New Roman"/>
                <w:sz w:val="20"/>
                <w:szCs w:val="24"/>
                <w:lang w:val="sk-SK" w:eastAsia="zh-CN"/>
              </w:rPr>
            </w:pPr>
          </w:p>
        </w:tc>
      </w:tr>
      <w:tr w:rsidR="007648C4" w:rsidRPr="007648C4" w14:paraId="2CD34C09" w14:textId="77777777" w:rsidTr="002C7C03">
        <w:tc>
          <w:tcPr>
            <w:tcW w:w="3652" w:type="dxa"/>
            <w:tcBorders>
              <w:top w:val="nil"/>
              <w:bottom w:val="nil"/>
            </w:tcBorders>
            <w:shd w:val="clear" w:color="auto" w:fill="auto"/>
          </w:tcPr>
          <w:p w14:paraId="07367F41" w14:textId="77777777" w:rsidR="00474ACD" w:rsidRPr="007648C4" w:rsidRDefault="00474ACD" w:rsidP="00474ACD">
            <w:pPr>
              <w:autoSpaceDN w:val="0"/>
              <w:ind w:left="567" w:firstLine="284"/>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Týždeň 4</w:t>
            </w:r>
          </w:p>
        </w:tc>
        <w:tc>
          <w:tcPr>
            <w:tcW w:w="1554" w:type="dxa"/>
            <w:tcBorders>
              <w:top w:val="nil"/>
              <w:bottom w:val="nil"/>
              <w:right w:val="single" w:sz="4" w:space="0" w:color="auto"/>
            </w:tcBorders>
            <w:shd w:val="clear" w:color="auto" w:fill="auto"/>
            <w:vAlign w:val="bottom"/>
          </w:tcPr>
          <w:p w14:paraId="50BCA745" w14:textId="77777777" w:rsidR="00474ACD" w:rsidRPr="007648C4" w:rsidRDefault="00474ACD" w:rsidP="00474ACD">
            <w:pPr>
              <w:autoSpaceDN w:val="0"/>
              <w:ind w:left="567" w:hanging="567"/>
              <w:jc w:val="center"/>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0.7</w:t>
            </w:r>
          </w:p>
        </w:tc>
        <w:tc>
          <w:tcPr>
            <w:tcW w:w="1628" w:type="dxa"/>
            <w:tcBorders>
              <w:top w:val="nil"/>
              <w:left w:val="single" w:sz="4" w:space="0" w:color="auto"/>
              <w:bottom w:val="nil"/>
              <w:right w:val="single" w:sz="4" w:space="0" w:color="auto"/>
            </w:tcBorders>
            <w:shd w:val="clear" w:color="auto" w:fill="auto"/>
            <w:vAlign w:val="bottom"/>
          </w:tcPr>
          <w:p w14:paraId="7069E6EB" w14:textId="77777777" w:rsidR="00474ACD" w:rsidRPr="007648C4" w:rsidRDefault="00474ACD" w:rsidP="00474ACD">
            <w:pPr>
              <w:autoSpaceDN w:val="0"/>
              <w:ind w:left="595" w:hanging="595"/>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ab/>
              <w:t>1.5 ***</w:t>
            </w:r>
          </w:p>
        </w:tc>
        <w:tc>
          <w:tcPr>
            <w:tcW w:w="1559" w:type="dxa"/>
            <w:tcBorders>
              <w:top w:val="nil"/>
              <w:left w:val="single" w:sz="4" w:space="0" w:color="auto"/>
              <w:bottom w:val="nil"/>
            </w:tcBorders>
            <w:shd w:val="clear" w:color="auto" w:fill="auto"/>
            <w:vAlign w:val="bottom"/>
          </w:tcPr>
          <w:p w14:paraId="29CCB1F2" w14:textId="77777777" w:rsidR="00474ACD" w:rsidRPr="007648C4" w:rsidRDefault="00474ACD" w:rsidP="00474ACD">
            <w:pPr>
              <w:autoSpaceDN w:val="0"/>
              <w:ind w:left="601" w:hanging="601"/>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ab/>
              <w:t>1.5 ***</w:t>
            </w:r>
          </w:p>
        </w:tc>
      </w:tr>
      <w:tr w:rsidR="007648C4" w:rsidRPr="007648C4" w14:paraId="3BE81DC8" w14:textId="77777777" w:rsidTr="002C7C03">
        <w:tc>
          <w:tcPr>
            <w:tcW w:w="3652" w:type="dxa"/>
            <w:tcBorders>
              <w:top w:val="nil"/>
            </w:tcBorders>
            <w:shd w:val="clear" w:color="auto" w:fill="auto"/>
          </w:tcPr>
          <w:p w14:paraId="4118B4CF" w14:textId="77777777" w:rsidR="00474ACD" w:rsidRPr="007648C4" w:rsidRDefault="00474ACD" w:rsidP="00474ACD">
            <w:pPr>
              <w:autoSpaceDN w:val="0"/>
              <w:ind w:left="567" w:firstLine="284"/>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Týždeň 12</w:t>
            </w:r>
          </w:p>
        </w:tc>
        <w:tc>
          <w:tcPr>
            <w:tcW w:w="1554" w:type="dxa"/>
            <w:tcBorders>
              <w:top w:val="nil"/>
              <w:right w:val="single" w:sz="4" w:space="0" w:color="auto"/>
            </w:tcBorders>
            <w:shd w:val="clear" w:color="auto" w:fill="auto"/>
            <w:vAlign w:val="bottom"/>
          </w:tcPr>
          <w:p w14:paraId="6BDD443C" w14:textId="77777777" w:rsidR="00474ACD" w:rsidRPr="007648C4" w:rsidRDefault="00474ACD" w:rsidP="00474ACD">
            <w:pPr>
              <w:autoSpaceDN w:val="0"/>
              <w:ind w:left="567" w:hanging="567"/>
              <w:jc w:val="center"/>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0.4</w:t>
            </w:r>
          </w:p>
        </w:tc>
        <w:tc>
          <w:tcPr>
            <w:tcW w:w="1628" w:type="dxa"/>
            <w:tcBorders>
              <w:top w:val="nil"/>
              <w:left w:val="single" w:sz="4" w:space="0" w:color="auto"/>
              <w:right w:val="single" w:sz="4" w:space="0" w:color="auto"/>
            </w:tcBorders>
            <w:shd w:val="clear" w:color="auto" w:fill="auto"/>
            <w:vAlign w:val="bottom"/>
          </w:tcPr>
          <w:p w14:paraId="228FA63D" w14:textId="77777777" w:rsidR="00474ACD" w:rsidRPr="007648C4" w:rsidRDefault="00474ACD" w:rsidP="00474ACD">
            <w:pPr>
              <w:autoSpaceDN w:val="0"/>
              <w:ind w:left="595" w:hanging="595"/>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ab/>
              <w:t>0.8 *</w:t>
            </w:r>
          </w:p>
        </w:tc>
        <w:tc>
          <w:tcPr>
            <w:tcW w:w="1559" w:type="dxa"/>
            <w:tcBorders>
              <w:top w:val="nil"/>
              <w:left w:val="single" w:sz="4" w:space="0" w:color="auto"/>
            </w:tcBorders>
            <w:shd w:val="clear" w:color="auto" w:fill="auto"/>
            <w:vAlign w:val="bottom"/>
          </w:tcPr>
          <w:p w14:paraId="7BE9301F" w14:textId="77777777" w:rsidR="00474ACD" w:rsidRPr="007648C4" w:rsidRDefault="00474ACD" w:rsidP="00474ACD">
            <w:pPr>
              <w:autoSpaceDN w:val="0"/>
              <w:ind w:left="601" w:hanging="601"/>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ab/>
              <w:t>1.0 **</w:t>
            </w:r>
          </w:p>
        </w:tc>
      </w:tr>
      <w:tr w:rsidR="007648C4" w:rsidRPr="007648C4" w14:paraId="0275E988" w14:textId="77777777" w:rsidTr="002C7C03">
        <w:tc>
          <w:tcPr>
            <w:tcW w:w="3652" w:type="dxa"/>
            <w:tcBorders>
              <w:bottom w:val="nil"/>
            </w:tcBorders>
            <w:shd w:val="clear" w:color="auto" w:fill="auto"/>
          </w:tcPr>
          <w:p w14:paraId="52CB59B2" w14:textId="77777777" w:rsidR="00474ACD" w:rsidRPr="007648C4" w:rsidRDefault="00474ACD" w:rsidP="00474ACD">
            <w:pPr>
              <w:autoSpaceDN w:val="0"/>
              <w:ind w:left="567" w:hanging="567"/>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LS priemerné GAS skóre [a]</w:t>
            </w:r>
          </w:p>
        </w:tc>
        <w:tc>
          <w:tcPr>
            <w:tcW w:w="1554" w:type="dxa"/>
            <w:tcBorders>
              <w:bottom w:val="nil"/>
            </w:tcBorders>
            <w:shd w:val="clear" w:color="auto" w:fill="auto"/>
            <w:vAlign w:val="bottom"/>
          </w:tcPr>
          <w:p w14:paraId="5E3CEBE9" w14:textId="77777777" w:rsidR="00474ACD" w:rsidRPr="007648C4" w:rsidRDefault="00474ACD" w:rsidP="00474ACD">
            <w:pPr>
              <w:autoSpaceDN w:val="0"/>
              <w:ind w:left="567" w:hanging="567"/>
              <w:jc w:val="center"/>
              <w:textAlignment w:val="baseline"/>
              <w:rPr>
                <w:rFonts w:ascii="Times New Roman" w:hAnsi="Times New Roman" w:cs="Times New Roman"/>
                <w:sz w:val="20"/>
                <w:szCs w:val="24"/>
                <w:lang w:val="sk-SK" w:eastAsia="zh-CN"/>
              </w:rPr>
            </w:pPr>
          </w:p>
        </w:tc>
        <w:tc>
          <w:tcPr>
            <w:tcW w:w="1628" w:type="dxa"/>
            <w:tcBorders>
              <w:bottom w:val="nil"/>
            </w:tcBorders>
            <w:shd w:val="clear" w:color="auto" w:fill="auto"/>
            <w:vAlign w:val="bottom"/>
          </w:tcPr>
          <w:p w14:paraId="62333936" w14:textId="77777777" w:rsidR="00474ACD" w:rsidRPr="007648C4" w:rsidRDefault="00474ACD" w:rsidP="00474ACD">
            <w:pPr>
              <w:autoSpaceDN w:val="0"/>
              <w:ind w:left="595" w:hanging="595"/>
              <w:textAlignment w:val="baseline"/>
              <w:rPr>
                <w:rFonts w:ascii="Times New Roman" w:hAnsi="Times New Roman" w:cs="Times New Roman"/>
                <w:sz w:val="20"/>
                <w:szCs w:val="24"/>
                <w:lang w:val="sk-SK" w:eastAsia="zh-CN"/>
              </w:rPr>
            </w:pPr>
          </w:p>
        </w:tc>
        <w:tc>
          <w:tcPr>
            <w:tcW w:w="1559" w:type="dxa"/>
            <w:tcBorders>
              <w:bottom w:val="nil"/>
            </w:tcBorders>
            <w:shd w:val="clear" w:color="auto" w:fill="auto"/>
            <w:vAlign w:val="bottom"/>
          </w:tcPr>
          <w:p w14:paraId="6226B836" w14:textId="77777777" w:rsidR="00474ACD" w:rsidRPr="007648C4" w:rsidRDefault="00474ACD" w:rsidP="00474ACD">
            <w:pPr>
              <w:autoSpaceDN w:val="0"/>
              <w:ind w:left="601" w:hanging="601"/>
              <w:textAlignment w:val="baseline"/>
              <w:rPr>
                <w:rFonts w:ascii="Times New Roman" w:hAnsi="Times New Roman" w:cs="Times New Roman"/>
                <w:sz w:val="20"/>
                <w:szCs w:val="24"/>
                <w:lang w:val="sk-SK" w:eastAsia="zh-CN"/>
              </w:rPr>
            </w:pPr>
          </w:p>
        </w:tc>
      </w:tr>
      <w:tr w:rsidR="007648C4" w:rsidRPr="007648C4" w14:paraId="07AA0E16" w14:textId="77777777" w:rsidTr="002C7C03">
        <w:tc>
          <w:tcPr>
            <w:tcW w:w="3652" w:type="dxa"/>
            <w:tcBorders>
              <w:top w:val="nil"/>
              <w:bottom w:val="nil"/>
            </w:tcBorders>
            <w:shd w:val="clear" w:color="auto" w:fill="auto"/>
          </w:tcPr>
          <w:p w14:paraId="008CA7D4" w14:textId="77777777" w:rsidR="00474ACD" w:rsidRPr="007648C4" w:rsidRDefault="00474ACD" w:rsidP="00474ACD">
            <w:pPr>
              <w:autoSpaceDN w:val="0"/>
              <w:ind w:left="567" w:firstLine="284"/>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Týždeň 4</w:t>
            </w:r>
          </w:p>
        </w:tc>
        <w:tc>
          <w:tcPr>
            <w:tcW w:w="1554" w:type="dxa"/>
            <w:tcBorders>
              <w:top w:val="nil"/>
              <w:bottom w:val="nil"/>
              <w:right w:val="single" w:sz="4" w:space="0" w:color="auto"/>
            </w:tcBorders>
            <w:shd w:val="clear" w:color="auto" w:fill="auto"/>
            <w:vAlign w:val="bottom"/>
          </w:tcPr>
          <w:p w14:paraId="2F0F23F2" w14:textId="77777777" w:rsidR="00474ACD" w:rsidRPr="007648C4" w:rsidRDefault="00474ACD" w:rsidP="00474ACD">
            <w:pPr>
              <w:autoSpaceDN w:val="0"/>
              <w:ind w:left="567" w:hanging="567"/>
              <w:jc w:val="center"/>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46.2</w:t>
            </w:r>
          </w:p>
        </w:tc>
        <w:tc>
          <w:tcPr>
            <w:tcW w:w="1628" w:type="dxa"/>
            <w:tcBorders>
              <w:top w:val="nil"/>
              <w:left w:val="single" w:sz="4" w:space="0" w:color="auto"/>
              <w:bottom w:val="nil"/>
              <w:right w:val="single" w:sz="4" w:space="0" w:color="auto"/>
            </w:tcBorders>
            <w:shd w:val="clear" w:color="auto" w:fill="auto"/>
            <w:vAlign w:val="bottom"/>
          </w:tcPr>
          <w:p w14:paraId="72E2C0AA" w14:textId="77777777" w:rsidR="00474ACD" w:rsidRPr="007648C4" w:rsidRDefault="00474ACD" w:rsidP="00474ACD">
            <w:pPr>
              <w:autoSpaceDN w:val="0"/>
              <w:ind w:left="595" w:hanging="595"/>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ab/>
              <w:t>51.5 ***</w:t>
            </w:r>
          </w:p>
        </w:tc>
        <w:tc>
          <w:tcPr>
            <w:tcW w:w="1559" w:type="dxa"/>
            <w:tcBorders>
              <w:top w:val="nil"/>
              <w:left w:val="single" w:sz="4" w:space="0" w:color="auto"/>
              <w:bottom w:val="nil"/>
            </w:tcBorders>
            <w:shd w:val="clear" w:color="auto" w:fill="auto"/>
            <w:vAlign w:val="bottom"/>
          </w:tcPr>
          <w:p w14:paraId="00062AF1" w14:textId="77777777" w:rsidR="00474ACD" w:rsidRPr="007648C4" w:rsidRDefault="00474ACD" w:rsidP="00474ACD">
            <w:pPr>
              <w:autoSpaceDN w:val="0"/>
              <w:ind w:left="601" w:hanging="601"/>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ab/>
              <w:t>50.9 **</w:t>
            </w:r>
          </w:p>
        </w:tc>
      </w:tr>
      <w:tr w:rsidR="007648C4" w:rsidRPr="007648C4" w14:paraId="44AFF524" w14:textId="77777777" w:rsidTr="002C7C03">
        <w:tc>
          <w:tcPr>
            <w:tcW w:w="3652" w:type="dxa"/>
            <w:tcBorders>
              <w:top w:val="nil"/>
            </w:tcBorders>
            <w:shd w:val="clear" w:color="auto" w:fill="auto"/>
          </w:tcPr>
          <w:p w14:paraId="21EB0DC1" w14:textId="77777777" w:rsidR="00474ACD" w:rsidRPr="007648C4" w:rsidRDefault="00474ACD" w:rsidP="00474ACD">
            <w:pPr>
              <w:autoSpaceDN w:val="0"/>
              <w:ind w:left="567" w:firstLine="284"/>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Týždeň 12</w:t>
            </w:r>
          </w:p>
        </w:tc>
        <w:tc>
          <w:tcPr>
            <w:tcW w:w="1554" w:type="dxa"/>
            <w:tcBorders>
              <w:top w:val="nil"/>
              <w:right w:val="single" w:sz="4" w:space="0" w:color="auto"/>
            </w:tcBorders>
            <w:shd w:val="clear" w:color="auto" w:fill="auto"/>
            <w:vAlign w:val="bottom"/>
          </w:tcPr>
          <w:p w14:paraId="517B693E" w14:textId="77777777" w:rsidR="00474ACD" w:rsidRPr="007648C4" w:rsidRDefault="00474ACD" w:rsidP="00474ACD">
            <w:pPr>
              <w:autoSpaceDN w:val="0"/>
              <w:ind w:left="567" w:hanging="567"/>
              <w:jc w:val="center"/>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45.9</w:t>
            </w:r>
          </w:p>
        </w:tc>
        <w:tc>
          <w:tcPr>
            <w:tcW w:w="1628" w:type="dxa"/>
            <w:tcBorders>
              <w:top w:val="nil"/>
              <w:left w:val="single" w:sz="4" w:space="0" w:color="auto"/>
              <w:right w:val="single" w:sz="4" w:space="0" w:color="auto"/>
            </w:tcBorders>
            <w:shd w:val="clear" w:color="auto" w:fill="auto"/>
            <w:vAlign w:val="bottom"/>
          </w:tcPr>
          <w:p w14:paraId="068145C5" w14:textId="77777777" w:rsidR="00474ACD" w:rsidRPr="007648C4" w:rsidRDefault="00474ACD" w:rsidP="00474ACD">
            <w:pPr>
              <w:autoSpaceDN w:val="0"/>
              <w:ind w:left="595" w:hanging="595"/>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ab/>
              <w:t>52.5 ***</w:t>
            </w:r>
          </w:p>
        </w:tc>
        <w:tc>
          <w:tcPr>
            <w:tcW w:w="1559" w:type="dxa"/>
            <w:tcBorders>
              <w:top w:val="nil"/>
              <w:left w:val="single" w:sz="4" w:space="0" w:color="auto"/>
            </w:tcBorders>
            <w:shd w:val="clear" w:color="auto" w:fill="auto"/>
            <w:vAlign w:val="bottom"/>
          </w:tcPr>
          <w:p w14:paraId="285E4CAB" w14:textId="77777777" w:rsidR="00474ACD" w:rsidRPr="007648C4" w:rsidRDefault="00474ACD" w:rsidP="00474ACD">
            <w:pPr>
              <w:autoSpaceDN w:val="0"/>
              <w:ind w:left="601" w:hanging="601"/>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ab/>
              <w:t>50.5 *</w:t>
            </w:r>
          </w:p>
        </w:tc>
      </w:tr>
      <w:tr w:rsidR="007648C4" w:rsidRPr="007648C4" w14:paraId="3BF6A098" w14:textId="77777777" w:rsidTr="002C7C03">
        <w:tc>
          <w:tcPr>
            <w:tcW w:w="8393" w:type="dxa"/>
            <w:gridSpan w:val="4"/>
            <w:shd w:val="clear" w:color="auto" w:fill="auto"/>
          </w:tcPr>
          <w:p w14:paraId="2D5C48AF" w14:textId="77777777" w:rsidR="00474ACD" w:rsidRPr="007648C4" w:rsidRDefault="00474ACD" w:rsidP="00474ACD">
            <w:pPr>
              <w:autoSpaceDN w:val="0"/>
              <w:spacing w:after="60"/>
              <w:ind w:left="567" w:hanging="567"/>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 p≤ 0.05; **p≤ 0.003; *** p≤ 0.0006 v porovnaní s placebom; LS=least square (Metóda najmenších štvorcov)</w:t>
            </w:r>
          </w:p>
          <w:p w14:paraId="485D3CE9" w14:textId="3EE4D2B1" w:rsidR="00474ACD" w:rsidRPr="007648C4" w:rsidRDefault="00474ACD" w:rsidP="002C7C03">
            <w:pPr>
              <w:autoSpaceDN w:val="0"/>
              <w:spacing w:after="60"/>
              <w:ind w:left="567" w:right="382" w:hanging="567"/>
              <w:textAlignment w:val="baseline"/>
              <w:rPr>
                <w:rFonts w:ascii="Times New Roman" w:hAnsi="Times New Roman" w:cs="Times New Roman"/>
                <w:sz w:val="20"/>
                <w:szCs w:val="24"/>
                <w:lang w:val="sk-SK" w:eastAsia="zh-CN"/>
              </w:rPr>
            </w:pPr>
            <w:r w:rsidRPr="007648C4">
              <w:rPr>
                <w:rFonts w:ascii="Times New Roman" w:hAnsi="Times New Roman" w:cs="Times New Roman"/>
                <w:sz w:val="20"/>
                <w:szCs w:val="24"/>
                <w:lang w:val="sk-SK" w:eastAsia="zh-CN"/>
              </w:rPr>
              <w:t>[a] GAS skóre meria pokrok smerom ku cieľom ktoré boli</w:t>
            </w:r>
            <w:r w:rsidR="002C7C03" w:rsidRPr="007648C4">
              <w:rPr>
                <w:rFonts w:ascii="Times New Roman" w:hAnsi="Times New Roman" w:cs="Times New Roman"/>
                <w:sz w:val="20"/>
                <w:szCs w:val="24"/>
                <w:lang w:val="sk-SK" w:eastAsia="zh-CN"/>
              </w:rPr>
              <w:t xml:space="preserve"> na začiatku štúdie</w:t>
            </w:r>
            <w:r w:rsidRPr="007648C4">
              <w:rPr>
                <w:rFonts w:ascii="Times New Roman" w:hAnsi="Times New Roman" w:cs="Times New Roman"/>
                <w:sz w:val="20"/>
                <w:szCs w:val="24"/>
                <w:lang w:val="sk-SK" w:eastAsia="zh-CN"/>
              </w:rPr>
              <w:t xml:space="preserve"> selektované zo zoznamu 12 kategórií. Piatimi najčastejšie selektovanými cieľmi boli zlepšené chodenie (70.2%), </w:t>
            </w:r>
            <w:r w:rsidR="002C7C03" w:rsidRPr="007648C4">
              <w:rPr>
                <w:rFonts w:ascii="Times New Roman" w:hAnsi="Times New Roman" w:cs="Times New Roman"/>
                <w:sz w:val="20"/>
                <w:szCs w:val="24"/>
                <w:lang w:val="sk-SK" w:eastAsia="zh-CN"/>
              </w:rPr>
              <w:t>zlepšené udržiavanie rovnováhy</w:t>
            </w:r>
            <w:r w:rsidRPr="007648C4">
              <w:rPr>
                <w:rFonts w:ascii="Times New Roman" w:hAnsi="Times New Roman" w:cs="Times New Roman"/>
                <w:sz w:val="20"/>
                <w:szCs w:val="24"/>
                <w:lang w:val="sk-SK" w:eastAsia="zh-CN"/>
              </w:rPr>
              <w:t xml:space="preserve"> (32.3%), znížená frekvencia padania (31.1%), znížená frekvencia zakopnutia (19.6%) a zlepšená výdrž (17.0%)</w:t>
            </w:r>
          </w:p>
        </w:tc>
      </w:tr>
    </w:tbl>
    <w:p w14:paraId="7F7BBAE9" w14:textId="77777777" w:rsidR="00474ACD" w:rsidRPr="007648C4" w:rsidRDefault="00474ACD" w:rsidP="00474ACD">
      <w:pPr>
        <w:autoSpaceDN w:val="0"/>
        <w:ind w:left="567" w:hanging="567"/>
        <w:jc w:val="both"/>
        <w:textAlignment w:val="baseline"/>
        <w:rPr>
          <w:rFonts w:ascii="Times New Roman" w:hAnsi="Times New Roman" w:cs="Times New Roman"/>
          <w:sz w:val="22"/>
          <w:szCs w:val="22"/>
          <w:u w:val="single"/>
          <w:lang w:val="sk-SK" w:eastAsia="zh-CN"/>
        </w:rPr>
      </w:pPr>
    </w:p>
    <w:p w14:paraId="48BE78BA" w14:textId="4DA0EC47" w:rsidR="00474ACD" w:rsidRPr="007648C4" w:rsidRDefault="00474ACD" w:rsidP="00474ACD">
      <w:pPr>
        <w:jc w:val="both"/>
        <w:rPr>
          <w:rFonts w:ascii="Times New Roman" w:hAnsi="Times New Roman" w:cs="Times New Roman"/>
          <w:sz w:val="22"/>
          <w:szCs w:val="22"/>
          <w:lang w:val="sk-SK"/>
        </w:rPr>
      </w:pPr>
      <w:r w:rsidRPr="007648C4">
        <w:rPr>
          <w:rFonts w:ascii="Times New Roman" w:hAnsi="Times New Roman" w:cs="Times New Roman"/>
          <w:sz w:val="22"/>
          <w:szCs w:val="22"/>
          <w:lang w:val="sk-SK"/>
        </w:rPr>
        <w:t xml:space="preserve">Bolo pozorované zlepšenie spasticity </w:t>
      </w:r>
      <w:r w:rsidR="002C7C03" w:rsidRPr="007648C4">
        <w:rPr>
          <w:rFonts w:ascii="Times New Roman" w:hAnsi="Times New Roman" w:cs="Times New Roman"/>
          <w:sz w:val="22"/>
          <w:szCs w:val="22"/>
          <w:lang w:val="sk-SK"/>
        </w:rPr>
        <w:t xml:space="preserve">plantárnych </w:t>
      </w:r>
      <w:r w:rsidRPr="007648C4">
        <w:rPr>
          <w:rFonts w:ascii="Times New Roman" w:hAnsi="Times New Roman" w:cs="Times New Roman"/>
          <w:sz w:val="22"/>
          <w:szCs w:val="22"/>
          <w:lang w:val="sk-SK"/>
        </w:rPr>
        <w:t xml:space="preserve">flexorov členku, ako bolo vyhodnotené podľa Tardieu škály. Stupeň spasticity (Y) bol štatisticky významne zlepšený v porovnaní s placebom tak pri skupine prijímajúcej Dysport v dávke 10 U/kg/noha ako aj 15U/kg/noha v 4. týždni a v 12. týždni; </w:t>
      </w:r>
      <w:r w:rsidR="002C7C03" w:rsidRPr="007648C4">
        <w:rPr>
          <w:rFonts w:ascii="Times New Roman" w:hAnsi="Times New Roman" w:cs="Times New Roman"/>
          <w:sz w:val="22"/>
          <w:szCs w:val="22"/>
          <w:lang w:val="sk-SK"/>
        </w:rPr>
        <w:t xml:space="preserve">uhol zášklbu (Xv3) bol signifikantný pre </w:t>
      </w:r>
      <w:r w:rsidRPr="007648C4">
        <w:rPr>
          <w:rFonts w:ascii="Times New Roman" w:hAnsi="Times New Roman" w:cs="Times New Roman"/>
          <w:sz w:val="22"/>
          <w:szCs w:val="22"/>
          <w:lang w:val="sk-SK"/>
        </w:rPr>
        <w:t>skupinu 10 U/kg/noha v 12. týždni a v 4. aj 12. týždni pre skupinu prijímajúcu Dysport v dávke 15 U /kg/noha.</w:t>
      </w:r>
    </w:p>
    <w:p w14:paraId="4E2A499E" w14:textId="77777777" w:rsidR="00474ACD" w:rsidRPr="007648C4" w:rsidRDefault="00474ACD" w:rsidP="00474ACD">
      <w:pPr>
        <w:jc w:val="both"/>
        <w:rPr>
          <w:rFonts w:ascii="Times New Roman" w:hAnsi="Times New Roman" w:cs="Times New Roman"/>
          <w:sz w:val="22"/>
          <w:szCs w:val="22"/>
          <w:lang w:val="sk-SK"/>
        </w:rPr>
      </w:pPr>
    </w:p>
    <w:p w14:paraId="47570844" w14:textId="267365CF" w:rsidR="00474ACD" w:rsidRPr="007648C4" w:rsidRDefault="002C7C03" w:rsidP="00474ACD">
      <w:pPr>
        <w:jc w:val="both"/>
        <w:rPr>
          <w:rFonts w:ascii="Times New Roman" w:hAnsi="Times New Roman" w:cs="Times New Roman"/>
          <w:sz w:val="22"/>
          <w:szCs w:val="22"/>
          <w:lang w:val="sk-SK"/>
        </w:rPr>
      </w:pPr>
      <w:r w:rsidRPr="007648C4">
        <w:rPr>
          <w:rFonts w:ascii="Times New Roman" w:hAnsi="Times New Roman" w:cs="Times New Roman"/>
          <w:sz w:val="22"/>
          <w:szCs w:val="22"/>
          <w:lang w:val="sk-SK"/>
        </w:rPr>
        <w:t>V porovnaní s placebom, o</w:t>
      </w:r>
      <w:r w:rsidR="00474ACD" w:rsidRPr="007648C4">
        <w:rPr>
          <w:rFonts w:ascii="Times New Roman" w:hAnsi="Times New Roman" w:cs="Times New Roman"/>
          <w:sz w:val="22"/>
          <w:szCs w:val="22"/>
          <w:lang w:val="sk-SK"/>
        </w:rPr>
        <w:t xml:space="preserve">be skupiny liečené Dysportom preukázali výrazné zlepšenie </w:t>
      </w:r>
      <w:r w:rsidRPr="007648C4">
        <w:rPr>
          <w:rFonts w:ascii="Times New Roman" w:hAnsi="Times New Roman" w:cs="Times New Roman"/>
          <w:sz w:val="22"/>
          <w:szCs w:val="22"/>
          <w:lang w:val="sk-SK"/>
        </w:rPr>
        <w:t>celkového sk</w:t>
      </w:r>
      <w:r w:rsidR="008D4BE2" w:rsidRPr="007648C4">
        <w:rPr>
          <w:rFonts w:ascii="Times New Roman" w:hAnsi="Times New Roman" w:cs="Times New Roman"/>
          <w:sz w:val="22"/>
          <w:szCs w:val="22"/>
          <w:lang w:val="sk-SK"/>
        </w:rPr>
        <w:t xml:space="preserve">óre podľa Observational Gait Scale (OGS) </w:t>
      </w:r>
      <w:r w:rsidR="00474ACD" w:rsidRPr="007648C4">
        <w:rPr>
          <w:rFonts w:ascii="Times New Roman" w:hAnsi="Times New Roman" w:cs="Times New Roman"/>
          <w:sz w:val="22"/>
          <w:szCs w:val="22"/>
          <w:lang w:val="sk-SK"/>
        </w:rPr>
        <w:t>oproti východiskovému stavu v 4. týždni</w:t>
      </w:r>
      <w:r w:rsidR="008D4BE2" w:rsidRPr="007648C4">
        <w:rPr>
          <w:rFonts w:ascii="Times New Roman" w:hAnsi="Times New Roman" w:cs="Times New Roman"/>
          <w:sz w:val="22"/>
          <w:szCs w:val="22"/>
          <w:lang w:val="sk-SK"/>
        </w:rPr>
        <w:t xml:space="preserve"> a </w:t>
      </w:r>
      <w:r w:rsidR="00474ACD" w:rsidRPr="007648C4">
        <w:rPr>
          <w:rFonts w:ascii="Times New Roman" w:hAnsi="Times New Roman" w:cs="Times New Roman"/>
          <w:sz w:val="22"/>
          <w:szCs w:val="22"/>
          <w:lang w:val="sk-SK"/>
        </w:rPr>
        <w:t xml:space="preserve"> štatisticky významne vyšší podiel pacientov reagujúci</w:t>
      </w:r>
      <w:r w:rsidR="008D4BE2" w:rsidRPr="007648C4">
        <w:rPr>
          <w:rFonts w:ascii="Times New Roman" w:hAnsi="Times New Roman" w:cs="Times New Roman"/>
          <w:sz w:val="22"/>
          <w:szCs w:val="22"/>
          <w:lang w:val="sk-SK"/>
        </w:rPr>
        <w:t>ch</w:t>
      </w:r>
      <w:r w:rsidR="00474ACD" w:rsidRPr="007648C4">
        <w:rPr>
          <w:rFonts w:ascii="Times New Roman" w:hAnsi="Times New Roman" w:cs="Times New Roman"/>
          <w:sz w:val="22"/>
          <w:szCs w:val="22"/>
          <w:lang w:val="sk-SK"/>
        </w:rPr>
        <w:t xml:space="preserve"> na liečbu</w:t>
      </w:r>
      <w:r w:rsidR="008D4BE2" w:rsidRPr="007648C4">
        <w:rPr>
          <w:rFonts w:ascii="Times New Roman" w:hAnsi="Times New Roman" w:cs="Times New Roman"/>
          <w:sz w:val="22"/>
          <w:szCs w:val="22"/>
          <w:lang w:val="sk-SK"/>
        </w:rPr>
        <w:t xml:space="preserve"> v zmysle počiatočnej kontrakcie chodidla pri OGS v týždni 4 a 12</w:t>
      </w:r>
      <w:r w:rsidR="00474ACD" w:rsidRPr="007648C4">
        <w:rPr>
          <w:rFonts w:ascii="Times New Roman" w:hAnsi="Times New Roman" w:cs="Times New Roman"/>
          <w:sz w:val="22"/>
          <w:szCs w:val="22"/>
          <w:lang w:val="sk-SK"/>
        </w:rPr>
        <w:t>.</w:t>
      </w:r>
    </w:p>
    <w:p w14:paraId="70E4F8AF" w14:textId="77777777" w:rsidR="00474ACD" w:rsidRPr="007648C4" w:rsidRDefault="00474ACD" w:rsidP="00474ACD">
      <w:pPr>
        <w:jc w:val="both"/>
        <w:rPr>
          <w:rFonts w:ascii="Times New Roman" w:hAnsi="Times New Roman" w:cs="Times New Roman"/>
          <w:sz w:val="22"/>
          <w:szCs w:val="22"/>
          <w:lang w:val="sk-SK"/>
        </w:rPr>
      </w:pPr>
    </w:p>
    <w:p w14:paraId="1B254591" w14:textId="7407A578" w:rsidR="00474ACD" w:rsidRPr="007648C4" w:rsidRDefault="008D4BE2" w:rsidP="00474ACD">
      <w:pPr>
        <w:jc w:val="both"/>
        <w:rPr>
          <w:rFonts w:ascii="Times New Roman" w:hAnsi="Times New Roman" w:cs="Times New Roman"/>
          <w:sz w:val="22"/>
          <w:szCs w:val="22"/>
          <w:lang w:val="sk-SK"/>
        </w:rPr>
      </w:pPr>
      <w:r w:rsidRPr="007648C4">
        <w:rPr>
          <w:rFonts w:ascii="Times New Roman" w:hAnsi="Times New Roman" w:cs="Times New Roman"/>
          <w:sz w:val="22"/>
          <w:szCs w:val="22"/>
          <w:lang w:val="sk-SK"/>
        </w:rPr>
        <w:t xml:space="preserve">Rodičia pacientov vyplnili ochorenie špecifický Modul pre DMO vrámci Pediatrického inventára kvality života (Pediatric Quality of Life Inventory). </w:t>
      </w:r>
      <w:r w:rsidR="00474ACD" w:rsidRPr="007648C4">
        <w:rPr>
          <w:rFonts w:ascii="Times New Roman" w:hAnsi="Times New Roman" w:cs="Times New Roman"/>
          <w:sz w:val="22"/>
          <w:szCs w:val="22"/>
          <w:lang w:val="sk-SK"/>
        </w:rPr>
        <w:t xml:space="preserve">Došlo k štatisticky významnému zlepšeniu </w:t>
      </w:r>
      <w:r w:rsidRPr="007648C4">
        <w:rPr>
          <w:rFonts w:ascii="Times New Roman" w:hAnsi="Times New Roman" w:cs="Times New Roman"/>
          <w:sz w:val="22"/>
          <w:szCs w:val="22"/>
          <w:lang w:val="sk-SK"/>
        </w:rPr>
        <w:t xml:space="preserve">v parametri </w:t>
      </w:r>
      <w:r w:rsidR="00474ACD" w:rsidRPr="007648C4">
        <w:rPr>
          <w:rFonts w:ascii="Times New Roman" w:hAnsi="Times New Roman" w:cs="Times New Roman"/>
          <w:sz w:val="22"/>
          <w:szCs w:val="22"/>
          <w:lang w:val="sk-SK"/>
        </w:rPr>
        <w:t xml:space="preserve"> únav</w:t>
      </w:r>
      <w:r w:rsidRPr="007648C4">
        <w:rPr>
          <w:rFonts w:ascii="Times New Roman" w:hAnsi="Times New Roman" w:cs="Times New Roman"/>
          <w:sz w:val="22"/>
          <w:szCs w:val="22"/>
          <w:lang w:val="sk-SK"/>
        </w:rPr>
        <w:t>a</w:t>
      </w:r>
      <w:r w:rsidR="00474ACD" w:rsidRPr="007648C4">
        <w:rPr>
          <w:rFonts w:ascii="Times New Roman" w:hAnsi="Times New Roman" w:cs="Times New Roman"/>
          <w:sz w:val="22"/>
          <w:szCs w:val="22"/>
          <w:lang w:val="sk-SK"/>
        </w:rPr>
        <w:t xml:space="preserve"> oproti východiskovému stavu v 12. týždni v skupine prijímajúcej Dysport v dávke 10 U/kg/noha aj 15 U/kg/noha v porovnaní s placebom. Žiadne ďalšie štatisticky významné zlepšenie nebolo pozorované.</w:t>
      </w:r>
    </w:p>
    <w:p w14:paraId="7FEA860B" w14:textId="77777777" w:rsidR="00474ACD" w:rsidRPr="007648C4" w:rsidRDefault="00474ACD" w:rsidP="00474ACD">
      <w:pPr>
        <w:jc w:val="both"/>
        <w:rPr>
          <w:rFonts w:ascii="Times New Roman" w:hAnsi="Times New Roman" w:cs="Times New Roman"/>
          <w:sz w:val="22"/>
          <w:szCs w:val="22"/>
          <w:lang w:val="sk-SK"/>
        </w:rPr>
      </w:pPr>
    </w:p>
    <w:p w14:paraId="59AFC1C2" w14:textId="06C3C303" w:rsidR="00F134F4" w:rsidRDefault="00474ACD" w:rsidP="004866F1">
      <w:pPr>
        <w:jc w:val="both"/>
        <w:rPr>
          <w:rFonts w:ascii="Times New Roman" w:hAnsi="Times New Roman" w:cs="Times New Roman"/>
          <w:sz w:val="22"/>
          <w:szCs w:val="22"/>
          <w:lang w:val="sk-SK"/>
        </w:rPr>
      </w:pPr>
      <w:r w:rsidRPr="007648C4">
        <w:rPr>
          <w:rFonts w:ascii="Times New Roman" w:hAnsi="Times New Roman" w:cs="Times New Roman"/>
          <w:sz w:val="22"/>
          <w:szCs w:val="22"/>
          <w:lang w:val="sk-SK"/>
        </w:rPr>
        <w:t>Po dokončení tejto štúdie, 216 pacientov vstúpilo do otvorenej predĺženej štúdie (Y-55-52120-147), kde by mohli dostávať opakované ošetrenie na základe klinickej potreby. Obe svalové skupiny-distálna (gastrocnemius, soleus a tibialis posterior) aj proximálna (zadná strana stehien a  adduktory) boli schválené pre aplikáciu, vrátane viacúrovňových injekcií. Účinnosť bola pozorovaná v priebehu opakovaných liečebných sedení po dobu až 1 roka, hodnotená bola pomocou MAS, PGA a GAS skóre.</w:t>
      </w:r>
    </w:p>
    <w:p w14:paraId="1F1D0D01" w14:textId="77777777" w:rsidR="007648C4" w:rsidRPr="007648C4" w:rsidRDefault="007648C4" w:rsidP="004866F1">
      <w:pPr>
        <w:jc w:val="both"/>
        <w:rPr>
          <w:rFonts w:ascii="Times New Roman" w:hAnsi="Times New Roman" w:cs="Times New Roman"/>
          <w:sz w:val="22"/>
          <w:szCs w:val="22"/>
          <w:lang w:val="sk-SK"/>
        </w:rPr>
      </w:pPr>
    </w:p>
    <w:p w14:paraId="46A90844" w14:textId="77777777" w:rsidR="00F134F4" w:rsidRPr="00475027" w:rsidRDefault="00F134F4" w:rsidP="00FE4006">
      <w:pPr>
        <w:spacing w:line="240" w:lineRule="atLeast"/>
        <w:rPr>
          <w:rFonts w:ascii="Times New Roman" w:hAnsi="Times New Roman" w:cs="Times New Roman"/>
          <w:b/>
          <w:sz w:val="22"/>
          <w:szCs w:val="22"/>
          <w:lang w:val="sk-SK"/>
        </w:rPr>
      </w:pPr>
      <w:r w:rsidRPr="00475027">
        <w:rPr>
          <w:rFonts w:ascii="Times New Roman" w:hAnsi="Times New Roman" w:cs="Times New Roman"/>
          <w:b/>
          <w:sz w:val="22"/>
          <w:szCs w:val="22"/>
          <w:lang w:val="sk-SK"/>
        </w:rPr>
        <w:t>5.2</w:t>
      </w:r>
      <w:r w:rsidRPr="00475027">
        <w:rPr>
          <w:rFonts w:ascii="Times New Roman" w:hAnsi="Times New Roman" w:cs="Times New Roman"/>
          <w:b/>
          <w:sz w:val="22"/>
          <w:szCs w:val="22"/>
          <w:lang w:val="sk-SK"/>
        </w:rPr>
        <w:tab/>
        <w:t>Farmakokinetické vlastnosti</w:t>
      </w:r>
    </w:p>
    <w:p w14:paraId="5DAEFBE8" w14:textId="77777777" w:rsidR="00F134F4" w:rsidRPr="00475027" w:rsidRDefault="00F134F4" w:rsidP="00FE4006">
      <w:pPr>
        <w:spacing w:line="240" w:lineRule="atLeast"/>
        <w:rPr>
          <w:rFonts w:ascii="Times New Roman" w:hAnsi="Times New Roman" w:cs="Times New Roman"/>
          <w:b/>
          <w:sz w:val="22"/>
          <w:szCs w:val="22"/>
          <w:lang w:val="sk-SK"/>
        </w:rPr>
      </w:pPr>
    </w:p>
    <w:p w14:paraId="1D02E001"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lastRenderedPageBreak/>
        <w:t>Farmakokinetické štúdie s botulínovým toxínom robia u zvierat problémy z dôvodu veľkej sily, použitej nepatrnej dávky, veľkej molekulárnej hmotnosti zlúčeniny a problémami s označením toxínu k dosiahnutiu dostatočne vysokej špecifickej aktivity. Štúdie používajúce toxín označený I</w:t>
      </w:r>
      <w:r w:rsidRPr="00475027">
        <w:rPr>
          <w:rFonts w:ascii="Times New Roman" w:hAnsi="Times New Roman" w:cs="Times New Roman"/>
          <w:sz w:val="22"/>
          <w:szCs w:val="22"/>
          <w:vertAlign w:val="superscript"/>
          <w:lang w:val="sk-SK"/>
        </w:rPr>
        <w:t>125</w:t>
      </w:r>
      <w:r w:rsidRPr="00475027">
        <w:rPr>
          <w:rFonts w:ascii="Times New Roman" w:hAnsi="Times New Roman" w:cs="Times New Roman"/>
          <w:sz w:val="22"/>
          <w:szCs w:val="22"/>
          <w:lang w:val="sk-SK"/>
        </w:rPr>
        <w:t xml:space="preserve"> ukázali, že naviazanie na receptor je špecifické a nasýtiteľné, a že vysoká hustota receptorov pre toxín je faktor prispievajúci k vysokej sile. Odozva na dávku a dobu u opíc ukázala, že </w:t>
      </w:r>
    </w:p>
    <w:p w14:paraId="12584F59"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v prípade nízkych dávok bolo oneskorenie 2-3 dni s maximálnym účinkom pozorovaným 5-6 dní po aplikácii. Trvanie pôsobenia, meraného zmenami vyrovnania očí a svalovej paralýzy kolísalo medzi 2 týždňami až 8 mesiacmi. Tento charakter je pozorovaný aj u ľudí a je prisudzovaný procesu naviazania, internalizácie a zmien na neuromuskulárnom spojení.</w:t>
      </w:r>
    </w:p>
    <w:p w14:paraId="60E8B9A9" w14:textId="77777777" w:rsidR="00F134F4" w:rsidRPr="00475027" w:rsidRDefault="00F134F4" w:rsidP="00FE4006">
      <w:pPr>
        <w:jc w:val="both"/>
        <w:rPr>
          <w:rFonts w:ascii="Times New Roman" w:hAnsi="Times New Roman" w:cs="Times New Roman"/>
          <w:sz w:val="22"/>
          <w:szCs w:val="22"/>
          <w:lang w:val="sk-SK"/>
        </w:rPr>
      </w:pPr>
    </w:p>
    <w:p w14:paraId="5B27684D" w14:textId="77777777" w:rsidR="00F134F4" w:rsidRPr="00475027" w:rsidRDefault="00F134F4" w:rsidP="00FE4006">
      <w:pPr>
        <w:spacing w:line="240" w:lineRule="atLeast"/>
        <w:rPr>
          <w:rFonts w:ascii="Times New Roman" w:hAnsi="Times New Roman" w:cs="Times New Roman"/>
          <w:b/>
          <w:sz w:val="22"/>
          <w:szCs w:val="22"/>
          <w:lang w:val="sk-SK"/>
        </w:rPr>
      </w:pPr>
      <w:r w:rsidRPr="00475027">
        <w:rPr>
          <w:rFonts w:ascii="Times New Roman" w:hAnsi="Times New Roman" w:cs="Times New Roman"/>
          <w:b/>
          <w:sz w:val="22"/>
          <w:szCs w:val="22"/>
          <w:lang w:val="sk-SK"/>
        </w:rPr>
        <w:t>5.3</w:t>
      </w:r>
      <w:r w:rsidRPr="00475027">
        <w:rPr>
          <w:rFonts w:ascii="Times New Roman" w:hAnsi="Times New Roman" w:cs="Times New Roman"/>
          <w:b/>
          <w:sz w:val="22"/>
          <w:szCs w:val="22"/>
          <w:lang w:val="sk-SK"/>
        </w:rPr>
        <w:tab/>
        <w:t>Predklinické údaje o bezpečnosti</w:t>
      </w:r>
    </w:p>
    <w:p w14:paraId="11D93EFF" w14:textId="77777777" w:rsidR="00F134F4" w:rsidRPr="00475027" w:rsidRDefault="00F134F4" w:rsidP="004A316D">
      <w:pPr>
        <w:jc w:val="both"/>
        <w:rPr>
          <w:rFonts w:ascii="Times New Roman" w:hAnsi="Times New Roman" w:cs="Times New Roman"/>
          <w:sz w:val="22"/>
          <w:szCs w:val="22"/>
          <w:lang w:val="sk-SK"/>
        </w:rPr>
      </w:pPr>
    </w:p>
    <w:p w14:paraId="56527B20" w14:textId="77777777" w:rsidR="009D4815" w:rsidRPr="00475027" w:rsidRDefault="009D4815" w:rsidP="009D4815">
      <w:pPr>
        <w:autoSpaceDN w:val="0"/>
        <w:jc w:val="both"/>
        <w:textAlignment w:val="baseline"/>
        <w:rPr>
          <w:rFonts w:ascii="Times New Roman" w:hAnsi="Times New Roman" w:cs="Times New Roman"/>
          <w:sz w:val="22"/>
          <w:szCs w:val="22"/>
          <w:lang w:val="sk-SK" w:eastAsia="zh-CN"/>
        </w:rPr>
      </w:pPr>
      <w:r w:rsidRPr="00475027">
        <w:rPr>
          <w:rFonts w:ascii="Times New Roman" w:hAnsi="Times New Roman" w:cs="Times New Roman"/>
          <w:sz w:val="22"/>
          <w:szCs w:val="22"/>
          <w:lang w:val="sk-SK" w:eastAsia="zh-CN"/>
        </w:rPr>
        <w:t>V štúdiách chronickej toxicity uskutočnených na potkanoch (12 U/zviera) neboli pozorované žiadne náznaky systémovej toxicity.</w:t>
      </w:r>
    </w:p>
    <w:p w14:paraId="354A6732" w14:textId="77777777" w:rsidR="009D4815" w:rsidRPr="00475027" w:rsidRDefault="009D4815" w:rsidP="00B40A1C">
      <w:pPr>
        <w:jc w:val="both"/>
        <w:rPr>
          <w:rFonts w:ascii="Times New Roman" w:hAnsi="Times New Roman" w:cs="Times New Roman"/>
          <w:sz w:val="22"/>
          <w:szCs w:val="22"/>
          <w:lang w:val="sk-SK"/>
        </w:rPr>
      </w:pPr>
    </w:p>
    <w:p w14:paraId="0265CA93" w14:textId="77777777" w:rsidR="00F134F4" w:rsidRPr="00475027" w:rsidRDefault="00F134F4" w:rsidP="00B40A1C">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Štúdie reprodukčnej toxicity u gravidných samíc potkanov a králikov, ktorým bol podaný komplex botulotoxín typu A - hemaglutinín, ako denná intramuskulárna injekcia v dávke 79 U/kg pre potkany </w:t>
      </w:r>
      <w:bookmarkStart w:id="2" w:name="_GoBack"/>
      <w:r w:rsidRPr="00475027">
        <w:rPr>
          <w:rFonts w:ascii="Times New Roman" w:hAnsi="Times New Roman" w:cs="Times New Roman"/>
          <w:sz w:val="22"/>
          <w:szCs w:val="22"/>
          <w:lang w:val="sk-SK"/>
        </w:rPr>
        <w:t>a 42 U/kg pre králiky, nepoukázali na embryonálnu/fetálnu toxicitu.</w:t>
      </w:r>
    </w:p>
    <w:bookmarkEnd w:id="2"/>
    <w:p w14:paraId="161921FA" w14:textId="77777777" w:rsidR="00F134F4" w:rsidRPr="00475027" w:rsidRDefault="00F134F4" w:rsidP="00682658">
      <w:pPr>
        <w:jc w:val="both"/>
        <w:rPr>
          <w:rFonts w:ascii="Times New Roman" w:hAnsi="Times New Roman" w:cs="Times New Roman"/>
          <w:sz w:val="22"/>
          <w:szCs w:val="22"/>
          <w:lang w:val="sk-SK"/>
        </w:rPr>
      </w:pPr>
    </w:p>
    <w:p w14:paraId="5D392C9E" w14:textId="77777777" w:rsidR="00F134F4" w:rsidRPr="00475027" w:rsidRDefault="00F134F4" w:rsidP="00682658">
      <w:pPr>
        <w:spacing w:line="240" w:lineRule="atLeast"/>
        <w:jc w:val="both"/>
        <w:rPr>
          <w:rFonts w:ascii="Times New Roman" w:hAnsi="Times New Roman" w:cs="Times New Roman"/>
          <w:b/>
          <w:sz w:val="22"/>
          <w:szCs w:val="22"/>
          <w:lang w:val="sk-SK"/>
        </w:rPr>
      </w:pPr>
      <w:r w:rsidRPr="00475027">
        <w:rPr>
          <w:rFonts w:ascii="Times New Roman" w:hAnsi="Times New Roman" w:cs="Times New Roman"/>
          <w:sz w:val="22"/>
          <w:szCs w:val="22"/>
          <w:lang w:val="sk-SK"/>
        </w:rPr>
        <w:t>Bolo pozorovaných niekoľko prípadov maternálnej toxicity spojených so stratou implantácie pri vysokých dávkach u oboch druhov zvierat. Komplex botulotoxín typu A - hemaglutinín nevykázal žiadnu teratogénnu aktivitu u potkanov a ani u králikov, taktiež neboli pozorované účinky na F1 generáciu u potkanov. Fertilita samcov a samíc bola znížená v dôsledku zníženého párenia  ako dôsledok svalovej paralýzy pri vysokých dávkach.</w:t>
      </w:r>
    </w:p>
    <w:p w14:paraId="75718E19" w14:textId="35DC1BC6" w:rsidR="009D4815" w:rsidRPr="00475027" w:rsidRDefault="009D4815" w:rsidP="00682658">
      <w:pPr>
        <w:spacing w:line="240" w:lineRule="atLeast"/>
        <w:jc w:val="both"/>
        <w:rPr>
          <w:rFonts w:ascii="Times New Roman" w:hAnsi="Times New Roman" w:cs="Times New Roman"/>
          <w:sz w:val="22"/>
          <w:szCs w:val="22"/>
          <w:lang w:val="sk-SK"/>
        </w:rPr>
      </w:pPr>
    </w:p>
    <w:p w14:paraId="20655A15" w14:textId="59B172AC" w:rsidR="009D4815" w:rsidRPr="00475027" w:rsidRDefault="009D4815" w:rsidP="009D4815">
      <w:pPr>
        <w:autoSpaceDN w:val="0"/>
        <w:spacing w:line="240" w:lineRule="atLeast"/>
        <w:textAlignment w:val="baseline"/>
        <w:rPr>
          <w:rFonts w:ascii="Times New Roman" w:hAnsi="Times New Roman" w:cs="Times New Roman"/>
          <w:sz w:val="22"/>
          <w:szCs w:val="22"/>
          <w:lang w:val="sk-SK" w:eastAsia="zh-CN"/>
        </w:rPr>
      </w:pPr>
      <w:r w:rsidRPr="00475027">
        <w:rPr>
          <w:rFonts w:ascii="Times New Roman" w:hAnsi="Times New Roman" w:cs="Times New Roman"/>
          <w:sz w:val="22"/>
          <w:szCs w:val="22"/>
          <w:lang w:val="sk-SK" w:eastAsia="zh-CN"/>
        </w:rPr>
        <w:t>V juvenilnej toxicit</w:t>
      </w:r>
      <w:r w:rsidR="008D4BE2" w:rsidRPr="00475027">
        <w:rPr>
          <w:rFonts w:ascii="Times New Roman" w:hAnsi="Times New Roman" w:cs="Times New Roman"/>
          <w:sz w:val="22"/>
          <w:szCs w:val="22"/>
          <w:lang w:val="sk-SK" w:eastAsia="zh-CN"/>
        </w:rPr>
        <w:t>nej štúdii</w:t>
      </w:r>
      <w:r w:rsidRPr="00475027">
        <w:rPr>
          <w:rFonts w:ascii="Times New Roman" w:hAnsi="Times New Roman" w:cs="Times New Roman"/>
          <w:sz w:val="22"/>
          <w:szCs w:val="22"/>
          <w:lang w:val="sk-SK" w:eastAsia="zh-CN"/>
        </w:rPr>
        <w:t xml:space="preserve">, </w:t>
      </w:r>
      <w:r w:rsidR="008D4BE2" w:rsidRPr="00475027">
        <w:rPr>
          <w:rFonts w:ascii="Times New Roman" w:hAnsi="Times New Roman" w:cs="Times New Roman"/>
          <w:sz w:val="22"/>
          <w:szCs w:val="22"/>
          <w:lang w:val="sk-SK" w:eastAsia="zh-CN"/>
        </w:rPr>
        <w:t xml:space="preserve">v ktorej boli </w:t>
      </w:r>
      <w:r w:rsidRPr="00475027">
        <w:rPr>
          <w:rFonts w:ascii="Times New Roman" w:hAnsi="Times New Roman" w:cs="Times New Roman"/>
          <w:sz w:val="22"/>
          <w:szCs w:val="22"/>
          <w:lang w:val="sk-SK" w:eastAsia="zh-CN"/>
        </w:rPr>
        <w:t xml:space="preserve">potkany </w:t>
      </w:r>
      <w:r w:rsidR="008D4BE2" w:rsidRPr="00475027">
        <w:rPr>
          <w:rFonts w:ascii="Times New Roman" w:hAnsi="Times New Roman" w:cs="Times New Roman"/>
          <w:sz w:val="22"/>
          <w:szCs w:val="22"/>
          <w:lang w:val="sk-SK" w:eastAsia="zh-CN"/>
        </w:rPr>
        <w:t>liečené</w:t>
      </w:r>
      <w:r w:rsidRPr="00475027">
        <w:rPr>
          <w:rFonts w:ascii="Times New Roman" w:hAnsi="Times New Roman" w:cs="Times New Roman"/>
          <w:sz w:val="22"/>
          <w:szCs w:val="22"/>
          <w:lang w:val="sk-SK" w:eastAsia="zh-CN"/>
        </w:rPr>
        <w:t xml:space="preserve"> každý týždeň </w:t>
      </w:r>
      <w:r w:rsidR="008D4BE2" w:rsidRPr="00475027">
        <w:rPr>
          <w:rFonts w:ascii="Times New Roman" w:hAnsi="Times New Roman" w:cs="Times New Roman"/>
          <w:sz w:val="22"/>
          <w:szCs w:val="22"/>
          <w:lang w:val="sk-SK" w:eastAsia="zh-CN"/>
        </w:rPr>
        <w:t>od</w:t>
      </w:r>
      <w:r w:rsidRPr="00475027">
        <w:rPr>
          <w:rFonts w:ascii="Times New Roman" w:hAnsi="Times New Roman" w:cs="Times New Roman"/>
          <w:sz w:val="22"/>
          <w:szCs w:val="22"/>
          <w:lang w:val="sk-SK" w:eastAsia="zh-CN"/>
        </w:rPr>
        <w:t xml:space="preserve"> veku od odstavenia </w:t>
      </w:r>
      <w:r w:rsidR="008D4BE2" w:rsidRPr="00475027">
        <w:rPr>
          <w:rFonts w:ascii="Times New Roman" w:hAnsi="Times New Roman" w:cs="Times New Roman"/>
          <w:sz w:val="22"/>
          <w:szCs w:val="22"/>
          <w:lang w:val="sk-SK" w:eastAsia="zh-CN"/>
        </w:rPr>
        <w:t>(</w:t>
      </w:r>
      <w:r w:rsidRPr="00475027">
        <w:rPr>
          <w:rFonts w:ascii="Times New Roman" w:hAnsi="Times New Roman" w:cs="Times New Roman"/>
          <w:sz w:val="22"/>
          <w:szCs w:val="22"/>
          <w:lang w:val="sk-SK" w:eastAsia="zh-CN"/>
        </w:rPr>
        <w:t>21.deň po narodení</w:t>
      </w:r>
      <w:r w:rsidR="008D4BE2" w:rsidRPr="00475027">
        <w:rPr>
          <w:rFonts w:ascii="Times New Roman" w:hAnsi="Times New Roman" w:cs="Times New Roman"/>
          <w:sz w:val="22"/>
          <w:szCs w:val="22"/>
          <w:lang w:val="sk-SK" w:eastAsia="zh-CN"/>
        </w:rPr>
        <w:t>), počas veku</w:t>
      </w:r>
      <w:r w:rsidRPr="00475027">
        <w:rPr>
          <w:rFonts w:ascii="Times New Roman" w:hAnsi="Times New Roman" w:cs="Times New Roman"/>
          <w:sz w:val="22"/>
          <w:szCs w:val="22"/>
          <w:lang w:val="sk-SK" w:eastAsia="zh-CN"/>
        </w:rPr>
        <w:t xml:space="preserve"> 13 týždňov</w:t>
      </w:r>
      <w:r w:rsidR="008D4BE2" w:rsidRPr="00475027">
        <w:rPr>
          <w:rFonts w:ascii="Times New Roman" w:hAnsi="Times New Roman" w:cs="Times New Roman"/>
          <w:sz w:val="22"/>
          <w:szCs w:val="22"/>
          <w:lang w:val="sk-SK" w:eastAsia="zh-CN"/>
        </w:rPr>
        <w:t xml:space="preserve"> (</w:t>
      </w:r>
      <w:r w:rsidRPr="00475027">
        <w:rPr>
          <w:rFonts w:ascii="Times New Roman" w:hAnsi="Times New Roman" w:cs="Times New Roman"/>
          <w:sz w:val="22"/>
          <w:szCs w:val="22"/>
          <w:lang w:val="sk-SK" w:eastAsia="zh-CN"/>
        </w:rPr>
        <w:t>porovnateľne s deťmi vo veku 2 rokov</w:t>
      </w:r>
      <w:r w:rsidR="008D4BE2" w:rsidRPr="00475027">
        <w:rPr>
          <w:rFonts w:ascii="Times New Roman" w:hAnsi="Times New Roman" w:cs="Times New Roman"/>
          <w:sz w:val="22"/>
          <w:szCs w:val="22"/>
          <w:lang w:val="sk-SK" w:eastAsia="zh-CN"/>
        </w:rPr>
        <w:t>)</w:t>
      </w:r>
      <w:r w:rsidRPr="00475027">
        <w:rPr>
          <w:rFonts w:ascii="Times New Roman" w:hAnsi="Times New Roman" w:cs="Times New Roman"/>
          <w:sz w:val="22"/>
          <w:szCs w:val="22"/>
          <w:lang w:val="sk-SK" w:eastAsia="zh-CN"/>
        </w:rPr>
        <w:t>,</w:t>
      </w:r>
      <w:r w:rsidR="008D4BE2" w:rsidRPr="00475027">
        <w:rPr>
          <w:rFonts w:ascii="Times New Roman" w:hAnsi="Times New Roman" w:cs="Times New Roman"/>
          <w:sz w:val="22"/>
          <w:szCs w:val="22"/>
          <w:lang w:val="sk-SK" w:eastAsia="zh-CN"/>
        </w:rPr>
        <w:t xml:space="preserve"> až</w:t>
      </w:r>
      <w:r w:rsidRPr="00475027">
        <w:rPr>
          <w:rFonts w:ascii="Times New Roman" w:hAnsi="Times New Roman" w:cs="Times New Roman"/>
          <w:sz w:val="22"/>
          <w:szCs w:val="22"/>
          <w:lang w:val="sk-SK" w:eastAsia="zh-CN"/>
        </w:rPr>
        <w:t xml:space="preserve"> do rannej dospelosti (11 podaní za 10 týždňov, až do celkovej dávky približne 33 U/kg)</w:t>
      </w:r>
      <w:r w:rsidR="008D4BE2" w:rsidRPr="00475027">
        <w:rPr>
          <w:rFonts w:ascii="Times New Roman" w:hAnsi="Times New Roman" w:cs="Times New Roman"/>
          <w:sz w:val="22"/>
          <w:szCs w:val="22"/>
          <w:lang w:val="sk-SK" w:eastAsia="zh-CN"/>
        </w:rPr>
        <w:t>, sa</w:t>
      </w:r>
      <w:r w:rsidRPr="00475027">
        <w:rPr>
          <w:rFonts w:ascii="Times New Roman" w:hAnsi="Times New Roman" w:cs="Times New Roman"/>
          <w:sz w:val="22"/>
          <w:szCs w:val="22"/>
          <w:lang w:val="sk-SK" w:eastAsia="zh-CN"/>
        </w:rPr>
        <w:t xml:space="preserve"> ne</w:t>
      </w:r>
      <w:r w:rsidR="008D4BE2" w:rsidRPr="00475027">
        <w:rPr>
          <w:rFonts w:ascii="Times New Roman" w:hAnsi="Times New Roman" w:cs="Times New Roman"/>
          <w:sz w:val="22"/>
          <w:szCs w:val="22"/>
          <w:lang w:val="sk-SK" w:eastAsia="zh-CN"/>
        </w:rPr>
        <w:t>preukázali</w:t>
      </w:r>
      <w:r w:rsidRPr="00475027">
        <w:rPr>
          <w:rFonts w:ascii="Times New Roman" w:hAnsi="Times New Roman" w:cs="Times New Roman"/>
          <w:sz w:val="22"/>
          <w:szCs w:val="22"/>
          <w:lang w:val="sk-SK" w:eastAsia="zh-CN"/>
        </w:rPr>
        <w:t xml:space="preserve"> nepriaznivé účinky na postnatálny rast (vrátane </w:t>
      </w:r>
      <w:r w:rsidR="008D4BE2" w:rsidRPr="00475027">
        <w:rPr>
          <w:rFonts w:ascii="Times New Roman" w:hAnsi="Times New Roman" w:cs="Times New Roman"/>
          <w:sz w:val="22"/>
          <w:szCs w:val="22"/>
          <w:lang w:val="sk-SK" w:eastAsia="zh-CN"/>
        </w:rPr>
        <w:t>zhodnotenia</w:t>
      </w:r>
      <w:r w:rsidRPr="00475027">
        <w:rPr>
          <w:rFonts w:ascii="Times New Roman" w:hAnsi="Times New Roman" w:cs="Times New Roman"/>
          <w:sz w:val="22"/>
          <w:szCs w:val="22"/>
          <w:lang w:val="sk-SK" w:eastAsia="zh-CN"/>
        </w:rPr>
        <w:t xml:space="preserve"> kostry), reprodukčný, neurologický a neurobehaviorálny vývoj.</w:t>
      </w:r>
    </w:p>
    <w:p w14:paraId="6B3D9AFD" w14:textId="77777777" w:rsidR="009D4815" w:rsidRPr="00475027" w:rsidRDefault="009D4815" w:rsidP="00682658">
      <w:pPr>
        <w:spacing w:line="240" w:lineRule="atLeast"/>
        <w:jc w:val="both"/>
        <w:rPr>
          <w:rFonts w:ascii="Times New Roman" w:hAnsi="Times New Roman" w:cs="Times New Roman"/>
          <w:sz w:val="22"/>
          <w:szCs w:val="22"/>
          <w:lang w:val="sk-SK"/>
        </w:rPr>
      </w:pPr>
    </w:p>
    <w:p w14:paraId="356FC110" w14:textId="1899DD97" w:rsidR="00F134F4" w:rsidRPr="00475027" w:rsidRDefault="00F134F4" w:rsidP="00682658">
      <w:pPr>
        <w:spacing w:line="240" w:lineRule="atLeast"/>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Účinky </w:t>
      </w:r>
      <w:r w:rsidR="008D4BE2" w:rsidRPr="00475027">
        <w:rPr>
          <w:rFonts w:ascii="Times New Roman" w:hAnsi="Times New Roman" w:cs="Times New Roman"/>
          <w:sz w:val="22"/>
          <w:szCs w:val="22"/>
          <w:lang w:val="sk-SK"/>
        </w:rPr>
        <w:t xml:space="preserve">v predklinických </w:t>
      </w:r>
      <w:r w:rsidRPr="00475027">
        <w:rPr>
          <w:rFonts w:ascii="Times New Roman" w:hAnsi="Times New Roman" w:cs="Times New Roman"/>
          <w:sz w:val="22"/>
          <w:szCs w:val="22"/>
          <w:lang w:val="sk-SK"/>
        </w:rPr>
        <w:t>reprodukčných štúdi</w:t>
      </w:r>
      <w:r w:rsidR="008D4BE2" w:rsidRPr="00475027">
        <w:rPr>
          <w:rFonts w:ascii="Times New Roman" w:hAnsi="Times New Roman" w:cs="Times New Roman"/>
          <w:sz w:val="22"/>
          <w:szCs w:val="22"/>
          <w:lang w:val="sk-SK"/>
        </w:rPr>
        <w:t xml:space="preserve">ách, juvenilných štúdiách a v predklinických </w:t>
      </w:r>
      <w:r w:rsidRPr="00475027">
        <w:rPr>
          <w:rFonts w:ascii="Times New Roman" w:hAnsi="Times New Roman" w:cs="Times New Roman"/>
          <w:sz w:val="22"/>
          <w:szCs w:val="22"/>
          <w:lang w:val="sk-SK"/>
        </w:rPr>
        <w:t>štúdi</w:t>
      </w:r>
      <w:r w:rsidR="008D4BE2" w:rsidRPr="00475027">
        <w:rPr>
          <w:rFonts w:ascii="Times New Roman" w:hAnsi="Times New Roman" w:cs="Times New Roman"/>
          <w:sz w:val="22"/>
          <w:szCs w:val="22"/>
          <w:lang w:val="sk-SK"/>
        </w:rPr>
        <w:t>ách</w:t>
      </w:r>
      <w:r w:rsidRPr="00475027">
        <w:rPr>
          <w:rFonts w:ascii="Times New Roman" w:hAnsi="Times New Roman" w:cs="Times New Roman"/>
          <w:sz w:val="22"/>
          <w:szCs w:val="22"/>
          <w:lang w:val="sk-SK"/>
        </w:rPr>
        <w:t xml:space="preserve"> chronickej toxicity boli obmedzené na zmeny injikovaných svalov súvisiacich s mechanizmom účinku komplexu botulotoxín typu A-hemaglutinín.</w:t>
      </w:r>
    </w:p>
    <w:p w14:paraId="1B4E650C" w14:textId="77777777" w:rsidR="00F134F4" w:rsidRPr="00475027" w:rsidRDefault="00F134F4" w:rsidP="00C25C19">
      <w:pPr>
        <w:spacing w:line="240" w:lineRule="atLeast"/>
        <w:rPr>
          <w:rFonts w:ascii="Times New Roman" w:hAnsi="Times New Roman" w:cs="Times New Roman"/>
          <w:sz w:val="22"/>
          <w:szCs w:val="22"/>
          <w:highlight w:val="yellow"/>
          <w:lang w:val="sk-SK"/>
        </w:rPr>
      </w:pPr>
    </w:p>
    <w:p w14:paraId="298735DB" w14:textId="77777777" w:rsidR="00F134F4" w:rsidRPr="00475027" w:rsidRDefault="00F134F4" w:rsidP="00C25C19">
      <w:pPr>
        <w:spacing w:line="240" w:lineRule="atLeast"/>
        <w:rPr>
          <w:rFonts w:ascii="Times New Roman" w:hAnsi="Times New Roman" w:cs="Times New Roman"/>
          <w:sz w:val="22"/>
          <w:szCs w:val="22"/>
          <w:lang w:val="sk-SK"/>
        </w:rPr>
      </w:pPr>
      <w:r w:rsidRPr="00475027">
        <w:rPr>
          <w:rFonts w:ascii="Times New Roman" w:hAnsi="Times New Roman" w:cs="Times New Roman"/>
          <w:sz w:val="22"/>
          <w:szCs w:val="22"/>
          <w:lang w:val="sk-SK"/>
        </w:rPr>
        <w:t>Po podaní komplexu botulotoxín typu A - hemaglutinín do oka králika nedošlo k žiadnemu podráždeniu očí.</w:t>
      </w:r>
    </w:p>
    <w:p w14:paraId="4329EAC0" w14:textId="77777777" w:rsidR="00F134F4" w:rsidRPr="00475027" w:rsidRDefault="00F134F4" w:rsidP="00FE4006">
      <w:pPr>
        <w:spacing w:line="240" w:lineRule="atLeast"/>
        <w:rPr>
          <w:rFonts w:ascii="Times New Roman" w:hAnsi="Times New Roman" w:cs="Times New Roman"/>
          <w:b/>
          <w:sz w:val="22"/>
          <w:szCs w:val="22"/>
          <w:lang w:val="sk-SK"/>
        </w:rPr>
      </w:pPr>
    </w:p>
    <w:p w14:paraId="3A1F9993" w14:textId="77777777" w:rsidR="00F134F4" w:rsidRPr="00475027" w:rsidRDefault="00F134F4" w:rsidP="00FE4006">
      <w:pPr>
        <w:spacing w:line="240" w:lineRule="atLeast"/>
        <w:rPr>
          <w:rFonts w:ascii="Times New Roman" w:hAnsi="Times New Roman" w:cs="Times New Roman"/>
          <w:b/>
          <w:sz w:val="22"/>
          <w:szCs w:val="22"/>
          <w:lang w:val="sk-SK"/>
        </w:rPr>
      </w:pPr>
    </w:p>
    <w:p w14:paraId="69535D5D" w14:textId="77777777" w:rsidR="00F134F4" w:rsidRPr="00475027" w:rsidRDefault="00F134F4" w:rsidP="00FE4006">
      <w:pPr>
        <w:rPr>
          <w:rFonts w:ascii="Times New Roman" w:hAnsi="Times New Roman" w:cs="Times New Roman"/>
          <w:b/>
          <w:noProof/>
          <w:sz w:val="22"/>
          <w:szCs w:val="22"/>
          <w:lang w:val="sk-SK"/>
        </w:rPr>
      </w:pPr>
      <w:r w:rsidRPr="00475027">
        <w:rPr>
          <w:rFonts w:ascii="Times New Roman" w:hAnsi="Times New Roman" w:cs="Times New Roman"/>
          <w:b/>
          <w:noProof/>
          <w:sz w:val="22"/>
          <w:szCs w:val="22"/>
          <w:lang w:val="sk-SK"/>
        </w:rPr>
        <w:t>6.</w:t>
      </w:r>
      <w:r w:rsidRPr="00475027">
        <w:rPr>
          <w:rFonts w:ascii="Times New Roman" w:hAnsi="Times New Roman" w:cs="Times New Roman"/>
          <w:b/>
          <w:noProof/>
          <w:sz w:val="22"/>
          <w:szCs w:val="22"/>
          <w:lang w:val="sk-SK"/>
        </w:rPr>
        <w:tab/>
        <w:t>FARMACEUTICKÉ INFORMÁCIE</w:t>
      </w:r>
    </w:p>
    <w:p w14:paraId="3E31A522" w14:textId="77777777" w:rsidR="00F134F4" w:rsidRPr="00475027" w:rsidRDefault="00F134F4" w:rsidP="00FE4006">
      <w:pPr>
        <w:spacing w:line="240" w:lineRule="atLeast"/>
        <w:rPr>
          <w:rFonts w:ascii="Times New Roman" w:hAnsi="Times New Roman" w:cs="Times New Roman"/>
          <w:b/>
          <w:sz w:val="22"/>
          <w:szCs w:val="22"/>
          <w:lang w:val="sk-SK"/>
        </w:rPr>
      </w:pPr>
    </w:p>
    <w:p w14:paraId="1198D5DB" w14:textId="77777777" w:rsidR="00F134F4" w:rsidRPr="00475027" w:rsidRDefault="00F134F4" w:rsidP="00FE4006">
      <w:pPr>
        <w:spacing w:line="240" w:lineRule="atLeast"/>
        <w:rPr>
          <w:rFonts w:ascii="Times New Roman" w:hAnsi="Times New Roman" w:cs="Times New Roman"/>
          <w:b/>
          <w:sz w:val="22"/>
          <w:szCs w:val="22"/>
          <w:lang w:val="sk-SK"/>
        </w:rPr>
      </w:pPr>
      <w:r w:rsidRPr="00475027">
        <w:rPr>
          <w:rFonts w:ascii="Times New Roman" w:hAnsi="Times New Roman" w:cs="Times New Roman"/>
          <w:b/>
          <w:sz w:val="22"/>
          <w:szCs w:val="22"/>
          <w:lang w:val="sk-SK"/>
        </w:rPr>
        <w:t>6.1</w:t>
      </w:r>
      <w:r w:rsidRPr="00475027">
        <w:rPr>
          <w:rFonts w:ascii="Times New Roman" w:hAnsi="Times New Roman" w:cs="Times New Roman"/>
          <w:b/>
          <w:sz w:val="22"/>
          <w:szCs w:val="22"/>
          <w:lang w:val="sk-SK"/>
        </w:rPr>
        <w:tab/>
        <w:t>Zoznam pomocných látok</w:t>
      </w:r>
    </w:p>
    <w:p w14:paraId="2F50F77E" w14:textId="77777777" w:rsidR="00F134F4" w:rsidRPr="00475027" w:rsidRDefault="00F134F4" w:rsidP="00FE4006">
      <w:pPr>
        <w:spacing w:line="240" w:lineRule="atLeast"/>
        <w:rPr>
          <w:rFonts w:ascii="Times New Roman" w:hAnsi="Times New Roman" w:cs="Times New Roman"/>
          <w:b/>
          <w:sz w:val="22"/>
          <w:szCs w:val="22"/>
          <w:lang w:val="sk-SK"/>
        </w:rPr>
      </w:pPr>
    </w:p>
    <w:p w14:paraId="50337ACF" w14:textId="77777777" w:rsidR="00F134F4" w:rsidRPr="00475027" w:rsidRDefault="00F134F4" w:rsidP="00F06E5E">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roztok ľudského albumínu 20 %</w:t>
      </w:r>
    </w:p>
    <w:p w14:paraId="61FB2F77" w14:textId="77777777" w:rsidR="00F134F4" w:rsidRPr="00475027" w:rsidRDefault="00F134F4" w:rsidP="00FE4006">
      <w:pPr>
        <w:spacing w:line="240" w:lineRule="atLeast"/>
        <w:rPr>
          <w:rFonts w:ascii="Times New Roman" w:hAnsi="Times New Roman" w:cs="Times New Roman"/>
          <w:b/>
          <w:sz w:val="22"/>
          <w:szCs w:val="22"/>
          <w:lang w:val="sk-SK"/>
        </w:rPr>
      </w:pPr>
      <w:r w:rsidRPr="00475027">
        <w:rPr>
          <w:rFonts w:ascii="Times New Roman" w:hAnsi="Times New Roman" w:cs="Times New Roman"/>
          <w:sz w:val="22"/>
          <w:szCs w:val="22"/>
          <w:lang w:val="sk-SK"/>
        </w:rPr>
        <w:t>laktóza</w:t>
      </w:r>
    </w:p>
    <w:p w14:paraId="7C58C104" w14:textId="77777777" w:rsidR="00F134F4" w:rsidRPr="00475027" w:rsidRDefault="00F134F4" w:rsidP="00FE4006">
      <w:pPr>
        <w:spacing w:line="240" w:lineRule="atLeast"/>
        <w:rPr>
          <w:rFonts w:ascii="Times New Roman" w:hAnsi="Times New Roman" w:cs="Times New Roman"/>
          <w:b/>
          <w:sz w:val="22"/>
          <w:szCs w:val="22"/>
          <w:lang w:val="sk-SK"/>
        </w:rPr>
      </w:pPr>
      <w:r w:rsidRPr="00475027">
        <w:rPr>
          <w:rFonts w:ascii="Times New Roman" w:hAnsi="Times New Roman" w:cs="Times New Roman"/>
          <w:b/>
          <w:sz w:val="22"/>
          <w:szCs w:val="22"/>
          <w:lang w:val="sk-SK"/>
        </w:rPr>
        <w:t>6.2</w:t>
      </w:r>
      <w:r w:rsidRPr="00475027">
        <w:rPr>
          <w:rFonts w:ascii="Times New Roman" w:hAnsi="Times New Roman" w:cs="Times New Roman"/>
          <w:b/>
          <w:sz w:val="22"/>
          <w:szCs w:val="22"/>
          <w:lang w:val="sk-SK"/>
        </w:rPr>
        <w:tab/>
        <w:t>Inkompatibility</w:t>
      </w:r>
    </w:p>
    <w:p w14:paraId="73F1C005" w14:textId="77777777" w:rsidR="00F134F4" w:rsidRPr="00475027" w:rsidRDefault="00F134F4" w:rsidP="00FE4006">
      <w:pPr>
        <w:spacing w:line="240" w:lineRule="atLeast"/>
        <w:rPr>
          <w:rFonts w:ascii="Times New Roman" w:hAnsi="Times New Roman" w:cs="Times New Roman"/>
          <w:b/>
          <w:sz w:val="22"/>
          <w:szCs w:val="22"/>
          <w:lang w:val="sk-SK"/>
        </w:rPr>
      </w:pPr>
    </w:p>
    <w:p w14:paraId="1C606C8A" w14:textId="77777777" w:rsidR="00F134F4" w:rsidRPr="00475027" w:rsidRDefault="00F134F4" w:rsidP="00FE4006">
      <w:pPr>
        <w:jc w:val="both"/>
        <w:rPr>
          <w:rFonts w:ascii="Times New Roman" w:hAnsi="Times New Roman" w:cs="Times New Roman"/>
          <w:sz w:val="22"/>
          <w:szCs w:val="22"/>
          <w:lang w:val="sk-SK"/>
        </w:rPr>
      </w:pPr>
      <w:r w:rsidRPr="00475027">
        <w:rPr>
          <w:lang w:val="sk-SK"/>
        </w:rPr>
        <w:t xml:space="preserve"> </w:t>
      </w:r>
      <w:r w:rsidRPr="00475027">
        <w:rPr>
          <w:rFonts w:ascii="Times New Roman" w:hAnsi="Times New Roman" w:cs="Times New Roman"/>
          <w:sz w:val="22"/>
          <w:szCs w:val="22"/>
          <w:lang w:val="sk-SK"/>
        </w:rPr>
        <w:t>Tento liek sa nesmie miešať s inými liekmi okrem tých, ktoré sú uvedené v časti 4.2. Neboli vykonané štúdie inkompatibility okrem tých, ktoré sú uvedené v časti 4.2.</w:t>
      </w:r>
    </w:p>
    <w:p w14:paraId="3A30B330" w14:textId="77777777" w:rsidR="00F134F4" w:rsidRPr="00475027" w:rsidRDefault="00F134F4" w:rsidP="00FE4006">
      <w:pPr>
        <w:jc w:val="both"/>
        <w:rPr>
          <w:rFonts w:ascii="Times New Roman" w:hAnsi="Times New Roman" w:cs="Times New Roman"/>
          <w:sz w:val="22"/>
          <w:szCs w:val="22"/>
          <w:lang w:val="sk-SK"/>
        </w:rPr>
      </w:pPr>
    </w:p>
    <w:p w14:paraId="79571618" w14:textId="77777777" w:rsidR="00F134F4" w:rsidRPr="00475027" w:rsidRDefault="00F134F4" w:rsidP="00FE4006">
      <w:pPr>
        <w:spacing w:line="240" w:lineRule="atLeast"/>
        <w:rPr>
          <w:rFonts w:ascii="Times New Roman" w:hAnsi="Times New Roman" w:cs="Times New Roman"/>
          <w:b/>
          <w:sz w:val="22"/>
          <w:szCs w:val="22"/>
          <w:lang w:val="sk-SK"/>
        </w:rPr>
      </w:pPr>
      <w:r w:rsidRPr="00475027">
        <w:rPr>
          <w:rFonts w:ascii="Times New Roman" w:hAnsi="Times New Roman" w:cs="Times New Roman"/>
          <w:b/>
          <w:sz w:val="22"/>
          <w:szCs w:val="22"/>
          <w:lang w:val="sk-SK"/>
        </w:rPr>
        <w:t>6.3</w:t>
      </w:r>
      <w:r w:rsidRPr="00475027">
        <w:rPr>
          <w:rFonts w:ascii="Times New Roman" w:hAnsi="Times New Roman" w:cs="Times New Roman"/>
          <w:b/>
          <w:sz w:val="22"/>
          <w:szCs w:val="22"/>
          <w:lang w:val="sk-SK"/>
        </w:rPr>
        <w:tab/>
        <w:t>Čas použiteľnosti</w:t>
      </w:r>
    </w:p>
    <w:p w14:paraId="1CF798DF" w14:textId="77777777" w:rsidR="00F134F4" w:rsidRPr="00475027" w:rsidRDefault="00F134F4" w:rsidP="00FE4006">
      <w:pPr>
        <w:spacing w:line="240" w:lineRule="atLeast"/>
        <w:rPr>
          <w:rFonts w:ascii="Times New Roman" w:hAnsi="Times New Roman" w:cs="Times New Roman"/>
          <w:b/>
          <w:sz w:val="22"/>
          <w:szCs w:val="22"/>
          <w:lang w:val="sk-SK"/>
        </w:rPr>
      </w:pPr>
    </w:p>
    <w:p w14:paraId="61B06A1E" w14:textId="6146C6B6" w:rsidR="00F134F4" w:rsidRPr="00475027" w:rsidRDefault="00F134F4" w:rsidP="00B40A1C">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V originálnom obale: 2 roky pri teplote 2 </w:t>
      </w:r>
      <w:r w:rsidR="007648C4" w:rsidRPr="00475027">
        <w:rPr>
          <w:rFonts w:ascii="Times New Roman" w:hAnsi="Times New Roman" w:cs="Times New Roman"/>
          <w:sz w:val="22"/>
          <w:szCs w:val="22"/>
          <w:lang w:val="sk-SK"/>
        </w:rPr>
        <w:t xml:space="preserve">°C </w:t>
      </w:r>
      <w:r w:rsidRPr="00475027">
        <w:rPr>
          <w:rFonts w:ascii="Times New Roman" w:hAnsi="Times New Roman" w:cs="Times New Roman"/>
          <w:sz w:val="22"/>
          <w:szCs w:val="22"/>
          <w:lang w:val="sk-SK"/>
        </w:rPr>
        <w:t>– 8 °C</w:t>
      </w:r>
    </w:p>
    <w:p w14:paraId="47E3E933" w14:textId="77777777" w:rsidR="00F134F4" w:rsidRPr="00475027" w:rsidRDefault="00F134F4" w:rsidP="00682658">
      <w:pPr>
        <w:jc w:val="both"/>
        <w:rPr>
          <w:rFonts w:ascii="Times New Roman" w:hAnsi="Times New Roman" w:cs="Times New Roman"/>
          <w:sz w:val="22"/>
          <w:szCs w:val="22"/>
          <w:lang w:val="sk-SK"/>
        </w:rPr>
      </w:pPr>
    </w:p>
    <w:p w14:paraId="0D761D60" w14:textId="77777777" w:rsidR="00F134F4" w:rsidRPr="00475027" w:rsidRDefault="00F134F4" w:rsidP="00682658">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Rekonštituovaný roztok:</w:t>
      </w:r>
    </w:p>
    <w:p w14:paraId="0751A92C" w14:textId="77777777" w:rsidR="00F134F4" w:rsidRPr="00475027" w:rsidRDefault="00F134F4" w:rsidP="00682658">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Chemická a fyzikálna stabilita sa stanovila na 24 hodín pri teplote 2°C – 8 °C.</w:t>
      </w:r>
    </w:p>
    <w:p w14:paraId="62D3A06C" w14:textId="48467FDD" w:rsidR="00F134F4" w:rsidRPr="00475027" w:rsidRDefault="00F134F4" w:rsidP="00682658">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lastRenderedPageBreak/>
        <w:t xml:space="preserve">Z mikrobiologického hľadiska sa má liek použiť ihneď. Ak liek nie je použitý ihneď, čas uchovávania a podmienky pred použitím sú v zodpovednosti používateľa a za normálnych okolností nemá byť dlhší ako 24 hodín pri teplote 2 </w:t>
      </w:r>
      <w:r w:rsidR="007648C4" w:rsidRPr="00475027">
        <w:rPr>
          <w:rFonts w:ascii="Times New Roman" w:hAnsi="Times New Roman" w:cs="Times New Roman"/>
          <w:sz w:val="22"/>
          <w:szCs w:val="22"/>
          <w:lang w:val="sk-SK"/>
        </w:rPr>
        <w:t xml:space="preserve">°C </w:t>
      </w:r>
      <w:r w:rsidRPr="00475027">
        <w:rPr>
          <w:rFonts w:ascii="Times New Roman" w:hAnsi="Times New Roman" w:cs="Times New Roman"/>
          <w:sz w:val="22"/>
          <w:szCs w:val="22"/>
          <w:lang w:val="sk-SK"/>
        </w:rPr>
        <w:t xml:space="preserve">- 8 </w:t>
      </w:r>
      <w:r w:rsidRPr="00475027">
        <w:rPr>
          <w:rFonts w:ascii="Times New Roman" w:hAnsi="Times New Roman" w:cs="Times New Roman"/>
          <w:sz w:val="22"/>
          <w:szCs w:val="22"/>
          <w:vertAlign w:val="superscript"/>
          <w:lang w:val="sk-SK"/>
        </w:rPr>
        <w:t>o</w:t>
      </w:r>
      <w:r w:rsidRPr="00475027">
        <w:rPr>
          <w:rFonts w:ascii="Times New Roman" w:hAnsi="Times New Roman" w:cs="Times New Roman"/>
          <w:sz w:val="22"/>
          <w:szCs w:val="22"/>
          <w:lang w:val="sk-SK"/>
        </w:rPr>
        <w:t xml:space="preserve">C. </w:t>
      </w:r>
    </w:p>
    <w:p w14:paraId="6BBE4C36" w14:textId="77777777" w:rsidR="00F134F4" w:rsidRPr="00475027" w:rsidRDefault="00F134F4" w:rsidP="00FE4006">
      <w:pPr>
        <w:jc w:val="both"/>
        <w:rPr>
          <w:rFonts w:ascii="Times New Roman" w:hAnsi="Times New Roman" w:cs="Times New Roman"/>
          <w:sz w:val="22"/>
          <w:szCs w:val="22"/>
          <w:lang w:val="sk-SK"/>
        </w:rPr>
      </w:pPr>
    </w:p>
    <w:p w14:paraId="7E7EB2EB" w14:textId="77777777" w:rsidR="00F134F4" w:rsidRPr="00475027" w:rsidRDefault="00F134F4" w:rsidP="00FE4006">
      <w:pPr>
        <w:rPr>
          <w:rFonts w:ascii="Times New Roman" w:hAnsi="Times New Roman" w:cs="Times New Roman"/>
          <w:b/>
          <w:noProof/>
          <w:sz w:val="22"/>
          <w:szCs w:val="22"/>
          <w:lang w:val="sk-SK"/>
        </w:rPr>
      </w:pPr>
      <w:r w:rsidRPr="00475027">
        <w:rPr>
          <w:rFonts w:ascii="Times New Roman" w:hAnsi="Times New Roman" w:cs="Times New Roman"/>
          <w:b/>
          <w:noProof/>
          <w:sz w:val="22"/>
          <w:szCs w:val="22"/>
          <w:lang w:val="sk-SK"/>
        </w:rPr>
        <w:t>6.4</w:t>
      </w:r>
      <w:r w:rsidRPr="00475027">
        <w:rPr>
          <w:rFonts w:ascii="Times New Roman" w:hAnsi="Times New Roman" w:cs="Times New Roman"/>
          <w:b/>
          <w:noProof/>
          <w:sz w:val="22"/>
          <w:szCs w:val="22"/>
          <w:lang w:val="sk-SK"/>
        </w:rPr>
        <w:tab/>
        <w:t>Špeciálne upozornenia na uchovávanie</w:t>
      </w:r>
    </w:p>
    <w:p w14:paraId="5DA2D296" w14:textId="77777777" w:rsidR="00F134F4" w:rsidRPr="00475027" w:rsidRDefault="00F134F4" w:rsidP="00FE4006">
      <w:pPr>
        <w:rPr>
          <w:rFonts w:ascii="Times New Roman" w:hAnsi="Times New Roman" w:cs="Times New Roman"/>
          <w:noProof/>
          <w:sz w:val="22"/>
          <w:szCs w:val="22"/>
          <w:lang w:val="sk-SK"/>
        </w:rPr>
      </w:pPr>
    </w:p>
    <w:p w14:paraId="4A75B004" w14:textId="5C7A4C39"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Neotvorené injekčné liekovky sa musia uchovávať pri teplote medzi 2 </w:t>
      </w:r>
      <w:r w:rsidR="007648C4" w:rsidRPr="00475027">
        <w:rPr>
          <w:rFonts w:ascii="Times New Roman" w:hAnsi="Times New Roman" w:cs="Times New Roman"/>
          <w:sz w:val="22"/>
          <w:szCs w:val="22"/>
          <w:lang w:val="sk-SK"/>
        </w:rPr>
        <w:t xml:space="preserve">°C </w:t>
      </w:r>
      <w:r w:rsidRPr="00475027">
        <w:rPr>
          <w:rFonts w:ascii="Times New Roman" w:hAnsi="Times New Roman" w:cs="Times New Roman"/>
          <w:sz w:val="22"/>
          <w:szCs w:val="22"/>
          <w:lang w:val="sk-SK"/>
        </w:rPr>
        <w:t xml:space="preserve">– 8 </w:t>
      </w:r>
      <w:r w:rsidRPr="00475027">
        <w:rPr>
          <w:rFonts w:ascii="Times New Roman" w:hAnsi="Times New Roman" w:cs="Times New Roman"/>
          <w:sz w:val="22"/>
          <w:szCs w:val="22"/>
          <w:vertAlign w:val="superscript"/>
          <w:lang w:val="sk-SK"/>
        </w:rPr>
        <w:t>o</w:t>
      </w:r>
      <w:r w:rsidRPr="00475027">
        <w:rPr>
          <w:rFonts w:ascii="Times New Roman" w:hAnsi="Times New Roman" w:cs="Times New Roman"/>
          <w:sz w:val="22"/>
          <w:szCs w:val="22"/>
          <w:lang w:val="sk-SK"/>
        </w:rPr>
        <w:t xml:space="preserve">C. </w:t>
      </w:r>
    </w:p>
    <w:p w14:paraId="1FEE5608"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Dysport 500 U sa musí uchovávať v chladničke na pracovisku, kde sa aplikujú injekcie a nemá sa dávať pacientovi k skladovaniu doma.</w:t>
      </w:r>
    </w:p>
    <w:p w14:paraId="15673CD0" w14:textId="3AE07583"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Nariedený Dysport 500 U sa môže uchovávať v chladničke pri teplote 2 </w:t>
      </w:r>
      <w:r w:rsidR="007648C4" w:rsidRPr="00475027">
        <w:rPr>
          <w:rFonts w:ascii="Times New Roman" w:hAnsi="Times New Roman" w:cs="Times New Roman"/>
          <w:sz w:val="22"/>
          <w:szCs w:val="22"/>
          <w:lang w:val="sk-SK"/>
        </w:rPr>
        <w:t xml:space="preserve">°C </w:t>
      </w:r>
      <w:r w:rsidRPr="00475027">
        <w:rPr>
          <w:rFonts w:ascii="Times New Roman" w:hAnsi="Times New Roman" w:cs="Times New Roman"/>
          <w:sz w:val="22"/>
          <w:szCs w:val="22"/>
          <w:lang w:val="sk-SK"/>
        </w:rPr>
        <w:t xml:space="preserve">– 8 </w:t>
      </w:r>
      <w:r w:rsidRPr="00475027">
        <w:rPr>
          <w:rFonts w:ascii="Times New Roman" w:hAnsi="Times New Roman" w:cs="Times New Roman"/>
          <w:sz w:val="22"/>
          <w:szCs w:val="22"/>
          <w:vertAlign w:val="superscript"/>
          <w:lang w:val="sk-SK"/>
        </w:rPr>
        <w:t>o</w:t>
      </w:r>
      <w:r w:rsidRPr="00475027">
        <w:rPr>
          <w:rFonts w:ascii="Times New Roman" w:hAnsi="Times New Roman" w:cs="Times New Roman"/>
          <w:sz w:val="22"/>
          <w:szCs w:val="22"/>
          <w:lang w:val="sk-SK"/>
        </w:rPr>
        <w:t>C 24 hodín pred použitím.</w:t>
      </w:r>
    </w:p>
    <w:p w14:paraId="3494AB1D"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Dysport 500 U nemá byť zmrazený. </w:t>
      </w:r>
    </w:p>
    <w:p w14:paraId="4675502D" w14:textId="77777777" w:rsidR="00F134F4" w:rsidRPr="00475027" w:rsidRDefault="00F134F4" w:rsidP="00FE4006">
      <w:pPr>
        <w:jc w:val="both"/>
        <w:rPr>
          <w:rFonts w:ascii="Times New Roman" w:hAnsi="Times New Roman" w:cs="Times New Roman"/>
          <w:sz w:val="22"/>
          <w:szCs w:val="22"/>
          <w:lang w:val="sk-SK"/>
        </w:rPr>
      </w:pPr>
    </w:p>
    <w:p w14:paraId="1D91A39E" w14:textId="77777777" w:rsidR="00F134F4" w:rsidRPr="00475027" w:rsidRDefault="00F134F4" w:rsidP="00FE4006">
      <w:pPr>
        <w:rPr>
          <w:rFonts w:ascii="Times New Roman" w:hAnsi="Times New Roman" w:cs="Times New Roman"/>
          <w:b/>
          <w:noProof/>
          <w:color w:val="0000FF"/>
          <w:sz w:val="22"/>
          <w:szCs w:val="22"/>
          <w:lang w:val="sk-SK"/>
        </w:rPr>
      </w:pPr>
      <w:r w:rsidRPr="00475027">
        <w:rPr>
          <w:rFonts w:ascii="Times New Roman" w:hAnsi="Times New Roman" w:cs="Times New Roman"/>
          <w:b/>
          <w:noProof/>
          <w:sz w:val="22"/>
          <w:szCs w:val="22"/>
          <w:lang w:val="sk-SK"/>
        </w:rPr>
        <w:t>6.5</w:t>
      </w:r>
      <w:r w:rsidRPr="00475027">
        <w:rPr>
          <w:rFonts w:ascii="Times New Roman" w:hAnsi="Times New Roman" w:cs="Times New Roman"/>
          <w:b/>
          <w:noProof/>
          <w:sz w:val="22"/>
          <w:szCs w:val="22"/>
          <w:lang w:val="sk-SK"/>
        </w:rPr>
        <w:tab/>
        <w:t>Druh obalu a obsah balenia</w:t>
      </w:r>
      <w:r w:rsidRPr="00475027">
        <w:rPr>
          <w:rFonts w:ascii="Times New Roman" w:hAnsi="Times New Roman" w:cs="Times New Roman"/>
          <w:b/>
          <w:noProof/>
          <w:color w:val="0000FF"/>
          <w:sz w:val="22"/>
          <w:szCs w:val="22"/>
          <w:lang w:val="sk-SK"/>
        </w:rPr>
        <w:t xml:space="preserve"> </w:t>
      </w:r>
    </w:p>
    <w:p w14:paraId="773EB2FF" w14:textId="77777777" w:rsidR="00F134F4" w:rsidRPr="00475027" w:rsidRDefault="00F134F4" w:rsidP="00FE4006">
      <w:pPr>
        <w:rPr>
          <w:rFonts w:ascii="Times New Roman" w:hAnsi="Times New Roman" w:cs="Times New Roman"/>
          <w:noProof/>
          <w:sz w:val="22"/>
          <w:szCs w:val="22"/>
          <w:lang w:val="sk-SK"/>
        </w:rPr>
      </w:pPr>
    </w:p>
    <w:p w14:paraId="3B65CF3B"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i/>
          <w:sz w:val="22"/>
          <w:szCs w:val="22"/>
          <w:u w:val="single"/>
          <w:lang w:val="sk-SK"/>
        </w:rPr>
        <w:t>Vonkajší obal:</w:t>
      </w:r>
      <w:r w:rsidRPr="00475027">
        <w:rPr>
          <w:rFonts w:ascii="Times New Roman" w:hAnsi="Times New Roman" w:cs="Times New Roman"/>
          <w:sz w:val="22"/>
          <w:szCs w:val="22"/>
          <w:lang w:val="sk-SK"/>
        </w:rPr>
        <w:t xml:space="preserve"> papierová škatuľka, písomná informácia pre používateľa. </w:t>
      </w:r>
    </w:p>
    <w:p w14:paraId="4BCBE82B"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i/>
          <w:sz w:val="22"/>
          <w:szCs w:val="22"/>
          <w:u w:val="single"/>
          <w:lang w:val="sk-SK"/>
        </w:rPr>
        <w:t>Vnútorný obal:</w:t>
      </w:r>
      <w:r w:rsidRPr="00475027">
        <w:rPr>
          <w:rFonts w:ascii="Times New Roman" w:hAnsi="Times New Roman" w:cs="Times New Roman"/>
          <w:sz w:val="22"/>
          <w:szCs w:val="22"/>
          <w:lang w:val="sk-SK"/>
        </w:rPr>
        <w:t xml:space="preserve"> sklenená injekčná liekovka typ I. s kapacitou 3 ml, 13 mm lyofilizovaný chlorobutylový uzáver utesnený 13 mm alumíniovou plombou s centrálnym otvorom, s prekrytím.</w:t>
      </w:r>
    </w:p>
    <w:p w14:paraId="68969C60" w14:textId="77777777" w:rsidR="00F134F4" w:rsidRPr="00475027" w:rsidRDefault="00F134F4" w:rsidP="00FE4006">
      <w:pPr>
        <w:jc w:val="both"/>
        <w:rPr>
          <w:rFonts w:ascii="Times New Roman" w:hAnsi="Times New Roman" w:cs="Times New Roman"/>
          <w:sz w:val="22"/>
          <w:szCs w:val="22"/>
          <w:lang w:val="sk-SK"/>
        </w:rPr>
      </w:pPr>
    </w:p>
    <w:p w14:paraId="74F9F825"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Obsah liekovky: biely prášok</w:t>
      </w:r>
    </w:p>
    <w:p w14:paraId="34B1AB83" w14:textId="77777777" w:rsidR="00F134F4" w:rsidRPr="00475027" w:rsidRDefault="00F134F4" w:rsidP="00FE4006">
      <w:pPr>
        <w:jc w:val="both"/>
        <w:rPr>
          <w:rFonts w:ascii="Times New Roman" w:hAnsi="Times New Roman" w:cs="Times New Roman"/>
          <w:sz w:val="22"/>
          <w:szCs w:val="22"/>
          <w:lang w:val="sk-SK"/>
        </w:rPr>
      </w:pPr>
    </w:p>
    <w:p w14:paraId="1F0D9509"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i/>
          <w:sz w:val="22"/>
          <w:szCs w:val="22"/>
          <w:u w:val="single"/>
          <w:lang w:val="sk-SK"/>
        </w:rPr>
        <w:t>Veľkosť balenia:</w:t>
      </w:r>
      <w:r w:rsidRPr="00475027">
        <w:rPr>
          <w:rFonts w:ascii="Times New Roman" w:hAnsi="Times New Roman" w:cs="Times New Roman"/>
          <w:sz w:val="22"/>
          <w:szCs w:val="22"/>
          <w:lang w:val="sk-SK"/>
        </w:rPr>
        <w:t xml:space="preserve"> 1 alebo 2 injekčné liekovky po 500 U. </w:t>
      </w:r>
    </w:p>
    <w:p w14:paraId="671B48F1" w14:textId="77777777" w:rsidR="00F134F4" w:rsidRPr="00475027" w:rsidRDefault="00F134F4" w:rsidP="00BA6FE9">
      <w:pPr>
        <w:rPr>
          <w:rFonts w:ascii="Times New Roman" w:hAnsi="Times New Roman" w:cs="Times New Roman"/>
          <w:noProof/>
          <w:sz w:val="22"/>
          <w:szCs w:val="22"/>
          <w:lang w:val="sk-SK"/>
        </w:rPr>
      </w:pPr>
      <w:r w:rsidRPr="00475027">
        <w:rPr>
          <w:rFonts w:ascii="Times New Roman" w:hAnsi="Times New Roman" w:cs="Times New Roman"/>
          <w:noProof/>
          <w:sz w:val="22"/>
          <w:szCs w:val="22"/>
          <w:lang w:val="sk-SK"/>
        </w:rPr>
        <w:t>Na trh nemusia byť uvedené všetky veľkosti balenia.</w:t>
      </w:r>
    </w:p>
    <w:p w14:paraId="1CCA3B1E" w14:textId="77777777" w:rsidR="00F134F4" w:rsidRPr="00475027" w:rsidRDefault="00F134F4" w:rsidP="00FE4006">
      <w:pPr>
        <w:jc w:val="both"/>
        <w:rPr>
          <w:rFonts w:ascii="Times New Roman" w:hAnsi="Times New Roman" w:cs="Times New Roman"/>
          <w:sz w:val="22"/>
          <w:szCs w:val="22"/>
          <w:lang w:val="sk-SK"/>
        </w:rPr>
      </w:pPr>
    </w:p>
    <w:p w14:paraId="154AA127" w14:textId="77777777" w:rsidR="00F134F4" w:rsidRPr="00475027" w:rsidRDefault="00F134F4" w:rsidP="00FE4006">
      <w:pPr>
        <w:rPr>
          <w:rFonts w:ascii="Times New Roman" w:hAnsi="Times New Roman" w:cs="Times New Roman"/>
          <w:b/>
          <w:bCs/>
          <w:noProof/>
          <w:sz w:val="22"/>
          <w:szCs w:val="22"/>
          <w:lang w:val="sk-SK"/>
        </w:rPr>
      </w:pPr>
      <w:r w:rsidRPr="00475027">
        <w:rPr>
          <w:rFonts w:ascii="Times New Roman" w:hAnsi="Times New Roman" w:cs="Times New Roman"/>
          <w:b/>
          <w:noProof/>
          <w:sz w:val="22"/>
          <w:szCs w:val="22"/>
          <w:lang w:val="sk-SK"/>
        </w:rPr>
        <w:t>6.6</w:t>
      </w:r>
      <w:r w:rsidRPr="00475027">
        <w:rPr>
          <w:rFonts w:ascii="Times New Roman" w:hAnsi="Times New Roman" w:cs="Times New Roman"/>
          <w:b/>
          <w:noProof/>
          <w:sz w:val="22"/>
          <w:szCs w:val="22"/>
          <w:lang w:val="sk-SK"/>
        </w:rPr>
        <w:tab/>
      </w:r>
      <w:r w:rsidRPr="00475027">
        <w:rPr>
          <w:rFonts w:ascii="Times New Roman" w:hAnsi="Times New Roman" w:cs="Times New Roman"/>
          <w:b/>
          <w:bCs/>
          <w:noProof/>
          <w:sz w:val="22"/>
          <w:szCs w:val="22"/>
          <w:lang w:val="sk-SK"/>
        </w:rPr>
        <w:t>Špeciálne opatrenia na likvidáciu a iné zaobchádzanie s liekom</w:t>
      </w:r>
    </w:p>
    <w:p w14:paraId="6B1511EF" w14:textId="77777777" w:rsidR="00F134F4" w:rsidRPr="00475027" w:rsidRDefault="00F134F4" w:rsidP="00FE4006">
      <w:pPr>
        <w:spacing w:line="240" w:lineRule="atLeast"/>
        <w:rPr>
          <w:rFonts w:ascii="Times New Roman" w:hAnsi="Times New Roman" w:cs="Times New Roman"/>
          <w:b/>
          <w:sz w:val="22"/>
          <w:szCs w:val="22"/>
          <w:lang w:val="sk-SK"/>
        </w:rPr>
      </w:pPr>
    </w:p>
    <w:p w14:paraId="225DE394"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 xml:space="preserve">Bezprostredne po liečbe pacienta má byť akýkoľvek zvyšok Dysportu 500 U (v injekčnej liekovke alebo injekčnej striekačke) inaktivovaný riedeným roztokom chlórnanu (1 % voľného chlóru). Potom sa majú všetky súčasti odstrániť v súlade so štandardnou nemocničnou praxou. </w:t>
      </w:r>
    </w:p>
    <w:p w14:paraId="06F07205" w14:textId="77777777" w:rsidR="00F134F4" w:rsidRPr="00475027" w:rsidRDefault="00F134F4" w:rsidP="00FE4006">
      <w:pPr>
        <w:jc w:val="both"/>
        <w:rPr>
          <w:rFonts w:ascii="Times New Roman" w:hAnsi="Times New Roman" w:cs="Times New Roman"/>
          <w:sz w:val="22"/>
          <w:szCs w:val="22"/>
          <w:lang w:val="sk-SK"/>
        </w:rPr>
      </w:pPr>
    </w:p>
    <w:p w14:paraId="5152E7B5" w14:textId="77777777" w:rsidR="00F134F4" w:rsidRPr="00475027" w:rsidRDefault="00F134F4" w:rsidP="00FE4006">
      <w:pPr>
        <w:jc w:val="both"/>
        <w:rPr>
          <w:rFonts w:ascii="Times New Roman" w:hAnsi="Times New Roman" w:cs="Times New Roman"/>
          <w:sz w:val="22"/>
          <w:szCs w:val="22"/>
          <w:lang w:val="sk-SK"/>
        </w:rPr>
      </w:pPr>
      <w:r w:rsidRPr="00475027">
        <w:rPr>
          <w:rFonts w:ascii="Times New Roman" w:hAnsi="Times New Roman" w:cs="Times New Roman"/>
          <w:sz w:val="22"/>
          <w:szCs w:val="22"/>
          <w:lang w:val="sk-SK"/>
        </w:rPr>
        <w:t>Rozliaty Dysport 500 U sa má utrieť nasávajúcou handrou namočenou v riedenom roztoku chlórnanu.</w:t>
      </w:r>
    </w:p>
    <w:p w14:paraId="748FE5F0" w14:textId="77777777" w:rsidR="00F134F4" w:rsidRPr="00475027" w:rsidRDefault="00F134F4" w:rsidP="00FE4006">
      <w:pPr>
        <w:spacing w:line="240" w:lineRule="atLeast"/>
        <w:rPr>
          <w:rFonts w:ascii="Times New Roman" w:hAnsi="Times New Roman" w:cs="Times New Roman"/>
          <w:b/>
          <w:sz w:val="22"/>
          <w:szCs w:val="22"/>
          <w:lang w:val="sk-SK"/>
        </w:rPr>
      </w:pPr>
    </w:p>
    <w:p w14:paraId="4F752A90" w14:textId="77777777" w:rsidR="00F134F4" w:rsidRPr="00475027" w:rsidRDefault="00F134F4" w:rsidP="00FE4006">
      <w:pPr>
        <w:spacing w:line="240" w:lineRule="atLeast"/>
        <w:rPr>
          <w:rFonts w:ascii="Times New Roman" w:hAnsi="Times New Roman" w:cs="Times New Roman"/>
          <w:b/>
          <w:sz w:val="22"/>
          <w:szCs w:val="22"/>
          <w:lang w:val="sk-SK"/>
        </w:rPr>
      </w:pPr>
    </w:p>
    <w:p w14:paraId="5CEEB240" w14:textId="77777777" w:rsidR="00F134F4" w:rsidRPr="00475027" w:rsidRDefault="00F134F4" w:rsidP="00FE4006">
      <w:pPr>
        <w:spacing w:line="240" w:lineRule="atLeast"/>
        <w:rPr>
          <w:rFonts w:ascii="Times New Roman" w:hAnsi="Times New Roman" w:cs="Times New Roman"/>
          <w:b/>
          <w:sz w:val="22"/>
          <w:szCs w:val="22"/>
          <w:lang w:val="sk-SK"/>
        </w:rPr>
      </w:pPr>
      <w:r w:rsidRPr="00475027">
        <w:rPr>
          <w:rFonts w:ascii="Times New Roman" w:hAnsi="Times New Roman" w:cs="Times New Roman"/>
          <w:b/>
          <w:sz w:val="22"/>
          <w:szCs w:val="22"/>
          <w:lang w:val="sk-SK"/>
        </w:rPr>
        <w:t>7.</w:t>
      </w:r>
      <w:r w:rsidRPr="00475027">
        <w:rPr>
          <w:rFonts w:ascii="Times New Roman" w:hAnsi="Times New Roman" w:cs="Times New Roman"/>
          <w:b/>
          <w:sz w:val="22"/>
          <w:szCs w:val="22"/>
          <w:lang w:val="sk-SK"/>
        </w:rPr>
        <w:tab/>
        <w:t>DRŽITEĽ ROZHODNUTIA O REGISTRÁCII</w:t>
      </w:r>
    </w:p>
    <w:p w14:paraId="4C391638" w14:textId="77777777" w:rsidR="00F134F4" w:rsidRPr="00475027" w:rsidRDefault="00F134F4" w:rsidP="00FE4006">
      <w:pPr>
        <w:tabs>
          <w:tab w:val="left" w:pos="851"/>
        </w:tabs>
        <w:spacing w:line="240" w:lineRule="atLeast"/>
        <w:rPr>
          <w:rFonts w:ascii="Times New Roman" w:hAnsi="Times New Roman" w:cs="Times New Roman"/>
          <w:sz w:val="22"/>
          <w:szCs w:val="22"/>
          <w:lang w:val="sk-SK"/>
        </w:rPr>
      </w:pPr>
    </w:p>
    <w:p w14:paraId="45163B6F" w14:textId="77777777" w:rsidR="00F134F4" w:rsidRPr="00475027" w:rsidRDefault="00F134F4" w:rsidP="00FE4006">
      <w:pPr>
        <w:tabs>
          <w:tab w:val="left" w:pos="851"/>
        </w:tabs>
        <w:spacing w:line="240" w:lineRule="atLeast"/>
        <w:rPr>
          <w:rFonts w:ascii="Times New Roman" w:hAnsi="Times New Roman" w:cs="Times New Roman"/>
          <w:sz w:val="22"/>
          <w:szCs w:val="22"/>
          <w:lang w:val="sk-SK"/>
        </w:rPr>
      </w:pPr>
      <w:r w:rsidRPr="00475027">
        <w:rPr>
          <w:rFonts w:ascii="Times New Roman" w:hAnsi="Times New Roman" w:cs="Times New Roman"/>
          <w:sz w:val="22"/>
          <w:szCs w:val="22"/>
          <w:lang w:val="sk-SK"/>
        </w:rPr>
        <w:t>Ipsen Pharma</w:t>
      </w:r>
    </w:p>
    <w:p w14:paraId="00F2EA0B" w14:textId="77777777" w:rsidR="00F134F4" w:rsidRPr="00475027" w:rsidRDefault="00F134F4" w:rsidP="00FE4006">
      <w:pPr>
        <w:tabs>
          <w:tab w:val="left" w:pos="851"/>
        </w:tabs>
        <w:spacing w:line="240" w:lineRule="atLeast"/>
        <w:rPr>
          <w:rFonts w:ascii="Times New Roman" w:hAnsi="Times New Roman" w:cs="Times New Roman"/>
          <w:sz w:val="22"/>
          <w:szCs w:val="22"/>
          <w:lang w:val="sk-SK"/>
        </w:rPr>
      </w:pPr>
      <w:r w:rsidRPr="00475027">
        <w:rPr>
          <w:rFonts w:ascii="Times New Roman" w:hAnsi="Times New Roman" w:cs="Times New Roman"/>
          <w:sz w:val="22"/>
          <w:szCs w:val="22"/>
          <w:lang w:val="sk-SK"/>
        </w:rPr>
        <w:t>65 Quai Georges Gorse</w:t>
      </w:r>
    </w:p>
    <w:p w14:paraId="02095DE0" w14:textId="77777777" w:rsidR="00F134F4" w:rsidRPr="00475027" w:rsidRDefault="00F134F4" w:rsidP="00FE4006">
      <w:pPr>
        <w:tabs>
          <w:tab w:val="left" w:pos="851"/>
        </w:tabs>
        <w:spacing w:line="240" w:lineRule="atLeast"/>
        <w:rPr>
          <w:rFonts w:ascii="Times New Roman" w:hAnsi="Times New Roman" w:cs="Times New Roman"/>
          <w:sz w:val="22"/>
          <w:szCs w:val="22"/>
          <w:lang w:val="sk-SK"/>
        </w:rPr>
      </w:pPr>
      <w:r w:rsidRPr="00475027">
        <w:rPr>
          <w:rFonts w:ascii="Times New Roman" w:hAnsi="Times New Roman" w:cs="Times New Roman"/>
          <w:sz w:val="22"/>
          <w:szCs w:val="22"/>
          <w:lang w:val="sk-SK"/>
        </w:rPr>
        <w:t>92100 Boulogne Billancourt</w:t>
      </w:r>
    </w:p>
    <w:p w14:paraId="3C62FE7E" w14:textId="77777777" w:rsidR="00F134F4" w:rsidRPr="00475027" w:rsidRDefault="00F134F4" w:rsidP="00FE4006">
      <w:pPr>
        <w:tabs>
          <w:tab w:val="left" w:pos="851"/>
        </w:tabs>
        <w:spacing w:line="240" w:lineRule="atLeast"/>
        <w:rPr>
          <w:rFonts w:ascii="Times New Roman" w:hAnsi="Times New Roman" w:cs="Times New Roman"/>
          <w:sz w:val="22"/>
          <w:szCs w:val="22"/>
          <w:lang w:val="sk-SK"/>
        </w:rPr>
      </w:pPr>
      <w:r w:rsidRPr="00475027">
        <w:rPr>
          <w:rFonts w:ascii="Times New Roman" w:hAnsi="Times New Roman" w:cs="Times New Roman"/>
          <w:sz w:val="22"/>
          <w:szCs w:val="22"/>
          <w:lang w:val="sk-SK"/>
        </w:rPr>
        <w:t>Francúzsko</w:t>
      </w:r>
    </w:p>
    <w:p w14:paraId="3CC9FBE1" w14:textId="77777777" w:rsidR="00F134F4" w:rsidRPr="00475027" w:rsidRDefault="00F134F4" w:rsidP="00FE4006">
      <w:pPr>
        <w:tabs>
          <w:tab w:val="left" w:pos="851"/>
        </w:tabs>
        <w:spacing w:line="240" w:lineRule="atLeast"/>
        <w:rPr>
          <w:rFonts w:ascii="Times New Roman" w:hAnsi="Times New Roman" w:cs="Times New Roman"/>
          <w:b/>
          <w:sz w:val="22"/>
          <w:szCs w:val="22"/>
          <w:lang w:val="sk-SK"/>
        </w:rPr>
      </w:pPr>
    </w:p>
    <w:p w14:paraId="2BD0B8A3" w14:textId="77777777" w:rsidR="00F134F4" w:rsidRPr="00475027" w:rsidRDefault="00F134F4" w:rsidP="00FE4006">
      <w:pPr>
        <w:tabs>
          <w:tab w:val="left" w:pos="851"/>
        </w:tabs>
        <w:spacing w:line="240" w:lineRule="atLeast"/>
        <w:rPr>
          <w:rFonts w:ascii="Times New Roman" w:hAnsi="Times New Roman" w:cs="Times New Roman"/>
          <w:b/>
          <w:sz w:val="22"/>
          <w:szCs w:val="22"/>
          <w:lang w:val="sk-SK"/>
        </w:rPr>
      </w:pPr>
    </w:p>
    <w:p w14:paraId="01480D26" w14:textId="77777777" w:rsidR="00F134F4" w:rsidRPr="00475027" w:rsidRDefault="00F134F4" w:rsidP="00FE4006">
      <w:pPr>
        <w:tabs>
          <w:tab w:val="left" w:pos="851"/>
        </w:tabs>
        <w:spacing w:line="240" w:lineRule="atLeast"/>
        <w:rPr>
          <w:rFonts w:ascii="Times New Roman" w:hAnsi="Times New Roman" w:cs="Times New Roman"/>
          <w:b/>
          <w:sz w:val="22"/>
          <w:szCs w:val="22"/>
          <w:lang w:val="sk-SK"/>
        </w:rPr>
      </w:pPr>
      <w:r w:rsidRPr="00475027">
        <w:rPr>
          <w:rFonts w:ascii="Times New Roman" w:hAnsi="Times New Roman" w:cs="Times New Roman"/>
          <w:b/>
          <w:sz w:val="22"/>
          <w:szCs w:val="22"/>
          <w:lang w:val="sk-SK"/>
        </w:rPr>
        <w:t>8.</w:t>
      </w:r>
      <w:r w:rsidRPr="00475027">
        <w:rPr>
          <w:rFonts w:ascii="Times New Roman" w:hAnsi="Times New Roman" w:cs="Times New Roman"/>
          <w:b/>
          <w:sz w:val="22"/>
          <w:szCs w:val="22"/>
          <w:lang w:val="sk-SK"/>
        </w:rPr>
        <w:tab/>
        <w:t>REGISTRAČNÉ ČÍSLO</w:t>
      </w:r>
    </w:p>
    <w:p w14:paraId="442D2CAB" w14:textId="77777777" w:rsidR="00F134F4" w:rsidRPr="00475027" w:rsidRDefault="00F134F4" w:rsidP="00FE4006">
      <w:pPr>
        <w:tabs>
          <w:tab w:val="left" w:pos="851"/>
        </w:tabs>
        <w:spacing w:line="240" w:lineRule="atLeast"/>
        <w:rPr>
          <w:rFonts w:ascii="Times New Roman" w:hAnsi="Times New Roman" w:cs="Times New Roman"/>
          <w:b/>
          <w:sz w:val="22"/>
          <w:szCs w:val="22"/>
          <w:lang w:val="sk-SK"/>
        </w:rPr>
      </w:pPr>
    </w:p>
    <w:p w14:paraId="14176900" w14:textId="77777777" w:rsidR="00F134F4" w:rsidRPr="00475027" w:rsidRDefault="00F134F4" w:rsidP="00FE4006">
      <w:pPr>
        <w:tabs>
          <w:tab w:val="left" w:pos="851"/>
        </w:tabs>
        <w:spacing w:line="240" w:lineRule="atLeast"/>
        <w:rPr>
          <w:rFonts w:ascii="Times New Roman" w:hAnsi="Times New Roman" w:cs="Times New Roman"/>
          <w:sz w:val="22"/>
          <w:szCs w:val="22"/>
          <w:lang w:val="sk-SK"/>
        </w:rPr>
      </w:pPr>
      <w:r w:rsidRPr="00475027">
        <w:rPr>
          <w:rFonts w:ascii="Times New Roman" w:hAnsi="Times New Roman" w:cs="Times New Roman"/>
          <w:sz w:val="22"/>
          <w:szCs w:val="22"/>
          <w:lang w:val="sk-SK"/>
        </w:rPr>
        <w:t>63/0060/91-S</w:t>
      </w:r>
    </w:p>
    <w:p w14:paraId="6123F1E0" w14:textId="77777777" w:rsidR="00F134F4" w:rsidRPr="00475027" w:rsidRDefault="00F134F4" w:rsidP="00FE4006">
      <w:pPr>
        <w:tabs>
          <w:tab w:val="left" w:pos="851"/>
        </w:tabs>
        <w:spacing w:line="240" w:lineRule="atLeast"/>
        <w:rPr>
          <w:rFonts w:ascii="Times New Roman" w:hAnsi="Times New Roman" w:cs="Times New Roman"/>
          <w:sz w:val="22"/>
          <w:szCs w:val="22"/>
          <w:lang w:val="sk-SK"/>
        </w:rPr>
      </w:pPr>
    </w:p>
    <w:p w14:paraId="3B030627" w14:textId="77777777" w:rsidR="00F134F4" w:rsidRPr="00475027" w:rsidRDefault="00F134F4" w:rsidP="00FE4006">
      <w:pPr>
        <w:tabs>
          <w:tab w:val="left" w:pos="851"/>
        </w:tabs>
        <w:spacing w:line="240" w:lineRule="atLeast"/>
        <w:rPr>
          <w:rFonts w:ascii="Times New Roman" w:hAnsi="Times New Roman" w:cs="Times New Roman"/>
          <w:sz w:val="22"/>
          <w:szCs w:val="22"/>
          <w:lang w:val="sk-SK"/>
        </w:rPr>
      </w:pPr>
    </w:p>
    <w:p w14:paraId="7E0FCF98" w14:textId="77777777" w:rsidR="00F134F4" w:rsidRPr="00475027" w:rsidRDefault="00F134F4" w:rsidP="00FE4006">
      <w:pPr>
        <w:rPr>
          <w:rFonts w:ascii="Times New Roman" w:hAnsi="Times New Roman" w:cs="Times New Roman"/>
          <w:b/>
          <w:noProof/>
          <w:sz w:val="22"/>
          <w:szCs w:val="22"/>
          <w:lang w:val="sk-SK"/>
        </w:rPr>
      </w:pPr>
      <w:r w:rsidRPr="00475027">
        <w:rPr>
          <w:rFonts w:ascii="Times New Roman" w:hAnsi="Times New Roman" w:cs="Times New Roman"/>
          <w:b/>
          <w:noProof/>
          <w:sz w:val="22"/>
          <w:szCs w:val="22"/>
          <w:lang w:val="sk-SK"/>
        </w:rPr>
        <w:t>9.</w:t>
      </w:r>
      <w:r w:rsidRPr="00475027">
        <w:rPr>
          <w:rFonts w:ascii="Times New Roman" w:hAnsi="Times New Roman" w:cs="Times New Roman"/>
          <w:b/>
          <w:noProof/>
          <w:sz w:val="22"/>
          <w:szCs w:val="22"/>
          <w:lang w:val="sk-SK"/>
        </w:rPr>
        <w:tab/>
        <w:t>DÁTUM PRVEJ REGISTRÁCIE/ DÁTUM PREDĹŽENIA REGISTRÁCIE</w:t>
      </w:r>
    </w:p>
    <w:p w14:paraId="3F9BFAB9" w14:textId="77777777" w:rsidR="00F134F4" w:rsidRPr="00475027" w:rsidRDefault="00F134F4" w:rsidP="00FE4006">
      <w:pPr>
        <w:rPr>
          <w:rFonts w:ascii="Times New Roman" w:hAnsi="Times New Roman" w:cs="Times New Roman"/>
          <w:noProof/>
          <w:sz w:val="22"/>
          <w:szCs w:val="22"/>
          <w:lang w:val="sk-SK"/>
        </w:rPr>
      </w:pPr>
    </w:p>
    <w:p w14:paraId="5DEE5276" w14:textId="77777777" w:rsidR="00F134F4" w:rsidRPr="00475027" w:rsidRDefault="00F134F4" w:rsidP="00FE4006">
      <w:pPr>
        <w:tabs>
          <w:tab w:val="left" w:pos="851"/>
        </w:tabs>
        <w:spacing w:line="240" w:lineRule="atLeast"/>
        <w:rPr>
          <w:rFonts w:ascii="Times New Roman" w:hAnsi="Times New Roman" w:cs="Times New Roman"/>
          <w:sz w:val="22"/>
          <w:szCs w:val="22"/>
          <w:lang w:val="sk-SK"/>
        </w:rPr>
      </w:pPr>
      <w:r w:rsidRPr="00475027">
        <w:rPr>
          <w:rFonts w:ascii="Times New Roman" w:hAnsi="Times New Roman" w:cs="Times New Roman"/>
          <w:sz w:val="22"/>
          <w:szCs w:val="22"/>
          <w:lang w:val="sk-SK"/>
        </w:rPr>
        <w:t>Dátum prvej registrácie: 03.10.1991</w:t>
      </w:r>
    </w:p>
    <w:p w14:paraId="1ADE6F1B" w14:textId="77777777" w:rsidR="00F134F4" w:rsidRPr="00475027" w:rsidRDefault="00F134F4" w:rsidP="00FE4006">
      <w:pPr>
        <w:tabs>
          <w:tab w:val="left" w:pos="851"/>
        </w:tabs>
        <w:spacing w:line="240" w:lineRule="atLeast"/>
        <w:rPr>
          <w:rFonts w:ascii="Times New Roman" w:hAnsi="Times New Roman" w:cs="Times New Roman"/>
          <w:sz w:val="22"/>
          <w:szCs w:val="22"/>
          <w:lang w:val="sk-SK"/>
        </w:rPr>
      </w:pPr>
      <w:r w:rsidRPr="00475027">
        <w:rPr>
          <w:rFonts w:ascii="Times New Roman" w:hAnsi="Times New Roman" w:cs="Times New Roman"/>
          <w:sz w:val="22"/>
          <w:szCs w:val="22"/>
          <w:lang w:val="sk-SK"/>
        </w:rPr>
        <w:t>Dátum posledného predĺženia registrácie: 09.10.2006</w:t>
      </w:r>
    </w:p>
    <w:p w14:paraId="62592A69" w14:textId="77777777" w:rsidR="00F134F4" w:rsidRPr="00475027" w:rsidRDefault="00F134F4" w:rsidP="00FE4006">
      <w:pPr>
        <w:tabs>
          <w:tab w:val="left" w:pos="851"/>
        </w:tabs>
        <w:spacing w:line="240" w:lineRule="atLeast"/>
        <w:rPr>
          <w:rFonts w:ascii="Times New Roman" w:hAnsi="Times New Roman" w:cs="Times New Roman"/>
          <w:b/>
          <w:sz w:val="22"/>
          <w:szCs w:val="22"/>
          <w:lang w:val="sk-SK"/>
        </w:rPr>
      </w:pPr>
    </w:p>
    <w:p w14:paraId="11BCE28D" w14:textId="77777777" w:rsidR="00F134F4" w:rsidRPr="00475027" w:rsidRDefault="00F134F4" w:rsidP="00FE4006">
      <w:pPr>
        <w:tabs>
          <w:tab w:val="left" w:pos="851"/>
        </w:tabs>
        <w:spacing w:line="240" w:lineRule="atLeast"/>
        <w:rPr>
          <w:rFonts w:ascii="Times New Roman" w:hAnsi="Times New Roman" w:cs="Times New Roman"/>
          <w:b/>
          <w:sz w:val="22"/>
          <w:szCs w:val="22"/>
          <w:lang w:val="sk-SK"/>
        </w:rPr>
      </w:pPr>
    </w:p>
    <w:p w14:paraId="164BFDFD" w14:textId="77777777" w:rsidR="00F134F4" w:rsidRPr="00475027" w:rsidRDefault="00F134F4" w:rsidP="0032454E">
      <w:pPr>
        <w:rPr>
          <w:rFonts w:ascii="Times New Roman" w:hAnsi="Times New Roman" w:cs="Times New Roman"/>
          <w:b/>
          <w:noProof/>
          <w:sz w:val="22"/>
          <w:szCs w:val="22"/>
          <w:lang w:val="sk-SK"/>
        </w:rPr>
      </w:pPr>
      <w:r w:rsidRPr="00475027">
        <w:rPr>
          <w:rFonts w:ascii="Times New Roman" w:hAnsi="Times New Roman" w:cs="Times New Roman"/>
          <w:b/>
          <w:noProof/>
          <w:sz w:val="22"/>
          <w:szCs w:val="22"/>
          <w:lang w:val="sk-SK"/>
        </w:rPr>
        <w:t>10.</w:t>
      </w:r>
      <w:r w:rsidRPr="00475027">
        <w:rPr>
          <w:rFonts w:ascii="Times New Roman" w:hAnsi="Times New Roman" w:cs="Times New Roman"/>
          <w:b/>
          <w:noProof/>
          <w:sz w:val="22"/>
          <w:szCs w:val="22"/>
          <w:lang w:val="sk-SK"/>
        </w:rPr>
        <w:tab/>
        <w:t>DÁTUM REVÍZIE TEXTU</w:t>
      </w:r>
    </w:p>
    <w:p w14:paraId="7C5B8050" w14:textId="77777777" w:rsidR="00F134F4" w:rsidRPr="00475027" w:rsidRDefault="00F134F4">
      <w:pPr>
        <w:rPr>
          <w:rFonts w:ascii="Times New Roman" w:hAnsi="Times New Roman" w:cs="Times New Roman"/>
          <w:sz w:val="22"/>
          <w:szCs w:val="22"/>
          <w:lang w:val="sk-SK"/>
        </w:rPr>
      </w:pPr>
    </w:p>
    <w:p w14:paraId="5D56801C" w14:textId="007AC826" w:rsidR="00F134F4" w:rsidRPr="00475027" w:rsidRDefault="00A612A0">
      <w:pPr>
        <w:rPr>
          <w:rFonts w:ascii="Times New Roman" w:hAnsi="Times New Roman" w:cs="Times New Roman"/>
          <w:sz w:val="22"/>
          <w:szCs w:val="22"/>
          <w:lang w:val="sk-SK"/>
        </w:rPr>
      </w:pPr>
      <w:r w:rsidRPr="00475027">
        <w:rPr>
          <w:rFonts w:ascii="Times New Roman" w:hAnsi="Times New Roman" w:cs="Times New Roman"/>
          <w:sz w:val="22"/>
          <w:szCs w:val="22"/>
          <w:lang w:val="sk-SK"/>
        </w:rPr>
        <w:t>0</w:t>
      </w:r>
      <w:r w:rsidR="00C870A9">
        <w:rPr>
          <w:rFonts w:ascii="Times New Roman" w:hAnsi="Times New Roman" w:cs="Times New Roman"/>
          <w:sz w:val="22"/>
          <w:szCs w:val="22"/>
          <w:lang w:val="sk-SK"/>
        </w:rPr>
        <w:t>4</w:t>
      </w:r>
      <w:r w:rsidRPr="00475027">
        <w:rPr>
          <w:rFonts w:ascii="Times New Roman" w:hAnsi="Times New Roman" w:cs="Times New Roman"/>
          <w:sz w:val="22"/>
          <w:szCs w:val="22"/>
          <w:lang w:val="sk-SK"/>
        </w:rPr>
        <w:t>/2019</w:t>
      </w:r>
    </w:p>
    <w:sectPr w:rsidR="00F134F4" w:rsidRPr="00475027" w:rsidSect="00485F2B">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D9987" w14:textId="77777777" w:rsidR="003556E6" w:rsidRDefault="003556E6">
      <w:r>
        <w:separator/>
      </w:r>
    </w:p>
  </w:endnote>
  <w:endnote w:type="continuationSeparator" w:id="0">
    <w:p w14:paraId="5CDBF6A8" w14:textId="77777777" w:rsidR="003556E6" w:rsidRDefault="0035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F7694" w14:textId="77777777" w:rsidR="00475027" w:rsidRDefault="00475027" w:rsidP="009E2589">
    <w:pPr>
      <w:pStyle w:val="Pta"/>
      <w:framePr w:wrap="around" w:vAnchor="text" w:hAnchor="margin" w:xAlign="center" w:y="1"/>
      <w:rPr>
        <w:rStyle w:val="slostrany"/>
        <w:rFonts w:cs="Tms Rmn"/>
      </w:rPr>
    </w:pPr>
    <w:r>
      <w:rPr>
        <w:rStyle w:val="slostrany"/>
        <w:rFonts w:cs="Tms Rmn"/>
      </w:rPr>
      <w:fldChar w:fldCharType="begin"/>
    </w:r>
    <w:r>
      <w:rPr>
        <w:rStyle w:val="slostrany"/>
        <w:rFonts w:cs="Tms Rmn"/>
      </w:rPr>
      <w:instrText xml:space="preserve">PAGE  </w:instrText>
    </w:r>
    <w:r>
      <w:rPr>
        <w:rStyle w:val="slostrany"/>
        <w:rFonts w:cs="Tms Rmn"/>
      </w:rPr>
      <w:fldChar w:fldCharType="end"/>
    </w:r>
  </w:p>
  <w:p w14:paraId="6CE4EE38" w14:textId="77777777" w:rsidR="00475027" w:rsidRDefault="00475027" w:rsidP="00EB4AD4">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6D413" w14:textId="77777777" w:rsidR="00475027" w:rsidRPr="00485F2B" w:rsidRDefault="00475027" w:rsidP="009E2589">
    <w:pPr>
      <w:pStyle w:val="Pta"/>
      <w:framePr w:wrap="around" w:vAnchor="text" w:hAnchor="margin" w:xAlign="center" w:y="1"/>
      <w:rPr>
        <w:rStyle w:val="slostrany"/>
        <w:rFonts w:ascii="Times New Roman" w:hAnsi="Times New Roman"/>
        <w:sz w:val="18"/>
        <w:szCs w:val="18"/>
      </w:rPr>
    </w:pPr>
    <w:r w:rsidRPr="00485F2B">
      <w:rPr>
        <w:rStyle w:val="slostrany"/>
        <w:rFonts w:ascii="Times New Roman" w:hAnsi="Times New Roman"/>
        <w:sz w:val="18"/>
        <w:szCs w:val="18"/>
      </w:rPr>
      <w:fldChar w:fldCharType="begin"/>
    </w:r>
    <w:r w:rsidRPr="00485F2B">
      <w:rPr>
        <w:rStyle w:val="slostrany"/>
        <w:rFonts w:ascii="Times New Roman" w:hAnsi="Times New Roman"/>
        <w:sz w:val="18"/>
        <w:szCs w:val="18"/>
      </w:rPr>
      <w:instrText xml:space="preserve">PAGE  </w:instrText>
    </w:r>
    <w:r w:rsidRPr="00485F2B">
      <w:rPr>
        <w:rStyle w:val="slostrany"/>
        <w:rFonts w:ascii="Times New Roman" w:hAnsi="Times New Roman"/>
        <w:sz w:val="18"/>
        <w:szCs w:val="18"/>
      </w:rPr>
      <w:fldChar w:fldCharType="separate"/>
    </w:r>
    <w:r w:rsidR="00485F2B">
      <w:rPr>
        <w:rStyle w:val="slostrany"/>
        <w:rFonts w:ascii="Times New Roman" w:hAnsi="Times New Roman"/>
        <w:noProof/>
        <w:sz w:val="18"/>
        <w:szCs w:val="18"/>
      </w:rPr>
      <w:t>20</w:t>
    </w:r>
    <w:r w:rsidRPr="00485F2B">
      <w:rPr>
        <w:rStyle w:val="slostrany"/>
        <w:rFonts w:ascii="Times New Roman" w:hAnsi="Times New Roman"/>
        <w:sz w:val="18"/>
        <w:szCs w:val="18"/>
      </w:rPr>
      <w:fldChar w:fldCharType="end"/>
    </w:r>
  </w:p>
  <w:p w14:paraId="4812B6D1" w14:textId="77777777" w:rsidR="00475027" w:rsidRDefault="00475027" w:rsidP="00EB4AD4">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C48C1" w14:textId="77777777" w:rsidR="00C870A9" w:rsidRDefault="00C870A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D45ED" w14:textId="77777777" w:rsidR="003556E6" w:rsidRDefault="003556E6">
      <w:r>
        <w:separator/>
      </w:r>
    </w:p>
  </w:footnote>
  <w:footnote w:type="continuationSeparator" w:id="0">
    <w:p w14:paraId="6E6D501E" w14:textId="77777777" w:rsidR="003556E6" w:rsidRDefault="00355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19BDC" w14:textId="77777777" w:rsidR="00C870A9" w:rsidRDefault="00C870A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BB9EC" w14:textId="67C54C7E" w:rsidR="00475027" w:rsidRPr="00485F2B" w:rsidRDefault="00475027">
    <w:pPr>
      <w:pStyle w:val="Hlavika"/>
      <w:rPr>
        <w:rFonts w:ascii="Times New Roman" w:hAnsi="Times New Roman" w:cs="Times New Roman"/>
        <w:sz w:val="18"/>
        <w:szCs w:val="18"/>
        <w:lang w:val="sk-SK"/>
      </w:rPr>
    </w:pPr>
    <w:r w:rsidRPr="00485F2B">
      <w:rPr>
        <w:rFonts w:ascii="Times New Roman" w:hAnsi="Times New Roman" w:cs="Times New Roman"/>
        <w:sz w:val="18"/>
        <w:szCs w:val="18"/>
        <w:lang w:val="sk-SK"/>
      </w:rPr>
      <w:t>Schválený text k rozhodnutiu o zmene, ev. č.: 2016/01644-ZME, 2016/0416</w:t>
    </w:r>
    <w:r w:rsidR="009B086C" w:rsidRPr="00485F2B">
      <w:rPr>
        <w:rFonts w:ascii="Times New Roman" w:hAnsi="Times New Roman" w:cs="Times New Roman"/>
        <w:sz w:val="18"/>
        <w:szCs w:val="18"/>
        <w:lang w:val="sk-SK"/>
      </w:rPr>
      <w:t>6</w:t>
    </w:r>
    <w:r w:rsidRPr="00485F2B">
      <w:rPr>
        <w:rFonts w:ascii="Times New Roman" w:hAnsi="Times New Roman" w:cs="Times New Roman"/>
        <w:sz w:val="18"/>
        <w:szCs w:val="18"/>
        <w:lang w:val="sk-SK"/>
      </w:rPr>
      <w:t xml:space="preserve">-ZME, </w:t>
    </w:r>
    <w:r w:rsidR="00C870A9" w:rsidRPr="00485F2B">
      <w:rPr>
        <w:rFonts w:ascii="Times New Roman" w:hAnsi="Times New Roman" w:cs="Times New Roman"/>
        <w:sz w:val="18"/>
        <w:szCs w:val="18"/>
        <w:lang w:val="sk-SK"/>
      </w:rPr>
      <w:t>2017/02972-ZME</w:t>
    </w:r>
    <w:r w:rsidR="00C870A9">
      <w:rPr>
        <w:rFonts w:ascii="Times New Roman" w:hAnsi="Times New Roman" w:cs="Times New Roman"/>
        <w:sz w:val="18"/>
        <w:szCs w:val="18"/>
        <w:lang w:val="sk-SK"/>
      </w:rPr>
      <w:t>,</w:t>
    </w:r>
    <w:r w:rsidR="00C870A9" w:rsidRPr="00485F2B">
      <w:rPr>
        <w:rFonts w:ascii="Times New Roman" w:hAnsi="Times New Roman" w:cs="Times New Roman"/>
        <w:sz w:val="18"/>
        <w:szCs w:val="18"/>
        <w:lang w:val="sk-SK"/>
      </w:rPr>
      <w:t xml:space="preserve"> </w:t>
    </w:r>
    <w:r w:rsidRPr="00485F2B">
      <w:rPr>
        <w:rFonts w:ascii="Times New Roman" w:hAnsi="Times New Roman" w:cs="Times New Roman"/>
        <w:sz w:val="18"/>
        <w:szCs w:val="18"/>
        <w:lang w:val="sk-SK"/>
      </w:rPr>
      <w:t>2017/03170-ZME</w:t>
    </w:r>
  </w:p>
  <w:p w14:paraId="1EE3769F" w14:textId="17147BEA" w:rsidR="00475027" w:rsidRPr="00485F2B" w:rsidRDefault="00475027">
    <w:pPr>
      <w:pStyle w:val="Hlavika"/>
      <w:rPr>
        <w:rFonts w:ascii="Times New Roman" w:hAnsi="Times New Roman" w:cs="Times New Roman"/>
        <w:sz w:val="18"/>
        <w:szCs w:val="18"/>
        <w:lang w:val="sk-SK"/>
      </w:rPr>
    </w:pPr>
    <w:r w:rsidRPr="00485F2B">
      <w:rPr>
        <w:rFonts w:ascii="Times New Roman" w:hAnsi="Times New Roman" w:cs="Times New Roman"/>
        <w:sz w:val="18"/>
        <w:szCs w:val="18"/>
        <w:lang w:val="sk-SK"/>
      </w:rPr>
      <w:t>Príloha č. 1 k</w:t>
    </w:r>
    <w:r w:rsidR="00C870A9">
      <w:rPr>
        <w:rFonts w:ascii="Times New Roman" w:hAnsi="Times New Roman" w:cs="Times New Roman"/>
        <w:sz w:val="18"/>
        <w:szCs w:val="18"/>
        <w:lang w:val="sk-SK"/>
      </w:rPr>
      <w:t> </w:t>
    </w:r>
    <w:r w:rsidRPr="00485F2B">
      <w:rPr>
        <w:rFonts w:ascii="Times New Roman" w:hAnsi="Times New Roman" w:cs="Times New Roman"/>
        <w:sz w:val="18"/>
        <w:szCs w:val="18"/>
        <w:lang w:val="sk-SK"/>
      </w:rPr>
      <w:t>notifikácii</w:t>
    </w:r>
    <w:r w:rsidR="00C870A9">
      <w:rPr>
        <w:rFonts w:ascii="Times New Roman" w:hAnsi="Times New Roman" w:cs="Times New Roman"/>
        <w:sz w:val="18"/>
        <w:szCs w:val="18"/>
        <w:lang w:val="sk-SK"/>
      </w:rPr>
      <w:t xml:space="preserve"> o zmene</w:t>
    </w:r>
    <w:r w:rsidRPr="00485F2B">
      <w:rPr>
        <w:rFonts w:ascii="Times New Roman" w:hAnsi="Times New Roman" w:cs="Times New Roman"/>
        <w:sz w:val="18"/>
        <w:szCs w:val="18"/>
        <w:lang w:val="sk-SK"/>
      </w:rPr>
      <w:t>, ev. č.: 2018/05174-Z1B</w:t>
    </w:r>
  </w:p>
  <w:p w14:paraId="26B198C8" w14:textId="19DBC363" w:rsidR="00475027" w:rsidRPr="00485F2B" w:rsidRDefault="00475027">
    <w:pPr>
      <w:pStyle w:val="Hlavika"/>
      <w:rPr>
        <w:rFonts w:ascii="Times New Roman" w:hAnsi="Times New Roman" w:cs="Times New Roman"/>
        <w:sz w:val="22"/>
        <w:szCs w:val="22"/>
        <w:lang w:val="sk-SK"/>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943EB" w14:textId="77777777" w:rsidR="00C870A9" w:rsidRDefault="00C870A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Nadpis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Nadpis3"/>
      <w:suff w:val="nothing"/>
      <w:lvlText w:val=""/>
      <w:lvlJc w:val="left"/>
      <w:pPr>
        <w:tabs>
          <w:tab w:val="num" w:pos="0"/>
        </w:tabs>
      </w:pPr>
      <w:rPr>
        <w:rFonts w:cs="Times New Roman"/>
      </w:rPr>
    </w:lvl>
    <w:lvl w:ilvl="3">
      <w:start w:val="1"/>
      <w:numFmt w:val="none"/>
      <w:pStyle w:val="Nadpis4"/>
      <w:suff w:val="nothing"/>
      <w:lvlText w:val=""/>
      <w:lvlJc w:val="left"/>
      <w:pPr>
        <w:tabs>
          <w:tab w:val="num" w:pos="0"/>
        </w:tabs>
      </w:pPr>
      <w:rPr>
        <w:rFonts w:cs="Times New Roman"/>
      </w:rPr>
    </w:lvl>
    <w:lvl w:ilvl="4">
      <w:start w:val="1"/>
      <w:numFmt w:val="none"/>
      <w:pStyle w:val="Nadpis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5786E12"/>
    <w:multiLevelType w:val="hybridMultilevel"/>
    <w:tmpl w:val="131C5E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5E6FFB"/>
    <w:multiLevelType w:val="hybridMultilevel"/>
    <w:tmpl w:val="855A6790"/>
    <w:lvl w:ilvl="0" w:tplc="74E26B9C">
      <w:start w:val="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6A1378"/>
    <w:multiLevelType w:val="multilevel"/>
    <w:tmpl w:val="4EA22832"/>
    <w:lvl w:ilvl="0">
      <w:start w:val="4"/>
      <w:numFmt w:val="decimal"/>
      <w:lvlText w:val="%1"/>
      <w:lvlJc w:val="left"/>
      <w:pPr>
        <w:tabs>
          <w:tab w:val="num" w:pos="705"/>
        </w:tabs>
        <w:ind w:left="705" w:hanging="705"/>
      </w:pPr>
      <w:rPr>
        <w:rFonts w:cs="Times New Roman" w:hint="default"/>
      </w:rPr>
    </w:lvl>
    <w:lvl w:ilvl="1">
      <w:start w:val="7"/>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5E4A7DF9"/>
    <w:multiLevelType w:val="multilevel"/>
    <w:tmpl w:val="855A6790"/>
    <w:lvl w:ilvl="0">
      <w:start w:val="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006"/>
    <w:rsid w:val="000007BD"/>
    <w:rsid w:val="00002639"/>
    <w:rsid w:val="0000469E"/>
    <w:rsid w:val="000058A6"/>
    <w:rsid w:val="000109EC"/>
    <w:rsid w:val="000120EC"/>
    <w:rsid w:val="00020655"/>
    <w:rsid w:val="0002299D"/>
    <w:rsid w:val="00032607"/>
    <w:rsid w:val="00033B6A"/>
    <w:rsid w:val="00036655"/>
    <w:rsid w:val="0004116D"/>
    <w:rsid w:val="000433C4"/>
    <w:rsid w:val="000443C8"/>
    <w:rsid w:val="00044529"/>
    <w:rsid w:val="000528D5"/>
    <w:rsid w:val="000557E5"/>
    <w:rsid w:val="000622DF"/>
    <w:rsid w:val="00065250"/>
    <w:rsid w:val="00066AF1"/>
    <w:rsid w:val="00073AAB"/>
    <w:rsid w:val="000770FF"/>
    <w:rsid w:val="00096979"/>
    <w:rsid w:val="000A08E7"/>
    <w:rsid w:val="000A624F"/>
    <w:rsid w:val="000B607C"/>
    <w:rsid w:val="000C37DF"/>
    <w:rsid w:val="000C4B20"/>
    <w:rsid w:val="000D09CD"/>
    <w:rsid w:val="000E074E"/>
    <w:rsid w:val="000E2F3F"/>
    <w:rsid w:val="000E6CD7"/>
    <w:rsid w:val="000F1510"/>
    <w:rsid w:val="000F2675"/>
    <w:rsid w:val="000F49B3"/>
    <w:rsid w:val="000F4C59"/>
    <w:rsid w:val="000F7363"/>
    <w:rsid w:val="00106D48"/>
    <w:rsid w:val="0011707B"/>
    <w:rsid w:val="00121EF2"/>
    <w:rsid w:val="0012569C"/>
    <w:rsid w:val="00132597"/>
    <w:rsid w:val="00134488"/>
    <w:rsid w:val="00135BAF"/>
    <w:rsid w:val="00146823"/>
    <w:rsid w:val="00146BB7"/>
    <w:rsid w:val="00146E44"/>
    <w:rsid w:val="0014700B"/>
    <w:rsid w:val="0015114B"/>
    <w:rsid w:val="001552E4"/>
    <w:rsid w:val="0017358F"/>
    <w:rsid w:val="00174BF6"/>
    <w:rsid w:val="0017514F"/>
    <w:rsid w:val="00187FEF"/>
    <w:rsid w:val="0019653A"/>
    <w:rsid w:val="00197CAA"/>
    <w:rsid w:val="001B1884"/>
    <w:rsid w:val="001B3C80"/>
    <w:rsid w:val="001C5A65"/>
    <w:rsid w:val="001D097C"/>
    <w:rsid w:val="001E171B"/>
    <w:rsid w:val="001E3873"/>
    <w:rsid w:val="001E4AC4"/>
    <w:rsid w:val="001E6145"/>
    <w:rsid w:val="001F6153"/>
    <w:rsid w:val="00206052"/>
    <w:rsid w:val="00216F4F"/>
    <w:rsid w:val="00217FF2"/>
    <w:rsid w:val="002211E0"/>
    <w:rsid w:val="00227207"/>
    <w:rsid w:val="00227CA0"/>
    <w:rsid w:val="00233E9E"/>
    <w:rsid w:val="0023744A"/>
    <w:rsid w:val="00244608"/>
    <w:rsid w:val="00245439"/>
    <w:rsid w:val="002454A7"/>
    <w:rsid w:val="002502C9"/>
    <w:rsid w:val="00252371"/>
    <w:rsid w:val="00264A27"/>
    <w:rsid w:val="00265A1C"/>
    <w:rsid w:val="00267A13"/>
    <w:rsid w:val="002707F1"/>
    <w:rsid w:val="00272F71"/>
    <w:rsid w:val="002740EE"/>
    <w:rsid w:val="00284E59"/>
    <w:rsid w:val="002925FF"/>
    <w:rsid w:val="002A2630"/>
    <w:rsid w:val="002A29EE"/>
    <w:rsid w:val="002A7D5A"/>
    <w:rsid w:val="002B3AFF"/>
    <w:rsid w:val="002B5FA1"/>
    <w:rsid w:val="002C7C03"/>
    <w:rsid w:val="002D5D77"/>
    <w:rsid w:val="002E4305"/>
    <w:rsid w:val="002E5DDF"/>
    <w:rsid w:val="002E7E86"/>
    <w:rsid w:val="002F0811"/>
    <w:rsid w:val="00305478"/>
    <w:rsid w:val="003101FE"/>
    <w:rsid w:val="00311346"/>
    <w:rsid w:val="003147D0"/>
    <w:rsid w:val="00316CA4"/>
    <w:rsid w:val="0032454E"/>
    <w:rsid w:val="003333C9"/>
    <w:rsid w:val="00334FBE"/>
    <w:rsid w:val="00342D79"/>
    <w:rsid w:val="003450FA"/>
    <w:rsid w:val="0034798A"/>
    <w:rsid w:val="003514A0"/>
    <w:rsid w:val="00352FC9"/>
    <w:rsid w:val="003556E6"/>
    <w:rsid w:val="003576CA"/>
    <w:rsid w:val="00360081"/>
    <w:rsid w:val="0036257D"/>
    <w:rsid w:val="00364576"/>
    <w:rsid w:val="00372491"/>
    <w:rsid w:val="00392BB9"/>
    <w:rsid w:val="003C66FE"/>
    <w:rsid w:val="003E3E8A"/>
    <w:rsid w:val="003E6A94"/>
    <w:rsid w:val="003F23C8"/>
    <w:rsid w:val="003F3535"/>
    <w:rsid w:val="00400689"/>
    <w:rsid w:val="00400FB3"/>
    <w:rsid w:val="00401783"/>
    <w:rsid w:val="004037DE"/>
    <w:rsid w:val="0040581A"/>
    <w:rsid w:val="00410C42"/>
    <w:rsid w:val="00412525"/>
    <w:rsid w:val="004200BA"/>
    <w:rsid w:val="00425AA4"/>
    <w:rsid w:val="00444937"/>
    <w:rsid w:val="004459C6"/>
    <w:rsid w:val="00461A2F"/>
    <w:rsid w:val="004724CF"/>
    <w:rsid w:val="004725C2"/>
    <w:rsid w:val="004731B4"/>
    <w:rsid w:val="00474ACD"/>
    <w:rsid w:val="00475027"/>
    <w:rsid w:val="00483305"/>
    <w:rsid w:val="00485F2B"/>
    <w:rsid w:val="00486345"/>
    <w:rsid w:val="004866F1"/>
    <w:rsid w:val="00487AD4"/>
    <w:rsid w:val="004A2BF5"/>
    <w:rsid w:val="004A316D"/>
    <w:rsid w:val="004A3A8D"/>
    <w:rsid w:val="004A7CD0"/>
    <w:rsid w:val="004B274C"/>
    <w:rsid w:val="004B2CB2"/>
    <w:rsid w:val="004C0CD6"/>
    <w:rsid w:val="004C1D15"/>
    <w:rsid w:val="004C3D03"/>
    <w:rsid w:val="004D14B5"/>
    <w:rsid w:val="004D1DC5"/>
    <w:rsid w:val="004D6315"/>
    <w:rsid w:val="004E0D24"/>
    <w:rsid w:val="004F1079"/>
    <w:rsid w:val="004F4864"/>
    <w:rsid w:val="004F5519"/>
    <w:rsid w:val="004F7DEF"/>
    <w:rsid w:val="004F7FDB"/>
    <w:rsid w:val="00512E48"/>
    <w:rsid w:val="005135DA"/>
    <w:rsid w:val="00514EEA"/>
    <w:rsid w:val="00523E14"/>
    <w:rsid w:val="00534179"/>
    <w:rsid w:val="00537D9D"/>
    <w:rsid w:val="00540C2E"/>
    <w:rsid w:val="00543FB6"/>
    <w:rsid w:val="005531C0"/>
    <w:rsid w:val="0055610B"/>
    <w:rsid w:val="00563D8F"/>
    <w:rsid w:val="00575EE4"/>
    <w:rsid w:val="00581971"/>
    <w:rsid w:val="00586302"/>
    <w:rsid w:val="005934F8"/>
    <w:rsid w:val="00593B1B"/>
    <w:rsid w:val="005A170F"/>
    <w:rsid w:val="005A7CB1"/>
    <w:rsid w:val="005B4005"/>
    <w:rsid w:val="005C6468"/>
    <w:rsid w:val="005D21CB"/>
    <w:rsid w:val="005D2959"/>
    <w:rsid w:val="005D5FF7"/>
    <w:rsid w:val="005E1A56"/>
    <w:rsid w:val="005E56E7"/>
    <w:rsid w:val="005E7B95"/>
    <w:rsid w:val="005F71F5"/>
    <w:rsid w:val="00603053"/>
    <w:rsid w:val="00610A89"/>
    <w:rsid w:val="0061324E"/>
    <w:rsid w:val="00622EA3"/>
    <w:rsid w:val="0063043B"/>
    <w:rsid w:val="00635D83"/>
    <w:rsid w:val="00640470"/>
    <w:rsid w:val="006425A3"/>
    <w:rsid w:val="00642EBA"/>
    <w:rsid w:val="00645E82"/>
    <w:rsid w:val="006474BA"/>
    <w:rsid w:val="00654271"/>
    <w:rsid w:val="0067150A"/>
    <w:rsid w:val="006728F4"/>
    <w:rsid w:val="0068050D"/>
    <w:rsid w:val="00682658"/>
    <w:rsid w:val="00682B06"/>
    <w:rsid w:val="0068349B"/>
    <w:rsid w:val="00692D86"/>
    <w:rsid w:val="006A1F0C"/>
    <w:rsid w:val="006A41F4"/>
    <w:rsid w:val="006A77FA"/>
    <w:rsid w:val="006B3122"/>
    <w:rsid w:val="006B5336"/>
    <w:rsid w:val="006B5C41"/>
    <w:rsid w:val="006C3681"/>
    <w:rsid w:val="006C3BB3"/>
    <w:rsid w:val="006C5565"/>
    <w:rsid w:val="006D0A56"/>
    <w:rsid w:val="006E6E4D"/>
    <w:rsid w:val="00702CA5"/>
    <w:rsid w:val="00707599"/>
    <w:rsid w:val="00711A9B"/>
    <w:rsid w:val="00717A22"/>
    <w:rsid w:val="0072382D"/>
    <w:rsid w:val="00724BF4"/>
    <w:rsid w:val="00725A62"/>
    <w:rsid w:val="00727084"/>
    <w:rsid w:val="0073791C"/>
    <w:rsid w:val="00742F91"/>
    <w:rsid w:val="0074700F"/>
    <w:rsid w:val="007520F9"/>
    <w:rsid w:val="0075714E"/>
    <w:rsid w:val="007648C4"/>
    <w:rsid w:val="00764E61"/>
    <w:rsid w:val="00766A5A"/>
    <w:rsid w:val="0076736D"/>
    <w:rsid w:val="00773D9E"/>
    <w:rsid w:val="00782477"/>
    <w:rsid w:val="00787468"/>
    <w:rsid w:val="0079110F"/>
    <w:rsid w:val="00792CF9"/>
    <w:rsid w:val="00796CB4"/>
    <w:rsid w:val="007A1559"/>
    <w:rsid w:val="007B1240"/>
    <w:rsid w:val="007B142F"/>
    <w:rsid w:val="007B668B"/>
    <w:rsid w:val="007C7C33"/>
    <w:rsid w:val="007D1DD5"/>
    <w:rsid w:val="007D26F7"/>
    <w:rsid w:val="007D7197"/>
    <w:rsid w:val="007D79A7"/>
    <w:rsid w:val="007E3412"/>
    <w:rsid w:val="007F18C7"/>
    <w:rsid w:val="007F6D9F"/>
    <w:rsid w:val="0080367B"/>
    <w:rsid w:val="00805322"/>
    <w:rsid w:val="00807D98"/>
    <w:rsid w:val="00813F5B"/>
    <w:rsid w:val="00816094"/>
    <w:rsid w:val="008265DE"/>
    <w:rsid w:val="008302C2"/>
    <w:rsid w:val="008344C0"/>
    <w:rsid w:val="008344D9"/>
    <w:rsid w:val="008373C7"/>
    <w:rsid w:val="00843BFE"/>
    <w:rsid w:val="008677A5"/>
    <w:rsid w:val="00881CB1"/>
    <w:rsid w:val="0088255D"/>
    <w:rsid w:val="00884F5B"/>
    <w:rsid w:val="00885E0A"/>
    <w:rsid w:val="008937BA"/>
    <w:rsid w:val="00897BCF"/>
    <w:rsid w:val="00897DB9"/>
    <w:rsid w:val="008A3A82"/>
    <w:rsid w:val="008A448F"/>
    <w:rsid w:val="008A734F"/>
    <w:rsid w:val="008B5A7A"/>
    <w:rsid w:val="008C7728"/>
    <w:rsid w:val="008D25E5"/>
    <w:rsid w:val="008D3529"/>
    <w:rsid w:val="008D4A9A"/>
    <w:rsid w:val="008D4BE2"/>
    <w:rsid w:val="008D7194"/>
    <w:rsid w:val="008E40DF"/>
    <w:rsid w:val="008E7CFF"/>
    <w:rsid w:val="008F5A72"/>
    <w:rsid w:val="008F67FD"/>
    <w:rsid w:val="009029E0"/>
    <w:rsid w:val="009033A0"/>
    <w:rsid w:val="0090466A"/>
    <w:rsid w:val="0090581D"/>
    <w:rsid w:val="0090715D"/>
    <w:rsid w:val="0092224C"/>
    <w:rsid w:val="0094589C"/>
    <w:rsid w:val="00950B03"/>
    <w:rsid w:val="0095585D"/>
    <w:rsid w:val="00960752"/>
    <w:rsid w:val="009650CB"/>
    <w:rsid w:val="009760CC"/>
    <w:rsid w:val="00991F2B"/>
    <w:rsid w:val="009977F9"/>
    <w:rsid w:val="009B086C"/>
    <w:rsid w:val="009B3624"/>
    <w:rsid w:val="009B5691"/>
    <w:rsid w:val="009C1A79"/>
    <w:rsid w:val="009C2EA4"/>
    <w:rsid w:val="009D333E"/>
    <w:rsid w:val="009D4815"/>
    <w:rsid w:val="009D617F"/>
    <w:rsid w:val="009D7013"/>
    <w:rsid w:val="009E2589"/>
    <w:rsid w:val="009E59FC"/>
    <w:rsid w:val="009E6C40"/>
    <w:rsid w:val="009F5F9E"/>
    <w:rsid w:val="009F783D"/>
    <w:rsid w:val="00A13315"/>
    <w:rsid w:val="00A14DE5"/>
    <w:rsid w:val="00A15AF8"/>
    <w:rsid w:val="00A15EDC"/>
    <w:rsid w:val="00A234DF"/>
    <w:rsid w:val="00A338B4"/>
    <w:rsid w:val="00A34580"/>
    <w:rsid w:val="00A400E0"/>
    <w:rsid w:val="00A40223"/>
    <w:rsid w:val="00A4469D"/>
    <w:rsid w:val="00A47DA6"/>
    <w:rsid w:val="00A5383D"/>
    <w:rsid w:val="00A612A0"/>
    <w:rsid w:val="00A67C00"/>
    <w:rsid w:val="00A747C5"/>
    <w:rsid w:val="00A755B8"/>
    <w:rsid w:val="00A82902"/>
    <w:rsid w:val="00A90E0C"/>
    <w:rsid w:val="00A9598C"/>
    <w:rsid w:val="00A971B4"/>
    <w:rsid w:val="00AA06FF"/>
    <w:rsid w:val="00AA1E3A"/>
    <w:rsid w:val="00AB5400"/>
    <w:rsid w:val="00AD4478"/>
    <w:rsid w:val="00AD7D12"/>
    <w:rsid w:val="00AE077C"/>
    <w:rsid w:val="00AF1192"/>
    <w:rsid w:val="00AF2DAA"/>
    <w:rsid w:val="00B05F44"/>
    <w:rsid w:val="00B259B2"/>
    <w:rsid w:val="00B3208F"/>
    <w:rsid w:val="00B33252"/>
    <w:rsid w:val="00B352AF"/>
    <w:rsid w:val="00B40A1C"/>
    <w:rsid w:val="00B417D3"/>
    <w:rsid w:val="00B4200C"/>
    <w:rsid w:val="00B43E89"/>
    <w:rsid w:val="00B4500C"/>
    <w:rsid w:val="00B4786D"/>
    <w:rsid w:val="00B5009C"/>
    <w:rsid w:val="00B53561"/>
    <w:rsid w:val="00B54094"/>
    <w:rsid w:val="00B54DDF"/>
    <w:rsid w:val="00B61960"/>
    <w:rsid w:val="00B71837"/>
    <w:rsid w:val="00B84989"/>
    <w:rsid w:val="00B86A05"/>
    <w:rsid w:val="00B86C1F"/>
    <w:rsid w:val="00BA53C9"/>
    <w:rsid w:val="00BA6FE9"/>
    <w:rsid w:val="00BB4178"/>
    <w:rsid w:val="00BC6470"/>
    <w:rsid w:val="00BD34EF"/>
    <w:rsid w:val="00BD406F"/>
    <w:rsid w:val="00BE1D9F"/>
    <w:rsid w:val="00BE2C54"/>
    <w:rsid w:val="00BE3A89"/>
    <w:rsid w:val="00BF0925"/>
    <w:rsid w:val="00BF159A"/>
    <w:rsid w:val="00BF4B2F"/>
    <w:rsid w:val="00C14259"/>
    <w:rsid w:val="00C15582"/>
    <w:rsid w:val="00C15F30"/>
    <w:rsid w:val="00C22C98"/>
    <w:rsid w:val="00C25C19"/>
    <w:rsid w:val="00C42F83"/>
    <w:rsid w:val="00C475AC"/>
    <w:rsid w:val="00C55397"/>
    <w:rsid w:val="00C55A16"/>
    <w:rsid w:val="00C5765F"/>
    <w:rsid w:val="00C57922"/>
    <w:rsid w:val="00C57E39"/>
    <w:rsid w:val="00C6362A"/>
    <w:rsid w:val="00C64BFC"/>
    <w:rsid w:val="00C67280"/>
    <w:rsid w:val="00C80A3D"/>
    <w:rsid w:val="00C81924"/>
    <w:rsid w:val="00C82D4B"/>
    <w:rsid w:val="00C8561E"/>
    <w:rsid w:val="00C85673"/>
    <w:rsid w:val="00C870A9"/>
    <w:rsid w:val="00C92A71"/>
    <w:rsid w:val="00C95A60"/>
    <w:rsid w:val="00CA4ADC"/>
    <w:rsid w:val="00CA7FEA"/>
    <w:rsid w:val="00CB3307"/>
    <w:rsid w:val="00CC32B2"/>
    <w:rsid w:val="00CD21D3"/>
    <w:rsid w:val="00CD2F06"/>
    <w:rsid w:val="00CD3187"/>
    <w:rsid w:val="00CD34AB"/>
    <w:rsid w:val="00CD3B2C"/>
    <w:rsid w:val="00CE2DFE"/>
    <w:rsid w:val="00CE4452"/>
    <w:rsid w:val="00CE4D6D"/>
    <w:rsid w:val="00CE5ADC"/>
    <w:rsid w:val="00CE6C01"/>
    <w:rsid w:val="00CE716E"/>
    <w:rsid w:val="00CF7E8B"/>
    <w:rsid w:val="00D02CDD"/>
    <w:rsid w:val="00D0473E"/>
    <w:rsid w:val="00D06250"/>
    <w:rsid w:val="00D15E7E"/>
    <w:rsid w:val="00D27070"/>
    <w:rsid w:val="00D27989"/>
    <w:rsid w:val="00D4661F"/>
    <w:rsid w:val="00D47320"/>
    <w:rsid w:val="00D5334C"/>
    <w:rsid w:val="00D539D8"/>
    <w:rsid w:val="00D53D1B"/>
    <w:rsid w:val="00D602A7"/>
    <w:rsid w:val="00D62E4D"/>
    <w:rsid w:val="00D6647F"/>
    <w:rsid w:val="00D67636"/>
    <w:rsid w:val="00D724B8"/>
    <w:rsid w:val="00D7272D"/>
    <w:rsid w:val="00D72823"/>
    <w:rsid w:val="00D72A41"/>
    <w:rsid w:val="00D72C35"/>
    <w:rsid w:val="00D73A56"/>
    <w:rsid w:val="00D77C72"/>
    <w:rsid w:val="00D84F75"/>
    <w:rsid w:val="00D911D1"/>
    <w:rsid w:val="00DA0B07"/>
    <w:rsid w:val="00DA2584"/>
    <w:rsid w:val="00DA2E53"/>
    <w:rsid w:val="00DB48E1"/>
    <w:rsid w:val="00DB4B9F"/>
    <w:rsid w:val="00DB4EA4"/>
    <w:rsid w:val="00DC2DB7"/>
    <w:rsid w:val="00DC40B3"/>
    <w:rsid w:val="00DD4ADA"/>
    <w:rsid w:val="00DD4E2F"/>
    <w:rsid w:val="00DD529E"/>
    <w:rsid w:val="00DD5BBC"/>
    <w:rsid w:val="00DE1640"/>
    <w:rsid w:val="00DE2C57"/>
    <w:rsid w:val="00DE7A5B"/>
    <w:rsid w:val="00DF28BA"/>
    <w:rsid w:val="00DF5F22"/>
    <w:rsid w:val="00DF7738"/>
    <w:rsid w:val="00E01551"/>
    <w:rsid w:val="00E048F1"/>
    <w:rsid w:val="00E0509F"/>
    <w:rsid w:val="00E078D0"/>
    <w:rsid w:val="00E10796"/>
    <w:rsid w:val="00E12229"/>
    <w:rsid w:val="00E21A83"/>
    <w:rsid w:val="00E22780"/>
    <w:rsid w:val="00E25C12"/>
    <w:rsid w:val="00E3192A"/>
    <w:rsid w:val="00E31FCB"/>
    <w:rsid w:val="00E32184"/>
    <w:rsid w:val="00E3443E"/>
    <w:rsid w:val="00E44453"/>
    <w:rsid w:val="00E454C0"/>
    <w:rsid w:val="00E53216"/>
    <w:rsid w:val="00E73451"/>
    <w:rsid w:val="00E74333"/>
    <w:rsid w:val="00E74C2C"/>
    <w:rsid w:val="00E76236"/>
    <w:rsid w:val="00E77671"/>
    <w:rsid w:val="00E81B58"/>
    <w:rsid w:val="00E82603"/>
    <w:rsid w:val="00E831D9"/>
    <w:rsid w:val="00E839A2"/>
    <w:rsid w:val="00E858F1"/>
    <w:rsid w:val="00E86E1F"/>
    <w:rsid w:val="00E95DD2"/>
    <w:rsid w:val="00EA5853"/>
    <w:rsid w:val="00EA7289"/>
    <w:rsid w:val="00EA75D6"/>
    <w:rsid w:val="00EB2A6F"/>
    <w:rsid w:val="00EB3001"/>
    <w:rsid w:val="00EB4117"/>
    <w:rsid w:val="00EB4AD4"/>
    <w:rsid w:val="00EB6FEB"/>
    <w:rsid w:val="00EC1115"/>
    <w:rsid w:val="00EC2403"/>
    <w:rsid w:val="00EC3641"/>
    <w:rsid w:val="00EC60F4"/>
    <w:rsid w:val="00ED077C"/>
    <w:rsid w:val="00ED16F3"/>
    <w:rsid w:val="00ED2189"/>
    <w:rsid w:val="00ED4F85"/>
    <w:rsid w:val="00EE5D94"/>
    <w:rsid w:val="00EE6233"/>
    <w:rsid w:val="00EF0BA8"/>
    <w:rsid w:val="00EF61B9"/>
    <w:rsid w:val="00EF747E"/>
    <w:rsid w:val="00F00B99"/>
    <w:rsid w:val="00F00DE4"/>
    <w:rsid w:val="00F013DC"/>
    <w:rsid w:val="00F033A6"/>
    <w:rsid w:val="00F04D54"/>
    <w:rsid w:val="00F06E5E"/>
    <w:rsid w:val="00F12DB9"/>
    <w:rsid w:val="00F134F4"/>
    <w:rsid w:val="00F21B90"/>
    <w:rsid w:val="00F26922"/>
    <w:rsid w:val="00F30217"/>
    <w:rsid w:val="00F31CE9"/>
    <w:rsid w:val="00F32316"/>
    <w:rsid w:val="00F37369"/>
    <w:rsid w:val="00F40CBE"/>
    <w:rsid w:val="00F42A57"/>
    <w:rsid w:val="00F42B21"/>
    <w:rsid w:val="00F56759"/>
    <w:rsid w:val="00F579E1"/>
    <w:rsid w:val="00F60C04"/>
    <w:rsid w:val="00F66231"/>
    <w:rsid w:val="00F742F6"/>
    <w:rsid w:val="00F8389E"/>
    <w:rsid w:val="00F84AAA"/>
    <w:rsid w:val="00F911BB"/>
    <w:rsid w:val="00F91E22"/>
    <w:rsid w:val="00F95F01"/>
    <w:rsid w:val="00FA3F2C"/>
    <w:rsid w:val="00FA64EF"/>
    <w:rsid w:val="00FB5239"/>
    <w:rsid w:val="00FC1815"/>
    <w:rsid w:val="00FC2F6C"/>
    <w:rsid w:val="00FC59B2"/>
    <w:rsid w:val="00FE3F35"/>
    <w:rsid w:val="00FE4006"/>
    <w:rsid w:val="00FE421B"/>
    <w:rsid w:val="00FE49CC"/>
    <w:rsid w:val="00FE5A8F"/>
    <w:rsid w:val="00FF35F4"/>
    <w:rsid w:val="00FF56FA"/>
    <w:rsid w:val="00FF66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6482BEC"/>
  <w15:docId w15:val="{40F29A97-0561-4A75-8770-9F052B8F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4006"/>
    <w:pPr>
      <w:suppressAutoHyphens/>
    </w:pPr>
    <w:rPr>
      <w:rFonts w:ascii="Arial" w:hAnsi="Arial" w:cs="Tms Rmn"/>
      <w:sz w:val="16"/>
      <w:szCs w:val="20"/>
      <w:lang w:val="cs-CZ" w:eastAsia="ar-SA"/>
    </w:rPr>
  </w:style>
  <w:style w:type="paragraph" w:styleId="Nadpis1">
    <w:name w:val="heading 1"/>
    <w:basedOn w:val="Normlny"/>
    <w:next w:val="Normlny"/>
    <w:link w:val="Nadpis1Char"/>
    <w:uiPriority w:val="99"/>
    <w:qFormat/>
    <w:rsid w:val="00FE4006"/>
    <w:pPr>
      <w:keepNext/>
      <w:numPr>
        <w:numId w:val="1"/>
      </w:numPr>
      <w:jc w:val="both"/>
      <w:outlineLvl w:val="0"/>
    </w:pPr>
    <w:rPr>
      <w:sz w:val="24"/>
    </w:rPr>
  </w:style>
  <w:style w:type="paragraph" w:styleId="Nadpis3">
    <w:name w:val="heading 3"/>
    <w:basedOn w:val="Normlny"/>
    <w:next w:val="Normlny"/>
    <w:link w:val="Nadpis3Char"/>
    <w:uiPriority w:val="99"/>
    <w:qFormat/>
    <w:rsid w:val="00FE4006"/>
    <w:pPr>
      <w:keepNext/>
      <w:numPr>
        <w:ilvl w:val="2"/>
        <w:numId w:val="1"/>
      </w:numPr>
      <w:tabs>
        <w:tab w:val="left" w:pos="284"/>
        <w:tab w:val="left" w:pos="567"/>
        <w:tab w:val="left" w:pos="851"/>
      </w:tabs>
      <w:jc w:val="both"/>
      <w:outlineLvl w:val="2"/>
    </w:pPr>
    <w:rPr>
      <w:rFonts w:ascii="Times New Roman" w:hAnsi="Times New Roman"/>
      <w:b/>
      <w:sz w:val="24"/>
      <w:lang w:val="sk-SK"/>
    </w:rPr>
  </w:style>
  <w:style w:type="paragraph" w:styleId="Nadpis4">
    <w:name w:val="heading 4"/>
    <w:basedOn w:val="Normlny"/>
    <w:next w:val="Normlny"/>
    <w:link w:val="Nadpis4Char"/>
    <w:uiPriority w:val="99"/>
    <w:qFormat/>
    <w:rsid w:val="00FE4006"/>
    <w:pPr>
      <w:keepNext/>
      <w:numPr>
        <w:ilvl w:val="3"/>
        <w:numId w:val="1"/>
      </w:numPr>
      <w:tabs>
        <w:tab w:val="left" w:pos="284"/>
        <w:tab w:val="left" w:pos="567"/>
        <w:tab w:val="left" w:pos="851"/>
      </w:tabs>
      <w:jc w:val="both"/>
      <w:outlineLvl w:val="3"/>
    </w:pPr>
    <w:rPr>
      <w:rFonts w:ascii="Times New Roman" w:hAnsi="Times New Roman"/>
      <w:b/>
      <w:i/>
      <w:sz w:val="24"/>
      <w:lang w:val="sk-SK"/>
    </w:rPr>
  </w:style>
  <w:style w:type="paragraph" w:styleId="Nadpis5">
    <w:name w:val="heading 5"/>
    <w:basedOn w:val="Normlny"/>
    <w:next w:val="Normlny"/>
    <w:link w:val="Nadpis5Char"/>
    <w:uiPriority w:val="99"/>
    <w:qFormat/>
    <w:rsid w:val="00FE4006"/>
    <w:pPr>
      <w:keepNext/>
      <w:numPr>
        <w:ilvl w:val="4"/>
        <w:numId w:val="1"/>
      </w:numPr>
      <w:outlineLvl w:val="4"/>
    </w:pPr>
    <w:rPr>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73BA6"/>
    <w:rPr>
      <w:rFonts w:asciiTheme="majorHAnsi" w:eastAsiaTheme="majorEastAsia" w:hAnsiTheme="majorHAnsi" w:cstheme="majorBidi"/>
      <w:b/>
      <w:bCs/>
      <w:kern w:val="32"/>
      <w:sz w:val="32"/>
      <w:szCs w:val="32"/>
      <w:lang w:val="cs-CZ" w:eastAsia="ar-SA"/>
    </w:rPr>
  </w:style>
  <w:style w:type="character" w:customStyle="1" w:styleId="Nadpis3Char">
    <w:name w:val="Nadpis 3 Char"/>
    <w:basedOn w:val="Predvolenpsmoodseku"/>
    <w:link w:val="Nadpis3"/>
    <w:uiPriority w:val="9"/>
    <w:semiHidden/>
    <w:rsid w:val="00873BA6"/>
    <w:rPr>
      <w:rFonts w:asciiTheme="majorHAnsi" w:eastAsiaTheme="majorEastAsia" w:hAnsiTheme="majorHAnsi" w:cstheme="majorBidi"/>
      <w:b/>
      <w:bCs/>
      <w:sz w:val="26"/>
      <w:szCs w:val="26"/>
      <w:lang w:val="cs-CZ" w:eastAsia="ar-SA"/>
    </w:rPr>
  </w:style>
  <w:style w:type="character" w:customStyle="1" w:styleId="Nadpis4Char">
    <w:name w:val="Nadpis 4 Char"/>
    <w:basedOn w:val="Predvolenpsmoodseku"/>
    <w:link w:val="Nadpis4"/>
    <w:uiPriority w:val="9"/>
    <w:semiHidden/>
    <w:rsid w:val="00873BA6"/>
    <w:rPr>
      <w:rFonts w:asciiTheme="minorHAnsi" w:eastAsiaTheme="minorEastAsia" w:hAnsiTheme="minorHAnsi" w:cstheme="minorBidi"/>
      <w:b/>
      <w:bCs/>
      <w:sz w:val="28"/>
      <w:szCs w:val="28"/>
      <w:lang w:val="cs-CZ" w:eastAsia="ar-SA"/>
    </w:rPr>
  </w:style>
  <w:style w:type="character" w:customStyle="1" w:styleId="Nadpis5Char">
    <w:name w:val="Nadpis 5 Char"/>
    <w:basedOn w:val="Predvolenpsmoodseku"/>
    <w:link w:val="Nadpis5"/>
    <w:uiPriority w:val="9"/>
    <w:semiHidden/>
    <w:rsid w:val="00873BA6"/>
    <w:rPr>
      <w:rFonts w:asciiTheme="minorHAnsi" w:eastAsiaTheme="minorEastAsia" w:hAnsiTheme="minorHAnsi" w:cstheme="minorBidi"/>
      <w:b/>
      <w:bCs/>
      <w:i/>
      <w:iCs/>
      <w:sz w:val="26"/>
      <w:szCs w:val="26"/>
      <w:lang w:val="cs-CZ" w:eastAsia="ar-SA"/>
    </w:rPr>
  </w:style>
  <w:style w:type="character" w:styleId="slostrany">
    <w:name w:val="page number"/>
    <w:basedOn w:val="Predvolenpsmoodseku"/>
    <w:uiPriority w:val="99"/>
    <w:rsid w:val="00FE4006"/>
    <w:rPr>
      <w:rFonts w:cs="Times New Roman"/>
    </w:rPr>
  </w:style>
  <w:style w:type="paragraph" w:styleId="Zkladntext">
    <w:name w:val="Body Text"/>
    <w:basedOn w:val="Normlny"/>
    <w:link w:val="ZkladntextChar"/>
    <w:uiPriority w:val="99"/>
    <w:rsid w:val="00FE4006"/>
    <w:pPr>
      <w:jc w:val="both"/>
    </w:pPr>
    <w:rPr>
      <w:b/>
      <w:i/>
      <w:sz w:val="24"/>
    </w:rPr>
  </w:style>
  <w:style w:type="character" w:customStyle="1" w:styleId="ZkladntextChar">
    <w:name w:val="Základný text Char"/>
    <w:basedOn w:val="Predvolenpsmoodseku"/>
    <w:link w:val="Zkladntext"/>
    <w:uiPriority w:val="99"/>
    <w:semiHidden/>
    <w:rsid w:val="00873BA6"/>
    <w:rPr>
      <w:rFonts w:ascii="Arial" w:hAnsi="Arial" w:cs="Tms Rmn"/>
      <w:sz w:val="16"/>
      <w:szCs w:val="20"/>
      <w:lang w:val="cs-CZ" w:eastAsia="ar-SA"/>
    </w:rPr>
  </w:style>
  <w:style w:type="paragraph" w:styleId="Hlavika">
    <w:name w:val="header"/>
    <w:basedOn w:val="Normlny"/>
    <w:link w:val="HlavikaChar"/>
    <w:uiPriority w:val="99"/>
    <w:rsid w:val="00FE4006"/>
    <w:pPr>
      <w:tabs>
        <w:tab w:val="center" w:pos="4703"/>
        <w:tab w:val="right" w:pos="9406"/>
      </w:tabs>
    </w:pPr>
  </w:style>
  <w:style w:type="character" w:customStyle="1" w:styleId="HlavikaChar">
    <w:name w:val="Hlavička Char"/>
    <w:basedOn w:val="Predvolenpsmoodseku"/>
    <w:link w:val="Hlavika"/>
    <w:uiPriority w:val="99"/>
    <w:rsid w:val="00873BA6"/>
    <w:rPr>
      <w:rFonts w:ascii="Arial" w:hAnsi="Arial" w:cs="Tms Rmn"/>
      <w:sz w:val="16"/>
      <w:szCs w:val="20"/>
      <w:lang w:val="cs-CZ" w:eastAsia="ar-SA"/>
    </w:rPr>
  </w:style>
  <w:style w:type="paragraph" w:customStyle="1" w:styleId="WW-Zkladntext2">
    <w:name w:val="WW-Základní text 2"/>
    <w:basedOn w:val="Normlny"/>
    <w:uiPriority w:val="99"/>
    <w:rsid w:val="00FE4006"/>
    <w:pPr>
      <w:jc w:val="both"/>
    </w:pPr>
    <w:rPr>
      <w:sz w:val="24"/>
      <w:lang w:val="sk-SK"/>
    </w:rPr>
  </w:style>
  <w:style w:type="paragraph" w:customStyle="1" w:styleId="Body">
    <w:name w:val="Body"/>
    <w:link w:val="BodyChar"/>
    <w:rsid w:val="00FE4006"/>
    <w:rPr>
      <w:sz w:val="24"/>
      <w:szCs w:val="24"/>
      <w:lang w:val="en-GB" w:eastAsia="en-US"/>
    </w:rPr>
  </w:style>
  <w:style w:type="paragraph" w:customStyle="1" w:styleId="Text">
    <w:name w:val="Text"/>
    <w:basedOn w:val="Body"/>
    <w:link w:val="TextChar1"/>
    <w:uiPriority w:val="99"/>
    <w:rsid w:val="00FE4006"/>
    <w:pPr>
      <w:suppressAutoHyphens/>
      <w:spacing w:before="60" w:after="60"/>
      <w:ind w:left="935"/>
      <w:jc w:val="both"/>
    </w:pPr>
    <w:rPr>
      <w:rFonts w:ascii="Arial" w:hAnsi="Arial"/>
    </w:rPr>
  </w:style>
  <w:style w:type="character" w:customStyle="1" w:styleId="TextChar1">
    <w:name w:val="Text Char1"/>
    <w:link w:val="Text"/>
    <w:uiPriority w:val="99"/>
    <w:locked/>
    <w:rsid w:val="00FE4006"/>
    <w:rPr>
      <w:rFonts w:ascii="Arial" w:hAnsi="Arial"/>
      <w:sz w:val="24"/>
      <w:lang w:val="en-GB" w:eastAsia="en-US"/>
    </w:rPr>
  </w:style>
  <w:style w:type="paragraph" w:styleId="Textvysvetlivky">
    <w:name w:val="endnote text"/>
    <w:basedOn w:val="Normlny"/>
    <w:link w:val="TextvysvetlivkyChar"/>
    <w:uiPriority w:val="99"/>
    <w:semiHidden/>
    <w:rsid w:val="00FE4006"/>
    <w:pPr>
      <w:suppressAutoHyphens w:val="0"/>
    </w:pPr>
    <w:rPr>
      <w:rFonts w:ascii="Times New Roman" w:hAnsi="Times New Roman" w:cs="Times New Roman"/>
      <w:sz w:val="20"/>
      <w:lang w:val="en-US" w:eastAsia="en-US"/>
    </w:rPr>
  </w:style>
  <w:style w:type="character" w:customStyle="1" w:styleId="TextvysvetlivkyChar">
    <w:name w:val="Text vysvetlivky Char"/>
    <w:basedOn w:val="Predvolenpsmoodseku"/>
    <w:link w:val="Textvysvetlivky"/>
    <w:uiPriority w:val="99"/>
    <w:semiHidden/>
    <w:rsid w:val="00873BA6"/>
    <w:rPr>
      <w:rFonts w:ascii="Arial" w:hAnsi="Arial" w:cs="Tms Rmn"/>
      <w:sz w:val="20"/>
      <w:szCs w:val="20"/>
      <w:lang w:val="cs-CZ" w:eastAsia="ar-SA"/>
    </w:rPr>
  </w:style>
  <w:style w:type="paragraph" w:styleId="Zarkazkladnhotextu2">
    <w:name w:val="Body Text Indent 2"/>
    <w:basedOn w:val="Normlny"/>
    <w:link w:val="Zarkazkladnhotextu2Char"/>
    <w:uiPriority w:val="99"/>
    <w:rsid w:val="00FE4006"/>
    <w:pPr>
      <w:suppressAutoHyphens w:val="0"/>
      <w:spacing w:after="120" w:line="480" w:lineRule="auto"/>
      <w:ind w:left="283"/>
    </w:pPr>
    <w:rPr>
      <w:rFonts w:ascii="Times New Roman" w:hAnsi="Times New Roman" w:cs="Times New Roman"/>
      <w:sz w:val="24"/>
      <w:szCs w:val="24"/>
      <w:lang w:val="en-GB" w:eastAsia="en-GB"/>
    </w:rPr>
  </w:style>
  <w:style w:type="character" w:customStyle="1" w:styleId="Zarkazkladnhotextu2Char">
    <w:name w:val="Zarážka základného textu 2 Char"/>
    <w:basedOn w:val="Predvolenpsmoodseku"/>
    <w:link w:val="Zarkazkladnhotextu2"/>
    <w:uiPriority w:val="99"/>
    <w:semiHidden/>
    <w:rsid w:val="00873BA6"/>
    <w:rPr>
      <w:rFonts w:ascii="Arial" w:hAnsi="Arial" w:cs="Tms Rmn"/>
      <w:sz w:val="16"/>
      <w:szCs w:val="20"/>
      <w:lang w:val="cs-CZ" w:eastAsia="ar-SA"/>
    </w:rPr>
  </w:style>
  <w:style w:type="paragraph" w:styleId="Pta">
    <w:name w:val="footer"/>
    <w:basedOn w:val="Normlny"/>
    <w:link w:val="PtaChar"/>
    <w:uiPriority w:val="99"/>
    <w:rsid w:val="00FE4006"/>
    <w:pPr>
      <w:tabs>
        <w:tab w:val="center" w:pos="4536"/>
        <w:tab w:val="right" w:pos="9072"/>
      </w:tabs>
    </w:pPr>
  </w:style>
  <w:style w:type="character" w:customStyle="1" w:styleId="PtaChar">
    <w:name w:val="Päta Char"/>
    <w:basedOn w:val="Predvolenpsmoodseku"/>
    <w:link w:val="Pta"/>
    <w:uiPriority w:val="99"/>
    <w:semiHidden/>
    <w:rsid w:val="00873BA6"/>
    <w:rPr>
      <w:rFonts w:ascii="Arial" w:hAnsi="Arial" w:cs="Tms Rmn"/>
      <w:sz w:val="16"/>
      <w:szCs w:val="20"/>
      <w:lang w:val="cs-CZ" w:eastAsia="ar-SA"/>
    </w:rPr>
  </w:style>
  <w:style w:type="paragraph" w:styleId="Textbubliny">
    <w:name w:val="Balloon Text"/>
    <w:basedOn w:val="Normlny"/>
    <w:link w:val="TextbublinyChar"/>
    <w:uiPriority w:val="99"/>
    <w:semiHidden/>
    <w:rsid w:val="00CC32B2"/>
    <w:rPr>
      <w:rFonts w:ascii="Tahoma" w:hAnsi="Tahoma" w:cs="Tahoma"/>
      <w:szCs w:val="16"/>
    </w:rPr>
  </w:style>
  <w:style w:type="character" w:customStyle="1" w:styleId="TextbublinyChar">
    <w:name w:val="Text bubliny Char"/>
    <w:basedOn w:val="Predvolenpsmoodseku"/>
    <w:link w:val="Textbubliny"/>
    <w:uiPriority w:val="99"/>
    <w:semiHidden/>
    <w:rsid w:val="00873BA6"/>
    <w:rPr>
      <w:rFonts w:cs="Tms Rmn"/>
      <w:sz w:val="0"/>
      <w:szCs w:val="0"/>
      <w:lang w:val="cs-CZ" w:eastAsia="ar-SA"/>
    </w:rPr>
  </w:style>
  <w:style w:type="character" w:styleId="Odkaznakomentr">
    <w:name w:val="annotation reference"/>
    <w:basedOn w:val="Predvolenpsmoodseku"/>
    <w:rsid w:val="009029E0"/>
    <w:rPr>
      <w:rFonts w:cs="Times New Roman"/>
      <w:sz w:val="16"/>
    </w:rPr>
  </w:style>
  <w:style w:type="paragraph" w:styleId="Textkomentra">
    <w:name w:val="annotation text"/>
    <w:basedOn w:val="Normlny"/>
    <w:link w:val="TextkomentraChar"/>
    <w:rsid w:val="009029E0"/>
    <w:rPr>
      <w:rFonts w:cs="Times New Roman"/>
      <w:sz w:val="20"/>
    </w:rPr>
  </w:style>
  <w:style w:type="character" w:customStyle="1" w:styleId="TextkomentraChar">
    <w:name w:val="Text komentára Char"/>
    <w:basedOn w:val="Predvolenpsmoodseku"/>
    <w:link w:val="Textkomentra"/>
    <w:uiPriority w:val="99"/>
    <w:locked/>
    <w:rsid w:val="009029E0"/>
    <w:rPr>
      <w:rFonts w:ascii="Arial" w:hAnsi="Arial"/>
      <w:lang w:val="cs-CZ" w:eastAsia="ar-SA" w:bidi="ar-SA"/>
    </w:rPr>
  </w:style>
  <w:style w:type="paragraph" w:styleId="Predmetkomentra">
    <w:name w:val="annotation subject"/>
    <w:basedOn w:val="Textkomentra"/>
    <w:next w:val="Textkomentra"/>
    <w:link w:val="PredmetkomentraChar"/>
    <w:uiPriority w:val="99"/>
    <w:rsid w:val="009029E0"/>
    <w:rPr>
      <w:b/>
      <w:bCs/>
    </w:rPr>
  </w:style>
  <w:style w:type="character" w:customStyle="1" w:styleId="PredmetkomentraChar">
    <w:name w:val="Predmet komentára Char"/>
    <w:basedOn w:val="TextkomentraChar"/>
    <w:link w:val="Predmetkomentra"/>
    <w:uiPriority w:val="99"/>
    <w:locked/>
    <w:rsid w:val="009029E0"/>
    <w:rPr>
      <w:rFonts w:ascii="Arial" w:hAnsi="Arial"/>
      <w:b/>
      <w:lang w:val="cs-CZ" w:eastAsia="ar-SA" w:bidi="ar-SA"/>
    </w:rPr>
  </w:style>
  <w:style w:type="paragraph" w:styleId="Revzia">
    <w:name w:val="Revision"/>
    <w:hidden/>
    <w:uiPriority w:val="99"/>
    <w:semiHidden/>
    <w:rsid w:val="009029E0"/>
    <w:rPr>
      <w:rFonts w:ascii="Arial" w:hAnsi="Arial" w:cs="Tms Rmn"/>
      <w:sz w:val="16"/>
      <w:szCs w:val="20"/>
      <w:lang w:val="cs-CZ" w:eastAsia="ar-SA"/>
    </w:rPr>
  </w:style>
  <w:style w:type="character" w:styleId="Hypertextovprepojenie">
    <w:name w:val="Hyperlink"/>
    <w:basedOn w:val="Predvolenpsmoodseku"/>
    <w:uiPriority w:val="99"/>
    <w:rsid w:val="0032454E"/>
    <w:rPr>
      <w:rFonts w:cs="Times New Roman"/>
      <w:color w:val="0000FF"/>
      <w:u w:val="single"/>
    </w:rPr>
  </w:style>
  <w:style w:type="paragraph" w:customStyle="1" w:styleId="CM6">
    <w:name w:val="CM6"/>
    <w:basedOn w:val="Normlny"/>
    <w:next w:val="Normlny"/>
    <w:uiPriority w:val="99"/>
    <w:rsid w:val="0055610B"/>
    <w:pPr>
      <w:widowControl w:val="0"/>
      <w:suppressAutoHyphens w:val="0"/>
      <w:autoSpaceDE w:val="0"/>
      <w:autoSpaceDN w:val="0"/>
      <w:adjustRightInd w:val="0"/>
      <w:spacing w:line="258" w:lineRule="atLeast"/>
    </w:pPr>
    <w:rPr>
      <w:rFonts w:ascii="Times New Roman" w:hAnsi="Times New Roman" w:cs="Times New Roman"/>
      <w:sz w:val="24"/>
      <w:szCs w:val="24"/>
      <w:lang w:val="sv-SE" w:eastAsia="sv-SE"/>
    </w:rPr>
  </w:style>
  <w:style w:type="paragraph" w:customStyle="1" w:styleId="CM7">
    <w:name w:val="CM7"/>
    <w:basedOn w:val="Normlny"/>
    <w:next w:val="Normlny"/>
    <w:uiPriority w:val="99"/>
    <w:rsid w:val="0055610B"/>
    <w:pPr>
      <w:widowControl w:val="0"/>
      <w:suppressAutoHyphens w:val="0"/>
      <w:autoSpaceDE w:val="0"/>
      <w:autoSpaceDN w:val="0"/>
      <w:adjustRightInd w:val="0"/>
      <w:spacing w:line="258" w:lineRule="atLeast"/>
    </w:pPr>
    <w:rPr>
      <w:rFonts w:ascii="Times New Roman" w:hAnsi="Times New Roman" w:cs="Times New Roman"/>
      <w:sz w:val="24"/>
      <w:szCs w:val="24"/>
      <w:lang w:val="sv-SE" w:eastAsia="sv-SE"/>
    </w:rPr>
  </w:style>
  <w:style w:type="paragraph" w:customStyle="1" w:styleId="Default">
    <w:name w:val="Default"/>
    <w:uiPriority w:val="99"/>
    <w:rsid w:val="000528D5"/>
    <w:pPr>
      <w:widowControl w:val="0"/>
      <w:autoSpaceDE w:val="0"/>
      <w:autoSpaceDN w:val="0"/>
      <w:adjustRightInd w:val="0"/>
    </w:pPr>
    <w:rPr>
      <w:color w:val="000000"/>
      <w:sz w:val="24"/>
      <w:szCs w:val="24"/>
      <w:lang w:val="sv-SE" w:eastAsia="sv-SE"/>
    </w:rPr>
  </w:style>
  <w:style w:type="character" w:customStyle="1" w:styleId="BodyChar">
    <w:name w:val="Body Char"/>
    <w:link w:val="Body"/>
    <w:locked/>
    <w:rsid w:val="006D0A56"/>
    <w:rPr>
      <w:sz w:val="24"/>
      <w:lang w:val="en-GB" w:eastAsia="en-US"/>
    </w:rPr>
  </w:style>
  <w:style w:type="paragraph" w:customStyle="1" w:styleId="CM16">
    <w:name w:val="CM16"/>
    <w:basedOn w:val="Default"/>
    <w:next w:val="Default"/>
    <w:uiPriority w:val="99"/>
    <w:rsid w:val="00BD406F"/>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75276">
      <w:marLeft w:val="0"/>
      <w:marRight w:val="0"/>
      <w:marTop w:val="0"/>
      <w:marBottom w:val="0"/>
      <w:divBdr>
        <w:top w:val="none" w:sz="0" w:space="0" w:color="auto"/>
        <w:left w:val="none" w:sz="0" w:space="0" w:color="auto"/>
        <w:bottom w:val="none" w:sz="0" w:space="0" w:color="auto"/>
        <w:right w:val="none" w:sz="0" w:space="0" w:color="auto"/>
      </w:divBdr>
    </w:div>
    <w:div w:id="255675277">
      <w:marLeft w:val="0"/>
      <w:marRight w:val="0"/>
      <w:marTop w:val="0"/>
      <w:marBottom w:val="0"/>
      <w:divBdr>
        <w:top w:val="none" w:sz="0" w:space="0" w:color="auto"/>
        <w:left w:val="none" w:sz="0" w:space="0" w:color="auto"/>
        <w:bottom w:val="none" w:sz="0" w:space="0" w:color="auto"/>
        <w:right w:val="none" w:sz="0" w:space="0" w:color="auto"/>
      </w:divBdr>
    </w:div>
    <w:div w:id="2556752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7795</Words>
  <Characters>44434</Characters>
  <Application>Microsoft Office Word</Application>
  <DocSecurity>0</DocSecurity>
  <Lines>370</Lines>
  <Paragraphs>104</Paragraphs>
  <ScaleCrop>false</ScaleCrop>
  <HeadingPairs>
    <vt:vector size="2" baseType="variant">
      <vt:variant>
        <vt:lpstr>Názov</vt:lpstr>
      </vt:variant>
      <vt:variant>
        <vt:i4>1</vt:i4>
      </vt:variant>
    </vt:vector>
  </HeadingPairs>
  <TitlesOfParts>
    <vt:vector size="1" baseType="lpstr">
      <vt:lpstr>PRÍLOHA Č</vt:lpstr>
    </vt:vector>
  </TitlesOfParts>
  <Company>liek</Company>
  <LinksUpToDate>false</LinksUpToDate>
  <CharactersWithSpaces>52125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LZuzkacova</dc:creator>
  <cp:keywords/>
  <dc:description/>
  <cp:lastModifiedBy>Kuziaková, Marianna</cp:lastModifiedBy>
  <cp:revision>2</cp:revision>
  <cp:lastPrinted>2016-03-30T08:46:00Z</cp:lastPrinted>
  <dcterms:created xsi:type="dcterms:W3CDTF">2019-04-25T10:56:00Z</dcterms:created>
  <dcterms:modified xsi:type="dcterms:W3CDTF">2019-04-25T10:56:00Z</dcterms:modified>
</cp:coreProperties>
</file>