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9C" w:rsidRPr="009B3071" w:rsidRDefault="00B2419C" w:rsidP="002C6892">
      <w:pPr>
        <w:pStyle w:val="Nzov"/>
        <w:widowControl w:val="0"/>
        <w:rPr>
          <w:sz w:val="22"/>
          <w:szCs w:val="22"/>
        </w:rPr>
      </w:pPr>
      <w:r w:rsidRPr="009B3071">
        <w:rPr>
          <w:sz w:val="22"/>
          <w:szCs w:val="22"/>
        </w:rPr>
        <w:t>SÚHRN CHARAKTERISTICKÝCH VLASTNOSTÍ LIEKU</w:t>
      </w:r>
    </w:p>
    <w:p w:rsidR="00B2419C" w:rsidRPr="009B3071" w:rsidRDefault="00B2419C" w:rsidP="002C6892">
      <w:pPr>
        <w:pStyle w:val="Nzov"/>
        <w:widowControl w:val="0"/>
        <w:jc w:val="left"/>
        <w:rPr>
          <w:b w:val="0"/>
          <w:sz w:val="22"/>
          <w:szCs w:val="22"/>
        </w:rPr>
      </w:pPr>
    </w:p>
    <w:p w:rsidR="00B2419C" w:rsidRPr="009B3071" w:rsidRDefault="00B2419C" w:rsidP="002C6892">
      <w:pPr>
        <w:pStyle w:val="Nzov"/>
        <w:widowControl w:val="0"/>
        <w:jc w:val="left"/>
        <w:rPr>
          <w:b w:val="0"/>
          <w:sz w:val="22"/>
          <w:szCs w:val="22"/>
        </w:rPr>
      </w:pPr>
    </w:p>
    <w:p w:rsidR="00B2419C" w:rsidRPr="009B3071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</w:rPr>
      </w:pPr>
      <w:r w:rsidRPr="009B3071">
        <w:rPr>
          <w:b/>
          <w:sz w:val="22"/>
          <w:szCs w:val="22"/>
        </w:rPr>
        <w:t>NÁZOV LIEKU</w:t>
      </w:r>
    </w:p>
    <w:p w:rsidR="00B2419C" w:rsidRPr="009B3071" w:rsidRDefault="00B2419C" w:rsidP="002C6892">
      <w:pPr>
        <w:widowControl w:val="0"/>
        <w:rPr>
          <w:sz w:val="22"/>
          <w:szCs w:val="22"/>
        </w:rPr>
      </w:pPr>
    </w:p>
    <w:p w:rsidR="00A96583" w:rsidRPr="009B3071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B3071">
        <w:rPr>
          <w:sz w:val="22"/>
          <w:szCs w:val="22"/>
        </w:rPr>
        <w:t>Aripiprazol STADA 10 mg orodispergovateľné tablety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B3071">
        <w:rPr>
          <w:sz w:val="22"/>
          <w:szCs w:val="22"/>
        </w:rPr>
        <w:t xml:space="preserve">Aripiprazol </w:t>
      </w:r>
      <w:r w:rsidR="00B512AD" w:rsidRPr="009B3071">
        <w:rPr>
          <w:sz w:val="22"/>
          <w:szCs w:val="22"/>
        </w:rPr>
        <w:t xml:space="preserve">STADA </w:t>
      </w:r>
      <w:r w:rsidRPr="009B3071">
        <w:rPr>
          <w:sz w:val="22"/>
          <w:szCs w:val="22"/>
        </w:rPr>
        <w:t>15 mg</w:t>
      </w:r>
      <w:r w:rsidR="00C76B8D" w:rsidRPr="009B3071">
        <w:rPr>
          <w:sz w:val="22"/>
          <w:szCs w:val="22"/>
        </w:rPr>
        <w:t xml:space="preserve"> </w:t>
      </w:r>
      <w:r w:rsidR="00A96583" w:rsidRPr="009B3071">
        <w:rPr>
          <w:sz w:val="22"/>
          <w:szCs w:val="22"/>
        </w:rPr>
        <w:t>orodispergovateľné</w:t>
      </w:r>
      <w:r w:rsidR="00A96583">
        <w:rPr>
          <w:sz w:val="22"/>
          <w:szCs w:val="22"/>
        </w:rPr>
        <w:t xml:space="preserve"> </w:t>
      </w:r>
      <w:r w:rsidR="00C76B8D" w:rsidRPr="00405EF4">
        <w:rPr>
          <w:sz w:val="22"/>
          <w:szCs w:val="22"/>
        </w:rPr>
        <w:t>tablety</w:t>
      </w:r>
    </w:p>
    <w:p w:rsidR="00EB461D" w:rsidRPr="00405EF4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KVALITATÍVNE A KVANTITATÍVNE ZLOŽENIE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96583" w:rsidRPr="00405EF4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Každá </w:t>
      </w:r>
      <w:r>
        <w:rPr>
          <w:sz w:val="22"/>
          <w:szCs w:val="22"/>
        </w:rPr>
        <w:t xml:space="preserve">orodispergovateľná </w:t>
      </w:r>
      <w:r w:rsidRPr="00405EF4">
        <w:rPr>
          <w:sz w:val="22"/>
          <w:szCs w:val="22"/>
        </w:rPr>
        <w:t>tableta obsahuje 1</w:t>
      </w:r>
      <w:r>
        <w:rPr>
          <w:sz w:val="22"/>
          <w:szCs w:val="22"/>
        </w:rPr>
        <w:t>0</w:t>
      </w:r>
      <w:r w:rsidRPr="00405EF4">
        <w:rPr>
          <w:sz w:val="22"/>
          <w:szCs w:val="22"/>
        </w:rPr>
        <w:t xml:space="preserve"> mg aripiprazolu</w:t>
      </w:r>
      <w:r w:rsidR="008316B7">
        <w:rPr>
          <w:sz w:val="22"/>
          <w:szCs w:val="22"/>
        </w:rPr>
        <w:t>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Každá </w:t>
      </w:r>
      <w:r w:rsidR="00A96583">
        <w:rPr>
          <w:sz w:val="22"/>
          <w:szCs w:val="22"/>
        </w:rPr>
        <w:t xml:space="preserve">orodispergovateľná </w:t>
      </w:r>
      <w:r w:rsidRPr="00405EF4">
        <w:rPr>
          <w:sz w:val="22"/>
          <w:szCs w:val="22"/>
        </w:rPr>
        <w:t>tableta obsahuje 15 mg aripi</w:t>
      </w:r>
      <w:r w:rsidR="00212968" w:rsidRPr="00405EF4">
        <w:rPr>
          <w:sz w:val="22"/>
          <w:szCs w:val="22"/>
        </w:rPr>
        <w:t>p</w:t>
      </w:r>
      <w:r w:rsidRPr="00405EF4">
        <w:rPr>
          <w:sz w:val="22"/>
          <w:szCs w:val="22"/>
        </w:rPr>
        <w:t>razolu</w:t>
      </w:r>
      <w:r w:rsidR="008316B7">
        <w:rPr>
          <w:sz w:val="22"/>
          <w:szCs w:val="22"/>
        </w:rPr>
        <w:t>.</w:t>
      </w:r>
    </w:p>
    <w:p w:rsidR="00EB461D" w:rsidRPr="00405EF4" w:rsidRDefault="00EB461D" w:rsidP="002C6892">
      <w:pPr>
        <w:widowControl w:val="0"/>
        <w:rPr>
          <w:sz w:val="22"/>
          <w:szCs w:val="22"/>
        </w:rPr>
      </w:pP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Pomocná látka so známym účinkom</w:t>
      </w:r>
    </w:p>
    <w:p w:rsidR="00A96583" w:rsidRPr="00405EF4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Každá </w:t>
      </w:r>
      <w:r w:rsidR="000F78F8">
        <w:rPr>
          <w:sz w:val="22"/>
          <w:szCs w:val="22"/>
        </w:rPr>
        <w:t xml:space="preserve">orodispergovateľná </w:t>
      </w:r>
      <w:r w:rsidRPr="00405EF4">
        <w:rPr>
          <w:sz w:val="22"/>
          <w:szCs w:val="22"/>
        </w:rPr>
        <w:t xml:space="preserve">tableta obsahuje </w:t>
      </w:r>
      <w:r>
        <w:rPr>
          <w:sz w:val="22"/>
          <w:szCs w:val="22"/>
        </w:rPr>
        <w:t>2</w:t>
      </w:r>
      <w:r w:rsidRPr="00405EF4">
        <w:rPr>
          <w:sz w:val="22"/>
          <w:szCs w:val="22"/>
        </w:rPr>
        <w:t>,0</w:t>
      </w:r>
      <w:r>
        <w:rPr>
          <w:sz w:val="22"/>
          <w:szCs w:val="22"/>
        </w:rPr>
        <w:t>5</w:t>
      </w:r>
      <w:r w:rsidRPr="00405EF4">
        <w:rPr>
          <w:sz w:val="22"/>
          <w:szCs w:val="22"/>
        </w:rPr>
        <w:t>8 mg laktózy</w:t>
      </w:r>
      <w:r w:rsidR="000F78F8">
        <w:rPr>
          <w:sz w:val="22"/>
          <w:szCs w:val="22"/>
        </w:rPr>
        <w:t xml:space="preserve"> a 0,49 mg sodíka</w:t>
      </w:r>
      <w:r w:rsidRPr="00405EF4">
        <w:rPr>
          <w:sz w:val="22"/>
          <w:szCs w:val="22"/>
        </w:rPr>
        <w:t>.</w:t>
      </w:r>
    </w:p>
    <w:p w:rsidR="00386643" w:rsidRPr="00405EF4" w:rsidRDefault="00E950F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Každá </w:t>
      </w:r>
      <w:r w:rsidR="000F78F8">
        <w:rPr>
          <w:sz w:val="22"/>
          <w:szCs w:val="22"/>
        </w:rPr>
        <w:t xml:space="preserve">orodispergovateľná </w:t>
      </w:r>
      <w:r w:rsidRPr="00405EF4">
        <w:rPr>
          <w:sz w:val="22"/>
          <w:szCs w:val="22"/>
        </w:rPr>
        <w:t>tableta obsahuje 3,087 mg laktózy</w:t>
      </w:r>
      <w:r w:rsidR="000F78F8">
        <w:rPr>
          <w:sz w:val="22"/>
          <w:szCs w:val="22"/>
        </w:rPr>
        <w:t xml:space="preserve"> a 0,74 mg sodíka</w:t>
      </w:r>
      <w:r w:rsidRPr="00405EF4">
        <w:rPr>
          <w:sz w:val="22"/>
          <w:szCs w:val="22"/>
        </w:rPr>
        <w:t>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Úplný zoznam pomocných látok, pozri časť 6.1.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LIEKOVÁ FORMA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A96583" w:rsidP="002C6892">
      <w:pPr>
        <w:widowControl w:val="0"/>
        <w:adjustRightInd w:val="0"/>
        <w:snapToGrid w:val="0"/>
        <w:rPr>
          <w:sz w:val="22"/>
          <w:szCs w:val="22"/>
        </w:rPr>
      </w:pPr>
      <w:r>
        <w:rPr>
          <w:bCs/>
          <w:sz w:val="22"/>
          <w:szCs w:val="22"/>
        </w:rPr>
        <w:t>Orodispergovateľná t</w:t>
      </w:r>
      <w:r w:rsidR="00386643" w:rsidRPr="00405EF4">
        <w:rPr>
          <w:bCs/>
          <w:sz w:val="22"/>
          <w:szCs w:val="22"/>
        </w:rPr>
        <w:t>ableta</w:t>
      </w:r>
    </w:p>
    <w:p w:rsidR="00A96583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96583" w:rsidRPr="00405EF4" w:rsidRDefault="00A96583" w:rsidP="00A9658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Okrúhle, ploché, bledo</w:t>
      </w:r>
      <w:r>
        <w:rPr>
          <w:sz w:val="22"/>
          <w:szCs w:val="22"/>
        </w:rPr>
        <w:t>ružové</w:t>
      </w:r>
      <w:r w:rsidRPr="00405EF4">
        <w:rPr>
          <w:sz w:val="22"/>
          <w:szCs w:val="22"/>
        </w:rPr>
        <w:t xml:space="preserve"> tablety s roztrúsenými škvrnami a priemerom </w:t>
      </w:r>
      <w:r>
        <w:rPr>
          <w:sz w:val="22"/>
          <w:szCs w:val="22"/>
        </w:rPr>
        <w:t>8</w:t>
      </w:r>
      <w:r w:rsidRPr="00405EF4">
        <w:rPr>
          <w:sz w:val="22"/>
          <w:szCs w:val="22"/>
        </w:rPr>
        <w:t xml:space="preserve"> mm.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Okrúhle</w:t>
      </w:r>
      <w:r w:rsidR="00E950FE" w:rsidRPr="00405EF4">
        <w:rPr>
          <w:sz w:val="22"/>
          <w:szCs w:val="22"/>
        </w:rPr>
        <w:t>, ploché, bledo</w:t>
      </w:r>
      <w:r w:rsidR="00C76B8D" w:rsidRPr="00405EF4">
        <w:rPr>
          <w:sz w:val="22"/>
          <w:szCs w:val="22"/>
        </w:rPr>
        <w:t xml:space="preserve">žlté tablety </w:t>
      </w:r>
      <w:r w:rsidR="00E950FE" w:rsidRPr="00405EF4">
        <w:rPr>
          <w:sz w:val="22"/>
          <w:szCs w:val="22"/>
        </w:rPr>
        <w:t>s roztrúsenými škvrnami a priemerom 10 mm.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405EF4" w:rsidRDefault="00EB461D" w:rsidP="002C6892">
      <w:pPr>
        <w:pStyle w:val="EUNormal"/>
        <w:widowControl w:val="0"/>
        <w:rPr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KLINICKÉ ÚDAJE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4.1</w:t>
      </w:r>
      <w:r w:rsidRPr="00405EF4">
        <w:rPr>
          <w:b/>
          <w:sz w:val="22"/>
          <w:szCs w:val="22"/>
        </w:rPr>
        <w:tab/>
        <w:t>Terapeutické indikácie</w:t>
      </w:r>
    </w:p>
    <w:p w:rsidR="00B2419C" w:rsidRPr="00181C3C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C76B8D" w:rsidRPr="00181C3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4E4A09" w:rsidRPr="00181C3C">
        <w:rPr>
          <w:sz w:val="22"/>
          <w:szCs w:val="22"/>
          <w:lang w:val="sk-SK"/>
        </w:rPr>
        <w:t xml:space="preserve">STADA </w:t>
      </w:r>
      <w:r w:rsidR="00386643" w:rsidRPr="00181C3C">
        <w:rPr>
          <w:sz w:val="22"/>
          <w:szCs w:val="22"/>
          <w:lang w:val="sk-SK"/>
        </w:rPr>
        <w:t xml:space="preserve">je indikovaný na liečbu schizofrénie </w:t>
      </w:r>
      <w:r w:rsidR="0005729C">
        <w:rPr>
          <w:sz w:val="22"/>
          <w:szCs w:val="22"/>
          <w:lang w:val="sk-SK"/>
        </w:rPr>
        <w:t xml:space="preserve">u </w:t>
      </w:r>
      <w:r w:rsidR="00386643" w:rsidRPr="00181C3C">
        <w:rPr>
          <w:sz w:val="22"/>
          <w:szCs w:val="22"/>
          <w:lang w:val="sk-SK"/>
        </w:rPr>
        <w:t>dospelý</w:t>
      </w:r>
      <w:r w:rsidR="0005729C">
        <w:rPr>
          <w:sz w:val="22"/>
          <w:szCs w:val="22"/>
          <w:lang w:val="sk-SK"/>
        </w:rPr>
        <w:t>ch</w:t>
      </w:r>
      <w:r w:rsidR="00386643" w:rsidRPr="00181C3C">
        <w:rPr>
          <w:sz w:val="22"/>
          <w:szCs w:val="22"/>
          <w:lang w:val="sk-SK"/>
        </w:rPr>
        <w:t xml:space="preserve"> a dospievajúci</w:t>
      </w:r>
      <w:r w:rsidR="0005729C">
        <w:rPr>
          <w:sz w:val="22"/>
          <w:szCs w:val="22"/>
          <w:lang w:val="sk-SK"/>
        </w:rPr>
        <w:t>ch</w:t>
      </w:r>
      <w:r w:rsidR="00386643" w:rsidRPr="00181C3C">
        <w:rPr>
          <w:sz w:val="22"/>
          <w:szCs w:val="22"/>
          <w:lang w:val="sk-SK"/>
        </w:rPr>
        <w:t xml:space="preserve"> vo veku 15 rokov a starší</w:t>
      </w:r>
      <w:r w:rsidR="0005729C">
        <w:rPr>
          <w:sz w:val="22"/>
          <w:szCs w:val="22"/>
          <w:lang w:val="sk-SK"/>
        </w:rPr>
        <w:t>ch</w:t>
      </w:r>
      <w:r w:rsidR="00386643" w:rsidRPr="00181C3C">
        <w:rPr>
          <w:sz w:val="22"/>
          <w:szCs w:val="22"/>
          <w:lang w:val="sk-SK"/>
        </w:rPr>
        <w:t>.</w:t>
      </w:r>
    </w:p>
    <w:p w:rsidR="00C76B8D" w:rsidRPr="00181C3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B8D" w:rsidRPr="00181C3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4E4A09" w:rsidRPr="00181C3C">
        <w:rPr>
          <w:sz w:val="22"/>
          <w:szCs w:val="22"/>
          <w:lang w:val="sk-SK"/>
        </w:rPr>
        <w:t xml:space="preserve">STADA </w:t>
      </w:r>
      <w:r w:rsidR="00386643" w:rsidRPr="00181C3C">
        <w:rPr>
          <w:sz w:val="22"/>
          <w:szCs w:val="22"/>
          <w:lang w:val="sk-SK"/>
        </w:rPr>
        <w:t xml:space="preserve">je indikovaný na liečbu stredne ťažkých až ťažkých manických epizód pri bipolárnej poruche typu I a na prevenciu novej manickej epizódy u dospelých, ktorí mali prevažne manické epizódy a ktorých manické epizódy odpovedali na liečbu </w:t>
      </w:r>
      <w:r w:rsidRPr="00181C3C">
        <w:rPr>
          <w:sz w:val="22"/>
          <w:szCs w:val="22"/>
          <w:lang w:val="sk-SK"/>
        </w:rPr>
        <w:t>aripiprazolom (pozri časť 5.1).</w:t>
      </w:r>
    </w:p>
    <w:p w:rsidR="00DA1974" w:rsidRPr="00181C3C" w:rsidRDefault="00DA1974" w:rsidP="00DA1974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DA1974" w:rsidRPr="00181C3C" w:rsidRDefault="00DA1974" w:rsidP="00DA1974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A436F1" w:rsidRPr="00181C3C">
        <w:rPr>
          <w:sz w:val="22"/>
          <w:szCs w:val="22"/>
          <w:lang w:val="sk-SK"/>
        </w:rPr>
        <w:t xml:space="preserve">STADA </w:t>
      </w:r>
      <w:r w:rsidRPr="00181C3C">
        <w:rPr>
          <w:sz w:val="22"/>
          <w:szCs w:val="22"/>
          <w:lang w:val="sk-SK"/>
        </w:rPr>
        <w:t>je indikovaný na liečbu stredne ťažkých až ťažkých manických epizód pri bipolárnej poruche typu I u dospievajúcich vo veku 13 rokov a starších až do 12 týždňov (pozri časť 5.1).</w:t>
      </w:r>
    </w:p>
    <w:p w:rsidR="00C76B8D" w:rsidRPr="00181C3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B2419C" w:rsidRPr="00181C3C" w:rsidRDefault="00B2419C" w:rsidP="002C6892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181C3C">
        <w:rPr>
          <w:b/>
          <w:sz w:val="22"/>
          <w:szCs w:val="22"/>
        </w:rPr>
        <w:t>Dávkovanie a spôsob podávania</w:t>
      </w:r>
    </w:p>
    <w:p w:rsidR="00B2419C" w:rsidRPr="00181C3C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181C3C">
        <w:rPr>
          <w:sz w:val="22"/>
          <w:szCs w:val="22"/>
          <w:u w:val="single"/>
          <w:lang w:val="sk-SK"/>
        </w:rPr>
        <w:t>Dávkovanie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Dospelí</w:t>
      </w:r>
    </w:p>
    <w:p w:rsidR="00E950FE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Schizofrénia</w:t>
      </w:r>
    </w:p>
    <w:p w:rsidR="00C76B8D" w:rsidRPr="00181C3C" w:rsidRDefault="00E950F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O</w:t>
      </w:r>
      <w:r w:rsidR="00386643" w:rsidRPr="00181C3C">
        <w:rPr>
          <w:sz w:val="22"/>
          <w:szCs w:val="22"/>
          <w:lang w:val="sk-SK"/>
        </w:rPr>
        <w:t xml:space="preserve">dporúčaná </w:t>
      </w:r>
      <w:r w:rsidRPr="00181C3C">
        <w:rPr>
          <w:sz w:val="22"/>
          <w:szCs w:val="22"/>
          <w:lang w:val="sk-SK"/>
        </w:rPr>
        <w:t>za</w:t>
      </w:r>
      <w:r w:rsidR="00386643" w:rsidRPr="00181C3C">
        <w:rPr>
          <w:sz w:val="22"/>
          <w:szCs w:val="22"/>
          <w:lang w:val="sk-SK"/>
        </w:rPr>
        <w:t xml:space="preserve">čiatočná dávka je 10 </w:t>
      </w:r>
      <w:r w:rsidR="00C76B8D" w:rsidRPr="00181C3C">
        <w:rPr>
          <w:sz w:val="22"/>
          <w:szCs w:val="22"/>
          <w:lang w:val="sk-SK"/>
        </w:rPr>
        <w:t xml:space="preserve">mg </w:t>
      </w:r>
      <w:r w:rsidR="00386643" w:rsidRPr="00181C3C">
        <w:rPr>
          <w:sz w:val="22"/>
          <w:szCs w:val="22"/>
          <w:lang w:val="sk-SK"/>
        </w:rPr>
        <w:t>alebo 15 mg</w:t>
      </w:r>
      <w:r w:rsidRPr="00181C3C">
        <w:rPr>
          <w:sz w:val="22"/>
          <w:szCs w:val="22"/>
          <w:lang w:val="sk-SK"/>
        </w:rPr>
        <w:t xml:space="preserve"> aripiprazolu</w:t>
      </w:r>
      <w:r w:rsidR="00386643" w:rsidRPr="00181C3C">
        <w:rPr>
          <w:sz w:val="22"/>
          <w:szCs w:val="22"/>
          <w:lang w:val="sk-SK"/>
        </w:rPr>
        <w:t>/deň s udržiavacou dávkou 15 mg/deň podávaná v dávkovacej schéme jedenkrát denne bez ohľadu na príjem potravy.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386643" w:rsidRPr="00181C3C">
        <w:rPr>
          <w:sz w:val="22"/>
          <w:szCs w:val="22"/>
          <w:lang w:val="sk-SK"/>
        </w:rPr>
        <w:t>je účinný v rozsahu dávky od 10 do 30 mg/d</w:t>
      </w:r>
      <w:r w:rsidRPr="00181C3C">
        <w:rPr>
          <w:sz w:val="22"/>
          <w:szCs w:val="22"/>
          <w:lang w:val="sk-SK"/>
        </w:rPr>
        <w:t>enne</w:t>
      </w:r>
      <w:r w:rsidR="00386643" w:rsidRPr="00181C3C">
        <w:rPr>
          <w:sz w:val="22"/>
          <w:szCs w:val="22"/>
          <w:lang w:val="sk-SK"/>
        </w:rPr>
        <w:t>. Zvýšená účinnosť pri dávkach vyšších ako denná dávka 15 mg nebola dokázaná, aj keď jednotliví pacienti môžu mať úžitok z vyššej dávky. Maximálna denná dávka nesmie presiahnuť 30 mg.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Manické epizódy pri b</w:t>
      </w:r>
      <w:r w:rsidR="00405EF4" w:rsidRPr="00181C3C">
        <w:rPr>
          <w:i/>
          <w:sz w:val="22"/>
          <w:szCs w:val="22"/>
          <w:lang w:val="sk-SK"/>
        </w:rPr>
        <w:t>ipolárnej poruche typu I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O</w:t>
      </w:r>
      <w:r w:rsidR="00386643" w:rsidRPr="00181C3C">
        <w:rPr>
          <w:sz w:val="22"/>
          <w:szCs w:val="22"/>
          <w:lang w:val="sk-SK"/>
        </w:rPr>
        <w:t xml:space="preserve">dporúčaná </w:t>
      </w:r>
      <w:r w:rsidRPr="00181C3C">
        <w:rPr>
          <w:sz w:val="22"/>
          <w:szCs w:val="22"/>
          <w:lang w:val="sk-SK"/>
        </w:rPr>
        <w:t>za</w:t>
      </w:r>
      <w:r w:rsidR="00386643" w:rsidRPr="00181C3C">
        <w:rPr>
          <w:sz w:val="22"/>
          <w:szCs w:val="22"/>
          <w:lang w:val="sk-SK"/>
        </w:rPr>
        <w:t xml:space="preserve">čiatočná dávka </w:t>
      </w:r>
      <w:r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 xml:space="preserve">je 15 mg podávaná </w:t>
      </w:r>
      <w:r w:rsidR="00C76B8D" w:rsidRPr="00181C3C">
        <w:rPr>
          <w:sz w:val="22"/>
          <w:szCs w:val="22"/>
          <w:lang w:val="sk-SK"/>
        </w:rPr>
        <w:t xml:space="preserve">jedenkrát </w:t>
      </w:r>
      <w:r w:rsidR="00386643" w:rsidRPr="00181C3C">
        <w:rPr>
          <w:sz w:val="22"/>
          <w:szCs w:val="22"/>
          <w:lang w:val="sk-SK"/>
        </w:rPr>
        <w:t xml:space="preserve">denne bez ohľadu na jedlo v monoterapii alebo kombinovanej terapii (pozri časť 5.1). Niektorí pacienti môžu mať </w:t>
      </w:r>
      <w:r w:rsidRPr="00181C3C">
        <w:rPr>
          <w:sz w:val="22"/>
          <w:szCs w:val="22"/>
          <w:lang w:val="sk-SK"/>
        </w:rPr>
        <w:t>prospech</w:t>
      </w:r>
      <w:r w:rsidR="00386643" w:rsidRPr="00181C3C">
        <w:rPr>
          <w:sz w:val="22"/>
          <w:szCs w:val="22"/>
          <w:lang w:val="sk-SK"/>
        </w:rPr>
        <w:t xml:space="preserve"> z vyššej dávky. Maximálna denná dávka nesmie presiahnuť 30 mg.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Prevencia rekurencie manických epizód pri bipolárnej poruche typu I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N</w:t>
      </w:r>
      <w:r w:rsidR="00386643" w:rsidRPr="00181C3C">
        <w:rPr>
          <w:sz w:val="22"/>
          <w:szCs w:val="22"/>
          <w:lang w:val="sk-SK"/>
        </w:rPr>
        <w:t>a prevenciu rekurencie manických epizód u pacientov užívajúcich aripiprazol v monoterapii alebo kombinovanej terapii sa má pokračovať v liečbe v rovnakej dávke. Úprava dennej dávky</w:t>
      </w:r>
      <w:r w:rsidR="00C76B8D" w:rsidRPr="00181C3C">
        <w:rPr>
          <w:sz w:val="22"/>
          <w:szCs w:val="22"/>
          <w:lang w:val="sk-SK"/>
        </w:rPr>
        <w:t>,</w:t>
      </w:r>
      <w:r w:rsidR="00386643" w:rsidRPr="00181C3C">
        <w:rPr>
          <w:sz w:val="22"/>
          <w:szCs w:val="22"/>
          <w:lang w:val="sk-SK"/>
        </w:rPr>
        <w:t xml:space="preserve"> vrátane zníženia dávky</w:t>
      </w:r>
      <w:r w:rsidR="00C76B8D" w:rsidRPr="00181C3C">
        <w:rPr>
          <w:sz w:val="22"/>
          <w:szCs w:val="22"/>
          <w:lang w:val="sk-SK"/>
        </w:rPr>
        <w:t>,</w:t>
      </w:r>
      <w:r w:rsidR="00386643" w:rsidRPr="00181C3C">
        <w:rPr>
          <w:sz w:val="22"/>
          <w:szCs w:val="22"/>
          <w:lang w:val="sk-SK"/>
        </w:rPr>
        <w:t xml:space="preserve"> sa má zvážiť na základe klinického stavu.</w:t>
      </w:r>
    </w:p>
    <w:p w:rsidR="00C76B8D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616F9" w:rsidRPr="00B8384D" w:rsidRDefault="00D616F9" w:rsidP="00D616F9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Osobitné populácie</w:t>
      </w:r>
    </w:p>
    <w:p w:rsidR="00D616F9" w:rsidRPr="00181C3C" w:rsidRDefault="00D616F9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Pediatrická populácia</w:t>
      </w: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Schizofrénia u dospievajúcich vo veku 15 rokov a</w:t>
      </w:r>
      <w:r w:rsidR="00405EF4" w:rsidRPr="00181C3C">
        <w:rPr>
          <w:i/>
          <w:sz w:val="22"/>
          <w:szCs w:val="22"/>
          <w:lang w:val="sk-SK"/>
        </w:rPr>
        <w:t> </w:t>
      </w:r>
      <w:r w:rsidRPr="00181C3C">
        <w:rPr>
          <w:i/>
          <w:sz w:val="22"/>
          <w:szCs w:val="22"/>
          <w:lang w:val="sk-SK"/>
        </w:rPr>
        <w:t>starších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O</w:t>
      </w:r>
      <w:r w:rsidR="00386643" w:rsidRPr="00181C3C">
        <w:rPr>
          <w:sz w:val="22"/>
          <w:szCs w:val="22"/>
          <w:lang w:val="sk-SK"/>
        </w:rPr>
        <w:t xml:space="preserve">dporúčaná dávka </w:t>
      </w:r>
      <w:r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 xml:space="preserve">je 10 mg/deň podávaná podľa dávkovacej schémy raz denne, bez ohľadu na príjem potravy. Liečba má začať s dávkou 2 mg (použitím </w:t>
      </w:r>
      <w:r w:rsidR="00C76B8D" w:rsidRPr="00181C3C">
        <w:rPr>
          <w:sz w:val="22"/>
          <w:szCs w:val="22"/>
          <w:lang w:val="sk-SK"/>
        </w:rPr>
        <w:t xml:space="preserve">aripiprazolu vo forme </w:t>
      </w:r>
      <w:r w:rsidR="00386643" w:rsidRPr="00181C3C">
        <w:rPr>
          <w:sz w:val="22"/>
          <w:szCs w:val="22"/>
          <w:lang w:val="sk-SK"/>
        </w:rPr>
        <w:t xml:space="preserve">perorálneho roztoku 1 mg/ml) </w:t>
      </w:r>
      <w:r w:rsidR="00C76B8D" w:rsidRPr="00181C3C">
        <w:rPr>
          <w:sz w:val="22"/>
          <w:szCs w:val="22"/>
          <w:lang w:val="sk-SK"/>
        </w:rPr>
        <w:t>počas prvých</w:t>
      </w:r>
      <w:r w:rsidR="00386643" w:rsidRPr="00181C3C">
        <w:rPr>
          <w:sz w:val="22"/>
          <w:szCs w:val="22"/>
          <w:lang w:val="sk-SK"/>
        </w:rPr>
        <w:t xml:space="preserve"> 2 dn</w:t>
      </w:r>
      <w:r w:rsidR="00C76B8D" w:rsidRPr="00181C3C">
        <w:rPr>
          <w:sz w:val="22"/>
          <w:szCs w:val="22"/>
          <w:lang w:val="sk-SK"/>
        </w:rPr>
        <w:t>í</w:t>
      </w:r>
      <w:r w:rsidR="00386643" w:rsidRPr="00181C3C">
        <w:rPr>
          <w:sz w:val="22"/>
          <w:szCs w:val="22"/>
          <w:lang w:val="sk-SK"/>
        </w:rPr>
        <w:t>, titrovanou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327E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386643" w:rsidRPr="00181C3C">
        <w:rPr>
          <w:sz w:val="22"/>
          <w:szCs w:val="22"/>
          <w:lang w:val="sk-SK"/>
        </w:rPr>
        <w:t xml:space="preserve">je účinný v dávkovom rozsahu od 10 do 30 mg/deň. Zvýšená účinnosť vyššími dávkami ako je denná dávka 10 mg, nebola dokázaná, hoci jednotliví pacienti môžu mať úžitok z vyššej dávky. </w:t>
      </w:r>
    </w:p>
    <w:p w:rsidR="00C7327E" w:rsidRPr="00181C3C" w:rsidRDefault="00C7327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Aripiprazol </w:t>
      </w:r>
      <w:r w:rsidR="00C7327E" w:rsidRPr="00181C3C">
        <w:rPr>
          <w:sz w:val="22"/>
          <w:szCs w:val="22"/>
          <w:lang w:val="sk-SK"/>
        </w:rPr>
        <w:t>sa neodporúča</w:t>
      </w:r>
      <w:r w:rsidR="00386643" w:rsidRPr="00181C3C">
        <w:rPr>
          <w:sz w:val="22"/>
          <w:szCs w:val="22"/>
          <w:lang w:val="sk-SK"/>
        </w:rPr>
        <w:t xml:space="preserve"> na použitie u pacientov so schizofréniou mladších ako 15 rokov kvôli chýbajúcim údajom o bezpečnosti a účin</w:t>
      </w:r>
      <w:r w:rsidRPr="00181C3C">
        <w:rPr>
          <w:sz w:val="22"/>
          <w:szCs w:val="22"/>
          <w:lang w:val="sk-SK"/>
        </w:rPr>
        <w:t>nosti (pozri časti 4.8 a 5.1).</w:t>
      </w: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Manické epizódy pri bipolárnej poruche typu I u dospievajúcich vo veku 13 rokov a starších</w:t>
      </w: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Odporúčaná dávka aripiprazolu je 10 mg/deň podávaná podľa dávkovacej schémy jedenkrát denne, bez ohľadu na príjem potravy. Liečba sa má začať dávkou 2 mg (použitím perorálneho roztoku aripiprazolu 1 mg/ml) počas 2 dní, titrovanou na 5 mg ďalšie 2 dni, aby sa dosiahla odporúčaná denná dávka 10 mg.</w:t>
      </w: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Dĺžka liečby má byť čo najkratšia potrebná na kontrolu </w:t>
      </w:r>
      <w:r w:rsidR="00181C3C">
        <w:rPr>
          <w:sz w:val="22"/>
          <w:szCs w:val="22"/>
          <w:lang w:val="sk-SK"/>
        </w:rPr>
        <w:t>príznakov</w:t>
      </w:r>
      <w:r w:rsidR="00181C3C" w:rsidRPr="00181C3C" w:rsidDel="00181C3C">
        <w:rPr>
          <w:sz w:val="22"/>
          <w:szCs w:val="22"/>
          <w:lang w:val="sk-SK"/>
        </w:rPr>
        <w:t xml:space="preserve"> </w:t>
      </w:r>
      <w:r w:rsidRPr="00181C3C">
        <w:rPr>
          <w:sz w:val="22"/>
          <w:szCs w:val="22"/>
          <w:lang w:val="sk-SK"/>
        </w:rPr>
        <w:t xml:space="preserve">a nesmie prekročiť 12 týždňov. Lepšia účinnosť pri vyšších dávkach než je denná dávka 10 mg sa nedokázala, a denná dávka 30 mg sa spája s podstatne vyššou incidenciou významných nežiaducich </w:t>
      </w:r>
      <w:r w:rsidR="000F78F8">
        <w:rPr>
          <w:sz w:val="22"/>
          <w:szCs w:val="22"/>
          <w:lang w:val="sk-SK"/>
        </w:rPr>
        <w:t xml:space="preserve">reakcií </w:t>
      </w:r>
      <w:r w:rsidRPr="00181C3C">
        <w:rPr>
          <w:sz w:val="22"/>
          <w:szCs w:val="22"/>
          <w:lang w:val="sk-SK"/>
        </w:rPr>
        <w:t>vrátane príhod súvisiacich s</w:t>
      </w:r>
      <w:r w:rsidR="00181C3C">
        <w:rPr>
          <w:sz w:val="22"/>
          <w:szCs w:val="22"/>
          <w:lang w:val="sk-SK"/>
        </w:rPr>
        <w:t> </w:t>
      </w:r>
      <w:r w:rsidRPr="00181C3C">
        <w:rPr>
          <w:sz w:val="22"/>
          <w:szCs w:val="22"/>
          <w:lang w:val="sk-SK"/>
        </w:rPr>
        <w:t>extrapyramídovými</w:t>
      </w:r>
      <w:r w:rsidR="00181C3C">
        <w:rPr>
          <w:sz w:val="22"/>
          <w:szCs w:val="22"/>
          <w:lang w:val="sk-SK"/>
        </w:rPr>
        <w:t xml:space="preserve"> </w:t>
      </w:r>
      <w:r w:rsidR="00181C3C" w:rsidRPr="00B30CE6">
        <w:rPr>
          <w:sz w:val="22"/>
          <w:szCs w:val="22"/>
        </w:rPr>
        <w:t>príznakmi</w:t>
      </w:r>
      <w:r w:rsidRPr="00181C3C">
        <w:rPr>
          <w:sz w:val="22"/>
          <w:szCs w:val="22"/>
          <w:lang w:val="sk-SK"/>
        </w:rPr>
        <w:t>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DA1974" w:rsidRPr="00181C3C" w:rsidRDefault="00DA1974" w:rsidP="00DA1974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Mladší pacienti majú s užívaním aripiprazolu spojené zvýšené riziko vzniku nežiaducich príhod. Preto sa aripiprazol neodporúča používať u pacientov mladších ako 13 rokov (pozri časti 4.8 a 5.1).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Podráždenosť spojená s autistickou poruchou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B</w:t>
      </w:r>
      <w:r w:rsidR="00386643" w:rsidRPr="00181C3C">
        <w:rPr>
          <w:sz w:val="22"/>
          <w:szCs w:val="22"/>
          <w:lang w:val="sk-SK"/>
        </w:rPr>
        <w:t xml:space="preserve">ezpečnosť a účinnosť </w:t>
      </w:r>
      <w:r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 xml:space="preserve">u detí a dospievajúcich mladších ako 18 rokov </w:t>
      </w:r>
      <w:r w:rsidR="00C76B8D" w:rsidRPr="00181C3C">
        <w:rPr>
          <w:sz w:val="22"/>
          <w:szCs w:val="22"/>
          <w:lang w:val="sk-SK"/>
        </w:rPr>
        <w:t xml:space="preserve">doteraz </w:t>
      </w:r>
      <w:r w:rsidR="00386643" w:rsidRPr="00181C3C">
        <w:rPr>
          <w:sz w:val="22"/>
          <w:szCs w:val="22"/>
          <w:lang w:val="sk-SK"/>
        </w:rPr>
        <w:t>nebola stanovená. V súčasnosti dostupné údaje sú opísané v časti 5.1, ale neumožňujú uviesť odporúčania na dávkovanie.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Tiky súvisiace s Tourettovým syndrómom</w:t>
      </w:r>
    </w:p>
    <w:p w:rsidR="00C76B8D" w:rsidRPr="00181C3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B</w:t>
      </w:r>
      <w:r w:rsidR="00386643" w:rsidRPr="00181C3C">
        <w:rPr>
          <w:sz w:val="22"/>
          <w:szCs w:val="22"/>
          <w:lang w:val="sk-SK"/>
        </w:rPr>
        <w:t xml:space="preserve">ezpečnosť a účinnosť </w:t>
      </w:r>
      <w:r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>u detí a dospievajúcich vo veku 6 až 18 rokov neboli doteraz stanovené. V súčasnosti dostupné údaje sú opísané v časti 5.1, ale neumožňujú uviesť odporúčania na dávkovanie.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D616F9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86643" w:rsidRPr="00181C3C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386643" w:rsidRPr="00181C3C">
        <w:rPr>
          <w:i/>
          <w:sz w:val="22"/>
          <w:szCs w:val="22"/>
          <w:lang w:val="sk-SK"/>
        </w:rPr>
        <w:t xml:space="preserve"> funkcie pečene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</w:t>
      </w:r>
      <w:r w:rsidRPr="00181C3C">
        <w:rPr>
          <w:sz w:val="22"/>
          <w:szCs w:val="22"/>
          <w:lang w:val="sk-SK"/>
        </w:rPr>
        <w:lastRenderedPageBreak/>
        <w:t xml:space="preserve">Maximálna denná dávka 30 mg sa však musí u pacientov s ťažkou poruchou funkcie pečene </w:t>
      </w:r>
      <w:r w:rsidR="00C76B8D" w:rsidRPr="00181C3C">
        <w:rPr>
          <w:sz w:val="22"/>
          <w:szCs w:val="22"/>
          <w:lang w:val="sk-SK"/>
        </w:rPr>
        <w:t xml:space="preserve">podávať s opatrnosťou </w:t>
      </w:r>
      <w:r w:rsidRPr="00181C3C">
        <w:rPr>
          <w:sz w:val="22"/>
          <w:szCs w:val="22"/>
          <w:lang w:val="sk-SK"/>
        </w:rPr>
        <w:t>(pozri časť 5.2).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D616F9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86643" w:rsidRPr="00181C3C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386643" w:rsidRPr="00181C3C">
        <w:rPr>
          <w:i/>
          <w:sz w:val="22"/>
          <w:szCs w:val="22"/>
          <w:lang w:val="sk-SK"/>
        </w:rPr>
        <w:t xml:space="preserve"> funkcie obličiek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U pacientov s poruchou funkcie obličiek nie je potrebná žiadna úprava dávkovania.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 xml:space="preserve">Starší </w:t>
      </w:r>
      <w:r w:rsidR="00D616F9">
        <w:rPr>
          <w:i/>
          <w:sz w:val="22"/>
          <w:szCs w:val="22"/>
          <w:lang w:val="sk-SK"/>
        </w:rPr>
        <w:t>pacienti</w:t>
      </w:r>
    </w:p>
    <w:p w:rsidR="00C76B8D" w:rsidRPr="00181C3C" w:rsidRDefault="000F78F8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Bezpečnosť a </w:t>
      </w:r>
      <w:r w:rsidRPr="00181C3C">
        <w:rPr>
          <w:sz w:val="22"/>
          <w:szCs w:val="22"/>
          <w:lang w:val="sk-SK"/>
        </w:rPr>
        <w:t>ú</w:t>
      </w:r>
      <w:r w:rsidR="00386643" w:rsidRPr="00181C3C">
        <w:rPr>
          <w:sz w:val="22"/>
          <w:szCs w:val="22"/>
          <w:lang w:val="sk-SK"/>
        </w:rPr>
        <w:t xml:space="preserve">činnosť </w:t>
      </w:r>
      <w:r w:rsidR="00405EF4" w:rsidRPr="00181C3C">
        <w:rPr>
          <w:sz w:val="22"/>
          <w:szCs w:val="22"/>
          <w:lang w:val="sk-SK"/>
        </w:rPr>
        <w:t>a</w:t>
      </w:r>
      <w:r w:rsidR="00C76B8D" w:rsidRPr="00181C3C">
        <w:rPr>
          <w:sz w:val="22"/>
          <w:szCs w:val="22"/>
          <w:lang w:val="sk-SK"/>
        </w:rPr>
        <w:t xml:space="preserve">ripiprazolu </w:t>
      </w:r>
      <w:r w:rsidR="00386643" w:rsidRPr="00181C3C">
        <w:rPr>
          <w:sz w:val="22"/>
          <w:szCs w:val="22"/>
          <w:lang w:val="sk-SK"/>
        </w:rPr>
        <w:t xml:space="preserve">v liečbe schizofrénie </w:t>
      </w:r>
      <w:r w:rsidRPr="000F78F8">
        <w:rPr>
          <w:sz w:val="22"/>
          <w:szCs w:val="22"/>
          <w:lang w:val="sk-SK"/>
        </w:rPr>
        <w:t xml:space="preserve"> </w:t>
      </w:r>
      <w:r w:rsidRPr="00C124E3">
        <w:rPr>
          <w:sz w:val="22"/>
          <w:szCs w:val="22"/>
          <w:lang w:val="sk-SK"/>
        </w:rPr>
        <w:t xml:space="preserve">alebo manických epizód </w:t>
      </w:r>
      <w:r w:rsidR="0005729C">
        <w:rPr>
          <w:sz w:val="22"/>
          <w:szCs w:val="22"/>
          <w:lang w:val="sk-SK"/>
        </w:rPr>
        <w:t>pri</w:t>
      </w:r>
      <w:r w:rsidR="00386643" w:rsidRPr="00181C3C">
        <w:rPr>
          <w:sz w:val="22"/>
          <w:szCs w:val="22"/>
          <w:lang w:val="sk-SK"/>
        </w:rPr>
        <w:t xml:space="preserve"> bipolárnej poruch</w:t>
      </w:r>
      <w:r w:rsidR="0005729C">
        <w:rPr>
          <w:sz w:val="22"/>
          <w:szCs w:val="22"/>
          <w:lang w:val="sk-SK"/>
        </w:rPr>
        <w:t>e</w:t>
      </w:r>
      <w:r w:rsidR="00386643" w:rsidRPr="00181C3C">
        <w:rPr>
          <w:sz w:val="22"/>
          <w:szCs w:val="22"/>
          <w:lang w:val="sk-SK"/>
        </w:rPr>
        <w:t xml:space="preserve"> typu I u pacientov vo veku 65 rokov a starších nebola stanovená. Vzhľadom na väčšiu citlivosť v tejto časti populácie sa má zvážiť nižšia </w:t>
      </w:r>
      <w:r w:rsidR="00405EF4" w:rsidRPr="00181C3C">
        <w:rPr>
          <w:sz w:val="22"/>
          <w:szCs w:val="22"/>
          <w:lang w:val="sk-SK"/>
        </w:rPr>
        <w:t>za</w:t>
      </w:r>
      <w:r w:rsidR="00386643" w:rsidRPr="00181C3C">
        <w:rPr>
          <w:sz w:val="22"/>
          <w:szCs w:val="22"/>
          <w:lang w:val="sk-SK"/>
        </w:rPr>
        <w:t>čiatočná dávka, pokiaľ si to vyžadujú klinické faktory (pozri časť 4.4).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Pohlavie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 xml:space="preserve">Nie je potrebná žiadna úprava dávkovania u pacientov </w:t>
      </w:r>
      <w:r w:rsidR="00181C3C">
        <w:rPr>
          <w:sz w:val="22"/>
          <w:szCs w:val="22"/>
          <w:lang w:val="sk-SK"/>
        </w:rPr>
        <w:t>ženského pohlavia</w:t>
      </w:r>
      <w:r w:rsidR="00181C3C" w:rsidRPr="008260AC">
        <w:rPr>
          <w:sz w:val="22"/>
          <w:szCs w:val="22"/>
          <w:lang w:val="sk-SK"/>
        </w:rPr>
        <w:t xml:space="preserve"> </w:t>
      </w:r>
      <w:r w:rsidRPr="00181C3C">
        <w:rPr>
          <w:sz w:val="22"/>
          <w:szCs w:val="22"/>
          <w:lang w:val="sk-SK"/>
        </w:rPr>
        <w:t xml:space="preserve">v porovnaní s pacientmi </w:t>
      </w:r>
      <w:r w:rsidR="00181C3C">
        <w:rPr>
          <w:sz w:val="22"/>
          <w:szCs w:val="22"/>
          <w:lang w:val="sk-SK"/>
        </w:rPr>
        <w:t xml:space="preserve">mužského pohlavia </w:t>
      </w:r>
      <w:r w:rsidRPr="00181C3C">
        <w:rPr>
          <w:sz w:val="22"/>
          <w:szCs w:val="22"/>
          <w:lang w:val="sk-SK"/>
        </w:rPr>
        <w:t>(pozri časť 5.2).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181C3C">
        <w:rPr>
          <w:i/>
          <w:sz w:val="22"/>
          <w:szCs w:val="22"/>
          <w:lang w:val="sk-SK"/>
        </w:rPr>
        <w:t>Fajčenie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Vzhľadom na metabolickú cestu aripiprazolu nie je u fajčiarov potrebná žiadna úprava dávkovania (pozri časť 4.5).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181C3C">
        <w:rPr>
          <w:sz w:val="22"/>
          <w:szCs w:val="22"/>
          <w:u w:val="single"/>
          <w:lang w:val="sk-SK"/>
        </w:rPr>
        <w:t>Úprava dávkovania pri interakciách</w:t>
      </w: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181C3C">
        <w:rPr>
          <w:sz w:val="22"/>
          <w:szCs w:val="22"/>
          <w:lang w:val="sk-SK"/>
        </w:rPr>
        <w:t>V prípade sú</w:t>
      </w:r>
      <w:r w:rsidR="00C76B8D" w:rsidRPr="00181C3C">
        <w:rPr>
          <w:sz w:val="22"/>
          <w:szCs w:val="22"/>
          <w:lang w:val="sk-SK"/>
        </w:rPr>
        <w:t>bež</w:t>
      </w:r>
      <w:r w:rsidRPr="00181C3C">
        <w:rPr>
          <w:sz w:val="22"/>
          <w:szCs w:val="22"/>
          <w:lang w:val="sk-SK"/>
        </w:rPr>
        <w:t xml:space="preserve">ného podávania silných inhibítorov CYP3A4 alebo CYP2D6 s aripiprazolom sa </w:t>
      </w:r>
      <w:r w:rsidR="00C76B8D" w:rsidRPr="00181C3C">
        <w:rPr>
          <w:sz w:val="22"/>
          <w:szCs w:val="22"/>
          <w:lang w:val="sk-SK"/>
        </w:rPr>
        <w:t xml:space="preserve">má </w:t>
      </w:r>
      <w:r w:rsidRPr="00181C3C">
        <w:rPr>
          <w:sz w:val="22"/>
          <w:szCs w:val="22"/>
          <w:lang w:val="sk-SK"/>
        </w:rPr>
        <w:t>dávka aripiprazolu znížiť. Keď sa inhibítory CYP3A4 alebo CYP2D6 vysadia z kombinovanej liečby</w:t>
      </w:r>
      <w:r w:rsidR="00C76B8D" w:rsidRPr="00181C3C">
        <w:rPr>
          <w:sz w:val="22"/>
          <w:szCs w:val="22"/>
          <w:lang w:val="sk-SK"/>
        </w:rPr>
        <w:t>,</w:t>
      </w:r>
      <w:r w:rsidRPr="00181C3C">
        <w:rPr>
          <w:sz w:val="22"/>
          <w:szCs w:val="22"/>
          <w:lang w:val="sk-SK"/>
        </w:rPr>
        <w:t xml:space="preserve"> dávka aripiprazolu </w:t>
      </w:r>
      <w:r w:rsidR="00C76B8D" w:rsidRPr="00181C3C">
        <w:rPr>
          <w:sz w:val="22"/>
          <w:szCs w:val="22"/>
          <w:lang w:val="sk-SK"/>
        </w:rPr>
        <w:t xml:space="preserve">sa má </w:t>
      </w:r>
      <w:r w:rsidRPr="00181C3C">
        <w:rPr>
          <w:sz w:val="22"/>
          <w:szCs w:val="22"/>
          <w:lang w:val="sk-SK"/>
        </w:rPr>
        <w:t>zvýšiť (pozri časť 4.5). V prípade sú</w:t>
      </w:r>
      <w:r w:rsidR="00C76B8D" w:rsidRPr="00181C3C">
        <w:rPr>
          <w:sz w:val="22"/>
          <w:szCs w:val="22"/>
          <w:lang w:val="sk-SK"/>
        </w:rPr>
        <w:t>bež</w:t>
      </w:r>
      <w:r w:rsidRPr="00181C3C">
        <w:rPr>
          <w:sz w:val="22"/>
          <w:szCs w:val="22"/>
          <w:lang w:val="sk-SK"/>
        </w:rPr>
        <w:t xml:space="preserve">ného podávania silných induktorov CYP3A4 s aripiprazolom sa </w:t>
      </w:r>
      <w:r w:rsidR="00C76B8D" w:rsidRPr="00181C3C">
        <w:rPr>
          <w:sz w:val="22"/>
          <w:szCs w:val="22"/>
          <w:lang w:val="sk-SK"/>
        </w:rPr>
        <w:t xml:space="preserve">má </w:t>
      </w:r>
      <w:r w:rsidRPr="00181C3C">
        <w:rPr>
          <w:sz w:val="22"/>
          <w:szCs w:val="22"/>
          <w:lang w:val="sk-SK"/>
        </w:rPr>
        <w:t xml:space="preserve">dávka aripiprazolu zvýšiť. Keď sa induktor CYP3A4 vysadí z kombinovanej liečby dávka aripiprazolu </w:t>
      </w:r>
      <w:r w:rsidR="00C76B8D" w:rsidRPr="00181C3C">
        <w:rPr>
          <w:sz w:val="22"/>
          <w:szCs w:val="22"/>
          <w:lang w:val="sk-SK"/>
        </w:rPr>
        <w:t xml:space="preserve">sa má </w:t>
      </w:r>
      <w:r w:rsidRPr="00181C3C">
        <w:rPr>
          <w:sz w:val="22"/>
          <w:szCs w:val="22"/>
          <w:lang w:val="sk-SK"/>
        </w:rPr>
        <w:t>znížiť na odporúčanú dávku (pozri časť 4.5).</w:t>
      </w:r>
    </w:p>
    <w:p w:rsidR="00C76B8D" w:rsidRPr="00181C3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181C3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181C3C">
        <w:rPr>
          <w:sz w:val="22"/>
          <w:szCs w:val="22"/>
          <w:u w:val="single"/>
          <w:lang w:val="sk-SK"/>
        </w:rPr>
        <w:t>Spôsob podávania</w:t>
      </w:r>
    </w:p>
    <w:p w:rsidR="00C76B8D" w:rsidRPr="004E4A09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4E4A09">
        <w:rPr>
          <w:sz w:val="22"/>
          <w:szCs w:val="22"/>
        </w:rPr>
        <w:t>Orodispergovateľné t</w:t>
      </w:r>
      <w:r w:rsidR="00C76B8D" w:rsidRPr="004E4A09">
        <w:rPr>
          <w:sz w:val="22"/>
          <w:szCs w:val="22"/>
        </w:rPr>
        <w:t xml:space="preserve">ablety Aripiprazolu </w:t>
      </w:r>
      <w:r w:rsidR="00B512AD" w:rsidRPr="004E4A09">
        <w:rPr>
          <w:sz w:val="22"/>
          <w:szCs w:val="22"/>
        </w:rPr>
        <w:t xml:space="preserve">STADA </w:t>
      </w:r>
      <w:r w:rsidR="00C76B8D" w:rsidRPr="004E4A09">
        <w:rPr>
          <w:sz w:val="22"/>
          <w:szCs w:val="22"/>
        </w:rPr>
        <w:t>sú určené na perorálne použitie.</w:t>
      </w:r>
    </w:p>
    <w:p w:rsidR="004E4A09" w:rsidRPr="004E4A09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4E4A09" w:rsidRPr="004E4A09" w:rsidRDefault="004E4A09" w:rsidP="004E4A09">
      <w:pPr>
        <w:rPr>
          <w:sz w:val="22"/>
          <w:szCs w:val="22"/>
        </w:rPr>
      </w:pPr>
      <w:r w:rsidRPr="004E4A09">
        <w:rPr>
          <w:sz w:val="22"/>
          <w:szCs w:val="22"/>
        </w:rPr>
        <w:t xml:space="preserve">Orodispergovateľná tableta sa má dať do úst na jazyk, kde sa rýchlo rozpustí v slinách. Môže sa užiť s tekutinou alebo bez nej. Odstránenie neporušenej orodispergovateľnej tablety z úst je obtiažne. Orodispergovateľná tableta je krehká, a preto sa musí </w:t>
      </w:r>
      <w:r w:rsidR="00533BBA">
        <w:rPr>
          <w:sz w:val="22"/>
          <w:szCs w:val="22"/>
        </w:rPr>
        <w:t xml:space="preserve">užiť </w:t>
      </w:r>
      <w:r w:rsidRPr="004E4A09">
        <w:rPr>
          <w:sz w:val="22"/>
          <w:szCs w:val="22"/>
        </w:rPr>
        <w:t xml:space="preserve">okamžite po otvorení blistra. </w:t>
      </w:r>
      <w:r>
        <w:rPr>
          <w:sz w:val="22"/>
          <w:szCs w:val="22"/>
        </w:rPr>
        <w:t>T</w:t>
      </w:r>
      <w:r w:rsidRPr="004E4A09">
        <w:rPr>
          <w:sz w:val="22"/>
          <w:szCs w:val="22"/>
        </w:rPr>
        <w:t xml:space="preserve">ableta </w:t>
      </w:r>
      <w:r>
        <w:rPr>
          <w:sz w:val="22"/>
          <w:szCs w:val="22"/>
        </w:rPr>
        <w:t xml:space="preserve">sa môže tiež </w:t>
      </w:r>
      <w:r w:rsidRPr="004E4A09">
        <w:rPr>
          <w:sz w:val="22"/>
          <w:szCs w:val="22"/>
        </w:rPr>
        <w:t>rozpust</w:t>
      </w:r>
      <w:r>
        <w:rPr>
          <w:sz w:val="22"/>
          <w:szCs w:val="22"/>
        </w:rPr>
        <w:t>iť</w:t>
      </w:r>
      <w:r w:rsidRPr="004E4A09">
        <w:rPr>
          <w:sz w:val="22"/>
          <w:szCs w:val="22"/>
        </w:rPr>
        <w:t xml:space="preserve"> vo vode a vytvorená suspenzia sa vypije.</w:t>
      </w:r>
    </w:p>
    <w:p w:rsidR="004E4A09" w:rsidRPr="004E4A09" w:rsidRDefault="004E4A09" w:rsidP="004E4A09">
      <w:pPr>
        <w:rPr>
          <w:sz w:val="22"/>
          <w:szCs w:val="22"/>
        </w:rPr>
      </w:pPr>
    </w:p>
    <w:p w:rsidR="00D616F9" w:rsidRPr="000E0894" w:rsidRDefault="00D616F9" w:rsidP="00D616F9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Orodispergovateľné tablety alebo perorálny roztok sa môžu používať ako náhrada tabliet aripiprazolu u pacientov, ktorí majú problém prehltnúť tablety aripiprazolu (pozri tiež časť 5.2).</w:t>
      </w:r>
    </w:p>
    <w:p w:rsidR="004E4A09" w:rsidRPr="00405EF4" w:rsidRDefault="004E4A09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B2419C" w:rsidRPr="00405EF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4.3</w:t>
      </w:r>
      <w:r w:rsidRPr="00405EF4">
        <w:rPr>
          <w:b/>
          <w:sz w:val="22"/>
          <w:szCs w:val="22"/>
        </w:rPr>
        <w:tab/>
        <w:t>Kontraindikácie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  <w:r w:rsidRPr="00405EF4">
        <w:rPr>
          <w:sz w:val="22"/>
          <w:szCs w:val="22"/>
        </w:rPr>
        <w:t>Precitlivenosť na liečivo alebo na ktorúkoľvek z pomocných látok uvedených v časti 6.1.</w:t>
      </w:r>
    </w:p>
    <w:p w:rsidR="00D93193" w:rsidRPr="00405EF4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4.4</w:t>
      </w:r>
      <w:r w:rsidRPr="00405EF4">
        <w:rPr>
          <w:b/>
          <w:sz w:val="22"/>
          <w:szCs w:val="22"/>
        </w:rPr>
        <w:tab/>
        <w:t>Osobitné upozornenia a opatrenia pri používaní</w:t>
      </w:r>
    </w:p>
    <w:p w:rsidR="00B2419C" w:rsidRPr="00405EF4" w:rsidRDefault="00B2419C" w:rsidP="002C6892">
      <w:pPr>
        <w:widowControl w:val="0"/>
        <w:rPr>
          <w:sz w:val="22"/>
          <w:szCs w:val="22"/>
          <w:lang w:eastAsia="en-US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Samovražda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Výskyt samovražedného správania je u psychotických ochorení a porúch nálady bežný jav a v niektorých prípadoch sa pozoroval </w:t>
      </w:r>
      <w:r w:rsidR="00C76B8D" w:rsidRPr="00405EF4">
        <w:rPr>
          <w:sz w:val="22"/>
          <w:szCs w:val="22"/>
        </w:rPr>
        <w:t>čoskoro</w:t>
      </w:r>
      <w:r w:rsidRPr="00405EF4">
        <w:rPr>
          <w:sz w:val="22"/>
          <w:szCs w:val="22"/>
        </w:rPr>
        <w:t xml:space="preserve"> po začatí alebo zmene antipsychotickej liečby, vrátane liečby aripiprazolom (pozri časť 4.8). Antipsychotická liečba vysokorizikových pacientov si vyžaduje dôkladné sledovanie. </w:t>
      </w:r>
    </w:p>
    <w:p w:rsidR="0005729C" w:rsidRDefault="0005729C" w:rsidP="002C6892">
      <w:pPr>
        <w:widowControl w:val="0"/>
        <w:rPr>
          <w:sz w:val="22"/>
          <w:szCs w:val="22"/>
          <w:u w:val="single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Kardiovaskulárne poruchy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má používať </w:t>
      </w:r>
      <w:r w:rsidR="00C76B8D" w:rsidRPr="00405EF4">
        <w:rPr>
          <w:sz w:val="22"/>
          <w:szCs w:val="22"/>
        </w:rPr>
        <w:t xml:space="preserve">opatrne </w:t>
      </w:r>
      <w:r w:rsidRPr="00405EF4">
        <w:rPr>
          <w:sz w:val="22"/>
          <w:szCs w:val="22"/>
        </w:rPr>
        <w:t xml:space="preserve">u pacientov so známou kardiovaskulárnou chorobou (anamnéza infarktu myokardu alebo ischemickej choroby srdca, srdcové zlyhania alebo abnormality vedenia), </w:t>
      </w:r>
      <w:r w:rsidRPr="00405EF4">
        <w:rPr>
          <w:sz w:val="22"/>
          <w:szCs w:val="22"/>
        </w:rPr>
        <w:lastRenderedPageBreak/>
        <w:t xml:space="preserve">cerebrovaskulárnou chorobou, podmienkami, ktoré môžu mať vplyv na pacientov s predispozíciou na </w:t>
      </w:r>
      <w:r w:rsidR="0030163A" w:rsidRPr="00405EF4">
        <w:rPr>
          <w:sz w:val="22"/>
          <w:szCs w:val="22"/>
        </w:rPr>
        <w:t xml:space="preserve">hypotenziu </w:t>
      </w:r>
      <w:r w:rsidRPr="00405EF4">
        <w:rPr>
          <w:sz w:val="22"/>
          <w:szCs w:val="22"/>
        </w:rPr>
        <w:t>(dehydratácia, hypovolémia a liečba antihypertenzívnymi liekmi) alebo hypertenziou zahŕňajúcu akcelerovanú alebo malígnu.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Prípady </w:t>
      </w:r>
      <w:r w:rsidR="0030163A" w:rsidRPr="00405EF4">
        <w:rPr>
          <w:sz w:val="22"/>
          <w:szCs w:val="22"/>
        </w:rPr>
        <w:t xml:space="preserve">venóznej trombembólie </w:t>
      </w:r>
      <w:r w:rsidRPr="00405EF4">
        <w:rPr>
          <w:sz w:val="22"/>
          <w:szCs w:val="22"/>
        </w:rPr>
        <w:t xml:space="preserve">(VTE) boli hlásené pri antipsychotikách. Pred a počas liečby </w:t>
      </w:r>
      <w:r w:rsidR="00405EF4" w:rsidRP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ripiprazolom </w:t>
      </w:r>
      <w:r w:rsidRPr="00405EF4">
        <w:rPr>
          <w:sz w:val="22"/>
          <w:szCs w:val="22"/>
        </w:rPr>
        <w:t>sa majú stanoviť rizikové faktory VTE a vykonať preventívne opatrenia, pretože u pacientov liečených antipsychotikami sú často prítomné získané rizikové faktory VTE.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B3097F" w:rsidRDefault="00D616F9" w:rsidP="002C6892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Predĺženie QT intervalu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klinických štúdiách s aripiprazolom bola incidencia predĺženia </w:t>
      </w:r>
      <w:r w:rsidR="00181C3C" w:rsidRPr="00D61A1E">
        <w:rPr>
          <w:sz w:val="22"/>
          <w:szCs w:val="22"/>
        </w:rPr>
        <w:t>QT intervalu</w:t>
      </w:r>
      <w:r w:rsidR="00181C3C" w:rsidRPr="009E012C">
        <w:rPr>
          <w:szCs w:val="22"/>
        </w:rPr>
        <w:t xml:space="preserve"> </w:t>
      </w:r>
      <w:r w:rsidRPr="00405EF4">
        <w:rPr>
          <w:sz w:val="22"/>
          <w:szCs w:val="22"/>
        </w:rPr>
        <w:t>porovnateľná s placebom.</w:t>
      </w:r>
      <w:r w:rsidR="0005729C">
        <w:rPr>
          <w:sz w:val="22"/>
          <w:szCs w:val="22"/>
        </w:rPr>
        <w:t xml:space="preserve"> </w:t>
      </w:r>
      <w:r w:rsidR="000F78F8">
        <w:rPr>
          <w:sz w:val="22"/>
          <w:szCs w:val="22"/>
        </w:rPr>
        <w:t>A</w:t>
      </w:r>
      <w:r w:rsidRPr="00405EF4">
        <w:rPr>
          <w:sz w:val="22"/>
          <w:szCs w:val="22"/>
        </w:rPr>
        <w:t xml:space="preserve">ripiprazol sa má používať </w:t>
      </w:r>
      <w:r w:rsidR="00C76B8D" w:rsidRPr="00405EF4">
        <w:rPr>
          <w:sz w:val="22"/>
          <w:szCs w:val="22"/>
        </w:rPr>
        <w:t xml:space="preserve">opatrne </w:t>
      </w:r>
      <w:r w:rsidRPr="00405EF4">
        <w:rPr>
          <w:sz w:val="22"/>
          <w:szCs w:val="22"/>
        </w:rPr>
        <w:t>u pacientov s rodinnou anamnézou QT predĺženia</w:t>
      </w:r>
      <w:r w:rsidR="00D616F9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Tardívna dyskinéza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jednoročných alebo v kratších klinických skúšaniach boli poča</w:t>
      </w:r>
      <w:r w:rsidR="00C76B8D" w:rsidRPr="00405EF4">
        <w:rPr>
          <w:sz w:val="22"/>
          <w:szCs w:val="22"/>
        </w:rPr>
        <w:t xml:space="preserve">s liečby aripiprazolom hlásené </w:t>
      </w:r>
      <w:r w:rsidR="0030163A" w:rsidRPr="00405EF4">
        <w:rPr>
          <w:sz w:val="22"/>
          <w:szCs w:val="22"/>
        </w:rPr>
        <w:t xml:space="preserve">menej časté </w:t>
      </w:r>
      <w:r w:rsidRPr="00405EF4">
        <w:rPr>
          <w:sz w:val="22"/>
          <w:szCs w:val="22"/>
        </w:rPr>
        <w:t xml:space="preserve">prípady dyskinézy vzniknutej počas liečby. Pokiaľ sa u pacienta užívajúceho </w:t>
      </w:r>
      <w:r w:rsidR="00405EF4" w:rsidRP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 </w:t>
      </w:r>
      <w:r w:rsidRPr="00405EF4">
        <w:rPr>
          <w:sz w:val="22"/>
          <w:szCs w:val="22"/>
        </w:rPr>
        <w:t xml:space="preserve">objavia </w:t>
      </w:r>
      <w:r w:rsidR="00181C3C">
        <w:rPr>
          <w:sz w:val="22"/>
          <w:szCs w:val="22"/>
        </w:rPr>
        <w:t>prejavy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a príznaky tardívnej dyskinézy</w:t>
      </w:r>
      <w:r w:rsidR="00C76B8D" w:rsidRPr="00405EF4">
        <w:rPr>
          <w:sz w:val="22"/>
          <w:szCs w:val="22"/>
        </w:rPr>
        <w:t>,</w:t>
      </w:r>
      <w:r w:rsidRPr="00405EF4">
        <w:rPr>
          <w:sz w:val="22"/>
          <w:szCs w:val="22"/>
        </w:rPr>
        <w:t xml:space="preserve"> má sa zvážiť zníženie dávky alebo prerušenie liečby</w:t>
      </w:r>
      <w:r w:rsidR="00D616F9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 xml:space="preserve">. Tieto príznaky </w:t>
      </w:r>
      <w:r w:rsidR="00C76B8D" w:rsidRPr="00405EF4">
        <w:rPr>
          <w:sz w:val="22"/>
          <w:szCs w:val="22"/>
        </w:rPr>
        <w:t>sa môžu p</w:t>
      </w:r>
      <w:r w:rsidR="0030163A" w:rsidRPr="00405EF4">
        <w:rPr>
          <w:sz w:val="22"/>
          <w:szCs w:val="22"/>
        </w:rPr>
        <w:t>rechodne</w:t>
      </w:r>
      <w:r w:rsidR="00C76B8D" w:rsidRPr="00405EF4">
        <w:rPr>
          <w:sz w:val="22"/>
          <w:szCs w:val="22"/>
        </w:rPr>
        <w:t xml:space="preserve"> zhoršovať</w:t>
      </w:r>
      <w:r w:rsidRPr="00405EF4">
        <w:rPr>
          <w:sz w:val="22"/>
          <w:szCs w:val="22"/>
        </w:rPr>
        <w:t xml:space="preserve"> alebo môžu dokonca </w:t>
      </w:r>
      <w:r w:rsidR="00C76B8D" w:rsidRPr="00405EF4">
        <w:rPr>
          <w:sz w:val="22"/>
          <w:szCs w:val="22"/>
        </w:rPr>
        <w:t xml:space="preserve">vzniknúť </w:t>
      </w:r>
      <w:r w:rsidRPr="00405EF4">
        <w:rPr>
          <w:sz w:val="22"/>
          <w:szCs w:val="22"/>
        </w:rPr>
        <w:t>aj po prerušení liečby.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 xml:space="preserve">Iné extrapyramídové </w:t>
      </w:r>
      <w:r w:rsidR="00181C3C" w:rsidRPr="00F70D32">
        <w:rPr>
          <w:sz w:val="22"/>
          <w:szCs w:val="22"/>
          <w:u w:val="single"/>
        </w:rPr>
        <w:t>príznaky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klinických skúšaniach s deťmi a dospievajúcimi s aripiprazolom sa pozorovala akatízia a parkinsonizmus. Ak sa objavia </w:t>
      </w:r>
      <w:r w:rsidR="00181C3C" w:rsidRPr="00F70D32">
        <w:rPr>
          <w:sz w:val="22"/>
          <w:szCs w:val="22"/>
        </w:rPr>
        <w:t>prejavy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a </w:t>
      </w:r>
      <w:r w:rsidR="00181C3C" w:rsidRPr="00F673C3">
        <w:rPr>
          <w:sz w:val="22"/>
          <w:szCs w:val="22"/>
        </w:rPr>
        <w:t>príznaky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iných extrapyramídových </w:t>
      </w:r>
      <w:r w:rsidR="00181C3C" w:rsidRPr="00F70D32">
        <w:rPr>
          <w:sz w:val="22"/>
          <w:szCs w:val="22"/>
        </w:rPr>
        <w:t>príznakov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u pacienta užívajúceho </w:t>
      </w:r>
      <w:r w:rsidR="00405EF4" w:rsidRP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ripiprazol, </w:t>
      </w:r>
      <w:r w:rsidRPr="00405EF4">
        <w:rPr>
          <w:sz w:val="22"/>
          <w:szCs w:val="22"/>
        </w:rPr>
        <w:t>má sa zvážiť zníženie dávky a starostlivý klinický monitoring.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Neuroleptický malígny syndróm (NMS)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NMS je potenciálne fatálny komplex </w:t>
      </w:r>
      <w:r w:rsidR="00181C3C" w:rsidRPr="00F70D32">
        <w:rPr>
          <w:sz w:val="22"/>
          <w:szCs w:val="22"/>
        </w:rPr>
        <w:t>príznakov</w:t>
      </w:r>
      <w:r w:rsidR="00181C3C" w:rsidRPr="00405EF4" w:rsidDel="00181C3C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súvisiaci s podávaním antipsychot</w:t>
      </w:r>
      <w:r w:rsidR="000F78F8">
        <w:rPr>
          <w:sz w:val="22"/>
          <w:szCs w:val="22"/>
        </w:rPr>
        <w:t>ík</w:t>
      </w:r>
      <w:r w:rsidRPr="00405EF4">
        <w:rPr>
          <w:sz w:val="22"/>
          <w:szCs w:val="22"/>
        </w:rPr>
        <w:t>.</w:t>
      </w:r>
      <w:r w:rsidR="00C76B8D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V</w:t>
      </w:r>
      <w:r w:rsidR="00C76B8D" w:rsidRPr="00405EF4">
        <w:rPr>
          <w:sz w:val="22"/>
          <w:szCs w:val="22"/>
        </w:rPr>
        <w:t> </w:t>
      </w:r>
      <w:r w:rsidRPr="00405EF4">
        <w:rPr>
          <w:sz w:val="22"/>
          <w:szCs w:val="22"/>
        </w:rPr>
        <w:t xml:space="preserve">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</w:t>
      </w:r>
      <w:r w:rsidR="00A91E9B" w:rsidRPr="00F70D32">
        <w:rPr>
          <w:sz w:val="22"/>
          <w:szCs w:val="22"/>
        </w:rPr>
        <w:t>prejavy</w:t>
      </w:r>
      <w:r w:rsidR="00A91E9B" w:rsidRPr="00405EF4" w:rsidDel="00A91E9B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môže patriť zvýšená hodnota kreatínfosfokinázy, myoglobinúria (rabdomyolýza) a akútne renálne zlyhanie.</w:t>
      </w:r>
      <w:r w:rsidR="00C76B8D" w:rsidRPr="00405EF4">
        <w:rPr>
          <w:sz w:val="22"/>
          <w:szCs w:val="22"/>
        </w:rPr>
        <w:t xml:space="preserve"> V</w:t>
      </w:r>
      <w:r w:rsidRPr="00405EF4">
        <w:rPr>
          <w:sz w:val="22"/>
          <w:szCs w:val="22"/>
        </w:rPr>
        <w:t xml:space="preserve">yskytla sa tiež </w:t>
      </w:r>
      <w:r w:rsidR="00C76B8D" w:rsidRPr="00405EF4">
        <w:rPr>
          <w:sz w:val="22"/>
          <w:szCs w:val="22"/>
        </w:rPr>
        <w:t xml:space="preserve">však </w:t>
      </w:r>
      <w:r w:rsidRPr="00405EF4">
        <w:rPr>
          <w:sz w:val="22"/>
          <w:szCs w:val="22"/>
        </w:rPr>
        <w:t>zvýšená kreatín fosfokináza a</w:t>
      </w:r>
      <w:r w:rsidR="00C76B8D" w:rsidRPr="00405EF4">
        <w:rPr>
          <w:sz w:val="22"/>
          <w:szCs w:val="22"/>
        </w:rPr>
        <w:t> </w:t>
      </w:r>
      <w:r w:rsidRPr="00405EF4">
        <w:rPr>
          <w:sz w:val="22"/>
          <w:szCs w:val="22"/>
        </w:rPr>
        <w:t>rabdomyolýza</w:t>
      </w:r>
      <w:r w:rsidR="00C76B8D" w:rsidRPr="00405EF4">
        <w:rPr>
          <w:sz w:val="22"/>
          <w:szCs w:val="22"/>
        </w:rPr>
        <w:t>, ktorá</w:t>
      </w:r>
      <w:r w:rsidRPr="00405EF4">
        <w:rPr>
          <w:sz w:val="22"/>
          <w:szCs w:val="22"/>
        </w:rPr>
        <w:t xml:space="preserve"> </w:t>
      </w:r>
      <w:r w:rsidR="00C76B8D" w:rsidRPr="00405EF4">
        <w:rPr>
          <w:sz w:val="22"/>
          <w:szCs w:val="22"/>
        </w:rPr>
        <w:t>nebola</w:t>
      </w:r>
      <w:r w:rsidRPr="00405EF4">
        <w:rPr>
          <w:sz w:val="22"/>
          <w:szCs w:val="22"/>
        </w:rPr>
        <w:t xml:space="preserve"> nevyhnutne spojená s NMS. Ak u pacientov vzniknú </w:t>
      </w:r>
      <w:r w:rsidR="00A91E9B" w:rsidRPr="00F70D32">
        <w:rPr>
          <w:sz w:val="22"/>
          <w:szCs w:val="22"/>
        </w:rPr>
        <w:t>prejavy</w:t>
      </w:r>
      <w:r w:rsidR="00A91E9B" w:rsidRPr="00405EF4" w:rsidDel="00A91E9B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a príznaky svedčiace o NMS, alebo ak pacienti budú mať nevysvetliteľnú vysokú horúčku bez ďalších klinických prejavov NMS, užívanie všetkých antipsychot</w:t>
      </w:r>
      <w:r w:rsidR="000F78F8">
        <w:rPr>
          <w:sz w:val="22"/>
          <w:szCs w:val="22"/>
        </w:rPr>
        <w:t>ík</w:t>
      </w:r>
      <w:r w:rsidR="0005729C">
        <w:rPr>
          <w:sz w:val="22"/>
          <w:szCs w:val="22"/>
        </w:rPr>
        <w:t>,</w:t>
      </w:r>
      <w:r w:rsidRPr="00405EF4">
        <w:rPr>
          <w:sz w:val="22"/>
          <w:szCs w:val="22"/>
        </w:rPr>
        <w:t xml:space="preserve"> vrátane </w:t>
      </w:r>
      <w:r w:rsidR="00C7327E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>ripiprazolu</w:t>
      </w:r>
      <w:r w:rsidR="0005729C">
        <w:rPr>
          <w:sz w:val="22"/>
          <w:szCs w:val="22"/>
        </w:rPr>
        <w:t>,</w:t>
      </w:r>
      <w:r w:rsidR="00C76B8D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sa musí prerušiť.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Záchvat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klinických skúšaniach boli počas liečby aripiprazolom hlásené menej časté prípady záchvatov. Aripiprazol sa preto má podávať s opatrnosťou u pacientov, ktorí majú </w:t>
      </w:r>
      <w:r w:rsidR="00A91E9B">
        <w:rPr>
          <w:sz w:val="22"/>
          <w:szCs w:val="22"/>
        </w:rPr>
        <w:t>záchvaty</w:t>
      </w:r>
      <w:r w:rsidR="00A91E9B" w:rsidRPr="00405EF4" w:rsidDel="00A91E9B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v anamnéze, alebo ktorí majú stavy súvisiace so záchvatmi</w:t>
      </w:r>
      <w:r w:rsidR="00D616F9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Starší pacienti s psychózou spojenou s</w:t>
      </w:r>
      <w:r w:rsidR="00C76B8D" w:rsidRPr="00405EF4">
        <w:rPr>
          <w:sz w:val="22"/>
          <w:szCs w:val="22"/>
          <w:u w:val="single"/>
        </w:rPr>
        <w:t> </w:t>
      </w:r>
      <w:r w:rsidRPr="00405EF4">
        <w:rPr>
          <w:sz w:val="22"/>
          <w:szCs w:val="22"/>
          <w:u w:val="single"/>
        </w:rPr>
        <w:t>demenciou</w:t>
      </w:r>
    </w:p>
    <w:p w:rsidR="00405EF4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Zvýšenie mortality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troch placebom kontrolovaných štúdiách (n = 938; priemerný vek: 82,4 rokov; rozsah: 56-99 rokov) aripiprazolu u starších pacientov s psychózou spojenou s Alzheimerovou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</w:t>
      </w:r>
      <w:r w:rsidR="00D616F9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>.</w:t>
      </w:r>
    </w:p>
    <w:p w:rsidR="00405EF4" w:rsidRPr="00405EF4" w:rsidRDefault="00405EF4" w:rsidP="002C6892">
      <w:pPr>
        <w:widowControl w:val="0"/>
        <w:rPr>
          <w:sz w:val="22"/>
          <w:szCs w:val="22"/>
        </w:rPr>
      </w:pPr>
    </w:p>
    <w:p w:rsidR="00405EF4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Cerebrovaskulárne nežiaduce reakcie</w:t>
      </w:r>
    </w:p>
    <w:p w:rsidR="000F78F8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tých istých štúdiách boli u pacientov hlásené cerebrovaskulárne nežiaduce reakcie (napr.</w:t>
      </w:r>
      <w:r w:rsidR="00A91E9B" w:rsidRPr="00F70D32">
        <w:rPr>
          <w:rFonts w:eastAsia="TimesNewRomanPSMT"/>
          <w:sz w:val="22"/>
          <w:szCs w:val="22"/>
        </w:rPr>
        <w:t>mozgová príhoda</w:t>
      </w:r>
      <w:r w:rsidRPr="00405EF4">
        <w:rPr>
          <w:sz w:val="22"/>
          <w:szCs w:val="22"/>
        </w:rPr>
        <w:t xml:space="preserve">, prechodný ischemický záchvat) </w:t>
      </w:r>
      <w:r w:rsidR="0030163A" w:rsidRPr="00405EF4">
        <w:rPr>
          <w:sz w:val="22"/>
          <w:szCs w:val="22"/>
        </w:rPr>
        <w:t>vrátane smrteľných prípadov</w:t>
      </w:r>
      <w:r w:rsidR="0030163A" w:rsidRPr="00405EF4" w:rsidDel="0030163A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(priemerný vek: 84 rokov; rozsah: 78-88 rokov). Celkov</w:t>
      </w:r>
      <w:r w:rsidR="00C76B8D" w:rsidRPr="00405EF4">
        <w:rPr>
          <w:sz w:val="22"/>
          <w:szCs w:val="22"/>
        </w:rPr>
        <w:t>o</w:t>
      </w:r>
      <w:r w:rsidRPr="00405EF4">
        <w:rPr>
          <w:sz w:val="22"/>
          <w:szCs w:val="22"/>
        </w:rPr>
        <w:t xml:space="preserve"> sa u 1,3 % aripiprazolom liečených pacientov zistili cerebrovaskulárne nežiaduce reakcie v porovnaní s 0,6 % placebom liečených pacientov v týchto štúdiách. Tento rozdiel nebol štatisticky významný. Avšak v jednej z týchto štúdií, v štúdii s fixovanou dávkou, bol významný vzťah reakcie na dávku pre cerebrovaskulárne nežiaduce reakcie u pacientov liečených aripiprazolom. </w:t>
      </w:r>
    </w:p>
    <w:p w:rsidR="000F78F8" w:rsidRDefault="000F78F8" w:rsidP="002C6892">
      <w:pPr>
        <w:widowControl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</w:t>
      </w:r>
      <w:r w:rsidR="00386643" w:rsidRPr="00405EF4">
        <w:rPr>
          <w:sz w:val="22"/>
          <w:szCs w:val="22"/>
        </w:rPr>
        <w:t>nie je indikovaný pre liečbu</w:t>
      </w:r>
      <w:r w:rsidR="000F78F8" w:rsidRPr="000E0894">
        <w:rPr>
          <w:sz w:val="22"/>
          <w:szCs w:val="22"/>
        </w:rPr>
        <w:t xml:space="preserve"> </w:t>
      </w:r>
      <w:r w:rsidR="00386643" w:rsidRPr="00405EF4">
        <w:rPr>
          <w:sz w:val="22"/>
          <w:szCs w:val="22"/>
        </w:rPr>
        <w:t>psychózy spojenej s</w:t>
      </w:r>
      <w:r w:rsidR="00D616F9">
        <w:rPr>
          <w:sz w:val="22"/>
          <w:szCs w:val="22"/>
        </w:rPr>
        <w:t> </w:t>
      </w:r>
      <w:r w:rsidR="00386643" w:rsidRPr="00405EF4">
        <w:rPr>
          <w:sz w:val="22"/>
          <w:szCs w:val="22"/>
        </w:rPr>
        <w:t>demenciou</w:t>
      </w:r>
      <w:r w:rsidR="00D616F9">
        <w:rPr>
          <w:sz w:val="22"/>
          <w:szCs w:val="22"/>
        </w:rPr>
        <w:t xml:space="preserve"> (pozri časť 4.8)</w:t>
      </w:r>
      <w:r w:rsidR="00386643"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Hyperglykémia a diabetes mellitus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U</w:t>
      </w:r>
      <w:r w:rsidR="00386643" w:rsidRPr="00405EF4">
        <w:rPr>
          <w:sz w:val="22"/>
          <w:szCs w:val="22"/>
        </w:rPr>
        <w:t xml:space="preserve"> pacientov liečených atypickými antipsychotikami zahŕňajúcimi </w:t>
      </w:r>
      <w:r w:rsidR="00405EF4" w:rsidRPr="00405EF4">
        <w:rPr>
          <w:sz w:val="22"/>
          <w:szCs w:val="22"/>
        </w:rPr>
        <w:t>a</w:t>
      </w:r>
      <w:r w:rsidRPr="00405EF4">
        <w:rPr>
          <w:sz w:val="22"/>
          <w:szCs w:val="22"/>
        </w:rPr>
        <w:t>ripiprazol bola hlásená hyperglykémia, v niektorých prípadoch mimoriadna a spojená s ketoacidózou alebo hyperosmolárnou kómou alebo smrťou</w:t>
      </w:r>
      <w:r w:rsidR="00386643" w:rsidRPr="00405EF4">
        <w:rPr>
          <w:sz w:val="22"/>
          <w:szCs w:val="22"/>
        </w:rPr>
        <w:t>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DA4B83" w:rsidRPr="00405EF4">
        <w:rPr>
          <w:sz w:val="22"/>
          <w:szCs w:val="22"/>
        </w:rPr>
        <w:t>mi</w:t>
      </w:r>
      <w:r w:rsidR="00386643" w:rsidRPr="00405EF4">
        <w:rPr>
          <w:sz w:val="22"/>
          <w:szCs w:val="22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</w:t>
      </w:r>
      <w:r w:rsidR="00405EF4" w:rsidRPr="00405EF4">
        <w:rPr>
          <w:sz w:val="22"/>
          <w:szCs w:val="22"/>
        </w:rPr>
        <w:t>a</w:t>
      </w:r>
      <w:r w:rsidRPr="00405EF4">
        <w:rPr>
          <w:sz w:val="22"/>
          <w:szCs w:val="22"/>
        </w:rPr>
        <w:t xml:space="preserve">ripiprazolom </w:t>
      </w:r>
      <w:r w:rsidR="00386643" w:rsidRPr="00405EF4">
        <w:rPr>
          <w:sz w:val="22"/>
          <w:szCs w:val="22"/>
        </w:rPr>
        <w:t xml:space="preserve">a inými antipsychotikami nie sú dostupné. Pacienti liečení inými antipsychotikami zahŕňajúcimi </w:t>
      </w:r>
      <w:r w:rsidR="00405EF4" w:rsidRPr="00405EF4">
        <w:rPr>
          <w:sz w:val="22"/>
          <w:szCs w:val="22"/>
        </w:rPr>
        <w:t>a</w:t>
      </w:r>
      <w:r w:rsidRPr="00405EF4">
        <w:rPr>
          <w:sz w:val="22"/>
          <w:szCs w:val="22"/>
        </w:rPr>
        <w:t xml:space="preserve">ripiprazol </w:t>
      </w:r>
      <w:r w:rsidR="00386643" w:rsidRPr="00405EF4">
        <w:rPr>
          <w:sz w:val="22"/>
          <w:szCs w:val="22"/>
        </w:rPr>
        <w:t xml:space="preserve">majú byť sledovaní na </w:t>
      </w:r>
      <w:r w:rsidR="00DA4B83" w:rsidRPr="00405EF4">
        <w:rPr>
          <w:sz w:val="22"/>
          <w:szCs w:val="22"/>
        </w:rPr>
        <w:t xml:space="preserve">prejavy </w:t>
      </w:r>
      <w:r w:rsidR="00386643" w:rsidRPr="00405EF4">
        <w:rPr>
          <w:sz w:val="22"/>
          <w:szCs w:val="22"/>
        </w:rPr>
        <w:t>a príznaky hyperglykémie (ako je polydipsia, polyúria, polyfágia a slabosť) a pacienti s diabetes mellitus alebo s rizikovými faktormi pre diabetes mellitus majú byť pravidelne monitorovaní na zhoršenie glukózovej kontroly</w:t>
      </w:r>
      <w:r w:rsidR="00D616F9">
        <w:rPr>
          <w:sz w:val="22"/>
          <w:szCs w:val="22"/>
        </w:rPr>
        <w:t xml:space="preserve"> (pozri časť 4.8)</w:t>
      </w:r>
      <w:r w:rsidR="00386643"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Hypersenzitivita</w:t>
      </w:r>
    </w:p>
    <w:p w:rsidR="00C76B8D" w:rsidRPr="00405EF4" w:rsidRDefault="000F78F8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C76B8D" w:rsidRPr="00405EF4">
        <w:rPr>
          <w:sz w:val="22"/>
          <w:szCs w:val="22"/>
        </w:rPr>
        <w:t>o aripiprazole</w:t>
      </w:r>
      <w:r w:rsidR="00386643" w:rsidRPr="00405EF4">
        <w:rPr>
          <w:sz w:val="22"/>
          <w:szCs w:val="22"/>
        </w:rPr>
        <w:t xml:space="preserve"> </w:t>
      </w:r>
      <w:r w:rsidR="00C76B8D" w:rsidRPr="00405EF4">
        <w:rPr>
          <w:sz w:val="22"/>
          <w:szCs w:val="22"/>
        </w:rPr>
        <w:t xml:space="preserve">sa môžu vyskytnúť </w:t>
      </w:r>
      <w:r w:rsidR="00386643" w:rsidRPr="00405EF4">
        <w:rPr>
          <w:sz w:val="22"/>
          <w:szCs w:val="22"/>
        </w:rPr>
        <w:t xml:space="preserve">hypersenzitívne reakcie charakterizované alergickými </w:t>
      </w:r>
      <w:r w:rsidR="00D30C66" w:rsidRPr="00EB1E5E">
        <w:rPr>
          <w:color w:val="000000"/>
          <w:sz w:val="22"/>
          <w:szCs w:val="22"/>
        </w:rPr>
        <w:t>príznakmi</w:t>
      </w:r>
      <w:r w:rsidR="00D30C66" w:rsidRPr="00405EF4" w:rsidDel="00D30C66">
        <w:rPr>
          <w:sz w:val="22"/>
          <w:szCs w:val="22"/>
        </w:rPr>
        <w:t xml:space="preserve"> </w:t>
      </w:r>
      <w:r w:rsidR="00386643" w:rsidRPr="00405EF4">
        <w:rPr>
          <w:sz w:val="22"/>
          <w:szCs w:val="22"/>
        </w:rPr>
        <w:t>(pozri časť 4.8).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Prírastok telesnej hmotnosti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</w:t>
      </w:r>
      <w:r w:rsidR="00405EF4" w:rsidRP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>ripiprazol</w:t>
      </w:r>
      <w:r w:rsidRPr="00405EF4">
        <w:rPr>
          <w:sz w:val="22"/>
          <w:szCs w:val="22"/>
        </w:rPr>
        <w:t>. Ak sa zistí, je to zvyčajne u pacientov s významnými rizikovými faktormi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Dysfágia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S</w:t>
      </w:r>
      <w:r w:rsidR="00386643" w:rsidRPr="00405EF4">
        <w:rPr>
          <w:sz w:val="22"/>
          <w:szCs w:val="22"/>
        </w:rPr>
        <w:t xml:space="preserve"> použitím antipsychot</w:t>
      </w:r>
      <w:r w:rsidR="00D616F9">
        <w:rPr>
          <w:sz w:val="22"/>
          <w:szCs w:val="22"/>
        </w:rPr>
        <w:t>ík</w:t>
      </w:r>
      <w:r w:rsidRPr="00405EF4">
        <w:rPr>
          <w:sz w:val="22"/>
          <w:szCs w:val="22"/>
        </w:rPr>
        <w:t>,</w:t>
      </w:r>
      <w:r w:rsidR="00386643" w:rsidRPr="00405EF4">
        <w:rPr>
          <w:sz w:val="22"/>
          <w:szCs w:val="22"/>
        </w:rPr>
        <w:t xml:space="preserve"> vrátane </w:t>
      </w:r>
      <w:r w:rsidR="00405EF4">
        <w:rPr>
          <w:sz w:val="22"/>
          <w:szCs w:val="22"/>
        </w:rPr>
        <w:t>a</w:t>
      </w:r>
      <w:r w:rsidRPr="00405EF4">
        <w:rPr>
          <w:sz w:val="22"/>
          <w:szCs w:val="22"/>
        </w:rPr>
        <w:t>ripiprazolu, sú spojené ezofageálna dysmotilita a aspirácia</w:t>
      </w:r>
      <w:r w:rsidR="00386643" w:rsidRPr="00405EF4">
        <w:rPr>
          <w:sz w:val="22"/>
          <w:szCs w:val="22"/>
        </w:rPr>
        <w:t>. Aripiprazol sa m</w:t>
      </w:r>
      <w:r w:rsidR="000F78F8">
        <w:rPr>
          <w:sz w:val="22"/>
          <w:szCs w:val="22"/>
        </w:rPr>
        <w:t>á</w:t>
      </w:r>
      <w:r w:rsidR="00386643" w:rsidRPr="00405EF4">
        <w:rPr>
          <w:sz w:val="22"/>
          <w:szCs w:val="22"/>
        </w:rPr>
        <w:t xml:space="preserve"> u pacientov s rizikom aspiračnej pneumónie</w:t>
      </w:r>
      <w:r w:rsidRPr="00405EF4">
        <w:rPr>
          <w:sz w:val="22"/>
          <w:szCs w:val="22"/>
        </w:rPr>
        <w:t xml:space="preserve"> používať opatrne</w:t>
      </w:r>
      <w:r w:rsidR="00386643"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0F78F8" w:rsidRPr="000E0894" w:rsidRDefault="00386643" w:rsidP="000F78F8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Patologické hráčstvo</w:t>
      </w:r>
      <w:r w:rsidR="000F78F8">
        <w:rPr>
          <w:sz w:val="22"/>
          <w:szCs w:val="22"/>
          <w:u w:val="single"/>
        </w:rPr>
        <w:t xml:space="preserve"> a ďalšie poruchy kontroly impulzov</w:t>
      </w:r>
    </w:p>
    <w:p w:rsidR="000F78F8" w:rsidRDefault="000F78F8" w:rsidP="000F78F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Pacienti môžu pociťovať zvýšené nutkanie, najmä k správaniu, ako je hráčstvo a tomuto nutkaniu nedokážu odolať počas užívania aripiprazolu. Ďalšie hlásenia nutkania zahŕňajú: zvýšenú sexuálnu túžbu, kompulzívne nakupovanie, prejedanie sa a</w:t>
      </w:r>
      <w:r w:rsidR="00770780">
        <w:rPr>
          <w:sz w:val="22"/>
          <w:szCs w:val="22"/>
        </w:rPr>
        <w:t>lebo</w:t>
      </w:r>
      <w:r>
        <w:rPr>
          <w:sz w:val="22"/>
          <w:szCs w:val="22"/>
        </w:rPr>
        <w:t xml:space="preserve"> kompulzívne jedenie a ďalšie impulzívne a kompulzívne správania. Je dôležité, aby sa predpisujúci lekár spýtal pacientov alebo ich ošetrovateľov konkrétne na rozvoj nového alebo zvýšeného nutkania k hráčstvu, sexuálnej túžbe,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dávky alebo prerušenie užívania lieku (pozri časť 4.8).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Pacienti s</w:t>
      </w:r>
      <w:r w:rsidR="00C76B8D" w:rsidRPr="00405EF4">
        <w:rPr>
          <w:sz w:val="22"/>
          <w:szCs w:val="22"/>
          <w:u w:val="single"/>
        </w:rPr>
        <w:t> </w:t>
      </w:r>
      <w:r w:rsidRPr="00405EF4">
        <w:rPr>
          <w:sz w:val="22"/>
          <w:szCs w:val="22"/>
          <w:u w:val="single"/>
        </w:rPr>
        <w:t>ADHD</w:t>
      </w:r>
      <w:r w:rsidR="00C76B8D" w:rsidRPr="00405EF4">
        <w:rPr>
          <w:sz w:val="22"/>
          <w:szCs w:val="22"/>
          <w:u w:val="single"/>
        </w:rPr>
        <w:t xml:space="preserve"> komorbiditami</w:t>
      </w:r>
    </w:p>
    <w:p w:rsidR="00EB461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Napriek vysokej frekvencii komorbid</w:t>
      </w:r>
      <w:r w:rsidR="00C76B8D" w:rsidRPr="00405EF4">
        <w:rPr>
          <w:sz w:val="22"/>
          <w:szCs w:val="22"/>
        </w:rPr>
        <w:t>ít</w:t>
      </w:r>
      <w:r w:rsidRPr="00405EF4">
        <w:rPr>
          <w:sz w:val="22"/>
          <w:szCs w:val="22"/>
        </w:rPr>
        <w:t xml:space="preserve"> </w:t>
      </w:r>
      <w:r w:rsidR="00C76B8D" w:rsidRPr="00405EF4">
        <w:rPr>
          <w:sz w:val="22"/>
          <w:szCs w:val="22"/>
        </w:rPr>
        <w:t xml:space="preserve">pri </w:t>
      </w:r>
      <w:r w:rsidRPr="00405EF4">
        <w:rPr>
          <w:sz w:val="22"/>
          <w:szCs w:val="22"/>
        </w:rPr>
        <w:t>bipolárnej poruch</w:t>
      </w:r>
      <w:r w:rsidR="00C76B8D" w:rsidRPr="00405EF4">
        <w:rPr>
          <w:sz w:val="22"/>
          <w:szCs w:val="22"/>
        </w:rPr>
        <w:t>e</w:t>
      </w:r>
      <w:r w:rsidRPr="00405EF4">
        <w:rPr>
          <w:sz w:val="22"/>
          <w:szCs w:val="22"/>
        </w:rPr>
        <w:t xml:space="preserve"> typu I a</w:t>
      </w:r>
      <w:r w:rsidR="00C76B8D" w:rsidRPr="00405EF4">
        <w:rPr>
          <w:sz w:val="22"/>
          <w:szCs w:val="22"/>
        </w:rPr>
        <w:t> </w:t>
      </w:r>
      <w:r w:rsidRPr="00405EF4">
        <w:rPr>
          <w:sz w:val="22"/>
          <w:szCs w:val="22"/>
        </w:rPr>
        <w:t>ADHD</w:t>
      </w:r>
      <w:r w:rsidR="00C76B8D" w:rsidRPr="00405EF4">
        <w:rPr>
          <w:sz w:val="22"/>
          <w:szCs w:val="22"/>
        </w:rPr>
        <w:t>,</w:t>
      </w:r>
      <w:r w:rsidRPr="00405EF4">
        <w:rPr>
          <w:sz w:val="22"/>
          <w:szCs w:val="22"/>
        </w:rPr>
        <w:t xml:space="preserve"> dostupné </w:t>
      </w:r>
      <w:r w:rsidR="00C76B8D" w:rsidRPr="00405EF4">
        <w:rPr>
          <w:sz w:val="22"/>
          <w:szCs w:val="22"/>
        </w:rPr>
        <w:t xml:space="preserve">údaje o bezpečnosti pri súbežnom používaní </w:t>
      </w:r>
      <w:r w:rsidR="00405EF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a stimulantov sú len </w:t>
      </w:r>
      <w:r w:rsidRPr="00405EF4">
        <w:rPr>
          <w:sz w:val="22"/>
          <w:szCs w:val="22"/>
        </w:rPr>
        <w:t xml:space="preserve">veľmi obmedzené; preto ak sa </w:t>
      </w:r>
      <w:r w:rsidR="00C76B8D" w:rsidRPr="00405EF4">
        <w:rPr>
          <w:sz w:val="22"/>
          <w:szCs w:val="22"/>
        </w:rPr>
        <w:t>tieto lieky</w:t>
      </w:r>
      <w:r w:rsidRPr="00405EF4">
        <w:rPr>
          <w:sz w:val="22"/>
          <w:szCs w:val="22"/>
        </w:rPr>
        <w:t xml:space="preserve"> podávajú súbežne je potrebná extrémna opatrnosť.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0F78F8" w:rsidRPr="000E0894" w:rsidRDefault="00C76B8D" w:rsidP="000F78F8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 xml:space="preserve">Aripiprazol </w:t>
      </w:r>
      <w:r w:rsidR="00B512AD" w:rsidRPr="00405EF4">
        <w:rPr>
          <w:sz w:val="22"/>
          <w:szCs w:val="22"/>
          <w:u w:val="single"/>
        </w:rPr>
        <w:t xml:space="preserve">STADA </w:t>
      </w:r>
      <w:r w:rsidRPr="00405EF4">
        <w:rPr>
          <w:sz w:val="22"/>
          <w:szCs w:val="22"/>
          <w:u w:val="single"/>
        </w:rPr>
        <w:t>obsahuje laktózu</w:t>
      </w:r>
      <w:r w:rsidR="000F78F8">
        <w:rPr>
          <w:sz w:val="22"/>
          <w:szCs w:val="22"/>
          <w:u w:val="single"/>
        </w:rPr>
        <w:t xml:space="preserve"> a sodík</w:t>
      </w:r>
      <w:r w:rsidR="000F78F8" w:rsidRPr="000E0894">
        <w:rPr>
          <w:sz w:val="22"/>
          <w:szCs w:val="22"/>
          <w:u w:val="single"/>
        </w:rPr>
        <w:t xml:space="preserve"> </w:t>
      </w:r>
    </w:p>
    <w:p w:rsidR="000F78F8" w:rsidRDefault="000F78F8" w:rsidP="000F78F8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lastRenderedPageBreak/>
        <w:t xml:space="preserve">Pacienti so zriedkavými dedičnými problémami galaktózovej intolerancie, </w:t>
      </w:r>
      <w:r>
        <w:rPr>
          <w:sz w:val="22"/>
          <w:szCs w:val="22"/>
        </w:rPr>
        <w:t xml:space="preserve">celkovým </w:t>
      </w:r>
      <w:r w:rsidRPr="000E0894">
        <w:rPr>
          <w:sz w:val="22"/>
          <w:szCs w:val="22"/>
        </w:rPr>
        <w:t>deficit</w:t>
      </w:r>
      <w:r>
        <w:rPr>
          <w:sz w:val="22"/>
          <w:szCs w:val="22"/>
        </w:rPr>
        <w:t>om</w:t>
      </w:r>
      <w:r w:rsidRPr="000E0894">
        <w:rPr>
          <w:sz w:val="22"/>
          <w:szCs w:val="22"/>
        </w:rPr>
        <w:t xml:space="preserve"> laktázy alebo glukózo-galaktózov</w:t>
      </w:r>
      <w:r>
        <w:rPr>
          <w:sz w:val="22"/>
          <w:szCs w:val="22"/>
        </w:rPr>
        <w:t>ou</w:t>
      </w:r>
      <w:r w:rsidRPr="000E0894">
        <w:rPr>
          <w:sz w:val="22"/>
          <w:szCs w:val="22"/>
        </w:rPr>
        <w:t xml:space="preserve"> malabsorpci</w:t>
      </w:r>
      <w:r>
        <w:rPr>
          <w:sz w:val="22"/>
          <w:szCs w:val="22"/>
        </w:rPr>
        <w:t>ou</w:t>
      </w:r>
      <w:r w:rsidRPr="000E0894">
        <w:rPr>
          <w:sz w:val="22"/>
          <w:szCs w:val="22"/>
        </w:rPr>
        <w:t xml:space="preserve"> nesmú užívať tento liek.</w:t>
      </w:r>
    </w:p>
    <w:p w:rsidR="000F78F8" w:rsidRPr="00C124E3" w:rsidRDefault="000F78F8" w:rsidP="000F78F8">
      <w:pPr>
        <w:widowControl w:val="0"/>
        <w:rPr>
          <w:sz w:val="22"/>
          <w:szCs w:val="22"/>
        </w:rPr>
      </w:pPr>
    </w:p>
    <w:p w:rsidR="000F78F8" w:rsidRPr="00C124E3" w:rsidRDefault="000F78F8" w:rsidP="000F78F8">
      <w:pPr>
        <w:autoSpaceDE w:val="0"/>
        <w:autoSpaceDN w:val="0"/>
        <w:adjustRightInd w:val="0"/>
        <w:rPr>
          <w:sz w:val="22"/>
          <w:szCs w:val="22"/>
        </w:rPr>
      </w:pPr>
      <w:r w:rsidRPr="00C124E3">
        <w:rPr>
          <w:rFonts w:eastAsia="Calibri"/>
          <w:sz w:val="22"/>
          <w:szCs w:val="22"/>
          <w:lang w:eastAsia="sk-SK"/>
        </w:rPr>
        <w:t>Tento liek obsahuje menej ako 1 mmol sodíka (23 mg) v</w:t>
      </w:r>
      <w:r w:rsidR="00770780">
        <w:rPr>
          <w:rFonts w:eastAsia="Calibri"/>
          <w:sz w:val="22"/>
          <w:szCs w:val="22"/>
          <w:lang w:eastAsia="sk-SK"/>
        </w:rPr>
        <w:t xml:space="preserve"> orodispergovateľnej </w:t>
      </w:r>
      <w:r>
        <w:rPr>
          <w:rFonts w:eastAsia="Calibri"/>
          <w:sz w:val="22"/>
          <w:szCs w:val="22"/>
          <w:lang w:eastAsia="sk-SK"/>
        </w:rPr>
        <w:t>tablete</w:t>
      </w:r>
      <w:r w:rsidRPr="00C124E3">
        <w:rPr>
          <w:rFonts w:eastAsia="Calibri"/>
          <w:sz w:val="22"/>
          <w:szCs w:val="22"/>
          <w:lang w:eastAsia="sk-SK"/>
        </w:rPr>
        <w:t>, t.j. v podstate zanedbateľné množstvo sodíka.</w:t>
      </w:r>
    </w:p>
    <w:p w:rsidR="00405EF4" w:rsidRPr="00405EF4" w:rsidRDefault="00C76B8D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 xml:space="preserve"> </w:t>
      </w:r>
    </w:p>
    <w:p w:rsidR="00C66C74" w:rsidRPr="00405EF4" w:rsidRDefault="00C66C74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Liekové a iné interakcie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V dôsledku antagonizmu α1-adrenergných receptorov môže aripiprazol zvyšovať účinok niektorých antihypertenzív.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Vzhľadom na primárne účinky aripiprazolu na CNS sa </w:t>
      </w:r>
      <w:r w:rsidR="00C76B8D" w:rsidRPr="00405EF4">
        <w:rPr>
          <w:sz w:val="22"/>
          <w:szCs w:val="22"/>
        </w:rPr>
        <w:t xml:space="preserve">musí venovať </w:t>
      </w:r>
      <w:r w:rsidRPr="00405EF4">
        <w:rPr>
          <w:sz w:val="22"/>
          <w:szCs w:val="22"/>
        </w:rPr>
        <w:t>zvýšená pozornosť podávaniu aripiprazolu v kombinácii s alkoholom alebo inými liekmi pôsobiacimi na CNS s prekrývajúcimi sa nežiaducimi reakciami ako je sedácia (pozri časť 4.8).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A</w:t>
      </w:r>
      <w:r w:rsidR="00386643" w:rsidRPr="00405EF4">
        <w:rPr>
          <w:sz w:val="22"/>
          <w:szCs w:val="22"/>
        </w:rPr>
        <w:t>ripiprazol sa má používať</w:t>
      </w:r>
      <w:r w:rsidRPr="00405EF4">
        <w:rPr>
          <w:sz w:val="22"/>
          <w:szCs w:val="22"/>
        </w:rPr>
        <w:t xml:space="preserve"> opatrne</w:t>
      </w:r>
      <w:r w:rsidR="00386643" w:rsidRPr="00405EF4">
        <w:rPr>
          <w:sz w:val="22"/>
          <w:szCs w:val="22"/>
        </w:rPr>
        <w:t>, ak sa podáva súbežne s liekmi, u ktorých je známe, že zapríčiňujú QT predĺženie alebo elektrolytovú nerovnováhu.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5C0C7D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5C0C7D">
        <w:rPr>
          <w:sz w:val="22"/>
          <w:szCs w:val="22"/>
          <w:u w:val="single"/>
        </w:rPr>
        <w:t>Potenciál iných liekov ovplyv</w:t>
      </w:r>
      <w:r w:rsidR="00C76B8D" w:rsidRPr="005C0C7D">
        <w:rPr>
          <w:sz w:val="22"/>
          <w:szCs w:val="22"/>
          <w:u w:val="single"/>
        </w:rPr>
        <w:t>ňovať</w:t>
      </w:r>
      <w:r w:rsidRPr="005C0C7D">
        <w:rPr>
          <w:sz w:val="22"/>
          <w:szCs w:val="22"/>
          <w:u w:val="single"/>
        </w:rPr>
        <w:t xml:space="preserve"> </w:t>
      </w:r>
      <w:r w:rsidR="00C66C74" w:rsidRPr="005C0C7D">
        <w:rPr>
          <w:sz w:val="22"/>
          <w:szCs w:val="22"/>
          <w:u w:val="single"/>
        </w:rPr>
        <w:t>a</w:t>
      </w:r>
      <w:r w:rsidR="00C76B8D" w:rsidRPr="005C0C7D">
        <w:rPr>
          <w:sz w:val="22"/>
          <w:szCs w:val="22"/>
          <w:u w:val="single"/>
        </w:rPr>
        <w:t xml:space="preserve">ripiprazol 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Blokátor tvorby žalúdočnej kyseliny, H2 antagonista famotidín, znižuje rýchlosť absorpcie aripiprazolu, ale tento účinok sa nepokladá za klinicky relevantný.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</w:t>
      </w:r>
      <w:r w:rsidR="00C76B8D" w:rsidRPr="00405EF4">
        <w:rPr>
          <w:sz w:val="22"/>
          <w:szCs w:val="22"/>
        </w:rPr>
        <w:t>sa</w:t>
      </w:r>
      <w:r w:rsidRPr="00405EF4">
        <w:rPr>
          <w:sz w:val="22"/>
          <w:szCs w:val="22"/>
        </w:rPr>
        <w:t xml:space="preserve"> metaboliz</w:t>
      </w:r>
      <w:r w:rsidR="00C76B8D" w:rsidRPr="00405EF4">
        <w:rPr>
          <w:sz w:val="22"/>
          <w:szCs w:val="22"/>
        </w:rPr>
        <w:t>uje</w:t>
      </w:r>
      <w:r w:rsidRPr="00405EF4">
        <w:rPr>
          <w:sz w:val="22"/>
          <w:szCs w:val="22"/>
        </w:rPr>
        <w:t xml:space="preserve"> mnohopočetnými cestami</w:t>
      </w:r>
      <w:r w:rsidR="00C76B8D" w:rsidRPr="00405EF4">
        <w:rPr>
          <w:sz w:val="22"/>
          <w:szCs w:val="22"/>
        </w:rPr>
        <w:t>, ktoré</w:t>
      </w:r>
      <w:r w:rsidRPr="00405EF4">
        <w:rPr>
          <w:sz w:val="22"/>
          <w:szCs w:val="22"/>
        </w:rPr>
        <w:t xml:space="preserve"> zahŕňajú enzýmy CYP2D6 a CYP3A4, ale nie enzýmy CYP1A. Preto </w:t>
      </w:r>
      <w:r w:rsidR="00C76B8D" w:rsidRPr="00405EF4">
        <w:rPr>
          <w:sz w:val="22"/>
          <w:szCs w:val="22"/>
        </w:rPr>
        <w:t xml:space="preserve">u fajčiarov </w:t>
      </w:r>
      <w:r w:rsidRPr="00405EF4">
        <w:rPr>
          <w:sz w:val="22"/>
          <w:szCs w:val="22"/>
        </w:rPr>
        <w:t>nie je potrebná žiadna úprava dávkovania.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405EF4">
        <w:rPr>
          <w:i/>
          <w:sz w:val="22"/>
          <w:szCs w:val="22"/>
          <w:u w:val="single"/>
        </w:rPr>
        <w:t>Chinidín a ďalšie inhibítory CYP2D6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klinickom skúšaní so zdravými jedincami zvýšil silný inhibítor CYP2D6 (chinidín) hodnoty AUC aripiprazolu o 107 %, </w:t>
      </w:r>
      <w:r w:rsidR="00C76B8D" w:rsidRPr="00405EF4">
        <w:rPr>
          <w:sz w:val="22"/>
          <w:szCs w:val="22"/>
        </w:rPr>
        <w:t>pričom</w:t>
      </w:r>
      <w:r w:rsidRPr="00405EF4">
        <w:rPr>
          <w:sz w:val="22"/>
          <w:szCs w:val="22"/>
        </w:rPr>
        <w:t xml:space="preserve"> hodnoty C</w:t>
      </w:r>
      <w:r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boli nezmenené. Hodnoty AUC aktívneho metabolitu dehydro-aripiprazolu sa znížili o 32 % a hodnoty C</w:t>
      </w:r>
      <w:r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o 47 %</w:t>
      </w:r>
      <w:r w:rsidR="00D616F9">
        <w:rPr>
          <w:sz w:val="22"/>
          <w:szCs w:val="22"/>
        </w:rPr>
        <w:t xml:space="preserve"> v uvedenom poradí</w:t>
      </w:r>
      <w:r w:rsidRPr="00405EF4">
        <w:rPr>
          <w:sz w:val="22"/>
          <w:szCs w:val="22"/>
        </w:rPr>
        <w:t xml:space="preserve">. 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 xml:space="preserve">sa má znížiť približne na polovicu predpísanej dávky, ak sa má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 </w:t>
      </w:r>
      <w:r w:rsidRPr="00405EF4">
        <w:rPr>
          <w:sz w:val="22"/>
          <w:szCs w:val="22"/>
        </w:rPr>
        <w:t>podávať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ne s chinidínom. U ďalších silných inhibítorov CYP2D6 ako sú fluoxetín a paroxetín je možné očakávať podobné účinky, a preto sa má použiť podobné zníženie dávkovania.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405EF4">
        <w:rPr>
          <w:i/>
          <w:sz w:val="22"/>
          <w:szCs w:val="22"/>
          <w:u w:val="single"/>
        </w:rPr>
        <w:t>Ketokonazol a ďalšie inhibítory CYP3A4</w:t>
      </w:r>
    </w:p>
    <w:p w:rsidR="00C66C7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o 37 %. Hodnoty AUC dehydro-aripiprazolu sa zvýšili o 77 % a hodnoty </w:t>
      </w:r>
      <w:r w:rsidR="00C76B8D" w:rsidRPr="00405EF4">
        <w:rPr>
          <w:sz w:val="22"/>
          <w:szCs w:val="22"/>
        </w:rPr>
        <w:t>C</w:t>
      </w:r>
      <w:r w:rsidR="00C76B8D" w:rsidRPr="00405EF4">
        <w:rPr>
          <w:sz w:val="22"/>
          <w:szCs w:val="22"/>
          <w:vertAlign w:val="subscript"/>
        </w:rPr>
        <w:t>max</w:t>
      </w:r>
      <w:r w:rsidR="00C76B8D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o 43 %. U pomalých metabolizérov CYP2D6 môže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né použitie silných inhibítorov CYP3A4 viesť k vyšším plazmatickým koncentráciám aripiprazolu oproti tým, ktoré sú u rýchlych metabolizérov CYP2D6. Pokiaľ sa uvažuje o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 xml:space="preserve">nom podávaní ketokonazolu alebo iných silných inhibítorov CYP3A4 s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>ripiprazolom</w:t>
      </w:r>
      <w:r w:rsidRPr="00405EF4">
        <w:rPr>
          <w:sz w:val="22"/>
          <w:szCs w:val="22"/>
        </w:rPr>
        <w:t>, možný úžitok pre pacienta musí prevažovať nad potenciálnymi rizikami. V prípade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 xml:space="preserve">ného podávania ketokonazolu s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ripiprazolom </w:t>
      </w:r>
      <w:r w:rsidRPr="00405EF4">
        <w:rPr>
          <w:sz w:val="22"/>
          <w:szCs w:val="22"/>
        </w:rPr>
        <w:t xml:space="preserve">sa má 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0F78F8">
        <w:rPr>
          <w:sz w:val="22"/>
          <w:szCs w:val="22"/>
        </w:rPr>
        <w:t xml:space="preserve"> (pozri časť 4.2)</w:t>
      </w:r>
      <w:r w:rsidRPr="00405EF4">
        <w:rPr>
          <w:sz w:val="22"/>
          <w:szCs w:val="22"/>
        </w:rPr>
        <w:t xml:space="preserve">. </w:t>
      </w:r>
    </w:p>
    <w:p w:rsidR="00C66C74" w:rsidRDefault="00C66C74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Po vysadení inhibítora CYP2D6 alebo CYP3A4 sa </w:t>
      </w:r>
      <w:r w:rsidR="00C76B8D" w:rsidRPr="00405EF4">
        <w:rPr>
          <w:sz w:val="22"/>
          <w:szCs w:val="22"/>
        </w:rPr>
        <w:t xml:space="preserve">má </w:t>
      </w:r>
      <w:r w:rsidRPr="00405EF4">
        <w:rPr>
          <w:sz w:val="22"/>
          <w:szCs w:val="22"/>
        </w:rPr>
        <w:t xml:space="preserve">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>zvýšiť na úroveň pred za</w:t>
      </w:r>
      <w:r w:rsidR="00C66C74">
        <w:rPr>
          <w:sz w:val="22"/>
          <w:szCs w:val="22"/>
        </w:rPr>
        <w:t>čat</w:t>
      </w:r>
      <w:r w:rsidRPr="00405EF4">
        <w:rPr>
          <w:sz w:val="22"/>
          <w:szCs w:val="22"/>
        </w:rPr>
        <w:t xml:space="preserve">ím </w:t>
      </w:r>
      <w:r w:rsidR="0023474A" w:rsidRPr="00896F5E">
        <w:rPr>
          <w:sz w:val="22"/>
          <w:szCs w:val="22"/>
        </w:rPr>
        <w:t>súbežnej</w:t>
      </w:r>
      <w:r w:rsidR="0023474A" w:rsidRPr="00405EF4" w:rsidDel="0023474A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terapie.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Pri súbežnom používaní slabých inhibítorov CYP3A4 (napr. diltiazem), CYP2D6 </w:t>
      </w:r>
      <w:r w:rsidR="000F78F8">
        <w:rPr>
          <w:sz w:val="22"/>
          <w:szCs w:val="22"/>
        </w:rPr>
        <w:t xml:space="preserve">(napr. </w:t>
      </w:r>
      <w:r w:rsidR="000F78F8" w:rsidRPr="00405EF4">
        <w:rPr>
          <w:sz w:val="22"/>
          <w:szCs w:val="22"/>
        </w:rPr>
        <w:t>escitalopram</w:t>
      </w:r>
      <w:r w:rsidR="000F78F8">
        <w:rPr>
          <w:sz w:val="22"/>
          <w:szCs w:val="22"/>
        </w:rPr>
        <w:t>)</w:t>
      </w:r>
      <w:r w:rsidR="000F78F8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s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ripiprazolom </w:t>
      </w:r>
      <w:r w:rsidRPr="00405EF4">
        <w:rPr>
          <w:sz w:val="22"/>
          <w:szCs w:val="22"/>
        </w:rPr>
        <w:t>sa môže očakávať mierne zvýš</w:t>
      </w:r>
      <w:r w:rsidR="00C76B8D" w:rsidRPr="00405EF4">
        <w:rPr>
          <w:sz w:val="22"/>
          <w:szCs w:val="22"/>
        </w:rPr>
        <w:t>enie koncentrácie aripiprazolu</w:t>
      </w:r>
      <w:r w:rsidR="000F78F8">
        <w:rPr>
          <w:sz w:val="22"/>
          <w:szCs w:val="22"/>
        </w:rPr>
        <w:t xml:space="preserve"> v plazme</w:t>
      </w:r>
      <w:r w:rsidR="00C76B8D"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405EF4">
        <w:rPr>
          <w:i/>
          <w:sz w:val="22"/>
          <w:szCs w:val="22"/>
          <w:u w:val="single"/>
        </w:rPr>
        <w:t>Karbamazepín a ďalšie induktory CYP3A4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Po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nom podávaní karbamazepínu, silného induktora CYP3A4</w:t>
      </w:r>
      <w:r w:rsidR="000F78F8">
        <w:rPr>
          <w:sz w:val="22"/>
          <w:szCs w:val="22"/>
        </w:rPr>
        <w:t xml:space="preserve"> a perorálneho aripiprazolu pacientom so schizofréniou alebo schizoafektívnou poruchou</w:t>
      </w:r>
      <w:r w:rsidRPr="00405EF4">
        <w:rPr>
          <w:sz w:val="22"/>
          <w:szCs w:val="22"/>
        </w:rPr>
        <w:t xml:space="preserve">, bol geometrický priemer hodnôt </w:t>
      </w:r>
      <w:r w:rsidR="00C76B8D" w:rsidRPr="00405EF4">
        <w:rPr>
          <w:sz w:val="22"/>
          <w:szCs w:val="22"/>
        </w:rPr>
        <w:t>C</w:t>
      </w:r>
      <w:r w:rsidR="00C76B8D"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nižší o 68 % a hodnôt AUC o 73 % pre aripiprazol v porovnaní s aripiprazolom (30 mg) podávaným samostatne. Podobne, geometrický priemer hodnôt C</w:t>
      </w:r>
      <w:r w:rsidRPr="00405EF4">
        <w:rPr>
          <w:sz w:val="22"/>
          <w:szCs w:val="22"/>
          <w:vertAlign w:val="subscript"/>
        </w:rPr>
        <w:t>max</w:t>
      </w:r>
      <w:r w:rsidRPr="00405EF4">
        <w:rPr>
          <w:sz w:val="22"/>
          <w:szCs w:val="22"/>
        </w:rPr>
        <w:t xml:space="preserve"> dehydro-aripiprazolu bol pri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 xml:space="preserve">nom </w:t>
      </w:r>
      <w:r w:rsidRPr="00405EF4">
        <w:rPr>
          <w:sz w:val="22"/>
          <w:szCs w:val="22"/>
        </w:rPr>
        <w:lastRenderedPageBreak/>
        <w:t>podávaní karbamazepínu nižší o 69 % a hodnôt AUC o 71 % ako bol geometrický priemer po liečbe samostatným aripiprazolom.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 xml:space="preserve">sa má zdvojnásobiť, ak sa má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 </w:t>
      </w:r>
      <w:r w:rsidRPr="00405EF4">
        <w:rPr>
          <w:sz w:val="22"/>
          <w:szCs w:val="22"/>
        </w:rPr>
        <w:t>podávať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 xml:space="preserve">ne s karbamazepínom. </w:t>
      </w:r>
      <w:r w:rsidR="000F78F8" w:rsidRPr="000F78F8">
        <w:rPr>
          <w:sz w:val="22"/>
          <w:szCs w:val="22"/>
        </w:rPr>
        <w:t xml:space="preserve"> </w:t>
      </w:r>
      <w:r w:rsidR="000F78F8">
        <w:rPr>
          <w:sz w:val="22"/>
          <w:szCs w:val="22"/>
        </w:rPr>
        <w:t xml:space="preserve">Pri súbežnom podávaní aripiprazolu a </w:t>
      </w:r>
      <w:r w:rsidR="000F78F8" w:rsidRPr="000E089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ďalších silných induktorov CYP3A4 (ako sú rifampicín, rifabutín, fenytoín, fenobarbital, </w:t>
      </w:r>
      <w:r w:rsidR="006761C5" w:rsidRPr="00405EF4">
        <w:rPr>
          <w:sz w:val="22"/>
          <w:szCs w:val="22"/>
        </w:rPr>
        <w:t>primidón</w:t>
      </w:r>
      <w:r w:rsidRPr="00405EF4">
        <w:rPr>
          <w:sz w:val="22"/>
          <w:szCs w:val="22"/>
        </w:rPr>
        <w:t xml:space="preserve">, efavirenz, nevirapín a </w:t>
      </w:r>
      <w:r w:rsidR="000F78F8">
        <w:rPr>
          <w:sz w:val="22"/>
          <w:szCs w:val="22"/>
        </w:rPr>
        <w:t>ľ</w:t>
      </w:r>
      <w:r w:rsidRPr="00405EF4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r w:rsidR="00C66C74">
        <w:rPr>
          <w:sz w:val="22"/>
          <w:szCs w:val="22"/>
        </w:rPr>
        <w:t>a</w:t>
      </w:r>
      <w:r w:rsidR="00C76B8D" w:rsidRPr="00405EF4">
        <w:rPr>
          <w:sz w:val="22"/>
          <w:szCs w:val="22"/>
        </w:rPr>
        <w:t xml:space="preserve">ripiprazolu </w:t>
      </w:r>
      <w:r w:rsidRPr="00405EF4">
        <w:rPr>
          <w:sz w:val="22"/>
          <w:szCs w:val="22"/>
        </w:rPr>
        <w:t>znížiť na odporúčanú dávku.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405EF4">
        <w:rPr>
          <w:i/>
          <w:sz w:val="22"/>
          <w:szCs w:val="22"/>
          <w:u w:val="single"/>
        </w:rPr>
        <w:t>Valproát a</w:t>
      </w:r>
      <w:r w:rsidR="00C76B8D" w:rsidRPr="00405EF4">
        <w:rPr>
          <w:i/>
          <w:sz w:val="22"/>
          <w:szCs w:val="22"/>
          <w:u w:val="single"/>
        </w:rPr>
        <w:t> </w:t>
      </w:r>
      <w:r w:rsidRPr="00405EF4">
        <w:rPr>
          <w:i/>
          <w:sz w:val="22"/>
          <w:szCs w:val="22"/>
          <w:u w:val="single"/>
        </w:rPr>
        <w:t>lítium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Pri sú</w:t>
      </w:r>
      <w:r w:rsidR="00C76B8D" w:rsidRPr="00405EF4">
        <w:rPr>
          <w:sz w:val="22"/>
          <w:szCs w:val="22"/>
        </w:rPr>
        <w:t>bež</w:t>
      </w:r>
      <w:r w:rsidRPr="00405EF4">
        <w:rPr>
          <w:sz w:val="22"/>
          <w:szCs w:val="22"/>
        </w:rPr>
        <w:t>nom podávaní aripiprazolu buď s valproátom alebo lítiom, nenastala žiadna klinicky významná zmena v koncentráciách aripiprazolu</w:t>
      </w:r>
      <w:r w:rsidR="000F78F8">
        <w:rPr>
          <w:sz w:val="22"/>
          <w:szCs w:val="22"/>
        </w:rPr>
        <w:t>, a</w:t>
      </w:r>
      <w:r w:rsidR="000F78F8" w:rsidRPr="002B4417">
        <w:rPr>
          <w:sz w:val="22"/>
          <w:szCs w:val="22"/>
        </w:rPr>
        <w:t xml:space="preserve"> </w:t>
      </w:r>
      <w:r w:rsidR="000F78F8">
        <w:rPr>
          <w:sz w:val="22"/>
          <w:szCs w:val="22"/>
        </w:rPr>
        <w:t>preto nie je pri podávaní valproátu alebo lítia s aripiprazolom potrebná úprava dávky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14A90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B14A90">
        <w:rPr>
          <w:sz w:val="22"/>
          <w:szCs w:val="22"/>
          <w:u w:val="single"/>
        </w:rPr>
        <w:t xml:space="preserve">Potenciál </w:t>
      </w:r>
      <w:r w:rsidR="00C66C74" w:rsidRPr="00B14A90">
        <w:rPr>
          <w:sz w:val="22"/>
          <w:szCs w:val="22"/>
          <w:u w:val="single"/>
        </w:rPr>
        <w:t>a</w:t>
      </w:r>
      <w:r w:rsidR="00C76B8D" w:rsidRPr="00B14A90">
        <w:rPr>
          <w:sz w:val="22"/>
          <w:szCs w:val="22"/>
          <w:u w:val="single"/>
        </w:rPr>
        <w:t>ripiprazolu ovplyvňovať</w:t>
      </w:r>
      <w:r w:rsidRPr="00B14A90">
        <w:rPr>
          <w:sz w:val="22"/>
          <w:szCs w:val="22"/>
          <w:u w:val="single"/>
        </w:rPr>
        <w:t xml:space="preserve"> in</w:t>
      </w:r>
      <w:r w:rsidR="00C76B8D" w:rsidRPr="00B14A90">
        <w:rPr>
          <w:sz w:val="22"/>
          <w:szCs w:val="22"/>
          <w:u w:val="single"/>
        </w:rPr>
        <w:t>é</w:t>
      </w:r>
      <w:r w:rsidRPr="00B14A90">
        <w:rPr>
          <w:sz w:val="22"/>
          <w:szCs w:val="22"/>
          <w:u w:val="single"/>
        </w:rPr>
        <w:t xml:space="preserve"> liek</w:t>
      </w:r>
      <w:r w:rsidR="00C76B8D" w:rsidRPr="00B14A90">
        <w:rPr>
          <w:sz w:val="22"/>
          <w:szCs w:val="22"/>
          <w:u w:val="single"/>
        </w:rPr>
        <w:t>y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6761C5" w:rsidRPr="00405EF4">
        <w:rPr>
          <w:sz w:val="22"/>
          <w:szCs w:val="22"/>
        </w:rPr>
        <w:t xml:space="preserve">substrátov </w:t>
      </w:r>
      <w:r w:rsidRPr="00405EF4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405EF4">
        <w:rPr>
          <w:i/>
          <w:sz w:val="22"/>
          <w:szCs w:val="22"/>
        </w:rPr>
        <w:t>in vitro</w:t>
      </w:r>
      <w:r w:rsidRPr="00405EF4">
        <w:rPr>
          <w:sz w:val="22"/>
          <w:szCs w:val="22"/>
        </w:rPr>
        <w:t xml:space="preserve"> potenciál pre zmenu metabolizmu sprostredkovaného CYP1A2. Je preto nepravdepodobné, že by aripiprazol spôsobil klinicky významné liekové interakcie sprostredkované týmito enzýmami.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386643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F78F8" w:rsidRPr="00C66C74" w:rsidRDefault="000F78F8" w:rsidP="000F78F8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C66C74">
        <w:rPr>
          <w:i/>
          <w:sz w:val="22"/>
          <w:szCs w:val="22"/>
        </w:rPr>
        <w:t>Sérotonínový syndróm</w:t>
      </w:r>
    </w:p>
    <w:p w:rsidR="000F78F8" w:rsidRPr="00405EF4" w:rsidRDefault="000F78F8" w:rsidP="000F78F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U pacientov užívajúcich aripiprazol sa hlásili prípady sérotonínového syndrómu a možné prejavy a </w:t>
      </w:r>
      <w:r w:rsidRPr="00896F5E">
        <w:rPr>
          <w:sz w:val="22"/>
          <w:szCs w:val="22"/>
        </w:rPr>
        <w:t>príznaky</w:t>
      </w:r>
      <w:r w:rsidRPr="00405EF4" w:rsidDel="0023474A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tohto stavu sa môžu objaviť najmä v prípadoch súbežného používania s inými sérotonergickými</w:t>
      </w:r>
      <w:r>
        <w:rPr>
          <w:sz w:val="22"/>
          <w:szCs w:val="22"/>
        </w:rPr>
        <w:t xml:space="preserve"> liekmi</w:t>
      </w:r>
      <w:r w:rsidRPr="00405EF4">
        <w:rPr>
          <w:sz w:val="22"/>
          <w:szCs w:val="22"/>
        </w:rPr>
        <w:t>, ako sú SSRI/SNRI alebo s</w:t>
      </w:r>
      <w:r>
        <w:rPr>
          <w:sz w:val="22"/>
          <w:szCs w:val="22"/>
        </w:rPr>
        <w:t xml:space="preserve"> liekmi</w:t>
      </w:r>
      <w:r w:rsidRPr="00405EF4">
        <w:rPr>
          <w:sz w:val="22"/>
          <w:szCs w:val="22"/>
        </w:rPr>
        <w:t>, o ktorých je známe, že zvyšujú koncentrácie aripiprazolu (pozri časť 4.8).</w:t>
      </w:r>
    </w:p>
    <w:p w:rsidR="000F78F8" w:rsidRPr="00405EF4" w:rsidRDefault="000F78F8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bCs/>
          <w:sz w:val="22"/>
          <w:szCs w:val="22"/>
          <w:lang w:eastAsia="en-US"/>
        </w:rPr>
        <w:t>Fertilita,</w:t>
      </w:r>
      <w:r w:rsidRPr="00405EF4">
        <w:rPr>
          <w:b/>
          <w:sz w:val="22"/>
          <w:szCs w:val="22"/>
        </w:rPr>
        <w:t xml:space="preserve"> gravidita a laktácia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Gravidita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Nie sú k dispozícii dostatočné a dobre kontrolované skúšania aripiprazolu u gravidných žien. Vrodené anomálie boli hlásené; avšak príčinná súvislosť s aripiprazolom nebola stanovená. Štúdie na zvieratách nemohli vylúčiť možnosť vývojovej toxicity (pozri časť 5.3). Pacientkam sa m</w:t>
      </w:r>
      <w:r w:rsidR="00114943">
        <w:rPr>
          <w:sz w:val="22"/>
          <w:szCs w:val="22"/>
        </w:rPr>
        <w:t>usí</w:t>
      </w:r>
      <w:r w:rsidRPr="00405EF4">
        <w:rPr>
          <w:sz w:val="22"/>
          <w:szCs w:val="22"/>
        </w:rPr>
        <w:t xml:space="preserve"> odporučiť, aby svojmu lekárovi oznámili, že sú gravidné alebo ak počas liečby aripiprazolom graviditu plánujú. Vzhľadom na nedostatočné informácie o bezpečnosti u ľudí a </w:t>
      </w:r>
      <w:r w:rsidR="006761C5" w:rsidRPr="00405EF4">
        <w:rPr>
          <w:sz w:val="22"/>
          <w:szCs w:val="22"/>
        </w:rPr>
        <w:t xml:space="preserve">obavy vyvolané </w:t>
      </w:r>
      <w:r w:rsidRPr="00405EF4">
        <w:rPr>
          <w:sz w:val="22"/>
          <w:szCs w:val="22"/>
        </w:rPr>
        <w:t xml:space="preserve">reprodukčnými štúdiami na zvieratách sa tento liek nemá podávať počas gravidity, pokiaľ očakávaný prínos liečby </w:t>
      </w:r>
      <w:r w:rsidR="006761C5" w:rsidRPr="00405EF4">
        <w:rPr>
          <w:sz w:val="22"/>
          <w:szCs w:val="22"/>
        </w:rPr>
        <w:t>jednoznačne</w:t>
      </w:r>
      <w:r w:rsidRPr="00405EF4">
        <w:rPr>
          <w:sz w:val="22"/>
          <w:szCs w:val="22"/>
        </w:rPr>
        <w:t xml:space="preserve"> neprevýši potenciálne riziko pre plod.</w:t>
      </w:r>
    </w:p>
    <w:p w:rsidR="00C66C74" w:rsidRPr="00405EF4" w:rsidRDefault="00C66C74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U novorodencov po pôrode, ktorí boli vystavení počas tretieho trimestra gravidity antipsychotikám (vrátane aripiprazolu ), existuje 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</w:t>
      </w:r>
      <w:r w:rsidR="00C76B8D" w:rsidRPr="00405EF4">
        <w:rPr>
          <w:sz w:val="22"/>
          <w:szCs w:val="22"/>
        </w:rPr>
        <w:t>sa musia</w:t>
      </w:r>
      <w:r w:rsidRPr="00405EF4">
        <w:rPr>
          <w:sz w:val="22"/>
          <w:szCs w:val="22"/>
        </w:rPr>
        <w:t xml:space="preserve"> novorodenci starostlivo sledova</w:t>
      </w:r>
      <w:r w:rsidR="00C76B8D" w:rsidRPr="00405EF4">
        <w:rPr>
          <w:sz w:val="22"/>
          <w:szCs w:val="22"/>
        </w:rPr>
        <w:t>ť</w:t>
      </w:r>
      <w:r w:rsidR="00114943">
        <w:rPr>
          <w:sz w:val="22"/>
          <w:szCs w:val="22"/>
        </w:rPr>
        <w:t xml:space="preserve"> (pozri časť 4.8)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E950FE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Dojčenie</w:t>
      </w:r>
    </w:p>
    <w:p w:rsidR="00114943" w:rsidRDefault="00386643" w:rsidP="00114943">
      <w:pPr>
        <w:pStyle w:val="Default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vylučuje do materského mlieka u ľudí. </w:t>
      </w:r>
      <w:r w:rsidR="00114943">
        <w:rPr>
          <w:sz w:val="22"/>
          <w:szCs w:val="22"/>
        </w:rPr>
        <w:t xml:space="preserve"> Rozhodnutie, či ukončiť dojčenie alebo ukončiť/prerušiť liečbu aripiprazolom sa má urobiť po zvážení prínosu dojčenia pre dieťa a prínosu liečby pre ženu. </w:t>
      </w:r>
    </w:p>
    <w:p w:rsidR="00114943" w:rsidRDefault="00114943" w:rsidP="00114943">
      <w:pPr>
        <w:pStyle w:val="Default"/>
        <w:rPr>
          <w:sz w:val="22"/>
          <w:szCs w:val="22"/>
        </w:rPr>
      </w:pPr>
    </w:p>
    <w:p w:rsidR="00114943" w:rsidRPr="00C124E3" w:rsidRDefault="00114943" w:rsidP="00114943">
      <w:pPr>
        <w:pStyle w:val="Default"/>
        <w:rPr>
          <w:sz w:val="22"/>
          <w:szCs w:val="22"/>
          <w:u w:val="single"/>
        </w:rPr>
      </w:pPr>
      <w:r w:rsidRPr="00C124E3">
        <w:rPr>
          <w:sz w:val="22"/>
          <w:szCs w:val="22"/>
          <w:u w:val="single"/>
        </w:rPr>
        <w:t xml:space="preserve">Fertilita </w:t>
      </w:r>
    </w:p>
    <w:p w:rsidR="00114943" w:rsidRPr="000E0894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 základe údajov zo štúdií reprodukčnej toxicity aripiprazol nemal vplyv na fertilitu.</w:t>
      </w:r>
    </w:p>
    <w:p w:rsidR="00B2419C" w:rsidRPr="00405EF4" w:rsidRDefault="00B2419C" w:rsidP="002C6892">
      <w:pPr>
        <w:widowControl w:val="0"/>
        <w:rPr>
          <w:sz w:val="22"/>
          <w:szCs w:val="22"/>
        </w:rPr>
      </w:pPr>
    </w:p>
    <w:p w:rsidR="00386643" w:rsidRPr="00405EF4" w:rsidRDefault="00386643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Ovplyvnenie schopnosti viesť vozidlá a obsluhovať stroje</w:t>
      </w:r>
    </w:p>
    <w:p w:rsidR="00E86B8F" w:rsidRPr="00405EF4" w:rsidRDefault="00E86B8F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14943" w:rsidRDefault="00114943" w:rsidP="0011494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14943">
        <w:rPr>
          <w:sz w:val="22"/>
          <w:szCs w:val="22"/>
        </w:rPr>
        <w:t xml:space="preserve"> </w:t>
      </w:r>
      <w:r>
        <w:rPr>
          <w:sz w:val="22"/>
          <w:szCs w:val="22"/>
        </w:rPr>
        <w:t>Aripiprazol má malý alebo mierny vplyv na schopnosť viesť vozidlá a obsluhovať stroje z dôvodu možného účinku na nervový systém a zrak, ako je napríklad sedácia, somnolencia, synkopa, rozmazané videnie, diplopia (pozri časť 4.8).</w:t>
      </w:r>
    </w:p>
    <w:p w:rsidR="00386643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Nežiaduce účinky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5C0C7D" w:rsidRDefault="00386643" w:rsidP="002C6892">
      <w:pPr>
        <w:widowControl w:val="0"/>
        <w:rPr>
          <w:sz w:val="22"/>
          <w:szCs w:val="22"/>
          <w:u w:val="single"/>
        </w:rPr>
      </w:pPr>
      <w:r w:rsidRPr="005C0C7D">
        <w:rPr>
          <w:sz w:val="22"/>
          <w:szCs w:val="22"/>
          <w:u w:val="single"/>
        </w:rPr>
        <w:t>Súhrn profilu bezpečnosti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Najčastejšími nežiaducimi reakciami v placebom kontrolovaných štúdiách boli nepokoj a nauzea, ktoré sa objavili u viac ako 3 % pacientov liečených perorálne podávaným aripiprazolom.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5C0C7D" w:rsidRDefault="00386643" w:rsidP="002C6892">
      <w:pPr>
        <w:widowControl w:val="0"/>
        <w:rPr>
          <w:sz w:val="22"/>
          <w:szCs w:val="22"/>
          <w:u w:val="single"/>
        </w:rPr>
      </w:pPr>
      <w:r w:rsidRPr="005C0C7D">
        <w:rPr>
          <w:sz w:val="22"/>
          <w:szCs w:val="22"/>
          <w:u w:val="single"/>
        </w:rPr>
        <w:t>Zoznam nežiaducich reakcií v tabuľk</w:t>
      </w:r>
      <w:r w:rsidR="00C76B8D" w:rsidRPr="005C0C7D">
        <w:rPr>
          <w:sz w:val="22"/>
          <w:szCs w:val="22"/>
          <w:u w:val="single"/>
        </w:rPr>
        <w:t>e</w:t>
      </w:r>
    </w:p>
    <w:p w:rsidR="00114943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Výskyt nežiaducich účinkov lieku (ADR, z angl. adverse drug reactions) spojených s liečbou aripiprazolom je uvedený v tabuľke nižšie. Tabuľka vychádza z nežiaducich udalostí hlásených počas klinických skúšaní a/alebo po uvedení na trh.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5A1BB6" w:rsidRDefault="005A1BB6" w:rsidP="005A1B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Všetky nežiaduce reakcie lieku sú zoradené podľa triedy orgánových systémov a frekvencie: veľmi časté (≥ 1/10), časté (≥ 1/100 až &lt; 1/10), menej časté (≥ 1/1 000 až &lt; 1/100), zriedkavé (≥ 1/10 000 až &lt; 1/1 000), veľmi zriedkavé (&lt; 1/10 000) a neznáme (z dostupných údajov). Pri každej frekvencii výskytu sú nežiaduce reakcie zoradené podľa klesajúcej závažnosti.</w:t>
      </w:r>
    </w:p>
    <w:p w:rsidR="005A1BB6" w:rsidRDefault="005A1BB6" w:rsidP="005A1BB6">
      <w:pPr>
        <w:widowControl w:val="0"/>
        <w:rPr>
          <w:sz w:val="22"/>
          <w:szCs w:val="22"/>
        </w:rPr>
      </w:pPr>
    </w:p>
    <w:p w:rsidR="005A1BB6" w:rsidRDefault="005A1BB6" w:rsidP="005A1B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Frekvenciu výskytu nežiaducich reakcií hlásených po uvedení na trh nie je možné určiť, pretože pochádzajú zo spontánnych hlásení. Frekvencia výskytu týchto nežiaducich udalostí je následne klasifikovaná ako „neznáma“.</w:t>
      </w:r>
    </w:p>
    <w:p w:rsidR="005A1BB6" w:rsidRDefault="005A1BB6" w:rsidP="005A1BB6">
      <w:pPr>
        <w:tabs>
          <w:tab w:val="left" w:pos="1560"/>
        </w:tabs>
        <w:rPr>
          <w:rFonts w:cs="Arial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03"/>
        <w:gridCol w:w="2178"/>
        <w:gridCol w:w="3016"/>
      </w:tblGrid>
      <w:tr w:rsidR="005A1BB6" w:rsidRPr="00ED0727" w:rsidTr="00866D46">
        <w:trPr>
          <w:trHeight w:val="516"/>
          <w:tblHeader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866D46">
              <w:rPr>
                <w:rFonts w:cs="Arial"/>
                <w:b/>
                <w:sz w:val="22"/>
                <w:szCs w:val="22"/>
              </w:rPr>
              <w:t>Časté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866D46">
              <w:rPr>
                <w:rFonts w:cs="Arial"/>
                <w:b/>
                <w:sz w:val="22"/>
                <w:szCs w:val="22"/>
              </w:rPr>
              <w:t>Menej časté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866D46">
              <w:rPr>
                <w:rFonts w:cs="Arial"/>
                <w:b/>
                <w:sz w:val="22"/>
                <w:szCs w:val="22"/>
              </w:rPr>
              <w:t>Neznáme</w:t>
            </w:r>
          </w:p>
        </w:tc>
      </w:tr>
      <w:tr w:rsidR="005A1BB6" w:rsidRPr="00ED0727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krvi a lymfatického systému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Leukopénia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Neutropénia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Trombocytopénia </w:t>
            </w:r>
          </w:p>
        </w:tc>
      </w:tr>
      <w:tr w:rsidR="005A1BB6" w:rsidRPr="00ED0727" w:rsidTr="00866D46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imunitného systému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B3097F">
              <w:rPr>
                <w:sz w:val="22"/>
                <w:szCs w:val="22"/>
              </w:rPr>
              <w:t xml:space="preserve">pruritu </w:t>
            </w:r>
            <w:r w:rsidRPr="00866D46">
              <w:rPr>
                <w:sz w:val="22"/>
                <w:szCs w:val="22"/>
              </w:rPr>
              <w:t xml:space="preserve">alebo urtikárie)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ED0727" w:rsidTr="00866D46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endokrinného systému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Hyperprolaktinémia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Diabetická hyperosmolárna kóma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Diabetická ketoacidóza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ED0727" w:rsidTr="00866D46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metabolizmu a výživy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Diabetes mellitus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Hyperglykémia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Hyponatriémia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Anorexia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Zníženie telesnej hmotnosti </w:t>
            </w:r>
          </w:p>
          <w:p w:rsidR="005A1BB6" w:rsidRPr="00866D46" w:rsidRDefault="005A1BB6" w:rsidP="00866D46">
            <w:pPr>
              <w:spacing w:before="120" w:after="120" w:line="259" w:lineRule="auto"/>
              <w:ind w:right="913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Prírastok telesnej hmotnosti </w:t>
            </w:r>
          </w:p>
        </w:tc>
      </w:tr>
      <w:tr w:rsidR="005A1BB6" w:rsidRPr="00ED0727" w:rsidTr="00866D46">
        <w:trPr>
          <w:trHeight w:val="1781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lastRenderedPageBreak/>
              <w:t xml:space="preserve">Psychické poruchy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Insomnia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Úzkosť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Nepokoj 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Depresia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Hypersexualita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Pokus o samovraždu, samovražedné predstavy, dokončená samovražda (pozri časť 4.4) </w:t>
            </w:r>
          </w:p>
          <w:p w:rsidR="005A1BB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Patologické hráčstvo </w:t>
            </w:r>
          </w:p>
          <w:p w:rsidR="00114943" w:rsidRDefault="00114943" w:rsidP="001149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kontroly impulzov </w:t>
            </w:r>
          </w:p>
          <w:p w:rsidR="00114943" w:rsidRDefault="00114943" w:rsidP="001149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Prejedanie sa </w:t>
            </w:r>
          </w:p>
          <w:p w:rsidR="00114943" w:rsidRDefault="00114943" w:rsidP="001149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Kompulzívne nakupovanie </w:t>
            </w:r>
          </w:p>
          <w:p w:rsidR="00114943" w:rsidRPr="000F3A50" w:rsidRDefault="00114943" w:rsidP="001149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Poriománia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Agresia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Agitovanosť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Nervozita </w:t>
            </w:r>
          </w:p>
        </w:tc>
      </w:tr>
      <w:tr w:rsidR="005A1BB6" w:rsidRPr="00ED0727" w:rsidTr="00866D46">
        <w:trPr>
          <w:trHeight w:val="1783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nervového systému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Akatízia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Extrapyramídová porucha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Tremor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Bolesť hlavy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Sedácia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Somnolencia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Závrat 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Tardívna dyskinéza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Dystónia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Neuroleptický malígny syndróm (NMS)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Záchvat typu grand mal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Serotonínový syndróm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Poruchy reči </w:t>
            </w:r>
          </w:p>
        </w:tc>
      </w:tr>
      <w:tr w:rsidR="005A1BB6" w:rsidRPr="00ED0727" w:rsidTr="00866D46">
        <w:trPr>
          <w:trHeight w:val="262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oka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Rozmazané videnie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Diplopia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ED0727" w:rsidTr="00866D46">
        <w:trPr>
          <w:trHeight w:val="1529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srdca a srdcovej činnosti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Tachykardia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Náhla nevysvetliteľná smrť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i/>
                <w:iCs/>
                <w:sz w:val="22"/>
                <w:szCs w:val="22"/>
              </w:rPr>
              <w:t xml:space="preserve">Torsades de pointes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Predĺženie QT intervalu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Ventrikulárne arytmie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Zástava srdca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Bradykardia </w:t>
            </w:r>
          </w:p>
        </w:tc>
      </w:tr>
      <w:tr w:rsidR="005A1BB6" w:rsidRPr="00ED0727" w:rsidTr="00866D46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ciev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36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Venózna trombembólia (vrátane pľúcnej embólie a trombózy hlbokých žíl)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Hypertenzia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Synkopa </w:t>
            </w:r>
          </w:p>
        </w:tc>
      </w:tr>
      <w:tr w:rsidR="005A1BB6" w:rsidRPr="00ED0727" w:rsidTr="00866D46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dýchacej sústavy, hrudníka a mediastína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Čkanie</w:t>
            </w: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Aspiračná pneumónia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Laryngospazmus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Orofaryngeálny spazmus </w:t>
            </w:r>
          </w:p>
        </w:tc>
      </w:tr>
      <w:tr w:rsidR="005A1BB6" w:rsidRPr="00ED0727" w:rsidTr="00866D46">
        <w:trPr>
          <w:trHeight w:val="1526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gastrointestinálneho traktu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Zápcha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Dyspepsia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Nauzea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Hypersekrécia slín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Vracanie 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Pankreatitída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Dysfágia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Hnačka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Abdominálne ťažkosti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Žalúdočné ťažkosti </w:t>
            </w:r>
          </w:p>
        </w:tc>
      </w:tr>
      <w:tr w:rsidR="005A1BB6" w:rsidRPr="00ED0727" w:rsidTr="00866D46">
        <w:trPr>
          <w:trHeight w:val="2542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lastRenderedPageBreak/>
              <w:t xml:space="preserve">Poruchy pečene a žlčových ciest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Zlyhanie pečene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Hepatitída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Žltačka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Zvýšenie</w:t>
            </w:r>
            <w:r w:rsidR="00B3097F">
              <w:rPr>
                <w:sz w:val="22"/>
                <w:szCs w:val="22"/>
              </w:rPr>
              <w:t xml:space="preserve"> hladiny</w:t>
            </w:r>
            <w:r w:rsidRPr="00866D46">
              <w:rPr>
                <w:sz w:val="22"/>
                <w:szCs w:val="22"/>
              </w:rPr>
              <w:t xml:space="preserve"> alanínaminotransferázy (ALT)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Zvýšenie</w:t>
            </w:r>
            <w:r w:rsidR="00B3097F">
              <w:rPr>
                <w:sz w:val="22"/>
                <w:szCs w:val="22"/>
              </w:rPr>
              <w:t xml:space="preserve"> hladiny</w:t>
            </w:r>
            <w:r w:rsidRPr="00866D46">
              <w:rPr>
                <w:sz w:val="22"/>
                <w:szCs w:val="22"/>
              </w:rPr>
              <w:t xml:space="preserve"> aspartátaminotransferázy (AST)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</w:t>
            </w:r>
            <w:r w:rsidR="00B3097F">
              <w:rPr>
                <w:sz w:val="22"/>
                <w:szCs w:val="22"/>
              </w:rPr>
              <w:t xml:space="preserve">hladiny </w:t>
            </w:r>
            <w:r w:rsidRPr="00866D46">
              <w:rPr>
                <w:sz w:val="22"/>
                <w:szCs w:val="22"/>
              </w:rPr>
              <w:t xml:space="preserve">gamaglutamyltransferázy (GGT)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</w:t>
            </w:r>
            <w:r w:rsidR="00B3097F">
              <w:rPr>
                <w:sz w:val="22"/>
                <w:szCs w:val="22"/>
              </w:rPr>
              <w:t xml:space="preserve">hladiny </w:t>
            </w:r>
            <w:r w:rsidRPr="00866D46">
              <w:rPr>
                <w:sz w:val="22"/>
                <w:szCs w:val="22"/>
              </w:rPr>
              <w:t xml:space="preserve">alkalickej fosfatázy </w:t>
            </w:r>
          </w:p>
        </w:tc>
      </w:tr>
      <w:tr w:rsidR="005A1BB6" w:rsidRPr="00ED0727" w:rsidTr="00866D46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kože a podkožného tkaniva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Vyrážka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Fotosenzitívna reakcia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Alopécia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Hyperhidróza </w:t>
            </w:r>
          </w:p>
        </w:tc>
      </w:tr>
      <w:tr w:rsidR="005A1BB6" w:rsidRPr="00ED0727" w:rsidTr="00866D46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kostrovej a svalovej sústavy a spojivového tkaniva </w:t>
            </w:r>
          </w:p>
          <w:p w:rsidR="005A1BB6" w:rsidRPr="00866D46" w:rsidRDefault="005A1BB6" w:rsidP="00866D46">
            <w:pPr>
              <w:spacing w:before="120" w:after="120" w:line="259" w:lineRule="auto"/>
              <w:ind w:right="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Rabdomyolýza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Myalgia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Stuhnutosť </w:t>
            </w:r>
          </w:p>
        </w:tc>
      </w:tr>
      <w:tr w:rsidR="005A1BB6" w:rsidRPr="00ED0727" w:rsidTr="00866D46">
        <w:trPr>
          <w:trHeight w:val="516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obličiek a močových ciest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Močová inkontinencia </w:t>
            </w:r>
          </w:p>
          <w:p w:rsidR="005A1BB6" w:rsidRPr="00866D46" w:rsidRDefault="005A1BB6" w:rsidP="00866D46">
            <w:pPr>
              <w:spacing w:before="120" w:after="120" w:line="259" w:lineRule="auto"/>
              <w:ind w:right="602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Retencia moču </w:t>
            </w:r>
          </w:p>
        </w:tc>
      </w:tr>
      <w:tr w:rsidR="005A1BB6" w:rsidRPr="00ED0727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Stavy v gravidite, v šestonedelí a perinatálnom období </w:t>
            </w:r>
          </w:p>
          <w:p w:rsidR="005A1BB6" w:rsidRPr="00866D46" w:rsidRDefault="005A1BB6" w:rsidP="00866D46">
            <w:pPr>
              <w:spacing w:before="120" w:after="120" w:line="259" w:lineRule="auto"/>
              <w:ind w:right="53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B3097F" w:rsidP="00866D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Syndróm z vysadenia lieku novorodencov </w:t>
            </w:r>
            <w:r w:rsidR="005A1BB6" w:rsidRPr="00866D46">
              <w:rPr>
                <w:sz w:val="22"/>
                <w:szCs w:val="22"/>
              </w:rPr>
              <w:t xml:space="preserve"> (pozri časť 4.6)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5A1BB6" w:rsidRPr="00ED0727" w:rsidTr="00866D46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Poruchy reprodukčného systému a prsníkov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Priapizmus</w:t>
            </w:r>
          </w:p>
        </w:tc>
      </w:tr>
      <w:tr w:rsidR="005A1BB6" w:rsidRPr="00ED0727" w:rsidTr="00866D46">
        <w:trPr>
          <w:trHeight w:val="264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Celkové poruchy a reakcie v mieste podania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>Únava</w:t>
            </w: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Porucha regulácie teploty (napr. hypotermia, pyrexia)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Bolesť v hrudníku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Periférny edém </w:t>
            </w:r>
          </w:p>
        </w:tc>
      </w:tr>
      <w:tr w:rsidR="005A1BB6" w:rsidRPr="00ED0727" w:rsidTr="00866D46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i/>
                <w:sz w:val="22"/>
                <w:szCs w:val="22"/>
              </w:rPr>
            </w:pPr>
            <w:r w:rsidRPr="00866D46">
              <w:rPr>
                <w:b/>
                <w:bCs/>
                <w:i/>
                <w:sz w:val="22"/>
                <w:szCs w:val="22"/>
              </w:rPr>
              <w:t xml:space="preserve">Laboratórne a funkčné vyšetrenia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glukózy v krvi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glykozylovaného hemoglobínu </w:t>
            </w:r>
          </w:p>
          <w:p w:rsidR="005A1BB6" w:rsidRPr="00866D46" w:rsidRDefault="005A1BB6" w:rsidP="00866D46">
            <w:pPr>
              <w:pStyle w:val="Default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Kolísanie glukózy v krvi </w:t>
            </w:r>
          </w:p>
          <w:p w:rsidR="005A1BB6" w:rsidRPr="00866D46" w:rsidRDefault="005A1BB6" w:rsidP="00866D46">
            <w:pPr>
              <w:spacing w:before="120" w:after="120" w:line="259" w:lineRule="auto"/>
              <w:rPr>
                <w:sz w:val="22"/>
                <w:szCs w:val="22"/>
              </w:rPr>
            </w:pPr>
            <w:r w:rsidRPr="00866D46">
              <w:rPr>
                <w:sz w:val="22"/>
                <w:szCs w:val="22"/>
              </w:rPr>
              <w:t xml:space="preserve">Zvýšenie </w:t>
            </w:r>
            <w:r w:rsidR="00F85A62">
              <w:rPr>
                <w:sz w:val="22"/>
                <w:szCs w:val="22"/>
              </w:rPr>
              <w:t xml:space="preserve">hladiny </w:t>
            </w:r>
            <w:r w:rsidRPr="00866D46">
              <w:rPr>
                <w:sz w:val="22"/>
                <w:szCs w:val="22"/>
              </w:rPr>
              <w:t xml:space="preserve">kreatínfosfokinázy </w:t>
            </w:r>
          </w:p>
        </w:tc>
      </w:tr>
    </w:tbl>
    <w:p w:rsidR="005A1BB6" w:rsidRPr="00405EF4" w:rsidRDefault="005A1BB6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Opis vybraných nežiaducich reakcií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114943" w:rsidRDefault="00114943" w:rsidP="00114943">
      <w:pPr>
        <w:widowContro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>Dospelí</w:t>
      </w:r>
    </w:p>
    <w:p w:rsidR="00114943" w:rsidRPr="00405EF4" w:rsidRDefault="00114943" w:rsidP="002C6892">
      <w:pPr>
        <w:widowControl w:val="0"/>
        <w:rPr>
          <w:sz w:val="22"/>
          <w:szCs w:val="22"/>
        </w:rPr>
      </w:pPr>
    </w:p>
    <w:p w:rsidR="00C76B8D" w:rsidRPr="00F673C3" w:rsidRDefault="00386643" w:rsidP="002C6892">
      <w:pPr>
        <w:widowControl w:val="0"/>
        <w:rPr>
          <w:i/>
          <w:sz w:val="22"/>
          <w:szCs w:val="22"/>
        </w:rPr>
      </w:pPr>
      <w:r w:rsidRPr="00F673C3">
        <w:rPr>
          <w:i/>
          <w:sz w:val="22"/>
          <w:szCs w:val="22"/>
        </w:rPr>
        <w:t xml:space="preserve">Extrapyramídové </w:t>
      </w:r>
      <w:r w:rsidR="00105644" w:rsidRPr="0005729C">
        <w:rPr>
          <w:i/>
          <w:iCs/>
          <w:sz w:val="22"/>
          <w:szCs w:val="22"/>
        </w:rPr>
        <w:t>príznaky</w:t>
      </w:r>
      <w:r w:rsidR="00105644" w:rsidRPr="00F673C3" w:rsidDel="00105644">
        <w:rPr>
          <w:i/>
          <w:sz w:val="22"/>
          <w:szCs w:val="22"/>
        </w:rPr>
        <w:t xml:space="preserve"> </w:t>
      </w:r>
      <w:r w:rsidRPr="00F673C3">
        <w:rPr>
          <w:i/>
          <w:sz w:val="22"/>
          <w:szCs w:val="22"/>
        </w:rPr>
        <w:t>(EPS)</w:t>
      </w:r>
      <w:r w:rsidR="00C76B8D" w:rsidRPr="00F673C3">
        <w:rPr>
          <w:i/>
          <w:sz w:val="22"/>
          <w:szCs w:val="22"/>
        </w:rPr>
        <w:t>: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C66C74">
        <w:rPr>
          <w:i/>
          <w:sz w:val="22"/>
          <w:szCs w:val="22"/>
        </w:rPr>
        <w:t>Schizofrénia</w:t>
      </w:r>
      <w:r w:rsidRPr="00405EF4">
        <w:rPr>
          <w:sz w:val="22"/>
          <w:szCs w:val="22"/>
        </w:rPr>
        <w:t xml:space="preserve"> - v dlhodobom 52 týždňov trvajúcom kontrolovanom skúšaní mali pacienti liečení aripiprazolom celkovo nižšiu incidenciu (25,8 %) EPS zahŕňajúcich parkinsonizmus, akatíziu, dystóniu a dyskinézu v porovnaní s pacientmi liečenými haloperidolom (57,3 %). 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C66C74" w:rsidRPr="00405EF4" w:rsidRDefault="00C66C74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C66C74">
        <w:rPr>
          <w:i/>
          <w:sz w:val="22"/>
          <w:szCs w:val="22"/>
        </w:rPr>
        <w:t>Manické epizódy u bipolárnej poruchy typu I</w:t>
      </w:r>
      <w:r w:rsidRPr="00405EF4">
        <w:rPr>
          <w:sz w:val="22"/>
          <w:szCs w:val="22"/>
        </w:rPr>
        <w:t xml:space="preserve"> </w:t>
      </w:r>
      <w:r w:rsidR="00C66C74">
        <w:rPr>
          <w:sz w:val="22"/>
          <w:szCs w:val="22"/>
        </w:rPr>
        <w:t>-</w:t>
      </w:r>
      <w:r w:rsidRPr="00405EF4">
        <w:rPr>
          <w:sz w:val="22"/>
          <w:szCs w:val="22"/>
        </w:rPr>
        <w:t xml:space="preserve"> 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</w:t>
      </w:r>
      <w:r w:rsidR="007F6A75" w:rsidRPr="00405EF4">
        <w:rPr>
          <w:sz w:val="22"/>
          <w:szCs w:val="22"/>
        </w:rPr>
        <w:t>dlhodobej</w:t>
      </w:r>
      <w:r w:rsidRPr="00405EF4">
        <w:rPr>
          <w:sz w:val="22"/>
          <w:szCs w:val="22"/>
        </w:rPr>
        <w:t xml:space="preserve"> 26 týždňov </w:t>
      </w:r>
      <w:r w:rsidR="007F6A75" w:rsidRPr="00405EF4">
        <w:rPr>
          <w:sz w:val="22"/>
          <w:szCs w:val="22"/>
        </w:rPr>
        <w:t>trvajúcej udržiavacej fáze</w:t>
      </w:r>
      <w:r w:rsidRPr="00405EF4">
        <w:rPr>
          <w:sz w:val="22"/>
          <w:szCs w:val="22"/>
        </w:rPr>
        <w:t xml:space="preserve"> placebom </w:t>
      </w:r>
      <w:r w:rsidR="007F6A75" w:rsidRPr="00405EF4">
        <w:rPr>
          <w:sz w:val="22"/>
          <w:szCs w:val="22"/>
        </w:rPr>
        <w:t>kontrolovaného skúšania</w:t>
      </w:r>
      <w:r w:rsidRPr="00405EF4">
        <w:rPr>
          <w:sz w:val="22"/>
          <w:szCs w:val="22"/>
        </w:rPr>
        <w:t xml:space="preserve"> bola u pacientov liečených aripiprazolom incidencia EPS 18,2 % a u pacientov liečených placebom 15,7 %.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F673C3" w:rsidRDefault="00386643" w:rsidP="002C6892">
      <w:pPr>
        <w:widowControl w:val="0"/>
        <w:rPr>
          <w:i/>
          <w:sz w:val="22"/>
          <w:szCs w:val="22"/>
        </w:rPr>
      </w:pPr>
      <w:r w:rsidRPr="00F673C3">
        <w:rPr>
          <w:i/>
          <w:sz w:val="22"/>
          <w:szCs w:val="22"/>
        </w:rPr>
        <w:t>Akatízia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</w:t>
      </w:r>
      <w:r w:rsidR="00C76B8D" w:rsidRPr="00405EF4">
        <w:rPr>
          <w:sz w:val="22"/>
          <w:szCs w:val="22"/>
        </w:rPr>
        <w:t>entov liečených placebom 3,0 %.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66C74" w:rsidRPr="00F673C3" w:rsidRDefault="00386643" w:rsidP="002C6892">
      <w:pPr>
        <w:widowControl w:val="0"/>
        <w:rPr>
          <w:i/>
          <w:sz w:val="22"/>
          <w:szCs w:val="22"/>
        </w:rPr>
      </w:pPr>
      <w:r w:rsidRPr="00F673C3">
        <w:rPr>
          <w:i/>
          <w:sz w:val="22"/>
          <w:szCs w:val="22"/>
        </w:rPr>
        <w:t>Dystónia</w:t>
      </w:r>
    </w:p>
    <w:p w:rsidR="00C76B8D" w:rsidRPr="00405EF4" w:rsidRDefault="00114943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„</w:t>
      </w:r>
      <w:r w:rsidR="00386643" w:rsidRPr="00F673C3">
        <w:rPr>
          <w:sz w:val="22"/>
          <w:szCs w:val="22"/>
        </w:rPr>
        <w:t>Class efekt</w:t>
      </w:r>
      <w:r>
        <w:rPr>
          <w:sz w:val="22"/>
          <w:szCs w:val="22"/>
        </w:rPr>
        <w:t>“</w:t>
      </w:r>
      <w:r w:rsidR="00C66C74">
        <w:rPr>
          <w:i/>
          <w:sz w:val="22"/>
          <w:szCs w:val="22"/>
        </w:rPr>
        <w:t xml:space="preserve"> - </w:t>
      </w:r>
      <w:r w:rsidR="00105644" w:rsidRPr="00A167D1">
        <w:rPr>
          <w:sz w:val="22"/>
          <w:szCs w:val="22"/>
        </w:rPr>
        <w:t>príznaky</w:t>
      </w:r>
      <w:r w:rsidR="00105644" w:rsidRPr="00405EF4" w:rsidDel="00105644">
        <w:rPr>
          <w:sz w:val="22"/>
          <w:szCs w:val="22"/>
        </w:rPr>
        <w:t xml:space="preserve"> </w:t>
      </w:r>
      <w:r w:rsidR="00386643" w:rsidRPr="00405EF4">
        <w:rPr>
          <w:sz w:val="22"/>
          <w:szCs w:val="22"/>
        </w:rPr>
        <w:t xml:space="preserve">dystónie, predĺžené abnormálne kontrakcie svalových skupín, sa môžu objaviť u citlivých jedincov počas prvých niekoľkých dní liečby. Dystonické </w:t>
      </w:r>
      <w:r w:rsidR="00105644" w:rsidRPr="00A167D1">
        <w:rPr>
          <w:sz w:val="22"/>
          <w:szCs w:val="22"/>
        </w:rPr>
        <w:t>príznaky</w:t>
      </w:r>
      <w:r w:rsidR="00105644" w:rsidRPr="00405EF4" w:rsidDel="00105644">
        <w:rPr>
          <w:sz w:val="22"/>
          <w:szCs w:val="22"/>
        </w:rPr>
        <w:t xml:space="preserve"> </w:t>
      </w:r>
      <w:r w:rsidR="00386643" w:rsidRPr="00405EF4">
        <w:rPr>
          <w:sz w:val="22"/>
          <w:szCs w:val="22"/>
        </w:rPr>
        <w:t xml:space="preserve">zahŕňajú: spazmus krčných svalov, niekedy rozvíjajúci sa do uzavretia hrdla, ťažkosti s prehĺtaním, ťažkosti s dýchaním, a/alebo vystúpením jazyka. </w:t>
      </w:r>
      <w:r w:rsidR="007F6A75" w:rsidRPr="00405EF4">
        <w:rPr>
          <w:sz w:val="22"/>
          <w:szCs w:val="22"/>
        </w:rPr>
        <w:t>Aj keď</w:t>
      </w:r>
      <w:r w:rsidR="00386643" w:rsidRPr="00405EF4">
        <w:rPr>
          <w:sz w:val="22"/>
          <w:szCs w:val="22"/>
        </w:rPr>
        <w:t xml:space="preserve"> sa tieto príznaky </w:t>
      </w:r>
      <w:r w:rsidR="007F6A75" w:rsidRPr="00405EF4">
        <w:rPr>
          <w:sz w:val="22"/>
          <w:szCs w:val="22"/>
        </w:rPr>
        <w:t>môžu objaviť</w:t>
      </w:r>
      <w:r w:rsidR="00386643" w:rsidRPr="00405EF4">
        <w:rPr>
          <w:sz w:val="22"/>
          <w:szCs w:val="22"/>
        </w:rPr>
        <w:t xml:space="preserve"> pri nízkych dávkach, častejšie a s väčšou závažnosťou </w:t>
      </w:r>
      <w:r w:rsidR="007F6A75" w:rsidRPr="00405EF4">
        <w:rPr>
          <w:sz w:val="22"/>
          <w:szCs w:val="22"/>
        </w:rPr>
        <w:t xml:space="preserve">sa vyskytujú u vysoko účinných a vo vyšších dávkach podávaných </w:t>
      </w:r>
      <w:r w:rsidR="00386643" w:rsidRPr="00405EF4">
        <w:rPr>
          <w:sz w:val="22"/>
          <w:szCs w:val="22"/>
        </w:rPr>
        <w:t>antipsychotických liekov</w:t>
      </w:r>
      <w:r w:rsidR="007F6A75" w:rsidRPr="00405EF4">
        <w:rPr>
          <w:sz w:val="22"/>
          <w:szCs w:val="22"/>
        </w:rPr>
        <w:t xml:space="preserve"> prvej generácie</w:t>
      </w:r>
      <w:r w:rsidR="00386643" w:rsidRPr="00405EF4">
        <w:rPr>
          <w:sz w:val="22"/>
          <w:szCs w:val="22"/>
        </w:rPr>
        <w:t>. Zvýšené riziko akútnej dystónie je pozorované u mužov a mladších vekových skupín.</w:t>
      </w:r>
    </w:p>
    <w:p w:rsidR="005A1BB6" w:rsidRDefault="005A1BB6" w:rsidP="005A1BB6">
      <w:pPr>
        <w:pStyle w:val="Default"/>
        <w:rPr>
          <w:i/>
          <w:iCs/>
          <w:sz w:val="22"/>
          <w:szCs w:val="22"/>
          <w:u w:val="single"/>
        </w:rPr>
      </w:pPr>
    </w:p>
    <w:p w:rsidR="005A1BB6" w:rsidRPr="00F673C3" w:rsidRDefault="005A1BB6" w:rsidP="005A1BB6">
      <w:pPr>
        <w:pStyle w:val="Default"/>
        <w:rPr>
          <w:sz w:val="22"/>
          <w:szCs w:val="22"/>
        </w:rPr>
      </w:pPr>
      <w:r w:rsidRPr="00F673C3">
        <w:rPr>
          <w:i/>
          <w:iCs/>
          <w:sz w:val="22"/>
          <w:szCs w:val="22"/>
        </w:rPr>
        <w:t xml:space="preserve">Prolaktín </w:t>
      </w:r>
    </w:p>
    <w:p w:rsidR="005A1BB6" w:rsidRDefault="005A1BB6" w:rsidP="005A1B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Počas klinického skúšania pre schválené indikácie a po uvedení na trh bol pri aripiprazole v porovnaní s východiskovou hodnotou pozorovaný nárast aj pokles prolaktínu v sére (časť 5.1). </w:t>
      </w:r>
    </w:p>
    <w:p w:rsidR="005A1BB6" w:rsidRDefault="005A1BB6" w:rsidP="005A1BB6">
      <w:pPr>
        <w:widowControl w:val="0"/>
        <w:rPr>
          <w:i/>
          <w:iCs/>
          <w:sz w:val="22"/>
          <w:szCs w:val="22"/>
        </w:rPr>
      </w:pPr>
    </w:p>
    <w:p w:rsidR="00C76B8D" w:rsidRPr="00B14A90" w:rsidRDefault="005A1BB6" w:rsidP="002C6892">
      <w:pPr>
        <w:widowControl w:val="0"/>
        <w:rPr>
          <w:sz w:val="22"/>
          <w:szCs w:val="22"/>
          <w:u w:val="single"/>
        </w:rPr>
      </w:pPr>
      <w:r w:rsidRPr="00B8384D">
        <w:rPr>
          <w:i/>
          <w:iCs/>
          <w:sz w:val="22"/>
          <w:szCs w:val="22"/>
          <w:u w:val="single"/>
        </w:rPr>
        <w:t>Laboratórne parametre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Porovnanie medzi aripiprazolom a placebom v pomere pacientov, u ktorých sa vyskytli potenciálne klinicky významné zmeny v bežných laboratórnych a lipidových parametroch (pozri časť 5.1), neodhalili žiadne medicínsky dôležité rozdiely. Zvýšenie CPK (kreatínfosfokinázy) </w:t>
      </w:r>
      <w:r w:rsidR="00C76B8D" w:rsidRPr="00405EF4">
        <w:rPr>
          <w:sz w:val="22"/>
          <w:szCs w:val="22"/>
        </w:rPr>
        <w:t xml:space="preserve">bolo </w:t>
      </w:r>
      <w:r w:rsidRPr="00405EF4">
        <w:rPr>
          <w:sz w:val="22"/>
          <w:szCs w:val="22"/>
        </w:rPr>
        <w:t xml:space="preserve">zvyčajne prechodné a asymptomatické </w:t>
      </w:r>
      <w:r w:rsidR="00C76B8D" w:rsidRPr="00405EF4">
        <w:rPr>
          <w:sz w:val="22"/>
          <w:szCs w:val="22"/>
        </w:rPr>
        <w:t>a </w:t>
      </w:r>
      <w:r w:rsidRPr="00405EF4">
        <w:rPr>
          <w:sz w:val="22"/>
          <w:szCs w:val="22"/>
        </w:rPr>
        <w:t>pozorova</w:t>
      </w:r>
      <w:r w:rsidR="00C76B8D" w:rsidRPr="00405EF4">
        <w:rPr>
          <w:sz w:val="22"/>
          <w:szCs w:val="22"/>
        </w:rPr>
        <w:t>lo sa</w:t>
      </w:r>
      <w:r w:rsidRPr="00405EF4">
        <w:rPr>
          <w:sz w:val="22"/>
          <w:szCs w:val="22"/>
        </w:rPr>
        <w:t xml:space="preserve"> u 3,5 % pacientov liečených aripiprazolom v porovnaní s 2,0 % pacientov liečených placebom.</w:t>
      </w:r>
    </w:p>
    <w:p w:rsidR="008D5E87" w:rsidRDefault="008D5E87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Pediatrická populácia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8D5E87" w:rsidRDefault="00386643" w:rsidP="002C6892">
      <w:pPr>
        <w:widowControl w:val="0"/>
        <w:rPr>
          <w:i/>
          <w:sz w:val="22"/>
          <w:szCs w:val="22"/>
          <w:u w:val="single"/>
        </w:rPr>
      </w:pPr>
      <w:r w:rsidRPr="008D5E87">
        <w:rPr>
          <w:i/>
          <w:sz w:val="22"/>
          <w:szCs w:val="22"/>
          <w:u w:val="single"/>
        </w:rPr>
        <w:t>Dospievajúci so schizofréniou vo veku 15 rokov a</w:t>
      </w:r>
      <w:r w:rsidR="00C76B8D" w:rsidRPr="008D5E87">
        <w:rPr>
          <w:i/>
          <w:sz w:val="22"/>
          <w:szCs w:val="22"/>
          <w:u w:val="single"/>
        </w:rPr>
        <w:t> </w:t>
      </w:r>
      <w:r w:rsidRPr="008D5E87">
        <w:rPr>
          <w:i/>
          <w:sz w:val="22"/>
          <w:szCs w:val="22"/>
          <w:u w:val="single"/>
        </w:rPr>
        <w:t>starší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</w:t>
      </w:r>
      <w:r w:rsidR="00114943">
        <w:rPr>
          <w:sz w:val="22"/>
          <w:szCs w:val="22"/>
        </w:rPr>
        <w:t xml:space="preserve">reakcií </w:t>
      </w:r>
      <w:r w:rsidRPr="00405EF4">
        <w:rPr>
          <w:sz w:val="22"/>
          <w:szCs w:val="22"/>
        </w:rPr>
        <w:t xml:space="preserve">boli podobné tým ako u dospelých, okrem nasledovných reakcií, ktoré boli hlásené častejšie u dospievajúcich užívajúcich aripiprazol ako u dospelých užívajúcich aripiprazol (a častejšie ako placebo): </w:t>
      </w:r>
      <w:r w:rsidR="00C76B8D" w:rsidRPr="00405EF4">
        <w:rPr>
          <w:sz w:val="22"/>
          <w:szCs w:val="22"/>
        </w:rPr>
        <w:t>s</w:t>
      </w:r>
      <w:r w:rsidRPr="00405EF4">
        <w:rPr>
          <w:sz w:val="22"/>
          <w:szCs w:val="22"/>
        </w:rPr>
        <w:t xml:space="preserve">omnolencia/sedácia a </w:t>
      </w:r>
      <w:r w:rsidR="007F6A75" w:rsidRPr="00405EF4">
        <w:rPr>
          <w:sz w:val="22"/>
          <w:szCs w:val="22"/>
        </w:rPr>
        <w:t>extrapyramídová</w:t>
      </w:r>
      <w:r w:rsidRPr="00405EF4">
        <w:rPr>
          <w:sz w:val="22"/>
          <w:szCs w:val="22"/>
        </w:rPr>
        <w:t xml:space="preserve"> porucha boli hlásené </w:t>
      </w:r>
      <w:r w:rsidR="008D5E87">
        <w:rPr>
          <w:sz w:val="22"/>
          <w:szCs w:val="22"/>
        </w:rPr>
        <w:t>ako veľmi časté (≥ 1/10), sucho</w:t>
      </w:r>
      <w:r w:rsidRPr="00405EF4">
        <w:rPr>
          <w:sz w:val="22"/>
          <w:szCs w:val="22"/>
        </w:rPr>
        <w:t xml:space="preserve"> v ústach, zvýšená chuť do jedla, a ortostatická hypotenzia boli hlásené ako časté (≥ 1/100 až &lt; 1/10).</w:t>
      </w:r>
      <w:r w:rsidR="008D5E87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Bezpečnostný profil v 26 týždňovej otvorenej rozšírenej štúdii bol podobný tomu, ktorý bol pozorovaný v krátkodobej, placebom kontrolovanej štúdii.</w:t>
      </w:r>
    </w:p>
    <w:p w:rsidR="00114943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Bezpečnostný profil dlhodobej dvojito zaslepenej placebom kontrolovanej štúdie bol taktiež podobný, okrem nasledovných reakcií, ktoré boli hlásené častejšie ako u pediatrických pacientov užívajúcich placebo: pokles telesnej hmotnosti, zvýšenie hladiny inzulínu v krv</w:t>
      </w:r>
      <w:r w:rsidR="00137C97">
        <w:rPr>
          <w:sz w:val="22"/>
          <w:szCs w:val="22"/>
        </w:rPr>
        <w:t>i</w:t>
      </w:r>
      <w:r>
        <w:rPr>
          <w:sz w:val="22"/>
          <w:szCs w:val="22"/>
        </w:rPr>
        <w:t xml:space="preserve">, arytmia a leukopénia boli hlásené </w:t>
      </w:r>
      <w:r>
        <w:rPr>
          <w:sz w:val="22"/>
          <w:szCs w:val="22"/>
        </w:rPr>
        <w:lastRenderedPageBreak/>
        <w:t>často (≥ 1/100 až &lt; 1/10).</w:t>
      </w:r>
    </w:p>
    <w:p w:rsidR="008D5E87" w:rsidRPr="00405EF4" w:rsidRDefault="008D5E87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populácii dospievajúcich pacientov (vo veku 13-17 rokov) trpiacich schizofréniou, ktorí boli vystavení 5 až 30 mg aripiprazolu až po dobu 72 mesiacov, bol výskyt nízkej hladiny prolaktínu v sére u žien (&lt; 3 ng/ml) 25,6 % a u mužov (&lt; 2 ng/ml) 45,0 %.</w:t>
      </w:r>
    </w:p>
    <w:p w:rsidR="00114943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Pri dvoch dlhodobých štúdiách u dospievajúcich (13 – 17 rokov) pacientov trpiacich schizofréniou a bipolárnou poruchou liečených aripiprazolom bol výskyt nízkej hladiny prolaktínu v sére u žien (&lt; 3 ng/ml) 37,0 % a u mužov (&lt; 2 ng/ml) 59,4 %.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i/>
          <w:sz w:val="22"/>
          <w:szCs w:val="22"/>
        </w:rPr>
        <w:t>Manické epizódy pri bipolárnej poruche typu I u dospievajúcich vo veku 13 rokov a starších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Frekvencia a typ nežiaducich </w:t>
      </w:r>
      <w:r w:rsidR="00114943">
        <w:rPr>
          <w:sz w:val="22"/>
          <w:szCs w:val="22"/>
        </w:rPr>
        <w:t xml:space="preserve">reakcií </w:t>
      </w:r>
      <w:r w:rsidRPr="00405EF4">
        <w:rPr>
          <w:sz w:val="22"/>
          <w:szCs w:val="22"/>
        </w:rPr>
        <w:t>u dospievajúcich s bipolárnou poruchou typu I boli podobné tým, ktoré boli u dospelých s výnimkou nasledovných reakcií: veľmi časté (≥ 1/10) somnolencia (23,0 %), extrapyramídová porucha (18,4 %), akatízia (16,0 %) a únava (11,8 %); a časté (≥ 1/100 až &lt; 1/10) abdominálna bolesť v hornej časti, zvýšená tepová frekvencia, zvýšená telesná hmotnosť, zvýšená chuť do jedla, svalové zášklby a dyskinéza.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Nasledovné nežiaduce </w:t>
      </w:r>
      <w:r w:rsidR="00114943">
        <w:rPr>
          <w:sz w:val="22"/>
          <w:szCs w:val="22"/>
        </w:rPr>
        <w:t xml:space="preserve">reakcie </w:t>
      </w:r>
      <w:r w:rsidRPr="00405EF4">
        <w:rPr>
          <w:sz w:val="22"/>
          <w:szCs w:val="22"/>
        </w:rPr>
        <w:t>mali pravdepodobný vzťah s odpoveďou na dávku; extrapyramídová porucha (incidencia bola pri 10 mg: 9,1 %; pri 30 mg: 28,8 % a pri placebe: 1,7 %); a akatízia (incidencia bola pri 10 mg: 12,1 %; pri 30 mg: 20,3 % a pri placebe: 1,7 %).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Priemerné zmeny telesnej hmotnosti u dospievajúcich s bipolárnou poruchou typu I v 12. a 30. týždni po aripiprazole boli 2,4 kg a 5,8 kg (v uvedenom poradí) a po placebe 0,2 kg a 2,3 kg (v uvedenom poradí).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pediatrickej populácii sa somnolencia a únava pozorovali častejšie u pacientov s bipolárnou poruchou v porovnaní s pacientmi so schizofréniou.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pediatrickej populácii s bipolárnou poruchou (10-17 rokov) s expozíciou do 30. týždňov bola incidencia nízkych hladín prolaktínu v sére u dievčat (&lt; 3 ng/ml) 28,0 % a u chlapcov (&lt; 2 ng/ml) 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53,3 %.</w:t>
      </w:r>
    </w:p>
    <w:p w:rsidR="00DA1974" w:rsidRPr="00405EF4" w:rsidRDefault="00DA1974" w:rsidP="002C6892">
      <w:pPr>
        <w:widowControl w:val="0"/>
        <w:rPr>
          <w:sz w:val="22"/>
          <w:szCs w:val="22"/>
        </w:rPr>
      </w:pPr>
    </w:p>
    <w:p w:rsidR="00114943" w:rsidRDefault="00114943" w:rsidP="0011494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Patologické hráčstvo a ďalšie poruchy kontroly impulzov </w:t>
      </w:r>
    </w:p>
    <w:p w:rsidR="00114943" w:rsidRDefault="00114943" w:rsidP="0011494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Patologické hráčstvo, hypersexualita, kompulzívne nakupovanie a prejedanie sa alebo kompulzívne jedenie sa môžu vyskytnúť u pacientov liečených aripiprazolom (pozri časť 4.4).</w:t>
      </w:r>
    </w:p>
    <w:p w:rsidR="009B3E81" w:rsidRPr="005A1BB6" w:rsidRDefault="009B3E81" w:rsidP="002C6892">
      <w:pPr>
        <w:widowControl w:val="0"/>
        <w:rPr>
          <w:sz w:val="22"/>
          <w:szCs w:val="22"/>
          <w:u w:val="single"/>
        </w:rPr>
      </w:pPr>
    </w:p>
    <w:p w:rsidR="000F78F8" w:rsidRPr="00134B9F" w:rsidRDefault="000F78F8" w:rsidP="000F78F8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 w:rsidRPr="00134B9F">
        <w:rPr>
          <w:sz w:val="22"/>
          <w:u w:val="single"/>
        </w:rPr>
        <w:t>Hlásenie podozrení na nežiaduce reakcie</w:t>
      </w:r>
    </w:p>
    <w:p w:rsidR="00747C74" w:rsidRDefault="00747C74" w:rsidP="00747C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eastAsia="MS Mincho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rFonts w:eastAsia="MS Mincho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rFonts w:eastAsia="MS Mincho"/>
          <w:sz w:val="22"/>
        </w:rPr>
        <w:t>.</w:t>
      </w:r>
    </w:p>
    <w:p w:rsidR="00B2419C" w:rsidRPr="00B14A90" w:rsidRDefault="00B2419C" w:rsidP="002C6892">
      <w:pPr>
        <w:widowControl w:val="0"/>
        <w:rPr>
          <w:sz w:val="22"/>
          <w:szCs w:val="22"/>
        </w:rPr>
      </w:pPr>
    </w:p>
    <w:p w:rsidR="00B2419C" w:rsidRPr="00B14A90" w:rsidRDefault="00B2419C" w:rsidP="002C689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B14A90">
        <w:rPr>
          <w:b/>
          <w:sz w:val="22"/>
          <w:szCs w:val="22"/>
        </w:rPr>
        <w:t>Predávkovanie</w:t>
      </w:r>
    </w:p>
    <w:p w:rsidR="00B2419C" w:rsidRPr="00B14A90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14A90" w:rsidRDefault="00435684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B14A90">
        <w:rPr>
          <w:sz w:val="22"/>
          <w:szCs w:val="22"/>
          <w:u w:val="single"/>
        </w:rPr>
        <w:t xml:space="preserve">Prejavy </w:t>
      </w:r>
      <w:r w:rsidR="00386643" w:rsidRPr="00B14A90">
        <w:rPr>
          <w:sz w:val="22"/>
          <w:szCs w:val="22"/>
          <w:u w:val="single"/>
        </w:rPr>
        <w:t>a</w:t>
      </w:r>
      <w:r w:rsidR="00C76B8D" w:rsidRPr="00B14A90">
        <w:rPr>
          <w:sz w:val="22"/>
          <w:szCs w:val="22"/>
          <w:u w:val="single"/>
        </w:rPr>
        <w:t> </w:t>
      </w:r>
      <w:r w:rsidR="00386643" w:rsidRPr="00B14A90">
        <w:rPr>
          <w:sz w:val="22"/>
          <w:szCs w:val="22"/>
          <w:u w:val="single"/>
        </w:rPr>
        <w:t>príznaky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klinickom skúšaní a v post-marketingovom období </w:t>
      </w:r>
      <w:r w:rsidR="008D2620" w:rsidRPr="00405EF4">
        <w:rPr>
          <w:sz w:val="22"/>
          <w:szCs w:val="22"/>
        </w:rPr>
        <w:t>bolo zistené náhodné</w:t>
      </w:r>
      <w:r w:rsidRPr="00405EF4">
        <w:rPr>
          <w:sz w:val="22"/>
          <w:szCs w:val="22"/>
        </w:rPr>
        <w:t xml:space="preserve"> alebo </w:t>
      </w:r>
      <w:r w:rsidR="008D2620" w:rsidRPr="00405EF4">
        <w:rPr>
          <w:sz w:val="22"/>
          <w:szCs w:val="22"/>
        </w:rPr>
        <w:t>zámerné akútne predávkovanie samotným</w:t>
      </w:r>
      <w:r w:rsidR="008D2620" w:rsidRPr="00405EF4" w:rsidDel="00382F45">
        <w:rPr>
          <w:sz w:val="22"/>
          <w:szCs w:val="22"/>
        </w:rPr>
        <w:t xml:space="preserve"> </w:t>
      </w:r>
      <w:r w:rsidR="008D2620" w:rsidRPr="00405EF4">
        <w:rPr>
          <w:sz w:val="22"/>
          <w:szCs w:val="22"/>
        </w:rPr>
        <w:t>aripiprazolom</w:t>
      </w:r>
      <w:r w:rsidRPr="00405EF4">
        <w:rPr>
          <w:sz w:val="22"/>
          <w:szCs w:val="22"/>
        </w:rPr>
        <w:t xml:space="preserve"> u dospelých pacientov s odhadovanou dávkou do 1 260 mg bez smrteľných prejavov. Potenciálne medicínsky dôležité sledované </w:t>
      </w:r>
      <w:r w:rsidR="008D2620" w:rsidRPr="00405EF4">
        <w:rPr>
          <w:sz w:val="22"/>
          <w:szCs w:val="22"/>
        </w:rPr>
        <w:t xml:space="preserve">prejavy </w:t>
      </w:r>
      <w:r w:rsidRPr="00405EF4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8D2620" w:rsidRPr="00405EF4">
        <w:rPr>
          <w:sz w:val="22"/>
          <w:szCs w:val="22"/>
        </w:rPr>
        <w:t>Okrem toho bolo hlásené náhodné predávkovanie</w:t>
      </w:r>
      <w:r w:rsidRPr="00405EF4">
        <w:rPr>
          <w:sz w:val="22"/>
          <w:szCs w:val="22"/>
        </w:rPr>
        <w:t xml:space="preserve"> samotným aripiprazolom (do 195 mg) u detí bez smrteľných prejavov. Medzi potenciálne medicínsky závažné </w:t>
      </w:r>
      <w:r w:rsidR="00105644">
        <w:rPr>
          <w:sz w:val="22"/>
          <w:szCs w:val="22"/>
        </w:rPr>
        <w:t>prejavy</w:t>
      </w:r>
      <w:r w:rsidR="00105644" w:rsidRPr="00405EF4" w:rsidDel="0010564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a príznaky patrila </w:t>
      </w:r>
      <w:r w:rsidR="00105644" w:rsidRPr="004B1F9E">
        <w:rPr>
          <w:sz w:val="22"/>
          <w:szCs w:val="22"/>
        </w:rPr>
        <w:t>somnolencia</w:t>
      </w:r>
      <w:r w:rsidR="00105644">
        <w:rPr>
          <w:szCs w:val="22"/>
        </w:rPr>
        <w:t>,</w:t>
      </w:r>
      <w:r w:rsidR="00105644" w:rsidRPr="000E089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prechodná strata vedomia a</w:t>
      </w:r>
      <w:r w:rsidR="00105644">
        <w:rPr>
          <w:sz w:val="22"/>
          <w:szCs w:val="22"/>
        </w:rPr>
        <w:t> </w:t>
      </w:r>
      <w:r w:rsidR="008D2620" w:rsidRPr="00405EF4">
        <w:rPr>
          <w:sz w:val="22"/>
          <w:szCs w:val="22"/>
        </w:rPr>
        <w:t>extrapyramídové</w:t>
      </w:r>
      <w:r w:rsidR="00105644">
        <w:rPr>
          <w:sz w:val="22"/>
          <w:szCs w:val="22"/>
        </w:rPr>
        <w:t xml:space="preserve"> </w:t>
      </w:r>
      <w:r w:rsidR="00105644" w:rsidRPr="000E0894">
        <w:rPr>
          <w:sz w:val="22"/>
          <w:szCs w:val="22"/>
        </w:rPr>
        <w:t>príznaky</w:t>
      </w:r>
      <w:r w:rsidRPr="00405EF4">
        <w:rPr>
          <w:sz w:val="22"/>
          <w:szCs w:val="22"/>
        </w:rPr>
        <w:t>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Liečba predávkovania</w:t>
      </w: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Liečba predávkovania </w:t>
      </w:r>
      <w:r w:rsidR="008D2620" w:rsidRPr="00405EF4">
        <w:rPr>
          <w:sz w:val="22"/>
          <w:szCs w:val="22"/>
        </w:rPr>
        <w:t>sa má</w:t>
      </w:r>
      <w:r w:rsidRPr="00405EF4">
        <w:rPr>
          <w:sz w:val="22"/>
          <w:szCs w:val="22"/>
        </w:rPr>
        <w:t xml:space="preserve"> zamerať na podpornú liečbu, zabezpečenie voľných dýchacích ciest, oxygenáciu a ventiláciu a na liečbu príznakov. Musí sa zvážiť možnosť pôsobenia ďalších liekov. Preto sa má okamžite začať monitorovanie kardiovaskulárneho systému vrátane priebežného </w:t>
      </w:r>
      <w:r w:rsidRPr="00405EF4">
        <w:rPr>
          <w:sz w:val="22"/>
          <w:szCs w:val="22"/>
        </w:rPr>
        <w:lastRenderedPageBreak/>
        <w:t xml:space="preserve">elektrokardiografického monitorovania na odhalenie možných arytmií. Po akomkoľvek potvrdenom alebo </w:t>
      </w:r>
      <w:r w:rsidR="008D2620" w:rsidRPr="00405EF4">
        <w:rPr>
          <w:sz w:val="22"/>
          <w:szCs w:val="22"/>
        </w:rPr>
        <w:t>alebo podozrení na predávkovanie</w:t>
      </w:r>
      <w:r w:rsidRPr="00405EF4">
        <w:rPr>
          <w:sz w:val="22"/>
          <w:szCs w:val="22"/>
        </w:rPr>
        <w:t xml:space="preserve"> aripiprazolom má pokračovať starostlivý lekársky dohľad a monitorovanie dovtedy, kým sa pacient nezotaví.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Aktívne</w:t>
      </w:r>
      <w:r w:rsidR="00386643" w:rsidRPr="00405EF4">
        <w:rPr>
          <w:sz w:val="22"/>
          <w:szCs w:val="22"/>
        </w:rPr>
        <w:t xml:space="preserve"> uhlie (50 g) podané po jednej hodine po podaní aripiprazolu znížilo hodnoty C</w:t>
      </w:r>
      <w:r w:rsidR="00386643" w:rsidRPr="00405EF4">
        <w:rPr>
          <w:sz w:val="22"/>
          <w:szCs w:val="22"/>
          <w:vertAlign w:val="subscript"/>
        </w:rPr>
        <w:t>max</w:t>
      </w:r>
      <w:r w:rsidR="00386643" w:rsidRPr="00405EF4">
        <w:rPr>
          <w:sz w:val="22"/>
          <w:szCs w:val="22"/>
        </w:rPr>
        <w:t xml:space="preserve"> aripiprazolu asi o 41 % a hodnoty AUC asi o 51 %, čo poukazuje na to, že </w:t>
      </w:r>
      <w:r w:rsidRPr="00405EF4">
        <w:rPr>
          <w:sz w:val="22"/>
          <w:szCs w:val="22"/>
        </w:rPr>
        <w:t>aktívne</w:t>
      </w:r>
      <w:r w:rsidR="00386643" w:rsidRPr="00405EF4">
        <w:rPr>
          <w:sz w:val="22"/>
          <w:szCs w:val="22"/>
        </w:rPr>
        <w:t xml:space="preserve"> uhlie môže byť účinné v liečbe predávkovania.</w:t>
      </w:r>
    </w:p>
    <w:p w:rsidR="00C76B8D" w:rsidRPr="00405EF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  <w:u w:val="single"/>
        </w:rPr>
        <w:t>Hemodialýza</w:t>
      </w:r>
    </w:p>
    <w:p w:rsidR="00B2419C" w:rsidRPr="00405EF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aripiprazol </w:t>
      </w:r>
      <w:r w:rsidR="00C76B8D" w:rsidRPr="00405EF4">
        <w:rPr>
          <w:sz w:val="22"/>
          <w:szCs w:val="22"/>
        </w:rPr>
        <w:t xml:space="preserve">sa </w:t>
      </w:r>
      <w:r w:rsidRPr="00405EF4">
        <w:rPr>
          <w:sz w:val="22"/>
          <w:szCs w:val="22"/>
        </w:rPr>
        <w:t>vo veľkej miere viaže na plazmatické proteíny.</w:t>
      </w:r>
    </w:p>
    <w:p w:rsidR="00EB461D" w:rsidRPr="00405EF4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FARMAKOLOGICKÉ VLASTNOSTI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Farmakodynamické vlastnosti</w:t>
      </w:r>
    </w:p>
    <w:p w:rsidR="00B2419C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B3E81" w:rsidRPr="00405EF4" w:rsidRDefault="009B3E81" w:rsidP="009B3E81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Farmakoterapeutická skupina:</w:t>
      </w:r>
      <w:r w:rsidR="00137C97">
        <w:rPr>
          <w:sz w:val="22"/>
          <w:szCs w:val="22"/>
        </w:rPr>
        <w:t xml:space="preserve"> </w:t>
      </w:r>
      <w:r w:rsidR="005A1BB6">
        <w:rPr>
          <w:sz w:val="22"/>
          <w:szCs w:val="22"/>
        </w:rPr>
        <w:t>P</w:t>
      </w:r>
      <w:r>
        <w:rPr>
          <w:sz w:val="22"/>
          <w:szCs w:val="22"/>
        </w:rPr>
        <w:t xml:space="preserve">sycholeptiká, </w:t>
      </w:r>
      <w:r w:rsidRPr="009B3E81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iné antipsychotiká, ATC kód: N05AX12</w:t>
      </w:r>
    </w:p>
    <w:p w:rsidR="009B3E81" w:rsidRDefault="009B3E81" w:rsidP="002C6892">
      <w:pPr>
        <w:widowControl w:val="0"/>
        <w:rPr>
          <w:sz w:val="22"/>
          <w:szCs w:val="22"/>
          <w:u w:val="single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Mechanizmus účinku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8D2620" w:rsidRPr="00405EF4">
        <w:rPr>
          <w:sz w:val="22"/>
          <w:szCs w:val="22"/>
        </w:rPr>
        <w:t>kombináciou</w:t>
      </w:r>
      <w:r w:rsidRPr="00405EF4">
        <w:rPr>
          <w:sz w:val="22"/>
          <w:szCs w:val="22"/>
        </w:rPr>
        <w:t xml:space="preserve"> čiastočného agonizmu dopamínových D</w:t>
      </w:r>
      <w:r w:rsidRPr="00F673C3">
        <w:rPr>
          <w:sz w:val="22"/>
          <w:szCs w:val="22"/>
          <w:vertAlign w:val="subscript"/>
        </w:rPr>
        <w:t>2</w:t>
      </w:r>
      <w:r w:rsidRPr="00405EF4">
        <w:rPr>
          <w:sz w:val="22"/>
          <w:szCs w:val="22"/>
        </w:rPr>
        <w:t xml:space="preserve"> a sérotonínových 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1A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receptorov a antagonizmu sérotonínových 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2A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receptorov. Aripiprazol preukázal antagonistické vlastnosti na zvieracích modeloch dopamínergnej hyperaktivity a agonistické vlastnosti na zvieracích modeloch dopamínergnej hypoaktivity. Aripiprazol preukázal in vitro vysokú väzbovú afinitu k dopamínovým D</w:t>
      </w:r>
      <w:r w:rsidRPr="00F673C3">
        <w:rPr>
          <w:sz w:val="22"/>
          <w:szCs w:val="22"/>
          <w:vertAlign w:val="subscript"/>
        </w:rPr>
        <w:t>2</w:t>
      </w:r>
      <w:r w:rsidRPr="00405EF4">
        <w:rPr>
          <w:sz w:val="22"/>
          <w:szCs w:val="22"/>
        </w:rPr>
        <w:t xml:space="preserve"> a D</w:t>
      </w:r>
      <w:r w:rsidRPr="00F673C3">
        <w:rPr>
          <w:sz w:val="22"/>
          <w:szCs w:val="22"/>
          <w:vertAlign w:val="subscript"/>
        </w:rPr>
        <w:t>3</w:t>
      </w:r>
      <w:r w:rsidRPr="00405EF4">
        <w:rPr>
          <w:sz w:val="22"/>
          <w:szCs w:val="22"/>
        </w:rPr>
        <w:t xml:space="preserve">, sérotonínovým 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1A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a</w:t>
      </w:r>
      <w:r w:rsidR="00137C97">
        <w:rPr>
          <w:sz w:val="22"/>
          <w:szCs w:val="22"/>
        </w:rPr>
        <w:t> 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2A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receptorom a miernu afinitu k dopamínovým D</w:t>
      </w:r>
      <w:r w:rsidRPr="00F673C3">
        <w:rPr>
          <w:sz w:val="22"/>
          <w:szCs w:val="22"/>
          <w:vertAlign w:val="subscript"/>
        </w:rPr>
        <w:t>4</w:t>
      </w:r>
      <w:r w:rsidRPr="00405EF4">
        <w:rPr>
          <w:sz w:val="22"/>
          <w:szCs w:val="22"/>
        </w:rPr>
        <w:t xml:space="preserve">, sérotonínovým </w:t>
      </w:r>
      <w:r w:rsidR="008D2620"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="008D2620" w:rsidRPr="00405EF4">
        <w:rPr>
          <w:sz w:val="22"/>
          <w:szCs w:val="22"/>
        </w:rPr>
        <w:t>HT</w:t>
      </w:r>
      <w:r w:rsidR="008D2620" w:rsidRPr="00F673C3">
        <w:rPr>
          <w:sz w:val="22"/>
          <w:szCs w:val="22"/>
          <w:vertAlign w:val="subscript"/>
        </w:rPr>
        <w:t>2C</w:t>
      </w:r>
      <w:r w:rsidR="008D2620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a</w:t>
      </w:r>
      <w:r w:rsidR="00137C97">
        <w:rPr>
          <w:sz w:val="22"/>
          <w:szCs w:val="22"/>
        </w:rPr>
        <w:t> </w:t>
      </w:r>
      <w:r w:rsidRPr="00405EF4">
        <w:rPr>
          <w:sz w:val="22"/>
          <w:szCs w:val="22"/>
        </w:rPr>
        <w:t>5</w:t>
      </w:r>
      <w:r w:rsidR="00137C97">
        <w:rPr>
          <w:sz w:val="22"/>
          <w:szCs w:val="22"/>
        </w:rPr>
        <w:t>-</w:t>
      </w:r>
      <w:r w:rsidRPr="00405EF4">
        <w:rPr>
          <w:sz w:val="22"/>
          <w:szCs w:val="22"/>
        </w:rPr>
        <w:t>HT</w:t>
      </w:r>
      <w:r w:rsidRPr="00F673C3">
        <w:rPr>
          <w:sz w:val="22"/>
          <w:szCs w:val="22"/>
          <w:vertAlign w:val="subscript"/>
        </w:rPr>
        <w:t>7</w:t>
      </w:r>
      <w:r w:rsidRPr="00405EF4">
        <w:rPr>
          <w:sz w:val="22"/>
          <w:szCs w:val="22"/>
        </w:rPr>
        <w:t>, alfa-1 adrenergným a histamínovým H</w:t>
      </w:r>
      <w:r w:rsidRPr="00F673C3">
        <w:rPr>
          <w:sz w:val="22"/>
          <w:szCs w:val="22"/>
          <w:vertAlign w:val="subscript"/>
        </w:rPr>
        <w:t>1</w:t>
      </w:r>
      <w:r w:rsidRPr="00405EF4">
        <w:rPr>
          <w:sz w:val="22"/>
          <w:szCs w:val="22"/>
        </w:rPr>
        <w:t xml:space="preserve"> receptorom. Aripiprazol preukázal miernu afinitu aj k miestu spätného vychytávania sérotonínu a nepreukázal žiadnu afinitu k muskarínovým receptorom. Interakcia s receptormi, ktoré sú iné ako dopamínové a sérotonínové podtypy, môže vysvetľovať niektoré z ďalších klinických účinkov aripiprazolu. Dávky aripiprazolu v rozsahu od 0,5 do 30 mg podané jedenkrát denne zdravým jedincom po dobu 2 týždňov vyvolali dávkovo závislú redukciu väzby </w:t>
      </w:r>
      <w:r w:rsidRPr="00F673C3">
        <w:rPr>
          <w:sz w:val="22"/>
          <w:szCs w:val="22"/>
          <w:vertAlign w:val="superscript"/>
        </w:rPr>
        <w:t>11</w:t>
      </w:r>
      <w:r w:rsidRPr="00405EF4">
        <w:rPr>
          <w:sz w:val="22"/>
          <w:szCs w:val="22"/>
        </w:rPr>
        <w:t>C-raklopridu, ligandu D</w:t>
      </w:r>
      <w:r w:rsidRPr="00F673C3">
        <w:rPr>
          <w:sz w:val="22"/>
          <w:szCs w:val="22"/>
          <w:vertAlign w:val="subscript"/>
        </w:rPr>
        <w:t>2</w:t>
      </w:r>
      <w:r w:rsidRPr="00405EF4">
        <w:rPr>
          <w:sz w:val="22"/>
          <w:szCs w:val="22"/>
        </w:rPr>
        <w:t>/D</w:t>
      </w:r>
      <w:r w:rsidRPr="00F673C3">
        <w:rPr>
          <w:sz w:val="22"/>
          <w:szCs w:val="22"/>
          <w:vertAlign w:val="subscript"/>
        </w:rPr>
        <w:t>3</w:t>
      </w:r>
      <w:r w:rsidRPr="00405EF4">
        <w:rPr>
          <w:sz w:val="22"/>
          <w:szCs w:val="22"/>
        </w:rPr>
        <w:t xml:space="preserve"> receptora na caudatus a putamen zistenú pozitrónovou emisnou tomografiou.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Klinická účinnosť a</w:t>
      </w:r>
      <w:r w:rsidR="00C76B8D" w:rsidRPr="00405EF4">
        <w:rPr>
          <w:sz w:val="22"/>
          <w:szCs w:val="22"/>
          <w:u w:val="single"/>
        </w:rPr>
        <w:t> </w:t>
      </w:r>
      <w:r w:rsidRPr="00405EF4">
        <w:rPr>
          <w:sz w:val="22"/>
          <w:szCs w:val="22"/>
          <w:u w:val="single"/>
        </w:rPr>
        <w:t>bezpečnosť</w:t>
      </w:r>
    </w:p>
    <w:p w:rsidR="00114943" w:rsidRDefault="00114943" w:rsidP="002C6892">
      <w:pPr>
        <w:widowControl w:val="0"/>
        <w:rPr>
          <w:i/>
          <w:sz w:val="22"/>
          <w:szCs w:val="22"/>
        </w:rPr>
      </w:pPr>
    </w:p>
    <w:p w:rsidR="00114943" w:rsidRPr="00F673C3" w:rsidRDefault="00114943" w:rsidP="002C6892">
      <w:pPr>
        <w:widowContro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Dospelí</w:t>
      </w:r>
    </w:p>
    <w:p w:rsidR="00114943" w:rsidRDefault="00114943" w:rsidP="002C6892">
      <w:pPr>
        <w:widowControl w:val="0"/>
        <w:rPr>
          <w:i/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Schizofrénia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troch krátkodobých (4 až 6 týždňových) placebom kontrolovaných štúdiách zahŕňajúcich 1 228 dospelých pacientov </w:t>
      </w:r>
      <w:r w:rsidR="008D2620" w:rsidRPr="00405EF4">
        <w:rPr>
          <w:sz w:val="22"/>
          <w:szCs w:val="22"/>
        </w:rPr>
        <w:t>so sch</w:t>
      </w:r>
      <w:r w:rsidR="00137C97">
        <w:rPr>
          <w:sz w:val="22"/>
          <w:szCs w:val="22"/>
        </w:rPr>
        <w:t>i</w:t>
      </w:r>
      <w:r w:rsidR="008D2620" w:rsidRPr="00405EF4">
        <w:rPr>
          <w:sz w:val="22"/>
          <w:szCs w:val="22"/>
        </w:rPr>
        <w:t xml:space="preserve">zofréniou, </w:t>
      </w:r>
      <w:r w:rsidRPr="00405EF4">
        <w:rPr>
          <w:sz w:val="22"/>
          <w:szCs w:val="22"/>
        </w:rPr>
        <w:t xml:space="preserve">s pozitívnymi alebo negatívnymi symptómami sa aripiprazol spájal so štatisticky významnými väčšími zlepšeniami v psychotických </w:t>
      </w:r>
      <w:r w:rsidR="00105644" w:rsidRPr="00A903A1">
        <w:rPr>
          <w:sz w:val="22"/>
          <w:szCs w:val="22"/>
        </w:rPr>
        <w:t>príznakoch</w:t>
      </w:r>
      <w:r w:rsidR="00105644" w:rsidRPr="00405EF4" w:rsidDel="0010564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v porovnaní s placebom.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9B3E81" w:rsidRDefault="002C1240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</w:t>
      </w:r>
      <w:r w:rsidR="00386643" w:rsidRPr="00405EF4">
        <w:rPr>
          <w:sz w:val="22"/>
          <w:szCs w:val="22"/>
        </w:rPr>
        <w:t xml:space="preserve">je účinný v udržiavaní klinického zlepšenia počas pokračovacej terapie u dospelých pacientov, u ktorých sa prejavila odpoveď na úvodnú liečbu. V haloperidolom kontrolovanej štúdii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:rsidR="009B3E81" w:rsidRDefault="009B3E81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26-týždňovej, placebom kontrolovanej štúdii s dospelými stabilizovanými pacientmi s chronickou schizofréniou sa u aripiprazolu zistilo významne väčšie zníženie miery relapsu, 34 % v aripiprazolovej skupine a 57 % u placeba.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Prírastok telesnej hmotnosti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</w:t>
      </w:r>
      <w:r w:rsidR="00386643" w:rsidRPr="00405EF4">
        <w:rPr>
          <w:sz w:val="22"/>
          <w:szCs w:val="22"/>
        </w:rPr>
        <w:t xml:space="preserve"> klinických štúdiách sa nedokázalo,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 olanzapínom (n = 45, alebo 33 % hodnotených pacientov).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Lipidové parametre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</w:t>
      </w:r>
      <w:r w:rsidR="00386643" w:rsidRPr="00405EF4">
        <w:rPr>
          <w:sz w:val="22"/>
          <w:szCs w:val="22"/>
        </w:rPr>
        <w:t xml:space="preserve"> </w:t>
      </w:r>
      <w:r w:rsidR="008D2620" w:rsidRPr="00405EF4">
        <w:rPr>
          <w:sz w:val="22"/>
          <w:szCs w:val="22"/>
        </w:rPr>
        <w:t xml:space="preserve">súhrnných </w:t>
      </w:r>
      <w:r w:rsidR="00386643" w:rsidRPr="00405EF4">
        <w:rPr>
          <w:sz w:val="22"/>
          <w:szCs w:val="22"/>
        </w:rPr>
        <w:t>analýzach lipidových parametrov s placebom kontrolovaných klinických štúdií u dospelých, aripiprazol nepreukázal klinicky významné zmeny v hladinách celkového cholesterolu, triglyceridov, HDL a LDL.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B66796" w:rsidRDefault="00B66796" w:rsidP="00B6679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Prolaktín </w:t>
      </w:r>
    </w:p>
    <w:p w:rsidR="00B66796" w:rsidRDefault="00B66796" w:rsidP="00B667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Hladiny prolaktínu boli hodnotené vo všetkých skúšaniach všetkých dávok aripiprazolu (n = 28 242). Výskyt hyperprolaktinémie alebo nárast prolaktínu v sére u pacientov liečených aripiprazolom (0,3 %) bol podobný ako výskyt pri </w:t>
      </w:r>
      <w:r w:rsidR="00F85A62">
        <w:rPr>
          <w:sz w:val="22"/>
          <w:szCs w:val="22"/>
        </w:rPr>
        <w:t xml:space="preserve">podávaní </w:t>
      </w:r>
      <w:r>
        <w:rPr>
          <w:sz w:val="22"/>
          <w:szCs w:val="22"/>
        </w:rPr>
        <w:t>placeb</w:t>
      </w:r>
      <w:r w:rsidR="00F85A62">
        <w:rPr>
          <w:sz w:val="22"/>
          <w:szCs w:val="22"/>
        </w:rPr>
        <w:t>a</w:t>
      </w:r>
      <w:r>
        <w:rPr>
          <w:sz w:val="22"/>
          <w:szCs w:val="22"/>
        </w:rPr>
        <w:t xml:space="preserve"> (0,2 %). U pacientov liečených aripiprazolom výskyt nastal v priemere po 42 dňoch a trval v priemere 34 dní. </w:t>
      </w:r>
    </w:p>
    <w:p w:rsidR="00B66796" w:rsidRDefault="00B66796" w:rsidP="00B66796">
      <w:pPr>
        <w:widowControl w:val="0"/>
        <w:rPr>
          <w:sz w:val="22"/>
          <w:szCs w:val="22"/>
        </w:rPr>
      </w:pPr>
    </w:p>
    <w:p w:rsidR="00B66796" w:rsidRDefault="00B66796" w:rsidP="00B6679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Výskyt hypoprolaktinémie alebo pokles prolaktínu v sére u pacientov liečených aripiprazolom bol 0,4 % v porovnaní s 0,02 % u</w:t>
      </w:r>
      <w:r w:rsidR="00F85A62">
        <w:rPr>
          <w:sz w:val="22"/>
          <w:szCs w:val="22"/>
        </w:rPr>
        <w:t> </w:t>
      </w:r>
      <w:r>
        <w:rPr>
          <w:sz w:val="22"/>
          <w:szCs w:val="22"/>
        </w:rPr>
        <w:t>paciento</w:t>
      </w:r>
      <w:r w:rsidR="00DB36A8">
        <w:rPr>
          <w:sz w:val="22"/>
          <w:szCs w:val="22"/>
        </w:rPr>
        <w:t>v</w:t>
      </w:r>
      <w:r w:rsidR="00F85A62">
        <w:rPr>
          <w:sz w:val="22"/>
          <w:szCs w:val="22"/>
        </w:rPr>
        <w:t>, ktorým bolo podávané</w:t>
      </w:r>
      <w:r>
        <w:rPr>
          <w:sz w:val="22"/>
          <w:szCs w:val="22"/>
        </w:rPr>
        <w:t xml:space="preserve"> placebom. U pacientov liečených aripiprazolom výskyt nastal v priemere po 30 dňoch a trval v priemere 194 dní.</w:t>
      </w:r>
    </w:p>
    <w:p w:rsidR="00B66796" w:rsidRPr="00405EF4" w:rsidRDefault="00B66796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Manické epizódy pri bipolárnej poruche typu I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</w:t>
      </w:r>
      <w:r w:rsidR="00FB3B60" w:rsidRPr="00A903A1">
        <w:rPr>
          <w:sz w:val="22"/>
          <w:szCs w:val="22"/>
        </w:rPr>
        <w:t>príznakov</w:t>
      </w:r>
      <w:r w:rsidR="00FB3B60" w:rsidRPr="00405EF4" w:rsidDel="00FB3B60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počas 3 týždňov. Tieto skúšania zahŕňali pacientov s psychotickými príznakmi alebo bez nich a s priebehom rýchleho cyklovania alebo bez neho.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jednej 3-týždňovej placebom kontrolovanej monoterapeutickej štúdii s fixným dávkovaním zahŕňajúcej pacientov s manickou alebo zmiešanou epizódou bipolárnej poruchy typu I, aripiprazol nepreukázal lepšiu účinnosť v porovnaní s placebom.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6-týždňovej placebom kontrolovanej štúdii zahŕňajúcej pacientov s manickou alebo zmiešanou epizódou bipolárnej poruchy typu I s psychotickými príznakmi alebo bez nich, ktorí čiastočne neodpovedali na monoterapiu lítiom alebo valproátom počas 2. týždňov v terapeutických sérových hladinách pridanie aripiprazolu ako adjuvantnej terapie malo za následok lepšiu účinnosť v znížení manických </w:t>
      </w:r>
      <w:r w:rsidR="00A27EF3">
        <w:rPr>
          <w:sz w:val="22"/>
          <w:szCs w:val="22"/>
        </w:rPr>
        <w:t xml:space="preserve">príznakov </w:t>
      </w:r>
      <w:r w:rsidRPr="00405EF4">
        <w:rPr>
          <w:sz w:val="22"/>
          <w:szCs w:val="22"/>
        </w:rPr>
        <w:t>ako monoterapia lítiom alebo valproátom.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26-týždňovej placebom kontrolovanej štúdii nasledovanej 74-týždňovým rozšírením štúdie u manických pacientov, ktorí dosiahli remisiu na aripiprazole počas stabilizačnej fázy pred randomizáciou, aripiprazol dosiahol lepšiu účinnosť ako placebo v prevencii bipolárnej rekurencie, najmä v prevencii rekurencie mánie, ale nedosiahol lepšiu účinnosť ako placebo v prevencii rekurencie depresie.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V 52-týždňovej placebom kontrolovanej štúdii u pacientov so súčasnou manickou alebo zmiešanou epizódou bipolárnej poruchy typu I, ktor</w:t>
      </w:r>
      <w:r w:rsidR="00A27EF3">
        <w:rPr>
          <w:sz w:val="22"/>
          <w:szCs w:val="22"/>
        </w:rPr>
        <w:t>í</w:t>
      </w:r>
      <w:r w:rsidRPr="00405EF4">
        <w:rPr>
          <w:sz w:val="22"/>
          <w:szCs w:val="22"/>
        </w:rPr>
        <w:t xml:space="preserve"> dosiahli pretrvávajúcu remisiu (Y-MRS a MADRS celkové skóre ≤ 12) na aripiprazol (10 mg/deň až 30 mg/deň) pridávaný k lítiu alebo valproátu počas 12. po </w:t>
      </w:r>
      <w:r w:rsidRPr="00405EF4">
        <w:rPr>
          <w:sz w:val="22"/>
          <w:szCs w:val="22"/>
        </w:rPr>
        <w:lastRenderedPageBreak/>
        <w:t xml:space="preserve">sebe nasledujúcich týždňoch, pridaný aripiprazol preukázal lepšiu účinnosť ako placebo so 46 %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V tomto skúšaní boli pacienti zaradení skúšajúcimi do dvoch skupín buď do </w:t>
      </w:r>
      <w:r w:rsidR="00A3520A" w:rsidRPr="00405EF4">
        <w:rPr>
          <w:sz w:val="22"/>
          <w:szCs w:val="22"/>
        </w:rPr>
        <w:t>otvorenej monoterapie</w:t>
      </w:r>
      <w:r w:rsidRPr="00405EF4">
        <w:rPr>
          <w:sz w:val="22"/>
          <w:szCs w:val="22"/>
        </w:rPr>
        <w:t xml:space="preserve"> s lítiom alebo monoterapie s valproátom na zistenie </w:t>
      </w:r>
      <w:r w:rsidR="00A3520A" w:rsidRPr="00405EF4">
        <w:rPr>
          <w:sz w:val="22"/>
          <w:szCs w:val="22"/>
        </w:rPr>
        <w:t>čiastočného nereagovania na liečbu</w:t>
      </w:r>
      <w:r w:rsidRPr="00405EF4">
        <w:rPr>
          <w:sz w:val="22"/>
          <w:szCs w:val="22"/>
        </w:rPr>
        <w:t>. Pacienti boli stabilizovaní počas najmenej 12. po sebe nasledujúcich týždňov kombináciou aripiprazolu a rovnakého stabilizátora nálady. 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Pediatrická populácia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Schizofrénia u</w:t>
      </w:r>
      <w:r w:rsidR="00C76B8D" w:rsidRPr="00405EF4">
        <w:rPr>
          <w:i/>
          <w:sz w:val="22"/>
          <w:szCs w:val="22"/>
        </w:rPr>
        <w:t> </w:t>
      </w:r>
      <w:r w:rsidRPr="00405EF4">
        <w:rPr>
          <w:i/>
          <w:sz w:val="22"/>
          <w:szCs w:val="22"/>
        </w:rPr>
        <w:t>dospievajúcich</w:t>
      </w:r>
    </w:p>
    <w:p w:rsidR="009B3E81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V 6-týždňovom placebom kontrolovanom skúšaní zahŕňajúcom 302 dospievajúcich pacientov (13- 17 rokov) so schizofréniou s pozitívnymi alebo negatívnymi </w:t>
      </w:r>
      <w:r w:rsidR="00A27EF3" w:rsidRPr="00641B04">
        <w:rPr>
          <w:sz w:val="22"/>
          <w:szCs w:val="22"/>
        </w:rPr>
        <w:t>príznakmi</w:t>
      </w:r>
      <w:r w:rsidR="00A27EF3" w:rsidRPr="00405EF4" w:rsidDel="00A27EF3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sa aripiprazol spájal so štatisticky významnejším zlepšením psychotických </w:t>
      </w:r>
      <w:r w:rsidR="00A27EF3" w:rsidRPr="00641B04">
        <w:rPr>
          <w:sz w:val="22"/>
          <w:szCs w:val="22"/>
        </w:rPr>
        <w:t>príznakov</w:t>
      </w:r>
      <w:r w:rsidR="00A27EF3" w:rsidRPr="00405EF4" w:rsidDel="00A27EF3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 xml:space="preserve">v porovnaní s placebom. 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Pri subanalýze dospievajúcich pacientov vo veku medzi 15. až 17. rokmi, ktorí predstavujú 74 % celkovej zaradenej populácie, sa zachovanie účinku pozorovalo dlhšie ako počas 26-týždňovej otvorenej predĺženej štúdii.</w:t>
      </w:r>
    </w:p>
    <w:p w:rsidR="00114943" w:rsidRDefault="00114943" w:rsidP="002C6892">
      <w:pPr>
        <w:widowControl w:val="0"/>
        <w:rPr>
          <w:sz w:val="22"/>
          <w:szCs w:val="22"/>
        </w:rPr>
      </w:pPr>
    </w:p>
    <w:p w:rsidR="00114943" w:rsidRDefault="00114943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 60- až 89-týždňovej, randomizovanej, dvojito zaslepenej, placebom kontrolovanej štúdi</w:t>
      </w:r>
      <w:r w:rsidR="00137C97">
        <w:rPr>
          <w:sz w:val="22"/>
          <w:szCs w:val="22"/>
        </w:rPr>
        <w:t>i</w:t>
      </w:r>
      <w:r>
        <w:rPr>
          <w:sz w:val="22"/>
          <w:szCs w:val="22"/>
        </w:rPr>
        <w:t xml:space="preserve"> u dospievajúcich účastníkov (n = 146, vek 13 – 17 rokov) trpiacich schizofréniou bol prítomný štatisticky významný rozdiel v rýchlosti relapsu psychotických príznakov v skupine liečenej aripiprazolom (19,39 %) a v skupine, ktorej bolo podávané placebo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(aripiprazol, n = 29</w:t>
      </w:r>
      <w:r w:rsidR="0067727F">
        <w:rPr>
          <w:sz w:val="22"/>
          <w:szCs w:val="22"/>
        </w:rPr>
        <w:t>;</w:t>
      </w:r>
      <w:r>
        <w:rPr>
          <w:sz w:val="22"/>
          <w:szCs w:val="22"/>
        </w:rPr>
        <w:t xml:space="preserve"> placebo, n = 12) a interval spoľahlivosti pre tento odhad (v rozsahu 0,151 až 1,628) neumožnil vykonať závery na základe účinku liečby. V porovnaní s 95 % intervalom spoľahlivosti pre pomer rizika (HR) v podskupine starších pacientov (aripiprazol, n = 69</w:t>
      </w:r>
      <w:r w:rsidR="0067727F">
        <w:rPr>
          <w:sz w:val="22"/>
          <w:szCs w:val="22"/>
        </w:rPr>
        <w:t>;</w:t>
      </w:r>
      <w:r>
        <w:rPr>
          <w:sz w:val="22"/>
          <w:szCs w:val="22"/>
        </w:rPr>
        <w:t xml:space="preserve"> placebo, n = 36), interval bol v rozsahu 0,242 až 0,879, čo umožňovalo vykonať záver týkajúci sa účinku liečby u starších pacientov.</w:t>
      </w:r>
    </w:p>
    <w:p w:rsidR="00DA1974" w:rsidRDefault="00DA1974" w:rsidP="002C6892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Manické epizódy pri bipolárnej poruche typu I u detí a dospievajúcich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primárnej účinnosti malo 139 pacientov súčasne diagnostikovanú komorbiditu ADHD.</w:t>
      </w:r>
    </w:p>
    <w:p w:rsidR="00DA1974" w:rsidRPr="00405EF4" w:rsidRDefault="00DA1974" w:rsidP="00DA1974">
      <w:pPr>
        <w:widowControl w:val="0"/>
        <w:rPr>
          <w:sz w:val="22"/>
          <w:szCs w:val="22"/>
        </w:rPr>
      </w:pPr>
    </w:p>
    <w:p w:rsidR="00DA1974" w:rsidRPr="00405EF4" w:rsidRDefault="00DA1974" w:rsidP="00DA1974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Aripiprazol bol nadradený v celkovom skóre Y-MRS voči placebu v zmene medzi východiskovým stavom a 4. týždňom a 12. týždňom. V následnej (post-hoc) analýze bolo zlepšenie voči placebu výraznejšie u pacientov so spojenou komorbiditou ADHD v porovnaní so skupinou bez ADHD, kde sa nezistil žiaden rozdiel voči placebu. Prevencia rekurencie nie je dokázaná.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Podráždenosť spojená s autistickou poruchou u pediatrických pacientov (pozri časť 4.2)</w:t>
      </w: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lastRenderedPageBreak/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Viac ako 75 % pacientov malo vek menej než 13 rokov. Aripiprazol preukázal štatisticky významnú superioritu účinnosti v porovnaní s placebom 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(86,6 % ) u pacientov liečených aripiprazolom. V placebom kontrolovaných klinických skúšaniach bol priemerný prírastok telesnej hmotnosti 0,4 kg pri liečbe placebom a 1,6 kg pri liečbe aripiprazolom.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skúmal aj v placebom-kontrolovanom, dlhodobo udržiavanom klinickom skúšaní. Po 13.-26.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</w:t>
      </w:r>
      <w:r w:rsidR="00A27EF3" w:rsidRPr="00002789">
        <w:rPr>
          <w:sz w:val="22"/>
          <w:szCs w:val="22"/>
        </w:rPr>
        <w:t>príznaky</w:t>
      </w:r>
      <w:r w:rsidR="00A27EF3" w:rsidRPr="00405EF4" w:rsidDel="00A27EF3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sa hlásili najmä počas stabilizačnej fázy u 17 % pacientov, s trasom predstavujúcim 6,5 %.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Tiky súvisiace s Tourettovým syndrómom u pediatrických pacientov (pozri časť 4.2)</w:t>
      </w: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so začiatočnou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2C1240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Účinnosť aripiprazolu u pediatrických subjektov s Tourettovým syndrómom (aripiprazol: n = 32, placebo: n = 29) bola hodnotená aj pri flexibilnom rozsahu dávky od 2 mg/deň do 20 mg/deň a pri začiatočnej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V obidvoch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a bezpečnosti aripiprazolu</w:t>
      </w:r>
      <w:r w:rsidR="002C1240" w:rsidRPr="00405EF4">
        <w:rPr>
          <w:sz w:val="22"/>
          <w:szCs w:val="22"/>
        </w:rPr>
        <w:t xml:space="preserve"> pri tejto fluktuačnej poruche.</w:t>
      </w:r>
    </w:p>
    <w:p w:rsidR="002C1240" w:rsidRPr="00405EF4" w:rsidRDefault="002C1240" w:rsidP="002C6892">
      <w:pPr>
        <w:widowControl w:val="0"/>
        <w:rPr>
          <w:sz w:val="22"/>
          <w:szCs w:val="22"/>
        </w:rPr>
      </w:pPr>
    </w:p>
    <w:p w:rsidR="00B2419C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Európska agentúra pre lieky udelila odklad z povinnosti predložiť výsledky štúdií s</w:t>
      </w:r>
      <w:r w:rsidR="002C1240" w:rsidRPr="00405EF4">
        <w:rPr>
          <w:sz w:val="22"/>
          <w:szCs w:val="22"/>
        </w:rPr>
        <w:t xml:space="preserve"> referenčným liekom obsahujúcim aripiprazol </w:t>
      </w:r>
      <w:r w:rsidRPr="00405EF4">
        <w:rPr>
          <w:sz w:val="22"/>
          <w:szCs w:val="22"/>
        </w:rPr>
        <w:t>v jednej alebo vo viacerých podskupinách pediatrickej populácie pri liečbe schizofrénie a pri liečbe bipolárnej afektívnej poruchy (informácie o použití v pediatrickej populácii, pozri časť 4.2).</w:t>
      </w:r>
    </w:p>
    <w:p w:rsidR="00EB461D" w:rsidRPr="00405EF4" w:rsidRDefault="00EB461D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Farmakokinetické vlastnosti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Absorpcia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dobre vstrebáva a </w:t>
      </w:r>
      <w:r w:rsidR="002C1240" w:rsidRPr="00405EF4">
        <w:rPr>
          <w:sz w:val="22"/>
          <w:szCs w:val="22"/>
        </w:rPr>
        <w:t>maximálne</w:t>
      </w:r>
      <w:r w:rsidRPr="00405EF4">
        <w:rPr>
          <w:sz w:val="22"/>
          <w:szCs w:val="22"/>
        </w:rPr>
        <w:t xml:space="preserve"> plazmatické koncentrácie sa dosiahnu do 3-5 hodín po podaní dávky. Aripiprazol podlieha minimálnemu pre-systémovému metabolizmu. Absolútna biologická dostupnosť </w:t>
      </w:r>
      <w:r w:rsidR="00A3520A" w:rsidRPr="00405EF4">
        <w:rPr>
          <w:sz w:val="22"/>
          <w:szCs w:val="22"/>
        </w:rPr>
        <w:t>perorálnej</w:t>
      </w:r>
      <w:r w:rsidRPr="00405EF4">
        <w:rPr>
          <w:sz w:val="22"/>
          <w:szCs w:val="22"/>
        </w:rPr>
        <w:t xml:space="preserve"> liekovej formy</w:t>
      </w:r>
      <w:r w:rsidR="00A3520A" w:rsidRPr="00405EF4">
        <w:rPr>
          <w:sz w:val="22"/>
          <w:szCs w:val="22"/>
        </w:rPr>
        <w:t xml:space="preserve"> v podobe tabliet</w:t>
      </w:r>
      <w:r w:rsidRPr="00405EF4">
        <w:rPr>
          <w:sz w:val="22"/>
          <w:szCs w:val="22"/>
        </w:rPr>
        <w:t xml:space="preserve"> je 87 %. Jedlo s vysokým obsahom </w:t>
      </w:r>
      <w:r w:rsidRPr="00405EF4">
        <w:rPr>
          <w:sz w:val="22"/>
          <w:szCs w:val="22"/>
        </w:rPr>
        <w:lastRenderedPageBreak/>
        <w:t>tuku nemá žiadny vplyv na farmakokinetiku aripiprazolu.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Distribúcia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Biotransformácia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sa v rozsiahlej miere metabolizuje v pečeni hlavne tromi biotransformačnými cestami: dehydrogenáciou, hydroxyláciou a N-dealkyláciou. Na základe in vitro štúdií sú enzýmy CYP3A4 a CYP2D6 zodpovedné za dehydrogenáciu a </w:t>
      </w:r>
      <w:r w:rsidR="00A3520A" w:rsidRPr="00405EF4">
        <w:rPr>
          <w:sz w:val="22"/>
          <w:szCs w:val="22"/>
        </w:rPr>
        <w:t xml:space="preserve">hydroxyláciu </w:t>
      </w:r>
      <w:r w:rsidRPr="00405EF4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</w:t>
      </w:r>
      <w:r w:rsidR="002C1240" w:rsidRPr="00405EF4">
        <w:rPr>
          <w:sz w:val="22"/>
          <w:szCs w:val="22"/>
        </w:rPr>
        <w:t>noty AUC aripiprazolu v plazme.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>Eliminácia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Priemerný polčas eliminácie aripiprazolu je približne 75 hodín u rýchlych metabolizérov CYP2D6 a približne 146 hodín u pomalých metabolizérov CYP2D6.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Celkový telesný klírens aripiprazolu je 0,7 ml/min/kg a je predovšetkým hepatálny.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Po jednotlivej perorálnej dávke aripiprazolu značeného [14C] bolo približne 27 % podanej rádioaktívnej látky zistenej v moči a približne 60 % v stolici. Menej ako 1 % nezmeneného aripiprazolu sa vylúčilo močom a približne 18 % sa vylúčilo v nezmenenej forme stolicou.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sz w:val="22"/>
          <w:szCs w:val="22"/>
          <w:u w:val="single"/>
        </w:rPr>
      </w:pPr>
      <w:r w:rsidRPr="00405EF4">
        <w:rPr>
          <w:sz w:val="22"/>
          <w:szCs w:val="22"/>
          <w:u w:val="single"/>
        </w:rPr>
        <w:t xml:space="preserve">Farmakokinetika </w:t>
      </w:r>
      <w:r w:rsidR="009B3E81">
        <w:rPr>
          <w:sz w:val="22"/>
          <w:szCs w:val="22"/>
          <w:u w:val="single"/>
        </w:rPr>
        <w:t>v špeciálnych skupinách</w:t>
      </w:r>
      <w:r w:rsidRPr="00405EF4">
        <w:rPr>
          <w:sz w:val="22"/>
          <w:szCs w:val="22"/>
          <w:u w:val="single"/>
        </w:rPr>
        <w:t xml:space="preserve"> pacientov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Pediatrická populácia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Farmakokinetika aripiprazolu a</w:t>
      </w:r>
      <w:r w:rsidR="00A27EF3">
        <w:rPr>
          <w:sz w:val="22"/>
          <w:szCs w:val="22"/>
        </w:rPr>
        <w:t> </w:t>
      </w:r>
      <w:r w:rsidRPr="00405EF4">
        <w:rPr>
          <w:sz w:val="22"/>
          <w:szCs w:val="22"/>
        </w:rPr>
        <w:t>dehydro</w:t>
      </w:r>
      <w:r w:rsidR="00A27EF3">
        <w:rPr>
          <w:sz w:val="22"/>
          <w:szCs w:val="22"/>
        </w:rPr>
        <w:t>-</w:t>
      </w:r>
      <w:r w:rsidRPr="00405EF4">
        <w:rPr>
          <w:sz w:val="22"/>
          <w:szCs w:val="22"/>
        </w:rPr>
        <w:t xml:space="preserve">aripiprazolu u </w:t>
      </w:r>
      <w:r w:rsidR="007C410C" w:rsidRPr="00405EF4">
        <w:rPr>
          <w:sz w:val="22"/>
          <w:szCs w:val="22"/>
        </w:rPr>
        <w:t xml:space="preserve">pediatrických </w:t>
      </w:r>
      <w:r w:rsidRPr="00405EF4">
        <w:rPr>
          <w:sz w:val="22"/>
          <w:szCs w:val="22"/>
        </w:rPr>
        <w:t xml:space="preserve">pacientov od 10 do 17 rokov bola podobná tej ako u dospelých po </w:t>
      </w:r>
      <w:r w:rsidR="00C76B8D" w:rsidRPr="00405EF4">
        <w:rPr>
          <w:sz w:val="22"/>
          <w:szCs w:val="22"/>
        </w:rPr>
        <w:t>upravení</w:t>
      </w:r>
      <w:r w:rsidRPr="00405EF4">
        <w:rPr>
          <w:sz w:val="22"/>
          <w:szCs w:val="22"/>
        </w:rPr>
        <w:t xml:space="preserve"> rozdielov v telesnej hmotnosti.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Starší ľudia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Pohlavie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Neexistujú žiadne rozdiely vo farmakokinetike aripiprazolu medzi zdravými mužskými a ženskými jedincami a vo farmakokinetickej populačnej analýze u schizofrenických pacientov sa nezistil ani žiadny vplyv pohlavia.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386643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 xml:space="preserve">Fajčenie 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Farmakokinetické populačné vyhodnotenie neodhalilo žiadne klinicky podstatné rozdiely v </w:t>
      </w:r>
      <w:r w:rsidR="007C410C" w:rsidRPr="00405EF4">
        <w:rPr>
          <w:sz w:val="22"/>
          <w:szCs w:val="22"/>
        </w:rPr>
        <w:t>účink</w:t>
      </w:r>
      <w:r w:rsidR="00A27EF3">
        <w:rPr>
          <w:sz w:val="22"/>
          <w:szCs w:val="22"/>
        </w:rPr>
        <w:t>och</w:t>
      </w:r>
      <w:r w:rsidR="007C410C" w:rsidRPr="00405EF4">
        <w:rPr>
          <w:sz w:val="22"/>
          <w:szCs w:val="22"/>
        </w:rPr>
        <w:t xml:space="preserve"> </w:t>
      </w:r>
      <w:r w:rsidRPr="00405EF4">
        <w:rPr>
          <w:sz w:val="22"/>
          <w:szCs w:val="22"/>
        </w:rPr>
        <w:t>fajčenia na farmakokinetiku aripiprazolu.</w:t>
      </w:r>
    </w:p>
    <w:p w:rsidR="00B66796" w:rsidRDefault="00B66796" w:rsidP="00B66796">
      <w:pPr>
        <w:pStyle w:val="Default"/>
        <w:rPr>
          <w:i/>
          <w:iCs/>
          <w:sz w:val="22"/>
          <w:szCs w:val="22"/>
        </w:rPr>
      </w:pPr>
    </w:p>
    <w:p w:rsidR="00B66796" w:rsidRDefault="00B66796" w:rsidP="00B6679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Rasa </w:t>
      </w:r>
    </w:p>
    <w:p w:rsidR="00B66796" w:rsidRPr="000E0894" w:rsidRDefault="00B66796" w:rsidP="00B6679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Farmakokinetické populačné hodnotenie nepreukázalo výskyt žiadnych rozdielov spojených s rasou vo farmakokinetike aripiprazolu.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 xml:space="preserve">Porucha </w:t>
      </w:r>
      <w:r w:rsidR="00386643" w:rsidRPr="00405EF4">
        <w:rPr>
          <w:i/>
          <w:sz w:val="22"/>
          <w:szCs w:val="22"/>
        </w:rPr>
        <w:t>funkcie obličiek</w:t>
      </w:r>
    </w:p>
    <w:p w:rsidR="00C76B8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Zistilo sa, že farmakokinetické vlastnosti aripiprazolu a dehydroaripiprazolu sú u pacientov s ťažkým ochorením obličiek podobné ako u mladých zdravých jedincov.</w:t>
      </w:r>
    </w:p>
    <w:p w:rsidR="00C76B8D" w:rsidRPr="00405EF4" w:rsidRDefault="00C76B8D" w:rsidP="002C6892">
      <w:pPr>
        <w:widowControl w:val="0"/>
        <w:rPr>
          <w:sz w:val="22"/>
          <w:szCs w:val="22"/>
        </w:rPr>
      </w:pPr>
    </w:p>
    <w:p w:rsidR="00C76B8D" w:rsidRPr="00405EF4" w:rsidRDefault="00C76B8D" w:rsidP="002C6892">
      <w:pPr>
        <w:widowControl w:val="0"/>
        <w:rPr>
          <w:i/>
          <w:sz w:val="22"/>
          <w:szCs w:val="22"/>
        </w:rPr>
      </w:pPr>
      <w:r w:rsidRPr="00405EF4">
        <w:rPr>
          <w:i/>
          <w:sz w:val="22"/>
          <w:szCs w:val="22"/>
        </w:rPr>
        <w:t>Porucha</w:t>
      </w:r>
      <w:r w:rsidR="00386643" w:rsidRPr="00405EF4">
        <w:rPr>
          <w:i/>
          <w:sz w:val="22"/>
          <w:szCs w:val="22"/>
        </w:rPr>
        <w:t xml:space="preserve"> funkcie pečene</w:t>
      </w:r>
    </w:p>
    <w:p w:rsidR="00EB461D" w:rsidRPr="00405EF4" w:rsidRDefault="00386643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>Štúdia jednorazovej dávky u jedincov s rôznymi stupňami cirhózy pečene (Child</w:t>
      </w:r>
      <w:r w:rsidR="009B3E81">
        <w:rPr>
          <w:sz w:val="22"/>
          <w:szCs w:val="22"/>
        </w:rPr>
        <w:t>ov</w:t>
      </w:r>
      <w:r w:rsidRPr="00405EF4">
        <w:rPr>
          <w:sz w:val="22"/>
          <w:szCs w:val="22"/>
        </w:rPr>
        <w:t xml:space="preserve">-Pughov stupeň A, B a C) neodhalila významný vplyv poruchy funkcie pečene na farmakokinetiku aripiprazolu a dehydroaripiprazolu, ale do štúdie boli zaradení iba 3 pacienti s pečeňovou cirhózou triedy C, čo je </w:t>
      </w:r>
      <w:r w:rsidRPr="00405EF4">
        <w:rPr>
          <w:sz w:val="22"/>
          <w:szCs w:val="22"/>
        </w:rPr>
        <w:lastRenderedPageBreak/>
        <w:t xml:space="preserve">nedostatočné na vyvodenie </w:t>
      </w:r>
      <w:r w:rsidR="007C410C" w:rsidRPr="00405EF4">
        <w:rPr>
          <w:sz w:val="22"/>
          <w:szCs w:val="22"/>
        </w:rPr>
        <w:t xml:space="preserve">záverov </w:t>
      </w:r>
      <w:r w:rsidRPr="00405EF4">
        <w:rPr>
          <w:sz w:val="22"/>
          <w:szCs w:val="22"/>
        </w:rPr>
        <w:t>na základe ich metabolickej kapacity.</w:t>
      </w:r>
    </w:p>
    <w:p w:rsidR="00386643" w:rsidRPr="00405EF4" w:rsidRDefault="00386643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Predklinické údaje o bezpečnosti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405EF4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>Predklinické údaje na základe obvyklých štúdií farmakologickej bezpečnosti, toxicity po opakovanom podávaní, genotoxicity, karcinogénneho potenciálu a vývojovej a reprodukčnej toxicity neodhalili žiadne osobitné riziko pre ľudí.</w:t>
      </w:r>
    </w:p>
    <w:p w:rsidR="00C76B8D" w:rsidRPr="00405EF4" w:rsidRDefault="00C76B8D" w:rsidP="002C6892">
      <w:pPr>
        <w:pStyle w:val="EUNormal"/>
        <w:widowControl w:val="0"/>
        <w:rPr>
          <w:szCs w:val="22"/>
        </w:rPr>
      </w:pPr>
    </w:p>
    <w:p w:rsidR="00C76B8D" w:rsidRPr="00405EF4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7C410C" w:rsidRPr="00405EF4">
        <w:rPr>
          <w:szCs w:val="22"/>
        </w:rPr>
        <w:t xml:space="preserve">pigmentu </w:t>
      </w:r>
      <w:r w:rsidRPr="00405EF4">
        <w:rPr>
          <w:szCs w:val="22"/>
        </w:rPr>
        <w:t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60 mg/kg/deň (10- násobok priemernej hodnoty AUC v ustálenom stave pri maximálnej odporúčanej dávke u ľudí). Najvyššia nekarcinogénna expozícia u samíc potkanov bola pri odporúčanej dávke 7-násobne vyššia ako expozícia u ľudí.</w:t>
      </w:r>
    </w:p>
    <w:p w:rsidR="00C76B8D" w:rsidRPr="00405EF4" w:rsidRDefault="00C76B8D" w:rsidP="002C6892">
      <w:pPr>
        <w:pStyle w:val="EUNormal"/>
        <w:widowControl w:val="0"/>
        <w:rPr>
          <w:szCs w:val="22"/>
        </w:rPr>
      </w:pPr>
    </w:p>
    <w:p w:rsidR="00B66796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 xml:space="preserve"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 maximálnej odporúčanej dávky u ľudí založenej na mg/m2 ).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405EF4">
        <w:rPr>
          <w:i/>
          <w:szCs w:val="22"/>
        </w:rPr>
        <w:t>in vitro</w:t>
      </w:r>
      <w:r w:rsidRPr="00405EF4">
        <w:rPr>
          <w:szCs w:val="22"/>
        </w:rPr>
        <w:t xml:space="preserve">. </w:t>
      </w:r>
    </w:p>
    <w:p w:rsidR="00B66796" w:rsidRDefault="00B66796" w:rsidP="002C6892">
      <w:pPr>
        <w:pStyle w:val="EUNormal"/>
        <w:widowControl w:val="0"/>
        <w:rPr>
          <w:szCs w:val="22"/>
        </w:rPr>
      </w:pPr>
    </w:p>
    <w:p w:rsidR="00C76B8D" w:rsidRPr="00405EF4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 xml:space="preserve">Profil toxicity aripiprazolu v štúdiách s opakovanou dávkou u </w:t>
      </w:r>
      <w:r w:rsidR="00A27EF3">
        <w:rPr>
          <w:szCs w:val="22"/>
        </w:rPr>
        <w:t>mláďat</w:t>
      </w:r>
      <w:r w:rsidR="00A27EF3" w:rsidRPr="00405EF4">
        <w:rPr>
          <w:szCs w:val="22"/>
        </w:rPr>
        <w:t xml:space="preserve"> </w:t>
      </w:r>
      <w:r w:rsidRPr="00405EF4">
        <w:rPr>
          <w:szCs w:val="22"/>
        </w:rPr>
        <w:t xml:space="preserve">potkanov a psov bol porovnateľný s tým, ktorý bol pozorovaný u dospelých zvierat a nevyskytol sa žiadny prejav neurotoxicity ani nežiaducich </w:t>
      </w:r>
      <w:r w:rsidR="00B66796">
        <w:rPr>
          <w:szCs w:val="22"/>
        </w:rPr>
        <w:t xml:space="preserve">reakcií </w:t>
      </w:r>
      <w:r w:rsidRPr="00405EF4">
        <w:rPr>
          <w:szCs w:val="22"/>
        </w:rPr>
        <w:t>na vývoj.</w:t>
      </w:r>
    </w:p>
    <w:p w:rsidR="00C76B8D" w:rsidRPr="00405EF4" w:rsidRDefault="00C76B8D" w:rsidP="002C6892">
      <w:pPr>
        <w:pStyle w:val="EUNormal"/>
        <w:widowControl w:val="0"/>
        <w:rPr>
          <w:szCs w:val="22"/>
        </w:rPr>
      </w:pPr>
    </w:p>
    <w:p w:rsidR="00EB461D" w:rsidRPr="00405EF4" w:rsidRDefault="00386643" w:rsidP="002C6892">
      <w:pPr>
        <w:pStyle w:val="EUNormal"/>
        <w:widowControl w:val="0"/>
        <w:rPr>
          <w:szCs w:val="22"/>
        </w:rPr>
      </w:pPr>
      <w:r w:rsidRPr="00405EF4">
        <w:rPr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386643" w:rsidRPr="00405EF4" w:rsidRDefault="00386643" w:rsidP="002C6892">
      <w:pPr>
        <w:pStyle w:val="EUNormal"/>
        <w:widowControl w:val="0"/>
        <w:rPr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FARMACEUTICKÉ INFORMÁCIE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Zoznam pomocných látok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327E" w:rsidRDefault="0011467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</w:t>
      </w:r>
      <w:r w:rsidR="00C7327E">
        <w:rPr>
          <w:sz w:val="22"/>
          <w:szCs w:val="22"/>
        </w:rPr>
        <w:t>anitol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maltodextrín</w:t>
      </w:r>
    </w:p>
    <w:p w:rsidR="00C7327E" w:rsidRPr="00405EF4" w:rsidRDefault="00C7327E" w:rsidP="00C7327E">
      <w:pPr>
        <w:widowControl w:val="0"/>
        <w:adjustRightInd w:val="0"/>
        <w:snapToGrid w:val="0"/>
        <w:rPr>
          <w:sz w:val="22"/>
          <w:szCs w:val="22"/>
        </w:rPr>
      </w:pPr>
      <w:r>
        <w:rPr>
          <w:sz w:val="22"/>
          <w:szCs w:val="22"/>
        </w:rPr>
        <w:t>m</w:t>
      </w:r>
      <w:r w:rsidRPr="00405EF4">
        <w:rPr>
          <w:sz w:val="22"/>
          <w:szCs w:val="22"/>
        </w:rPr>
        <w:t>ikrokryštalická celulóza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krospovidón typ B (Ph. Eur.)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hydrogenuhličitan sodný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kyselina vínna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oxid kremičitý</w:t>
      </w:r>
      <w:r w:rsidR="001149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14943">
        <w:rPr>
          <w:sz w:val="22"/>
          <w:szCs w:val="22"/>
        </w:rPr>
        <w:t xml:space="preserve">koloidný </w:t>
      </w:r>
      <w:r>
        <w:rPr>
          <w:sz w:val="22"/>
          <w:szCs w:val="22"/>
        </w:rPr>
        <w:t>bezvodý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dihydrát sodnej soli sacharínu</w:t>
      </w:r>
    </w:p>
    <w:p w:rsidR="00C7327E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vanilková aróma (arómy, prírodné arómy, laktóza, hydrát zásaditého uhličitanu horečnatého)</w:t>
      </w:r>
    </w:p>
    <w:p w:rsidR="005C0C7D" w:rsidRDefault="00114943" w:rsidP="00C7327E">
      <w:pPr>
        <w:widowControl w:val="0"/>
        <w:adjustRightInd w:val="0"/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>stearan horečnatý</w:t>
      </w:r>
    </w:p>
    <w:p w:rsidR="005C0C7D" w:rsidRPr="00405EF4" w:rsidRDefault="005C0C7D" w:rsidP="005C0C7D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 w:rsidRPr="00405EF4">
        <w:rPr>
          <w:sz w:val="22"/>
          <w:szCs w:val="22"/>
        </w:rPr>
        <w:t>Aripiprazol STADA 1</w:t>
      </w:r>
      <w:r>
        <w:rPr>
          <w:sz w:val="22"/>
          <w:szCs w:val="22"/>
        </w:rPr>
        <w:t>0</w:t>
      </w:r>
      <w:r w:rsidRPr="00405EF4">
        <w:rPr>
          <w:sz w:val="22"/>
          <w:szCs w:val="22"/>
        </w:rPr>
        <w:t xml:space="preserve"> mg </w:t>
      </w:r>
      <w:r>
        <w:rPr>
          <w:sz w:val="22"/>
          <w:szCs w:val="22"/>
        </w:rPr>
        <w:t xml:space="preserve">orodispergovateľné </w:t>
      </w:r>
      <w:r w:rsidRPr="00405EF4">
        <w:rPr>
          <w:sz w:val="22"/>
          <w:szCs w:val="22"/>
        </w:rPr>
        <w:t>tablety</w:t>
      </w:r>
      <w:r>
        <w:rPr>
          <w:sz w:val="22"/>
          <w:szCs w:val="22"/>
        </w:rPr>
        <w:t>:</w:t>
      </w:r>
      <w:r w:rsidRPr="005C0C7D">
        <w:rPr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>č</w:t>
      </w:r>
      <w:r w:rsidRPr="00405EF4">
        <w:rPr>
          <w:bCs/>
          <w:sz w:val="22"/>
          <w:szCs w:val="22"/>
          <w:lang w:val="sk-SK"/>
        </w:rPr>
        <w:t xml:space="preserve">ervený </w:t>
      </w:r>
      <w:r w:rsidRPr="00405EF4">
        <w:rPr>
          <w:sz w:val="22"/>
          <w:szCs w:val="22"/>
          <w:lang w:val="sk-SK"/>
        </w:rPr>
        <w:t>oxid železitý (E172)</w:t>
      </w:r>
    </w:p>
    <w:p w:rsidR="005C0C7D" w:rsidRPr="00405EF4" w:rsidRDefault="005C0C7D" w:rsidP="005C0C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Aripiprazol STADA 15 mg </w:t>
      </w:r>
      <w:r>
        <w:rPr>
          <w:sz w:val="22"/>
          <w:szCs w:val="22"/>
        </w:rPr>
        <w:t xml:space="preserve">orodispergovateľné </w:t>
      </w:r>
      <w:r w:rsidRPr="00405EF4">
        <w:rPr>
          <w:sz w:val="22"/>
          <w:szCs w:val="22"/>
        </w:rPr>
        <w:t>tablety</w:t>
      </w:r>
      <w:r>
        <w:rPr>
          <w:sz w:val="22"/>
          <w:szCs w:val="22"/>
        </w:rPr>
        <w:t xml:space="preserve">: </w:t>
      </w:r>
      <w:r>
        <w:rPr>
          <w:bCs/>
          <w:sz w:val="22"/>
          <w:szCs w:val="22"/>
        </w:rPr>
        <w:t>žltý</w:t>
      </w:r>
      <w:r w:rsidRPr="00405EF4">
        <w:rPr>
          <w:bCs/>
          <w:sz w:val="22"/>
          <w:szCs w:val="22"/>
        </w:rPr>
        <w:t xml:space="preserve"> </w:t>
      </w:r>
      <w:r w:rsidRPr="00405EF4">
        <w:rPr>
          <w:sz w:val="22"/>
          <w:szCs w:val="22"/>
        </w:rPr>
        <w:t>oxid železitý (E172)</w:t>
      </w:r>
    </w:p>
    <w:p w:rsidR="005C0C7D" w:rsidRPr="00405EF4" w:rsidRDefault="005C0C7D" w:rsidP="00C7327E">
      <w:pPr>
        <w:widowControl w:val="0"/>
        <w:adjustRightInd w:val="0"/>
        <w:snapToGrid w:val="0"/>
        <w:rPr>
          <w:bCs/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lastRenderedPageBreak/>
        <w:t>Inkompatibility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405EF4">
        <w:rPr>
          <w:sz w:val="22"/>
          <w:szCs w:val="22"/>
          <w:lang w:val="sk-SK" w:eastAsia="en-US"/>
        </w:rPr>
        <w:t>Neaplikovate</w:t>
      </w:r>
      <w:r w:rsidRPr="00405EF4">
        <w:rPr>
          <w:rFonts w:eastAsia="Times New Roman"/>
          <w:sz w:val="22"/>
          <w:szCs w:val="22"/>
          <w:lang w:val="sk-SK" w:eastAsia="en-US"/>
        </w:rPr>
        <w:t>ľ</w:t>
      </w:r>
      <w:r w:rsidRPr="00405EF4">
        <w:rPr>
          <w:sz w:val="22"/>
          <w:szCs w:val="22"/>
          <w:lang w:val="sk-SK" w:eastAsia="en-US"/>
        </w:rPr>
        <w:t>né.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Čas použiteľnosti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7A7794" w:rsidP="002C6892">
      <w:pPr>
        <w:widowControl w:val="0"/>
        <w:adjustRightInd w:val="0"/>
        <w:snapToGrid w:val="0"/>
        <w:rPr>
          <w:sz w:val="22"/>
          <w:szCs w:val="22"/>
          <w:shd w:val="pct15" w:color="auto" w:fill="FFFFFF"/>
        </w:rPr>
      </w:pPr>
      <w:r w:rsidRPr="00405EF4">
        <w:rPr>
          <w:sz w:val="22"/>
          <w:szCs w:val="22"/>
        </w:rPr>
        <w:t>3</w:t>
      </w:r>
      <w:r w:rsidR="00EC005E" w:rsidRPr="00405EF4">
        <w:rPr>
          <w:sz w:val="22"/>
          <w:szCs w:val="22"/>
        </w:rPr>
        <w:t xml:space="preserve"> roky</w:t>
      </w:r>
    </w:p>
    <w:p w:rsidR="00B2419C" w:rsidRPr="00405EF4" w:rsidRDefault="00B2419C" w:rsidP="002C6892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Špeciálne upozornenia na uchovávanie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EC005E" w:rsidP="002C6892">
      <w:pPr>
        <w:widowControl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Tento liek nevyžaduje žiadne zvláštne </w:t>
      </w:r>
      <w:r w:rsidR="00C7327E">
        <w:rPr>
          <w:sz w:val="22"/>
          <w:szCs w:val="22"/>
        </w:rPr>
        <w:t xml:space="preserve">teplotné </w:t>
      </w:r>
      <w:r w:rsidRPr="00405EF4">
        <w:rPr>
          <w:sz w:val="22"/>
          <w:szCs w:val="22"/>
        </w:rPr>
        <w:t>podmienky na uchovávanie.</w:t>
      </w:r>
      <w:r w:rsidR="00C7327E">
        <w:rPr>
          <w:sz w:val="22"/>
          <w:szCs w:val="22"/>
        </w:rPr>
        <w:t xml:space="preserve"> Uchovávajte v pôvodnom obale na ochranu pred vlhkosťou.</w:t>
      </w:r>
    </w:p>
    <w:p w:rsidR="00B2419C" w:rsidRPr="00405EF4" w:rsidRDefault="00B2419C" w:rsidP="002C6892">
      <w:pPr>
        <w:widowControl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Druh obalu a obsah balenia</w:t>
      </w:r>
    </w:p>
    <w:p w:rsidR="00F82093" w:rsidRDefault="00F82093" w:rsidP="002C6892">
      <w:pPr>
        <w:widowControl w:val="0"/>
        <w:rPr>
          <w:sz w:val="22"/>
          <w:szCs w:val="22"/>
          <w:lang w:eastAsia="en-US"/>
        </w:rPr>
      </w:pPr>
    </w:p>
    <w:p w:rsidR="00B2419C" w:rsidRPr="00405EF4" w:rsidRDefault="00022CE6" w:rsidP="002C6892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</w:t>
      </w:r>
      <w:r w:rsidR="00C7327E">
        <w:rPr>
          <w:sz w:val="22"/>
          <w:szCs w:val="22"/>
          <w:lang w:eastAsia="en-US"/>
        </w:rPr>
        <w:t>PA/ALU</w:t>
      </w:r>
      <w:r w:rsidR="007A7794" w:rsidRPr="00405EF4">
        <w:rPr>
          <w:sz w:val="22"/>
          <w:szCs w:val="22"/>
          <w:lang w:eastAsia="en-US"/>
        </w:rPr>
        <w:t>/</w:t>
      </w:r>
      <w:r w:rsidR="00B2419C" w:rsidRPr="00405EF4">
        <w:rPr>
          <w:sz w:val="22"/>
          <w:szCs w:val="22"/>
          <w:lang w:eastAsia="en-US"/>
        </w:rPr>
        <w:t>P</w:t>
      </w:r>
      <w:r w:rsidR="00EC005E" w:rsidRPr="00405EF4">
        <w:rPr>
          <w:sz w:val="22"/>
          <w:szCs w:val="22"/>
          <w:lang w:eastAsia="en-US"/>
        </w:rPr>
        <w:t>VC</w:t>
      </w:r>
      <w:r w:rsidR="007A7794" w:rsidRPr="00405EF4">
        <w:rPr>
          <w:sz w:val="22"/>
          <w:szCs w:val="22"/>
          <w:lang w:eastAsia="en-US"/>
        </w:rPr>
        <w:t>-A</w:t>
      </w:r>
      <w:r w:rsidR="00C7327E">
        <w:rPr>
          <w:sz w:val="22"/>
          <w:szCs w:val="22"/>
          <w:lang w:eastAsia="en-US"/>
        </w:rPr>
        <w:t>LU</w:t>
      </w:r>
      <w:r w:rsidR="005C0C7D">
        <w:rPr>
          <w:sz w:val="22"/>
          <w:szCs w:val="22"/>
          <w:lang w:eastAsia="en-US"/>
        </w:rPr>
        <w:t xml:space="preserve"> blistre v škatuľkách po</w:t>
      </w:r>
      <w:r w:rsidR="00F32216">
        <w:rPr>
          <w:sz w:val="22"/>
          <w:szCs w:val="22"/>
          <w:lang w:eastAsia="en-US"/>
        </w:rPr>
        <w:t>:</w:t>
      </w:r>
    </w:p>
    <w:p w:rsidR="00C7327E" w:rsidRDefault="005C0C7D" w:rsidP="00C7327E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10 mg: </w:t>
      </w:r>
      <w:r w:rsidR="00C7327E" w:rsidRPr="00C7327E">
        <w:rPr>
          <w:sz w:val="22"/>
        </w:rPr>
        <w:t>7, 14, 28, 30, 49, 56, 60, 84, 90, 98, 100</w:t>
      </w:r>
      <w:r w:rsidR="00C7327E">
        <w:rPr>
          <w:sz w:val="22"/>
        </w:rPr>
        <w:t xml:space="preserve"> </w:t>
      </w:r>
      <w:r>
        <w:rPr>
          <w:sz w:val="22"/>
        </w:rPr>
        <w:t xml:space="preserve">orodispergovateľných </w:t>
      </w:r>
      <w:r w:rsidR="00C7327E">
        <w:rPr>
          <w:sz w:val="22"/>
        </w:rPr>
        <w:t>tabliet</w:t>
      </w:r>
    </w:p>
    <w:p w:rsidR="005C0C7D" w:rsidRPr="00405EF4" w:rsidRDefault="005C0C7D" w:rsidP="005C0C7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15 mg: </w:t>
      </w:r>
      <w:r w:rsidRPr="00C7327E">
        <w:rPr>
          <w:sz w:val="22"/>
        </w:rPr>
        <w:t>7, 14, 28, 30, 49, 56, 60, 84, 90, 98, 100</w:t>
      </w:r>
      <w:r>
        <w:rPr>
          <w:sz w:val="22"/>
        </w:rPr>
        <w:t xml:space="preserve"> orodispergovateľných tabliet</w:t>
      </w:r>
    </w:p>
    <w:p w:rsidR="005C0C7D" w:rsidRDefault="005C0C7D" w:rsidP="00C7327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47C74" w:rsidRDefault="00747C74" w:rsidP="00747C74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10 mg: </w:t>
      </w:r>
      <w:r w:rsidRPr="00C7327E">
        <w:rPr>
          <w:sz w:val="22"/>
        </w:rPr>
        <w:t>7</w:t>
      </w:r>
      <w:r>
        <w:rPr>
          <w:sz w:val="22"/>
        </w:rPr>
        <w:t>x1</w:t>
      </w:r>
      <w:r w:rsidRPr="00C7327E">
        <w:rPr>
          <w:sz w:val="22"/>
        </w:rPr>
        <w:t>, 14</w:t>
      </w:r>
      <w:r>
        <w:rPr>
          <w:sz w:val="22"/>
        </w:rPr>
        <w:t>x1</w:t>
      </w:r>
      <w:r w:rsidRPr="00C7327E">
        <w:rPr>
          <w:sz w:val="22"/>
        </w:rPr>
        <w:t>, 28</w:t>
      </w:r>
      <w:r>
        <w:rPr>
          <w:sz w:val="22"/>
        </w:rPr>
        <w:t>x1</w:t>
      </w:r>
      <w:r w:rsidRPr="00C7327E">
        <w:rPr>
          <w:sz w:val="22"/>
        </w:rPr>
        <w:t>, 30</w:t>
      </w:r>
      <w:r>
        <w:rPr>
          <w:sz w:val="22"/>
        </w:rPr>
        <w:t>x1</w:t>
      </w:r>
      <w:r w:rsidRPr="00C7327E">
        <w:rPr>
          <w:sz w:val="22"/>
        </w:rPr>
        <w:t>, 49</w:t>
      </w:r>
      <w:r>
        <w:rPr>
          <w:sz w:val="22"/>
        </w:rPr>
        <w:t>x1</w:t>
      </w:r>
      <w:r w:rsidRPr="00C7327E">
        <w:rPr>
          <w:sz w:val="22"/>
        </w:rPr>
        <w:t>, 56</w:t>
      </w:r>
      <w:r>
        <w:rPr>
          <w:sz w:val="22"/>
        </w:rPr>
        <w:t>x1</w:t>
      </w:r>
      <w:r w:rsidRPr="00C7327E">
        <w:rPr>
          <w:sz w:val="22"/>
        </w:rPr>
        <w:t>, 60</w:t>
      </w:r>
      <w:r>
        <w:rPr>
          <w:sz w:val="22"/>
        </w:rPr>
        <w:t>x1</w:t>
      </w:r>
      <w:r w:rsidRPr="00C7327E">
        <w:rPr>
          <w:sz w:val="22"/>
        </w:rPr>
        <w:t>, 84</w:t>
      </w:r>
      <w:r>
        <w:rPr>
          <w:sz w:val="22"/>
        </w:rPr>
        <w:t>x1</w:t>
      </w:r>
      <w:r w:rsidRPr="00C7327E">
        <w:rPr>
          <w:sz w:val="22"/>
        </w:rPr>
        <w:t>, 90</w:t>
      </w:r>
      <w:r>
        <w:rPr>
          <w:sz w:val="22"/>
        </w:rPr>
        <w:t>x1</w:t>
      </w:r>
      <w:r w:rsidRPr="00C7327E">
        <w:rPr>
          <w:sz w:val="22"/>
        </w:rPr>
        <w:t>, 98</w:t>
      </w:r>
      <w:r>
        <w:rPr>
          <w:sz w:val="22"/>
        </w:rPr>
        <w:t>x1</w:t>
      </w:r>
      <w:r w:rsidRPr="00C7327E">
        <w:rPr>
          <w:sz w:val="22"/>
        </w:rPr>
        <w:t>, 100</w:t>
      </w:r>
      <w:r>
        <w:rPr>
          <w:sz w:val="22"/>
        </w:rPr>
        <w:t>x1 orodispergovateľných tabliet</w:t>
      </w:r>
    </w:p>
    <w:p w:rsidR="00747C74" w:rsidRPr="00405EF4" w:rsidRDefault="00747C74" w:rsidP="00747C7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15 mg: </w:t>
      </w:r>
      <w:r w:rsidRPr="00C7327E">
        <w:rPr>
          <w:sz w:val="22"/>
        </w:rPr>
        <w:t>7</w:t>
      </w:r>
      <w:r>
        <w:rPr>
          <w:sz w:val="22"/>
        </w:rPr>
        <w:t>x1</w:t>
      </w:r>
      <w:r w:rsidRPr="00C7327E">
        <w:rPr>
          <w:sz w:val="22"/>
        </w:rPr>
        <w:t>, 14</w:t>
      </w:r>
      <w:r>
        <w:rPr>
          <w:sz w:val="22"/>
        </w:rPr>
        <w:t>x1</w:t>
      </w:r>
      <w:r w:rsidRPr="00C7327E">
        <w:rPr>
          <w:sz w:val="22"/>
        </w:rPr>
        <w:t>, 28</w:t>
      </w:r>
      <w:r>
        <w:rPr>
          <w:sz w:val="22"/>
        </w:rPr>
        <w:t>x1</w:t>
      </w:r>
      <w:r w:rsidRPr="00C7327E">
        <w:rPr>
          <w:sz w:val="22"/>
        </w:rPr>
        <w:t>, 30</w:t>
      </w:r>
      <w:r>
        <w:rPr>
          <w:sz w:val="22"/>
        </w:rPr>
        <w:t>x1</w:t>
      </w:r>
      <w:r w:rsidRPr="00C7327E">
        <w:rPr>
          <w:sz w:val="22"/>
        </w:rPr>
        <w:t>, 49</w:t>
      </w:r>
      <w:r>
        <w:rPr>
          <w:sz w:val="22"/>
        </w:rPr>
        <w:t>x1</w:t>
      </w:r>
      <w:r w:rsidRPr="00C7327E">
        <w:rPr>
          <w:sz w:val="22"/>
        </w:rPr>
        <w:t>, 56</w:t>
      </w:r>
      <w:r>
        <w:rPr>
          <w:sz w:val="22"/>
        </w:rPr>
        <w:t>x1</w:t>
      </w:r>
      <w:r w:rsidRPr="00C7327E">
        <w:rPr>
          <w:sz w:val="22"/>
        </w:rPr>
        <w:t>, 60</w:t>
      </w:r>
      <w:r>
        <w:rPr>
          <w:sz w:val="22"/>
        </w:rPr>
        <w:t>x1</w:t>
      </w:r>
      <w:r w:rsidRPr="00C7327E">
        <w:rPr>
          <w:sz w:val="22"/>
        </w:rPr>
        <w:t>, 84</w:t>
      </w:r>
      <w:r>
        <w:rPr>
          <w:sz w:val="22"/>
        </w:rPr>
        <w:t>x1</w:t>
      </w:r>
      <w:r w:rsidRPr="00C7327E">
        <w:rPr>
          <w:sz w:val="22"/>
        </w:rPr>
        <w:t>, 90</w:t>
      </w:r>
      <w:r>
        <w:rPr>
          <w:sz w:val="22"/>
        </w:rPr>
        <w:t>x1</w:t>
      </w:r>
      <w:r w:rsidRPr="00C7327E">
        <w:rPr>
          <w:sz w:val="22"/>
        </w:rPr>
        <w:t>, 98</w:t>
      </w:r>
      <w:r>
        <w:rPr>
          <w:sz w:val="22"/>
        </w:rPr>
        <w:t>x1</w:t>
      </w:r>
      <w:r w:rsidRPr="00C7327E">
        <w:rPr>
          <w:sz w:val="22"/>
        </w:rPr>
        <w:t>, 100</w:t>
      </w:r>
      <w:r>
        <w:rPr>
          <w:sz w:val="22"/>
        </w:rPr>
        <w:t>x1 orodispergovateľných tabliet</w:t>
      </w:r>
    </w:p>
    <w:p w:rsidR="00747C74" w:rsidRPr="00405EF4" w:rsidRDefault="00747C74" w:rsidP="00C7327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rPr>
          <w:sz w:val="22"/>
          <w:szCs w:val="22"/>
          <w:lang w:eastAsia="en-US"/>
        </w:rPr>
      </w:pPr>
      <w:r w:rsidRPr="00405EF4">
        <w:rPr>
          <w:sz w:val="22"/>
          <w:szCs w:val="22"/>
          <w:lang w:eastAsia="en-US"/>
        </w:rPr>
        <w:t>Na trh nemusia byť uvedené všetky veľkosti balenia.</w:t>
      </w:r>
    </w:p>
    <w:p w:rsidR="00B2419C" w:rsidRPr="00405EF4" w:rsidRDefault="00B2419C" w:rsidP="002C6892">
      <w:pPr>
        <w:widowControl w:val="0"/>
        <w:rPr>
          <w:sz w:val="22"/>
          <w:szCs w:val="22"/>
          <w:lang w:eastAsia="en-US"/>
        </w:rPr>
      </w:pPr>
    </w:p>
    <w:p w:rsidR="00B2419C" w:rsidRPr="00405EF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Špeciálne opatrenia na likvidáciu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F82093" w:rsidP="002C6892">
      <w:pPr>
        <w:widowControl w:val="0"/>
        <w:adjustRightInd w:val="0"/>
        <w:snapToGrid w:val="0"/>
        <w:rPr>
          <w:sz w:val="22"/>
          <w:szCs w:val="22"/>
        </w:rPr>
      </w:pPr>
      <w:r>
        <w:rPr>
          <w:sz w:val="22"/>
          <w:szCs w:val="22"/>
        </w:rPr>
        <w:t>Všetok n</w:t>
      </w:r>
      <w:r w:rsidR="00B2419C" w:rsidRPr="00405EF4">
        <w:rPr>
          <w:sz w:val="22"/>
          <w:szCs w:val="22"/>
        </w:rPr>
        <w:t xml:space="preserve">epoužitý liek alebo odpad vzniknutý z lieku </w:t>
      </w:r>
      <w:r>
        <w:rPr>
          <w:sz w:val="22"/>
          <w:szCs w:val="22"/>
        </w:rPr>
        <w:t>sa má zlikvidovať v súlade s národnými požiadavkami.</w:t>
      </w:r>
    </w:p>
    <w:p w:rsidR="00B2419C" w:rsidRPr="00405EF4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DRŽITEĽ ROZHODNUTIA O REGISTRÁCII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Default="00B512A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 xml:space="preserve">STADA </w:t>
      </w:r>
      <w:r w:rsidR="00F82093">
        <w:rPr>
          <w:sz w:val="22"/>
          <w:szCs w:val="22"/>
        </w:rPr>
        <w:t>Arzneimittel AG</w:t>
      </w:r>
    </w:p>
    <w:p w:rsidR="00F82093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Stadastrasse 2-18</w:t>
      </w:r>
    </w:p>
    <w:p w:rsidR="00F82093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61118 Bad Vilbel </w:t>
      </w:r>
    </w:p>
    <w:p w:rsidR="00F82093" w:rsidRPr="00405EF4" w:rsidRDefault="00F82093" w:rsidP="002C6892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</w:rPr>
      </w:pPr>
      <w:r>
        <w:rPr>
          <w:sz w:val="22"/>
          <w:szCs w:val="22"/>
        </w:rPr>
        <w:t>Nemecko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REGISTRAČNÉ ČÍSLO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405EF4" w:rsidRDefault="006530D2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530D2">
        <w:rPr>
          <w:sz w:val="22"/>
          <w:szCs w:val="22"/>
        </w:rPr>
        <w:t>Aripiprazol STADA 10 mg orodispergovateľné tablety:</w:t>
      </w:r>
      <w:r w:rsidRPr="006530D2">
        <w:rPr>
          <w:bCs/>
          <w:sz w:val="22"/>
          <w:szCs w:val="22"/>
        </w:rPr>
        <w:t xml:space="preserve"> </w:t>
      </w:r>
      <w:r w:rsidR="00890112" w:rsidRPr="006530D2">
        <w:rPr>
          <w:sz w:val="22"/>
          <w:szCs w:val="22"/>
        </w:rPr>
        <w:t>68</w:t>
      </w:r>
      <w:r w:rsidR="00890112" w:rsidRPr="00405EF4">
        <w:rPr>
          <w:sz w:val="22"/>
          <w:szCs w:val="22"/>
        </w:rPr>
        <w:t>/</w:t>
      </w:r>
      <w:r w:rsidR="0011467C">
        <w:rPr>
          <w:sz w:val="22"/>
          <w:szCs w:val="22"/>
        </w:rPr>
        <w:t>0433</w:t>
      </w:r>
      <w:r w:rsidR="00890112" w:rsidRPr="00405EF4">
        <w:rPr>
          <w:sz w:val="22"/>
          <w:szCs w:val="22"/>
        </w:rPr>
        <w:t>/15-S</w:t>
      </w:r>
      <w:r w:rsidR="0011467C" w:rsidRPr="0011467C">
        <w:t xml:space="preserve"> </w:t>
      </w:r>
    </w:p>
    <w:p w:rsidR="00B2419C" w:rsidRPr="00405EF4" w:rsidRDefault="006530D2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530D2">
        <w:rPr>
          <w:sz w:val="22"/>
          <w:szCs w:val="22"/>
        </w:rPr>
        <w:t>Aripiprazol STADA 1</w:t>
      </w:r>
      <w:r>
        <w:rPr>
          <w:sz w:val="22"/>
          <w:szCs w:val="22"/>
        </w:rPr>
        <w:t>5</w:t>
      </w:r>
      <w:r w:rsidRPr="006530D2">
        <w:rPr>
          <w:sz w:val="22"/>
          <w:szCs w:val="22"/>
        </w:rPr>
        <w:t xml:space="preserve"> mg orodispergovateľné tablety:</w:t>
      </w:r>
      <w:r w:rsidRPr="006530D2">
        <w:rPr>
          <w:bCs/>
          <w:sz w:val="22"/>
          <w:szCs w:val="22"/>
        </w:rPr>
        <w:t xml:space="preserve"> </w:t>
      </w:r>
      <w:r w:rsidR="0011467C">
        <w:rPr>
          <w:sz w:val="22"/>
          <w:szCs w:val="22"/>
        </w:rPr>
        <w:t>68/0434</w:t>
      </w:r>
      <w:r w:rsidR="0011467C" w:rsidRPr="0011467C">
        <w:rPr>
          <w:sz w:val="22"/>
          <w:szCs w:val="22"/>
        </w:rPr>
        <w:t>/15-S</w:t>
      </w:r>
    </w:p>
    <w:p w:rsidR="00B2419C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46F34" w:rsidRPr="00405EF4" w:rsidRDefault="00146F34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405EF4">
        <w:rPr>
          <w:b/>
          <w:sz w:val="22"/>
          <w:szCs w:val="22"/>
        </w:rPr>
        <w:t>DÁTUM PRVEJ REGISTRÁCIE/ PREDĹŽENIA REGISTRÁCIE</w:t>
      </w: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405EF4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05EF4">
        <w:rPr>
          <w:sz w:val="22"/>
          <w:szCs w:val="22"/>
        </w:rPr>
        <w:t>Dátum prvej registrácie:</w:t>
      </w:r>
      <w:r w:rsidR="00604F54">
        <w:rPr>
          <w:sz w:val="22"/>
          <w:szCs w:val="22"/>
        </w:rPr>
        <w:t xml:space="preserve"> 4. novembra 2015</w:t>
      </w:r>
    </w:p>
    <w:p w:rsidR="003D1C26" w:rsidRPr="00405EF4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405EF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405EF4">
        <w:rPr>
          <w:b/>
          <w:sz w:val="22"/>
          <w:szCs w:val="22"/>
        </w:rPr>
        <w:t>DÁTUM REVÍZIE TEXTU</w:t>
      </w:r>
    </w:p>
    <w:p w:rsidR="003D1C26" w:rsidRDefault="003D1C26" w:rsidP="002C6892">
      <w:pPr>
        <w:widowControl w:val="0"/>
        <w:rPr>
          <w:sz w:val="22"/>
          <w:szCs w:val="22"/>
        </w:rPr>
      </w:pPr>
    </w:p>
    <w:p w:rsidR="0011467C" w:rsidRPr="00405EF4" w:rsidRDefault="00133C6E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05/2019</w:t>
      </w:r>
      <w:bookmarkStart w:id="0" w:name="_GoBack"/>
      <w:bookmarkEnd w:id="0"/>
    </w:p>
    <w:sectPr w:rsidR="0011467C" w:rsidRPr="00405EF4" w:rsidSect="000F78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43" w:rsidRDefault="006F3D43" w:rsidP="009865E5">
      <w:r>
        <w:separator/>
      </w:r>
    </w:p>
  </w:endnote>
  <w:endnote w:type="continuationSeparator" w:id="0">
    <w:p w:rsidR="006F3D43" w:rsidRDefault="006F3D43" w:rsidP="009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84" w:rsidRPr="00EC005E" w:rsidRDefault="00F54B6C" w:rsidP="009650BA">
    <w:pPr>
      <w:pStyle w:val="Pta"/>
      <w:jc w:val="center"/>
      <w:rPr>
        <w:sz w:val="18"/>
        <w:szCs w:val="18"/>
      </w:rPr>
    </w:pPr>
    <w:r w:rsidRPr="00EC005E">
      <w:rPr>
        <w:sz w:val="18"/>
        <w:szCs w:val="18"/>
      </w:rPr>
      <w:fldChar w:fldCharType="begin"/>
    </w:r>
    <w:r w:rsidR="00435684" w:rsidRPr="00EC005E">
      <w:rPr>
        <w:sz w:val="18"/>
        <w:szCs w:val="18"/>
      </w:rPr>
      <w:instrText xml:space="preserve"> PAGE   \* MERGEFORMAT </w:instrText>
    </w:r>
    <w:r w:rsidRPr="00EC005E">
      <w:rPr>
        <w:sz w:val="18"/>
        <w:szCs w:val="18"/>
      </w:rPr>
      <w:fldChar w:fldCharType="separate"/>
    </w:r>
    <w:r w:rsidR="006D3D4D">
      <w:rPr>
        <w:noProof/>
        <w:sz w:val="18"/>
        <w:szCs w:val="18"/>
      </w:rPr>
      <w:t>19</w:t>
    </w:r>
    <w:r w:rsidRPr="00EC005E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FE" w:rsidRPr="00E950FE" w:rsidRDefault="00E950FE">
    <w:pPr>
      <w:pStyle w:val="Pta"/>
      <w:jc w:val="center"/>
      <w:rPr>
        <w:sz w:val="18"/>
        <w:szCs w:val="18"/>
      </w:rPr>
    </w:pPr>
    <w:r w:rsidRPr="00E950FE">
      <w:rPr>
        <w:sz w:val="18"/>
        <w:szCs w:val="18"/>
      </w:rPr>
      <w:fldChar w:fldCharType="begin"/>
    </w:r>
    <w:r w:rsidRPr="00E950FE">
      <w:rPr>
        <w:sz w:val="18"/>
        <w:szCs w:val="18"/>
      </w:rPr>
      <w:instrText>PAGE   \* MERGEFORMAT</w:instrText>
    </w:r>
    <w:r w:rsidRPr="00E950FE">
      <w:rPr>
        <w:sz w:val="18"/>
        <w:szCs w:val="18"/>
      </w:rPr>
      <w:fldChar w:fldCharType="separate"/>
    </w:r>
    <w:r w:rsidR="000F78F8">
      <w:rPr>
        <w:noProof/>
        <w:sz w:val="18"/>
        <w:szCs w:val="18"/>
      </w:rPr>
      <w:t>1</w:t>
    </w:r>
    <w:r w:rsidRPr="00E950FE">
      <w:rPr>
        <w:sz w:val="18"/>
        <w:szCs w:val="18"/>
      </w:rPr>
      <w:fldChar w:fldCharType="end"/>
    </w:r>
  </w:p>
  <w:p w:rsidR="00E950FE" w:rsidRDefault="00E950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43" w:rsidRDefault="006F3D43" w:rsidP="009865E5">
      <w:r>
        <w:separator/>
      </w:r>
    </w:p>
  </w:footnote>
  <w:footnote w:type="continuationSeparator" w:id="0">
    <w:p w:rsidR="006F3D43" w:rsidRDefault="006F3D43" w:rsidP="0098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C74" w:rsidRPr="00B8384D" w:rsidRDefault="00747C74" w:rsidP="00747C74">
    <w:pPr>
      <w:pStyle w:val="Hlavika"/>
      <w:rPr>
        <w:sz w:val="18"/>
        <w:szCs w:val="18"/>
        <w:lang w:val="sk-SK"/>
      </w:rPr>
    </w:pPr>
    <w:r w:rsidRPr="00B8384D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B8384D">
      <w:rPr>
        <w:sz w:val="18"/>
        <w:szCs w:val="18"/>
        <w:lang w:val="sk-SK"/>
      </w:rPr>
      <w:t xml:space="preserve"> k notifikácii o zmene, ev. č.: 201</w:t>
    </w:r>
    <w:r>
      <w:rPr>
        <w:sz w:val="18"/>
        <w:szCs w:val="18"/>
        <w:lang w:val="sk-SK"/>
      </w:rPr>
      <w:t>9/01427-Z1B</w:t>
    </w:r>
  </w:p>
  <w:p w:rsidR="000F78F8" w:rsidRDefault="000F78F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84" w:rsidRDefault="00435684" w:rsidP="0059016B">
    <w:pPr>
      <w:pStyle w:val="Hlavika"/>
      <w:rPr>
        <w:sz w:val="18"/>
        <w:szCs w:val="18"/>
      </w:rPr>
    </w:pPr>
  </w:p>
  <w:p w:rsidR="00D616F9" w:rsidRPr="00B8384D" w:rsidRDefault="00D616F9" w:rsidP="00D616F9">
    <w:pPr>
      <w:pStyle w:val="Hlavika"/>
      <w:rPr>
        <w:sz w:val="18"/>
        <w:szCs w:val="18"/>
        <w:lang w:val="sk-SK"/>
      </w:rPr>
    </w:pPr>
    <w:r w:rsidRPr="00B8384D">
      <w:rPr>
        <w:sz w:val="18"/>
        <w:szCs w:val="18"/>
        <w:lang w:val="sk-SK"/>
      </w:rPr>
      <w:t>Príloha č. 1 k notifikácii o zmene, ev. č.: 2016/0</w:t>
    </w:r>
    <w:r w:rsidR="00604F54">
      <w:rPr>
        <w:sz w:val="18"/>
        <w:szCs w:val="18"/>
        <w:lang w:val="sk-SK"/>
      </w:rPr>
      <w:t>5047-Z1B</w:t>
    </w:r>
  </w:p>
  <w:p w:rsidR="00D616F9" w:rsidRPr="0011775D" w:rsidRDefault="00D616F9" w:rsidP="0059016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662"/>
    <w:multiLevelType w:val="hybridMultilevel"/>
    <w:tmpl w:val="D45437E6"/>
    <w:lvl w:ilvl="0" w:tplc="4F3AF9C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2" w15:restartNumberingAfterBreak="0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23686"/>
    <w:multiLevelType w:val="hybridMultilevel"/>
    <w:tmpl w:val="BFDCCE16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30924"/>
    <w:multiLevelType w:val="hybridMultilevel"/>
    <w:tmpl w:val="C27C8BD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E5"/>
    <w:rsid w:val="000013BD"/>
    <w:rsid w:val="000058BF"/>
    <w:rsid w:val="00005A08"/>
    <w:rsid w:val="0000620A"/>
    <w:rsid w:val="00010939"/>
    <w:rsid w:val="0001488F"/>
    <w:rsid w:val="00022CE6"/>
    <w:rsid w:val="00023A3E"/>
    <w:rsid w:val="00025EF9"/>
    <w:rsid w:val="000310BE"/>
    <w:rsid w:val="000354E9"/>
    <w:rsid w:val="0004258C"/>
    <w:rsid w:val="000479FD"/>
    <w:rsid w:val="0005075E"/>
    <w:rsid w:val="0005729C"/>
    <w:rsid w:val="0006739A"/>
    <w:rsid w:val="0007129B"/>
    <w:rsid w:val="000814F4"/>
    <w:rsid w:val="00096991"/>
    <w:rsid w:val="000977CE"/>
    <w:rsid w:val="000B7632"/>
    <w:rsid w:val="000B7A95"/>
    <w:rsid w:val="000C3085"/>
    <w:rsid w:val="000D1DB3"/>
    <w:rsid w:val="000E3B1E"/>
    <w:rsid w:val="000E59E0"/>
    <w:rsid w:val="000E615F"/>
    <w:rsid w:val="000F5344"/>
    <w:rsid w:val="000F78F8"/>
    <w:rsid w:val="00105644"/>
    <w:rsid w:val="0010601D"/>
    <w:rsid w:val="0011467C"/>
    <w:rsid w:val="00114943"/>
    <w:rsid w:val="0011775D"/>
    <w:rsid w:val="001271C6"/>
    <w:rsid w:val="00127D51"/>
    <w:rsid w:val="00133C6E"/>
    <w:rsid w:val="00134B9F"/>
    <w:rsid w:val="00137C97"/>
    <w:rsid w:val="00144F2E"/>
    <w:rsid w:val="001454FC"/>
    <w:rsid w:val="00145D85"/>
    <w:rsid w:val="00146F34"/>
    <w:rsid w:val="00181C3C"/>
    <w:rsid w:val="0019047A"/>
    <w:rsid w:val="00194C3D"/>
    <w:rsid w:val="001A267F"/>
    <w:rsid w:val="001A2B09"/>
    <w:rsid w:val="001A4295"/>
    <w:rsid w:val="001A6F3A"/>
    <w:rsid w:val="001C38A7"/>
    <w:rsid w:val="001F2010"/>
    <w:rsid w:val="001F33CE"/>
    <w:rsid w:val="001F48BC"/>
    <w:rsid w:val="001F59AF"/>
    <w:rsid w:val="00211C55"/>
    <w:rsid w:val="00212968"/>
    <w:rsid w:val="00220F88"/>
    <w:rsid w:val="0022106C"/>
    <w:rsid w:val="0022161F"/>
    <w:rsid w:val="00231DDB"/>
    <w:rsid w:val="0023474A"/>
    <w:rsid w:val="00237756"/>
    <w:rsid w:val="00240049"/>
    <w:rsid w:val="002410AE"/>
    <w:rsid w:val="002500FF"/>
    <w:rsid w:val="002561BB"/>
    <w:rsid w:val="00276E8E"/>
    <w:rsid w:val="00281D62"/>
    <w:rsid w:val="002832CF"/>
    <w:rsid w:val="00285C4E"/>
    <w:rsid w:val="00294591"/>
    <w:rsid w:val="00297FAE"/>
    <w:rsid w:val="002A4D21"/>
    <w:rsid w:val="002B46B2"/>
    <w:rsid w:val="002C02DB"/>
    <w:rsid w:val="002C1240"/>
    <w:rsid w:val="002C6892"/>
    <w:rsid w:val="002D35DE"/>
    <w:rsid w:val="002D6B13"/>
    <w:rsid w:val="002D7C9C"/>
    <w:rsid w:val="002E1014"/>
    <w:rsid w:val="002F1277"/>
    <w:rsid w:val="002F610D"/>
    <w:rsid w:val="0030163A"/>
    <w:rsid w:val="00321493"/>
    <w:rsid w:val="00325236"/>
    <w:rsid w:val="00332328"/>
    <w:rsid w:val="003830A0"/>
    <w:rsid w:val="0038636A"/>
    <w:rsid w:val="00386643"/>
    <w:rsid w:val="003971D0"/>
    <w:rsid w:val="003D1C26"/>
    <w:rsid w:val="003E123C"/>
    <w:rsid w:val="003E402E"/>
    <w:rsid w:val="004013F1"/>
    <w:rsid w:val="004024AB"/>
    <w:rsid w:val="00402EF9"/>
    <w:rsid w:val="00405EF4"/>
    <w:rsid w:val="0041770A"/>
    <w:rsid w:val="00421657"/>
    <w:rsid w:val="00423D3C"/>
    <w:rsid w:val="00433D08"/>
    <w:rsid w:val="00435684"/>
    <w:rsid w:val="0044100A"/>
    <w:rsid w:val="004556AC"/>
    <w:rsid w:val="004631AB"/>
    <w:rsid w:val="00467DF5"/>
    <w:rsid w:val="0048401D"/>
    <w:rsid w:val="004866D3"/>
    <w:rsid w:val="00486E8D"/>
    <w:rsid w:val="00496800"/>
    <w:rsid w:val="00496B39"/>
    <w:rsid w:val="004A4FF4"/>
    <w:rsid w:val="004B2ACC"/>
    <w:rsid w:val="004B49D8"/>
    <w:rsid w:val="004D5A21"/>
    <w:rsid w:val="004D6488"/>
    <w:rsid w:val="004E3151"/>
    <w:rsid w:val="004E3BEB"/>
    <w:rsid w:val="004E4A09"/>
    <w:rsid w:val="00501614"/>
    <w:rsid w:val="0051194D"/>
    <w:rsid w:val="005141F9"/>
    <w:rsid w:val="005222BC"/>
    <w:rsid w:val="00524487"/>
    <w:rsid w:val="00533BBA"/>
    <w:rsid w:val="0053402E"/>
    <w:rsid w:val="0055232D"/>
    <w:rsid w:val="00574889"/>
    <w:rsid w:val="00580E9D"/>
    <w:rsid w:val="00583880"/>
    <w:rsid w:val="00584EFE"/>
    <w:rsid w:val="0059016B"/>
    <w:rsid w:val="00592465"/>
    <w:rsid w:val="005A0171"/>
    <w:rsid w:val="005A1BB6"/>
    <w:rsid w:val="005B01AD"/>
    <w:rsid w:val="005B25BF"/>
    <w:rsid w:val="005B79DB"/>
    <w:rsid w:val="005C0C7D"/>
    <w:rsid w:val="005E546C"/>
    <w:rsid w:val="005F2029"/>
    <w:rsid w:val="00604F54"/>
    <w:rsid w:val="006250FD"/>
    <w:rsid w:val="00625CFD"/>
    <w:rsid w:val="00634D56"/>
    <w:rsid w:val="00637161"/>
    <w:rsid w:val="006466DA"/>
    <w:rsid w:val="006530D2"/>
    <w:rsid w:val="00655ADA"/>
    <w:rsid w:val="00670987"/>
    <w:rsid w:val="006717DB"/>
    <w:rsid w:val="0067376C"/>
    <w:rsid w:val="00673857"/>
    <w:rsid w:val="006761C5"/>
    <w:rsid w:val="0067727F"/>
    <w:rsid w:val="006A0231"/>
    <w:rsid w:val="006A6118"/>
    <w:rsid w:val="006A6431"/>
    <w:rsid w:val="006B2008"/>
    <w:rsid w:val="006B493E"/>
    <w:rsid w:val="006C1E9A"/>
    <w:rsid w:val="006C5B22"/>
    <w:rsid w:val="006D1D9A"/>
    <w:rsid w:val="006D3D4D"/>
    <w:rsid w:val="006D64CC"/>
    <w:rsid w:val="006E2920"/>
    <w:rsid w:val="006E2A3D"/>
    <w:rsid w:val="006E590E"/>
    <w:rsid w:val="006F0331"/>
    <w:rsid w:val="006F3D43"/>
    <w:rsid w:val="006F61E9"/>
    <w:rsid w:val="00701758"/>
    <w:rsid w:val="00705AF0"/>
    <w:rsid w:val="00705B7A"/>
    <w:rsid w:val="0071142D"/>
    <w:rsid w:val="00714559"/>
    <w:rsid w:val="007438EB"/>
    <w:rsid w:val="00747C74"/>
    <w:rsid w:val="00750A90"/>
    <w:rsid w:val="00752B3A"/>
    <w:rsid w:val="007533C5"/>
    <w:rsid w:val="007568F2"/>
    <w:rsid w:val="007621F1"/>
    <w:rsid w:val="007705EB"/>
    <w:rsid w:val="00770780"/>
    <w:rsid w:val="00771558"/>
    <w:rsid w:val="00773B67"/>
    <w:rsid w:val="00776EF1"/>
    <w:rsid w:val="00777360"/>
    <w:rsid w:val="0078750D"/>
    <w:rsid w:val="0079606F"/>
    <w:rsid w:val="007970EA"/>
    <w:rsid w:val="007A7794"/>
    <w:rsid w:val="007C249F"/>
    <w:rsid w:val="007C410C"/>
    <w:rsid w:val="007E6530"/>
    <w:rsid w:val="007F4DB0"/>
    <w:rsid w:val="007F6576"/>
    <w:rsid w:val="007F6A75"/>
    <w:rsid w:val="00803BD1"/>
    <w:rsid w:val="008048C9"/>
    <w:rsid w:val="00816098"/>
    <w:rsid w:val="008177DE"/>
    <w:rsid w:val="008239F8"/>
    <w:rsid w:val="008275DA"/>
    <w:rsid w:val="008302B5"/>
    <w:rsid w:val="0083073E"/>
    <w:rsid w:val="008316B7"/>
    <w:rsid w:val="00831CF4"/>
    <w:rsid w:val="00840398"/>
    <w:rsid w:val="00845BAA"/>
    <w:rsid w:val="00861DF0"/>
    <w:rsid w:val="00864BAE"/>
    <w:rsid w:val="008656D8"/>
    <w:rsid w:val="00866D46"/>
    <w:rsid w:val="00876F40"/>
    <w:rsid w:val="00876FFB"/>
    <w:rsid w:val="00880A18"/>
    <w:rsid w:val="00890112"/>
    <w:rsid w:val="008A42A0"/>
    <w:rsid w:val="008A7BD0"/>
    <w:rsid w:val="008B09C4"/>
    <w:rsid w:val="008B2AC6"/>
    <w:rsid w:val="008C0A42"/>
    <w:rsid w:val="008C37AD"/>
    <w:rsid w:val="008D2620"/>
    <w:rsid w:val="008D5D80"/>
    <w:rsid w:val="008D5E87"/>
    <w:rsid w:val="008E17F4"/>
    <w:rsid w:val="008E1BCC"/>
    <w:rsid w:val="008E329B"/>
    <w:rsid w:val="00904DA0"/>
    <w:rsid w:val="00913E6E"/>
    <w:rsid w:val="00914A96"/>
    <w:rsid w:val="00923E6B"/>
    <w:rsid w:val="00937D36"/>
    <w:rsid w:val="00951E2C"/>
    <w:rsid w:val="00961445"/>
    <w:rsid w:val="009650BA"/>
    <w:rsid w:val="009824A3"/>
    <w:rsid w:val="009865E5"/>
    <w:rsid w:val="0098777B"/>
    <w:rsid w:val="009911F7"/>
    <w:rsid w:val="00995A19"/>
    <w:rsid w:val="00997B0D"/>
    <w:rsid w:val="009A7414"/>
    <w:rsid w:val="009A7B81"/>
    <w:rsid w:val="009B3071"/>
    <w:rsid w:val="009B3E81"/>
    <w:rsid w:val="009C074A"/>
    <w:rsid w:val="009D3CE1"/>
    <w:rsid w:val="009E2550"/>
    <w:rsid w:val="009E389A"/>
    <w:rsid w:val="009E7B4C"/>
    <w:rsid w:val="009F1EFA"/>
    <w:rsid w:val="00A00670"/>
    <w:rsid w:val="00A1127D"/>
    <w:rsid w:val="00A16052"/>
    <w:rsid w:val="00A2302D"/>
    <w:rsid w:val="00A25A67"/>
    <w:rsid w:val="00A25EDF"/>
    <w:rsid w:val="00A27EF3"/>
    <w:rsid w:val="00A3520A"/>
    <w:rsid w:val="00A35866"/>
    <w:rsid w:val="00A4284E"/>
    <w:rsid w:val="00A436F1"/>
    <w:rsid w:val="00A44182"/>
    <w:rsid w:val="00A44A0F"/>
    <w:rsid w:val="00A47D4C"/>
    <w:rsid w:val="00A50187"/>
    <w:rsid w:val="00A6197B"/>
    <w:rsid w:val="00A674F5"/>
    <w:rsid w:val="00A86DBB"/>
    <w:rsid w:val="00A906CE"/>
    <w:rsid w:val="00A90DCF"/>
    <w:rsid w:val="00A91E9B"/>
    <w:rsid w:val="00A96583"/>
    <w:rsid w:val="00AB2555"/>
    <w:rsid w:val="00AB4367"/>
    <w:rsid w:val="00AB4DDF"/>
    <w:rsid w:val="00AB7360"/>
    <w:rsid w:val="00AC4575"/>
    <w:rsid w:val="00AC4B36"/>
    <w:rsid w:val="00AD3B18"/>
    <w:rsid w:val="00AF39ED"/>
    <w:rsid w:val="00AF421E"/>
    <w:rsid w:val="00B1341A"/>
    <w:rsid w:val="00B14A90"/>
    <w:rsid w:val="00B2419C"/>
    <w:rsid w:val="00B3097F"/>
    <w:rsid w:val="00B34443"/>
    <w:rsid w:val="00B449BB"/>
    <w:rsid w:val="00B44DB7"/>
    <w:rsid w:val="00B512AD"/>
    <w:rsid w:val="00B57332"/>
    <w:rsid w:val="00B63F49"/>
    <w:rsid w:val="00B66796"/>
    <w:rsid w:val="00B92536"/>
    <w:rsid w:val="00B96612"/>
    <w:rsid w:val="00BA5E91"/>
    <w:rsid w:val="00BD49D9"/>
    <w:rsid w:val="00BE0A8C"/>
    <w:rsid w:val="00BF022E"/>
    <w:rsid w:val="00BF4C2A"/>
    <w:rsid w:val="00C12631"/>
    <w:rsid w:val="00C313B3"/>
    <w:rsid w:val="00C43BEA"/>
    <w:rsid w:val="00C55927"/>
    <w:rsid w:val="00C65267"/>
    <w:rsid w:val="00C66C74"/>
    <w:rsid w:val="00C7327E"/>
    <w:rsid w:val="00C7570C"/>
    <w:rsid w:val="00C76B8D"/>
    <w:rsid w:val="00C80D22"/>
    <w:rsid w:val="00C81A4F"/>
    <w:rsid w:val="00C8651B"/>
    <w:rsid w:val="00C86EB4"/>
    <w:rsid w:val="00C904A8"/>
    <w:rsid w:val="00CA10BE"/>
    <w:rsid w:val="00CA2CCD"/>
    <w:rsid w:val="00CA378C"/>
    <w:rsid w:val="00CA5B2F"/>
    <w:rsid w:val="00CA6424"/>
    <w:rsid w:val="00CD029A"/>
    <w:rsid w:val="00CE1EDE"/>
    <w:rsid w:val="00CE3F04"/>
    <w:rsid w:val="00CE686E"/>
    <w:rsid w:val="00CF0910"/>
    <w:rsid w:val="00CF7BCA"/>
    <w:rsid w:val="00D0709F"/>
    <w:rsid w:val="00D155CC"/>
    <w:rsid w:val="00D30C66"/>
    <w:rsid w:val="00D616F9"/>
    <w:rsid w:val="00D67757"/>
    <w:rsid w:val="00D7159D"/>
    <w:rsid w:val="00D7164B"/>
    <w:rsid w:val="00D71D17"/>
    <w:rsid w:val="00D73326"/>
    <w:rsid w:val="00D7335F"/>
    <w:rsid w:val="00D74812"/>
    <w:rsid w:val="00D85835"/>
    <w:rsid w:val="00D92FD8"/>
    <w:rsid w:val="00D93193"/>
    <w:rsid w:val="00D968A1"/>
    <w:rsid w:val="00DA16E9"/>
    <w:rsid w:val="00DA1974"/>
    <w:rsid w:val="00DA446E"/>
    <w:rsid w:val="00DA4B83"/>
    <w:rsid w:val="00DB07E7"/>
    <w:rsid w:val="00DB2C3E"/>
    <w:rsid w:val="00DB3681"/>
    <w:rsid w:val="00DB36A8"/>
    <w:rsid w:val="00DB6542"/>
    <w:rsid w:val="00DB774D"/>
    <w:rsid w:val="00DC08C9"/>
    <w:rsid w:val="00DD189A"/>
    <w:rsid w:val="00DD4DD0"/>
    <w:rsid w:val="00DD4FA1"/>
    <w:rsid w:val="00DE6A8B"/>
    <w:rsid w:val="00DF7E9B"/>
    <w:rsid w:val="00E00437"/>
    <w:rsid w:val="00E04481"/>
    <w:rsid w:val="00E057C3"/>
    <w:rsid w:val="00E11DF5"/>
    <w:rsid w:val="00E12BEB"/>
    <w:rsid w:val="00E14257"/>
    <w:rsid w:val="00E162E8"/>
    <w:rsid w:val="00E33EBF"/>
    <w:rsid w:val="00E34719"/>
    <w:rsid w:val="00E378C7"/>
    <w:rsid w:val="00E44EA2"/>
    <w:rsid w:val="00E52FA4"/>
    <w:rsid w:val="00E56A0D"/>
    <w:rsid w:val="00E7357A"/>
    <w:rsid w:val="00E86B8F"/>
    <w:rsid w:val="00E87C9E"/>
    <w:rsid w:val="00E90F32"/>
    <w:rsid w:val="00E92C4C"/>
    <w:rsid w:val="00E94C1A"/>
    <w:rsid w:val="00E950FE"/>
    <w:rsid w:val="00E96CEC"/>
    <w:rsid w:val="00EA0D5A"/>
    <w:rsid w:val="00EB2D78"/>
    <w:rsid w:val="00EB461D"/>
    <w:rsid w:val="00EC005E"/>
    <w:rsid w:val="00ED41F6"/>
    <w:rsid w:val="00ED52F8"/>
    <w:rsid w:val="00F02AAA"/>
    <w:rsid w:val="00F135A1"/>
    <w:rsid w:val="00F248DF"/>
    <w:rsid w:val="00F32216"/>
    <w:rsid w:val="00F408DF"/>
    <w:rsid w:val="00F51517"/>
    <w:rsid w:val="00F54B6C"/>
    <w:rsid w:val="00F56303"/>
    <w:rsid w:val="00F56F2A"/>
    <w:rsid w:val="00F624F4"/>
    <w:rsid w:val="00F673C3"/>
    <w:rsid w:val="00F745E4"/>
    <w:rsid w:val="00F82093"/>
    <w:rsid w:val="00F85A62"/>
    <w:rsid w:val="00F87906"/>
    <w:rsid w:val="00FA2570"/>
    <w:rsid w:val="00FA5DC7"/>
    <w:rsid w:val="00FB3B60"/>
    <w:rsid w:val="00FC2EA9"/>
    <w:rsid w:val="00FC78FA"/>
    <w:rsid w:val="00FD3368"/>
    <w:rsid w:val="00FD4D3A"/>
    <w:rsid w:val="00FE4530"/>
    <w:rsid w:val="00FF270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9C3A95A-9732-497D-888D-D91ECA34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rFonts w:eastAsia="Calibri"/>
      <w:u w:val="single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rFonts w:eastAsia="Calibri"/>
      <w:color w:val="000000"/>
      <w:u w:val="single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rFonts w:eastAsia="Calibri"/>
      <w:i/>
      <w:iCs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rFonts w:eastAsia="Calibri"/>
      <w:u w:val="single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rFonts w:eastAsia="Calibri"/>
      <w:b/>
      <w:bCs/>
      <w:sz w:val="20"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rFonts w:eastAsia="Calibri"/>
      <w:b/>
      <w:bCs/>
      <w:i/>
      <w:iCs/>
      <w:lang w:val="x-non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rFonts w:eastAsia="Calibri"/>
      <w:b/>
      <w:bCs/>
      <w:sz w:val="20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rFonts w:eastAsia="Calibri"/>
      <w:b/>
      <w:lang w:val="cs-CZ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napToGrid w:val="0"/>
      <w:sz w:val="20"/>
      <w:szCs w:val="20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rFonts w:eastAsia="Calibri"/>
      <w:sz w:val="16"/>
      <w:szCs w:val="16"/>
      <w:lang w:val="en-GB" w:eastAsia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rFonts w:eastAsia="Calibri"/>
      <w:sz w:val="20"/>
      <w:szCs w:val="20"/>
      <w:lang w:val="cs-CZ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eastAsia="Calibri" w:hAnsi="Tahoma"/>
      <w:sz w:val="16"/>
      <w:szCs w:val="16"/>
      <w:lang w:val="cs-CZ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uiPriority w:val="99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9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rFonts w:eastAsia="Calibri"/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eastAsia="Calibri" w:hAnsi="TimesNewRoman"/>
      <w:lang w:val="cs-CZ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eastAsia="sk-SK"/>
    </w:rPr>
  </w:style>
  <w:style w:type="paragraph" w:styleId="Bezriadkovania">
    <w:name w:val="No Spacing"/>
    <w:uiPriority w:val="1"/>
    <w:qFormat/>
    <w:rsid w:val="00C7327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customStyle="1" w:styleId="TextChar1">
    <w:name w:val="Text Char1"/>
    <w:link w:val="Text"/>
    <w:locked/>
    <w:rsid w:val="00134B9F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34B9F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97B4-09C6-4C43-B5F2-D18D57FB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7873</Words>
  <Characters>49913</Characters>
  <Application>Microsoft Office Word</Application>
  <DocSecurity>0</DocSecurity>
  <Lines>415</Lines>
  <Paragraphs>115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HP</Company>
  <LinksUpToDate>false</LinksUpToDate>
  <CharactersWithSpaces>57671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Regpharm</dc:creator>
  <cp:lastModifiedBy>Medvecká, Patrícia</cp:lastModifiedBy>
  <cp:revision>2</cp:revision>
  <dcterms:created xsi:type="dcterms:W3CDTF">2019-04-29T06:41:00Z</dcterms:created>
  <dcterms:modified xsi:type="dcterms:W3CDTF">2019-04-29T06:41:00Z</dcterms:modified>
</cp:coreProperties>
</file>