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5F9C" w14:textId="77777777" w:rsidR="00553C00" w:rsidRPr="00431EED" w:rsidRDefault="00553C00" w:rsidP="0071632D">
      <w:pPr>
        <w:tabs>
          <w:tab w:val="left" w:pos="567"/>
        </w:tabs>
        <w:jc w:val="center"/>
        <w:outlineLvl w:val="0"/>
        <w:rPr>
          <w:b/>
          <w:sz w:val="22"/>
          <w:szCs w:val="22"/>
        </w:rPr>
      </w:pPr>
      <w:bookmarkStart w:id="0" w:name="_GoBack"/>
      <w:bookmarkEnd w:id="0"/>
      <w:r w:rsidRPr="00431EED">
        <w:rPr>
          <w:b/>
          <w:sz w:val="22"/>
          <w:szCs w:val="22"/>
        </w:rPr>
        <w:t>SÚHRN CHARAKTERISTICKÝCH VLASTNOSTÍ LIEKU</w:t>
      </w:r>
    </w:p>
    <w:p w14:paraId="2BF5B1E6" w14:textId="77777777" w:rsidR="00553C00" w:rsidRPr="00431EED" w:rsidRDefault="00553C00" w:rsidP="0071632D">
      <w:pPr>
        <w:tabs>
          <w:tab w:val="left" w:pos="567"/>
        </w:tabs>
        <w:jc w:val="center"/>
        <w:rPr>
          <w:sz w:val="22"/>
          <w:szCs w:val="22"/>
        </w:rPr>
      </w:pPr>
    </w:p>
    <w:p w14:paraId="0BB69050" w14:textId="77777777" w:rsidR="00553C00" w:rsidRPr="00431EED" w:rsidRDefault="00553C00" w:rsidP="0071632D">
      <w:pPr>
        <w:tabs>
          <w:tab w:val="left" w:pos="567"/>
        </w:tabs>
        <w:rPr>
          <w:sz w:val="22"/>
          <w:szCs w:val="22"/>
        </w:rPr>
      </w:pPr>
    </w:p>
    <w:p w14:paraId="75CAF2AC" w14:textId="77777777" w:rsidR="00553C00" w:rsidRPr="00431EED" w:rsidRDefault="00553C00" w:rsidP="0071632D">
      <w:pPr>
        <w:tabs>
          <w:tab w:val="left" w:pos="567"/>
        </w:tabs>
        <w:rPr>
          <w:b/>
          <w:sz w:val="22"/>
          <w:szCs w:val="22"/>
        </w:rPr>
      </w:pPr>
      <w:r w:rsidRPr="00431EED">
        <w:rPr>
          <w:b/>
          <w:sz w:val="22"/>
          <w:szCs w:val="22"/>
        </w:rPr>
        <w:t>1.</w:t>
      </w:r>
      <w:r w:rsidRPr="00431EED">
        <w:rPr>
          <w:b/>
          <w:sz w:val="22"/>
          <w:szCs w:val="22"/>
        </w:rPr>
        <w:tab/>
        <w:t>NÁZOV LIEKU</w:t>
      </w:r>
    </w:p>
    <w:p w14:paraId="05CCB7BC" w14:textId="77777777" w:rsidR="00553C00" w:rsidRPr="00431EED" w:rsidRDefault="00553C00" w:rsidP="0071632D">
      <w:pPr>
        <w:tabs>
          <w:tab w:val="left" w:pos="567"/>
        </w:tabs>
        <w:rPr>
          <w:sz w:val="22"/>
          <w:szCs w:val="22"/>
        </w:rPr>
      </w:pPr>
    </w:p>
    <w:p w14:paraId="19B15588" w14:textId="79FD094B" w:rsidR="00553C00" w:rsidRDefault="009C39A1" w:rsidP="0071632D">
      <w:pPr>
        <w:tabs>
          <w:tab w:val="left" w:pos="567"/>
        </w:tabs>
        <w:rPr>
          <w:sz w:val="22"/>
          <w:szCs w:val="22"/>
        </w:rPr>
      </w:pPr>
      <w:r>
        <w:rPr>
          <w:sz w:val="22"/>
          <w:szCs w:val="22"/>
        </w:rPr>
        <w:t>Uli</w:t>
      </w:r>
      <w:r w:rsidR="00586F0E">
        <w:rPr>
          <w:sz w:val="22"/>
          <w:szCs w:val="22"/>
        </w:rPr>
        <w:t>myo</w:t>
      </w:r>
      <w:r w:rsidR="00186EA0">
        <w:rPr>
          <w:sz w:val="22"/>
          <w:szCs w:val="22"/>
        </w:rPr>
        <w:t xml:space="preserve"> 5 </w:t>
      </w:r>
      <w:r w:rsidR="00D67BF9" w:rsidRPr="00431EED">
        <w:rPr>
          <w:sz w:val="22"/>
          <w:szCs w:val="22"/>
        </w:rPr>
        <w:t>mg</w:t>
      </w:r>
      <w:r w:rsidR="00446898">
        <w:rPr>
          <w:sz w:val="22"/>
          <w:szCs w:val="22"/>
        </w:rPr>
        <w:t xml:space="preserve"> </w:t>
      </w:r>
      <w:r w:rsidR="00186EA0">
        <w:rPr>
          <w:sz w:val="22"/>
          <w:szCs w:val="22"/>
        </w:rPr>
        <w:t>tablety</w:t>
      </w:r>
    </w:p>
    <w:p w14:paraId="179B9FEA" w14:textId="77777777" w:rsidR="00186EA0" w:rsidRDefault="00186EA0" w:rsidP="0071632D">
      <w:pPr>
        <w:tabs>
          <w:tab w:val="left" w:pos="567"/>
        </w:tabs>
        <w:rPr>
          <w:sz w:val="22"/>
          <w:szCs w:val="22"/>
        </w:rPr>
      </w:pPr>
    </w:p>
    <w:p w14:paraId="432AF8A8" w14:textId="77777777" w:rsidR="0022140E" w:rsidRDefault="0022140E" w:rsidP="0071632D">
      <w:pPr>
        <w:tabs>
          <w:tab w:val="left" w:pos="567"/>
        </w:tabs>
        <w:rPr>
          <w:sz w:val="22"/>
          <w:szCs w:val="22"/>
        </w:rPr>
      </w:pPr>
    </w:p>
    <w:p w14:paraId="11D41ADD" w14:textId="77777777" w:rsidR="00553C00" w:rsidRPr="00431EED" w:rsidRDefault="00553C00" w:rsidP="0071632D">
      <w:pPr>
        <w:tabs>
          <w:tab w:val="left" w:pos="567"/>
        </w:tabs>
        <w:rPr>
          <w:b/>
          <w:sz w:val="22"/>
          <w:szCs w:val="22"/>
        </w:rPr>
      </w:pPr>
      <w:r w:rsidRPr="00431EED">
        <w:rPr>
          <w:b/>
          <w:sz w:val="22"/>
          <w:szCs w:val="22"/>
        </w:rPr>
        <w:t>2.</w:t>
      </w:r>
      <w:r w:rsidRPr="00431EED">
        <w:rPr>
          <w:b/>
          <w:sz w:val="22"/>
          <w:szCs w:val="22"/>
        </w:rPr>
        <w:tab/>
        <w:t xml:space="preserve">KVALITATÍVNE A KVANTITATÍVNE ZLOŽENIE </w:t>
      </w:r>
    </w:p>
    <w:p w14:paraId="11173AC6" w14:textId="77777777" w:rsidR="00553C00" w:rsidRPr="00431EED" w:rsidRDefault="00553C00" w:rsidP="0071632D">
      <w:pPr>
        <w:tabs>
          <w:tab w:val="left" w:pos="567"/>
        </w:tabs>
        <w:rPr>
          <w:sz w:val="22"/>
          <w:szCs w:val="22"/>
        </w:rPr>
      </w:pPr>
    </w:p>
    <w:p w14:paraId="0FC3DE39" w14:textId="1355D382" w:rsidR="00186EA0" w:rsidRDefault="00186EA0" w:rsidP="00186EA0">
      <w:pPr>
        <w:overflowPunct/>
        <w:textAlignment w:val="auto"/>
        <w:rPr>
          <w:color w:val="000000"/>
          <w:sz w:val="22"/>
          <w:szCs w:val="22"/>
        </w:rPr>
      </w:pPr>
      <w:r w:rsidRPr="00186EA0">
        <w:rPr>
          <w:color w:val="000000"/>
          <w:sz w:val="22"/>
          <w:szCs w:val="22"/>
        </w:rPr>
        <w:t xml:space="preserve">Každá tableta obsahuje 5 mg ulipristalacetátu. </w:t>
      </w:r>
    </w:p>
    <w:p w14:paraId="5E9FDC4B" w14:textId="43D899F6" w:rsidR="00186EA0" w:rsidRDefault="00186EA0" w:rsidP="00186EA0">
      <w:pPr>
        <w:overflowPunct/>
        <w:textAlignment w:val="auto"/>
        <w:rPr>
          <w:color w:val="000000"/>
          <w:sz w:val="22"/>
          <w:szCs w:val="22"/>
        </w:rPr>
      </w:pPr>
    </w:p>
    <w:p w14:paraId="67973B1F" w14:textId="2656D77B" w:rsidR="00186EA0" w:rsidRPr="00186EA0" w:rsidRDefault="00186EA0" w:rsidP="00186EA0">
      <w:pPr>
        <w:overflowPunct/>
        <w:textAlignment w:val="auto"/>
        <w:rPr>
          <w:color w:val="000000"/>
          <w:sz w:val="22"/>
          <w:szCs w:val="22"/>
        </w:rPr>
      </w:pPr>
      <w:r w:rsidRPr="000F0A9A">
        <w:rPr>
          <w:sz w:val="22"/>
          <w:szCs w:val="22"/>
          <w:u w:val="single"/>
        </w:rPr>
        <w:t>Pomocn</w:t>
      </w:r>
      <w:r>
        <w:rPr>
          <w:sz w:val="22"/>
          <w:szCs w:val="22"/>
          <w:u w:val="single"/>
        </w:rPr>
        <w:t>á</w:t>
      </w:r>
      <w:r w:rsidRPr="000F0A9A">
        <w:rPr>
          <w:sz w:val="22"/>
          <w:szCs w:val="22"/>
          <w:u w:val="single"/>
        </w:rPr>
        <w:t xml:space="preserve"> látk</w:t>
      </w:r>
      <w:r>
        <w:rPr>
          <w:sz w:val="22"/>
          <w:szCs w:val="22"/>
          <w:u w:val="single"/>
        </w:rPr>
        <w:t>a</w:t>
      </w:r>
      <w:r w:rsidRPr="000F0A9A">
        <w:rPr>
          <w:sz w:val="22"/>
          <w:szCs w:val="22"/>
          <w:u w:val="single"/>
        </w:rPr>
        <w:t xml:space="preserve"> so známym účinkom</w:t>
      </w:r>
    </w:p>
    <w:p w14:paraId="7711219D" w14:textId="7CA413B6" w:rsidR="00553C00" w:rsidRPr="00431EED" w:rsidRDefault="00F656C6" w:rsidP="0071632D">
      <w:pPr>
        <w:tabs>
          <w:tab w:val="left" w:pos="567"/>
        </w:tabs>
        <w:rPr>
          <w:sz w:val="22"/>
          <w:szCs w:val="22"/>
        </w:rPr>
      </w:pPr>
      <w:r w:rsidRPr="00431EED">
        <w:rPr>
          <w:sz w:val="22"/>
          <w:szCs w:val="22"/>
        </w:rPr>
        <w:t xml:space="preserve">Každá tableta obsahuje </w:t>
      </w:r>
      <w:r w:rsidR="00186EA0">
        <w:rPr>
          <w:bCs/>
          <w:sz w:val="22"/>
          <w:szCs w:val="22"/>
        </w:rPr>
        <w:t>118</w:t>
      </w:r>
      <w:r w:rsidR="0022140E">
        <w:rPr>
          <w:bCs/>
          <w:sz w:val="22"/>
          <w:szCs w:val="22"/>
        </w:rPr>
        <w:t> </w:t>
      </w:r>
      <w:r w:rsidR="00C1739F" w:rsidRPr="00431EED">
        <w:rPr>
          <w:bCs/>
          <w:sz w:val="22"/>
          <w:szCs w:val="22"/>
        </w:rPr>
        <w:t xml:space="preserve">mg </w:t>
      </w:r>
      <w:r w:rsidR="00186EA0">
        <w:rPr>
          <w:sz w:val="22"/>
          <w:szCs w:val="22"/>
        </w:rPr>
        <w:t xml:space="preserve">monohydrátu </w:t>
      </w:r>
      <w:r w:rsidR="00BD2EE9" w:rsidRPr="00431EED">
        <w:rPr>
          <w:sz w:val="22"/>
          <w:szCs w:val="22"/>
        </w:rPr>
        <w:t>laktózy.</w:t>
      </w:r>
    </w:p>
    <w:p w14:paraId="24BC03E8" w14:textId="77777777" w:rsidR="00446898" w:rsidRDefault="00446898" w:rsidP="0071632D">
      <w:pPr>
        <w:tabs>
          <w:tab w:val="left" w:pos="567"/>
        </w:tabs>
        <w:rPr>
          <w:b/>
          <w:sz w:val="22"/>
          <w:szCs w:val="22"/>
        </w:rPr>
      </w:pPr>
    </w:p>
    <w:p w14:paraId="49D3191B" w14:textId="77777777" w:rsidR="00C73516" w:rsidRPr="00431EED" w:rsidRDefault="00FB4D08" w:rsidP="0071632D">
      <w:pPr>
        <w:tabs>
          <w:tab w:val="left" w:pos="567"/>
        </w:tabs>
        <w:rPr>
          <w:sz w:val="22"/>
          <w:szCs w:val="22"/>
        </w:rPr>
      </w:pPr>
      <w:r w:rsidRPr="00431EED">
        <w:rPr>
          <w:sz w:val="22"/>
          <w:szCs w:val="22"/>
        </w:rPr>
        <w:t>Úplný</w:t>
      </w:r>
      <w:r w:rsidRPr="00431EED" w:rsidDel="00FB4D08">
        <w:rPr>
          <w:sz w:val="22"/>
          <w:szCs w:val="22"/>
        </w:rPr>
        <w:t xml:space="preserve"> </w:t>
      </w:r>
      <w:r w:rsidR="0017426D" w:rsidRPr="00431EED">
        <w:rPr>
          <w:sz w:val="22"/>
          <w:szCs w:val="22"/>
        </w:rPr>
        <w:t>zoznam p</w:t>
      </w:r>
      <w:r w:rsidR="00C73516" w:rsidRPr="00431EED">
        <w:rPr>
          <w:sz w:val="22"/>
          <w:szCs w:val="22"/>
        </w:rPr>
        <w:t>omocn</w:t>
      </w:r>
      <w:r w:rsidR="0017426D" w:rsidRPr="00431EED">
        <w:rPr>
          <w:sz w:val="22"/>
          <w:szCs w:val="22"/>
        </w:rPr>
        <w:t>ých</w:t>
      </w:r>
      <w:r w:rsidR="00C73516" w:rsidRPr="00431EED">
        <w:rPr>
          <w:sz w:val="22"/>
          <w:szCs w:val="22"/>
        </w:rPr>
        <w:t xml:space="preserve"> lát</w:t>
      </w:r>
      <w:r w:rsidR="0017426D" w:rsidRPr="00431EED">
        <w:rPr>
          <w:sz w:val="22"/>
          <w:szCs w:val="22"/>
        </w:rPr>
        <w:t>o</w:t>
      </w:r>
      <w:r w:rsidR="00C73516" w:rsidRPr="00431EED">
        <w:rPr>
          <w:sz w:val="22"/>
          <w:szCs w:val="22"/>
        </w:rPr>
        <w:t>k</w:t>
      </w:r>
      <w:r w:rsidR="0017426D" w:rsidRPr="00431EED">
        <w:rPr>
          <w:sz w:val="22"/>
          <w:szCs w:val="22"/>
        </w:rPr>
        <w:t>,</w:t>
      </w:r>
      <w:r w:rsidR="00C73516" w:rsidRPr="00431EED">
        <w:rPr>
          <w:sz w:val="22"/>
          <w:szCs w:val="22"/>
        </w:rPr>
        <w:t xml:space="preserve"> pozri časť 6.1</w:t>
      </w:r>
    </w:p>
    <w:p w14:paraId="4276F122" w14:textId="77777777" w:rsidR="00553C00" w:rsidRPr="00431EED" w:rsidRDefault="00553C00" w:rsidP="0071632D">
      <w:pPr>
        <w:tabs>
          <w:tab w:val="left" w:pos="567"/>
        </w:tabs>
        <w:rPr>
          <w:sz w:val="22"/>
          <w:szCs w:val="22"/>
        </w:rPr>
      </w:pPr>
    </w:p>
    <w:p w14:paraId="680D7466" w14:textId="77777777" w:rsidR="00D67BF9" w:rsidRPr="00431EED" w:rsidRDefault="00D67BF9" w:rsidP="0071632D">
      <w:pPr>
        <w:tabs>
          <w:tab w:val="left" w:pos="567"/>
        </w:tabs>
        <w:rPr>
          <w:sz w:val="22"/>
          <w:szCs w:val="22"/>
        </w:rPr>
      </w:pPr>
    </w:p>
    <w:p w14:paraId="67375F18" w14:textId="77777777" w:rsidR="00553C00" w:rsidRPr="00431EED" w:rsidRDefault="00553C00" w:rsidP="0071632D">
      <w:pPr>
        <w:tabs>
          <w:tab w:val="left" w:pos="567"/>
        </w:tabs>
        <w:rPr>
          <w:b/>
          <w:sz w:val="22"/>
          <w:szCs w:val="22"/>
        </w:rPr>
      </w:pPr>
      <w:r w:rsidRPr="00431EED">
        <w:rPr>
          <w:b/>
          <w:sz w:val="22"/>
          <w:szCs w:val="22"/>
        </w:rPr>
        <w:t>3.</w:t>
      </w:r>
      <w:r w:rsidRPr="00431EED">
        <w:rPr>
          <w:b/>
          <w:sz w:val="22"/>
          <w:szCs w:val="22"/>
        </w:rPr>
        <w:tab/>
        <w:t>LIEKOVÁ FORMA</w:t>
      </w:r>
    </w:p>
    <w:p w14:paraId="52480717" w14:textId="77777777" w:rsidR="00AA5693" w:rsidRPr="00431EED" w:rsidRDefault="00AA5693" w:rsidP="0071632D">
      <w:pPr>
        <w:tabs>
          <w:tab w:val="left" w:pos="567"/>
        </w:tabs>
        <w:rPr>
          <w:sz w:val="22"/>
          <w:szCs w:val="22"/>
        </w:rPr>
      </w:pPr>
    </w:p>
    <w:p w14:paraId="3AB4A810" w14:textId="149AD133" w:rsidR="00186EA0" w:rsidRDefault="00186EA0" w:rsidP="00186EA0">
      <w:pPr>
        <w:overflowPunct/>
        <w:textAlignment w:val="auto"/>
        <w:rPr>
          <w:color w:val="000000"/>
          <w:sz w:val="22"/>
          <w:szCs w:val="22"/>
        </w:rPr>
      </w:pPr>
      <w:r w:rsidRPr="00186EA0">
        <w:rPr>
          <w:color w:val="000000"/>
          <w:sz w:val="22"/>
          <w:szCs w:val="22"/>
        </w:rPr>
        <w:t xml:space="preserve">Tableta. </w:t>
      </w:r>
    </w:p>
    <w:p w14:paraId="12584A67" w14:textId="77777777" w:rsidR="00186EA0" w:rsidRPr="00186EA0" w:rsidRDefault="00186EA0" w:rsidP="00186EA0">
      <w:pPr>
        <w:overflowPunct/>
        <w:textAlignment w:val="auto"/>
        <w:rPr>
          <w:color w:val="000000"/>
          <w:sz w:val="22"/>
          <w:szCs w:val="22"/>
        </w:rPr>
      </w:pPr>
    </w:p>
    <w:p w14:paraId="45FA7680" w14:textId="0AC99F76" w:rsidR="00F656C6" w:rsidRPr="00431EED" w:rsidRDefault="00186EA0" w:rsidP="00186EA0">
      <w:pPr>
        <w:tabs>
          <w:tab w:val="left" w:pos="567"/>
        </w:tabs>
        <w:rPr>
          <w:sz w:val="22"/>
          <w:szCs w:val="22"/>
        </w:rPr>
      </w:pPr>
      <w:r w:rsidRPr="00186EA0">
        <w:rPr>
          <w:color w:val="000000"/>
          <w:sz w:val="22"/>
          <w:szCs w:val="22"/>
        </w:rPr>
        <w:t xml:space="preserve">Biela až </w:t>
      </w:r>
      <w:r>
        <w:rPr>
          <w:color w:val="000000"/>
          <w:sz w:val="22"/>
          <w:szCs w:val="22"/>
        </w:rPr>
        <w:t>takmer biela</w:t>
      </w:r>
      <w:r w:rsidRPr="00186EA0">
        <w:rPr>
          <w:color w:val="000000"/>
          <w:sz w:val="22"/>
          <w:szCs w:val="22"/>
        </w:rPr>
        <w:t xml:space="preserve"> okrúhla bikonvexná tableta s </w:t>
      </w:r>
      <w:r>
        <w:rPr>
          <w:color w:val="000000"/>
          <w:sz w:val="22"/>
          <w:szCs w:val="22"/>
        </w:rPr>
        <w:t>hrúbkou</w:t>
      </w:r>
      <w:r w:rsidRPr="00186EA0">
        <w:rPr>
          <w:color w:val="000000"/>
          <w:sz w:val="22"/>
          <w:szCs w:val="22"/>
        </w:rPr>
        <w:t xml:space="preserve"> 7 mm a vyryt</w:t>
      </w:r>
      <w:r>
        <w:rPr>
          <w:color w:val="000000"/>
          <w:sz w:val="22"/>
          <w:szCs w:val="22"/>
        </w:rPr>
        <w:t>ím</w:t>
      </w:r>
      <w:r w:rsidRPr="00186EA0">
        <w:rPr>
          <w:color w:val="000000"/>
          <w:sz w:val="22"/>
          <w:szCs w:val="22"/>
        </w:rPr>
        <w:t xml:space="preserve"> „</w:t>
      </w:r>
      <w:r>
        <w:rPr>
          <w:color w:val="000000"/>
          <w:sz w:val="22"/>
          <w:szCs w:val="22"/>
        </w:rPr>
        <w:t>149</w:t>
      </w:r>
      <w:r w:rsidRPr="00186EA0">
        <w:rPr>
          <w:color w:val="000000"/>
          <w:sz w:val="22"/>
          <w:szCs w:val="22"/>
        </w:rPr>
        <w:t>“ na jednej strane</w:t>
      </w:r>
      <w:r>
        <w:rPr>
          <w:color w:val="000000"/>
          <w:sz w:val="22"/>
          <w:szCs w:val="22"/>
        </w:rPr>
        <w:t xml:space="preserve"> a „LP“ na druhej strane</w:t>
      </w:r>
      <w:r w:rsidRPr="00186EA0">
        <w:rPr>
          <w:color w:val="000000"/>
          <w:sz w:val="22"/>
          <w:szCs w:val="22"/>
        </w:rPr>
        <w:t>.</w:t>
      </w:r>
    </w:p>
    <w:p w14:paraId="34A0D75B" w14:textId="77777777" w:rsidR="00F656C6" w:rsidRDefault="00F656C6" w:rsidP="0071632D">
      <w:pPr>
        <w:tabs>
          <w:tab w:val="left" w:pos="567"/>
        </w:tabs>
        <w:rPr>
          <w:sz w:val="22"/>
          <w:szCs w:val="22"/>
        </w:rPr>
      </w:pPr>
    </w:p>
    <w:p w14:paraId="3D1E4F6B" w14:textId="77777777" w:rsidR="00244280" w:rsidRPr="00431EED" w:rsidRDefault="00244280" w:rsidP="0071632D">
      <w:pPr>
        <w:tabs>
          <w:tab w:val="left" w:pos="567"/>
        </w:tabs>
        <w:rPr>
          <w:sz w:val="22"/>
          <w:szCs w:val="22"/>
        </w:rPr>
      </w:pPr>
    </w:p>
    <w:p w14:paraId="19728325" w14:textId="77777777" w:rsidR="00553C00" w:rsidRPr="00431EED" w:rsidRDefault="00A85DA6" w:rsidP="0071632D">
      <w:pPr>
        <w:numPr>
          <w:ilvl w:val="0"/>
          <w:numId w:val="1"/>
        </w:numPr>
        <w:tabs>
          <w:tab w:val="left" w:pos="567"/>
        </w:tabs>
        <w:ind w:left="0" w:firstLine="0"/>
        <w:rPr>
          <w:b/>
          <w:sz w:val="22"/>
          <w:szCs w:val="22"/>
        </w:rPr>
      </w:pPr>
      <w:r w:rsidRPr="00431EED">
        <w:rPr>
          <w:b/>
          <w:sz w:val="22"/>
          <w:szCs w:val="22"/>
        </w:rPr>
        <w:tab/>
        <w:t>KLINICKÉ ÚDAJE</w:t>
      </w:r>
    </w:p>
    <w:p w14:paraId="591DE80C" w14:textId="77777777" w:rsidR="00553C00" w:rsidRPr="00431EED" w:rsidRDefault="00553C00" w:rsidP="0071632D">
      <w:pPr>
        <w:numPr>
          <w:ilvl w:val="12"/>
          <w:numId w:val="0"/>
        </w:numPr>
        <w:tabs>
          <w:tab w:val="left" w:pos="567"/>
        </w:tabs>
        <w:rPr>
          <w:sz w:val="22"/>
          <w:szCs w:val="22"/>
        </w:rPr>
      </w:pPr>
    </w:p>
    <w:p w14:paraId="6B5C0ABE" w14:textId="77777777" w:rsidR="00553C00" w:rsidRPr="00431EED" w:rsidRDefault="00A85DA6" w:rsidP="0071632D">
      <w:pPr>
        <w:tabs>
          <w:tab w:val="left" w:pos="567"/>
        </w:tabs>
        <w:rPr>
          <w:b/>
          <w:sz w:val="22"/>
          <w:szCs w:val="22"/>
        </w:rPr>
      </w:pPr>
      <w:r w:rsidRPr="00431EED">
        <w:rPr>
          <w:b/>
          <w:sz w:val="22"/>
          <w:szCs w:val="22"/>
        </w:rPr>
        <w:t>4.1</w:t>
      </w:r>
      <w:r w:rsidRPr="00431EED">
        <w:rPr>
          <w:b/>
          <w:sz w:val="22"/>
          <w:szCs w:val="22"/>
        </w:rPr>
        <w:tab/>
        <w:t>Terapeutické indikácie</w:t>
      </w:r>
    </w:p>
    <w:p w14:paraId="45151AED" w14:textId="77777777" w:rsidR="00AA5693" w:rsidRPr="00431EED" w:rsidRDefault="00AA5693" w:rsidP="0071632D">
      <w:pPr>
        <w:tabs>
          <w:tab w:val="left" w:pos="567"/>
        </w:tabs>
        <w:rPr>
          <w:sz w:val="22"/>
          <w:szCs w:val="22"/>
        </w:rPr>
      </w:pPr>
    </w:p>
    <w:p w14:paraId="501658D4" w14:textId="449A89FD" w:rsidR="00FA3010" w:rsidRDefault="00FA3010" w:rsidP="00FA3010">
      <w:pPr>
        <w:overflowPunct/>
        <w:textAlignment w:val="auto"/>
        <w:rPr>
          <w:color w:val="000000"/>
          <w:sz w:val="22"/>
          <w:szCs w:val="22"/>
        </w:rPr>
      </w:pPr>
      <w:r w:rsidRPr="00FA3010">
        <w:rPr>
          <w:color w:val="000000"/>
          <w:sz w:val="22"/>
          <w:szCs w:val="22"/>
        </w:rPr>
        <w:t xml:space="preserve">Ulipristalacetát je určený na jeden cyklus predoperačnej liečby stredne závažných až závažných symptómov </w:t>
      </w:r>
      <w:r w:rsidRPr="00D633F2">
        <w:rPr>
          <w:color w:val="000000"/>
          <w:sz w:val="22"/>
          <w:szCs w:val="22"/>
        </w:rPr>
        <w:t>myómov</w:t>
      </w:r>
      <w:r w:rsidR="003A3516">
        <w:rPr>
          <w:color w:val="000000"/>
          <w:sz w:val="22"/>
          <w:szCs w:val="22"/>
        </w:rPr>
        <w:t xml:space="preserve"> (fibroidov)</w:t>
      </w:r>
      <w:r w:rsidRPr="00FA3010">
        <w:rPr>
          <w:color w:val="000000"/>
          <w:sz w:val="22"/>
          <w:szCs w:val="22"/>
        </w:rPr>
        <w:t xml:space="preserve"> maternice u dospelých žien v reprodukčnom veku. </w:t>
      </w:r>
    </w:p>
    <w:p w14:paraId="2E3C14E5" w14:textId="77777777" w:rsidR="00184800" w:rsidRPr="00FA3010" w:rsidRDefault="00184800" w:rsidP="00FA3010">
      <w:pPr>
        <w:overflowPunct/>
        <w:textAlignment w:val="auto"/>
        <w:rPr>
          <w:color w:val="000000"/>
          <w:sz w:val="22"/>
          <w:szCs w:val="22"/>
        </w:rPr>
      </w:pPr>
    </w:p>
    <w:p w14:paraId="61AFF7B8" w14:textId="77AC8F0A" w:rsidR="00553C00" w:rsidRDefault="00FA3010" w:rsidP="00FA3010">
      <w:pPr>
        <w:tabs>
          <w:tab w:val="left" w:pos="567"/>
        </w:tabs>
        <w:rPr>
          <w:color w:val="000000"/>
          <w:sz w:val="22"/>
          <w:szCs w:val="22"/>
        </w:rPr>
      </w:pPr>
      <w:r w:rsidRPr="00FA3010">
        <w:rPr>
          <w:color w:val="000000"/>
          <w:sz w:val="22"/>
          <w:szCs w:val="22"/>
        </w:rPr>
        <w:t xml:space="preserve">Ulipristalacetát je určený na intermitentnú liečbu stredne závažných až závažných symptómov myómov </w:t>
      </w:r>
      <w:r w:rsidR="003A3516">
        <w:rPr>
          <w:color w:val="000000"/>
          <w:sz w:val="22"/>
          <w:szCs w:val="22"/>
        </w:rPr>
        <w:t xml:space="preserve">(fibroidov) </w:t>
      </w:r>
      <w:r w:rsidRPr="00FA3010">
        <w:rPr>
          <w:color w:val="000000"/>
          <w:sz w:val="22"/>
          <w:szCs w:val="22"/>
        </w:rPr>
        <w:t xml:space="preserve">maternice u dospelých žien v reprodukčnom veku, u ktorých </w:t>
      </w:r>
      <w:r w:rsidRPr="00D633F2">
        <w:rPr>
          <w:color w:val="000000"/>
          <w:sz w:val="22"/>
          <w:szCs w:val="22"/>
        </w:rPr>
        <w:t>nie je vhodnejší chirurgický zákrok</w:t>
      </w:r>
      <w:r w:rsidRPr="00FA3010">
        <w:rPr>
          <w:color w:val="000000"/>
          <w:sz w:val="22"/>
          <w:szCs w:val="22"/>
        </w:rPr>
        <w:t>.</w:t>
      </w:r>
    </w:p>
    <w:p w14:paraId="0C017FEE" w14:textId="77777777" w:rsidR="00184800" w:rsidRPr="00431EED" w:rsidRDefault="00184800" w:rsidP="00FA3010">
      <w:pPr>
        <w:tabs>
          <w:tab w:val="left" w:pos="567"/>
        </w:tabs>
        <w:rPr>
          <w:sz w:val="22"/>
          <w:szCs w:val="22"/>
        </w:rPr>
      </w:pPr>
    </w:p>
    <w:p w14:paraId="36BF3CD0" w14:textId="77777777" w:rsidR="00553C00" w:rsidRPr="00431EED" w:rsidRDefault="00A85DA6" w:rsidP="0071632D">
      <w:pPr>
        <w:tabs>
          <w:tab w:val="left" w:pos="567"/>
        </w:tabs>
        <w:rPr>
          <w:b/>
          <w:sz w:val="22"/>
          <w:szCs w:val="22"/>
        </w:rPr>
      </w:pPr>
      <w:r w:rsidRPr="00431EED">
        <w:rPr>
          <w:b/>
          <w:sz w:val="22"/>
          <w:szCs w:val="22"/>
        </w:rPr>
        <w:t>4.2</w:t>
      </w:r>
      <w:r w:rsidRPr="00431EED">
        <w:rPr>
          <w:b/>
          <w:sz w:val="22"/>
          <w:szCs w:val="22"/>
        </w:rPr>
        <w:tab/>
        <w:t>Dávkovanie a spôsob podávania</w:t>
      </w:r>
    </w:p>
    <w:p w14:paraId="618CD1C6" w14:textId="77777777" w:rsidR="0017426D" w:rsidRPr="00431EED" w:rsidRDefault="0017426D" w:rsidP="0071632D">
      <w:pPr>
        <w:tabs>
          <w:tab w:val="left" w:pos="567"/>
        </w:tabs>
        <w:rPr>
          <w:b/>
          <w:sz w:val="22"/>
          <w:szCs w:val="22"/>
        </w:rPr>
      </w:pPr>
    </w:p>
    <w:p w14:paraId="0AE65DCD" w14:textId="1D0B1496" w:rsidR="00184800" w:rsidRDefault="00184800" w:rsidP="00184800">
      <w:pPr>
        <w:overflowPunct/>
        <w:textAlignment w:val="auto"/>
        <w:rPr>
          <w:color w:val="000000"/>
          <w:sz w:val="22"/>
          <w:szCs w:val="22"/>
        </w:rPr>
      </w:pPr>
      <w:r w:rsidRPr="00184800">
        <w:rPr>
          <w:color w:val="000000"/>
          <w:sz w:val="22"/>
          <w:szCs w:val="22"/>
        </w:rPr>
        <w:t xml:space="preserve">Liečbu </w:t>
      </w:r>
      <w:r w:rsidR="00C5127D">
        <w:rPr>
          <w:color w:val="000000"/>
          <w:sz w:val="22"/>
          <w:szCs w:val="22"/>
        </w:rPr>
        <w:t>Uli</w:t>
      </w:r>
      <w:r w:rsidR="001D60F7">
        <w:rPr>
          <w:color w:val="000000"/>
          <w:sz w:val="22"/>
          <w:szCs w:val="22"/>
        </w:rPr>
        <w:t>myom</w:t>
      </w:r>
      <w:r w:rsidRPr="00184800">
        <w:rPr>
          <w:color w:val="000000"/>
          <w:sz w:val="22"/>
          <w:szCs w:val="22"/>
        </w:rPr>
        <w:t xml:space="preserve"> musia začať a viesť lekári so skúsenosťami s diagnostikou a liečbou myómov maternice. </w:t>
      </w:r>
    </w:p>
    <w:p w14:paraId="54394014" w14:textId="77777777" w:rsidR="00184800" w:rsidRPr="00184800" w:rsidRDefault="00184800" w:rsidP="00184800">
      <w:pPr>
        <w:overflowPunct/>
        <w:textAlignment w:val="auto"/>
        <w:rPr>
          <w:color w:val="000000"/>
          <w:sz w:val="22"/>
          <w:szCs w:val="22"/>
        </w:rPr>
      </w:pPr>
    </w:p>
    <w:p w14:paraId="42A94B21" w14:textId="77777777" w:rsidR="00184800" w:rsidRPr="00184800" w:rsidRDefault="00184800" w:rsidP="00184800">
      <w:pPr>
        <w:overflowPunct/>
        <w:textAlignment w:val="auto"/>
        <w:rPr>
          <w:color w:val="000000"/>
          <w:sz w:val="22"/>
          <w:szCs w:val="22"/>
          <w:u w:val="single"/>
        </w:rPr>
      </w:pPr>
      <w:r w:rsidRPr="00184800">
        <w:rPr>
          <w:color w:val="000000"/>
          <w:sz w:val="22"/>
          <w:szCs w:val="22"/>
          <w:u w:val="single"/>
        </w:rPr>
        <w:t xml:space="preserve">Dávkovanie </w:t>
      </w:r>
    </w:p>
    <w:p w14:paraId="73B3F9AA" w14:textId="79D144FE" w:rsidR="00184800" w:rsidRPr="00184800" w:rsidRDefault="00184800" w:rsidP="00184800">
      <w:pPr>
        <w:overflowPunct/>
        <w:textAlignment w:val="auto"/>
        <w:rPr>
          <w:color w:val="000000"/>
          <w:sz w:val="22"/>
          <w:szCs w:val="22"/>
        </w:rPr>
      </w:pPr>
      <w:r w:rsidRPr="00184800">
        <w:rPr>
          <w:color w:val="000000"/>
          <w:sz w:val="22"/>
          <w:szCs w:val="22"/>
        </w:rPr>
        <w:t>Liečba</w:t>
      </w:r>
      <w:r w:rsidR="00442571">
        <w:rPr>
          <w:color w:val="000000"/>
          <w:sz w:val="22"/>
          <w:szCs w:val="22"/>
        </w:rPr>
        <w:t xml:space="preserve"> prebieha v cykloch</w:t>
      </w:r>
      <w:r w:rsidRPr="00184800">
        <w:rPr>
          <w:color w:val="000000"/>
          <w:sz w:val="22"/>
          <w:szCs w:val="22"/>
        </w:rPr>
        <w:t>.</w:t>
      </w:r>
      <w:r w:rsidR="00442571">
        <w:rPr>
          <w:color w:val="000000"/>
          <w:sz w:val="22"/>
          <w:szCs w:val="22"/>
        </w:rPr>
        <w:t xml:space="preserve"> V každom cykle, ktorý trvá najviac 3 mesiace, sa užíva jedna 5 mg tableta denne.</w:t>
      </w:r>
      <w:r w:rsidRPr="00184800">
        <w:rPr>
          <w:color w:val="000000"/>
          <w:sz w:val="22"/>
          <w:szCs w:val="22"/>
        </w:rPr>
        <w:t xml:space="preserve"> Tablety sa môžu užívať s jedlom alebo bez jedla. </w:t>
      </w:r>
    </w:p>
    <w:p w14:paraId="5A7DF64D" w14:textId="77777777" w:rsidR="00184800" w:rsidRPr="00184800" w:rsidRDefault="00184800" w:rsidP="00184800">
      <w:pPr>
        <w:overflowPunct/>
        <w:textAlignment w:val="auto"/>
        <w:rPr>
          <w:color w:val="000000"/>
          <w:sz w:val="22"/>
          <w:szCs w:val="22"/>
        </w:rPr>
      </w:pPr>
      <w:r w:rsidRPr="00184800">
        <w:rPr>
          <w:color w:val="000000"/>
          <w:sz w:val="22"/>
          <w:szCs w:val="22"/>
        </w:rPr>
        <w:t xml:space="preserve">Liečba sa má začať, len keď dôjde k menštruácii: </w:t>
      </w:r>
    </w:p>
    <w:p w14:paraId="2D5ED871" w14:textId="77777777" w:rsidR="00184800" w:rsidRPr="00184800" w:rsidRDefault="00184800" w:rsidP="00184800">
      <w:pPr>
        <w:overflowPunct/>
        <w:spacing w:after="23"/>
        <w:textAlignment w:val="auto"/>
        <w:rPr>
          <w:color w:val="000000"/>
          <w:sz w:val="22"/>
          <w:szCs w:val="22"/>
        </w:rPr>
      </w:pPr>
      <w:r w:rsidRPr="00184800">
        <w:rPr>
          <w:color w:val="000000"/>
          <w:sz w:val="22"/>
          <w:szCs w:val="22"/>
        </w:rPr>
        <w:t xml:space="preserve">- Prvý liečebný cyklus má začať v prvý týždeň menštruácie. </w:t>
      </w:r>
    </w:p>
    <w:p w14:paraId="2AA2332E" w14:textId="77777777" w:rsidR="00184800" w:rsidRPr="00184800" w:rsidRDefault="00184800" w:rsidP="00184800">
      <w:pPr>
        <w:overflowPunct/>
        <w:textAlignment w:val="auto"/>
        <w:rPr>
          <w:color w:val="000000"/>
          <w:sz w:val="22"/>
          <w:szCs w:val="22"/>
        </w:rPr>
      </w:pPr>
      <w:r w:rsidRPr="00184800">
        <w:rPr>
          <w:color w:val="000000"/>
          <w:sz w:val="22"/>
          <w:szCs w:val="22"/>
        </w:rPr>
        <w:t xml:space="preserve">- Opakované liečebné cykly majú začať najskôr počas prvého týždňa druhej menštruácie po dokončení predchádzajúceho liečebného cyklu. </w:t>
      </w:r>
    </w:p>
    <w:p w14:paraId="2B92342B" w14:textId="77777777" w:rsidR="00184800" w:rsidRPr="00184800" w:rsidRDefault="00184800" w:rsidP="00184800">
      <w:pPr>
        <w:overflowPunct/>
        <w:textAlignment w:val="auto"/>
        <w:rPr>
          <w:color w:val="000000"/>
          <w:sz w:val="22"/>
          <w:szCs w:val="22"/>
        </w:rPr>
      </w:pPr>
    </w:p>
    <w:p w14:paraId="22E821E6" w14:textId="77777777" w:rsidR="00184800" w:rsidRPr="00184800" w:rsidRDefault="00184800" w:rsidP="00184800">
      <w:pPr>
        <w:overflowPunct/>
        <w:textAlignment w:val="auto"/>
        <w:rPr>
          <w:color w:val="000000"/>
          <w:sz w:val="22"/>
          <w:szCs w:val="22"/>
        </w:rPr>
      </w:pPr>
      <w:r w:rsidRPr="00184800">
        <w:rPr>
          <w:color w:val="000000"/>
          <w:sz w:val="22"/>
          <w:szCs w:val="22"/>
        </w:rPr>
        <w:t xml:space="preserve">Ošetrujúci lekár má pacientke objasniť nutnosť intervalov bez liečby. </w:t>
      </w:r>
    </w:p>
    <w:p w14:paraId="3E694AF3" w14:textId="77777777" w:rsidR="00184800" w:rsidRPr="00184800" w:rsidRDefault="00184800" w:rsidP="00184800">
      <w:pPr>
        <w:overflowPunct/>
        <w:textAlignment w:val="auto"/>
        <w:rPr>
          <w:color w:val="000000"/>
          <w:sz w:val="22"/>
          <w:szCs w:val="22"/>
        </w:rPr>
      </w:pPr>
      <w:r w:rsidRPr="00184800">
        <w:rPr>
          <w:color w:val="000000"/>
          <w:sz w:val="22"/>
          <w:szCs w:val="22"/>
        </w:rPr>
        <w:t xml:space="preserve">Opakovaná interminentná liečba bola študovaná počas 4 oddelených liečebných cyklov. </w:t>
      </w:r>
    </w:p>
    <w:p w14:paraId="14D8E81A" w14:textId="77777777" w:rsidR="008C24E1" w:rsidRDefault="008C24E1" w:rsidP="00184800">
      <w:pPr>
        <w:tabs>
          <w:tab w:val="left" w:pos="567"/>
        </w:tabs>
        <w:rPr>
          <w:color w:val="000000"/>
          <w:sz w:val="22"/>
          <w:szCs w:val="22"/>
        </w:rPr>
      </w:pPr>
    </w:p>
    <w:p w14:paraId="6E8D14AC" w14:textId="686D104F" w:rsidR="00184800" w:rsidRDefault="00184800" w:rsidP="00184800">
      <w:pPr>
        <w:tabs>
          <w:tab w:val="left" w:pos="567"/>
        </w:tabs>
        <w:rPr>
          <w:sz w:val="22"/>
          <w:szCs w:val="22"/>
          <w:u w:val="single"/>
        </w:rPr>
      </w:pPr>
      <w:r w:rsidRPr="00184800">
        <w:rPr>
          <w:color w:val="000000"/>
          <w:sz w:val="22"/>
          <w:szCs w:val="22"/>
        </w:rPr>
        <w:lastRenderedPageBreak/>
        <w:t>Ak pacientka vynechá niektorú dávku, má ulipristalacetát užiť čo najskôr. Ak sa mala vynechaná dávka užiť pred viac ako 12 hodinami, pacientka nemá užiť vynechanú dávku, ale má pokračovať v zvyčajnom režime dávkovania.</w:t>
      </w:r>
    </w:p>
    <w:p w14:paraId="1AEA6B19" w14:textId="77777777" w:rsidR="00184800" w:rsidRDefault="00184800" w:rsidP="0071632D">
      <w:pPr>
        <w:tabs>
          <w:tab w:val="left" w:pos="567"/>
        </w:tabs>
        <w:rPr>
          <w:sz w:val="22"/>
          <w:szCs w:val="22"/>
          <w:u w:val="single"/>
        </w:rPr>
      </w:pPr>
    </w:p>
    <w:p w14:paraId="63856A3B" w14:textId="6C50B929" w:rsidR="00246113" w:rsidRPr="00844F46" w:rsidRDefault="00246113" w:rsidP="00246113">
      <w:pPr>
        <w:overflowPunct/>
        <w:textAlignment w:val="auto"/>
        <w:rPr>
          <w:color w:val="000000"/>
          <w:sz w:val="22"/>
          <w:szCs w:val="22"/>
          <w:u w:val="single"/>
        </w:rPr>
      </w:pPr>
      <w:r w:rsidRPr="00844F46">
        <w:rPr>
          <w:i/>
          <w:iCs/>
          <w:color w:val="000000"/>
          <w:sz w:val="22"/>
          <w:szCs w:val="22"/>
          <w:u w:val="single"/>
        </w:rPr>
        <w:t xml:space="preserve">Osobitné skupiny </w:t>
      </w:r>
    </w:p>
    <w:p w14:paraId="104941A9" w14:textId="77777777" w:rsidR="00246113" w:rsidRPr="00246113" w:rsidRDefault="00246113" w:rsidP="00246113">
      <w:pPr>
        <w:overflowPunct/>
        <w:textAlignment w:val="auto"/>
        <w:rPr>
          <w:color w:val="000000"/>
          <w:sz w:val="22"/>
          <w:szCs w:val="22"/>
        </w:rPr>
      </w:pPr>
      <w:r w:rsidRPr="00246113">
        <w:rPr>
          <w:i/>
          <w:iCs/>
          <w:color w:val="000000"/>
          <w:sz w:val="22"/>
          <w:szCs w:val="22"/>
        </w:rPr>
        <w:t xml:space="preserve">Porucha funkcie obličiek </w:t>
      </w:r>
    </w:p>
    <w:p w14:paraId="6568BD45" w14:textId="11ADCBD7" w:rsidR="00246113" w:rsidRDefault="00246113" w:rsidP="00246113">
      <w:pPr>
        <w:overflowPunct/>
        <w:textAlignment w:val="auto"/>
        <w:rPr>
          <w:color w:val="000000"/>
          <w:sz w:val="22"/>
          <w:szCs w:val="22"/>
        </w:rPr>
      </w:pPr>
      <w:r w:rsidRPr="00246113">
        <w:rPr>
          <w:color w:val="000000"/>
          <w:sz w:val="22"/>
          <w:szCs w:val="22"/>
        </w:rPr>
        <w:t>U pacientok s miernou alebo stredne závažnou poruchou funkcie obličiek sa žiadna úprava dávky neodporúča. Keďže sa neuskutočnili žiadne konkrétne štúdie, pacientkam so závažnou poruchou funkcie obličiek sa ulipristalacetát neodporúča, pokiaľ tieto pacientky nie sú dôkladne sledované (pozri časti 4.4 a 5.2).</w:t>
      </w:r>
    </w:p>
    <w:p w14:paraId="5371A58F" w14:textId="49E95077" w:rsidR="00CA2ABA" w:rsidRDefault="00CA2ABA" w:rsidP="00246113">
      <w:pPr>
        <w:overflowPunct/>
        <w:textAlignment w:val="auto"/>
        <w:rPr>
          <w:color w:val="000000"/>
          <w:sz w:val="22"/>
          <w:szCs w:val="22"/>
        </w:rPr>
      </w:pPr>
    </w:p>
    <w:p w14:paraId="484CE4C8" w14:textId="77777777" w:rsidR="00CA2ABA" w:rsidRPr="00CA2ABA" w:rsidRDefault="00CA2ABA" w:rsidP="00CA2ABA">
      <w:pPr>
        <w:overflowPunct/>
        <w:textAlignment w:val="auto"/>
        <w:rPr>
          <w:color w:val="000000"/>
          <w:sz w:val="22"/>
          <w:szCs w:val="22"/>
        </w:rPr>
      </w:pPr>
      <w:r w:rsidRPr="00CA2ABA">
        <w:rPr>
          <w:i/>
          <w:iCs/>
          <w:color w:val="000000"/>
          <w:sz w:val="22"/>
          <w:szCs w:val="22"/>
        </w:rPr>
        <w:t xml:space="preserve">Pediatrická populácia </w:t>
      </w:r>
    </w:p>
    <w:p w14:paraId="48F19FAD" w14:textId="77777777" w:rsidR="00CA2ABA" w:rsidRPr="00CA2ABA" w:rsidRDefault="00CA2ABA" w:rsidP="00CA2ABA">
      <w:pPr>
        <w:overflowPunct/>
        <w:textAlignment w:val="auto"/>
        <w:rPr>
          <w:color w:val="000000"/>
          <w:sz w:val="22"/>
          <w:szCs w:val="22"/>
        </w:rPr>
      </w:pPr>
      <w:r w:rsidRPr="00CA2ABA">
        <w:rPr>
          <w:color w:val="000000"/>
          <w:sz w:val="22"/>
          <w:szCs w:val="22"/>
        </w:rPr>
        <w:t xml:space="preserve">Použitie ulipristalacetátu sa netýka detí a dospievajúcich. Bezpečnosť a účinnosť ulipristalacetátu bola preukázaná len u žien vo veku od 18 rokov. </w:t>
      </w:r>
    </w:p>
    <w:p w14:paraId="5D533D8F" w14:textId="77777777" w:rsidR="00CA2ABA" w:rsidRDefault="00CA2ABA" w:rsidP="00CA2ABA">
      <w:pPr>
        <w:overflowPunct/>
        <w:textAlignment w:val="auto"/>
        <w:rPr>
          <w:color w:val="000000"/>
          <w:sz w:val="22"/>
          <w:szCs w:val="22"/>
        </w:rPr>
      </w:pPr>
    </w:p>
    <w:p w14:paraId="78879393" w14:textId="1CE6CD00" w:rsidR="00CA2ABA" w:rsidRPr="00CA2ABA" w:rsidRDefault="00CA2ABA" w:rsidP="00CA2ABA">
      <w:pPr>
        <w:overflowPunct/>
        <w:textAlignment w:val="auto"/>
        <w:rPr>
          <w:color w:val="000000"/>
          <w:sz w:val="22"/>
          <w:szCs w:val="22"/>
          <w:u w:val="single"/>
        </w:rPr>
      </w:pPr>
      <w:r w:rsidRPr="00CA2ABA">
        <w:rPr>
          <w:color w:val="000000"/>
          <w:sz w:val="22"/>
          <w:szCs w:val="22"/>
          <w:u w:val="single"/>
        </w:rPr>
        <w:t xml:space="preserve">Spôsob podávania </w:t>
      </w:r>
    </w:p>
    <w:p w14:paraId="16C0C631" w14:textId="6FDC4185" w:rsidR="00CA2ABA" w:rsidRPr="00246113" w:rsidRDefault="00CA2ABA" w:rsidP="00CA2ABA">
      <w:pPr>
        <w:overflowPunct/>
        <w:textAlignment w:val="auto"/>
        <w:rPr>
          <w:color w:val="000000"/>
          <w:sz w:val="18"/>
          <w:szCs w:val="18"/>
        </w:rPr>
      </w:pPr>
      <w:r w:rsidRPr="00CA2ABA">
        <w:rPr>
          <w:color w:val="000000"/>
          <w:sz w:val="22"/>
          <w:szCs w:val="22"/>
        </w:rPr>
        <w:t xml:space="preserve">Perorálne použitie. Tablety sa majú </w:t>
      </w:r>
      <w:r w:rsidRPr="00A944C4">
        <w:rPr>
          <w:color w:val="000000"/>
          <w:sz w:val="22"/>
          <w:szCs w:val="22"/>
        </w:rPr>
        <w:t>zap</w:t>
      </w:r>
      <w:r w:rsidR="00A944C4">
        <w:rPr>
          <w:color w:val="000000"/>
          <w:sz w:val="22"/>
          <w:szCs w:val="22"/>
        </w:rPr>
        <w:t>iť</w:t>
      </w:r>
      <w:r w:rsidRPr="00A944C4">
        <w:rPr>
          <w:color w:val="000000"/>
          <w:sz w:val="22"/>
          <w:szCs w:val="22"/>
        </w:rPr>
        <w:t xml:space="preserve"> vodou</w:t>
      </w:r>
      <w:r w:rsidRPr="00CA2ABA">
        <w:rPr>
          <w:color w:val="000000"/>
          <w:sz w:val="22"/>
          <w:szCs w:val="22"/>
        </w:rPr>
        <w:t>.</w:t>
      </w:r>
    </w:p>
    <w:p w14:paraId="7F58F751" w14:textId="77777777" w:rsidR="00DD1AE8" w:rsidRPr="00431EED" w:rsidRDefault="00DD1AE8" w:rsidP="00F3279A">
      <w:pPr>
        <w:tabs>
          <w:tab w:val="left" w:pos="567"/>
        </w:tabs>
        <w:rPr>
          <w:sz w:val="22"/>
          <w:szCs w:val="22"/>
        </w:rPr>
      </w:pPr>
    </w:p>
    <w:p w14:paraId="1314D08B" w14:textId="77777777" w:rsidR="00DF01E0" w:rsidRPr="00431EED" w:rsidRDefault="00DF01E0" w:rsidP="00F3279A">
      <w:pPr>
        <w:keepNext/>
        <w:numPr>
          <w:ilvl w:val="12"/>
          <w:numId w:val="0"/>
        </w:numPr>
        <w:tabs>
          <w:tab w:val="left" w:pos="567"/>
        </w:tabs>
        <w:rPr>
          <w:b/>
          <w:sz w:val="22"/>
          <w:szCs w:val="22"/>
        </w:rPr>
      </w:pPr>
      <w:r w:rsidRPr="00431EED">
        <w:rPr>
          <w:b/>
          <w:sz w:val="22"/>
          <w:szCs w:val="22"/>
        </w:rPr>
        <w:t>4.3</w:t>
      </w:r>
      <w:r w:rsidRPr="00431EED">
        <w:rPr>
          <w:b/>
          <w:sz w:val="22"/>
          <w:szCs w:val="22"/>
        </w:rPr>
        <w:tab/>
        <w:t>Kontraindikácie</w:t>
      </w:r>
    </w:p>
    <w:p w14:paraId="2091308D" w14:textId="77777777" w:rsidR="00DF01E0" w:rsidRPr="00431EED" w:rsidRDefault="00DF01E0" w:rsidP="00F3279A">
      <w:pPr>
        <w:keepNext/>
        <w:numPr>
          <w:ilvl w:val="12"/>
          <w:numId w:val="0"/>
        </w:numPr>
        <w:tabs>
          <w:tab w:val="left" w:pos="567"/>
        </w:tabs>
        <w:rPr>
          <w:b/>
          <w:sz w:val="22"/>
          <w:szCs w:val="22"/>
        </w:rPr>
      </w:pPr>
    </w:p>
    <w:p w14:paraId="6050C886" w14:textId="4CC60CE1" w:rsidR="00FD37C2" w:rsidRPr="00FD37C2" w:rsidRDefault="00FD37C2" w:rsidP="00FD37C2">
      <w:pPr>
        <w:pStyle w:val="Odsekzoznamu"/>
        <w:numPr>
          <w:ilvl w:val="0"/>
          <w:numId w:val="74"/>
        </w:numPr>
        <w:overflowPunct/>
        <w:textAlignment w:val="auto"/>
        <w:rPr>
          <w:color w:val="000000"/>
          <w:sz w:val="22"/>
          <w:szCs w:val="22"/>
        </w:rPr>
      </w:pPr>
      <w:r w:rsidRPr="00FD37C2">
        <w:rPr>
          <w:color w:val="000000"/>
          <w:sz w:val="22"/>
          <w:szCs w:val="22"/>
        </w:rPr>
        <w:t xml:space="preserve">Precitlivenosť na liečivo alebo na ktorúkoľvek z pomocných látok uvedených v časti 6.1. </w:t>
      </w:r>
    </w:p>
    <w:p w14:paraId="16299386" w14:textId="270C8F23" w:rsidR="00FD37C2" w:rsidRPr="00FD37C2" w:rsidRDefault="00FD37C2" w:rsidP="00FD37C2">
      <w:pPr>
        <w:pStyle w:val="Odsekzoznamu"/>
        <w:numPr>
          <w:ilvl w:val="0"/>
          <w:numId w:val="74"/>
        </w:numPr>
        <w:overflowPunct/>
        <w:textAlignment w:val="auto"/>
        <w:rPr>
          <w:color w:val="000000"/>
          <w:sz w:val="22"/>
          <w:szCs w:val="22"/>
        </w:rPr>
      </w:pPr>
      <w:r w:rsidRPr="00FD37C2">
        <w:rPr>
          <w:color w:val="000000"/>
          <w:sz w:val="22"/>
          <w:szCs w:val="22"/>
        </w:rPr>
        <w:t xml:space="preserve">Gravidita a laktácia. </w:t>
      </w:r>
    </w:p>
    <w:p w14:paraId="540D4329" w14:textId="48159A39" w:rsidR="00FD37C2" w:rsidRPr="00FD37C2" w:rsidRDefault="00FD37C2" w:rsidP="00FD37C2">
      <w:pPr>
        <w:pStyle w:val="Odsekzoznamu"/>
        <w:numPr>
          <w:ilvl w:val="0"/>
          <w:numId w:val="74"/>
        </w:numPr>
        <w:overflowPunct/>
        <w:textAlignment w:val="auto"/>
        <w:rPr>
          <w:color w:val="000000"/>
          <w:sz w:val="22"/>
          <w:szCs w:val="22"/>
        </w:rPr>
      </w:pPr>
      <w:r w:rsidRPr="00FD37C2">
        <w:rPr>
          <w:color w:val="000000"/>
          <w:sz w:val="22"/>
          <w:szCs w:val="22"/>
        </w:rPr>
        <w:t xml:space="preserve">Genitálne krvácanie neznámej etiológie alebo z iných dôvodov, ako sú myómy maternice. </w:t>
      </w:r>
    </w:p>
    <w:p w14:paraId="1BD660AD" w14:textId="20B286A9" w:rsidR="00FD37C2" w:rsidRPr="00FD37C2" w:rsidRDefault="00FD37C2" w:rsidP="00FD37C2">
      <w:pPr>
        <w:pStyle w:val="Odsekzoznamu"/>
        <w:numPr>
          <w:ilvl w:val="0"/>
          <w:numId w:val="74"/>
        </w:numPr>
        <w:overflowPunct/>
        <w:textAlignment w:val="auto"/>
        <w:rPr>
          <w:color w:val="000000"/>
          <w:sz w:val="22"/>
          <w:szCs w:val="22"/>
        </w:rPr>
      </w:pPr>
      <w:r w:rsidRPr="00FD37C2">
        <w:rPr>
          <w:color w:val="000000"/>
          <w:sz w:val="22"/>
          <w:szCs w:val="22"/>
        </w:rPr>
        <w:t xml:space="preserve">Rakovina maternice, krčka maternice, vaječníkov alebo prsníkov. </w:t>
      </w:r>
    </w:p>
    <w:p w14:paraId="2D19C5F0" w14:textId="6FCA6D3F" w:rsidR="00F834A2" w:rsidRPr="00FD37C2" w:rsidRDefault="00FD37C2" w:rsidP="00FD37C2">
      <w:pPr>
        <w:pStyle w:val="Odsekzoznamu"/>
        <w:keepNext/>
        <w:numPr>
          <w:ilvl w:val="0"/>
          <w:numId w:val="74"/>
        </w:numPr>
        <w:tabs>
          <w:tab w:val="left" w:pos="567"/>
        </w:tabs>
        <w:rPr>
          <w:color w:val="000000"/>
          <w:sz w:val="22"/>
          <w:szCs w:val="22"/>
        </w:rPr>
      </w:pPr>
      <w:r>
        <w:rPr>
          <w:color w:val="000000"/>
          <w:sz w:val="22"/>
          <w:szCs w:val="22"/>
        </w:rPr>
        <w:t xml:space="preserve">   </w:t>
      </w:r>
      <w:r w:rsidR="000211BC">
        <w:rPr>
          <w:color w:val="000000"/>
          <w:sz w:val="22"/>
          <w:szCs w:val="22"/>
        </w:rPr>
        <w:t>Existujúce</w:t>
      </w:r>
      <w:r w:rsidRPr="00FD37C2">
        <w:rPr>
          <w:color w:val="000000"/>
          <w:sz w:val="22"/>
          <w:szCs w:val="22"/>
        </w:rPr>
        <w:t xml:space="preserve"> ochorenie pečene.</w:t>
      </w:r>
    </w:p>
    <w:p w14:paraId="55DF4C22" w14:textId="77777777" w:rsidR="00FD37C2" w:rsidRPr="00431EED" w:rsidRDefault="00FD37C2" w:rsidP="00FD37C2">
      <w:pPr>
        <w:keepNext/>
        <w:tabs>
          <w:tab w:val="left" w:pos="567"/>
        </w:tabs>
        <w:rPr>
          <w:b/>
          <w:sz w:val="22"/>
          <w:szCs w:val="22"/>
        </w:rPr>
      </w:pPr>
    </w:p>
    <w:p w14:paraId="50CB57FC" w14:textId="77777777" w:rsidR="00553C00" w:rsidRPr="00431EED" w:rsidRDefault="009C6218" w:rsidP="00D70002">
      <w:pPr>
        <w:keepNext/>
        <w:tabs>
          <w:tab w:val="left" w:pos="567"/>
        </w:tabs>
        <w:rPr>
          <w:b/>
          <w:sz w:val="22"/>
          <w:szCs w:val="22"/>
        </w:rPr>
      </w:pPr>
      <w:r w:rsidRPr="00431EED">
        <w:rPr>
          <w:b/>
          <w:sz w:val="22"/>
          <w:szCs w:val="22"/>
        </w:rPr>
        <w:t>4.4</w:t>
      </w:r>
      <w:r w:rsidR="00553C00" w:rsidRPr="00431EED">
        <w:rPr>
          <w:b/>
          <w:sz w:val="22"/>
          <w:szCs w:val="22"/>
        </w:rPr>
        <w:tab/>
      </w:r>
      <w:r w:rsidR="00B53428" w:rsidRPr="00431EED">
        <w:rPr>
          <w:b/>
          <w:sz w:val="22"/>
          <w:szCs w:val="22"/>
        </w:rPr>
        <w:t>Osobitné upozornenia a opatrenia pri používaní</w:t>
      </w:r>
      <w:r w:rsidR="00553C00" w:rsidRPr="00431EED">
        <w:rPr>
          <w:b/>
          <w:sz w:val="22"/>
          <w:szCs w:val="22"/>
        </w:rPr>
        <w:t xml:space="preserve"> </w:t>
      </w:r>
    </w:p>
    <w:p w14:paraId="23FB498C" w14:textId="77777777" w:rsidR="008F7057" w:rsidRDefault="008F7057" w:rsidP="008F7057">
      <w:pPr>
        <w:rPr>
          <w:b/>
          <w:noProof/>
          <w:sz w:val="22"/>
          <w:szCs w:val="22"/>
        </w:rPr>
      </w:pPr>
    </w:p>
    <w:p w14:paraId="79EDD833" w14:textId="4EFC0D6B" w:rsidR="00925400" w:rsidRDefault="00F30FAB" w:rsidP="008F7057">
      <w:pPr>
        <w:tabs>
          <w:tab w:val="left" w:pos="567"/>
        </w:tabs>
        <w:rPr>
          <w:sz w:val="22"/>
          <w:szCs w:val="22"/>
        </w:rPr>
      </w:pPr>
      <w:r>
        <w:rPr>
          <w:sz w:val="22"/>
          <w:szCs w:val="22"/>
        </w:rPr>
        <w:t xml:space="preserve">Ulipristalacetát možno predpísať až po starostlivom stanovení diagnózy. Pred začatím liečby sa musí </w:t>
      </w:r>
      <w:r w:rsidR="008C24E1">
        <w:rPr>
          <w:sz w:val="22"/>
          <w:szCs w:val="22"/>
        </w:rPr>
        <w:t>vylúčiť gravidita</w:t>
      </w:r>
      <w:r>
        <w:rPr>
          <w:sz w:val="22"/>
          <w:szCs w:val="22"/>
        </w:rPr>
        <w:t>. Ak budete mať pred začatím nového liečebného cyklu podozrenie na tehotenstvo, je nutné vykonať tehotenský test.</w:t>
      </w:r>
    </w:p>
    <w:p w14:paraId="112FFD3B" w14:textId="79128A03" w:rsidR="00F30FAB" w:rsidRDefault="00F30FAB" w:rsidP="008F7057">
      <w:pPr>
        <w:tabs>
          <w:tab w:val="left" w:pos="567"/>
        </w:tabs>
        <w:rPr>
          <w:sz w:val="22"/>
          <w:szCs w:val="22"/>
        </w:rPr>
      </w:pPr>
    </w:p>
    <w:p w14:paraId="404646AA" w14:textId="77777777" w:rsidR="00F30FAB" w:rsidRPr="00F30FAB" w:rsidRDefault="00F30FAB" w:rsidP="00F30FAB">
      <w:pPr>
        <w:overflowPunct/>
        <w:textAlignment w:val="auto"/>
        <w:rPr>
          <w:color w:val="000000"/>
          <w:sz w:val="22"/>
          <w:szCs w:val="22"/>
          <w:u w:val="single"/>
        </w:rPr>
      </w:pPr>
      <w:r w:rsidRPr="00F30FAB">
        <w:rPr>
          <w:color w:val="000000"/>
          <w:sz w:val="22"/>
          <w:szCs w:val="22"/>
          <w:u w:val="single"/>
        </w:rPr>
        <w:t xml:space="preserve">Antikoncepcia </w:t>
      </w:r>
    </w:p>
    <w:p w14:paraId="57457D2A" w14:textId="3594D079" w:rsidR="00F30FAB" w:rsidRDefault="00F30FAB" w:rsidP="00F30FAB">
      <w:pPr>
        <w:tabs>
          <w:tab w:val="left" w:pos="567"/>
        </w:tabs>
        <w:rPr>
          <w:color w:val="000000"/>
          <w:sz w:val="22"/>
          <w:szCs w:val="22"/>
        </w:rPr>
      </w:pPr>
      <w:r w:rsidRPr="00F30FAB">
        <w:rPr>
          <w:color w:val="000000"/>
          <w:sz w:val="22"/>
          <w:szCs w:val="22"/>
        </w:rPr>
        <w:t>Súčasné užívanie tabliet obsahujúcich len progestagén, používanie vnútromaternicového telieska uvoľňujúceho progestagén alebo užívanie kombinovaných perorálnych antikoncepčných tabliet sa neodporúča (pozri časť 4.5). Hoci väčšina žien užívajúcich terapeutickú dávku ulipristalacetátu má anovuláciu, počas liečby sa odporúča nehormonálna antikoncepčná metóda.</w:t>
      </w:r>
    </w:p>
    <w:p w14:paraId="290E929E" w14:textId="2F1B7704" w:rsidR="00F30FAB" w:rsidRDefault="00F30FAB" w:rsidP="00F30FAB">
      <w:pPr>
        <w:tabs>
          <w:tab w:val="left" w:pos="567"/>
        </w:tabs>
        <w:rPr>
          <w:color w:val="000000"/>
          <w:sz w:val="22"/>
          <w:szCs w:val="22"/>
        </w:rPr>
      </w:pPr>
    </w:p>
    <w:p w14:paraId="451E2901" w14:textId="77777777" w:rsidR="00B9153A" w:rsidRPr="00B9153A" w:rsidRDefault="00B9153A" w:rsidP="00B9153A">
      <w:pPr>
        <w:overflowPunct/>
        <w:textAlignment w:val="auto"/>
        <w:rPr>
          <w:color w:val="000000"/>
          <w:sz w:val="22"/>
          <w:szCs w:val="22"/>
          <w:u w:val="single"/>
        </w:rPr>
      </w:pPr>
      <w:r w:rsidRPr="00B9153A">
        <w:rPr>
          <w:color w:val="000000"/>
          <w:sz w:val="22"/>
          <w:szCs w:val="22"/>
          <w:u w:val="single"/>
        </w:rPr>
        <w:t xml:space="preserve">Zmeny endometria </w:t>
      </w:r>
    </w:p>
    <w:p w14:paraId="3117F2FE" w14:textId="77777777" w:rsidR="00B9153A" w:rsidRPr="00B9153A" w:rsidRDefault="00B9153A" w:rsidP="00B9153A">
      <w:pPr>
        <w:overflowPunct/>
        <w:textAlignment w:val="auto"/>
        <w:rPr>
          <w:color w:val="000000"/>
          <w:sz w:val="22"/>
          <w:szCs w:val="22"/>
        </w:rPr>
      </w:pPr>
      <w:r w:rsidRPr="00B9153A">
        <w:rPr>
          <w:color w:val="000000"/>
          <w:sz w:val="22"/>
          <w:szCs w:val="22"/>
        </w:rPr>
        <w:t xml:space="preserve">Ulipristalacetát má špecifický farmakodynamický účinok na endometrium: </w:t>
      </w:r>
    </w:p>
    <w:p w14:paraId="7ED1B5C3" w14:textId="77777777" w:rsidR="00B9153A" w:rsidRPr="00B9153A" w:rsidRDefault="00B9153A" w:rsidP="00B9153A">
      <w:pPr>
        <w:overflowPunct/>
        <w:textAlignment w:val="auto"/>
        <w:rPr>
          <w:color w:val="000000"/>
          <w:sz w:val="22"/>
          <w:szCs w:val="22"/>
        </w:rPr>
      </w:pPr>
      <w:r w:rsidRPr="00B9153A">
        <w:rPr>
          <w:color w:val="000000"/>
          <w:sz w:val="22"/>
          <w:szCs w:val="22"/>
        </w:rPr>
        <w:t xml:space="preserve">U pacientok liečených ulipristalacetátom možno pozorovať zmeny v histológii endometria. Tieto zmeny sú po ukončení liečby reverzibilné. </w:t>
      </w:r>
    </w:p>
    <w:p w14:paraId="4E370295" w14:textId="7108BED1" w:rsidR="00B9153A" w:rsidRPr="00B9153A" w:rsidRDefault="00B9153A" w:rsidP="00B9153A">
      <w:pPr>
        <w:overflowPunct/>
        <w:textAlignment w:val="auto"/>
        <w:rPr>
          <w:color w:val="000000"/>
          <w:sz w:val="22"/>
          <w:szCs w:val="22"/>
        </w:rPr>
      </w:pPr>
      <w:r w:rsidRPr="00B9153A">
        <w:rPr>
          <w:color w:val="000000"/>
          <w:sz w:val="22"/>
          <w:szCs w:val="22"/>
        </w:rPr>
        <w:t>Tieto histologické zmeny sa označujú ako „zmeny endometria súvisiace s modulátorom receptora progesterónu“ (</w:t>
      </w:r>
      <w:r w:rsidR="008C24E1" w:rsidRPr="00B64504">
        <w:rPr>
          <w:noProof/>
          <w:sz w:val="22"/>
          <w:szCs w:val="22"/>
        </w:rPr>
        <w:t>Progesterone Receptor Modulator Associated Endometrial Changes</w:t>
      </w:r>
      <w:r w:rsidR="008C24E1">
        <w:rPr>
          <w:noProof/>
          <w:sz w:val="22"/>
          <w:szCs w:val="22"/>
        </w:rPr>
        <w:t>,</w:t>
      </w:r>
      <w:r w:rsidR="008C24E1" w:rsidRPr="00B14667">
        <w:rPr>
          <w:color w:val="000000"/>
          <w:sz w:val="22"/>
          <w:szCs w:val="22"/>
        </w:rPr>
        <w:t xml:space="preserve"> </w:t>
      </w:r>
      <w:r w:rsidRPr="00B9153A">
        <w:rPr>
          <w:color w:val="000000"/>
          <w:sz w:val="22"/>
          <w:szCs w:val="22"/>
        </w:rPr>
        <w:t xml:space="preserve">PAEC) a nemajú sa zamieňať s hyperpláziou endometria (pozri časti 4.8 a 5.1). </w:t>
      </w:r>
    </w:p>
    <w:p w14:paraId="2F6AFB00" w14:textId="77777777" w:rsidR="00B9153A" w:rsidRPr="00B9153A" w:rsidRDefault="00B9153A" w:rsidP="00B9153A">
      <w:pPr>
        <w:overflowPunct/>
        <w:textAlignment w:val="auto"/>
        <w:rPr>
          <w:color w:val="000000"/>
          <w:sz w:val="22"/>
          <w:szCs w:val="22"/>
        </w:rPr>
      </w:pPr>
      <w:r w:rsidRPr="00B9153A">
        <w:rPr>
          <w:color w:val="000000"/>
          <w:sz w:val="22"/>
          <w:szCs w:val="22"/>
        </w:rPr>
        <w:t xml:space="preserve">Ďalej sa v priebehu liečby môže vyskytnúť reverzibilný nárast hrúbky endometria. </w:t>
      </w:r>
    </w:p>
    <w:p w14:paraId="778D4970" w14:textId="77777777" w:rsidR="008C24E1" w:rsidRDefault="008C24E1" w:rsidP="00B9153A">
      <w:pPr>
        <w:tabs>
          <w:tab w:val="left" w:pos="567"/>
        </w:tabs>
        <w:rPr>
          <w:color w:val="000000"/>
          <w:sz w:val="22"/>
          <w:szCs w:val="22"/>
        </w:rPr>
      </w:pPr>
    </w:p>
    <w:p w14:paraId="40B19BF4" w14:textId="77777777" w:rsidR="00E94CF6" w:rsidRDefault="00B9153A" w:rsidP="00B9153A">
      <w:pPr>
        <w:tabs>
          <w:tab w:val="left" w:pos="567"/>
        </w:tabs>
        <w:rPr>
          <w:color w:val="000000"/>
          <w:sz w:val="22"/>
          <w:szCs w:val="22"/>
        </w:rPr>
      </w:pPr>
      <w:r w:rsidRPr="00B9153A">
        <w:rPr>
          <w:color w:val="000000"/>
          <w:sz w:val="22"/>
          <w:szCs w:val="22"/>
        </w:rPr>
        <w:t xml:space="preserve">Pri opakovanej intermitentnej liečbe sa odporúča zaistiť periodické sledovanie endometria. To zahŕňa každoročné vykonanie ultrazvuku po obnove menštruácie v priebehu obdobia bez liečby. </w:t>
      </w:r>
    </w:p>
    <w:p w14:paraId="62E127A5" w14:textId="77777777" w:rsidR="00E94CF6" w:rsidRDefault="00E94CF6" w:rsidP="00B9153A">
      <w:pPr>
        <w:tabs>
          <w:tab w:val="left" w:pos="567"/>
        </w:tabs>
        <w:rPr>
          <w:color w:val="000000"/>
          <w:sz w:val="22"/>
          <w:szCs w:val="22"/>
        </w:rPr>
      </w:pPr>
    </w:p>
    <w:p w14:paraId="4BB19018" w14:textId="78B8C16B" w:rsidR="00F30FAB" w:rsidRDefault="00B9153A" w:rsidP="00B9153A">
      <w:pPr>
        <w:tabs>
          <w:tab w:val="left" w:pos="567"/>
        </w:tabs>
        <w:rPr>
          <w:color w:val="000000"/>
          <w:sz w:val="22"/>
          <w:szCs w:val="22"/>
        </w:rPr>
      </w:pPr>
      <w:r w:rsidRPr="00B9153A">
        <w:rPr>
          <w:color w:val="000000"/>
          <w:sz w:val="22"/>
          <w:szCs w:val="22"/>
        </w:rPr>
        <w:t xml:space="preserve">Ak je pozorované zhrubnutie endometria po obnovení menštruácie v priebehu období bez liečby alebo viac ako 3 mesiace po ukončení liečebných cyklov, a/alebo dochádza k zmenám charakteru krvácania </w:t>
      </w:r>
      <w:r w:rsidRPr="00B9153A">
        <w:rPr>
          <w:color w:val="000000"/>
          <w:sz w:val="22"/>
          <w:szCs w:val="22"/>
        </w:rPr>
        <w:lastRenderedPageBreak/>
        <w:t>(pozri časť „Charakter krvácania“ nižšie), má byť vykonané vyšetrenie, vrátane biopsie endometria, aby sa vylúčili iné základné ochorenia, vrátane malignít endometria.</w:t>
      </w:r>
    </w:p>
    <w:p w14:paraId="66E4CDAB" w14:textId="72B30923" w:rsidR="005B6569" w:rsidRDefault="005B6569" w:rsidP="00B9153A">
      <w:pPr>
        <w:tabs>
          <w:tab w:val="left" w:pos="567"/>
        </w:tabs>
        <w:rPr>
          <w:color w:val="000000"/>
          <w:sz w:val="22"/>
          <w:szCs w:val="22"/>
        </w:rPr>
      </w:pPr>
    </w:p>
    <w:p w14:paraId="34737C8A" w14:textId="369B950B" w:rsidR="005B6569" w:rsidRPr="005B6569" w:rsidRDefault="005B6569" w:rsidP="005B6569">
      <w:pPr>
        <w:overflowPunct/>
        <w:textAlignment w:val="auto"/>
        <w:rPr>
          <w:color w:val="000000"/>
          <w:sz w:val="22"/>
          <w:szCs w:val="22"/>
        </w:rPr>
      </w:pPr>
      <w:r w:rsidRPr="005B6569">
        <w:rPr>
          <w:color w:val="000000"/>
          <w:sz w:val="22"/>
          <w:szCs w:val="22"/>
        </w:rPr>
        <w:t xml:space="preserve">V prípade výskytu hyperplázie (bez atypických znakov) sa odporúča sledovanie podľa zásad bežnej klinickej praxe (napr. následná kontrola o 3 mesiace). V prípade atypickej hyperplázie je potrebné stav </w:t>
      </w:r>
      <w:r w:rsidR="00E94CF6">
        <w:rPr>
          <w:color w:val="000000"/>
          <w:sz w:val="22"/>
          <w:szCs w:val="22"/>
        </w:rPr>
        <w:t>vy</w:t>
      </w:r>
      <w:r w:rsidR="00E94CF6" w:rsidRPr="005B6569">
        <w:rPr>
          <w:color w:val="000000"/>
          <w:sz w:val="22"/>
          <w:szCs w:val="22"/>
        </w:rPr>
        <w:t xml:space="preserve">šetriť </w:t>
      </w:r>
      <w:r w:rsidRPr="005B6569">
        <w:rPr>
          <w:color w:val="000000"/>
          <w:sz w:val="22"/>
          <w:szCs w:val="22"/>
        </w:rPr>
        <w:t xml:space="preserve">a postupovať v liečbe podľa zásad bežnej klinickej praxe. </w:t>
      </w:r>
    </w:p>
    <w:p w14:paraId="597272C2" w14:textId="0CFF708A" w:rsidR="005B6569" w:rsidRDefault="005B6569" w:rsidP="005B6569">
      <w:pPr>
        <w:tabs>
          <w:tab w:val="left" w:pos="567"/>
        </w:tabs>
        <w:rPr>
          <w:color w:val="000000"/>
          <w:sz w:val="22"/>
          <w:szCs w:val="22"/>
        </w:rPr>
      </w:pPr>
      <w:r w:rsidRPr="005B6569">
        <w:rPr>
          <w:color w:val="000000"/>
          <w:sz w:val="22"/>
          <w:szCs w:val="22"/>
        </w:rPr>
        <w:t>Liečebné cykly nemajú jednotlivo presiahnuť 3 mesiace, pretože riziko nežiaduceho vplyvu na endometrium je pri pretrvávajúcej liečbe bez prerušenia neznáme.</w:t>
      </w:r>
    </w:p>
    <w:p w14:paraId="3E8D1069" w14:textId="44BB616A" w:rsidR="005B6569" w:rsidRDefault="005B6569" w:rsidP="005B6569">
      <w:pPr>
        <w:tabs>
          <w:tab w:val="left" w:pos="567"/>
        </w:tabs>
        <w:rPr>
          <w:color w:val="000000"/>
          <w:sz w:val="22"/>
          <w:szCs w:val="22"/>
        </w:rPr>
      </w:pPr>
    </w:p>
    <w:p w14:paraId="490EFAA4" w14:textId="77777777" w:rsidR="005B6569" w:rsidRPr="005B6569" w:rsidRDefault="005B6569" w:rsidP="005B6569">
      <w:pPr>
        <w:overflowPunct/>
        <w:textAlignment w:val="auto"/>
        <w:rPr>
          <w:color w:val="000000"/>
          <w:sz w:val="22"/>
          <w:szCs w:val="22"/>
          <w:u w:val="single"/>
        </w:rPr>
      </w:pPr>
      <w:r w:rsidRPr="005B6569">
        <w:rPr>
          <w:color w:val="000000"/>
          <w:sz w:val="22"/>
          <w:szCs w:val="22"/>
          <w:u w:val="single"/>
        </w:rPr>
        <w:t xml:space="preserve">Charakter krvácania </w:t>
      </w:r>
    </w:p>
    <w:p w14:paraId="1FBD989B" w14:textId="77777777" w:rsidR="00E94CF6" w:rsidRDefault="005B6569" w:rsidP="005B6569">
      <w:pPr>
        <w:pStyle w:val="Default"/>
        <w:rPr>
          <w:sz w:val="22"/>
          <w:szCs w:val="22"/>
        </w:rPr>
      </w:pPr>
      <w:r w:rsidRPr="005B6569">
        <w:rPr>
          <w:sz w:val="22"/>
          <w:szCs w:val="22"/>
        </w:rPr>
        <w:t xml:space="preserve">Pacientky musia byť informované o tom, že liečba ulipristalacetátom zvyčajne vedie k výraznej redukcii menštruačného krvácania alebo k amenoree počas prvých 10 dní liečby. Na prípadné pretrvávajúce nadmerné krvácanie majú pacientky upozorniť svojho lekára. Menštruácia sa zvyčajne vráti do 4 týždňov od ukončenia každého cyklu liečby. </w:t>
      </w:r>
    </w:p>
    <w:p w14:paraId="073E53B0" w14:textId="77777777" w:rsidR="00B14667" w:rsidRDefault="00B14667" w:rsidP="005B6569">
      <w:pPr>
        <w:pStyle w:val="Default"/>
        <w:rPr>
          <w:sz w:val="22"/>
          <w:szCs w:val="22"/>
        </w:rPr>
      </w:pPr>
    </w:p>
    <w:p w14:paraId="1F373ECD" w14:textId="6974E79C" w:rsidR="005B6569" w:rsidRPr="005B6569" w:rsidRDefault="00E94CF6" w:rsidP="005B6569">
      <w:pPr>
        <w:pStyle w:val="Default"/>
        <w:rPr>
          <w:sz w:val="22"/>
          <w:szCs w:val="22"/>
          <w:lang w:val="sk-SK" w:eastAsia="sk-SK"/>
        </w:rPr>
      </w:pPr>
      <w:r>
        <w:rPr>
          <w:sz w:val="22"/>
          <w:szCs w:val="22"/>
        </w:rPr>
        <w:t xml:space="preserve">Ak </w:t>
      </w:r>
      <w:r w:rsidR="00B14667">
        <w:rPr>
          <w:sz w:val="22"/>
          <w:szCs w:val="22"/>
        </w:rPr>
        <w:t xml:space="preserve">sa </w:t>
      </w:r>
      <w:r>
        <w:rPr>
          <w:sz w:val="22"/>
          <w:szCs w:val="22"/>
        </w:rPr>
        <w:t>pri opakovanej intermitentnej liečbe, po</w:t>
      </w:r>
      <w:r w:rsidR="00B14667">
        <w:rPr>
          <w:sz w:val="22"/>
          <w:szCs w:val="22"/>
        </w:rPr>
        <w:t xml:space="preserve"> </w:t>
      </w:r>
      <w:r w:rsidR="00B14667" w:rsidRPr="005B6569">
        <w:rPr>
          <w:sz w:val="22"/>
          <w:szCs w:val="22"/>
        </w:rPr>
        <w:t>počiatočnej zníženej intenzite krvácania alebo amenoree</w:t>
      </w:r>
      <w:r w:rsidR="00B14667">
        <w:rPr>
          <w:sz w:val="22"/>
          <w:szCs w:val="22"/>
        </w:rPr>
        <w:t>, objaví</w:t>
      </w:r>
      <w:r w:rsidR="005B6569" w:rsidRPr="005B6569">
        <w:rPr>
          <w:sz w:val="22"/>
          <w:szCs w:val="22"/>
        </w:rPr>
        <w:t xml:space="preserve"> zmenené pretrvávajúce krvácani</w:t>
      </w:r>
      <w:r w:rsidR="00B14667">
        <w:rPr>
          <w:sz w:val="22"/>
          <w:szCs w:val="22"/>
        </w:rPr>
        <w:t>e</w:t>
      </w:r>
      <w:r w:rsidR="005B6569" w:rsidRPr="005B6569">
        <w:rPr>
          <w:sz w:val="22"/>
          <w:szCs w:val="22"/>
        </w:rPr>
        <w:t xml:space="preserve">, alebo neočakávané </w:t>
      </w:r>
      <w:r w:rsidR="00B14667" w:rsidRPr="005B6569">
        <w:rPr>
          <w:sz w:val="22"/>
          <w:szCs w:val="22"/>
        </w:rPr>
        <w:t>krvácani</w:t>
      </w:r>
      <w:r w:rsidR="00B14667">
        <w:rPr>
          <w:sz w:val="22"/>
          <w:szCs w:val="22"/>
        </w:rPr>
        <w:t>e</w:t>
      </w:r>
      <w:r w:rsidR="005B6569" w:rsidRPr="005B6569">
        <w:rPr>
          <w:sz w:val="22"/>
          <w:szCs w:val="22"/>
        </w:rPr>
        <w:t xml:space="preserve">, ako je krvácanie medzi menštruáciami, je potrebné </w:t>
      </w:r>
      <w:r w:rsidR="005B6569" w:rsidRPr="005B6569">
        <w:rPr>
          <w:sz w:val="22"/>
          <w:szCs w:val="22"/>
          <w:lang w:val="sk-SK" w:eastAsia="sk-SK"/>
        </w:rPr>
        <w:t xml:space="preserve">vykonať vyšetrenie endometria, vrátane biopsie endometria, aby sa vylúčili iné základné ochorenia, vrátane malignít endometria. </w:t>
      </w:r>
    </w:p>
    <w:p w14:paraId="3201B9B6" w14:textId="77777777" w:rsidR="00B14667" w:rsidRDefault="00B14667" w:rsidP="005B6569">
      <w:pPr>
        <w:overflowPunct/>
        <w:textAlignment w:val="auto"/>
        <w:rPr>
          <w:color w:val="000000"/>
          <w:sz w:val="22"/>
          <w:szCs w:val="22"/>
        </w:rPr>
      </w:pPr>
    </w:p>
    <w:p w14:paraId="5EB23021" w14:textId="44E6498D" w:rsidR="005B6569" w:rsidRPr="005B6569" w:rsidRDefault="005B6569" w:rsidP="005B6569">
      <w:pPr>
        <w:overflowPunct/>
        <w:textAlignment w:val="auto"/>
        <w:rPr>
          <w:color w:val="000000"/>
          <w:sz w:val="18"/>
          <w:szCs w:val="18"/>
        </w:rPr>
      </w:pPr>
      <w:r w:rsidRPr="005B6569">
        <w:rPr>
          <w:color w:val="000000"/>
          <w:sz w:val="22"/>
          <w:szCs w:val="22"/>
        </w:rPr>
        <w:t xml:space="preserve">Opakovaná intermitentná liečba bola študovaná </w:t>
      </w:r>
      <w:r w:rsidR="00B14667">
        <w:rPr>
          <w:color w:val="000000"/>
          <w:sz w:val="22"/>
          <w:szCs w:val="22"/>
        </w:rPr>
        <w:t>až do</w:t>
      </w:r>
      <w:r w:rsidR="00B14667" w:rsidRPr="005B6569">
        <w:rPr>
          <w:color w:val="000000"/>
          <w:sz w:val="22"/>
          <w:szCs w:val="22"/>
        </w:rPr>
        <w:t xml:space="preserve"> </w:t>
      </w:r>
      <w:r w:rsidRPr="005B6569">
        <w:rPr>
          <w:color w:val="000000"/>
          <w:sz w:val="22"/>
          <w:szCs w:val="22"/>
        </w:rPr>
        <w:t>4 oddelených liečebných cyklov.</w:t>
      </w:r>
    </w:p>
    <w:p w14:paraId="74ED57EC" w14:textId="2BF74563" w:rsidR="005B6569" w:rsidRDefault="005B6569" w:rsidP="005B6569">
      <w:pPr>
        <w:overflowPunct/>
        <w:textAlignment w:val="auto"/>
        <w:rPr>
          <w:sz w:val="24"/>
          <w:szCs w:val="24"/>
        </w:rPr>
      </w:pPr>
    </w:p>
    <w:p w14:paraId="1EE5497D" w14:textId="77777777" w:rsidR="005B6569" w:rsidRPr="005B6569" w:rsidRDefault="005B6569" w:rsidP="005B6569">
      <w:pPr>
        <w:overflowPunct/>
        <w:textAlignment w:val="auto"/>
        <w:rPr>
          <w:color w:val="000000"/>
          <w:sz w:val="22"/>
          <w:szCs w:val="22"/>
          <w:u w:val="single"/>
        </w:rPr>
      </w:pPr>
      <w:r w:rsidRPr="005B6569">
        <w:rPr>
          <w:color w:val="000000"/>
          <w:sz w:val="22"/>
          <w:szCs w:val="22"/>
          <w:u w:val="single"/>
        </w:rPr>
        <w:t xml:space="preserve">Porucha funkcie obličiek </w:t>
      </w:r>
    </w:p>
    <w:p w14:paraId="482DACCC" w14:textId="1643AD24" w:rsidR="005B6569" w:rsidRDefault="005B6569" w:rsidP="005B6569">
      <w:pPr>
        <w:overflowPunct/>
        <w:textAlignment w:val="auto"/>
        <w:rPr>
          <w:color w:val="000000"/>
          <w:sz w:val="22"/>
          <w:szCs w:val="22"/>
        </w:rPr>
      </w:pPr>
      <w:r w:rsidRPr="005B6569">
        <w:rPr>
          <w:color w:val="000000"/>
          <w:sz w:val="22"/>
          <w:szCs w:val="22"/>
        </w:rPr>
        <w:t xml:space="preserve">Neočakáva sa, že by </w:t>
      </w:r>
      <w:r w:rsidR="00B14667">
        <w:rPr>
          <w:color w:val="000000"/>
          <w:sz w:val="22"/>
          <w:szCs w:val="22"/>
        </w:rPr>
        <w:t>porucha</w:t>
      </w:r>
      <w:r w:rsidR="00B14667" w:rsidRPr="005B6569">
        <w:rPr>
          <w:color w:val="000000"/>
          <w:sz w:val="22"/>
          <w:szCs w:val="22"/>
        </w:rPr>
        <w:t xml:space="preserve"> </w:t>
      </w:r>
      <w:r w:rsidRPr="005B6569">
        <w:rPr>
          <w:color w:val="000000"/>
          <w:sz w:val="22"/>
          <w:szCs w:val="22"/>
        </w:rPr>
        <w:t xml:space="preserve">funkcie obličiek výrazne </w:t>
      </w:r>
      <w:r w:rsidR="00B14667" w:rsidRPr="005B6569">
        <w:rPr>
          <w:color w:val="000000"/>
          <w:sz w:val="22"/>
          <w:szCs w:val="22"/>
        </w:rPr>
        <w:t>zmenil</w:t>
      </w:r>
      <w:r w:rsidR="00B14667">
        <w:rPr>
          <w:color w:val="000000"/>
          <w:sz w:val="22"/>
          <w:szCs w:val="22"/>
        </w:rPr>
        <w:t>a</w:t>
      </w:r>
      <w:r w:rsidR="00B14667" w:rsidRPr="005B6569">
        <w:rPr>
          <w:color w:val="000000"/>
          <w:sz w:val="22"/>
          <w:szCs w:val="22"/>
        </w:rPr>
        <w:t xml:space="preserve"> </w:t>
      </w:r>
      <w:r w:rsidRPr="005B6569">
        <w:rPr>
          <w:color w:val="000000"/>
          <w:sz w:val="22"/>
          <w:szCs w:val="22"/>
        </w:rPr>
        <w:t>vylučovanie ulipristalacetátu. Keďže sa neuskutočnili žiadne konkrétne štúdie, pacientkam so závažnou poruchou funkcie obličiek sa ulipristalacetát neodporúča, pokiaľ tieto pacientky nie sú dôkladne sledované (pozri časť 4.2).</w:t>
      </w:r>
    </w:p>
    <w:p w14:paraId="579F2A06" w14:textId="101C1DE5" w:rsidR="002B3E0B" w:rsidRDefault="002B3E0B" w:rsidP="005B6569">
      <w:pPr>
        <w:overflowPunct/>
        <w:textAlignment w:val="auto"/>
        <w:rPr>
          <w:color w:val="000000"/>
          <w:sz w:val="22"/>
          <w:szCs w:val="22"/>
        </w:rPr>
      </w:pPr>
    </w:p>
    <w:p w14:paraId="31C4CFD5" w14:textId="77777777" w:rsidR="002B3E0B" w:rsidRPr="002B3E0B" w:rsidRDefault="002B3E0B" w:rsidP="002B3E0B">
      <w:pPr>
        <w:overflowPunct/>
        <w:textAlignment w:val="auto"/>
        <w:rPr>
          <w:color w:val="000000"/>
          <w:sz w:val="22"/>
          <w:szCs w:val="22"/>
          <w:u w:val="single"/>
        </w:rPr>
      </w:pPr>
      <w:r w:rsidRPr="002B3E0B">
        <w:rPr>
          <w:color w:val="000000"/>
          <w:sz w:val="22"/>
          <w:szCs w:val="22"/>
          <w:u w:val="single"/>
        </w:rPr>
        <w:t xml:space="preserve">Poškodenie pečene </w:t>
      </w:r>
    </w:p>
    <w:p w14:paraId="6665FC7D" w14:textId="77777777" w:rsidR="002B3E0B" w:rsidRPr="002B3E0B" w:rsidRDefault="002B3E0B" w:rsidP="002B3E0B">
      <w:pPr>
        <w:overflowPunct/>
        <w:textAlignment w:val="auto"/>
        <w:rPr>
          <w:color w:val="000000"/>
          <w:sz w:val="22"/>
          <w:szCs w:val="22"/>
          <w:u w:val="single"/>
        </w:rPr>
      </w:pPr>
      <w:r w:rsidRPr="002B3E0B">
        <w:rPr>
          <w:color w:val="000000"/>
          <w:sz w:val="22"/>
          <w:szCs w:val="22"/>
          <w:u w:val="single"/>
        </w:rPr>
        <w:t xml:space="preserve">Po uvedení lieku na trh boli hlásené prípady poškodenia pečene a zlyhania pečene (pozri časť 4.3). </w:t>
      </w:r>
    </w:p>
    <w:p w14:paraId="21B39B62" w14:textId="27654C23" w:rsidR="002B3E0B" w:rsidRDefault="002B3E0B" w:rsidP="002B3E0B">
      <w:pPr>
        <w:overflowPunct/>
        <w:textAlignment w:val="auto"/>
        <w:rPr>
          <w:color w:val="000000"/>
          <w:sz w:val="22"/>
          <w:szCs w:val="22"/>
          <w:u w:val="single"/>
        </w:rPr>
      </w:pPr>
      <w:r w:rsidRPr="008B4AD2">
        <w:rPr>
          <w:color w:val="000000"/>
          <w:sz w:val="22"/>
          <w:szCs w:val="22"/>
          <w:u w:val="single"/>
        </w:rPr>
        <w:t xml:space="preserve">Pred začatím liečby sa musia vykonať funkčné testy pečene. Liečbu </w:t>
      </w:r>
      <w:r w:rsidR="00B14667">
        <w:rPr>
          <w:color w:val="000000"/>
          <w:sz w:val="22"/>
          <w:szCs w:val="22"/>
          <w:u w:val="single"/>
        </w:rPr>
        <w:t>sa nesmie</w:t>
      </w:r>
      <w:r w:rsidR="00B14667" w:rsidRPr="008B4AD2">
        <w:rPr>
          <w:color w:val="000000"/>
          <w:sz w:val="22"/>
          <w:szCs w:val="22"/>
          <w:u w:val="single"/>
        </w:rPr>
        <w:t xml:space="preserve"> </w:t>
      </w:r>
      <w:r w:rsidRPr="008B4AD2">
        <w:rPr>
          <w:color w:val="000000"/>
          <w:sz w:val="22"/>
          <w:szCs w:val="22"/>
          <w:u w:val="single"/>
        </w:rPr>
        <w:t xml:space="preserve">začať, ak hladiny transamináz (alanínaminotransferáza (ALT) alebo aspartátaminotransferáza (AST)) prekročia 2x </w:t>
      </w:r>
      <w:r w:rsidRPr="00932276">
        <w:rPr>
          <w:color w:val="000000"/>
          <w:sz w:val="22"/>
          <w:szCs w:val="22"/>
          <w:u w:val="single"/>
        </w:rPr>
        <w:t>ULN</w:t>
      </w:r>
      <w:r w:rsidRPr="008B4AD2">
        <w:rPr>
          <w:color w:val="000000"/>
          <w:sz w:val="22"/>
          <w:szCs w:val="22"/>
          <w:u w:val="single"/>
        </w:rPr>
        <w:t xml:space="preserve"> </w:t>
      </w:r>
      <w:r w:rsidR="00714346" w:rsidRPr="00714346">
        <w:rPr>
          <w:color w:val="000000"/>
          <w:sz w:val="22"/>
          <w:szCs w:val="22"/>
          <w:u w:val="single"/>
        </w:rPr>
        <w:t xml:space="preserve">(z angl. </w:t>
      </w:r>
      <w:r w:rsidR="00714346" w:rsidRPr="00714346">
        <w:rPr>
          <w:noProof/>
          <w:sz w:val="22"/>
          <w:szCs w:val="22"/>
          <w:u w:val="single"/>
        </w:rPr>
        <w:t>upper limit of normal</w:t>
      </w:r>
      <w:r w:rsidR="00714346" w:rsidRPr="00B64504">
        <w:rPr>
          <w:noProof/>
          <w:sz w:val="22"/>
          <w:szCs w:val="22"/>
          <w:u w:val="single"/>
        </w:rPr>
        <w:t>, horná hranica</w:t>
      </w:r>
      <w:r w:rsidR="00714346">
        <w:rPr>
          <w:noProof/>
          <w:sz w:val="22"/>
          <w:szCs w:val="22"/>
          <w:u w:val="single"/>
        </w:rPr>
        <w:t xml:space="preserve"> </w:t>
      </w:r>
      <w:r w:rsidR="00714346" w:rsidRPr="00B64504">
        <w:rPr>
          <w:noProof/>
          <w:sz w:val="22"/>
          <w:szCs w:val="22"/>
          <w:u w:val="single"/>
        </w:rPr>
        <w:t>normálneho rozmedzia</w:t>
      </w:r>
      <w:r w:rsidR="00714346">
        <w:rPr>
          <w:noProof/>
          <w:szCs w:val="22"/>
          <w:u w:val="single"/>
        </w:rPr>
        <w:t xml:space="preserve">) </w:t>
      </w:r>
      <w:r w:rsidRPr="008B4AD2">
        <w:rPr>
          <w:color w:val="000000"/>
          <w:sz w:val="22"/>
          <w:szCs w:val="22"/>
          <w:u w:val="single"/>
        </w:rPr>
        <w:t xml:space="preserve">(izolované alebo v kombinácii s bilirubínom &gt;2x </w:t>
      </w:r>
      <w:r w:rsidRPr="00932276">
        <w:rPr>
          <w:color w:val="000000"/>
          <w:sz w:val="22"/>
          <w:szCs w:val="22"/>
          <w:u w:val="single"/>
        </w:rPr>
        <w:t>ULN</w:t>
      </w:r>
      <w:r w:rsidRPr="008B4AD2">
        <w:rPr>
          <w:color w:val="000000"/>
          <w:sz w:val="22"/>
          <w:szCs w:val="22"/>
          <w:u w:val="single"/>
        </w:rPr>
        <w:t>). V priebehu liečby sa musia počas prvých 2 liečebných cyklov vykonávať testy funkcie pečene každý mesiac.</w:t>
      </w:r>
      <w:r w:rsidRPr="002B3E0B">
        <w:rPr>
          <w:color w:val="000000"/>
          <w:sz w:val="22"/>
          <w:szCs w:val="22"/>
        </w:rPr>
        <w:t xml:space="preserve"> Pri ďalších liečebných cykloch sa musia otestovať funkcie pečene jedenkrát pred začatím každého nového liečebného cyklu a ak si to vyžiada klinický stav. </w:t>
      </w:r>
      <w:r w:rsidRPr="008B4AD2">
        <w:rPr>
          <w:color w:val="000000"/>
          <w:sz w:val="22"/>
          <w:szCs w:val="22"/>
          <w:u w:val="single"/>
        </w:rPr>
        <w:t xml:space="preserve">Ak sa u pacientky vyskytnú prejavy alebo symptómy svedčiace o poškodení pečene (nevoľnosť, asténia, vracanie, bolesť pod pravým rebrovým oblúkom, nechutenstvo, žltačka), </w:t>
      </w:r>
      <w:r w:rsidR="00B14667" w:rsidRPr="008B4AD2">
        <w:rPr>
          <w:color w:val="000000"/>
          <w:sz w:val="22"/>
          <w:szCs w:val="22"/>
          <w:u w:val="single"/>
        </w:rPr>
        <w:t>liečb</w:t>
      </w:r>
      <w:r w:rsidR="00B14667">
        <w:rPr>
          <w:color w:val="000000"/>
          <w:sz w:val="22"/>
          <w:szCs w:val="22"/>
          <w:u w:val="single"/>
        </w:rPr>
        <w:t>a</w:t>
      </w:r>
      <w:r w:rsidR="00B14667" w:rsidRPr="008B4AD2">
        <w:rPr>
          <w:color w:val="000000"/>
          <w:sz w:val="22"/>
          <w:szCs w:val="22"/>
          <w:u w:val="single"/>
        </w:rPr>
        <w:t xml:space="preserve"> </w:t>
      </w:r>
      <w:r w:rsidRPr="008B4AD2">
        <w:rPr>
          <w:color w:val="000000"/>
          <w:sz w:val="22"/>
          <w:szCs w:val="22"/>
          <w:u w:val="single"/>
        </w:rPr>
        <w:t>sa má ukončiť, pacientka okamžite vyšetriť a vykonať testy funkcie pečene. U pacientok, u ktorých dôjde počas liečby k zvýšeniu hladín transamináz (ALT alebo AST) &gt;3- násobok hornej hranice normálneho rozmedzia, sa má liečba ukončiť a pacientky starostlivo sledovať. Okrem toho sa testy pečene majú vykonať 2 – 4 týždne po ukončení liečby.</w:t>
      </w:r>
    </w:p>
    <w:p w14:paraId="02C68A1E" w14:textId="15AD5D72" w:rsidR="00D402F8" w:rsidRDefault="00D402F8" w:rsidP="002B3E0B">
      <w:pPr>
        <w:overflowPunct/>
        <w:textAlignment w:val="auto"/>
        <w:rPr>
          <w:color w:val="000000"/>
          <w:sz w:val="22"/>
          <w:szCs w:val="22"/>
          <w:u w:val="single"/>
        </w:rPr>
      </w:pPr>
    </w:p>
    <w:p w14:paraId="1EE35FD0" w14:textId="77777777" w:rsidR="00D402F8" w:rsidRPr="00D402F8" w:rsidRDefault="00D402F8" w:rsidP="00D402F8">
      <w:pPr>
        <w:overflowPunct/>
        <w:textAlignment w:val="auto"/>
        <w:rPr>
          <w:color w:val="000000"/>
          <w:sz w:val="22"/>
          <w:szCs w:val="22"/>
          <w:u w:val="single"/>
        </w:rPr>
      </w:pPr>
      <w:r w:rsidRPr="00D402F8">
        <w:rPr>
          <w:color w:val="000000"/>
          <w:sz w:val="22"/>
          <w:szCs w:val="22"/>
          <w:u w:val="single"/>
        </w:rPr>
        <w:t xml:space="preserve">Súbežná liečba </w:t>
      </w:r>
    </w:p>
    <w:p w14:paraId="13DF5E98" w14:textId="74269947" w:rsidR="00D402F8" w:rsidRPr="00D402F8" w:rsidRDefault="00B14667" w:rsidP="00D402F8">
      <w:pPr>
        <w:overflowPunct/>
        <w:textAlignment w:val="auto"/>
        <w:rPr>
          <w:color w:val="000000"/>
          <w:sz w:val="22"/>
          <w:szCs w:val="22"/>
        </w:rPr>
      </w:pPr>
      <w:r>
        <w:rPr>
          <w:color w:val="000000"/>
          <w:sz w:val="22"/>
          <w:szCs w:val="22"/>
        </w:rPr>
        <w:t>Súbežné</w:t>
      </w:r>
      <w:r w:rsidRPr="00D402F8">
        <w:rPr>
          <w:color w:val="000000"/>
          <w:sz w:val="22"/>
          <w:szCs w:val="22"/>
        </w:rPr>
        <w:t xml:space="preserve"> </w:t>
      </w:r>
      <w:r w:rsidR="00D402F8" w:rsidRPr="00D402F8">
        <w:rPr>
          <w:color w:val="000000"/>
          <w:sz w:val="22"/>
          <w:szCs w:val="22"/>
        </w:rPr>
        <w:t xml:space="preserve">podávanie stredne silných (napríklad erytromycínu, grapefruitovej šťavy, verapamilu) alebo silných (napríklad ketokonazolu, ritonaviru, nefazodónu, itrakonazolu, telitromycínu, klaritromycínu) inhibítorov CYP3A4 a ulipristalacetátu sa neodporúča (pozri časť 4.5). </w:t>
      </w:r>
    </w:p>
    <w:p w14:paraId="36E688E7" w14:textId="43D06414" w:rsidR="00D402F8" w:rsidRDefault="00D402F8" w:rsidP="00D402F8">
      <w:pPr>
        <w:overflowPunct/>
        <w:textAlignment w:val="auto"/>
        <w:rPr>
          <w:color w:val="000000"/>
          <w:sz w:val="22"/>
          <w:szCs w:val="22"/>
        </w:rPr>
      </w:pPr>
      <w:r w:rsidRPr="00D402F8">
        <w:rPr>
          <w:color w:val="000000"/>
          <w:sz w:val="22"/>
          <w:szCs w:val="22"/>
        </w:rPr>
        <w:t>Súbežné užívanie ulipristalacetátu a silných induktorov CYP3A4 (napríklad rifampicínu, rifabutínu, karbamazepínu, oxkarbazepínu, fenytoínu, fosfenytoínu, fenobarbitalu, primidonu, ľubovníka bodkovaného, efavirenzu, nevirapínu, dlhodobého užívania ritonaviru) sa neodporúča (pozri časť 4.5).</w:t>
      </w:r>
    </w:p>
    <w:p w14:paraId="2C9C3C18" w14:textId="00BA1C9F" w:rsidR="00C109B6" w:rsidRDefault="00C109B6" w:rsidP="00D402F8">
      <w:pPr>
        <w:overflowPunct/>
        <w:textAlignment w:val="auto"/>
        <w:rPr>
          <w:color w:val="000000"/>
          <w:sz w:val="22"/>
          <w:szCs w:val="22"/>
        </w:rPr>
      </w:pPr>
    </w:p>
    <w:p w14:paraId="700A7C5F" w14:textId="77777777" w:rsidR="00C109B6" w:rsidRPr="00C109B6" w:rsidRDefault="00C109B6" w:rsidP="00C109B6">
      <w:pPr>
        <w:overflowPunct/>
        <w:textAlignment w:val="auto"/>
        <w:rPr>
          <w:color w:val="000000"/>
          <w:sz w:val="22"/>
          <w:szCs w:val="22"/>
          <w:u w:val="single"/>
        </w:rPr>
      </w:pPr>
      <w:r w:rsidRPr="00C109B6">
        <w:rPr>
          <w:color w:val="000000"/>
          <w:sz w:val="22"/>
          <w:szCs w:val="22"/>
          <w:u w:val="single"/>
        </w:rPr>
        <w:t xml:space="preserve">Pacientky s astmou </w:t>
      </w:r>
    </w:p>
    <w:p w14:paraId="7EE8A034" w14:textId="38895F85" w:rsidR="00C109B6" w:rsidRDefault="00C109B6" w:rsidP="00C109B6">
      <w:pPr>
        <w:overflowPunct/>
        <w:textAlignment w:val="auto"/>
        <w:rPr>
          <w:color w:val="000000"/>
          <w:sz w:val="22"/>
          <w:szCs w:val="22"/>
        </w:rPr>
      </w:pPr>
      <w:r w:rsidRPr="00C109B6">
        <w:rPr>
          <w:color w:val="000000"/>
          <w:sz w:val="22"/>
          <w:szCs w:val="22"/>
        </w:rPr>
        <w:t>Použitie u žien so závažnou astmou, ktorá nie je dostatočne kontrolovaná perorálnymi glukokortikoidmi, sa neodporúča.</w:t>
      </w:r>
    </w:p>
    <w:p w14:paraId="09225486" w14:textId="05115F0B" w:rsidR="00E80DCA" w:rsidRDefault="00E80DCA" w:rsidP="00C109B6">
      <w:pPr>
        <w:overflowPunct/>
        <w:textAlignment w:val="auto"/>
        <w:rPr>
          <w:color w:val="000000"/>
          <w:sz w:val="22"/>
          <w:szCs w:val="22"/>
        </w:rPr>
      </w:pPr>
    </w:p>
    <w:p w14:paraId="0677CB9E" w14:textId="7139F609" w:rsidR="00E80DCA" w:rsidRDefault="00E80DCA" w:rsidP="00C109B6">
      <w:pPr>
        <w:overflowPunct/>
        <w:textAlignment w:val="auto"/>
        <w:rPr>
          <w:color w:val="000000"/>
          <w:sz w:val="22"/>
          <w:szCs w:val="22"/>
          <w:u w:val="single"/>
        </w:rPr>
      </w:pPr>
      <w:r w:rsidRPr="00E80DCA">
        <w:rPr>
          <w:color w:val="000000"/>
          <w:sz w:val="22"/>
          <w:szCs w:val="22"/>
          <w:u w:val="single"/>
        </w:rPr>
        <w:t>Pomocné látky</w:t>
      </w:r>
    </w:p>
    <w:p w14:paraId="017A3A9B" w14:textId="61F049B2" w:rsidR="00E80DCA" w:rsidRDefault="00F65974" w:rsidP="00E80DCA">
      <w:pPr>
        <w:pStyle w:val="Default"/>
        <w:rPr>
          <w:sz w:val="22"/>
          <w:szCs w:val="22"/>
          <w:lang w:val="sk-SK" w:eastAsia="sk-SK"/>
        </w:rPr>
      </w:pPr>
      <w:r>
        <w:rPr>
          <w:sz w:val="22"/>
          <w:szCs w:val="22"/>
        </w:rPr>
        <w:t>Uli</w:t>
      </w:r>
      <w:r w:rsidR="001D60F7">
        <w:rPr>
          <w:sz w:val="22"/>
          <w:szCs w:val="22"/>
        </w:rPr>
        <w:t>myo</w:t>
      </w:r>
      <w:r w:rsidR="00E80DCA">
        <w:rPr>
          <w:sz w:val="22"/>
          <w:szCs w:val="22"/>
        </w:rPr>
        <w:t xml:space="preserve"> obsahuje laktózu</w:t>
      </w:r>
      <w:r w:rsidR="00E80DCA" w:rsidRPr="00E80DCA">
        <w:rPr>
          <w:sz w:val="22"/>
          <w:szCs w:val="22"/>
        </w:rPr>
        <w:t xml:space="preserve">. </w:t>
      </w:r>
      <w:r w:rsidR="00E80DCA" w:rsidRPr="00E80DCA">
        <w:rPr>
          <w:sz w:val="22"/>
          <w:szCs w:val="22"/>
          <w:lang w:val="sk-SK" w:eastAsia="sk-SK"/>
        </w:rPr>
        <w:t>Pacienti so zriedkavými dedičnými problémami galaktózovej intolerancie, celkovým deficitom laktázy alebo glukózo-galaktózovou malabsorpciou nesmú užívať tento liek.</w:t>
      </w:r>
    </w:p>
    <w:p w14:paraId="47E7F277" w14:textId="284DA6B5" w:rsidR="00CD1A35" w:rsidRDefault="00CD1A35" w:rsidP="00E80DCA">
      <w:pPr>
        <w:pStyle w:val="Default"/>
        <w:rPr>
          <w:sz w:val="22"/>
          <w:szCs w:val="22"/>
          <w:lang w:val="sk-SK" w:eastAsia="sk-SK"/>
        </w:rPr>
      </w:pPr>
    </w:p>
    <w:p w14:paraId="460141AC" w14:textId="2D7EE2EE" w:rsidR="00CD1A35" w:rsidRPr="00CD1A35" w:rsidRDefault="00CD1A35" w:rsidP="00E80DCA">
      <w:pPr>
        <w:pStyle w:val="Default"/>
        <w:rPr>
          <w:sz w:val="22"/>
          <w:szCs w:val="22"/>
          <w:lang w:val="sk-SK" w:eastAsia="sk-SK"/>
        </w:rPr>
      </w:pPr>
      <w:r w:rsidRPr="00CD1A35">
        <w:rPr>
          <w:sz w:val="22"/>
          <w:szCs w:val="22"/>
        </w:rPr>
        <w:t xml:space="preserve">Tento liek obsahuje menej ako 1 mmol sodíka (23 mg) </w:t>
      </w:r>
      <w:r w:rsidR="00714346">
        <w:rPr>
          <w:sz w:val="22"/>
          <w:szCs w:val="22"/>
        </w:rPr>
        <w:t>v</w:t>
      </w:r>
      <w:r w:rsidR="00714346" w:rsidRPr="00CD1A35">
        <w:rPr>
          <w:sz w:val="22"/>
          <w:szCs w:val="22"/>
        </w:rPr>
        <w:t xml:space="preserve"> </w:t>
      </w:r>
      <w:r w:rsidRPr="00CD1A35">
        <w:rPr>
          <w:sz w:val="22"/>
          <w:szCs w:val="22"/>
        </w:rPr>
        <w:t>tablet</w:t>
      </w:r>
      <w:r w:rsidR="00714346">
        <w:rPr>
          <w:sz w:val="22"/>
          <w:szCs w:val="22"/>
        </w:rPr>
        <w:t>e</w:t>
      </w:r>
      <w:r w:rsidRPr="00CD1A35">
        <w:rPr>
          <w:sz w:val="22"/>
          <w:szCs w:val="22"/>
        </w:rPr>
        <w:t xml:space="preserve">, </w:t>
      </w:r>
      <w:r w:rsidRPr="00714346">
        <w:rPr>
          <w:sz w:val="22"/>
          <w:szCs w:val="22"/>
        </w:rPr>
        <w:t>t</w:t>
      </w:r>
      <w:r w:rsidR="00714346">
        <w:rPr>
          <w:sz w:val="22"/>
          <w:szCs w:val="22"/>
        </w:rPr>
        <w:t xml:space="preserve">.j. </w:t>
      </w:r>
      <w:r w:rsidRPr="00714346">
        <w:rPr>
          <w:sz w:val="22"/>
          <w:szCs w:val="22"/>
        </w:rPr>
        <w:t xml:space="preserve"> v podstate </w:t>
      </w:r>
      <w:r w:rsidR="00714346">
        <w:rPr>
          <w:sz w:val="22"/>
          <w:szCs w:val="22"/>
        </w:rPr>
        <w:t>zanedbateľné množstvo sodíka.</w:t>
      </w:r>
    </w:p>
    <w:p w14:paraId="71367CF6" w14:textId="77777777" w:rsidR="00F30FAB" w:rsidRDefault="00F30FAB" w:rsidP="00F30FAB">
      <w:pPr>
        <w:tabs>
          <w:tab w:val="left" w:pos="567"/>
        </w:tabs>
        <w:rPr>
          <w:sz w:val="22"/>
          <w:szCs w:val="22"/>
        </w:rPr>
      </w:pPr>
    </w:p>
    <w:p w14:paraId="3AE43079" w14:textId="77777777" w:rsidR="00553C00" w:rsidRPr="00431EED" w:rsidRDefault="009C6218" w:rsidP="0014552F">
      <w:pPr>
        <w:tabs>
          <w:tab w:val="left" w:pos="567"/>
        </w:tabs>
        <w:rPr>
          <w:b/>
          <w:sz w:val="22"/>
          <w:szCs w:val="22"/>
        </w:rPr>
      </w:pPr>
      <w:r w:rsidRPr="00431EED">
        <w:rPr>
          <w:b/>
          <w:sz w:val="22"/>
          <w:szCs w:val="22"/>
        </w:rPr>
        <w:t>4.5</w:t>
      </w:r>
      <w:r w:rsidR="001D3D20" w:rsidRPr="00431EED">
        <w:rPr>
          <w:b/>
          <w:sz w:val="22"/>
          <w:szCs w:val="22"/>
        </w:rPr>
        <w:tab/>
        <w:t>Liekové a iné interakcie</w:t>
      </w:r>
    </w:p>
    <w:p w14:paraId="5F245F48" w14:textId="77777777" w:rsidR="00706893" w:rsidRPr="00431EED" w:rsidRDefault="00706893" w:rsidP="00706893">
      <w:pPr>
        <w:rPr>
          <w:sz w:val="22"/>
          <w:szCs w:val="22"/>
        </w:rPr>
      </w:pPr>
    </w:p>
    <w:p w14:paraId="0B274E32" w14:textId="77777777" w:rsidR="00F55FE3" w:rsidRPr="00F55FE3" w:rsidRDefault="00F55FE3" w:rsidP="00F55FE3">
      <w:pPr>
        <w:overflowPunct/>
        <w:textAlignment w:val="auto"/>
        <w:rPr>
          <w:color w:val="000000"/>
          <w:sz w:val="22"/>
          <w:szCs w:val="22"/>
          <w:u w:val="single"/>
        </w:rPr>
      </w:pPr>
      <w:r w:rsidRPr="00F55FE3">
        <w:rPr>
          <w:color w:val="000000"/>
          <w:sz w:val="22"/>
          <w:szCs w:val="22"/>
          <w:u w:val="single"/>
        </w:rPr>
        <w:t xml:space="preserve">Možné účinky iných liekov na ulipristalacetát: </w:t>
      </w:r>
    </w:p>
    <w:p w14:paraId="57153443" w14:textId="77777777" w:rsidR="00F55FE3" w:rsidRDefault="00F55FE3" w:rsidP="00F55FE3">
      <w:pPr>
        <w:overflowPunct/>
        <w:textAlignment w:val="auto"/>
        <w:rPr>
          <w:i/>
          <w:iCs/>
          <w:color w:val="000000"/>
          <w:sz w:val="22"/>
          <w:szCs w:val="22"/>
        </w:rPr>
      </w:pPr>
    </w:p>
    <w:p w14:paraId="7DEF92F3" w14:textId="4E1D5A12" w:rsidR="00F55FE3" w:rsidRPr="00F55FE3" w:rsidRDefault="00F55FE3" w:rsidP="00F55FE3">
      <w:pPr>
        <w:overflowPunct/>
        <w:textAlignment w:val="auto"/>
        <w:rPr>
          <w:color w:val="000000"/>
          <w:sz w:val="22"/>
          <w:szCs w:val="22"/>
        </w:rPr>
      </w:pPr>
      <w:r w:rsidRPr="00F55FE3">
        <w:rPr>
          <w:i/>
          <w:iCs/>
          <w:color w:val="000000"/>
          <w:sz w:val="22"/>
          <w:szCs w:val="22"/>
        </w:rPr>
        <w:t xml:space="preserve">Hormonálna antikoncepcia </w:t>
      </w:r>
    </w:p>
    <w:p w14:paraId="2399B03D" w14:textId="6AE57CB8" w:rsidR="00F55FE3" w:rsidRDefault="00F55FE3" w:rsidP="00F55FE3">
      <w:pPr>
        <w:rPr>
          <w:sz w:val="22"/>
          <w:szCs w:val="22"/>
        </w:rPr>
      </w:pPr>
      <w:r w:rsidRPr="00F55FE3">
        <w:rPr>
          <w:color w:val="000000"/>
          <w:sz w:val="22"/>
          <w:szCs w:val="22"/>
        </w:rPr>
        <w:t>Ulipristalacetát má steroidovú štruktúru a pôsobí ako selektívny modulátor receptora progesterónu s prevažne inhibičnými účinkami na receptor progesterónu. Preto je pravdepodobné, že hormonálna antikoncepcia a progestagény budú znižovať účinnosť ulipristalacetátu kompetitívnym účinkom na receptor progesterónu. Z tohto dôvodu sa súčasné podávanie liekov obsahujúcich progestagén neodporúča (pozri časti 4.4 a 4.6).</w:t>
      </w:r>
    </w:p>
    <w:p w14:paraId="6CB8D171" w14:textId="77777777" w:rsidR="00F55FE3" w:rsidRDefault="00F55FE3" w:rsidP="00706893">
      <w:pPr>
        <w:rPr>
          <w:sz w:val="22"/>
          <w:szCs w:val="22"/>
        </w:rPr>
      </w:pPr>
    </w:p>
    <w:p w14:paraId="5B07F01F" w14:textId="77777777" w:rsidR="00F55FE3" w:rsidRPr="00F55FE3" w:rsidRDefault="00F55FE3" w:rsidP="00F55FE3">
      <w:pPr>
        <w:overflowPunct/>
        <w:textAlignment w:val="auto"/>
        <w:rPr>
          <w:color w:val="000000"/>
          <w:sz w:val="22"/>
          <w:szCs w:val="22"/>
        </w:rPr>
      </w:pPr>
      <w:r w:rsidRPr="00F55FE3">
        <w:rPr>
          <w:i/>
          <w:iCs/>
          <w:color w:val="000000"/>
          <w:sz w:val="22"/>
          <w:szCs w:val="22"/>
        </w:rPr>
        <w:t xml:space="preserve">Inhibítory CYP3A4 </w:t>
      </w:r>
    </w:p>
    <w:p w14:paraId="230AB042" w14:textId="77D480A0" w:rsidR="00F55FE3" w:rsidRDefault="00F55FE3" w:rsidP="00F55FE3">
      <w:pPr>
        <w:rPr>
          <w:color w:val="000000"/>
          <w:sz w:val="22"/>
          <w:szCs w:val="22"/>
        </w:rPr>
      </w:pPr>
      <w:r w:rsidRPr="00F55FE3">
        <w:rPr>
          <w:color w:val="000000"/>
          <w:sz w:val="22"/>
          <w:szCs w:val="22"/>
        </w:rPr>
        <w:t>Po podaní stredne silného inhibítora CYP3A4 erytromycínpropionátu (500 mg dvakrát denne počas 9 dní) zdravým dobrovoľníčkam sa hodnoty C</w:t>
      </w:r>
      <w:r w:rsidRPr="00F55FE3">
        <w:rPr>
          <w:color w:val="000000"/>
          <w:sz w:val="14"/>
          <w:szCs w:val="14"/>
        </w:rPr>
        <w:t xml:space="preserve">max </w:t>
      </w:r>
      <w:r w:rsidRPr="00F55FE3">
        <w:rPr>
          <w:color w:val="000000"/>
          <w:sz w:val="22"/>
          <w:szCs w:val="22"/>
        </w:rPr>
        <w:t>ulipristalacetátu zvýšili 1,2-násobne a hodnoty AUC 2,9-násobne. Hodnoty AUC aktívneho metabolitu ulipristalacetátu sa zvýšili 1,5-násobne, zatiaľ čo hodnoty C</w:t>
      </w:r>
      <w:r w:rsidRPr="00F55FE3">
        <w:rPr>
          <w:color w:val="000000"/>
          <w:sz w:val="14"/>
          <w:szCs w:val="14"/>
        </w:rPr>
        <w:t xml:space="preserve">max </w:t>
      </w:r>
      <w:r w:rsidRPr="00F55FE3">
        <w:rPr>
          <w:color w:val="000000"/>
          <w:sz w:val="22"/>
          <w:szCs w:val="22"/>
        </w:rPr>
        <w:t>aktívneho metabolitu sa znížili (0,52-násobne).</w:t>
      </w:r>
    </w:p>
    <w:p w14:paraId="6F240746" w14:textId="77777777" w:rsidR="00F55FE3" w:rsidRPr="00F55FE3" w:rsidRDefault="00F55FE3" w:rsidP="00F55FE3">
      <w:pPr>
        <w:overflowPunct/>
        <w:textAlignment w:val="auto"/>
        <w:rPr>
          <w:color w:val="000000"/>
          <w:sz w:val="22"/>
          <w:szCs w:val="22"/>
        </w:rPr>
      </w:pPr>
      <w:r w:rsidRPr="00F55FE3">
        <w:rPr>
          <w:color w:val="000000"/>
          <w:sz w:val="22"/>
          <w:szCs w:val="22"/>
        </w:rPr>
        <w:t>Po podaní silného inhibítora CYP3A4 ketokonazolu (400 mg raz denne počas 7 dní) zdravým dobrovoľníčkam sa hodnoty C</w:t>
      </w:r>
      <w:r w:rsidRPr="00F55FE3">
        <w:rPr>
          <w:color w:val="000000"/>
          <w:sz w:val="14"/>
          <w:szCs w:val="14"/>
        </w:rPr>
        <w:t xml:space="preserve">max </w:t>
      </w:r>
      <w:r w:rsidRPr="00F55FE3">
        <w:rPr>
          <w:color w:val="000000"/>
          <w:sz w:val="22"/>
          <w:szCs w:val="22"/>
        </w:rPr>
        <w:t>ulipristalacetátu zvýšili 2-násobne a hodnoty AUC 5,9-násobne. Hodnoty AUC aktívneho metabolitu ulipristalacetátu sa zvýšili 2,4-násobne, zatiaľ čo hodnoty C</w:t>
      </w:r>
      <w:r w:rsidRPr="00F55FE3">
        <w:rPr>
          <w:color w:val="000000"/>
          <w:sz w:val="14"/>
          <w:szCs w:val="14"/>
        </w:rPr>
        <w:t xml:space="preserve">max </w:t>
      </w:r>
      <w:r w:rsidRPr="00F55FE3">
        <w:rPr>
          <w:color w:val="000000"/>
          <w:sz w:val="22"/>
          <w:szCs w:val="22"/>
        </w:rPr>
        <w:t xml:space="preserve">aktívneho metabolitu sa znížili (0,53-násobne). </w:t>
      </w:r>
    </w:p>
    <w:p w14:paraId="34CA6877" w14:textId="478156EC" w:rsidR="00F55FE3" w:rsidRDefault="00F55FE3" w:rsidP="00F55FE3">
      <w:pPr>
        <w:rPr>
          <w:color w:val="000000"/>
          <w:sz w:val="22"/>
          <w:szCs w:val="22"/>
        </w:rPr>
      </w:pPr>
      <w:r w:rsidRPr="00F55FE3">
        <w:rPr>
          <w:color w:val="000000"/>
          <w:sz w:val="22"/>
          <w:szCs w:val="22"/>
        </w:rPr>
        <w:t>Úprava dávok ulipristalacetátu sa u pacientok súčasne užívajúcich mierne inhibítory CYP3A4 nepovažuje za potrebnú. Súčasné podávanie stredne silných alebo silných inhibítorov CYP3A4 a ulipristalacetátu sa neodporúča (pozri časť 4.4).</w:t>
      </w:r>
    </w:p>
    <w:p w14:paraId="47F07772" w14:textId="6F2336D7" w:rsidR="00F55FE3" w:rsidRDefault="00F55FE3" w:rsidP="00F55FE3">
      <w:pPr>
        <w:rPr>
          <w:color w:val="000000"/>
          <w:sz w:val="22"/>
          <w:szCs w:val="22"/>
        </w:rPr>
      </w:pPr>
    </w:p>
    <w:p w14:paraId="38C41E8A" w14:textId="77777777" w:rsidR="00F55FE3" w:rsidRPr="00F55FE3" w:rsidRDefault="00F55FE3" w:rsidP="00F55FE3">
      <w:pPr>
        <w:overflowPunct/>
        <w:textAlignment w:val="auto"/>
        <w:rPr>
          <w:color w:val="000000"/>
          <w:sz w:val="22"/>
          <w:szCs w:val="22"/>
        </w:rPr>
      </w:pPr>
      <w:r w:rsidRPr="00F55FE3">
        <w:rPr>
          <w:i/>
          <w:iCs/>
          <w:color w:val="000000"/>
          <w:sz w:val="22"/>
          <w:szCs w:val="22"/>
        </w:rPr>
        <w:t xml:space="preserve">Induktory CYP3A4 </w:t>
      </w:r>
    </w:p>
    <w:p w14:paraId="34FBBB8F" w14:textId="01887DA7" w:rsidR="00F55FE3" w:rsidRDefault="00F55FE3" w:rsidP="00F55FE3">
      <w:pPr>
        <w:rPr>
          <w:color w:val="000000"/>
          <w:sz w:val="22"/>
          <w:szCs w:val="22"/>
        </w:rPr>
      </w:pPr>
      <w:r w:rsidRPr="00F55FE3">
        <w:rPr>
          <w:color w:val="000000"/>
          <w:sz w:val="22"/>
          <w:szCs w:val="22"/>
        </w:rPr>
        <w:t>Podávanie silného induktora CYP3A4 rifampicínu (300 mg dvakrát denne počas 9 dní) zdravým dobrovoľníčkam výrazne znížilo hodnoty C</w:t>
      </w:r>
      <w:r w:rsidRPr="00F55FE3">
        <w:rPr>
          <w:color w:val="000000"/>
          <w:sz w:val="14"/>
          <w:szCs w:val="14"/>
        </w:rPr>
        <w:t xml:space="preserve">max </w:t>
      </w:r>
      <w:r w:rsidRPr="00F55FE3">
        <w:rPr>
          <w:color w:val="000000"/>
          <w:sz w:val="22"/>
          <w:szCs w:val="22"/>
        </w:rPr>
        <w:t>a AUC ulipristalacetátu a jeho aktívneho metabolitu o 90 % alebo viac a znížilo polčas ulipristalacetátu 2,2-násobne, čo zodpovedá približne 10- násobnému zníženiu expozície ulipristalacetátu. Súčasné užívanie ulipristalacetátu a silných induktorov CYP3A4 (napríklad rifampicínu, rifabutínu, karbamazepínu, oxkarbazepínu, fenytoínu, fosfenytoínu, fenobarbitalu, primidonu, ľubovníka bodkovaného, efavirenzu, nevirapínu, dlhodobého užívania ritonaviru) sa neodporúča (pozri časť 4.4).</w:t>
      </w:r>
    </w:p>
    <w:p w14:paraId="6C491820" w14:textId="4B2F8720" w:rsidR="00F55FE3" w:rsidRDefault="00F55FE3" w:rsidP="00F55FE3">
      <w:pPr>
        <w:rPr>
          <w:color w:val="000000"/>
          <w:sz w:val="22"/>
          <w:szCs w:val="22"/>
        </w:rPr>
      </w:pPr>
    </w:p>
    <w:p w14:paraId="0782CE72" w14:textId="77777777" w:rsidR="00F55FE3" w:rsidRPr="00F55FE3" w:rsidRDefault="00F55FE3" w:rsidP="00F55FE3">
      <w:pPr>
        <w:overflowPunct/>
        <w:textAlignment w:val="auto"/>
        <w:rPr>
          <w:color w:val="000000"/>
          <w:sz w:val="22"/>
          <w:szCs w:val="22"/>
        </w:rPr>
      </w:pPr>
      <w:r w:rsidRPr="00F55FE3">
        <w:rPr>
          <w:i/>
          <w:iCs/>
          <w:color w:val="000000"/>
          <w:sz w:val="22"/>
          <w:szCs w:val="22"/>
        </w:rPr>
        <w:t xml:space="preserve">Lieky ovplyvňujúce pH žalúdka </w:t>
      </w:r>
    </w:p>
    <w:p w14:paraId="795FB39C" w14:textId="01BD87AD" w:rsidR="00F55FE3" w:rsidRDefault="00F55FE3" w:rsidP="00F55FE3">
      <w:pPr>
        <w:rPr>
          <w:color w:val="000000"/>
          <w:sz w:val="22"/>
          <w:szCs w:val="22"/>
        </w:rPr>
      </w:pPr>
      <w:r w:rsidRPr="00F55FE3">
        <w:rPr>
          <w:color w:val="000000"/>
          <w:sz w:val="22"/>
          <w:szCs w:val="22"/>
        </w:rPr>
        <w:t>Podávanie ulipristalacetátu (10 mg tablety) spolu s inhibítorom protónovej pumpy ezomeprazolom (20 mg denne počas 6 dní) viedlo k strednej hodnote C</w:t>
      </w:r>
      <w:r w:rsidRPr="00F55FE3">
        <w:rPr>
          <w:color w:val="000000"/>
          <w:sz w:val="14"/>
          <w:szCs w:val="14"/>
        </w:rPr>
        <w:t xml:space="preserve">max </w:t>
      </w:r>
      <w:r w:rsidRPr="00F55FE3">
        <w:rPr>
          <w:color w:val="000000"/>
          <w:sz w:val="22"/>
          <w:szCs w:val="22"/>
        </w:rPr>
        <w:t>nižšej približne o 65 %, k oneskoreniu hodnoty t</w:t>
      </w:r>
      <w:r w:rsidRPr="00F55FE3">
        <w:rPr>
          <w:color w:val="000000"/>
          <w:sz w:val="14"/>
          <w:szCs w:val="14"/>
        </w:rPr>
        <w:t xml:space="preserve">max </w:t>
      </w:r>
      <w:r w:rsidRPr="00F55FE3">
        <w:rPr>
          <w:color w:val="000000"/>
          <w:sz w:val="22"/>
          <w:szCs w:val="22"/>
        </w:rPr>
        <w:t>(z mediánu 0,75 hodiny na 1,0 hodinu) a k strednej hodnote AUC vyššej o 13 %. Neočakáva sa, že tento účinok liekov, ktoré zvyšujú hodnotu pH žalúdka, bude klinicky relevantný pre každodenné podávanie tabliet ulipristalacetátu.</w:t>
      </w:r>
    </w:p>
    <w:p w14:paraId="5F0AAF38" w14:textId="37F0DA1A" w:rsidR="008941BC" w:rsidRDefault="008941BC" w:rsidP="00F55FE3">
      <w:pPr>
        <w:rPr>
          <w:color w:val="000000"/>
          <w:sz w:val="22"/>
          <w:szCs w:val="22"/>
        </w:rPr>
      </w:pPr>
    </w:p>
    <w:p w14:paraId="4C31126B" w14:textId="086A140B" w:rsidR="008941BC" w:rsidRDefault="008941BC" w:rsidP="008941BC">
      <w:pPr>
        <w:overflowPunct/>
        <w:textAlignment w:val="auto"/>
        <w:rPr>
          <w:color w:val="000000"/>
          <w:sz w:val="22"/>
          <w:szCs w:val="22"/>
          <w:u w:val="single"/>
        </w:rPr>
      </w:pPr>
      <w:r w:rsidRPr="00844F46">
        <w:rPr>
          <w:color w:val="000000"/>
          <w:sz w:val="22"/>
          <w:szCs w:val="22"/>
          <w:u w:val="single"/>
        </w:rPr>
        <w:t xml:space="preserve">Možné účinky ulipristalacetátu na iné lieky: </w:t>
      </w:r>
    </w:p>
    <w:p w14:paraId="688FA57D" w14:textId="77777777" w:rsidR="00844F46" w:rsidRPr="00844F46" w:rsidRDefault="00844F46" w:rsidP="008941BC">
      <w:pPr>
        <w:overflowPunct/>
        <w:textAlignment w:val="auto"/>
        <w:rPr>
          <w:color w:val="000000"/>
          <w:sz w:val="22"/>
          <w:szCs w:val="22"/>
          <w:u w:val="single"/>
        </w:rPr>
      </w:pPr>
    </w:p>
    <w:p w14:paraId="119C7C99" w14:textId="77777777" w:rsidR="008941BC" w:rsidRPr="008941BC" w:rsidRDefault="008941BC" w:rsidP="008941BC">
      <w:pPr>
        <w:overflowPunct/>
        <w:textAlignment w:val="auto"/>
        <w:rPr>
          <w:color w:val="000000"/>
          <w:sz w:val="22"/>
          <w:szCs w:val="22"/>
        </w:rPr>
      </w:pPr>
      <w:r w:rsidRPr="008941BC">
        <w:rPr>
          <w:i/>
          <w:iCs/>
          <w:color w:val="000000"/>
          <w:sz w:val="22"/>
          <w:szCs w:val="22"/>
        </w:rPr>
        <w:t xml:space="preserve">Hormonálna antikoncepcia </w:t>
      </w:r>
    </w:p>
    <w:p w14:paraId="3B64B85F" w14:textId="77777777" w:rsidR="008941BC" w:rsidRPr="008941BC" w:rsidRDefault="008941BC" w:rsidP="008941BC">
      <w:pPr>
        <w:overflowPunct/>
        <w:textAlignment w:val="auto"/>
        <w:rPr>
          <w:color w:val="000000"/>
          <w:sz w:val="22"/>
          <w:szCs w:val="22"/>
        </w:rPr>
      </w:pPr>
      <w:r w:rsidRPr="008941BC">
        <w:rPr>
          <w:color w:val="000000"/>
          <w:sz w:val="22"/>
          <w:szCs w:val="22"/>
        </w:rPr>
        <w:t xml:space="preserve">Ulipristalacetát môže narušiť účinok hormonálnej antikoncepcie (tabliet obsahujúcich len progestagén, teliesok uvoľňujúcich progestagén alebo kombinovaných perorálnych antikoncepčných tabliet) a progestagénu podávaného z iných dôvodov. Z tohto dôvodu sa súčasné podávanie liekov obsahujúcich progestagén neodporúča (pozri časti 4.4 a 4.6). Lieky obsahujúce progestagén sa nemajú užívať ani 12 dní po ukončení liečby ulipristalacetátom. </w:t>
      </w:r>
    </w:p>
    <w:p w14:paraId="3B5235C7" w14:textId="77777777" w:rsidR="008941BC" w:rsidRDefault="008941BC" w:rsidP="008941BC">
      <w:pPr>
        <w:overflowPunct/>
        <w:textAlignment w:val="auto"/>
        <w:rPr>
          <w:i/>
          <w:iCs/>
          <w:color w:val="000000"/>
          <w:sz w:val="22"/>
          <w:szCs w:val="22"/>
        </w:rPr>
      </w:pPr>
    </w:p>
    <w:p w14:paraId="2201F698" w14:textId="6C2AA6E9" w:rsidR="008941BC" w:rsidRPr="008941BC" w:rsidRDefault="008941BC" w:rsidP="008941BC">
      <w:pPr>
        <w:overflowPunct/>
        <w:textAlignment w:val="auto"/>
        <w:rPr>
          <w:color w:val="000000"/>
          <w:sz w:val="22"/>
          <w:szCs w:val="22"/>
        </w:rPr>
      </w:pPr>
      <w:r w:rsidRPr="008941BC">
        <w:rPr>
          <w:i/>
          <w:iCs/>
          <w:color w:val="000000"/>
          <w:sz w:val="22"/>
          <w:szCs w:val="22"/>
        </w:rPr>
        <w:t xml:space="preserve">Substráty P-gp </w:t>
      </w:r>
    </w:p>
    <w:p w14:paraId="2DEBF15C" w14:textId="405DF624" w:rsidR="008941BC" w:rsidRDefault="008941BC" w:rsidP="008941BC">
      <w:pPr>
        <w:rPr>
          <w:sz w:val="22"/>
          <w:szCs w:val="22"/>
        </w:rPr>
      </w:pPr>
      <w:r w:rsidRPr="008941BC">
        <w:rPr>
          <w:color w:val="000000"/>
          <w:sz w:val="22"/>
          <w:szCs w:val="22"/>
        </w:rPr>
        <w:t xml:space="preserve">Z údajov </w:t>
      </w:r>
      <w:r w:rsidRPr="008941BC">
        <w:rPr>
          <w:i/>
          <w:iCs/>
          <w:color w:val="000000"/>
          <w:sz w:val="22"/>
          <w:szCs w:val="22"/>
        </w:rPr>
        <w:t xml:space="preserve">in vitro </w:t>
      </w:r>
      <w:r w:rsidRPr="008941BC">
        <w:rPr>
          <w:color w:val="000000"/>
          <w:sz w:val="22"/>
          <w:szCs w:val="22"/>
        </w:rPr>
        <w:t xml:space="preserve">vyplýva, že ulipristalacetát môže byť inhibítorom P-gp v klinicky relevantných koncentráciách v stene gastrointestinálneho traktu počas absorpcie. Súbežné podávanie ulipristalacetátu a substrátu P-gp nebolo študované a nedá sa vylúčiť interakcia. Výsledky štúdií </w:t>
      </w:r>
      <w:r w:rsidRPr="008941BC">
        <w:rPr>
          <w:i/>
          <w:iCs/>
          <w:color w:val="000000"/>
          <w:sz w:val="22"/>
          <w:szCs w:val="22"/>
        </w:rPr>
        <w:t xml:space="preserve">in vivo </w:t>
      </w:r>
      <w:r w:rsidRPr="008941BC">
        <w:rPr>
          <w:color w:val="000000"/>
          <w:sz w:val="22"/>
          <w:szCs w:val="22"/>
        </w:rPr>
        <w:t>ukazujú, že ulipristalacetát (podaný ako jedna 10 mg tableta) 1,5 hodiny pred podaním substrátu P-gp fexofenadínu (60 mg) nemá žiadny klinicky relevantný účinok na farmakokinetiku fexofenadínu. Z tohto dôvodu sa medzi súčasným podávaním ulipristalacetátu a substrátov P-gp (napríklad dabigatranetexilátu, digoxínu, fexofenadínu) odporúča dodržať odstup minimálne 1,5 hodiny.</w:t>
      </w:r>
    </w:p>
    <w:p w14:paraId="74C513D9" w14:textId="77777777" w:rsidR="00F55FE3" w:rsidRDefault="00F55FE3" w:rsidP="00706893">
      <w:pPr>
        <w:rPr>
          <w:sz w:val="22"/>
          <w:szCs w:val="22"/>
        </w:rPr>
      </w:pPr>
    </w:p>
    <w:p w14:paraId="6902B8B0" w14:textId="77777777" w:rsidR="001D3D20" w:rsidRPr="00431EED" w:rsidRDefault="00434B1D" w:rsidP="00F16331">
      <w:pPr>
        <w:numPr>
          <w:ilvl w:val="1"/>
          <w:numId w:val="30"/>
        </w:numPr>
        <w:tabs>
          <w:tab w:val="clear" w:pos="705"/>
          <w:tab w:val="left" w:pos="567"/>
        </w:tabs>
        <w:ind w:left="0" w:firstLine="0"/>
        <w:rPr>
          <w:b/>
          <w:sz w:val="22"/>
          <w:szCs w:val="22"/>
        </w:rPr>
      </w:pPr>
      <w:r w:rsidRPr="00431EED">
        <w:rPr>
          <w:b/>
          <w:sz w:val="22"/>
          <w:szCs w:val="22"/>
        </w:rPr>
        <w:t>Fertilita, gravidita a</w:t>
      </w:r>
      <w:r w:rsidR="00A227FA" w:rsidRPr="00431EED">
        <w:rPr>
          <w:b/>
          <w:sz w:val="22"/>
          <w:szCs w:val="22"/>
        </w:rPr>
        <w:t> </w:t>
      </w:r>
      <w:r w:rsidRPr="00431EED">
        <w:rPr>
          <w:b/>
          <w:sz w:val="22"/>
          <w:szCs w:val="22"/>
        </w:rPr>
        <w:t>laktácia</w:t>
      </w:r>
    </w:p>
    <w:p w14:paraId="28741633" w14:textId="77777777" w:rsidR="00A227FA" w:rsidRPr="00431EED" w:rsidRDefault="00A227FA" w:rsidP="00B5622C">
      <w:pPr>
        <w:tabs>
          <w:tab w:val="left" w:pos="567"/>
        </w:tabs>
        <w:rPr>
          <w:b/>
          <w:sz w:val="22"/>
          <w:szCs w:val="22"/>
        </w:rPr>
      </w:pPr>
    </w:p>
    <w:p w14:paraId="1441A4FF" w14:textId="77777777" w:rsidR="008941BC" w:rsidRPr="008941BC" w:rsidRDefault="008941BC" w:rsidP="008941BC">
      <w:pPr>
        <w:overflowPunct/>
        <w:textAlignment w:val="auto"/>
        <w:rPr>
          <w:color w:val="000000"/>
          <w:sz w:val="22"/>
          <w:szCs w:val="22"/>
          <w:u w:val="single"/>
        </w:rPr>
      </w:pPr>
      <w:r w:rsidRPr="008941BC">
        <w:rPr>
          <w:color w:val="000000"/>
          <w:sz w:val="22"/>
          <w:szCs w:val="22"/>
          <w:u w:val="single"/>
        </w:rPr>
        <w:t xml:space="preserve">Antikoncepcia u žien </w:t>
      </w:r>
    </w:p>
    <w:p w14:paraId="35637C8A" w14:textId="4825C8F0" w:rsidR="008941BC" w:rsidRDefault="008941BC" w:rsidP="008941BC">
      <w:pPr>
        <w:overflowPunct/>
        <w:textAlignment w:val="auto"/>
        <w:rPr>
          <w:color w:val="000000"/>
          <w:sz w:val="22"/>
          <w:szCs w:val="22"/>
        </w:rPr>
      </w:pPr>
      <w:r w:rsidRPr="008941BC">
        <w:rPr>
          <w:color w:val="000000"/>
          <w:sz w:val="22"/>
          <w:szCs w:val="22"/>
        </w:rPr>
        <w:t xml:space="preserve">Ulipristalacetát bude pravdepodobne nepriaznivo reagovať s tabletami obsahujúcimi len progestagén, s telieskami uvoľňujúcimi progestagén alebo s kombinovanými perorálnymi antikoncepčnými tabletami, preto sa ich súčasné užívanie neodporúča. Hoci väčšina žien užívajúcich terapeutickú dávku ulipristalacetátu má anovuláciu, počas liečby sa odporúča nehormonálna antikoncepčná metóda (pozri časti 4.4 a 4.5). </w:t>
      </w:r>
    </w:p>
    <w:p w14:paraId="6C9A7FD8" w14:textId="77777777" w:rsidR="008941BC" w:rsidRPr="008941BC" w:rsidRDefault="008941BC" w:rsidP="008941BC">
      <w:pPr>
        <w:overflowPunct/>
        <w:textAlignment w:val="auto"/>
        <w:rPr>
          <w:color w:val="000000"/>
          <w:sz w:val="22"/>
          <w:szCs w:val="22"/>
        </w:rPr>
      </w:pPr>
    </w:p>
    <w:p w14:paraId="44AD92EC" w14:textId="77777777" w:rsidR="008941BC" w:rsidRPr="008941BC" w:rsidRDefault="008941BC" w:rsidP="008941BC">
      <w:pPr>
        <w:overflowPunct/>
        <w:textAlignment w:val="auto"/>
        <w:rPr>
          <w:color w:val="000000"/>
          <w:sz w:val="22"/>
          <w:szCs w:val="22"/>
          <w:u w:val="single"/>
        </w:rPr>
      </w:pPr>
      <w:r w:rsidRPr="008941BC">
        <w:rPr>
          <w:color w:val="000000"/>
          <w:sz w:val="22"/>
          <w:szCs w:val="22"/>
          <w:u w:val="single"/>
        </w:rPr>
        <w:t xml:space="preserve">Gravidita </w:t>
      </w:r>
    </w:p>
    <w:p w14:paraId="51EA4AF0" w14:textId="77777777" w:rsidR="008941BC" w:rsidRPr="008941BC" w:rsidRDefault="008941BC" w:rsidP="008941BC">
      <w:pPr>
        <w:overflowPunct/>
        <w:textAlignment w:val="auto"/>
        <w:rPr>
          <w:color w:val="000000"/>
          <w:sz w:val="22"/>
          <w:szCs w:val="22"/>
        </w:rPr>
      </w:pPr>
      <w:r w:rsidRPr="008941BC">
        <w:rPr>
          <w:color w:val="000000"/>
          <w:sz w:val="22"/>
          <w:szCs w:val="22"/>
        </w:rPr>
        <w:t xml:space="preserve">Ulipristalacetát je kontraindikovaný počas gravidity (pozri časť 4.3). </w:t>
      </w:r>
    </w:p>
    <w:p w14:paraId="791BFDD1" w14:textId="415F25D6" w:rsidR="00553C00" w:rsidRDefault="008941BC" w:rsidP="008941BC">
      <w:pPr>
        <w:tabs>
          <w:tab w:val="left" w:pos="567"/>
        </w:tabs>
        <w:rPr>
          <w:color w:val="000000"/>
          <w:sz w:val="22"/>
          <w:szCs w:val="22"/>
        </w:rPr>
      </w:pPr>
      <w:r w:rsidRPr="008941BC">
        <w:rPr>
          <w:color w:val="000000"/>
          <w:sz w:val="22"/>
          <w:szCs w:val="22"/>
        </w:rPr>
        <w:t>Neexistujú žiadne údaje alebo len obmedzené množstvo údajov o užívaní ulipristalacetátu gravidnými ženami.</w:t>
      </w:r>
    </w:p>
    <w:p w14:paraId="24C2A9FF" w14:textId="7E276771" w:rsidR="008941BC" w:rsidRDefault="008941BC" w:rsidP="008941BC">
      <w:pPr>
        <w:overflowPunct/>
        <w:textAlignment w:val="auto"/>
        <w:rPr>
          <w:color w:val="000000"/>
          <w:sz w:val="22"/>
          <w:szCs w:val="22"/>
        </w:rPr>
      </w:pPr>
      <w:r w:rsidRPr="008941BC">
        <w:rPr>
          <w:color w:val="000000"/>
          <w:sz w:val="22"/>
          <w:szCs w:val="22"/>
        </w:rPr>
        <w:t xml:space="preserve">Aj keď nebol pozorovaný teratogénny potenciál, štúdie na zvieratách sú nedostatočné, pokiaľ ide o reprodukčnú toxicitu (pozri časť 5.3). </w:t>
      </w:r>
    </w:p>
    <w:p w14:paraId="48B8627F" w14:textId="77777777" w:rsidR="008941BC" w:rsidRPr="008941BC" w:rsidRDefault="008941BC" w:rsidP="008941BC">
      <w:pPr>
        <w:overflowPunct/>
        <w:textAlignment w:val="auto"/>
        <w:rPr>
          <w:color w:val="000000"/>
          <w:sz w:val="22"/>
          <w:szCs w:val="22"/>
        </w:rPr>
      </w:pPr>
    </w:p>
    <w:p w14:paraId="5B005A20" w14:textId="77777777" w:rsidR="008941BC" w:rsidRPr="008941BC" w:rsidRDefault="008941BC" w:rsidP="008941BC">
      <w:pPr>
        <w:overflowPunct/>
        <w:textAlignment w:val="auto"/>
        <w:rPr>
          <w:color w:val="000000"/>
          <w:sz w:val="22"/>
          <w:szCs w:val="22"/>
          <w:u w:val="single"/>
        </w:rPr>
      </w:pPr>
      <w:r w:rsidRPr="008941BC">
        <w:rPr>
          <w:color w:val="000000"/>
          <w:sz w:val="22"/>
          <w:szCs w:val="22"/>
          <w:u w:val="single"/>
        </w:rPr>
        <w:t xml:space="preserve">Dojčenie </w:t>
      </w:r>
    </w:p>
    <w:p w14:paraId="06F8C6C2" w14:textId="77777777" w:rsidR="008941BC" w:rsidRDefault="008941BC" w:rsidP="008941BC">
      <w:pPr>
        <w:overflowPunct/>
        <w:textAlignment w:val="auto"/>
        <w:rPr>
          <w:color w:val="000000"/>
          <w:sz w:val="22"/>
          <w:szCs w:val="22"/>
        </w:rPr>
      </w:pPr>
      <w:r w:rsidRPr="008941BC">
        <w:rPr>
          <w:color w:val="000000"/>
          <w:sz w:val="22"/>
          <w:szCs w:val="22"/>
        </w:rPr>
        <w:t>Dostupné toxikologické údaje u zvierat preukázali vylučovanie ulipristalacetátu do mlieka (podrobnosti, pozri časť 5.3). Ulipristalacetát sa vylučuje do ľudského mlieka. Vplyv na novorodencov/dojčatá nebol skúmaný. Riziko pre novorodencov/dojčatá nemožno vylúčiť. Ulipristalacetát je kontraindikovaný počas dojčenia (pozri časti 4.3 a 5.2).</w:t>
      </w:r>
    </w:p>
    <w:p w14:paraId="378E75B3" w14:textId="64A77322" w:rsidR="008941BC" w:rsidRPr="008941BC" w:rsidRDefault="008941BC" w:rsidP="008941BC">
      <w:pPr>
        <w:overflowPunct/>
        <w:textAlignment w:val="auto"/>
        <w:rPr>
          <w:color w:val="000000"/>
          <w:sz w:val="22"/>
          <w:szCs w:val="22"/>
        </w:rPr>
      </w:pPr>
      <w:r w:rsidRPr="008941BC">
        <w:rPr>
          <w:color w:val="000000"/>
          <w:sz w:val="22"/>
          <w:szCs w:val="22"/>
        </w:rPr>
        <w:t xml:space="preserve"> </w:t>
      </w:r>
    </w:p>
    <w:p w14:paraId="6F461DC1" w14:textId="77777777" w:rsidR="008941BC" w:rsidRPr="008941BC" w:rsidRDefault="008941BC" w:rsidP="008941BC">
      <w:pPr>
        <w:overflowPunct/>
        <w:textAlignment w:val="auto"/>
        <w:rPr>
          <w:color w:val="000000"/>
          <w:sz w:val="22"/>
          <w:szCs w:val="22"/>
          <w:u w:val="single"/>
        </w:rPr>
      </w:pPr>
      <w:r w:rsidRPr="008941BC">
        <w:rPr>
          <w:color w:val="000000"/>
          <w:sz w:val="22"/>
          <w:szCs w:val="22"/>
          <w:u w:val="single"/>
        </w:rPr>
        <w:t xml:space="preserve">Fertilita </w:t>
      </w:r>
    </w:p>
    <w:p w14:paraId="7A3B4965" w14:textId="0D087C72" w:rsidR="008941BC" w:rsidRDefault="008941BC" w:rsidP="008941BC">
      <w:pPr>
        <w:tabs>
          <w:tab w:val="left" w:pos="567"/>
        </w:tabs>
        <w:rPr>
          <w:color w:val="000000"/>
          <w:sz w:val="22"/>
          <w:szCs w:val="22"/>
        </w:rPr>
      </w:pPr>
      <w:r w:rsidRPr="008941BC">
        <w:rPr>
          <w:color w:val="000000"/>
          <w:sz w:val="22"/>
          <w:szCs w:val="22"/>
        </w:rPr>
        <w:t>Väčšina žien užívajúcich terapeutické dávky ulipristalacetátu má anovuláciu, avšak úroveň fertility počas užívania viacerých dávok ulipristalacetátu sa neštudovala.</w:t>
      </w:r>
    </w:p>
    <w:p w14:paraId="199ADC9C" w14:textId="650E132D" w:rsidR="008941BC" w:rsidRDefault="008941BC" w:rsidP="008941BC">
      <w:pPr>
        <w:tabs>
          <w:tab w:val="left" w:pos="567"/>
        </w:tabs>
        <w:rPr>
          <w:color w:val="000000"/>
          <w:sz w:val="22"/>
          <w:szCs w:val="22"/>
        </w:rPr>
      </w:pPr>
    </w:p>
    <w:p w14:paraId="41E537D5" w14:textId="77777777" w:rsidR="00553C00" w:rsidRPr="00431EED" w:rsidRDefault="009C6218" w:rsidP="00DE4A15">
      <w:pPr>
        <w:tabs>
          <w:tab w:val="left" w:pos="567"/>
        </w:tabs>
        <w:rPr>
          <w:b/>
          <w:sz w:val="22"/>
          <w:szCs w:val="22"/>
        </w:rPr>
      </w:pPr>
      <w:r w:rsidRPr="00431EED">
        <w:rPr>
          <w:b/>
          <w:sz w:val="22"/>
          <w:szCs w:val="22"/>
        </w:rPr>
        <w:t>4.7</w:t>
      </w:r>
      <w:r w:rsidR="00553C00" w:rsidRPr="00431EED">
        <w:rPr>
          <w:b/>
          <w:sz w:val="22"/>
          <w:szCs w:val="22"/>
        </w:rPr>
        <w:tab/>
        <w:t>Ovplyvnenie schopnosti viesť vozidlá a obsluhovať stroje</w:t>
      </w:r>
    </w:p>
    <w:p w14:paraId="119BB86E" w14:textId="77777777" w:rsidR="00AA5693" w:rsidRPr="00431EED" w:rsidRDefault="00AA5693" w:rsidP="00DE4A15">
      <w:pPr>
        <w:tabs>
          <w:tab w:val="left" w:pos="567"/>
        </w:tabs>
        <w:rPr>
          <w:sz w:val="22"/>
          <w:szCs w:val="22"/>
        </w:rPr>
      </w:pPr>
    </w:p>
    <w:p w14:paraId="5B34CC36" w14:textId="7300EAC8" w:rsidR="00553C00" w:rsidRDefault="00D64458" w:rsidP="00DE4A15">
      <w:pPr>
        <w:tabs>
          <w:tab w:val="left" w:pos="567"/>
        </w:tabs>
        <w:rPr>
          <w:sz w:val="22"/>
          <w:szCs w:val="22"/>
        </w:rPr>
      </w:pPr>
      <w:r>
        <w:rPr>
          <w:sz w:val="22"/>
          <w:szCs w:val="22"/>
        </w:rPr>
        <w:t>Ulipristalacetát môže mať malý vplyv na schopnosť viesť vozidlá alebo obsluhovať stroje, keďže po jeho užití boli pozorované mierne závraty.</w:t>
      </w:r>
    </w:p>
    <w:p w14:paraId="053BFCF6" w14:textId="77777777" w:rsidR="00D64458" w:rsidRPr="00431EED" w:rsidRDefault="00D64458" w:rsidP="00DE4A15">
      <w:pPr>
        <w:tabs>
          <w:tab w:val="left" w:pos="567"/>
        </w:tabs>
        <w:rPr>
          <w:sz w:val="22"/>
          <w:szCs w:val="22"/>
        </w:rPr>
      </w:pPr>
    </w:p>
    <w:p w14:paraId="138B279C" w14:textId="77777777" w:rsidR="00553C00" w:rsidRPr="00431EED" w:rsidRDefault="00553C00" w:rsidP="00DE4A15">
      <w:pPr>
        <w:tabs>
          <w:tab w:val="left" w:pos="567"/>
        </w:tabs>
        <w:rPr>
          <w:i/>
          <w:sz w:val="22"/>
          <w:szCs w:val="22"/>
          <w:u w:val="single"/>
        </w:rPr>
      </w:pPr>
      <w:r w:rsidRPr="00431EED">
        <w:rPr>
          <w:b/>
          <w:sz w:val="22"/>
          <w:szCs w:val="22"/>
        </w:rPr>
        <w:t>4.8</w:t>
      </w:r>
      <w:r w:rsidRPr="00431EED">
        <w:rPr>
          <w:b/>
          <w:sz w:val="22"/>
          <w:szCs w:val="22"/>
        </w:rPr>
        <w:tab/>
        <w:t>Nežiaduce účinky</w:t>
      </w:r>
    </w:p>
    <w:p w14:paraId="5C7B460A" w14:textId="77777777" w:rsidR="00AA5693" w:rsidRPr="00431EED" w:rsidRDefault="00AA5693" w:rsidP="00770F18">
      <w:pPr>
        <w:tabs>
          <w:tab w:val="left" w:pos="567"/>
        </w:tabs>
        <w:rPr>
          <w:sz w:val="22"/>
          <w:szCs w:val="22"/>
        </w:rPr>
      </w:pPr>
    </w:p>
    <w:p w14:paraId="5E27AE7D" w14:textId="77777777" w:rsidR="009B3062" w:rsidRPr="009B3062" w:rsidRDefault="009B3062" w:rsidP="009B3062">
      <w:pPr>
        <w:overflowPunct/>
        <w:textAlignment w:val="auto"/>
        <w:rPr>
          <w:color w:val="000000"/>
          <w:sz w:val="22"/>
          <w:szCs w:val="22"/>
          <w:u w:val="single"/>
        </w:rPr>
      </w:pPr>
      <w:r w:rsidRPr="009B3062">
        <w:rPr>
          <w:color w:val="000000"/>
          <w:sz w:val="22"/>
          <w:szCs w:val="22"/>
          <w:u w:val="single"/>
        </w:rPr>
        <w:t xml:space="preserve">Súhrn bezpečnostného profilu lieku </w:t>
      </w:r>
    </w:p>
    <w:p w14:paraId="335DE7F3" w14:textId="77777777" w:rsidR="009B3062" w:rsidRPr="009B3062" w:rsidRDefault="009B3062" w:rsidP="009B3062">
      <w:pPr>
        <w:overflowPunct/>
        <w:textAlignment w:val="auto"/>
        <w:rPr>
          <w:color w:val="000000"/>
          <w:sz w:val="22"/>
          <w:szCs w:val="22"/>
        </w:rPr>
      </w:pPr>
      <w:r w:rsidRPr="009B3062">
        <w:rPr>
          <w:color w:val="000000"/>
          <w:sz w:val="22"/>
          <w:szCs w:val="22"/>
        </w:rPr>
        <w:t xml:space="preserve">Bezpečnosť ulipristalacetátu bola hodnotená na 1 053 ženách s myómami maternice liečených 5 mg alebo 10 mg ulipristalacetátu počas štúdií III. fázy. Najčastejším zistením klinických skúšok bola amenorea (79,2 %), čo sa považuje za žiaduci výsledok pre pacientky (pozri časť 4.4). </w:t>
      </w:r>
    </w:p>
    <w:p w14:paraId="34981664" w14:textId="77777777" w:rsidR="009B3062" w:rsidRPr="009B3062" w:rsidRDefault="009B3062" w:rsidP="009B3062">
      <w:pPr>
        <w:overflowPunct/>
        <w:textAlignment w:val="auto"/>
        <w:rPr>
          <w:color w:val="000000"/>
          <w:sz w:val="22"/>
          <w:szCs w:val="22"/>
        </w:rPr>
      </w:pPr>
      <w:r w:rsidRPr="009B3062">
        <w:rPr>
          <w:color w:val="000000"/>
          <w:sz w:val="22"/>
          <w:szCs w:val="22"/>
        </w:rPr>
        <w:t xml:space="preserve">Najčastejšou nežiaducou reakciou boli návaly tepla. Veľká väčšina nežiaducich reakcií bola mierna a stredne závažná (95,0 %), neviedla k prerušeniu užívania lieku (98,0 %) a spontánne ustúpila. </w:t>
      </w:r>
    </w:p>
    <w:p w14:paraId="4F81B2C2" w14:textId="7D149B83" w:rsidR="00847460" w:rsidRDefault="009B3062" w:rsidP="009B3062">
      <w:pPr>
        <w:pStyle w:val="Normlnywebov"/>
        <w:spacing w:before="0" w:beforeAutospacing="0" w:after="0" w:afterAutospacing="0"/>
        <w:rPr>
          <w:color w:val="000000"/>
          <w:sz w:val="22"/>
          <w:szCs w:val="22"/>
        </w:rPr>
      </w:pPr>
      <w:r w:rsidRPr="009B3062">
        <w:rPr>
          <w:color w:val="000000"/>
          <w:sz w:val="22"/>
          <w:szCs w:val="22"/>
        </w:rPr>
        <w:t>Bezpečnosť opakovaných oddelených liečebných cyklov (každý obmedzený na 3 mesiace) bola v rámci tejto skupiny 1 053 žien hodnotená u 551 žien s myómami maternice liečených 5 alebo 10 mg ulipristalacetátu v rámci dvoch štúdií III. fázy (vrátane 446 žien, ktoré absolvovali štyri oddelené liečebné cykly, z ktorých 53 absolvovalo osem oddelených liečebných cyklov) a preukázala podobný bezpečnostný profil ako v prípade jedného liečebného cyklu.</w:t>
      </w:r>
    </w:p>
    <w:p w14:paraId="1A9EE747" w14:textId="5D1B5DD7" w:rsidR="00515AB8" w:rsidRDefault="00515AB8" w:rsidP="009B3062">
      <w:pPr>
        <w:pStyle w:val="Normlnywebov"/>
        <w:spacing w:before="0" w:beforeAutospacing="0" w:after="0" w:afterAutospacing="0"/>
        <w:rPr>
          <w:color w:val="000000"/>
          <w:sz w:val="22"/>
          <w:szCs w:val="22"/>
        </w:rPr>
      </w:pPr>
    </w:p>
    <w:p w14:paraId="0597A3B2" w14:textId="77777777" w:rsidR="00515AB8" w:rsidRPr="00336BB6" w:rsidRDefault="00515AB8" w:rsidP="00515AB8">
      <w:pPr>
        <w:overflowPunct/>
        <w:textAlignment w:val="auto"/>
        <w:rPr>
          <w:color w:val="000000"/>
          <w:sz w:val="22"/>
          <w:szCs w:val="22"/>
          <w:u w:val="single"/>
        </w:rPr>
      </w:pPr>
      <w:r w:rsidRPr="00336BB6">
        <w:rPr>
          <w:color w:val="000000"/>
          <w:sz w:val="22"/>
          <w:szCs w:val="22"/>
          <w:u w:val="single"/>
        </w:rPr>
        <w:t xml:space="preserve">Tabuľkový súhrn nežiaducich reakcií </w:t>
      </w:r>
    </w:p>
    <w:p w14:paraId="7DEBF325" w14:textId="39214EDF" w:rsidR="00515AB8" w:rsidRDefault="00515AB8" w:rsidP="00515AB8">
      <w:pPr>
        <w:pStyle w:val="Normlnywebov"/>
        <w:spacing w:before="0" w:beforeAutospacing="0" w:after="0" w:afterAutospacing="0"/>
        <w:rPr>
          <w:color w:val="000000"/>
          <w:sz w:val="22"/>
          <w:szCs w:val="22"/>
        </w:rPr>
      </w:pPr>
      <w:r w:rsidRPr="00515AB8">
        <w:rPr>
          <w:color w:val="000000"/>
          <w:sz w:val="22"/>
          <w:szCs w:val="22"/>
        </w:rPr>
        <w:t xml:space="preserve">Na základe súhrnných údajov zo štyroch štúdií III. fázy u pacientok s myómami maternice liečených počas 3 mesiacov boli hlásené nasledujúce nežiaduce reakcie. Nežiaduce reakcie uvedené nižšie sú usporiadané podľa frekvencie a triedy orgánových systémov. V rámci jednotlivých skupín frekvencií sú nežiaduce reakcie usporiadané v poradí klesajúcej závažnosti. Frekvencie sú definované ako veľmi časté </w:t>
      </w:r>
      <w:r>
        <w:t>(</w:t>
      </w:r>
      <w:r>
        <w:rPr>
          <w:szCs w:val="22"/>
        </w:rPr>
        <w:t>≥</w:t>
      </w:r>
      <w:r w:rsidRPr="00515AB8">
        <w:rPr>
          <w:color w:val="000000"/>
          <w:sz w:val="22"/>
          <w:szCs w:val="22"/>
        </w:rPr>
        <w:t xml:space="preserve"> 1/10), časté (</w:t>
      </w:r>
      <w:r>
        <w:rPr>
          <w:szCs w:val="22"/>
        </w:rPr>
        <w:t>(≥</w:t>
      </w:r>
      <w:r w:rsidRPr="00515AB8">
        <w:rPr>
          <w:color w:val="000000"/>
          <w:sz w:val="22"/>
          <w:szCs w:val="22"/>
        </w:rPr>
        <w:t xml:space="preserve"> 1/100 až &lt; 1/10), menej časté (</w:t>
      </w:r>
      <w:r w:rsidR="00523D2D">
        <w:rPr>
          <w:szCs w:val="22"/>
        </w:rPr>
        <w:t>(≥</w:t>
      </w:r>
      <w:r w:rsidRPr="00515AB8">
        <w:rPr>
          <w:color w:val="000000"/>
          <w:sz w:val="22"/>
          <w:szCs w:val="22"/>
        </w:rPr>
        <w:t xml:space="preserve"> 1/1 000 až &lt; 1/100), zriedkavé (</w:t>
      </w:r>
      <w:r w:rsidR="00523D2D">
        <w:rPr>
          <w:szCs w:val="22"/>
        </w:rPr>
        <w:t>(≥</w:t>
      </w:r>
      <w:r w:rsidRPr="00515AB8">
        <w:rPr>
          <w:color w:val="000000"/>
          <w:sz w:val="22"/>
          <w:szCs w:val="22"/>
        </w:rPr>
        <w:t xml:space="preserve"> 1/10 000 až &lt; 1/1 000), veľmi zriedkavé (&lt; 1/10 000) a neznáme (z dostupných údajov).</w:t>
      </w:r>
    </w:p>
    <w:p w14:paraId="3049D041" w14:textId="77777777" w:rsidR="00E46F31" w:rsidRDefault="00E46F31" w:rsidP="00E46F3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76"/>
        <w:gridCol w:w="1375"/>
        <w:gridCol w:w="1823"/>
        <w:gridCol w:w="1859"/>
        <w:gridCol w:w="1260"/>
        <w:gridCol w:w="1239"/>
      </w:tblGrid>
      <w:tr w:rsidR="00E46F31" w:rsidRPr="00E46F31" w14:paraId="2D626D09" w14:textId="77777777" w:rsidTr="007A7A86">
        <w:trPr>
          <w:tblHeader/>
        </w:trPr>
        <w:tc>
          <w:tcPr>
            <w:tcW w:w="1678" w:type="dxa"/>
            <w:vMerge w:val="restart"/>
            <w:shd w:val="clear" w:color="auto" w:fill="auto"/>
          </w:tcPr>
          <w:p w14:paraId="105B183D" w14:textId="77777777" w:rsidR="00B07FC4" w:rsidRDefault="00B07FC4" w:rsidP="00B07FC4">
            <w:pPr>
              <w:pStyle w:val="Default"/>
              <w:rPr>
                <w:sz w:val="22"/>
                <w:szCs w:val="22"/>
              </w:rPr>
            </w:pPr>
            <w:r>
              <w:rPr>
                <w:b/>
                <w:bCs/>
                <w:sz w:val="22"/>
                <w:szCs w:val="22"/>
              </w:rPr>
              <w:t xml:space="preserve">Trieda orgánových systémov </w:t>
            </w:r>
          </w:p>
          <w:p w14:paraId="1AC72BF3" w14:textId="7D9816F7" w:rsidR="00E46F31" w:rsidRPr="00E46F31" w:rsidRDefault="00E46F31" w:rsidP="007A7A86">
            <w:pPr>
              <w:rPr>
                <w:b/>
                <w:sz w:val="22"/>
                <w:szCs w:val="22"/>
              </w:rPr>
            </w:pPr>
          </w:p>
        </w:tc>
        <w:tc>
          <w:tcPr>
            <w:tcW w:w="6317" w:type="dxa"/>
            <w:gridSpan w:val="4"/>
            <w:shd w:val="clear" w:color="auto" w:fill="auto"/>
          </w:tcPr>
          <w:p w14:paraId="65EDD70D" w14:textId="5D3BD268" w:rsidR="00E46F31" w:rsidRPr="00E46F31" w:rsidRDefault="00E36978" w:rsidP="00E36978">
            <w:pPr>
              <w:pStyle w:val="Default"/>
              <w:rPr>
                <w:b/>
                <w:sz w:val="22"/>
                <w:szCs w:val="22"/>
              </w:rPr>
            </w:pPr>
            <w:r>
              <w:rPr>
                <w:b/>
                <w:bCs/>
                <w:sz w:val="22"/>
                <w:szCs w:val="22"/>
              </w:rPr>
              <w:t>Nežiaduce reakcie v priebehu liečebného cyklu 1</w:t>
            </w:r>
          </w:p>
        </w:tc>
        <w:tc>
          <w:tcPr>
            <w:tcW w:w="1239" w:type="dxa"/>
          </w:tcPr>
          <w:p w14:paraId="705FFC64" w14:textId="77777777" w:rsidR="00E46F31" w:rsidRPr="00E46F31" w:rsidRDefault="00E46F31" w:rsidP="007A7A86">
            <w:pPr>
              <w:rPr>
                <w:b/>
                <w:sz w:val="22"/>
                <w:szCs w:val="22"/>
              </w:rPr>
            </w:pPr>
          </w:p>
        </w:tc>
      </w:tr>
      <w:tr w:rsidR="00E46F31" w:rsidRPr="00E46F31" w14:paraId="6BAE71C8" w14:textId="77777777" w:rsidTr="007A7A86">
        <w:trPr>
          <w:tblHeader/>
        </w:trPr>
        <w:tc>
          <w:tcPr>
            <w:tcW w:w="1678" w:type="dxa"/>
            <w:vMerge/>
            <w:shd w:val="clear" w:color="auto" w:fill="auto"/>
          </w:tcPr>
          <w:p w14:paraId="33FDAA8B" w14:textId="77777777" w:rsidR="00E46F31" w:rsidRPr="00E46F31" w:rsidRDefault="00E46F31" w:rsidP="007A7A86">
            <w:pPr>
              <w:rPr>
                <w:b/>
                <w:sz w:val="22"/>
                <w:szCs w:val="22"/>
              </w:rPr>
            </w:pPr>
          </w:p>
        </w:tc>
        <w:tc>
          <w:tcPr>
            <w:tcW w:w="1375" w:type="dxa"/>
            <w:shd w:val="clear" w:color="auto" w:fill="auto"/>
          </w:tcPr>
          <w:p w14:paraId="47104A59" w14:textId="77777777" w:rsidR="00E36978" w:rsidRDefault="00E36978" w:rsidP="00E36978">
            <w:pPr>
              <w:pStyle w:val="Default"/>
              <w:rPr>
                <w:sz w:val="22"/>
                <w:szCs w:val="22"/>
              </w:rPr>
            </w:pPr>
            <w:r>
              <w:rPr>
                <w:b/>
                <w:bCs/>
                <w:sz w:val="22"/>
                <w:szCs w:val="22"/>
              </w:rPr>
              <w:t xml:space="preserve">Veľmi časté </w:t>
            </w:r>
          </w:p>
          <w:p w14:paraId="258459C9" w14:textId="19F1508B" w:rsidR="00E46F31" w:rsidRPr="00E46F31" w:rsidRDefault="00E46F31" w:rsidP="007A7A86">
            <w:pPr>
              <w:rPr>
                <w:b/>
                <w:sz w:val="22"/>
                <w:szCs w:val="22"/>
              </w:rPr>
            </w:pPr>
          </w:p>
        </w:tc>
        <w:tc>
          <w:tcPr>
            <w:tcW w:w="1823" w:type="dxa"/>
            <w:shd w:val="clear" w:color="auto" w:fill="auto"/>
          </w:tcPr>
          <w:p w14:paraId="0AAA6EC1" w14:textId="77777777" w:rsidR="00E36978" w:rsidRDefault="00E36978" w:rsidP="00E36978">
            <w:pPr>
              <w:pStyle w:val="Default"/>
              <w:rPr>
                <w:sz w:val="22"/>
                <w:szCs w:val="22"/>
              </w:rPr>
            </w:pPr>
            <w:r>
              <w:rPr>
                <w:b/>
                <w:bCs/>
                <w:sz w:val="22"/>
                <w:szCs w:val="22"/>
              </w:rPr>
              <w:t xml:space="preserve">Časté </w:t>
            </w:r>
          </w:p>
          <w:p w14:paraId="61752BD7" w14:textId="1C77E196" w:rsidR="00E46F31" w:rsidRPr="00E46F31" w:rsidRDefault="00E46F31" w:rsidP="007A7A86">
            <w:pPr>
              <w:rPr>
                <w:b/>
                <w:sz w:val="22"/>
                <w:szCs w:val="22"/>
              </w:rPr>
            </w:pPr>
          </w:p>
        </w:tc>
        <w:tc>
          <w:tcPr>
            <w:tcW w:w="1859" w:type="dxa"/>
            <w:shd w:val="clear" w:color="auto" w:fill="auto"/>
          </w:tcPr>
          <w:p w14:paraId="5F8E33C4" w14:textId="77777777" w:rsidR="00E36978" w:rsidRDefault="00E36978" w:rsidP="00E36978">
            <w:pPr>
              <w:pStyle w:val="Default"/>
              <w:rPr>
                <w:sz w:val="22"/>
                <w:szCs w:val="22"/>
              </w:rPr>
            </w:pPr>
            <w:r>
              <w:rPr>
                <w:b/>
                <w:bCs/>
                <w:sz w:val="22"/>
                <w:szCs w:val="22"/>
              </w:rPr>
              <w:t xml:space="preserve">Menej časté </w:t>
            </w:r>
          </w:p>
          <w:p w14:paraId="671FBD4E" w14:textId="2E165935" w:rsidR="00E46F31" w:rsidRPr="00E46F31" w:rsidRDefault="00E46F31" w:rsidP="007A7A86">
            <w:pPr>
              <w:rPr>
                <w:b/>
                <w:sz w:val="22"/>
                <w:szCs w:val="22"/>
              </w:rPr>
            </w:pPr>
          </w:p>
        </w:tc>
        <w:tc>
          <w:tcPr>
            <w:tcW w:w="1260" w:type="dxa"/>
            <w:shd w:val="clear" w:color="auto" w:fill="auto"/>
          </w:tcPr>
          <w:p w14:paraId="5107978D" w14:textId="77777777" w:rsidR="00E36978" w:rsidRDefault="00E36978" w:rsidP="00E36978">
            <w:pPr>
              <w:pStyle w:val="Default"/>
              <w:rPr>
                <w:sz w:val="22"/>
                <w:szCs w:val="22"/>
              </w:rPr>
            </w:pPr>
            <w:r>
              <w:rPr>
                <w:b/>
                <w:bCs/>
                <w:sz w:val="22"/>
                <w:szCs w:val="22"/>
              </w:rPr>
              <w:t xml:space="preserve">Zriedkavé </w:t>
            </w:r>
          </w:p>
          <w:p w14:paraId="47AE503F" w14:textId="54E6C2BC" w:rsidR="00E46F31" w:rsidRPr="00E46F31" w:rsidRDefault="00E46F31" w:rsidP="007A7A86">
            <w:pPr>
              <w:rPr>
                <w:b/>
                <w:sz w:val="22"/>
                <w:szCs w:val="22"/>
              </w:rPr>
            </w:pPr>
          </w:p>
        </w:tc>
        <w:tc>
          <w:tcPr>
            <w:tcW w:w="1239" w:type="dxa"/>
          </w:tcPr>
          <w:p w14:paraId="35427201" w14:textId="77777777" w:rsidR="00E36978" w:rsidRDefault="00E36978" w:rsidP="00E36978">
            <w:pPr>
              <w:pStyle w:val="Default"/>
              <w:rPr>
                <w:sz w:val="22"/>
                <w:szCs w:val="22"/>
              </w:rPr>
            </w:pPr>
            <w:r>
              <w:rPr>
                <w:b/>
                <w:bCs/>
                <w:sz w:val="22"/>
                <w:szCs w:val="22"/>
              </w:rPr>
              <w:t xml:space="preserve">Frekvencia: </w:t>
            </w:r>
          </w:p>
          <w:p w14:paraId="054964D8" w14:textId="4A179F14" w:rsidR="00E46F31" w:rsidRPr="00E46F31" w:rsidRDefault="00E36978" w:rsidP="00E36978">
            <w:pPr>
              <w:rPr>
                <w:b/>
                <w:sz w:val="22"/>
                <w:szCs w:val="22"/>
              </w:rPr>
            </w:pPr>
            <w:r>
              <w:rPr>
                <w:b/>
                <w:bCs/>
                <w:sz w:val="22"/>
                <w:szCs w:val="22"/>
              </w:rPr>
              <w:t xml:space="preserve">neznáme </w:t>
            </w:r>
          </w:p>
        </w:tc>
      </w:tr>
      <w:tr w:rsidR="00E46F31" w:rsidRPr="00E46F31" w14:paraId="2276946B" w14:textId="77777777" w:rsidTr="007A7A86">
        <w:tc>
          <w:tcPr>
            <w:tcW w:w="1678" w:type="dxa"/>
            <w:shd w:val="clear" w:color="auto" w:fill="auto"/>
          </w:tcPr>
          <w:p w14:paraId="1E4FF228" w14:textId="5A9CA8F9" w:rsidR="00E46F31" w:rsidRPr="00E46F31" w:rsidRDefault="00901FE7" w:rsidP="00901FE7">
            <w:pPr>
              <w:pStyle w:val="Default"/>
              <w:rPr>
                <w:sz w:val="22"/>
                <w:szCs w:val="22"/>
              </w:rPr>
            </w:pPr>
            <w:r>
              <w:rPr>
                <w:sz w:val="22"/>
                <w:szCs w:val="22"/>
              </w:rPr>
              <w:t xml:space="preserve">Poruchy imunitného systému </w:t>
            </w:r>
          </w:p>
        </w:tc>
        <w:tc>
          <w:tcPr>
            <w:tcW w:w="1375" w:type="dxa"/>
            <w:shd w:val="clear" w:color="auto" w:fill="auto"/>
          </w:tcPr>
          <w:p w14:paraId="7C099C9A" w14:textId="77777777" w:rsidR="00E46F31" w:rsidRPr="00E46F31" w:rsidRDefault="00E46F31" w:rsidP="007A7A86">
            <w:pPr>
              <w:rPr>
                <w:sz w:val="22"/>
                <w:szCs w:val="22"/>
              </w:rPr>
            </w:pPr>
          </w:p>
        </w:tc>
        <w:tc>
          <w:tcPr>
            <w:tcW w:w="1823" w:type="dxa"/>
            <w:shd w:val="clear" w:color="auto" w:fill="auto"/>
          </w:tcPr>
          <w:p w14:paraId="17C9C95E" w14:textId="77777777" w:rsidR="00E46F31" w:rsidRPr="00E46F31" w:rsidRDefault="00E46F31" w:rsidP="007A7A86">
            <w:pPr>
              <w:rPr>
                <w:sz w:val="22"/>
                <w:szCs w:val="22"/>
              </w:rPr>
            </w:pPr>
          </w:p>
        </w:tc>
        <w:tc>
          <w:tcPr>
            <w:tcW w:w="1859" w:type="dxa"/>
            <w:shd w:val="clear" w:color="auto" w:fill="auto"/>
          </w:tcPr>
          <w:p w14:paraId="7D03DA89" w14:textId="77777777" w:rsidR="00E36978" w:rsidRDefault="00E36978" w:rsidP="00E36978">
            <w:pPr>
              <w:pStyle w:val="Default"/>
              <w:rPr>
                <w:sz w:val="22"/>
                <w:szCs w:val="22"/>
              </w:rPr>
            </w:pPr>
            <w:r>
              <w:rPr>
                <w:sz w:val="22"/>
                <w:szCs w:val="22"/>
              </w:rPr>
              <w:t xml:space="preserve">Precitlivenosť na liek* </w:t>
            </w:r>
          </w:p>
          <w:p w14:paraId="0C4D1902" w14:textId="5E94A6DB" w:rsidR="00E46F31" w:rsidRPr="00E46F31" w:rsidRDefault="00E46F31" w:rsidP="007A7A86">
            <w:pPr>
              <w:rPr>
                <w:sz w:val="22"/>
                <w:szCs w:val="22"/>
              </w:rPr>
            </w:pPr>
          </w:p>
        </w:tc>
        <w:tc>
          <w:tcPr>
            <w:tcW w:w="1260" w:type="dxa"/>
            <w:shd w:val="clear" w:color="auto" w:fill="auto"/>
          </w:tcPr>
          <w:p w14:paraId="04C50911" w14:textId="77777777" w:rsidR="00E46F31" w:rsidRPr="00E46F31" w:rsidRDefault="00E46F31" w:rsidP="007A7A86">
            <w:pPr>
              <w:rPr>
                <w:sz w:val="22"/>
                <w:szCs w:val="22"/>
              </w:rPr>
            </w:pPr>
          </w:p>
        </w:tc>
        <w:tc>
          <w:tcPr>
            <w:tcW w:w="1239" w:type="dxa"/>
          </w:tcPr>
          <w:p w14:paraId="15F99284" w14:textId="77777777" w:rsidR="00E46F31" w:rsidRPr="00E46F31" w:rsidRDefault="00E46F31" w:rsidP="007A7A86">
            <w:pPr>
              <w:rPr>
                <w:sz w:val="22"/>
                <w:szCs w:val="22"/>
              </w:rPr>
            </w:pPr>
          </w:p>
        </w:tc>
      </w:tr>
      <w:tr w:rsidR="00E46F31" w:rsidRPr="00E46F31" w14:paraId="58FDE61D" w14:textId="77777777" w:rsidTr="007A7A86">
        <w:tc>
          <w:tcPr>
            <w:tcW w:w="1678" w:type="dxa"/>
            <w:shd w:val="clear" w:color="auto" w:fill="auto"/>
          </w:tcPr>
          <w:p w14:paraId="3A2884C5" w14:textId="6D23069A" w:rsidR="00E46F31" w:rsidRPr="00E46F31" w:rsidRDefault="00AE6A0D" w:rsidP="00AE6A0D">
            <w:pPr>
              <w:pStyle w:val="Default"/>
              <w:rPr>
                <w:sz w:val="22"/>
                <w:szCs w:val="22"/>
              </w:rPr>
            </w:pPr>
            <w:r>
              <w:rPr>
                <w:sz w:val="22"/>
                <w:szCs w:val="22"/>
              </w:rPr>
              <w:t>Psychické poruchy</w:t>
            </w:r>
          </w:p>
        </w:tc>
        <w:tc>
          <w:tcPr>
            <w:tcW w:w="1375" w:type="dxa"/>
            <w:shd w:val="clear" w:color="auto" w:fill="auto"/>
          </w:tcPr>
          <w:p w14:paraId="3F7A4060" w14:textId="77777777" w:rsidR="00E46F31" w:rsidRPr="00E46F31" w:rsidRDefault="00E46F31" w:rsidP="007A7A86">
            <w:pPr>
              <w:rPr>
                <w:sz w:val="22"/>
                <w:szCs w:val="22"/>
              </w:rPr>
            </w:pPr>
          </w:p>
        </w:tc>
        <w:tc>
          <w:tcPr>
            <w:tcW w:w="1823" w:type="dxa"/>
            <w:shd w:val="clear" w:color="auto" w:fill="auto"/>
          </w:tcPr>
          <w:p w14:paraId="50046F4D" w14:textId="77777777" w:rsidR="00E46F31" w:rsidRPr="00E46F31" w:rsidRDefault="00E46F31" w:rsidP="007A7A86">
            <w:pPr>
              <w:rPr>
                <w:sz w:val="22"/>
                <w:szCs w:val="22"/>
              </w:rPr>
            </w:pPr>
          </w:p>
        </w:tc>
        <w:tc>
          <w:tcPr>
            <w:tcW w:w="1859" w:type="dxa"/>
            <w:shd w:val="clear" w:color="auto" w:fill="auto"/>
          </w:tcPr>
          <w:p w14:paraId="124BE17A" w14:textId="77777777" w:rsidR="003703EE" w:rsidRDefault="003703EE" w:rsidP="003703EE">
            <w:pPr>
              <w:pStyle w:val="Default"/>
              <w:rPr>
                <w:sz w:val="22"/>
                <w:szCs w:val="22"/>
              </w:rPr>
            </w:pPr>
            <w:r>
              <w:rPr>
                <w:sz w:val="22"/>
                <w:szCs w:val="22"/>
              </w:rPr>
              <w:t xml:space="preserve">Úzkosť </w:t>
            </w:r>
          </w:p>
          <w:p w14:paraId="7DBA8920" w14:textId="5214281F" w:rsidR="00E46F31" w:rsidRPr="00E46F31" w:rsidRDefault="003703EE" w:rsidP="003703EE">
            <w:pPr>
              <w:rPr>
                <w:sz w:val="22"/>
                <w:szCs w:val="22"/>
              </w:rPr>
            </w:pPr>
            <w:r>
              <w:rPr>
                <w:sz w:val="22"/>
                <w:szCs w:val="22"/>
              </w:rPr>
              <w:t xml:space="preserve">Emocionálne poruchy </w:t>
            </w:r>
          </w:p>
        </w:tc>
        <w:tc>
          <w:tcPr>
            <w:tcW w:w="1260" w:type="dxa"/>
            <w:shd w:val="clear" w:color="auto" w:fill="auto"/>
          </w:tcPr>
          <w:p w14:paraId="782B8EE0" w14:textId="77777777" w:rsidR="00E46F31" w:rsidRPr="00E46F31" w:rsidRDefault="00E46F31" w:rsidP="007A7A86">
            <w:pPr>
              <w:rPr>
                <w:sz w:val="22"/>
                <w:szCs w:val="22"/>
              </w:rPr>
            </w:pPr>
          </w:p>
        </w:tc>
        <w:tc>
          <w:tcPr>
            <w:tcW w:w="1239" w:type="dxa"/>
          </w:tcPr>
          <w:p w14:paraId="3A152A20" w14:textId="77777777" w:rsidR="00E46F31" w:rsidRPr="00E46F31" w:rsidRDefault="00E46F31" w:rsidP="007A7A86">
            <w:pPr>
              <w:rPr>
                <w:sz w:val="22"/>
                <w:szCs w:val="22"/>
              </w:rPr>
            </w:pPr>
          </w:p>
        </w:tc>
      </w:tr>
      <w:tr w:rsidR="00E46F31" w:rsidRPr="00E46F31" w14:paraId="0B305AF6" w14:textId="77777777" w:rsidTr="007A7A86">
        <w:tc>
          <w:tcPr>
            <w:tcW w:w="1678" w:type="dxa"/>
            <w:shd w:val="clear" w:color="auto" w:fill="auto"/>
          </w:tcPr>
          <w:p w14:paraId="1F71D43C" w14:textId="09D2B8D4" w:rsidR="00E46F31" w:rsidRPr="00E46F31" w:rsidRDefault="00AE6A0D" w:rsidP="00AE6A0D">
            <w:pPr>
              <w:pStyle w:val="Default"/>
              <w:rPr>
                <w:sz w:val="22"/>
                <w:szCs w:val="22"/>
              </w:rPr>
            </w:pPr>
            <w:r>
              <w:rPr>
                <w:sz w:val="22"/>
                <w:szCs w:val="22"/>
              </w:rPr>
              <w:t>Poruchy nervového systému</w:t>
            </w:r>
          </w:p>
        </w:tc>
        <w:tc>
          <w:tcPr>
            <w:tcW w:w="1375" w:type="dxa"/>
            <w:shd w:val="clear" w:color="auto" w:fill="auto"/>
          </w:tcPr>
          <w:p w14:paraId="6CE7B246" w14:textId="77777777" w:rsidR="00E46F31" w:rsidRPr="00E46F31" w:rsidRDefault="00E46F31" w:rsidP="007A7A86">
            <w:pPr>
              <w:rPr>
                <w:sz w:val="22"/>
                <w:szCs w:val="22"/>
              </w:rPr>
            </w:pPr>
          </w:p>
        </w:tc>
        <w:tc>
          <w:tcPr>
            <w:tcW w:w="1823" w:type="dxa"/>
            <w:shd w:val="clear" w:color="auto" w:fill="auto"/>
          </w:tcPr>
          <w:p w14:paraId="7B8DB8AD" w14:textId="77777777" w:rsidR="003703EE" w:rsidRDefault="003703EE" w:rsidP="003703EE">
            <w:pPr>
              <w:pStyle w:val="Default"/>
              <w:rPr>
                <w:sz w:val="22"/>
                <w:szCs w:val="22"/>
              </w:rPr>
            </w:pPr>
            <w:r>
              <w:rPr>
                <w:sz w:val="22"/>
                <w:szCs w:val="22"/>
              </w:rPr>
              <w:t xml:space="preserve">Bolesť hlavy* </w:t>
            </w:r>
          </w:p>
          <w:p w14:paraId="0FAF1547" w14:textId="5E65EBA5" w:rsidR="00E46F31" w:rsidRPr="00E46F31" w:rsidRDefault="00E46F31" w:rsidP="007A7A86">
            <w:pPr>
              <w:rPr>
                <w:sz w:val="22"/>
                <w:szCs w:val="22"/>
              </w:rPr>
            </w:pPr>
          </w:p>
        </w:tc>
        <w:tc>
          <w:tcPr>
            <w:tcW w:w="1859" w:type="dxa"/>
            <w:shd w:val="clear" w:color="auto" w:fill="auto"/>
          </w:tcPr>
          <w:p w14:paraId="6B9C498A" w14:textId="77777777" w:rsidR="003703EE" w:rsidRDefault="003703EE" w:rsidP="003703EE">
            <w:pPr>
              <w:pStyle w:val="Default"/>
              <w:rPr>
                <w:sz w:val="22"/>
                <w:szCs w:val="22"/>
              </w:rPr>
            </w:pPr>
            <w:r>
              <w:rPr>
                <w:sz w:val="22"/>
                <w:szCs w:val="22"/>
              </w:rPr>
              <w:t xml:space="preserve">Závraty </w:t>
            </w:r>
          </w:p>
          <w:p w14:paraId="4AD0035C" w14:textId="59FD4857" w:rsidR="00E46F31" w:rsidRPr="00E46F31" w:rsidRDefault="00E46F31" w:rsidP="007A7A86">
            <w:pPr>
              <w:rPr>
                <w:sz w:val="22"/>
                <w:szCs w:val="22"/>
              </w:rPr>
            </w:pPr>
          </w:p>
        </w:tc>
        <w:tc>
          <w:tcPr>
            <w:tcW w:w="1260" w:type="dxa"/>
            <w:shd w:val="clear" w:color="auto" w:fill="auto"/>
          </w:tcPr>
          <w:p w14:paraId="291DAD9A" w14:textId="77777777" w:rsidR="00E46F31" w:rsidRPr="00E46F31" w:rsidRDefault="00E46F31" w:rsidP="007A7A86">
            <w:pPr>
              <w:rPr>
                <w:sz w:val="22"/>
                <w:szCs w:val="22"/>
              </w:rPr>
            </w:pPr>
          </w:p>
        </w:tc>
        <w:tc>
          <w:tcPr>
            <w:tcW w:w="1239" w:type="dxa"/>
          </w:tcPr>
          <w:p w14:paraId="7299A3DD" w14:textId="77777777" w:rsidR="00E46F31" w:rsidRPr="00E46F31" w:rsidRDefault="00E46F31" w:rsidP="007A7A86">
            <w:pPr>
              <w:rPr>
                <w:sz w:val="22"/>
                <w:szCs w:val="22"/>
              </w:rPr>
            </w:pPr>
          </w:p>
        </w:tc>
      </w:tr>
      <w:tr w:rsidR="00E46F31" w:rsidRPr="00E46F31" w14:paraId="5D8D633F" w14:textId="77777777" w:rsidTr="007A7A86">
        <w:tc>
          <w:tcPr>
            <w:tcW w:w="1678" w:type="dxa"/>
            <w:shd w:val="clear" w:color="auto" w:fill="auto"/>
          </w:tcPr>
          <w:p w14:paraId="591E44A4" w14:textId="3CCD8289" w:rsidR="00E46F31" w:rsidRPr="00E46F31" w:rsidRDefault="00FE634E" w:rsidP="00FE634E">
            <w:pPr>
              <w:pStyle w:val="Default"/>
              <w:rPr>
                <w:sz w:val="22"/>
                <w:szCs w:val="22"/>
              </w:rPr>
            </w:pPr>
            <w:r>
              <w:rPr>
                <w:sz w:val="22"/>
                <w:szCs w:val="22"/>
              </w:rPr>
              <w:t xml:space="preserve">Poruchy ucha a labyrintu </w:t>
            </w:r>
          </w:p>
        </w:tc>
        <w:tc>
          <w:tcPr>
            <w:tcW w:w="1375" w:type="dxa"/>
            <w:shd w:val="clear" w:color="auto" w:fill="auto"/>
          </w:tcPr>
          <w:p w14:paraId="793C2709" w14:textId="77777777" w:rsidR="00E46F31" w:rsidRPr="00E46F31" w:rsidRDefault="00E46F31" w:rsidP="007A7A86">
            <w:pPr>
              <w:rPr>
                <w:sz w:val="22"/>
                <w:szCs w:val="22"/>
              </w:rPr>
            </w:pPr>
          </w:p>
        </w:tc>
        <w:tc>
          <w:tcPr>
            <w:tcW w:w="1823" w:type="dxa"/>
            <w:shd w:val="clear" w:color="auto" w:fill="auto"/>
          </w:tcPr>
          <w:p w14:paraId="13B26DD9" w14:textId="77777777" w:rsidR="00E46F31" w:rsidRPr="00E46F31" w:rsidRDefault="00E46F31" w:rsidP="007A7A86">
            <w:pPr>
              <w:rPr>
                <w:sz w:val="22"/>
                <w:szCs w:val="22"/>
              </w:rPr>
            </w:pPr>
            <w:r w:rsidRPr="00E46F31">
              <w:rPr>
                <w:sz w:val="22"/>
                <w:szCs w:val="22"/>
              </w:rPr>
              <w:t>Vertigo</w:t>
            </w:r>
          </w:p>
        </w:tc>
        <w:tc>
          <w:tcPr>
            <w:tcW w:w="1859" w:type="dxa"/>
            <w:shd w:val="clear" w:color="auto" w:fill="auto"/>
          </w:tcPr>
          <w:p w14:paraId="3F2CCEC3" w14:textId="77777777" w:rsidR="00E46F31" w:rsidRPr="00E46F31" w:rsidRDefault="00E46F31" w:rsidP="007A7A86">
            <w:pPr>
              <w:rPr>
                <w:sz w:val="22"/>
                <w:szCs w:val="22"/>
              </w:rPr>
            </w:pPr>
          </w:p>
        </w:tc>
        <w:tc>
          <w:tcPr>
            <w:tcW w:w="1260" w:type="dxa"/>
            <w:shd w:val="clear" w:color="auto" w:fill="auto"/>
          </w:tcPr>
          <w:p w14:paraId="3504D9C5" w14:textId="77777777" w:rsidR="00E46F31" w:rsidRPr="00E46F31" w:rsidRDefault="00E46F31" w:rsidP="007A7A86">
            <w:pPr>
              <w:rPr>
                <w:sz w:val="22"/>
                <w:szCs w:val="22"/>
              </w:rPr>
            </w:pPr>
          </w:p>
        </w:tc>
        <w:tc>
          <w:tcPr>
            <w:tcW w:w="1239" w:type="dxa"/>
          </w:tcPr>
          <w:p w14:paraId="1623269F" w14:textId="77777777" w:rsidR="00E46F31" w:rsidRPr="00E46F31" w:rsidRDefault="00E46F31" w:rsidP="007A7A86">
            <w:pPr>
              <w:rPr>
                <w:sz w:val="22"/>
                <w:szCs w:val="22"/>
              </w:rPr>
            </w:pPr>
          </w:p>
        </w:tc>
      </w:tr>
      <w:tr w:rsidR="00E46F31" w:rsidRPr="00E46F31" w14:paraId="5F159F3B" w14:textId="77777777" w:rsidTr="007A7A86">
        <w:tc>
          <w:tcPr>
            <w:tcW w:w="1678" w:type="dxa"/>
            <w:shd w:val="clear" w:color="auto" w:fill="auto"/>
          </w:tcPr>
          <w:p w14:paraId="14255EA7" w14:textId="65114049" w:rsidR="00E46F31" w:rsidRPr="00E46F31" w:rsidRDefault="00FE634E" w:rsidP="00FE634E">
            <w:pPr>
              <w:pStyle w:val="Default"/>
              <w:rPr>
                <w:sz w:val="22"/>
                <w:szCs w:val="22"/>
              </w:rPr>
            </w:pPr>
            <w:r>
              <w:rPr>
                <w:sz w:val="22"/>
                <w:szCs w:val="22"/>
              </w:rPr>
              <w:t>Poruchy dýchacej sústavy, hrudníka a mediastína</w:t>
            </w:r>
          </w:p>
        </w:tc>
        <w:tc>
          <w:tcPr>
            <w:tcW w:w="1375" w:type="dxa"/>
            <w:shd w:val="clear" w:color="auto" w:fill="auto"/>
          </w:tcPr>
          <w:p w14:paraId="78ACDC52" w14:textId="77777777" w:rsidR="00E46F31" w:rsidRPr="00E46F31" w:rsidRDefault="00E46F31" w:rsidP="007A7A86">
            <w:pPr>
              <w:rPr>
                <w:sz w:val="22"/>
                <w:szCs w:val="22"/>
              </w:rPr>
            </w:pPr>
          </w:p>
        </w:tc>
        <w:tc>
          <w:tcPr>
            <w:tcW w:w="1823" w:type="dxa"/>
            <w:shd w:val="clear" w:color="auto" w:fill="auto"/>
          </w:tcPr>
          <w:p w14:paraId="1A8D23B6" w14:textId="77777777" w:rsidR="00E46F31" w:rsidRPr="00E46F31" w:rsidRDefault="00E46F31" w:rsidP="007A7A86">
            <w:pPr>
              <w:rPr>
                <w:sz w:val="22"/>
                <w:szCs w:val="22"/>
              </w:rPr>
            </w:pPr>
          </w:p>
        </w:tc>
        <w:tc>
          <w:tcPr>
            <w:tcW w:w="1859" w:type="dxa"/>
            <w:shd w:val="clear" w:color="auto" w:fill="auto"/>
          </w:tcPr>
          <w:p w14:paraId="339FC294" w14:textId="77777777" w:rsidR="00E46F31" w:rsidRPr="00E46F31" w:rsidRDefault="00E46F31" w:rsidP="007A7A86">
            <w:pPr>
              <w:rPr>
                <w:sz w:val="22"/>
                <w:szCs w:val="22"/>
              </w:rPr>
            </w:pPr>
          </w:p>
        </w:tc>
        <w:tc>
          <w:tcPr>
            <w:tcW w:w="1260" w:type="dxa"/>
            <w:shd w:val="clear" w:color="auto" w:fill="auto"/>
          </w:tcPr>
          <w:p w14:paraId="12F869DB" w14:textId="044FDBC3" w:rsidR="00E46F31" w:rsidRPr="00E46F31" w:rsidRDefault="00E46F31" w:rsidP="007A7A86">
            <w:pPr>
              <w:rPr>
                <w:sz w:val="22"/>
                <w:szCs w:val="22"/>
              </w:rPr>
            </w:pPr>
            <w:r w:rsidRPr="00E46F31">
              <w:rPr>
                <w:sz w:val="22"/>
                <w:szCs w:val="22"/>
              </w:rPr>
              <w:t>Epistax</w:t>
            </w:r>
            <w:r w:rsidR="003703EE">
              <w:rPr>
                <w:sz w:val="22"/>
                <w:szCs w:val="22"/>
              </w:rPr>
              <w:t>a</w:t>
            </w:r>
          </w:p>
        </w:tc>
        <w:tc>
          <w:tcPr>
            <w:tcW w:w="1239" w:type="dxa"/>
          </w:tcPr>
          <w:p w14:paraId="5F01B1FA" w14:textId="77777777" w:rsidR="00E46F31" w:rsidRPr="00E46F31" w:rsidRDefault="00E46F31" w:rsidP="007A7A86">
            <w:pPr>
              <w:rPr>
                <w:sz w:val="22"/>
                <w:szCs w:val="22"/>
              </w:rPr>
            </w:pPr>
          </w:p>
        </w:tc>
      </w:tr>
      <w:tr w:rsidR="00E46F31" w:rsidRPr="00E46F31" w14:paraId="7ECB6D6F" w14:textId="77777777" w:rsidTr="007A7A86">
        <w:tc>
          <w:tcPr>
            <w:tcW w:w="1678" w:type="dxa"/>
            <w:shd w:val="clear" w:color="auto" w:fill="auto"/>
          </w:tcPr>
          <w:p w14:paraId="5B8A8B59" w14:textId="0E3F7065" w:rsidR="00E46F31" w:rsidRPr="00E46F31" w:rsidRDefault="00E53410" w:rsidP="00E53410">
            <w:pPr>
              <w:pStyle w:val="Default"/>
              <w:rPr>
                <w:sz w:val="22"/>
                <w:szCs w:val="22"/>
              </w:rPr>
            </w:pPr>
            <w:r>
              <w:rPr>
                <w:sz w:val="22"/>
                <w:szCs w:val="22"/>
              </w:rPr>
              <w:t xml:space="preserve">Poruchy gastrointestinálneh o traktu </w:t>
            </w:r>
          </w:p>
        </w:tc>
        <w:tc>
          <w:tcPr>
            <w:tcW w:w="1375" w:type="dxa"/>
            <w:shd w:val="clear" w:color="auto" w:fill="auto"/>
          </w:tcPr>
          <w:p w14:paraId="6D10CB44" w14:textId="77777777" w:rsidR="00E46F31" w:rsidRPr="00E46F31" w:rsidRDefault="00E46F31" w:rsidP="007A7A86">
            <w:pPr>
              <w:rPr>
                <w:sz w:val="22"/>
                <w:szCs w:val="22"/>
              </w:rPr>
            </w:pPr>
          </w:p>
        </w:tc>
        <w:tc>
          <w:tcPr>
            <w:tcW w:w="1823" w:type="dxa"/>
            <w:shd w:val="clear" w:color="auto" w:fill="auto"/>
          </w:tcPr>
          <w:p w14:paraId="746ED138" w14:textId="77777777" w:rsidR="003703EE" w:rsidRDefault="003703EE" w:rsidP="003703EE">
            <w:pPr>
              <w:pStyle w:val="Default"/>
              <w:rPr>
                <w:sz w:val="22"/>
                <w:szCs w:val="22"/>
              </w:rPr>
            </w:pPr>
            <w:r>
              <w:rPr>
                <w:sz w:val="22"/>
                <w:szCs w:val="22"/>
              </w:rPr>
              <w:t xml:space="preserve">Bolesť brucha </w:t>
            </w:r>
          </w:p>
          <w:p w14:paraId="603AAF7E" w14:textId="48FFDA54" w:rsidR="00E46F31" w:rsidRPr="00E46F31" w:rsidRDefault="003703EE" w:rsidP="003703EE">
            <w:pPr>
              <w:rPr>
                <w:sz w:val="22"/>
                <w:szCs w:val="22"/>
              </w:rPr>
            </w:pPr>
            <w:r>
              <w:rPr>
                <w:sz w:val="22"/>
                <w:szCs w:val="22"/>
              </w:rPr>
              <w:t xml:space="preserve">Nauzea </w:t>
            </w:r>
          </w:p>
        </w:tc>
        <w:tc>
          <w:tcPr>
            <w:tcW w:w="1859" w:type="dxa"/>
            <w:shd w:val="clear" w:color="auto" w:fill="auto"/>
          </w:tcPr>
          <w:p w14:paraId="7531BB6C" w14:textId="77777777" w:rsidR="003703EE" w:rsidRDefault="003703EE" w:rsidP="003703EE">
            <w:pPr>
              <w:pStyle w:val="Default"/>
              <w:rPr>
                <w:sz w:val="22"/>
                <w:szCs w:val="22"/>
              </w:rPr>
            </w:pPr>
            <w:r>
              <w:rPr>
                <w:sz w:val="22"/>
                <w:szCs w:val="22"/>
              </w:rPr>
              <w:t xml:space="preserve">Sucho v ústach </w:t>
            </w:r>
          </w:p>
          <w:p w14:paraId="20CFEAE3" w14:textId="09B58179" w:rsidR="00E46F31" w:rsidRPr="00E46F31" w:rsidRDefault="003703EE" w:rsidP="003703EE">
            <w:pPr>
              <w:rPr>
                <w:sz w:val="22"/>
                <w:szCs w:val="22"/>
              </w:rPr>
            </w:pPr>
            <w:r>
              <w:rPr>
                <w:sz w:val="22"/>
                <w:szCs w:val="22"/>
              </w:rPr>
              <w:t xml:space="preserve">Zápcha </w:t>
            </w:r>
          </w:p>
        </w:tc>
        <w:tc>
          <w:tcPr>
            <w:tcW w:w="1260" w:type="dxa"/>
            <w:shd w:val="clear" w:color="auto" w:fill="auto"/>
          </w:tcPr>
          <w:p w14:paraId="1C32DEA3" w14:textId="77777777" w:rsidR="003703EE" w:rsidRDefault="003703EE" w:rsidP="003703EE">
            <w:pPr>
              <w:pStyle w:val="Default"/>
              <w:rPr>
                <w:sz w:val="22"/>
                <w:szCs w:val="22"/>
              </w:rPr>
            </w:pPr>
            <w:r>
              <w:rPr>
                <w:sz w:val="22"/>
                <w:szCs w:val="22"/>
              </w:rPr>
              <w:t xml:space="preserve">Dyspepsia </w:t>
            </w:r>
          </w:p>
          <w:p w14:paraId="44AA34D5" w14:textId="520E79DF" w:rsidR="00E46F31" w:rsidRPr="00E46F31" w:rsidRDefault="003703EE" w:rsidP="003703EE">
            <w:pPr>
              <w:rPr>
                <w:sz w:val="22"/>
                <w:szCs w:val="22"/>
              </w:rPr>
            </w:pPr>
            <w:r>
              <w:rPr>
                <w:sz w:val="22"/>
                <w:szCs w:val="22"/>
              </w:rPr>
              <w:t xml:space="preserve">Plynatosť </w:t>
            </w:r>
          </w:p>
        </w:tc>
        <w:tc>
          <w:tcPr>
            <w:tcW w:w="1239" w:type="dxa"/>
          </w:tcPr>
          <w:p w14:paraId="50B9B116" w14:textId="77777777" w:rsidR="00E46F31" w:rsidRPr="00E46F31" w:rsidRDefault="00E46F31" w:rsidP="007A7A86">
            <w:pPr>
              <w:rPr>
                <w:sz w:val="22"/>
                <w:szCs w:val="22"/>
              </w:rPr>
            </w:pPr>
          </w:p>
        </w:tc>
      </w:tr>
      <w:tr w:rsidR="00E46F31" w:rsidRPr="00E46F31" w14:paraId="733AA11E" w14:textId="77777777" w:rsidTr="007A7A86">
        <w:tc>
          <w:tcPr>
            <w:tcW w:w="1678" w:type="dxa"/>
            <w:shd w:val="clear" w:color="auto" w:fill="auto"/>
          </w:tcPr>
          <w:p w14:paraId="5D32305C" w14:textId="32776090" w:rsidR="00E46F31" w:rsidRPr="00E46F31" w:rsidRDefault="00955B52" w:rsidP="00955B52">
            <w:pPr>
              <w:pStyle w:val="Default"/>
              <w:rPr>
                <w:sz w:val="22"/>
                <w:szCs w:val="22"/>
              </w:rPr>
            </w:pPr>
            <w:r>
              <w:rPr>
                <w:sz w:val="22"/>
                <w:szCs w:val="22"/>
              </w:rPr>
              <w:t xml:space="preserve">Poruchy pečene a žlčových ciest </w:t>
            </w:r>
          </w:p>
        </w:tc>
        <w:tc>
          <w:tcPr>
            <w:tcW w:w="1375" w:type="dxa"/>
            <w:shd w:val="clear" w:color="auto" w:fill="auto"/>
          </w:tcPr>
          <w:p w14:paraId="69762F22" w14:textId="77777777" w:rsidR="00E46F31" w:rsidRPr="00E46F31" w:rsidRDefault="00E46F31" w:rsidP="007A7A86">
            <w:pPr>
              <w:rPr>
                <w:sz w:val="22"/>
                <w:szCs w:val="22"/>
              </w:rPr>
            </w:pPr>
          </w:p>
        </w:tc>
        <w:tc>
          <w:tcPr>
            <w:tcW w:w="1823" w:type="dxa"/>
            <w:shd w:val="clear" w:color="auto" w:fill="auto"/>
          </w:tcPr>
          <w:p w14:paraId="75FB12E6" w14:textId="77777777" w:rsidR="00E46F31" w:rsidRPr="00E46F31" w:rsidRDefault="00E46F31" w:rsidP="007A7A86">
            <w:pPr>
              <w:rPr>
                <w:sz w:val="22"/>
                <w:szCs w:val="22"/>
              </w:rPr>
            </w:pPr>
          </w:p>
        </w:tc>
        <w:tc>
          <w:tcPr>
            <w:tcW w:w="1859" w:type="dxa"/>
            <w:shd w:val="clear" w:color="auto" w:fill="auto"/>
          </w:tcPr>
          <w:p w14:paraId="3C1102CE" w14:textId="77777777" w:rsidR="00E46F31" w:rsidRPr="00E46F31" w:rsidRDefault="00E46F31" w:rsidP="007A7A86">
            <w:pPr>
              <w:rPr>
                <w:sz w:val="22"/>
                <w:szCs w:val="22"/>
              </w:rPr>
            </w:pPr>
          </w:p>
        </w:tc>
        <w:tc>
          <w:tcPr>
            <w:tcW w:w="1260" w:type="dxa"/>
            <w:shd w:val="clear" w:color="auto" w:fill="auto"/>
          </w:tcPr>
          <w:p w14:paraId="73A57F69" w14:textId="77777777" w:rsidR="00E46F31" w:rsidRPr="00E46F31" w:rsidRDefault="00E46F31" w:rsidP="007A7A86">
            <w:pPr>
              <w:rPr>
                <w:sz w:val="22"/>
                <w:szCs w:val="22"/>
              </w:rPr>
            </w:pPr>
          </w:p>
        </w:tc>
        <w:tc>
          <w:tcPr>
            <w:tcW w:w="1239" w:type="dxa"/>
          </w:tcPr>
          <w:p w14:paraId="2F15D289" w14:textId="2F05783F" w:rsidR="00E46F31" w:rsidRPr="00E46F31" w:rsidRDefault="006C5076" w:rsidP="006C5076">
            <w:pPr>
              <w:pStyle w:val="Default"/>
              <w:rPr>
                <w:sz w:val="22"/>
                <w:szCs w:val="22"/>
              </w:rPr>
            </w:pPr>
            <w:r>
              <w:rPr>
                <w:sz w:val="22"/>
                <w:szCs w:val="22"/>
              </w:rPr>
              <w:t xml:space="preserve">Zlyhanie pečene </w:t>
            </w:r>
          </w:p>
        </w:tc>
      </w:tr>
      <w:tr w:rsidR="00E46F31" w:rsidRPr="00E46F31" w14:paraId="12484724" w14:textId="77777777" w:rsidTr="007A7A86">
        <w:tc>
          <w:tcPr>
            <w:tcW w:w="1678" w:type="dxa"/>
            <w:shd w:val="clear" w:color="auto" w:fill="auto"/>
          </w:tcPr>
          <w:p w14:paraId="2B43E373" w14:textId="66DB31F6" w:rsidR="00E46F31" w:rsidRPr="00E46F31" w:rsidRDefault="00955B52" w:rsidP="00955B52">
            <w:pPr>
              <w:pStyle w:val="Default"/>
              <w:rPr>
                <w:sz w:val="22"/>
                <w:szCs w:val="22"/>
              </w:rPr>
            </w:pPr>
            <w:r>
              <w:rPr>
                <w:sz w:val="22"/>
                <w:szCs w:val="22"/>
              </w:rPr>
              <w:t xml:space="preserve">Poruchy kože a podkožného tkaniva </w:t>
            </w:r>
          </w:p>
        </w:tc>
        <w:tc>
          <w:tcPr>
            <w:tcW w:w="1375" w:type="dxa"/>
            <w:shd w:val="clear" w:color="auto" w:fill="auto"/>
          </w:tcPr>
          <w:p w14:paraId="66798DD0" w14:textId="77777777" w:rsidR="00E46F31" w:rsidRPr="00E46F31" w:rsidRDefault="00E46F31" w:rsidP="007A7A86">
            <w:pPr>
              <w:rPr>
                <w:sz w:val="22"/>
                <w:szCs w:val="22"/>
              </w:rPr>
            </w:pPr>
          </w:p>
        </w:tc>
        <w:tc>
          <w:tcPr>
            <w:tcW w:w="1823" w:type="dxa"/>
            <w:shd w:val="clear" w:color="auto" w:fill="auto"/>
          </w:tcPr>
          <w:p w14:paraId="287D8F35" w14:textId="77777777" w:rsidR="006C5076" w:rsidRDefault="006C5076" w:rsidP="006C5076">
            <w:pPr>
              <w:pStyle w:val="Default"/>
              <w:rPr>
                <w:sz w:val="22"/>
                <w:szCs w:val="22"/>
              </w:rPr>
            </w:pPr>
            <w:r>
              <w:rPr>
                <w:sz w:val="22"/>
                <w:szCs w:val="22"/>
              </w:rPr>
              <w:t xml:space="preserve">Akné </w:t>
            </w:r>
          </w:p>
          <w:p w14:paraId="60425900" w14:textId="3EE435AE" w:rsidR="00E46F31" w:rsidRPr="00E46F31" w:rsidRDefault="00E46F31" w:rsidP="007A7A86">
            <w:pPr>
              <w:rPr>
                <w:sz w:val="22"/>
                <w:szCs w:val="22"/>
              </w:rPr>
            </w:pPr>
          </w:p>
        </w:tc>
        <w:tc>
          <w:tcPr>
            <w:tcW w:w="1859" w:type="dxa"/>
            <w:shd w:val="clear" w:color="auto" w:fill="auto"/>
          </w:tcPr>
          <w:p w14:paraId="107DD04F" w14:textId="77777777" w:rsidR="006C5076" w:rsidRDefault="006C5076" w:rsidP="006C5076">
            <w:pPr>
              <w:pStyle w:val="Default"/>
              <w:rPr>
                <w:sz w:val="22"/>
                <w:szCs w:val="22"/>
              </w:rPr>
            </w:pPr>
            <w:r>
              <w:rPr>
                <w:sz w:val="22"/>
                <w:szCs w:val="22"/>
              </w:rPr>
              <w:t xml:space="preserve">Alopécia** </w:t>
            </w:r>
          </w:p>
          <w:p w14:paraId="4DF12398" w14:textId="1C144A8F" w:rsidR="00E46F31" w:rsidRPr="00E46F31" w:rsidRDefault="006C5076" w:rsidP="006C5076">
            <w:pPr>
              <w:rPr>
                <w:sz w:val="22"/>
                <w:szCs w:val="22"/>
              </w:rPr>
            </w:pPr>
            <w:r>
              <w:rPr>
                <w:sz w:val="22"/>
                <w:szCs w:val="22"/>
              </w:rPr>
              <w:t xml:space="preserve">Suchá koža Hyperhidróza </w:t>
            </w:r>
          </w:p>
        </w:tc>
        <w:tc>
          <w:tcPr>
            <w:tcW w:w="1260" w:type="dxa"/>
            <w:shd w:val="clear" w:color="auto" w:fill="auto"/>
          </w:tcPr>
          <w:p w14:paraId="36EF59C8" w14:textId="77777777" w:rsidR="00E46F31" w:rsidRPr="00E46F31" w:rsidRDefault="00E46F31" w:rsidP="007A7A86">
            <w:pPr>
              <w:rPr>
                <w:sz w:val="22"/>
                <w:szCs w:val="22"/>
              </w:rPr>
            </w:pPr>
          </w:p>
        </w:tc>
        <w:tc>
          <w:tcPr>
            <w:tcW w:w="1239" w:type="dxa"/>
          </w:tcPr>
          <w:p w14:paraId="17542626" w14:textId="2255817F" w:rsidR="00E46F31" w:rsidRPr="00E46F31" w:rsidRDefault="00E46F31" w:rsidP="007A7A86">
            <w:pPr>
              <w:rPr>
                <w:sz w:val="22"/>
                <w:szCs w:val="22"/>
              </w:rPr>
            </w:pPr>
            <w:r w:rsidRPr="00E46F31">
              <w:rPr>
                <w:sz w:val="22"/>
                <w:szCs w:val="22"/>
              </w:rPr>
              <w:t>Angioed</w:t>
            </w:r>
            <w:r w:rsidR="006C5076">
              <w:rPr>
                <w:sz w:val="22"/>
                <w:szCs w:val="22"/>
              </w:rPr>
              <w:t>ém</w:t>
            </w:r>
          </w:p>
        </w:tc>
      </w:tr>
      <w:tr w:rsidR="00E46F31" w:rsidRPr="00E46F31" w14:paraId="0E2B49AD" w14:textId="77777777" w:rsidTr="007A7A86">
        <w:tc>
          <w:tcPr>
            <w:tcW w:w="1678" w:type="dxa"/>
            <w:shd w:val="clear" w:color="auto" w:fill="auto"/>
          </w:tcPr>
          <w:p w14:paraId="79DDE08E" w14:textId="6CB6CB18" w:rsidR="00E46F31" w:rsidRPr="00E46F31" w:rsidRDefault="00955B52" w:rsidP="00955B52">
            <w:pPr>
              <w:pStyle w:val="Default"/>
              <w:rPr>
                <w:sz w:val="22"/>
                <w:szCs w:val="22"/>
              </w:rPr>
            </w:pPr>
            <w:r>
              <w:rPr>
                <w:sz w:val="22"/>
                <w:szCs w:val="22"/>
              </w:rPr>
              <w:t>Poruchy kostrovej a svalovej sústavy a spojivového tkaniva</w:t>
            </w:r>
          </w:p>
        </w:tc>
        <w:tc>
          <w:tcPr>
            <w:tcW w:w="1375" w:type="dxa"/>
            <w:shd w:val="clear" w:color="auto" w:fill="auto"/>
          </w:tcPr>
          <w:p w14:paraId="4FFC956E" w14:textId="77777777" w:rsidR="00E46F31" w:rsidRPr="00E46F31" w:rsidRDefault="00E46F31" w:rsidP="007A7A86">
            <w:pPr>
              <w:rPr>
                <w:sz w:val="22"/>
                <w:szCs w:val="22"/>
              </w:rPr>
            </w:pPr>
          </w:p>
        </w:tc>
        <w:tc>
          <w:tcPr>
            <w:tcW w:w="1823" w:type="dxa"/>
            <w:shd w:val="clear" w:color="auto" w:fill="auto"/>
          </w:tcPr>
          <w:p w14:paraId="73004574" w14:textId="77777777" w:rsidR="006C5076" w:rsidRDefault="006C5076" w:rsidP="006C5076">
            <w:pPr>
              <w:pStyle w:val="Default"/>
              <w:rPr>
                <w:sz w:val="22"/>
                <w:szCs w:val="22"/>
              </w:rPr>
            </w:pPr>
            <w:r>
              <w:rPr>
                <w:sz w:val="22"/>
                <w:szCs w:val="22"/>
              </w:rPr>
              <w:t xml:space="preserve">Bolesť kostrovej a svalovej sústavy </w:t>
            </w:r>
          </w:p>
          <w:p w14:paraId="27FD81E4" w14:textId="59069C72" w:rsidR="00E46F31" w:rsidRPr="00E46F31" w:rsidRDefault="00E46F31" w:rsidP="007A7A86">
            <w:pPr>
              <w:rPr>
                <w:sz w:val="22"/>
                <w:szCs w:val="22"/>
              </w:rPr>
            </w:pPr>
          </w:p>
        </w:tc>
        <w:tc>
          <w:tcPr>
            <w:tcW w:w="1859" w:type="dxa"/>
            <w:shd w:val="clear" w:color="auto" w:fill="auto"/>
          </w:tcPr>
          <w:p w14:paraId="4CC0BD82" w14:textId="77777777" w:rsidR="006C5076" w:rsidRDefault="006C5076" w:rsidP="006C5076">
            <w:pPr>
              <w:pStyle w:val="Default"/>
              <w:rPr>
                <w:sz w:val="22"/>
                <w:szCs w:val="22"/>
              </w:rPr>
            </w:pPr>
            <w:r>
              <w:rPr>
                <w:sz w:val="22"/>
                <w:szCs w:val="22"/>
              </w:rPr>
              <w:t xml:space="preserve">Bolesť chrbta </w:t>
            </w:r>
          </w:p>
          <w:p w14:paraId="436CD501" w14:textId="659A0EED" w:rsidR="00E46F31" w:rsidRPr="00E46F31" w:rsidRDefault="00E46F31" w:rsidP="007A7A86">
            <w:pPr>
              <w:rPr>
                <w:sz w:val="22"/>
                <w:szCs w:val="22"/>
              </w:rPr>
            </w:pPr>
          </w:p>
        </w:tc>
        <w:tc>
          <w:tcPr>
            <w:tcW w:w="1260" w:type="dxa"/>
            <w:shd w:val="clear" w:color="auto" w:fill="auto"/>
          </w:tcPr>
          <w:p w14:paraId="413464A6" w14:textId="77777777" w:rsidR="00E46F31" w:rsidRPr="00E46F31" w:rsidRDefault="00E46F31" w:rsidP="007A7A86">
            <w:pPr>
              <w:rPr>
                <w:sz w:val="22"/>
                <w:szCs w:val="22"/>
              </w:rPr>
            </w:pPr>
          </w:p>
        </w:tc>
        <w:tc>
          <w:tcPr>
            <w:tcW w:w="1239" w:type="dxa"/>
          </w:tcPr>
          <w:p w14:paraId="1206139E" w14:textId="77777777" w:rsidR="00E46F31" w:rsidRPr="00E46F31" w:rsidRDefault="00E46F31" w:rsidP="007A7A86">
            <w:pPr>
              <w:rPr>
                <w:sz w:val="22"/>
                <w:szCs w:val="22"/>
              </w:rPr>
            </w:pPr>
          </w:p>
        </w:tc>
      </w:tr>
      <w:tr w:rsidR="00E46F31" w:rsidRPr="00E46F31" w14:paraId="2669D2D4" w14:textId="77777777" w:rsidTr="007A7A86">
        <w:tc>
          <w:tcPr>
            <w:tcW w:w="1678" w:type="dxa"/>
            <w:shd w:val="clear" w:color="auto" w:fill="auto"/>
          </w:tcPr>
          <w:p w14:paraId="2DB62AF2" w14:textId="427B7D83" w:rsidR="00E46F31" w:rsidRPr="00E46F31" w:rsidRDefault="00955B52" w:rsidP="00955B52">
            <w:pPr>
              <w:pStyle w:val="Default"/>
              <w:rPr>
                <w:sz w:val="22"/>
                <w:szCs w:val="22"/>
              </w:rPr>
            </w:pPr>
            <w:r>
              <w:rPr>
                <w:sz w:val="22"/>
                <w:szCs w:val="22"/>
              </w:rPr>
              <w:t>Poruchy obličiek a močových ciest</w:t>
            </w:r>
          </w:p>
        </w:tc>
        <w:tc>
          <w:tcPr>
            <w:tcW w:w="1375" w:type="dxa"/>
            <w:shd w:val="clear" w:color="auto" w:fill="auto"/>
          </w:tcPr>
          <w:p w14:paraId="409A4920" w14:textId="77777777" w:rsidR="00E46F31" w:rsidRPr="00E46F31" w:rsidRDefault="00E46F31" w:rsidP="007A7A86">
            <w:pPr>
              <w:rPr>
                <w:sz w:val="22"/>
                <w:szCs w:val="22"/>
              </w:rPr>
            </w:pPr>
          </w:p>
        </w:tc>
        <w:tc>
          <w:tcPr>
            <w:tcW w:w="1823" w:type="dxa"/>
            <w:shd w:val="clear" w:color="auto" w:fill="auto"/>
          </w:tcPr>
          <w:p w14:paraId="79F427D7" w14:textId="77777777" w:rsidR="00E46F31" w:rsidRPr="00E46F31" w:rsidRDefault="00E46F31" w:rsidP="007A7A86">
            <w:pPr>
              <w:rPr>
                <w:sz w:val="22"/>
                <w:szCs w:val="22"/>
              </w:rPr>
            </w:pPr>
          </w:p>
        </w:tc>
        <w:tc>
          <w:tcPr>
            <w:tcW w:w="1859" w:type="dxa"/>
            <w:shd w:val="clear" w:color="auto" w:fill="auto"/>
          </w:tcPr>
          <w:p w14:paraId="26A94D6E" w14:textId="4C2FFE04" w:rsidR="00E46F31" w:rsidRPr="00E46F31" w:rsidRDefault="005C3C3E" w:rsidP="005C3C3E">
            <w:pPr>
              <w:pStyle w:val="Default"/>
              <w:rPr>
                <w:sz w:val="22"/>
                <w:szCs w:val="22"/>
              </w:rPr>
            </w:pPr>
            <w:r>
              <w:rPr>
                <w:sz w:val="22"/>
                <w:szCs w:val="22"/>
              </w:rPr>
              <w:t>Inkontinencia moču</w:t>
            </w:r>
          </w:p>
        </w:tc>
        <w:tc>
          <w:tcPr>
            <w:tcW w:w="1260" w:type="dxa"/>
            <w:shd w:val="clear" w:color="auto" w:fill="auto"/>
          </w:tcPr>
          <w:p w14:paraId="480C4535" w14:textId="77777777" w:rsidR="00E46F31" w:rsidRPr="00E46F31" w:rsidRDefault="00E46F31" w:rsidP="007A7A86">
            <w:pPr>
              <w:rPr>
                <w:sz w:val="22"/>
                <w:szCs w:val="22"/>
              </w:rPr>
            </w:pPr>
          </w:p>
        </w:tc>
        <w:tc>
          <w:tcPr>
            <w:tcW w:w="1239" w:type="dxa"/>
          </w:tcPr>
          <w:p w14:paraId="19C7F0B3" w14:textId="77777777" w:rsidR="00E46F31" w:rsidRPr="00E46F31" w:rsidRDefault="00E46F31" w:rsidP="007A7A86">
            <w:pPr>
              <w:rPr>
                <w:sz w:val="22"/>
                <w:szCs w:val="22"/>
              </w:rPr>
            </w:pPr>
          </w:p>
        </w:tc>
      </w:tr>
      <w:tr w:rsidR="00E46F31" w:rsidRPr="00E46F31" w14:paraId="00A58690" w14:textId="77777777" w:rsidTr="007A7A86">
        <w:tc>
          <w:tcPr>
            <w:tcW w:w="1678" w:type="dxa"/>
            <w:shd w:val="clear" w:color="auto" w:fill="auto"/>
          </w:tcPr>
          <w:p w14:paraId="2A7D7CA5" w14:textId="77777777" w:rsidR="00955B52" w:rsidRDefault="00955B52" w:rsidP="00955B52">
            <w:pPr>
              <w:pStyle w:val="Default"/>
              <w:rPr>
                <w:sz w:val="22"/>
                <w:szCs w:val="22"/>
              </w:rPr>
            </w:pPr>
            <w:r>
              <w:rPr>
                <w:sz w:val="22"/>
                <w:szCs w:val="22"/>
              </w:rPr>
              <w:t xml:space="preserve">Poruchy reprodukčného systému a prsníkov </w:t>
            </w:r>
          </w:p>
          <w:p w14:paraId="44C9D3A6" w14:textId="4F568604" w:rsidR="00E46F31" w:rsidRPr="00E46F31" w:rsidRDefault="00E46F31" w:rsidP="007A7A86">
            <w:pPr>
              <w:rPr>
                <w:sz w:val="22"/>
                <w:szCs w:val="22"/>
              </w:rPr>
            </w:pPr>
          </w:p>
        </w:tc>
        <w:tc>
          <w:tcPr>
            <w:tcW w:w="1375" w:type="dxa"/>
            <w:shd w:val="clear" w:color="auto" w:fill="auto"/>
          </w:tcPr>
          <w:p w14:paraId="026FE918" w14:textId="77777777" w:rsidR="005C3C3E" w:rsidRDefault="005C3C3E" w:rsidP="005C3C3E">
            <w:pPr>
              <w:pStyle w:val="Default"/>
              <w:rPr>
                <w:sz w:val="22"/>
                <w:szCs w:val="22"/>
              </w:rPr>
            </w:pPr>
            <w:r>
              <w:rPr>
                <w:sz w:val="22"/>
                <w:szCs w:val="22"/>
              </w:rPr>
              <w:t xml:space="preserve">Amenorea </w:t>
            </w:r>
          </w:p>
          <w:p w14:paraId="03D400C5" w14:textId="38A13A11" w:rsidR="00E46F31" w:rsidRPr="00E46F31" w:rsidRDefault="005C3C3E" w:rsidP="005C3C3E">
            <w:pPr>
              <w:rPr>
                <w:sz w:val="22"/>
                <w:szCs w:val="22"/>
              </w:rPr>
            </w:pPr>
            <w:r>
              <w:rPr>
                <w:sz w:val="22"/>
                <w:szCs w:val="22"/>
              </w:rPr>
              <w:t xml:space="preserve">Zhrubnutie endometria* </w:t>
            </w:r>
          </w:p>
        </w:tc>
        <w:tc>
          <w:tcPr>
            <w:tcW w:w="1823" w:type="dxa"/>
            <w:shd w:val="clear" w:color="auto" w:fill="auto"/>
          </w:tcPr>
          <w:p w14:paraId="0ADC7526" w14:textId="77777777" w:rsidR="005C3C3E" w:rsidRDefault="005C3C3E" w:rsidP="005C3C3E">
            <w:pPr>
              <w:pStyle w:val="Default"/>
              <w:rPr>
                <w:sz w:val="22"/>
                <w:szCs w:val="22"/>
              </w:rPr>
            </w:pPr>
            <w:r>
              <w:rPr>
                <w:sz w:val="22"/>
                <w:szCs w:val="22"/>
              </w:rPr>
              <w:t xml:space="preserve">Návaly tepla* </w:t>
            </w:r>
          </w:p>
          <w:p w14:paraId="4686F903" w14:textId="77777777" w:rsidR="005C3C3E" w:rsidRDefault="005C3C3E" w:rsidP="005C3C3E">
            <w:pPr>
              <w:pStyle w:val="Default"/>
              <w:rPr>
                <w:sz w:val="22"/>
                <w:szCs w:val="22"/>
              </w:rPr>
            </w:pPr>
            <w:r>
              <w:rPr>
                <w:sz w:val="22"/>
                <w:szCs w:val="22"/>
              </w:rPr>
              <w:t xml:space="preserve">Bolesti panvy Ovariálna cysta* </w:t>
            </w:r>
          </w:p>
          <w:p w14:paraId="5E9349EB" w14:textId="363DEC12" w:rsidR="00E46F31" w:rsidRPr="00E46F31" w:rsidRDefault="005C3C3E" w:rsidP="005C3C3E">
            <w:pPr>
              <w:rPr>
                <w:sz w:val="22"/>
                <w:szCs w:val="22"/>
              </w:rPr>
            </w:pPr>
            <w:r>
              <w:rPr>
                <w:sz w:val="22"/>
                <w:szCs w:val="22"/>
              </w:rPr>
              <w:t xml:space="preserve">Citlivosť/bolesť prsníkov </w:t>
            </w:r>
          </w:p>
        </w:tc>
        <w:tc>
          <w:tcPr>
            <w:tcW w:w="1859" w:type="dxa"/>
            <w:shd w:val="clear" w:color="auto" w:fill="auto"/>
          </w:tcPr>
          <w:p w14:paraId="37039320" w14:textId="77777777" w:rsidR="005C3C3E" w:rsidRDefault="005C3C3E" w:rsidP="005C3C3E">
            <w:pPr>
              <w:pStyle w:val="Default"/>
              <w:rPr>
                <w:sz w:val="22"/>
                <w:szCs w:val="22"/>
              </w:rPr>
            </w:pPr>
            <w:r>
              <w:rPr>
                <w:sz w:val="22"/>
                <w:szCs w:val="22"/>
              </w:rPr>
              <w:t xml:space="preserve">Maternicové krvácanie* </w:t>
            </w:r>
          </w:p>
          <w:p w14:paraId="1F2FF64A" w14:textId="77777777" w:rsidR="005C3C3E" w:rsidRDefault="005C3C3E" w:rsidP="005C3C3E">
            <w:pPr>
              <w:pStyle w:val="Default"/>
              <w:rPr>
                <w:sz w:val="22"/>
                <w:szCs w:val="22"/>
              </w:rPr>
            </w:pPr>
            <w:r>
              <w:rPr>
                <w:sz w:val="22"/>
                <w:szCs w:val="22"/>
              </w:rPr>
              <w:t xml:space="preserve">Metrorágia </w:t>
            </w:r>
          </w:p>
          <w:p w14:paraId="0E082930" w14:textId="77777777" w:rsidR="005C3C3E" w:rsidRDefault="005C3C3E" w:rsidP="005C3C3E">
            <w:pPr>
              <w:pStyle w:val="Default"/>
              <w:rPr>
                <w:sz w:val="22"/>
                <w:szCs w:val="22"/>
              </w:rPr>
            </w:pPr>
            <w:r>
              <w:rPr>
                <w:sz w:val="22"/>
                <w:szCs w:val="22"/>
              </w:rPr>
              <w:t xml:space="preserve">Výtok z genitálií </w:t>
            </w:r>
          </w:p>
          <w:p w14:paraId="34C048EC" w14:textId="05B2B5E9" w:rsidR="00E46F31" w:rsidRPr="00E46F31" w:rsidRDefault="005C3C3E" w:rsidP="005C3C3E">
            <w:pPr>
              <w:rPr>
                <w:sz w:val="22"/>
                <w:szCs w:val="22"/>
              </w:rPr>
            </w:pPr>
            <w:r>
              <w:rPr>
                <w:sz w:val="22"/>
                <w:szCs w:val="22"/>
              </w:rPr>
              <w:t xml:space="preserve">Nepríjemný pocit v prsníkoch </w:t>
            </w:r>
          </w:p>
        </w:tc>
        <w:tc>
          <w:tcPr>
            <w:tcW w:w="1260" w:type="dxa"/>
            <w:shd w:val="clear" w:color="auto" w:fill="auto"/>
          </w:tcPr>
          <w:p w14:paraId="2A49C814" w14:textId="77777777" w:rsidR="005C3C3E" w:rsidRDefault="005C3C3E" w:rsidP="005C3C3E">
            <w:pPr>
              <w:pStyle w:val="Default"/>
              <w:rPr>
                <w:sz w:val="22"/>
                <w:szCs w:val="22"/>
              </w:rPr>
            </w:pPr>
            <w:r>
              <w:rPr>
                <w:sz w:val="22"/>
                <w:szCs w:val="22"/>
              </w:rPr>
              <w:t xml:space="preserve">Prasknutá ovariálna cysta* </w:t>
            </w:r>
          </w:p>
          <w:p w14:paraId="3D1C4EA0" w14:textId="2C00F89D" w:rsidR="00E46F31" w:rsidRPr="00E46F31" w:rsidRDefault="005C3C3E" w:rsidP="005C3C3E">
            <w:pPr>
              <w:rPr>
                <w:sz w:val="22"/>
                <w:szCs w:val="22"/>
              </w:rPr>
            </w:pPr>
            <w:r>
              <w:rPr>
                <w:sz w:val="22"/>
                <w:szCs w:val="22"/>
              </w:rPr>
              <w:t xml:space="preserve">Opuch prsníkov </w:t>
            </w:r>
          </w:p>
        </w:tc>
        <w:tc>
          <w:tcPr>
            <w:tcW w:w="1239" w:type="dxa"/>
          </w:tcPr>
          <w:p w14:paraId="020122ED" w14:textId="77777777" w:rsidR="00E46F31" w:rsidRPr="00E46F31" w:rsidRDefault="00E46F31" w:rsidP="007A7A86">
            <w:pPr>
              <w:rPr>
                <w:sz w:val="22"/>
                <w:szCs w:val="22"/>
              </w:rPr>
            </w:pPr>
          </w:p>
        </w:tc>
      </w:tr>
      <w:tr w:rsidR="00E46F31" w:rsidRPr="00E46F31" w14:paraId="1288C9D1" w14:textId="77777777" w:rsidTr="007A7A86">
        <w:tc>
          <w:tcPr>
            <w:tcW w:w="1678" w:type="dxa"/>
            <w:shd w:val="clear" w:color="auto" w:fill="auto"/>
          </w:tcPr>
          <w:p w14:paraId="6927F916" w14:textId="1CB85AB6" w:rsidR="00E46F31" w:rsidRPr="00E46F31" w:rsidRDefault="00955B52" w:rsidP="00955B52">
            <w:pPr>
              <w:pStyle w:val="Default"/>
              <w:rPr>
                <w:sz w:val="22"/>
                <w:szCs w:val="22"/>
              </w:rPr>
            </w:pPr>
            <w:r>
              <w:rPr>
                <w:sz w:val="22"/>
                <w:szCs w:val="22"/>
              </w:rPr>
              <w:t xml:space="preserve">Celkové poruchy a reakcie v mieste podania </w:t>
            </w:r>
          </w:p>
        </w:tc>
        <w:tc>
          <w:tcPr>
            <w:tcW w:w="1375" w:type="dxa"/>
            <w:shd w:val="clear" w:color="auto" w:fill="auto"/>
          </w:tcPr>
          <w:p w14:paraId="3D8BA95D" w14:textId="77777777" w:rsidR="00E46F31" w:rsidRPr="00E46F31" w:rsidRDefault="00E46F31" w:rsidP="007A7A86">
            <w:pPr>
              <w:rPr>
                <w:sz w:val="22"/>
                <w:szCs w:val="22"/>
              </w:rPr>
            </w:pPr>
          </w:p>
        </w:tc>
        <w:tc>
          <w:tcPr>
            <w:tcW w:w="1823" w:type="dxa"/>
            <w:shd w:val="clear" w:color="auto" w:fill="auto"/>
          </w:tcPr>
          <w:p w14:paraId="0D12247D" w14:textId="77777777" w:rsidR="005C3C3E" w:rsidRDefault="005C3C3E" w:rsidP="005C3C3E">
            <w:pPr>
              <w:pStyle w:val="Default"/>
              <w:rPr>
                <w:sz w:val="22"/>
                <w:szCs w:val="22"/>
              </w:rPr>
            </w:pPr>
            <w:r>
              <w:rPr>
                <w:sz w:val="22"/>
                <w:szCs w:val="22"/>
              </w:rPr>
              <w:t xml:space="preserve">Únava </w:t>
            </w:r>
          </w:p>
          <w:p w14:paraId="31ED1C7E" w14:textId="3D4F876A" w:rsidR="00E46F31" w:rsidRPr="00E46F31" w:rsidRDefault="00E46F31" w:rsidP="007A7A86">
            <w:pPr>
              <w:rPr>
                <w:sz w:val="22"/>
                <w:szCs w:val="22"/>
              </w:rPr>
            </w:pPr>
          </w:p>
        </w:tc>
        <w:tc>
          <w:tcPr>
            <w:tcW w:w="1859" w:type="dxa"/>
            <w:shd w:val="clear" w:color="auto" w:fill="auto"/>
          </w:tcPr>
          <w:p w14:paraId="0C1C6B2F" w14:textId="77777777" w:rsidR="005C3C3E" w:rsidRDefault="005C3C3E" w:rsidP="005C3C3E">
            <w:pPr>
              <w:pStyle w:val="Default"/>
              <w:rPr>
                <w:sz w:val="22"/>
                <w:szCs w:val="22"/>
              </w:rPr>
            </w:pPr>
            <w:r>
              <w:rPr>
                <w:sz w:val="22"/>
                <w:szCs w:val="22"/>
              </w:rPr>
              <w:t>Edém</w:t>
            </w:r>
          </w:p>
          <w:p w14:paraId="65B6814B" w14:textId="3948B3F4" w:rsidR="005C3C3E" w:rsidRDefault="005C3C3E" w:rsidP="005C3C3E">
            <w:pPr>
              <w:pStyle w:val="Default"/>
              <w:rPr>
                <w:sz w:val="22"/>
                <w:szCs w:val="22"/>
              </w:rPr>
            </w:pPr>
            <w:r>
              <w:rPr>
                <w:sz w:val="22"/>
                <w:szCs w:val="22"/>
              </w:rPr>
              <w:t xml:space="preserve">Asténia </w:t>
            </w:r>
          </w:p>
          <w:p w14:paraId="4F4A2EF5" w14:textId="5E399CAC" w:rsidR="00E46F31" w:rsidRPr="00E46F31" w:rsidRDefault="00E46F31" w:rsidP="007A7A86">
            <w:pPr>
              <w:rPr>
                <w:sz w:val="22"/>
                <w:szCs w:val="22"/>
              </w:rPr>
            </w:pPr>
          </w:p>
        </w:tc>
        <w:tc>
          <w:tcPr>
            <w:tcW w:w="1260" w:type="dxa"/>
            <w:shd w:val="clear" w:color="auto" w:fill="auto"/>
          </w:tcPr>
          <w:p w14:paraId="6BF853BA" w14:textId="77777777" w:rsidR="00E46F31" w:rsidRPr="00E46F31" w:rsidRDefault="00E46F31" w:rsidP="007A7A86">
            <w:pPr>
              <w:rPr>
                <w:sz w:val="22"/>
                <w:szCs w:val="22"/>
              </w:rPr>
            </w:pPr>
          </w:p>
        </w:tc>
        <w:tc>
          <w:tcPr>
            <w:tcW w:w="1239" w:type="dxa"/>
          </w:tcPr>
          <w:p w14:paraId="30B107E6" w14:textId="77777777" w:rsidR="00E46F31" w:rsidRPr="00E46F31" w:rsidRDefault="00E46F31" w:rsidP="007A7A86">
            <w:pPr>
              <w:rPr>
                <w:sz w:val="22"/>
                <w:szCs w:val="22"/>
              </w:rPr>
            </w:pPr>
          </w:p>
        </w:tc>
      </w:tr>
      <w:tr w:rsidR="00E46F31" w:rsidRPr="00E46F31" w14:paraId="44B52868" w14:textId="77777777" w:rsidTr="007A7A86">
        <w:tc>
          <w:tcPr>
            <w:tcW w:w="1678" w:type="dxa"/>
            <w:shd w:val="clear" w:color="auto" w:fill="auto"/>
          </w:tcPr>
          <w:p w14:paraId="2CCBB7A0" w14:textId="77777777" w:rsidR="00955B52" w:rsidRDefault="00955B52" w:rsidP="00955B52">
            <w:pPr>
              <w:pStyle w:val="Default"/>
              <w:rPr>
                <w:sz w:val="22"/>
                <w:szCs w:val="22"/>
              </w:rPr>
            </w:pPr>
            <w:r>
              <w:rPr>
                <w:sz w:val="22"/>
                <w:szCs w:val="22"/>
              </w:rPr>
              <w:t xml:space="preserve">Laboratórne a funkčné vyšetrenia </w:t>
            </w:r>
          </w:p>
          <w:p w14:paraId="24B30070" w14:textId="3574FA90" w:rsidR="00E46F31" w:rsidRPr="00E46F31" w:rsidRDefault="00E46F31" w:rsidP="007A7A86">
            <w:pPr>
              <w:rPr>
                <w:sz w:val="22"/>
                <w:szCs w:val="22"/>
              </w:rPr>
            </w:pPr>
          </w:p>
        </w:tc>
        <w:tc>
          <w:tcPr>
            <w:tcW w:w="1375" w:type="dxa"/>
            <w:shd w:val="clear" w:color="auto" w:fill="auto"/>
          </w:tcPr>
          <w:p w14:paraId="0224944B" w14:textId="77777777" w:rsidR="00E46F31" w:rsidRPr="00E46F31" w:rsidRDefault="00E46F31" w:rsidP="007A7A86">
            <w:pPr>
              <w:rPr>
                <w:sz w:val="22"/>
                <w:szCs w:val="22"/>
              </w:rPr>
            </w:pPr>
          </w:p>
        </w:tc>
        <w:tc>
          <w:tcPr>
            <w:tcW w:w="1823" w:type="dxa"/>
            <w:shd w:val="clear" w:color="auto" w:fill="auto"/>
          </w:tcPr>
          <w:p w14:paraId="15A0DFA4" w14:textId="77777777" w:rsidR="005C3C3E" w:rsidRDefault="005C3C3E" w:rsidP="005C3C3E">
            <w:pPr>
              <w:pStyle w:val="Default"/>
              <w:rPr>
                <w:sz w:val="22"/>
                <w:szCs w:val="22"/>
              </w:rPr>
            </w:pPr>
            <w:r>
              <w:rPr>
                <w:sz w:val="22"/>
                <w:szCs w:val="22"/>
              </w:rPr>
              <w:t xml:space="preserve">Zvýšenie telesnej hmotnosti </w:t>
            </w:r>
          </w:p>
          <w:p w14:paraId="5059BF49" w14:textId="010723FC" w:rsidR="00E46F31" w:rsidRPr="00E46F31" w:rsidRDefault="00E46F31" w:rsidP="007A7A86">
            <w:pPr>
              <w:rPr>
                <w:sz w:val="22"/>
                <w:szCs w:val="22"/>
              </w:rPr>
            </w:pPr>
          </w:p>
        </w:tc>
        <w:tc>
          <w:tcPr>
            <w:tcW w:w="1859" w:type="dxa"/>
            <w:shd w:val="clear" w:color="auto" w:fill="auto"/>
          </w:tcPr>
          <w:p w14:paraId="567F70B7" w14:textId="19F0C27E" w:rsidR="00E46F31" w:rsidRPr="00E46F31" w:rsidRDefault="005C3C3E" w:rsidP="005C3C3E">
            <w:pPr>
              <w:pStyle w:val="Default"/>
              <w:rPr>
                <w:sz w:val="22"/>
                <w:szCs w:val="22"/>
              </w:rPr>
            </w:pPr>
            <w:r>
              <w:rPr>
                <w:sz w:val="22"/>
                <w:szCs w:val="22"/>
              </w:rPr>
              <w:t>Zvýšená hladina cholesterolu v krvi Zvýšená hladina triglyceridov v krvi</w:t>
            </w:r>
          </w:p>
        </w:tc>
        <w:tc>
          <w:tcPr>
            <w:tcW w:w="1260" w:type="dxa"/>
            <w:shd w:val="clear" w:color="auto" w:fill="auto"/>
          </w:tcPr>
          <w:p w14:paraId="7213F019" w14:textId="77777777" w:rsidR="00E46F31" w:rsidRPr="00E46F31" w:rsidRDefault="00E46F31" w:rsidP="007A7A86">
            <w:pPr>
              <w:rPr>
                <w:sz w:val="22"/>
                <w:szCs w:val="22"/>
              </w:rPr>
            </w:pPr>
          </w:p>
        </w:tc>
        <w:tc>
          <w:tcPr>
            <w:tcW w:w="1239" w:type="dxa"/>
          </w:tcPr>
          <w:p w14:paraId="01EEE433" w14:textId="77777777" w:rsidR="00E46F31" w:rsidRPr="00E46F31" w:rsidRDefault="00E46F31" w:rsidP="007A7A86">
            <w:pPr>
              <w:rPr>
                <w:sz w:val="22"/>
                <w:szCs w:val="22"/>
              </w:rPr>
            </w:pPr>
          </w:p>
        </w:tc>
      </w:tr>
    </w:tbl>
    <w:p w14:paraId="2D89011A" w14:textId="77777777" w:rsidR="007A7A86" w:rsidRPr="007A7A86" w:rsidRDefault="007A7A86" w:rsidP="007A7A86">
      <w:pPr>
        <w:overflowPunct/>
        <w:textAlignment w:val="auto"/>
        <w:rPr>
          <w:color w:val="000000"/>
          <w:sz w:val="18"/>
          <w:szCs w:val="18"/>
        </w:rPr>
      </w:pPr>
      <w:r w:rsidRPr="007A7A86">
        <w:rPr>
          <w:color w:val="000000"/>
          <w:sz w:val="18"/>
          <w:szCs w:val="18"/>
        </w:rPr>
        <w:t xml:space="preserve">* pozri časť „Opis vybraných nežiaducich reakcií“ </w:t>
      </w:r>
    </w:p>
    <w:p w14:paraId="7BFC1D1B" w14:textId="77777777" w:rsidR="007A7A86" w:rsidRPr="007A7A86" w:rsidRDefault="007A7A86" w:rsidP="007A7A86">
      <w:pPr>
        <w:overflowPunct/>
        <w:textAlignment w:val="auto"/>
        <w:rPr>
          <w:color w:val="000000"/>
          <w:sz w:val="18"/>
          <w:szCs w:val="18"/>
        </w:rPr>
      </w:pPr>
      <w:r w:rsidRPr="007A7A86">
        <w:rPr>
          <w:color w:val="000000"/>
          <w:sz w:val="18"/>
          <w:szCs w:val="18"/>
        </w:rPr>
        <w:t xml:space="preserve">** Termínom „alopécia“ sa označuje doslovný význam mierneho vypadávania vlasov </w:t>
      </w:r>
    </w:p>
    <w:p w14:paraId="035662BB" w14:textId="77777777" w:rsidR="00DF6388" w:rsidRDefault="00DF6388" w:rsidP="007A7A86">
      <w:pPr>
        <w:rPr>
          <w:color w:val="000000"/>
          <w:sz w:val="22"/>
          <w:szCs w:val="22"/>
        </w:rPr>
      </w:pPr>
    </w:p>
    <w:p w14:paraId="74DBFA3E" w14:textId="37639BA2" w:rsidR="00E46F31" w:rsidRPr="00E46F31" w:rsidRDefault="007A7A86" w:rsidP="007A7A86">
      <w:pPr>
        <w:rPr>
          <w:sz w:val="22"/>
          <w:szCs w:val="22"/>
        </w:rPr>
      </w:pPr>
      <w:r w:rsidRPr="007A7A86">
        <w:rPr>
          <w:color w:val="000000"/>
          <w:sz w:val="22"/>
          <w:szCs w:val="22"/>
        </w:rPr>
        <w:t>Pri porovnaní opakovaných liečebných cyklov bol celkový výskyt nežiaducich reakcií nižší v následných liečebných cykloch než pri prvom cykle a každá nežiaduca reakcia mala nižší výskyt alebo zostala v rovnakej kategórii frekvencií (až na dyspepsiu, ktorá bola na základe výskytu u jednej pacientky klasifikovaná ako menej častá v liečebnom cykle 3).</w:t>
      </w:r>
    </w:p>
    <w:p w14:paraId="78C17246" w14:textId="05587040" w:rsidR="00E46F31" w:rsidRDefault="00E46F31" w:rsidP="00515AB8">
      <w:pPr>
        <w:pStyle w:val="Normlnywebov"/>
        <w:spacing w:before="0" w:beforeAutospacing="0" w:after="0" w:afterAutospacing="0"/>
        <w:rPr>
          <w:sz w:val="22"/>
          <w:szCs w:val="22"/>
        </w:rPr>
      </w:pPr>
    </w:p>
    <w:p w14:paraId="2B03A3F7" w14:textId="77777777" w:rsidR="001F7A4D" w:rsidRDefault="007A7A86" w:rsidP="007A7A86">
      <w:pPr>
        <w:overflowPunct/>
        <w:textAlignment w:val="auto"/>
        <w:rPr>
          <w:i/>
          <w:iCs/>
          <w:color w:val="000000"/>
          <w:sz w:val="22"/>
          <w:szCs w:val="22"/>
        </w:rPr>
      </w:pPr>
      <w:r w:rsidRPr="001F7A4D">
        <w:rPr>
          <w:color w:val="000000"/>
          <w:sz w:val="22"/>
          <w:szCs w:val="22"/>
          <w:u w:val="single"/>
        </w:rPr>
        <w:t>Opis vybraných nežiaducich reakcií</w:t>
      </w:r>
    </w:p>
    <w:p w14:paraId="6D67F278" w14:textId="2871A640" w:rsidR="007A7A86" w:rsidRPr="001F7A4D" w:rsidRDefault="007A7A86" w:rsidP="007A7A86">
      <w:pPr>
        <w:overflowPunct/>
        <w:textAlignment w:val="auto"/>
        <w:rPr>
          <w:i/>
          <w:iCs/>
          <w:color w:val="000000"/>
          <w:sz w:val="22"/>
          <w:szCs w:val="22"/>
        </w:rPr>
      </w:pPr>
      <w:r w:rsidRPr="001F7A4D">
        <w:rPr>
          <w:i/>
          <w:iCs/>
          <w:color w:val="000000"/>
          <w:sz w:val="22"/>
          <w:szCs w:val="22"/>
        </w:rPr>
        <w:t xml:space="preserve"> </w:t>
      </w:r>
    </w:p>
    <w:p w14:paraId="47CDE8A5" w14:textId="77777777" w:rsidR="007A7A86" w:rsidRPr="007A7A86" w:rsidRDefault="007A7A86" w:rsidP="007A7A86">
      <w:pPr>
        <w:overflowPunct/>
        <w:textAlignment w:val="auto"/>
        <w:rPr>
          <w:color w:val="000000"/>
          <w:sz w:val="22"/>
          <w:szCs w:val="22"/>
        </w:rPr>
      </w:pPr>
      <w:r w:rsidRPr="007A7A86">
        <w:rPr>
          <w:i/>
          <w:iCs/>
          <w:color w:val="000000"/>
          <w:sz w:val="22"/>
          <w:szCs w:val="22"/>
        </w:rPr>
        <w:t xml:space="preserve">Zhrubnutie endometria </w:t>
      </w:r>
    </w:p>
    <w:p w14:paraId="2CD6F0C3" w14:textId="57CAD371" w:rsidR="007A7A86" w:rsidRDefault="007A7A86" w:rsidP="007A7A86">
      <w:pPr>
        <w:pStyle w:val="Normlnywebov"/>
        <w:spacing w:before="0" w:beforeAutospacing="0" w:after="0" w:afterAutospacing="0"/>
        <w:rPr>
          <w:color w:val="000000"/>
          <w:sz w:val="22"/>
          <w:szCs w:val="22"/>
        </w:rPr>
      </w:pPr>
      <w:r w:rsidRPr="007A7A86">
        <w:rPr>
          <w:color w:val="000000"/>
          <w:sz w:val="22"/>
          <w:szCs w:val="22"/>
        </w:rPr>
        <w:t>U 10 – 15 % pacientok užívajúcich ulipristalacetát bolo pozorované zhrubnutie endometria (&gt; 16 mm pomocou ultrazvuku alebo metódy MRI na konci liečby) do konca prvého 3-mesačného liečebného cyklu. V následných liečebných cykloch bolo zhrubnutie endometria menej často pozorované (4,9 % a 3,5 % pacientok na konci druhého, resp. štvrtého liečebného cyklu). Zhrubnutie endometria vymizne po ukončení liečby a obnovení menštruácie.</w:t>
      </w:r>
    </w:p>
    <w:p w14:paraId="1B1E77C3" w14:textId="7AE521EB" w:rsidR="001F55B2" w:rsidRDefault="001F55B2" w:rsidP="007A7A86">
      <w:pPr>
        <w:pStyle w:val="Normlnywebov"/>
        <w:spacing w:before="0" w:beforeAutospacing="0" w:after="0" w:afterAutospacing="0"/>
        <w:rPr>
          <w:color w:val="000000"/>
          <w:sz w:val="22"/>
          <w:szCs w:val="22"/>
        </w:rPr>
      </w:pPr>
    </w:p>
    <w:p w14:paraId="43532969" w14:textId="09B07954" w:rsidR="001F55B2" w:rsidRPr="00E46F31" w:rsidRDefault="001F55B2" w:rsidP="007A7A86">
      <w:pPr>
        <w:pStyle w:val="Normlnywebov"/>
        <w:spacing w:before="0" w:beforeAutospacing="0" w:after="0" w:afterAutospacing="0"/>
        <w:rPr>
          <w:sz w:val="22"/>
          <w:szCs w:val="22"/>
        </w:rPr>
      </w:pPr>
      <w:r w:rsidRPr="00DF6388">
        <w:rPr>
          <w:sz w:val="22"/>
          <w:szCs w:val="22"/>
        </w:rPr>
        <w:t>Okrem toho sa reverzibilné zmeny endometria označujú ako PAEC a líšia sa od hyperplázie endometria. Ak sa vzorky z hysterektómie alebo biopsie endometria posielajú na histológiu, patológ má byť informovaný o tom, že pacientka užívala ulipristalacetát (pozri časti 4.4 a 5.1).</w:t>
      </w:r>
    </w:p>
    <w:p w14:paraId="2F6EFE05" w14:textId="77777777" w:rsidR="00847460" w:rsidRPr="00E46F31" w:rsidRDefault="00847460" w:rsidP="00770F18">
      <w:pPr>
        <w:pStyle w:val="Normlnywebov"/>
        <w:spacing w:before="0" w:beforeAutospacing="0" w:after="0" w:afterAutospacing="0"/>
        <w:rPr>
          <w:sz w:val="22"/>
          <w:szCs w:val="22"/>
        </w:rPr>
      </w:pPr>
    </w:p>
    <w:p w14:paraId="0E1872D0" w14:textId="77777777" w:rsidR="00DF6388" w:rsidRPr="00DF6388" w:rsidRDefault="00DF6388" w:rsidP="00DF6388">
      <w:pPr>
        <w:overflowPunct/>
        <w:textAlignment w:val="auto"/>
        <w:rPr>
          <w:color w:val="000000"/>
          <w:sz w:val="22"/>
          <w:szCs w:val="22"/>
        </w:rPr>
      </w:pPr>
      <w:r w:rsidRPr="00DF6388">
        <w:rPr>
          <w:i/>
          <w:iCs/>
          <w:color w:val="000000"/>
          <w:sz w:val="22"/>
          <w:szCs w:val="22"/>
        </w:rPr>
        <w:t xml:space="preserve">Návaly tepla </w:t>
      </w:r>
    </w:p>
    <w:p w14:paraId="2278843C" w14:textId="2E5774DC" w:rsidR="00847460" w:rsidRDefault="00DF6388" w:rsidP="00DF6388">
      <w:pPr>
        <w:pStyle w:val="Normlnywebov"/>
        <w:spacing w:before="0" w:beforeAutospacing="0" w:after="0" w:afterAutospacing="0"/>
        <w:rPr>
          <w:color w:val="000000"/>
          <w:sz w:val="22"/>
          <w:szCs w:val="22"/>
        </w:rPr>
      </w:pPr>
      <w:r w:rsidRPr="00DF6388">
        <w:rPr>
          <w:color w:val="000000"/>
          <w:sz w:val="22"/>
          <w:szCs w:val="22"/>
        </w:rPr>
        <w:t>Návaly tepla hlásilo 8,1 % pacientok, ale frekvencia ich výskytu sa v jednotlivých skúškach líšila. V štúdii kontrolovanej aktívnym komparátorom bola frekvencia u pacientok užívajúcich ulipristalacetát 24 % (10,</w:t>
      </w:r>
      <w:r w:rsidR="00C42D65" w:rsidRPr="00DF6388">
        <w:rPr>
          <w:color w:val="000000"/>
          <w:sz w:val="22"/>
          <w:szCs w:val="22"/>
        </w:rPr>
        <w:t>5</w:t>
      </w:r>
      <w:r w:rsidR="00C42D65">
        <w:rPr>
          <w:color w:val="000000"/>
          <w:sz w:val="22"/>
          <w:szCs w:val="22"/>
        </w:rPr>
        <w:t> </w:t>
      </w:r>
      <w:r w:rsidRPr="00DF6388">
        <w:rPr>
          <w:color w:val="000000"/>
          <w:sz w:val="22"/>
          <w:szCs w:val="22"/>
        </w:rPr>
        <w:t>% stredne závažných alebo závažných) a u pacientok užívajúcich leuprorelín 60,4 % (39,6 % stredne závažných alebo závažných). V štúdii kontrolovanej placebom bola frekvencia návalov tepla 1,0 % pri ulipristalacetáte a 0 % pri placebe. V prvom 3-mesačnom liečebnom cykle dvoch dlhodobých štúdií fázy III bola frekvencia ulpristalacetátu 5,3 %, resp. 5,8 %.</w:t>
      </w:r>
    </w:p>
    <w:p w14:paraId="1FAF20DD" w14:textId="1C8C8E3C" w:rsidR="00DF6388" w:rsidRDefault="00DF6388" w:rsidP="00DF6388">
      <w:pPr>
        <w:pStyle w:val="Normlnywebov"/>
        <w:spacing w:before="0" w:beforeAutospacing="0" w:after="0" w:afterAutospacing="0"/>
        <w:rPr>
          <w:color w:val="000000"/>
          <w:sz w:val="22"/>
          <w:szCs w:val="22"/>
        </w:rPr>
      </w:pPr>
    </w:p>
    <w:p w14:paraId="4BA06E0F" w14:textId="77777777" w:rsidR="00DF6388" w:rsidRPr="00DF6388" w:rsidRDefault="00DF6388" w:rsidP="00DF6388">
      <w:pPr>
        <w:overflowPunct/>
        <w:textAlignment w:val="auto"/>
        <w:rPr>
          <w:color w:val="000000"/>
          <w:sz w:val="22"/>
          <w:szCs w:val="22"/>
        </w:rPr>
      </w:pPr>
      <w:r w:rsidRPr="00DF6388">
        <w:rPr>
          <w:i/>
          <w:iCs/>
          <w:color w:val="000000"/>
          <w:sz w:val="22"/>
          <w:szCs w:val="22"/>
        </w:rPr>
        <w:t xml:space="preserve">Precitlivenosť na liek </w:t>
      </w:r>
    </w:p>
    <w:p w14:paraId="64AB0240" w14:textId="2101C117" w:rsidR="00DF6388" w:rsidRDefault="00DF6388" w:rsidP="00DF6388">
      <w:pPr>
        <w:overflowPunct/>
        <w:textAlignment w:val="auto"/>
        <w:rPr>
          <w:color w:val="000000"/>
          <w:sz w:val="22"/>
          <w:szCs w:val="22"/>
        </w:rPr>
      </w:pPr>
      <w:r w:rsidRPr="00DF6388">
        <w:rPr>
          <w:color w:val="000000"/>
          <w:sz w:val="22"/>
          <w:szCs w:val="22"/>
        </w:rPr>
        <w:t xml:space="preserve">Príznaky precitlivenosti na liek, ako je generalizovaný edém, pruritus, vyrážka, opuch tváre alebo žihľavka boli hlásené u 0,4 % pacientok zo štúdií fázy III. </w:t>
      </w:r>
    </w:p>
    <w:p w14:paraId="643D2A3E" w14:textId="77777777" w:rsidR="00C42D65" w:rsidRDefault="00C42D65" w:rsidP="00DF6388">
      <w:pPr>
        <w:overflowPunct/>
        <w:textAlignment w:val="auto"/>
        <w:rPr>
          <w:i/>
          <w:iCs/>
          <w:color w:val="000000"/>
          <w:sz w:val="22"/>
          <w:szCs w:val="22"/>
        </w:rPr>
      </w:pPr>
    </w:p>
    <w:p w14:paraId="0F823210" w14:textId="77777777" w:rsidR="00DF6388" w:rsidRPr="00DF6388" w:rsidRDefault="00DF6388" w:rsidP="00DF6388">
      <w:pPr>
        <w:overflowPunct/>
        <w:textAlignment w:val="auto"/>
        <w:rPr>
          <w:color w:val="000000"/>
          <w:sz w:val="22"/>
          <w:szCs w:val="22"/>
        </w:rPr>
      </w:pPr>
      <w:r w:rsidRPr="00DF6388">
        <w:rPr>
          <w:i/>
          <w:iCs/>
          <w:color w:val="000000"/>
          <w:sz w:val="22"/>
          <w:szCs w:val="22"/>
        </w:rPr>
        <w:t xml:space="preserve">Bolesť hlavy </w:t>
      </w:r>
    </w:p>
    <w:p w14:paraId="10C73701" w14:textId="0C3D21D8" w:rsidR="00DF6388" w:rsidRDefault="00DF6388" w:rsidP="00DF6388">
      <w:pPr>
        <w:overflowPunct/>
        <w:textAlignment w:val="auto"/>
        <w:rPr>
          <w:color w:val="000000"/>
          <w:sz w:val="22"/>
          <w:szCs w:val="22"/>
        </w:rPr>
      </w:pPr>
      <w:r w:rsidRPr="00DF6388">
        <w:rPr>
          <w:color w:val="000000"/>
          <w:sz w:val="22"/>
          <w:szCs w:val="22"/>
        </w:rPr>
        <w:t xml:space="preserve">Miernu alebo stredne závažnú bolesť hlavy hlásilo 5,8 % pacientok. </w:t>
      </w:r>
    </w:p>
    <w:p w14:paraId="20481D2F" w14:textId="77777777" w:rsidR="00DF6388" w:rsidRPr="00DF6388" w:rsidRDefault="00DF6388" w:rsidP="00DF6388">
      <w:pPr>
        <w:overflowPunct/>
        <w:textAlignment w:val="auto"/>
        <w:rPr>
          <w:color w:val="000000"/>
          <w:sz w:val="22"/>
          <w:szCs w:val="22"/>
        </w:rPr>
      </w:pPr>
    </w:p>
    <w:p w14:paraId="4595D4C4" w14:textId="77777777" w:rsidR="00DF6388" w:rsidRPr="00DF6388" w:rsidRDefault="00DF6388" w:rsidP="00DF6388">
      <w:pPr>
        <w:overflowPunct/>
        <w:textAlignment w:val="auto"/>
        <w:rPr>
          <w:color w:val="000000"/>
          <w:sz w:val="22"/>
          <w:szCs w:val="22"/>
        </w:rPr>
      </w:pPr>
      <w:r w:rsidRPr="00DF6388">
        <w:rPr>
          <w:i/>
          <w:iCs/>
          <w:color w:val="000000"/>
          <w:sz w:val="22"/>
          <w:szCs w:val="22"/>
        </w:rPr>
        <w:t xml:space="preserve">Ovariálna cysta </w:t>
      </w:r>
    </w:p>
    <w:p w14:paraId="20102DE9" w14:textId="09945305" w:rsidR="00DF6388" w:rsidRDefault="00DF6388" w:rsidP="00DF6388">
      <w:pPr>
        <w:overflowPunct/>
        <w:textAlignment w:val="auto"/>
        <w:rPr>
          <w:color w:val="000000"/>
          <w:sz w:val="22"/>
          <w:szCs w:val="22"/>
        </w:rPr>
      </w:pPr>
      <w:r w:rsidRPr="00DF6388">
        <w:rPr>
          <w:color w:val="000000"/>
          <w:sz w:val="22"/>
          <w:szCs w:val="22"/>
        </w:rPr>
        <w:t xml:space="preserve">Funkčné ovariálne cysty boli pozorované počas liečby a po nej u 1,0 % pacientok a vo väčšine prípadov spontánne vymizli v priebehu niekoľkých týždňov. </w:t>
      </w:r>
    </w:p>
    <w:p w14:paraId="1A418A1C" w14:textId="77777777" w:rsidR="00DF6388" w:rsidRPr="00DF6388" w:rsidRDefault="00DF6388" w:rsidP="00DF6388">
      <w:pPr>
        <w:overflowPunct/>
        <w:textAlignment w:val="auto"/>
        <w:rPr>
          <w:color w:val="000000"/>
          <w:sz w:val="22"/>
          <w:szCs w:val="22"/>
        </w:rPr>
      </w:pPr>
    </w:p>
    <w:p w14:paraId="27BDFACB" w14:textId="77777777" w:rsidR="00DF6388" w:rsidRPr="00DF6388" w:rsidRDefault="00DF6388" w:rsidP="00DF6388">
      <w:pPr>
        <w:overflowPunct/>
        <w:textAlignment w:val="auto"/>
        <w:rPr>
          <w:color w:val="000000"/>
          <w:sz w:val="22"/>
          <w:szCs w:val="22"/>
        </w:rPr>
      </w:pPr>
      <w:r w:rsidRPr="00714346">
        <w:rPr>
          <w:i/>
          <w:iCs/>
          <w:color w:val="000000"/>
          <w:sz w:val="22"/>
          <w:szCs w:val="22"/>
        </w:rPr>
        <w:t>Maternicové krvácanie</w:t>
      </w:r>
      <w:r w:rsidRPr="00DF6388">
        <w:rPr>
          <w:i/>
          <w:iCs/>
          <w:color w:val="000000"/>
          <w:sz w:val="22"/>
          <w:szCs w:val="22"/>
        </w:rPr>
        <w:t xml:space="preserve"> </w:t>
      </w:r>
    </w:p>
    <w:p w14:paraId="5739665E" w14:textId="3E4B0B99" w:rsidR="00DF6388" w:rsidRDefault="00DF6388" w:rsidP="00DF6388">
      <w:pPr>
        <w:pStyle w:val="Normlnywebov"/>
        <w:spacing w:before="0" w:beforeAutospacing="0" w:after="0" w:afterAutospacing="0"/>
        <w:rPr>
          <w:sz w:val="22"/>
          <w:szCs w:val="22"/>
        </w:rPr>
      </w:pPr>
      <w:r w:rsidRPr="00DF6388">
        <w:rPr>
          <w:color w:val="000000"/>
          <w:sz w:val="22"/>
          <w:szCs w:val="22"/>
        </w:rPr>
        <w:t>Pacientkam so silným menštruačným krvácaním v dôsledku myómov maternice hrozí nadmerné krvácanie, ktoré si môže vyžadovať chirurgický zákrok. Počas liečby ulipristalacetátom alebo v priebehu 2 – 3 mesiacov po ukončení liečby bolo hlásených niekoľko prípadov.</w:t>
      </w:r>
    </w:p>
    <w:p w14:paraId="342C33BE" w14:textId="2F074254" w:rsidR="00847460" w:rsidRDefault="00847460" w:rsidP="00770F18">
      <w:pPr>
        <w:pStyle w:val="Normlnywebov"/>
        <w:spacing w:before="0" w:beforeAutospacing="0" w:after="0" w:afterAutospacing="0"/>
        <w:rPr>
          <w:sz w:val="22"/>
          <w:szCs w:val="22"/>
        </w:rPr>
      </w:pPr>
    </w:p>
    <w:p w14:paraId="08E95879" w14:textId="77777777" w:rsidR="00797DB5" w:rsidRPr="00202AB2" w:rsidRDefault="00797DB5" w:rsidP="00797DB5">
      <w:pPr>
        <w:keepLines/>
        <w:widowControl w:val="0"/>
        <w:snapToGrid w:val="0"/>
        <w:contextualSpacing/>
        <w:rPr>
          <w:sz w:val="22"/>
          <w:szCs w:val="22"/>
          <w:u w:val="single"/>
        </w:rPr>
      </w:pPr>
      <w:r w:rsidRPr="00202AB2">
        <w:rPr>
          <w:noProof/>
          <w:sz w:val="22"/>
          <w:szCs w:val="22"/>
          <w:u w:val="single"/>
        </w:rPr>
        <w:t>Hlásenie podozrení na nežiaduce reakcie</w:t>
      </w:r>
    </w:p>
    <w:p w14:paraId="7AF3E0E9" w14:textId="2D186CA6" w:rsidR="00797DB5" w:rsidRDefault="00797DB5" w:rsidP="00797DB5">
      <w:pPr>
        <w:rPr>
          <w:noProof/>
          <w:sz w:val="22"/>
          <w:szCs w:val="22"/>
        </w:rPr>
      </w:pPr>
      <w:r w:rsidRPr="00202AB2">
        <w:rPr>
          <w:noProof/>
          <w:sz w:val="22"/>
          <w:szCs w:val="22"/>
        </w:rPr>
        <w:t>Hlásenie podozrení na nežiaduce reakcie po registrácii lieku je dôležité.Umožňuje priebežné monitorovanie pomeru prínosu a rizika lieku.</w:t>
      </w:r>
      <w:r w:rsidRPr="00202AB2">
        <w:rPr>
          <w:sz w:val="22"/>
          <w:szCs w:val="22"/>
        </w:rPr>
        <w:t xml:space="preserve"> Od </w:t>
      </w:r>
      <w:r w:rsidRPr="00202AB2">
        <w:rPr>
          <w:noProof/>
          <w:sz w:val="22"/>
          <w:szCs w:val="22"/>
        </w:rPr>
        <w:t xml:space="preserve">zdravotníckych pracovníkov sa vyžaduje, aby hlásili akékoľvek podozrenia na nežiaduce reakcie </w:t>
      </w:r>
      <w:r>
        <w:rPr>
          <w:noProof/>
          <w:sz w:val="22"/>
          <w:szCs w:val="22"/>
        </w:rPr>
        <w:t>na</w:t>
      </w:r>
      <w:r w:rsidRPr="00202AB2">
        <w:rPr>
          <w:noProof/>
          <w:sz w:val="22"/>
          <w:szCs w:val="22"/>
        </w:rPr>
        <w:t xml:space="preserve"> </w:t>
      </w:r>
      <w:r w:rsidRPr="00202AB2">
        <w:rPr>
          <w:noProof/>
          <w:sz w:val="22"/>
          <w:szCs w:val="22"/>
          <w:highlight w:val="lightGray"/>
        </w:rPr>
        <w:t xml:space="preserve">národné </w:t>
      </w:r>
      <w:r>
        <w:rPr>
          <w:noProof/>
          <w:sz w:val="22"/>
          <w:szCs w:val="22"/>
          <w:highlight w:val="lightGray"/>
        </w:rPr>
        <w:t>centrum</w:t>
      </w:r>
      <w:r w:rsidRPr="00202AB2">
        <w:rPr>
          <w:noProof/>
          <w:sz w:val="22"/>
          <w:szCs w:val="22"/>
          <w:highlight w:val="lightGray"/>
        </w:rPr>
        <w:t xml:space="preserve"> hlásenia uvedené v </w:t>
      </w:r>
      <w:hyperlink r:id="rId7" w:history="1">
        <w:r w:rsidRPr="00202AB2">
          <w:rPr>
            <w:rFonts w:eastAsia="SimSun"/>
            <w:noProof/>
            <w:color w:val="0000FF"/>
            <w:sz w:val="22"/>
            <w:szCs w:val="22"/>
            <w:highlight w:val="lightGray"/>
            <w:u w:val="single"/>
          </w:rPr>
          <w:t>Prílohe V</w:t>
        </w:r>
      </w:hyperlink>
      <w:r w:rsidRPr="00202AB2">
        <w:rPr>
          <w:noProof/>
          <w:sz w:val="22"/>
          <w:szCs w:val="22"/>
        </w:rPr>
        <w:t>.</w:t>
      </w:r>
    </w:p>
    <w:p w14:paraId="79084B5E" w14:textId="77777777" w:rsidR="00315DC8" w:rsidRPr="00431EED" w:rsidRDefault="00315DC8" w:rsidP="00D052C4">
      <w:pPr>
        <w:tabs>
          <w:tab w:val="left" w:pos="567"/>
        </w:tabs>
        <w:outlineLvl w:val="0"/>
        <w:rPr>
          <w:sz w:val="22"/>
          <w:szCs w:val="22"/>
          <w:u w:val="single"/>
        </w:rPr>
      </w:pPr>
    </w:p>
    <w:p w14:paraId="4E4057BF" w14:textId="77777777" w:rsidR="00553C00" w:rsidRPr="00431EED" w:rsidRDefault="009C6218" w:rsidP="00D052C4">
      <w:pPr>
        <w:tabs>
          <w:tab w:val="left" w:pos="567"/>
        </w:tabs>
        <w:rPr>
          <w:b/>
          <w:sz w:val="22"/>
          <w:szCs w:val="22"/>
        </w:rPr>
      </w:pPr>
      <w:r w:rsidRPr="003C041F">
        <w:rPr>
          <w:b/>
          <w:sz w:val="22"/>
          <w:szCs w:val="22"/>
        </w:rPr>
        <w:t>4.9</w:t>
      </w:r>
      <w:r w:rsidR="00553C00" w:rsidRPr="003C041F">
        <w:rPr>
          <w:b/>
          <w:sz w:val="22"/>
          <w:szCs w:val="22"/>
        </w:rPr>
        <w:tab/>
        <w:t>Predávkovanie</w:t>
      </w:r>
    </w:p>
    <w:p w14:paraId="15732B4E" w14:textId="77777777" w:rsidR="008279EA" w:rsidRPr="00431EED" w:rsidRDefault="008279EA" w:rsidP="00D052C4">
      <w:pPr>
        <w:tabs>
          <w:tab w:val="left" w:pos="567"/>
        </w:tabs>
        <w:rPr>
          <w:b/>
          <w:sz w:val="22"/>
          <w:szCs w:val="22"/>
        </w:rPr>
      </w:pPr>
    </w:p>
    <w:p w14:paraId="3DBDDC1E"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Skúsenosti s predávkovaním ulipristalacetátom sú obmedzené. </w:t>
      </w:r>
    </w:p>
    <w:p w14:paraId="091BA6BE" w14:textId="37B24497" w:rsidR="00553C00" w:rsidRDefault="003C041F" w:rsidP="003C041F">
      <w:pPr>
        <w:tabs>
          <w:tab w:val="left" w:pos="567"/>
        </w:tabs>
        <w:rPr>
          <w:sz w:val="22"/>
          <w:szCs w:val="22"/>
        </w:rPr>
      </w:pPr>
      <w:r w:rsidRPr="003C041F">
        <w:rPr>
          <w:color w:val="000000"/>
          <w:sz w:val="22"/>
          <w:szCs w:val="22"/>
        </w:rPr>
        <w:t>Jednotlivé dávky do 200 mg a denné 50 mg dávky počas 10 za sebou nasledujúcich dní sa podávali obmedzenému počtu jedincov a neboli hlásené žiadne závažné nežiaduce reakcie.</w:t>
      </w:r>
    </w:p>
    <w:p w14:paraId="04D86F44" w14:textId="77777777" w:rsidR="00C83A9A" w:rsidRDefault="00C83A9A" w:rsidP="00D052C4">
      <w:pPr>
        <w:tabs>
          <w:tab w:val="left" w:pos="567"/>
        </w:tabs>
        <w:rPr>
          <w:sz w:val="22"/>
          <w:szCs w:val="22"/>
        </w:rPr>
      </w:pPr>
    </w:p>
    <w:p w14:paraId="6EC4E119" w14:textId="77777777" w:rsidR="00C42D65" w:rsidRPr="00431EED" w:rsidRDefault="00C42D65" w:rsidP="00D052C4">
      <w:pPr>
        <w:tabs>
          <w:tab w:val="left" w:pos="567"/>
        </w:tabs>
        <w:rPr>
          <w:sz w:val="22"/>
          <w:szCs w:val="22"/>
        </w:rPr>
      </w:pPr>
    </w:p>
    <w:p w14:paraId="7E312591" w14:textId="77777777" w:rsidR="00553C00" w:rsidRPr="00431EED" w:rsidRDefault="00553C00" w:rsidP="00D052C4">
      <w:pPr>
        <w:numPr>
          <w:ilvl w:val="0"/>
          <w:numId w:val="12"/>
        </w:numPr>
        <w:tabs>
          <w:tab w:val="left" w:pos="567"/>
        </w:tabs>
        <w:ind w:left="0" w:firstLine="0"/>
        <w:rPr>
          <w:b/>
          <w:sz w:val="22"/>
          <w:szCs w:val="22"/>
        </w:rPr>
      </w:pPr>
      <w:r w:rsidRPr="00431EED">
        <w:rPr>
          <w:b/>
          <w:sz w:val="22"/>
          <w:szCs w:val="22"/>
        </w:rPr>
        <w:t>FARMAKOLOGICKÉ VLASTNOSTI</w:t>
      </w:r>
    </w:p>
    <w:p w14:paraId="3E7B2FC6" w14:textId="77777777" w:rsidR="00553C00" w:rsidRPr="00431EED" w:rsidRDefault="00553C00" w:rsidP="00D052C4">
      <w:pPr>
        <w:tabs>
          <w:tab w:val="left" w:pos="567"/>
        </w:tabs>
        <w:rPr>
          <w:sz w:val="22"/>
          <w:szCs w:val="22"/>
        </w:rPr>
      </w:pPr>
    </w:p>
    <w:p w14:paraId="16E4A1C3" w14:textId="77777777" w:rsidR="00553C00" w:rsidRPr="00431EED" w:rsidRDefault="00553C00" w:rsidP="00D052C4">
      <w:pPr>
        <w:tabs>
          <w:tab w:val="left" w:pos="567"/>
        </w:tabs>
        <w:outlineLvl w:val="0"/>
        <w:rPr>
          <w:b/>
          <w:sz w:val="22"/>
          <w:szCs w:val="22"/>
        </w:rPr>
      </w:pPr>
      <w:r w:rsidRPr="00431EED">
        <w:rPr>
          <w:b/>
          <w:sz w:val="22"/>
          <w:szCs w:val="22"/>
        </w:rPr>
        <w:t>5.1</w:t>
      </w:r>
      <w:r w:rsidRPr="00431EED">
        <w:rPr>
          <w:b/>
          <w:sz w:val="22"/>
          <w:szCs w:val="22"/>
        </w:rPr>
        <w:tab/>
        <w:t>Farmakodynamické vlastnosti</w:t>
      </w:r>
    </w:p>
    <w:p w14:paraId="5C1E7FB8" w14:textId="77777777" w:rsidR="00E548EF" w:rsidRPr="00431EED" w:rsidRDefault="00E548EF" w:rsidP="00D052C4">
      <w:pPr>
        <w:tabs>
          <w:tab w:val="left" w:pos="567"/>
        </w:tabs>
        <w:outlineLvl w:val="0"/>
        <w:rPr>
          <w:b/>
          <w:sz w:val="22"/>
          <w:szCs w:val="22"/>
        </w:rPr>
      </w:pPr>
    </w:p>
    <w:p w14:paraId="784FA856" w14:textId="6C2AE3C7" w:rsidR="003C041F" w:rsidRDefault="003C041F" w:rsidP="003C041F">
      <w:pPr>
        <w:overflowPunct/>
        <w:textAlignment w:val="auto"/>
        <w:rPr>
          <w:color w:val="000000"/>
          <w:sz w:val="18"/>
          <w:szCs w:val="18"/>
        </w:rPr>
      </w:pPr>
      <w:r w:rsidRPr="003C041F">
        <w:rPr>
          <w:color w:val="000000"/>
          <w:sz w:val="22"/>
          <w:szCs w:val="22"/>
        </w:rPr>
        <w:t xml:space="preserve">Farmakoterapeutická skupina: Pohlavné hormóny a modulátory genitálneho systému, </w:t>
      </w:r>
      <w:r w:rsidRPr="00BE4CBB">
        <w:rPr>
          <w:color w:val="000000"/>
          <w:sz w:val="22"/>
          <w:szCs w:val="22"/>
        </w:rPr>
        <w:t xml:space="preserve">modulátory </w:t>
      </w:r>
      <w:r w:rsidR="00BE4CBB">
        <w:rPr>
          <w:color w:val="000000"/>
          <w:sz w:val="22"/>
          <w:szCs w:val="22"/>
        </w:rPr>
        <w:t>progesterónového receptora</w:t>
      </w:r>
      <w:r w:rsidRPr="003C041F">
        <w:rPr>
          <w:color w:val="000000"/>
          <w:sz w:val="22"/>
          <w:szCs w:val="22"/>
        </w:rPr>
        <w:t>. ATC kód: G03XB02.</w:t>
      </w:r>
    </w:p>
    <w:p w14:paraId="69E3F97C" w14:textId="77777777" w:rsidR="003C041F" w:rsidRDefault="003C041F" w:rsidP="003C041F">
      <w:pPr>
        <w:overflowPunct/>
        <w:textAlignment w:val="auto"/>
        <w:rPr>
          <w:color w:val="000000"/>
          <w:sz w:val="18"/>
          <w:szCs w:val="18"/>
        </w:rPr>
      </w:pPr>
    </w:p>
    <w:p w14:paraId="5ED5F1AC"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Ulipristalacetát je perorálne účinný syntetický selektívny modulátor receptora progesterónu, ktorý sa vyznačuje čiastočným antagonistickým účinkom na tkanivá reagujúce na progesterón. </w:t>
      </w:r>
    </w:p>
    <w:p w14:paraId="5D55379B" w14:textId="77777777" w:rsidR="003C041F" w:rsidRDefault="003C041F" w:rsidP="003C041F">
      <w:pPr>
        <w:overflowPunct/>
        <w:textAlignment w:val="auto"/>
        <w:rPr>
          <w:color w:val="000000"/>
          <w:sz w:val="22"/>
          <w:szCs w:val="22"/>
        </w:rPr>
      </w:pPr>
    </w:p>
    <w:p w14:paraId="50A52AED" w14:textId="0D1AEF26" w:rsidR="003C041F" w:rsidRPr="003C041F" w:rsidRDefault="003C041F" w:rsidP="003C041F">
      <w:pPr>
        <w:overflowPunct/>
        <w:textAlignment w:val="auto"/>
        <w:rPr>
          <w:color w:val="000000"/>
          <w:sz w:val="22"/>
          <w:szCs w:val="22"/>
          <w:u w:val="single"/>
        </w:rPr>
      </w:pPr>
      <w:r w:rsidRPr="003C041F">
        <w:rPr>
          <w:color w:val="000000"/>
          <w:sz w:val="22"/>
          <w:szCs w:val="22"/>
          <w:u w:val="single"/>
        </w:rPr>
        <w:t xml:space="preserve">Mechanizmus účinku </w:t>
      </w:r>
    </w:p>
    <w:p w14:paraId="0D892C64" w14:textId="77777777" w:rsidR="003C041F" w:rsidRDefault="003C041F" w:rsidP="003C041F">
      <w:pPr>
        <w:overflowPunct/>
        <w:textAlignment w:val="auto"/>
        <w:rPr>
          <w:color w:val="000000"/>
          <w:sz w:val="22"/>
          <w:szCs w:val="22"/>
        </w:rPr>
      </w:pPr>
      <w:r w:rsidRPr="003C041F">
        <w:rPr>
          <w:color w:val="000000"/>
          <w:sz w:val="22"/>
          <w:szCs w:val="22"/>
        </w:rPr>
        <w:t>Ulipristalacetát má priamy účinok na endometrium.</w:t>
      </w:r>
    </w:p>
    <w:p w14:paraId="6B6C9EF6" w14:textId="294314FE" w:rsidR="003C041F" w:rsidRPr="003C041F" w:rsidRDefault="003C041F" w:rsidP="003C041F">
      <w:pPr>
        <w:overflowPunct/>
        <w:textAlignment w:val="auto"/>
        <w:rPr>
          <w:color w:val="000000"/>
          <w:sz w:val="22"/>
          <w:szCs w:val="22"/>
        </w:rPr>
      </w:pPr>
      <w:r w:rsidRPr="003C041F">
        <w:rPr>
          <w:color w:val="000000"/>
          <w:sz w:val="22"/>
          <w:szCs w:val="22"/>
        </w:rPr>
        <w:t xml:space="preserve"> </w:t>
      </w:r>
    </w:p>
    <w:p w14:paraId="411B2D8A" w14:textId="6278C32E" w:rsidR="003C041F" w:rsidRDefault="003C041F" w:rsidP="003C041F">
      <w:pPr>
        <w:overflowPunct/>
        <w:textAlignment w:val="auto"/>
        <w:rPr>
          <w:color w:val="000000"/>
          <w:sz w:val="22"/>
          <w:szCs w:val="22"/>
        </w:rPr>
      </w:pPr>
      <w:r w:rsidRPr="003C041F">
        <w:rPr>
          <w:color w:val="000000"/>
          <w:sz w:val="22"/>
          <w:szCs w:val="22"/>
        </w:rPr>
        <w:t xml:space="preserve">Ulipristalacetát má priamy účinok na myómy tým, že zmenšuje ich veľkosť inhibíciou bunkovej proliferácie a indukciou apoptózy. </w:t>
      </w:r>
    </w:p>
    <w:p w14:paraId="4DE4A728" w14:textId="77777777" w:rsidR="003C041F" w:rsidRPr="003C041F" w:rsidRDefault="003C041F" w:rsidP="003C041F">
      <w:pPr>
        <w:overflowPunct/>
        <w:textAlignment w:val="auto"/>
        <w:rPr>
          <w:color w:val="000000"/>
          <w:sz w:val="22"/>
          <w:szCs w:val="22"/>
        </w:rPr>
      </w:pPr>
    </w:p>
    <w:p w14:paraId="4AAEEFCF" w14:textId="3FC5DEFA" w:rsidR="003C041F" w:rsidRDefault="003C041F" w:rsidP="003C041F">
      <w:pPr>
        <w:overflowPunct/>
        <w:textAlignment w:val="auto"/>
        <w:rPr>
          <w:color w:val="000000"/>
          <w:sz w:val="22"/>
          <w:szCs w:val="22"/>
          <w:u w:val="single"/>
        </w:rPr>
      </w:pPr>
      <w:r w:rsidRPr="003C041F">
        <w:rPr>
          <w:color w:val="000000"/>
          <w:sz w:val="22"/>
          <w:szCs w:val="22"/>
          <w:u w:val="single"/>
        </w:rPr>
        <w:t xml:space="preserve">Farmakodynamické účinky </w:t>
      </w:r>
    </w:p>
    <w:p w14:paraId="250800B4" w14:textId="77777777" w:rsidR="00844F46" w:rsidRPr="003C041F" w:rsidRDefault="00844F46" w:rsidP="003C041F">
      <w:pPr>
        <w:overflowPunct/>
        <w:textAlignment w:val="auto"/>
        <w:rPr>
          <w:color w:val="000000"/>
          <w:sz w:val="22"/>
          <w:szCs w:val="22"/>
          <w:u w:val="single"/>
        </w:rPr>
      </w:pPr>
    </w:p>
    <w:p w14:paraId="3432A886" w14:textId="77777777" w:rsidR="003C041F" w:rsidRPr="003C041F" w:rsidRDefault="003C041F" w:rsidP="003C041F">
      <w:pPr>
        <w:overflowPunct/>
        <w:textAlignment w:val="auto"/>
        <w:rPr>
          <w:color w:val="000000"/>
          <w:sz w:val="22"/>
          <w:szCs w:val="22"/>
        </w:rPr>
      </w:pPr>
      <w:r w:rsidRPr="003C041F">
        <w:rPr>
          <w:i/>
          <w:iCs/>
          <w:color w:val="000000"/>
          <w:sz w:val="22"/>
          <w:szCs w:val="22"/>
        </w:rPr>
        <w:t xml:space="preserve">Endometrium </w:t>
      </w:r>
    </w:p>
    <w:p w14:paraId="1677EBBB"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Ak sa každodenné podávanie 5 mg dávky začne počas menštruačného cyklu, väčšina </w:t>
      </w:r>
      <w:r w:rsidRPr="00714346">
        <w:rPr>
          <w:color w:val="000000"/>
          <w:sz w:val="22"/>
          <w:szCs w:val="22"/>
        </w:rPr>
        <w:t>jedincov</w:t>
      </w:r>
      <w:r w:rsidRPr="003C041F">
        <w:rPr>
          <w:color w:val="000000"/>
          <w:sz w:val="22"/>
          <w:szCs w:val="22"/>
        </w:rPr>
        <w:t xml:space="preserve"> (vrátane pacientok s myómom) dokončí prvú menštruáciu, ale k ďalšej menštruácii až do ukončenia liečby nedôjde. Po ukončení liečby ulipristalacetátom sa menštruačné cykly zvyčajne obnovia v priebehu 4 týždňov. </w:t>
      </w:r>
    </w:p>
    <w:p w14:paraId="3D146F0F" w14:textId="57ED9580" w:rsidR="003C041F" w:rsidRDefault="003C041F" w:rsidP="003C041F">
      <w:pPr>
        <w:overflowPunct/>
        <w:textAlignment w:val="auto"/>
        <w:rPr>
          <w:color w:val="000000"/>
          <w:sz w:val="18"/>
          <w:szCs w:val="18"/>
        </w:rPr>
      </w:pPr>
      <w:r w:rsidRPr="003C041F">
        <w:rPr>
          <w:color w:val="000000"/>
          <w:sz w:val="22"/>
          <w:szCs w:val="22"/>
        </w:rPr>
        <w:t xml:space="preserve">Priamy účinok na endometrium má za následok špecifický druh zmien v histologickej terminológii nazývaných PAEC. Histologický vzhľad je väčšinou neaktívny a slabo proliferujúci epitel spojený s asymetrickým rastom strómy a epiteliálnych buniek, ktorý má za následok výrazne cysticky dilatované žľazy so zmiešanými účinkami estrogénu (mitotickými) a progestagénu (sekrečnými) na epiteliálne bunky. Táto schéma bola pozorovaná u približne 60 % pacientok liečených ulipristalacetátom počas 3 mesiacov. Tieto zmeny sú po ukončení liečby reverzibilné. Tieto zmeny sa nemajú zamieňať s hyperpláziou endometria. </w:t>
      </w:r>
      <w:r w:rsidRPr="003C041F">
        <w:rPr>
          <w:color w:val="000000"/>
          <w:sz w:val="18"/>
          <w:szCs w:val="18"/>
        </w:rPr>
        <w:t xml:space="preserve"> </w:t>
      </w:r>
    </w:p>
    <w:p w14:paraId="508D45E3" w14:textId="75E3D586" w:rsidR="003C041F" w:rsidRPr="003C041F" w:rsidRDefault="003C041F" w:rsidP="003C041F">
      <w:pPr>
        <w:overflowPunct/>
        <w:textAlignment w:val="auto"/>
        <w:rPr>
          <w:color w:val="000000"/>
          <w:sz w:val="18"/>
          <w:szCs w:val="18"/>
        </w:rPr>
      </w:pPr>
      <w:r>
        <w:rPr>
          <w:sz w:val="22"/>
          <w:szCs w:val="22"/>
        </w:rPr>
        <w:t>Približne 5 % pacientok v reproduktívnom veku, ktoré majú silné menštruačné krvácanie, má hrúbku endometria väčšiu ako 16 mm. U približne 10 – 15 % pacientok liečených ulipristalacetátom môže endometrium počas prvého 3-mesačného liečebného cyklu zhrubnúť (&gt; 16 mm). V prípade opakovaných liečebných cyklov bolo zhrubnutie endometria menej často pozorované (4,9 % pacientok po druhom liečebnom cykle a 3,5 % pacientok po štvrtom liečebnom cykle). Toto zhrubnutie vymizne po ukončení liečby a obnovení menštruácie. Ak zhrubnutie endometria pretrváva po obnove menštruácie v priebehu období bez liečby alebo viac ako 3 mesiace po ukončení liečebných cyklov, môže byť potrebné vyšetrenie podľa bežnej klinickej praxe, aby sa vylúčili iné základné ochorenia.</w:t>
      </w:r>
    </w:p>
    <w:p w14:paraId="53F5708F" w14:textId="0ABD91C7" w:rsidR="003C041F" w:rsidRDefault="003C041F" w:rsidP="003C041F">
      <w:pPr>
        <w:overflowPunct/>
        <w:textAlignment w:val="auto"/>
        <w:rPr>
          <w:sz w:val="24"/>
          <w:szCs w:val="24"/>
        </w:rPr>
      </w:pPr>
    </w:p>
    <w:p w14:paraId="6303F44D" w14:textId="77777777" w:rsidR="003C041F" w:rsidRPr="003C041F" w:rsidRDefault="003C041F" w:rsidP="003C041F">
      <w:pPr>
        <w:overflowPunct/>
        <w:textAlignment w:val="auto"/>
        <w:rPr>
          <w:color w:val="000000"/>
          <w:sz w:val="22"/>
          <w:szCs w:val="22"/>
        </w:rPr>
      </w:pPr>
      <w:r w:rsidRPr="003C041F">
        <w:rPr>
          <w:i/>
          <w:iCs/>
          <w:color w:val="000000"/>
          <w:sz w:val="22"/>
          <w:szCs w:val="22"/>
        </w:rPr>
        <w:t xml:space="preserve">Hypofýza </w:t>
      </w:r>
    </w:p>
    <w:p w14:paraId="29C01AEC"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Ako naznačujú hladiny progesterónu udržiavajúce sa na úrovni 0,3 ng/ml, denná dávka 5 mg ulipristalacetátu u väčšiny pacientok inhibuje ovuláciu. </w:t>
      </w:r>
    </w:p>
    <w:p w14:paraId="49D58742"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Denná dávka 5 mg ulipristalacetátu čiastočne potláča hladiny hormónu FSH, ale hladiny estradiolu v sére ostávajú zachované v strednom období folikulárnej fázy u väčšiny pacientok a sú podobné hladinám u pacientok, ktoré užívali placebo. </w:t>
      </w:r>
    </w:p>
    <w:p w14:paraId="1FB2B94F"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Ulipristalacetát nemá vplyv na hladiny TSH, ACTH ani prolaktínu v sére. </w:t>
      </w:r>
    </w:p>
    <w:p w14:paraId="05BA20BC" w14:textId="77777777" w:rsidR="003C041F" w:rsidRDefault="003C041F" w:rsidP="003C041F">
      <w:pPr>
        <w:overflowPunct/>
        <w:textAlignment w:val="auto"/>
        <w:rPr>
          <w:color w:val="000000"/>
          <w:sz w:val="22"/>
          <w:szCs w:val="22"/>
          <w:u w:val="single"/>
        </w:rPr>
      </w:pPr>
    </w:p>
    <w:p w14:paraId="258E267B" w14:textId="600D6739" w:rsidR="003C041F" w:rsidRDefault="003C041F" w:rsidP="003C041F">
      <w:pPr>
        <w:overflowPunct/>
        <w:textAlignment w:val="auto"/>
        <w:rPr>
          <w:color w:val="000000"/>
          <w:sz w:val="22"/>
          <w:szCs w:val="22"/>
          <w:u w:val="single"/>
        </w:rPr>
      </w:pPr>
      <w:r w:rsidRPr="003C041F">
        <w:rPr>
          <w:color w:val="000000"/>
          <w:sz w:val="22"/>
          <w:szCs w:val="22"/>
          <w:u w:val="single"/>
        </w:rPr>
        <w:t>Klinická účinnosť a</w:t>
      </w:r>
      <w:r>
        <w:rPr>
          <w:color w:val="000000"/>
          <w:sz w:val="22"/>
          <w:szCs w:val="22"/>
          <w:u w:val="single"/>
        </w:rPr>
        <w:t> </w:t>
      </w:r>
      <w:r w:rsidRPr="003C041F">
        <w:rPr>
          <w:color w:val="000000"/>
          <w:sz w:val="22"/>
          <w:szCs w:val="22"/>
          <w:u w:val="single"/>
        </w:rPr>
        <w:t>bezpečnosť</w:t>
      </w:r>
    </w:p>
    <w:p w14:paraId="52B2A2AC" w14:textId="7D3DD370" w:rsidR="003C041F" w:rsidRDefault="003C041F" w:rsidP="003C041F">
      <w:pPr>
        <w:overflowPunct/>
        <w:textAlignment w:val="auto"/>
        <w:rPr>
          <w:color w:val="000000"/>
          <w:sz w:val="22"/>
          <w:szCs w:val="22"/>
          <w:u w:val="single"/>
        </w:rPr>
      </w:pPr>
    </w:p>
    <w:p w14:paraId="4B04A6F7" w14:textId="77777777" w:rsidR="003C041F" w:rsidRPr="003C041F" w:rsidRDefault="003C041F" w:rsidP="003C041F">
      <w:pPr>
        <w:overflowPunct/>
        <w:textAlignment w:val="auto"/>
        <w:rPr>
          <w:color w:val="000000"/>
          <w:sz w:val="22"/>
          <w:szCs w:val="22"/>
        </w:rPr>
      </w:pPr>
      <w:r w:rsidRPr="003C041F">
        <w:rPr>
          <w:i/>
          <w:iCs/>
          <w:color w:val="000000"/>
          <w:sz w:val="22"/>
          <w:szCs w:val="22"/>
        </w:rPr>
        <w:t xml:space="preserve">Predoperačné použitie: </w:t>
      </w:r>
    </w:p>
    <w:p w14:paraId="47E578CE" w14:textId="4CBF9988" w:rsidR="003C041F" w:rsidRDefault="003C041F" w:rsidP="003C041F">
      <w:pPr>
        <w:overflowPunct/>
        <w:textAlignment w:val="auto"/>
        <w:rPr>
          <w:color w:val="000000"/>
          <w:sz w:val="22"/>
          <w:szCs w:val="22"/>
        </w:rPr>
      </w:pPr>
      <w:r w:rsidRPr="003C041F">
        <w:rPr>
          <w:color w:val="000000"/>
          <w:sz w:val="22"/>
          <w:szCs w:val="22"/>
        </w:rPr>
        <w:t>Účinnosť fixných 5 mg a 10 mg dávok ulipristalacetátu raz denne bola hodnotená v dvoch randomizovaných, dvojito zaslepených štúdiách 3. fázy, ktoré trvali 13 týždňov. Zúčastnili sa ich pacientky s veľmi silným menštruačným krvácaním spojeným s myómami maternice. Štúdia 1 bola kontrolovaná placebom a dvojito zaslepená. Požiadavkou v tejto štúdii bolo, aby boli pacientky pri vstupe do štúdie anemické (Hb &lt; 10,2 g/dl), a všetky pacientky mali okrem skúmaného lieku perorálne užívať železo (80 mg Fe++). Štúdia 2 obsahovala aktívny komparátor – 3,75 mg leuprorelínu podávaného raz mesačne prostredníctvom intramuskulárnej injekcie. V štúdii 2 bola na zachovanie zaslepenosti použitá metóda double-dummy. V oboch štúdiách bola strata krvi počas menštruácie hodnotená pomocou obrazového diagramu hodnotenia krvácania (</w:t>
      </w:r>
      <w:r w:rsidR="009875CC" w:rsidRPr="00B64504">
        <w:rPr>
          <w:bCs/>
          <w:iCs/>
          <w:sz w:val="22"/>
          <w:szCs w:val="22"/>
        </w:rPr>
        <w:t>Pictorial Bleeding Assessment Chart</w:t>
      </w:r>
      <w:r w:rsidR="009875CC">
        <w:rPr>
          <w:bCs/>
          <w:iCs/>
          <w:sz w:val="22"/>
          <w:szCs w:val="22"/>
        </w:rPr>
        <w:t>,</w:t>
      </w:r>
      <w:r w:rsidR="009875CC" w:rsidRPr="002F7415">
        <w:rPr>
          <w:bCs/>
          <w:iCs/>
          <w:szCs w:val="22"/>
        </w:rPr>
        <w:t xml:space="preserve"> </w:t>
      </w:r>
      <w:r w:rsidRPr="003C041F">
        <w:rPr>
          <w:color w:val="000000"/>
          <w:sz w:val="22"/>
          <w:szCs w:val="22"/>
        </w:rPr>
        <w:t>PBAC). Diagram PBAC &gt; 100 počas prvých 8 dní menštruácie predstavuje nadmernú stratu krvi počas menštruácie.</w:t>
      </w:r>
    </w:p>
    <w:p w14:paraId="2750AE9B" w14:textId="5D472F2C" w:rsidR="003C041F" w:rsidRDefault="003C041F" w:rsidP="003C041F">
      <w:pPr>
        <w:overflowPunct/>
        <w:textAlignment w:val="auto"/>
        <w:rPr>
          <w:color w:val="000000"/>
          <w:sz w:val="22"/>
          <w:szCs w:val="22"/>
        </w:rPr>
      </w:pPr>
    </w:p>
    <w:p w14:paraId="6C97EE59"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V štúdii 1 bol pozorovaný štatisticky významný rozdiel v redukcii straty krvi počas menštruácie v prospech pacientok liečených ulipristalacetátom v porovnaní s placebom (pozri tabuľku 1 nižšie), čo viedlo k rýchlejšej a účinnejšej korekcii anémie ako podávanie samotného železa. Ako ukázalo vyšetrenie MRI, u pacientok liečených ulipristalacetátom sa výraznejšie zredukovala aj veľkosť myómu. </w:t>
      </w:r>
    </w:p>
    <w:p w14:paraId="1B9FD035"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V štúdii 2 bola redukcia straty krvi počas menštruácie porovnateľná u pacientok liečených ulipristalacetátom a agonistom hormónu uvoľňujúceho gonadotropín (leuprorelínom). U väčšiny pacientok liečených ulipristalacetátom sa krvácanie zastavilo počas prvého týždňa liečby (amenorea). </w:t>
      </w:r>
    </w:p>
    <w:p w14:paraId="5D034F1A"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Veľkosť troch najväčších myómov bola hodnotená ultrazvukom na konci liečby (13. týždeň) a ďalších 25 týždňov bez liečby u pacientok, ktorým nebola vykonaná hysterektómia ani myomektómia. Počas tohto obdobia sledovania sa u pacientok pôvodne liečených ulipristalacetátom všeobecne zachovala redukcia veľkosti myómu, ale u pacientok liečených leuprorelínom sa vyskytol istý opätovný rast. </w:t>
      </w:r>
    </w:p>
    <w:p w14:paraId="32C31945" w14:textId="77777777" w:rsidR="003C041F" w:rsidRDefault="003C041F" w:rsidP="003C041F">
      <w:pPr>
        <w:overflowPunct/>
        <w:textAlignment w:val="auto"/>
        <w:rPr>
          <w:color w:val="000000"/>
          <w:sz w:val="22"/>
          <w:szCs w:val="22"/>
        </w:rPr>
      </w:pPr>
    </w:p>
    <w:p w14:paraId="0EE9940A" w14:textId="7431BA40" w:rsidR="003C041F" w:rsidRPr="003C041F" w:rsidRDefault="003C041F" w:rsidP="003C041F">
      <w:pPr>
        <w:overflowPunct/>
        <w:textAlignment w:val="auto"/>
        <w:rPr>
          <w:sz w:val="24"/>
          <w:szCs w:val="24"/>
          <w:u w:val="single"/>
        </w:rPr>
      </w:pPr>
      <w:r w:rsidRPr="003C041F">
        <w:rPr>
          <w:color w:val="000000"/>
          <w:sz w:val="22"/>
          <w:szCs w:val="22"/>
        </w:rPr>
        <w:t>Tabuľka 1: Výsledky primárnych a vybraných sekundárnych hodnotení účinnosti v štúdiách III. fázy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92"/>
        <w:gridCol w:w="1134"/>
        <w:gridCol w:w="1316"/>
        <w:gridCol w:w="1417"/>
        <w:gridCol w:w="1134"/>
        <w:gridCol w:w="1241"/>
      </w:tblGrid>
      <w:tr w:rsidR="003C041F" w:rsidRPr="001A02EA" w14:paraId="3E53F399" w14:textId="77777777" w:rsidTr="00031E91">
        <w:tc>
          <w:tcPr>
            <w:tcW w:w="2093" w:type="dxa"/>
            <w:vMerge w:val="restart"/>
            <w:shd w:val="clear" w:color="auto" w:fill="auto"/>
            <w:vAlign w:val="center"/>
          </w:tcPr>
          <w:p w14:paraId="78F62698" w14:textId="77777777" w:rsidR="003C041F" w:rsidRPr="00FC611C" w:rsidRDefault="003C041F" w:rsidP="00031E91">
            <w:pPr>
              <w:jc w:val="center"/>
              <w:rPr>
                <w:b/>
                <w:bCs/>
                <w:iCs/>
                <w:sz w:val="22"/>
                <w:szCs w:val="22"/>
              </w:rPr>
            </w:pPr>
            <w:r w:rsidRPr="00FC611C">
              <w:rPr>
                <w:b/>
                <w:bCs/>
                <w:iCs/>
                <w:sz w:val="22"/>
                <w:szCs w:val="22"/>
              </w:rPr>
              <w:t>Parameter</w:t>
            </w:r>
          </w:p>
        </w:tc>
        <w:tc>
          <w:tcPr>
            <w:tcW w:w="3402" w:type="dxa"/>
            <w:gridSpan w:val="3"/>
            <w:shd w:val="clear" w:color="auto" w:fill="auto"/>
          </w:tcPr>
          <w:p w14:paraId="163389BC" w14:textId="7E5C5762" w:rsidR="003C041F" w:rsidRPr="00FC611C" w:rsidRDefault="00FC01D6" w:rsidP="00FC611C">
            <w:pPr>
              <w:pStyle w:val="Default"/>
              <w:jc w:val="center"/>
              <w:rPr>
                <w:b/>
                <w:bCs/>
                <w:iCs/>
                <w:sz w:val="22"/>
                <w:szCs w:val="22"/>
              </w:rPr>
            </w:pPr>
            <w:r w:rsidRPr="00FC611C">
              <w:rPr>
                <w:b/>
                <w:bCs/>
                <w:sz w:val="22"/>
                <w:szCs w:val="22"/>
              </w:rPr>
              <w:t xml:space="preserve">Štúdia 1 </w:t>
            </w:r>
          </w:p>
        </w:tc>
        <w:tc>
          <w:tcPr>
            <w:tcW w:w="3792" w:type="dxa"/>
            <w:gridSpan w:val="3"/>
            <w:shd w:val="clear" w:color="auto" w:fill="auto"/>
          </w:tcPr>
          <w:p w14:paraId="5237B628" w14:textId="2722D544" w:rsidR="003C041F" w:rsidRPr="00FC611C" w:rsidRDefault="00FC611C" w:rsidP="00FC611C">
            <w:pPr>
              <w:pStyle w:val="Default"/>
              <w:jc w:val="center"/>
              <w:rPr>
                <w:b/>
                <w:bCs/>
                <w:iCs/>
                <w:sz w:val="22"/>
                <w:szCs w:val="22"/>
              </w:rPr>
            </w:pPr>
            <w:r w:rsidRPr="00FC611C">
              <w:rPr>
                <w:b/>
                <w:bCs/>
                <w:sz w:val="22"/>
                <w:szCs w:val="22"/>
              </w:rPr>
              <w:t xml:space="preserve">Štúdia 2 </w:t>
            </w:r>
          </w:p>
        </w:tc>
      </w:tr>
      <w:tr w:rsidR="003C041F" w:rsidRPr="001A02EA" w14:paraId="0E7530B4" w14:textId="77777777" w:rsidTr="00031E91">
        <w:tc>
          <w:tcPr>
            <w:tcW w:w="2093" w:type="dxa"/>
            <w:vMerge/>
            <w:shd w:val="clear" w:color="auto" w:fill="auto"/>
          </w:tcPr>
          <w:p w14:paraId="35B510F8" w14:textId="77777777" w:rsidR="003C041F" w:rsidRPr="00FC611C" w:rsidRDefault="003C041F" w:rsidP="00031E91">
            <w:pPr>
              <w:jc w:val="center"/>
              <w:rPr>
                <w:b/>
                <w:bCs/>
                <w:iCs/>
                <w:sz w:val="22"/>
                <w:szCs w:val="22"/>
              </w:rPr>
            </w:pPr>
          </w:p>
        </w:tc>
        <w:tc>
          <w:tcPr>
            <w:tcW w:w="992" w:type="dxa"/>
            <w:shd w:val="clear" w:color="auto" w:fill="auto"/>
          </w:tcPr>
          <w:p w14:paraId="7E58D281" w14:textId="77777777" w:rsidR="003C041F" w:rsidRPr="00FC611C" w:rsidRDefault="003C041F" w:rsidP="00031E91">
            <w:pPr>
              <w:jc w:val="center"/>
              <w:rPr>
                <w:b/>
                <w:bCs/>
                <w:iCs/>
                <w:sz w:val="22"/>
                <w:szCs w:val="22"/>
              </w:rPr>
            </w:pPr>
            <w:r w:rsidRPr="00FC611C">
              <w:rPr>
                <w:b/>
                <w:bCs/>
                <w:iCs/>
                <w:sz w:val="22"/>
                <w:szCs w:val="22"/>
              </w:rPr>
              <w:t>Placebo</w:t>
            </w:r>
          </w:p>
          <w:p w14:paraId="3090ABF4" w14:textId="77777777" w:rsidR="003C041F" w:rsidRPr="00FC611C" w:rsidRDefault="003C041F" w:rsidP="00031E91">
            <w:pPr>
              <w:jc w:val="center"/>
              <w:rPr>
                <w:b/>
                <w:bCs/>
                <w:iCs/>
                <w:sz w:val="22"/>
                <w:szCs w:val="22"/>
              </w:rPr>
            </w:pPr>
          </w:p>
          <w:p w14:paraId="39218AAE" w14:textId="77777777" w:rsidR="003C041F" w:rsidRPr="00FC611C" w:rsidRDefault="003C041F" w:rsidP="00031E91">
            <w:pPr>
              <w:jc w:val="center"/>
              <w:rPr>
                <w:b/>
                <w:bCs/>
                <w:iCs/>
                <w:sz w:val="22"/>
                <w:szCs w:val="22"/>
              </w:rPr>
            </w:pPr>
          </w:p>
          <w:p w14:paraId="56D20349" w14:textId="77777777" w:rsidR="003C041F" w:rsidRPr="00FC611C" w:rsidRDefault="003C041F" w:rsidP="00031E91">
            <w:pPr>
              <w:jc w:val="center"/>
              <w:rPr>
                <w:b/>
                <w:bCs/>
                <w:iCs/>
                <w:sz w:val="22"/>
                <w:szCs w:val="22"/>
              </w:rPr>
            </w:pPr>
            <w:r w:rsidRPr="00FC611C">
              <w:rPr>
                <w:b/>
                <w:bCs/>
                <w:iCs/>
                <w:sz w:val="22"/>
                <w:szCs w:val="22"/>
              </w:rPr>
              <w:t>N=48</w:t>
            </w:r>
          </w:p>
        </w:tc>
        <w:tc>
          <w:tcPr>
            <w:tcW w:w="1134" w:type="dxa"/>
            <w:shd w:val="clear" w:color="auto" w:fill="auto"/>
          </w:tcPr>
          <w:p w14:paraId="43AB1695" w14:textId="77777777" w:rsidR="00FC611C" w:rsidRPr="00FC611C" w:rsidRDefault="00FC611C" w:rsidP="00FC611C">
            <w:pPr>
              <w:pStyle w:val="Default"/>
              <w:jc w:val="center"/>
              <w:rPr>
                <w:sz w:val="22"/>
                <w:szCs w:val="22"/>
              </w:rPr>
            </w:pPr>
            <w:r w:rsidRPr="00FC611C">
              <w:rPr>
                <w:b/>
                <w:bCs/>
                <w:sz w:val="22"/>
                <w:szCs w:val="22"/>
              </w:rPr>
              <w:t xml:space="preserve">Ulipristal acetát 5 mg/deň </w:t>
            </w:r>
          </w:p>
          <w:p w14:paraId="21F37F06" w14:textId="0AC0B4B1" w:rsidR="003C041F" w:rsidRPr="00FC611C" w:rsidRDefault="00FC611C" w:rsidP="00FC611C">
            <w:pPr>
              <w:jc w:val="center"/>
              <w:rPr>
                <w:b/>
                <w:bCs/>
                <w:iCs/>
                <w:sz w:val="22"/>
                <w:szCs w:val="22"/>
              </w:rPr>
            </w:pPr>
            <w:r w:rsidRPr="00FC611C">
              <w:rPr>
                <w:b/>
                <w:bCs/>
                <w:sz w:val="22"/>
                <w:szCs w:val="22"/>
              </w:rPr>
              <w:t xml:space="preserve">N=95 </w:t>
            </w:r>
          </w:p>
        </w:tc>
        <w:tc>
          <w:tcPr>
            <w:tcW w:w="1276" w:type="dxa"/>
            <w:shd w:val="clear" w:color="auto" w:fill="auto"/>
          </w:tcPr>
          <w:p w14:paraId="01655729" w14:textId="77777777" w:rsidR="00FC611C" w:rsidRPr="00FC611C" w:rsidRDefault="00FC611C" w:rsidP="00FC611C">
            <w:pPr>
              <w:pStyle w:val="Default"/>
              <w:jc w:val="center"/>
              <w:rPr>
                <w:sz w:val="22"/>
                <w:szCs w:val="22"/>
              </w:rPr>
            </w:pPr>
            <w:r w:rsidRPr="00FC611C">
              <w:rPr>
                <w:b/>
                <w:bCs/>
                <w:sz w:val="22"/>
                <w:szCs w:val="22"/>
              </w:rPr>
              <w:t xml:space="preserve">Ulipristalac etát 10 mg/deň </w:t>
            </w:r>
          </w:p>
          <w:p w14:paraId="72DEA227" w14:textId="113A04E5" w:rsidR="003C041F" w:rsidRPr="00FC611C" w:rsidRDefault="00FC611C" w:rsidP="00FC611C">
            <w:pPr>
              <w:jc w:val="center"/>
              <w:rPr>
                <w:b/>
                <w:bCs/>
                <w:iCs/>
                <w:sz w:val="22"/>
                <w:szCs w:val="22"/>
              </w:rPr>
            </w:pPr>
            <w:r w:rsidRPr="00FC611C">
              <w:rPr>
                <w:b/>
                <w:bCs/>
                <w:sz w:val="22"/>
                <w:szCs w:val="22"/>
              </w:rPr>
              <w:t xml:space="preserve">N=94 </w:t>
            </w:r>
          </w:p>
        </w:tc>
        <w:tc>
          <w:tcPr>
            <w:tcW w:w="1417" w:type="dxa"/>
            <w:shd w:val="clear" w:color="auto" w:fill="auto"/>
          </w:tcPr>
          <w:p w14:paraId="0C338EBA" w14:textId="77777777" w:rsidR="00FC611C" w:rsidRPr="00FC611C" w:rsidRDefault="00FC611C" w:rsidP="00FC611C">
            <w:pPr>
              <w:pStyle w:val="Default"/>
              <w:jc w:val="center"/>
              <w:rPr>
                <w:sz w:val="22"/>
                <w:szCs w:val="22"/>
              </w:rPr>
            </w:pPr>
            <w:r w:rsidRPr="00FC611C">
              <w:rPr>
                <w:b/>
                <w:bCs/>
                <w:sz w:val="22"/>
                <w:szCs w:val="22"/>
              </w:rPr>
              <w:t xml:space="preserve">Leuprorelín 3,75 mg/mesi ac N=93 </w:t>
            </w:r>
          </w:p>
          <w:p w14:paraId="6A88424A" w14:textId="65C66812" w:rsidR="003C041F" w:rsidRPr="00FC611C" w:rsidRDefault="003C041F" w:rsidP="00031E91">
            <w:pPr>
              <w:jc w:val="center"/>
              <w:rPr>
                <w:b/>
                <w:bCs/>
                <w:iCs/>
                <w:sz w:val="22"/>
                <w:szCs w:val="22"/>
              </w:rPr>
            </w:pPr>
          </w:p>
        </w:tc>
        <w:tc>
          <w:tcPr>
            <w:tcW w:w="1134" w:type="dxa"/>
            <w:shd w:val="clear" w:color="auto" w:fill="auto"/>
          </w:tcPr>
          <w:p w14:paraId="2F5DCA46" w14:textId="77777777" w:rsidR="00FC611C" w:rsidRPr="00FC611C" w:rsidRDefault="00FC611C" w:rsidP="00FC611C">
            <w:pPr>
              <w:pStyle w:val="Default"/>
              <w:jc w:val="center"/>
              <w:rPr>
                <w:sz w:val="22"/>
                <w:szCs w:val="22"/>
              </w:rPr>
            </w:pPr>
            <w:r w:rsidRPr="00FC611C">
              <w:rPr>
                <w:b/>
                <w:bCs/>
                <w:sz w:val="22"/>
                <w:szCs w:val="22"/>
              </w:rPr>
              <w:t xml:space="preserve">Ulipristal acetát 5 mg/deň </w:t>
            </w:r>
          </w:p>
          <w:p w14:paraId="53A8B53A" w14:textId="0A89E88C" w:rsidR="003C041F" w:rsidRPr="00FC611C" w:rsidRDefault="00FC611C" w:rsidP="00FC611C">
            <w:pPr>
              <w:jc w:val="center"/>
              <w:rPr>
                <w:b/>
                <w:bCs/>
                <w:iCs/>
                <w:sz w:val="22"/>
                <w:szCs w:val="22"/>
              </w:rPr>
            </w:pPr>
            <w:r w:rsidRPr="00FC611C">
              <w:rPr>
                <w:b/>
                <w:bCs/>
                <w:sz w:val="22"/>
                <w:szCs w:val="22"/>
              </w:rPr>
              <w:t xml:space="preserve">N=93 </w:t>
            </w:r>
          </w:p>
        </w:tc>
        <w:tc>
          <w:tcPr>
            <w:tcW w:w="1241" w:type="dxa"/>
            <w:shd w:val="clear" w:color="auto" w:fill="auto"/>
          </w:tcPr>
          <w:p w14:paraId="06495FA0" w14:textId="77777777" w:rsidR="00FC611C" w:rsidRPr="00FC611C" w:rsidRDefault="00FC611C" w:rsidP="00FC611C">
            <w:pPr>
              <w:pStyle w:val="Default"/>
              <w:jc w:val="center"/>
              <w:rPr>
                <w:sz w:val="22"/>
                <w:szCs w:val="22"/>
              </w:rPr>
            </w:pPr>
            <w:r w:rsidRPr="00FC611C">
              <w:rPr>
                <w:b/>
                <w:bCs/>
                <w:sz w:val="22"/>
                <w:szCs w:val="22"/>
              </w:rPr>
              <w:t xml:space="preserve">Ulipristal acetát 10 mg/deň </w:t>
            </w:r>
          </w:p>
          <w:p w14:paraId="6BF41922" w14:textId="63DDC162" w:rsidR="003C041F" w:rsidRPr="00FC611C" w:rsidRDefault="00FC611C" w:rsidP="00FC611C">
            <w:pPr>
              <w:jc w:val="center"/>
              <w:rPr>
                <w:b/>
                <w:bCs/>
                <w:iCs/>
                <w:sz w:val="22"/>
                <w:szCs w:val="22"/>
              </w:rPr>
            </w:pPr>
            <w:r w:rsidRPr="00FC611C">
              <w:rPr>
                <w:b/>
                <w:bCs/>
                <w:sz w:val="22"/>
                <w:szCs w:val="22"/>
              </w:rPr>
              <w:t xml:space="preserve">N=95 </w:t>
            </w:r>
          </w:p>
        </w:tc>
      </w:tr>
      <w:tr w:rsidR="003C041F" w:rsidRPr="001A02EA" w14:paraId="5F3614DA" w14:textId="77777777" w:rsidTr="00031E91">
        <w:tc>
          <w:tcPr>
            <w:tcW w:w="2093" w:type="dxa"/>
            <w:shd w:val="clear" w:color="auto" w:fill="auto"/>
          </w:tcPr>
          <w:p w14:paraId="161E1242" w14:textId="77777777" w:rsidR="00FC611C" w:rsidRDefault="00FC611C" w:rsidP="00FC611C">
            <w:pPr>
              <w:pStyle w:val="Default"/>
              <w:rPr>
                <w:sz w:val="22"/>
                <w:szCs w:val="22"/>
              </w:rPr>
            </w:pPr>
            <w:r>
              <w:rPr>
                <w:b/>
                <w:bCs/>
                <w:sz w:val="22"/>
                <w:szCs w:val="22"/>
              </w:rPr>
              <w:t xml:space="preserve">Menštruačné krvácanie </w:t>
            </w:r>
          </w:p>
          <w:p w14:paraId="1AAF3DED" w14:textId="77777777" w:rsidR="00FC611C" w:rsidRDefault="00FC611C" w:rsidP="00FC611C">
            <w:pPr>
              <w:pStyle w:val="Default"/>
              <w:rPr>
                <w:sz w:val="22"/>
                <w:szCs w:val="22"/>
              </w:rPr>
            </w:pPr>
            <w:r>
              <w:rPr>
                <w:sz w:val="22"/>
                <w:szCs w:val="22"/>
              </w:rPr>
              <w:t xml:space="preserve">Medián PBAC na začiatku </w:t>
            </w:r>
          </w:p>
          <w:p w14:paraId="39373AE8" w14:textId="7F19A367" w:rsidR="003C041F" w:rsidRPr="001A02EA" w:rsidRDefault="00FC611C" w:rsidP="00FC611C">
            <w:pPr>
              <w:rPr>
                <w:bCs/>
                <w:iCs/>
                <w:szCs w:val="22"/>
              </w:rPr>
            </w:pPr>
            <w:r>
              <w:rPr>
                <w:sz w:val="22"/>
                <w:szCs w:val="22"/>
              </w:rPr>
              <w:t xml:space="preserve">Zmena mediánu v 13. týždni </w:t>
            </w:r>
          </w:p>
        </w:tc>
        <w:tc>
          <w:tcPr>
            <w:tcW w:w="992" w:type="dxa"/>
            <w:shd w:val="clear" w:color="auto" w:fill="auto"/>
          </w:tcPr>
          <w:p w14:paraId="16DBA496" w14:textId="77777777" w:rsidR="003C041F" w:rsidRPr="001A02EA" w:rsidRDefault="003C041F" w:rsidP="00031E91">
            <w:pPr>
              <w:jc w:val="center"/>
              <w:rPr>
                <w:bCs/>
                <w:iCs/>
                <w:szCs w:val="22"/>
              </w:rPr>
            </w:pPr>
          </w:p>
          <w:p w14:paraId="0345BADB" w14:textId="77777777" w:rsidR="003C041F" w:rsidRPr="001A02EA" w:rsidRDefault="003C041F" w:rsidP="00031E91">
            <w:pPr>
              <w:jc w:val="center"/>
              <w:rPr>
                <w:bCs/>
                <w:iCs/>
                <w:szCs w:val="22"/>
              </w:rPr>
            </w:pPr>
          </w:p>
          <w:p w14:paraId="251E050E" w14:textId="77777777" w:rsidR="003C041F" w:rsidRPr="001A02EA" w:rsidRDefault="003C041F" w:rsidP="00031E91">
            <w:pPr>
              <w:jc w:val="center"/>
              <w:rPr>
                <w:bCs/>
                <w:iCs/>
                <w:szCs w:val="22"/>
              </w:rPr>
            </w:pPr>
            <w:r w:rsidRPr="001A02EA">
              <w:rPr>
                <w:bCs/>
                <w:iCs/>
                <w:szCs w:val="22"/>
              </w:rPr>
              <w:t>376</w:t>
            </w:r>
          </w:p>
          <w:p w14:paraId="0BB4A4FC" w14:textId="77777777" w:rsidR="003C041F" w:rsidRPr="001A02EA" w:rsidRDefault="003C041F" w:rsidP="00031E91">
            <w:pPr>
              <w:jc w:val="center"/>
              <w:rPr>
                <w:bCs/>
                <w:iCs/>
                <w:szCs w:val="22"/>
              </w:rPr>
            </w:pPr>
          </w:p>
          <w:p w14:paraId="2C2A1930" w14:textId="77777777" w:rsidR="003C041F" w:rsidRPr="001A02EA" w:rsidRDefault="003C041F" w:rsidP="00031E91">
            <w:pPr>
              <w:jc w:val="center"/>
              <w:rPr>
                <w:bCs/>
                <w:iCs/>
                <w:szCs w:val="22"/>
              </w:rPr>
            </w:pPr>
          </w:p>
          <w:p w14:paraId="6614FE68" w14:textId="77777777" w:rsidR="003C041F" w:rsidRPr="001A02EA" w:rsidRDefault="003C041F" w:rsidP="00031E91">
            <w:pPr>
              <w:jc w:val="center"/>
              <w:rPr>
                <w:bCs/>
                <w:iCs/>
                <w:szCs w:val="22"/>
              </w:rPr>
            </w:pPr>
            <w:r w:rsidRPr="001A02EA">
              <w:rPr>
                <w:bCs/>
                <w:iCs/>
                <w:szCs w:val="22"/>
              </w:rPr>
              <w:t>-59</w:t>
            </w:r>
          </w:p>
        </w:tc>
        <w:tc>
          <w:tcPr>
            <w:tcW w:w="1134" w:type="dxa"/>
            <w:shd w:val="clear" w:color="auto" w:fill="EBF3E9"/>
          </w:tcPr>
          <w:p w14:paraId="4E70CFEB" w14:textId="77777777" w:rsidR="003C041F" w:rsidRPr="001A02EA" w:rsidRDefault="003C041F" w:rsidP="00031E91">
            <w:pPr>
              <w:jc w:val="center"/>
              <w:rPr>
                <w:bCs/>
                <w:iCs/>
                <w:szCs w:val="22"/>
              </w:rPr>
            </w:pPr>
          </w:p>
          <w:p w14:paraId="58E5590A" w14:textId="77777777" w:rsidR="003C041F" w:rsidRPr="001A02EA" w:rsidRDefault="003C041F" w:rsidP="00031E91">
            <w:pPr>
              <w:jc w:val="center"/>
              <w:rPr>
                <w:bCs/>
                <w:iCs/>
                <w:szCs w:val="22"/>
              </w:rPr>
            </w:pPr>
          </w:p>
          <w:p w14:paraId="7195B955" w14:textId="77777777" w:rsidR="003C041F" w:rsidRPr="001A02EA" w:rsidRDefault="003C041F" w:rsidP="00031E91">
            <w:pPr>
              <w:jc w:val="center"/>
              <w:rPr>
                <w:bCs/>
                <w:iCs/>
                <w:szCs w:val="22"/>
              </w:rPr>
            </w:pPr>
            <w:r w:rsidRPr="001A02EA">
              <w:rPr>
                <w:bCs/>
                <w:iCs/>
                <w:szCs w:val="22"/>
              </w:rPr>
              <w:t>386</w:t>
            </w:r>
          </w:p>
          <w:p w14:paraId="17F3F6E1" w14:textId="77777777" w:rsidR="003C041F" w:rsidRPr="001A02EA" w:rsidRDefault="003C041F" w:rsidP="00031E91">
            <w:pPr>
              <w:jc w:val="center"/>
              <w:rPr>
                <w:bCs/>
                <w:iCs/>
                <w:szCs w:val="22"/>
              </w:rPr>
            </w:pPr>
          </w:p>
          <w:p w14:paraId="0552D91A" w14:textId="77777777" w:rsidR="003C041F" w:rsidRPr="001A02EA" w:rsidRDefault="003C041F" w:rsidP="00031E91">
            <w:pPr>
              <w:jc w:val="center"/>
              <w:rPr>
                <w:bCs/>
                <w:iCs/>
                <w:szCs w:val="22"/>
              </w:rPr>
            </w:pPr>
          </w:p>
          <w:p w14:paraId="565F793C" w14:textId="77777777" w:rsidR="003C041F" w:rsidRPr="001A02EA" w:rsidRDefault="003C041F" w:rsidP="00031E91">
            <w:pPr>
              <w:jc w:val="center"/>
              <w:rPr>
                <w:b/>
                <w:bCs/>
                <w:iCs/>
                <w:szCs w:val="22"/>
              </w:rPr>
            </w:pPr>
            <w:r w:rsidRPr="001A02EA">
              <w:rPr>
                <w:b/>
                <w:bCs/>
                <w:iCs/>
                <w:szCs w:val="22"/>
              </w:rPr>
              <w:t>-329</w:t>
            </w:r>
          </w:p>
        </w:tc>
        <w:tc>
          <w:tcPr>
            <w:tcW w:w="1276" w:type="dxa"/>
            <w:shd w:val="clear" w:color="auto" w:fill="EBF3E9"/>
          </w:tcPr>
          <w:p w14:paraId="27BAD4E1" w14:textId="77777777" w:rsidR="003C041F" w:rsidRPr="001A02EA" w:rsidRDefault="003C041F" w:rsidP="00031E91">
            <w:pPr>
              <w:jc w:val="center"/>
              <w:rPr>
                <w:bCs/>
                <w:iCs/>
                <w:szCs w:val="22"/>
              </w:rPr>
            </w:pPr>
          </w:p>
          <w:p w14:paraId="45858CA9" w14:textId="77777777" w:rsidR="003C041F" w:rsidRPr="001A02EA" w:rsidRDefault="003C041F" w:rsidP="00031E91">
            <w:pPr>
              <w:jc w:val="center"/>
              <w:rPr>
                <w:bCs/>
                <w:iCs/>
                <w:szCs w:val="22"/>
              </w:rPr>
            </w:pPr>
          </w:p>
          <w:p w14:paraId="2F720FD4" w14:textId="77777777" w:rsidR="003C041F" w:rsidRPr="001A02EA" w:rsidRDefault="003C041F" w:rsidP="00031E91">
            <w:pPr>
              <w:jc w:val="center"/>
              <w:rPr>
                <w:bCs/>
                <w:iCs/>
                <w:szCs w:val="22"/>
              </w:rPr>
            </w:pPr>
            <w:r w:rsidRPr="001A02EA">
              <w:rPr>
                <w:bCs/>
                <w:iCs/>
                <w:szCs w:val="22"/>
              </w:rPr>
              <w:t>330</w:t>
            </w:r>
          </w:p>
          <w:p w14:paraId="45D60917" w14:textId="77777777" w:rsidR="003C041F" w:rsidRPr="001A02EA" w:rsidRDefault="003C041F" w:rsidP="00031E91">
            <w:pPr>
              <w:jc w:val="center"/>
              <w:rPr>
                <w:bCs/>
                <w:iCs/>
                <w:szCs w:val="22"/>
              </w:rPr>
            </w:pPr>
          </w:p>
          <w:p w14:paraId="3F277F5D" w14:textId="77777777" w:rsidR="003C041F" w:rsidRPr="001A02EA" w:rsidRDefault="003C041F" w:rsidP="00031E91">
            <w:pPr>
              <w:jc w:val="center"/>
              <w:rPr>
                <w:bCs/>
                <w:iCs/>
                <w:szCs w:val="22"/>
              </w:rPr>
            </w:pPr>
          </w:p>
          <w:p w14:paraId="694DDB9D" w14:textId="77777777" w:rsidR="003C041F" w:rsidRPr="001A02EA" w:rsidRDefault="003C041F" w:rsidP="00031E91">
            <w:pPr>
              <w:jc w:val="center"/>
              <w:rPr>
                <w:b/>
                <w:bCs/>
                <w:iCs/>
                <w:szCs w:val="22"/>
              </w:rPr>
            </w:pPr>
            <w:r w:rsidRPr="001A02EA">
              <w:rPr>
                <w:b/>
                <w:bCs/>
                <w:iCs/>
                <w:szCs w:val="22"/>
              </w:rPr>
              <w:t>-326</w:t>
            </w:r>
          </w:p>
        </w:tc>
        <w:tc>
          <w:tcPr>
            <w:tcW w:w="1417" w:type="dxa"/>
            <w:shd w:val="clear" w:color="auto" w:fill="auto"/>
          </w:tcPr>
          <w:p w14:paraId="6AEF0527" w14:textId="77777777" w:rsidR="003C041F" w:rsidRPr="001A02EA" w:rsidRDefault="003C041F" w:rsidP="00031E91">
            <w:pPr>
              <w:jc w:val="center"/>
              <w:rPr>
                <w:bCs/>
                <w:iCs/>
                <w:szCs w:val="22"/>
              </w:rPr>
            </w:pPr>
          </w:p>
          <w:p w14:paraId="6EA59151" w14:textId="77777777" w:rsidR="003C041F" w:rsidRPr="001A02EA" w:rsidRDefault="003C041F" w:rsidP="00031E91">
            <w:pPr>
              <w:jc w:val="center"/>
              <w:rPr>
                <w:bCs/>
                <w:iCs/>
                <w:szCs w:val="22"/>
              </w:rPr>
            </w:pPr>
          </w:p>
          <w:p w14:paraId="60C4BCD8" w14:textId="77777777" w:rsidR="003C041F" w:rsidRPr="001A02EA" w:rsidRDefault="003C041F" w:rsidP="00031E91">
            <w:pPr>
              <w:jc w:val="center"/>
              <w:rPr>
                <w:bCs/>
                <w:iCs/>
                <w:szCs w:val="22"/>
              </w:rPr>
            </w:pPr>
            <w:r w:rsidRPr="001A02EA">
              <w:rPr>
                <w:bCs/>
                <w:iCs/>
                <w:szCs w:val="22"/>
              </w:rPr>
              <w:t>297</w:t>
            </w:r>
          </w:p>
          <w:p w14:paraId="768DA460" w14:textId="77777777" w:rsidR="003C041F" w:rsidRPr="001A02EA" w:rsidRDefault="003C041F" w:rsidP="00031E91">
            <w:pPr>
              <w:jc w:val="center"/>
              <w:rPr>
                <w:bCs/>
                <w:iCs/>
                <w:szCs w:val="22"/>
              </w:rPr>
            </w:pPr>
          </w:p>
          <w:p w14:paraId="32E7E505" w14:textId="77777777" w:rsidR="003C041F" w:rsidRPr="001A02EA" w:rsidRDefault="003C041F" w:rsidP="00031E91">
            <w:pPr>
              <w:jc w:val="center"/>
              <w:rPr>
                <w:bCs/>
                <w:iCs/>
                <w:szCs w:val="22"/>
              </w:rPr>
            </w:pPr>
          </w:p>
          <w:p w14:paraId="0549CB42" w14:textId="77777777" w:rsidR="003C041F" w:rsidRPr="001A02EA" w:rsidRDefault="003C041F" w:rsidP="00031E91">
            <w:pPr>
              <w:jc w:val="center"/>
              <w:rPr>
                <w:bCs/>
                <w:iCs/>
                <w:szCs w:val="22"/>
              </w:rPr>
            </w:pPr>
            <w:r w:rsidRPr="001A02EA">
              <w:rPr>
                <w:bCs/>
                <w:iCs/>
                <w:szCs w:val="22"/>
              </w:rPr>
              <w:t>-274</w:t>
            </w:r>
          </w:p>
        </w:tc>
        <w:tc>
          <w:tcPr>
            <w:tcW w:w="1134" w:type="dxa"/>
            <w:shd w:val="clear" w:color="auto" w:fill="auto"/>
          </w:tcPr>
          <w:p w14:paraId="7B075FAA" w14:textId="77777777" w:rsidR="003C041F" w:rsidRPr="001A02EA" w:rsidRDefault="003C041F" w:rsidP="00031E91">
            <w:pPr>
              <w:jc w:val="center"/>
              <w:rPr>
                <w:bCs/>
                <w:iCs/>
                <w:szCs w:val="22"/>
              </w:rPr>
            </w:pPr>
          </w:p>
          <w:p w14:paraId="64EE01E7" w14:textId="77777777" w:rsidR="003C041F" w:rsidRPr="001A02EA" w:rsidRDefault="003C041F" w:rsidP="00031E91">
            <w:pPr>
              <w:jc w:val="center"/>
              <w:rPr>
                <w:bCs/>
                <w:iCs/>
                <w:szCs w:val="22"/>
              </w:rPr>
            </w:pPr>
          </w:p>
          <w:p w14:paraId="19CBF295" w14:textId="77777777" w:rsidR="003C041F" w:rsidRPr="001A02EA" w:rsidRDefault="003C041F" w:rsidP="00031E91">
            <w:pPr>
              <w:jc w:val="center"/>
              <w:rPr>
                <w:bCs/>
                <w:iCs/>
                <w:szCs w:val="22"/>
              </w:rPr>
            </w:pPr>
            <w:r w:rsidRPr="001A02EA">
              <w:rPr>
                <w:bCs/>
                <w:iCs/>
                <w:szCs w:val="22"/>
              </w:rPr>
              <w:t>286</w:t>
            </w:r>
          </w:p>
          <w:p w14:paraId="4025F4AD" w14:textId="77777777" w:rsidR="003C041F" w:rsidRPr="001A02EA" w:rsidRDefault="003C041F" w:rsidP="00031E91">
            <w:pPr>
              <w:jc w:val="center"/>
              <w:rPr>
                <w:bCs/>
                <w:iCs/>
                <w:szCs w:val="22"/>
              </w:rPr>
            </w:pPr>
          </w:p>
          <w:p w14:paraId="0B2873AE" w14:textId="77777777" w:rsidR="003C041F" w:rsidRPr="001A02EA" w:rsidRDefault="003C041F" w:rsidP="00031E91">
            <w:pPr>
              <w:jc w:val="center"/>
              <w:rPr>
                <w:bCs/>
                <w:iCs/>
                <w:szCs w:val="22"/>
              </w:rPr>
            </w:pPr>
          </w:p>
          <w:p w14:paraId="29EAA418" w14:textId="77777777" w:rsidR="003C041F" w:rsidRPr="001A02EA" w:rsidRDefault="003C041F" w:rsidP="00031E91">
            <w:pPr>
              <w:jc w:val="center"/>
              <w:rPr>
                <w:bCs/>
                <w:iCs/>
                <w:szCs w:val="22"/>
              </w:rPr>
            </w:pPr>
            <w:r w:rsidRPr="001A02EA">
              <w:rPr>
                <w:bCs/>
                <w:iCs/>
                <w:szCs w:val="22"/>
              </w:rPr>
              <w:t>-268</w:t>
            </w:r>
          </w:p>
        </w:tc>
        <w:tc>
          <w:tcPr>
            <w:tcW w:w="1241" w:type="dxa"/>
            <w:shd w:val="clear" w:color="auto" w:fill="auto"/>
          </w:tcPr>
          <w:p w14:paraId="29A5E3F1" w14:textId="77777777" w:rsidR="003C041F" w:rsidRPr="001A02EA" w:rsidRDefault="003C041F" w:rsidP="00031E91">
            <w:pPr>
              <w:jc w:val="center"/>
              <w:rPr>
                <w:bCs/>
                <w:iCs/>
                <w:szCs w:val="22"/>
              </w:rPr>
            </w:pPr>
          </w:p>
          <w:p w14:paraId="5C26695E" w14:textId="77777777" w:rsidR="003C041F" w:rsidRPr="001A02EA" w:rsidRDefault="003C041F" w:rsidP="00031E91">
            <w:pPr>
              <w:jc w:val="center"/>
              <w:rPr>
                <w:bCs/>
                <w:iCs/>
                <w:szCs w:val="22"/>
              </w:rPr>
            </w:pPr>
          </w:p>
          <w:p w14:paraId="48A52CAA" w14:textId="77777777" w:rsidR="003C041F" w:rsidRPr="001A02EA" w:rsidRDefault="003C041F" w:rsidP="00031E91">
            <w:pPr>
              <w:jc w:val="center"/>
              <w:rPr>
                <w:bCs/>
                <w:iCs/>
                <w:szCs w:val="22"/>
              </w:rPr>
            </w:pPr>
            <w:r w:rsidRPr="001A02EA">
              <w:rPr>
                <w:bCs/>
                <w:iCs/>
                <w:szCs w:val="22"/>
              </w:rPr>
              <w:t>271</w:t>
            </w:r>
          </w:p>
          <w:p w14:paraId="03AF56B8" w14:textId="77777777" w:rsidR="003C041F" w:rsidRPr="001A02EA" w:rsidRDefault="003C041F" w:rsidP="00031E91">
            <w:pPr>
              <w:jc w:val="center"/>
              <w:rPr>
                <w:bCs/>
                <w:iCs/>
                <w:szCs w:val="22"/>
              </w:rPr>
            </w:pPr>
          </w:p>
          <w:p w14:paraId="789E85F7" w14:textId="77777777" w:rsidR="003C041F" w:rsidRPr="001A02EA" w:rsidRDefault="003C041F" w:rsidP="00031E91">
            <w:pPr>
              <w:jc w:val="center"/>
              <w:rPr>
                <w:bCs/>
                <w:iCs/>
                <w:szCs w:val="22"/>
              </w:rPr>
            </w:pPr>
          </w:p>
          <w:p w14:paraId="74864C9D" w14:textId="77777777" w:rsidR="003C041F" w:rsidRPr="001A02EA" w:rsidRDefault="003C041F" w:rsidP="00031E91">
            <w:pPr>
              <w:jc w:val="center"/>
              <w:rPr>
                <w:bCs/>
                <w:iCs/>
                <w:szCs w:val="22"/>
              </w:rPr>
            </w:pPr>
            <w:r w:rsidRPr="001A02EA">
              <w:rPr>
                <w:bCs/>
                <w:iCs/>
                <w:szCs w:val="22"/>
              </w:rPr>
              <w:t>-268</w:t>
            </w:r>
          </w:p>
        </w:tc>
      </w:tr>
      <w:tr w:rsidR="003C041F" w:rsidRPr="001A02EA" w14:paraId="7900E9EE" w14:textId="77777777" w:rsidTr="00031E91">
        <w:tc>
          <w:tcPr>
            <w:tcW w:w="2093" w:type="dxa"/>
            <w:shd w:val="clear" w:color="auto" w:fill="auto"/>
          </w:tcPr>
          <w:p w14:paraId="5A14D6C0" w14:textId="0129A032" w:rsidR="003C041F" w:rsidRPr="001A02EA" w:rsidRDefault="00FC611C" w:rsidP="00FC611C">
            <w:pPr>
              <w:pStyle w:val="Default"/>
              <w:rPr>
                <w:bCs/>
                <w:iCs/>
                <w:szCs w:val="22"/>
              </w:rPr>
            </w:pPr>
            <w:r>
              <w:rPr>
                <w:sz w:val="22"/>
                <w:szCs w:val="22"/>
              </w:rPr>
              <w:t xml:space="preserve">Pacientky s </w:t>
            </w:r>
            <w:r>
              <w:rPr>
                <w:b/>
                <w:bCs/>
                <w:sz w:val="22"/>
                <w:szCs w:val="22"/>
              </w:rPr>
              <w:t xml:space="preserve">amenoreou </w:t>
            </w:r>
            <w:r>
              <w:rPr>
                <w:sz w:val="22"/>
                <w:szCs w:val="22"/>
              </w:rPr>
              <w:t xml:space="preserve">v 13. týždni </w:t>
            </w:r>
          </w:p>
        </w:tc>
        <w:tc>
          <w:tcPr>
            <w:tcW w:w="992" w:type="dxa"/>
            <w:shd w:val="clear" w:color="auto" w:fill="auto"/>
            <w:vAlign w:val="center"/>
          </w:tcPr>
          <w:p w14:paraId="6C7F67DA" w14:textId="77777777" w:rsidR="003C041F" w:rsidRPr="001A02EA" w:rsidRDefault="003C041F" w:rsidP="00031E91">
            <w:pPr>
              <w:jc w:val="center"/>
              <w:rPr>
                <w:bCs/>
                <w:iCs/>
                <w:szCs w:val="22"/>
              </w:rPr>
            </w:pPr>
            <w:r w:rsidRPr="001A02EA">
              <w:rPr>
                <w:bCs/>
                <w:iCs/>
                <w:szCs w:val="22"/>
              </w:rPr>
              <w:t>3</w:t>
            </w:r>
          </w:p>
          <w:p w14:paraId="6EC009CF" w14:textId="3FF986EE" w:rsidR="003C041F" w:rsidRPr="001A02EA" w:rsidRDefault="003C041F" w:rsidP="00031E91">
            <w:pPr>
              <w:jc w:val="center"/>
              <w:rPr>
                <w:bCs/>
                <w:iCs/>
                <w:szCs w:val="22"/>
              </w:rPr>
            </w:pPr>
            <w:r w:rsidRPr="001A02EA">
              <w:rPr>
                <w:bCs/>
                <w:iCs/>
                <w:szCs w:val="22"/>
              </w:rPr>
              <w:t>(6</w:t>
            </w:r>
            <w:r w:rsidR="00D81078">
              <w:rPr>
                <w:bCs/>
                <w:iCs/>
                <w:szCs w:val="22"/>
              </w:rPr>
              <w:t>,</w:t>
            </w:r>
            <w:r w:rsidRPr="001A02EA">
              <w:rPr>
                <w:bCs/>
                <w:iCs/>
                <w:szCs w:val="22"/>
              </w:rPr>
              <w:t>3%)</w:t>
            </w:r>
          </w:p>
        </w:tc>
        <w:tc>
          <w:tcPr>
            <w:tcW w:w="1134" w:type="dxa"/>
            <w:shd w:val="clear" w:color="auto" w:fill="EBF3E9"/>
            <w:vAlign w:val="center"/>
          </w:tcPr>
          <w:p w14:paraId="58452E87" w14:textId="77777777" w:rsidR="003C041F" w:rsidRPr="001A02EA" w:rsidRDefault="003C041F" w:rsidP="00031E91">
            <w:pPr>
              <w:jc w:val="center"/>
              <w:rPr>
                <w:b/>
                <w:bCs/>
                <w:iCs/>
                <w:szCs w:val="22"/>
              </w:rPr>
            </w:pPr>
            <w:r w:rsidRPr="001A02EA">
              <w:rPr>
                <w:b/>
                <w:bCs/>
                <w:iCs/>
                <w:szCs w:val="22"/>
              </w:rPr>
              <w:t>69</w:t>
            </w:r>
          </w:p>
          <w:p w14:paraId="7116D345" w14:textId="1BC6CA0B" w:rsidR="003C041F" w:rsidRPr="001A02EA" w:rsidRDefault="003C041F" w:rsidP="00031E91">
            <w:pPr>
              <w:jc w:val="center"/>
              <w:rPr>
                <w:b/>
                <w:bCs/>
                <w:iCs/>
                <w:szCs w:val="22"/>
              </w:rPr>
            </w:pPr>
            <w:r w:rsidRPr="001A02EA">
              <w:rPr>
                <w:b/>
                <w:bCs/>
                <w:iCs/>
                <w:szCs w:val="22"/>
              </w:rPr>
              <w:t>(73</w:t>
            </w:r>
            <w:r w:rsidR="00D81078">
              <w:rPr>
                <w:b/>
                <w:bCs/>
                <w:iCs/>
                <w:szCs w:val="22"/>
              </w:rPr>
              <w:t>,</w:t>
            </w:r>
            <w:r w:rsidRPr="001A02EA">
              <w:rPr>
                <w:b/>
                <w:bCs/>
                <w:iCs/>
                <w:szCs w:val="22"/>
              </w:rPr>
              <w:t>4%)</w:t>
            </w:r>
            <w:r w:rsidRPr="001A02EA">
              <w:rPr>
                <w:b/>
                <w:bCs/>
                <w:iCs/>
                <w:szCs w:val="22"/>
                <w:vertAlign w:val="superscript"/>
              </w:rPr>
              <w:t>1</w:t>
            </w:r>
          </w:p>
        </w:tc>
        <w:tc>
          <w:tcPr>
            <w:tcW w:w="1276" w:type="dxa"/>
            <w:shd w:val="clear" w:color="auto" w:fill="EBF3E9"/>
            <w:vAlign w:val="center"/>
          </w:tcPr>
          <w:p w14:paraId="13B4034B" w14:textId="77777777" w:rsidR="003C041F" w:rsidRPr="001A02EA" w:rsidRDefault="003C041F" w:rsidP="00031E91">
            <w:pPr>
              <w:jc w:val="center"/>
              <w:rPr>
                <w:b/>
                <w:bCs/>
                <w:iCs/>
                <w:szCs w:val="22"/>
              </w:rPr>
            </w:pPr>
            <w:r w:rsidRPr="001A02EA">
              <w:rPr>
                <w:b/>
                <w:bCs/>
                <w:iCs/>
                <w:szCs w:val="22"/>
              </w:rPr>
              <w:t>76</w:t>
            </w:r>
          </w:p>
          <w:p w14:paraId="7BEF0638" w14:textId="5C70B835" w:rsidR="003C041F" w:rsidRPr="001A02EA" w:rsidRDefault="003C041F" w:rsidP="00031E91">
            <w:pPr>
              <w:jc w:val="center"/>
              <w:rPr>
                <w:b/>
                <w:bCs/>
                <w:iCs/>
                <w:szCs w:val="22"/>
              </w:rPr>
            </w:pPr>
            <w:r w:rsidRPr="001A02EA">
              <w:rPr>
                <w:b/>
                <w:bCs/>
                <w:iCs/>
                <w:szCs w:val="22"/>
              </w:rPr>
              <w:t>(81</w:t>
            </w:r>
            <w:r w:rsidR="00D81078">
              <w:rPr>
                <w:b/>
                <w:bCs/>
                <w:iCs/>
                <w:szCs w:val="22"/>
              </w:rPr>
              <w:t>,</w:t>
            </w:r>
            <w:r w:rsidRPr="001A02EA">
              <w:rPr>
                <w:b/>
                <w:bCs/>
                <w:iCs/>
                <w:szCs w:val="22"/>
              </w:rPr>
              <w:t>7%)</w:t>
            </w:r>
            <w:r w:rsidRPr="001A02EA">
              <w:rPr>
                <w:b/>
                <w:bCs/>
                <w:iCs/>
                <w:szCs w:val="22"/>
                <w:vertAlign w:val="superscript"/>
              </w:rPr>
              <w:t>2</w:t>
            </w:r>
          </w:p>
        </w:tc>
        <w:tc>
          <w:tcPr>
            <w:tcW w:w="1417" w:type="dxa"/>
            <w:shd w:val="clear" w:color="auto" w:fill="auto"/>
            <w:vAlign w:val="center"/>
          </w:tcPr>
          <w:p w14:paraId="1BCE9878" w14:textId="77777777" w:rsidR="003C041F" w:rsidRPr="001A02EA" w:rsidRDefault="003C041F" w:rsidP="00031E91">
            <w:pPr>
              <w:jc w:val="center"/>
              <w:rPr>
                <w:bCs/>
                <w:iCs/>
                <w:szCs w:val="22"/>
              </w:rPr>
            </w:pPr>
            <w:r w:rsidRPr="001A02EA">
              <w:rPr>
                <w:bCs/>
                <w:iCs/>
                <w:szCs w:val="22"/>
              </w:rPr>
              <w:t>74</w:t>
            </w:r>
          </w:p>
          <w:p w14:paraId="5FBBEC76" w14:textId="206E2F79" w:rsidR="003C041F" w:rsidRPr="001A02EA" w:rsidRDefault="003C041F" w:rsidP="00031E91">
            <w:pPr>
              <w:jc w:val="center"/>
              <w:rPr>
                <w:bCs/>
                <w:iCs/>
                <w:szCs w:val="22"/>
              </w:rPr>
            </w:pPr>
            <w:r w:rsidRPr="001A02EA">
              <w:rPr>
                <w:bCs/>
                <w:iCs/>
                <w:szCs w:val="22"/>
              </w:rPr>
              <w:t>(80</w:t>
            </w:r>
            <w:r w:rsidR="00D81078">
              <w:rPr>
                <w:bCs/>
                <w:iCs/>
                <w:szCs w:val="22"/>
              </w:rPr>
              <w:t>,</w:t>
            </w:r>
            <w:r w:rsidRPr="001A02EA">
              <w:rPr>
                <w:bCs/>
                <w:iCs/>
                <w:szCs w:val="22"/>
              </w:rPr>
              <w:t>4%)</w:t>
            </w:r>
          </w:p>
        </w:tc>
        <w:tc>
          <w:tcPr>
            <w:tcW w:w="1134" w:type="dxa"/>
            <w:shd w:val="clear" w:color="auto" w:fill="auto"/>
            <w:vAlign w:val="center"/>
          </w:tcPr>
          <w:p w14:paraId="476B65E6" w14:textId="77777777" w:rsidR="003C041F" w:rsidRPr="001A02EA" w:rsidRDefault="003C041F" w:rsidP="00031E91">
            <w:pPr>
              <w:jc w:val="center"/>
              <w:rPr>
                <w:bCs/>
                <w:iCs/>
                <w:szCs w:val="22"/>
              </w:rPr>
            </w:pPr>
            <w:r w:rsidRPr="001A02EA">
              <w:rPr>
                <w:bCs/>
                <w:iCs/>
                <w:szCs w:val="22"/>
              </w:rPr>
              <w:t>70</w:t>
            </w:r>
          </w:p>
          <w:p w14:paraId="7E310C22" w14:textId="6C271956" w:rsidR="003C041F" w:rsidRPr="001A02EA" w:rsidRDefault="003C041F" w:rsidP="00031E91">
            <w:pPr>
              <w:jc w:val="center"/>
              <w:rPr>
                <w:bCs/>
                <w:iCs/>
                <w:szCs w:val="22"/>
              </w:rPr>
            </w:pPr>
            <w:r w:rsidRPr="001A02EA">
              <w:rPr>
                <w:bCs/>
                <w:iCs/>
                <w:szCs w:val="22"/>
              </w:rPr>
              <w:t>(75</w:t>
            </w:r>
            <w:r w:rsidR="00D81078">
              <w:rPr>
                <w:bCs/>
                <w:iCs/>
                <w:szCs w:val="22"/>
              </w:rPr>
              <w:t>,</w:t>
            </w:r>
            <w:r w:rsidRPr="001A02EA">
              <w:rPr>
                <w:bCs/>
                <w:iCs/>
                <w:szCs w:val="22"/>
              </w:rPr>
              <w:t>3%)</w:t>
            </w:r>
          </w:p>
        </w:tc>
        <w:tc>
          <w:tcPr>
            <w:tcW w:w="1241" w:type="dxa"/>
            <w:shd w:val="clear" w:color="auto" w:fill="auto"/>
            <w:vAlign w:val="center"/>
          </w:tcPr>
          <w:p w14:paraId="3AAB5D8D" w14:textId="77777777" w:rsidR="003C041F" w:rsidRPr="001A02EA" w:rsidRDefault="003C041F" w:rsidP="00031E91">
            <w:pPr>
              <w:jc w:val="center"/>
              <w:rPr>
                <w:bCs/>
                <w:iCs/>
                <w:szCs w:val="22"/>
              </w:rPr>
            </w:pPr>
            <w:r w:rsidRPr="001A02EA">
              <w:rPr>
                <w:bCs/>
                <w:iCs/>
                <w:szCs w:val="22"/>
              </w:rPr>
              <w:t>85</w:t>
            </w:r>
          </w:p>
          <w:p w14:paraId="5B30C4F6" w14:textId="35C4742F" w:rsidR="003C041F" w:rsidRPr="001A02EA" w:rsidRDefault="003C041F" w:rsidP="00031E91">
            <w:pPr>
              <w:jc w:val="center"/>
              <w:rPr>
                <w:bCs/>
                <w:iCs/>
                <w:szCs w:val="22"/>
              </w:rPr>
            </w:pPr>
            <w:r w:rsidRPr="001A02EA">
              <w:rPr>
                <w:bCs/>
                <w:iCs/>
                <w:szCs w:val="22"/>
              </w:rPr>
              <w:t>(89</w:t>
            </w:r>
            <w:r w:rsidR="00D81078">
              <w:rPr>
                <w:bCs/>
                <w:iCs/>
                <w:szCs w:val="22"/>
              </w:rPr>
              <w:t>,</w:t>
            </w:r>
            <w:r w:rsidRPr="001A02EA">
              <w:rPr>
                <w:bCs/>
                <w:iCs/>
                <w:szCs w:val="22"/>
              </w:rPr>
              <w:t>5%)</w:t>
            </w:r>
          </w:p>
        </w:tc>
      </w:tr>
      <w:tr w:rsidR="003C041F" w:rsidRPr="001A02EA" w14:paraId="31B35F5E" w14:textId="77777777" w:rsidTr="00031E91">
        <w:tc>
          <w:tcPr>
            <w:tcW w:w="2093" w:type="dxa"/>
            <w:shd w:val="clear" w:color="auto" w:fill="auto"/>
          </w:tcPr>
          <w:p w14:paraId="331B4420" w14:textId="65D2BA58" w:rsidR="003C041F" w:rsidRPr="001A02EA" w:rsidRDefault="00FC611C" w:rsidP="00FC611C">
            <w:pPr>
              <w:pStyle w:val="Default"/>
              <w:rPr>
                <w:bCs/>
                <w:iCs/>
                <w:szCs w:val="22"/>
              </w:rPr>
            </w:pPr>
            <w:r>
              <w:rPr>
                <w:b/>
                <w:bCs/>
                <w:sz w:val="22"/>
                <w:szCs w:val="22"/>
              </w:rPr>
              <w:t xml:space="preserve">Pacientky, ktorých menštruačné krvácanie sa </w:t>
            </w:r>
            <w:r w:rsidRPr="009875CC">
              <w:rPr>
                <w:b/>
                <w:bCs/>
                <w:sz w:val="22"/>
                <w:szCs w:val="22"/>
              </w:rPr>
              <w:t>vrátilo na normálnu</w:t>
            </w:r>
            <w:r>
              <w:rPr>
                <w:b/>
                <w:bCs/>
                <w:sz w:val="22"/>
                <w:szCs w:val="22"/>
              </w:rPr>
              <w:t xml:space="preserve"> úroveň </w:t>
            </w:r>
            <w:r>
              <w:rPr>
                <w:sz w:val="22"/>
                <w:szCs w:val="22"/>
              </w:rPr>
              <w:t xml:space="preserve">(PBAC &lt; 75) v 13. týždni </w:t>
            </w:r>
          </w:p>
        </w:tc>
        <w:tc>
          <w:tcPr>
            <w:tcW w:w="992" w:type="dxa"/>
            <w:shd w:val="clear" w:color="auto" w:fill="auto"/>
            <w:vAlign w:val="center"/>
          </w:tcPr>
          <w:p w14:paraId="3811526C" w14:textId="77777777" w:rsidR="003C041F" w:rsidRPr="001A02EA" w:rsidRDefault="003C041F" w:rsidP="00031E91">
            <w:pPr>
              <w:jc w:val="center"/>
              <w:rPr>
                <w:bCs/>
                <w:iCs/>
                <w:szCs w:val="22"/>
              </w:rPr>
            </w:pPr>
            <w:r w:rsidRPr="001A02EA">
              <w:rPr>
                <w:bCs/>
                <w:iCs/>
                <w:szCs w:val="22"/>
              </w:rPr>
              <w:t>9</w:t>
            </w:r>
          </w:p>
          <w:p w14:paraId="0B93C810" w14:textId="335E1C96" w:rsidR="003C041F" w:rsidRPr="001A02EA" w:rsidRDefault="003C041F" w:rsidP="00031E91">
            <w:pPr>
              <w:jc w:val="center"/>
              <w:rPr>
                <w:bCs/>
                <w:iCs/>
                <w:szCs w:val="22"/>
              </w:rPr>
            </w:pPr>
            <w:r w:rsidRPr="001A02EA">
              <w:rPr>
                <w:bCs/>
                <w:iCs/>
                <w:szCs w:val="22"/>
              </w:rPr>
              <w:t>(18</w:t>
            </w:r>
            <w:r w:rsidR="00D81078">
              <w:rPr>
                <w:bCs/>
                <w:iCs/>
                <w:szCs w:val="22"/>
              </w:rPr>
              <w:t>,</w:t>
            </w:r>
            <w:r w:rsidRPr="001A02EA">
              <w:rPr>
                <w:bCs/>
                <w:iCs/>
                <w:szCs w:val="22"/>
              </w:rPr>
              <w:t>8%)</w:t>
            </w:r>
          </w:p>
        </w:tc>
        <w:tc>
          <w:tcPr>
            <w:tcW w:w="1134" w:type="dxa"/>
            <w:shd w:val="clear" w:color="auto" w:fill="EBF3E9"/>
            <w:vAlign w:val="center"/>
          </w:tcPr>
          <w:p w14:paraId="3F6EC496" w14:textId="77777777" w:rsidR="003C041F" w:rsidRPr="001A02EA" w:rsidRDefault="003C041F" w:rsidP="00031E91">
            <w:pPr>
              <w:jc w:val="center"/>
              <w:rPr>
                <w:b/>
                <w:bCs/>
                <w:iCs/>
                <w:szCs w:val="22"/>
              </w:rPr>
            </w:pPr>
            <w:r w:rsidRPr="001A02EA">
              <w:rPr>
                <w:b/>
                <w:bCs/>
                <w:iCs/>
                <w:szCs w:val="22"/>
              </w:rPr>
              <w:t>86</w:t>
            </w:r>
          </w:p>
          <w:p w14:paraId="17787FDE" w14:textId="64D25E45" w:rsidR="003C041F" w:rsidRPr="001A02EA" w:rsidRDefault="003C041F" w:rsidP="00031E91">
            <w:pPr>
              <w:jc w:val="center"/>
              <w:rPr>
                <w:b/>
                <w:bCs/>
                <w:iCs/>
                <w:szCs w:val="22"/>
              </w:rPr>
            </w:pPr>
            <w:r w:rsidRPr="001A02EA">
              <w:rPr>
                <w:b/>
                <w:bCs/>
                <w:iCs/>
                <w:szCs w:val="22"/>
              </w:rPr>
              <w:t>(91</w:t>
            </w:r>
            <w:r w:rsidR="00D81078">
              <w:rPr>
                <w:b/>
                <w:bCs/>
                <w:iCs/>
                <w:szCs w:val="22"/>
              </w:rPr>
              <w:t>,</w:t>
            </w:r>
            <w:r w:rsidRPr="001A02EA">
              <w:rPr>
                <w:b/>
                <w:bCs/>
                <w:iCs/>
                <w:szCs w:val="22"/>
              </w:rPr>
              <w:t>5%)</w:t>
            </w:r>
            <w:r w:rsidRPr="001A02EA">
              <w:rPr>
                <w:b/>
                <w:bCs/>
                <w:iCs/>
                <w:szCs w:val="22"/>
                <w:vertAlign w:val="superscript"/>
              </w:rPr>
              <w:t>1</w:t>
            </w:r>
          </w:p>
        </w:tc>
        <w:tc>
          <w:tcPr>
            <w:tcW w:w="1276" w:type="dxa"/>
            <w:shd w:val="clear" w:color="auto" w:fill="EBF3E9"/>
            <w:vAlign w:val="center"/>
          </w:tcPr>
          <w:p w14:paraId="04CE252B" w14:textId="77777777" w:rsidR="003C041F" w:rsidRPr="001A02EA" w:rsidRDefault="003C041F" w:rsidP="00031E91">
            <w:pPr>
              <w:jc w:val="center"/>
              <w:rPr>
                <w:b/>
                <w:bCs/>
                <w:iCs/>
                <w:szCs w:val="22"/>
              </w:rPr>
            </w:pPr>
            <w:r w:rsidRPr="001A02EA">
              <w:rPr>
                <w:b/>
                <w:bCs/>
                <w:iCs/>
                <w:szCs w:val="22"/>
              </w:rPr>
              <w:t>86</w:t>
            </w:r>
          </w:p>
          <w:p w14:paraId="73749AF7" w14:textId="01E88A72" w:rsidR="003C041F" w:rsidRPr="001A02EA" w:rsidRDefault="003C041F" w:rsidP="00031E91">
            <w:pPr>
              <w:jc w:val="center"/>
              <w:rPr>
                <w:b/>
                <w:bCs/>
                <w:iCs/>
                <w:szCs w:val="22"/>
              </w:rPr>
            </w:pPr>
            <w:r w:rsidRPr="001A02EA">
              <w:rPr>
                <w:b/>
                <w:bCs/>
                <w:iCs/>
                <w:szCs w:val="22"/>
              </w:rPr>
              <w:t>(92</w:t>
            </w:r>
            <w:r w:rsidR="00D81078">
              <w:rPr>
                <w:b/>
                <w:bCs/>
                <w:iCs/>
                <w:szCs w:val="22"/>
              </w:rPr>
              <w:t>,</w:t>
            </w:r>
            <w:r w:rsidRPr="001A02EA">
              <w:rPr>
                <w:b/>
                <w:bCs/>
                <w:iCs/>
                <w:szCs w:val="22"/>
              </w:rPr>
              <w:t>5%)</w:t>
            </w:r>
            <w:r w:rsidRPr="001A02EA">
              <w:rPr>
                <w:b/>
                <w:bCs/>
                <w:iCs/>
                <w:szCs w:val="22"/>
                <w:vertAlign w:val="superscript"/>
              </w:rPr>
              <w:t>1</w:t>
            </w:r>
          </w:p>
        </w:tc>
        <w:tc>
          <w:tcPr>
            <w:tcW w:w="1417" w:type="dxa"/>
            <w:shd w:val="clear" w:color="auto" w:fill="auto"/>
            <w:vAlign w:val="center"/>
          </w:tcPr>
          <w:p w14:paraId="5B69E659" w14:textId="77777777" w:rsidR="003C041F" w:rsidRPr="001A02EA" w:rsidRDefault="003C041F" w:rsidP="00031E91">
            <w:pPr>
              <w:jc w:val="center"/>
              <w:rPr>
                <w:bCs/>
                <w:iCs/>
                <w:szCs w:val="22"/>
              </w:rPr>
            </w:pPr>
            <w:r w:rsidRPr="001A02EA">
              <w:rPr>
                <w:bCs/>
                <w:iCs/>
                <w:szCs w:val="22"/>
              </w:rPr>
              <w:t>82</w:t>
            </w:r>
          </w:p>
          <w:p w14:paraId="08B6BE79" w14:textId="01529F19" w:rsidR="003C041F" w:rsidRPr="001A02EA" w:rsidRDefault="003C041F" w:rsidP="00031E91">
            <w:pPr>
              <w:jc w:val="center"/>
              <w:rPr>
                <w:bCs/>
                <w:iCs/>
                <w:szCs w:val="22"/>
              </w:rPr>
            </w:pPr>
            <w:r w:rsidRPr="001A02EA">
              <w:rPr>
                <w:bCs/>
                <w:iCs/>
                <w:szCs w:val="22"/>
              </w:rPr>
              <w:t>(89</w:t>
            </w:r>
            <w:r w:rsidR="00D81078">
              <w:rPr>
                <w:bCs/>
                <w:iCs/>
                <w:szCs w:val="22"/>
              </w:rPr>
              <w:t>,</w:t>
            </w:r>
            <w:r w:rsidRPr="001A02EA">
              <w:rPr>
                <w:bCs/>
                <w:iCs/>
                <w:szCs w:val="22"/>
              </w:rPr>
              <w:t>1%)</w:t>
            </w:r>
          </w:p>
        </w:tc>
        <w:tc>
          <w:tcPr>
            <w:tcW w:w="1134" w:type="dxa"/>
            <w:shd w:val="clear" w:color="auto" w:fill="auto"/>
            <w:vAlign w:val="center"/>
          </w:tcPr>
          <w:p w14:paraId="65B5EF23" w14:textId="77777777" w:rsidR="003C041F" w:rsidRPr="001A02EA" w:rsidRDefault="003C041F" w:rsidP="00031E91">
            <w:pPr>
              <w:jc w:val="center"/>
              <w:rPr>
                <w:bCs/>
                <w:iCs/>
                <w:szCs w:val="22"/>
              </w:rPr>
            </w:pPr>
            <w:r w:rsidRPr="001A02EA">
              <w:rPr>
                <w:bCs/>
                <w:iCs/>
                <w:szCs w:val="22"/>
              </w:rPr>
              <w:t>84</w:t>
            </w:r>
          </w:p>
          <w:p w14:paraId="0FA400FD" w14:textId="09527742" w:rsidR="003C041F" w:rsidRPr="001A02EA" w:rsidRDefault="003C041F" w:rsidP="00031E91">
            <w:pPr>
              <w:jc w:val="center"/>
              <w:rPr>
                <w:bCs/>
                <w:iCs/>
                <w:szCs w:val="22"/>
              </w:rPr>
            </w:pPr>
            <w:r w:rsidRPr="001A02EA">
              <w:rPr>
                <w:bCs/>
                <w:iCs/>
                <w:szCs w:val="22"/>
              </w:rPr>
              <w:t>(90</w:t>
            </w:r>
            <w:r w:rsidR="00D81078">
              <w:rPr>
                <w:bCs/>
                <w:iCs/>
                <w:szCs w:val="22"/>
              </w:rPr>
              <w:t>,</w:t>
            </w:r>
            <w:r w:rsidRPr="001A02EA">
              <w:rPr>
                <w:bCs/>
                <w:iCs/>
                <w:szCs w:val="22"/>
              </w:rPr>
              <w:t>3%)</w:t>
            </w:r>
          </w:p>
        </w:tc>
        <w:tc>
          <w:tcPr>
            <w:tcW w:w="1241" w:type="dxa"/>
            <w:shd w:val="clear" w:color="auto" w:fill="auto"/>
            <w:vAlign w:val="center"/>
          </w:tcPr>
          <w:p w14:paraId="21C69346" w14:textId="77777777" w:rsidR="003C041F" w:rsidRPr="001A02EA" w:rsidRDefault="003C041F" w:rsidP="00031E91">
            <w:pPr>
              <w:jc w:val="center"/>
              <w:rPr>
                <w:bCs/>
                <w:iCs/>
                <w:szCs w:val="22"/>
              </w:rPr>
            </w:pPr>
            <w:r w:rsidRPr="001A02EA">
              <w:rPr>
                <w:bCs/>
                <w:iCs/>
                <w:szCs w:val="22"/>
              </w:rPr>
              <w:t>93</w:t>
            </w:r>
          </w:p>
          <w:p w14:paraId="5A0CA218" w14:textId="49D5F81F" w:rsidR="003C041F" w:rsidRPr="001A02EA" w:rsidRDefault="003C041F" w:rsidP="00031E91">
            <w:pPr>
              <w:jc w:val="center"/>
              <w:rPr>
                <w:bCs/>
                <w:iCs/>
                <w:szCs w:val="22"/>
              </w:rPr>
            </w:pPr>
            <w:r w:rsidRPr="001A02EA">
              <w:rPr>
                <w:bCs/>
                <w:iCs/>
                <w:szCs w:val="22"/>
              </w:rPr>
              <w:t>(97</w:t>
            </w:r>
            <w:r w:rsidR="00D81078">
              <w:rPr>
                <w:bCs/>
                <w:iCs/>
                <w:szCs w:val="22"/>
              </w:rPr>
              <w:t>,</w:t>
            </w:r>
            <w:r w:rsidRPr="001A02EA">
              <w:rPr>
                <w:bCs/>
                <w:iCs/>
                <w:szCs w:val="22"/>
              </w:rPr>
              <w:t>9%)</w:t>
            </w:r>
          </w:p>
        </w:tc>
      </w:tr>
      <w:tr w:rsidR="003C041F" w:rsidRPr="001A02EA" w14:paraId="50CB8205" w14:textId="77777777" w:rsidTr="00031E91">
        <w:tc>
          <w:tcPr>
            <w:tcW w:w="2093" w:type="dxa"/>
            <w:shd w:val="clear" w:color="auto" w:fill="auto"/>
          </w:tcPr>
          <w:p w14:paraId="495E5B29" w14:textId="10AC3301" w:rsidR="003C041F" w:rsidRPr="001A02EA" w:rsidRDefault="00FC611C" w:rsidP="00FC611C">
            <w:pPr>
              <w:pStyle w:val="Default"/>
              <w:rPr>
                <w:bCs/>
                <w:iCs/>
                <w:szCs w:val="22"/>
                <w:vertAlign w:val="superscript"/>
              </w:rPr>
            </w:pPr>
            <w:r>
              <w:rPr>
                <w:sz w:val="22"/>
                <w:szCs w:val="22"/>
              </w:rPr>
              <w:t xml:space="preserve">Zmena mediánu </w:t>
            </w:r>
            <w:r>
              <w:rPr>
                <w:b/>
                <w:bCs/>
                <w:sz w:val="22"/>
                <w:szCs w:val="22"/>
              </w:rPr>
              <w:t xml:space="preserve">objemu myómu </w:t>
            </w:r>
            <w:r>
              <w:rPr>
                <w:sz w:val="22"/>
                <w:szCs w:val="22"/>
              </w:rPr>
              <w:t>od začiatku do 13. týždňa</w:t>
            </w:r>
            <w:r w:rsidRPr="00FC611C">
              <w:rPr>
                <w:sz w:val="14"/>
                <w:szCs w:val="14"/>
                <w:vertAlign w:val="superscript"/>
              </w:rPr>
              <w:t>a</w:t>
            </w:r>
          </w:p>
        </w:tc>
        <w:tc>
          <w:tcPr>
            <w:tcW w:w="992" w:type="dxa"/>
            <w:shd w:val="clear" w:color="auto" w:fill="auto"/>
            <w:vAlign w:val="center"/>
          </w:tcPr>
          <w:p w14:paraId="43DC0EB5" w14:textId="03DEC0CB" w:rsidR="003C041F" w:rsidRPr="001A02EA" w:rsidRDefault="003C041F" w:rsidP="00031E91">
            <w:pPr>
              <w:jc w:val="center"/>
              <w:rPr>
                <w:bCs/>
                <w:iCs/>
                <w:szCs w:val="22"/>
              </w:rPr>
            </w:pPr>
            <w:r w:rsidRPr="001A02EA">
              <w:rPr>
                <w:bCs/>
                <w:iCs/>
                <w:szCs w:val="22"/>
              </w:rPr>
              <w:t>+3</w:t>
            </w:r>
            <w:r w:rsidR="00D81078">
              <w:rPr>
                <w:bCs/>
                <w:iCs/>
                <w:szCs w:val="22"/>
              </w:rPr>
              <w:t>,</w:t>
            </w:r>
            <w:r w:rsidRPr="001A02EA">
              <w:rPr>
                <w:bCs/>
                <w:iCs/>
                <w:szCs w:val="22"/>
              </w:rPr>
              <w:t>0%</w:t>
            </w:r>
          </w:p>
        </w:tc>
        <w:tc>
          <w:tcPr>
            <w:tcW w:w="1134" w:type="dxa"/>
            <w:shd w:val="clear" w:color="auto" w:fill="EBF3E9"/>
            <w:vAlign w:val="center"/>
          </w:tcPr>
          <w:p w14:paraId="6C2D1549" w14:textId="1BA87A48" w:rsidR="003C041F" w:rsidRPr="001A02EA" w:rsidRDefault="003C041F" w:rsidP="00031E91">
            <w:pPr>
              <w:jc w:val="center"/>
              <w:rPr>
                <w:b/>
                <w:bCs/>
                <w:iCs/>
                <w:szCs w:val="22"/>
              </w:rPr>
            </w:pPr>
            <w:r w:rsidRPr="001A02EA">
              <w:rPr>
                <w:b/>
                <w:bCs/>
                <w:iCs/>
                <w:szCs w:val="22"/>
              </w:rPr>
              <w:t>-21</w:t>
            </w:r>
            <w:r w:rsidR="00D81078">
              <w:rPr>
                <w:b/>
                <w:bCs/>
                <w:iCs/>
                <w:szCs w:val="22"/>
              </w:rPr>
              <w:t>,</w:t>
            </w:r>
            <w:r w:rsidRPr="001A02EA">
              <w:rPr>
                <w:b/>
                <w:bCs/>
                <w:iCs/>
                <w:szCs w:val="22"/>
              </w:rPr>
              <w:t>2%</w:t>
            </w:r>
            <w:r w:rsidRPr="001A02EA">
              <w:rPr>
                <w:b/>
                <w:bCs/>
                <w:iCs/>
                <w:szCs w:val="22"/>
                <w:vertAlign w:val="superscript"/>
              </w:rPr>
              <w:t>3</w:t>
            </w:r>
          </w:p>
        </w:tc>
        <w:tc>
          <w:tcPr>
            <w:tcW w:w="1276" w:type="dxa"/>
            <w:shd w:val="clear" w:color="auto" w:fill="EBF3E9"/>
            <w:vAlign w:val="center"/>
          </w:tcPr>
          <w:p w14:paraId="18968211" w14:textId="107DF58B" w:rsidR="003C041F" w:rsidRPr="001A02EA" w:rsidRDefault="003C041F" w:rsidP="00031E91">
            <w:pPr>
              <w:jc w:val="center"/>
              <w:rPr>
                <w:b/>
                <w:bCs/>
                <w:iCs/>
                <w:szCs w:val="22"/>
              </w:rPr>
            </w:pPr>
            <w:r w:rsidRPr="001A02EA">
              <w:rPr>
                <w:b/>
                <w:bCs/>
                <w:iCs/>
                <w:szCs w:val="22"/>
              </w:rPr>
              <w:t>-12</w:t>
            </w:r>
            <w:r w:rsidR="00D81078">
              <w:rPr>
                <w:b/>
                <w:bCs/>
                <w:iCs/>
                <w:szCs w:val="22"/>
              </w:rPr>
              <w:t>,</w:t>
            </w:r>
            <w:r w:rsidRPr="001A02EA">
              <w:rPr>
                <w:b/>
                <w:bCs/>
                <w:iCs/>
                <w:szCs w:val="22"/>
              </w:rPr>
              <w:t>3%</w:t>
            </w:r>
            <w:r w:rsidRPr="001A02EA">
              <w:rPr>
                <w:b/>
                <w:bCs/>
                <w:iCs/>
                <w:szCs w:val="22"/>
                <w:vertAlign w:val="superscript"/>
              </w:rPr>
              <w:t>4</w:t>
            </w:r>
          </w:p>
        </w:tc>
        <w:tc>
          <w:tcPr>
            <w:tcW w:w="1417" w:type="dxa"/>
            <w:shd w:val="clear" w:color="auto" w:fill="auto"/>
            <w:vAlign w:val="center"/>
          </w:tcPr>
          <w:p w14:paraId="6108730E" w14:textId="2A9E1C3C" w:rsidR="003C041F" w:rsidRPr="001A02EA" w:rsidRDefault="003C041F" w:rsidP="00031E91">
            <w:pPr>
              <w:jc w:val="center"/>
              <w:rPr>
                <w:bCs/>
                <w:iCs/>
                <w:szCs w:val="22"/>
              </w:rPr>
            </w:pPr>
            <w:r w:rsidRPr="001A02EA">
              <w:rPr>
                <w:bCs/>
                <w:iCs/>
                <w:szCs w:val="22"/>
              </w:rPr>
              <w:t>-53</w:t>
            </w:r>
            <w:r w:rsidR="00D81078">
              <w:rPr>
                <w:bCs/>
                <w:iCs/>
                <w:szCs w:val="22"/>
              </w:rPr>
              <w:t>,</w:t>
            </w:r>
            <w:r w:rsidRPr="001A02EA">
              <w:rPr>
                <w:bCs/>
                <w:iCs/>
                <w:szCs w:val="22"/>
              </w:rPr>
              <w:t>5%</w:t>
            </w:r>
          </w:p>
        </w:tc>
        <w:tc>
          <w:tcPr>
            <w:tcW w:w="1134" w:type="dxa"/>
            <w:shd w:val="clear" w:color="auto" w:fill="auto"/>
            <w:vAlign w:val="center"/>
          </w:tcPr>
          <w:p w14:paraId="1C32D8B9" w14:textId="44F69413" w:rsidR="003C041F" w:rsidRPr="001A02EA" w:rsidRDefault="003C041F" w:rsidP="00031E91">
            <w:pPr>
              <w:jc w:val="center"/>
              <w:rPr>
                <w:bCs/>
                <w:iCs/>
                <w:szCs w:val="22"/>
              </w:rPr>
            </w:pPr>
            <w:r w:rsidRPr="001A02EA">
              <w:rPr>
                <w:bCs/>
                <w:iCs/>
                <w:szCs w:val="22"/>
              </w:rPr>
              <w:t>-35</w:t>
            </w:r>
            <w:r w:rsidR="00D81078">
              <w:rPr>
                <w:bCs/>
                <w:iCs/>
                <w:szCs w:val="22"/>
              </w:rPr>
              <w:t>,</w:t>
            </w:r>
            <w:r w:rsidRPr="001A02EA">
              <w:rPr>
                <w:bCs/>
                <w:iCs/>
                <w:szCs w:val="22"/>
              </w:rPr>
              <w:t>6%</w:t>
            </w:r>
          </w:p>
        </w:tc>
        <w:tc>
          <w:tcPr>
            <w:tcW w:w="1241" w:type="dxa"/>
            <w:shd w:val="clear" w:color="auto" w:fill="auto"/>
            <w:vAlign w:val="center"/>
          </w:tcPr>
          <w:p w14:paraId="65B0F59D" w14:textId="0091CE8E" w:rsidR="003C041F" w:rsidRPr="001A02EA" w:rsidRDefault="003C041F" w:rsidP="00031E91">
            <w:pPr>
              <w:jc w:val="center"/>
              <w:rPr>
                <w:bCs/>
                <w:iCs/>
                <w:szCs w:val="22"/>
              </w:rPr>
            </w:pPr>
            <w:r w:rsidRPr="001A02EA">
              <w:rPr>
                <w:bCs/>
                <w:iCs/>
                <w:szCs w:val="22"/>
              </w:rPr>
              <w:t>-42</w:t>
            </w:r>
            <w:r w:rsidR="005D1C66">
              <w:rPr>
                <w:bCs/>
                <w:iCs/>
                <w:szCs w:val="22"/>
              </w:rPr>
              <w:t>,</w:t>
            </w:r>
            <w:r w:rsidRPr="001A02EA">
              <w:rPr>
                <w:bCs/>
                <w:iCs/>
                <w:szCs w:val="22"/>
              </w:rPr>
              <w:t>1%</w:t>
            </w:r>
          </w:p>
        </w:tc>
      </w:tr>
    </w:tbl>
    <w:p w14:paraId="51981902" w14:textId="77777777" w:rsidR="003C041F" w:rsidRPr="003C041F" w:rsidRDefault="003C041F" w:rsidP="003C041F">
      <w:pPr>
        <w:overflowPunct/>
        <w:textAlignment w:val="auto"/>
        <w:rPr>
          <w:color w:val="000000"/>
          <w:sz w:val="18"/>
          <w:szCs w:val="18"/>
        </w:rPr>
      </w:pPr>
      <w:r w:rsidRPr="003C041F">
        <w:rPr>
          <w:color w:val="000000"/>
          <w:sz w:val="12"/>
          <w:szCs w:val="12"/>
        </w:rPr>
        <w:t xml:space="preserve">a </w:t>
      </w:r>
      <w:r w:rsidRPr="003C041F">
        <w:rPr>
          <w:color w:val="000000"/>
          <w:sz w:val="18"/>
          <w:szCs w:val="18"/>
        </w:rPr>
        <w:t xml:space="preserve">V štúdii 1 bola zmena celkového objemu myómu od začiatku meraná pomocou vyšetrenia MRI. V štúdii 2 bola zmena objemu troch najväčších myómov meraná ultrazvukom. Zvýraznené hodnoty v sivých poliach označujú významný rozdiel pri porovnaní ulipristalacetátu s kontrolným liekom. Tieto rozdiely boli vždy v prospech ulipristalacetátu. </w:t>
      </w:r>
    </w:p>
    <w:p w14:paraId="4B6D81E7" w14:textId="530440BC" w:rsidR="003C041F" w:rsidRDefault="003C041F" w:rsidP="003C041F">
      <w:pPr>
        <w:pStyle w:val="Normlnywebov"/>
        <w:spacing w:before="0" w:beforeAutospacing="0" w:after="0" w:afterAutospacing="0"/>
        <w:rPr>
          <w:rStyle w:val="Zvraznenie"/>
          <w:sz w:val="22"/>
          <w:szCs w:val="22"/>
        </w:rPr>
      </w:pPr>
      <w:r w:rsidRPr="003C041F">
        <w:rPr>
          <w:color w:val="000000"/>
          <w:sz w:val="18"/>
          <w:szCs w:val="18"/>
        </w:rPr>
        <w:t xml:space="preserve">P-hodnoty: </w:t>
      </w:r>
      <w:r w:rsidRPr="003C041F">
        <w:rPr>
          <w:color w:val="000000"/>
          <w:sz w:val="12"/>
          <w:szCs w:val="12"/>
        </w:rPr>
        <w:t xml:space="preserve">1 </w:t>
      </w:r>
      <w:r w:rsidRPr="003C041F">
        <w:rPr>
          <w:color w:val="000000"/>
          <w:sz w:val="18"/>
          <w:szCs w:val="18"/>
        </w:rPr>
        <w:t xml:space="preserve">= &lt; 0,001, </w:t>
      </w:r>
      <w:r w:rsidRPr="003C041F">
        <w:rPr>
          <w:color w:val="000000"/>
          <w:sz w:val="12"/>
          <w:szCs w:val="12"/>
        </w:rPr>
        <w:t xml:space="preserve">2 </w:t>
      </w:r>
      <w:r w:rsidRPr="003C041F">
        <w:rPr>
          <w:color w:val="000000"/>
          <w:sz w:val="18"/>
          <w:szCs w:val="18"/>
        </w:rPr>
        <w:t xml:space="preserve">= 0,037, </w:t>
      </w:r>
      <w:r w:rsidRPr="003C041F">
        <w:rPr>
          <w:color w:val="000000"/>
          <w:sz w:val="12"/>
          <w:szCs w:val="12"/>
        </w:rPr>
        <w:t>3</w:t>
      </w:r>
      <w:r w:rsidRPr="003C041F">
        <w:rPr>
          <w:color w:val="000000"/>
          <w:sz w:val="18"/>
          <w:szCs w:val="18"/>
        </w:rPr>
        <w:t xml:space="preserve">= &lt; 0,002, </w:t>
      </w:r>
      <w:r w:rsidRPr="003C041F">
        <w:rPr>
          <w:color w:val="000000"/>
          <w:sz w:val="12"/>
          <w:szCs w:val="12"/>
        </w:rPr>
        <w:t xml:space="preserve">4 </w:t>
      </w:r>
      <w:r w:rsidRPr="003C041F">
        <w:rPr>
          <w:color w:val="000000"/>
          <w:sz w:val="18"/>
          <w:szCs w:val="18"/>
        </w:rPr>
        <w:t>= &lt; 0,006.</w:t>
      </w:r>
    </w:p>
    <w:p w14:paraId="5929728D" w14:textId="261C66F0" w:rsidR="003C041F" w:rsidRDefault="003C041F" w:rsidP="00FA684F">
      <w:pPr>
        <w:pStyle w:val="Normlnywebov"/>
        <w:spacing w:before="0" w:beforeAutospacing="0" w:after="0" w:afterAutospacing="0"/>
        <w:rPr>
          <w:rStyle w:val="Zvraznenie"/>
          <w:sz w:val="22"/>
          <w:szCs w:val="22"/>
        </w:rPr>
      </w:pPr>
    </w:p>
    <w:p w14:paraId="25239ECA" w14:textId="77777777" w:rsidR="003C041F" w:rsidRPr="003C041F" w:rsidRDefault="003C041F" w:rsidP="003C041F">
      <w:pPr>
        <w:overflowPunct/>
        <w:textAlignment w:val="auto"/>
        <w:rPr>
          <w:color w:val="000000"/>
          <w:sz w:val="22"/>
          <w:szCs w:val="22"/>
          <w:u w:val="single"/>
        </w:rPr>
      </w:pPr>
      <w:r w:rsidRPr="003C041F">
        <w:rPr>
          <w:i/>
          <w:iCs/>
          <w:color w:val="000000"/>
          <w:sz w:val="22"/>
          <w:szCs w:val="22"/>
          <w:u w:val="single"/>
        </w:rPr>
        <w:t xml:space="preserve">Opakované intermitentné použitie: </w:t>
      </w:r>
    </w:p>
    <w:p w14:paraId="2AA5C541" w14:textId="628F7410" w:rsidR="003C041F" w:rsidRDefault="003C041F" w:rsidP="003C041F">
      <w:pPr>
        <w:pStyle w:val="Normlnywebov"/>
        <w:spacing w:before="0" w:beforeAutospacing="0" w:after="0" w:afterAutospacing="0"/>
        <w:rPr>
          <w:rStyle w:val="Zvraznenie"/>
          <w:sz w:val="22"/>
          <w:szCs w:val="22"/>
        </w:rPr>
      </w:pPr>
      <w:r w:rsidRPr="003C041F">
        <w:rPr>
          <w:color w:val="000000"/>
          <w:sz w:val="22"/>
          <w:szCs w:val="22"/>
        </w:rPr>
        <w:t>Účinnosť opakovaných liečebných cyklov fixných dávok ulipristalacetátu 5 mg alebo 10 mg jedenkrát denne bola hodnotená v dvoch štúdiách fázy 3 hodnotiacich až štyri oddelené 3-mesačné liečebné cykly u pacientok so závažným menštruačným krvácaním spojeným s myómami maternice. Štúdia 3 bola otvorená štúdia hodnotiaca ulipristalacetát v dávke 10 mg, v ktorej po každej 3-mesačnej liečbe nasledovalo 10 dní dvojito zaslepenej liečby progestínom alebo placebom. Štúdia 4 bola randomizovaná dvojito zaslepená klinická štúdia hodnotiaca ulipristalacetát v dávke 5 alebo 10 mg.</w:t>
      </w:r>
    </w:p>
    <w:p w14:paraId="225389FC" w14:textId="69C69F47" w:rsidR="003C041F" w:rsidRDefault="003C041F" w:rsidP="00FA684F">
      <w:pPr>
        <w:pStyle w:val="Normlnywebov"/>
        <w:spacing w:before="0" w:beforeAutospacing="0" w:after="0" w:afterAutospacing="0"/>
        <w:rPr>
          <w:rStyle w:val="Zvraznenie"/>
          <w:sz w:val="22"/>
          <w:szCs w:val="22"/>
        </w:rPr>
      </w:pPr>
    </w:p>
    <w:p w14:paraId="46E43082"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Štúdie 3 a 4 preukázali schopnosť účinne tlmiť symptómy myómov maternice (napr. krvácanie z maternice) a zmenšiť veľkosť myómov po 2 a 4 cykloch. </w:t>
      </w:r>
    </w:p>
    <w:p w14:paraId="3B25D5DA"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V štúdii 3 bola účinnosť liečby preukázaná za obdobie &gt; 18 mesiacov opakovanej intermitentnej liečby (4 cykly s dávkou 10 mg jedenkrát denne). 89,7 % pacientok dosiahlo amenoreu na konci liečebného cyklu 4. </w:t>
      </w:r>
    </w:p>
    <w:p w14:paraId="3589D1E1" w14:textId="77777777" w:rsidR="003C041F" w:rsidRPr="003C041F" w:rsidRDefault="003C041F" w:rsidP="003C041F">
      <w:pPr>
        <w:overflowPunct/>
        <w:textAlignment w:val="auto"/>
        <w:rPr>
          <w:color w:val="000000"/>
          <w:sz w:val="22"/>
          <w:szCs w:val="22"/>
        </w:rPr>
      </w:pPr>
      <w:r w:rsidRPr="003C041F">
        <w:rPr>
          <w:color w:val="000000"/>
          <w:sz w:val="22"/>
          <w:szCs w:val="22"/>
        </w:rPr>
        <w:t xml:space="preserve">V štúdii 4 dosiahlo amenoreu na konci liečebného cyklu 1 aj 2 dohromady (dávka 5 mg, resp. 10 mg, p = 0,032) 61,9 % a 72,7 % pacientok. Na konci všetkých štyroch liečebných cyklov dohromady bolo v amenoree 48,7 % a 60,5 % pacientok (dávka 5 mg, resp. 10 mg, p = 0,027). Na konci liečebného cyklu 4 bolo podľa hodnotenia v amenoree 158 (69,6 %), resp. 164 (74,5 %) pacientok (p = 0,290) s dávkami 5 mg resp. 10 mg. </w:t>
      </w:r>
    </w:p>
    <w:p w14:paraId="4610B1CD" w14:textId="77777777" w:rsidR="003C041F" w:rsidRDefault="003C041F" w:rsidP="003C041F">
      <w:pPr>
        <w:pStyle w:val="Normlnywebov"/>
        <w:spacing w:before="0" w:beforeAutospacing="0" w:after="0" w:afterAutospacing="0"/>
        <w:rPr>
          <w:color w:val="000000"/>
          <w:sz w:val="22"/>
          <w:szCs w:val="22"/>
        </w:rPr>
      </w:pPr>
    </w:p>
    <w:p w14:paraId="03D959BD" w14:textId="781483C9" w:rsidR="003C041F" w:rsidRDefault="003C041F" w:rsidP="003C041F">
      <w:pPr>
        <w:pStyle w:val="Normlnywebov"/>
        <w:spacing w:before="0" w:beforeAutospacing="0" w:after="0" w:afterAutospacing="0"/>
        <w:rPr>
          <w:rStyle w:val="Zvraznenie"/>
          <w:sz w:val="22"/>
          <w:szCs w:val="22"/>
        </w:rPr>
      </w:pPr>
      <w:r w:rsidRPr="003C041F">
        <w:rPr>
          <w:color w:val="000000"/>
          <w:sz w:val="22"/>
          <w:szCs w:val="22"/>
        </w:rPr>
        <w:t>Tabuľka 2: Výsledky primárnych a vybraných sekundárnych hodnotení účinnosti v dlhodobých štúdiách fázy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276"/>
        <w:gridCol w:w="1357"/>
        <w:gridCol w:w="1377"/>
        <w:gridCol w:w="1118"/>
        <w:gridCol w:w="1216"/>
      </w:tblGrid>
      <w:tr w:rsidR="00E35B79" w:rsidRPr="001A02EA" w14:paraId="7C4DA804" w14:textId="77777777" w:rsidTr="00031E91">
        <w:tc>
          <w:tcPr>
            <w:tcW w:w="1668" w:type="dxa"/>
            <w:vMerge w:val="restart"/>
            <w:shd w:val="clear" w:color="auto" w:fill="auto"/>
            <w:vAlign w:val="center"/>
          </w:tcPr>
          <w:p w14:paraId="64F88380" w14:textId="77777777" w:rsidR="00E35B79" w:rsidRPr="0044255A" w:rsidRDefault="00E35B79" w:rsidP="00031E91">
            <w:pPr>
              <w:jc w:val="center"/>
              <w:rPr>
                <w:b/>
                <w:bCs/>
                <w:iCs/>
                <w:sz w:val="22"/>
                <w:szCs w:val="22"/>
              </w:rPr>
            </w:pPr>
            <w:r w:rsidRPr="0044255A">
              <w:rPr>
                <w:b/>
                <w:bCs/>
                <w:iCs/>
                <w:sz w:val="22"/>
                <w:szCs w:val="22"/>
              </w:rPr>
              <w:t>Parameter</w:t>
            </w:r>
          </w:p>
        </w:tc>
        <w:tc>
          <w:tcPr>
            <w:tcW w:w="3908" w:type="dxa"/>
            <w:gridSpan w:val="3"/>
            <w:shd w:val="clear" w:color="auto" w:fill="auto"/>
          </w:tcPr>
          <w:p w14:paraId="76194801" w14:textId="77777777" w:rsidR="00706A3E" w:rsidRPr="0044255A" w:rsidRDefault="00706A3E" w:rsidP="00706A3E">
            <w:pPr>
              <w:pStyle w:val="Default"/>
              <w:jc w:val="center"/>
              <w:rPr>
                <w:sz w:val="22"/>
                <w:szCs w:val="22"/>
              </w:rPr>
            </w:pPr>
            <w:r w:rsidRPr="0044255A">
              <w:rPr>
                <w:b/>
                <w:bCs/>
                <w:sz w:val="22"/>
                <w:szCs w:val="22"/>
              </w:rPr>
              <w:t xml:space="preserve">Po liečebnom cykle 2 </w:t>
            </w:r>
          </w:p>
          <w:p w14:paraId="376BB41E" w14:textId="7ED99F0E" w:rsidR="00E35B79" w:rsidRPr="0044255A" w:rsidRDefault="00706A3E" w:rsidP="00706A3E">
            <w:pPr>
              <w:jc w:val="center"/>
              <w:rPr>
                <w:bCs/>
                <w:iCs/>
                <w:sz w:val="22"/>
                <w:szCs w:val="22"/>
              </w:rPr>
            </w:pPr>
            <w:r w:rsidRPr="0044255A">
              <w:rPr>
                <w:sz w:val="22"/>
                <w:szCs w:val="22"/>
              </w:rPr>
              <w:t xml:space="preserve">(dvakrát 3-mesačná liečba) </w:t>
            </w:r>
          </w:p>
        </w:tc>
        <w:tc>
          <w:tcPr>
            <w:tcW w:w="3711" w:type="dxa"/>
            <w:gridSpan w:val="3"/>
            <w:shd w:val="clear" w:color="auto" w:fill="auto"/>
          </w:tcPr>
          <w:p w14:paraId="556514AA" w14:textId="77777777" w:rsidR="00706A3E" w:rsidRPr="0044255A" w:rsidRDefault="00706A3E" w:rsidP="00706A3E">
            <w:pPr>
              <w:pStyle w:val="Default"/>
              <w:jc w:val="center"/>
              <w:rPr>
                <w:sz w:val="22"/>
                <w:szCs w:val="22"/>
              </w:rPr>
            </w:pPr>
            <w:r w:rsidRPr="0044255A">
              <w:rPr>
                <w:b/>
                <w:bCs/>
                <w:sz w:val="22"/>
                <w:szCs w:val="22"/>
              </w:rPr>
              <w:t xml:space="preserve">Po liečebnom cykle 4 </w:t>
            </w:r>
          </w:p>
          <w:p w14:paraId="56CC7266" w14:textId="43CCD45D" w:rsidR="00E35B79" w:rsidRPr="0044255A" w:rsidRDefault="00706A3E" w:rsidP="00706A3E">
            <w:pPr>
              <w:jc w:val="center"/>
              <w:rPr>
                <w:bCs/>
                <w:iCs/>
                <w:sz w:val="22"/>
                <w:szCs w:val="22"/>
              </w:rPr>
            </w:pPr>
            <w:r w:rsidRPr="0044255A">
              <w:rPr>
                <w:sz w:val="22"/>
                <w:szCs w:val="22"/>
              </w:rPr>
              <w:t xml:space="preserve">(štyrikrát 3-mesačná liečba) </w:t>
            </w:r>
          </w:p>
        </w:tc>
      </w:tr>
      <w:tr w:rsidR="00E35B79" w:rsidRPr="001A02EA" w14:paraId="0C309287" w14:textId="77777777" w:rsidTr="00031E91">
        <w:tc>
          <w:tcPr>
            <w:tcW w:w="1668" w:type="dxa"/>
            <w:vMerge/>
            <w:shd w:val="clear" w:color="auto" w:fill="auto"/>
          </w:tcPr>
          <w:p w14:paraId="4A33900C" w14:textId="77777777" w:rsidR="00E35B79" w:rsidRPr="0044255A" w:rsidRDefault="00E35B79" w:rsidP="00031E91">
            <w:pPr>
              <w:jc w:val="center"/>
              <w:rPr>
                <w:b/>
                <w:bCs/>
                <w:iCs/>
                <w:sz w:val="22"/>
                <w:szCs w:val="22"/>
              </w:rPr>
            </w:pPr>
          </w:p>
        </w:tc>
        <w:tc>
          <w:tcPr>
            <w:tcW w:w="1275" w:type="dxa"/>
            <w:shd w:val="clear" w:color="auto" w:fill="auto"/>
          </w:tcPr>
          <w:p w14:paraId="3729FA18" w14:textId="3D8615CA" w:rsidR="00E35B79" w:rsidRPr="0044255A" w:rsidRDefault="00706A3E" w:rsidP="00706A3E">
            <w:pPr>
              <w:pStyle w:val="Default"/>
              <w:jc w:val="center"/>
              <w:rPr>
                <w:b/>
                <w:bCs/>
                <w:iCs/>
                <w:sz w:val="22"/>
                <w:szCs w:val="22"/>
              </w:rPr>
            </w:pPr>
            <w:r w:rsidRPr="0044255A">
              <w:rPr>
                <w:b/>
                <w:bCs/>
                <w:sz w:val="22"/>
                <w:szCs w:val="22"/>
              </w:rPr>
              <w:t xml:space="preserve">Štúdia </w:t>
            </w:r>
            <w:r w:rsidR="00E35B79" w:rsidRPr="0044255A">
              <w:rPr>
                <w:b/>
                <w:bCs/>
                <w:iCs/>
                <w:sz w:val="22"/>
                <w:szCs w:val="22"/>
              </w:rPr>
              <w:t> 3</w:t>
            </w:r>
            <w:r w:rsidR="00E35B79" w:rsidRPr="0044255A">
              <w:rPr>
                <w:b/>
                <w:bCs/>
                <w:iCs/>
                <w:sz w:val="22"/>
                <w:szCs w:val="22"/>
                <w:vertAlign w:val="superscript"/>
              </w:rPr>
              <w:t>a</w:t>
            </w:r>
          </w:p>
        </w:tc>
        <w:tc>
          <w:tcPr>
            <w:tcW w:w="2633" w:type="dxa"/>
            <w:gridSpan w:val="2"/>
            <w:shd w:val="clear" w:color="auto" w:fill="auto"/>
          </w:tcPr>
          <w:p w14:paraId="606C4D79" w14:textId="5BFEC697" w:rsidR="00E35B79" w:rsidRPr="0044255A" w:rsidRDefault="00706A3E" w:rsidP="00706A3E">
            <w:pPr>
              <w:pStyle w:val="Default"/>
              <w:jc w:val="center"/>
              <w:rPr>
                <w:b/>
                <w:bCs/>
                <w:iCs/>
                <w:sz w:val="22"/>
                <w:szCs w:val="22"/>
              </w:rPr>
            </w:pPr>
            <w:r w:rsidRPr="0044255A">
              <w:rPr>
                <w:b/>
                <w:bCs/>
                <w:sz w:val="22"/>
                <w:szCs w:val="22"/>
              </w:rPr>
              <w:t xml:space="preserve">Štúdia </w:t>
            </w:r>
            <w:r w:rsidR="00E35B79" w:rsidRPr="0044255A">
              <w:rPr>
                <w:b/>
                <w:bCs/>
                <w:iCs/>
                <w:sz w:val="22"/>
                <w:szCs w:val="22"/>
              </w:rPr>
              <w:t> 4</w:t>
            </w:r>
          </w:p>
        </w:tc>
        <w:tc>
          <w:tcPr>
            <w:tcW w:w="1377" w:type="dxa"/>
            <w:shd w:val="clear" w:color="auto" w:fill="auto"/>
          </w:tcPr>
          <w:p w14:paraId="35E5043B" w14:textId="49ABB755" w:rsidR="00E35B79" w:rsidRPr="0044255A" w:rsidRDefault="00706A3E" w:rsidP="00706A3E">
            <w:pPr>
              <w:pStyle w:val="Default"/>
              <w:jc w:val="center"/>
              <w:rPr>
                <w:b/>
                <w:bCs/>
                <w:iCs/>
                <w:sz w:val="22"/>
                <w:szCs w:val="22"/>
              </w:rPr>
            </w:pPr>
            <w:r w:rsidRPr="0044255A">
              <w:rPr>
                <w:b/>
                <w:bCs/>
                <w:sz w:val="22"/>
                <w:szCs w:val="22"/>
              </w:rPr>
              <w:t>Štúdia</w:t>
            </w:r>
            <w:r w:rsidR="00E35B79" w:rsidRPr="0044255A">
              <w:rPr>
                <w:b/>
                <w:bCs/>
                <w:iCs/>
                <w:sz w:val="22"/>
                <w:szCs w:val="22"/>
              </w:rPr>
              <w:t> 3</w:t>
            </w:r>
          </w:p>
        </w:tc>
        <w:tc>
          <w:tcPr>
            <w:tcW w:w="2334" w:type="dxa"/>
            <w:gridSpan w:val="2"/>
            <w:shd w:val="clear" w:color="auto" w:fill="auto"/>
          </w:tcPr>
          <w:p w14:paraId="2DE02D24" w14:textId="69ADAE98" w:rsidR="00E35B79" w:rsidRPr="0044255A" w:rsidRDefault="00706A3E" w:rsidP="00706A3E">
            <w:pPr>
              <w:pStyle w:val="Default"/>
              <w:jc w:val="center"/>
              <w:rPr>
                <w:b/>
                <w:bCs/>
                <w:iCs/>
                <w:sz w:val="22"/>
                <w:szCs w:val="22"/>
              </w:rPr>
            </w:pPr>
            <w:r w:rsidRPr="0044255A">
              <w:rPr>
                <w:b/>
                <w:bCs/>
                <w:sz w:val="22"/>
                <w:szCs w:val="22"/>
              </w:rPr>
              <w:t xml:space="preserve">Štúdia </w:t>
            </w:r>
            <w:r w:rsidR="00E35B79" w:rsidRPr="0044255A">
              <w:rPr>
                <w:b/>
                <w:bCs/>
                <w:iCs/>
                <w:sz w:val="22"/>
                <w:szCs w:val="22"/>
              </w:rPr>
              <w:t>4</w:t>
            </w:r>
          </w:p>
        </w:tc>
      </w:tr>
      <w:tr w:rsidR="00E35B79" w:rsidRPr="001A02EA" w14:paraId="2B683C7A" w14:textId="77777777" w:rsidTr="00031E91">
        <w:tc>
          <w:tcPr>
            <w:tcW w:w="1668" w:type="dxa"/>
            <w:shd w:val="clear" w:color="auto" w:fill="auto"/>
          </w:tcPr>
          <w:p w14:paraId="6AB9D113" w14:textId="77777777" w:rsidR="002373E9" w:rsidRPr="0044255A" w:rsidRDefault="002373E9" w:rsidP="002373E9">
            <w:pPr>
              <w:pStyle w:val="Default"/>
              <w:rPr>
                <w:sz w:val="22"/>
                <w:szCs w:val="22"/>
              </w:rPr>
            </w:pPr>
            <w:r w:rsidRPr="0044255A">
              <w:rPr>
                <w:sz w:val="22"/>
                <w:szCs w:val="22"/>
              </w:rPr>
              <w:t xml:space="preserve">Pacientky začínajúce liečebný cyklus 2 alebo 4 </w:t>
            </w:r>
          </w:p>
          <w:p w14:paraId="3E71ED5B" w14:textId="578472CA" w:rsidR="00E35B79" w:rsidRPr="0044255A" w:rsidRDefault="00E35B79" w:rsidP="00031E91">
            <w:pPr>
              <w:rPr>
                <w:b/>
                <w:bCs/>
                <w:iCs/>
                <w:sz w:val="22"/>
                <w:szCs w:val="22"/>
              </w:rPr>
            </w:pPr>
          </w:p>
        </w:tc>
        <w:tc>
          <w:tcPr>
            <w:tcW w:w="1275" w:type="dxa"/>
            <w:shd w:val="clear" w:color="auto" w:fill="auto"/>
          </w:tcPr>
          <w:p w14:paraId="2C13556B" w14:textId="77777777" w:rsidR="002373E9" w:rsidRPr="0044255A" w:rsidRDefault="00E35B79" w:rsidP="00031E91">
            <w:pPr>
              <w:jc w:val="center"/>
              <w:rPr>
                <w:b/>
                <w:bCs/>
                <w:iCs/>
                <w:sz w:val="22"/>
                <w:szCs w:val="22"/>
              </w:rPr>
            </w:pPr>
            <w:r w:rsidRPr="0044255A">
              <w:rPr>
                <w:b/>
                <w:bCs/>
                <w:iCs/>
                <w:sz w:val="22"/>
                <w:szCs w:val="22"/>
              </w:rPr>
              <w:t>10 mg/</w:t>
            </w:r>
          </w:p>
          <w:p w14:paraId="33AB8B42" w14:textId="575BBB46" w:rsidR="00E35B79" w:rsidRPr="0044255A" w:rsidRDefault="002373E9" w:rsidP="002373E9">
            <w:pPr>
              <w:pStyle w:val="Default"/>
              <w:jc w:val="center"/>
              <w:rPr>
                <w:b/>
                <w:bCs/>
                <w:iCs/>
                <w:sz w:val="22"/>
                <w:szCs w:val="22"/>
              </w:rPr>
            </w:pPr>
            <w:r w:rsidRPr="0044255A">
              <w:rPr>
                <w:b/>
                <w:bCs/>
                <w:sz w:val="22"/>
                <w:szCs w:val="22"/>
              </w:rPr>
              <w:t>deň</w:t>
            </w:r>
          </w:p>
          <w:p w14:paraId="570A3C97" w14:textId="77777777" w:rsidR="00E35B79" w:rsidRPr="0044255A" w:rsidRDefault="00E35B79" w:rsidP="00031E91">
            <w:pPr>
              <w:jc w:val="center"/>
              <w:rPr>
                <w:bCs/>
                <w:iCs/>
                <w:sz w:val="22"/>
                <w:szCs w:val="22"/>
              </w:rPr>
            </w:pPr>
            <w:r w:rsidRPr="0044255A">
              <w:rPr>
                <w:bCs/>
                <w:iCs/>
                <w:sz w:val="22"/>
                <w:szCs w:val="22"/>
              </w:rPr>
              <w:t>N=132</w:t>
            </w:r>
          </w:p>
        </w:tc>
        <w:tc>
          <w:tcPr>
            <w:tcW w:w="1276" w:type="dxa"/>
            <w:shd w:val="clear" w:color="auto" w:fill="auto"/>
          </w:tcPr>
          <w:p w14:paraId="75D621BB" w14:textId="77777777" w:rsidR="002373E9" w:rsidRPr="0044255A" w:rsidRDefault="00E35B79" w:rsidP="00031E91">
            <w:pPr>
              <w:jc w:val="center"/>
              <w:rPr>
                <w:b/>
                <w:bCs/>
                <w:iCs/>
                <w:sz w:val="22"/>
                <w:szCs w:val="22"/>
              </w:rPr>
            </w:pPr>
            <w:r w:rsidRPr="0044255A">
              <w:rPr>
                <w:b/>
                <w:bCs/>
                <w:iCs/>
                <w:sz w:val="22"/>
                <w:szCs w:val="22"/>
              </w:rPr>
              <w:t>5 mg/</w:t>
            </w:r>
          </w:p>
          <w:p w14:paraId="3069D03D" w14:textId="77777777" w:rsidR="002373E9" w:rsidRPr="0044255A" w:rsidRDefault="002373E9" w:rsidP="002373E9">
            <w:pPr>
              <w:pStyle w:val="Default"/>
              <w:jc w:val="center"/>
              <w:rPr>
                <w:sz w:val="22"/>
                <w:szCs w:val="22"/>
              </w:rPr>
            </w:pPr>
            <w:r w:rsidRPr="0044255A">
              <w:rPr>
                <w:b/>
                <w:bCs/>
                <w:sz w:val="22"/>
                <w:szCs w:val="22"/>
              </w:rPr>
              <w:t xml:space="preserve">deň </w:t>
            </w:r>
          </w:p>
          <w:p w14:paraId="65E05C4C" w14:textId="77777777" w:rsidR="00E35B79" w:rsidRPr="0044255A" w:rsidRDefault="00E35B79" w:rsidP="00031E91">
            <w:pPr>
              <w:jc w:val="center"/>
              <w:rPr>
                <w:b/>
                <w:bCs/>
                <w:iCs/>
                <w:sz w:val="22"/>
                <w:szCs w:val="22"/>
              </w:rPr>
            </w:pPr>
            <w:r w:rsidRPr="0044255A">
              <w:rPr>
                <w:bCs/>
                <w:iCs/>
                <w:sz w:val="22"/>
                <w:szCs w:val="22"/>
              </w:rPr>
              <w:t>N=213</w:t>
            </w:r>
          </w:p>
        </w:tc>
        <w:tc>
          <w:tcPr>
            <w:tcW w:w="1357" w:type="dxa"/>
            <w:shd w:val="clear" w:color="auto" w:fill="auto"/>
          </w:tcPr>
          <w:p w14:paraId="5034025F" w14:textId="77777777" w:rsidR="002373E9" w:rsidRPr="0044255A" w:rsidRDefault="00E35B79" w:rsidP="00031E91">
            <w:pPr>
              <w:jc w:val="center"/>
              <w:rPr>
                <w:b/>
                <w:bCs/>
                <w:iCs/>
                <w:sz w:val="22"/>
                <w:szCs w:val="22"/>
              </w:rPr>
            </w:pPr>
            <w:r w:rsidRPr="0044255A">
              <w:rPr>
                <w:b/>
                <w:bCs/>
                <w:iCs/>
                <w:sz w:val="22"/>
                <w:szCs w:val="22"/>
              </w:rPr>
              <w:t>10 mg/</w:t>
            </w:r>
          </w:p>
          <w:p w14:paraId="6B41C312" w14:textId="752C4E0F" w:rsidR="00E35B79" w:rsidRPr="0044255A" w:rsidRDefault="002373E9" w:rsidP="002373E9">
            <w:pPr>
              <w:pStyle w:val="Default"/>
              <w:jc w:val="center"/>
              <w:rPr>
                <w:b/>
                <w:bCs/>
                <w:iCs/>
                <w:sz w:val="22"/>
                <w:szCs w:val="22"/>
              </w:rPr>
            </w:pPr>
            <w:r w:rsidRPr="0044255A">
              <w:rPr>
                <w:b/>
                <w:bCs/>
                <w:sz w:val="22"/>
                <w:szCs w:val="22"/>
              </w:rPr>
              <w:t xml:space="preserve">deň </w:t>
            </w:r>
          </w:p>
          <w:p w14:paraId="54E58638" w14:textId="77777777" w:rsidR="00E35B79" w:rsidRPr="0044255A" w:rsidRDefault="00E35B79" w:rsidP="00031E91">
            <w:pPr>
              <w:jc w:val="center"/>
              <w:rPr>
                <w:b/>
                <w:bCs/>
                <w:iCs/>
                <w:sz w:val="22"/>
                <w:szCs w:val="22"/>
              </w:rPr>
            </w:pPr>
            <w:r w:rsidRPr="0044255A">
              <w:rPr>
                <w:bCs/>
                <w:iCs/>
                <w:sz w:val="22"/>
                <w:szCs w:val="22"/>
              </w:rPr>
              <w:t>N=207</w:t>
            </w:r>
          </w:p>
        </w:tc>
        <w:tc>
          <w:tcPr>
            <w:tcW w:w="1377" w:type="dxa"/>
            <w:shd w:val="clear" w:color="auto" w:fill="auto"/>
          </w:tcPr>
          <w:p w14:paraId="3789AEA1" w14:textId="77777777" w:rsidR="002373E9" w:rsidRPr="0044255A" w:rsidRDefault="00E35B79" w:rsidP="00031E91">
            <w:pPr>
              <w:jc w:val="center"/>
              <w:rPr>
                <w:b/>
                <w:bCs/>
                <w:iCs/>
                <w:sz w:val="22"/>
                <w:szCs w:val="22"/>
              </w:rPr>
            </w:pPr>
            <w:r w:rsidRPr="0044255A">
              <w:rPr>
                <w:b/>
                <w:bCs/>
                <w:iCs/>
                <w:sz w:val="22"/>
                <w:szCs w:val="22"/>
              </w:rPr>
              <w:t>10 mg/</w:t>
            </w:r>
          </w:p>
          <w:p w14:paraId="045AF5C7" w14:textId="21C6B3CA" w:rsidR="00E35B79" w:rsidRPr="0044255A" w:rsidRDefault="002373E9" w:rsidP="002373E9">
            <w:pPr>
              <w:pStyle w:val="Default"/>
              <w:jc w:val="center"/>
              <w:rPr>
                <w:b/>
                <w:bCs/>
                <w:iCs/>
                <w:sz w:val="22"/>
                <w:szCs w:val="22"/>
              </w:rPr>
            </w:pPr>
            <w:r w:rsidRPr="0044255A">
              <w:rPr>
                <w:b/>
                <w:bCs/>
                <w:sz w:val="22"/>
                <w:szCs w:val="22"/>
              </w:rPr>
              <w:t>deň</w:t>
            </w:r>
          </w:p>
          <w:p w14:paraId="30938832" w14:textId="77777777" w:rsidR="00E35B79" w:rsidRPr="0044255A" w:rsidRDefault="00E35B79" w:rsidP="00031E91">
            <w:pPr>
              <w:jc w:val="center"/>
              <w:rPr>
                <w:b/>
                <w:bCs/>
                <w:iCs/>
                <w:sz w:val="22"/>
                <w:szCs w:val="22"/>
              </w:rPr>
            </w:pPr>
            <w:r w:rsidRPr="0044255A">
              <w:rPr>
                <w:bCs/>
                <w:iCs/>
                <w:sz w:val="22"/>
                <w:szCs w:val="22"/>
              </w:rPr>
              <w:t>N=107</w:t>
            </w:r>
          </w:p>
        </w:tc>
        <w:tc>
          <w:tcPr>
            <w:tcW w:w="1118" w:type="dxa"/>
            <w:shd w:val="clear" w:color="auto" w:fill="auto"/>
          </w:tcPr>
          <w:p w14:paraId="11A8BF40" w14:textId="77777777" w:rsidR="002373E9" w:rsidRPr="0044255A" w:rsidRDefault="00E35B79" w:rsidP="00031E91">
            <w:pPr>
              <w:jc w:val="center"/>
              <w:rPr>
                <w:b/>
                <w:bCs/>
                <w:iCs/>
                <w:sz w:val="22"/>
                <w:szCs w:val="22"/>
              </w:rPr>
            </w:pPr>
            <w:r w:rsidRPr="0044255A">
              <w:rPr>
                <w:b/>
                <w:bCs/>
                <w:iCs/>
                <w:sz w:val="22"/>
                <w:szCs w:val="22"/>
              </w:rPr>
              <w:t>5 mg/</w:t>
            </w:r>
          </w:p>
          <w:p w14:paraId="26DCA2C8" w14:textId="1F11091B" w:rsidR="00E35B79" w:rsidRPr="0044255A" w:rsidRDefault="002373E9" w:rsidP="002373E9">
            <w:pPr>
              <w:pStyle w:val="Default"/>
              <w:jc w:val="center"/>
              <w:rPr>
                <w:b/>
                <w:bCs/>
                <w:iCs/>
                <w:sz w:val="22"/>
                <w:szCs w:val="22"/>
              </w:rPr>
            </w:pPr>
            <w:r w:rsidRPr="0044255A">
              <w:rPr>
                <w:b/>
                <w:bCs/>
                <w:sz w:val="22"/>
                <w:szCs w:val="22"/>
              </w:rPr>
              <w:t>deň</w:t>
            </w:r>
          </w:p>
          <w:p w14:paraId="795DAA78" w14:textId="77777777" w:rsidR="00E35B79" w:rsidRPr="0044255A" w:rsidRDefault="00E35B79" w:rsidP="00031E91">
            <w:pPr>
              <w:jc w:val="center"/>
              <w:rPr>
                <w:b/>
                <w:bCs/>
                <w:iCs/>
                <w:sz w:val="22"/>
                <w:szCs w:val="22"/>
              </w:rPr>
            </w:pPr>
            <w:r w:rsidRPr="0044255A">
              <w:rPr>
                <w:bCs/>
                <w:iCs/>
                <w:sz w:val="22"/>
                <w:szCs w:val="22"/>
              </w:rPr>
              <w:t>N=178</w:t>
            </w:r>
          </w:p>
        </w:tc>
        <w:tc>
          <w:tcPr>
            <w:tcW w:w="1216" w:type="dxa"/>
            <w:shd w:val="clear" w:color="auto" w:fill="auto"/>
          </w:tcPr>
          <w:p w14:paraId="5DC62C0A" w14:textId="77777777" w:rsidR="002373E9" w:rsidRPr="0044255A" w:rsidRDefault="00E35B79" w:rsidP="00031E91">
            <w:pPr>
              <w:jc w:val="center"/>
              <w:rPr>
                <w:b/>
                <w:bCs/>
                <w:iCs/>
                <w:sz w:val="22"/>
                <w:szCs w:val="22"/>
              </w:rPr>
            </w:pPr>
            <w:r w:rsidRPr="0044255A">
              <w:rPr>
                <w:b/>
                <w:bCs/>
                <w:iCs/>
                <w:sz w:val="22"/>
                <w:szCs w:val="22"/>
              </w:rPr>
              <w:t>10 mg/</w:t>
            </w:r>
          </w:p>
          <w:p w14:paraId="1961B94E" w14:textId="1C0D9060" w:rsidR="00E35B79" w:rsidRPr="0044255A" w:rsidRDefault="002373E9" w:rsidP="002373E9">
            <w:pPr>
              <w:pStyle w:val="Default"/>
              <w:jc w:val="center"/>
              <w:rPr>
                <w:b/>
                <w:bCs/>
                <w:iCs/>
                <w:sz w:val="22"/>
                <w:szCs w:val="22"/>
              </w:rPr>
            </w:pPr>
            <w:r w:rsidRPr="0044255A">
              <w:rPr>
                <w:b/>
                <w:bCs/>
                <w:sz w:val="22"/>
                <w:szCs w:val="22"/>
              </w:rPr>
              <w:t>deň</w:t>
            </w:r>
          </w:p>
          <w:p w14:paraId="550E949D" w14:textId="77777777" w:rsidR="00E35B79" w:rsidRPr="0044255A" w:rsidRDefault="00E35B79" w:rsidP="00031E91">
            <w:pPr>
              <w:jc w:val="center"/>
              <w:rPr>
                <w:b/>
                <w:bCs/>
                <w:iCs/>
                <w:sz w:val="22"/>
                <w:szCs w:val="22"/>
              </w:rPr>
            </w:pPr>
            <w:r w:rsidRPr="0044255A">
              <w:rPr>
                <w:bCs/>
                <w:iCs/>
                <w:sz w:val="22"/>
                <w:szCs w:val="22"/>
              </w:rPr>
              <w:t>N=176</w:t>
            </w:r>
          </w:p>
        </w:tc>
      </w:tr>
      <w:tr w:rsidR="00E35B79" w:rsidRPr="001A02EA" w14:paraId="0C6E5806" w14:textId="77777777" w:rsidTr="00031E91">
        <w:tc>
          <w:tcPr>
            <w:tcW w:w="1668" w:type="dxa"/>
            <w:vMerge w:val="restart"/>
            <w:shd w:val="clear" w:color="auto" w:fill="auto"/>
          </w:tcPr>
          <w:p w14:paraId="5E4C2CCB" w14:textId="77777777" w:rsidR="002373E9" w:rsidRPr="0044255A" w:rsidRDefault="002373E9" w:rsidP="002373E9">
            <w:pPr>
              <w:pStyle w:val="Default"/>
              <w:rPr>
                <w:sz w:val="22"/>
                <w:szCs w:val="22"/>
              </w:rPr>
            </w:pPr>
            <w:r w:rsidRPr="0044255A">
              <w:rPr>
                <w:sz w:val="22"/>
                <w:szCs w:val="22"/>
              </w:rPr>
              <w:t xml:space="preserve">Pacientky v </w:t>
            </w:r>
            <w:r w:rsidRPr="0044255A">
              <w:rPr>
                <w:b/>
                <w:bCs/>
                <w:sz w:val="22"/>
                <w:szCs w:val="22"/>
              </w:rPr>
              <w:t>amenoree</w:t>
            </w:r>
            <w:r w:rsidRPr="0044255A">
              <w:rPr>
                <w:sz w:val="22"/>
                <w:szCs w:val="22"/>
                <w:vertAlign w:val="superscript"/>
              </w:rPr>
              <w:t xml:space="preserve">b,c </w:t>
            </w:r>
          </w:p>
          <w:p w14:paraId="58E4EE4F" w14:textId="3C31E303" w:rsidR="00E35B79" w:rsidRPr="0044255A" w:rsidRDefault="00E35B79" w:rsidP="00031E91">
            <w:pPr>
              <w:rPr>
                <w:bCs/>
                <w:iCs/>
                <w:sz w:val="22"/>
                <w:szCs w:val="22"/>
                <w:vertAlign w:val="superscript"/>
              </w:rPr>
            </w:pPr>
          </w:p>
        </w:tc>
        <w:tc>
          <w:tcPr>
            <w:tcW w:w="1275" w:type="dxa"/>
            <w:shd w:val="clear" w:color="auto" w:fill="auto"/>
          </w:tcPr>
          <w:p w14:paraId="61972C4E" w14:textId="77777777" w:rsidR="00E35B79" w:rsidRPr="0044255A" w:rsidRDefault="00E35B79" w:rsidP="00031E91">
            <w:pPr>
              <w:jc w:val="center"/>
              <w:rPr>
                <w:bCs/>
                <w:iCs/>
                <w:sz w:val="22"/>
                <w:szCs w:val="22"/>
              </w:rPr>
            </w:pPr>
            <w:r w:rsidRPr="0044255A">
              <w:rPr>
                <w:bCs/>
                <w:iCs/>
                <w:sz w:val="22"/>
                <w:szCs w:val="22"/>
              </w:rPr>
              <w:t>N=131</w:t>
            </w:r>
          </w:p>
        </w:tc>
        <w:tc>
          <w:tcPr>
            <w:tcW w:w="1276" w:type="dxa"/>
            <w:shd w:val="clear" w:color="auto" w:fill="auto"/>
          </w:tcPr>
          <w:p w14:paraId="7F8BA3D8" w14:textId="77777777" w:rsidR="00E35B79" w:rsidRPr="0044255A" w:rsidRDefault="00E35B79" w:rsidP="00031E91">
            <w:pPr>
              <w:jc w:val="center"/>
              <w:rPr>
                <w:b/>
                <w:bCs/>
                <w:iCs/>
                <w:sz w:val="22"/>
                <w:szCs w:val="22"/>
              </w:rPr>
            </w:pPr>
            <w:r w:rsidRPr="0044255A">
              <w:rPr>
                <w:bCs/>
                <w:iCs/>
                <w:sz w:val="22"/>
                <w:szCs w:val="22"/>
              </w:rPr>
              <w:t>N=205</w:t>
            </w:r>
          </w:p>
        </w:tc>
        <w:tc>
          <w:tcPr>
            <w:tcW w:w="1357" w:type="dxa"/>
            <w:shd w:val="clear" w:color="auto" w:fill="auto"/>
          </w:tcPr>
          <w:p w14:paraId="2B198ACF" w14:textId="77777777" w:rsidR="00E35B79" w:rsidRPr="0044255A" w:rsidRDefault="00E35B79" w:rsidP="00031E91">
            <w:pPr>
              <w:jc w:val="center"/>
              <w:rPr>
                <w:b/>
                <w:bCs/>
                <w:iCs/>
                <w:sz w:val="22"/>
                <w:szCs w:val="22"/>
              </w:rPr>
            </w:pPr>
            <w:r w:rsidRPr="0044255A">
              <w:rPr>
                <w:bCs/>
                <w:iCs/>
                <w:sz w:val="22"/>
                <w:szCs w:val="22"/>
              </w:rPr>
              <w:t>N=197</w:t>
            </w:r>
          </w:p>
        </w:tc>
        <w:tc>
          <w:tcPr>
            <w:tcW w:w="1377" w:type="dxa"/>
            <w:shd w:val="clear" w:color="auto" w:fill="auto"/>
          </w:tcPr>
          <w:p w14:paraId="0DEEEC10" w14:textId="77777777" w:rsidR="00E35B79" w:rsidRPr="0044255A" w:rsidRDefault="00E35B79" w:rsidP="00031E91">
            <w:pPr>
              <w:jc w:val="center"/>
              <w:rPr>
                <w:bCs/>
                <w:iCs/>
                <w:sz w:val="22"/>
                <w:szCs w:val="22"/>
              </w:rPr>
            </w:pPr>
            <w:r w:rsidRPr="0044255A">
              <w:rPr>
                <w:bCs/>
                <w:iCs/>
                <w:sz w:val="22"/>
                <w:szCs w:val="22"/>
              </w:rPr>
              <w:t>N=107</w:t>
            </w:r>
          </w:p>
        </w:tc>
        <w:tc>
          <w:tcPr>
            <w:tcW w:w="1118" w:type="dxa"/>
            <w:shd w:val="clear" w:color="auto" w:fill="auto"/>
          </w:tcPr>
          <w:p w14:paraId="21E2D285" w14:textId="77777777" w:rsidR="00E35B79" w:rsidRPr="0044255A" w:rsidRDefault="00E35B79" w:rsidP="00031E91">
            <w:pPr>
              <w:jc w:val="center"/>
              <w:rPr>
                <w:bCs/>
                <w:iCs/>
                <w:sz w:val="22"/>
                <w:szCs w:val="22"/>
              </w:rPr>
            </w:pPr>
            <w:r w:rsidRPr="0044255A">
              <w:rPr>
                <w:bCs/>
                <w:iCs/>
                <w:sz w:val="22"/>
                <w:szCs w:val="22"/>
              </w:rPr>
              <w:t>N=227</w:t>
            </w:r>
          </w:p>
        </w:tc>
        <w:tc>
          <w:tcPr>
            <w:tcW w:w="1216" w:type="dxa"/>
            <w:shd w:val="clear" w:color="auto" w:fill="auto"/>
          </w:tcPr>
          <w:p w14:paraId="15B2EE58" w14:textId="77777777" w:rsidR="00E35B79" w:rsidRPr="0044255A" w:rsidRDefault="00E35B79" w:rsidP="00031E91">
            <w:pPr>
              <w:jc w:val="center"/>
              <w:rPr>
                <w:bCs/>
                <w:iCs/>
                <w:sz w:val="22"/>
                <w:szCs w:val="22"/>
              </w:rPr>
            </w:pPr>
            <w:r w:rsidRPr="0044255A">
              <w:rPr>
                <w:bCs/>
                <w:iCs/>
                <w:sz w:val="22"/>
                <w:szCs w:val="22"/>
              </w:rPr>
              <w:t>N=220</w:t>
            </w:r>
          </w:p>
        </w:tc>
      </w:tr>
      <w:tr w:rsidR="00E35B79" w:rsidRPr="001A02EA" w14:paraId="73D99186" w14:textId="77777777" w:rsidTr="00031E91">
        <w:tc>
          <w:tcPr>
            <w:tcW w:w="1668" w:type="dxa"/>
            <w:vMerge/>
            <w:shd w:val="clear" w:color="auto" w:fill="auto"/>
          </w:tcPr>
          <w:p w14:paraId="00339E8C" w14:textId="77777777" w:rsidR="00E35B79" w:rsidRPr="0044255A" w:rsidRDefault="00E35B79" w:rsidP="00031E91">
            <w:pPr>
              <w:rPr>
                <w:bCs/>
                <w:iCs/>
                <w:sz w:val="22"/>
                <w:szCs w:val="22"/>
              </w:rPr>
            </w:pPr>
          </w:p>
        </w:tc>
        <w:tc>
          <w:tcPr>
            <w:tcW w:w="1275" w:type="dxa"/>
            <w:shd w:val="clear" w:color="auto" w:fill="auto"/>
          </w:tcPr>
          <w:p w14:paraId="57561575" w14:textId="77777777" w:rsidR="00E35B79" w:rsidRPr="0044255A" w:rsidRDefault="00E35B79" w:rsidP="00031E91">
            <w:pPr>
              <w:jc w:val="center"/>
              <w:rPr>
                <w:bCs/>
                <w:iCs/>
                <w:sz w:val="22"/>
                <w:szCs w:val="22"/>
              </w:rPr>
            </w:pPr>
            <w:r w:rsidRPr="0044255A">
              <w:rPr>
                <w:bCs/>
                <w:iCs/>
                <w:sz w:val="22"/>
                <w:szCs w:val="22"/>
              </w:rPr>
              <w:t>116</w:t>
            </w:r>
          </w:p>
          <w:p w14:paraId="1C8216FA" w14:textId="672E81BE" w:rsidR="00E35B79" w:rsidRPr="0044255A" w:rsidRDefault="00E35B79" w:rsidP="00031E91">
            <w:pPr>
              <w:jc w:val="center"/>
              <w:rPr>
                <w:bCs/>
                <w:iCs/>
                <w:sz w:val="22"/>
                <w:szCs w:val="22"/>
              </w:rPr>
            </w:pPr>
            <w:r w:rsidRPr="0044255A">
              <w:rPr>
                <w:bCs/>
                <w:iCs/>
                <w:sz w:val="22"/>
                <w:szCs w:val="22"/>
              </w:rPr>
              <w:t>(88</w:t>
            </w:r>
            <w:r w:rsidR="0044255A">
              <w:rPr>
                <w:bCs/>
                <w:iCs/>
                <w:sz w:val="22"/>
                <w:szCs w:val="22"/>
              </w:rPr>
              <w:t>,</w:t>
            </w:r>
            <w:r w:rsidRPr="0044255A">
              <w:rPr>
                <w:bCs/>
                <w:iCs/>
                <w:sz w:val="22"/>
                <w:szCs w:val="22"/>
              </w:rPr>
              <w:t>5%)</w:t>
            </w:r>
          </w:p>
        </w:tc>
        <w:tc>
          <w:tcPr>
            <w:tcW w:w="1276" w:type="dxa"/>
            <w:shd w:val="clear" w:color="auto" w:fill="auto"/>
          </w:tcPr>
          <w:p w14:paraId="45B84525" w14:textId="77777777" w:rsidR="00E35B79" w:rsidRPr="0044255A" w:rsidRDefault="00E35B79" w:rsidP="00031E91">
            <w:pPr>
              <w:jc w:val="center"/>
              <w:rPr>
                <w:bCs/>
                <w:iCs/>
                <w:sz w:val="22"/>
                <w:szCs w:val="22"/>
              </w:rPr>
            </w:pPr>
            <w:r w:rsidRPr="0044255A">
              <w:rPr>
                <w:bCs/>
                <w:iCs/>
                <w:sz w:val="22"/>
                <w:szCs w:val="22"/>
              </w:rPr>
              <w:t>152</w:t>
            </w:r>
          </w:p>
          <w:p w14:paraId="49416B7E" w14:textId="352DEB29" w:rsidR="00E35B79" w:rsidRPr="0044255A" w:rsidRDefault="00E35B79" w:rsidP="00031E91">
            <w:pPr>
              <w:jc w:val="center"/>
              <w:rPr>
                <w:bCs/>
                <w:iCs/>
                <w:sz w:val="22"/>
                <w:szCs w:val="22"/>
              </w:rPr>
            </w:pPr>
            <w:r w:rsidRPr="0044255A">
              <w:rPr>
                <w:bCs/>
                <w:iCs/>
                <w:sz w:val="22"/>
                <w:szCs w:val="22"/>
              </w:rPr>
              <w:t>(74</w:t>
            </w:r>
            <w:r w:rsidR="0044255A">
              <w:rPr>
                <w:bCs/>
                <w:iCs/>
                <w:sz w:val="22"/>
                <w:szCs w:val="22"/>
              </w:rPr>
              <w:t>,</w:t>
            </w:r>
            <w:r w:rsidRPr="0044255A">
              <w:rPr>
                <w:bCs/>
                <w:iCs/>
                <w:sz w:val="22"/>
                <w:szCs w:val="22"/>
              </w:rPr>
              <w:t>1%)</w:t>
            </w:r>
          </w:p>
        </w:tc>
        <w:tc>
          <w:tcPr>
            <w:tcW w:w="1357" w:type="dxa"/>
            <w:shd w:val="clear" w:color="auto" w:fill="auto"/>
          </w:tcPr>
          <w:p w14:paraId="6DC58C73" w14:textId="77777777" w:rsidR="00E35B79" w:rsidRPr="0044255A" w:rsidRDefault="00E35B79" w:rsidP="00031E91">
            <w:pPr>
              <w:jc w:val="center"/>
              <w:rPr>
                <w:bCs/>
                <w:iCs/>
                <w:sz w:val="22"/>
                <w:szCs w:val="22"/>
              </w:rPr>
            </w:pPr>
            <w:r w:rsidRPr="0044255A">
              <w:rPr>
                <w:bCs/>
                <w:iCs/>
                <w:sz w:val="22"/>
                <w:szCs w:val="22"/>
              </w:rPr>
              <w:t>162</w:t>
            </w:r>
          </w:p>
          <w:p w14:paraId="4EAA0326" w14:textId="409D37F8" w:rsidR="00E35B79" w:rsidRPr="0044255A" w:rsidRDefault="00E35B79" w:rsidP="00031E91">
            <w:pPr>
              <w:jc w:val="center"/>
              <w:rPr>
                <w:bCs/>
                <w:iCs/>
                <w:sz w:val="22"/>
                <w:szCs w:val="22"/>
              </w:rPr>
            </w:pPr>
            <w:r w:rsidRPr="0044255A">
              <w:rPr>
                <w:bCs/>
                <w:iCs/>
                <w:sz w:val="22"/>
                <w:szCs w:val="22"/>
              </w:rPr>
              <w:t>(82</w:t>
            </w:r>
            <w:r w:rsidR="0044255A">
              <w:rPr>
                <w:bCs/>
                <w:iCs/>
                <w:sz w:val="22"/>
                <w:szCs w:val="22"/>
              </w:rPr>
              <w:t>,</w:t>
            </w:r>
            <w:r w:rsidRPr="0044255A">
              <w:rPr>
                <w:bCs/>
                <w:iCs/>
                <w:sz w:val="22"/>
                <w:szCs w:val="22"/>
              </w:rPr>
              <w:t>2%)</w:t>
            </w:r>
          </w:p>
        </w:tc>
        <w:tc>
          <w:tcPr>
            <w:tcW w:w="1377" w:type="dxa"/>
            <w:shd w:val="clear" w:color="auto" w:fill="auto"/>
          </w:tcPr>
          <w:p w14:paraId="6B47ADE1" w14:textId="77777777" w:rsidR="00E35B79" w:rsidRPr="0044255A" w:rsidRDefault="00E35B79" w:rsidP="00031E91">
            <w:pPr>
              <w:jc w:val="center"/>
              <w:rPr>
                <w:bCs/>
                <w:iCs/>
                <w:sz w:val="22"/>
                <w:szCs w:val="22"/>
              </w:rPr>
            </w:pPr>
            <w:r w:rsidRPr="0044255A">
              <w:rPr>
                <w:bCs/>
                <w:iCs/>
                <w:sz w:val="22"/>
                <w:szCs w:val="22"/>
              </w:rPr>
              <w:t>96</w:t>
            </w:r>
          </w:p>
          <w:p w14:paraId="37E69237" w14:textId="3C2147CB" w:rsidR="00E35B79" w:rsidRPr="0044255A" w:rsidRDefault="00E35B79" w:rsidP="00031E91">
            <w:pPr>
              <w:jc w:val="center"/>
              <w:rPr>
                <w:bCs/>
                <w:iCs/>
                <w:sz w:val="22"/>
                <w:szCs w:val="22"/>
              </w:rPr>
            </w:pPr>
            <w:r w:rsidRPr="0044255A">
              <w:rPr>
                <w:bCs/>
                <w:iCs/>
                <w:sz w:val="22"/>
                <w:szCs w:val="22"/>
              </w:rPr>
              <w:t>(89</w:t>
            </w:r>
            <w:r w:rsidR="0044255A">
              <w:rPr>
                <w:bCs/>
                <w:iCs/>
                <w:sz w:val="22"/>
                <w:szCs w:val="22"/>
              </w:rPr>
              <w:t>,</w:t>
            </w:r>
            <w:r w:rsidRPr="0044255A">
              <w:rPr>
                <w:bCs/>
                <w:iCs/>
                <w:sz w:val="22"/>
                <w:szCs w:val="22"/>
              </w:rPr>
              <w:t>7%)</w:t>
            </w:r>
          </w:p>
        </w:tc>
        <w:tc>
          <w:tcPr>
            <w:tcW w:w="1118" w:type="dxa"/>
            <w:shd w:val="clear" w:color="auto" w:fill="auto"/>
          </w:tcPr>
          <w:p w14:paraId="23841D07" w14:textId="77777777" w:rsidR="00E35B79" w:rsidRPr="0044255A" w:rsidRDefault="00E35B79" w:rsidP="00031E91">
            <w:pPr>
              <w:jc w:val="center"/>
              <w:rPr>
                <w:bCs/>
                <w:iCs/>
                <w:sz w:val="22"/>
                <w:szCs w:val="22"/>
              </w:rPr>
            </w:pPr>
            <w:r w:rsidRPr="0044255A">
              <w:rPr>
                <w:bCs/>
                <w:iCs/>
                <w:sz w:val="22"/>
                <w:szCs w:val="22"/>
              </w:rPr>
              <w:t>158</w:t>
            </w:r>
          </w:p>
          <w:p w14:paraId="1E5A4F3D" w14:textId="268E1D33" w:rsidR="00E35B79" w:rsidRPr="0044255A" w:rsidRDefault="00E35B79" w:rsidP="00031E91">
            <w:pPr>
              <w:jc w:val="center"/>
              <w:rPr>
                <w:bCs/>
                <w:iCs/>
                <w:sz w:val="22"/>
                <w:szCs w:val="22"/>
              </w:rPr>
            </w:pPr>
            <w:r w:rsidRPr="0044255A">
              <w:rPr>
                <w:bCs/>
                <w:iCs/>
                <w:sz w:val="22"/>
                <w:szCs w:val="22"/>
              </w:rPr>
              <w:t>(69</w:t>
            </w:r>
            <w:r w:rsidR="0044255A">
              <w:rPr>
                <w:bCs/>
                <w:iCs/>
                <w:sz w:val="22"/>
                <w:szCs w:val="22"/>
              </w:rPr>
              <w:t>,</w:t>
            </w:r>
            <w:r w:rsidRPr="0044255A">
              <w:rPr>
                <w:bCs/>
                <w:iCs/>
                <w:sz w:val="22"/>
                <w:szCs w:val="22"/>
              </w:rPr>
              <w:t>6%)</w:t>
            </w:r>
          </w:p>
        </w:tc>
        <w:tc>
          <w:tcPr>
            <w:tcW w:w="1216" w:type="dxa"/>
            <w:shd w:val="clear" w:color="auto" w:fill="auto"/>
          </w:tcPr>
          <w:p w14:paraId="099EABC2" w14:textId="77777777" w:rsidR="00E35B79" w:rsidRPr="0044255A" w:rsidRDefault="00E35B79" w:rsidP="00031E91">
            <w:pPr>
              <w:jc w:val="center"/>
              <w:rPr>
                <w:bCs/>
                <w:iCs/>
                <w:sz w:val="22"/>
                <w:szCs w:val="22"/>
              </w:rPr>
            </w:pPr>
            <w:r w:rsidRPr="0044255A">
              <w:rPr>
                <w:bCs/>
                <w:iCs/>
                <w:sz w:val="22"/>
                <w:szCs w:val="22"/>
              </w:rPr>
              <w:t>164</w:t>
            </w:r>
          </w:p>
          <w:p w14:paraId="272FE7BA" w14:textId="4F5E3CE8" w:rsidR="00E35B79" w:rsidRPr="0044255A" w:rsidRDefault="00E35B79" w:rsidP="00031E91">
            <w:pPr>
              <w:jc w:val="center"/>
              <w:rPr>
                <w:bCs/>
                <w:iCs/>
                <w:sz w:val="22"/>
                <w:szCs w:val="22"/>
              </w:rPr>
            </w:pPr>
            <w:r w:rsidRPr="0044255A">
              <w:rPr>
                <w:bCs/>
                <w:iCs/>
                <w:sz w:val="22"/>
                <w:szCs w:val="22"/>
              </w:rPr>
              <w:t>(74</w:t>
            </w:r>
            <w:r w:rsidR="0044255A">
              <w:rPr>
                <w:bCs/>
                <w:iCs/>
                <w:sz w:val="22"/>
                <w:szCs w:val="22"/>
              </w:rPr>
              <w:t>,</w:t>
            </w:r>
            <w:r w:rsidRPr="0044255A">
              <w:rPr>
                <w:bCs/>
                <w:iCs/>
                <w:sz w:val="22"/>
                <w:szCs w:val="22"/>
              </w:rPr>
              <w:t>5%)</w:t>
            </w:r>
          </w:p>
        </w:tc>
      </w:tr>
      <w:tr w:rsidR="00E35B79" w:rsidRPr="001A02EA" w14:paraId="0F4250A0" w14:textId="77777777" w:rsidTr="00031E91">
        <w:tc>
          <w:tcPr>
            <w:tcW w:w="1668" w:type="dxa"/>
            <w:vMerge w:val="restart"/>
            <w:shd w:val="clear" w:color="auto" w:fill="auto"/>
          </w:tcPr>
          <w:p w14:paraId="56448E2A" w14:textId="77777777" w:rsidR="0044255A" w:rsidRPr="0044255A" w:rsidRDefault="0044255A" w:rsidP="0044255A">
            <w:pPr>
              <w:pStyle w:val="Default"/>
              <w:rPr>
                <w:sz w:val="22"/>
                <w:szCs w:val="22"/>
              </w:rPr>
            </w:pPr>
            <w:r w:rsidRPr="0044255A">
              <w:rPr>
                <w:sz w:val="22"/>
                <w:szCs w:val="22"/>
              </w:rPr>
              <w:t xml:space="preserve">Pacientky s </w:t>
            </w:r>
            <w:r w:rsidRPr="0044255A">
              <w:rPr>
                <w:b/>
                <w:bCs/>
                <w:sz w:val="22"/>
                <w:szCs w:val="22"/>
              </w:rPr>
              <w:t>kontrolovaným krvácaním</w:t>
            </w:r>
            <w:r w:rsidRPr="0044255A">
              <w:rPr>
                <w:sz w:val="22"/>
                <w:szCs w:val="22"/>
                <w:vertAlign w:val="superscript"/>
              </w:rPr>
              <w:t xml:space="preserve">b,c, d </w:t>
            </w:r>
          </w:p>
          <w:p w14:paraId="7CB0C267" w14:textId="534FE467" w:rsidR="00E35B79" w:rsidRPr="0044255A" w:rsidRDefault="00E35B79" w:rsidP="00031E91">
            <w:pPr>
              <w:rPr>
                <w:bCs/>
                <w:iCs/>
                <w:sz w:val="22"/>
                <w:szCs w:val="22"/>
                <w:vertAlign w:val="superscript"/>
              </w:rPr>
            </w:pPr>
          </w:p>
        </w:tc>
        <w:tc>
          <w:tcPr>
            <w:tcW w:w="1275" w:type="dxa"/>
            <w:vMerge w:val="restart"/>
            <w:shd w:val="clear" w:color="auto" w:fill="auto"/>
          </w:tcPr>
          <w:p w14:paraId="241EEC05" w14:textId="77777777" w:rsidR="00E35B79" w:rsidRPr="0044255A" w:rsidRDefault="00E35B79" w:rsidP="00031E91">
            <w:pPr>
              <w:jc w:val="center"/>
              <w:rPr>
                <w:bCs/>
                <w:iCs/>
                <w:sz w:val="22"/>
                <w:szCs w:val="22"/>
              </w:rPr>
            </w:pPr>
            <w:r w:rsidRPr="0044255A">
              <w:rPr>
                <w:bCs/>
                <w:iCs/>
                <w:sz w:val="22"/>
                <w:szCs w:val="22"/>
              </w:rPr>
              <w:t>NA</w:t>
            </w:r>
          </w:p>
        </w:tc>
        <w:tc>
          <w:tcPr>
            <w:tcW w:w="1276" w:type="dxa"/>
            <w:shd w:val="clear" w:color="auto" w:fill="auto"/>
            <w:vAlign w:val="center"/>
          </w:tcPr>
          <w:p w14:paraId="5151465F" w14:textId="77777777" w:rsidR="00E35B79" w:rsidRPr="0044255A" w:rsidRDefault="00E35B79" w:rsidP="00031E91">
            <w:pPr>
              <w:jc w:val="center"/>
              <w:rPr>
                <w:b/>
                <w:bCs/>
                <w:iCs/>
                <w:sz w:val="22"/>
                <w:szCs w:val="22"/>
              </w:rPr>
            </w:pPr>
            <w:r w:rsidRPr="0044255A">
              <w:rPr>
                <w:bCs/>
                <w:iCs/>
                <w:sz w:val="22"/>
                <w:szCs w:val="22"/>
              </w:rPr>
              <w:t>N=199</w:t>
            </w:r>
          </w:p>
        </w:tc>
        <w:tc>
          <w:tcPr>
            <w:tcW w:w="1357" w:type="dxa"/>
            <w:shd w:val="clear" w:color="auto" w:fill="auto"/>
            <w:vAlign w:val="center"/>
          </w:tcPr>
          <w:p w14:paraId="36057A16" w14:textId="77777777" w:rsidR="00E35B79" w:rsidRPr="0044255A" w:rsidRDefault="00E35B79" w:rsidP="00031E91">
            <w:pPr>
              <w:jc w:val="center"/>
              <w:rPr>
                <w:b/>
                <w:bCs/>
                <w:iCs/>
                <w:sz w:val="22"/>
                <w:szCs w:val="22"/>
              </w:rPr>
            </w:pPr>
            <w:r w:rsidRPr="0044255A">
              <w:rPr>
                <w:bCs/>
                <w:iCs/>
                <w:sz w:val="22"/>
                <w:szCs w:val="22"/>
              </w:rPr>
              <w:t>N=191</w:t>
            </w:r>
          </w:p>
        </w:tc>
        <w:tc>
          <w:tcPr>
            <w:tcW w:w="1377" w:type="dxa"/>
            <w:vMerge w:val="restart"/>
            <w:shd w:val="clear" w:color="auto" w:fill="auto"/>
          </w:tcPr>
          <w:p w14:paraId="0B297417" w14:textId="77777777" w:rsidR="00E35B79" w:rsidRPr="0044255A" w:rsidRDefault="00E35B79" w:rsidP="00031E91">
            <w:pPr>
              <w:jc w:val="center"/>
              <w:rPr>
                <w:bCs/>
                <w:iCs/>
                <w:sz w:val="22"/>
                <w:szCs w:val="22"/>
              </w:rPr>
            </w:pPr>
            <w:r w:rsidRPr="0044255A">
              <w:rPr>
                <w:bCs/>
                <w:iCs/>
                <w:sz w:val="22"/>
                <w:szCs w:val="22"/>
              </w:rPr>
              <w:t>NA</w:t>
            </w:r>
          </w:p>
        </w:tc>
        <w:tc>
          <w:tcPr>
            <w:tcW w:w="1118" w:type="dxa"/>
            <w:shd w:val="clear" w:color="auto" w:fill="auto"/>
            <w:vAlign w:val="center"/>
          </w:tcPr>
          <w:p w14:paraId="50573E84" w14:textId="77777777" w:rsidR="00E35B79" w:rsidRPr="0044255A" w:rsidRDefault="00E35B79" w:rsidP="00031E91">
            <w:pPr>
              <w:jc w:val="center"/>
              <w:rPr>
                <w:bCs/>
                <w:iCs/>
                <w:sz w:val="22"/>
                <w:szCs w:val="22"/>
              </w:rPr>
            </w:pPr>
            <w:r w:rsidRPr="0044255A">
              <w:rPr>
                <w:bCs/>
                <w:iCs/>
                <w:sz w:val="22"/>
                <w:szCs w:val="22"/>
              </w:rPr>
              <w:t>N=202</w:t>
            </w:r>
          </w:p>
        </w:tc>
        <w:tc>
          <w:tcPr>
            <w:tcW w:w="1216" w:type="dxa"/>
            <w:shd w:val="clear" w:color="auto" w:fill="auto"/>
            <w:vAlign w:val="center"/>
          </w:tcPr>
          <w:p w14:paraId="3E063594" w14:textId="77777777" w:rsidR="00E35B79" w:rsidRPr="0044255A" w:rsidRDefault="00E35B79" w:rsidP="00031E91">
            <w:pPr>
              <w:jc w:val="center"/>
              <w:rPr>
                <w:bCs/>
                <w:iCs/>
                <w:sz w:val="22"/>
                <w:szCs w:val="22"/>
              </w:rPr>
            </w:pPr>
            <w:r w:rsidRPr="0044255A">
              <w:rPr>
                <w:bCs/>
                <w:iCs/>
                <w:sz w:val="22"/>
                <w:szCs w:val="22"/>
              </w:rPr>
              <w:t>N=192</w:t>
            </w:r>
          </w:p>
        </w:tc>
      </w:tr>
      <w:tr w:rsidR="00E35B79" w:rsidRPr="001A02EA" w14:paraId="13897EEF" w14:textId="77777777" w:rsidTr="00031E91">
        <w:tc>
          <w:tcPr>
            <w:tcW w:w="1668" w:type="dxa"/>
            <w:vMerge/>
            <w:shd w:val="clear" w:color="auto" w:fill="auto"/>
          </w:tcPr>
          <w:p w14:paraId="7E1BC624" w14:textId="77777777" w:rsidR="00E35B79" w:rsidRPr="0044255A" w:rsidRDefault="00E35B79" w:rsidP="00031E91">
            <w:pPr>
              <w:rPr>
                <w:bCs/>
                <w:iCs/>
                <w:sz w:val="22"/>
                <w:szCs w:val="22"/>
              </w:rPr>
            </w:pPr>
          </w:p>
        </w:tc>
        <w:tc>
          <w:tcPr>
            <w:tcW w:w="1275" w:type="dxa"/>
            <w:vMerge/>
            <w:shd w:val="clear" w:color="auto" w:fill="auto"/>
            <w:vAlign w:val="center"/>
          </w:tcPr>
          <w:p w14:paraId="0A8D3FE1" w14:textId="77777777" w:rsidR="00E35B79" w:rsidRPr="0044255A" w:rsidRDefault="00E35B79" w:rsidP="00031E91">
            <w:pPr>
              <w:jc w:val="center"/>
              <w:rPr>
                <w:bCs/>
                <w:iCs/>
                <w:sz w:val="22"/>
                <w:szCs w:val="22"/>
              </w:rPr>
            </w:pPr>
          </w:p>
        </w:tc>
        <w:tc>
          <w:tcPr>
            <w:tcW w:w="1276" w:type="dxa"/>
            <w:shd w:val="clear" w:color="auto" w:fill="auto"/>
            <w:vAlign w:val="center"/>
          </w:tcPr>
          <w:p w14:paraId="67D84452" w14:textId="77777777" w:rsidR="00E35B79" w:rsidRPr="0044255A" w:rsidRDefault="00E35B79" w:rsidP="00031E91">
            <w:pPr>
              <w:jc w:val="center"/>
              <w:rPr>
                <w:bCs/>
                <w:iCs/>
                <w:sz w:val="22"/>
                <w:szCs w:val="22"/>
              </w:rPr>
            </w:pPr>
            <w:r w:rsidRPr="0044255A">
              <w:rPr>
                <w:bCs/>
                <w:iCs/>
                <w:sz w:val="22"/>
                <w:szCs w:val="22"/>
              </w:rPr>
              <w:t>175</w:t>
            </w:r>
          </w:p>
          <w:p w14:paraId="6EC1F6B9" w14:textId="3637609F" w:rsidR="00E35B79" w:rsidRPr="0044255A" w:rsidRDefault="00E35B79" w:rsidP="00031E91">
            <w:pPr>
              <w:jc w:val="center"/>
              <w:rPr>
                <w:b/>
                <w:bCs/>
                <w:iCs/>
                <w:sz w:val="22"/>
                <w:szCs w:val="22"/>
              </w:rPr>
            </w:pPr>
            <w:r w:rsidRPr="0044255A">
              <w:rPr>
                <w:bCs/>
                <w:iCs/>
                <w:sz w:val="22"/>
                <w:szCs w:val="22"/>
              </w:rPr>
              <w:t>(87</w:t>
            </w:r>
            <w:r w:rsidR="0044255A">
              <w:rPr>
                <w:bCs/>
                <w:iCs/>
                <w:sz w:val="22"/>
                <w:szCs w:val="22"/>
              </w:rPr>
              <w:t>,</w:t>
            </w:r>
            <w:r w:rsidRPr="0044255A">
              <w:rPr>
                <w:bCs/>
                <w:iCs/>
                <w:sz w:val="22"/>
                <w:szCs w:val="22"/>
              </w:rPr>
              <w:t>9%)</w:t>
            </w:r>
          </w:p>
        </w:tc>
        <w:tc>
          <w:tcPr>
            <w:tcW w:w="1357" w:type="dxa"/>
            <w:shd w:val="clear" w:color="auto" w:fill="auto"/>
            <w:vAlign w:val="center"/>
          </w:tcPr>
          <w:p w14:paraId="2222F77E" w14:textId="77777777" w:rsidR="00E35B79" w:rsidRPr="0044255A" w:rsidRDefault="00E35B79" w:rsidP="00031E91">
            <w:pPr>
              <w:jc w:val="center"/>
              <w:rPr>
                <w:bCs/>
                <w:iCs/>
                <w:sz w:val="22"/>
                <w:szCs w:val="22"/>
              </w:rPr>
            </w:pPr>
            <w:r w:rsidRPr="0044255A">
              <w:rPr>
                <w:bCs/>
                <w:iCs/>
                <w:sz w:val="22"/>
                <w:szCs w:val="22"/>
              </w:rPr>
              <w:t>168</w:t>
            </w:r>
          </w:p>
          <w:p w14:paraId="327D5FFC" w14:textId="7B542C10" w:rsidR="00E35B79" w:rsidRPr="0044255A" w:rsidRDefault="00E35B79" w:rsidP="00031E91">
            <w:pPr>
              <w:jc w:val="center"/>
              <w:rPr>
                <w:b/>
                <w:bCs/>
                <w:iCs/>
                <w:sz w:val="22"/>
                <w:szCs w:val="22"/>
              </w:rPr>
            </w:pPr>
            <w:r w:rsidRPr="0044255A">
              <w:rPr>
                <w:bCs/>
                <w:iCs/>
                <w:sz w:val="22"/>
                <w:szCs w:val="22"/>
              </w:rPr>
              <w:t>(88</w:t>
            </w:r>
            <w:r w:rsidR="0044255A">
              <w:rPr>
                <w:bCs/>
                <w:iCs/>
                <w:sz w:val="22"/>
                <w:szCs w:val="22"/>
              </w:rPr>
              <w:t>,</w:t>
            </w:r>
            <w:r w:rsidRPr="0044255A">
              <w:rPr>
                <w:bCs/>
                <w:iCs/>
                <w:sz w:val="22"/>
                <w:szCs w:val="22"/>
              </w:rPr>
              <w:t>0%)</w:t>
            </w:r>
          </w:p>
        </w:tc>
        <w:tc>
          <w:tcPr>
            <w:tcW w:w="1377" w:type="dxa"/>
            <w:vMerge/>
            <w:shd w:val="clear" w:color="auto" w:fill="auto"/>
            <w:vAlign w:val="center"/>
          </w:tcPr>
          <w:p w14:paraId="0ED81DC4" w14:textId="77777777" w:rsidR="00E35B79" w:rsidRPr="0044255A" w:rsidRDefault="00E35B79" w:rsidP="00031E91">
            <w:pPr>
              <w:jc w:val="center"/>
              <w:rPr>
                <w:bCs/>
                <w:iCs/>
                <w:sz w:val="22"/>
                <w:szCs w:val="22"/>
              </w:rPr>
            </w:pPr>
          </w:p>
        </w:tc>
        <w:tc>
          <w:tcPr>
            <w:tcW w:w="1118" w:type="dxa"/>
            <w:shd w:val="clear" w:color="auto" w:fill="auto"/>
            <w:vAlign w:val="center"/>
          </w:tcPr>
          <w:p w14:paraId="13FAAC2B" w14:textId="77777777" w:rsidR="00E35B79" w:rsidRPr="0044255A" w:rsidRDefault="00E35B79" w:rsidP="00031E91">
            <w:pPr>
              <w:jc w:val="center"/>
              <w:rPr>
                <w:bCs/>
                <w:iCs/>
                <w:sz w:val="22"/>
                <w:szCs w:val="22"/>
              </w:rPr>
            </w:pPr>
            <w:r w:rsidRPr="0044255A">
              <w:rPr>
                <w:bCs/>
                <w:iCs/>
                <w:sz w:val="22"/>
                <w:szCs w:val="22"/>
              </w:rPr>
              <w:t>148</w:t>
            </w:r>
          </w:p>
          <w:p w14:paraId="12AB976F" w14:textId="0747BA99" w:rsidR="00E35B79" w:rsidRPr="0044255A" w:rsidRDefault="00E35B79" w:rsidP="00031E91">
            <w:pPr>
              <w:jc w:val="center"/>
              <w:rPr>
                <w:bCs/>
                <w:iCs/>
                <w:sz w:val="22"/>
                <w:szCs w:val="22"/>
              </w:rPr>
            </w:pPr>
            <w:r w:rsidRPr="0044255A">
              <w:rPr>
                <w:bCs/>
                <w:iCs/>
                <w:sz w:val="22"/>
                <w:szCs w:val="22"/>
              </w:rPr>
              <w:t>(73</w:t>
            </w:r>
            <w:r w:rsidR="0044255A">
              <w:rPr>
                <w:bCs/>
                <w:iCs/>
                <w:sz w:val="22"/>
                <w:szCs w:val="22"/>
              </w:rPr>
              <w:t>,</w:t>
            </w:r>
            <w:r w:rsidRPr="0044255A">
              <w:rPr>
                <w:bCs/>
                <w:iCs/>
                <w:sz w:val="22"/>
                <w:szCs w:val="22"/>
              </w:rPr>
              <w:t>3%)</w:t>
            </w:r>
          </w:p>
        </w:tc>
        <w:tc>
          <w:tcPr>
            <w:tcW w:w="1216" w:type="dxa"/>
            <w:shd w:val="clear" w:color="auto" w:fill="auto"/>
            <w:vAlign w:val="center"/>
          </w:tcPr>
          <w:p w14:paraId="5BDD3E6F" w14:textId="77777777" w:rsidR="00E35B79" w:rsidRPr="0044255A" w:rsidRDefault="00E35B79" w:rsidP="00031E91">
            <w:pPr>
              <w:jc w:val="center"/>
              <w:rPr>
                <w:bCs/>
                <w:iCs/>
                <w:sz w:val="22"/>
                <w:szCs w:val="22"/>
              </w:rPr>
            </w:pPr>
            <w:r w:rsidRPr="0044255A">
              <w:rPr>
                <w:bCs/>
                <w:iCs/>
                <w:sz w:val="22"/>
                <w:szCs w:val="22"/>
              </w:rPr>
              <w:t>144</w:t>
            </w:r>
          </w:p>
          <w:p w14:paraId="51B1229B" w14:textId="349D6032" w:rsidR="00E35B79" w:rsidRPr="0044255A" w:rsidRDefault="00E35B79" w:rsidP="00031E91">
            <w:pPr>
              <w:jc w:val="center"/>
              <w:rPr>
                <w:bCs/>
                <w:iCs/>
                <w:sz w:val="22"/>
                <w:szCs w:val="22"/>
              </w:rPr>
            </w:pPr>
            <w:r w:rsidRPr="0044255A">
              <w:rPr>
                <w:bCs/>
                <w:iCs/>
                <w:sz w:val="22"/>
                <w:szCs w:val="22"/>
              </w:rPr>
              <w:t>(75</w:t>
            </w:r>
            <w:r w:rsidR="0044255A">
              <w:rPr>
                <w:bCs/>
                <w:iCs/>
                <w:sz w:val="22"/>
                <w:szCs w:val="22"/>
              </w:rPr>
              <w:t>,</w:t>
            </w:r>
            <w:r w:rsidRPr="0044255A">
              <w:rPr>
                <w:bCs/>
                <w:iCs/>
                <w:sz w:val="22"/>
                <w:szCs w:val="22"/>
              </w:rPr>
              <w:t>0%)</w:t>
            </w:r>
          </w:p>
        </w:tc>
      </w:tr>
      <w:tr w:rsidR="00E35B79" w:rsidRPr="001A02EA" w14:paraId="62E82D09" w14:textId="77777777" w:rsidTr="00031E91">
        <w:tc>
          <w:tcPr>
            <w:tcW w:w="1668" w:type="dxa"/>
            <w:shd w:val="clear" w:color="auto" w:fill="auto"/>
          </w:tcPr>
          <w:p w14:paraId="1CD75C83" w14:textId="798CEF6E" w:rsidR="00E35B79" w:rsidRPr="0044255A" w:rsidRDefault="0044255A" w:rsidP="0044255A">
            <w:pPr>
              <w:pStyle w:val="Default"/>
              <w:rPr>
                <w:bCs/>
                <w:iCs/>
                <w:sz w:val="22"/>
                <w:szCs w:val="22"/>
              </w:rPr>
            </w:pPr>
            <w:r w:rsidRPr="0044255A">
              <w:rPr>
                <w:sz w:val="22"/>
                <w:szCs w:val="22"/>
              </w:rPr>
              <w:t xml:space="preserve">Zmena mediánu </w:t>
            </w:r>
            <w:r w:rsidRPr="0044255A">
              <w:rPr>
                <w:b/>
                <w:bCs/>
                <w:sz w:val="22"/>
                <w:szCs w:val="22"/>
              </w:rPr>
              <w:t xml:space="preserve">objemu myómu </w:t>
            </w:r>
            <w:r w:rsidRPr="0044255A">
              <w:rPr>
                <w:sz w:val="22"/>
                <w:szCs w:val="22"/>
              </w:rPr>
              <w:t xml:space="preserve">od začiatku </w:t>
            </w:r>
          </w:p>
        </w:tc>
        <w:tc>
          <w:tcPr>
            <w:tcW w:w="1275" w:type="dxa"/>
            <w:shd w:val="clear" w:color="auto" w:fill="auto"/>
          </w:tcPr>
          <w:p w14:paraId="0D04BE39" w14:textId="169AE868" w:rsidR="00E35B79" w:rsidRPr="0044255A" w:rsidRDefault="00E35B79" w:rsidP="00031E91">
            <w:pPr>
              <w:jc w:val="center"/>
              <w:rPr>
                <w:bCs/>
                <w:iCs/>
                <w:sz w:val="22"/>
                <w:szCs w:val="22"/>
              </w:rPr>
            </w:pPr>
            <w:r w:rsidRPr="0044255A">
              <w:rPr>
                <w:bCs/>
                <w:iCs/>
                <w:sz w:val="22"/>
                <w:szCs w:val="22"/>
              </w:rPr>
              <w:t>-63</w:t>
            </w:r>
            <w:r w:rsidR="0044255A">
              <w:rPr>
                <w:bCs/>
                <w:iCs/>
                <w:sz w:val="22"/>
                <w:szCs w:val="22"/>
              </w:rPr>
              <w:t>,</w:t>
            </w:r>
            <w:r w:rsidRPr="0044255A">
              <w:rPr>
                <w:bCs/>
                <w:iCs/>
                <w:sz w:val="22"/>
                <w:szCs w:val="22"/>
              </w:rPr>
              <w:t>2%</w:t>
            </w:r>
          </w:p>
        </w:tc>
        <w:tc>
          <w:tcPr>
            <w:tcW w:w="1276" w:type="dxa"/>
            <w:shd w:val="clear" w:color="auto" w:fill="auto"/>
          </w:tcPr>
          <w:p w14:paraId="0A023FC4" w14:textId="5FD89795" w:rsidR="00E35B79" w:rsidRPr="0044255A" w:rsidRDefault="00E35B79" w:rsidP="00031E91">
            <w:pPr>
              <w:jc w:val="center"/>
              <w:rPr>
                <w:b/>
                <w:bCs/>
                <w:iCs/>
                <w:sz w:val="22"/>
                <w:szCs w:val="22"/>
              </w:rPr>
            </w:pPr>
            <w:r w:rsidRPr="0044255A">
              <w:rPr>
                <w:bCs/>
                <w:iCs/>
                <w:sz w:val="22"/>
                <w:szCs w:val="22"/>
              </w:rPr>
              <w:t>-54</w:t>
            </w:r>
            <w:r w:rsidR="0044255A">
              <w:rPr>
                <w:bCs/>
                <w:iCs/>
                <w:sz w:val="22"/>
                <w:szCs w:val="22"/>
              </w:rPr>
              <w:t>,</w:t>
            </w:r>
            <w:r w:rsidRPr="0044255A">
              <w:rPr>
                <w:bCs/>
                <w:iCs/>
                <w:sz w:val="22"/>
                <w:szCs w:val="22"/>
              </w:rPr>
              <w:t>1%</w:t>
            </w:r>
          </w:p>
        </w:tc>
        <w:tc>
          <w:tcPr>
            <w:tcW w:w="1357" w:type="dxa"/>
            <w:shd w:val="clear" w:color="auto" w:fill="auto"/>
          </w:tcPr>
          <w:p w14:paraId="1354F861" w14:textId="026FF56A" w:rsidR="00E35B79" w:rsidRPr="0044255A" w:rsidRDefault="00E35B79" w:rsidP="00031E91">
            <w:pPr>
              <w:jc w:val="center"/>
              <w:rPr>
                <w:b/>
                <w:bCs/>
                <w:iCs/>
                <w:sz w:val="22"/>
                <w:szCs w:val="22"/>
              </w:rPr>
            </w:pPr>
            <w:r w:rsidRPr="0044255A">
              <w:rPr>
                <w:bCs/>
                <w:iCs/>
                <w:sz w:val="22"/>
                <w:szCs w:val="22"/>
              </w:rPr>
              <w:t>-58</w:t>
            </w:r>
            <w:r w:rsidR="0044255A">
              <w:rPr>
                <w:bCs/>
                <w:iCs/>
                <w:sz w:val="22"/>
                <w:szCs w:val="22"/>
              </w:rPr>
              <w:t>,</w:t>
            </w:r>
            <w:r w:rsidRPr="0044255A">
              <w:rPr>
                <w:bCs/>
                <w:iCs/>
                <w:sz w:val="22"/>
                <w:szCs w:val="22"/>
              </w:rPr>
              <w:t>0%</w:t>
            </w:r>
          </w:p>
        </w:tc>
        <w:tc>
          <w:tcPr>
            <w:tcW w:w="1377" w:type="dxa"/>
            <w:shd w:val="clear" w:color="auto" w:fill="auto"/>
          </w:tcPr>
          <w:p w14:paraId="3DC9613A" w14:textId="0FD9EEF5" w:rsidR="00E35B79" w:rsidRPr="0044255A" w:rsidRDefault="00E35B79" w:rsidP="00031E91">
            <w:pPr>
              <w:jc w:val="center"/>
              <w:rPr>
                <w:bCs/>
                <w:iCs/>
                <w:sz w:val="22"/>
                <w:szCs w:val="22"/>
              </w:rPr>
            </w:pPr>
            <w:r w:rsidRPr="0044255A">
              <w:rPr>
                <w:bCs/>
                <w:iCs/>
                <w:sz w:val="22"/>
                <w:szCs w:val="22"/>
              </w:rPr>
              <w:t>-72</w:t>
            </w:r>
            <w:r w:rsidR="0044255A">
              <w:rPr>
                <w:bCs/>
                <w:iCs/>
                <w:sz w:val="22"/>
                <w:szCs w:val="22"/>
              </w:rPr>
              <w:t>,</w:t>
            </w:r>
            <w:r w:rsidRPr="0044255A">
              <w:rPr>
                <w:bCs/>
                <w:iCs/>
                <w:sz w:val="22"/>
                <w:szCs w:val="22"/>
              </w:rPr>
              <w:t>1%</w:t>
            </w:r>
          </w:p>
        </w:tc>
        <w:tc>
          <w:tcPr>
            <w:tcW w:w="1118" w:type="dxa"/>
            <w:shd w:val="clear" w:color="auto" w:fill="auto"/>
          </w:tcPr>
          <w:p w14:paraId="71A3CC8D" w14:textId="3ADFDD83" w:rsidR="00E35B79" w:rsidRPr="0044255A" w:rsidRDefault="00E35B79" w:rsidP="00031E91">
            <w:pPr>
              <w:jc w:val="center"/>
              <w:rPr>
                <w:bCs/>
                <w:iCs/>
                <w:sz w:val="22"/>
                <w:szCs w:val="22"/>
              </w:rPr>
            </w:pPr>
            <w:r w:rsidRPr="0044255A">
              <w:rPr>
                <w:bCs/>
                <w:iCs/>
                <w:sz w:val="22"/>
                <w:szCs w:val="22"/>
              </w:rPr>
              <w:t>-71</w:t>
            </w:r>
            <w:r w:rsidR="0044255A">
              <w:rPr>
                <w:bCs/>
                <w:iCs/>
                <w:sz w:val="22"/>
                <w:szCs w:val="22"/>
              </w:rPr>
              <w:t>,</w:t>
            </w:r>
            <w:r w:rsidRPr="0044255A">
              <w:rPr>
                <w:bCs/>
                <w:iCs/>
                <w:sz w:val="22"/>
                <w:szCs w:val="22"/>
              </w:rPr>
              <w:t>8%</w:t>
            </w:r>
          </w:p>
        </w:tc>
        <w:tc>
          <w:tcPr>
            <w:tcW w:w="1216" w:type="dxa"/>
            <w:shd w:val="clear" w:color="auto" w:fill="auto"/>
          </w:tcPr>
          <w:p w14:paraId="33EB3F4D" w14:textId="28F19A77" w:rsidR="00E35B79" w:rsidRPr="0044255A" w:rsidRDefault="00E35B79" w:rsidP="00031E91">
            <w:pPr>
              <w:jc w:val="center"/>
              <w:rPr>
                <w:bCs/>
                <w:iCs/>
                <w:sz w:val="22"/>
                <w:szCs w:val="22"/>
              </w:rPr>
            </w:pPr>
            <w:r w:rsidRPr="0044255A">
              <w:rPr>
                <w:bCs/>
                <w:iCs/>
                <w:sz w:val="22"/>
                <w:szCs w:val="22"/>
              </w:rPr>
              <w:t>-72</w:t>
            </w:r>
            <w:r w:rsidR="0044255A">
              <w:rPr>
                <w:bCs/>
                <w:iCs/>
                <w:sz w:val="22"/>
                <w:szCs w:val="22"/>
              </w:rPr>
              <w:t>,</w:t>
            </w:r>
            <w:r w:rsidRPr="0044255A">
              <w:rPr>
                <w:bCs/>
                <w:iCs/>
                <w:sz w:val="22"/>
                <w:szCs w:val="22"/>
              </w:rPr>
              <w:t>7%</w:t>
            </w:r>
          </w:p>
        </w:tc>
      </w:tr>
    </w:tbl>
    <w:p w14:paraId="50562375" w14:textId="77777777" w:rsidR="00E35B79" w:rsidRPr="00E35B79" w:rsidRDefault="00E35B79" w:rsidP="00E35B79">
      <w:pPr>
        <w:overflowPunct/>
        <w:textAlignment w:val="auto"/>
        <w:rPr>
          <w:color w:val="000000"/>
          <w:sz w:val="18"/>
          <w:szCs w:val="18"/>
        </w:rPr>
      </w:pPr>
      <w:r w:rsidRPr="00E35B79">
        <w:rPr>
          <w:color w:val="000000"/>
          <w:sz w:val="18"/>
          <w:szCs w:val="18"/>
        </w:rPr>
        <w:t xml:space="preserve">a Zhodnotenie liečebného cyklu 2 zodpovedá liečebnému cyklu 2 plus jedno menštruačné krvácanie. </w:t>
      </w:r>
    </w:p>
    <w:p w14:paraId="139B2B67" w14:textId="77777777" w:rsidR="00E35B79" w:rsidRPr="00E35B79" w:rsidRDefault="00E35B79" w:rsidP="00E35B79">
      <w:pPr>
        <w:overflowPunct/>
        <w:textAlignment w:val="auto"/>
        <w:rPr>
          <w:color w:val="000000"/>
          <w:sz w:val="18"/>
          <w:szCs w:val="18"/>
        </w:rPr>
      </w:pPr>
      <w:r w:rsidRPr="00E35B79">
        <w:rPr>
          <w:color w:val="000000"/>
          <w:sz w:val="18"/>
          <w:szCs w:val="18"/>
        </w:rPr>
        <w:t xml:space="preserve">b Pacientky s chýbajúcimi hodnotami boli z analýzy vyradené. </w:t>
      </w:r>
    </w:p>
    <w:p w14:paraId="42DCD779" w14:textId="447A345F" w:rsidR="00E35B79" w:rsidRPr="00E35B79" w:rsidRDefault="00E35B79" w:rsidP="00E35B79">
      <w:pPr>
        <w:overflowPunct/>
        <w:textAlignment w:val="auto"/>
        <w:rPr>
          <w:color w:val="000000"/>
          <w:sz w:val="18"/>
          <w:szCs w:val="18"/>
        </w:rPr>
      </w:pPr>
      <w:r w:rsidRPr="00E35B79">
        <w:rPr>
          <w:color w:val="000000"/>
          <w:sz w:val="18"/>
          <w:szCs w:val="18"/>
        </w:rPr>
        <w:t>c N a % zahŕňa</w:t>
      </w:r>
      <w:r w:rsidR="00714346">
        <w:rPr>
          <w:color w:val="000000"/>
          <w:sz w:val="18"/>
          <w:szCs w:val="18"/>
        </w:rPr>
        <w:t xml:space="preserve"> vyradené</w:t>
      </w:r>
      <w:r w:rsidRPr="00E35B79">
        <w:rPr>
          <w:color w:val="000000"/>
          <w:sz w:val="18"/>
          <w:szCs w:val="18"/>
        </w:rPr>
        <w:t xml:space="preserve"> pacientky. </w:t>
      </w:r>
    </w:p>
    <w:p w14:paraId="29FF2AAB" w14:textId="2D431A9E" w:rsidR="003C041F" w:rsidRPr="00E35B79" w:rsidRDefault="00E35B79" w:rsidP="00E35B79">
      <w:pPr>
        <w:pStyle w:val="Normlnywebov"/>
        <w:spacing w:before="0" w:beforeAutospacing="0" w:after="0" w:afterAutospacing="0"/>
        <w:rPr>
          <w:rStyle w:val="Zvraznenie"/>
          <w:sz w:val="18"/>
          <w:szCs w:val="18"/>
        </w:rPr>
      </w:pPr>
      <w:r w:rsidRPr="00E35B79">
        <w:rPr>
          <w:color w:val="000000"/>
          <w:sz w:val="18"/>
          <w:szCs w:val="18"/>
        </w:rPr>
        <w:t>d Kontrolované krvácanie bolo definované ako absencia epizód závažného krvácania a maximálne 8 dní krvácania (okrem dní so špinením) za posledné 2 mesiace liečebného cyklu.</w:t>
      </w:r>
    </w:p>
    <w:p w14:paraId="5D707593" w14:textId="3E5B76EC" w:rsidR="003C041F" w:rsidRDefault="003C041F" w:rsidP="00FA684F">
      <w:pPr>
        <w:pStyle w:val="Normlnywebov"/>
        <w:spacing w:before="0" w:beforeAutospacing="0" w:after="0" w:afterAutospacing="0"/>
        <w:rPr>
          <w:rStyle w:val="Zvraznenie"/>
          <w:sz w:val="22"/>
          <w:szCs w:val="22"/>
        </w:rPr>
      </w:pPr>
    </w:p>
    <w:p w14:paraId="55EE1280" w14:textId="6EC848B1" w:rsidR="003C041F" w:rsidRDefault="00E35B79" w:rsidP="00FA684F">
      <w:pPr>
        <w:pStyle w:val="Normlnywebov"/>
        <w:spacing w:before="0" w:beforeAutospacing="0" w:after="0" w:afterAutospacing="0"/>
        <w:rPr>
          <w:rStyle w:val="Zvraznenie"/>
          <w:sz w:val="22"/>
          <w:szCs w:val="22"/>
        </w:rPr>
      </w:pPr>
      <w:r>
        <w:rPr>
          <w:sz w:val="22"/>
          <w:szCs w:val="22"/>
        </w:rPr>
        <w:t>Vo všetkých štúdiach v III. fáze, vrátane štúdií opakovaných interminentných liečebných cyklov, bolo pozorovaných celkovo 7 prípadov hyperplázie u 789 pacientok s príslušnými biopsiami (0,89 %). Veľká väčšina sa po obnovení menštruácie počas obdobia bez liečby samovoľne vrátila do pôvodného normálneho stavu endometria. Incidencia hyperplázie nenarastala s opakovanými liečebnými cyklami, pričom sú zahrnuté údaje o 340 ženách, ktoré absolvovali najviac 4 cykly liečby ulipristalacetátom s dávkou 5 alebo 10 mg, a obmedzené údaje o 43 ženách, ktoré absolvovali najviac 8 cyklov liečby ulipristalacetátom s dávkou 10 mg. Pozorovaná frekvencia je v súlade s kontrolnými skupinami a prevalenciou u žien pred menopauzou so symptómami v tejto vekovej skupine (priemer 40 rokov) uvádzanou v literatúre.</w:t>
      </w:r>
    </w:p>
    <w:p w14:paraId="62170EC6" w14:textId="299EA729" w:rsidR="003C041F" w:rsidRDefault="003C041F" w:rsidP="00FA684F">
      <w:pPr>
        <w:pStyle w:val="Normlnywebov"/>
        <w:spacing w:before="0" w:beforeAutospacing="0" w:after="0" w:afterAutospacing="0"/>
        <w:rPr>
          <w:rStyle w:val="Zvraznenie"/>
          <w:sz w:val="22"/>
          <w:szCs w:val="22"/>
        </w:rPr>
      </w:pPr>
    </w:p>
    <w:p w14:paraId="7BDDD000" w14:textId="77777777" w:rsidR="00E35B79" w:rsidRPr="00E35B79" w:rsidRDefault="00E35B79" w:rsidP="00E35B79">
      <w:pPr>
        <w:overflowPunct/>
        <w:textAlignment w:val="auto"/>
        <w:rPr>
          <w:color w:val="000000"/>
          <w:sz w:val="22"/>
          <w:szCs w:val="22"/>
          <w:u w:val="single"/>
        </w:rPr>
      </w:pPr>
      <w:r w:rsidRPr="00E35B79">
        <w:rPr>
          <w:color w:val="000000"/>
          <w:sz w:val="22"/>
          <w:szCs w:val="22"/>
          <w:u w:val="single"/>
        </w:rPr>
        <w:t xml:space="preserve">Pediatrická populácia </w:t>
      </w:r>
    </w:p>
    <w:p w14:paraId="467F9295" w14:textId="45B4C4A3" w:rsidR="003C041F" w:rsidRDefault="00E35B79" w:rsidP="00E35B79">
      <w:pPr>
        <w:pStyle w:val="Normlnywebov"/>
        <w:spacing w:before="0" w:beforeAutospacing="0" w:after="0" w:afterAutospacing="0"/>
        <w:rPr>
          <w:rStyle w:val="Zvraznenie"/>
          <w:sz w:val="22"/>
          <w:szCs w:val="22"/>
        </w:rPr>
      </w:pPr>
      <w:r w:rsidRPr="00E35B79">
        <w:rPr>
          <w:color w:val="000000"/>
          <w:sz w:val="22"/>
          <w:szCs w:val="22"/>
        </w:rPr>
        <w:t xml:space="preserve">Európska agentúra pre lieky udelila výnimku z povinnosti predložiť výsledky štúdií </w:t>
      </w:r>
      <w:r w:rsidR="00052D84">
        <w:rPr>
          <w:color w:val="000000"/>
          <w:sz w:val="22"/>
          <w:szCs w:val="22"/>
        </w:rPr>
        <w:t>s referenčným liekom obsahujúcim ulipristalacetát</w:t>
      </w:r>
      <w:r w:rsidRPr="00E35B79">
        <w:rPr>
          <w:color w:val="000000"/>
          <w:sz w:val="22"/>
          <w:szCs w:val="22"/>
        </w:rPr>
        <w:t xml:space="preserve"> </w:t>
      </w:r>
      <w:r w:rsidR="00052D84">
        <w:rPr>
          <w:color w:val="000000"/>
          <w:sz w:val="22"/>
          <w:szCs w:val="22"/>
        </w:rPr>
        <w:t>vo</w:t>
      </w:r>
      <w:r w:rsidR="00052D84" w:rsidRPr="00E35B79">
        <w:rPr>
          <w:color w:val="000000"/>
          <w:sz w:val="22"/>
          <w:szCs w:val="22"/>
        </w:rPr>
        <w:t xml:space="preserve"> </w:t>
      </w:r>
      <w:r w:rsidRPr="00E35B79">
        <w:rPr>
          <w:color w:val="000000"/>
          <w:sz w:val="22"/>
          <w:szCs w:val="22"/>
        </w:rPr>
        <w:t>všetkých podskup</w:t>
      </w:r>
      <w:r w:rsidR="00052D84">
        <w:rPr>
          <w:color w:val="000000"/>
          <w:sz w:val="22"/>
          <w:szCs w:val="22"/>
        </w:rPr>
        <w:t>inách</w:t>
      </w:r>
      <w:r w:rsidRPr="00E35B79">
        <w:rPr>
          <w:color w:val="000000"/>
          <w:sz w:val="22"/>
          <w:szCs w:val="22"/>
        </w:rPr>
        <w:t xml:space="preserve"> </w:t>
      </w:r>
      <w:r w:rsidR="00052D84">
        <w:rPr>
          <w:color w:val="000000"/>
          <w:sz w:val="22"/>
          <w:szCs w:val="22"/>
        </w:rPr>
        <w:t xml:space="preserve">pediatrickej populácie </w:t>
      </w:r>
      <w:r w:rsidRPr="00E35B79">
        <w:rPr>
          <w:color w:val="000000"/>
          <w:sz w:val="22"/>
          <w:szCs w:val="22"/>
        </w:rPr>
        <w:t>pre leiomyóm maternice (informácie o pediatrickom použití, pozri časť 4.2).</w:t>
      </w:r>
    </w:p>
    <w:p w14:paraId="4134902A" w14:textId="188B65F7" w:rsidR="003C041F" w:rsidRPr="00080BA1" w:rsidRDefault="003C041F" w:rsidP="00FA684F">
      <w:pPr>
        <w:pStyle w:val="Normlnywebov"/>
        <w:spacing w:before="0" w:beforeAutospacing="0" w:after="0" w:afterAutospacing="0"/>
        <w:rPr>
          <w:rStyle w:val="Zvraznenie"/>
          <w:i w:val="0"/>
          <w:sz w:val="22"/>
          <w:szCs w:val="22"/>
        </w:rPr>
      </w:pPr>
    </w:p>
    <w:p w14:paraId="75F79B10" w14:textId="4983D2AE" w:rsidR="003C041F" w:rsidRDefault="00E35B79" w:rsidP="00FA684F">
      <w:pPr>
        <w:pStyle w:val="Normlnywebov"/>
        <w:spacing w:before="0" w:beforeAutospacing="0" w:after="0" w:afterAutospacing="0"/>
        <w:rPr>
          <w:rStyle w:val="Zvraznenie"/>
          <w:sz w:val="22"/>
          <w:szCs w:val="22"/>
        </w:rPr>
      </w:pPr>
      <w:r>
        <w:rPr>
          <w:b/>
          <w:bCs/>
          <w:sz w:val="22"/>
          <w:szCs w:val="22"/>
        </w:rPr>
        <w:t>5.2   Farmakokinetické vlastnosti</w:t>
      </w:r>
    </w:p>
    <w:p w14:paraId="46629D16" w14:textId="50312637" w:rsidR="003C041F" w:rsidRDefault="003C041F" w:rsidP="00FA684F">
      <w:pPr>
        <w:pStyle w:val="Normlnywebov"/>
        <w:spacing w:before="0" w:beforeAutospacing="0" w:after="0" w:afterAutospacing="0"/>
        <w:rPr>
          <w:rStyle w:val="Zvraznenie"/>
          <w:sz w:val="22"/>
          <w:szCs w:val="22"/>
        </w:rPr>
      </w:pPr>
    </w:p>
    <w:p w14:paraId="2D437BB9"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Absorpcia</w:t>
      </w:r>
    </w:p>
    <w:p w14:paraId="74AFED8E" w14:textId="77777777" w:rsidR="00E35B79" w:rsidRPr="00E35B79" w:rsidRDefault="00E35B79" w:rsidP="00E35B79">
      <w:pPr>
        <w:overflowPunct/>
        <w:textAlignment w:val="auto"/>
        <w:rPr>
          <w:color w:val="000000"/>
          <w:sz w:val="22"/>
          <w:szCs w:val="22"/>
        </w:rPr>
      </w:pPr>
      <w:r w:rsidRPr="00E35B79">
        <w:rPr>
          <w:color w:val="000000"/>
          <w:sz w:val="22"/>
          <w:szCs w:val="22"/>
        </w:rPr>
        <w:t>Po perorálnom podaní jednej 5 mg alebo 10 mg dávky sa ulipristalacetát rýchlo absorbuje s hodnotami C</w:t>
      </w:r>
      <w:r w:rsidRPr="00E35B79">
        <w:rPr>
          <w:color w:val="000000"/>
          <w:sz w:val="14"/>
          <w:szCs w:val="14"/>
        </w:rPr>
        <w:t xml:space="preserve">max </w:t>
      </w:r>
      <w:r w:rsidRPr="00E35B79">
        <w:rPr>
          <w:color w:val="000000"/>
          <w:sz w:val="22"/>
          <w:szCs w:val="22"/>
        </w:rPr>
        <w:t>23,5 ± 14,2 ng/ml a 50,0 ± 34,4 ng/ml, ktoré sa objavujú približne 1 h po užití lieku, a hodnotami AUC</w:t>
      </w:r>
      <w:r w:rsidRPr="00E35B79">
        <w:rPr>
          <w:color w:val="000000"/>
          <w:sz w:val="14"/>
          <w:szCs w:val="14"/>
        </w:rPr>
        <w:t xml:space="preserve">0-∞ </w:t>
      </w:r>
      <w:r w:rsidRPr="00E35B79">
        <w:rPr>
          <w:color w:val="000000"/>
          <w:sz w:val="22"/>
          <w:szCs w:val="22"/>
        </w:rPr>
        <w:t>61,3 ± 31,7 ng.h/ml a 134,0 ± 83,8 ng.h/ml v tomto poradí. Ulipristalacetát sa rýchlo mení na farmakologicky aktívny metabolit s hodnotami C</w:t>
      </w:r>
      <w:r w:rsidRPr="00E35B79">
        <w:rPr>
          <w:color w:val="000000"/>
          <w:sz w:val="14"/>
          <w:szCs w:val="14"/>
        </w:rPr>
        <w:t xml:space="preserve">max </w:t>
      </w:r>
      <w:r w:rsidRPr="00E35B79">
        <w:rPr>
          <w:color w:val="000000"/>
          <w:sz w:val="22"/>
          <w:szCs w:val="22"/>
        </w:rPr>
        <w:t>9,0 ± 4,4 ng/ml a 20,6 ± 10,9 ng/ml, ktoré sa tiež objavujú približne 1 h po užití lieku, a hodnotami AUC</w:t>
      </w:r>
      <w:r w:rsidRPr="00E35B79">
        <w:rPr>
          <w:color w:val="000000"/>
          <w:sz w:val="14"/>
          <w:szCs w:val="14"/>
        </w:rPr>
        <w:t xml:space="preserve">0-∞ </w:t>
      </w:r>
      <w:r w:rsidRPr="00E35B79">
        <w:rPr>
          <w:color w:val="000000"/>
          <w:sz w:val="22"/>
          <w:szCs w:val="22"/>
        </w:rPr>
        <w:t xml:space="preserve">26,0 ± 12,0 ng.h/ml a 63,6 ± 30,1 ng.h/ml v tomto poradí. </w:t>
      </w:r>
    </w:p>
    <w:p w14:paraId="1C394957" w14:textId="61713170" w:rsidR="00E35B79" w:rsidRDefault="00E35B79" w:rsidP="00E35B79">
      <w:pPr>
        <w:overflowPunct/>
        <w:textAlignment w:val="auto"/>
        <w:rPr>
          <w:color w:val="000000"/>
          <w:sz w:val="22"/>
          <w:szCs w:val="22"/>
        </w:rPr>
      </w:pPr>
      <w:r w:rsidRPr="00E35B79">
        <w:rPr>
          <w:color w:val="000000"/>
          <w:sz w:val="22"/>
          <w:szCs w:val="22"/>
        </w:rPr>
        <w:t>Podávanie ulipristalacetátu (30 mg tablety) spolu s raňajkami s vysokým obsahom tukov viedlo k strednej hodnote C</w:t>
      </w:r>
      <w:r w:rsidRPr="00E35B79">
        <w:rPr>
          <w:color w:val="000000"/>
          <w:sz w:val="14"/>
          <w:szCs w:val="14"/>
        </w:rPr>
        <w:t xml:space="preserve">max </w:t>
      </w:r>
      <w:r w:rsidRPr="00E35B79">
        <w:rPr>
          <w:color w:val="000000"/>
          <w:sz w:val="22"/>
          <w:szCs w:val="22"/>
        </w:rPr>
        <w:t>nižšej približne o 45 %, k oneskoreniu hodnoty t</w:t>
      </w:r>
      <w:r w:rsidRPr="00E35B79">
        <w:rPr>
          <w:color w:val="000000"/>
          <w:sz w:val="14"/>
          <w:szCs w:val="14"/>
        </w:rPr>
        <w:t xml:space="preserve">max </w:t>
      </w:r>
      <w:r w:rsidRPr="00E35B79">
        <w:rPr>
          <w:color w:val="000000"/>
          <w:sz w:val="22"/>
          <w:szCs w:val="22"/>
        </w:rPr>
        <w:t>(z mediánu 0,75 hodiny na 3 hodiny) a k strednej hodnote AUC</w:t>
      </w:r>
      <w:r w:rsidRPr="00E35B79">
        <w:rPr>
          <w:color w:val="000000"/>
          <w:sz w:val="14"/>
          <w:szCs w:val="14"/>
        </w:rPr>
        <w:t xml:space="preserve">0-∞ </w:t>
      </w:r>
      <w:r w:rsidRPr="00E35B79">
        <w:rPr>
          <w:color w:val="000000"/>
          <w:sz w:val="22"/>
          <w:szCs w:val="22"/>
        </w:rPr>
        <w:t xml:space="preserve">vyššej o 25 % v porovnaní s podávaním lieku nalačno. Podobné výsledky sa získali pre účinný mono-N-demetylovaný metabolit. Neočakáva sa, že tento kinetický účinok jedla bude klinicky relevantný pre každodenné podávanie tabliet ulipristalacetátu. </w:t>
      </w:r>
    </w:p>
    <w:p w14:paraId="4E82875A" w14:textId="77777777" w:rsidR="00E35B79" w:rsidRPr="00E35B79" w:rsidRDefault="00E35B79" w:rsidP="00E35B79">
      <w:pPr>
        <w:overflowPunct/>
        <w:textAlignment w:val="auto"/>
        <w:rPr>
          <w:color w:val="000000"/>
          <w:sz w:val="22"/>
          <w:szCs w:val="22"/>
        </w:rPr>
      </w:pPr>
    </w:p>
    <w:p w14:paraId="5CBF3FAF" w14:textId="77777777" w:rsidR="00E35B79" w:rsidRPr="00E35B79" w:rsidRDefault="00E35B79" w:rsidP="00E35B79">
      <w:pPr>
        <w:overflowPunct/>
        <w:textAlignment w:val="auto"/>
        <w:rPr>
          <w:color w:val="000000"/>
          <w:sz w:val="22"/>
          <w:szCs w:val="22"/>
          <w:u w:val="single"/>
        </w:rPr>
      </w:pPr>
      <w:r w:rsidRPr="00E35B79">
        <w:rPr>
          <w:color w:val="000000"/>
          <w:sz w:val="22"/>
          <w:szCs w:val="22"/>
          <w:u w:val="single"/>
        </w:rPr>
        <w:t xml:space="preserve">Distribúcia </w:t>
      </w:r>
    </w:p>
    <w:p w14:paraId="2FFAF571" w14:textId="77777777" w:rsidR="00E35B79" w:rsidRPr="00E35B79" w:rsidRDefault="00E35B79" w:rsidP="00E35B79">
      <w:pPr>
        <w:overflowPunct/>
        <w:textAlignment w:val="auto"/>
        <w:rPr>
          <w:color w:val="000000"/>
          <w:sz w:val="22"/>
          <w:szCs w:val="22"/>
        </w:rPr>
      </w:pPr>
      <w:r w:rsidRPr="00E35B79">
        <w:rPr>
          <w:color w:val="000000"/>
          <w:sz w:val="22"/>
          <w:szCs w:val="22"/>
        </w:rPr>
        <w:t xml:space="preserve">Ulipristalacetát sa vo veľkej miere viaže (&gt; 98 %) na plazmatické proteíny vrátane albumínu, alfa-l-kyslého glykoproteínu, lipoproteínu s vysokou hustotou a lipoproteínu s nízkou hustotou. </w:t>
      </w:r>
    </w:p>
    <w:p w14:paraId="52374AA1" w14:textId="77777777" w:rsidR="00080BA1" w:rsidRDefault="00E35B79" w:rsidP="00E35B79">
      <w:pPr>
        <w:pStyle w:val="Normlnywebov"/>
        <w:spacing w:before="0" w:beforeAutospacing="0" w:after="0" w:afterAutospacing="0"/>
        <w:rPr>
          <w:color w:val="000000"/>
          <w:sz w:val="22"/>
          <w:szCs w:val="22"/>
        </w:rPr>
      </w:pPr>
      <w:r w:rsidRPr="00E35B79">
        <w:rPr>
          <w:color w:val="000000"/>
          <w:sz w:val="22"/>
          <w:szCs w:val="22"/>
        </w:rPr>
        <w:t xml:space="preserve">Ulipristalacetát a jeho účinný mono-N-demetylovaný metabolit sa vylučujú do materského mlieka so strednou hodnotou AUCt pomeru mlieko/plazma 0,74 ± 0,32 pre ulipristalacetát. </w:t>
      </w:r>
    </w:p>
    <w:p w14:paraId="095BF7F1" w14:textId="77777777" w:rsidR="00080BA1" w:rsidRDefault="00080BA1" w:rsidP="00E35B79">
      <w:pPr>
        <w:pStyle w:val="Normlnywebov"/>
        <w:spacing w:before="0" w:beforeAutospacing="0" w:after="0" w:afterAutospacing="0"/>
        <w:rPr>
          <w:color w:val="000000"/>
          <w:sz w:val="22"/>
          <w:szCs w:val="22"/>
        </w:rPr>
      </w:pPr>
    </w:p>
    <w:p w14:paraId="44A9FC89" w14:textId="77777777" w:rsidR="00D657B5" w:rsidRPr="00D657B5" w:rsidRDefault="00D657B5" w:rsidP="00D657B5">
      <w:pPr>
        <w:overflowPunct/>
        <w:textAlignment w:val="auto"/>
        <w:rPr>
          <w:color w:val="000000"/>
          <w:sz w:val="22"/>
          <w:szCs w:val="22"/>
          <w:u w:val="single"/>
        </w:rPr>
      </w:pPr>
      <w:r w:rsidRPr="00D657B5">
        <w:rPr>
          <w:color w:val="000000"/>
          <w:sz w:val="22"/>
          <w:szCs w:val="22"/>
          <w:u w:val="single"/>
        </w:rPr>
        <w:t xml:space="preserve">Biotransformácia/Eliminácia </w:t>
      </w:r>
    </w:p>
    <w:p w14:paraId="4849F181" w14:textId="77777777" w:rsidR="00D657B5" w:rsidRPr="00D657B5" w:rsidRDefault="00D657B5" w:rsidP="00D657B5">
      <w:pPr>
        <w:overflowPunct/>
        <w:textAlignment w:val="auto"/>
        <w:rPr>
          <w:color w:val="000000"/>
          <w:sz w:val="22"/>
          <w:szCs w:val="22"/>
        </w:rPr>
      </w:pPr>
      <w:r w:rsidRPr="00D657B5">
        <w:rPr>
          <w:color w:val="000000"/>
          <w:sz w:val="22"/>
          <w:szCs w:val="22"/>
        </w:rPr>
        <w:t xml:space="preserve">Ulipristalacetát sa ľahko premieňa na svoj mono-N-demetylovaný metabolit a následne na jeho di-N-demetylované metabolity. Z údajov </w:t>
      </w:r>
      <w:r w:rsidRPr="00D657B5">
        <w:rPr>
          <w:i/>
          <w:iCs/>
          <w:color w:val="000000"/>
          <w:sz w:val="22"/>
          <w:szCs w:val="22"/>
        </w:rPr>
        <w:t xml:space="preserve">in vitro </w:t>
      </w:r>
      <w:r w:rsidRPr="00D657B5">
        <w:rPr>
          <w:color w:val="000000"/>
          <w:sz w:val="22"/>
          <w:szCs w:val="22"/>
        </w:rPr>
        <w:t xml:space="preserve">vyplýva, že tento produkt sprostredkúva predovšetkým izoforma 3A4 cytochrómu P450 (CYP3A4). Hlavnou cestou vylučovania je vylučovanie stolicou a menej ako 10 % sa vylučuje močom. Terminálny polčas ulipristalacetátu v plazme po jednej 5 mg alebo 10 mg dávke sa odhaduje na 38 hodín s priemerným perorálnym klírensom (CL/F) približne 100 l/h. </w:t>
      </w:r>
    </w:p>
    <w:p w14:paraId="57C2C49E" w14:textId="77777777" w:rsidR="00D657B5" w:rsidRPr="00D657B5" w:rsidRDefault="00D657B5" w:rsidP="00D657B5">
      <w:pPr>
        <w:overflowPunct/>
        <w:textAlignment w:val="auto"/>
        <w:rPr>
          <w:color w:val="000000"/>
          <w:sz w:val="22"/>
          <w:szCs w:val="22"/>
        </w:rPr>
      </w:pPr>
      <w:r w:rsidRPr="00D657B5">
        <w:rPr>
          <w:color w:val="000000"/>
          <w:sz w:val="22"/>
          <w:szCs w:val="22"/>
        </w:rPr>
        <w:t xml:space="preserve">Z údajov </w:t>
      </w:r>
      <w:r w:rsidRPr="00D657B5">
        <w:rPr>
          <w:i/>
          <w:iCs/>
          <w:color w:val="000000"/>
          <w:sz w:val="22"/>
          <w:szCs w:val="22"/>
        </w:rPr>
        <w:t xml:space="preserve">in vitro </w:t>
      </w:r>
      <w:r w:rsidRPr="00D657B5">
        <w:rPr>
          <w:color w:val="000000"/>
          <w:sz w:val="22"/>
          <w:szCs w:val="22"/>
        </w:rPr>
        <w:t xml:space="preserve">vyplýva, že ulipristalacetát a jeho účinný metabolit neinhibujú CYP1A2, 2A6, 2C9, 2C19, 2D6, 2E1 a 3A4 ani neindukujú CYP1A2 v klinicky relevantných koncentráciách. Z toho dôvodu nie je pravdepodobné, že by podávanie ulipristalacetátu zmenilo klírens liekov, ktoré sú metabolizované týmito enzýmami. </w:t>
      </w:r>
    </w:p>
    <w:p w14:paraId="25982313" w14:textId="65FDCAAC" w:rsidR="00FA684F" w:rsidRPr="00431EED" w:rsidRDefault="00D657B5" w:rsidP="00D657B5">
      <w:pPr>
        <w:pStyle w:val="Normlnywebov"/>
        <w:spacing w:before="0" w:beforeAutospacing="0" w:after="0" w:afterAutospacing="0"/>
        <w:rPr>
          <w:rStyle w:val="Zvraznenie"/>
          <w:sz w:val="22"/>
          <w:szCs w:val="22"/>
        </w:rPr>
      </w:pPr>
      <w:r w:rsidRPr="00D657B5">
        <w:rPr>
          <w:color w:val="000000"/>
          <w:sz w:val="22"/>
          <w:szCs w:val="22"/>
        </w:rPr>
        <w:t xml:space="preserve">Z údajov </w:t>
      </w:r>
      <w:r w:rsidRPr="00D657B5">
        <w:rPr>
          <w:i/>
          <w:iCs/>
          <w:color w:val="000000"/>
          <w:sz w:val="22"/>
          <w:szCs w:val="22"/>
        </w:rPr>
        <w:t xml:space="preserve">in vitro </w:t>
      </w:r>
      <w:r w:rsidRPr="00D657B5">
        <w:rPr>
          <w:color w:val="000000"/>
          <w:sz w:val="22"/>
          <w:szCs w:val="22"/>
        </w:rPr>
        <w:t>vyplýva, že ulipristalacetát a jeho aktívny metabolit nie sú substrátmi P-gp (ABCB1).</w:t>
      </w:r>
    </w:p>
    <w:p w14:paraId="0E5D0484" w14:textId="77777777" w:rsidR="00D657B5" w:rsidRDefault="00D657B5" w:rsidP="00FA684F">
      <w:pPr>
        <w:pStyle w:val="Normlnywebov"/>
        <w:spacing w:before="0" w:beforeAutospacing="0" w:after="0" w:afterAutospacing="0"/>
        <w:rPr>
          <w:rStyle w:val="Zvraznenie"/>
          <w:i w:val="0"/>
          <w:sz w:val="22"/>
          <w:szCs w:val="22"/>
          <w:u w:val="single"/>
        </w:rPr>
      </w:pPr>
    </w:p>
    <w:p w14:paraId="0B6C8366" w14:textId="6448C442" w:rsidR="00D657B5" w:rsidRPr="00D657B5" w:rsidRDefault="00D657B5" w:rsidP="00D657B5">
      <w:pPr>
        <w:overflowPunct/>
        <w:textAlignment w:val="auto"/>
        <w:rPr>
          <w:color w:val="000000"/>
          <w:sz w:val="22"/>
          <w:szCs w:val="22"/>
          <w:u w:val="single"/>
        </w:rPr>
      </w:pPr>
      <w:r w:rsidRPr="00D657B5">
        <w:rPr>
          <w:color w:val="000000"/>
          <w:sz w:val="22"/>
          <w:szCs w:val="22"/>
          <w:u w:val="single"/>
        </w:rPr>
        <w:t xml:space="preserve">Osobitné skupiny </w:t>
      </w:r>
    </w:p>
    <w:p w14:paraId="4E14775C" w14:textId="3F2C1ECE" w:rsidR="00EA397B" w:rsidRPr="00431EED" w:rsidRDefault="00D657B5" w:rsidP="00D657B5">
      <w:pPr>
        <w:tabs>
          <w:tab w:val="left" w:pos="567"/>
        </w:tabs>
        <w:rPr>
          <w:sz w:val="22"/>
          <w:szCs w:val="22"/>
        </w:rPr>
      </w:pPr>
      <w:r w:rsidRPr="00D657B5">
        <w:rPr>
          <w:color w:val="000000"/>
          <w:sz w:val="22"/>
          <w:szCs w:val="22"/>
        </w:rPr>
        <w:t xml:space="preserve">Neuskutočnili sa žiadne farmakokinetické štúdie s ulipristalacetátom v prípade žien s </w:t>
      </w:r>
      <w:r w:rsidR="00080BA1">
        <w:rPr>
          <w:color w:val="000000"/>
          <w:sz w:val="22"/>
          <w:szCs w:val="22"/>
        </w:rPr>
        <w:t>poruchou</w:t>
      </w:r>
      <w:r w:rsidR="00080BA1" w:rsidRPr="00D657B5">
        <w:rPr>
          <w:color w:val="000000"/>
          <w:sz w:val="22"/>
          <w:szCs w:val="22"/>
        </w:rPr>
        <w:t xml:space="preserve"> funkci</w:t>
      </w:r>
      <w:r w:rsidR="00080BA1">
        <w:rPr>
          <w:color w:val="000000"/>
          <w:sz w:val="22"/>
          <w:szCs w:val="22"/>
        </w:rPr>
        <w:t>e</w:t>
      </w:r>
      <w:r w:rsidR="00080BA1" w:rsidRPr="00D657B5">
        <w:rPr>
          <w:color w:val="000000"/>
          <w:sz w:val="22"/>
          <w:szCs w:val="22"/>
        </w:rPr>
        <w:t xml:space="preserve"> </w:t>
      </w:r>
      <w:r w:rsidRPr="00D657B5">
        <w:rPr>
          <w:color w:val="000000"/>
          <w:sz w:val="22"/>
          <w:szCs w:val="22"/>
        </w:rPr>
        <w:t xml:space="preserve">obličiek alebo pečene. V dôsledku metabolizmu sprostredkovaného enzýmami CYP sa očakáva, že </w:t>
      </w:r>
      <w:r w:rsidR="00080BA1">
        <w:rPr>
          <w:color w:val="000000"/>
          <w:sz w:val="22"/>
          <w:szCs w:val="22"/>
        </w:rPr>
        <w:t>porucha</w:t>
      </w:r>
      <w:r w:rsidR="00080BA1" w:rsidRPr="00D657B5">
        <w:rPr>
          <w:color w:val="000000"/>
          <w:sz w:val="22"/>
          <w:szCs w:val="22"/>
        </w:rPr>
        <w:t xml:space="preserve"> </w:t>
      </w:r>
      <w:r w:rsidRPr="00D657B5">
        <w:rPr>
          <w:color w:val="000000"/>
          <w:sz w:val="22"/>
          <w:szCs w:val="22"/>
        </w:rPr>
        <w:t xml:space="preserve">funkcie pečene zmení vylučovanie ulipristalacetátu, čo povedie k zvýšenej expozícii. </w:t>
      </w:r>
      <w:r w:rsidR="00F65974">
        <w:rPr>
          <w:color w:val="000000"/>
          <w:sz w:val="22"/>
          <w:szCs w:val="22"/>
        </w:rPr>
        <w:t>Uli</w:t>
      </w:r>
      <w:r w:rsidR="001D60F7">
        <w:rPr>
          <w:color w:val="000000"/>
          <w:sz w:val="22"/>
          <w:szCs w:val="22"/>
        </w:rPr>
        <w:t>myo</w:t>
      </w:r>
      <w:r w:rsidRPr="00D657B5">
        <w:rPr>
          <w:color w:val="000000"/>
          <w:sz w:val="22"/>
          <w:szCs w:val="22"/>
        </w:rPr>
        <w:t xml:space="preserve"> je kontraindikovan</w:t>
      </w:r>
      <w:r w:rsidR="001D60F7">
        <w:rPr>
          <w:color w:val="000000"/>
          <w:sz w:val="22"/>
          <w:szCs w:val="22"/>
        </w:rPr>
        <w:t>é</w:t>
      </w:r>
      <w:r w:rsidRPr="00D657B5">
        <w:rPr>
          <w:color w:val="000000"/>
          <w:sz w:val="22"/>
          <w:szCs w:val="22"/>
        </w:rPr>
        <w:t xml:space="preserve"> u pacientok s </w:t>
      </w:r>
      <w:r w:rsidR="00080BA1">
        <w:rPr>
          <w:color w:val="000000"/>
          <w:sz w:val="22"/>
          <w:szCs w:val="22"/>
        </w:rPr>
        <w:t>ochorením</w:t>
      </w:r>
      <w:r w:rsidR="00080BA1" w:rsidRPr="00D657B5">
        <w:rPr>
          <w:color w:val="000000"/>
          <w:sz w:val="22"/>
          <w:szCs w:val="22"/>
        </w:rPr>
        <w:t xml:space="preserve"> </w:t>
      </w:r>
      <w:r w:rsidRPr="00D657B5">
        <w:rPr>
          <w:color w:val="000000"/>
          <w:sz w:val="22"/>
          <w:szCs w:val="22"/>
        </w:rPr>
        <w:t>pečene (pozri časti 4.3 a 4.4).</w:t>
      </w:r>
    </w:p>
    <w:p w14:paraId="37E007E8" w14:textId="77777777" w:rsidR="00D657B5" w:rsidRDefault="00D657B5" w:rsidP="00B33398">
      <w:pPr>
        <w:keepNext/>
        <w:tabs>
          <w:tab w:val="left" w:pos="567"/>
        </w:tabs>
        <w:rPr>
          <w:b/>
          <w:sz w:val="22"/>
          <w:szCs w:val="22"/>
        </w:rPr>
      </w:pPr>
    </w:p>
    <w:p w14:paraId="03A298D6" w14:textId="77777777" w:rsidR="00553C00" w:rsidRPr="00431EED" w:rsidRDefault="009C6218" w:rsidP="009A7400">
      <w:pPr>
        <w:tabs>
          <w:tab w:val="left" w:pos="567"/>
        </w:tabs>
        <w:rPr>
          <w:b/>
          <w:sz w:val="22"/>
          <w:szCs w:val="22"/>
        </w:rPr>
      </w:pPr>
      <w:r w:rsidRPr="00431EED">
        <w:rPr>
          <w:b/>
          <w:sz w:val="22"/>
          <w:szCs w:val="22"/>
        </w:rPr>
        <w:t>5.3</w:t>
      </w:r>
      <w:r w:rsidR="00553C00" w:rsidRPr="00431EED">
        <w:rPr>
          <w:b/>
          <w:sz w:val="22"/>
          <w:szCs w:val="22"/>
        </w:rPr>
        <w:tab/>
        <w:t>Predklinické údaje o</w:t>
      </w:r>
      <w:r w:rsidR="00726490" w:rsidRPr="00431EED">
        <w:rPr>
          <w:b/>
          <w:sz w:val="22"/>
          <w:szCs w:val="22"/>
        </w:rPr>
        <w:t> </w:t>
      </w:r>
      <w:r w:rsidR="00553C00" w:rsidRPr="00431EED">
        <w:rPr>
          <w:b/>
          <w:sz w:val="22"/>
          <w:szCs w:val="22"/>
        </w:rPr>
        <w:t>bezpečnosti</w:t>
      </w:r>
    </w:p>
    <w:p w14:paraId="0FCDFBB9" w14:textId="77777777" w:rsidR="00726490" w:rsidRPr="00431EED" w:rsidRDefault="00726490" w:rsidP="00797DB5">
      <w:pPr>
        <w:tabs>
          <w:tab w:val="left" w:pos="567"/>
        </w:tabs>
        <w:rPr>
          <w:b/>
          <w:sz w:val="22"/>
          <w:szCs w:val="22"/>
        </w:rPr>
      </w:pPr>
    </w:p>
    <w:p w14:paraId="70142185" w14:textId="77777777" w:rsidR="003C22B7" w:rsidRPr="003C22B7" w:rsidRDefault="003C22B7" w:rsidP="003C22B7">
      <w:pPr>
        <w:overflowPunct/>
        <w:textAlignment w:val="auto"/>
        <w:rPr>
          <w:color w:val="000000"/>
          <w:sz w:val="22"/>
          <w:szCs w:val="22"/>
        </w:rPr>
      </w:pPr>
      <w:r w:rsidRPr="003C22B7">
        <w:rPr>
          <w:color w:val="000000"/>
          <w:sz w:val="22"/>
          <w:szCs w:val="22"/>
        </w:rPr>
        <w:t xml:space="preserve">Predklinické údaje získané na základe obvyklých farmakologických štúdií bezpečnosti, toxicity po opakovanom podávaní a genotoxicity neodhalili žiadne osobitné riziko pre ľudí. </w:t>
      </w:r>
    </w:p>
    <w:p w14:paraId="4F56E1A1" w14:textId="77777777" w:rsidR="003C22B7" w:rsidRPr="003C22B7" w:rsidRDefault="003C22B7" w:rsidP="003C22B7">
      <w:pPr>
        <w:overflowPunct/>
        <w:textAlignment w:val="auto"/>
        <w:rPr>
          <w:color w:val="000000"/>
          <w:sz w:val="22"/>
          <w:szCs w:val="22"/>
        </w:rPr>
      </w:pPr>
      <w:r w:rsidRPr="003C22B7">
        <w:rPr>
          <w:color w:val="000000"/>
          <w:sz w:val="22"/>
          <w:szCs w:val="22"/>
        </w:rPr>
        <w:t xml:space="preserve">Väčšina zistení v štúdiách všeobecnej toxicity bola spojená s jeho účinkom na receptory progesterónu (a pri vyšších koncentráciách na receptory glukokortikoidov) s antiprogesterónovým účinkom pozorovaným pri expozíciách podobných terapeutickým hladinám. V štúdii trvajúcej 39 týždňov boli u opíc rodu Cynomolgus pri nízkych dávkach zaznamenané histologické zmeny podobné PAEC. </w:t>
      </w:r>
    </w:p>
    <w:p w14:paraId="2638A9B7" w14:textId="228A5CC7" w:rsidR="00553C00" w:rsidRDefault="003C22B7" w:rsidP="003C22B7">
      <w:pPr>
        <w:tabs>
          <w:tab w:val="left" w:pos="567"/>
        </w:tabs>
        <w:rPr>
          <w:color w:val="000000"/>
          <w:sz w:val="22"/>
          <w:szCs w:val="22"/>
        </w:rPr>
      </w:pPr>
      <w:r w:rsidRPr="003C22B7">
        <w:rPr>
          <w:color w:val="000000"/>
          <w:sz w:val="22"/>
          <w:szCs w:val="22"/>
        </w:rPr>
        <w:t>Ulipristalacetát má v dôsledku svojho mechanizmu účinku embryoletálny účinok v prípade potkanov, králikov (pri opakovaných dávkach vyšších ako 1 mg/kg), morčiat a opíc. Bezpečnosť pre ľudské embryo nie je známa. Pri dávkach, ktoré boli dosť nízke na udržanie gestácie v prípade živočíšnych druhov, sa nepozoroval žiadny teratogénny potenciál.</w:t>
      </w:r>
    </w:p>
    <w:p w14:paraId="311602DB" w14:textId="347846C1" w:rsidR="003C22B7" w:rsidRDefault="003C22B7" w:rsidP="003C22B7">
      <w:pPr>
        <w:tabs>
          <w:tab w:val="left" w:pos="567"/>
        </w:tabs>
        <w:rPr>
          <w:color w:val="000000"/>
          <w:sz w:val="22"/>
          <w:szCs w:val="22"/>
        </w:rPr>
      </w:pPr>
    </w:p>
    <w:p w14:paraId="40330B0D" w14:textId="77777777" w:rsidR="003C22B7" w:rsidRPr="003C22B7" w:rsidRDefault="003C22B7" w:rsidP="003C22B7">
      <w:pPr>
        <w:overflowPunct/>
        <w:textAlignment w:val="auto"/>
        <w:rPr>
          <w:color w:val="000000"/>
          <w:sz w:val="22"/>
          <w:szCs w:val="22"/>
        </w:rPr>
      </w:pPr>
      <w:r w:rsidRPr="003C22B7">
        <w:rPr>
          <w:color w:val="000000"/>
          <w:sz w:val="22"/>
          <w:szCs w:val="22"/>
        </w:rPr>
        <w:t xml:space="preserve">Reprodukčné štúdie na potkanoch pri dávkach poskytujúcich expozíciu v rovnakom rozsahu ako ľudská dávka neodhalili žiadny dôkaz narušenej fertility spôsobený ulipristalacetátom u liečených zvierat ani u potomkov liečených samíc. </w:t>
      </w:r>
    </w:p>
    <w:p w14:paraId="053F20A0" w14:textId="013BD7B5" w:rsidR="003C22B7" w:rsidRPr="00431EED" w:rsidRDefault="003C22B7" w:rsidP="003C22B7">
      <w:pPr>
        <w:tabs>
          <w:tab w:val="left" w:pos="567"/>
        </w:tabs>
        <w:rPr>
          <w:sz w:val="22"/>
          <w:szCs w:val="22"/>
          <w:u w:val="single"/>
        </w:rPr>
      </w:pPr>
      <w:r w:rsidRPr="003C22B7">
        <w:rPr>
          <w:color w:val="000000"/>
          <w:sz w:val="22"/>
          <w:szCs w:val="22"/>
        </w:rPr>
        <w:t>Štúdie karcinogenicity (na potkanoch a myšiach) ukázali, že ulipristalacetát nie je karcinogénny.</w:t>
      </w:r>
    </w:p>
    <w:p w14:paraId="66D39DE8" w14:textId="77777777" w:rsidR="00553C00" w:rsidRDefault="00553C00" w:rsidP="009A7400">
      <w:pPr>
        <w:tabs>
          <w:tab w:val="left" w:pos="567"/>
        </w:tabs>
        <w:rPr>
          <w:sz w:val="22"/>
          <w:szCs w:val="22"/>
        </w:rPr>
      </w:pPr>
    </w:p>
    <w:p w14:paraId="3E579E4F" w14:textId="77777777" w:rsidR="00244280" w:rsidRPr="00431EED" w:rsidRDefault="00244280" w:rsidP="009A7400">
      <w:pPr>
        <w:tabs>
          <w:tab w:val="left" w:pos="567"/>
        </w:tabs>
        <w:rPr>
          <w:sz w:val="22"/>
          <w:szCs w:val="22"/>
        </w:rPr>
      </w:pPr>
    </w:p>
    <w:p w14:paraId="5F5DB19C" w14:textId="77777777" w:rsidR="00553C00" w:rsidRPr="00431EED" w:rsidRDefault="00553C00" w:rsidP="009A7400">
      <w:pPr>
        <w:keepNext/>
        <w:numPr>
          <w:ilvl w:val="0"/>
          <w:numId w:val="12"/>
        </w:numPr>
        <w:tabs>
          <w:tab w:val="left" w:pos="567"/>
        </w:tabs>
        <w:ind w:left="0" w:firstLine="0"/>
        <w:rPr>
          <w:b/>
          <w:sz w:val="22"/>
          <w:szCs w:val="22"/>
        </w:rPr>
      </w:pPr>
      <w:r w:rsidRPr="00431EED">
        <w:rPr>
          <w:b/>
          <w:sz w:val="22"/>
          <w:szCs w:val="22"/>
        </w:rPr>
        <w:t>FARMACEUTICKÉ INFORMÁCIE</w:t>
      </w:r>
    </w:p>
    <w:p w14:paraId="28738FD4" w14:textId="77777777" w:rsidR="009C6218" w:rsidRPr="00431EED" w:rsidRDefault="009C6218" w:rsidP="009A7400">
      <w:pPr>
        <w:keepNext/>
        <w:tabs>
          <w:tab w:val="left" w:pos="567"/>
        </w:tabs>
        <w:rPr>
          <w:sz w:val="22"/>
          <w:szCs w:val="22"/>
        </w:rPr>
      </w:pPr>
    </w:p>
    <w:p w14:paraId="74618FE7" w14:textId="77777777" w:rsidR="00553C00" w:rsidRPr="00431EED" w:rsidRDefault="00553C00" w:rsidP="009A7400">
      <w:pPr>
        <w:keepNext/>
        <w:tabs>
          <w:tab w:val="left" w:pos="567"/>
        </w:tabs>
        <w:outlineLvl w:val="0"/>
        <w:rPr>
          <w:b/>
          <w:sz w:val="22"/>
          <w:szCs w:val="22"/>
        </w:rPr>
      </w:pPr>
      <w:r w:rsidRPr="00431EED">
        <w:rPr>
          <w:b/>
          <w:sz w:val="22"/>
          <w:szCs w:val="22"/>
        </w:rPr>
        <w:t>6.1</w:t>
      </w:r>
      <w:r w:rsidRPr="00431EED">
        <w:rPr>
          <w:b/>
          <w:sz w:val="22"/>
          <w:szCs w:val="22"/>
        </w:rPr>
        <w:tab/>
        <w:t>Zoznam pomocných látok</w:t>
      </w:r>
    </w:p>
    <w:p w14:paraId="5DDA9397" w14:textId="77777777" w:rsidR="009C6218" w:rsidRPr="00431EED" w:rsidRDefault="009C6218" w:rsidP="009A7400">
      <w:pPr>
        <w:keepNext/>
        <w:tabs>
          <w:tab w:val="left" w:pos="567"/>
        </w:tabs>
        <w:outlineLvl w:val="0"/>
        <w:rPr>
          <w:b/>
          <w:sz w:val="22"/>
          <w:szCs w:val="22"/>
        </w:rPr>
      </w:pPr>
    </w:p>
    <w:p w14:paraId="2F2476E9" w14:textId="5B80B3CF" w:rsidR="00002114" w:rsidRDefault="006343B8" w:rsidP="00002114">
      <w:pPr>
        <w:tabs>
          <w:tab w:val="left" w:pos="567"/>
        </w:tabs>
        <w:outlineLvl w:val="0"/>
        <w:rPr>
          <w:sz w:val="22"/>
          <w:szCs w:val="22"/>
        </w:rPr>
      </w:pPr>
      <w:r>
        <w:rPr>
          <w:sz w:val="22"/>
          <w:szCs w:val="22"/>
        </w:rPr>
        <w:t>p</w:t>
      </w:r>
      <w:r w:rsidR="003C22B7">
        <w:rPr>
          <w:sz w:val="22"/>
          <w:szCs w:val="22"/>
        </w:rPr>
        <w:t>ovidón (K29/32)</w:t>
      </w:r>
    </w:p>
    <w:p w14:paraId="737EE390" w14:textId="53D11469" w:rsidR="006343B8" w:rsidRPr="006343B8" w:rsidRDefault="00536E80" w:rsidP="00002114">
      <w:pPr>
        <w:tabs>
          <w:tab w:val="left" w:pos="567"/>
        </w:tabs>
        <w:outlineLvl w:val="0"/>
        <w:rPr>
          <w:sz w:val="22"/>
          <w:szCs w:val="22"/>
        </w:rPr>
      </w:pPr>
      <w:r>
        <w:rPr>
          <w:sz w:val="22"/>
          <w:szCs w:val="22"/>
        </w:rPr>
        <w:t>k</w:t>
      </w:r>
      <w:r w:rsidR="006343B8" w:rsidRPr="006343B8">
        <w:rPr>
          <w:sz w:val="22"/>
          <w:szCs w:val="22"/>
        </w:rPr>
        <w:t>arboxymetylškrobA</w:t>
      </w:r>
      <w:r>
        <w:rPr>
          <w:sz w:val="22"/>
          <w:szCs w:val="22"/>
        </w:rPr>
        <w:t>, s</w:t>
      </w:r>
      <w:r w:rsidRPr="006343B8">
        <w:rPr>
          <w:sz w:val="22"/>
          <w:szCs w:val="22"/>
        </w:rPr>
        <w:t>odná soľ</w:t>
      </w:r>
    </w:p>
    <w:p w14:paraId="76B98F88" w14:textId="6C9C17BD" w:rsidR="006343B8" w:rsidRDefault="006343B8" w:rsidP="00002114">
      <w:pPr>
        <w:tabs>
          <w:tab w:val="left" w:pos="567"/>
        </w:tabs>
        <w:outlineLvl w:val="0"/>
        <w:rPr>
          <w:sz w:val="22"/>
          <w:szCs w:val="22"/>
        </w:rPr>
      </w:pPr>
      <w:r>
        <w:rPr>
          <w:sz w:val="22"/>
          <w:szCs w:val="22"/>
        </w:rPr>
        <w:t>m</w:t>
      </w:r>
      <w:r w:rsidRPr="006343B8">
        <w:rPr>
          <w:sz w:val="22"/>
          <w:szCs w:val="22"/>
        </w:rPr>
        <w:t>ikrokryštalická celulóza</w:t>
      </w:r>
    </w:p>
    <w:p w14:paraId="3B47997C" w14:textId="48B97491" w:rsidR="006343B8" w:rsidRDefault="00536E80" w:rsidP="00002114">
      <w:pPr>
        <w:tabs>
          <w:tab w:val="left" w:pos="567"/>
        </w:tabs>
        <w:outlineLvl w:val="0"/>
        <w:rPr>
          <w:sz w:val="22"/>
          <w:szCs w:val="22"/>
        </w:rPr>
      </w:pPr>
      <w:r>
        <w:rPr>
          <w:sz w:val="22"/>
          <w:szCs w:val="22"/>
        </w:rPr>
        <w:t>l</w:t>
      </w:r>
      <w:r w:rsidR="006343B8">
        <w:rPr>
          <w:sz w:val="22"/>
          <w:szCs w:val="22"/>
        </w:rPr>
        <w:t>aktóz</w:t>
      </w:r>
      <w:r>
        <w:rPr>
          <w:sz w:val="22"/>
          <w:szCs w:val="22"/>
        </w:rPr>
        <w:t>a, monohydrát</w:t>
      </w:r>
    </w:p>
    <w:p w14:paraId="4A283B3A" w14:textId="7772B576" w:rsidR="006343B8" w:rsidRPr="00431EED" w:rsidRDefault="006343B8" w:rsidP="00002114">
      <w:pPr>
        <w:tabs>
          <w:tab w:val="left" w:pos="567"/>
        </w:tabs>
        <w:outlineLvl w:val="0"/>
        <w:rPr>
          <w:sz w:val="22"/>
          <w:szCs w:val="22"/>
        </w:rPr>
      </w:pPr>
      <w:r>
        <w:rPr>
          <w:sz w:val="22"/>
          <w:szCs w:val="22"/>
        </w:rPr>
        <w:t>stearan horečnatý</w:t>
      </w:r>
    </w:p>
    <w:p w14:paraId="5B614843" w14:textId="77777777" w:rsidR="00285AFF" w:rsidRPr="00431EED" w:rsidRDefault="00285AFF" w:rsidP="009A7400">
      <w:pPr>
        <w:tabs>
          <w:tab w:val="left" w:pos="567"/>
        </w:tabs>
        <w:outlineLvl w:val="0"/>
        <w:rPr>
          <w:sz w:val="22"/>
          <w:szCs w:val="22"/>
        </w:rPr>
      </w:pPr>
    </w:p>
    <w:p w14:paraId="36F0ED1F" w14:textId="77777777" w:rsidR="00553C00" w:rsidRPr="00431EED" w:rsidRDefault="00553C00" w:rsidP="009A7400">
      <w:pPr>
        <w:tabs>
          <w:tab w:val="left" w:pos="567"/>
        </w:tabs>
        <w:outlineLvl w:val="0"/>
        <w:rPr>
          <w:b/>
          <w:sz w:val="22"/>
          <w:szCs w:val="22"/>
        </w:rPr>
      </w:pPr>
      <w:r w:rsidRPr="00431EED">
        <w:rPr>
          <w:b/>
          <w:sz w:val="22"/>
          <w:szCs w:val="22"/>
        </w:rPr>
        <w:t>6.2</w:t>
      </w:r>
      <w:r w:rsidRPr="00431EED">
        <w:rPr>
          <w:b/>
          <w:sz w:val="22"/>
          <w:szCs w:val="22"/>
        </w:rPr>
        <w:tab/>
        <w:t>Inkompatibility</w:t>
      </w:r>
    </w:p>
    <w:p w14:paraId="53C5A164" w14:textId="77777777" w:rsidR="008279EA" w:rsidRPr="00431EED" w:rsidRDefault="008279EA" w:rsidP="009A7400">
      <w:pPr>
        <w:tabs>
          <w:tab w:val="left" w:pos="567"/>
        </w:tabs>
        <w:outlineLvl w:val="0"/>
        <w:rPr>
          <w:b/>
          <w:sz w:val="22"/>
          <w:szCs w:val="22"/>
        </w:rPr>
      </w:pPr>
    </w:p>
    <w:p w14:paraId="5FCD5F14" w14:textId="77777777" w:rsidR="00553C00" w:rsidRPr="00431EED" w:rsidRDefault="006B690A" w:rsidP="009A7400">
      <w:pPr>
        <w:tabs>
          <w:tab w:val="left" w:pos="567"/>
        </w:tabs>
        <w:rPr>
          <w:sz w:val="22"/>
          <w:szCs w:val="22"/>
        </w:rPr>
      </w:pPr>
      <w:r w:rsidRPr="00431EED">
        <w:rPr>
          <w:sz w:val="22"/>
          <w:szCs w:val="22"/>
        </w:rPr>
        <w:t>Neaplikovateľné</w:t>
      </w:r>
    </w:p>
    <w:p w14:paraId="64C575BA" w14:textId="77777777" w:rsidR="00553C00" w:rsidRPr="00431EED" w:rsidRDefault="00553C00" w:rsidP="009A7400">
      <w:pPr>
        <w:tabs>
          <w:tab w:val="left" w:pos="567"/>
        </w:tabs>
        <w:rPr>
          <w:b/>
          <w:sz w:val="22"/>
          <w:szCs w:val="22"/>
        </w:rPr>
      </w:pPr>
    </w:p>
    <w:p w14:paraId="06425D41" w14:textId="77777777" w:rsidR="00553C00" w:rsidRPr="00431EED" w:rsidRDefault="009C6218" w:rsidP="009A7400">
      <w:pPr>
        <w:tabs>
          <w:tab w:val="left" w:pos="567"/>
        </w:tabs>
        <w:rPr>
          <w:b/>
          <w:sz w:val="22"/>
          <w:szCs w:val="22"/>
        </w:rPr>
      </w:pPr>
      <w:r w:rsidRPr="00431EED">
        <w:rPr>
          <w:b/>
          <w:sz w:val="22"/>
          <w:szCs w:val="22"/>
        </w:rPr>
        <w:t>6.3</w:t>
      </w:r>
      <w:r w:rsidR="00553C00" w:rsidRPr="00431EED">
        <w:rPr>
          <w:b/>
          <w:sz w:val="22"/>
          <w:szCs w:val="22"/>
        </w:rPr>
        <w:tab/>
        <w:t>Čas použiteľnosti</w:t>
      </w:r>
    </w:p>
    <w:p w14:paraId="3B0043AE" w14:textId="77777777" w:rsidR="008279EA" w:rsidRPr="00431EED" w:rsidRDefault="008279EA" w:rsidP="00C539F8">
      <w:pPr>
        <w:tabs>
          <w:tab w:val="left" w:pos="567"/>
        </w:tabs>
        <w:jc w:val="both"/>
        <w:rPr>
          <w:b/>
          <w:sz w:val="22"/>
          <w:szCs w:val="22"/>
        </w:rPr>
      </w:pPr>
    </w:p>
    <w:p w14:paraId="1431457A" w14:textId="69833D4C" w:rsidR="00553C00" w:rsidRPr="00431EED" w:rsidRDefault="003C142C" w:rsidP="009A7400">
      <w:pPr>
        <w:tabs>
          <w:tab w:val="left" w:pos="567"/>
        </w:tabs>
        <w:rPr>
          <w:sz w:val="22"/>
          <w:szCs w:val="22"/>
        </w:rPr>
      </w:pPr>
      <w:r>
        <w:rPr>
          <w:sz w:val="22"/>
          <w:szCs w:val="22"/>
        </w:rPr>
        <w:t>2</w:t>
      </w:r>
      <w:r w:rsidR="00797DB5" w:rsidRPr="00431EED">
        <w:rPr>
          <w:sz w:val="22"/>
          <w:szCs w:val="22"/>
        </w:rPr>
        <w:t xml:space="preserve"> </w:t>
      </w:r>
      <w:r w:rsidR="006B690A" w:rsidRPr="00431EED">
        <w:rPr>
          <w:sz w:val="22"/>
          <w:szCs w:val="22"/>
        </w:rPr>
        <w:t>roky</w:t>
      </w:r>
    </w:p>
    <w:p w14:paraId="414315F0" w14:textId="77777777" w:rsidR="00553C00" w:rsidRPr="00431EED" w:rsidRDefault="00553C00" w:rsidP="009A7400">
      <w:pPr>
        <w:tabs>
          <w:tab w:val="left" w:pos="567"/>
        </w:tabs>
        <w:rPr>
          <w:sz w:val="22"/>
          <w:szCs w:val="22"/>
        </w:rPr>
      </w:pPr>
    </w:p>
    <w:p w14:paraId="45AD7001" w14:textId="77777777" w:rsidR="00553C00" w:rsidRPr="00431EED" w:rsidRDefault="009C6218" w:rsidP="009A7400">
      <w:pPr>
        <w:tabs>
          <w:tab w:val="left" w:pos="567"/>
        </w:tabs>
        <w:outlineLvl w:val="0"/>
        <w:rPr>
          <w:b/>
          <w:sz w:val="22"/>
          <w:szCs w:val="22"/>
        </w:rPr>
      </w:pPr>
      <w:r w:rsidRPr="00431EED">
        <w:rPr>
          <w:b/>
          <w:sz w:val="22"/>
          <w:szCs w:val="22"/>
        </w:rPr>
        <w:t>6.4</w:t>
      </w:r>
      <w:r w:rsidRPr="00431EED">
        <w:rPr>
          <w:b/>
          <w:sz w:val="22"/>
          <w:szCs w:val="22"/>
        </w:rPr>
        <w:tab/>
      </w:r>
      <w:r w:rsidR="00476881" w:rsidRPr="00431EED">
        <w:rPr>
          <w:b/>
          <w:sz w:val="22"/>
          <w:szCs w:val="22"/>
        </w:rPr>
        <w:t>Špeciálne upozornenia na uchovávanie</w:t>
      </w:r>
    </w:p>
    <w:p w14:paraId="29AEABB5" w14:textId="77777777" w:rsidR="008279EA" w:rsidRPr="00431EED" w:rsidRDefault="008279EA" w:rsidP="009A7400">
      <w:pPr>
        <w:tabs>
          <w:tab w:val="left" w:pos="567"/>
        </w:tabs>
        <w:outlineLvl w:val="0"/>
        <w:rPr>
          <w:b/>
          <w:sz w:val="22"/>
          <w:szCs w:val="22"/>
        </w:rPr>
      </w:pPr>
    </w:p>
    <w:p w14:paraId="36D9318A" w14:textId="3D4CEAAD" w:rsidR="00C5127D" w:rsidRDefault="00C5127D" w:rsidP="009A7400">
      <w:pPr>
        <w:tabs>
          <w:tab w:val="left" w:pos="567"/>
        </w:tabs>
        <w:rPr>
          <w:sz w:val="22"/>
          <w:szCs w:val="22"/>
        </w:rPr>
      </w:pPr>
      <w:r>
        <w:rPr>
          <w:sz w:val="22"/>
          <w:szCs w:val="22"/>
        </w:rPr>
        <w:t>Tento liek nevyžaduje žiadne zvláštne</w:t>
      </w:r>
      <w:r w:rsidR="00536E80">
        <w:rPr>
          <w:sz w:val="22"/>
          <w:szCs w:val="22"/>
        </w:rPr>
        <w:t xml:space="preserve"> teplotné</w:t>
      </w:r>
      <w:r>
        <w:rPr>
          <w:sz w:val="22"/>
          <w:szCs w:val="22"/>
        </w:rPr>
        <w:t xml:space="preserve"> podmienky na uchovávanie.</w:t>
      </w:r>
    </w:p>
    <w:p w14:paraId="2A5E7844" w14:textId="6CCAB045" w:rsidR="00C20BB9" w:rsidRDefault="003C142C" w:rsidP="009A7400">
      <w:pPr>
        <w:tabs>
          <w:tab w:val="left" w:pos="567"/>
        </w:tabs>
        <w:rPr>
          <w:sz w:val="22"/>
          <w:szCs w:val="22"/>
        </w:rPr>
      </w:pPr>
      <w:r>
        <w:rPr>
          <w:sz w:val="22"/>
          <w:szCs w:val="22"/>
        </w:rPr>
        <w:t>Blistre uchovávajte v pôvodnom obale na ochranu pred svetlom.</w:t>
      </w:r>
    </w:p>
    <w:p w14:paraId="03F1CEBA" w14:textId="77777777" w:rsidR="003C142C" w:rsidRDefault="003C142C" w:rsidP="009A7400">
      <w:pPr>
        <w:tabs>
          <w:tab w:val="left" w:pos="567"/>
        </w:tabs>
        <w:rPr>
          <w:b/>
          <w:sz w:val="22"/>
          <w:szCs w:val="22"/>
        </w:rPr>
      </w:pPr>
    </w:p>
    <w:p w14:paraId="05388074" w14:textId="77777777" w:rsidR="00553C00" w:rsidRPr="00431EED" w:rsidRDefault="00C1739F" w:rsidP="009A7400">
      <w:pPr>
        <w:tabs>
          <w:tab w:val="left" w:pos="567"/>
        </w:tabs>
        <w:rPr>
          <w:b/>
          <w:sz w:val="22"/>
          <w:szCs w:val="22"/>
        </w:rPr>
      </w:pPr>
      <w:r w:rsidRPr="00431EED">
        <w:rPr>
          <w:b/>
          <w:sz w:val="22"/>
          <w:szCs w:val="22"/>
        </w:rPr>
        <w:t>6.5</w:t>
      </w:r>
      <w:r w:rsidRPr="00431EED">
        <w:rPr>
          <w:b/>
          <w:sz w:val="22"/>
          <w:szCs w:val="22"/>
        </w:rPr>
        <w:tab/>
        <w:t>Druh obalu a obsah balenia</w:t>
      </w:r>
    </w:p>
    <w:p w14:paraId="63A49B02" w14:textId="77777777" w:rsidR="006B690A" w:rsidRPr="00431EED" w:rsidRDefault="006B690A" w:rsidP="009A7400">
      <w:pPr>
        <w:tabs>
          <w:tab w:val="left" w:pos="567"/>
        </w:tabs>
        <w:rPr>
          <w:b/>
          <w:sz w:val="22"/>
          <w:szCs w:val="22"/>
        </w:rPr>
      </w:pPr>
    </w:p>
    <w:p w14:paraId="61E19942" w14:textId="371A6C72" w:rsidR="002F0F70" w:rsidRPr="00431EED" w:rsidRDefault="00031E91" w:rsidP="002F0F70">
      <w:pPr>
        <w:jc w:val="both"/>
        <w:rPr>
          <w:sz w:val="22"/>
          <w:szCs w:val="22"/>
        </w:rPr>
      </w:pPr>
      <w:r w:rsidRPr="00031E91">
        <w:rPr>
          <w:sz w:val="22"/>
          <w:szCs w:val="22"/>
        </w:rPr>
        <w:t>PVC/PVDC-hliníkové blistre.</w:t>
      </w:r>
      <w:r w:rsidRPr="00031E91">
        <w:rPr>
          <w:sz w:val="22"/>
          <w:szCs w:val="22"/>
        </w:rPr>
        <w:br/>
        <w:t>Balenie 28 tabliet (2 blistre po 14 tabl</w:t>
      </w:r>
      <w:r>
        <w:rPr>
          <w:sz w:val="22"/>
          <w:szCs w:val="22"/>
        </w:rPr>
        <w:t>iet</w:t>
      </w:r>
      <w:r w:rsidRPr="00031E91">
        <w:rPr>
          <w:sz w:val="22"/>
          <w:szCs w:val="22"/>
        </w:rPr>
        <w:t>).</w:t>
      </w:r>
      <w:r w:rsidRPr="00031E91">
        <w:rPr>
          <w:sz w:val="22"/>
          <w:szCs w:val="22"/>
        </w:rPr>
        <w:br/>
      </w:r>
      <w:r w:rsidRPr="00031E91">
        <w:rPr>
          <w:sz w:val="22"/>
          <w:szCs w:val="22"/>
        </w:rPr>
        <w:br/>
      </w:r>
      <w:r w:rsidR="002F0F70" w:rsidRPr="00431EED">
        <w:rPr>
          <w:sz w:val="22"/>
          <w:szCs w:val="22"/>
        </w:rPr>
        <w:t>Na trh nemusia byť uvedené všetky veľkosti balenia.</w:t>
      </w:r>
    </w:p>
    <w:p w14:paraId="26C1518B" w14:textId="77777777" w:rsidR="007941BB" w:rsidRPr="00431EED" w:rsidRDefault="007941BB" w:rsidP="009A7400">
      <w:pPr>
        <w:tabs>
          <w:tab w:val="left" w:pos="567"/>
        </w:tabs>
        <w:rPr>
          <w:sz w:val="22"/>
          <w:szCs w:val="22"/>
        </w:rPr>
      </w:pPr>
    </w:p>
    <w:p w14:paraId="0A04D7D5" w14:textId="77777777" w:rsidR="00553C00" w:rsidRPr="00431EED" w:rsidRDefault="00D537B7" w:rsidP="009A7400">
      <w:pPr>
        <w:tabs>
          <w:tab w:val="left" w:pos="567"/>
        </w:tabs>
        <w:rPr>
          <w:b/>
          <w:sz w:val="22"/>
          <w:szCs w:val="22"/>
        </w:rPr>
      </w:pPr>
      <w:r w:rsidRPr="00431EED">
        <w:rPr>
          <w:b/>
          <w:sz w:val="22"/>
          <w:szCs w:val="22"/>
        </w:rPr>
        <w:t>6.6</w:t>
      </w:r>
      <w:r w:rsidR="00553C00" w:rsidRPr="00431EED">
        <w:rPr>
          <w:b/>
          <w:sz w:val="22"/>
          <w:szCs w:val="22"/>
        </w:rPr>
        <w:tab/>
      </w:r>
      <w:r w:rsidR="00476881" w:rsidRPr="00431EED">
        <w:rPr>
          <w:b/>
          <w:sz w:val="22"/>
          <w:szCs w:val="22"/>
        </w:rPr>
        <w:t>Špeciálne opatrenia na likvidáciu a iné zaobchádzanie s liekom</w:t>
      </w:r>
    </w:p>
    <w:p w14:paraId="76D8CE3B" w14:textId="77777777" w:rsidR="008279EA" w:rsidRPr="00431EED" w:rsidRDefault="008279EA" w:rsidP="009A7400">
      <w:pPr>
        <w:tabs>
          <w:tab w:val="left" w:pos="567"/>
        </w:tabs>
        <w:rPr>
          <w:b/>
          <w:sz w:val="22"/>
          <w:szCs w:val="22"/>
        </w:rPr>
      </w:pPr>
    </w:p>
    <w:p w14:paraId="436AAB3C" w14:textId="26814D4D" w:rsidR="001A68ED" w:rsidRPr="000027B0" w:rsidRDefault="000027B0" w:rsidP="009A7400">
      <w:pPr>
        <w:tabs>
          <w:tab w:val="left" w:pos="567"/>
        </w:tabs>
        <w:rPr>
          <w:b/>
          <w:sz w:val="22"/>
          <w:szCs w:val="22"/>
        </w:rPr>
      </w:pPr>
      <w:r w:rsidRPr="000027B0">
        <w:rPr>
          <w:sz w:val="22"/>
          <w:szCs w:val="22"/>
        </w:rPr>
        <w:t xml:space="preserve">Tento liek je potenciálnym endokrinným </w:t>
      </w:r>
      <w:r w:rsidR="00D633F2">
        <w:rPr>
          <w:sz w:val="22"/>
          <w:szCs w:val="22"/>
        </w:rPr>
        <w:t>disruptorom</w:t>
      </w:r>
      <w:r w:rsidR="00D633F2" w:rsidRPr="000027B0">
        <w:rPr>
          <w:sz w:val="22"/>
          <w:szCs w:val="22"/>
        </w:rPr>
        <w:t xml:space="preserve"> </w:t>
      </w:r>
      <w:r w:rsidRPr="000027B0">
        <w:rPr>
          <w:sz w:val="22"/>
          <w:szCs w:val="22"/>
        </w:rPr>
        <w:t>a preto môže predstavovať riziko pre životné prostredie.</w:t>
      </w:r>
    </w:p>
    <w:p w14:paraId="6E37EBD8" w14:textId="363D0580" w:rsidR="00777920" w:rsidRPr="00431EED" w:rsidRDefault="00D633F2" w:rsidP="009A7400">
      <w:pPr>
        <w:ind w:left="-38"/>
        <w:rPr>
          <w:sz w:val="22"/>
          <w:szCs w:val="22"/>
        </w:rPr>
      </w:pPr>
      <w:r>
        <w:rPr>
          <w:sz w:val="22"/>
          <w:szCs w:val="22"/>
        </w:rPr>
        <w:t>Všetok n</w:t>
      </w:r>
      <w:r w:rsidR="006B690A" w:rsidRPr="00431EED">
        <w:rPr>
          <w:sz w:val="22"/>
          <w:szCs w:val="22"/>
        </w:rPr>
        <w:t xml:space="preserve">epoužitý liek alebo odpad </w:t>
      </w:r>
      <w:r w:rsidR="00777920" w:rsidRPr="00431EED">
        <w:rPr>
          <w:sz w:val="22"/>
          <w:szCs w:val="22"/>
        </w:rPr>
        <w:t>vzniknutý z</w:t>
      </w:r>
      <w:r>
        <w:rPr>
          <w:sz w:val="22"/>
          <w:szCs w:val="22"/>
        </w:rPr>
        <w:t> </w:t>
      </w:r>
      <w:r w:rsidR="00777920" w:rsidRPr="00431EED">
        <w:rPr>
          <w:sz w:val="22"/>
          <w:szCs w:val="22"/>
        </w:rPr>
        <w:t>lieku</w:t>
      </w:r>
      <w:r>
        <w:rPr>
          <w:sz w:val="22"/>
          <w:szCs w:val="22"/>
        </w:rPr>
        <w:t xml:space="preserve"> sa</w:t>
      </w:r>
      <w:r w:rsidR="00777920" w:rsidRPr="00431EED">
        <w:rPr>
          <w:sz w:val="22"/>
          <w:szCs w:val="22"/>
        </w:rPr>
        <w:t xml:space="preserve"> má </w:t>
      </w:r>
      <w:r>
        <w:rPr>
          <w:sz w:val="22"/>
          <w:szCs w:val="22"/>
        </w:rPr>
        <w:t xml:space="preserve">zlikvidovať </w:t>
      </w:r>
      <w:r w:rsidR="00777920" w:rsidRPr="00431EED">
        <w:rPr>
          <w:sz w:val="22"/>
          <w:szCs w:val="22"/>
        </w:rPr>
        <w:t>v súlade s národnými požiadavkami.</w:t>
      </w:r>
    </w:p>
    <w:p w14:paraId="725FAF82" w14:textId="77777777" w:rsidR="00553C00" w:rsidRPr="00431EED" w:rsidRDefault="00553C00" w:rsidP="009A7400">
      <w:pPr>
        <w:tabs>
          <w:tab w:val="left" w:pos="567"/>
        </w:tabs>
        <w:rPr>
          <w:sz w:val="22"/>
          <w:szCs w:val="22"/>
        </w:rPr>
      </w:pPr>
    </w:p>
    <w:p w14:paraId="5BDCF9BF" w14:textId="77777777" w:rsidR="00942477" w:rsidRPr="00431EED" w:rsidRDefault="00942477" w:rsidP="009A7400">
      <w:pPr>
        <w:tabs>
          <w:tab w:val="left" w:pos="567"/>
        </w:tabs>
        <w:rPr>
          <w:sz w:val="22"/>
          <w:szCs w:val="22"/>
        </w:rPr>
      </w:pPr>
    </w:p>
    <w:p w14:paraId="47660767" w14:textId="77777777" w:rsidR="00553C00" w:rsidRPr="00431EED" w:rsidRDefault="00942477" w:rsidP="009A7400">
      <w:pPr>
        <w:tabs>
          <w:tab w:val="left" w:pos="567"/>
        </w:tabs>
        <w:rPr>
          <w:b/>
          <w:sz w:val="22"/>
          <w:szCs w:val="22"/>
        </w:rPr>
      </w:pPr>
      <w:r w:rsidRPr="00431EED">
        <w:rPr>
          <w:b/>
          <w:sz w:val="22"/>
          <w:szCs w:val="22"/>
        </w:rPr>
        <w:t>7.</w:t>
      </w:r>
      <w:r w:rsidRPr="00431EED">
        <w:rPr>
          <w:b/>
          <w:sz w:val="22"/>
          <w:szCs w:val="22"/>
        </w:rPr>
        <w:tab/>
      </w:r>
      <w:r w:rsidR="00553C00" w:rsidRPr="00431EED">
        <w:rPr>
          <w:b/>
          <w:sz w:val="22"/>
          <w:szCs w:val="22"/>
        </w:rPr>
        <w:t>DRŽITEĽ ROZHODNUTIA O</w:t>
      </w:r>
      <w:r w:rsidR="008279EA" w:rsidRPr="00431EED">
        <w:rPr>
          <w:b/>
          <w:sz w:val="22"/>
          <w:szCs w:val="22"/>
        </w:rPr>
        <w:t> </w:t>
      </w:r>
      <w:r w:rsidR="00553C00" w:rsidRPr="00431EED">
        <w:rPr>
          <w:b/>
          <w:sz w:val="22"/>
          <w:szCs w:val="22"/>
        </w:rPr>
        <w:t>REGISTRÁCII</w:t>
      </w:r>
    </w:p>
    <w:p w14:paraId="3036CD4A" w14:textId="77777777" w:rsidR="00942477" w:rsidRPr="00431EED" w:rsidRDefault="00942477" w:rsidP="009A7400">
      <w:pPr>
        <w:tabs>
          <w:tab w:val="left" w:pos="567"/>
        </w:tabs>
        <w:rPr>
          <w:sz w:val="22"/>
          <w:szCs w:val="22"/>
        </w:rPr>
      </w:pPr>
    </w:p>
    <w:p w14:paraId="1B6B3931" w14:textId="77777777" w:rsidR="00136324" w:rsidRPr="00136324" w:rsidRDefault="00136324" w:rsidP="00136324">
      <w:pPr>
        <w:jc w:val="both"/>
        <w:rPr>
          <w:sz w:val="22"/>
          <w:szCs w:val="22"/>
          <w:lang w:val="cs-CZ"/>
        </w:rPr>
      </w:pPr>
      <w:r w:rsidRPr="00136324">
        <w:rPr>
          <w:sz w:val="22"/>
          <w:szCs w:val="22"/>
          <w:lang w:val="cs-CZ"/>
        </w:rPr>
        <w:t>Aristo Pharma GmbH</w:t>
      </w:r>
    </w:p>
    <w:p w14:paraId="7B7DCA50" w14:textId="77777777" w:rsidR="00136324" w:rsidRPr="00136324" w:rsidRDefault="00136324" w:rsidP="00136324">
      <w:pPr>
        <w:jc w:val="both"/>
        <w:rPr>
          <w:sz w:val="22"/>
          <w:szCs w:val="22"/>
          <w:lang w:val="cs-CZ"/>
        </w:rPr>
      </w:pPr>
      <w:r w:rsidRPr="00136324">
        <w:rPr>
          <w:sz w:val="22"/>
          <w:szCs w:val="22"/>
          <w:lang w:val="cs-CZ"/>
        </w:rPr>
        <w:t>Wallenroder Straße 8–10</w:t>
      </w:r>
    </w:p>
    <w:p w14:paraId="23C76423" w14:textId="77777777" w:rsidR="00136324" w:rsidRPr="00136324" w:rsidRDefault="00136324" w:rsidP="00136324">
      <w:pPr>
        <w:jc w:val="both"/>
        <w:rPr>
          <w:sz w:val="22"/>
          <w:szCs w:val="22"/>
          <w:lang w:val="cs-CZ"/>
        </w:rPr>
      </w:pPr>
      <w:r w:rsidRPr="00136324">
        <w:rPr>
          <w:sz w:val="22"/>
          <w:szCs w:val="22"/>
          <w:lang w:val="cs-CZ"/>
        </w:rPr>
        <w:t>13435 Berlín</w:t>
      </w:r>
    </w:p>
    <w:p w14:paraId="33595CF8" w14:textId="77777777" w:rsidR="00136324" w:rsidRPr="00136324" w:rsidRDefault="00136324" w:rsidP="00136324">
      <w:pPr>
        <w:rPr>
          <w:noProof/>
          <w:sz w:val="22"/>
          <w:szCs w:val="22"/>
          <w:lang w:val="es-ES"/>
        </w:rPr>
      </w:pPr>
      <w:r w:rsidRPr="00136324">
        <w:rPr>
          <w:sz w:val="22"/>
          <w:szCs w:val="22"/>
          <w:lang w:val="cs-CZ"/>
        </w:rPr>
        <w:t>Nemecko</w:t>
      </w:r>
    </w:p>
    <w:p w14:paraId="7DB49FF4" w14:textId="77777777" w:rsidR="00553C00" w:rsidRDefault="00553C00" w:rsidP="009A7400">
      <w:pPr>
        <w:tabs>
          <w:tab w:val="left" w:pos="567"/>
        </w:tabs>
        <w:rPr>
          <w:sz w:val="22"/>
          <w:szCs w:val="22"/>
        </w:rPr>
      </w:pPr>
    </w:p>
    <w:p w14:paraId="6A6CF4BE" w14:textId="77777777" w:rsidR="00D633F2" w:rsidRPr="00431EED" w:rsidRDefault="00D633F2" w:rsidP="009A7400">
      <w:pPr>
        <w:tabs>
          <w:tab w:val="left" w:pos="567"/>
        </w:tabs>
        <w:rPr>
          <w:sz w:val="22"/>
          <w:szCs w:val="22"/>
        </w:rPr>
      </w:pPr>
    </w:p>
    <w:p w14:paraId="04CDD6B4" w14:textId="77777777" w:rsidR="00553C00" w:rsidRPr="00431EED" w:rsidRDefault="00942477" w:rsidP="009A7400">
      <w:pPr>
        <w:tabs>
          <w:tab w:val="left" w:pos="567"/>
        </w:tabs>
        <w:rPr>
          <w:b/>
          <w:sz w:val="22"/>
          <w:szCs w:val="22"/>
        </w:rPr>
      </w:pPr>
      <w:r w:rsidRPr="00431EED">
        <w:rPr>
          <w:b/>
          <w:sz w:val="22"/>
          <w:szCs w:val="22"/>
        </w:rPr>
        <w:t>8.</w:t>
      </w:r>
      <w:r w:rsidRPr="00431EED">
        <w:rPr>
          <w:b/>
          <w:sz w:val="22"/>
          <w:szCs w:val="22"/>
        </w:rPr>
        <w:tab/>
      </w:r>
      <w:r w:rsidR="00553C00" w:rsidRPr="00431EED">
        <w:rPr>
          <w:b/>
          <w:sz w:val="22"/>
          <w:szCs w:val="22"/>
        </w:rPr>
        <w:t>REGISTRAČNÉ ČÍSLO</w:t>
      </w:r>
    </w:p>
    <w:p w14:paraId="67B260E6" w14:textId="77777777" w:rsidR="008279EA" w:rsidRDefault="008279EA" w:rsidP="009A7400">
      <w:pPr>
        <w:tabs>
          <w:tab w:val="left" w:pos="567"/>
        </w:tabs>
        <w:rPr>
          <w:b/>
          <w:sz w:val="22"/>
          <w:szCs w:val="22"/>
        </w:rPr>
      </w:pPr>
    </w:p>
    <w:p w14:paraId="24E11846" w14:textId="2DF36A70" w:rsidR="00D633F2" w:rsidRPr="00B64504" w:rsidRDefault="00DF406D" w:rsidP="009A7400">
      <w:pPr>
        <w:tabs>
          <w:tab w:val="left" w:pos="567"/>
        </w:tabs>
        <w:rPr>
          <w:sz w:val="22"/>
          <w:szCs w:val="22"/>
        </w:rPr>
      </w:pPr>
      <w:r w:rsidRPr="00B64504">
        <w:rPr>
          <w:sz w:val="22"/>
          <w:szCs w:val="22"/>
        </w:rPr>
        <w:t>54/0132/19-S</w:t>
      </w:r>
    </w:p>
    <w:p w14:paraId="6E470CC6" w14:textId="77777777" w:rsidR="00DF406D" w:rsidRPr="00431EED" w:rsidRDefault="00DF406D" w:rsidP="009A7400">
      <w:pPr>
        <w:tabs>
          <w:tab w:val="left" w:pos="567"/>
        </w:tabs>
        <w:rPr>
          <w:b/>
          <w:sz w:val="22"/>
          <w:szCs w:val="22"/>
        </w:rPr>
      </w:pPr>
    </w:p>
    <w:p w14:paraId="40DD57B8" w14:textId="77777777" w:rsidR="006371E1" w:rsidRDefault="006371E1" w:rsidP="009A7400">
      <w:pPr>
        <w:tabs>
          <w:tab w:val="left" w:pos="567"/>
        </w:tabs>
        <w:rPr>
          <w:sz w:val="22"/>
          <w:szCs w:val="22"/>
        </w:rPr>
      </w:pPr>
    </w:p>
    <w:p w14:paraId="3B2CFBDD" w14:textId="77777777" w:rsidR="00553C00" w:rsidRPr="00431EED" w:rsidRDefault="00942477" w:rsidP="009A7400">
      <w:pPr>
        <w:tabs>
          <w:tab w:val="left" w:pos="567"/>
        </w:tabs>
        <w:rPr>
          <w:b/>
          <w:sz w:val="22"/>
          <w:szCs w:val="22"/>
        </w:rPr>
      </w:pPr>
      <w:r w:rsidRPr="00431EED">
        <w:rPr>
          <w:b/>
          <w:sz w:val="22"/>
          <w:szCs w:val="22"/>
        </w:rPr>
        <w:t>9.</w:t>
      </w:r>
      <w:r w:rsidRPr="00431EED">
        <w:rPr>
          <w:b/>
          <w:sz w:val="22"/>
          <w:szCs w:val="22"/>
        </w:rPr>
        <w:tab/>
      </w:r>
      <w:r w:rsidR="00553C00" w:rsidRPr="00431EED">
        <w:rPr>
          <w:b/>
          <w:sz w:val="22"/>
          <w:szCs w:val="22"/>
        </w:rPr>
        <w:t>DÁTUM REGISTRÁCIE/PREDĹŽENIA REGISTRÁCIE</w:t>
      </w:r>
    </w:p>
    <w:p w14:paraId="47C729F9" w14:textId="77777777" w:rsidR="008279EA" w:rsidRPr="00431EED" w:rsidRDefault="008279EA" w:rsidP="009A7400">
      <w:pPr>
        <w:tabs>
          <w:tab w:val="left" w:pos="567"/>
        </w:tabs>
        <w:rPr>
          <w:b/>
          <w:sz w:val="22"/>
          <w:szCs w:val="22"/>
        </w:rPr>
      </w:pPr>
    </w:p>
    <w:p w14:paraId="3EA20362" w14:textId="55C770C5" w:rsidR="004E7AC7" w:rsidRPr="0055446E" w:rsidRDefault="004E7AC7" w:rsidP="009A7400">
      <w:pPr>
        <w:rPr>
          <w:sz w:val="22"/>
          <w:szCs w:val="22"/>
        </w:rPr>
      </w:pPr>
      <w:r w:rsidRPr="000F0A9A">
        <w:rPr>
          <w:sz w:val="22"/>
          <w:szCs w:val="22"/>
        </w:rPr>
        <w:t>Dátum prvej registrácie:</w:t>
      </w:r>
      <w:r w:rsidR="00797DB5" w:rsidRPr="000F0A9A">
        <w:rPr>
          <w:sz w:val="22"/>
          <w:szCs w:val="22"/>
        </w:rPr>
        <w:t xml:space="preserve"> </w:t>
      </w:r>
    </w:p>
    <w:p w14:paraId="1055E6EF" w14:textId="77777777" w:rsidR="0055446E" w:rsidRPr="00431EED" w:rsidRDefault="0055446E" w:rsidP="009A7400">
      <w:pPr>
        <w:rPr>
          <w:b/>
          <w:sz w:val="22"/>
          <w:szCs w:val="22"/>
        </w:rPr>
      </w:pPr>
    </w:p>
    <w:p w14:paraId="08649C14" w14:textId="77777777" w:rsidR="004E7AC7" w:rsidRPr="00431EED" w:rsidRDefault="004E7AC7" w:rsidP="009A7400">
      <w:pPr>
        <w:tabs>
          <w:tab w:val="left" w:pos="567"/>
        </w:tabs>
        <w:rPr>
          <w:sz w:val="22"/>
          <w:szCs w:val="22"/>
        </w:rPr>
      </w:pPr>
    </w:p>
    <w:p w14:paraId="16C4603E" w14:textId="77777777" w:rsidR="0015661F" w:rsidRPr="00431EED" w:rsidRDefault="00553C00" w:rsidP="009A7400">
      <w:pPr>
        <w:numPr>
          <w:ilvl w:val="0"/>
          <w:numId w:val="36"/>
        </w:numPr>
        <w:tabs>
          <w:tab w:val="left" w:pos="567"/>
        </w:tabs>
        <w:ind w:left="0" w:firstLine="0"/>
        <w:rPr>
          <w:b/>
          <w:sz w:val="22"/>
          <w:szCs w:val="22"/>
        </w:rPr>
      </w:pPr>
      <w:r w:rsidRPr="00431EED">
        <w:rPr>
          <w:b/>
          <w:sz w:val="22"/>
          <w:szCs w:val="22"/>
        </w:rPr>
        <w:t>DÁTUM REVÍZIE TEXTU</w:t>
      </w:r>
      <w:r w:rsidR="0015661F" w:rsidRPr="00431EED">
        <w:rPr>
          <w:b/>
          <w:sz w:val="22"/>
          <w:szCs w:val="22"/>
        </w:rPr>
        <w:t xml:space="preserve"> </w:t>
      </w:r>
    </w:p>
    <w:p w14:paraId="06ACEE1D" w14:textId="03974509" w:rsidR="00ED41C6" w:rsidRDefault="00ED41C6" w:rsidP="009A7400">
      <w:pPr>
        <w:tabs>
          <w:tab w:val="left" w:pos="567"/>
        </w:tabs>
        <w:rPr>
          <w:sz w:val="22"/>
          <w:szCs w:val="22"/>
        </w:rPr>
      </w:pPr>
    </w:p>
    <w:p w14:paraId="33377BDE" w14:textId="121CAC16" w:rsidR="00553C00" w:rsidRPr="00431EED" w:rsidRDefault="00D633F2" w:rsidP="009A7400">
      <w:pPr>
        <w:tabs>
          <w:tab w:val="left" w:pos="567"/>
        </w:tabs>
        <w:rPr>
          <w:sz w:val="22"/>
          <w:szCs w:val="22"/>
        </w:rPr>
      </w:pPr>
      <w:r>
        <w:rPr>
          <w:sz w:val="22"/>
          <w:szCs w:val="22"/>
        </w:rPr>
        <w:t>0</w:t>
      </w:r>
      <w:r w:rsidR="000211BC">
        <w:rPr>
          <w:sz w:val="22"/>
          <w:szCs w:val="22"/>
        </w:rPr>
        <w:t>5</w:t>
      </w:r>
      <w:r w:rsidR="00ED41C6">
        <w:rPr>
          <w:sz w:val="22"/>
          <w:szCs w:val="22"/>
        </w:rPr>
        <w:t>/</w:t>
      </w:r>
      <w:r w:rsidR="00C20BB9">
        <w:rPr>
          <w:sz w:val="22"/>
          <w:szCs w:val="22"/>
        </w:rPr>
        <w:t>201</w:t>
      </w:r>
      <w:r w:rsidR="00B801C5">
        <w:rPr>
          <w:sz w:val="22"/>
          <w:szCs w:val="22"/>
        </w:rPr>
        <w:t>9</w:t>
      </w:r>
    </w:p>
    <w:sectPr w:rsidR="00553C00" w:rsidRPr="00431EED" w:rsidSect="00B64504">
      <w:headerReference w:type="default" r:id="rId8"/>
      <w:footerReference w:type="even" r:id="rId9"/>
      <w:footerReference w:type="default" r:id="rId10"/>
      <w:pgSz w:w="12240" w:h="15840" w:code="1"/>
      <w:pgMar w:top="1134" w:right="1418" w:bottom="1134" w:left="1418" w:header="737" w:footer="737" w:gutter="0"/>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18D01" w16cid:durableId="2072DAD2"/>
  <w16cid:commentId w16cid:paraId="5AB9E993" w16cid:durableId="2072DAD3"/>
  <w16cid:commentId w16cid:paraId="0188A996" w16cid:durableId="2072DAD4"/>
  <w16cid:commentId w16cid:paraId="61D938DE" w16cid:durableId="2072DAD5"/>
  <w16cid:commentId w16cid:paraId="49C4F8E0" w16cid:durableId="2072DA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B6060" w14:textId="77777777" w:rsidR="00365926" w:rsidRDefault="00365926">
      <w:r>
        <w:separator/>
      </w:r>
    </w:p>
  </w:endnote>
  <w:endnote w:type="continuationSeparator" w:id="0">
    <w:p w14:paraId="69F53A8F" w14:textId="77777777" w:rsidR="00365926" w:rsidRDefault="0036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CCE16" w14:textId="77777777" w:rsidR="00E377B2" w:rsidRDefault="00E377B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B7B0738" w14:textId="77777777" w:rsidR="00E377B2" w:rsidRDefault="00E377B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D475C" w14:textId="77777777" w:rsidR="00E377B2" w:rsidRPr="000F0A9A" w:rsidRDefault="00E377B2">
    <w:pPr>
      <w:pStyle w:val="Pta"/>
      <w:framePr w:wrap="around" w:vAnchor="text" w:hAnchor="margin" w:xAlign="center" w:y="1"/>
      <w:rPr>
        <w:rStyle w:val="slostrany"/>
        <w:sz w:val="18"/>
        <w:szCs w:val="18"/>
      </w:rPr>
    </w:pPr>
    <w:r w:rsidRPr="000F0A9A">
      <w:rPr>
        <w:rStyle w:val="slostrany"/>
        <w:sz w:val="18"/>
        <w:szCs w:val="18"/>
      </w:rPr>
      <w:fldChar w:fldCharType="begin"/>
    </w:r>
    <w:r w:rsidRPr="000F0A9A">
      <w:rPr>
        <w:rStyle w:val="slostrany"/>
        <w:sz w:val="18"/>
        <w:szCs w:val="18"/>
      </w:rPr>
      <w:instrText xml:space="preserve">PAGE  </w:instrText>
    </w:r>
    <w:r w:rsidRPr="000F0A9A">
      <w:rPr>
        <w:rStyle w:val="slostrany"/>
        <w:sz w:val="18"/>
        <w:szCs w:val="18"/>
      </w:rPr>
      <w:fldChar w:fldCharType="separate"/>
    </w:r>
    <w:r w:rsidR="00B64504">
      <w:rPr>
        <w:rStyle w:val="slostrany"/>
        <w:noProof/>
        <w:sz w:val="18"/>
        <w:szCs w:val="18"/>
      </w:rPr>
      <w:t>1</w:t>
    </w:r>
    <w:r w:rsidRPr="000F0A9A">
      <w:rPr>
        <w:rStyle w:val="slostrany"/>
        <w:sz w:val="18"/>
        <w:szCs w:val="18"/>
      </w:rPr>
      <w:fldChar w:fldCharType="end"/>
    </w:r>
  </w:p>
  <w:p w14:paraId="24779779" w14:textId="77777777" w:rsidR="00E377B2" w:rsidRDefault="00E377B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1344E" w14:textId="77777777" w:rsidR="00365926" w:rsidRDefault="00365926">
      <w:r>
        <w:separator/>
      </w:r>
    </w:p>
  </w:footnote>
  <w:footnote w:type="continuationSeparator" w:id="0">
    <w:p w14:paraId="3855F80E" w14:textId="77777777" w:rsidR="00365926" w:rsidRDefault="00365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C0D0" w14:textId="71027EB0" w:rsidR="00E377B2" w:rsidRDefault="00E377B2" w:rsidP="0022140E">
    <w:pPr>
      <w:pStyle w:val="Hlavika"/>
      <w:rPr>
        <w:sz w:val="18"/>
        <w:szCs w:val="18"/>
      </w:rPr>
    </w:pPr>
    <w:r>
      <w:rPr>
        <w:sz w:val="18"/>
        <w:szCs w:val="18"/>
      </w:rPr>
      <w:t xml:space="preserve">Schválený text k rozhodnutiu o registrácii, ev. č.: </w:t>
    </w:r>
    <w:r w:rsidR="001E5477">
      <w:rPr>
        <w:sz w:val="18"/>
        <w:szCs w:val="18"/>
      </w:rPr>
      <w:t>2018/01715-REG</w:t>
    </w:r>
  </w:p>
  <w:p w14:paraId="21033F51" w14:textId="77777777" w:rsidR="00E377B2" w:rsidRDefault="00E377B2" w:rsidP="0022140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6AE0ED2"/>
    <w:lvl w:ilvl="0">
      <w:numFmt w:val="decimal"/>
      <w:lvlText w:val="*"/>
      <w:lvlJc w:val="left"/>
    </w:lvl>
  </w:abstractNum>
  <w:abstractNum w:abstractNumId="1" w15:restartNumberingAfterBreak="0">
    <w:nsid w:val="00736B83"/>
    <w:multiLevelType w:val="hybridMultilevel"/>
    <w:tmpl w:val="52EA3B48"/>
    <w:lvl w:ilvl="0" w:tplc="4E162BA8">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A06D0"/>
    <w:multiLevelType w:val="hybridMultilevel"/>
    <w:tmpl w:val="34FC1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93954"/>
    <w:multiLevelType w:val="multilevel"/>
    <w:tmpl w:val="F1644DB2"/>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7B6450"/>
    <w:multiLevelType w:val="hybridMultilevel"/>
    <w:tmpl w:val="359C1A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5F0C92"/>
    <w:multiLevelType w:val="hybridMultilevel"/>
    <w:tmpl w:val="9CF052B4"/>
    <w:lvl w:ilvl="0" w:tplc="D6309820">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6" w15:restartNumberingAfterBreak="0">
    <w:nsid w:val="0CA53F14"/>
    <w:multiLevelType w:val="singleLevel"/>
    <w:tmpl w:val="EF9CE986"/>
    <w:lvl w:ilvl="0">
      <w:start w:val="9"/>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7" w15:restartNumberingAfterBreak="0">
    <w:nsid w:val="0CA835D5"/>
    <w:multiLevelType w:val="hybridMultilevel"/>
    <w:tmpl w:val="DDD27DEC"/>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0D397FAF"/>
    <w:multiLevelType w:val="hybridMultilevel"/>
    <w:tmpl w:val="720EF89A"/>
    <w:lvl w:ilvl="0" w:tplc="0C14C32E">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636804"/>
    <w:multiLevelType w:val="hybridMultilevel"/>
    <w:tmpl w:val="268C18F6"/>
    <w:lvl w:ilvl="0" w:tplc="863AE7F4">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6E40D4"/>
    <w:multiLevelType w:val="hybridMultilevel"/>
    <w:tmpl w:val="A1803A4A"/>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A169FB"/>
    <w:multiLevelType w:val="multilevel"/>
    <w:tmpl w:val="0409000F"/>
    <w:lvl w:ilvl="0">
      <w:start w:val="1"/>
      <w:numFmt w:val="decimal"/>
      <w:lvlText w:val="%1."/>
      <w:lvlJc w:val="left"/>
      <w:pPr>
        <w:tabs>
          <w:tab w:val="num" w:pos="360"/>
        </w:tabs>
        <w:ind w:left="360" w:hanging="360"/>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2" w15:restartNumberingAfterBreak="0">
    <w:nsid w:val="1658548A"/>
    <w:multiLevelType w:val="hybridMultilevel"/>
    <w:tmpl w:val="F1CE366E"/>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7F378C4"/>
    <w:multiLevelType w:val="singleLevel"/>
    <w:tmpl w:val="B4A6CA76"/>
    <w:lvl w:ilvl="0">
      <w:start w:val="6"/>
      <w:numFmt w:val="decimal"/>
      <w:lvlText w:val="4.%1. "/>
      <w:legacy w:legacy="1" w:legacySpace="0" w:legacyIndent="360"/>
      <w:lvlJc w:val="left"/>
      <w:pPr>
        <w:ind w:left="360" w:hanging="360"/>
      </w:pPr>
      <w:rPr>
        <w:rFonts w:ascii="Times New Roman" w:hAnsi="Times New Roman" w:hint="default"/>
        <w:b/>
        <w:i w:val="0"/>
        <w:sz w:val="24"/>
        <w:u w:val="none"/>
      </w:rPr>
    </w:lvl>
  </w:abstractNum>
  <w:abstractNum w:abstractNumId="14" w15:restartNumberingAfterBreak="0">
    <w:nsid w:val="1D95138D"/>
    <w:multiLevelType w:val="multilevel"/>
    <w:tmpl w:val="8A2E8CC2"/>
    <w:lvl w:ilvl="0">
      <w:start w:val="6"/>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DD4757F"/>
    <w:multiLevelType w:val="hybridMultilevel"/>
    <w:tmpl w:val="DDA23EB6"/>
    <w:lvl w:ilvl="0" w:tplc="44EEAB7A">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727D2A"/>
    <w:multiLevelType w:val="singleLevel"/>
    <w:tmpl w:val="1A266E94"/>
    <w:lvl w:ilvl="0">
      <w:start w:val="6"/>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7" w15:restartNumberingAfterBreak="0">
    <w:nsid w:val="21BC5667"/>
    <w:multiLevelType w:val="singleLevel"/>
    <w:tmpl w:val="D2C6B478"/>
    <w:lvl w:ilvl="0">
      <w:start w:val="5"/>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18" w15:restartNumberingAfterBreak="0">
    <w:nsid w:val="230F35F6"/>
    <w:multiLevelType w:val="hybridMultilevel"/>
    <w:tmpl w:val="C5A61350"/>
    <w:lvl w:ilvl="0" w:tplc="68CE2708">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F704EB"/>
    <w:multiLevelType w:val="singleLevel"/>
    <w:tmpl w:val="9C60B0B6"/>
    <w:lvl w:ilvl="0">
      <w:start w:val="5"/>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20" w15:restartNumberingAfterBreak="0">
    <w:nsid w:val="26485557"/>
    <w:multiLevelType w:val="multilevel"/>
    <w:tmpl w:val="C5FA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647BCB"/>
    <w:multiLevelType w:val="singleLevel"/>
    <w:tmpl w:val="2B6E9ED2"/>
    <w:lvl w:ilvl="0">
      <w:start w:val="4"/>
      <w:numFmt w:val="decimal"/>
      <w:lvlText w:val="%1. "/>
      <w:legacy w:legacy="1" w:legacySpace="0" w:legacyIndent="360"/>
      <w:lvlJc w:val="left"/>
      <w:pPr>
        <w:ind w:left="360" w:hanging="360"/>
      </w:pPr>
      <w:rPr>
        <w:rFonts w:ascii="Arial" w:hAnsi="Arial" w:hint="default"/>
        <w:b/>
        <w:i w:val="0"/>
        <w:sz w:val="20"/>
        <w:szCs w:val="20"/>
        <w:u w:val="none"/>
      </w:rPr>
    </w:lvl>
  </w:abstractNum>
  <w:abstractNum w:abstractNumId="22" w15:restartNumberingAfterBreak="0">
    <w:nsid w:val="267B645A"/>
    <w:multiLevelType w:val="hybridMultilevel"/>
    <w:tmpl w:val="1B7A7CE0"/>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89515AE"/>
    <w:multiLevelType w:val="hybridMultilevel"/>
    <w:tmpl w:val="D22098DE"/>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29294356"/>
    <w:multiLevelType w:val="hybridMultilevel"/>
    <w:tmpl w:val="9976EF84"/>
    <w:lvl w:ilvl="0" w:tplc="A6AE0ED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29C103EF"/>
    <w:multiLevelType w:val="hybridMultilevel"/>
    <w:tmpl w:val="254AD896"/>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7" w15:restartNumberingAfterBreak="0">
    <w:nsid w:val="33B441C1"/>
    <w:multiLevelType w:val="hybridMultilevel"/>
    <w:tmpl w:val="874255C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352E619E"/>
    <w:multiLevelType w:val="hybridMultilevel"/>
    <w:tmpl w:val="6F522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890111"/>
    <w:multiLevelType w:val="singleLevel"/>
    <w:tmpl w:val="6F5ED346"/>
    <w:lvl w:ilvl="0">
      <w:start w:val="1"/>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30" w15:restartNumberingAfterBreak="0">
    <w:nsid w:val="384209DC"/>
    <w:multiLevelType w:val="hybridMultilevel"/>
    <w:tmpl w:val="D41A6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42C0ECD"/>
    <w:multiLevelType w:val="singleLevel"/>
    <w:tmpl w:val="E14CD60C"/>
    <w:lvl w:ilvl="0">
      <w:start w:val="8"/>
      <w:numFmt w:val="decimal"/>
      <w:lvlText w:val="4.%1. "/>
      <w:legacy w:legacy="1" w:legacySpace="0" w:legacyIndent="360"/>
      <w:lvlJc w:val="left"/>
      <w:pPr>
        <w:ind w:left="360" w:hanging="360"/>
      </w:pPr>
      <w:rPr>
        <w:rFonts w:ascii="Times New Roman" w:hAnsi="Times New Roman" w:hint="default"/>
        <w:b/>
        <w:i w:val="0"/>
        <w:sz w:val="24"/>
        <w:u w:val="none"/>
      </w:rPr>
    </w:lvl>
  </w:abstractNum>
  <w:abstractNum w:abstractNumId="32" w15:restartNumberingAfterBreak="0">
    <w:nsid w:val="45103C54"/>
    <w:multiLevelType w:val="singleLevel"/>
    <w:tmpl w:val="5C9E9C32"/>
    <w:lvl w:ilvl="0">
      <w:start w:val="3"/>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33" w15:restartNumberingAfterBreak="0">
    <w:nsid w:val="45602414"/>
    <w:multiLevelType w:val="hybridMultilevel"/>
    <w:tmpl w:val="DA1E5648"/>
    <w:lvl w:ilvl="0" w:tplc="6164BAF8">
      <w:start w:val="1"/>
      <w:numFmt w:val="bullet"/>
      <w:lvlText w:val=""/>
      <w:lvlJc w:val="righ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4575586E"/>
    <w:multiLevelType w:val="hybridMultilevel"/>
    <w:tmpl w:val="8B5CD3D8"/>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71A7145"/>
    <w:multiLevelType w:val="hybridMultilevel"/>
    <w:tmpl w:val="844CF418"/>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7BB1F1B"/>
    <w:multiLevelType w:val="multilevel"/>
    <w:tmpl w:val="0C09000F"/>
    <w:lvl w:ilvl="0">
      <w:start w:val="1"/>
      <w:numFmt w:val="decimal"/>
      <w:lvlText w:val="%1."/>
      <w:lvlJc w:val="left"/>
      <w:pPr>
        <w:tabs>
          <w:tab w:val="num" w:pos="360"/>
        </w:tabs>
        <w:ind w:left="360" w:hanging="360"/>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37" w15:restartNumberingAfterBreak="0">
    <w:nsid w:val="49DB1950"/>
    <w:multiLevelType w:val="hybridMultilevel"/>
    <w:tmpl w:val="855A5A32"/>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AB67FD4"/>
    <w:multiLevelType w:val="hybridMultilevel"/>
    <w:tmpl w:val="D546575E"/>
    <w:lvl w:ilvl="0" w:tplc="7ACA311E">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1D6647"/>
    <w:multiLevelType w:val="hybridMultilevel"/>
    <w:tmpl w:val="E1AE7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B332133"/>
    <w:multiLevelType w:val="hybridMultilevel"/>
    <w:tmpl w:val="0D86500A"/>
    <w:lvl w:ilvl="0" w:tplc="041B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BF130D"/>
    <w:multiLevelType w:val="hybridMultilevel"/>
    <w:tmpl w:val="AB5A1B5E"/>
    <w:lvl w:ilvl="0" w:tplc="1766EBD4">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CA4B72"/>
    <w:multiLevelType w:val="hybridMultilevel"/>
    <w:tmpl w:val="48706FAE"/>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3" w15:restartNumberingAfterBreak="0">
    <w:nsid w:val="4D503AC1"/>
    <w:multiLevelType w:val="singleLevel"/>
    <w:tmpl w:val="3274E9CA"/>
    <w:lvl w:ilvl="0">
      <w:start w:val="6"/>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44" w15:restartNumberingAfterBreak="0">
    <w:nsid w:val="4DC36C51"/>
    <w:multiLevelType w:val="hybridMultilevel"/>
    <w:tmpl w:val="C7CC993C"/>
    <w:lvl w:ilvl="0" w:tplc="435ED5BC">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6C298F"/>
    <w:multiLevelType w:val="hybridMultilevel"/>
    <w:tmpl w:val="3454C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2210E63"/>
    <w:multiLevelType w:val="singleLevel"/>
    <w:tmpl w:val="16C01006"/>
    <w:lvl w:ilvl="0">
      <w:start w:val="7"/>
      <w:numFmt w:val="decimal"/>
      <w:lvlText w:val="6.%1. "/>
      <w:legacy w:legacy="1" w:legacySpace="0" w:legacyIndent="360"/>
      <w:lvlJc w:val="left"/>
      <w:pPr>
        <w:ind w:left="360" w:hanging="360"/>
      </w:pPr>
      <w:rPr>
        <w:rFonts w:ascii="Times New Roman" w:hAnsi="Times New Roman" w:hint="default"/>
        <w:b/>
        <w:i w:val="0"/>
        <w:sz w:val="24"/>
        <w:u w:val="none"/>
      </w:rPr>
    </w:lvl>
  </w:abstractNum>
  <w:abstractNum w:abstractNumId="47" w15:restartNumberingAfterBreak="0">
    <w:nsid w:val="528A504D"/>
    <w:multiLevelType w:val="hybridMultilevel"/>
    <w:tmpl w:val="36944D86"/>
    <w:lvl w:ilvl="0" w:tplc="B9A0E6A8">
      <w:start w:val="10"/>
      <w:numFmt w:val="decimal"/>
      <w:lvlText w:val="%1."/>
      <w:lvlJc w:val="left"/>
      <w:pPr>
        <w:tabs>
          <w:tab w:val="num" w:pos="705"/>
        </w:tabs>
        <w:ind w:left="705" w:hanging="705"/>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552365A9"/>
    <w:multiLevelType w:val="singleLevel"/>
    <w:tmpl w:val="D2A20FDC"/>
    <w:lvl w:ilvl="0">
      <w:start w:val="5"/>
      <w:numFmt w:val="decimal"/>
      <w:lvlText w:val="%1. "/>
      <w:legacy w:legacy="1" w:legacySpace="0" w:legacyIndent="360"/>
      <w:lvlJc w:val="left"/>
      <w:pPr>
        <w:ind w:left="360" w:hanging="360"/>
      </w:pPr>
      <w:rPr>
        <w:rFonts w:ascii="Times New Roman" w:hAnsi="Times New Roman" w:hint="default"/>
        <w:b/>
        <w:i w:val="0"/>
        <w:sz w:val="22"/>
        <w:szCs w:val="20"/>
        <w:u w:val="none"/>
      </w:rPr>
    </w:lvl>
  </w:abstractNum>
  <w:abstractNum w:abstractNumId="49" w15:restartNumberingAfterBreak="0">
    <w:nsid w:val="56443230"/>
    <w:multiLevelType w:val="singleLevel"/>
    <w:tmpl w:val="6FD23562"/>
    <w:lvl w:ilvl="0">
      <w:start w:val="7"/>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50" w15:restartNumberingAfterBreak="0">
    <w:nsid w:val="565A7CE4"/>
    <w:multiLevelType w:val="singleLevel"/>
    <w:tmpl w:val="D35ADECC"/>
    <w:lvl w:ilvl="0">
      <w:start w:val="3"/>
      <w:numFmt w:val="decimal"/>
      <w:lvlText w:val="5.%1. "/>
      <w:legacy w:legacy="1" w:legacySpace="0" w:legacyIndent="360"/>
      <w:lvlJc w:val="left"/>
      <w:pPr>
        <w:ind w:left="360" w:hanging="360"/>
      </w:pPr>
      <w:rPr>
        <w:rFonts w:ascii="Arial" w:hAnsi="Arial" w:hint="default"/>
        <w:b/>
        <w:i w:val="0"/>
        <w:sz w:val="20"/>
        <w:szCs w:val="20"/>
        <w:u w:val="none"/>
      </w:rPr>
    </w:lvl>
  </w:abstractNum>
  <w:abstractNum w:abstractNumId="51" w15:restartNumberingAfterBreak="0">
    <w:nsid w:val="56C103EE"/>
    <w:multiLevelType w:val="hybridMultilevel"/>
    <w:tmpl w:val="036ECA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91B306E"/>
    <w:multiLevelType w:val="hybridMultilevel"/>
    <w:tmpl w:val="63C88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DCC1D4F"/>
    <w:multiLevelType w:val="hybridMultilevel"/>
    <w:tmpl w:val="F10855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F6856A9"/>
    <w:multiLevelType w:val="hybridMultilevel"/>
    <w:tmpl w:val="9334B10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5" w15:restartNumberingAfterBreak="0">
    <w:nsid w:val="601F4F97"/>
    <w:multiLevelType w:val="hybridMultilevel"/>
    <w:tmpl w:val="14A43694"/>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6" w15:restartNumberingAfterBreak="0">
    <w:nsid w:val="60281937"/>
    <w:multiLevelType w:val="singleLevel"/>
    <w:tmpl w:val="9BE2D94E"/>
    <w:lvl w:ilvl="0">
      <w:start w:val="3"/>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57" w15:restartNumberingAfterBreak="0">
    <w:nsid w:val="64E857FF"/>
    <w:multiLevelType w:val="hybridMultilevel"/>
    <w:tmpl w:val="A462B658"/>
    <w:lvl w:ilvl="0" w:tplc="1888880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68776EBE"/>
    <w:multiLevelType w:val="hybridMultilevel"/>
    <w:tmpl w:val="5218DD6E"/>
    <w:lvl w:ilvl="0" w:tplc="04090001">
      <w:start w:val="1"/>
      <w:numFmt w:val="bullet"/>
      <w:lvlText w:val=""/>
      <w:lvlJc w:val="left"/>
      <w:pPr>
        <w:tabs>
          <w:tab w:val="num" w:pos="720"/>
        </w:tabs>
        <w:ind w:left="720" w:hanging="360"/>
      </w:pPr>
      <w:rPr>
        <w:rFonts w:ascii="Symbol" w:hAnsi="Symbol" w:hint="default"/>
      </w:rPr>
    </w:lvl>
    <w:lvl w:ilvl="1" w:tplc="EEE43D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6A771DB4"/>
    <w:multiLevelType w:val="singleLevel"/>
    <w:tmpl w:val="973EC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0" w15:restartNumberingAfterBreak="0">
    <w:nsid w:val="6AA46298"/>
    <w:multiLevelType w:val="hybridMultilevel"/>
    <w:tmpl w:val="B6B2489E"/>
    <w:lvl w:ilvl="0" w:tplc="6164BAF8">
      <w:start w:val="1"/>
      <w:numFmt w:val="bullet"/>
      <w:lvlText w:val=""/>
      <w:lvlJc w:val="righ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1" w15:restartNumberingAfterBreak="0">
    <w:nsid w:val="6CE259D8"/>
    <w:multiLevelType w:val="singleLevel"/>
    <w:tmpl w:val="79764562"/>
    <w:lvl w:ilvl="0">
      <w:start w:val="4"/>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62" w15:restartNumberingAfterBreak="0">
    <w:nsid w:val="6E660ACD"/>
    <w:multiLevelType w:val="hybridMultilevel"/>
    <w:tmpl w:val="1AF8DF72"/>
    <w:lvl w:ilvl="0" w:tplc="041B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63" w15:restartNumberingAfterBreak="0">
    <w:nsid w:val="70E4287B"/>
    <w:multiLevelType w:val="hybridMultilevel"/>
    <w:tmpl w:val="5B542D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1256C87"/>
    <w:multiLevelType w:val="hybridMultilevel"/>
    <w:tmpl w:val="2A6616DA"/>
    <w:lvl w:ilvl="0" w:tplc="EAB4810C">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14F3EFA"/>
    <w:multiLevelType w:val="singleLevel"/>
    <w:tmpl w:val="8CBEFAD2"/>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66" w15:restartNumberingAfterBreak="0">
    <w:nsid w:val="75C71A84"/>
    <w:multiLevelType w:val="singleLevel"/>
    <w:tmpl w:val="597C5276"/>
    <w:lvl w:ilvl="0">
      <w:start w:val="2"/>
      <w:numFmt w:val="decimal"/>
      <w:lvlText w:val="5.%1. "/>
      <w:legacy w:legacy="1" w:legacySpace="0" w:legacyIndent="360"/>
      <w:lvlJc w:val="left"/>
      <w:pPr>
        <w:ind w:left="360" w:hanging="360"/>
      </w:pPr>
      <w:rPr>
        <w:rFonts w:ascii="Arial" w:hAnsi="Arial" w:hint="default"/>
        <w:b/>
        <w:i w:val="0"/>
        <w:sz w:val="20"/>
        <w:szCs w:val="20"/>
        <w:u w:val="none"/>
      </w:rPr>
    </w:lvl>
  </w:abstractNum>
  <w:abstractNum w:abstractNumId="67" w15:restartNumberingAfterBreak="0">
    <w:nsid w:val="767D597E"/>
    <w:multiLevelType w:val="hybridMultilevel"/>
    <w:tmpl w:val="F82C6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7D735AD"/>
    <w:multiLevelType w:val="hybridMultilevel"/>
    <w:tmpl w:val="BF20D3DE"/>
    <w:lvl w:ilvl="0" w:tplc="A5D4549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E1A077C"/>
    <w:multiLevelType w:val="hybridMultilevel"/>
    <w:tmpl w:val="7F16E396"/>
    <w:lvl w:ilvl="0" w:tplc="D8109924">
      <w:start w:val="1"/>
      <w:numFmt w:val="bullet"/>
      <w:pStyle w:val="BulletBayerBodyText"/>
      <w:lvlText w:val=""/>
      <w:lvlJc w:val="left"/>
      <w:pPr>
        <w:tabs>
          <w:tab w:val="num" w:pos="567"/>
        </w:tabs>
        <w:ind w:left="568" w:hanging="511"/>
      </w:pPr>
      <w:rPr>
        <w:rFonts w:ascii="Symbol" w:hAnsi="Symbol" w:hint="default"/>
      </w:rPr>
    </w:lvl>
    <w:lvl w:ilvl="1" w:tplc="2A06A562">
      <w:start w:val="1"/>
      <w:numFmt w:val="bullet"/>
      <w:lvlText w:val="o"/>
      <w:lvlJc w:val="left"/>
      <w:pPr>
        <w:tabs>
          <w:tab w:val="num" w:pos="1135"/>
        </w:tabs>
        <w:ind w:left="1135" w:hanging="283"/>
      </w:pPr>
      <w:rPr>
        <w:rFonts w:ascii="Courier New" w:hAnsi="Courier New" w:cs="Times New Roman" w:hint="default"/>
      </w:rPr>
    </w:lvl>
    <w:lvl w:ilvl="2" w:tplc="04070003">
      <w:start w:val="1"/>
      <w:numFmt w:val="bullet"/>
      <w:lvlText w:val="o"/>
      <w:lvlJc w:val="left"/>
      <w:pPr>
        <w:tabs>
          <w:tab w:val="num" w:pos="1310"/>
        </w:tabs>
        <w:ind w:left="1310" w:hanging="360"/>
      </w:pPr>
      <w:rPr>
        <w:rFonts w:ascii="Courier New" w:hAnsi="Courier New" w:cs="Times New Roman" w:hint="default"/>
      </w:rPr>
    </w:lvl>
    <w:lvl w:ilvl="3" w:tplc="04070001">
      <w:start w:val="1"/>
      <w:numFmt w:val="bullet"/>
      <w:lvlText w:val=""/>
      <w:lvlJc w:val="left"/>
      <w:pPr>
        <w:tabs>
          <w:tab w:val="num" w:pos="2030"/>
        </w:tabs>
        <w:ind w:left="2030" w:hanging="360"/>
      </w:pPr>
      <w:rPr>
        <w:rFonts w:ascii="Symbol" w:hAnsi="Symbol" w:hint="default"/>
      </w:rPr>
    </w:lvl>
    <w:lvl w:ilvl="4" w:tplc="04070003">
      <w:start w:val="1"/>
      <w:numFmt w:val="bullet"/>
      <w:lvlText w:val="o"/>
      <w:lvlJc w:val="left"/>
      <w:pPr>
        <w:tabs>
          <w:tab w:val="num" w:pos="2750"/>
        </w:tabs>
        <w:ind w:left="2750" w:hanging="360"/>
      </w:pPr>
      <w:rPr>
        <w:rFonts w:ascii="Courier New" w:hAnsi="Courier New" w:cs="Times New Roman" w:hint="default"/>
      </w:rPr>
    </w:lvl>
    <w:lvl w:ilvl="5" w:tplc="04070005">
      <w:start w:val="1"/>
      <w:numFmt w:val="bullet"/>
      <w:lvlText w:val=""/>
      <w:lvlJc w:val="left"/>
      <w:pPr>
        <w:tabs>
          <w:tab w:val="num" w:pos="3470"/>
        </w:tabs>
        <w:ind w:left="3470" w:hanging="360"/>
      </w:pPr>
      <w:rPr>
        <w:rFonts w:ascii="Wingdings" w:hAnsi="Wingdings" w:hint="default"/>
      </w:rPr>
    </w:lvl>
    <w:lvl w:ilvl="6" w:tplc="04070001">
      <w:start w:val="1"/>
      <w:numFmt w:val="bullet"/>
      <w:lvlText w:val=""/>
      <w:lvlJc w:val="left"/>
      <w:pPr>
        <w:tabs>
          <w:tab w:val="num" w:pos="4190"/>
        </w:tabs>
        <w:ind w:left="4190" w:hanging="360"/>
      </w:pPr>
      <w:rPr>
        <w:rFonts w:ascii="Symbol" w:hAnsi="Symbol" w:hint="default"/>
      </w:rPr>
    </w:lvl>
    <w:lvl w:ilvl="7" w:tplc="04070003">
      <w:start w:val="1"/>
      <w:numFmt w:val="bullet"/>
      <w:lvlText w:val="o"/>
      <w:lvlJc w:val="left"/>
      <w:pPr>
        <w:tabs>
          <w:tab w:val="num" w:pos="4910"/>
        </w:tabs>
        <w:ind w:left="4910" w:hanging="360"/>
      </w:pPr>
      <w:rPr>
        <w:rFonts w:ascii="Courier New" w:hAnsi="Courier New" w:cs="Times New Roman" w:hint="default"/>
      </w:rPr>
    </w:lvl>
    <w:lvl w:ilvl="8" w:tplc="04070005">
      <w:start w:val="1"/>
      <w:numFmt w:val="bullet"/>
      <w:lvlText w:val=""/>
      <w:lvlJc w:val="left"/>
      <w:pPr>
        <w:tabs>
          <w:tab w:val="num" w:pos="5630"/>
        </w:tabs>
        <w:ind w:left="5630" w:hanging="360"/>
      </w:pPr>
      <w:rPr>
        <w:rFonts w:ascii="Wingdings" w:hAnsi="Wingdings" w:hint="default"/>
      </w:rPr>
    </w:lvl>
  </w:abstractNum>
  <w:num w:numId="1">
    <w:abstractNumId w:val="21"/>
  </w:num>
  <w:num w:numId="2">
    <w:abstractNumId w:val="29"/>
  </w:num>
  <w:num w:numId="3">
    <w:abstractNumId w:val="3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1"/>
  </w:num>
  <w:num w:numId="7">
    <w:abstractNumId w:val="19"/>
  </w:num>
  <w:num w:numId="8">
    <w:abstractNumId w:val="13"/>
  </w:num>
  <w:num w:numId="9">
    <w:abstractNumId w:val="49"/>
  </w:num>
  <w:num w:numId="10">
    <w:abstractNumId w:val="31"/>
  </w:num>
  <w:num w:numId="11">
    <w:abstractNumId w:val="6"/>
  </w:num>
  <w:num w:numId="12">
    <w:abstractNumId w:val="48"/>
  </w:num>
  <w:num w:numId="13">
    <w:abstractNumId w:val="66"/>
  </w:num>
  <w:num w:numId="14">
    <w:abstractNumId w:val="50"/>
  </w:num>
  <w:num w:numId="15">
    <w:abstractNumId w:val="16"/>
  </w:num>
  <w:num w:numId="16">
    <w:abstractNumId w:val="56"/>
  </w:num>
  <w:num w:numId="17">
    <w:abstractNumId w:val="17"/>
  </w:num>
  <w:num w:numId="18">
    <w:abstractNumId w:val="43"/>
  </w:num>
  <w:num w:numId="19">
    <w:abstractNumId w:val="46"/>
  </w:num>
  <w:num w:numId="20">
    <w:abstractNumId w:val="14"/>
  </w:num>
  <w:num w:numId="21">
    <w:abstractNumId w:val="41"/>
  </w:num>
  <w:num w:numId="22">
    <w:abstractNumId w:val="18"/>
  </w:num>
  <w:num w:numId="23">
    <w:abstractNumId w:val="9"/>
  </w:num>
  <w:num w:numId="24">
    <w:abstractNumId w:val="64"/>
  </w:num>
  <w:num w:numId="25">
    <w:abstractNumId w:val="1"/>
  </w:num>
  <w:num w:numId="26">
    <w:abstractNumId w:val="38"/>
  </w:num>
  <w:num w:numId="27">
    <w:abstractNumId w:val="15"/>
  </w:num>
  <w:num w:numId="28">
    <w:abstractNumId w:val="8"/>
  </w:num>
  <w:num w:numId="29">
    <w:abstractNumId w:val="27"/>
  </w:num>
  <w:num w:numId="30">
    <w:abstractNumId w:val="3"/>
  </w:num>
  <w:num w:numId="31">
    <w:abstractNumId w:val="58"/>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
  </w:num>
  <w:num w:numId="36">
    <w:abstractNumId w:val="47"/>
  </w:num>
  <w:num w:numId="37">
    <w:abstractNumId w:val="37"/>
  </w:num>
  <w:num w:numId="38">
    <w:abstractNumId w:val="51"/>
  </w:num>
  <w:num w:numId="39">
    <w:abstractNumId w:val="39"/>
  </w:num>
  <w:num w:numId="40">
    <w:abstractNumId w:val="67"/>
  </w:num>
  <w:num w:numId="41">
    <w:abstractNumId w:val="22"/>
  </w:num>
  <w:num w:numId="42">
    <w:abstractNumId w:val="12"/>
  </w:num>
  <w:num w:numId="43">
    <w:abstractNumId w:val="68"/>
  </w:num>
  <w:num w:numId="44">
    <w:abstractNumId w:val="25"/>
  </w:num>
  <w:num w:numId="45">
    <w:abstractNumId w:val="33"/>
  </w:num>
  <w:num w:numId="46">
    <w:abstractNumId w:val="60"/>
  </w:num>
  <w:num w:numId="47">
    <w:abstractNumId w:val="65"/>
  </w:num>
  <w:num w:numId="48">
    <w:abstractNumId w:val="24"/>
  </w:num>
  <w:num w:numId="49">
    <w:abstractNumId w:val="10"/>
  </w:num>
  <w:num w:numId="50">
    <w:abstractNumId w:val="34"/>
  </w:num>
  <w:num w:numId="51">
    <w:abstractNumId w:val="35"/>
  </w:num>
  <w:num w:numId="52">
    <w:abstractNumId w:val="52"/>
  </w:num>
  <w:num w:numId="53">
    <w:abstractNumId w:val="28"/>
  </w:num>
  <w:num w:numId="54">
    <w:abstractNumId w:val="53"/>
  </w:num>
  <w:num w:numId="55">
    <w:abstractNumId w:val="63"/>
  </w:num>
  <w:num w:numId="56">
    <w:abstractNumId w:val="4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36"/>
    <w:lvlOverride w:ilvl="0">
      <w:startOverride w:val="1"/>
    </w:lvlOverride>
    <w:lvlOverride w:ilvl="1"/>
    <w:lvlOverride w:ilvl="2"/>
    <w:lvlOverride w:ilvl="3"/>
    <w:lvlOverride w:ilvl="4"/>
    <w:lvlOverride w:ilvl="5"/>
    <w:lvlOverride w:ilvl="6"/>
    <w:lvlOverride w:ilvl="7"/>
    <w:lvlOverride w:ilvl="8"/>
  </w:num>
  <w:num w:numId="59">
    <w:abstractNumId w:val="26"/>
  </w:num>
  <w:num w:numId="6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num>
  <w:num w:numId="62">
    <w:abstractNumId w:val="54"/>
  </w:num>
  <w:num w:numId="63">
    <w:abstractNumId w:val="44"/>
  </w:num>
  <w:num w:numId="64">
    <w:abstractNumId w:val="5"/>
  </w:num>
  <w:num w:numId="65">
    <w:abstractNumId w:val="20"/>
  </w:num>
  <w:num w:numId="66">
    <w:abstractNumId w:val="40"/>
  </w:num>
  <w:num w:numId="67">
    <w:abstractNumId w:val="62"/>
  </w:num>
  <w:num w:numId="68">
    <w:abstractNumId w:val="42"/>
  </w:num>
  <w:num w:numId="69">
    <w:abstractNumId w:val="55"/>
  </w:num>
  <w:num w:numId="70">
    <w:abstractNumId w:val="7"/>
  </w:num>
  <w:num w:numId="71">
    <w:abstractNumId w:val="23"/>
  </w:num>
  <w:num w:numId="72">
    <w:abstractNumId w:val="69"/>
  </w:num>
  <w:num w:numId="73">
    <w:abstractNumId w:val="4"/>
  </w:num>
  <w:num w:numId="74">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1E"/>
    <w:rsid w:val="00000A4A"/>
    <w:rsid w:val="00002114"/>
    <w:rsid w:val="000027B0"/>
    <w:rsid w:val="000043FD"/>
    <w:rsid w:val="000130DE"/>
    <w:rsid w:val="000159FB"/>
    <w:rsid w:val="000211BC"/>
    <w:rsid w:val="00031E91"/>
    <w:rsid w:val="00032D83"/>
    <w:rsid w:val="000335D4"/>
    <w:rsid w:val="000341D8"/>
    <w:rsid w:val="00034970"/>
    <w:rsid w:val="000367B9"/>
    <w:rsid w:val="000428F7"/>
    <w:rsid w:val="00052D84"/>
    <w:rsid w:val="0006479A"/>
    <w:rsid w:val="000652F7"/>
    <w:rsid w:val="00070345"/>
    <w:rsid w:val="00071FFE"/>
    <w:rsid w:val="00074B03"/>
    <w:rsid w:val="0007594E"/>
    <w:rsid w:val="000759EB"/>
    <w:rsid w:val="00076F79"/>
    <w:rsid w:val="0008079D"/>
    <w:rsid w:val="00080BA1"/>
    <w:rsid w:val="0008531F"/>
    <w:rsid w:val="00086E43"/>
    <w:rsid w:val="0008715D"/>
    <w:rsid w:val="0008780B"/>
    <w:rsid w:val="000916D9"/>
    <w:rsid w:val="00095AEB"/>
    <w:rsid w:val="000A4219"/>
    <w:rsid w:val="000B0234"/>
    <w:rsid w:val="000B7DA4"/>
    <w:rsid w:val="000C56B0"/>
    <w:rsid w:val="000D1381"/>
    <w:rsid w:val="000D395F"/>
    <w:rsid w:val="000D5D38"/>
    <w:rsid w:val="000D7143"/>
    <w:rsid w:val="000E064F"/>
    <w:rsid w:val="000E3922"/>
    <w:rsid w:val="000E3A6F"/>
    <w:rsid w:val="000E5ADD"/>
    <w:rsid w:val="000F0A9A"/>
    <w:rsid w:val="000F2C39"/>
    <w:rsid w:val="000F421B"/>
    <w:rsid w:val="000F60C7"/>
    <w:rsid w:val="00102E35"/>
    <w:rsid w:val="001076B1"/>
    <w:rsid w:val="00111F14"/>
    <w:rsid w:val="00112A85"/>
    <w:rsid w:val="00113341"/>
    <w:rsid w:val="0012475A"/>
    <w:rsid w:val="00131C05"/>
    <w:rsid w:val="0013387F"/>
    <w:rsid w:val="00133F50"/>
    <w:rsid w:val="00136324"/>
    <w:rsid w:val="0014464E"/>
    <w:rsid w:val="0014552F"/>
    <w:rsid w:val="00146C68"/>
    <w:rsid w:val="00146ECB"/>
    <w:rsid w:val="001510A8"/>
    <w:rsid w:val="001543F8"/>
    <w:rsid w:val="00154FD2"/>
    <w:rsid w:val="0015661F"/>
    <w:rsid w:val="001569C1"/>
    <w:rsid w:val="001650C1"/>
    <w:rsid w:val="0016548B"/>
    <w:rsid w:val="0016662C"/>
    <w:rsid w:val="00167E75"/>
    <w:rsid w:val="001728B1"/>
    <w:rsid w:val="0017426D"/>
    <w:rsid w:val="00181EA7"/>
    <w:rsid w:val="00181FCF"/>
    <w:rsid w:val="00184800"/>
    <w:rsid w:val="00184EE5"/>
    <w:rsid w:val="00186EA0"/>
    <w:rsid w:val="0019711E"/>
    <w:rsid w:val="001976D7"/>
    <w:rsid w:val="001A4E11"/>
    <w:rsid w:val="001A57A2"/>
    <w:rsid w:val="001A58F2"/>
    <w:rsid w:val="001A5B6A"/>
    <w:rsid w:val="001A68ED"/>
    <w:rsid w:val="001A789F"/>
    <w:rsid w:val="001B0038"/>
    <w:rsid w:val="001B140E"/>
    <w:rsid w:val="001B339B"/>
    <w:rsid w:val="001B33E4"/>
    <w:rsid w:val="001B4213"/>
    <w:rsid w:val="001B6F78"/>
    <w:rsid w:val="001C5D9C"/>
    <w:rsid w:val="001D0A57"/>
    <w:rsid w:val="001D2E43"/>
    <w:rsid w:val="001D3D20"/>
    <w:rsid w:val="001D453A"/>
    <w:rsid w:val="001D60F7"/>
    <w:rsid w:val="001E452A"/>
    <w:rsid w:val="001E4B2C"/>
    <w:rsid w:val="001E5477"/>
    <w:rsid w:val="001E6C4C"/>
    <w:rsid w:val="001F1420"/>
    <w:rsid w:val="001F1C67"/>
    <w:rsid w:val="001F3F60"/>
    <w:rsid w:val="001F50AE"/>
    <w:rsid w:val="001F55B2"/>
    <w:rsid w:val="001F6A0F"/>
    <w:rsid w:val="001F7A4D"/>
    <w:rsid w:val="002016C5"/>
    <w:rsid w:val="002018A1"/>
    <w:rsid w:val="00202AB2"/>
    <w:rsid w:val="00203668"/>
    <w:rsid w:val="00203D95"/>
    <w:rsid w:val="00210559"/>
    <w:rsid w:val="00211375"/>
    <w:rsid w:val="0022140E"/>
    <w:rsid w:val="0022413D"/>
    <w:rsid w:val="002271F9"/>
    <w:rsid w:val="002277FD"/>
    <w:rsid w:val="00230621"/>
    <w:rsid w:val="00230FDE"/>
    <w:rsid w:val="00231839"/>
    <w:rsid w:val="00235B8A"/>
    <w:rsid w:val="002373E9"/>
    <w:rsid w:val="00243596"/>
    <w:rsid w:val="00244280"/>
    <w:rsid w:val="00246113"/>
    <w:rsid w:val="00252909"/>
    <w:rsid w:val="00253E53"/>
    <w:rsid w:val="002550A8"/>
    <w:rsid w:val="0025626E"/>
    <w:rsid w:val="002618F3"/>
    <w:rsid w:val="00262DCC"/>
    <w:rsid w:val="00267D75"/>
    <w:rsid w:val="00275B67"/>
    <w:rsid w:val="00285AFF"/>
    <w:rsid w:val="00290111"/>
    <w:rsid w:val="00290244"/>
    <w:rsid w:val="0029030C"/>
    <w:rsid w:val="0029049D"/>
    <w:rsid w:val="002921EA"/>
    <w:rsid w:val="00297D40"/>
    <w:rsid w:val="002A3E3E"/>
    <w:rsid w:val="002A46A7"/>
    <w:rsid w:val="002A6ACD"/>
    <w:rsid w:val="002A7339"/>
    <w:rsid w:val="002B3A1D"/>
    <w:rsid w:val="002B3E0B"/>
    <w:rsid w:val="002B64D9"/>
    <w:rsid w:val="002B653C"/>
    <w:rsid w:val="002B6992"/>
    <w:rsid w:val="002C1FE6"/>
    <w:rsid w:val="002C3F82"/>
    <w:rsid w:val="002C7B07"/>
    <w:rsid w:val="002D01A1"/>
    <w:rsid w:val="002D2984"/>
    <w:rsid w:val="002E33B3"/>
    <w:rsid w:val="002F056B"/>
    <w:rsid w:val="002F0F70"/>
    <w:rsid w:val="003012EA"/>
    <w:rsid w:val="00302C58"/>
    <w:rsid w:val="00303D53"/>
    <w:rsid w:val="00311508"/>
    <w:rsid w:val="00311D6D"/>
    <w:rsid w:val="00315865"/>
    <w:rsid w:val="00315DC8"/>
    <w:rsid w:val="00336849"/>
    <w:rsid w:val="00336BB6"/>
    <w:rsid w:val="0033727C"/>
    <w:rsid w:val="003400D2"/>
    <w:rsid w:val="00341893"/>
    <w:rsid w:val="003466CB"/>
    <w:rsid w:val="0035184E"/>
    <w:rsid w:val="00353336"/>
    <w:rsid w:val="00355AB7"/>
    <w:rsid w:val="003560A1"/>
    <w:rsid w:val="00356783"/>
    <w:rsid w:val="003577C7"/>
    <w:rsid w:val="0036156D"/>
    <w:rsid w:val="003657C4"/>
    <w:rsid w:val="00365926"/>
    <w:rsid w:val="00365D95"/>
    <w:rsid w:val="003703EE"/>
    <w:rsid w:val="003707FD"/>
    <w:rsid w:val="00373F39"/>
    <w:rsid w:val="00374615"/>
    <w:rsid w:val="00376532"/>
    <w:rsid w:val="003855B2"/>
    <w:rsid w:val="00385636"/>
    <w:rsid w:val="00386CA6"/>
    <w:rsid w:val="0038754A"/>
    <w:rsid w:val="003967D6"/>
    <w:rsid w:val="003A1B9E"/>
    <w:rsid w:val="003A3516"/>
    <w:rsid w:val="003A3D82"/>
    <w:rsid w:val="003A7CB6"/>
    <w:rsid w:val="003B32A7"/>
    <w:rsid w:val="003B74DF"/>
    <w:rsid w:val="003C041F"/>
    <w:rsid w:val="003C1110"/>
    <w:rsid w:val="003C142C"/>
    <w:rsid w:val="003C1C1A"/>
    <w:rsid w:val="003C22B7"/>
    <w:rsid w:val="003C42EF"/>
    <w:rsid w:val="003C5A6A"/>
    <w:rsid w:val="003D0CBA"/>
    <w:rsid w:val="003D32CC"/>
    <w:rsid w:val="003D372D"/>
    <w:rsid w:val="003D5233"/>
    <w:rsid w:val="003D5AFD"/>
    <w:rsid w:val="003E4915"/>
    <w:rsid w:val="003E5864"/>
    <w:rsid w:val="003E6993"/>
    <w:rsid w:val="003E6BAD"/>
    <w:rsid w:val="003F0EC4"/>
    <w:rsid w:val="003F2594"/>
    <w:rsid w:val="003F301D"/>
    <w:rsid w:val="003F7D3E"/>
    <w:rsid w:val="00401176"/>
    <w:rsid w:val="004024EA"/>
    <w:rsid w:val="004056B7"/>
    <w:rsid w:val="00406D21"/>
    <w:rsid w:val="00406FF8"/>
    <w:rsid w:val="004132CA"/>
    <w:rsid w:val="00413435"/>
    <w:rsid w:val="004152EC"/>
    <w:rsid w:val="00415AFF"/>
    <w:rsid w:val="00417107"/>
    <w:rsid w:val="00426FF4"/>
    <w:rsid w:val="0042734E"/>
    <w:rsid w:val="00431B38"/>
    <w:rsid w:val="00431EED"/>
    <w:rsid w:val="00432A58"/>
    <w:rsid w:val="00434B1D"/>
    <w:rsid w:val="00436011"/>
    <w:rsid w:val="004410BD"/>
    <w:rsid w:val="00441945"/>
    <w:rsid w:val="0044255A"/>
    <w:rsid w:val="00442571"/>
    <w:rsid w:val="0044507F"/>
    <w:rsid w:val="00446766"/>
    <w:rsid w:val="00446898"/>
    <w:rsid w:val="00451EB6"/>
    <w:rsid w:val="00455C1D"/>
    <w:rsid w:val="00456A50"/>
    <w:rsid w:val="004601FC"/>
    <w:rsid w:val="00460EC5"/>
    <w:rsid w:val="00467E76"/>
    <w:rsid w:val="00471640"/>
    <w:rsid w:val="00476881"/>
    <w:rsid w:val="0047696D"/>
    <w:rsid w:val="00481433"/>
    <w:rsid w:val="00481AC3"/>
    <w:rsid w:val="004821B0"/>
    <w:rsid w:val="0048408F"/>
    <w:rsid w:val="004845EC"/>
    <w:rsid w:val="0048552C"/>
    <w:rsid w:val="00485730"/>
    <w:rsid w:val="004936D5"/>
    <w:rsid w:val="004940A1"/>
    <w:rsid w:val="00494EBC"/>
    <w:rsid w:val="004A20B8"/>
    <w:rsid w:val="004A363A"/>
    <w:rsid w:val="004A5E98"/>
    <w:rsid w:val="004C0D71"/>
    <w:rsid w:val="004C72A5"/>
    <w:rsid w:val="004D1D05"/>
    <w:rsid w:val="004D2749"/>
    <w:rsid w:val="004E0336"/>
    <w:rsid w:val="004E1D29"/>
    <w:rsid w:val="004E2D3F"/>
    <w:rsid w:val="004E3786"/>
    <w:rsid w:val="004E6DDB"/>
    <w:rsid w:val="004E7AC7"/>
    <w:rsid w:val="004E7F27"/>
    <w:rsid w:val="00501E44"/>
    <w:rsid w:val="00502603"/>
    <w:rsid w:val="005038AE"/>
    <w:rsid w:val="00511575"/>
    <w:rsid w:val="00515AB8"/>
    <w:rsid w:val="00520FA6"/>
    <w:rsid w:val="00521358"/>
    <w:rsid w:val="00523D2D"/>
    <w:rsid w:val="00524793"/>
    <w:rsid w:val="00526565"/>
    <w:rsid w:val="00527A7D"/>
    <w:rsid w:val="005323B4"/>
    <w:rsid w:val="0053405A"/>
    <w:rsid w:val="00535F5A"/>
    <w:rsid w:val="00536E80"/>
    <w:rsid w:val="00541AE7"/>
    <w:rsid w:val="00546767"/>
    <w:rsid w:val="00546B80"/>
    <w:rsid w:val="0055257A"/>
    <w:rsid w:val="00553556"/>
    <w:rsid w:val="00553C00"/>
    <w:rsid w:val="0055446E"/>
    <w:rsid w:val="00562F70"/>
    <w:rsid w:val="0056311C"/>
    <w:rsid w:val="005631E7"/>
    <w:rsid w:val="0056499A"/>
    <w:rsid w:val="0056637D"/>
    <w:rsid w:val="00567C46"/>
    <w:rsid w:val="00570B72"/>
    <w:rsid w:val="00572468"/>
    <w:rsid w:val="00575DE6"/>
    <w:rsid w:val="00577B9A"/>
    <w:rsid w:val="00580A22"/>
    <w:rsid w:val="00581C72"/>
    <w:rsid w:val="00583CC0"/>
    <w:rsid w:val="00586F0E"/>
    <w:rsid w:val="00590832"/>
    <w:rsid w:val="00592D07"/>
    <w:rsid w:val="005937E4"/>
    <w:rsid w:val="00594D30"/>
    <w:rsid w:val="0059633C"/>
    <w:rsid w:val="00597214"/>
    <w:rsid w:val="005B6569"/>
    <w:rsid w:val="005C2CE0"/>
    <w:rsid w:val="005C3C3E"/>
    <w:rsid w:val="005C3EF9"/>
    <w:rsid w:val="005C4596"/>
    <w:rsid w:val="005C659F"/>
    <w:rsid w:val="005C737D"/>
    <w:rsid w:val="005C7C7A"/>
    <w:rsid w:val="005D1C66"/>
    <w:rsid w:val="005D1D70"/>
    <w:rsid w:val="005D41DA"/>
    <w:rsid w:val="005F3814"/>
    <w:rsid w:val="005F43A1"/>
    <w:rsid w:val="005F6351"/>
    <w:rsid w:val="005F7148"/>
    <w:rsid w:val="0060065F"/>
    <w:rsid w:val="006012A3"/>
    <w:rsid w:val="00606ABB"/>
    <w:rsid w:val="00612F1B"/>
    <w:rsid w:val="00616536"/>
    <w:rsid w:val="00621F30"/>
    <w:rsid w:val="0062270B"/>
    <w:rsid w:val="006337FB"/>
    <w:rsid w:val="006343B8"/>
    <w:rsid w:val="006371E1"/>
    <w:rsid w:val="00646B5B"/>
    <w:rsid w:val="00647B9B"/>
    <w:rsid w:val="0065084A"/>
    <w:rsid w:val="0065531C"/>
    <w:rsid w:val="0065756C"/>
    <w:rsid w:val="00660625"/>
    <w:rsid w:val="006610AF"/>
    <w:rsid w:val="00662291"/>
    <w:rsid w:val="00676408"/>
    <w:rsid w:val="00677080"/>
    <w:rsid w:val="006819DE"/>
    <w:rsid w:val="00683602"/>
    <w:rsid w:val="0068505D"/>
    <w:rsid w:val="00690DD3"/>
    <w:rsid w:val="006919D6"/>
    <w:rsid w:val="006A1B4A"/>
    <w:rsid w:val="006A2028"/>
    <w:rsid w:val="006A688F"/>
    <w:rsid w:val="006B0367"/>
    <w:rsid w:val="006B0906"/>
    <w:rsid w:val="006B0CB4"/>
    <w:rsid w:val="006B6467"/>
    <w:rsid w:val="006B66E7"/>
    <w:rsid w:val="006B690A"/>
    <w:rsid w:val="006C301D"/>
    <w:rsid w:val="006C4E26"/>
    <w:rsid w:val="006C5076"/>
    <w:rsid w:val="006C7E2C"/>
    <w:rsid w:val="006D6FEE"/>
    <w:rsid w:val="006E088C"/>
    <w:rsid w:val="006E19B5"/>
    <w:rsid w:val="006E1FA8"/>
    <w:rsid w:val="006E256B"/>
    <w:rsid w:val="006E3629"/>
    <w:rsid w:val="006E4C04"/>
    <w:rsid w:val="006E5CE1"/>
    <w:rsid w:val="006E7E30"/>
    <w:rsid w:val="00705C6E"/>
    <w:rsid w:val="00706893"/>
    <w:rsid w:val="00706A3E"/>
    <w:rsid w:val="00706E22"/>
    <w:rsid w:val="00710BDE"/>
    <w:rsid w:val="00711DD4"/>
    <w:rsid w:val="00714346"/>
    <w:rsid w:val="00714F7A"/>
    <w:rsid w:val="0071632D"/>
    <w:rsid w:val="007165C0"/>
    <w:rsid w:val="00720C80"/>
    <w:rsid w:val="00722454"/>
    <w:rsid w:val="0072421B"/>
    <w:rsid w:val="00724AF6"/>
    <w:rsid w:val="007256AC"/>
    <w:rsid w:val="00726490"/>
    <w:rsid w:val="00727887"/>
    <w:rsid w:val="007339F3"/>
    <w:rsid w:val="007354F0"/>
    <w:rsid w:val="00735E7F"/>
    <w:rsid w:val="00735EC6"/>
    <w:rsid w:val="00742C77"/>
    <w:rsid w:val="007530F8"/>
    <w:rsid w:val="0075474F"/>
    <w:rsid w:val="00757C9B"/>
    <w:rsid w:val="00761670"/>
    <w:rsid w:val="007619A7"/>
    <w:rsid w:val="00765AA9"/>
    <w:rsid w:val="00770F18"/>
    <w:rsid w:val="0077444B"/>
    <w:rsid w:val="00777920"/>
    <w:rsid w:val="0078576B"/>
    <w:rsid w:val="00787F54"/>
    <w:rsid w:val="00790E44"/>
    <w:rsid w:val="007941BB"/>
    <w:rsid w:val="00794CCA"/>
    <w:rsid w:val="00796114"/>
    <w:rsid w:val="00796153"/>
    <w:rsid w:val="0079624E"/>
    <w:rsid w:val="007974EA"/>
    <w:rsid w:val="00797B60"/>
    <w:rsid w:val="00797DB5"/>
    <w:rsid w:val="007A204F"/>
    <w:rsid w:val="007A6697"/>
    <w:rsid w:val="007A7A86"/>
    <w:rsid w:val="007B0D4A"/>
    <w:rsid w:val="007B361E"/>
    <w:rsid w:val="007B72DF"/>
    <w:rsid w:val="007C63EE"/>
    <w:rsid w:val="007D26DB"/>
    <w:rsid w:val="007E4D48"/>
    <w:rsid w:val="007E6FAD"/>
    <w:rsid w:val="007F41BF"/>
    <w:rsid w:val="007F4899"/>
    <w:rsid w:val="007F5ECF"/>
    <w:rsid w:val="007F7F6E"/>
    <w:rsid w:val="00806DA7"/>
    <w:rsid w:val="00816C74"/>
    <w:rsid w:val="00816F9F"/>
    <w:rsid w:val="0081772A"/>
    <w:rsid w:val="00824266"/>
    <w:rsid w:val="00826868"/>
    <w:rsid w:val="008275B5"/>
    <w:rsid w:val="0082786F"/>
    <w:rsid w:val="008279EA"/>
    <w:rsid w:val="0083067E"/>
    <w:rsid w:val="0083268F"/>
    <w:rsid w:val="0083371F"/>
    <w:rsid w:val="0083631E"/>
    <w:rsid w:val="008427B6"/>
    <w:rsid w:val="00843D94"/>
    <w:rsid w:val="00844F46"/>
    <w:rsid w:val="00846EB9"/>
    <w:rsid w:val="00847460"/>
    <w:rsid w:val="00847650"/>
    <w:rsid w:val="00862CAF"/>
    <w:rsid w:val="008716E9"/>
    <w:rsid w:val="00873E51"/>
    <w:rsid w:val="008778EE"/>
    <w:rsid w:val="00877D5A"/>
    <w:rsid w:val="008842D6"/>
    <w:rsid w:val="008941BC"/>
    <w:rsid w:val="008A13AA"/>
    <w:rsid w:val="008A1C65"/>
    <w:rsid w:val="008A2848"/>
    <w:rsid w:val="008A3CEB"/>
    <w:rsid w:val="008A4188"/>
    <w:rsid w:val="008B1A82"/>
    <w:rsid w:val="008B4AD2"/>
    <w:rsid w:val="008B5C7C"/>
    <w:rsid w:val="008B5CF7"/>
    <w:rsid w:val="008B605F"/>
    <w:rsid w:val="008C0E68"/>
    <w:rsid w:val="008C24E1"/>
    <w:rsid w:val="008C7413"/>
    <w:rsid w:val="008D1481"/>
    <w:rsid w:val="008D314E"/>
    <w:rsid w:val="008D482E"/>
    <w:rsid w:val="008D4877"/>
    <w:rsid w:val="008D6795"/>
    <w:rsid w:val="008E128D"/>
    <w:rsid w:val="008E38E7"/>
    <w:rsid w:val="008F1741"/>
    <w:rsid w:val="008F310B"/>
    <w:rsid w:val="008F698B"/>
    <w:rsid w:val="008F7057"/>
    <w:rsid w:val="00901FE7"/>
    <w:rsid w:val="00903BA2"/>
    <w:rsid w:val="00905A93"/>
    <w:rsid w:val="00907F09"/>
    <w:rsid w:val="0092076A"/>
    <w:rsid w:val="00923D37"/>
    <w:rsid w:val="00925400"/>
    <w:rsid w:val="00927130"/>
    <w:rsid w:val="009305DE"/>
    <w:rsid w:val="0093197E"/>
    <w:rsid w:val="00932276"/>
    <w:rsid w:val="009337F0"/>
    <w:rsid w:val="0093552A"/>
    <w:rsid w:val="009404BF"/>
    <w:rsid w:val="00940FEB"/>
    <w:rsid w:val="00942477"/>
    <w:rsid w:val="00944F6D"/>
    <w:rsid w:val="0094631E"/>
    <w:rsid w:val="009469A2"/>
    <w:rsid w:val="00953311"/>
    <w:rsid w:val="00953A81"/>
    <w:rsid w:val="00955B52"/>
    <w:rsid w:val="00964A4E"/>
    <w:rsid w:val="00965549"/>
    <w:rsid w:val="009656A3"/>
    <w:rsid w:val="00965F0A"/>
    <w:rsid w:val="00966C22"/>
    <w:rsid w:val="0097099F"/>
    <w:rsid w:val="00972AD8"/>
    <w:rsid w:val="00982320"/>
    <w:rsid w:val="00985BDA"/>
    <w:rsid w:val="009870FD"/>
    <w:rsid w:val="009875CC"/>
    <w:rsid w:val="00990CE3"/>
    <w:rsid w:val="009946CA"/>
    <w:rsid w:val="0099627D"/>
    <w:rsid w:val="009A0C85"/>
    <w:rsid w:val="009A40F3"/>
    <w:rsid w:val="009A6172"/>
    <w:rsid w:val="009A7400"/>
    <w:rsid w:val="009B1279"/>
    <w:rsid w:val="009B1CBD"/>
    <w:rsid w:val="009B3062"/>
    <w:rsid w:val="009B66AE"/>
    <w:rsid w:val="009C39A1"/>
    <w:rsid w:val="009C6121"/>
    <w:rsid w:val="009C6218"/>
    <w:rsid w:val="009D19F4"/>
    <w:rsid w:val="009D4B45"/>
    <w:rsid w:val="009D56A4"/>
    <w:rsid w:val="009D6326"/>
    <w:rsid w:val="009E3660"/>
    <w:rsid w:val="009E7370"/>
    <w:rsid w:val="009F37C3"/>
    <w:rsid w:val="00A0004C"/>
    <w:rsid w:val="00A055FD"/>
    <w:rsid w:val="00A10E68"/>
    <w:rsid w:val="00A11282"/>
    <w:rsid w:val="00A12C04"/>
    <w:rsid w:val="00A227FA"/>
    <w:rsid w:val="00A25BD9"/>
    <w:rsid w:val="00A271BF"/>
    <w:rsid w:val="00A30673"/>
    <w:rsid w:val="00A370CD"/>
    <w:rsid w:val="00A400FA"/>
    <w:rsid w:val="00A41E9D"/>
    <w:rsid w:val="00A6218A"/>
    <w:rsid w:val="00A649D8"/>
    <w:rsid w:val="00A7012F"/>
    <w:rsid w:val="00A74714"/>
    <w:rsid w:val="00A7521A"/>
    <w:rsid w:val="00A75C82"/>
    <w:rsid w:val="00A8136F"/>
    <w:rsid w:val="00A81C32"/>
    <w:rsid w:val="00A83974"/>
    <w:rsid w:val="00A85DA6"/>
    <w:rsid w:val="00A92D91"/>
    <w:rsid w:val="00A92F96"/>
    <w:rsid w:val="00A93093"/>
    <w:rsid w:val="00A944C4"/>
    <w:rsid w:val="00A95965"/>
    <w:rsid w:val="00A97A22"/>
    <w:rsid w:val="00AA1ECB"/>
    <w:rsid w:val="00AA450B"/>
    <w:rsid w:val="00AA5693"/>
    <w:rsid w:val="00AB28E3"/>
    <w:rsid w:val="00AB4A8D"/>
    <w:rsid w:val="00AB77A9"/>
    <w:rsid w:val="00AC28D8"/>
    <w:rsid w:val="00AD0C5A"/>
    <w:rsid w:val="00AD4C51"/>
    <w:rsid w:val="00AD526F"/>
    <w:rsid w:val="00AE6A0D"/>
    <w:rsid w:val="00AF1989"/>
    <w:rsid w:val="00AF289F"/>
    <w:rsid w:val="00AF7B87"/>
    <w:rsid w:val="00B002EE"/>
    <w:rsid w:val="00B02CA3"/>
    <w:rsid w:val="00B0476A"/>
    <w:rsid w:val="00B07FC4"/>
    <w:rsid w:val="00B13CCB"/>
    <w:rsid w:val="00B13F4D"/>
    <w:rsid w:val="00B14667"/>
    <w:rsid w:val="00B212C9"/>
    <w:rsid w:val="00B22AEE"/>
    <w:rsid w:val="00B32218"/>
    <w:rsid w:val="00B33398"/>
    <w:rsid w:val="00B34B2F"/>
    <w:rsid w:val="00B44104"/>
    <w:rsid w:val="00B53428"/>
    <w:rsid w:val="00B5622C"/>
    <w:rsid w:val="00B6122C"/>
    <w:rsid w:val="00B63F4A"/>
    <w:rsid w:val="00B64504"/>
    <w:rsid w:val="00B65726"/>
    <w:rsid w:val="00B74FF2"/>
    <w:rsid w:val="00B801C5"/>
    <w:rsid w:val="00B86AD0"/>
    <w:rsid w:val="00B87F71"/>
    <w:rsid w:val="00B9153A"/>
    <w:rsid w:val="00B954FB"/>
    <w:rsid w:val="00BA1342"/>
    <w:rsid w:val="00BA191C"/>
    <w:rsid w:val="00BA69F3"/>
    <w:rsid w:val="00BA7AB8"/>
    <w:rsid w:val="00BB2926"/>
    <w:rsid w:val="00BC1656"/>
    <w:rsid w:val="00BC5EE8"/>
    <w:rsid w:val="00BD230B"/>
    <w:rsid w:val="00BD2EE9"/>
    <w:rsid w:val="00BD51CE"/>
    <w:rsid w:val="00BD595A"/>
    <w:rsid w:val="00BD7DB8"/>
    <w:rsid w:val="00BE4CBB"/>
    <w:rsid w:val="00BE5453"/>
    <w:rsid w:val="00BE75EA"/>
    <w:rsid w:val="00BF14D2"/>
    <w:rsid w:val="00BF3E57"/>
    <w:rsid w:val="00BF5E94"/>
    <w:rsid w:val="00BF717B"/>
    <w:rsid w:val="00C00118"/>
    <w:rsid w:val="00C00D12"/>
    <w:rsid w:val="00C0762A"/>
    <w:rsid w:val="00C109B6"/>
    <w:rsid w:val="00C1173D"/>
    <w:rsid w:val="00C1351E"/>
    <w:rsid w:val="00C150EC"/>
    <w:rsid w:val="00C15238"/>
    <w:rsid w:val="00C167D2"/>
    <w:rsid w:val="00C1739F"/>
    <w:rsid w:val="00C17C3B"/>
    <w:rsid w:val="00C20BB9"/>
    <w:rsid w:val="00C24646"/>
    <w:rsid w:val="00C40480"/>
    <w:rsid w:val="00C42D65"/>
    <w:rsid w:val="00C5127D"/>
    <w:rsid w:val="00C538A9"/>
    <w:rsid w:val="00C539DA"/>
    <w:rsid w:val="00C539F8"/>
    <w:rsid w:val="00C60F90"/>
    <w:rsid w:val="00C628A5"/>
    <w:rsid w:val="00C66E6A"/>
    <w:rsid w:val="00C71024"/>
    <w:rsid w:val="00C73516"/>
    <w:rsid w:val="00C747A0"/>
    <w:rsid w:val="00C810E3"/>
    <w:rsid w:val="00C815E7"/>
    <w:rsid w:val="00C828D8"/>
    <w:rsid w:val="00C82D8D"/>
    <w:rsid w:val="00C83A9A"/>
    <w:rsid w:val="00C8535F"/>
    <w:rsid w:val="00C86BFB"/>
    <w:rsid w:val="00C877AC"/>
    <w:rsid w:val="00C90F71"/>
    <w:rsid w:val="00C91D03"/>
    <w:rsid w:val="00C93DC8"/>
    <w:rsid w:val="00CA1310"/>
    <w:rsid w:val="00CA15D0"/>
    <w:rsid w:val="00CA1B76"/>
    <w:rsid w:val="00CA1F8F"/>
    <w:rsid w:val="00CA2ABA"/>
    <w:rsid w:val="00CA2DC6"/>
    <w:rsid w:val="00CA2EB8"/>
    <w:rsid w:val="00CA4E65"/>
    <w:rsid w:val="00CA74E5"/>
    <w:rsid w:val="00CB0CE0"/>
    <w:rsid w:val="00CB49DE"/>
    <w:rsid w:val="00CB4A0B"/>
    <w:rsid w:val="00CD07D9"/>
    <w:rsid w:val="00CD1A35"/>
    <w:rsid w:val="00CD7478"/>
    <w:rsid w:val="00CE03DB"/>
    <w:rsid w:val="00CE1C93"/>
    <w:rsid w:val="00CE1FAD"/>
    <w:rsid w:val="00CE5B7D"/>
    <w:rsid w:val="00CF679D"/>
    <w:rsid w:val="00D026FF"/>
    <w:rsid w:val="00D02C30"/>
    <w:rsid w:val="00D03704"/>
    <w:rsid w:val="00D052C4"/>
    <w:rsid w:val="00D06256"/>
    <w:rsid w:val="00D104A3"/>
    <w:rsid w:val="00D131D9"/>
    <w:rsid w:val="00D149BE"/>
    <w:rsid w:val="00D1604A"/>
    <w:rsid w:val="00D3092E"/>
    <w:rsid w:val="00D30E44"/>
    <w:rsid w:val="00D322F6"/>
    <w:rsid w:val="00D32C53"/>
    <w:rsid w:val="00D36791"/>
    <w:rsid w:val="00D402F8"/>
    <w:rsid w:val="00D40C60"/>
    <w:rsid w:val="00D501C2"/>
    <w:rsid w:val="00D51D22"/>
    <w:rsid w:val="00D5297C"/>
    <w:rsid w:val="00D537B7"/>
    <w:rsid w:val="00D53D84"/>
    <w:rsid w:val="00D53F3A"/>
    <w:rsid w:val="00D545B3"/>
    <w:rsid w:val="00D55DAB"/>
    <w:rsid w:val="00D57B2D"/>
    <w:rsid w:val="00D60001"/>
    <w:rsid w:val="00D633F2"/>
    <w:rsid w:val="00D64458"/>
    <w:rsid w:val="00D657B5"/>
    <w:rsid w:val="00D6654B"/>
    <w:rsid w:val="00D6680C"/>
    <w:rsid w:val="00D67BF9"/>
    <w:rsid w:val="00D70002"/>
    <w:rsid w:val="00D71F92"/>
    <w:rsid w:val="00D72ACD"/>
    <w:rsid w:val="00D72D94"/>
    <w:rsid w:val="00D76352"/>
    <w:rsid w:val="00D809FE"/>
    <w:rsid w:val="00D81078"/>
    <w:rsid w:val="00D8230C"/>
    <w:rsid w:val="00D82DF8"/>
    <w:rsid w:val="00D902CA"/>
    <w:rsid w:val="00DA153E"/>
    <w:rsid w:val="00DA506D"/>
    <w:rsid w:val="00DB1F9D"/>
    <w:rsid w:val="00DC2B9D"/>
    <w:rsid w:val="00DC79B5"/>
    <w:rsid w:val="00DD1AE8"/>
    <w:rsid w:val="00DD1F30"/>
    <w:rsid w:val="00DD21F0"/>
    <w:rsid w:val="00DD22E0"/>
    <w:rsid w:val="00DE0566"/>
    <w:rsid w:val="00DE4A15"/>
    <w:rsid w:val="00DF01E0"/>
    <w:rsid w:val="00DF14FA"/>
    <w:rsid w:val="00DF37EA"/>
    <w:rsid w:val="00DF406D"/>
    <w:rsid w:val="00DF5274"/>
    <w:rsid w:val="00DF54D1"/>
    <w:rsid w:val="00DF6388"/>
    <w:rsid w:val="00DF7229"/>
    <w:rsid w:val="00DF7655"/>
    <w:rsid w:val="00DF7716"/>
    <w:rsid w:val="00DF7EBF"/>
    <w:rsid w:val="00E0053E"/>
    <w:rsid w:val="00E047B4"/>
    <w:rsid w:val="00E04C27"/>
    <w:rsid w:val="00E04E12"/>
    <w:rsid w:val="00E11CF9"/>
    <w:rsid w:val="00E23AE3"/>
    <w:rsid w:val="00E25561"/>
    <w:rsid w:val="00E26C6F"/>
    <w:rsid w:val="00E3115B"/>
    <w:rsid w:val="00E35B79"/>
    <w:rsid w:val="00E36978"/>
    <w:rsid w:val="00E377B2"/>
    <w:rsid w:val="00E43067"/>
    <w:rsid w:val="00E43554"/>
    <w:rsid w:val="00E43918"/>
    <w:rsid w:val="00E44F55"/>
    <w:rsid w:val="00E46F31"/>
    <w:rsid w:val="00E53410"/>
    <w:rsid w:val="00E548EF"/>
    <w:rsid w:val="00E55A4E"/>
    <w:rsid w:val="00E57F52"/>
    <w:rsid w:val="00E64F6E"/>
    <w:rsid w:val="00E679E9"/>
    <w:rsid w:val="00E70B04"/>
    <w:rsid w:val="00E80DCA"/>
    <w:rsid w:val="00E81F33"/>
    <w:rsid w:val="00E84339"/>
    <w:rsid w:val="00E8621D"/>
    <w:rsid w:val="00E87988"/>
    <w:rsid w:val="00E909CF"/>
    <w:rsid w:val="00E93D4E"/>
    <w:rsid w:val="00E9405D"/>
    <w:rsid w:val="00E94CF6"/>
    <w:rsid w:val="00E9603F"/>
    <w:rsid w:val="00E97467"/>
    <w:rsid w:val="00EA38E9"/>
    <w:rsid w:val="00EA397B"/>
    <w:rsid w:val="00EA7351"/>
    <w:rsid w:val="00EC0C18"/>
    <w:rsid w:val="00EC10AE"/>
    <w:rsid w:val="00EC38D0"/>
    <w:rsid w:val="00EC4237"/>
    <w:rsid w:val="00EC5E8A"/>
    <w:rsid w:val="00ED37C6"/>
    <w:rsid w:val="00ED41C6"/>
    <w:rsid w:val="00EE3074"/>
    <w:rsid w:val="00EF3EE4"/>
    <w:rsid w:val="00EF4601"/>
    <w:rsid w:val="00EF61C4"/>
    <w:rsid w:val="00EF780A"/>
    <w:rsid w:val="00F10A2A"/>
    <w:rsid w:val="00F10F4A"/>
    <w:rsid w:val="00F14B04"/>
    <w:rsid w:val="00F16331"/>
    <w:rsid w:val="00F163FE"/>
    <w:rsid w:val="00F30FAB"/>
    <w:rsid w:val="00F3279A"/>
    <w:rsid w:val="00F3537C"/>
    <w:rsid w:val="00F37A8F"/>
    <w:rsid w:val="00F41D3B"/>
    <w:rsid w:val="00F448D0"/>
    <w:rsid w:val="00F45674"/>
    <w:rsid w:val="00F52C0D"/>
    <w:rsid w:val="00F53DB5"/>
    <w:rsid w:val="00F54390"/>
    <w:rsid w:val="00F55FE3"/>
    <w:rsid w:val="00F60816"/>
    <w:rsid w:val="00F610AB"/>
    <w:rsid w:val="00F656C6"/>
    <w:rsid w:val="00F65974"/>
    <w:rsid w:val="00F66E02"/>
    <w:rsid w:val="00F704CC"/>
    <w:rsid w:val="00F748B9"/>
    <w:rsid w:val="00F7686A"/>
    <w:rsid w:val="00F77BF0"/>
    <w:rsid w:val="00F829B2"/>
    <w:rsid w:val="00F834A2"/>
    <w:rsid w:val="00F911A9"/>
    <w:rsid w:val="00F91D1E"/>
    <w:rsid w:val="00F94EBF"/>
    <w:rsid w:val="00F97DAF"/>
    <w:rsid w:val="00FA3010"/>
    <w:rsid w:val="00FA52CA"/>
    <w:rsid w:val="00FA684F"/>
    <w:rsid w:val="00FB4D08"/>
    <w:rsid w:val="00FB50ED"/>
    <w:rsid w:val="00FC01D6"/>
    <w:rsid w:val="00FC1888"/>
    <w:rsid w:val="00FC3246"/>
    <w:rsid w:val="00FC4C41"/>
    <w:rsid w:val="00FC50FD"/>
    <w:rsid w:val="00FC611C"/>
    <w:rsid w:val="00FC7248"/>
    <w:rsid w:val="00FD37C2"/>
    <w:rsid w:val="00FE0473"/>
    <w:rsid w:val="00FE25AD"/>
    <w:rsid w:val="00FE3CEF"/>
    <w:rsid w:val="00FE634E"/>
    <w:rsid w:val="00FE7798"/>
    <w:rsid w:val="00FF29A7"/>
    <w:rsid w:val="00FF31B7"/>
    <w:rsid w:val="00FF54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0FFDA"/>
  <w15:docId w15:val="{4053D6AB-2F9B-423A-8C34-3970A965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7A8F"/>
    <w:pPr>
      <w:overflowPunct w:val="0"/>
      <w:autoSpaceDE w:val="0"/>
      <w:autoSpaceDN w:val="0"/>
      <w:adjustRightInd w:val="0"/>
      <w:textAlignment w:val="baseline"/>
    </w:pPr>
  </w:style>
  <w:style w:type="paragraph" w:styleId="Nadpis1">
    <w:name w:val="heading 1"/>
    <w:basedOn w:val="Normlny"/>
    <w:next w:val="Normlny"/>
    <w:qFormat/>
    <w:rsid w:val="00F37A8F"/>
    <w:pPr>
      <w:keepNext/>
      <w:outlineLvl w:val="0"/>
    </w:pPr>
    <w:rPr>
      <w:bCs/>
      <w:i/>
      <w:sz w:val="24"/>
    </w:rPr>
  </w:style>
  <w:style w:type="paragraph" w:styleId="Nadpis2">
    <w:name w:val="heading 2"/>
    <w:basedOn w:val="Normlny"/>
    <w:next w:val="Normlny"/>
    <w:qFormat/>
    <w:rsid w:val="00F37A8F"/>
    <w:pPr>
      <w:keepNext/>
      <w:outlineLvl w:val="1"/>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37A8F"/>
    <w:pPr>
      <w:tabs>
        <w:tab w:val="center" w:pos="4536"/>
        <w:tab w:val="right" w:pos="9072"/>
      </w:tabs>
    </w:pPr>
  </w:style>
  <w:style w:type="character" w:styleId="slostrany">
    <w:name w:val="page number"/>
    <w:basedOn w:val="Predvolenpsmoodseku"/>
    <w:rsid w:val="00F37A8F"/>
  </w:style>
  <w:style w:type="paragraph" w:styleId="truktradokumentu">
    <w:name w:val="Document Map"/>
    <w:basedOn w:val="Normlny"/>
    <w:semiHidden/>
    <w:rsid w:val="00F37A8F"/>
    <w:pPr>
      <w:shd w:val="clear" w:color="auto" w:fill="000080"/>
    </w:pPr>
    <w:rPr>
      <w:rFonts w:ascii="Tahoma" w:hAnsi="Tahoma" w:cs="Tahoma"/>
    </w:rPr>
  </w:style>
  <w:style w:type="paragraph" w:styleId="Zkladntext">
    <w:name w:val="Body Text"/>
    <w:basedOn w:val="Normlny"/>
    <w:rsid w:val="00F37A8F"/>
    <w:rPr>
      <w:sz w:val="24"/>
    </w:rPr>
  </w:style>
  <w:style w:type="paragraph" w:styleId="Textbubliny">
    <w:name w:val="Balloon Text"/>
    <w:basedOn w:val="Normlny"/>
    <w:semiHidden/>
    <w:rsid w:val="00CD07D9"/>
    <w:rPr>
      <w:rFonts w:ascii="Tahoma" w:hAnsi="Tahoma" w:cs="Tahoma"/>
      <w:sz w:val="16"/>
      <w:szCs w:val="16"/>
    </w:rPr>
  </w:style>
  <w:style w:type="paragraph" w:customStyle="1" w:styleId="Normlny1">
    <w:name w:val="Normálny1"/>
    <w:rsid w:val="00434B1D"/>
    <w:pPr>
      <w:widowControl w:val="0"/>
      <w:overflowPunct w:val="0"/>
      <w:autoSpaceDE w:val="0"/>
      <w:autoSpaceDN w:val="0"/>
      <w:adjustRightInd w:val="0"/>
      <w:textAlignment w:val="baseline"/>
    </w:pPr>
    <w:rPr>
      <w:sz w:val="24"/>
      <w:lang w:eastAsia="en-US"/>
    </w:rPr>
  </w:style>
  <w:style w:type="paragraph" w:customStyle="1" w:styleId="Default">
    <w:name w:val="Default"/>
    <w:rsid w:val="00EA397B"/>
    <w:pPr>
      <w:widowControl w:val="0"/>
      <w:autoSpaceDE w:val="0"/>
      <w:autoSpaceDN w:val="0"/>
      <w:adjustRightInd w:val="0"/>
    </w:pPr>
    <w:rPr>
      <w:color w:val="000000"/>
      <w:sz w:val="24"/>
      <w:szCs w:val="24"/>
      <w:lang w:val="nl-NL" w:eastAsia="nl-NL"/>
    </w:rPr>
  </w:style>
  <w:style w:type="paragraph" w:customStyle="1" w:styleId="Odsekzoznamu1">
    <w:name w:val="Odsek zoznamu1"/>
    <w:basedOn w:val="Normlny"/>
    <w:uiPriority w:val="34"/>
    <w:qFormat/>
    <w:rsid w:val="00B02CA3"/>
    <w:pPr>
      <w:ind w:left="708"/>
    </w:pPr>
  </w:style>
  <w:style w:type="paragraph" w:styleId="Hlavika">
    <w:name w:val="header"/>
    <w:basedOn w:val="Normlny"/>
    <w:link w:val="HlavikaChar"/>
    <w:uiPriority w:val="99"/>
    <w:rsid w:val="006C301D"/>
    <w:pPr>
      <w:tabs>
        <w:tab w:val="center" w:pos="4536"/>
        <w:tab w:val="right" w:pos="9072"/>
      </w:tabs>
    </w:pPr>
  </w:style>
  <w:style w:type="character" w:customStyle="1" w:styleId="HlavikaChar">
    <w:name w:val="Hlavička Char"/>
    <w:basedOn w:val="Predvolenpsmoodseku"/>
    <w:link w:val="Hlavika"/>
    <w:uiPriority w:val="99"/>
    <w:rsid w:val="006C301D"/>
  </w:style>
  <w:style w:type="paragraph" w:customStyle="1" w:styleId="Para0s">
    <w:name w:val="Para:0:s"/>
    <w:basedOn w:val="Normlny"/>
    <w:uiPriority w:val="99"/>
    <w:rsid w:val="001076B1"/>
    <w:pPr>
      <w:overflowPunct/>
      <w:autoSpaceDE/>
      <w:autoSpaceDN/>
      <w:adjustRightInd/>
      <w:spacing w:after="220"/>
      <w:textAlignment w:val="auto"/>
    </w:pPr>
    <w:rPr>
      <w:sz w:val="24"/>
      <w:szCs w:val="24"/>
      <w:lang w:val="en-US" w:eastAsia="cs-CZ"/>
    </w:rPr>
  </w:style>
  <w:style w:type="paragraph" w:customStyle="1" w:styleId="ParaKT0sb">
    <w:name w:val="ParaKT:0:sb"/>
    <w:basedOn w:val="Normlny"/>
    <w:next w:val="Para0s"/>
    <w:uiPriority w:val="99"/>
    <w:rsid w:val="00BA7AB8"/>
    <w:pPr>
      <w:keepNext/>
      <w:keepLines/>
      <w:overflowPunct/>
      <w:autoSpaceDE/>
      <w:autoSpaceDN/>
      <w:adjustRightInd/>
      <w:spacing w:after="220"/>
      <w:textAlignment w:val="auto"/>
    </w:pPr>
    <w:rPr>
      <w:b/>
      <w:bCs/>
      <w:sz w:val="24"/>
      <w:szCs w:val="24"/>
      <w:lang w:val="en-US" w:eastAsia="cs-CZ"/>
    </w:rPr>
  </w:style>
  <w:style w:type="paragraph" w:customStyle="1" w:styleId="Bullet0s">
    <w:name w:val="Bullet:0:s"/>
    <w:basedOn w:val="Normlny"/>
    <w:uiPriority w:val="99"/>
    <w:rsid w:val="00E679E9"/>
    <w:pPr>
      <w:numPr>
        <w:numId w:val="59"/>
      </w:numPr>
      <w:overflowPunct/>
      <w:autoSpaceDE/>
      <w:autoSpaceDN/>
      <w:adjustRightInd/>
      <w:spacing w:before="40" w:after="40"/>
      <w:textAlignment w:val="auto"/>
    </w:pPr>
    <w:rPr>
      <w:sz w:val="24"/>
      <w:szCs w:val="24"/>
      <w:lang w:val="en-US" w:eastAsia="cs-CZ"/>
    </w:rPr>
  </w:style>
  <w:style w:type="paragraph" w:styleId="Normlnysozarkami">
    <w:name w:val="Normal Indent"/>
    <w:basedOn w:val="Normlny"/>
    <w:uiPriority w:val="99"/>
    <w:rsid w:val="00373F39"/>
    <w:pPr>
      <w:overflowPunct/>
      <w:autoSpaceDE/>
      <w:autoSpaceDN/>
      <w:adjustRightInd/>
      <w:spacing w:after="120"/>
      <w:ind w:left="720"/>
      <w:textAlignment w:val="auto"/>
    </w:pPr>
    <w:rPr>
      <w:sz w:val="22"/>
      <w:szCs w:val="22"/>
      <w:lang w:val="en-GB" w:eastAsia="cs-CZ"/>
    </w:rPr>
  </w:style>
  <w:style w:type="paragraph" w:customStyle="1" w:styleId="ParaKT0s">
    <w:name w:val="ParaKT:0:s"/>
    <w:basedOn w:val="Para0s"/>
    <w:next w:val="Para0s"/>
    <w:uiPriority w:val="99"/>
    <w:rsid w:val="00777920"/>
    <w:pPr>
      <w:keepNext/>
      <w:keepLines/>
    </w:pPr>
  </w:style>
  <w:style w:type="paragraph" w:styleId="Zkladntext2">
    <w:name w:val="Body Text 2"/>
    <w:basedOn w:val="Normlny"/>
    <w:link w:val="Zkladntext2Char"/>
    <w:rsid w:val="00C150EC"/>
    <w:pPr>
      <w:spacing w:after="120" w:line="480" w:lineRule="auto"/>
    </w:pPr>
  </w:style>
  <w:style w:type="character" w:customStyle="1" w:styleId="Zkladntext2Char">
    <w:name w:val="Základný text 2 Char"/>
    <w:basedOn w:val="Predvolenpsmoodseku"/>
    <w:link w:val="Zkladntext2"/>
    <w:rsid w:val="00C150EC"/>
  </w:style>
  <w:style w:type="character" w:customStyle="1" w:styleId="CharChar3">
    <w:name w:val="Char Char3"/>
    <w:basedOn w:val="Predvolenpsmoodseku"/>
    <w:rsid w:val="00677080"/>
  </w:style>
  <w:style w:type="character" w:styleId="Hypertextovprepojenie">
    <w:name w:val="Hyperlink"/>
    <w:rsid w:val="00985BDA"/>
    <w:rPr>
      <w:color w:val="0000FF"/>
      <w:u w:val="single"/>
    </w:rPr>
  </w:style>
  <w:style w:type="paragraph" w:styleId="Zarkazkladnhotextu2">
    <w:name w:val="Body Text Indent 2"/>
    <w:basedOn w:val="Normlny"/>
    <w:link w:val="Zarkazkladnhotextu2Char"/>
    <w:rsid w:val="00D6654B"/>
    <w:pPr>
      <w:spacing w:after="120" w:line="480" w:lineRule="auto"/>
      <w:ind w:left="283"/>
    </w:pPr>
  </w:style>
  <w:style w:type="character" w:customStyle="1" w:styleId="Zarkazkladnhotextu2Char">
    <w:name w:val="Zarážka základného textu 2 Char"/>
    <w:basedOn w:val="Predvolenpsmoodseku"/>
    <w:link w:val="Zarkazkladnhotextu2"/>
    <w:rsid w:val="00D6654B"/>
  </w:style>
  <w:style w:type="character" w:styleId="Zvraznenie">
    <w:name w:val="Emphasis"/>
    <w:uiPriority w:val="20"/>
    <w:qFormat/>
    <w:rsid w:val="00E04C27"/>
    <w:rPr>
      <w:i/>
      <w:iCs/>
    </w:rPr>
  </w:style>
  <w:style w:type="paragraph" w:styleId="Odsekzoznamu">
    <w:name w:val="List Paragraph"/>
    <w:basedOn w:val="Normlny"/>
    <w:uiPriority w:val="34"/>
    <w:qFormat/>
    <w:rsid w:val="009337F0"/>
    <w:pPr>
      <w:ind w:left="708"/>
    </w:pPr>
  </w:style>
  <w:style w:type="paragraph" w:styleId="Normlnywebov">
    <w:name w:val="Normal (Web)"/>
    <w:basedOn w:val="Normlny"/>
    <w:uiPriority w:val="99"/>
    <w:unhideWhenUsed/>
    <w:rsid w:val="00B44104"/>
    <w:pPr>
      <w:overflowPunct/>
      <w:autoSpaceDE/>
      <w:autoSpaceDN/>
      <w:adjustRightInd/>
      <w:spacing w:before="100" w:beforeAutospacing="1" w:after="100" w:afterAutospacing="1"/>
      <w:textAlignment w:val="auto"/>
    </w:pPr>
    <w:rPr>
      <w:sz w:val="24"/>
      <w:szCs w:val="24"/>
    </w:rPr>
  </w:style>
  <w:style w:type="character" w:styleId="Siln">
    <w:name w:val="Strong"/>
    <w:uiPriority w:val="22"/>
    <w:qFormat/>
    <w:rsid w:val="00AB77A9"/>
    <w:rPr>
      <w:b/>
      <w:bCs/>
    </w:rPr>
  </w:style>
  <w:style w:type="character" w:customStyle="1" w:styleId="st">
    <w:name w:val="st"/>
    <w:basedOn w:val="Predvolenpsmoodseku"/>
    <w:rsid w:val="00002114"/>
  </w:style>
  <w:style w:type="character" w:customStyle="1" w:styleId="shorttext">
    <w:name w:val="short_text"/>
    <w:basedOn w:val="Predvolenpsmoodseku"/>
    <w:rsid w:val="00002114"/>
  </w:style>
  <w:style w:type="character" w:customStyle="1" w:styleId="hps">
    <w:name w:val="hps"/>
    <w:basedOn w:val="Predvolenpsmoodseku"/>
    <w:rsid w:val="00002114"/>
  </w:style>
  <w:style w:type="character" w:styleId="Odkaznakomentr">
    <w:name w:val="annotation reference"/>
    <w:basedOn w:val="Predvolenpsmoodseku"/>
    <w:rsid w:val="00DF54D1"/>
    <w:rPr>
      <w:sz w:val="16"/>
      <w:szCs w:val="16"/>
    </w:rPr>
  </w:style>
  <w:style w:type="paragraph" w:styleId="Textkomentra">
    <w:name w:val="annotation text"/>
    <w:basedOn w:val="Normlny"/>
    <w:link w:val="TextkomentraChar"/>
    <w:rsid w:val="00DF54D1"/>
  </w:style>
  <w:style w:type="character" w:customStyle="1" w:styleId="TextkomentraChar">
    <w:name w:val="Text komentára Char"/>
    <w:basedOn w:val="Predvolenpsmoodseku"/>
    <w:link w:val="Textkomentra"/>
    <w:rsid w:val="00DF54D1"/>
  </w:style>
  <w:style w:type="paragraph" w:styleId="Predmetkomentra">
    <w:name w:val="annotation subject"/>
    <w:basedOn w:val="Textkomentra"/>
    <w:next w:val="Textkomentra"/>
    <w:link w:val="PredmetkomentraChar"/>
    <w:rsid w:val="00DF54D1"/>
    <w:rPr>
      <w:b/>
      <w:bCs/>
    </w:rPr>
  </w:style>
  <w:style w:type="character" w:customStyle="1" w:styleId="PredmetkomentraChar">
    <w:name w:val="Predmet komentára Char"/>
    <w:basedOn w:val="TextkomentraChar"/>
    <w:link w:val="Predmetkomentra"/>
    <w:rsid w:val="00DF54D1"/>
    <w:rPr>
      <w:b/>
      <w:bCs/>
    </w:rPr>
  </w:style>
  <w:style w:type="paragraph" w:styleId="Obyajntext">
    <w:name w:val="Plain Text"/>
    <w:basedOn w:val="Normlny"/>
    <w:link w:val="ObyajntextChar"/>
    <w:uiPriority w:val="99"/>
    <w:unhideWhenUsed/>
    <w:rsid w:val="00DF7716"/>
    <w:pPr>
      <w:overflowPunct/>
      <w:autoSpaceDE/>
      <w:autoSpaceDN/>
      <w:adjustRightInd/>
      <w:textAlignment w:val="auto"/>
    </w:pPr>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DF7716"/>
    <w:rPr>
      <w:rFonts w:ascii="Consolas" w:eastAsia="Calibri" w:hAnsi="Consolas"/>
      <w:sz w:val="21"/>
      <w:szCs w:val="21"/>
      <w:lang w:eastAsia="en-US"/>
    </w:rPr>
  </w:style>
  <w:style w:type="character" w:customStyle="1" w:styleId="PtaChar">
    <w:name w:val="Päta Char"/>
    <w:basedOn w:val="Predvolenpsmoodseku"/>
    <w:link w:val="Pta"/>
    <w:uiPriority w:val="99"/>
    <w:rsid w:val="00074B03"/>
  </w:style>
  <w:style w:type="paragraph" w:customStyle="1" w:styleId="BayerBodyTextFull">
    <w:name w:val="Bayer Body Text Full"/>
    <w:basedOn w:val="Normlny"/>
    <w:qFormat/>
    <w:rsid w:val="00C877AC"/>
    <w:pPr>
      <w:overflowPunct/>
      <w:autoSpaceDE/>
      <w:autoSpaceDN/>
      <w:adjustRightInd/>
      <w:spacing w:before="120" w:after="120"/>
      <w:textAlignment w:val="auto"/>
    </w:pPr>
    <w:rPr>
      <w:sz w:val="24"/>
      <w:lang w:val="en-US" w:eastAsia="en-US"/>
    </w:rPr>
  </w:style>
  <w:style w:type="paragraph" w:customStyle="1" w:styleId="BulletBayerBodyText">
    <w:name w:val="Bullet Bayer Body Text"/>
    <w:basedOn w:val="Normlny"/>
    <w:rsid w:val="00C877AC"/>
    <w:pPr>
      <w:numPr>
        <w:numId w:val="72"/>
      </w:numPr>
      <w:tabs>
        <w:tab w:val="left" w:pos="1264"/>
      </w:tabs>
      <w:overflowPunct/>
      <w:autoSpaceDE/>
      <w:autoSpaceDN/>
      <w:adjustRightInd/>
      <w:spacing w:after="120"/>
      <w:textAlignment w:val="auto"/>
    </w:pPr>
    <w:rPr>
      <w:sz w:val="24"/>
      <w:lang w:val="en-US" w:eastAsia="en-US"/>
    </w:rPr>
  </w:style>
  <w:style w:type="paragraph" w:styleId="Textpoznmkypodiarou">
    <w:name w:val="footnote text"/>
    <w:basedOn w:val="Normlny"/>
    <w:link w:val="TextpoznmkypodiarouChar"/>
    <w:semiHidden/>
    <w:unhideWhenUsed/>
    <w:rsid w:val="00903BA2"/>
  </w:style>
  <w:style w:type="character" w:customStyle="1" w:styleId="TextpoznmkypodiarouChar">
    <w:name w:val="Text poznámky pod čiarou Char"/>
    <w:basedOn w:val="Predvolenpsmoodseku"/>
    <w:link w:val="Textpoznmkypodiarou"/>
    <w:semiHidden/>
    <w:rsid w:val="00903BA2"/>
  </w:style>
  <w:style w:type="character" w:styleId="Odkaznapoznmkupodiarou">
    <w:name w:val="footnote reference"/>
    <w:basedOn w:val="Predvolenpsmoodseku"/>
    <w:semiHidden/>
    <w:unhideWhenUsed/>
    <w:rsid w:val="00903BA2"/>
    <w:rPr>
      <w:vertAlign w:val="superscript"/>
    </w:rPr>
  </w:style>
  <w:style w:type="paragraph" w:styleId="Revzia">
    <w:name w:val="Revision"/>
    <w:hidden/>
    <w:uiPriority w:val="99"/>
    <w:semiHidden/>
    <w:rsid w:val="00E11CF9"/>
  </w:style>
  <w:style w:type="character" w:styleId="Zstupntext">
    <w:name w:val="Placeholder Text"/>
    <w:basedOn w:val="Predvolenpsmoodseku"/>
    <w:uiPriority w:val="99"/>
    <w:semiHidden/>
    <w:rsid w:val="00311508"/>
    <w:rPr>
      <w:color w:val="808080"/>
    </w:rPr>
  </w:style>
  <w:style w:type="paragraph" w:customStyle="1" w:styleId="BodytextAgency">
    <w:name w:val="Body text (Agency)"/>
    <w:basedOn w:val="Normlny"/>
    <w:link w:val="BodytextAgencyChar"/>
    <w:rsid w:val="003C041F"/>
    <w:pPr>
      <w:overflowPunct/>
      <w:autoSpaceDE/>
      <w:autoSpaceDN/>
      <w:adjustRightInd/>
      <w:spacing w:after="140" w:line="280" w:lineRule="atLeast"/>
      <w:textAlignment w:val="auto"/>
    </w:pPr>
    <w:rPr>
      <w:rFonts w:ascii="Verdana" w:eastAsia="Verdana" w:hAnsi="Verdana" w:cs="Verdana"/>
      <w:sz w:val="18"/>
      <w:szCs w:val="18"/>
      <w:lang w:val="en-GB" w:eastAsia="en-GB"/>
    </w:rPr>
  </w:style>
  <w:style w:type="character" w:customStyle="1" w:styleId="BodytextAgencyChar">
    <w:name w:val="Body text (Agency) Char"/>
    <w:link w:val="BodytextAgency"/>
    <w:rsid w:val="003C041F"/>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284">
      <w:bodyDiv w:val="1"/>
      <w:marLeft w:val="0"/>
      <w:marRight w:val="0"/>
      <w:marTop w:val="0"/>
      <w:marBottom w:val="0"/>
      <w:divBdr>
        <w:top w:val="none" w:sz="0" w:space="0" w:color="auto"/>
        <w:left w:val="none" w:sz="0" w:space="0" w:color="auto"/>
        <w:bottom w:val="none" w:sz="0" w:space="0" w:color="auto"/>
        <w:right w:val="none" w:sz="0" w:space="0" w:color="auto"/>
      </w:divBdr>
    </w:div>
    <w:div w:id="53550199">
      <w:bodyDiv w:val="1"/>
      <w:marLeft w:val="0"/>
      <w:marRight w:val="0"/>
      <w:marTop w:val="0"/>
      <w:marBottom w:val="0"/>
      <w:divBdr>
        <w:top w:val="none" w:sz="0" w:space="0" w:color="auto"/>
        <w:left w:val="none" w:sz="0" w:space="0" w:color="auto"/>
        <w:bottom w:val="none" w:sz="0" w:space="0" w:color="auto"/>
        <w:right w:val="none" w:sz="0" w:space="0" w:color="auto"/>
      </w:divBdr>
    </w:div>
    <w:div w:id="96027283">
      <w:bodyDiv w:val="1"/>
      <w:marLeft w:val="0"/>
      <w:marRight w:val="0"/>
      <w:marTop w:val="0"/>
      <w:marBottom w:val="0"/>
      <w:divBdr>
        <w:top w:val="none" w:sz="0" w:space="0" w:color="auto"/>
        <w:left w:val="none" w:sz="0" w:space="0" w:color="auto"/>
        <w:bottom w:val="none" w:sz="0" w:space="0" w:color="auto"/>
        <w:right w:val="none" w:sz="0" w:space="0" w:color="auto"/>
      </w:divBdr>
    </w:div>
    <w:div w:id="339890567">
      <w:bodyDiv w:val="1"/>
      <w:marLeft w:val="0"/>
      <w:marRight w:val="0"/>
      <w:marTop w:val="0"/>
      <w:marBottom w:val="0"/>
      <w:divBdr>
        <w:top w:val="none" w:sz="0" w:space="0" w:color="auto"/>
        <w:left w:val="none" w:sz="0" w:space="0" w:color="auto"/>
        <w:bottom w:val="none" w:sz="0" w:space="0" w:color="auto"/>
        <w:right w:val="none" w:sz="0" w:space="0" w:color="auto"/>
      </w:divBdr>
    </w:div>
    <w:div w:id="560336299">
      <w:bodyDiv w:val="1"/>
      <w:marLeft w:val="0"/>
      <w:marRight w:val="0"/>
      <w:marTop w:val="0"/>
      <w:marBottom w:val="0"/>
      <w:divBdr>
        <w:top w:val="none" w:sz="0" w:space="0" w:color="auto"/>
        <w:left w:val="none" w:sz="0" w:space="0" w:color="auto"/>
        <w:bottom w:val="none" w:sz="0" w:space="0" w:color="auto"/>
        <w:right w:val="none" w:sz="0" w:space="0" w:color="auto"/>
      </w:divBdr>
    </w:div>
    <w:div w:id="1139492476">
      <w:bodyDiv w:val="1"/>
      <w:marLeft w:val="0"/>
      <w:marRight w:val="0"/>
      <w:marTop w:val="0"/>
      <w:marBottom w:val="0"/>
      <w:divBdr>
        <w:top w:val="none" w:sz="0" w:space="0" w:color="auto"/>
        <w:left w:val="none" w:sz="0" w:space="0" w:color="auto"/>
        <w:bottom w:val="none" w:sz="0" w:space="0" w:color="auto"/>
        <w:right w:val="none" w:sz="0" w:space="0" w:color="auto"/>
      </w:divBdr>
    </w:div>
    <w:div w:id="1373726307">
      <w:bodyDiv w:val="1"/>
      <w:marLeft w:val="0"/>
      <w:marRight w:val="0"/>
      <w:marTop w:val="0"/>
      <w:marBottom w:val="0"/>
      <w:divBdr>
        <w:top w:val="none" w:sz="0" w:space="0" w:color="auto"/>
        <w:left w:val="none" w:sz="0" w:space="0" w:color="auto"/>
        <w:bottom w:val="none" w:sz="0" w:space="0" w:color="auto"/>
        <w:right w:val="none" w:sz="0" w:space="0" w:color="auto"/>
      </w:divBdr>
    </w:div>
    <w:div w:id="1512338243">
      <w:bodyDiv w:val="1"/>
      <w:marLeft w:val="0"/>
      <w:marRight w:val="0"/>
      <w:marTop w:val="0"/>
      <w:marBottom w:val="0"/>
      <w:divBdr>
        <w:top w:val="none" w:sz="0" w:space="0" w:color="auto"/>
        <w:left w:val="none" w:sz="0" w:space="0" w:color="auto"/>
        <w:bottom w:val="none" w:sz="0" w:space="0" w:color="auto"/>
        <w:right w:val="none" w:sz="0" w:space="0" w:color="auto"/>
      </w:divBdr>
    </w:div>
    <w:div w:id="1532255453">
      <w:bodyDiv w:val="1"/>
      <w:marLeft w:val="0"/>
      <w:marRight w:val="0"/>
      <w:marTop w:val="0"/>
      <w:marBottom w:val="0"/>
      <w:divBdr>
        <w:top w:val="none" w:sz="0" w:space="0" w:color="auto"/>
        <w:left w:val="none" w:sz="0" w:space="0" w:color="auto"/>
        <w:bottom w:val="none" w:sz="0" w:space="0" w:color="auto"/>
        <w:right w:val="none" w:sz="0" w:space="0" w:color="auto"/>
      </w:divBdr>
    </w:div>
    <w:div w:id="1578859865">
      <w:bodyDiv w:val="1"/>
      <w:marLeft w:val="0"/>
      <w:marRight w:val="0"/>
      <w:marTop w:val="0"/>
      <w:marBottom w:val="0"/>
      <w:divBdr>
        <w:top w:val="none" w:sz="0" w:space="0" w:color="auto"/>
        <w:left w:val="none" w:sz="0" w:space="0" w:color="auto"/>
        <w:bottom w:val="none" w:sz="0" w:space="0" w:color="auto"/>
        <w:right w:val="none" w:sz="0" w:space="0" w:color="auto"/>
      </w:divBdr>
    </w:div>
    <w:div w:id="178893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807</TotalTime>
  <Pages>13</Pages>
  <Words>5151</Words>
  <Characters>29366</Characters>
  <Application>Microsoft Office Word</Application>
  <DocSecurity>0</DocSecurity>
  <Lines>244</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1</vt:lpstr>
      <vt:lpstr>1</vt:lpstr>
    </vt:vector>
  </TitlesOfParts>
  <Company>SCHERING</Company>
  <LinksUpToDate>false</LinksUpToDate>
  <CharactersWithSpaces>34449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SPA</dc:creator>
  <cp:lastModifiedBy>Kristína Ráczová</cp:lastModifiedBy>
  <cp:revision>79</cp:revision>
  <cp:lastPrinted>2013-07-02T07:35:00Z</cp:lastPrinted>
  <dcterms:created xsi:type="dcterms:W3CDTF">2018-11-14T07:46:00Z</dcterms:created>
  <dcterms:modified xsi:type="dcterms:W3CDTF">2019-05-03T12:36:00Z</dcterms:modified>
</cp:coreProperties>
</file>