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43" w:rsidRPr="00271DB3" w:rsidRDefault="004E2B43" w:rsidP="00271DB3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4E2B43" w:rsidRPr="00E55BD8" w:rsidRDefault="004E2B43" w:rsidP="00AD5D78">
      <w:pPr>
        <w:spacing w:after="0" w:line="240" w:lineRule="auto"/>
        <w:jc w:val="center"/>
        <w:rPr>
          <w:rFonts w:ascii="Times New Roman" w:hAnsi="Times New Roman"/>
          <w:b/>
          <w:lang w:val="sk-SK"/>
        </w:rPr>
      </w:pPr>
      <w:r w:rsidRPr="00E55BD8">
        <w:rPr>
          <w:rFonts w:ascii="Times New Roman" w:hAnsi="Times New Roman"/>
          <w:b/>
          <w:lang w:val="sk-SK"/>
        </w:rPr>
        <w:t>SÚHRN CHARAKTERISTICKÝCH VLASTNOSTÍ LIEKU</w:t>
      </w:r>
    </w:p>
    <w:p w:rsidR="004E2B43" w:rsidRPr="00271DB3" w:rsidRDefault="004E2B43" w:rsidP="00343696">
      <w:pPr>
        <w:spacing w:after="0" w:line="240" w:lineRule="auto"/>
        <w:jc w:val="both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tabs>
          <w:tab w:val="left" w:pos="540"/>
        </w:tabs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lang w:val="sk-SK"/>
        </w:rPr>
      </w:pPr>
      <w:r w:rsidRPr="00AD5D78">
        <w:rPr>
          <w:rFonts w:ascii="Times New Roman" w:hAnsi="Times New Roman"/>
          <w:b/>
          <w:lang w:val="sk-SK"/>
        </w:rPr>
        <w:t>1.</w:t>
      </w:r>
      <w:r w:rsidRPr="00AD5D78">
        <w:rPr>
          <w:rFonts w:ascii="Times New Roman" w:hAnsi="Times New Roman"/>
          <w:b/>
          <w:lang w:val="sk-SK"/>
        </w:rPr>
        <w:tab/>
        <w:t>NÁZOV LIEKU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highlight w:val="lightGray"/>
          <w:shd w:val="clear" w:color="auto" w:fill="C0C0C0"/>
          <w:lang w:val="sk-SK" w:eastAsia="ar-SA"/>
        </w:rPr>
      </w:pPr>
    </w:p>
    <w:p w:rsidR="004E2B43" w:rsidRPr="00AD5D78" w:rsidRDefault="0004658E" w:rsidP="0034369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/>
          <w:lang w:val="sk-SK"/>
        </w:rPr>
      </w:pPr>
      <w:r w:rsidRPr="00E55BD8">
        <w:rPr>
          <w:rFonts w:ascii="Times New Roman" w:hAnsi="Times New Roman"/>
          <w:color w:val="000000"/>
          <w:lang w:val="sk-SK"/>
        </w:rPr>
        <w:t>Ozzion 40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Pr="00E55BD8">
        <w:rPr>
          <w:rFonts w:ascii="Times New Roman" w:hAnsi="Times New Roman"/>
          <w:color w:val="000000"/>
          <w:lang w:val="sk-SK"/>
        </w:rPr>
        <w:t>mg</w:t>
      </w:r>
      <w:r w:rsidR="00BE365F" w:rsidRPr="00E55BD8">
        <w:rPr>
          <w:rFonts w:ascii="Times New Roman" w:hAnsi="Times New Roman"/>
          <w:color w:val="000000"/>
          <w:lang w:val="sk-SK"/>
        </w:rPr>
        <w:t xml:space="preserve"> </w:t>
      </w:r>
      <w:r w:rsidR="004E2B43" w:rsidRPr="00AD5D78">
        <w:rPr>
          <w:rFonts w:ascii="Times New Roman" w:hAnsi="Times New Roman"/>
          <w:color w:val="000000"/>
          <w:lang w:val="sk-SK"/>
        </w:rPr>
        <w:t>gastrorezistentné tablety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271DB3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2.</w:t>
      </w:r>
      <w:r w:rsidRPr="00AD5D78">
        <w:rPr>
          <w:rFonts w:ascii="Times New Roman" w:hAnsi="Times New Roman"/>
          <w:b/>
          <w:color w:val="000000"/>
          <w:lang w:val="sk-SK"/>
        </w:rPr>
        <w:tab/>
        <w:t>KVALITATÍVNE A KVANTITATÍVNE ZLOŽENIE</w:t>
      </w:r>
    </w:p>
    <w:p w:rsidR="004E2B43" w:rsidRPr="00AD5D78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161631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Každá</w:t>
      </w:r>
      <w:r w:rsidR="00492676" w:rsidRPr="00AD5D78">
        <w:rPr>
          <w:rFonts w:ascii="Times New Roman" w:hAnsi="Times New Roman"/>
          <w:color w:val="000000"/>
          <w:lang w:val="sk-SK"/>
        </w:rPr>
        <w:t xml:space="preserve"> </w:t>
      </w:r>
      <w:r w:rsidR="004E2B43" w:rsidRPr="00AD5D78">
        <w:rPr>
          <w:rFonts w:ascii="Times New Roman" w:hAnsi="Times New Roman"/>
          <w:color w:val="000000"/>
          <w:lang w:val="sk-SK"/>
        </w:rPr>
        <w:t>gastrorezistentná tableta obsahuje 40 mg pantoprazolu (čo zodpovedá 45,150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="004E2B43" w:rsidRPr="00AD5D78">
        <w:rPr>
          <w:rFonts w:ascii="Times New Roman" w:hAnsi="Times New Roman"/>
          <w:color w:val="000000"/>
          <w:lang w:val="sk-SK"/>
        </w:rPr>
        <w:t>mg seskvihydrátu sodnej soli pantoprazolu).</w:t>
      </w:r>
    </w:p>
    <w:p w:rsidR="004E2B43" w:rsidRPr="00AD5D78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4E2B43" w:rsidRDefault="004E2B4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D5D78">
        <w:rPr>
          <w:rFonts w:ascii="Times New Roman" w:hAnsi="Times New Roman"/>
          <w:bCs/>
          <w:color w:val="000000"/>
          <w:u w:val="single"/>
          <w:lang w:val="sk-SK"/>
        </w:rPr>
        <w:t>Pomocné látky</w:t>
      </w:r>
      <w:r w:rsidR="006A390D" w:rsidRPr="00AD5D78">
        <w:rPr>
          <w:rFonts w:ascii="Times New Roman" w:hAnsi="Times New Roman"/>
          <w:bCs/>
          <w:color w:val="000000"/>
          <w:u w:val="single"/>
          <w:lang w:val="sk-SK"/>
        </w:rPr>
        <w:t xml:space="preserve"> so známym účinkom</w:t>
      </w:r>
      <w:r w:rsidRPr="00343696">
        <w:rPr>
          <w:rFonts w:ascii="Times New Roman" w:hAnsi="Times New Roman"/>
          <w:bCs/>
          <w:color w:val="000000"/>
          <w:lang w:val="sk-SK"/>
        </w:rPr>
        <w:t>:</w:t>
      </w:r>
      <w:r w:rsidR="00F43033">
        <w:rPr>
          <w:rFonts w:ascii="Times New Roman" w:hAnsi="Times New Roman"/>
          <w:bCs/>
          <w:color w:val="000000"/>
          <w:lang w:val="sk-SK"/>
        </w:rPr>
        <w:t xml:space="preserve"> </w:t>
      </w:r>
      <w:r w:rsidR="00161631" w:rsidRPr="00E55BD8">
        <w:rPr>
          <w:rFonts w:ascii="Times New Roman" w:hAnsi="Times New Roman"/>
          <w:color w:val="000000"/>
          <w:lang w:val="sk-SK"/>
        </w:rPr>
        <w:t xml:space="preserve">Každá gastrorezistentná tableta </w:t>
      </w:r>
      <w:r w:rsidR="00161631" w:rsidRPr="00E55BD8">
        <w:rPr>
          <w:rFonts w:ascii="Times New Roman" w:hAnsi="Times New Roman"/>
          <w:bCs/>
          <w:color w:val="000000"/>
          <w:lang w:val="sk-SK"/>
        </w:rPr>
        <w:t>o</w:t>
      </w:r>
      <w:r w:rsidRPr="00AD5D78">
        <w:rPr>
          <w:rFonts w:ascii="Times New Roman" w:hAnsi="Times New Roman"/>
          <w:bCs/>
          <w:color w:val="000000"/>
          <w:lang w:val="sk-SK"/>
        </w:rPr>
        <w:t xml:space="preserve">bsahuje 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76,85</w:t>
      </w:r>
      <w:r w:rsidR="00F43033">
        <w:rPr>
          <w:rFonts w:ascii="Times New Roman" w:hAnsi="Times New Roman"/>
          <w:bCs/>
          <w:color w:val="000000"/>
          <w:lang w:val="sk-SK"/>
        </w:rPr>
        <w:t> 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 xml:space="preserve">mg </w:t>
      </w:r>
      <w:r w:rsidRPr="00AD5D78">
        <w:rPr>
          <w:rFonts w:ascii="Times New Roman" w:hAnsi="Times New Roman"/>
          <w:bCs/>
          <w:color w:val="000000"/>
          <w:lang w:val="sk-SK"/>
        </w:rPr>
        <w:t>maltitol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u a 0,690</w:t>
      </w:r>
      <w:r w:rsidR="00F43033">
        <w:rPr>
          <w:rFonts w:ascii="Times New Roman" w:hAnsi="Times New Roman"/>
          <w:bCs/>
          <w:color w:val="000000"/>
          <w:lang w:val="sk-SK"/>
        </w:rPr>
        <w:t> </w:t>
      </w:r>
      <w:r w:rsidR="00161631" w:rsidRPr="00AD5D78">
        <w:rPr>
          <w:rFonts w:ascii="Times New Roman" w:hAnsi="Times New Roman"/>
          <w:bCs/>
          <w:color w:val="000000"/>
          <w:lang w:val="sk-SK"/>
        </w:rPr>
        <w:t>mg sójového lecitínu</w:t>
      </w:r>
      <w:r w:rsidRPr="00AD5D78">
        <w:rPr>
          <w:rFonts w:ascii="Times New Roman" w:hAnsi="Times New Roman"/>
          <w:bCs/>
          <w:color w:val="000000"/>
          <w:lang w:val="sk-SK"/>
        </w:rPr>
        <w:t xml:space="preserve"> (pozri časť 4.4)</w:t>
      </w:r>
      <w:r w:rsidR="004A3C4B" w:rsidRPr="00AD5D78">
        <w:rPr>
          <w:rFonts w:ascii="Times New Roman" w:hAnsi="Times New Roman"/>
          <w:bCs/>
          <w:color w:val="000000"/>
          <w:lang w:val="sk-SK"/>
        </w:rPr>
        <w:t>.</w:t>
      </w:r>
    </w:p>
    <w:p w:rsidR="00F43033" w:rsidRPr="00AD5D78" w:rsidRDefault="00F43033" w:rsidP="00AD5D7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Úplný zoznam pomocných látok, pozri časť 6.1.</w:t>
      </w:r>
    </w:p>
    <w:p w:rsidR="004E2B43" w:rsidRPr="00AD5D78" w:rsidRDefault="004E2B43" w:rsidP="00AD5D78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shd w:val="clear" w:color="auto" w:fill="C0C0C0"/>
          <w:lang w:val="pl-PL" w:eastAsia="ar-SA"/>
        </w:rPr>
      </w:pPr>
    </w:p>
    <w:p w:rsidR="0050113A" w:rsidRPr="00271DB3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3.</w:t>
      </w:r>
      <w:r w:rsidRPr="00AD5D78">
        <w:rPr>
          <w:rFonts w:ascii="Times New Roman" w:hAnsi="Times New Roman"/>
          <w:b/>
          <w:color w:val="000000"/>
          <w:lang w:val="sk-SK"/>
        </w:rPr>
        <w:tab/>
        <w:t>LIEKOVÁ FORMA</w:t>
      </w:r>
    </w:p>
    <w:p w:rsidR="0050113A" w:rsidRPr="00AD5D78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Gastrorezistentná tableta</w:t>
      </w:r>
      <w:r w:rsidR="0050113A" w:rsidRPr="00AD5D78">
        <w:rPr>
          <w:rFonts w:ascii="Times New Roman" w:hAnsi="Times New Roman"/>
          <w:color w:val="000000"/>
          <w:lang w:val="sk-SK"/>
        </w:rPr>
        <w:t xml:space="preserve"> (tableta).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Žltá oválna tableta</w:t>
      </w:r>
      <w:r w:rsidR="004A3C4B" w:rsidRPr="00AD5D78">
        <w:rPr>
          <w:rFonts w:ascii="Times New Roman" w:hAnsi="Times New Roman"/>
          <w:color w:val="000000"/>
          <w:lang w:val="sk-SK"/>
        </w:rPr>
        <w:t xml:space="preserve"> s rozmerom 10,3 x 5,5</w:t>
      </w:r>
      <w:r w:rsidR="00F43033">
        <w:rPr>
          <w:rFonts w:ascii="Times New Roman" w:hAnsi="Times New Roman"/>
          <w:color w:val="000000"/>
          <w:lang w:val="sk-SK"/>
        </w:rPr>
        <w:t> </w:t>
      </w:r>
      <w:r w:rsidR="004A3C4B" w:rsidRPr="00AD5D78">
        <w:rPr>
          <w:rFonts w:ascii="Times New Roman" w:hAnsi="Times New Roman"/>
          <w:color w:val="000000"/>
          <w:lang w:val="sk-SK"/>
        </w:rPr>
        <w:t>mm</w:t>
      </w:r>
      <w:r w:rsidRPr="00AD5D78">
        <w:rPr>
          <w:rFonts w:ascii="Times New Roman" w:hAnsi="Times New Roman"/>
          <w:color w:val="000000"/>
          <w:lang w:val="sk-SK"/>
        </w:rPr>
        <w:t>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50113A" w:rsidRPr="00271DB3" w:rsidRDefault="0050113A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aps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aps/>
          <w:color w:val="000000"/>
          <w:lang w:val="sk-SK"/>
        </w:rPr>
      </w:pPr>
      <w:r w:rsidRPr="00AD5D78">
        <w:rPr>
          <w:rFonts w:ascii="Times New Roman" w:hAnsi="Times New Roman"/>
          <w:b/>
          <w:caps/>
          <w:color w:val="000000"/>
          <w:lang w:val="sk-SK"/>
        </w:rPr>
        <w:t>4.</w:t>
      </w:r>
      <w:r w:rsidRPr="00AD5D78">
        <w:rPr>
          <w:rFonts w:ascii="Times New Roman" w:hAnsi="Times New Roman"/>
          <w:b/>
          <w:caps/>
          <w:color w:val="000000"/>
          <w:lang w:val="sk-SK"/>
        </w:rPr>
        <w:tab/>
        <w:t>KLINICKÉ ÚDAJE</w:t>
      </w:r>
    </w:p>
    <w:p w:rsidR="0050113A" w:rsidRPr="00271DB3" w:rsidRDefault="0050113A" w:rsidP="00AD5D78">
      <w:pPr>
        <w:pStyle w:val="Default"/>
        <w:tabs>
          <w:tab w:val="left" w:pos="567"/>
        </w:tabs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tabs>
          <w:tab w:val="left" w:pos="567"/>
        </w:tabs>
        <w:rPr>
          <w:b/>
          <w:sz w:val="22"/>
          <w:szCs w:val="22"/>
          <w:lang w:val="sk-SK"/>
        </w:rPr>
      </w:pPr>
      <w:r w:rsidRPr="00AD5D78">
        <w:rPr>
          <w:b/>
          <w:sz w:val="22"/>
          <w:szCs w:val="22"/>
          <w:lang w:val="sk-SK"/>
        </w:rPr>
        <w:t>4.1</w:t>
      </w:r>
      <w:r w:rsidRPr="00AD5D78">
        <w:rPr>
          <w:b/>
          <w:sz w:val="22"/>
          <w:szCs w:val="22"/>
          <w:lang w:val="sk-SK"/>
        </w:rPr>
        <w:tab/>
        <w:t>Terapeutické indikácie</w:t>
      </w:r>
    </w:p>
    <w:p w:rsidR="0050113A" w:rsidRPr="00AD5D78" w:rsidRDefault="0050113A" w:rsidP="00AD5D78">
      <w:pPr>
        <w:pStyle w:val="Nadpis7"/>
        <w:spacing w:before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pStyle w:val="Nadpis7"/>
        <w:spacing w:before="0" w:line="240" w:lineRule="auto"/>
        <w:rPr>
          <w:rFonts w:ascii="Times New Roman" w:hAnsi="Times New Roman"/>
          <w:color w:val="auto"/>
          <w:lang w:val="sk-SK"/>
        </w:rPr>
      </w:pPr>
      <w:r w:rsidRPr="00271DB3">
        <w:rPr>
          <w:rFonts w:ascii="Times New Roman" w:hAnsi="Times New Roman"/>
          <w:color w:val="auto"/>
          <w:lang w:val="sk-SK"/>
        </w:rPr>
        <w:t>Dospelí a dospievajúci vo veku 12 rokov a starší</w:t>
      </w:r>
    </w:p>
    <w:p w:rsidR="004E2B43" w:rsidRPr="00A676E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iCs/>
          <w:lang w:val="de-DE"/>
        </w:rPr>
      </w:pPr>
      <w:r w:rsidRPr="00A676E8">
        <w:rPr>
          <w:rFonts w:ascii="Times New Roman" w:hAnsi="Times New Roman"/>
          <w:iCs/>
          <w:lang w:val="de-DE"/>
        </w:rPr>
        <w:t>refluxná ezofagitída</w:t>
      </w:r>
    </w:p>
    <w:p w:rsidR="004E2B43" w:rsidRPr="001F3864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4E2B43" w:rsidRPr="00271DB3" w:rsidRDefault="004E2B43" w:rsidP="00AD5D78">
      <w:pPr>
        <w:pStyle w:val="Nadpis7"/>
        <w:spacing w:before="0" w:line="240" w:lineRule="auto"/>
        <w:rPr>
          <w:rFonts w:ascii="Times New Roman" w:hAnsi="Times New Roman"/>
          <w:iCs w:val="0"/>
          <w:color w:val="auto"/>
          <w:lang w:val="de-DE"/>
        </w:rPr>
      </w:pPr>
      <w:r w:rsidRPr="00271DB3">
        <w:rPr>
          <w:rFonts w:ascii="Times New Roman" w:hAnsi="Times New Roman"/>
          <w:color w:val="auto"/>
          <w:lang w:val="de-DE"/>
        </w:rPr>
        <w:t>Dospelí</w:t>
      </w:r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left="567" w:hanging="283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 xml:space="preserve">eradikácia </w:t>
      </w:r>
      <w:r w:rsidRPr="00AD5D78">
        <w:rPr>
          <w:rFonts w:ascii="Times New Roman" w:hAnsi="Times New Roman"/>
          <w:i/>
          <w:iCs/>
          <w:lang w:val="sk-SK"/>
        </w:rPr>
        <w:t>Helicobacter pylori (H. pylori)</w:t>
      </w:r>
      <w:r w:rsidRPr="00AD5D78">
        <w:rPr>
          <w:rFonts w:ascii="Times New Roman" w:hAnsi="Times New Roman"/>
          <w:lang w:val="sk-SK"/>
        </w:rPr>
        <w:t xml:space="preserve"> v kombinácii s vhodnou terapiou antibiotikami u pacientov s  vredmi vyvolanými </w:t>
      </w:r>
      <w:r w:rsidRPr="00AD5D78">
        <w:rPr>
          <w:rFonts w:ascii="Times New Roman" w:hAnsi="Times New Roman"/>
          <w:i/>
          <w:iCs/>
          <w:lang w:val="sk-SK"/>
        </w:rPr>
        <w:t>H. pylori</w:t>
      </w:r>
      <w:r w:rsidR="004A3C4B" w:rsidRPr="00343696">
        <w:rPr>
          <w:rFonts w:ascii="Times New Roman" w:hAnsi="Times New Roman"/>
          <w:i/>
          <w:iCs/>
          <w:lang w:val="sk-SK"/>
        </w:rPr>
        <w:t>;</w:t>
      </w:r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vred žalúdka a</w:t>
      </w:r>
      <w:r w:rsidR="004A3C4B" w:rsidRPr="00343696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dvanástn</w:t>
      </w:r>
      <w:r w:rsidR="004A3C4B" w:rsidRPr="00343696">
        <w:rPr>
          <w:rFonts w:ascii="Times New Roman" w:hAnsi="Times New Roman"/>
          <w:lang w:val="sk-SK"/>
        </w:rPr>
        <w:t>i</w:t>
      </w:r>
      <w:r w:rsidRPr="00AD5D78">
        <w:rPr>
          <w:rFonts w:ascii="Times New Roman" w:hAnsi="Times New Roman"/>
          <w:lang w:val="sk-SK"/>
        </w:rPr>
        <w:t>ka</w:t>
      </w:r>
      <w:r w:rsidR="004A3C4B" w:rsidRPr="00343696">
        <w:rPr>
          <w:rFonts w:ascii="Times New Roman" w:hAnsi="Times New Roman"/>
          <w:lang w:val="sk-SK"/>
        </w:rPr>
        <w:t>;</w:t>
      </w:r>
    </w:p>
    <w:p w:rsidR="004E2B43" w:rsidRPr="00AD5D78" w:rsidRDefault="004E2B43" w:rsidP="00AD5D78">
      <w:pPr>
        <w:numPr>
          <w:ilvl w:val="0"/>
          <w:numId w:val="1"/>
        </w:numPr>
        <w:tabs>
          <w:tab w:val="clear" w:pos="786"/>
          <w:tab w:val="num" w:pos="567"/>
        </w:tabs>
        <w:spacing w:after="0" w:line="240" w:lineRule="auto"/>
        <w:ind w:hanging="502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Zollingerov</w:t>
      </w:r>
      <w:r w:rsidR="00F43033">
        <w:rPr>
          <w:rFonts w:ascii="Times New Roman" w:hAnsi="Times New Roman"/>
          <w:lang w:val="sk-SK"/>
        </w:rPr>
        <w:t>-</w:t>
      </w:r>
      <w:r w:rsidRPr="00AD5D78">
        <w:rPr>
          <w:rFonts w:ascii="Times New Roman" w:hAnsi="Times New Roman"/>
          <w:lang w:val="sk-SK"/>
        </w:rPr>
        <w:t>Ellisonov syndróm a iné patologické stavy s hypersekréciou</w:t>
      </w:r>
    </w:p>
    <w:p w:rsidR="004E2B43" w:rsidRPr="00AD5D78" w:rsidRDefault="004E2B43" w:rsidP="00AD5D78">
      <w:pPr>
        <w:tabs>
          <w:tab w:val="left" w:pos="748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0B711B" w:rsidRPr="00343696" w:rsidRDefault="004E2B43" w:rsidP="00AD5D78">
      <w:pPr>
        <w:numPr>
          <w:ilvl w:val="1"/>
          <w:numId w:val="2"/>
        </w:numPr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343696">
        <w:rPr>
          <w:rFonts w:ascii="Times New Roman" w:hAnsi="Times New Roman"/>
          <w:b/>
          <w:color w:val="000000"/>
          <w:lang w:val="sk-SK"/>
        </w:rPr>
        <w:t>Dávkovanie a spôsob podávania</w:t>
      </w:r>
    </w:p>
    <w:p w:rsidR="000B711B" w:rsidRPr="00271DB3" w:rsidRDefault="000B711B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080A5B" w:rsidP="00271DB3">
      <w:pPr>
        <w:spacing w:after="120" w:line="240" w:lineRule="auto"/>
        <w:rPr>
          <w:rFonts w:ascii="Times New Roman" w:hAnsi="Times New Roman"/>
          <w:iCs/>
          <w:u w:val="single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Dávkovanie</w:t>
      </w:r>
    </w:p>
    <w:p w:rsidR="004E2B43" w:rsidRPr="00AD5D78" w:rsidRDefault="004E2B43" w:rsidP="00AD5D78">
      <w:pPr>
        <w:pStyle w:val="Default"/>
        <w:rPr>
          <w:i/>
          <w:color w:val="auto"/>
          <w:sz w:val="22"/>
          <w:szCs w:val="22"/>
          <w:lang w:val="sk-SK"/>
        </w:rPr>
      </w:pPr>
      <w:r w:rsidRPr="00AD5D78">
        <w:rPr>
          <w:i/>
          <w:color w:val="auto"/>
          <w:sz w:val="22"/>
          <w:szCs w:val="22"/>
          <w:lang w:val="sk-SK"/>
        </w:rPr>
        <w:t>Dospelí a dospievajúci vo veku 12 rokov a starší</w:t>
      </w:r>
    </w:p>
    <w:p w:rsidR="004E2B43" w:rsidRPr="00AD5D78" w:rsidRDefault="004E2B43" w:rsidP="00AD5D78">
      <w:pPr>
        <w:pStyle w:val="Default"/>
        <w:rPr>
          <w:sz w:val="22"/>
          <w:szCs w:val="22"/>
          <w:u w:val="single"/>
          <w:lang w:val="sk-SK"/>
        </w:rPr>
      </w:pPr>
      <w:r w:rsidRPr="00AD5D78">
        <w:rPr>
          <w:sz w:val="22"/>
          <w:szCs w:val="22"/>
          <w:u w:val="single"/>
          <w:lang w:val="sk-SK"/>
        </w:rPr>
        <w:t>Refluxná ezofagitída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Jedna tableta </w:t>
      </w:r>
      <w:r w:rsidR="00313E9C" w:rsidRPr="00AD5D78">
        <w:rPr>
          <w:sz w:val="22"/>
          <w:szCs w:val="22"/>
          <w:lang w:val="sk-SK"/>
        </w:rPr>
        <w:t>Ozzionu</w:t>
      </w:r>
      <w:r w:rsidRPr="00AD5D78">
        <w:rPr>
          <w:sz w:val="22"/>
          <w:szCs w:val="22"/>
          <w:lang w:val="sk-SK"/>
        </w:rPr>
        <w:t xml:space="preserve"> 40</w:t>
      </w:r>
      <w:r w:rsidR="00F43033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>denne. V individuálnych prípadoch sa dávka môže zd</w:t>
      </w:r>
      <w:r w:rsidR="00492676" w:rsidRPr="00343696">
        <w:rPr>
          <w:sz w:val="22"/>
          <w:szCs w:val="22"/>
          <w:lang w:val="sk-SK"/>
        </w:rPr>
        <w:t>v</w:t>
      </w:r>
      <w:r w:rsidRPr="00E55BD8">
        <w:rPr>
          <w:sz w:val="22"/>
          <w:szCs w:val="22"/>
          <w:lang w:val="sk-SK"/>
        </w:rPr>
        <w:t>ojnásobiť (</w:t>
      </w:r>
      <w:r w:rsidR="00492676" w:rsidRPr="00E55BD8">
        <w:rPr>
          <w:sz w:val="22"/>
          <w:szCs w:val="22"/>
          <w:lang w:val="sk-SK"/>
        </w:rPr>
        <w:t xml:space="preserve">zvýšenie na </w:t>
      </w:r>
      <w:r w:rsidRPr="00E55BD8">
        <w:rPr>
          <w:sz w:val="22"/>
          <w:szCs w:val="22"/>
          <w:lang w:val="sk-SK"/>
        </w:rPr>
        <w:t xml:space="preserve">2 tablety </w:t>
      </w:r>
      <w:r w:rsidR="00313E9C" w:rsidRPr="00AD5D78">
        <w:rPr>
          <w:sz w:val="22"/>
          <w:szCs w:val="22"/>
          <w:lang w:val="sk-SK"/>
        </w:rPr>
        <w:t>Ozzionu</w:t>
      </w:r>
      <w:r w:rsidRPr="00AD5D78">
        <w:rPr>
          <w:sz w:val="22"/>
          <w:szCs w:val="22"/>
          <w:lang w:val="sk-SK"/>
        </w:rPr>
        <w:t xml:space="preserve"> 40</w:t>
      </w:r>
      <w:r w:rsidR="00F43033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</w:t>
      </w:r>
      <w:r w:rsidRPr="00343696">
        <w:rPr>
          <w:sz w:val="22"/>
          <w:szCs w:val="22"/>
          <w:lang w:val="sk-SK"/>
        </w:rPr>
        <w:t xml:space="preserve"> denne), </w:t>
      </w:r>
      <w:r w:rsidR="000A5C8B">
        <w:rPr>
          <w:sz w:val="22"/>
          <w:szCs w:val="22"/>
          <w:lang w:val="sk-SK"/>
        </w:rPr>
        <w:t>najmä</w:t>
      </w:r>
      <w:r w:rsidRPr="00343696">
        <w:rPr>
          <w:sz w:val="22"/>
          <w:szCs w:val="22"/>
          <w:lang w:val="sk-SK"/>
        </w:rPr>
        <w:t xml:space="preserve"> </w:t>
      </w:r>
      <w:r w:rsidR="00F43033">
        <w:rPr>
          <w:sz w:val="22"/>
          <w:szCs w:val="22"/>
          <w:lang w:val="sk-SK"/>
        </w:rPr>
        <w:t>a</w:t>
      </w:r>
      <w:r w:rsidRPr="00343696">
        <w:rPr>
          <w:sz w:val="22"/>
          <w:szCs w:val="22"/>
          <w:lang w:val="sk-SK"/>
        </w:rPr>
        <w:t xml:space="preserve">k </w:t>
      </w:r>
      <w:r w:rsidR="00492676" w:rsidRPr="00343696">
        <w:rPr>
          <w:sz w:val="22"/>
          <w:szCs w:val="22"/>
          <w:lang w:val="sk-SK"/>
        </w:rPr>
        <w:t>nedošlo</w:t>
      </w:r>
      <w:r w:rsidR="00492676" w:rsidRPr="00E55BD8">
        <w:rPr>
          <w:sz w:val="22"/>
          <w:szCs w:val="22"/>
          <w:lang w:val="sk-SK"/>
        </w:rPr>
        <w:t xml:space="preserve"> k odpovedi </w:t>
      </w:r>
      <w:r w:rsidRPr="00E55BD8">
        <w:rPr>
          <w:sz w:val="22"/>
          <w:szCs w:val="22"/>
          <w:lang w:val="sk-SK"/>
        </w:rPr>
        <w:t>na inú liečbu. Na liečbu refluxnej ezofagitídy je zvyčajne potrebn</w:t>
      </w:r>
      <w:r w:rsidR="00492676" w:rsidRPr="00AD5D78">
        <w:rPr>
          <w:sz w:val="22"/>
          <w:szCs w:val="22"/>
          <w:lang w:val="sk-SK"/>
        </w:rPr>
        <w:t>é</w:t>
      </w:r>
      <w:r w:rsidRPr="00AD5D78">
        <w:rPr>
          <w:sz w:val="22"/>
          <w:szCs w:val="22"/>
          <w:lang w:val="sk-SK"/>
        </w:rPr>
        <w:t xml:space="preserve"> 4-týždňov</w:t>
      </w:r>
      <w:r w:rsidR="00FD54F9" w:rsidRPr="00AD5D78">
        <w:rPr>
          <w:sz w:val="22"/>
          <w:szCs w:val="22"/>
          <w:lang w:val="sk-SK"/>
        </w:rPr>
        <w:t>é</w:t>
      </w:r>
      <w:r w:rsidRPr="00AD5D78">
        <w:rPr>
          <w:sz w:val="22"/>
          <w:szCs w:val="22"/>
          <w:lang w:val="sk-SK"/>
        </w:rPr>
        <w:t xml:space="preserve"> </w:t>
      </w:r>
      <w:r w:rsidR="00492676" w:rsidRPr="00AD5D78">
        <w:rPr>
          <w:sz w:val="22"/>
          <w:szCs w:val="22"/>
          <w:lang w:val="sk-SK"/>
        </w:rPr>
        <w:t>obdobie</w:t>
      </w:r>
      <w:r w:rsidR="008D4A17" w:rsidRPr="00AD5D78">
        <w:rPr>
          <w:sz w:val="22"/>
          <w:szCs w:val="22"/>
          <w:lang w:val="sk-SK"/>
        </w:rPr>
        <w:t>.</w:t>
      </w:r>
      <w:r w:rsidRPr="00AD5D78">
        <w:rPr>
          <w:sz w:val="22"/>
          <w:szCs w:val="22"/>
          <w:lang w:val="sk-SK"/>
        </w:rPr>
        <w:t xml:space="preserve"> </w:t>
      </w:r>
      <w:r w:rsidR="00492676" w:rsidRPr="00AD5D78">
        <w:rPr>
          <w:sz w:val="22"/>
          <w:szCs w:val="22"/>
          <w:lang w:val="sk-SK"/>
        </w:rPr>
        <w:t>Ak to nie je dostatočné</w:t>
      </w:r>
      <w:r w:rsidRPr="00AD5D78">
        <w:rPr>
          <w:sz w:val="22"/>
          <w:szCs w:val="22"/>
          <w:lang w:val="sk-SK"/>
        </w:rPr>
        <w:t xml:space="preserve">, vyliečenie sa zvyčajne dosiahne </w:t>
      </w:r>
      <w:r w:rsidR="00F43033">
        <w:rPr>
          <w:sz w:val="22"/>
          <w:szCs w:val="22"/>
          <w:lang w:val="sk-SK"/>
        </w:rPr>
        <w:t>počas</w:t>
      </w:r>
      <w:r w:rsidRPr="00AD5D78">
        <w:rPr>
          <w:sz w:val="22"/>
          <w:szCs w:val="22"/>
          <w:lang w:val="sk-SK"/>
        </w:rPr>
        <w:t xml:space="preserve"> ďalších 4 týždňov.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AD5D78">
        <w:rPr>
          <w:rFonts w:ascii="Times New Roman" w:hAnsi="Times New Roman"/>
          <w:i/>
          <w:iCs/>
          <w:lang w:val="sk-SK"/>
        </w:rPr>
        <w:t>Dospelí</w:t>
      </w: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k-SK"/>
        </w:rPr>
      </w:pPr>
      <w:r w:rsidRPr="00AD5D78">
        <w:rPr>
          <w:sz w:val="22"/>
          <w:szCs w:val="22"/>
          <w:u w:val="single"/>
          <w:lang w:val="sk-SK"/>
        </w:rPr>
        <w:t xml:space="preserve">Eradikácia </w:t>
      </w:r>
      <w:r w:rsidRPr="00AD5D78">
        <w:rPr>
          <w:i/>
          <w:iCs/>
          <w:sz w:val="22"/>
          <w:szCs w:val="22"/>
          <w:u w:val="single"/>
          <w:lang w:val="sk-SK"/>
        </w:rPr>
        <w:t>H. pylori</w:t>
      </w:r>
      <w:r w:rsidRPr="00AD5D78">
        <w:rPr>
          <w:sz w:val="22"/>
          <w:szCs w:val="22"/>
          <w:u w:val="single"/>
          <w:lang w:val="sk-SK"/>
        </w:rPr>
        <w:t xml:space="preserve"> v kombinácii s dvomi vhodnými antibiotikami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lastRenderedPageBreak/>
        <w:t>U </w:t>
      </w:r>
      <w:r w:rsidRPr="00AD5D78">
        <w:rPr>
          <w:i/>
          <w:iCs/>
          <w:sz w:val="22"/>
          <w:szCs w:val="22"/>
          <w:lang w:val="sk-SK"/>
        </w:rPr>
        <w:t>H. pylori</w:t>
      </w:r>
      <w:r w:rsidRPr="00AD5D78">
        <w:rPr>
          <w:sz w:val="22"/>
          <w:szCs w:val="22"/>
          <w:lang w:val="sk-SK"/>
        </w:rPr>
        <w:t xml:space="preserve"> pozitívnych pacientov so žalúdočnými alebo dvanástn</w:t>
      </w:r>
      <w:r w:rsidR="00816EEE" w:rsidRPr="00AD5D78">
        <w:rPr>
          <w:sz w:val="22"/>
          <w:szCs w:val="22"/>
          <w:lang w:val="sk-SK"/>
        </w:rPr>
        <w:t>i</w:t>
      </w:r>
      <w:r w:rsidRPr="00AD5D78">
        <w:rPr>
          <w:sz w:val="22"/>
          <w:szCs w:val="22"/>
          <w:lang w:val="sk-SK"/>
        </w:rPr>
        <w:t xml:space="preserve">kovými vredmi sa eradikácia </w:t>
      </w:r>
      <w:r w:rsidR="00A676E8">
        <w:rPr>
          <w:sz w:val="22"/>
          <w:szCs w:val="22"/>
          <w:lang w:val="sk-SK"/>
        </w:rPr>
        <w:t>baktérie</w:t>
      </w:r>
      <w:r w:rsidRPr="00AD5D78">
        <w:rPr>
          <w:sz w:val="22"/>
          <w:szCs w:val="22"/>
          <w:lang w:val="sk-SK"/>
        </w:rPr>
        <w:t xml:space="preserve"> m</w:t>
      </w:r>
      <w:r w:rsidR="00A676E8">
        <w:rPr>
          <w:sz w:val="22"/>
          <w:szCs w:val="22"/>
          <w:lang w:val="sk-SK"/>
        </w:rPr>
        <w:t>á</w:t>
      </w:r>
      <w:r w:rsidRPr="00AD5D78">
        <w:rPr>
          <w:sz w:val="22"/>
          <w:szCs w:val="22"/>
          <w:lang w:val="sk-SK"/>
        </w:rPr>
        <w:t xml:space="preserve"> dosiahnuť kombinovan</w:t>
      </w:r>
      <w:r w:rsidR="00A676E8">
        <w:rPr>
          <w:sz w:val="22"/>
          <w:szCs w:val="22"/>
          <w:lang w:val="sk-SK"/>
        </w:rPr>
        <w:t>ou</w:t>
      </w:r>
      <w:r w:rsidRPr="00AD5D78">
        <w:rPr>
          <w:sz w:val="22"/>
          <w:szCs w:val="22"/>
          <w:lang w:val="sk-SK"/>
        </w:rPr>
        <w:t xml:space="preserve"> liečb</w:t>
      </w:r>
      <w:r w:rsidR="00A676E8">
        <w:rPr>
          <w:sz w:val="22"/>
          <w:szCs w:val="22"/>
          <w:lang w:val="sk-SK"/>
        </w:rPr>
        <w:t>ou</w:t>
      </w:r>
      <w:r w:rsidRPr="00AD5D78">
        <w:rPr>
          <w:sz w:val="22"/>
          <w:szCs w:val="22"/>
          <w:lang w:val="sk-SK"/>
        </w:rPr>
        <w:t xml:space="preserve">. Do úvahy sa majú zobrať aj oficiálne lokálne usmernenia (napr. národné odporúčania) zohľadňujúce bakteriálnu rezistenciu a vhodné použitie a preskripciu antibakteriálnych liečiv. V závislosti od </w:t>
      </w:r>
      <w:r w:rsidR="00A676E8">
        <w:rPr>
          <w:sz w:val="22"/>
          <w:szCs w:val="22"/>
          <w:lang w:val="sk-SK"/>
        </w:rPr>
        <w:t xml:space="preserve">stavu </w:t>
      </w:r>
      <w:r w:rsidRPr="00AD5D78">
        <w:rPr>
          <w:sz w:val="22"/>
          <w:szCs w:val="22"/>
          <w:lang w:val="sk-SK"/>
        </w:rPr>
        <w:t xml:space="preserve">rezistencie sa </w:t>
      </w:r>
      <w:r w:rsidR="00A676E8" w:rsidRPr="00AD5D78">
        <w:rPr>
          <w:sz w:val="22"/>
          <w:szCs w:val="22"/>
          <w:lang w:val="sk-SK"/>
        </w:rPr>
        <w:t xml:space="preserve">na eradikáciu </w:t>
      </w:r>
      <w:r w:rsidR="00A676E8" w:rsidRPr="00AD5D78">
        <w:rPr>
          <w:i/>
          <w:iCs/>
          <w:sz w:val="22"/>
          <w:szCs w:val="22"/>
          <w:lang w:val="sk-SK"/>
        </w:rPr>
        <w:t xml:space="preserve">H. </w:t>
      </w:r>
      <w:r w:rsidR="00A676E8">
        <w:rPr>
          <w:i/>
          <w:iCs/>
          <w:sz w:val="22"/>
          <w:szCs w:val="22"/>
          <w:lang w:val="sk-SK"/>
        </w:rPr>
        <w:t>p</w:t>
      </w:r>
      <w:r w:rsidR="00A676E8" w:rsidRPr="00AD5D78">
        <w:rPr>
          <w:i/>
          <w:iCs/>
          <w:sz w:val="22"/>
          <w:szCs w:val="22"/>
          <w:lang w:val="sk-SK"/>
        </w:rPr>
        <w:t>ylori</w:t>
      </w:r>
      <w:r w:rsidR="00A676E8" w:rsidRPr="00AD5D78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>odporúčajú nasledujúce kombinácie:</w:t>
      </w:r>
    </w:p>
    <w:p w:rsidR="000B711B" w:rsidRPr="00AD5D78" w:rsidRDefault="000B711B" w:rsidP="00343696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it-IT"/>
        </w:rPr>
      </w:pPr>
      <w:r w:rsidRPr="00AD5D78">
        <w:rPr>
          <w:rFonts w:ascii="Times New Roman" w:hAnsi="Times New Roman"/>
          <w:spacing w:val="-2"/>
          <w:lang w:val="it-IT"/>
        </w:rPr>
        <w:t>a)</w:t>
      </w:r>
      <w:r w:rsidRPr="00AD5D78">
        <w:rPr>
          <w:rFonts w:ascii="Times New Roman" w:hAnsi="Times New Roman"/>
          <w:lang w:val="it-IT"/>
        </w:rPr>
        <w:tab/>
      </w:r>
      <w:r w:rsidRPr="00AD5D78">
        <w:rPr>
          <w:rFonts w:ascii="Times New Roman" w:hAnsi="Times New Roman"/>
          <w:spacing w:val="-1"/>
          <w:lang w:val="it-IT"/>
        </w:rPr>
        <w:t xml:space="preserve">2 x denne 1 tableta </w:t>
      </w:r>
      <w:r w:rsidR="00313E9C" w:rsidRPr="00AD5D78">
        <w:rPr>
          <w:rFonts w:ascii="Times New Roman" w:hAnsi="Times New Roman"/>
          <w:lang w:val="it-IT"/>
        </w:rPr>
        <w:t>Ozzionu</w:t>
      </w:r>
      <w:r w:rsidRPr="00AD5D78">
        <w:rPr>
          <w:rFonts w:ascii="Times New Roman" w:hAnsi="Times New Roman"/>
          <w:lang w:val="it-IT"/>
        </w:rPr>
        <w:t xml:space="preserve"> 40</w:t>
      </w:r>
      <w:r w:rsidR="00A676E8">
        <w:rPr>
          <w:rFonts w:ascii="Times New Roman" w:hAnsi="Times New Roman"/>
          <w:lang w:val="it-IT"/>
        </w:rPr>
        <w:t> </w:t>
      </w:r>
      <w:r w:rsidRPr="00AD5D78">
        <w:rPr>
          <w:rFonts w:ascii="Times New Roman" w:hAnsi="Times New Roman"/>
          <w:lang w:val="it-IT"/>
        </w:rPr>
        <w:t>mg</w:t>
      </w:r>
    </w:p>
    <w:p w:rsidR="004E2B43" w:rsidRPr="00E55BD8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lang w:val="it-IT"/>
        </w:rPr>
        <w:tab/>
      </w:r>
      <w:r w:rsidRPr="00343696">
        <w:rPr>
          <w:rFonts w:ascii="Times New Roman" w:hAnsi="Times New Roman"/>
          <w:spacing w:val="2"/>
          <w:lang w:val="sv-SE"/>
        </w:rPr>
        <w:t>+ 2 x denne 1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000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mg amoxicilínu</w:t>
      </w:r>
    </w:p>
    <w:p w:rsidR="004E2B43" w:rsidRDefault="004E2B43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spacing w:val="2"/>
          <w:lang w:val="sv-SE"/>
        </w:rPr>
      </w:pP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2"/>
          <w:lang w:val="sv-SE"/>
        </w:rPr>
        <w:t>+ 2 x denne 500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AD5D78">
        <w:rPr>
          <w:rFonts w:ascii="Times New Roman" w:hAnsi="Times New Roman"/>
          <w:spacing w:val="2"/>
          <w:lang w:val="sv-SE"/>
        </w:rPr>
        <w:t>mg klaritromycínu</w:t>
      </w:r>
    </w:p>
    <w:p w:rsidR="00A676E8" w:rsidRPr="00AD5D78" w:rsidRDefault="00A676E8" w:rsidP="00AD5D78">
      <w:pPr>
        <w:shd w:val="clear" w:color="auto" w:fill="FFFFFF"/>
        <w:tabs>
          <w:tab w:val="left" w:pos="426"/>
          <w:tab w:val="left" w:pos="926"/>
          <w:tab w:val="left" w:pos="6237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</w:p>
    <w:p w:rsidR="00A676E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right="-2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spacing w:val="-1"/>
          <w:lang w:val="sv-SE"/>
        </w:rPr>
        <w:t>b)</w:t>
      </w: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-1"/>
          <w:lang w:val="sv-SE"/>
        </w:rPr>
        <w:t xml:space="preserve">2 x denne 1 tableta </w:t>
      </w:r>
      <w:r w:rsidR="00313E9C" w:rsidRPr="00AD5D78">
        <w:rPr>
          <w:rFonts w:ascii="Times New Roman" w:hAnsi="Times New Roman"/>
          <w:lang w:val="sv-SE"/>
        </w:rPr>
        <w:t>Ozzionu</w:t>
      </w:r>
      <w:r w:rsidRPr="00AD5D78">
        <w:rPr>
          <w:rFonts w:ascii="Times New Roman" w:hAnsi="Times New Roman"/>
          <w:lang w:val="sv-SE"/>
        </w:rPr>
        <w:t xml:space="preserve"> 40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</w:t>
      </w:r>
    </w:p>
    <w:p w:rsidR="004E2B43" w:rsidRPr="00E55BD8" w:rsidRDefault="004E2B43" w:rsidP="00271DB3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right="-2" w:firstLine="6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lang w:val="sv-SE"/>
        </w:rPr>
        <w:t>+ 2 x denne 400 –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metronidazolu (alebo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tinidazolu)</w:t>
      </w:r>
    </w:p>
    <w:p w:rsidR="004E2B43" w:rsidRDefault="004E2B43" w:rsidP="00AD5D78">
      <w:pPr>
        <w:shd w:val="clear" w:color="auto" w:fill="FFFFFF"/>
        <w:tabs>
          <w:tab w:val="left" w:pos="426"/>
        </w:tabs>
        <w:spacing w:after="0" w:line="240" w:lineRule="auto"/>
        <w:ind w:right="-2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lang w:val="sv-SE"/>
        </w:rPr>
        <w:tab/>
        <w:t>+ 2 x denne 250 – 500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 klaritromycínu</w:t>
      </w:r>
    </w:p>
    <w:p w:rsidR="00A676E8" w:rsidRPr="00AD5D78" w:rsidRDefault="00A676E8" w:rsidP="00AD5D78">
      <w:pPr>
        <w:shd w:val="clear" w:color="auto" w:fill="FFFFFF"/>
        <w:tabs>
          <w:tab w:val="left" w:pos="426"/>
        </w:tabs>
        <w:spacing w:after="0" w:line="240" w:lineRule="auto"/>
        <w:ind w:right="-2"/>
        <w:rPr>
          <w:rFonts w:ascii="Times New Roman" w:hAnsi="Times New Roman"/>
          <w:lang w:val="sv-SE"/>
        </w:rPr>
      </w:pPr>
    </w:p>
    <w:p w:rsidR="00A676E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  <w:r w:rsidRPr="00AD5D78">
        <w:rPr>
          <w:rFonts w:ascii="Times New Roman" w:hAnsi="Times New Roman"/>
          <w:spacing w:val="-1"/>
          <w:lang w:val="sv-SE"/>
        </w:rPr>
        <w:t>c)</w:t>
      </w:r>
      <w:r w:rsidRPr="00AD5D78">
        <w:rPr>
          <w:rFonts w:ascii="Times New Roman" w:hAnsi="Times New Roman"/>
          <w:lang w:val="sv-SE"/>
        </w:rPr>
        <w:tab/>
      </w:r>
      <w:r w:rsidRPr="00AD5D78">
        <w:rPr>
          <w:rFonts w:ascii="Times New Roman" w:hAnsi="Times New Roman"/>
          <w:spacing w:val="-1"/>
          <w:lang w:val="sv-SE"/>
        </w:rPr>
        <w:t xml:space="preserve">2 x denne 1 tableta </w:t>
      </w:r>
      <w:r w:rsidR="00313E9C" w:rsidRPr="00AD5D78">
        <w:rPr>
          <w:rFonts w:ascii="Times New Roman" w:hAnsi="Times New Roman"/>
          <w:lang w:val="sv-SE"/>
        </w:rPr>
        <w:t>Ozzionu</w:t>
      </w:r>
      <w:r w:rsidRPr="00AD5D78">
        <w:rPr>
          <w:rFonts w:ascii="Times New Roman" w:hAnsi="Times New Roman"/>
          <w:lang w:val="sv-SE"/>
        </w:rPr>
        <w:t xml:space="preserve"> 40</w:t>
      </w:r>
      <w:r w:rsidR="00A676E8">
        <w:rPr>
          <w:rFonts w:ascii="Times New Roman" w:hAnsi="Times New Roman"/>
          <w:lang w:val="sv-SE"/>
        </w:rPr>
        <w:t> </w:t>
      </w:r>
      <w:r w:rsidRPr="00AD5D78">
        <w:rPr>
          <w:rFonts w:ascii="Times New Roman" w:hAnsi="Times New Roman"/>
          <w:lang w:val="sv-SE"/>
        </w:rPr>
        <w:t>mg</w:t>
      </w:r>
    </w:p>
    <w:p w:rsidR="004E2B43" w:rsidRPr="00E55BD8" w:rsidRDefault="004E2B43" w:rsidP="00271DB3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firstLine="6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spacing w:val="2"/>
          <w:lang w:val="sv-SE"/>
        </w:rPr>
        <w:t>+ 2 x denne 1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000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>mg amoxicilínu</w:t>
      </w:r>
    </w:p>
    <w:p w:rsidR="004E2B43" w:rsidRPr="00E55BD8" w:rsidRDefault="004E2B43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  <w:r w:rsidRPr="00E55BD8">
        <w:rPr>
          <w:rFonts w:ascii="Times New Roman" w:hAnsi="Times New Roman"/>
          <w:spacing w:val="2"/>
          <w:lang w:val="sv-SE"/>
        </w:rPr>
        <w:tab/>
        <w:t>+ 2 x denne 400 – 500</w:t>
      </w:r>
      <w:r w:rsidR="00A676E8">
        <w:rPr>
          <w:rFonts w:ascii="Times New Roman" w:hAnsi="Times New Roman"/>
          <w:spacing w:val="2"/>
          <w:lang w:val="sv-SE"/>
        </w:rPr>
        <w:t> </w:t>
      </w:r>
      <w:r w:rsidRPr="00E55BD8">
        <w:rPr>
          <w:rFonts w:ascii="Times New Roman" w:hAnsi="Times New Roman"/>
          <w:spacing w:val="2"/>
          <w:lang w:val="sv-SE"/>
        </w:rPr>
        <w:t xml:space="preserve">mg metronidazolu </w:t>
      </w:r>
      <w:r w:rsidRPr="00E55BD8">
        <w:rPr>
          <w:rFonts w:ascii="Times New Roman" w:hAnsi="Times New Roman"/>
          <w:lang w:val="sv-SE"/>
        </w:rPr>
        <w:t>(alebo 500</w:t>
      </w:r>
      <w:r w:rsidR="00A676E8">
        <w:rPr>
          <w:rFonts w:ascii="Times New Roman" w:hAnsi="Times New Roman"/>
          <w:lang w:val="sv-SE"/>
        </w:rPr>
        <w:t> </w:t>
      </w:r>
      <w:r w:rsidRPr="00E55BD8">
        <w:rPr>
          <w:rFonts w:ascii="Times New Roman" w:hAnsi="Times New Roman"/>
          <w:lang w:val="sv-SE"/>
        </w:rPr>
        <w:t>mg tinidazolu)</w:t>
      </w:r>
    </w:p>
    <w:p w:rsidR="000B711B" w:rsidRPr="00AD5D78" w:rsidRDefault="000B711B" w:rsidP="00AD5D78">
      <w:pPr>
        <w:shd w:val="clear" w:color="auto" w:fill="FFFFFF"/>
        <w:tabs>
          <w:tab w:val="left" w:pos="426"/>
          <w:tab w:val="left" w:pos="926"/>
        </w:tabs>
        <w:spacing w:after="0" w:line="240" w:lineRule="auto"/>
        <w:ind w:left="420" w:hanging="420"/>
        <w:rPr>
          <w:rFonts w:ascii="Times New Roman" w:hAnsi="Times New Roman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Pri kombinovanej liečbe na eradikáciu infekcie </w:t>
      </w:r>
      <w:r w:rsidRPr="00AD5D78">
        <w:rPr>
          <w:i/>
          <w:iCs/>
          <w:sz w:val="22"/>
          <w:szCs w:val="22"/>
          <w:lang w:val="sv-SE"/>
        </w:rPr>
        <w:t>H</w:t>
      </w:r>
      <w:r w:rsidR="00A676E8">
        <w:rPr>
          <w:i/>
          <w:iCs/>
          <w:sz w:val="22"/>
          <w:szCs w:val="22"/>
          <w:lang w:val="sv-SE"/>
        </w:rPr>
        <w:t>.</w:t>
      </w:r>
      <w:r w:rsidRPr="00AD5D78">
        <w:rPr>
          <w:i/>
          <w:iCs/>
          <w:sz w:val="22"/>
          <w:szCs w:val="22"/>
          <w:lang w:val="sv-SE"/>
        </w:rPr>
        <w:t xml:space="preserve"> pylori</w:t>
      </w:r>
      <w:r w:rsidRPr="00AD5D78">
        <w:rPr>
          <w:sz w:val="22"/>
          <w:szCs w:val="22"/>
          <w:lang w:val="sv-SE"/>
        </w:rPr>
        <w:t xml:space="preserve"> sa </w:t>
      </w:r>
      <w:r w:rsidR="00A676E8" w:rsidRPr="00343696">
        <w:rPr>
          <w:sz w:val="22"/>
          <w:szCs w:val="22"/>
          <w:lang w:val="sv-SE"/>
        </w:rPr>
        <w:t>má</w:t>
      </w:r>
      <w:r w:rsidR="00A676E8" w:rsidRPr="00AD5D78">
        <w:rPr>
          <w:sz w:val="22"/>
          <w:szCs w:val="22"/>
          <w:lang w:val="sv-SE"/>
        </w:rPr>
        <w:t xml:space="preserve"> </w:t>
      </w:r>
      <w:r w:rsidRPr="00AD5D78">
        <w:rPr>
          <w:sz w:val="22"/>
          <w:szCs w:val="22"/>
          <w:lang w:val="sv-SE"/>
        </w:rPr>
        <w:t xml:space="preserve">druhá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A676E8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 xml:space="preserve"> užiť 1</w:t>
      </w:r>
      <w:r w:rsidR="00A676E8">
        <w:rPr>
          <w:sz w:val="22"/>
          <w:szCs w:val="22"/>
          <w:lang w:val="sv-SE"/>
        </w:rPr>
        <w:t> </w:t>
      </w:r>
      <w:r w:rsidRPr="00343696">
        <w:rPr>
          <w:sz w:val="22"/>
          <w:szCs w:val="22"/>
          <w:lang w:val="sv-SE"/>
        </w:rPr>
        <w:t xml:space="preserve">hodinu pred večerným jedlom. Kombinovaná liečba trvá </w:t>
      </w:r>
      <w:r w:rsidRPr="00E55BD8">
        <w:rPr>
          <w:sz w:val="22"/>
          <w:szCs w:val="22"/>
          <w:lang w:val="sv-SE"/>
        </w:rPr>
        <w:t xml:space="preserve">zvyčajne 7 dní a môže sa predĺžiť o ďalších 7 dní, </w:t>
      </w:r>
      <w:r w:rsidR="00A676E8">
        <w:rPr>
          <w:sz w:val="22"/>
          <w:szCs w:val="22"/>
          <w:lang w:val="sv-SE"/>
        </w:rPr>
        <w:t xml:space="preserve">s </w:t>
      </w:r>
      <w:r w:rsidRPr="00E55BD8">
        <w:rPr>
          <w:sz w:val="22"/>
          <w:szCs w:val="22"/>
          <w:lang w:val="sv-SE"/>
        </w:rPr>
        <w:t>celkov</w:t>
      </w:r>
      <w:r w:rsidR="00A676E8">
        <w:rPr>
          <w:sz w:val="22"/>
          <w:szCs w:val="22"/>
          <w:lang w:val="sv-SE"/>
        </w:rPr>
        <w:t>ým</w:t>
      </w:r>
      <w:r w:rsidRPr="00E55BD8">
        <w:rPr>
          <w:sz w:val="22"/>
          <w:szCs w:val="22"/>
          <w:lang w:val="sv-SE"/>
        </w:rPr>
        <w:t xml:space="preserve"> trvan</w:t>
      </w:r>
      <w:r w:rsidR="00A676E8">
        <w:rPr>
          <w:sz w:val="22"/>
          <w:szCs w:val="22"/>
          <w:lang w:val="sv-SE"/>
        </w:rPr>
        <w:t>ím</w:t>
      </w:r>
      <w:r w:rsidRPr="00E55BD8">
        <w:rPr>
          <w:sz w:val="22"/>
          <w:szCs w:val="22"/>
          <w:lang w:val="sv-SE"/>
        </w:rPr>
        <w:t xml:space="preserve"> liečby </w:t>
      </w:r>
      <w:r w:rsidR="003B2F06" w:rsidRPr="00AD5D78">
        <w:rPr>
          <w:sz w:val="22"/>
          <w:szCs w:val="22"/>
          <w:lang w:val="sv-SE"/>
        </w:rPr>
        <w:t>až do dvoch týždňov</w:t>
      </w:r>
      <w:r w:rsidRPr="00343696">
        <w:rPr>
          <w:sz w:val="22"/>
          <w:szCs w:val="22"/>
          <w:lang w:val="sv-SE"/>
        </w:rPr>
        <w:t xml:space="preserve">. Ak je </w:t>
      </w:r>
      <w:r w:rsidR="00A676E8">
        <w:rPr>
          <w:sz w:val="22"/>
          <w:szCs w:val="22"/>
          <w:lang w:val="sv-SE"/>
        </w:rPr>
        <w:t>na</w:t>
      </w:r>
      <w:r w:rsidR="00A676E8" w:rsidRPr="00343696">
        <w:rPr>
          <w:sz w:val="22"/>
          <w:szCs w:val="22"/>
          <w:lang w:val="sv-SE"/>
        </w:rPr>
        <w:t xml:space="preserve"> </w:t>
      </w:r>
      <w:r w:rsidRPr="00343696">
        <w:rPr>
          <w:sz w:val="22"/>
          <w:szCs w:val="22"/>
          <w:lang w:val="sv-SE"/>
        </w:rPr>
        <w:t xml:space="preserve">zahojenie vredov </w:t>
      </w:r>
      <w:r w:rsidRPr="00E55BD8">
        <w:rPr>
          <w:sz w:val="22"/>
          <w:szCs w:val="22"/>
          <w:lang w:val="sv-SE"/>
        </w:rPr>
        <w:t xml:space="preserve">indikovaná </w:t>
      </w:r>
      <w:r w:rsidR="00395621">
        <w:rPr>
          <w:sz w:val="22"/>
          <w:szCs w:val="22"/>
          <w:lang w:val="sv-SE"/>
        </w:rPr>
        <w:t xml:space="preserve">ešte </w:t>
      </w:r>
      <w:r w:rsidRPr="00E55BD8">
        <w:rPr>
          <w:sz w:val="22"/>
          <w:szCs w:val="22"/>
          <w:lang w:val="sv-SE"/>
        </w:rPr>
        <w:t>ďalšia liečba pantoprazolom</w:t>
      </w:r>
      <w:r w:rsidR="00FD54F9" w:rsidRPr="00E55BD8">
        <w:rPr>
          <w:sz w:val="22"/>
          <w:szCs w:val="22"/>
          <w:lang w:val="sv-SE"/>
        </w:rPr>
        <w:t>, majú sa zvážiť odporúčan</w:t>
      </w:r>
      <w:r w:rsidR="00395621">
        <w:rPr>
          <w:sz w:val="22"/>
          <w:szCs w:val="22"/>
          <w:lang w:val="sv-SE"/>
        </w:rPr>
        <w:t>é</w:t>
      </w:r>
      <w:r w:rsidR="00FD54F9" w:rsidRPr="00E55BD8">
        <w:rPr>
          <w:sz w:val="22"/>
          <w:szCs w:val="22"/>
          <w:lang w:val="sv-SE"/>
        </w:rPr>
        <w:t xml:space="preserve"> dávk</w:t>
      </w:r>
      <w:r w:rsidR="00395621">
        <w:rPr>
          <w:sz w:val="22"/>
          <w:szCs w:val="22"/>
          <w:lang w:val="sv-SE"/>
        </w:rPr>
        <w:t>y</w:t>
      </w:r>
      <w:r w:rsidR="00FD54F9" w:rsidRPr="00E55BD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pre liečbu</w:t>
      </w:r>
      <w:r w:rsidR="00FD54F9" w:rsidRPr="00E55BD8">
        <w:rPr>
          <w:sz w:val="22"/>
          <w:szCs w:val="22"/>
          <w:lang w:val="sv-SE"/>
        </w:rPr>
        <w:t xml:space="preserve"> </w:t>
      </w:r>
      <w:r w:rsidRPr="00AD5D78">
        <w:rPr>
          <w:sz w:val="22"/>
          <w:szCs w:val="22"/>
          <w:lang w:val="sv-SE"/>
        </w:rPr>
        <w:t>dvanástn</w:t>
      </w:r>
      <w:r w:rsidR="000A5C8B">
        <w:rPr>
          <w:sz w:val="22"/>
          <w:szCs w:val="22"/>
          <w:lang w:val="sv-SE"/>
        </w:rPr>
        <w:t>i</w:t>
      </w:r>
      <w:r w:rsidRPr="00AD5D78">
        <w:rPr>
          <w:sz w:val="22"/>
          <w:szCs w:val="22"/>
          <w:lang w:val="sv-SE"/>
        </w:rPr>
        <w:t>kových a žalúdočných vredo</w:t>
      </w:r>
      <w:r w:rsidR="000A5C8B">
        <w:rPr>
          <w:sz w:val="22"/>
          <w:szCs w:val="22"/>
          <w:lang w:val="sv-SE"/>
        </w:rPr>
        <w:t>v</w:t>
      </w:r>
      <w:r w:rsidRPr="00AD5D78">
        <w:rPr>
          <w:sz w:val="22"/>
          <w:szCs w:val="22"/>
          <w:lang w:val="sv-SE"/>
        </w:rPr>
        <w:t>.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</w:p>
    <w:p w:rsidR="004E2B43" w:rsidRPr="00343696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Ak kombinovaná liečba nie je </w:t>
      </w:r>
      <w:r w:rsidR="003B2F06" w:rsidRPr="00AD5D78">
        <w:rPr>
          <w:sz w:val="22"/>
          <w:szCs w:val="22"/>
          <w:lang w:val="sv-SE"/>
        </w:rPr>
        <w:t>voľbou</w:t>
      </w:r>
      <w:r w:rsidRPr="00AD5D78">
        <w:rPr>
          <w:sz w:val="22"/>
          <w:szCs w:val="22"/>
          <w:lang w:val="sv-SE"/>
        </w:rPr>
        <w:t xml:space="preserve">, napr. </w:t>
      </w:r>
      <w:r w:rsidR="00FD54F9" w:rsidRPr="00AD5D78">
        <w:rPr>
          <w:sz w:val="22"/>
          <w:szCs w:val="22"/>
          <w:lang w:val="sv-SE"/>
        </w:rPr>
        <w:t xml:space="preserve">ak </w:t>
      </w:r>
      <w:r w:rsidR="000A5C8B" w:rsidRPr="00AD5D78">
        <w:rPr>
          <w:sz w:val="22"/>
          <w:szCs w:val="22"/>
          <w:lang w:val="sv-SE"/>
        </w:rPr>
        <w:t xml:space="preserve">má </w:t>
      </w:r>
      <w:r w:rsidR="00FD54F9" w:rsidRPr="00AD5D78">
        <w:rPr>
          <w:sz w:val="22"/>
          <w:szCs w:val="22"/>
          <w:lang w:val="sv-SE"/>
        </w:rPr>
        <w:t xml:space="preserve">pacient </w:t>
      </w:r>
      <w:r w:rsidR="000A5C8B" w:rsidRPr="00AD5D78">
        <w:rPr>
          <w:sz w:val="22"/>
          <w:szCs w:val="22"/>
          <w:lang w:val="sv-SE"/>
        </w:rPr>
        <w:t>negatívne</w:t>
      </w:r>
      <w:r w:rsidR="000A5C8B" w:rsidRPr="00AD5D78" w:rsidDel="000A5C8B">
        <w:rPr>
          <w:sz w:val="22"/>
          <w:szCs w:val="22"/>
          <w:lang w:val="sv-SE"/>
        </w:rPr>
        <w:t xml:space="preserve"> </w:t>
      </w:r>
      <w:r w:rsidR="00FD54F9" w:rsidRPr="00AD5D78">
        <w:rPr>
          <w:sz w:val="22"/>
          <w:szCs w:val="22"/>
          <w:lang w:val="sv-SE"/>
        </w:rPr>
        <w:t xml:space="preserve">vyšetrenie </w:t>
      </w:r>
      <w:r w:rsidRPr="00AD5D78">
        <w:rPr>
          <w:sz w:val="22"/>
          <w:szCs w:val="22"/>
          <w:lang w:val="sv-SE"/>
        </w:rPr>
        <w:t xml:space="preserve">na </w:t>
      </w:r>
      <w:r w:rsidRPr="00AD5D78">
        <w:rPr>
          <w:i/>
          <w:iCs/>
          <w:sz w:val="22"/>
          <w:szCs w:val="22"/>
          <w:lang w:val="sv-SE"/>
        </w:rPr>
        <w:t>H. pylori</w:t>
      </w:r>
      <w:r w:rsidRPr="00AD5D78">
        <w:rPr>
          <w:sz w:val="22"/>
          <w:szCs w:val="22"/>
          <w:lang w:val="sv-SE"/>
        </w:rPr>
        <w:t xml:space="preserve">, odporúča sa nasledovná schéma </w:t>
      </w:r>
      <w:r w:rsidR="000A5C8B">
        <w:rPr>
          <w:sz w:val="22"/>
          <w:szCs w:val="22"/>
          <w:lang w:val="sv-SE"/>
        </w:rPr>
        <w:t>na</w:t>
      </w:r>
      <w:r w:rsidRPr="00AD5D78">
        <w:rPr>
          <w:sz w:val="22"/>
          <w:szCs w:val="22"/>
          <w:lang w:val="sv-SE"/>
        </w:rPr>
        <w:t xml:space="preserve"> monoterapiu liekom </w:t>
      </w:r>
      <w:r w:rsidR="00313E9C" w:rsidRPr="00AD5D78">
        <w:rPr>
          <w:sz w:val="22"/>
          <w:szCs w:val="22"/>
          <w:lang w:val="sv-SE"/>
        </w:rPr>
        <w:t>Ozzion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>:</w:t>
      </w:r>
    </w:p>
    <w:p w:rsidR="004E2B43" w:rsidRPr="00E55BD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Liečba žalúdočného vredu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Jedna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denne. V individuálnych prípadoch sa dávka môže zdvojnásobiť (zvýšenie na 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denne), </w:t>
      </w:r>
      <w:r w:rsidR="000A5C8B">
        <w:rPr>
          <w:sz w:val="22"/>
          <w:szCs w:val="22"/>
          <w:lang w:val="sv-SE"/>
        </w:rPr>
        <w:t>najmä</w:t>
      </w:r>
      <w:r w:rsidRPr="00AD5D7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a</w:t>
      </w:r>
      <w:r w:rsidR="00BF59E0" w:rsidRPr="00AD5D78">
        <w:rPr>
          <w:sz w:val="22"/>
          <w:szCs w:val="22"/>
          <w:lang w:val="sv-SE"/>
        </w:rPr>
        <w:t xml:space="preserve">k </w:t>
      </w:r>
      <w:r w:rsidR="00FD54F9" w:rsidRPr="00343696">
        <w:rPr>
          <w:sz w:val="22"/>
          <w:szCs w:val="22"/>
          <w:lang w:val="sk-SK"/>
        </w:rPr>
        <w:t xml:space="preserve">nedošlo </w:t>
      </w:r>
      <w:r w:rsidR="00FD54F9" w:rsidRPr="00E55BD8">
        <w:rPr>
          <w:sz w:val="22"/>
          <w:szCs w:val="22"/>
          <w:lang w:val="sk-SK"/>
        </w:rPr>
        <w:t xml:space="preserve">k odpovedi </w:t>
      </w:r>
      <w:r w:rsidRPr="00AD5D78">
        <w:rPr>
          <w:sz w:val="22"/>
          <w:szCs w:val="22"/>
          <w:lang w:val="sv-SE"/>
        </w:rPr>
        <w:t xml:space="preserve">na inú liečbu. </w:t>
      </w:r>
      <w:r w:rsidRPr="00343696">
        <w:rPr>
          <w:sz w:val="22"/>
          <w:szCs w:val="22"/>
          <w:lang w:val="sv-SE"/>
        </w:rPr>
        <w:t xml:space="preserve">Na liečbu </w:t>
      </w:r>
      <w:r w:rsidR="00BF59E0" w:rsidRPr="00E55BD8">
        <w:rPr>
          <w:sz w:val="22"/>
          <w:szCs w:val="22"/>
          <w:lang w:val="sv-SE"/>
        </w:rPr>
        <w:t>žalúdočných vredov je zvyčajne potrebné</w:t>
      </w:r>
      <w:r w:rsidRPr="00E55BD8">
        <w:rPr>
          <w:sz w:val="22"/>
          <w:szCs w:val="22"/>
          <w:lang w:val="sv-SE"/>
        </w:rPr>
        <w:t xml:space="preserve"> </w:t>
      </w:r>
      <w:r w:rsidR="00BF59E0" w:rsidRPr="00E55BD8">
        <w:rPr>
          <w:sz w:val="22"/>
          <w:szCs w:val="22"/>
          <w:lang w:val="sk-SK"/>
        </w:rPr>
        <w:t>4-týždňové obdobie. Ak to nie je dostatočné,</w:t>
      </w:r>
      <w:r w:rsidRPr="00E55BD8">
        <w:rPr>
          <w:sz w:val="22"/>
          <w:szCs w:val="22"/>
          <w:lang w:val="sv-SE"/>
        </w:rPr>
        <w:t xml:space="preserve"> </w:t>
      </w:r>
      <w:r w:rsidR="00BF59E0" w:rsidRPr="00AD5D78">
        <w:rPr>
          <w:sz w:val="22"/>
          <w:szCs w:val="22"/>
          <w:lang w:val="sk-SK"/>
        </w:rPr>
        <w:t xml:space="preserve">vyliečenie sa zvyčajne dosiahne </w:t>
      </w:r>
      <w:r w:rsidR="000A5C8B">
        <w:rPr>
          <w:sz w:val="22"/>
          <w:szCs w:val="22"/>
          <w:lang w:val="sk-SK"/>
        </w:rPr>
        <w:t>počas</w:t>
      </w:r>
      <w:r w:rsidR="00BF59E0" w:rsidRPr="00AD5D78">
        <w:rPr>
          <w:sz w:val="22"/>
          <w:szCs w:val="22"/>
          <w:lang w:val="sk-SK"/>
        </w:rPr>
        <w:t xml:space="preserve"> ďalších 4 týždňov</w:t>
      </w:r>
      <w:r w:rsidRPr="00AD5D78">
        <w:rPr>
          <w:sz w:val="22"/>
          <w:szCs w:val="22"/>
          <w:lang w:val="sv-SE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Liečba dvanástn</w:t>
      </w:r>
      <w:r w:rsidR="000A5C8B">
        <w:rPr>
          <w:sz w:val="22"/>
          <w:szCs w:val="22"/>
          <w:u w:val="single"/>
          <w:lang w:val="sv-SE"/>
        </w:rPr>
        <w:t>i</w:t>
      </w:r>
      <w:r w:rsidRPr="00AD5D78">
        <w:rPr>
          <w:sz w:val="22"/>
          <w:szCs w:val="22"/>
          <w:u w:val="single"/>
          <w:lang w:val="sv-SE"/>
        </w:rPr>
        <w:t>kového vredu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 xml:space="preserve">Jedna tableta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denne. V individuálnych prípadoch sa dávka môže zdvojnásobiť (zvýšenie na 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0A5C8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denne), </w:t>
      </w:r>
      <w:r w:rsidR="000A5C8B">
        <w:rPr>
          <w:sz w:val="22"/>
          <w:szCs w:val="22"/>
          <w:lang w:val="sv-SE"/>
        </w:rPr>
        <w:t>najmä</w:t>
      </w:r>
      <w:r w:rsidRPr="00AD5D78">
        <w:rPr>
          <w:sz w:val="22"/>
          <w:szCs w:val="22"/>
          <w:lang w:val="sv-SE"/>
        </w:rPr>
        <w:t xml:space="preserve"> </w:t>
      </w:r>
      <w:r w:rsidR="000A5C8B">
        <w:rPr>
          <w:sz w:val="22"/>
          <w:szCs w:val="22"/>
          <w:lang w:val="sv-SE"/>
        </w:rPr>
        <w:t>a</w:t>
      </w:r>
      <w:r w:rsidR="00BF59E0" w:rsidRPr="00AD5D78">
        <w:rPr>
          <w:sz w:val="22"/>
          <w:szCs w:val="22"/>
          <w:lang w:val="sv-SE"/>
        </w:rPr>
        <w:t xml:space="preserve">k </w:t>
      </w:r>
      <w:r w:rsidR="00BF59E0" w:rsidRPr="00343696">
        <w:rPr>
          <w:sz w:val="22"/>
          <w:szCs w:val="22"/>
          <w:lang w:val="sk-SK"/>
        </w:rPr>
        <w:t xml:space="preserve">nedošlo </w:t>
      </w:r>
      <w:r w:rsidR="00BF59E0" w:rsidRPr="00E55BD8">
        <w:rPr>
          <w:sz w:val="22"/>
          <w:szCs w:val="22"/>
          <w:lang w:val="sk-SK"/>
        </w:rPr>
        <w:t xml:space="preserve">k odpovedi </w:t>
      </w:r>
      <w:r w:rsidR="00BF59E0" w:rsidRPr="00AD5D78">
        <w:rPr>
          <w:sz w:val="22"/>
          <w:szCs w:val="22"/>
          <w:lang w:val="sv-SE"/>
        </w:rPr>
        <w:t>na inú liečbu.</w:t>
      </w:r>
      <w:r w:rsidRPr="00AD5D78">
        <w:rPr>
          <w:sz w:val="22"/>
          <w:szCs w:val="22"/>
          <w:lang w:val="sv-SE"/>
        </w:rPr>
        <w:t xml:space="preserve"> </w:t>
      </w:r>
      <w:r w:rsidRPr="00343696">
        <w:rPr>
          <w:sz w:val="22"/>
          <w:szCs w:val="22"/>
          <w:lang w:val="sv-SE"/>
        </w:rPr>
        <w:t>Dvanástn</w:t>
      </w:r>
      <w:r w:rsidR="000A5C8B">
        <w:rPr>
          <w:sz w:val="22"/>
          <w:szCs w:val="22"/>
          <w:lang w:val="sv-SE"/>
        </w:rPr>
        <w:t>i</w:t>
      </w:r>
      <w:r w:rsidRPr="00343696">
        <w:rPr>
          <w:sz w:val="22"/>
          <w:szCs w:val="22"/>
          <w:lang w:val="sv-SE"/>
        </w:rPr>
        <w:t>kov</w:t>
      </w:r>
      <w:r w:rsidR="00BF59E0" w:rsidRPr="00343696">
        <w:rPr>
          <w:sz w:val="22"/>
          <w:szCs w:val="22"/>
          <w:lang w:val="sv-SE"/>
        </w:rPr>
        <w:t>ý</w:t>
      </w:r>
      <w:r w:rsidRPr="00E55BD8">
        <w:rPr>
          <w:sz w:val="22"/>
          <w:szCs w:val="22"/>
          <w:lang w:val="sv-SE"/>
        </w:rPr>
        <w:t xml:space="preserve"> vred sa väčšinou zahoj</w:t>
      </w:r>
      <w:r w:rsidR="00BF59E0" w:rsidRPr="00E55BD8">
        <w:rPr>
          <w:sz w:val="22"/>
          <w:szCs w:val="22"/>
          <w:lang w:val="sv-SE"/>
        </w:rPr>
        <w:t>í</w:t>
      </w:r>
      <w:r w:rsidRPr="00E55BD8">
        <w:rPr>
          <w:sz w:val="22"/>
          <w:szCs w:val="22"/>
          <w:lang w:val="sv-SE"/>
        </w:rPr>
        <w:t xml:space="preserve"> do 2 týždňov. Ak 2 týždňová liečba nie je dostatočná, </w:t>
      </w:r>
      <w:r w:rsidR="00BF59E0" w:rsidRPr="00AD5D78">
        <w:rPr>
          <w:sz w:val="22"/>
          <w:szCs w:val="22"/>
          <w:lang w:val="sk-SK"/>
        </w:rPr>
        <w:t>vyliečenie</w:t>
      </w:r>
      <w:r w:rsidRPr="00AD5D78">
        <w:rPr>
          <w:sz w:val="22"/>
          <w:szCs w:val="22"/>
          <w:lang w:val="sv-SE"/>
        </w:rPr>
        <w:t xml:space="preserve"> sa vo väčšine prípadov </w:t>
      </w:r>
      <w:r w:rsidR="00BF59E0" w:rsidRPr="00AD5D78">
        <w:rPr>
          <w:sz w:val="22"/>
          <w:szCs w:val="22"/>
          <w:lang w:val="sv-SE"/>
        </w:rPr>
        <w:t xml:space="preserve">dosiahne </w:t>
      </w:r>
      <w:r w:rsidR="006116DB">
        <w:rPr>
          <w:sz w:val="22"/>
          <w:szCs w:val="22"/>
          <w:lang w:val="sv-SE"/>
        </w:rPr>
        <w:t>počas</w:t>
      </w:r>
      <w:r w:rsidRPr="00AD5D78">
        <w:rPr>
          <w:sz w:val="22"/>
          <w:szCs w:val="22"/>
          <w:lang w:val="sv-SE"/>
        </w:rPr>
        <w:t xml:space="preserve"> ďalších 2 týždňov.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4E2B43" w:rsidRPr="00AD5D78" w:rsidRDefault="004E2B43" w:rsidP="00AD5D78">
      <w:pPr>
        <w:pStyle w:val="Zarkazkladnhotextu"/>
        <w:rPr>
          <w:sz w:val="22"/>
          <w:szCs w:val="22"/>
          <w:u w:val="single"/>
          <w:lang w:val="sv-SE"/>
        </w:rPr>
      </w:pPr>
      <w:r w:rsidRPr="00AD5D78">
        <w:rPr>
          <w:sz w:val="22"/>
          <w:szCs w:val="22"/>
          <w:u w:val="single"/>
          <w:lang w:val="sv-SE"/>
        </w:rPr>
        <w:t>Zollingerov</w:t>
      </w:r>
      <w:r w:rsidR="006116DB">
        <w:rPr>
          <w:sz w:val="22"/>
          <w:szCs w:val="22"/>
          <w:u w:val="single"/>
          <w:lang w:val="sv-SE"/>
        </w:rPr>
        <w:t>-</w:t>
      </w:r>
      <w:r w:rsidRPr="00AD5D78">
        <w:rPr>
          <w:sz w:val="22"/>
          <w:szCs w:val="22"/>
          <w:u w:val="single"/>
          <w:lang w:val="sv-SE"/>
        </w:rPr>
        <w:t xml:space="preserve">Ellisonov syndróm a iné patologické </w:t>
      </w:r>
      <w:r w:rsidR="006116DB">
        <w:rPr>
          <w:sz w:val="22"/>
          <w:szCs w:val="22"/>
          <w:u w:val="single"/>
          <w:lang w:val="sv-SE"/>
        </w:rPr>
        <w:t>stavy s </w:t>
      </w:r>
      <w:r w:rsidR="00BF59E0" w:rsidRPr="00AD5D78">
        <w:rPr>
          <w:sz w:val="22"/>
          <w:szCs w:val="22"/>
          <w:u w:val="single"/>
          <w:lang w:val="sv-SE"/>
        </w:rPr>
        <w:t>hypersekr</w:t>
      </w:r>
      <w:r w:rsidR="006116DB">
        <w:rPr>
          <w:sz w:val="22"/>
          <w:szCs w:val="22"/>
          <w:u w:val="single"/>
          <w:lang w:val="sv-SE"/>
        </w:rPr>
        <w:t>éciou</w:t>
      </w:r>
    </w:p>
    <w:p w:rsidR="004E2B43" w:rsidRPr="00AD5D78" w:rsidRDefault="004E2B43" w:rsidP="00AD5D78">
      <w:pPr>
        <w:pStyle w:val="Zarkazkladnhotextu"/>
        <w:rPr>
          <w:sz w:val="22"/>
          <w:szCs w:val="22"/>
          <w:lang w:val="sv-SE"/>
        </w:rPr>
      </w:pPr>
      <w:r w:rsidRPr="00AD5D78">
        <w:rPr>
          <w:sz w:val="22"/>
          <w:szCs w:val="22"/>
          <w:lang w:val="sv-SE"/>
        </w:rPr>
        <w:t>Pri dlhodobej liečbe Zollingerovho</w:t>
      </w:r>
      <w:r w:rsidR="006116DB">
        <w:rPr>
          <w:sz w:val="22"/>
          <w:szCs w:val="22"/>
          <w:lang w:val="sv-SE"/>
        </w:rPr>
        <w:t>-</w:t>
      </w:r>
      <w:r w:rsidRPr="00AD5D78">
        <w:rPr>
          <w:sz w:val="22"/>
          <w:szCs w:val="22"/>
          <w:lang w:val="sv-SE"/>
        </w:rPr>
        <w:t xml:space="preserve">Ellisonovho syndrómu a iných patologických </w:t>
      </w:r>
      <w:r w:rsidR="006116DB">
        <w:rPr>
          <w:sz w:val="22"/>
          <w:szCs w:val="22"/>
          <w:lang w:val="sv-SE"/>
        </w:rPr>
        <w:t>stavov s </w:t>
      </w:r>
      <w:r w:rsidR="00BF59E0" w:rsidRPr="00AD5D78">
        <w:rPr>
          <w:sz w:val="22"/>
          <w:szCs w:val="22"/>
          <w:lang w:val="sv-SE"/>
        </w:rPr>
        <w:t>hypersekr</w:t>
      </w:r>
      <w:r w:rsidR="006116DB">
        <w:rPr>
          <w:sz w:val="22"/>
          <w:szCs w:val="22"/>
          <w:lang w:val="sv-SE"/>
        </w:rPr>
        <w:t>éciou</w:t>
      </w:r>
      <w:r w:rsidRPr="00AD5D78">
        <w:rPr>
          <w:sz w:val="22"/>
          <w:szCs w:val="22"/>
          <w:lang w:val="sv-SE"/>
        </w:rPr>
        <w:t xml:space="preserve"> </w:t>
      </w:r>
      <w:r w:rsidR="006116DB" w:rsidRPr="00AD5D78">
        <w:rPr>
          <w:sz w:val="22"/>
          <w:szCs w:val="22"/>
          <w:lang w:val="sv-SE"/>
        </w:rPr>
        <w:t xml:space="preserve">majú </w:t>
      </w:r>
      <w:r w:rsidR="00BF59E0" w:rsidRPr="00AD5D78">
        <w:rPr>
          <w:sz w:val="22"/>
          <w:szCs w:val="22"/>
          <w:lang w:val="sv-SE"/>
        </w:rPr>
        <w:t xml:space="preserve">pacienti </w:t>
      </w:r>
      <w:r w:rsidRPr="00AD5D78">
        <w:rPr>
          <w:sz w:val="22"/>
          <w:szCs w:val="22"/>
          <w:lang w:val="sv-SE"/>
        </w:rPr>
        <w:t>začať liečbu dennou dávkou 80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(2 tablety </w:t>
      </w:r>
      <w:r w:rsidR="00313E9C" w:rsidRPr="00AD5D78">
        <w:rPr>
          <w:sz w:val="22"/>
          <w:szCs w:val="22"/>
          <w:lang w:val="sv-SE"/>
        </w:rPr>
        <w:t>Ozzionu</w:t>
      </w:r>
      <w:r w:rsidRPr="00AD5D78">
        <w:rPr>
          <w:sz w:val="22"/>
          <w:szCs w:val="22"/>
          <w:lang w:val="sv-SE"/>
        </w:rPr>
        <w:t xml:space="preserve"> 40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>mg</w:t>
      </w:r>
      <w:r w:rsidRPr="00343696">
        <w:rPr>
          <w:sz w:val="22"/>
          <w:szCs w:val="22"/>
          <w:lang w:val="sv-SE"/>
        </w:rPr>
        <w:t>). Dávka sa potom m</w:t>
      </w:r>
      <w:r w:rsidRPr="00E55BD8">
        <w:rPr>
          <w:sz w:val="22"/>
          <w:szCs w:val="22"/>
          <w:lang w:val="sv-SE"/>
        </w:rPr>
        <w:t xml:space="preserve">ôže upravovať smerom </w:t>
      </w:r>
      <w:r w:rsidR="006116DB">
        <w:rPr>
          <w:sz w:val="22"/>
          <w:szCs w:val="22"/>
          <w:lang w:val="sv-SE"/>
        </w:rPr>
        <w:t>na</w:t>
      </w:r>
      <w:r w:rsidRPr="00E55BD8">
        <w:rPr>
          <w:sz w:val="22"/>
          <w:szCs w:val="22"/>
          <w:lang w:val="sv-SE"/>
        </w:rPr>
        <w:t xml:space="preserve">hor alebo </w:t>
      </w:r>
      <w:r w:rsidR="006116DB" w:rsidRPr="006116DB">
        <w:rPr>
          <w:sz w:val="22"/>
          <w:szCs w:val="22"/>
          <w:lang w:val="sv-SE"/>
        </w:rPr>
        <w:t>na</w:t>
      </w:r>
      <w:r w:rsidRPr="006116DB">
        <w:rPr>
          <w:sz w:val="22"/>
          <w:szCs w:val="22"/>
          <w:lang w:val="sv-SE"/>
        </w:rPr>
        <w:t xml:space="preserve">dol </w:t>
      </w:r>
      <w:r w:rsidR="006116DB" w:rsidRPr="00271DB3">
        <w:rPr>
          <w:sz w:val="22"/>
          <w:szCs w:val="22"/>
          <w:lang w:val="sk-SK"/>
        </w:rPr>
        <w:t>podľa potreby,</w:t>
      </w:r>
      <w:r w:rsidR="006116DB" w:rsidRPr="00E55BD8">
        <w:rPr>
          <w:sz w:val="22"/>
          <w:szCs w:val="22"/>
          <w:lang w:val="sv-SE"/>
        </w:rPr>
        <w:t xml:space="preserve"> </w:t>
      </w:r>
      <w:r w:rsidRPr="00E55BD8">
        <w:rPr>
          <w:sz w:val="22"/>
          <w:szCs w:val="22"/>
          <w:lang w:val="sv-SE"/>
        </w:rPr>
        <w:t xml:space="preserve">na základe merania hodnôt sekrécie žalúdočnej kyseliny. </w:t>
      </w:r>
      <w:r w:rsidR="006116DB">
        <w:rPr>
          <w:sz w:val="22"/>
          <w:szCs w:val="22"/>
          <w:lang w:val="sv-SE"/>
        </w:rPr>
        <w:t>Pri</w:t>
      </w:r>
      <w:r w:rsidRPr="00E55BD8">
        <w:rPr>
          <w:sz w:val="22"/>
          <w:szCs w:val="22"/>
          <w:lang w:val="sv-SE"/>
        </w:rPr>
        <w:t> dávk</w:t>
      </w:r>
      <w:r w:rsidR="006116DB">
        <w:rPr>
          <w:sz w:val="22"/>
          <w:szCs w:val="22"/>
          <w:lang w:val="sv-SE"/>
        </w:rPr>
        <w:t>ach</w:t>
      </w:r>
      <w:r w:rsidRPr="00E55BD8">
        <w:rPr>
          <w:sz w:val="22"/>
          <w:szCs w:val="22"/>
          <w:lang w:val="sv-SE"/>
        </w:rPr>
        <w:t xml:space="preserve"> vyšších ako 80</w:t>
      </w:r>
      <w:r w:rsidR="006116DB">
        <w:rPr>
          <w:sz w:val="22"/>
          <w:szCs w:val="22"/>
          <w:lang w:val="sv-SE"/>
        </w:rPr>
        <w:t> </w:t>
      </w:r>
      <w:r w:rsidRPr="00E55BD8">
        <w:rPr>
          <w:sz w:val="22"/>
          <w:szCs w:val="22"/>
          <w:lang w:val="sv-SE"/>
        </w:rPr>
        <w:t xml:space="preserve">mg denne sa má dávka rozdeliť </w:t>
      </w:r>
      <w:r w:rsidR="00BF59E0" w:rsidRPr="00AD5D78">
        <w:rPr>
          <w:sz w:val="22"/>
          <w:szCs w:val="22"/>
          <w:lang w:val="sv-SE"/>
        </w:rPr>
        <w:t xml:space="preserve">a </w:t>
      </w:r>
      <w:r w:rsidR="006116DB">
        <w:rPr>
          <w:sz w:val="22"/>
          <w:szCs w:val="22"/>
          <w:lang w:val="sv-SE"/>
        </w:rPr>
        <w:t>užívať</w:t>
      </w:r>
      <w:r w:rsidR="00BF59E0" w:rsidRPr="00AD5D78">
        <w:rPr>
          <w:sz w:val="22"/>
          <w:szCs w:val="22"/>
          <w:lang w:val="sv-SE"/>
        </w:rPr>
        <w:t xml:space="preserve"> dvakrát denne</w:t>
      </w:r>
      <w:r w:rsidRPr="00AD5D78">
        <w:rPr>
          <w:sz w:val="22"/>
          <w:szCs w:val="22"/>
          <w:lang w:val="sv-SE"/>
        </w:rPr>
        <w:t>. Dočasné zvýšenie dávky nad 160</w:t>
      </w:r>
      <w:r w:rsidR="006116DB">
        <w:rPr>
          <w:sz w:val="22"/>
          <w:szCs w:val="22"/>
          <w:lang w:val="sv-SE"/>
        </w:rPr>
        <w:t> </w:t>
      </w:r>
      <w:r w:rsidRPr="00AD5D78">
        <w:rPr>
          <w:sz w:val="22"/>
          <w:szCs w:val="22"/>
          <w:lang w:val="sv-SE"/>
        </w:rPr>
        <w:t xml:space="preserve">mg pantoprazolu je možné, ale táto dávka sa nemá </w:t>
      </w:r>
      <w:r w:rsidR="006116DB">
        <w:rPr>
          <w:sz w:val="22"/>
          <w:szCs w:val="22"/>
          <w:lang w:val="sv-SE"/>
        </w:rPr>
        <w:t>podá</w:t>
      </w:r>
      <w:r w:rsidR="006116DB" w:rsidRPr="00AD5D78">
        <w:rPr>
          <w:sz w:val="22"/>
          <w:szCs w:val="22"/>
          <w:lang w:val="sv-SE"/>
        </w:rPr>
        <w:t xml:space="preserve">vať </w:t>
      </w:r>
      <w:r w:rsidRPr="00AD5D78">
        <w:rPr>
          <w:sz w:val="22"/>
          <w:szCs w:val="22"/>
          <w:lang w:val="sv-SE"/>
        </w:rPr>
        <w:t>dlhšie, ako je potrebné pre adekvátnu kontrolu kyseliny.</w:t>
      </w:r>
    </w:p>
    <w:p w:rsidR="006116DB" w:rsidRDefault="006116DB" w:rsidP="00AD5D78">
      <w:pPr>
        <w:pStyle w:val="Zarkazkladnhotextu"/>
        <w:rPr>
          <w:sz w:val="22"/>
          <w:szCs w:val="22"/>
          <w:lang w:val="sv-SE"/>
        </w:rPr>
      </w:pPr>
    </w:p>
    <w:p w:rsidR="004E2B43" w:rsidRPr="00AD5D78" w:rsidRDefault="006116DB" w:rsidP="00AD5D78">
      <w:pPr>
        <w:pStyle w:val="Zarkazkladnhotextu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Dĺžka</w:t>
      </w:r>
      <w:r w:rsidR="004E2B43" w:rsidRPr="00AD5D78">
        <w:rPr>
          <w:sz w:val="22"/>
          <w:szCs w:val="22"/>
          <w:lang w:val="sv-SE"/>
        </w:rPr>
        <w:t xml:space="preserve"> liečby Zollingerovho-Ellisonovho syndrómu a iných patologických </w:t>
      </w:r>
      <w:r>
        <w:rPr>
          <w:sz w:val="22"/>
          <w:szCs w:val="22"/>
          <w:lang w:val="sv-SE"/>
        </w:rPr>
        <w:t>stavov s </w:t>
      </w:r>
      <w:r w:rsidR="00BF59E0" w:rsidRPr="00AD5D78">
        <w:rPr>
          <w:sz w:val="22"/>
          <w:szCs w:val="22"/>
          <w:lang w:val="sv-SE"/>
        </w:rPr>
        <w:t>hypersekr</w:t>
      </w:r>
      <w:r>
        <w:rPr>
          <w:sz w:val="22"/>
          <w:szCs w:val="22"/>
          <w:lang w:val="sv-SE"/>
        </w:rPr>
        <w:t>éciou</w:t>
      </w:r>
      <w:r w:rsidR="004E2B43" w:rsidRPr="00AD5D78">
        <w:rPr>
          <w:sz w:val="22"/>
          <w:szCs w:val="22"/>
          <w:lang w:val="sv-SE"/>
        </w:rPr>
        <w:t xml:space="preserve"> nie je limitovan</w:t>
      </w:r>
      <w:r>
        <w:rPr>
          <w:sz w:val="22"/>
          <w:szCs w:val="22"/>
          <w:lang w:val="sv-SE"/>
        </w:rPr>
        <w:t>á</w:t>
      </w:r>
      <w:r w:rsidR="004E2B43" w:rsidRPr="00AD5D78">
        <w:rPr>
          <w:sz w:val="22"/>
          <w:szCs w:val="22"/>
          <w:lang w:val="sv-SE"/>
        </w:rPr>
        <w:t>, má sa prispôsobiť klinickým potrebám.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u w:val="single"/>
          <w:lang w:val="sv-SE"/>
        </w:rPr>
      </w:pPr>
    </w:p>
    <w:p w:rsidR="00C76FBF" w:rsidRPr="00AD5D78" w:rsidRDefault="00C76FBF" w:rsidP="00AD5D78">
      <w:pPr>
        <w:pStyle w:val="Default"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>Pacienti s poruchou funkcie pečene</w:t>
      </w:r>
    </w:p>
    <w:p w:rsidR="004E2B43" w:rsidRPr="00343696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U pacientov so závažným poškodením pečene </w:t>
      </w:r>
      <w:r w:rsidR="0038634E" w:rsidRPr="00AD5D78">
        <w:rPr>
          <w:sz w:val="22"/>
          <w:szCs w:val="22"/>
          <w:lang w:val="sk-SK"/>
        </w:rPr>
        <w:t xml:space="preserve">nemá </w:t>
      </w:r>
      <w:r w:rsidRPr="00AD5D78">
        <w:rPr>
          <w:sz w:val="22"/>
          <w:szCs w:val="22"/>
          <w:lang w:val="sk-SK"/>
        </w:rPr>
        <w:t>denná dávka prekročiť 20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 pantoprazolu (1 tableta 20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pantoprazolu). </w:t>
      </w:r>
      <w:r w:rsidR="00313E9C" w:rsidRPr="00AD5D78">
        <w:rPr>
          <w:sz w:val="22"/>
          <w:szCs w:val="22"/>
          <w:lang w:val="sk-SK"/>
        </w:rPr>
        <w:t>Ozzion</w:t>
      </w:r>
      <w:r w:rsidRPr="00AD5D78">
        <w:rPr>
          <w:sz w:val="22"/>
          <w:szCs w:val="22"/>
          <w:lang w:val="sk-SK"/>
        </w:rPr>
        <w:t xml:space="preserve"> 40</w:t>
      </w:r>
      <w:r w:rsidR="0038634E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 xml:space="preserve">sa nesmie použiť na kombinovanú liečbu na eradikáciu </w:t>
      </w:r>
      <w:r w:rsidRPr="00E55BD8">
        <w:rPr>
          <w:i/>
          <w:iCs/>
          <w:color w:val="auto"/>
          <w:sz w:val="22"/>
          <w:szCs w:val="22"/>
          <w:lang w:val="sk-SK"/>
        </w:rPr>
        <w:t>H. pylori</w:t>
      </w:r>
      <w:r w:rsidRPr="00E55BD8">
        <w:rPr>
          <w:sz w:val="22"/>
          <w:szCs w:val="22"/>
          <w:lang w:val="sk-SK"/>
        </w:rPr>
        <w:t xml:space="preserve"> u pacientov so </w:t>
      </w:r>
      <w:r w:rsidR="001911FF" w:rsidRPr="00E55BD8">
        <w:rPr>
          <w:sz w:val="22"/>
          <w:szCs w:val="22"/>
          <w:lang w:val="sk-SK"/>
        </w:rPr>
        <w:t xml:space="preserve">stredne závažnou </w:t>
      </w:r>
      <w:r w:rsidRPr="00E55BD8">
        <w:rPr>
          <w:sz w:val="22"/>
          <w:szCs w:val="22"/>
          <w:lang w:val="sk-SK"/>
        </w:rPr>
        <w:t xml:space="preserve">až závažnou poruchou funkcie pečene, pretože v súčasnosti nie sú dostupné údaje o účinnosti a bezpečnosti </w:t>
      </w:r>
      <w:r w:rsidR="00313E9C" w:rsidRPr="00AD5D78">
        <w:rPr>
          <w:sz w:val="22"/>
          <w:szCs w:val="22"/>
          <w:lang w:val="sk-SK"/>
        </w:rPr>
        <w:t>Ozzionu</w:t>
      </w:r>
      <w:r w:rsidR="001911FF" w:rsidRPr="00AD5D78">
        <w:rPr>
          <w:sz w:val="22"/>
          <w:szCs w:val="22"/>
          <w:lang w:val="sk-SK"/>
        </w:rPr>
        <w:t xml:space="preserve"> 40</w:t>
      </w:r>
      <w:r w:rsidR="0038634E">
        <w:rPr>
          <w:sz w:val="22"/>
          <w:szCs w:val="22"/>
          <w:lang w:val="sk-SK"/>
        </w:rPr>
        <w:t> </w:t>
      </w:r>
      <w:r w:rsidR="001911FF" w:rsidRPr="00AD5D78">
        <w:rPr>
          <w:sz w:val="22"/>
          <w:szCs w:val="22"/>
          <w:lang w:val="sk-SK"/>
        </w:rPr>
        <w:t xml:space="preserve">mg </w:t>
      </w:r>
      <w:r w:rsidRPr="00343696">
        <w:rPr>
          <w:sz w:val="22"/>
          <w:szCs w:val="22"/>
          <w:lang w:val="sk-SK"/>
        </w:rPr>
        <w:t>v kombinovanej liečbe u týchto pacientov (pozri časť 4.4).</w:t>
      </w:r>
    </w:p>
    <w:p w:rsidR="004E2B43" w:rsidRPr="00E55BD8" w:rsidRDefault="004E2B43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C76FBF" w:rsidP="00271DB3">
      <w:pPr>
        <w:pStyle w:val="Default"/>
        <w:keepNext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 xml:space="preserve">Pacienti s poruchou </w:t>
      </w:r>
      <w:r w:rsidR="004E2B43" w:rsidRPr="00AD5D78">
        <w:rPr>
          <w:i/>
          <w:sz w:val="22"/>
          <w:szCs w:val="22"/>
          <w:lang w:val="sk-SK"/>
        </w:rPr>
        <w:t>funkcie obličiek</w:t>
      </w:r>
    </w:p>
    <w:p w:rsidR="004E2B43" w:rsidRPr="00343696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U pacientov s po</w:t>
      </w:r>
      <w:r w:rsidR="0006126E" w:rsidRPr="00AD5D78">
        <w:rPr>
          <w:rFonts w:ascii="Times New Roman" w:hAnsi="Times New Roman"/>
          <w:lang w:val="pl-PL"/>
        </w:rPr>
        <w:t>rušenou</w:t>
      </w:r>
      <w:r w:rsidRPr="00AD5D78">
        <w:rPr>
          <w:rFonts w:ascii="Times New Roman" w:hAnsi="Times New Roman"/>
          <w:lang w:val="pl-PL"/>
        </w:rPr>
        <w:t xml:space="preserve"> funkciou obličiek nie je potrebné upravovať dávku. </w:t>
      </w:r>
      <w:r w:rsidR="00313E9C" w:rsidRPr="00AD5D78">
        <w:rPr>
          <w:rFonts w:ascii="Times New Roman" w:hAnsi="Times New Roman"/>
          <w:lang w:val="pl-PL"/>
        </w:rPr>
        <w:t>Ozzion</w:t>
      </w:r>
      <w:r w:rsidRPr="00AD5D78">
        <w:rPr>
          <w:rFonts w:ascii="Times New Roman" w:hAnsi="Times New Roman"/>
          <w:lang w:val="pl-PL"/>
        </w:rPr>
        <w:t xml:space="preserve"> 40</w:t>
      </w:r>
      <w:r w:rsidR="0038634E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mg </w:t>
      </w:r>
      <w:r w:rsidRPr="00343696">
        <w:rPr>
          <w:rFonts w:ascii="Times New Roman" w:hAnsi="Times New Roman"/>
          <w:lang w:val="pl-PL"/>
        </w:rPr>
        <w:t xml:space="preserve">sa nesmie použiť na kombinovanú liečbu na eradikáciu </w:t>
      </w:r>
      <w:r w:rsidRPr="00E55BD8">
        <w:rPr>
          <w:rFonts w:ascii="Times New Roman" w:hAnsi="Times New Roman"/>
          <w:i/>
          <w:iCs/>
          <w:lang w:val="pl-PL"/>
        </w:rPr>
        <w:t xml:space="preserve">H. pylori </w:t>
      </w:r>
      <w:r w:rsidRPr="00E55BD8">
        <w:rPr>
          <w:rFonts w:ascii="Times New Roman" w:hAnsi="Times New Roman"/>
          <w:lang w:val="pl-PL"/>
        </w:rPr>
        <w:t xml:space="preserve">u pacientov </w:t>
      </w:r>
      <w:r w:rsidR="001911FF" w:rsidRPr="00E55BD8">
        <w:rPr>
          <w:rFonts w:ascii="Times New Roman" w:hAnsi="Times New Roman"/>
          <w:lang w:val="pl-PL"/>
        </w:rPr>
        <w:t>s</w:t>
      </w:r>
      <w:r w:rsidRPr="00E55BD8">
        <w:rPr>
          <w:rFonts w:ascii="Times New Roman" w:hAnsi="Times New Roman"/>
          <w:lang w:val="pl-PL"/>
        </w:rPr>
        <w:t xml:space="preserve"> poruchou funkcie obličiek, pretože v súčasnosti nie sú dostupné údaje o účinnosti a bezpečnosti </w:t>
      </w:r>
      <w:r w:rsidR="00313E9C" w:rsidRPr="00AD5D78">
        <w:rPr>
          <w:rFonts w:ascii="Times New Roman" w:hAnsi="Times New Roman"/>
          <w:lang w:val="sk-SK"/>
        </w:rPr>
        <w:t>Ozzionu</w:t>
      </w:r>
      <w:r w:rsidR="001911FF" w:rsidRPr="00AD5D78">
        <w:rPr>
          <w:rFonts w:ascii="Times New Roman" w:hAnsi="Times New Roman"/>
          <w:lang w:val="sk-SK"/>
        </w:rPr>
        <w:t xml:space="preserve"> 40</w:t>
      </w:r>
      <w:r w:rsidR="0038634E">
        <w:rPr>
          <w:rFonts w:ascii="Times New Roman" w:hAnsi="Times New Roman"/>
          <w:lang w:val="sk-SK"/>
        </w:rPr>
        <w:t> </w:t>
      </w:r>
      <w:r w:rsidR="001911FF" w:rsidRPr="00AD5D78">
        <w:rPr>
          <w:rFonts w:ascii="Times New Roman" w:hAnsi="Times New Roman"/>
          <w:lang w:val="sk-SK"/>
        </w:rPr>
        <w:t xml:space="preserve">mg </w:t>
      </w:r>
      <w:r w:rsidRPr="00343696">
        <w:rPr>
          <w:rFonts w:ascii="Times New Roman" w:hAnsi="Times New Roman"/>
          <w:lang w:val="pl-PL"/>
        </w:rPr>
        <w:t xml:space="preserve">v kombinovanej liečbe u týchto pacientov (pozri časť </w:t>
      </w:r>
      <w:r w:rsidR="00F6223B">
        <w:rPr>
          <w:rFonts w:ascii="Times New Roman" w:hAnsi="Times New Roman"/>
          <w:lang w:val="pl-PL"/>
        </w:rPr>
        <w:t>5.2</w:t>
      </w:r>
      <w:r w:rsidRPr="00343696">
        <w:rPr>
          <w:rFonts w:ascii="Times New Roman" w:hAnsi="Times New Roman"/>
          <w:lang w:val="pl-PL"/>
        </w:rPr>
        <w:t>).</w:t>
      </w:r>
    </w:p>
    <w:p w:rsidR="004E2B43" w:rsidRPr="00343696" w:rsidRDefault="004E2B43" w:rsidP="00AD5D78">
      <w:pPr>
        <w:pStyle w:val="Default"/>
        <w:rPr>
          <w:bCs/>
          <w:sz w:val="22"/>
          <w:szCs w:val="22"/>
          <w:lang w:val="sk-SK"/>
        </w:rPr>
      </w:pPr>
    </w:p>
    <w:p w:rsidR="004E2B43" w:rsidRPr="00E55BD8" w:rsidRDefault="004E2B43" w:rsidP="00AD5D78">
      <w:pPr>
        <w:pStyle w:val="Default"/>
        <w:rPr>
          <w:i/>
          <w:sz w:val="22"/>
          <w:szCs w:val="22"/>
          <w:lang w:val="sk-SK"/>
        </w:rPr>
      </w:pPr>
      <w:r w:rsidRPr="00E55BD8">
        <w:rPr>
          <w:i/>
          <w:sz w:val="22"/>
          <w:szCs w:val="22"/>
          <w:lang w:val="sk-SK"/>
        </w:rPr>
        <w:t>Starší pacienti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Úprava dávky u starších pacientov nie je potrebná</w:t>
      </w:r>
      <w:r w:rsidR="00F6223B">
        <w:rPr>
          <w:sz w:val="22"/>
          <w:szCs w:val="22"/>
          <w:lang w:val="sk-SK"/>
        </w:rPr>
        <w:t xml:space="preserve"> (pozri časť 5.2)</w:t>
      </w:r>
      <w:r w:rsidRPr="00AD5D78">
        <w:rPr>
          <w:sz w:val="22"/>
          <w:szCs w:val="22"/>
          <w:lang w:val="sk-SK"/>
        </w:rPr>
        <w:t>.</w:t>
      </w:r>
    </w:p>
    <w:p w:rsidR="00372136" w:rsidRDefault="00372136" w:rsidP="00AD5D78">
      <w:pPr>
        <w:pStyle w:val="Default"/>
        <w:rPr>
          <w:sz w:val="22"/>
          <w:szCs w:val="22"/>
          <w:lang w:val="sk-SK"/>
        </w:rPr>
      </w:pPr>
    </w:p>
    <w:p w:rsidR="00080A5B" w:rsidRPr="00AD5D78" w:rsidRDefault="00080A5B" w:rsidP="00080A5B">
      <w:pPr>
        <w:spacing w:after="0" w:line="240" w:lineRule="auto"/>
        <w:rPr>
          <w:rFonts w:ascii="Times New Roman" w:hAnsi="Times New Roman"/>
          <w:i/>
          <w:lang w:val="pl-PL"/>
        </w:rPr>
      </w:pPr>
      <w:r w:rsidRPr="00AE4876">
        <w:rPr>
          <w:rFonts w:ascii="Times New Roman" w:hAnsi="Times New Roman"/>
          <w:i/>
          <w:lang w:val="pl-PL"/>
        </w:rPr>
        <w:t>Pediatrická populácia</w:t>
      </w:r>
    </w:p>
    <w:p w:rsidR="00080A5B" w:rsidRPr="00AD5D78" w:rsidRDefault="00080A5B" w:rsidP="00080A5B">
      <w:pPr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Ozzion 40</w:t>
      </w:r>
      <w:r w:rsidR="0038634E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mg </w:t>
      </w:r>
      <w:r w:rsidRPr="00343696">
        <w:rPr>
          <w:rFonts w:ascii="Times New Roman" w:hAnsi="Times New Roman"/>
          <w:color w:val="000000"/>
          <w:lang w:val="sk-SK"/>
        </w:rPr>
        <w:t xml:space="preserve">sa neodporúča používať u detí mladších ako 12 rokov kvôli obmedzeným </w:t>
      </w:r>
      <w:r w:rsidRPr="00E55BD8">
        <w:rPr>
          <w:rFonts w:ascii="Times New Roman" w:hAnsi="Times New Roman"/>
          <w:lang w:val="sk-SK"/>
        </w:rPr>
        <w:t xml:space="preserve">údajom </w:t>
      </w:r>
      <w:r w:rsidRPr="00AD5D78">
        <w:rPr>
          <w:rFonts w:ascii="Times New Roman" w:hAnsi="Times New Roman"/>
          <w:lang w:val="sk-SK"/>
        </w:rPr>
        <w:t>o bezpečnosti a účinnosti pre túto vekovú skupinu</w:t>
      </w:r>
      <w:r>
        <w:rPr>
          <w:rFonts w:ascii="Times New Roman" w:hAnsi="Times New Roman"/>
          <w:lang w:val="sk-SK"/>
        </w:rPr>
        <w:t xml:space="preserve"> </w:t>
      </w:r>
      <w:r w:rsidRPr="00AE4876">
        <w:rPr>
          <w:rFonts w:ascii="Times New Roman" w:hAnsi="Times New Roman"/>
          <w:lang w:val="sk-SK"/>
        </w:rPr>
        <w:t>(pozri časť 5.2)</w:t>
      </w:r>
      <w:r w:rsidRPr="00AD5D78">
        <w:rPr>
          <w:rFonts w:ascii="Times New Roman" w:hAnsi="Times New Roman"/>
          <w:lang w:val="pl-PL"/>
        </w:rPr>
        <w:t>.</w:t>
      </w:r>
    </w:p>
    <w:p w:rsidR="00080A5B" w:rsidRPr="00AD5D78" w:rsidRDefault="00080A5B" w:rsidP="00AD5D78">
      <w:pPr>
        <w:pStyle w:val="Default"/>
        <w:rPr>
          <w:sz w:val="22"/>
          <w:szCs w:val="22"/>
          <w:lang w:val="sk-SK"/>
        </w:rPr>
      </w:pPr>
    </w:p>
    <w:p w:rsidR="00372136" w:rsidRPr="00AD5D78" w:rsidRDefault="00372136" w:rsidP="00271DB3">
      <w:pPr>
        <w:pStyle w:val="Default"/>
        <w:spacing w:after="120"/>
        <w:rPr>
          <w:sz w:val="22"/>
          <w:szCs w:val="22"/>
          <w:u w:val="single"/>
          <w:lang w:val="sk-SK"/>
        </w:rPr>
      </w:pPr>
      <w:r w:rsidRPr="00AD5D78">
        <w:rPr>
          <w:sz w:val="22"/>
          <w:szCs w:val="22"/>
          <w:u w:val="single"/>
          <w:lang w:val="sk-SK"/>
        </w:rPr>
        <w:t>Spôsob podávania</w:t>
      </w:r>
    </w:p>
    <w:p w:rsidR="00080A5B" w:rsidRDefault="00080A5B" w:rsidP="00AD5D7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Perorálne použitie</w:t>
      </w:r>
      <w:r w:rsidR="00C000EA">
        <w:rPr>
          <w:rFonts w:ascii="Times New Roman" w:hAnsi="Times New Roman"/>
          <w:lang w:val="sk-SK"/>
        </w:rPr>
        <w:t>.</w:t>
      </w:r>
    </w:p>
    <w:p w:rsidR="00372136" w:rsidRPr="00AD5D78" w:rsidRDefault="00372136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Tablety sa nesmú žuvať alebo drviť, majú sa prehltnúť celé a zapiť vodou 1 hodinu pred jedlom.</w:t>
      </w:r>
    </w:p>
    <w:p w:rsidR="004E2B43" w:rsidRPr="00343696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</w:p>
    <w:p w:rsidR="004E2B43" w:rsidRPr="00E55BD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E55BD8">
        <w:rPr>
          <w:rFonts w:ascii="Times New Roman" w:hAnsi="Times New Roman"/>
          <w:b/>
          <w:color w:val="000000"/>
          <w:lang w:val="sk-SK"/>
        </w:rPr>
        <w:t>4.3</w:t>
      </w:r>
      <w:r w:rsidRPr="00E55BD8">
        <w:rPr>
          <w:rFonts w:ascii="Times New Roman" w:hAnsi="Times New Roman"/>
          <w:b/>
          <w:color w:val="000000"/>
          <w:lang w:val="sk-SK"/>
        </w:rPr>
        <w:tab/>
        <w:t>Kontraindikácie</w:t>
      </w:r>
    </w:p>
    <w:p w:rsidR="00913A3C" w:rsidRPr="00AD5D78" w:rsidRDefault="00913A3C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Precitlivenosť na liečivo, substituované benzimidazoly, s</w:t>
      </w:r>
      <w:r w:rsidR="00662BB1" w:rsidRPr="00AD5D78">
        <w:rPr>
          <w:sz w:val="22"/>
          <w:szCs w:val="22"/>
          <w:lang w:val="sk-SK"/>
        </w:rPr>
        <w:t>ó</w:t>
      </w:r>
      <w:r w:rsidRPr="00AD5D78">
        <w:rPr>
          <w:sz w:val="22"/>
          <w:szCs w:val="22"/>
          <w:lang w:val="sk-SK"/>
        </w:rPr>
        <w:t>jový olej alebo na ktorúkoľvek z</w:t>
      </w:r>
      <w:r w:rsidR="0072722A">
        <w:rPr>
          <w:sz w:val="22"/>
          <w:szCs w:val="22"/>
          <w:lang w:val="sk-SK"/>
        </w:rPr>
        <w:t xml:space="preserve"> ďalších </w:t>
      </w:r>
      <w:r w:rsidRPr="00AD5D78">
        <w:rPr>
          <w:sz w:val="22"/>
          <w:szCs w:val="22"/>
          <w:lang w:val="sk-SK"/>
        </w:rPr>
        <w:t>pomocných látok</w:t>
      </w:r>
      <w:r w:rsidR="00161631" w:rsidRPr="00AD5D78">
        <w:rPr>
          <w:sz w:val="22"/>
          <w:szCs w:val="22"/>
          <w:lang w:val="sk-SK"/>
        </w:rPr>
        <w:t xml:space="preserve"> uvede</w:t>
      </w:r>
      <w:r w:rsidR="00463790" w:rsidRPr="00AD5D78">
        <w:rPr>
          <w:sz w:val="22"/>
          <w:szCs w:val="22"/>
          <w:lang w:val="sk-SK"/>
        </w:rPr>
        <w:t>ných v čast</w:t>
      </w:r>
      <w:r w:rsidR="00161631" w:rsidRPr="00AD5D78">
        <w:rPr>
          <w:sz w:val="22"/>
          <w:szCs w:val="22"/>
          <w:lang w:val="sk-SK"/>
        </w:rPr>
        <w:t>i</w:t>
      </w:r>
      <w:r w:rsidR="00463790" w:rsidRPr="00AD5D78">
        <w:rPr>
          <w:sz w:val="22"/>
          <w:szCs w:val="22"/>
          <w:lang w:val="sk-SK"/>
        </w:rPr>
        <w:t xml:space="preserve"> 6.1</w:t>
      </w:r>
      <w:r w:rsidR="006E1CF3">
        <w:rPr>
          <w:sz w:val="22"/>
          <w:szCs w:val="22"/>
          <w:lang w:val="sk-SK"/>
        </w:rPr>
        <w:t xml:space="preserve"> alebo</w:t>
      </w:r>
      <w:r w:rsidR="002C2614">
        <w:rPr>
          <w:sz w:val="22"/>
          <w:szCs w:val="22"/>
          <w:lang w:val="sk-SK"/>
        </w:rPr>
        <w:t xml:space="preserve"> </w:t>
      </w:r>
      <w:r w:rsidR="0038634E">
        <w:rPr>
          <w:sz w:val="22"/>
          <w:szCs w:val="22"/>
          <w:lang w:val="sk-SK"/>
        </w:rPr>
        <w:t xml:space="preserve">na </w:t>
      </w:r>
      <w:r w:rsidR="002C2614">
        <w:rPr>
          <w:sz w:val="22"/>
          <w:szCs w:val="22"/>
          <w:lang w:val="sk-SK"/>
        </w:rPr>
        <w:t>lieky používané v kombinovanej liečbe</w:t>
      </w:r>
      <w:r w:rsidRPr="002C2614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/>
          <w:iCs/>
          <w:lang w:val="pl-PL"/>
        </w:rPr>
      </w:pPr>
      <w:r w:rsidRPr="00AD5D78">
        <w:rPr>
          <w:rFonts w:ascii="Times New Roman" w:hAnsi="Times New Roman"/>
          <w:b/>
          <w:color w:val="000000"/>
          <w:lang w:val="sk-SK"/>
        </w:rPr>
        <w:t>4.4</w:t>
      </w:r>
      <w:r w:rsidRPr="00AD5D78">
        <w:rPr>
          <w:rFonts w:ascii="Times New Roman" w:hAnsi="Times New Roman"/>
          <w:b/>
          <w:color w:val="000000"/>
          <w:lang w:val="sk-SK"/>
        </w:rPr>
        <w:tab/>
        <w:t>Osobitné upozornenia a opatrenia pri používaní</w:t>
      </w:r>
      <w:r w:rsidRPr="00AD5D78">
        <w:rPr>
          <w:rFonts w:ascii="Times New Roman" w:hAnsi="Times New Roman"/>
          <w:b/>
          <w:iCs/>
          <w:lang w:val="pl-PL"/>
        </w:rPr>
        <w:t xml:space="preserve"> 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913A3C" w:rsidRPr="00271DB3" w:rsidRDefault="00913A3C" w:rsidP="00AD5D78">
      <w:pPr>
        <w:pStyle w:val="Default"/>
        <w:rPr>
          <w:sz w:val="22"/>
          <w:szCs w:val="22"/>
          <w:u w:val="single"/>
          <w:lang w:val="sk-SK"/>
        </w:rPr>
      </w:pPr>
      <w:r w:rsidRPr="00271DB3">
        <w:rPr>
          <w:sz w:val="22"/>
          <w:szCs w:val="22"/>
          <w:u w:val="single"/>
          <w:lang w:val="sk-SK"/>
        </w:rPr>
        <w:t>Poruchy funkcie pečene</w:t>
      </w:r>
    </w:p>
    <w:p w:rsidR="004E2B43" w:rsidRPr="00AD5D78" w:rsidRDefault="0038634E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U </w:t>
      </w:r>
      <w:r w:rsidRPr="00AD5D78">
        <w:rPr>
          <w:rFonts w:ascii="Times New Roman" w:hAnsi="Times New Roman"/>
          <w:bCs/>
          <w:lang w:val="sk-SK"/>
        </w:rPr>
        <w:t>p</w:t>
      </w:r>
      <w:r w:rsidR="004E2B43" w:rsidRPr="00AD5D78">
        <w:rPr>
          <w:rFonts w:ascii="Times New Roman" w:hAnsi="Times New Roman"/>
          <w:bCs/>
          <w:lang w:val="sk-SK"/>
        </w:rPr>
        <w:t>aciento</w:t>
      </w:r>
      <w:r>
        <w:rPr>
          <w:rFonts w:ascii="Times New Roman" w:hAnsi="Times New Roman"/>
          <w:bCs/>
          <w:lang w:val="sk-SK"/>
        </w:rPr>
        <w:t>v</w:t>
      </w:r>
      <w:r w:rsidR="004E2B43" w:rsidRPr="00AD5D78">
        <w:rPr>
          <w:rFonts w:ascii="Times New Roman" w:hAnsi="Times New Roman"/>
          <w:bCs/>
          <w:lang w:val="sk-SK"/>
        </w:rPr>
        <w:t xml:space="preserve"> so závažnou poruchou funkcie pečene sa majú počas liečby pantoprazolom pravidelne sledovať h</w:t>
      </w:r>
      <w:r>
        <w:rPr>
          <w:rFonts w:ascii="Times New Roman" w:hAnsi="Times New Roman"/>
          <w:bCs/>
          <w:lang w:val="sk-SK"/>
        </w:rPr>
        <w:t>ladiny</w:t>
      </w:r>
      <w:r w:rsidR="004E2B43" w:rsidRPr="00AD5D78">
        <w:rPr>
          <w:rFonts w:ascii="Times New Roman" w:hAnsi="Times New Roman"/>
          <w:bCs/>
          <w:lang w:val="sk-SK"/>
        </w:rPr>
        <w:t xml:space="preserve"> pečeňových enzýmov, najmä </w:t>
      </w:r>
      <w:r>
        <w:rPr>
          <w:rFonts w:ascii="Times New Roman" w:hAnsi="Times New Roman"/>
          <w:bCs/>
          <w:lang w:val="sk-SK"/>
        </w:rPr>
        <w:t>p</w:t>
      </w:r>
      <w:r w:rsidR="004E2B43" w:rsidRPr="00AD5D78">
        <w:rPr>
          <w:rFonts w:ascii="Times New Roman" w:hAnsi="Times New Roman"/>
          <w:bCs/>
          <w:lang w:val="sk-SK"/>
        </w:rPr>
        <w:t>o</w:t>
      </w:r>
      <w:r>
        <w:rPr>
          <w:rFonts w:ascii="Times New Roman" w:hAnsi="Times New Roman"/>
          <w:bCs/>
          <w:lang w:val="sk-SK"/>
        </w:rPr>
        <w:t>čas</w:t>
      </w:r>
      <w:r w:rsidR="004E2B43" w:rsidRPr="00AD5D78">
        <w:rPr>
          <w:rFonts w:ascii="Times New Roman" w:hAnsi="Times New Roman"/>
          <w:bCs/>
          <w:lang w:val="sk-SK"/>
        </w:rPr>
        <w:t> dlhodob</w:t>
      </w:r>
      <w:r>
        <w:rPr>
          <w:rFonts w:ascii="Times New Roman" w:hAnsi="Times New Roman"/>
          <w:bCs/>
          <w:lang w:val="sk-SK"/>
        </w:rPr>
        <w:t>ej</w:t>
      </w:r>
      <w:r w:rsidR="004E2B43" w:rsidRPr="00AD5D78">
        <w:rPr>
          <w:rFonts w:ascii="Times New Roman" w:hAnsi="Times New Roman"/>
          <w:bCs/>
          <w:lang w:val="sk-SK"/>
        </w:rPr>
        <w:t xml:space="preserve"> liečb</w:t>
      </w:r>
      <w:r>
        <w:rPr>
          <w:rFonts w:ascii="Times New Roman" w:hAnsi="Times New Roman"/>
          <w:bCs/>
          <w:lang w:val="sk-SK"/>
        </w:rPr>
        <w:t>y</w:t>
      </w:r>
      <w:r w:rsidR="004E2B43" w:rsidRPr="00AD5D78">
        <w:rPr>
          <w:rFonts w:ascii="Times New Roman" w:hAnsi="Times New Roman"/>
          <w:bCs/>
          <w:lang w:val="sk-SK"/>
        </w:rPr>
        <w:t>. V prípade zvýšenia h</w:t>
      </w:r>
      <w:r>
        <w:rPr>
          <w:rFonts w:ascii="Times New Roman" w:hAnsi="Times New Roman"/>
          <w:bCs/>
          <w:lang w:val="sk-SK"/>
        </w:rPr>
        <w:t>ladín</w:t>
      </w:r>
      <w:r w:rsidR="004E2B43" w:rsidRPr="00AD5D78">
        <w:rPr>
          <w:rFonts w:ascii="Times New Roman" w:hAnsi="Times New Roman"/>
          <w:bCs/>
          <w:lang w:val="sk-SK"/>
        </w:rPr>
        <w:t xml:space="preserve"> pečeňových enzýmov sa má liečba</w:t>
      </w:r>
      <w:r w:rsidR="004E2B43" w:rsidRPr="00AD5D78">
        <w:rPr>
          <w:rFonts w:ascii="Times New Roman" w:hAnsi="Times New Roman"/>
          <w:lang w:val="sk-SK"/>
        </w:rPr>
        <w:t xml:space="preserve"> prerušiť (pozri časť 4.2).</w:t>
      </w:r>
    </w:p>
    <w:p w:rsidR="004E2B43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F6223B" w:rsidRPr="00271DB3" w:rsidRDefault="00F6223B" w:rsidP="00F6223B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Kombinovaná liečba</w:t>
      </w:r>
    </w:p>
    <w:p w:rsidR="00F6223B" w:rsidRPr="00AD5D78" w:rsidRDefault="00F6223B" w:rsidP="00F6223B">
      <w:pPr>
        <w:pStyle w:val="EMEAEnBodyTex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Pri kombinovanej liečbe </w:t>
      </w:r>
      <w:r w:rsidR="0038634E">
        <w:rPr>
          <w:sz w:val="22"/>
          <w:szCs w:val="22"/>
          <w:lang w:val="sk-SK"/>
        </w:rPr>
        <w:t>je po</w:t>
      </w:r>
      <w:r w:rsidRPr="00AD5D78">
        <w:rPr>
          <w:sz w:val="22"/>
          <w:szCs w:val="22"/>
          <w:lang w:val="sk-SK"/>
        </w:rPr>
        <w:t>treb</w:t>
      </w:r>
      <w:r w:rsidR="0038634E">
        <w:rPr>
          <w:sz w:val="22"/>
          <w:szCs w:val="22"/>
          <w:lang w:val="sk-SK"/>
        </w:rPr>
        <w:t>né</w:t>
      </w:r>
      <w:r w:rsidRPr="00AD5D78">
        <w:rPr>
          <w:sz w:val="22"/>
          <w:szCs w:val="22"/>
          <w:lang w:val="sk-SK"/>
        </w:rPr>
        <w:t xml:space="preserve"> vziať do úvahy súhrny charakteristických vlastností použitých liekov.</w:t>
      </w:r>
    </w:p>
    <w:p w:rsidR="00F6223B" w:rsidRDefault="00F6223B" w:rsidP="00AD5D78">
      <w:pPr>
        <w:spacing w:after="0" w:line="240" w:lineRule="auto"/>
        <w:rPr>
          <w:rFonts w:ascii="Times New Roman" w:hAnsi="Times New Roman"/>
          <w:iCs/>
          <w:lang w:val="sk-SK"/>
        </w:rPr>
      </w:pPr>
    </w:p>
    <w:p w:rsidR="00F6223B" w:rsidRPr="00271DB3" w:rsidRDefault="00F6223B" w:rsidP="00F6223B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Žalúdočná malignita</w:t>
      </w:r>
    </w:p>
    <w:p w:rsidR="004E2B43" w:rsidRPr="00AD5D78" w:rsidRDefault="00F6223B" w:rsidP="00271DB3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Symptomatická odpoveď organizmu na pantoprazol môže maskovať príznaky žalúdočnej malignity a môže oddialiť stanovenie diagnózy</w:t>
      </w:r>
      <w:r>
        <w:rPr>
          <w:rFonts w:ascii="Times New Roman" w:hAnsi="Times New Roman"/>
          <w:lang w:val="sk-SK"/>
        </w:rPr>
        <w:t>.</w:t>
      </w:r>
      <w:r w:rsidR="0038634E">
        <w:rPr>
          <w:rFonts w:ascii="Times New Roman" w:hAnsi="Times New Roman"/>
          <w:lang w:val="sk-SK"/>
        </w:rPr>
        <w:t xml:space="preserve"> </w:t>
      </w:r>
      <w:r w:rsidR="004E2B43" w:rsidRPr="00AD5D78">
        <w:rPr>
          <w:rFonts w:ascii="Times New Roman" w:hAnsi="Times New Roman"/>
          <w:lang w:val="sk-SK"/>
        </w:rPr>
        <w:t xml:space="preserve">V prípade </w:t>
      </w:r>
      <w:r w:rsidR="0038634E">
        <w:rPr>
          <w:rFonts w:ascii="Times New Roman" w:hAnsi="Times New Roman"/>
          <w:lang w:val="sk-SK"/>
        </w:rPr>
        <w:t xml:space="preserve">výskytu </w:t>
      </w:r>
      <w:r w:rsidR="004E2B43" w:rsidRPr="00AD5D78">
        <w:rPr>
          <w:rFonts w:ascii="Times New Roman" w:hAnsi="Times New Roman"/>
          <w:lang w:val="sk-SK"/>
        </w:rPr>
        <w:t xml:space="preserve">akýchkoľvek varovných príznakov (napr. významného neúmyselného poklesu </w:t>
      </w:r>
      <w:r w:rsidR="0038634E">
        <w:rPr>
          <w:rFonts w:ascii="Times New Roman" w:hAnsi="Times New Roman"/>
          <w:lang w:val="sk-SK"/>
        </w:rPr>
        <w:t xml:space="preserve">telesnej </w:t>
      </w:r>
      <w:r w:rsidR="004E2B43" w:rsidRPr="00AD5D78">
        <w:rPr>
          <w:rFonts w:ascii="Times New Roman" w:hAnsi="Times New Roman"/>
          <w:lang w:val="sk-SK"/>
        </w:rPr>
        <w:t>hmotnosti, opakujúceho sa vracania, dysfágie, hematemézy</w:t>
      </w:r>
      <w:r w:rsidR="00B737F0" w:rsidRPr="00AD5D78">
        <w:rPr>
          <w:rFonts w:ascii="Times New Roman" w:hAnsi="Times New Roman"/>
          <w:lang w:val="sk-SK"/>
        </w:rPr>
        <w:t>, anémie</w:t>
      </w:r>
      <w:r w:rsidR="004E2B43" w:rsidRPr="00AD5D78">
        <w:rPr>
          <w:rFonts w:ascii="Times New Roman" w:hAnsi="Times New Roman"/>
          <w:lang w:val="sk-SK"/>
        </w:rPr>
        <w:t xml:space="preserve"> alebo melény) a</w:t>
      </w:r>
      <w:r w:rsidR="0038634E">
        <w:rPr>
          <w:rFonts w:ascii="Times New Roman" w:hAnsi="Times New Roman"/>
          <w:lang w:val="sk-SK"/>
        </w:rPr>
        <w:t> </w:t>
      </w:r>
      <w:r w:rsidR="004E2B43" w:rsidRPr="00AD5D78">
        <w:rPr>
          <w:rFonts w:ascii="Times New Roman" w:hAnsi="Times New Roman"/>
          <w:lang w:val="sk-SK"/>
        </w:rPr>
        <w:t xml:space="preserve">podozrenia na žalúdočné vredy alebo ich diagnostiky je </w:t>
      </w:r>
      <w:r w:rsidR="0038634E">
        <w:rPr>
          <w:rFonts w:ascii="Times New Roman" w:hAnsi="Times New Roman"/>
          <w:lang w:val="sk-SK"/>
        </w:rPr>
        <w:t>po</w:t>
      </w:r>
      <w:r w:rsidR="004E2B43" w:rsidRPr="00AD5D78">
        <w:rPr>
          <w:rFonts w:ascii="Times New Roman" w:hAnsi="Times New Roman"/>
          <w:lang w:val="sk-SK"/>
        </w:rPr>
        <w:t>treb</w:t>
      </w:r>
      <w:r w:rsidR="0038634E">
        <w:rPr>
          <w:rFonts w:ascii="Times New Roman" w:hAnsi="Times New Roman"/>
          <w:lang w:val="sk-SK"/>
        </w:rPr>
        <w:t>né</w:t>
      </w:r>
      <w:r w:rsidR="004E2B43" w:rsidRPr="00AD5D78">
        <w:rPr>
          <w:rFonts w:ascii="Times New Roman" w:hAnsi="Times New Roman"/>
          <w:lang w:val="sk-SK"/>
        </w:rPr>
        <w:t xml:space="preserve"> vylúčiť malignitu.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Ak príznaky pretrvávajú aj napriek adekvátnej liečbe, je potrebné zvážiť ďalšie vyšetrenie.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 xml:space="preserve">Súbežné podávanie </w:t>
      </w:r>
      <w:r w:rsidR="00257DFE" w:rsidRPr="00271DB3">
        <w:rPr>
          <w:rFonts w:ascii="Times New Roman" w:hAnsi="Times New Roman"/>
          <w:iCs/>
          <w:u w:val="single"/>
          <w:lang w:val="sk-SK"/>
        </w:rPr>
        <w:t>inhibítorov HIV proteáz</w:t>
      </w:r>
      <w:r w:rsidR="0038634E">
        <w:rPr>
          <w:rFonts w:ascii="Times New Roman" w:hAnsi="Times New Roman"/>
          <w:iCs/>
          <w:u w:val="single"/>
          <w:lang w:val="sk-SK"/>
        </w:rPr>
        <w:t>y</w:t>
      </w:r>
    </w:p>
    <w:p w:rsidR="00257DFE" w:rsidRDefault="00257DFE" w:rsidP="00AD5D78">
      <w:pPr>
        <w:spacing w:after="0" w:line="240" w:lineRule="auto"/>
        <w:rPr>
          <w:rFonts w:ascii="Times New Roman" w:hAnsi="Times New Roman"/>
          <w:iCs/>
          <w:lang w:val="sk-SK"/>
        </w:rPr>
      </w:pPr>
      <w:r w:rsidRPr="00AE4876">
        <w:rPr>
          <w:rFonts w:ascii="Times New Roman" w:hAnsi="Times New Roman"/>
          <w:lang w:val="sk-SK"/>
        </w:rPr>
        <w:t>Neodporúča sa súbežné podávanie pantoprazolu s inhibítormi HIV proteáz</w:t>
      </w:r>
      <w:r w:rsidR="0038634E">
        <w:rPr>
          <w:rFonts w:ascii="Times New Roman" w:hAnsi="Times New Roman"/>
          <w:lang w:val="sk-SK"/>
        </w:rPr>
        <w:t>y</w:t>
      </w:r>
      <w:r w:rsidRPr="00AE4876">
        <w:rPr>
          <w:rFonts w:ascii="Times New Roman" w:hAnsi="Times New Roman"/>
          <w:lang w:val="sk-SK"/>
        </w:rPr>
        <w:t xml:space="preserve">, ktorých absorpcia je závislá </w:t>
      </w:r>
      <w:r w:rsidR="0038634E">
        <w:rPr>
          <w:rFonts w:ascii="Times New Roman" w:hAnsi="Times New Roman"/>
          <w:lang w:val="sk-SK"/>
        </w:rPr>
        <w:t>od</w:t>
      </w:r>
      <w:r w:rsidRPr="00AE4876">
        <w:rPr>
          <w:rFonts w:ascii="Times New Roman" w:hAnsi="Times New Roman"/>
          <w:lang w:val="sk-SK"/>
        </w:rPr>
        <w:t xml:space="preserve"> kysl</w:t>
      </w:r>
      <w:r w:rsidR="0038634E">
        <w:rPr>
          <w:rFonts w:ascii="Times New Roman" w:hAnsi="Times New Roman"/>
          <w:lang w:val="sk-SK"/>
        </w:rPr>
        <w:t>ého</w:t>
      </w:r>
      <w:r w:rsidRPr="00AE4876">
        <w:rPr>
          <w:rFonts w:ascii="Times New Roman" w:hAnsi="Times New Roman"/>
          <w:lang w:val="sk-SK"/>
        </w:rPr>
        <w:t xml:space="preserve"> pH </w:t>
      </w:r>
      <w:r w:rsidR="0038634E">
        <w:rPr>
          <w:rFonts w:ascii="Times New Roman" w:hAnsi="Times New Roman"/>
          <w:lang w:val="sk-SK"/>
        </w:rPr>
        <w:t xml:space="preserve">v </w:t>
      </w:r>
      <w:r w:rsidRPr="00AE4876">
        <w:rPr>
          <w:rFonts w:ascii="Times New Roman" w:hAnsi="Times New Roman"/>
          <w:lang w:val="sk-SK"/>
        </w:rPr>
        <w:t>žalúdk</w:t>
      </w:r>
      <w:r w:rsidR="0038634E">
        <w:rPr>
          <w:rFonts w:ascii="Times New Roman" w:hAnsi="Times New Roman"/>
          <w:lang w:val="sk-SK"/>
        </w:rPr>
        <w:t>u</w:t>
      </w:r>
      <w:r w:rsidRPr="00AE4876">
        <w:rPr>
          <w:rFonts w:ascii="Times New Roman" w:hAnsi="Times New Roman"/>
          <w:lang w:val="sk-SK"/>
        </w:rPr>
        <w:t xml:space="preserve">, ako je atazanavir, kvôli </w:t>
      </w:r>
      <w:r w:rsidR="0038634E">
        <w:rPr>
          <w:rFonts w:ascii="Times New Roman" w:hAnsi="Times New Roman"/>
          <w:lang w:val="sk-SK"/>
        </w:rPr>
        <w:t xml:space="preserve">ich </w:t>
      </w:r>
      <w:r w:rsidRPr="00AE4876">
        <w:rPr>
          <w:rFonts w:ascii="Times New Roman" w:hAnsi="Times New Roman"/>
          <w:lang w:val="sk-SK"/>
        </w:rPr>
        <w:t>výrazne zníženej biologickej dostupnosti (pozri časť 4.5)</w:t>
      </w:r>
      <w:r>
        <w:rPr>
          <w:rFonts w:ascii="Times New Roman" w:hAnsi="Times New Roman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Vplyv na absor</w:t>
      </w:r>
      <w:r w:rsidR="006757D1" w:rsidRPr="0007202C">
        <w:rPr>
          <w:rFonts w:ascii="Times New Roman" w:hAnsi="Times New Roman"/>
          <w:iCs/>
          <w:u w:val="single"/>
          <w:lang w:val="sk-SK"/>
        </w:rPr>
        <w:t>p</w:t>
      </w:r>
      <w:r w:rsidRPr="00271DB3">
        <w:rPr>
          <w:rFonts w:ascii="Times New Roman" w:hAnsi="Times New Roman"/>
          <w:iCs/>
          <w:u w:val="single"/>
          <w:lang w:val="sk-SK"/>
        </w:rPr>
        <w:t>ciu vitamínu B</w:t>
      </w:r>
      <w:r w:rsidRPr="00271DB3">
        <w:rPr>
          <w:rFonts w:ascii="Times New Roman" w:hAnsi="Times New Roman"/>
          <w:iCs/>
          <w:u w:val="single"/>
          <w:vertAlign w:val="subscript"/>
          <w:lang w:val="sk-SK"/>
        </w:rPr>
        <w:t>12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sk-SK"/>
        </w:rPr>
      </w:pPr>
      <w:r w:rsidRPr="00AD5D78">
        <w:rPr>
          <w:rFonts w:ascii="Times New Roman" w:hAnsi="Times New Roman"/>
          <w:iCs/>
          <w:lang w:val="sk-SK"/>
        </w:rPr>
        <w:t xml:space="preserve">Pantoprazol, rovnako ako </w:t>
      </w:r>
      <w:r w:rsidRPr="00FF4225">
        <w:rPr>
          <w:rFonts w:ascii="Times New Roman" w:hAnsi="Times New Roman"/>
          <w:iCs/>
          <w:lang w:val="sk-SK"/>
        </w:rPr>
        <w:t xml:space="preserve">všetky </w:t>
      </w:r>
      <w:r w:rsidR="00F4622A" w:rsidRPr="00271DB3">
        <w:rPr>
          <w:rFonts w:ascii="Times New Roman" w:hAnsi="Times New Roman"/>
        </w:rPr>
        <w:t>lieky blokujúce žalúdočnú kyselinu</w:t>
      </w:r>
      <w:r w:rsidRPr="001F3864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môže u pacientov s</w:t>
      </w:r>
      <w:r w:rsidR="00F4622A">
        <w:rPr>
          <w:rFonts w:ascii="Times New Roman" w:hAnsi="Times New Roman"/>
          <w:iCs/>
          <w:lang w:val="sk-SK"/>
        </w:rPr>
        <w:t>o</w:t>
      </w:r>
      <w:r w:rsidRPr="00AD5D78">
        <w:rPr>
          <w:rFonts w:ascii="Times New Roman" w:hAnsi="Times New Roman"/>
          <w:iCs/>
          <w:lang w:val="sk-SK"/>
        </w:rPr>
        <w:t xml:space="preserve"> Zollingerovým-Ellisonovým syndrómom a inými patologickými </w:t>
      </w:r>
      <w:r w:rsidR="00F4622A">
        <w:rPr>
          <w:rFonts w:ascii="Times New Roman" w:hAnsi="Times New Roman"/>
          <w:iCs/>
          <w:lang w:val="sk-SK"/>
        </w:rPr>
        <w:t>stavmi s </w:t>
      </w:r>
      <w:r w:rsidR="001911FF" w:rsidRPr="00AD5D78">
        <w:rPr>
          <w:rFonts w:ascii="Times New Roman" w:hAnsi="Times New Roman"/>
          <w:iCs/>
          <w:lang w:val="sk-SK"/>
        </w:rPr>
        <w:t>hypersekr</w:t>
      </w:r>
      <w:r w:rsidR="00F4622A">
        <w:rPr>
          <w:rFonts w:ascii="Times New Roman" w:hAnsi="Times New Roman"/>
          <w:iCs/>
          <w:lang w:val="sk-SK"/>
        </w:rPr>
        <w:t>éciou</w:t>
      </w:r>
      <w:r w:rsidR="001911FF" w:rsidRPr="00AD5D78">
        <w:rPr>
          <w:rFonts w:ascii="Times New Roman" w:hAnsi="Times New Roman"/>
          <w:iCs/>
          <w:lang w:val="sk-SK"/>
        </w:rPr>
        <w:t xml:space="preserve"> </w:t>
      </w:r>
      <w:r w:rsidRPr="00AD5D78">
        <w:rPr>
          <w:rFonts w:ascii="Times New Roman" w:hAnsi="Times New Roman"/>
          <w:iCs/>
          <w:lang w:val="sk-SK"/>
        </w:rPr>
        <w:t>vyžadujúcimi dlhodobú liečbu</w:t>
      </w:r>
      <w:r w:rsidR="00F4622A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znížiť absorpciu vitamínu B</w:t>
      </w:r>
      <w:r w:rsidRPr="00AD5D78">
        <w:rPr>
          <w:rFonts w:ascii="Times New Roman" w:hAnsi="Times New Roman"/>
          <w:iCs/>
          <w:vertAlign w:val="subscript"/>
          <w:lang w:val="sk-SK"/>
        </w:rPr>
        <w:t xml:space="preserve">12 </w:t>
      </w:r>
      <w:r w:rsidRPr="00AD5D78">
        <w:rPr>
          <w:rFonts w:ascii="Times New Roman" w:hAnsi="Times New Roman"/>
          <w:iCs/>
          <w:lang w:val="sk-SK"/>
        </w:rPr>
        <w:t>(kyanokobalamín</w:t>
      </w:r>
      <w:r w:rsidR="00F4622A">
        <w:rPr>
          <w:rFonts w:ascii="Times New Roman" w:hAnsi="Times New Roman"/>
          <w:iCs/>
          <w:lang w:val="sk-SK"/>
        </w:rPr>
        <w:t>u</w:t>
      </w:r>
      <w:r w:rsidRPr="00AD5D78">
        <w:rPr>
          <w:rFonts w:ascii="Times New Roman" w:hAnsi="Times New Roman"/>
          <w:iCs/>
          <w:lang w:val="sk-SK"/>
        </w:rPr>
        <w:t xml:space="preserve">) </w:t>
      </w:r>
      <w:r w:rsidR="00F4622A">
        <w:rPr>
          <w:rFonts w:ascii="Times New Roman" w:hAnsi="Times New Roman"/>
          <w:iCs/>
          <w:lang w:val="sk-SK"/>
        </w:rPr>
        <w:t>z dôvodu</w:t>
      </w:r>
      <w:r w:rsidRPr="00AD5D78">
        <w:rPr>
          <w:rFonts w:ascii="Times New Roman" w:hAnsi="Times New Roman"/>
          <w:iCs/>
          <w:lang w:val="sk-SK"/>
        </w:rPr>
        <w:t xml:space="preserve"> hypo- alebo achlórhydri</w:t>
      </w:r>
      <w:r w:rsidR="00F4622A">
        <w:rPr>
          <w:rFonts w:ascii="Times New Roman" w:hAnsi="Times New Roman"/>
          <w:iCs/>
          <w:lang w:val="sk-SK"/>
        </w:rPr>
        <w:t>e</w:t>
      </w:r>
      <w:r w:rsidRPr="00AD5D78">
        <w:rPr>
          <w:rFonts w:ascii="Times New Roman" w:hAnsi="Times New Roman"/>
          <w:iCs/>
          <w:lang w:val="sk-SK"/>
        </w:rPr>
        <w:t xml:space="preserve">. </w:t>
      </w:r>
      <w:r w:rsidR="00F4622A">
        <w:rPr>
          <w:rFonts w:ascii="Times New Roman" w:hAnsi="Times New Roman"/>
          <w:iCs/>
          <w:lang w:val="sk-SK"/>
        </w:rPr>
        <w:t>To je p</w:t>
      </w:r>
      <w:r w:rsidRPr="00AD5D78">
        <w:rPr>
          <w:rFonts w:ascii="Times New Roman" w:hAnsi="Times New Roman"/>
          <w:iCs/>
          <w:lang w:val="sk-SK"/>
        </w:rPr>
        <w:t xml:space="preserve">otrebné vziať do úvahy u pacientov </w:t>
      </w:r>
      <w:r w:rsidR="00F4622A" w:rsidRPr="00A45302">
        <w:rPr>
          <w:rFonts w:ascii="Times New Roman" w:hAnsi="Times New Roman"/>
          <w:iCs/>
          <w:lang w:val="sk-SK"/>
        </w:rPr>
        <w:t xml:space="preserve">so zníženými </w:t>
      </w:r>
      <w:r w:rsidR="00F4622A">
        <w:rPr>
          <w:rFonts w:ascii="Times New Roman" w:hAnsi="Times New Roman"/>
          <w:iCs/>
          <w:lang w:val="sk-SK"/>
        </w:rPr>
        <w:t>zásobami</w:t>
      </w:r>
      <w:r w:rsidR="00F4622A" w:rsidRPr="00A45302">
        <w:rPr>
          <w:rFonts w:ascii="Times New Roman" w:hAnsi="Times New Roman"/>
          <w:iCs/>
          <w:lang w:val="sk-SK"/>
        </w:rPr>
        <w:t xml:space="preserve"> vitamínu B</w:t>
      </w:r>
      <w:r w:rsidR="00F4622A" w:rsidRPr="00A45302">
        <w:rPr>
          <w:rFonts w:ascii="Times New Roman" w:hAnsi="Times New Roman"/>
          <w:iCs/>
          <w:vertAlign w:val="subscript"/>
          <w:lang w:val="sk-SK"/>
        </w:rPr>
        <w:t>12</w:t>
      </w:r>
      <w:r w:rsidR="00F4622A" w:rsidRPr="00A45302">
        <w:rPr>
          <w:rFonts w:ascii="Times New Roman" w:hAnsi="Times New Roman"/>
          <w:iCs/>
          <w:lang w:val="sk-SK"/>
        </w:rPr>
        <w:t xml:space="preserve"> </w:t>
      </w:r>
      <w:r w:rsidR="00F4622A">
        <w:rPr>
          <w:rFonts w:ascii="Times New Roman" w:hAnsi="Times New Roman"/>
          <w:iCs/>
          <w:lang w:val="sk-SK"/>
        </w:rPr>
        <w:t xml:space="preserve">v tele </w:t>
      </w:r>
      <w:r w:rsidRPr="00AD5D78">
        <w:rPr>
          <w:rFonts w:ascii="Times New Roman" w:hAnsi="Times New Roman"/>
          <w:iCs/>
          <w:lang w:val="sk-SK"/>
        </w:rPr>
        <w:t>alebo s rizikovými faktormi zn</w:t>
      </w:r>
      <w:r w:rsidR="00F4622A">
        <w:rPr>
          <w:rFonts w:ascii="Times New Roman" w:hAnsi="Times New Roman"/>
          <w:iCs/>
          <w:lang w:val="sk-SK"/>
        </w:rPr>
        <w:t>í</w:t>
      </w:r>
      <w:r w:rsidRPr="00AD5D78">
        <w:rPr>
          <w:rFonts w:ascii="Times New Roman" w:hAnsi="Times New Roman"/>
          <w:iCs/>
          <w:lang w:val="sk-SK"/>
        </w:rPr>
        <w:t>ž</w:t>
      </w:r>
      <w:r w:rsidR="00F4622A">
        <w:rPr>
          <w:rFonts w:ascii="Times New Roman" w:hAnsi="Times New Roman"/>
          <w:iCs/>
          <w:lang w:val="sk-SK"/>
        </w:rPr>
        <w:t>enej</w:t>
      </w:r>
      <w:r w:rsidRPr="00AD5D78">
        <w:rPr>
          <w:rFonts w:ascii="Times New Roman" w:hAnsi="Times New Roman"/>
          <w:iCs/>
          <w:lang w:val="sk-SK"/>
        </w:rPr>
        <w:t xml:space="preserve"> absorpci</w:t>
      </w:r>
      <w:r w:rsidR="00F4622A">
        <w:rPr>
          <w:rFonts w:ascii="Times New Roman" w:hAnsi="Times New Roman"/>
          <w:iCs/>
          <w:lang w:val="sk-SK"/>
        </w:rPr>
        <w:t>e</w:t>
      </w:r>
      <w:r w:rsidRPr="00AD5D78">
        <w:rPr>
          <w:rFonts w:ascii="Times New Roman" w:hAnsi="Times New Roman"/>
          <w:iCs/>
          <w:lang w:val="sk-SK"/>
        </w:rPr>
        <w:t xml:space="preserve"> vitamínu B</w:t>
      </w:r>
      <w:r w:rsidRPr="00AD5D78">
        <w:rPr>
          <w:rFonts w:ascii="Times New Roman" w:hAnsi="Times New Roman"/>
          <w:iCs/>
          <w:vertAlign w:val="subscript"/>
          <w:lang w:val="sk-SK"/>
        </w:rPr>
        <w:t>12</w:t>
      </w:r>
      <w:r w:rsidRPr="00AD5D78">
        <w:rPr>
          <w:rFonts w:ascii="Times New Roman" w:hAnsi="Times New Roman"/>
          <w:iCs/>
          <w:lang w:val="sk-SK"/>
        </w:rPr>
        <w:t xml:space="preserve"> počas dlhodobej liečby</w:t>
      </w:r>
      <w:r w:rsidR="00F4622A">
        <w:rPr>
          <w:rFonts w:ascii="Times New Roman" w:hAnsi="Times New Roman"/>
          <w:iCs/>
          <w:lang w:val="sk-SK"/>
        </w:rPr>
        <w:t>,</w:t>
      </w:r>
      <w:r w:rsidRPr="00AD5D78">
        <w:rPr>
          <w:rFonts w:ascii="Times New Roman" w:hAnsi="Times New Roman"/>
          <w:iCs/>
          <w:lang w:val="sk-SK"/>
        </w:rPr>
        <w:t xml:space="preserve"> alebo ak sa pozorujú príslušné klinické príznaky.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271DB3">
      <w:pPr>
        <w:keepNext/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Dlhodobá liečba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Počas dlhodobej liečby, najmä po prekročení 1 roka liečby majú byť pacienti </w:t>
      </w:r>
      <w:r w:rsidR="00B737F0" w:rsidRPr="00AD5D78">
        <w:rPr>
          <w:sz w:val="22"/>
          <w:szCs w:val="22"/>
          <w:lang w:val="sk-SK"/>
        </w:rPr>
        <w:t>pravidelne sledovaní</w:t>
      </w:r>
      <w:r w:rsidRPr="00AD5D78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Gastrointestinálne infekcie spôsobené baktériami</w:t>
      </w:r>
    </w:p>
    <w:p w:rsidR="00401252" w:rsidRPr="00FF4225" w:rsidRDefault="00401252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Liečba </w:t>
      </w:r>
      <w:r w:rsidR="000D5690" w:rsidRPr="00AD5D78">
        <w:rPr>
          <w:sz w:val="22"/>
          <w:szCs w:val="22"/>
          <w:lang w:val="sk-SK"/>
        </w:rPr>
        <w:t>40</w:t>
      </w:r>
      <w:r w:rsidR="00F4622A">
        <w:rPr>
          <w:sz w:val="22"/>
          <w:szCs w:val="22"/>
          <w:lang w:val="sk-SK"/>
        </w:rPr>
        <w:t> </w:t>
      </w:r>
      <w:r w:rsidR="000D5690" w:rsidRPr="00AD5D78">
        <w:rPr>
          <w:sz w:val="22"/>
          <w:szCs w:val="22"/>
          <w:lang w:val="sk-SK"/>
        </w:rPr>
        <w:t>mg</w:t>
      </w:r>
      <w:r w:rsidRPr="00AD5D78">
        <w:rPr>
          <w:sz w:val="22"/>
          <w:szCs w:val="22"/>
          <w:lang w:val="sk-SK"/>
        </w:rPr>
        <w:t xml:space="preserve"> </w:t>
      </w:r>
      <w:r w:rsidR="0072722A">
        <w:rPr>
          <w:sz w:val="22"/>
          <w:szCs w:val="22"/>
          <w:lang w:val="sk-SK"/>
        </w:rPr>
        <w:t>pantoprazol</w:t>
      </w:r>
      <w:r w:rsidR="00F4622A">
        <w:rPr>
          <w:sz w:val="22"/>
          <w:szCs w:val="22"/>
          <w:lang w:val="sk-SK"/>
        </w:rPr>
        <w:t>om</w:t>
      </w:r>
      <w:r w:rsidR="0072722A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 xml:space="preserve">môže viesť k miernemu zvýšeniu rizika gastrointestinálnych infekcií spôsobených baktériami, ako </w:t>
      </w:r>
      <w:r w:rsidRPr="00AD5D78">
        <w:rPr>
          <w:i/>
          <w:sz w:val="22"/>
          <w:szCs w:val="22"/>
          <w:lang w:val="sk-SK"/>
        </w:rPr>
        <w:t>Salmonella</w:t>
      </w:r>
      <w:r w:rsidR="00257DFE">
        <w:rPr>
          <w:i/>
          <w:sz w:val="22"/>
          <w:szCs w:val="22"/>
          <w:lang w:val="sk-SK"/>
        </w:rPr>
        <w:t>a</w:t>
      </w:r>
      <w:r w:rsidR="00F4622A">
        <w:rPr>
          <w:sz w:val="22"/>
          <w:szCs w:val="22"/>
          <w:lang w:val="sk-SK"/>
        </w:rPr>
        <w:t>,</w:t>
      </w:r>
      <w:r w:rsidR="0062682C">
        <w:rPr>
          <w:sz w:val="22"/>
          <w:szCs w:val="22"/>
          <w:lang w:val="sk-SK"/>
        </w:rPr>
        <w:t> </w:t>
      </w:r>
      <w:r w:rsidRPr="00AD5D78">
        <w:rPr>
          <w:i/>
          <w:sz w:val="22"/>
          <w:szCs w:val="22"/>
          <w:lang w:val="sk-SK"/>
        </w:rPr>
        <w:t>Campylobacter</w:t>
      </w:r>
      <w:r w:rsidR="0062682C">
        <w:rPr>
          <w:i/>
          <w:sz w:val="22"/>
          <w:szCs w:val="22"/>
          <w:lang w:val="sk-SK"/>
        </w:rPr>
        <w:t xml:space="preserve"> </w:t>
      </w:r>
      <w:r w:rsidR="00257DFE" w:rsidRPr="00271DB3">
        <w:rPr>
          <w:sz w:val="22"/>
          <w:szCs w:val="22"/>
          <w:lang w:val="sk-SK"/>
        </w:rPr>
        <w:t>alebo</w:t>
      </w:r>
      <w:r w:rsidR="0062682C" w:rsidRPr="00271DB3">
        <w:rPr>
          <w:sz w:val="22"/>
          <w:szCs w:val="22"/>
          <w:lang w:val="sk-SK"/>
        </w:rPr>
        <w:t xml:space="preserve"> </w:t>
      </w:r>
      <w:r w:rsidR="0062682C" w:rsidRPr="00271DB3">
        <w:rPr>
          <w:i/>
          <w:iCs/>
          <w:sz w:val="22"/>
          <w:szCs w:val="22"/>
          <w:lang w:val="sk-SK"/>
        </w:rPr>
        <w:t>C. difficile</w:t>
      </w:r>
      <w:r w:rsidRPr="00FF4225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pStyle w:val="Default"/>
        <w:rPr>
          <w:iCs/>
          <w:sz w:val="22"/>
          <w:szCs w:val="22"/>
          <w:lang w:val="sk-SK"/>
        </w:rPr>
      </w:pPr>
    </w:p>
    <w:p w:rsidR="000D5690" w:rsidRPr="00271DB3" w:rsidRDefault="00463790" w:rsidP="00AD5D78">
      <w:pPr>
        <w:pStyle w:val="Pta"/>
        <w:spacing w:after="0" w:line="240" w:lineRule="auto"/>
        <w:rPr>
          <w:rFonts w:ascii="Times New Roman" w:hAnsi="Times New Roman"/>
          <w:iCs/>
          <w:u w:val="single"/>
          <w:lang w:val="sk-SK"/>
        </w:rPr>
      </w:pPr>
      <w:r w:rsidRPr="00271DB3">
        <w:rPr>
          <w:rFonts w:ascii="Times New Roman" w:hAnsi="Times New Roman"/>
          <w:iCs/>
          <w:u w:val="single"/>
          <w:lang w:val="sk-SK"/>
        </w:rPr>
        <w:t>Hypomagneziémia</w:t>
      </w:r>
    </w:p>
    <w:p w:rsidR="00257DFE" w:rsidRDefault="00463790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U pacientov liečených inhibítormi protónovej pumpy</w:t>
      </w:r>
      <w:r w:rsidR="00F4622A">
        <w:rPr>
          <w:rFonts w:ascii="Times New Roman" w:hAnsi="Times New Roman"/>
          <w:lang w:val="sk-SK"/>
        </w:rPr>
        <w:t xml:space="preserve"> </w:t>
      </w:r>
      <w:r w:rsidR="00F4622A" w:rsidRPr="00A2665C">
        <w:rPr>
          <w:rFonts w:ascii="Times New Roman" w:hAnsi="Times New Roman"/>
          <w:lang w:val="sk-SK"/>
        </w:rPr>
        <w:t>(</w:t>
      </w:r>
      <w:r w:rsidR="00F4622A" w:rsidRPr="006B2646">
        <w:rPr>
          <w:rFonts w:ascii="Times New Roman" w:eastAsia="SimSun" w:hAnsi="Times New Roman"/>
          <w:lang w:val="sk-SK"/>
        </w:rPr>
        <w:t xml:space="preserve">proton pump inhibitors, </w:t>
      </w:r>
      <w:r w:rsidR="00F4622A" w:rsidRPr="00A2665C">
        <w:rPr>
          <w:rFonts w:ascii="Times New Roman" w:hAnsi="Times New Roman"/>
          <w:lang w:val="sk-SK"/>
        </w:rPr>
        <w:t>PPI)</w:t>
      </w:r>
      <w:r w:rsidRPr="00AD5D78">
        <w:rPr>
          <w:rFonts w:ascii="Times New Roman" w:hAnsi="Times New Roman"/>
          <w:color w:val="000000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je </w:t>
      </w:r>
      <w:r w:rsidR="00657140" w:rsidRPr="00AD5D78">
        <w:rPr>
          <w:rFonts w:ascii="Times New Roman" w:hAnsi="Times New Roman"/>
          <w:lang w:val="sk-SK"/>
        </w:rPr>
        <w:t>panto</w:t>
      </w:r>
      <w:r w:rsidRPr="00AD5D78">
        <w:rPr>
          <w:rFonts w:ascii="Times New Roman" w:hAnsi="Times New Roman"/>
          <w:lang w:val="sk-SK"/>
        </w:rPr>
        <w:t>prazol</w:t>
      </w:r>
      <w:r w:rsidRPr="00AD5D78">
        <w:rPr>
          <w:rFonts w:ascii="Times New Roman" w:hAnsi="Times New Roman"/>
          <w:color w:val="000000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</w:t>
      </w:r>
      <w:r w:rsidR="005D726C" w:rsidRPr="006B2646">
        <w:rPr>
          <w:rFonts w:ascii="Times New Roman" w:hAnsi="Times New Roman"/>
          <w:lang w:val="sk-SK"/>
        </w:rPr>
        <w:t xml:space="preserve">počas </w:t>
      </w:r>
      <w:r w:rsidR="005D726C" w:rsidRPr="0062412D">
        <w:rPr>
          <w:rFonts w:ascii="Times New Roman" w:hAnsi="Times New Roman"/>
          <w:lang w:val="sk-SK"/>
        </w:rPr>
        <w:t xml:space="preserve">najmenej </w:t>
      </w:r>
      <w:r w:rsidR="005D726C" w:rsidRPr="006B2646">
        <w:rPr>
          <w:rFonts w:ascii="Times New Roman" w:hAnsi="Times New Roman"/>
          <w:lang w:val="sk-SK"/>
        </w:rPr>
        <w:t>troch mesiacov a vo väčšine prípadov jeden rok</w:t>
      </w:r>
      <w:r w:rsidR="005D726C">
        <w:rPr>
          <w:rFonts w:ascii="Times New Roman" w:hAnsi="Times New Roman"/>
          <w:lang w:val="sk-SK"/>
        </w:rPr>
        <w:t>,</w:t>
      </w:r>
      <w:r w:rsidR="005D726C" w:rsidRPr="00AD5D78">
        <w:rPr>
          <w:rFonts w:ascii="Times New Roman" w:hAnsi="Times New Roman"/>
          <w:lang w:val="sk-SK"/>
        </w:rPr>
        <w:t xml:space="preserve"> </w:t>
      </w:r>
      <w:r w:rsidR="00BA2166" w:rsidRPr="00AD5D78">
        <w:rPr>
          <w:rFonts w:ascii="Times New Roman" w:hAnsi="Times New Roman"/>
          <w:lang w:val="sk-SK"/>
        </w:rPr>
        <w:t>boli hlásené prípady ťažkej hypomagneziémie</w:t>
      </w:r>
      <w:r w:rsidRPr="00AD5D78">
        <w:rPr>
          <w:rFonts w:ascii="Times New Roman" w:hAnsi="Times New Roman"/>
          <w:lang w:val="sk-SK"/>
        </w:rPr>
        <w:t xml:space="preserve">. Môžu sa </w:t>
      </w:r>
      <w:r w:rsidR="005D726C">
        <w:rPr>
          <w:rFonts w:ascii="Times New Roman" w:hAnsi="Times New Roman"/>
          <w:lang w:val="sk-SK"/>
        </w:rPr>
        <w:t>vyskytnú</w:t>
      </w:r>
      <w:r w:rsidR="005D726C" w:rsidRPr="00A2665C">
        <w:rPr>
          <w:rFonts w:ascii="Times New Roman" w:hAnsi="Times New Roman"/>
          <w:lang w:val="sk-SK"/>
        </w:rPr>
        <w:t>ť</w:t>
      </w:r>
      <w:r w:rsidRPr="00AD5D78">
        <w:rPr>
          <w:rFonts w:ascii="Times New Roman" w:hAnsi="Times New Roman"/>
          <w:lang w:val="sk-SK"/>
        </w:rPr>
        <w:t xml:space="preserve"> závažné prejavy hypomagneziémie</w:t>
      </w:r>
      <w:r w:rsidR="00662BB1" w:rsidRPr="00AD5D78">
        <w:rPr>
          <w:rFonts w:ascii="Times New Roman" w:hAnsi="Times New Roman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je</w:t>
      </w:r>
      <w:r w:rsidR="00E55BD8">
        <w:rPr>
          <w:rFonts w:ascii="Times New Roman" w:hAnsi="Times New Roman"/>
          <w:lang w:val="sk-SK"/>
        </w:rPr>
        <w:t xml:space="preserve"> únava</w:t>
      </w:r>
      <w:r w:rsidRPr="00AD5D78">
        <w:rPr>
          <w:rFonts w:ascii="Times New Roman" w:hAnsi="Times New Roman"/>
          <w:lang w:val="sk-SK"/>
        </w:rPr>
        <w:t>, tet</w:t>
      </w:r>
      <w:r w:rsidR="005D726C">
        <w:rPr>
          <w:rFonts w:ascii="Times New Roman" w:hAnsi="Times New Roman"/>
          <w:lang w:val="sk-SK"/>
        </w:rPr>
        <w:t>á</w:t>
      </w:r>
      <w:r w:rsidRPr="00AD5D78">
        <w:rPr>
          <w:rFonts w:ascii="Times New Roman" w:hAnsi="Times New Roman"/>
          <w:lang w:val="sk-SK"/>
        </w:rPr>
        <w:t xml:space="preserve">nia, delírium, kŕče, závraty a komorové arytmie, môžu </w:t>
      </w:r>
      <w:r w:rsidR="005D726C">
        <w:rPr>
          <w:rFonts w:ascii="Times New Roman" w:hAnsi="Times New Roman"/>
          <w:lang w:val="sk-SK"/>
        </w:rPr>
        <w:t>však</w:t>
      </w:r>
      <w:r w:rsidRPr="00AD5D78">
        <w:rPr>
          <w:rFonts w:ascii="Times New Roman" w:hAnsi="Times New Roman"/>
          <w:lang w:val="sk-SK"/>
        </w:rPr>
        <w:t xml:space="preserve"> začať nenápadne a byť prehliadnuté. U väčšiny postihnutých pacientov sa hypomagneziémia zlepšila po doplnení horčíka a ukončení liečby PPI.</w:t>
      </w:r>
    </w:p>
    <w:p w:rsidR="00463790" w:rsidRDefault="005D726C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U</w:t>
      </w:r>
      <w:r w:rsidR="00463790" w:rsidRPr="00AD5D78">
        <w:rPr>
          <w:rFonts w:ascii="Times New Roman" w:hAnsi="Times New Roman"/>
          <w:color w:val="000000"/>
          <w:lang w:val="sk-SK"/>
        </w:rPr>
        <w:t> </w:t>
      </w:r>
      <w:r w:rsidR="00463790" w:rsidRPr="00AD5D78">
        <w:rPr>
          <w:rFonts w:ascii="Times New Roman" w:hAnsi="Times New Roman"/>
          <w:lang w:val="sk-SK"/>
        </w:rPr>
        <w:t>pacientov</w:t>
      </w:r>
      <w:r w:rsidR="00463790" w:rsidRPr="00AD5D78">
        <w:rPr>
          <w:rFonts w:ascii="Times New Roman" w:hAnsi="Times New Roman"/>
          <w:color w:val="000000"/>
          <w:lang w:val="sk-SK"/>
        </w:rPr>
        <w:t>, u ktorých sa očakáva dlhodobá liečba</w:t>
      </w:r>
      <w:r w:rsidR="00463790" w:rsidRPr="00AD5D78">
        <w:rPr>
          <w:rFonts w:ascii="Times New Roman" w:hAnsi="Times New Roman"/>
          <w:lang w:val="sk-SK"/>
        </w:rPr>
        <w:t xml:space="preserve"> alebo </w:t>
      </w:r>
      <w:r>
        <w:rPr>
          <w:rFonts w:ascii="Times New Roman" w:hAnsi="Times New Roman"/>
          <w:lang w:val="sk-SK"/>
        </w:rPr>
        <w:t xml:space="preserve">ktorí </w:t>
      </w:r>
      <w:r w:rsidR="00463790" w:rsidRPr="00AD5D78">
        <w:rPr>
          <w:rFonts w:ascii="Times New Roman" w:hAnsi="Times New Roman"/>
          <w:lang w:val="sk-SK"/>
        </w:rPr>
        <w:t>užívajú PPI s digoxínom alebo liekmi, ktoré môžu spôsobiť hypomagneziémiu (napr. diuretiká)</w:t>
      </w:r>
      <w:r>
        <w:rPr>
          <w:rFonts w:ascii="Times New Roman" w:hAnsi="Times New Roman"/>
          <w:lang w:val="sk-SK"/>
        </w:rPr>
        <w:t>, majú</w:t>
      </w:r>
      <w:r w:rsidRPr="005D726C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zdravotnícky pracovníci z</w:t>
      </w:r>
      <w:r w:rsidRPr="00AD5D78">
        <w:rPr>
          <w:rFonts w:ascii="Times New Roman" w:hAnsi="Times New Roman"/>
          <w:lang w:val="sk-SK"/>
        </w:rPr>
        <w:t>vážiť meranie hladín horčíka pred začiatkom liečby PPI a pravidelne počas liečby</w:t>
      </w:r>
      <w:r>
        <w:rPr>
          <w:rFonts w:ascii="Times New Roman" w:hAnsi="Times New Roman"/>
          <w:lang w:val="sk-SK"/>
        </w:rPr>
        <w:t>.</w:t>
      </w:r>
    </w:p>
    <w:p w:rsidR="00130961" w:rsidRDefault="00130961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257DFE" w:rsidRPr="00271DB3" w:rsidRDefault="005D726C" w:rsidP="00257DFE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FF4225">
        <w:rPr>
          <w:rFonts w:ascii="Times New Roman" w:hAnsi="Times New Roman"/>
          <w:u w:val="single"/>
          <w:lang w:val="sk-SK"/>
        </w:rPr>
        <w:t>Zlomeniny</w:t>
      </w:r>
      <w:r w:rsidR="00257DFE" w:rsidRPr="00271DB3">
        <w:rPr>
          <w:rFonts w:ascii="Times New Roman" w:hAnsi="Times New Roman"/>
          <w:u w:val="single"/>
          <w:lang w:val="sk-SK"/>
        </w:rPr>
        <w:t xml:space="preserve"> kost</w:t>
      </w:r>
      <w:r w:rsidRPr="00271DB3">
        <w:rPr>
          <w:rFonts w:ascii="Times New Roman" w:hAnsi="Times New Roman"/>
          <w:u w:val="single"/>
          <w:lang w:val="sk-SK"/>
        </w:rPr>
        <w:t>í</w:t>
      </w:r>
    </w:p>
    <w:p w:rsidR="00257DFE" w:rsidRPr="00343696" w:rsidRDefault="00257DFE" w:rsidP="00257DFE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 xml:space="preserve">Inhibítory protónovej pumpy, </w:t>
      </w:r>
      <w:r w:rsidR="005D726C">
        <w:rPr>
          <w:rFonts w:ascii="Times New Roman" w:hAnsi="Times New Roman"/>
          <w:lang w:val="sk-SK"/>
        </w:rPr>
        <w:t>najmä</w:t>
      </w:r>
      <w:r w:rsidRPr="00AD5D78">
        <w:rPr>
          <w:rFonts w:ascii="Times New Roman" w:hAnsi="Times New Roman"/>
          <w:lang w:val="sk-SK"/>
        </w:rPr>
        <w:t xml:space="preserve"> ak s</w:t>
      </w:r>
      <w:r w:rsidR="005D726C">
        <w:rPr>
          <w:rFonts w:ascii="Times New Roman" w:hAnsi="Times New Roman"/>
          <w:lang w:val="sk-SK"/>
        </w:rPr>
        <w:t>a</w:t>
      </w:r>
      <w:r w:rsidRPr="00AD5D78">
        <w:rPr>
          <w:rFonts w:ascii="Times New Roman" w:hAnsi="Times New Roman"/>
          <w:lang w:val="sk-SK"/>
        </w:rPr>
        <w:t xml:space="preserve"> užíva</w:t>
      </w:r>
      <w:r w:rsidR="005D726C">
        <w:rPr>
          <w:rFonts w:ascii="Times New Roman" w:hAnsi="Times New Roman"/>
          <w:lang w:val="sk-SK"/>
        </w:rPr>
        <w:t>jú</w:t>
      </w:r>
      <w:r w:rsidRPr="00AD5D78">
        <w:rPr>
          <w:rFonts w:ascii="Times New Roman" w:hAnsi="Times New Roman"/>
          <w:lang w:val="sk-SK"/>
        </w:rPr>
        <w:t xml:space="preserve"> vo vysokých dávkach a dlh</w:t>
      </w:r>
      <w:r w:rsidR="005D726C">
        <w:rPr>
          <w:rFonts w:ascii="Times New Roman" w:hAnsi="Times New Roman"/>
          <w:lang w:val="sk-SK"/>
        </w:rPr>
        <w:t>odobo</w:t>
      </w:r>
      <w:r w:rsidRPr="00AD5D78">
        <w:rPr>
          <w:rFonts w:ascii="Times New Roman" w:hAnsi="Times New Roman"/>
          <w:lang w:val="sk-SK"/>
        </w:rPr>
        <w:t xml:space="preserve"> (&gt;</w:t>
      </w:r>
      <w:r w:rsidR="005D726C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1 rok), môžu mierne zvýšiť riziko </w:t>
      </w:r>
      <w:r w:rsidR="005D726C" w:rsidRPr="006B2646">
        <w:rPr>
          <w:rFonts w:ascii="Times New Roman" w:hAnsi="Times New Roman"/>
          <w:lang w:val="sk-SK"/>
        </w:rPr>
        <w:t>zlomeniny</w:t>
      </w:r>
      <w:r w:rsidRPr="00AD5D78">
        <w:rPr>
          <w:rFonts w:ascii="Times New Roman" w:hAnsi="Times New Roman"/>
          <w:lang w:val="sk-SK"/>
        </w:rPr>
        <w:t xml:space="preserve"> </w:t>
      </w:r>
      <w:r w:rsidRPr="00AD5D78">
        <w:rPr>
          <w:rFonts w:ascii="Times New Roman" w:hAnsi="Times New Roman"/>
          <w:color w:val="000000"/>
          <w:lang w:val="sk-SK"/>
        </w:rPr>
        <w:t xml:space="preserve">bedrovej </w:t>
      </w:r>
      <w:r w:rsidR="005D726C">
        <w:rPr>
          <w:rFonts w:ascii="Times New Roman" w:hAnsi="Times New Roman"/>
          <w:color w:val="000000"/>
          <w:lang w:val="sk-SK"/>
        </w:rPr>
        <w:t>kosti</w:t>
      </w:r>
      <w:r w:rsidRPr="00AD5D78">
        <w:rPr>
          <w:rFonts w:ascii="Times New Roman" w:hAnsi="Times New Roman"/>
          <w:lang w:val="sk-SK"/>
        </w:rPr>
        <w:t>, zápästia a chrbtice, pre</w:t>
      </w:r>
      <w:r w:rsidR="00FF4225">
        <w:rPr>
          <w:rFonts w:ascii="Times New Roman" w:hAnsi="Times New Roman"/>
          <w:lang w:val="sk-SK"/>
        </w:rPr>
        <w:t>dovšetkým</w:t>
      </w:r>
      <w:r w:rsidRPr="00AD5D78">
        <w:rPr>
          <w:rFonts w:ascii="Times New Roman" w:hAnsi="Times New Roman"/>
          <w:lang w:val="sk-SK"/>
        </w:rPr>
        <w:t xml:space="preserve"> u starších pacientov alebo ak sú prítomné iné</w:t>
      </w:r>
      <w:r w:rsidRPr="00AD5D78">
        <w:rPr>
          <w:rFonts w:ascii="Times New Roman" w:hAnsi="Times New Roman"/>
          <w:color w:val="000000"/>
          <w:lang w:val="sk-SK"/>
        </w:rPr>
        <w:t xml:space="preserve"> známe</w:t>
      </w:r>
      <w:r w:rsidRPr="00AD5D78">
        <w:rPr>
          <w:rFonts w:ascii="Times New Roman" w:hAnsi="Times New Roman"/>
          <w:lang w:val="sk-SK"/>
        </w:rPr>
        <w:t xml:space="preserve"> rizikové faktory. </w:t>
      </w:r>
      <w:r w:rsidR="00FF4225">
        <w:rPr>
          <w:rFonts w:ascii="Times New Roman" w:hAnsi="Times New Roman"/>
          <w:lang w:val="sk-SK"/>
        </w:rPr>
        <w:t>Pozorovacie</w:t>
      </w:r>
      <w:r w:rsidRPr="00AD5D78">
        <w:rPr>
          <w:rFonts w:ascii="Times New Roman" w:hAnsi="Times New Roman"/>
          <w:lang w:val="sk-SK"/>
        </w:rPr>
        <w:t xml:space="preserve"> štúdie n</w:t>
      </w:r>
      <w:r w:rsidRPr="00AD5D78">
        <w:rPr>
          <w:rFonts w:ascii="Times New Roman" w:hAnsi="Times New Roman"/>
          <w:color w:val="000000"/>
          <w:lang w:val="sk-SK"/>
        </w:rPr>
        <w:t>aznačujú</w:t>
      </w:r>
      <w:r w:rsidRPr="00AD5D78">
        <w:rPr>
          <w:rFonts w:ascii="Times New Roman" w:hAnsi="Times New Roman"/>
          <w:lang w:val="sk-SK"/>
        </w:rPr>
        <w:t xml:space="preserve">, že inhibítory protónovej pumpy môžu zvýšiť celkové riziko </w:t>
      </w:r>
      <w:r w:rsidR="00FF4225">
        <w:rPr>
          <w:rFonts w:ascii="Times New Roman" w:hAnsi="Times New Roman"/>
          <w:lang w:val="sk-SK"/>
        </w:rPr>
        <w:t>zlomenín</w:t>
      </w:r>
      <w:r w:rsidRPr="00AD5D78">
        <w:rPr>
          <w:rFonts w:ascii="Times New Roman" w:hAnsi="Times New Roman"/>
          <w:lang w:val="sk-SK"/>
        </w:rPr>
        <w:t xml:space="preserve"> o 10–40</w:t>
      </w:r>
      <w:r w:rsidR="00FF4225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%. Časť z tohto nárastu môže byť spôsobená inými rizikovými faktormi. Pacienti s rizikom osteoporózy majú byť liečení </w:t>
      </w:r>
      <w:r w:rsidR="00FF4225">
        <w:rPr>
          <w:rFonts w:ascii="Times New Roman" w:hAnsi="Times New Roman"/>
          <w:lang w:val="sk-SK"/>
        </w:rPr>
        <w:t>v súlade s </w:t>
      </w:r>
      <w:r>
        <w:rPr>
          <w:rFonts w:ascii="Times New Roman" w:hAnsi="Times New Roman"/>
          <w:lang w:val="sk-SK"/>
        </w:rPr>
        <w:t>aktuálny</w:t>
      </w:r>
      <w:r w:rsidR="00FF4225">
        <w:rPr>
          <w:rFonts w:ascii="Times New Roman" w:hAnsi="Times New Roman"/>
          <w:lang w:val="sk-SK"/>
        </w:rPr>
        <w:t>mi</w:t>
      </w:r>
      <w:r w:rsidRPr="00AD5D78">
        <w:rPr>
          <w:rFonts w:ascii="Times New Roman" w:hAnsi="Times New Roman"/>
          <w:lang w:val="sk-SK"/>
        </w:rPr>
        <w:t xml:space="preserve"> klinický</w:t>
      </w:r>
      <w:r w:rsidR="00FF4225">
        <w:rPr>
          <w:rFonts w:ascii="Times New Roman" w:hAnsi="Times New Roman"/>
          <w:lang w:val="sk-SK"/>
        </w:rPr>
        <w:t>mi</w:t>
      </w:r>
      <w:r w:rsidRPr="00AD5D78">
        <w:rPr>
          <w:rFonts w:ascii="Times New Roman" w:hAnsi="Times New Roman"/>
          <w:lang w:val="sk-SK"/>
        </w:rPr>
        <w:t xml:space="preserve"> usmernen</w:t>
      </w:r>
      <w:r w:rsidR="00FF4225">
        <w:rPr>
          <w:rFonts w:ascii="Times New Roman" w:hAnsi="Times New Roman"/>
          <w:lang w:val="sk-SK"/>
        </w:rPr>
        <w:t>iami</w:t>
      </w:r>
      <w:r w:rsidRPr="00AD5D78">
        <w:rPr>
          <w:rFonts w:ascii="Times New Roman" w:hAnsi="Times New Roman"/>
          <w:lang w:val="sk-SK"/>
        </w:rPr>
        <w:t xml:space="preserve"> a majú mať dostatočný prí</w:t>
      </w:r>
      <w:r w:rsidR="00FF4225">
        <w:rPr>
          <w:rFonts w:ascii="Times New Roman" w:hAnsi="Times New Roman"/>
          <w:lang w:val="sk-SK"/>
        </w:rPr>
        <w:t>jem</w:t>
      </w:r>
      <w:r w:rsidRPr="00AD5D78">
        <w:rPr>
          <w:rFonts w:ascii="Times New Roman" w:hAnsi="Times New Roman"/>
          <w:lang w:val="sk-SK"/>
        </w:rPr>
        <w:t xml:space="preserve"> vitamínu D a vápnika.</w:t>
      </w:r>
    </w:p>
    <w:p w:rsidR="00257DFE" w:rsidRDefault="00257DFE" w:rsidP="00AD5D78">
      <w:pPr>
        <w:pStyle w:val="Pta"/>
        <w:spacing w:after="0" w:line="240" w:lineRule="auto"/>
        <w:rPr>
          <w:rFonts w:ascii="Times New Roman" w:hAnsi="Times New Roman"/>
          <w:lang w:val="sk-SK"/>
        </w:rPr>
      </w:pPr>
    </w:p>
    <w:p w:rsidR="00130961" w:rsidRPr="00271DB3" w:rsidRDefault="00130961" w:rsidP="00130961">
      <w:pPr>
        <w:pStyle w:val="Pta"/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Subakútny kožný lupus erythematosus (</w:t>
      </w:r>
      <w:r w:rsidR="00FF4225" w:rsidRPr="006B2646">
        <w:rPr>
          <w:rFonts w:ascii="Times New Roman" w:hAnsi="Times New Roman"/>
          <w:iCs/>
          <w:u w:val="single"/>
        </w:rPr>
        <w:t>subacute cutaneous lupus erythematosus,</w:t>
      </w:r>
      <w:r w:rsidR="00FF4225" w:rsidRPr="006B2646">
        <w:rPr>
          <w:rFonts w:ascii="Times New Roman" w:hAnsi="Times New Roman"/>
          <w:u w:val="single"/>
        </w:rPr>
        <w:t xml:space="preserve"> </w:t>
      </w:r>
      <w:r w:rsidRPr="00271DB3">
        <w:rPr>
          <w:rFonts w:ascii="Times New Roman" w:hAnsi="Times New Roman"/>
          <w:u w:val="single"/>
          <w:lang w:val="sk-SK"/>
        </w:rPr>
        <w:t>SCLE)</w:t>
      </w:r>
    </w:p>
    <w:p w:rsidR="00130961" w:rsidRPr="00606BE8" w:rsidRDefault="009656BF" w:rsidP="00130961">
      <w:pPr>
        <w:pStyle w:val="Pta"/>
        <w:spacing w:after="0" w:line="240" w:lineRule="auto"/>
        <w:rPr>
          <w:rFonts w:ascii="Times New Roman" w:hAnsi="Times New Roman"/>
          <w:iCs/>
          <w:lang w:val="sk-SK"/>
        </w:rPr>
      </w:pPr>
      <w:r w:rsidRPr="009656BF">
        <w:rPr>
          <w:rFonts w:ascii="Times New Roman" w:hAnsi="Times New Roman"/>
          <w:iCs/>
          <w:lang w:val="sk-SK"/>
        </w:rPr>
        <w:t>I</w:t>
      </w:r>
      <w:r w:rsidR="00130961" w:rsidRPr="009656BF">
        <w:rPr>
          <w:rFonts w:ascii="Times New Roman" w:hAnsi="Times New Roman"/>
          <w:iCs/>
          <w:lang w:val="sk-SK"/>
        </w:rPr>
        <w:t>nhibítor</w:t>
      </w:r>
      <w:r w:rsidRPr="00FC1B79">
        <w:rPr>
          <w:rFonts w:ascii="Times New Roman" w:hAnsi="Times New Roman"/>
          <w:iCs/>
          <w:lang w:val="sk-SK"/>
        </w:rPr>
        <w:t>y</w:t>
      </w:r>
      <w:r w:rsidR="00130961" w:rsidRPr="00FC1B79">
        <w:rPr>
          <w:rFonts w:ascii="Times New Roman" w:hAnsi="Times New Roman"/>
          <w:iCs/>
          <w:lang w:val="sk-SK"/>
        </w:rPr>
        <w:t xml:space="preserve"> protónovej pumpy </w:t>
      </w:r>
      <w:r w:rsidRPr="00FC1B79">
        <w:rPr>
          <w:rFonts w:ascii="Times New Roman" w:hAnsi="Times New Roman"/>
          <w:iCs/>
          <w:lang w:val="sk-SK"/>
        </w:rPr>
        <w:t>súvisia s</w:t>
      </w:r>
      <w:r w:rsidR="00130961" w:rsidRPr="00FC1B79">
        <w:rPr>
          <w:rFonts w:ascii="Times New Roman" w:hAnsi="Times New Roman"/>
          <w:iCs/>
          <w:lang w:val="sk-SK"/>
        </w:rPr>
        <w:t xml:space="preserve"> veľmi zriedkav</w:t>
      </w:r>
      <w:r w:rsidRPr="00FC1B79">
        <w:rPr>
          <w:rFonts w:ascii="Times New Roman" w:hAnsi="Times New Roman"/>
          <w:iCs/>
          <w:lang w:val="sk-SK"/>
        </w:rPr>
        <w:t>ými</w:t>
      </w:r>
      <w:r w:rsidR="00130961" w:rsidRPr="00FC1B79">
        <w:rPr>
          <w:rFonts w:ascii="Times New Roman" w:hAnsi="Times New Roman"/>
          <w:iCs/>
          <w:lang w:val="sk-SK"/>
        </w:rPr>
        <w:t xml:space="preserve"> prípad</w:t>
      </w:r>
      <w:r w:rsidRPr="00FC1B79">
        <w:rPr>
          <w:rFonts w:ascii="Times New Roman" w:hAnsi="Times New Roman"/>
          <w:iCs/>
          <w:lang w:val="sk-SK"/>
        </w:rPr>
        <w:t>mi</w:t>
      </w:r>
      <w:r w:rsidR="00130961" w:rsidRPr="00606BE8">
        <w:rPr>
          <w:rFonts w:ascii="Times New Roman" w:hAnsi="Times New Roman"/>
          <w:iCs/>
          <w:lang w:val="sk-SK"/>
        </w:rPr>
        <w:t xml:space="preserve"> SCLE. </w:t>
      </w:r>
      <w:r w:rsidRPr="00271DB3">
        <w:rPr>
          <w:rFonts w:ascii="Times New Roman" w:hAnsi="Times New Roman"/>
          <w:lang w:val="sk-SK"/>
        </w:rPr>
        <w:t>Ak</w:t>
      </w:r>
      <w:r w:rsidR="00130961" w:rsidRPr="009656BF">
        <w:rPr>
          <w:rFonts w:ascii="Times New Roman" w:hAnsi="Times New Roman"/>
          <w:iCs/>
          <w:lang w:val="sk-SK"/>
        </w:rPr>
        <w:t xml:space="preserve"> sa </w:t>
      </w:r>
      <w:r w:rsidRPr="00271DB3">
        <w:rPr>
          <w:rFonts w:ascii="Times New Roman" w:hAnsi="Times New Roman"/>
          <w:lang w:val="sk-SK"/>
        </w:rPr>
        <w:t>vyskytnú</w:t>
      </w:r>
      <w:r w:rsidR="00130961" w:rsidRPr="009656BF">
        <w:rPr>
          <w:rFonts w:ascii="Times New Roman" w:hAnsi="Times New Roman"/>
          <w:iCs/>
          <w:lang w:val="sk-SK"/>
        </w:rPr>
        <w:t xml:space="preserve"> lézi</w:t>
      </w:r>
      <w:r w:rsidRPr="009656BF">
        <w:rPr>
          <w:rFonts w:ascii="Times New Roman" w:hAnsi="Times New Roman"/>
          <w:iCs/>
          <w:lang w:val="sk-SK"/>
        </w:rPr>
        <w:t>e</w:t>
      </w:r>
      <w:r w:rsidR="00130961" w:rsidRPr="00FC1B79">
        <w:rPr>
          <w:rFonts w:ascii="Times New Roman" w:hAnsi="Times New Roman"/>
          <w:iCs/>
          <w:lang w:val="sk-SK"/>
        </w:rPr>
        <w:t>,</w:t>
      </w:r>
      <w:r>
        <w:rPr>
          <w:rFonts w:ascii="Times New Roman" w:hAnsi="Times New Roman"/>
          <w:iCs/>
          <w:lang w:val="sk-SK"/>
        </w:rPr>
        <w:t xml:space="preserve"> </w:t>
      </w:r>
      <w:r w:rsidR="00130961" w:rsidRPr="009656BF">
        <w:rPr>
          <w:rFonts w:ascii="Times New Roman" w:hAnsi="Times New Roman"/>
          <w:iCs/>
          <w:lang w:val="sk-SK"/>
        </w:rPr>
        <w:t xml:space="preserve">najmä </w:t>
      </w:r>
      <w:r w:rsidRPr="00271DB3">
        <w:rPr>
          <w:rFonts w:ascii="Times New Roman" w:hAnsi="Times New Roman"/>
          <w:lang w:val="sk-SK"/>
        </w:rPr>
        <w:t xml:space="preserve">v oblastiach </w:t>
      </w:r>
      <w:r w:rsidR="00130961" w:rsidRPr="009656BF">
        <w:rPr>
          <w:rFonts w:ascii="Times New Roman" w:hAnsi="Times New Roman"/>
          <w:iCs/>
          <w:lang w:val="sk-SK"/>
        </w:rPr>
        <w:t>kož</w:t>
      </w:r>
      <w:r w:rsidRPr="009656BF">
        <w:rPr>
          <w:rFonts w:ascii="Times New Roman" w:hAnsi="Times New Roman"/>
          <w:iCs/>
          <w:lang w:val="sk-SK"/>
        </w:rPr>
        <w:t>e</w:t>
      </w:r>
      <w:r w:rsidR="00130961" w:rsidRPr="00FC1B79">
        <w:rPr>
          <w:rFonts w:ascii="Times New Roman" w:hAnsi="Times New Roman"/>
          <w:iCs/>
          <w:lang w:val="sk-SK"/>
        </w:rPr>
        <w:t xml:space="preserve"> vystaven</w:t>
      </w:r>
      <w:r w:rsidRPr="00FC1B79">
        <w:rPr>
          <w:rFonts w:ascii="Times New Roman" w:hAnsi="Times New Roman"/>
          <w:iCs/>
          <w:lang w:val="sk-SK"/>
        </w:rPr>
        <w:t>ých</w:t>
      </w:r>
      <w:r w:rsidR="00130961" w:rsidRPr="00FC1B79">
        <w:rPr>
          <w:rFonts w:ascii="Times New Roman" w:hAnsi="Times New Roman"/>
          <w:iCs/>
          <w:lang w:val="sk-SK"/>
        </w:rPr>
        <w:t xml:space="preserve"> sln</w:t>
      </w:r>
      <w:r w:rsidRPr="00FC1B79">
        <w:rPr>
          <w:rFonts w:ascii="Times New Roman" w:hAnsi="Times New Roman"/>
          <w:iCs/>
          <w:lang w:val="sk-SK"/>
        </w:rPr>
        <w:t>ku</w:t>
      </w:r>
      <w:r w:rsidR="00130961" w:rsidRPr="00FC1B79">
        <w:rPr>
          <w:rFonts w:ascii="Times New Roman" w:hAnsi="Times New Roman"/>
          <w:iCs/>
          <w:lang w:val="sk-SK"/>
        </w:rPr>
        <w:t xml:space="preserve"> a </w:t>
      </w:r>
      <w:r w:rsidRPr="00FC1B79">
        <w:rPr>
          <w:rFonts w:ascii="Times New Roman" w:hAnsi="Times New Roman"/>
          <w:iCs/>
          <w:lang w:val="sk-SK"/>
        </w:rPr>
        <w:t>ak</w:t>
      </w:r>
      <w:r w:rsidR="00130961" w:rsidRPr="00606BE8">
        <w:rPr>
          <w:rFonts w:ascii="Times New Roman" w:hAnsi="Times New Roman"/>
          <w:iCs/>
          <w:lang w:val="sk-SK"/>
        </w:rPr>
        <w:t xml:space="preserve"> sú sprevádzané </w:t>
      </w:r>
      <w:r w:rsidRPr="00271DB3">
        <w:rPr>
          <w:rFonts w:ascii="Times New Roman" w:hAnsi="Times New Roman"/>
          <w:lang w:val="sk-SK"/>
        </w:rPr>
        <w:t>artralgiou</w:t>
      </w:r>
      <w:r w:rsidR="00130961" w:rsidRPr="009656BF">
        <w:rPr>
          <w:rFonts w:ascii="Times New Roman" w:hAnsi="Times New Roman"/>
          <w:iCs/>
          <w:lang w:val="sk-SK"/>
        </w:rPr>
        <w:t>, pacient má ihneď vyhľadať lekársku pomoc a </w:t>
      </w:r>
      <w:r w:rsidR="00FF4225" w:rsidRPr="00271DB3">
        <w:rPr>
          <w:rFonts w:ascii="Times New Roman" w:hAnsi="Times New Roman"/>
          <w:lang w:val="sk-SK"/>
        </w:rPr>
        <w:t>zdravotnícky pracovník</w:t>
      </w:r>
      <w:r w:rsidR="00130961" w:rsidRPr="00FF4225">
        <w:rPr>
          <w:rFonts w:ascii="Times New Roman" w:hAnsi="Times New Roman"/>
          <w:iCs/>
          <w:lang w:val="sk-SK"/>
        </w:rPr>
        <w:t xml:space="preserve"> má zvážiť</w:t>
      </w:r>
      <w:r w:rsidR="00130961" w:rsidRPr="009656BF">
        <w:rPr>
          <w:rFonts w:ascii="Times New Roman" w:hAnsi="Times New Roman"/>
          <w:iCs/>
          <w:lang w:val="sk-SK"/>
        </w:rPr>
        <w:t xml:space="preserve"> </w:t>
      </w:r>
      <w:r w:rsidR="00B778D6" w:rsidRPr="00271DB3">
        <w:rPr>
          <w:rFonts w:ascii="Times New Roman" w:hAnsi="Times New Roman"/>
          <w:lang w:val="sk-SK"/>
        </w:rPr>
        <w:t>ukončenie liečby</w:t>
      </w:r>
      <w:r w:rsidRPr="00271DB3">
        <w:rPr>
          <w:rFonts w:ascii="Times New Roman" w:hAnsi="Times New Roman"/>
          <w:lang w:val="sk-SK"/>
        </w:rPr>
        <w:t xml:space="preserve"> </w:t>
      </w:r>
      <w:r w:rsidR="00130961" w:rsidRPr="00FC1B79">
        <w:rPr>
          <w:rFonts w:ascii="Times New Roman" w:hAnsi="Times New Roman"/>
          <w:iCs/>
          <w:lang w:val="sk-SK"/>
        </w:rPr>
        <w:t>Ozzion</w:t>
      </w:r>
      <w:r w:rsidR="00B778D6">
        <w:rPr>
          <w:rFonts w:ascii="Times New Roman" w:hAnsi="Times New Roman"/>
          <w:iCs/>
          <w:lang w:val="sk-SK"/>
        </w:rPr>
        <w:t>om</w:t>
      </w:r>
      <w:r w:rsidR="00130961" w:rsidRPr="00FC1B79">
        <w:rPr>
          <w:rFonts w:ascii="Times New Roman" w:hAnsi="Times New Roman"/>
          <w:iCs/>
          <w:lang w:val="sk-SK"/>
        </w:rPr>
        <w:t xml:space="preserve"> 40</w:t>
      </w:r>
      <w:r w:rsidR="00FF4225">
        <w:rPr>
          <w:rFonts w:ascii="Times New Roman" w:hAnsi="Times New Roman"/>
          <w:iCs/>
          <w:lang w:val="sk-SK"/>
        </w:rPr>
        <w:t> </w:t>
      </w:r>
      <w:r w:rsidR="00130961" w:rsidRPr="00FC1B79">
        <w:rPr>
          <w:rFonts w:ascii="Times New Roman" w:hAnsi="Times New Roman"/>
          <w:iCs/>
          <w:lang w:val="sk-SK"/>
        </w:rPr>
        <w:t>mg. SCLE</w:t>
      </w:r>
      <w:r w:rsidRPr="00FC1B79">
        <w:rPr>
          <w:rFonts w:ascii="Times New Roman" w:hAnsi="Times New Roman"/>
          <w:iCs/>
          <w:lang w:val="sk-SK"/>
        </w:rPr>
        <w:t xml:space="preserve"> </w:t>
      </w:r>
      <w:r w:rsidR="00130961" w:rsidRPr="00606BE8">
        <w:rPr>
          <w:rFonts w:ascii="Times New Roman" w:hAnsi="Times New Roman"/>
          <w:iCs/>
          <w:lang w:val="sk-SK"/>
        </w:rPr>
        <w:t>po predchádzajúcej liečbe inhibítorom protónovej pumpy môže zvýšiť riziko SCLE</w:t>
      </w:r>
      <w:r w:rsidR="002931A5" w:rsidRPr="00606BE8">
        <w:rPr>
          <w:rFonts w:ascii="Times New Roman" w:hAnsi="Times New Roman"/>
          <w:iCs/>
          <w:lang w:val="sk-SK"/>
        </w:rPr>
        <w:t xml:space="preserve"> pri </w:t>
      </w:r>
      <w:r w:rsidRPr="00606BE8">
        <w:rPr>
          <w:rFonts w:ascii="Times New Roman" w:hAnsi="Times New Roman"/>
          <w:iCs/>
          <w:lang w:val="sk-SK"/>
        </w:rPr>
        <w:t>použití iných</w:t>
      </w:r>
      <w:r w:rsidR="00130961" w:rsidRPr="00606BE8">
        <w:rPr>
          <w:rFonts w:ascii="Times New Roman" w:hAnsi="Times New Roman"/>
          <w:iCs/>
          <w:lang w:val="sk-SK"/>
        </w:rPr>
        <w:t xml:space="preserve"> inhibítor</w:t>
      </w:r>
      <w:r w:rsidRPr="00606BE8">
        <w:rPr>
          <w:rFonts w:ascii="Times New Roman" w:hAnsi="Times New Roman"/>
          <w:iCs/>
          <w:lang w:val="sk-SK"/>
        </w:rPr>
        <w:t>ov</w:t>
      </w:r>
      <w:r w:rsidR="00130961" w:rsidRPr="00606BE8">
        <w:rPr>
          <w:rFonts w:ascii="Times New Roman" w:hAnsi="Times New Roman"/>
          <w:iCs/>
          <w:lang w:val="sk-SK"/>
        </w:rPr>
        <w:t xml:space="preserve"> protónovej pumpy.</w:t>
      </w:r>
    </w:p>
    <w:p w:rsidR="00463790" w:rsidRPr="00343696" w:rsidRDefault="00463790" w:rsidP="00AD5D78">
      <w:pPr>
        <w:pStyle w:val="Default"/>
        <w:rPr>
          <w:iCs/>
          <w:sz w:val="22"/>
          <w:szCs w:val="22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bCs/>
          <w:color w:val="000000"/>
          <w:u w:val="single"/>
          <w:lang w:val="sk-SK"/>
        </w:rPr>
      </w:pPr>
      <w:r w:rsidRPr="00271DB3">
        <w:rPr>
          <w:rFonts w:ascii="Times New Roman" w:hAnsi="Times New Roman"/>
          <w:bCs/>
          <w:color w:val="000000"/>
          <w:u w:val="single"/>
          <w:lang w:val="sk-SK"/>
        </w:rPr>
        <w:t>Sójový lecitín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AD5D78">
        <w:rPr>
          <w:rFonts w:ascii="Times New Roman" w:hAnsi="Times New Roman"/>
          <w:bCs/>
          <w:color w:val="000000"/>
          <w:lang w:val="sk-SK"/>
        </w:rPr>
        <w:t>Tento liek obsahuje sójový lecitín. Paci</w:t>
      </w:r>
      <w:r w:rsidR="001911FF" w:rsidRPr="00AD5D78">
        <w:rPr>
          <w:rFonts w:ascii="Times New Roman" w:hAnsi="Times New Roman"/>
          <w:bCs/>
          <w:color w:val="000000"/>
          <w:lang w:val="sk-SK"/>
        </w:rPr>
        <w:t>e</w:t>
      </w:r>
      <w:r w:rsidRPr="00AD5D78">
        <w:rPr>
          <w:rFonts w:ascii="Times New Roman" w:hAnsi="Times New Roman"/>
          <w:bCs/>
          <w:color w:val="000000"/>
          <w:lang w:val="sk-SK"/>
        </w:rPr>
        <w:t>ntom alergickým na arašidy alebo sóju sa liek nesmie podávať (pozri časť 4.3).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271DB3" w:rsidRDefault="004E2B43" w:rsidP="00AD5D78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Fruktózová intolerancia</w:t>
      </w:r>
    </w:p>
    <w:p w:rsidR="004E2B43" w:rsidRDefault="004E2B43" w:rsidP="00AD5D78">
      <w:pPr>
        <w:pStyle w:val="Zkladntext3"/>
        <w:tabs>
          <w:tab w:val="left" w:pos="567"/>
        </w:tabs>
        <w:rPr>
          <w:color w:val="000000"/>
          <w:sz w:val="22"/>
          <w:szCs w:val="22"/>
          <w:lang w:val="sk-SK"/>
        </w:rPr>
      </w:pPr>
      <w:r w:rsidRPr="00AD5D78">
        <w:rPr>
          <w:color w:val="000000"/>
          <w:sz w:val="22"/>
          <w:szCs w:val="22"/>
          <w:lang w:val="sk-SK"/>
        </w:rPr>
        <w:t>Pacienti so zriedkavými dedičnými problémami fruktózovej intolerancie ne</w:t>
      </w:r>
      <w:r w:rsidR="00401252" w:rsidRPr="00AD5D78">
        <w:rPr>
          <w:color w:val="000000"/>
          <w:sz w:val="22"/>
          <w:szCs w:val="22"/>
          <w:lang w:val="sk-SK"/>
        </w:rPr>
        <w:t>smú</w:t>
      </w:r>
      <w:r w:rsidRPr="00AD5D78">
        <w:rPr>
          <w:color w:val="000000"/>
          <w:sz w:val="22"/>
          <w:szCs w:val="22"/>
          <w:lang w:val="sk-SK"/>
        </w:rPr>
        <w:t xml:space="preserve"> užívať tento liek.</w:t>
      </w:r>
    </w:p>
    <w:p w:rsidR="00276389" w:rsidRDefault="00276389" w:rsidP="00271DB3">
      <w:pPr>
        <w:pStyle w:val="Default"/>
        <w:rPr>
          <w:lang w:val="sk-SK"/>
        </w:rPr>
      </w:pPr>
    </w:p>
    <w:p w:rsidR="00276389" w:rsidRPr="00271DB3" w:rsidRDefault="00276389" w:rsidP="00276389">
      <w:pPr>
        <w:spacing w:after="0" w:line="240" w:lineRule="auto"/>
        <w:rPr>
          <w:rFonts w:ascii="Times New Roman" w:hAnsi="Times New Roman"/>
          <w:u w:val="single"/>
          <w:lang w:val="sk-SK"/>
        </w:rPr>
      </w:pPr>
      <w:r w:rsidRPr="00271DB3">
        <w:rPr>
          <w:rFonts w:ascii="Times New Roman" w:hAnsi="Times New Roman"/>
          <w:u w:val="single"/>
          <w:lang w:val="sk-SK"/>
        </w:rPr>
        <w:t>Interferencia s laboratórnymi testami</w:t>
      </w:r>
    </w:p>
    <w:p w:rsidR="00276389" w:rsidRPr="00271DB3" w:rsidRDefault="00276389" w:rsidP="00271DB3">
      <w:pPr>
        <w:pStyle w:val="Default"/>
        <w:rPr>
          <w:lang w:val="sk-SK"/>
        </w:rPr>
      </w:pPr>
      <w:r w:rsidRPr="00FF4225">
        <w:rPr>
          <w:sz w:val="22"/>
          <w:szCs w:val="22"/>
          <w:lang w:val="sk-SK"/>
        </w:rPr>
        <w:t>Zvýšená hladina chromogranínu A (CgA) môže interferovať s vyšetreniami na neuroendokrinné nádory. Aby sa zabránilo tejto interferencii, liečba Ozzionom 4</w:t>
      </w:r>
      <w:r w:rsidRPr="00271DB3">
        <w:rPr>
          <w:sz w:val="22"/>
          <w:szCs w:val="22"/>
          <w:lang w:val="sk-SK"/>
        </w:rPr>
        <w:t>0</w:t>
      </w:r>
      <w:r w:rsidR="00FF4225">
        <w:rPr>
          <w:sz w:val="22"/>
          <w:szCs w:val="22"/>
          <w:lang w:val="sk-SK"/>
        </w:rPr>
        <w:t> </w:t>
      </w:r>
      <w:r w:rsidRPr="00271DB3">
        <w:rPr>
          <w:sz w:val="22"/>
          <w:szCs w:val="22"/>
          <w:lang w:val="sk-SK"/>
        </w:rPr>
        <w:t>mg</w:t>
      </w:r>
      <w:r w:rsidRPr="00FF4225">
        <w:rPr>
          <w:sz w:val="22"/>
          <w:szCs w:val="22"/>
          <w:lang w:val="sk-SK"/>
        </w:rPr>
        <w:t xml:space="preserve"> sa má zastaviť aspoň na 5 dní pred vykonaním meraní CgA (pozri časť 5.1). Ak sa hladina CgA a gastrínu nevráti po prvom meraní k referenčnému rozsahu, merania sa majú zopakovať 14 dní po ukončen</w:t>
      </w:r>
      <w:r w:rsidRPr="001F3864">
        <w:rPr>
          <w:sz w:val="22"/>
          <w:szCs w:val="22"/>
          <w:lang w:val="sk-SK"/>
        </w:rPr>
        <w:t>í liečby inhibítorom protónovej pumpy.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4.5</w:t>
      </w:r>
      <w:r w:rsidRPr="00AD5D78">
        <w:rPr>
          <w:rFonts w:ascii="Times New Roman" w:hAnsi="Times New Roman"/>
          <w:b/>
          <w:color w:val="000000"/>
          <w:lang w:val="sk-SK"/>
        </w:rPr>
        <w:tab/>
        <w:t>Liekové a iné interakcie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257DFE" w:rsidRPr="00271DB3" w:rsidRDefault="00257DFE" w:rsidP="00AD5D78">
      <w:pPr>
        <w:pStyle w:val="Zkladntext"/>
        <w:spacing w:after="0" w:line="240" w:lineRule="auto"/>
        <w:rPr>
          <w:rFonts w:ascii="Times New Roman" w:hAnsi="Times New Roman"/>
          <w:i/>
          <w:lang w:val="pt-BR"/>
        </w:rPr>
      </w:pPr>
      <w:r w:rsidRPr="00271DB3">
        <w:rPr>
          <w:rFonts w:ascii="Times New Roman" w:hAnsi="Times New Roman"/>
          <w:i/>
          <w:iCs/>
          <w:lang w:val="sk-SK"/>
        </w:rPr>
        <w:t>Lieky s farmakokinetikou absorpcie závisl</w:t>
      </w:r>
      <w:r w:rsidR="00FF4225">
        <w:rPr>
          <w:rFonts w:ascii="Times New Roman" w:hAnsi="Times New Roman"/>
          <w:i/>
          <w:iCs/>
          <w:lang w:val="sk-SK"/>
        </w:rPr>
        <w:t>ou</w:t>
      </w:r>
      <w:r w:rsidRPr="00271DB3">
        <w:rPr>
          <w:rFonts w:ascii="Times New Roman" w:hAnsi="Times New Roman"/>
          <w:i/>
          <w:iCs/>
          <w:lang w:val="sk-SK"/>
        </w:rPr>
        <w:t xml:space="preserve"> na </w:t>
      </w:r>
      <w:r w:rsidR="00FF4225">
        <w:rPr>
          <w:rFonts w:ascii="Times New Roman" w:hAnsi="Times New Roman"/>
          <w:i/>
          <w:iCs/>
          <w:lang w:val="sk-SK"/>
        </w:rPr>
        <w:t xml:space="preserve">hodnote </w:t>
      </w:r>
      <w:r w:rsidRPr="00271DB3">
        <w:rPr>
          <w:rFonts w:ascii="Times New Roman" w:hAnsi="Times New Roman"/>
          <w:i/>
          <w:iCs/>
          <w:lang w:val="sk-SK"/>
        </w:rPr>
        <w:t>pH</w:t>
      </w:r>
    </w:p>
    <w:p w:rsidR="00CC7070" w:rsidRPr="00AD5D78" w:rsidRDefault="00CC7070" w:rsidP="00AD5D78">
      <w:pPr>
        <w:pStyle w:val="Zkladntext"/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 xml:space="preserve">Vzhľadom na výraznú a dlhotrvajúcu inhibíciu sekrécie žalúdočnej kyseliny môže pantoprazol </w:t>
      </w:r>
      <w:r w:rsidR="00257DFE">
        <w:rPr>
          <w:rFonts w:ascii="Times New Roman" w:hAnsi="Times New Roman"/>
          <w:lang w:val="pt-BR"/>
        </w:rPr>
        <w:t xml:space="preserve">ovplyvniť </w:t>
      </w:r>
      <w:r w:rsidR="00257DFE" w:rsidRPr="00AE4876">
        <w:rPr>
          <w:rFonts w:ascii="Times New Roman" w:hAnsi="Times New Roman"/>
          <w:lang w:val="pt-BR"/>
        </w:rPr>
        <w:t xml:space="preserve">vstrebávanie </w:t>
      </w:r>
      <w:r w:rsidR="00FF4225">
        <w:rPr>
          <w:rFonts w:ascii="Times New Roman" w:hAnsi="Times New Roman"/>
          <w:lang w:val="pt-BR"/>
        </w:rPr>
        <w:t xml:space="preserve">iných </w:t>
      </w:r>
      <w:r w:rsidR="00257DFE" w:rsidRPr="00AE4876">
        <w:rPr>
          <w:rFonts w:ascii="Times New Roman" w:hAnsi="Times New Roman"/>
          <w:lang w:val="pt-BR"/>
        </w:rPr>
        <w:t>liekov, u ktorých je hodnota žalúdočného pH dôležitou podmienkou biologickej dostupnosti po perorálnom podaní</w:t>
      </w:r>
      <w:r w:rsidRPr="00AD5D78">
        <w:rPr>
          <w:rFonts w:ascii="Times New Roman" w:hAnsi="Times New Roman"/>
          <w:lang w:val="pt-BR"/>
        </w:rPr>
        <w:t xml:space="preserve">, napr. niektoré azolové </w:t>
      </w:r>
      <w:r w:rsidR="001911FF" w:rsidRPr="00AD5D78">
        <w:rPr>
          <w:rFonts w:ascii="Times New Roman" w:hAnsi="Times New Roman"/>
          <w:lang w:val="pt-BR"/>
        </w:rPr>
        <w:t>antimykotiká</w:t>
      </w:r>
      <w:r w:rsidR="00FF4225">
        <w:rPr>
          <w:rFonts w:ascii="Times New Roman" w:hAnsi="Times New Roman"/>
          <w:lang w:val="pt-BR"/>
        </w:rPr>
        <w:t>,</w:t>
      </w:r>
      <w:r w:rsidR="001911FF" w:rsidRPr="00AD5D78">
        <w:rPr>
          <w:rFonts w:ascii="Times New Roman" w:hAnsi="Times New Roman"/>
          <w:lang w:val="pt-BR"/>
        </w:rPr>
        <w:t xml:space="preserve"> </w:t>
      </w:r>
      <w:r w:rsidRPr="00AD5D78">
        <w:rPr>
          <w:rFonts w:ascii="Times New Roman" w:hAnsi="Times New Roman"/>
          <w:lang w:val="pt-BR"/>
        </w:rPr>
        <w:t xml:space="preserve">ako je ketokonazol, itrakonazaol, posakonazol a </w:t>
      </w:r>
      <w:r w:rsidR="001911FF" w:rsidRPr="00AD5D78">
        <w:rPr>
          <w:rFonts w:ascii="Times New Roman" w:hAnsi="Times New Roman"/>
          <w:lang w:val="pt-BR"/>
        </w:rPr>
        <w:t>iné lie</w:t>
      </w:r>
      <w:r w:rsidR="00FF4225">
        <w:rPr>
          <w:rFonts w:ascii="Times New Roman" w:hAnsi="Times New Roman"/>
          <w:lang w:val="pt-BR"/>
        </w:rPr>
        <w:t>čivá,</w:t>
      </w:r>
      <w:r w:rsidR="001911FF" w:rsidRPr="00AD5D78">
        <w:rPr>
          <w:rFonts w:ascii="Times New Roman" w:hAnsi="Times New Roman"/>
          <w:lang w:val="pt-BR"/>
        </w:rPr>
        <w:t xml:space="preserve"> </w:t>
      </w:r>
      <w:r w:rsidRPr="00AD5D78">
        <w:rPr>
          <w:rFonts w:ascii="Times New Roman" w:hAnsi="Times New Roman"/>
          <w:lang w:val="pt-BR"/>
        </w:rPr>
        <w:t xml:space="preserve">ako </w:t>
      </w:r>
      <w:r w:rsidR="00FF4225">
        <w:rPr>
          <w:rFonts w:ascii="Times New Roman" w:hAnsi="Times New Roman"/>
          <w:lang w:val="pt-BR"/>
        </w:rPr>
        <w:t xml:space="preserve">je </w:t>
      </w:r>
      <w:r w:rsidRPr="00AD5D78">
        <w:rPr>
          <w:rFonts w:ascii="Times New Roman" w:hAnsi="Times New Roman"/>
          <w:lang w:val="pt-BR"/>
        </w:rPr>
        <w:t>erlotinib.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BR"/>
        </w:rPr>
      </w:pPr>
    </w:p>
    <w:p w:rsidR="004E2B43" w:rsidRPr="00FF4225" w:rsidRDefault="00257DFE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FF4225">
        <w:rPr>
          <w:rFonts w:ascii="Times New Roman" w:hAnsi="Times New Roman"/>
          <w:i/>
          <w:iCs/>
          <w:lang w:val="sk-SK"/>
        </w:rPr>
        <w:t>Inhibítory</w:t>
      </w:r>
      <w:r w:rsidR="004E2B43" w:rsidRPr="00FF4225">
        <w:rPr>
          <w:rFonts w:ascii="Times New Roman" w:hAnsi="Times New Roman"/>
          <w:i/>
          <w:iCs/>
          <w:lang w:val="sk-SK"/>
        </w:rPr>
        <w:t xml:space="preserve"> HIV </w:t>
      </w:r>
      <w:r w:rsidRPr="00FF4225">
        <w:rPr>
          <w:rFonts w:ascii="Times New Roman" w:hAnsi="Times New Roman"/>
          <w:i/>
          <w:iCs/>
          <w:lang w:val="sk-SK"/>
        </w:rPr>
        <w:t>proteáz</w:t>
      </w:r>
      <w:r w:rsidR="00FF4225">
        <w:rPr>
          <w:rFonts w:ascii="Times New Roman" w:hAnsi="Times New Roman"/>
          <w:i/>
          <w:iCs/>
          <w:lang w:val="sk-SK"/>
        </w:rPr>
        <w:t>y</w:t>
      </w:r>
    </w:p>
    <w:p w:rsidR="004E2B43" w:rsidRDefault="00C26630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S</w:t>
      </w:r>
      <w:r w:rsidR="004E2B43" w:rsidRPr="00AD5D78">
        <w:rPr>
          <w:sz w:val="22"/>
          <w:szCs w:val="22"/>
          <w:lang w:val="sk-SK"/>
        </w:rPr>
        <w:t xml:space="preserve">úbežné podávanie </w:t>
      </w:r>
      <w:r w:rsidR="00257DFE">
        <w:rPr>
          <w:sz w:val="22"/>
          <w:szCs w:val="22"/>
          <w:lang w:val="sk-SK"/>
        </w:rPr>
        <w:t xml:space="preserve"> </w:t>
      </w:r>
      <w:r w:rsidR="00257DFE" w:rsidRPr="00AE4876">
        <w:rPr>
          <w:sz w:val="22"/>
          <w:szCs w:val="22"/>
          <w:lang w:val="sk-SK"/>
        </w:rPr>
        <w:t>pantoprazolu s inhibítormi HIV proteáz</w:t>
      </w:r>
      <w:r w:rsidR="00FF4225">
        <w:rPr>
          <w:sz w:val="22"/>
          <w:szCs w:val="22"/>
          <w:lang w:val="sk-SK"/>
        </w:rPr>
        <w:t>y</w:t>
      </w:r>
      <w:r w:rsidR="00257DFE" w:rsidRPr="00AE4876">
        <w:rPr>
          <w:sz w:val="22"/>
          <w:szCs w:val="22"/>
          <w:lang w:val="sk-SK"/>
        </w:rPr>
        <w:t>, ktorých absorpcia závisí od</w:t>
      </w:r>
      <w:r w:rsidR="00FF4225">
        <w:rPr>
          <w:sz w:val="22"/>
          <w:szCs w:val="22"/>
          <w:lang w:val="sk-SK"/>
        </w:rPr>
        <w:t xml:space="preserve"> kyslého</w:t>
      </w:r>
      <w:r w:rsidR="00257DFE" w:rsidRPr="00AE4876">
        <w:rPr>
          <w:sz w:val="22"/>
          <w:szCs w:val="22"/>
          <w:lang w:val="sk-SK"/>
        </w:rPr>
        <w:t xml:space="preserve"> pH </w:t>
      </w:r>
      <w:r w:rsidR="00FF4225">
        <w:rPr>
          <w:sz w:val="22"/>
          <w:szCs w:val="22"/>
          <w:lang w:val="sk-SK"/>
        </w:rPr>
        <w:t>v </w:t>
      </w:r>
      <w:r w:rsidR="00257DFE" w:rsidRPr="00AE4876">
        <w:rPr>
          <w:sz w:val="22"/>
          <w:szCs w:val="22"/>
          <w:lang w:val="sk-SK"/>
        </w:rPr>
        <w:t>žalúdk</w:t>
      </w:r>
      <w:r w:rsidR="00FF4225">
        <w:rPr>
          <w:sz w:val="22"/>
          <w:szCs w:val="22"/>
          <w:lang w:val="sk-SK"/>
        </w:rPr>
        <w:t>u</w:t>
      </w:r>
      <w:r w:rsidR="00257DFE" w:rsidRPr="00AE4876">
        <w:rPr>
          <w:sz w:val="22"/>
          <w:szCs w:val="22"/>
          <w:lang w:val="sk-SK"/>
        </w:rPr>
        <w:t>, ako je atazanavir, sa neodporúča vzhľadom na významné zníženie ich biologickej dostupnosti (pozri časť 4.4).</w:t>
      </w:r>
    </w:p>
    <w:p w:rsidR="00257DFE" w:rsidRDefault="00257DFE" w:rsidP="00AD5D78">
      <w:pPr>
        <w:pStyle w:val="Default"/>
        <w:rPr>
          <w:sz w:val="22"/>
          <w:szCs w:val="22"/>
          <w:lang w:val="sk-SK"/>
        </w:rPr>
      </w:pPr>
    </w:p>
    <w:p w:rsidR="00257DFE" w:rsidRPr="00257DFE" w:rsidRDefault="00257DFE" w:rsidP="00AD5D78">
      <w:pPr>
        <w:pStyle w:val="Default"/>
        <w:rPr>
          <w:sz w:val="22"/>
          <w:szCs w:val="22"/>
          <w:lang w:val="sk-SK"/>
        </w:rPr>
      </w:pPr>
      <w:r w:rsidRPr="00271DB3">
        <w:rPr>
          <w:sz w:val="22"/>
          <w:szCs w:val="22"/>
          <w:lang w:val="sk-SK"/>
        </w:rPr>
        <w:t>Ak sa kombinácia inhibítorov HIV proteáz</w:t>
      </w:r>
      <w:r w:rsidR="00FF4225">
        <w:rPr>
          <w:sz w:val="22"/>
          <w:szCs w:val="22"/>
          <w:lang w:val="sk-SK"/>
        </w:rPr>
        <w:t>y</w:t>
      </w:r>
      <w:r w:rsidRPr="00271DB3">
        <w:rPr>
          <w:sz w:val="22"/>
          <w:szCs w:val="22"/>
          <w:lang w:val="sk-SK"/>
        </w:rPr>
        <w:t xml:space="preserve"> s inhibítormi protónovej pumpy považuje za nevyhnutnú, odporúča sa dôsledné klinické monitorovanie (napr. vírusová záťaž). Nesmie sa pre</w:t>
      </w:r>
      <w:r w:rsidR="00FF4225">
        <w:rPr>
          <w:sz w:val="22"/>
          <w:szCs w:val="22"/>
          <w:lang w:val="sk-SK"/>
        </w:rPr>
        <w:t>kročiť</w:t>
      </w:r>
      <w:r w:rsidRPr="00271DB3">
        <w:rPr>
          <w:sz w:val="22"/>
          <w:szCs w:val="22"/>
          <w:lang w:val="sk-SK"/>
        </w:rPr>
        <w:t xml:space="preserve"> dávka 20</w:t>
      </w:r>
      <w:r w:rsidR="00FF4225">
        <w:rPr>
          <w:sz w:val="22"/>
          <w:szCs w:val="22"/>
          <w:lang w:val="sk-SK"/>
        </w:rPr>
        <w:t> </w:t>
      </w:r>
      <w:r w:rsidRPr="00271DB3">
        <w:rPr>
          <w:sz w:val="22"/>
          <w:szCs w:val="22"/>
          <w:lang w:val="sk-SK"/>
        </w:rPr>
        <w:t xml:space="preserve">mg pantoprazolu denne. </w:t>
      </w:r>
      <w:r w:rsidR="00FF4225">
        <w:rPr>
          <w:sz w:val="22"/>
          <w:szCs w:val="22"/>
          <w:lang w:val="sk-SK"/>
        </w:rPr>
        <w:t>M</w:t>
      </w:r>
      <w:r w:rsidRPr="00271DB3">
        <w:rPr>
          <w:sz w:val="22"/>
          <w:szCs w:val="22"/>
          <w:lang w:val="sk-SK"/>
        </w:rPr>
        <w:t xml:space="preserve">ôže byť </w:t>
      </w:r>
      <w:r w:rsidR="00FF4225">
        <w:rPr>
          <w:sz w:val="22"/>
          <w:szCs w:val="22"/>
          <w:lang w:val="sk-SK"/>
        </w:rPr>
        <w:t xml:space="preserve">potrebná </w:t>
      </w:r>
      <w:r w:rsidRPr="00271DB3">
        <w:rPr>
          <w:sz w:val="22"/>
          <w:szCs w:val="22"/>
          <w:lang w:val="sk-SK"/>
        </w:rPr>
        <w:t>úprava dávkovania inhibítorov HIV proteáz</w:t>
      </w:r>
      <w:r w:rsidR="00FF4225">
        <w:rPr>
          <w:sz w:val="22"/>
          <w:szCs w:val="22"/>
          <w:lang w:val="sk-SK"/>
        </w:rPr>
        <w:t>y</w:t>
      </w:r>
      <w:r w:rsidRPr="00271DB3">
        <w:rPr>
          <w:sz w:val="22"/>
          <w:szCs w:val="22"/>
          <w:lang w:val="sk-SK"/>
        </w:rPr>
        <w:t>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AD5D78">
        <w:rPr>
          <w:rFonts w:ascii="Times New Roman" w:hAnsi="Times New Roman"/>
          <w:i/>
          <w:color w:val="000000"/>
          <w:lang w:val="sk-SK"/>
        </w:rPr>
        <w:t>Antikoagulanciá kumarínového typu (fenoprokumón alebo warfarín)</w:t>
      </w:r>
    </w:p>
    <w:p w:rsidR="005751AB" w:rsidRPr="00E55BD8" w:rsidRDefault="00311162" w:rsidP="00AD5D78">
      <w:pPr>
        <w:pStyle w:val="Default"/>
        <w:rPr>
          <w:sz w:val="22"/>
          <w:szCs w:val="22"/>
          <w:lang w:val="sk-SK"/>
        </w:rPr>
      </w:pPr>
      <w:r w:rsidRPr="00AE4876">
        <w:rPr>
          <w:sz w:val="22"/>
          <w:szCs w:val="22"/>
          <w:lang w:val="sk-SK"/>
        </w:rPr>
        <w:t>Súbežné podávanie pantoprazolu s warfarínom alebo fenprokumónom neovplyvňuje farmakokinetiku warfarínu, fenprokumónu alebo hodnotu INR. Avšak, boli hlásené zvýšené hodnoty INR</w:t>
      </w:r>
      <w:r w:rsidR="00FF4225">
        <w:rPr>
          <w:sz w:val="22"/>
          <w:szCs w:val="22"/>
          <w:lang w:val="sk-SK"/>
        </w:rPr>
        <w:t xml:space="preserve"> a </w:t>
      </w:r>
      <w:r w:rsidRPr="00AE4876">
        <w:rPr>
          <w:sz w:val="22"/>
          <w:szCs w:val="22"/>
          <w:lang w:val="sk-SK"/>
        </w:rPr>
        <w:t>protrombínového času u pacientov súbežne užívajúcich inhibítory protónovej pumpy s wafarínom alebo fenprokumónom. Zvýšená hodnota INR</w:t>
      </w:r>
      <w:r w:rsidR="00FF4225" w:rsidRPr="00FF4225">
        <w:rPr>
          <w:sz w:val="22"/>
          <w:szCs w:val="22"/>
          <w:lang w:val="sk-SK"/>
        </w:rPr>
        <w:t xml:space="preserve"> </w:t>
      </w:r>
      <w:r w:rsidR="00FF4225">
        <w:rPr>
          <w:sz w:val="22"/>
          <w:szCs w:val="22"/>
          <w:lang w:val="sk-SK"/>
        </w:rPr>
        <w:t>a </w:t>
      </w:r>
      <w:r w:rsidRPr="00AE4876">
        <w:rPr>
          <w:sz w:val="22"/>
          <w:szCs w:val="22"/>
          <w:lang w:val="sk-SK"/>
        </w:rPr>
        <w:t>protrombínového času môže viesť k zvýšenému krvácaniu, dokonca až k smrti. Preto pacienti liečení pantoprazolom a warfarínom alebo fenprokumónom majú byť sledovaní kvôli riziku zvýšenia hodnoty INR</w:t>
      </w:r>
      <w:r w:rsidR="00FF4225" w:rsidRPr="00FF4225">
        <w:rPr>
          <w:sz w:val="22"/>
          <w:szCs w:val="22"/>
          <w:lang w:val="sk-SK"/>
        </w:rPr>
        <w:t xml:space="preserve"> </w:t>
      </w:r>
      <w:r w:rsidR="00FF4225">
        <w:rPr>
          <w:sz w:val="22"/>
          <w:szCs w:val="22"/>
          <w:lang w:val="sk-SK"/>
        </w:rPr>
        <w:t>a </w:t>
      </w:r>
      <w:r w:rsidRPr="00AE4876">
        <w:rPr>
          <w:sz w:val="22"/>
          <w:szCs w:val="22"/>
          <w:lang w:val="sk-SK"/>
        </w:rPr>
        <w:t>protrombínového času.</w:t>
      </w:r>
    </w:p>
    <w:p w:rsidR="005751AB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62682C" w:rsidRPr="00C67387" w:rsidRDefault="0062682C" w:rsidP="0062682C">
      <w:pPr>
        <w:spacing w:after="0" w:line="240" w:lineRule="auto"/>
        <w:rPr>
          <w:rFonts w:ascii="Times New Roman" w:hAnsi="Times New Roman"/>
          <w:i/>
          <w:lang w:val="sk-SK"/>
        </w:rPr>
      </w:pPr>
      <w:r>
        <w:rPr>
          <w:rFonts w:ascii="Times New Roman" w:hAnsi="Times New Roman"/>
          <w:i/>
          <w:lang w:val="sk-SK"/>
        </w:rPr>
        <w:t>Metotrexát</w:t>
      </w:r>
    </w:p>
    <w:p w:rsidR="0062682C" w:rsidRDefault="0062682C" w:rsidP="0062682C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Pri sú</w:t>
      </w:r>
      <w:r w:rsidR="0072722A">
        <w:rPr>
          <w:rFonts w:ascii="Times New Roman" w:hAnsi="Times New Roman"/>
          <w:lang w:val="sk-SK"/>
        </w:rPr>
        <w:t>bež</w:t>
      </w:r>
      <w:r>
        <w:rPr>
          <w:rFonts w:ascii="Times New Roman" w:hAnsi="Times New Roman"/>
          <w:lang w:val="sk-SK"/>
        </w:rPr>
        <w:t>nom užívaní vysokých dávok metotrexátu (napr. 300</w:t>
      </w:r>
      <w:r w:rsidR="00FF4225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mg) a inhibítorov protónovej pumpy boli u niektorých pacientov hlásené zvýšené hladiny metotrexátu. Preto, </w:t>
      </w:r>
      <w:r w:rsidR="00FF4225">
        <w:rPr>
          <w:rFonts w:ascii="Times New Roman" w:hAnsi="Times New Roman"/>
          <w:lang w:val="sk-SK"/>
        </w:rPr>
        <w:t>a</w:t>
      </w:r>
      <w:r>
        <w:rPr>
          <w:rFonts w:ascii="Times New Roman" w:hAnsi="Times New Roman"/>
          <w:lang w:val="sk-SK"/>
        </w:rPr>
        <w:t xml:space="preserve">k sa používajú vysoké dávky metotrexátu, napríklad pri liečbe rakoviny a psoriázy, je potrebné </w:t>
      </w:r>
      <w:r w:rsidR="00FF4225">
        <w:rPr>
          <w:rFonts w:ascii="Times New Roman" w:hAnsi="Times New Roman"/>
          <w:lang w:val="sk-SK"/>
        </w:rPr>
        <w:t>z</w:t>
      </w:r>
      <w:r>
        <w:rPr>
          <w:rFonts w:ascii="Times New Roman" w:hAnsi="Times New Roman"/>
          <w:lang w:val="sk-SK"/>
        </w:rPr>
        <w:t>vážiť dočasné prerušenie liečby pantoprazolom.</w:t>
      </w:r>
    </w:p>
    <w:p w:rsidR="0062682C" w:rsidRPr="00AD5D78" w:rsidRDefault="0062682C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i/>
          <w:lang w:val="sk-SK"/>
        </w:rPr>
      </w:pPr>
      <w:r w:rsidRPr="00AD5D78">
        <w:rPr>
          <w:rFonts w:ascii="Times New Roman" w:hAnsi="Times New Roman"/>
          <w:i/>
          <w:iCs/>
          <w:lang w:val="sk-SK"/>
        </w:rPr>
        <w:t>Ďalšie interakčné štúdie</w:t>
      </w:r>
    </w:p>
    <w:p w:rsidR="005751AB" w:rsidRDefault="005751AB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 xml:space="preserve">Pantoprazol sa extenzívne metabolizuje v pečeni enzýmovým systémom cytochrómu P450. Hlavnou metabolickou cestou je demetylácia systémom CYP2C19, inou metabolickou cestou je oxidácia systémom CYP3A4. </w:t>
      </w:r>
    </w:p>
    <w:p w:rsidR="00311162" w:rsidRPr="00AD5D78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Default="005751AB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 xml:space="preserve">V štúdiách interakcií s </w:t>
      </w:r>
      <w:r w:rsidR="00311162">
        <w:rPr>
          <w:rFonts w:ascii="Times New Roman" w:hAnsi="Times New Roman"/>
          <w:color w:val="000000"/>
          <w:lang w:val="sk-SK"/>
        </w:rPr>
        <w:t>liekmi</w:t>
      </w:r>
      <w:r w:rsidRPr="00AD5D78">
        <w:rPr>
          <w:rFonts w:ascii="Times New Roman" w:hAnsi="Times New Roman"/>
          <w:color w:val="000000"/>
          <w:lang w:val="sk-SK"/>
        </w:rPr>
        <w:t xml:space="preserve"> tiež metabolizovanými týmito cestami, ako je karbamazepín, diazepam, glibenklamid, nifedipín a perorálne kontraceptíva obsahujúce levonorgestrel a etinylestradiol, sa však nezistili žiadne klinicky významné interakcie.</w:t>
      </w:r>
    </w:p>
    <w:p w:rsidR="00311162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11162" w:rsidRPr="00AD5D78" w:rsidRDefault="00311162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E4876">
        <w:rPr>
          <w:rFonts w:ascii="Times New Roman" w:hAnsi="Times New Roman"/>
          <w:lang w:val="sk-SK"/>
        </w:rPr>
        <w:t xml:space="preserve">Interakcie pantoprazolu s inými liekmi alebo </w:t>
      </w:r>
      <w:r w:rsidR="00FF4225" w:rsidRPr="006B2646">
        <w:rPr>
          <w:rFonts w:ascii="Times New Roman" w:hAnsi="Times New Roman"/>
        </w:rPr>
        <w:t>zlúčeninami</w:t>
      </w:r>
      <w:r w:rsidRPr="00AE4876">
        <w:rPr>
          <w:rFonts w:ascii="Times New Roman" w:hAnsi="Times New Roman"/>
          <w:lang w:val="sk-SK"/>
        </w:rPr>
        <w:t>, ktoré s</w:t>
      </w:r>
      <w:r w:rsidR="00FF4225">
        <w:rPr>
          <w:rFonts w:ascii="Times New Roman" w:hAnsi="Times New Roman"/>
          <w:lang w:val="sk-SK"/>
        </w:rPr>
        <w:t>ú</w:t>
      </w:r>
      <w:r w:rsidRPr="00AE4876">
        <w:rPr>
          <w:rFonts w:ascii="Times New Roman" w:hAnsi="Times New Roman"/>
          <w:lang w:val="sk-SK"/>
        </w:rPr>
        <w:t xml:space="preserve"> metaboliz</w:t>
      </w:r>
      <w:r w:rsidR="00FF4225">
        <w:rPr>
          <w:rFonts w:ascii="Times New Roman" w:hAnsi="Times New Roman"/>
          <w:lang w:val="sk-SK"/>
        </w:rPr>
        <w:t>ované</w:t>
      </w:r>
      <w:r w:rsidRPr="00AE4876">
        <w:rPr>
          <w:rFonts w:ascii="Times New Roman" w:hAnsi="Times New Roman"/>
          <w:lang w:val="sk-SK"/>
        </w:rPr>
        <w:t xml:space="preserve"> rovnakými systémami enzýmov, nie </w:t>
      </w:r>
      <w:r w:rsidR="00FF4225">
        <w:rPr>
          <w:rFonts w:ascii="Times New Roman" w:hAnsi="Times New Roman"/>
          <w:lang w:val="sk-SK"/>
        </w:rPr>
        <w:t>je možné</w:t>
      </w:r>
      <w:r w:rsidRPr="00AE4876">
        <w:rPr>
          <w:rFonts w:ascii="Times New Roman" w:hAnsi="Times New Roman"/>
          <w:lang w:val="sk-SK"/>
        </w:rPr>
        <w:t xml:space="preserve"> vylúč</w:t>
      </w:r>
      <w:r w:rsidR="00FF4225">
        <w:rPr>
          <w:rFonts w:ascii="Times New Roman" w:hAnsi="Times New Roman"/>
          <w:lang w:val="sk-SK"/>
        </w:rPr>
        <w:t>iť</w:t>
      </w:r>
      <w:r w:rsidRPr="00AE4876">
        <w:rPr>
          <w:rFonts w:ascii="Times New Roman" w:hAnsi="Times New Roman"/>
          <w:lang w:val="sk-SK"/>
        </w:rPr>
        <w:t>.</w:t>
      </w:r>
    </w:p>
    <w:p w:rsidR="00C26630" w:rsidRPr="00AD5D78" w:rsidRDefault="00C26630" w:rsidP="00AD5D78">
      <w:pPr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Pr="000B7967" w:rsidRDefault="005751AB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1F3864">
        <w:rPr>
          <w:rFonts w:ascii="Times New Roman" w:hAnsi="Times New Roman"/>
          <w:color w:val="000000"/>
          <w:lang w:val="sk-SK"/>
        </w:rPr>
        <w:t>Výsledky štúdií mnohých interakcií dokazujú, že pantoprazol nemá vplyv na metabolizmus liečiv metabolizovaných systémom CYP1A2 (ako je kofeín, teofylín), CYP2C9 (ako je piroxikam, diklofenak, naprox</w:t>
      </w:r>
      <w:r w:rsidR="000B7967" w:rsidRPr="000B7967">
        <w:rPr>
          <w:rFonts w:ascii="Times New Roman" w:hAnsi="Times New Roman"/>
          <w:color w:val="000000"/>
          <w:lang w:val="sk-SK"/>
        </w:rPr>
        <w:t>é</w:t>
      </w:r>
      <w:r w:rsidRPr="000B7967">
        <w:rPr>
          <w:rFonts w:ascii="Times New Roman" w:hAnsi="Times New Roman"/>
          <w:color w:val="000000"/>
          <w:lang w:val="sk-SK"/>
        </w:rPr>
        <w:t xml:space="preserve">n), CYP2D6 (ako je metoprolol), CYP2E1 (ako je etanol) ani </w:t>
      </w:r>
      <w:r w:rsidR="000B7967" w:rsidRPr="00271DB3">
        <w:rPr>
          <w:rFonts w:ascii="Times New Roman" w:hAnsi="Times New Roman"/>
          <w:lang w:val="sk-SK"/>
        </w:rPr>
        <w:t>neovplyvňuje absorpciu digoxínu súvisiacu s </w:t>
      </w:r>
      <w:r w:rsidRPr="000B7967">
        <w:rPr>
          <w:rFonts w:ascii="Times New Roman" w:hAnsi="Times New Roman"/>
          <w:color w:val="000000"/>
          <w:lang w:val="sk-SK"/>
        </w:rPr>
        <w:t>p-glykoproteínom.</w:t>
      </w:r>
    </w:p>
    <w:p w:rsidR="000B7967" w:rsidRPr="000B7967" w:rsidRDefault="000B7967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Pr="00AD5D78" w:rsidRDefault="005751AB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Nezistili sa žiadne interakcie so súbežne podávanými antacidmi.</w:t>
      </w:r>
    </w:p>
    <w:p w:rsidR="00C26630" w:rsidRPr="00AD5D78" w:rsidRDefault="00C26630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5751AB" w:rsidRDefault="000B7967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color w:val="000000"/>
          <w:lang w:val="sk-SK"/>
        </w:rPr>
        <w:t>Vykonali sa tiež</w:t>
      </w:r>
      <w:r w:rsidRPr="00AD5D78">
        <w:rPr>
          <w:rFonts w:ascii="Times New Roman" w:hAnsi="Times New Roman"/>
          <w:color w:val="000000"/>
          <w:lang w:val="sk-SK"/>
        </w:rPr>
        <w:t xml:space="preserve"> i</w:t>
      </w:r>
      <w:r w:rsidR="005751AB" w:rsidRPr="00AD5D78">
        <w:rPr>
          <w:rFonts w:ascii="Times New Roman" w:hAnsi="Times New Roman"/>
          <w:color w:val="000000"/>
          <w:lang w:val="sk-SK"/>
        </w:rPr>
        <w:t>nterakčné štúdie pri súbežnom podávaní pantoprazolu s niektorými antibiotikami (klaritromycín, metronidazol, amoxicilín). Žiadne klinicky významné interakcie sa nezistili.</w:t>
      </w:r>
    </w:p>
    <w:p w:rsidR="00311162" w:rsidRDefault="00311162" w:rsidP="00AD5D78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311162" w:rsidRPr="00271DB3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271DB3">
        <w:rPr>
          <w:rFonts w:ascii="Times New Roman" w:hAnsi="Times New Roman"/>
          <w:i/>
          <w:lang w:val="sk-SK"/>
        </w:rPr>
        <w:t>Lieky, ktoré inhibujú alebo indukujú CYP2C19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Inhibítory CYP2C19, ako je napr.</w:t>
      </w:r>
      <w:r w:rsidR="000B7967">
        <w:rPr>
          <w:rFonts w:ascii="Times New Roman" w:hAnsi="Times New Roman"/>
          <w:lang w:val="sk-SK"/>
        </w:rPr>
        <w:t xml:space="preserve"> </w:t>
      </w:r>
      <w:r w:rsidRPr="00AE4876">
        <w:rPr>
          <w:rFonts w:ascii="Times New Roman" w:hAnsi="Times New Roman"/>
          <w:lang w:val="sk-SK"/>
        </w:rPr>
        <w:t xml:space="preserve">fluvoxamín môžu zvýšiť systémovú expozíciu pantoprazolu. </w:t>
      </w:r>
      <w:r w:rsidR="000B7967">
        <w:rPr>
          <w:rFonts w:ascii="Times New Roman" w:hAnsi="Times New Roman"/>
          <w:lang w:val="sk-SK"/>
        </w:rPr>
        <w:t>U </w:t>
      </w:r>
      <w:r w:rsidRPr="00AE4876">
        <w:rPr>
          <w:rFonts w:ascii="Times New Roman" w:hAnsi="Times New Roman"/>
          <w:lang w:val="sk-SK"/>
        </w:rPr>
        <w:t xml:space="preserve">pacientov </w:t>
      </w:r>
      <w:r w:rsidR="000B7967" w:rsidRPr="00AE4876">
        <w:rPr>
          <w:rFonts w:ascii="Times New Roman" w:hAnsi="Times New Roman"/>
          <w:lang w:val="sk-SK"/>
        </w:rPr>
        <w:t xml:space="preserve">dlhodobo </w:t>
      </w:r>
      <w:r w:rsidRPr="00AE4876">
        <w:rPr>
          <w:rFonts w:ascii="Times New Roman" w:hAnsi="Times New Roman"/>
          <w:lang w:val="sk-SK"/>
        </w:rPr>
        <w:t>liečených vysokými dávkami pantoprazolu alebo u pacientov s poruchou funkcie pečene</w:t>
      </w:r>
      <w:r w:rsidR="000B7967">
        <w:rPr>
          <w:rFonts w:ascii="Times New Roman" w:hAnsi="Times New Roman"/>
          <w:lang w:val="sk-SK"/>
        </w:rPr>
        <w:t xml:space="preserve"> </w:t>
      </w:r>
      <w:r w:rsidR="000B7967" w:rsidRPr="001F418B">
        <w:rPr>
          <w:rFonts w:ascii="Times New Roman" w:hAnsi="Times New Roman"/>
          <w:lang w:val="sk-SK"/>
        </w:rPr>
        <w:t xml:space="preserve">môže byť </w:t>
      </w:r>
      <w:r w:rsidR="000B7967" w:rsidRPr="00555169">
        <w:rPr>
          <w:rFonts w:ascii="Times New Roman" w:hAnsi="Times New Roman"/>
          <w:lang w:val="sk-SK"/>
        </w:rPr>
        <w:t xml:space="preserve">potrebné </w:t>
      </w:r>
      <w:r w:rsidR="000B7967" w:rsidRPr="006B2646">
        <w:rPr>
          <w:rFonts w:ascii="Times New Roman" w:hAnsi="Times New Roman"/>
        </w:rPr>
        <w:t>zvážiť</w:t>
      </w:r>
      <w:r w:rsidR="000B7967" w:rsidRPr="00555169">
        <w:rPr>
          <w:rFonts w:ascii="Times New Roman" w:hAnsi="Times New Roman"/>
          <w:lang w:val="sk-SK"/>
        </w:rPr>
        <w:t xml:space="preserve"> zníženie</w:t>
      </w:r>
      <w:r w:rsidR="000B7967" w:rsidRPr="001F418B">
        <w:rPr>
          <w:rFonts w:ascii="Times New Roman" w:hAnsi="Times New Roman"/>
          <w:lang w:val="sk-SK"/>
        </w:rPr>
        <w:t xml:space="preserve"> dávky</w:t>
      </w:r>
      <w:r w:rsidRPr="00AE4876">
        <w:rPr>
          <w:rFonts w:ascii="Times New Roman" w:hAnsi="Times New Roman"/>
          <w:lang w:val="sk-SK"/>
        </w:rPr>
        <w:t>.</w:t>
      </w:r>
    </w:p>
    <w:p w:rsidR="00311162" w:rsidRPr="00AD5D78" w:rsidRDefault="00311162" w:rsidP="00311162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E4876">
        <w:rPr>
          <w:rFonts w:ascii="Times New Roman" w:hAnsi="Times New Roman"/>
          <w:lang w:val="sk-SK"/>
        </w:rPr>
        <w:t>Induktory enzýmov</w:t>
      </w:r>
      <w:r w:rsidR="000B7967">
        <w:rPr>
          <w:rFonts w:ascii="Times New Roman" w:hAnsi="Times New Roman"/>
          <w:lang w:val="sk-SK"/>
        </w:rPr>
        <w:t xml:space="preserve">, </w:t>
      </w:r>
      <w:r w:rsidR="000B7967" w:rsidRPr="006B2646">
        <w:rPr>
          <w:rFonts w:ascii="Times New Roman" w:hAnsi="Times New Roman"/>
        </w:rPr>
        <w:t>ktoré ovplyvňujú</w:t>
      </w:r>
      <w:r w:rsidRPr="00AE4876">
        <w:rPr>
          <w:rFonts w:ascii="Times New Roman" w:hAnsi="Times New Roman"/>
          <w:lang w:val="sk-SK"/>
        </w:rPr>
        <w:t xml:space="preserve"> CYPP2C19 a CYP3A4, ako je rifampicín a ľubovník bodkovaný (</w:t>
      </w:r>
      <w:r w:rsidRPr="00AE4876">
        <w:rPr>
          <w:rFonts w:ascii="Times New Roman" w:hAnsi="Times New Roman"/>
          <w:i/>
          <w:lang w:val="sk-SK"/>
        </w:rPr>
        <w:t>Hypericum perforatum</w:t>
      </w:r>
      <w:r w:rsidRPr="00AE4876">
        <w:rPr>
          <w:rFonts w:ascii="Times New Roman" w:hAnsi="Times New Roman"/>
          <w:lang w:val="sk-SK"/>
        </w:rPr>
        <w:t>), môžu znižovať plazmatické koncentrácie PPI, ktoré sú metabolizované prostredníctvom týchto enzýmových systémov.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4.6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r w:rsidR="00463790" w:rsidRPr="00AD5D78">
        <w:rPr>
          <w:rFonts w:ascii="Times New Roman" w:hAnsi="Times New Roman"/>
          <w:b/>
          <w:color w:val="000000"/>
          <w:lang w:val="sk-SK"/>
        </w:rPr>
        <w:t>Fertilita, g</w:t>
      </w:r>
      <w:r w:rsidRPr="00AD5D78">
        <w:rPr>
          <w:rFonts w:ascii="Times New Roman" w:hAnsi="Times New Roman"/>
          <w:b/>
          <w:color w:val="000000"/>
          <w:lang w:val="sk-SK"/>
        </w:rPr>
        <w:t>ravidita a laktácia</w:t>
      </w:r>
    </w:p>
    <w:p w:rsidR="00913A3C" w:rsidRPr="00AD5D78" w:rsidRDefault="00913A3C" w:rsidP="00271DB3">
      <w:pPr>
        <w:keepNext/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4E2B43" w:rsidRPr="00AD5D78" w:rsidRDefault="004E2B43" w:rsidP="00271DB3">
      <w:pPr>
        <w:keepNext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Gravidita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Priemerné množstvo údajov od gravidných žien (medzi 300 – 1</w:t>
      </w:r>
      <w:r>
        <w:rPr>
          <w:rFonts w:ascii="Times New Roman" w:hAnsi="Times New Roman"/>
          <w:lang w:val="sk-SK"/>
        </w:rPr>
        <w:t xml:space="preserve"> </w:t>
      </w:r>
      <w:r w:rsidRPr="00AE4876">
        <w:rPr>
          <w:rFonts w:ascii="Times New Roman" w:hAnsi="Times New Roman"/>
          <w:lang w:val="sk-SK"/>
        </w:rPr>
        <w:t>000 výsledkov od tehotných žien) nenaznačuje žiadnu malformačnú alebo fet</w:t>
      </w:r>
      <w:r w:rsidR="000B7967">
        <w:rPr>
          <w:rFonts w:ascii="Times New Roman" w:hAnsi="Times New Roman"/>
          <w:lang w:val="sk-SK"/>
        </w:rPr>
        <w:t>álnu</w:t>
      </w:r>
      <w:r w:rsidRPr="00AE4876">
        <w:rPr>
          <w:rFonts w:ascii="Times New Roman" w:hAnsi="Times New Roman"/>
          <w:lang w:val="sk-SK"/>
        </w:rPr>
        <w:t xml:space="preserve">/novorodeneckú toxicitu </w:t>
      </w:r>
      <w:r>
        <w:rPr>
          <w:rFonts w:ascii="Times New Roman" w:hAnsi="Times New Roman"/>
          <w:lang w:val="sk-SK"/>
        </w:rPr>
        <w:t>pantoprazolu</w:t>
      </w:r>
      <w:r w:rsidRPr="00AE4876">
        <w:rPr>
          <w:rFonts w:ascii="Times New Roman" w:hAnsi="Times New Roman"/>
          <w:lang w:val="sk-SK"/>
        </w:rPr>
        <w:t>.</w:t>
      </w:r>
    </w:p>
    <w:p w:rsidR="00311162" w:rsidRPr="00AE4876" w:rsidRDefault="00311162" w:rsidP="00311162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Štúdie na zvieratách preukázali reprodukčnú toxicitu (pozri časť 5.3).</w:t>
      </w:r>
    </w:p>
    <w:p w:rsidR="004E2B43" w:rsidRDefault="00311162" w:rsidP="00271DB3">
      <w:pPr>
        <w:widowControl w:val="0"/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 xml:space="preserve">Ako preventívne opatrenie je vhodné vyhnúť sa používaniu </w:t>
      </w:r>
      <w:r>
        <w:rPr>
          <w:rFonts w:ascii="Times New Roman" w:hAnsi="Times New Roman"/>
          <w:lang w:val="sk-SK"/>
        </w:rPr>
        <w:t>pantoprazolu</w:t>
      </w:r>
      <w:r w:rsidRPr="00AE4876">
        <w:rPr>
          <w:rFonts w:ascii="Times New Roman" w:hAnsi="Times New Roman"/>
          <w:lang w:val="sk-SK"/>
        </w:rPr>
        <w:t xml:space="preserve"> v tehotenstve.</w:t>
      </w:r>
    </w:p>
    <w:p w:rsidR="00311162" w:rsidRPr="00AD5D78" w:rsidRDefault="00311162" w:rsidP="00271DB3">
      <w:pPr>
        <w:widowControl w:val="0"/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130961" w:rsidP="00AD5D78">
      <w:p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iCs/>
          <w:u w:val="single"/>
          <w:lang w:val="sk-SK"/>
        </w:rPr>
        <w:t>Dojčenie</w:t>
      </w:r>
    </w:p>
    <w:p w:rsidR="004E2B43" w:rsidRPr="00AD5D78" w:rsidRDefault="004E2B43" w:rsidP="00AD5D78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Cs/>
          <w:lang w:val="sk-SK"/>
        </w:rPr>
      </w:pPr>
      <w:r w:rsidRPr="00AD5D78">
        <w:rPr>
          <w:rFonts w:ascii="Times New Roman" w:hAnsi="Times New Roman"/>
          <w:bCs/>
          <w:lang w:val="sk-SK"/>
        </w:rPr>
        <w:t xml:space="preserve">Štúdie na zvieratách preukázali vylučovanie pantoprazolu do materského mlieka. </w:t>
      </w:r>
      <w:r w:rsidR="00311162" w:rsidRPr="00AE4876">
        <w:rPr>
          <w:rFonts w:ascii="Times New Roman" w:hAnsi="Times New Roman"/>
          <w:lang w:val="sk-SK"/>
        </w:rPr>
        <w:t xml:space="preserve">Nie sú </w:t>
      </w:r>
      <w:r w:rsidR="000B7967">
        <w:rPr>
          <w:rFonts w:ascii="Times New Roman" w:hAnsi="Times New Roman"/>
          <w:lang w:val="sk-SK"/>
        </w:rPr>
        <w:t xml:space="preserve">k dispozícii </w:t>
      </w:r>
      <w:r w:rsidR="00311162" w:rsidRPr="00AE4876">
        <w:rPr>
          <w:rFonts w:ascii="Times New Roman" w:hAnsi="Times New Roman"/>
          <w:lang w:val="sk-SK"/>
        </w:rPr>
        <w:t>dostatočné informácie o vylučovaní pantoprazolu do ľudského mlieka</w:t>
      </w:r>
      <w:r w:rsidR="00311162" w:rsidRPr="00B31E88">
        <w:rPr>
          <w:rFonts w:ascii="Times New Roman" w:hAnsi="Times New Roman"/>
          <w:lang w:val="sk-SK"/>
        </w:rPr>
        <w:t xml:space="preserve"> ale </w:t>
      </w:r>
      <w:r w:rsidR="00311162" w:rsidRPr="00AE4876">
        <w:rPr>
          <w:rFonts w:ascii="Times New Roman" w:hAnsi="Times New Roman"/>
          <w:lang w:val="sk-SK"/>
        </w:rPr>
        <w:t>jeho vylučovanie do materského mlieka u žien bolo zaznamenané. Riziko pre novorodencov/dojčatá nie je možné vylúčiť.</w:t>
      </w:r>
      <w:r w:rsidRPr="00AD5D78">
        <w:rPr>
          <w:rFonts w:ascii="Times New Roman" w:hAnsi="Times New Roman"/>
          <w:bCs/>
          <w:lang w:val="sk-SK"/>
        </w:rPr>
        <w:t xml:space="preserve"> </w:t>
      </w:r>
      <w:r w:rsidR="00AC6144">
        <w:rPr>
          <w:rFonts w:ascii="Times New Roman" w:hAnsi="Times New Roman"/>
          <w:bCs/>
          <w:lang w:val="sk-SK"/>
        </w:rPr>
        <w:t xml:space="preserve">Z uvedených dôvodov </w:t>
      </w:r>
      <w:r w:rsidR="000B7967">
        <w:rPr>
          <w:rFonts w:ascii="Times New Roman" w:hAnsi="Times New Roman"/>
          <w:bCs/>
          <w:lang w:val="sk-SK"/>
        </w:rPr>
        <w:t xml:space="preserve">je </w:t>
      </w:r>
      <w:r w:rsidR="00AC6144">
        <w:rPr>
          <w:rFonts w:ascii="Times New Roman" w:hAnsi="Times New Roman"/>
          <w:bCs/>
          <w:lang w:val="sk-SK"/>
        </w:rPr>
        <w:t>p</w:t>
      </w:r>
      <w:r w:rsidRPr="00AD5D78">
        <w:rPr>
          <w:rFonts w:ascii="Times New Roman" w:hAnsi="Times New Roman"/>
          <w:bCs/>
          <w:lang w:val="sk-SK"/>
        </w:rPr>
        <w:t>ri rozhodnutí o prerušení dojčenia alebo prerušení</w:t>
      </w:r>
      <w:r w:rsidR="00AC6144">
        <w:rPr>
          <w:rFonts w:ascii="Times New Roman" w:hAnsi="Times New Roman"/>
          <w:bCs/>
          <w:lang w:val="sk-SK"/>
        </w:rPr>
        <w:t>/zdržaní sa</w:t>
      </w:r>
      <w:r w:rsidRPr="00AD5D78">
        <w:rPr>
          <w:rFonts w:ascii="Times New Roman" w:hAnsi="Times New Roman"/>
          <w:bCs/>
          <w:lang w:val="sk-SK"/>
        </w:rPr>
        <w:t xml:space="preserve"> liečby </w:t>
      </w:r>
      <w:r w:rsidR="00463790" w:rsidRPr="00AD5D78">
        <w:rPr>
          <w:rFonts w:ascii="Times New Roman" w:hAnsi="Times New Roman"/>
          <w:lang w:val="sk-SK"/>
        </w:rPr>
        <w:t>Ozzion</w:t>
      </w:r>
      <w:r w:rsidR="00C877BE" w:rsidRPr="00AD5D78">
        <w:rPr>
          <w:rFonts w:ascii="Times New Roman" w:hAnsi="Times New Roman"/>
          <w:lang w:val="sk-SK"/>
        </w:rPr>
        <w:t>om</w:t>
      </w:r>
      <w:r w:rsidR="002A5318" w:rsidRPr="00343696">
        <w:rPr>
          <w:rFonts w:ascii="Times New Roman" w:hAnsi="Times New Roman"/>
          <w:lang w:val="sk-SK"/>
        </w:rPr>
        <w:t xml:space="preserve"> </w:t>
      </w:r>
      <w:r w:rsidRPr="00E55BD8">
        <w:rPr>
          <w:rFonts w:ascii="Times New Roman" w:hAnsi="Times New Roman"/>
          <w:lang w:val="sk-SK"/>
        </w:rPr>
        <w:t>40</w:t>
      </w:r>
      <w:r w:rsidR="000B7967">
        <w:rPr>
          <w:rFonts w:ascii="Times New Roman" w:hAnsi="Times New Roman"/>
          <w:lang w:val="sk-SK"/>
        </w:rPr>
        <w:t> </w:t>
      </w:r>
      <w:r w:rsidRPr="00E55BD8">
        <w:rPr>
          <w:rFonts w:ascii="Times New Roman" w:hAnsi="Times New Roman"/>
          <w:lang w:val="sk-SK"/>
        </w:rPr>
        <w:t xml:space="preserve">mg </w:t>
      </w:r>
      <w:r w:rsidRPr="00E55BD8">
        <w:rPr>
          <w:rFonts w:ascii="Times New Roman" w:hAnsi="Times New Roman"/>
          <w:bCs/>
          <w:lang w:val="sk-SK"/>
        </w:rPr>
        <w:t xml:space="preserve">potrebné vziať do úvahy prínos dojčenia pre dieťa a prínos liečby </w:t>
      </w:r>
      <w:r w:rsidR="00463790" w:rsidRPr="00AD5D78">
        <w:rPr>
          <w:rFonts w:ascii="Times New Roman" w:hAnsi="Times New Roman"/>
          <w:lang w:val="sk-SK"/>
        </w:rPr>
        <w:t>Ozzion</w:t>
      </w:r>
      <w:r w:rsidR="00C877BE" w:rsidRPr="00AD5D78">
        <w:rPr>
          <w:rFonts w:ascii="Times New Roman" w:hAnsi="Times New Roman"/>
          <w:lang w:val="sk-SK"/>
        </w:rPr>
        <w:t>om</w:t>
      </w:r>
      <w:r w:rsidR="002A5318" w:rsidRPr="00AD5D78">
        <w:rPr>
          <w:rFonts w:ascii="Times New Roman" w:hAnsi="Times New Roman"/>
          <w:lang w:val="sk-SK"/>
        </w:rPr>
        <w:t xml:space="preserve"> </w:t>
      </w:r>
      <w:r w:rsidRPr="00AD5D78">
        <w:rPr>
          <w:rFonts w:ascii="Times New Roman" w:hAnsi="Times New Roman"/>
          <w:lang w:val="sk-SK"/>
        </w:rPr>
        <w:t>40</w:t>
      </w:r>
      <w:r w:rsidR="000B7967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 xml:space="preserve">mg </w:t>
      </w:r>
      <w:r w:rsidRPr="00AD5D78">
        <w:rPr>
          <w:rFonts w:ascii="Times New Roman" w:hAnsi="Times New Roman"/>
          <w:bCs/>
          <w:lang w:val="sk-SK"/>
        </w:rPr>
        <w:t>pre ženu.</w:t>
      </w:r>
    </w:p>
    <w:p w:rsidR="004E2B43" w:rsidRDefault="004E2B43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AC6144" w:rsidRPr="00AE4876" w:rsidRDefault="00AC6144" w:rsidP="00AC6144">
      <w:pPr>
        <w:tabs>
          <w:tab w:val="left" w:pos="720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AE4876">
        <w:rPr>
          <w:rFonts w:ascii="Times New Roman" w:hAnsi="Times New Roman"/>
          <w:u w:val="single"/>
          <w:lang w:val="sk-SK"/>
        </w:rPr>
        <w:t>Fertilita</w:t>
      </w:r>
    </w:p>
    <w:p w:rsidR="00AC6144" w:rsidRDefault="00AC6144" w:rsidP="00AC6144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E4876">
        <w:rPr>
          <w:rFonts w:ascii="Times New Roman" w:hAnsi="Times New Roman"/>
          <w:lang w:val="sk-SK"/>
        </w:rPr>
        <w:t>V štúdiách na zvieratách sa neobjavil žiadny dôkaz o narušenej fertilite po podaní pantoprazolu (pozri časť 5.3).</w:t>
      </w:r>
    </w:p>
    <w:p w:rsidR="00AC6144" w:rsidRPr="00AD5D78" w:rsidRDefault="00AC6144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4.7</w:t>
      </w:r>
      <w:r w:rsidRPr="00AD5D78">
        <w:rPr>
          <w:rFonts w:ascii="Times New Roman" w:hAnsi="Times New Roman"/>
          <w:b/>
          <w:color w:val="000000"/>
          <w:lang w:val="sk-SK"/>
        </w:rPr>
        <w:tab/>
        <w:t>Ovplyvnenie schopnosti viesť vozidlá a obsluhovať stroje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AC6144" w:rsidRDefault="00AC6144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E4876">
        <w:rPr>
          <w:rFonts w:ascii="Times New Roman" w:hAnsi="Times New Roman"/>
          <w:lang w:val="sk-SK"/>
        </w:rPr>
        <w:t>Pantoprazol nemá žiadny alebo má zanedbateľný vplyv na schopnosť viesť vozidlá a obsluhovať stroje.</w:t>
      </w:r>
    </w:p>
    <w:p w:rsidR="00AC6144" w:rsidRDefault="00AC6144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PT"/>
        </w:rPr>
      </w:pPr>
      <w:r w:rsidRPr="00AD5D78">
        <w:rPr>
          <w:rFonts w:ascii="Times New Roman" w:hAnsi="Times New Roman"/>
          <w:lang w:val="sk-SK"/>
        </w:rPr>
        <w:t xml:space="preserve">Môžu sa vyskytnúť nežiaduce </w:t>
      </w:r>
      <w:r w:rsidR="000B7967">
        <w:rPr>
          <w:rFonts w:ascii="Times New Roman" w:hAnsi="Times New Roman"/>
          <w:lang w:val="sk-SK"/>
        </w:rPr>
        <w:t xml:space="preserve">liekové </w:t>
      </w:r>
      <w:r w:rsidRPr="00AD5D78">
        <w:rPr>
          <w:rFonts w:ascii="Times New Roman" w:hAnsi="Times New Roman"/>
          <w:lang w:val="sk-SK"/>
        </w:rPr>
        <w:t>reakcie</w:t>
      </w:r>
      <w:r w:rsidR="000B7967">
        <w:rPr>
          <w:rFonts w:ascii="Times New Roman" w:hAnsi="Times New Roman"/>
          <w:lang w:val="sk-SK"/>
        </w:rPr>
        <w:t>,</w:t>
      </w:r>
      <w:r w:rsidRPr="00AD5D78">
        <w:rPr>
          <w:rFonts w:ascii="Times New Roman" w:hAnsi="Times New Roman"/>
          <w:lang w:val="sk-SK"/>
        </w:rPr>
        <w:t xml:space="preserve"> ako </w:t>
      </w:r>
      <w:r w:rsidR="000B7967">
        <w:rPr>
          <w:rFonts w:ascii="Times New Roman" w:hAnsi="Times New Roman"/>
          <w:lang w:val="sk-SK"/>
        </w:rPr>
        <w:t xml:space="preserve">sú </w:t>
      </w:r>
      <w:r w:rsidRPr="00AD5D78">
        <w:rPr>
          <w:rFonts w:ascii="Times New Roman" w:hAnsi="Times New Roman"/>
          <w:lang w:val="sk-SK"/>
        </w:rPr>
        <w:t xml:space="preserve">závraty a poruchy videnia (pozri časť 4.8). </w:t>
      </w:r>
      <w:r w:rsidRPr="00AD5D78">
        <w:rPr>
          <w:rFonts w:ascii="Times New Roman" w:hAnsi="Times New Roman"/>
          <w:lang w:val="pt-PT"/>
        </w:rPr>
        <w:t>V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>takomto prípade pacient nesmie viesť motorové vozidlá a obsluhovať stroje.</w:t>
      </w:r>
    </w:p>
    <w:p w:rsidR="004E2B43" w:rsidRPr="00271DB3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4.8</w:t>
      </w:r>
      <w:r w:rsidRPr="00AD5D78">
        <w:rPr>
          <w:rFonts w:ascii="Times New Roman" w:hAnsi="Times New Roman"/>
          <w:b/>
          <w:color w:val="000000"/>
          <w:lang w:val="sk-SK"/>
        </w:rPr>
        <w:tab/>
        <w:t>Nežiaduce účinky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lang w:val="pt-PT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t-PT"/>
        </w:rPr>
      </w:pPr>
      <w:r w:rsidRPr="00AD5D78">
        <w:rPr>
          <w:rFonts w:ascii="Times New Roman" w:hAnsi="Times New Roman"/>
          <w:lang w:val="pt-PT"/>
        </w:rPr>
        <w:t>Dá sa predokladať, že nežiaduce účinky sa vyskytnú približne</w:t>
      </w:r>
      <w:r w:rsidR="00C26630" w:rsidRPr="00AD5D78">
        <w:rPr>
          <w:rFonts w:ascii="Times New Roman" w:hAnsi="Times New Roman"/>
          <w:lang w:val="pt-PT"/>
        </w:rPr>
        <w:t xml:space="preserve"> u</w:t>
      </w:r>
      <w:r w:rsidRPr="00AD5D78">
        <w:rPr>
          <w:rFonts w:ascii="Times New Roman" w:hAnsi="Times New Roman"/>
          <w:lang w:val="pt-PT"/>
        </w:rPr>
        <w:t xml:space="preserve"> 5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 xml:space="preserve">% pacientov. </w:t>
      </w:r>
      <w:r w:rsidR="000B7967">
        <w:rPr>
          <w:rFonts w:ascii="Times New Roman" w:hAnsi="Times New Roman"/>
          <w:lang w:val="pt-PT"/>
        </w:rPr>
        <w:t xml:space="preserve">Najčastejšie hlásené </w:t>
      </w:r>
      <w:r w:rsidRPr="00AD5D78">
        <w:rPr>
          <w:rFonts w:ascii="Times New Roman" w:hAnsi="Times New Roman"/>
          <w:lang w:val="pt-PT"/>
        </w:rPr>
        <w:t>nežiaduc</w:t>
      </w:r>
      <w:r w:rsidR="000B7967">
        <w:rPr>
          <w:rFonts w:ascii="Times New Roman" w:hAnsi="Times New Roman"/>
          <w:lang w:val="pt-PT"/>
        </w:rPr>
        <w:t>e</w:t>
      </w:r>
      <w:r w:rsidRPr="00AD5D78">
        <w:rPr>
          <w:rFonts w:ascii="Times New Roman" w:hAnsi="Times New Roman"/>
          <w:lang w:val="pt-PT"/>
        </w:rPr>
        <w:t xml:space="preserve"> účink</w:t>
      </w:r>
      <w:r w:rsidR="000B7967">
        <w:rPr>
          <w:rFonts w:ascii="Times New Roman" w:hAnsi="Times New Roman"/>
          <w:lang w:val="pt-PT"/>
        </w:rPr>
        <w:t>y</w:t>
      </w:r>
      <w:r w:rsidRPr="00AD5D78">
        <w:rPr>
          <w:rFonts w:ascii="Times New Roman" w:hAnsi="Times New Roman"/>
          <w:lang w:val="pt-PT"/>
        </w:rPr>
        <w:t xml:space="preserve"> </w:t>
      </w:r>
      <w:r w:rsidR="000B7967">
        <w:rPr>
          <w:rFonts w:ascii="Times New Roman" w:hAnsi="Times New Roman"/>
          <w:lang w:val="pt-PT"/>
        </w:rPr>
        <w:t>sú</w:t>
      </w:r>
      <w:r w:rsidRPr="00AD5D78">
        <w:rPr>
          <w:rFonts w:ascii="Times New Roman" w:hAnsi="Times New Roman"/>
          <w:lang w:val="pt-PT"/>
        </w:rPr>
        <w:t xml:space="preserve"> hnačka a bolesť hlavy, ktoré sa môžu vyskytnúť približne </w:t>
      </w:r>
      <w:r w:rsidR="00C26630" w:rsidRPr="00AD5D78">
        <w:rPr>
          <w:rFonts w:ascii="Times New Roman" w:hAnsi="Times New Roman"/>
          <w:lang w:val="pt-PT"/>
        </w:rPr>
        <w:t xml:space="preserve">u </w:t>
      </w:r>
      <w:r w:rsidRPr="00AD5D78">
        <w:rPr>
          <w:rFonts w:ascii="Times New Roman" w:hAnsi="Times New Roman"/>
          <w:lang w:val="pt-PT"/>
        </w:rPr>
        <w:t>1</w:t>
      </w:r>
      <w:r w:rsidR="000B7967">
        <w:rPr>
          <w:rFonts w:ascii="Times New Roman" w:hAnsi="Times New Roman"/>
          <w:lang w:val="pt-PT"/>
        </w:rPr>
        <w:t> </w:t>
      </w:r>
      <w:r w:rsidRPr="00AD5D78">
        <w:rPr>
          <w:rFonts w:ascii="Times New Roman" w:hAnsi="Times New Roman"/>
          <w:lang w:val="pt-PT"/>
        </w:rPr>
        <w:t>% pacientov.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noProof/>
          <w:lang w:val="pt-PT"/>
        </w:rPr>
      </w:pPr>
    </w:p>
    <w:p w:rsidR="004E2B43" w:rsidRPr="00AD5D78" w:rsidRDefault="000B7967" w:rsidP="00AD5D78">
      <w:pPr>
        <w:spacing w:after="0" w:line="240" w:lineRule="auto"/>
        <w:rPr>
          <w:rFonts w:ascii="Times New Roman" w:hAnsi="Times New Roman"/>
          <w:noProof/>
          <w:lang w:val="pt-PT"/>
        </w:rPr>
      </w:pPr>
      <w:r>
        <w:rPr>
          <w:rFonts w:ascii="Times New Roman" w:hAnsi="Times New Roman"/>
          <w:noProof/>
          <w:lang w:val="pt-PT"/>
        </w:rPr>
        <w:t xml:space="preserve">V </w:t>
      </w:r>
      <w:r w:rsidRPr="00AD5D78">
        <w:rPr>
          <w:rFonts w:ascii="Times New Roman" w:hAnsi="Times New Roman"/>
          <w:noProof/>
          <w:lang w:val="pt-PT"/>
        </w:rPr>
        <w:t>t</w:t>
      </w:r>
      <w:r w:rsidR="005751AB" w:rsidRPr="00AD5D78">
        <w:rPr>
          <w:rFonts w:ascii="Times New Roman" w:hAnsi="Times New Roman"/>
          <w:noProof/>
          <w:lang w:val="pt-PT"/>
        </w:rPr>
        <w:t>abuľk</w:t>
      </w:r>
      <w:r>
        <w:rPr>
          <w:rFonts w:ascii="Times New Roman" w:hAnsi="Times New Roman"/>
          <w:noProof/>
          <w:lang w:val="pt-PT"/>
        </w:rPr>
        <w:t>e</w:t>
      </w:r>
      <w:r w:rsidR="005751AB" w:rsidRPr="00AD5D78">
        <w:rPr>
          <w:rFonts w:ascii="Times New Roman" w:hAnsi="Times New Roman"/>
          <w:noProof/>
          <w:lang w:val="pt-PT"/>
        </w:rPr>
        <w:t xml:space="preserve"> nižšie </w:t>
      </w:r>
      <w:r>
        <w:rPr>
          <w:rFonts w:ascii="Times New Roman" w:hAnsi="Times New Roman"/>
          <w:noProof/>
          <w:lang w:val="pt-PT"/>
        </w:rPr>
        <w:t xml:space="preserve">sú </w:t>
      </w:r>
      <w:r w:rsidR="005751AB" w:rsidRPr="00AD5D78">
        <w:rPr>
          <w:rFonts w:ascii="Times New Roman" w:hAnsi="Times New Roman"/>
          <w:noProof/>
          <w:lang w:val="pt-PT"/>
        </w:rPr>
        <w:t>uv</w:t>
      </w:r>
      <w:r>
        <w:rPr>
          <w:rFonts w:ascii="Times New Roman" w:hAnsi="Times New Roman"/>
          <w:noProof/>
          <w:lang w:val="pt-PT"/>
        </w:rPr>
        <w:t>e</w:t>
      </w:r>
      <w:r w:rsidR="005751AB" w:rsidRPr="00AD5D78">
        <w:rPr>
          <w:rFonts w:ascii="Times New Roman" w:hAnsi="Times New Roman"/>
          <w:noProof/>
          <w:lang w:val="pt-PT"/>
        </w:rPr>
        <w:t>d</w:t>
      </w:r>
      <w:r>
        <w:rPr>
          <w:rFonts w:ascii="Times New Roman" w:hAnsi="Times New Roman"/>
          <w:noProof/>
          <w:lang w:val="pt-PT"/>
        </w:rPr>
        <w:t>ené</w:t>
      </w:r>
      <w:r w:rsidR="005751AB" w:rsidRPr="00AD5D78">
        <w:rPr>
          <w:rFonts w:ascii="Times New Roman" w:hAnsi="Times New Roman"/>
          <w:noProof/>
          <w:lang w:val="pt-PT"/>
        </w:rPr>
        <w:t xml:space="preserve"> nežiaduce účinky hlásené pri </w:t>
      </w:r>
      <w:r>
        <w:rPr>
          <w:rFonts w:ascii="Times New Roman" w:hAnsi="Times New Roman"/>
          <w:noProof/>
          <w:lang w:val="pt-PT"/>
        </w:rPr>
        <w:t>používaní</w:t>
      </w:r>
      <w:r w:rsidRPr="00AD5D78">
        <w:rPr>
          <w:rFonts w:ascii="Times New Roman" w:hAnsi="Times New Roman"/>
          <w:lang w:val="pt-PT"/>
        </w:rPr>
        <w:t xml:space="preserve"> </w:t>
      </w:r>
      <w:r w:rsidR="005751AB" w:rsidRPr="00AD5D78">
        <w:rPr>
          <w:rFonts w:ascii="Times New Roman" w:hAnsi="Times New Roman"/>
          <w:lang w:val="pt-PT"/>
        </w:rPr>
        <w:t>pantoprazol</w:t>
      </w:r>
      <w:r>
        <w:rPr>
          <w:rFonts w:ascii="Times New Roman" w:hAnsi="Times New Roman"/>
          <w:lang w:val="pt-PT"/>
        </w:rPr>
        <w:t>u,</w:t>
      </w:r>
      <w:r w:rsidR="005751AB" w:rsidRPr="00AD5D78">
        <w:rPr>
          <w:rFonts w:ascii="Times New Roman" w:hAnsi="Times New Roman"/>
          <w:noProof/>
          <w:lang w:val="pt-PT"/>
        </w:rPr>
        <w:t xml:space="preserve"> </w:t>
      </w:r>
      <w:r w:rsidR="004E2B43" w:rsidRPr="00AD5D78">
        <w:rPr>
          <w:rFonts w:ascii="Times New Roman" w:hAnsi="Times New Roman"/>
          <w:noProof/>
          <w:lang w:val="pt-PT"/>
        </w:rPr>
        <w:t>usporiadané podľa nasledovného hodnotenia frekvencií výskytu:</w:t>
      </w:r>
    </w:p>
    <w:p w:rsidR="004E2B43" w:rsidRPr="00343696" w:rsidRDefault="00C877BE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AD5D78">
        <w:rPr>
          <w:rFonts w:ascii="Times New Roman" w:hAnsi="Times New Roman"/>
          <w:bCs/>
          <w:lang w:val="pt-PT"/>
        </w:rPr>
        <w:t>V</w:t>
      </w:r>
      <w:r w:rsidR="004E2B43" w:rsidRPr="00AD5D78">
        <w:rPr>
          <w:rFonts w:ascii="Times New Roman" w:hAnsi="Times New Roman"/>
          <w:bCs/>
          <w:lang w:val="pt-PT"/>
        </w:rPr>
        <w:t>eľmi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1/10),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1/100 až 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1/10), menej časté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</w:t>
      </w:r>
      <w:r w:rsidR="004E2B43" w:rsidRPr="00E55BD8">
        <w:rPr>
          <w:rFonts w:ascii="Times New Roman" w:hAnsi="Times New Roman"/>
          <w:bCs/>
          <w:lang w:val="pt-PT"/>
        </w:rPr>
        <w:t> 000 až &lt;</w:t>
      </w:r>
      <w:r w:rsidR="000B7967">
        <w:rPr>
          <w:rFonts w:ascii="Times New Roman" w:hAnsi="Times New Roman"/>
          <w:bCs/>
        </w:rPr>
        <w:t> </w:t>
      </w:r>
      <w:r w:rsidR="004E2B43" w:rsidRPr="00E55BD8">
        <w:rPr>
          <w:rFonts w:ascii="Times New Roman" w:hAnsi="Times New Roman"/>
          <w:bCs/>
          <w:lang w:val="pt-PT"/>
        </w:rPr>
        <w:t>1/100), zriedkavé (</w:t>
      </w:r>
      <w:r w:rsidR="004E2B43" w:rsidRPr="00343696">
        <w:rPr>
          <w:rFonts w:ascii="Times New Roman" w:hAnsi="Times New Roman"/>
          <w:bCs/>
        </w:rPr>
        <w:sym w:font="Symbol" w:char="F0B3"/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1/10 000 až 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>1/1 000), veľmi zriedkavé (&lt;</w:t>
      </w:r>
      <w:r w:rsidR="000B7967">
        <w:rPr>
          <w:rFonts w:ascii="Times New Roman" w:hAnsi="Times New Roman"/>
          <w:bCs/>
        </w:rPr>
        <w:t> </w:t>
      </w:r>
      <w:r w:rsidR="004E2B43" w:rsidRPr="00343696">
        <w:rPr>
          <w:rFonts w:ascii="Times New Roman" w:hAnsi="Times New Roman"/>
          <w:bCs/>
          <w:lang w:val="pt-PT"/>
        </w:rPr>
        <w:t xml:space="preserve">1/10 000), neznáme (z dostupných údajov). </w:t>
      </w:r>
    </w:p>
    <w:p w:rsidR="00913A3C" w:rsidRPr="00AD5D78" w:rsidRDefault="000B7967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>
        <w:rPr>
          <w:rFonts w:ascii="Times New Roman" w:hAnsi="Times New Roman"/>
          <w:bCs/>
          <w:lang w:val="pt-PT"/>
        </w:rPr>
        <w:t>Na</w:t>
      </w:r>
      <w:r w:rsidR="004E2B43" w:rsidRPr="00AD5D78">
        <w:rPr>
          <w:rFonts w:ascii="Times New Roman" w:hAnsi="Times New Roman"/>
          <w:bCs/>
          <w:lang w:val="pt-PT"/>
        </w:rPr>
        <w:t> všetk</w:t>
      </w:r>
      <w:r>
        <w:rPr>
          <w:rFonts w:ascii="Times New Roman" w:hAnsi="Times New Roman"/>
          <w:bCs/>
          <w:lang w:val="pt-PT"/>
        </w:rPr>
        <w:t>y</w:t>
      </w:r>
      <w:r w:rsidR="004E2B43" w:rsidRPr="00AD5D78">
        <w:rPr>
          <w:rFonts w:ascii="Times New Roman" w:hAnsi="Times New Roman"/>
          <w:bCs/>
          <w:lang w:val="pt-PT"/>
        </w:rPr>
        <w:t xml:space="preserve"> nežiaduc</w:t>
      </w:r>
      <w:r>
        <w:rPr>
          <w:rFonts w:ascii="Times New Roman" w:hAnsi="Times New Roman"/>
          <w:bCs/>
          <w:lang w:val="pt-PT"/>
        </w:rPr>
        <w:t>e</w:t>
      </w:r>
      <w:r w:rsidR="004E2B43" w:rsidRPr="00AD5D78">
        <w:rPr>
          <w:rFonts w:ascii="Times New Roman" w:hAnsi="Times New Roman"/>
          <w:bCs/>
          <w:lang w:val="pt-PT"/>
        </w:rPr>
        <w:t xml:space="preserve"> účink</w:t>
      </w:r>
      <w:r>
        <w:rPr>
          <w:rFonts w:ascii="Times New Roman" w:hAnsi="Times New Roman"/>
          <w:bCs/>
          <w:lang w:val="pt-PT"/>
        </w:rPr>
        <w:t>y</w:t>
      </w:r>
      <w:r w:rsidR="004E2B43" w:rsidRPr="00AD5D78">
        <w:rPr>
          <w:rFonts w:ascii="Times New Roman" w:hAnsi="Times New Roman"/>
          <w:bCs/>
          <w:lang w:val="pt-PT"/>
        </w:rPr>
        <w:t xml:space="preserve">, ktoré boli zaznamenané po uvedení </w:t>
      </w:r>
      <w:r>
        <w:rPr>
          <w:rFonts w:ascii="Times New Roman" w:hAnsi="Times New Roman"/>
          <w:bCs/>
          <w:lang w:val="pt-PT"/>
        </w:rPr>
        <w:t xml:space="preserve">lieku </w:t>
      </w:r>
      <w:r w:rsidR="004E2B43" w:rsidRPr="00AD5D78">
        <w:rPr>
          <w:rFonts w:ascii="Times New Roman" w:hAnsi="Times New Roman"/>
          <w:bCs/>
          <w:lang w:val="pt-PT"/>
        </w:rPr>
        <w:t>na trh</w:t>
      </w:r>
      <w:r w:rsidR="008D4A17" w:rsidRPr="00AD5D78">
        <w:rPr>
          <w:rFonts w:ascii="Times New Roman" w:hAnsi="Times New Roman"/>
          <w:bCs/>
          <w:lang w:val="pt-PT"/>
        </w:rPr>
        <w:t>,</w:t>
      </w:r>
      <w:r w:rsidR="004E2B43" w:rsidRPr="00AD5D78">
        <w:rPr>
          <w:rFonts w:ascii="Times New Roman" w:hAnsi="Times New Roman"/>
          <w:bCs/>
          <w:lang w:val="pt-PT"/>
        </w:rPr>
        <w:t xml:space="preserve"> nie je možné aplikovať </w:t>
      </w:r>
      <w:r>
        <w:rPr>
          <w:rFonts w:ascii="Times New Roman" w:hAnsi="Times New Roman"/>
          <w:bCs/>
          <w:lang w:val="pt-PT"/>
        </w:rPr>
        <w:t xml:space="preserve">žiadnu </w:t>
      </w:r>
      <w:r w:rsidR="004E2B43" w:rsidRPr="00AD5D78">
        <w:rPr>
          <w:rFonts w:ascii="Times New Roman" w:hAnsi="Times New Roman"/>
          <w:bCs/>
          <w:lang w:val="pt-PT"/>
        </w:rPr>
        <w:t xml:space="preserve">frekvenciu výskytu, preto sa uvádzajú </w:t>
      </w:r>
      <w:r>
        <w:rPr>
          <w:rFonts w:ascii="Times New Roman" w:hAnsi="Times New Roman"/>
          <w:bCs/>
          <w:lang w:val="pt-PT"/>
        </w:rPr>
        <w:t>s frekvenciou výskytu</w:t>
      </w:r>
      <w:r w:rsidR="004E2B43" w:rsidRPr="00AD5D78">
        <w:rPr>
          <w:rFonts w:ascii="Times New Roman" w:hAnsi="Times New Roman"/>
          <w:bCs/>
          <w:lang w:val="pt-PT"/>
        </w:rPr>
        <w:t xml:space="preserve"> „neznám</w:t>
      </w:r>
      <w:r>
        <w:rPr>
          <w:rFonts w:ascii="Times New Roman" w:hAnsi="Times New Roman"/>
          <w:bCs/>
          <w:lang w:val="pt-PT"/>
        </w:rPr>
        <w:t>e</w:t>
      </w:r>
      <w:r w:rsidR="004E2B43" w:rsidRPr="00AD5D78">
        <w:rPr>
          <w:rFonts w:ascii="Times New Roman" w:hAnsi="Times New Roman"/>
          <w:bCs/>
          <w:lang w:val="pt-PT"/>
        </w:rPr>
        <w:t>“.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bCs/>
          <w:lang w:val="pt-PT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bCs/>
          <w:lang w:val="pt-PT"/>
        </w:rPr>
      </w:pPr>
      <w:r w:rsidRPr="00AD5D78">
        <w:rPr>
          <w:rFonts w:ascii="Times New Roman" w:hAnsi="Times New Roman"/>
          <w:lang w:val="pt-PT"/>
        </w:rPr>
        <w:t>V každej skupine frekvencií sa nežiaduce účinky uvádzajú v </w:t>
      </w:r>
      <w:r w:rsidR="00A24645" w:rsidRPr="00AD5D78">
        <w:rPr>
          <w:rFonts w:ascii="Times New Roman" w:hAnsi="Times New Roman"/>
          <w:lang w:val="pt-PT"/>
        </w:rPr>
        <w:t xml:space="preserve">poradí </w:t>
      </w:r>
      <w:r w:rsidRPr="00AD5D78">
        <w:rPr>
          <w:rFonts w:ascii="Times New Roman" w:hAnsi="Times New Roman"/>
          <w:lang w:val="pt-PT"/>
        </w:rPr>
        <w:t>klesajúc</w:t>
      </w:r>
      <w:r w:rsidR="00A24645">
        <w:rPr>
          <w:rFonts w:ascii="Times New Roman" w:hAnsi="Times New Roman"/>
          <w:lang w:val="pt-PT"/>
        </w:rPr>
        <w:t>ej</w:t>
      </w:r>
      <w:r w:rsidRPr="00AD5D78">
        <w:rPr>
          <w:rFonts w:ascii="Times New Roman" w:hAnsi="Times New Roman"/>
          <w:lang w:val="pt-PT"/>
        </w:rPr>
        <w:t xml:space="preserve"> závažnosti.</w:t>
      </w:r>
    </w:p>
    <w:p w:rsidR="00913A3C" w:rsidRPr="00AD5D78" w:rsidRDefault="00913A3C" w:rsidP="00AD5D78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</w:p>
    <w:p w:rsidR="004E2B43" w:rsidRPr="00AD5D78" w:rsidRDefault="004E2B43" w:rsidP="00AD5D78">
      <w:pPr>
        <w:pStyle w:val="toa"/>
        <w:tabs>
          <w:tab w:val="clear" w:pos="9360"/>
        </w:tabs>
        <w:suppressAutoHyphens w:val="0"/>
        <w:autoSpaceDE w:val="0"/>
        <w:autoSpaceDN w:val="0"/>
        <w:adjustRightInd w:val="0"/>
        <w:rPr>
          <w:rFonts w:ascii="Times New Roman" w:hAnsi="Times New Roman"/>
          <w:szCs w:val="22"/>
          <w:lang w:val="pt-PT"/>
        </w:rPr>
      </w:pPr>
      <w:r w:rsidRPr="00AD5D78">
        <w:rPr>
          <w:rFonts w:ascii="Times New Roman" w:hAnsi="Times New Roman"/>
          <w:szCs w:val="22"/>
          <w:lang w:val="pt-PT"/>
        </w:rPr>
        <w:t xml:space="preserve">Tabuľka1. Nežiaduce účinky pantoprazolu zaznamenané v klinických </w:t>
      </w:r>
      <w:r w:rsidR="00A24645">
        <w:rPr>
          <w:rFonts w:ascii="Times New Roman" w:hAnsi="Times New Roman"/>
          <w:szCs w:val="22"/>
          <w:lang w:val="pt-PT"/>
        </w:rPr>
        <w:t>skúšaniach</w:t>
      </w:r>
      <w:r w:rsidRPr="00AD5D78">
        <w:rPr>
          <w:rFonts w:ascii="Times New Roman" w:hAnsi="Times New Roman"/>
          <w:szCs w:val="22"/>
          <w:lang w:val="pt-PT"/>
        </w:rPr>
        <w:t xml:space="preserve"> a po uvedení </w:t>
      </w:r>
      <w:r w:rsidR="00A24645">
        <w:rPr>
          <w:rFonts w:ascii="Times New Roman" w:hAnsi="Times New Roman"/>
          <w:szCs w:val="22"/>
          <w:lang w:val="pt-PT"/>
        </w:rPr>
        <w:t xml:space="preserve">lieku </w:t>
      </w:r>
      <w:r w:rsidRPr="00AD5D78">
        <w:rPr>
          <w:rFonts w:ascii="Times New Roman" w:hAnsi="Times New Roman"/>
          <w:szCs w:val="22"/>
          <w:lang w:val="pt-PT"/>
        </w:rPr>
        <w:t>na trh.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560"/>
        <w:gridCol w:w="1559"/>
        <w:gridCol w:w="1559"/>
      </w:tblGrid>
      <w:tr w:rsidR="00750073" w:rsidRPr="00AD5D78" w:rsidTr="00271DB3">
        <w:trPr>
          <w:tblHeader/>
        </w:trPr>
        <w:tc>
          <w:tcPr>
            <w:tcW w:w="1985" w:type="dxa"/>
            <w:tcBorders>
              <w:tl2br w:val="single" w:sz="4" w:space="0" w:color="auto"/>
            </w:tcBorders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 xml:space="preserve">      Frekvencia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 xml:space="preserve">Orgánový 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systém</w:t>
            </w:r>
          </w:p>
        </w:tc>
        <w:tc>
          <w:tcPr>
            <w:tcW w:w="1276" w:type="dxa"/>
          </w:tcPr>
          <w:p w:rsidR="00750073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>
              <w:rPr>
                <w:rFonts w:ascii="Times New Roman" w:hAnsi="Times New Roman"/>
                <w:b/>
                <w:bCs/>
                <w:lang w:val="sk-SK"/>
              </w:rPr>
              <w:t>Časté</w:t>
            </w:r>
          </w:p>
        </w:tc>
        <w:tc>
          <w:tcPr>
            <w:tcW w:w="1417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Menej časté</w:t>
            </w:r>
          </w:p>
        </w:tc>
        <w:tc>
          <w:tcPr>
            <w:tcW w:w="1560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Zriedkavé</w:t>
            </w:r>
          </w:p>
        </w:tc>
        <w:tc>
          <w:tcPr>
            <w:tcW w:w="1559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Veľmi zriedkavé</w:t>
            </w:r>
          </w:p>
        </w:tc>
        <w:tc>
          <w:tcPr>
            <w:tcW w:w="1559" w:type="dxa"/>
          </w:tcPr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</w:p>
          <w:p w:rsidR="00750073" w:rsidRPr="00AD5D78" w:rsidRDefault="00750073" w:rsidP="00271D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sk-SK"/>
              </w:rPr>
            </w:pPr>
            <w:r w:rsidRPr="00AD5D78">
              <w:rPr>
                <w:rFonts w:ascii="Times New Roman" w:hAnsi="Times New Roman"/>
                <w:b/>
                <w:bCs/>
                <w:lang w:val="sk-SK"/>
              </w:rPr>
              <w:t>Neznáme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 xml:space="preserve">Poruchy krvi a lymfatického systému 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343696">
              <w:rPr>
                <w:rFonts w:ascii="Times New Roman" w:hAnsi="Times New Roman"/>
                <w:lang w:val="sk-SK"/>
              </w:rPr>
              <w:t>agranulocytóza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trombocyto-pénia; leukopénia</w:t>
            </w:r>
            <w:r w:rsidR="00A24645">
              <w:rPr>
                <w:rFonts w:ascii="Times New Roman" w:hAnsi="Times New Roman"/>
                <w:lang w:val="sk-SK"/>
              </w:rPr>
              <w:t>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343696">
              <w:rPr>
                <w:rFonts w:ascii="Times New Roman" w:hAnsi="Times New Roman"/>
                <w:lang w:val="sk-SK"/>
              </w:rPr>
              <w:t>pancytopénia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 xml:space="preserve">Poruchy imunitného systému 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precitlivenosť (vrátane anafylaktic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kých reakcií a</w:t>
            </w:r>
            <w:r w:rsidR="00B14B1D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>anafylaktické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ho šoku)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rPr>
          <w:trHeight w:val="1353"/>
        </w:trPr>
        <w:tc>
          <w:tcPr>
            <w:tcW w:w="1985" w:type="dxa"/>
          </w:tcPr>
          <w:p w:rsidR="00750073" w:rsidRPr="00271DB3" w:rsidRDefault="00750073" w:rsidP="001F3864">
            <w:pPr>
              <w:pStyle w:val="toa"/>
              <w:tabs>
                <w:tab w:val="clear" w:pos="9360"/>
              </w:tabs>
              <w:suppressAutoHyphens w:val="0"/>
              <w:rPr>
                <w:rFonts w:ascii="Times New Roman" w:hAnsi="Times New Roman"/>
                <w:b/>
                <w:szCs w:val="22"/>
                <w:lang w:val="sk-SK" w:eastAsia="sk-SK"/>
              </w:rPr>
            </w:pP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>Poruchy metabolizmu a</w:t>
            </w:r>
            <w:r w:rsidR="00A24645">
              <w:rPr>
                <w:rFonts w:ascii="Times New Roman" w:hAnsi="Times New Roman"/>
                <w:b/>
                <w:szCs w:val="22"/>
                <w:lang w:val="sk-SK" w:eastAsia="sk-SK"/>
              </w:rPr>
              <w:t> </w:t>
            </w:r>
            <w:r w:rsidRPr="00271DB3">
              <w:rPr>
                <w:rFonts w:ascii="Times New Roman" w:hAnsi="Times New Roman"/>
                <w:b/>
                <w:szCs w:val="22"/>
                <w:lang w:val="sk-SK" w:eastAsia="sk-SK"/>
              </w:rPr>
              <w:t>výživy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hyperlipidémia a zvýš</w:t>
            </w:r>
            <w:r w:rsidRPr="00343696">
              <w:rPr>
                <w:rFonts w:ascii="Times New Roman" w:hAnsi="Times New Roman"/>
                <w:lang w:val="sk-SK"/>
              </w:rPr>
              <w:t>e</w:t>
            </w:r>
            <w:r w:rsidRPr="00AD5D78">
              <w:rPr>
                <w:rFonts w:ascii="Times New Roman" w:hAnsi="Times New Roman"/>
                <w:lang w:val="sk-SK"/>
              </w:rPr>
              <w:t>nie hladiny lipidov (tri</w:t>
            </w:r>
            <w:r w:rsidR="001B01C0">
              <w:rPr>
                <w:rFonts w:ascii="Times New Roman" w:hAnsi="Times New Roman"/>
                <w:lang w:val="sk-SK"/>
              </w:rPr>
              <w:t>acyl</w:t>
            </w:r>
            <w:r w:rsidRPr="00AD5D78">
              <w:rPr>
                <w:rFonts w:ascii="Times New Roman" w:hAnsi="Times New Roman"/>
                <w:lang w:val="sk-SK"/>
              </w:rPr>
              <w:t>glyce</w:t>
            </w:r>
            <w:r w:rsidR="001B01C0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r</w:t>
            </w:r>
            <w:r w:rsidR="001B01C0">
              <w:rPr>
                <w:rFonts w:ascii="Times New Roman" w:hAnsi="Times New Roman"/>
                <w:lang w:val="sk-SK"/>
              </w:rPr>
              <w:t>ol</w:t>
            </w:r>
            <w:r w:rsidRPr="00AD5D78">
              <w:rPr>
                <w:rFonts w:ascii="Times New Roman" w:hAnsi="Times New Roman"/>
                <w:lang w:val="sk-SK"/>
              </w:rPr>
              <w:t>y a cholesterol);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zmeny hmotnosti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hyponatriémia;</w:t>
            </w:r>
          </w:p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hypomagne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ziémia (pozri časť 4.4)</w:t>
            </w:r>
            <w:r w:rsidR="001B01C0">
              <w:rPr>
                <w:rFonts w:ascii="Times New Roman" w:hAnsi="Times New Roman"/>
                <w:lang w:val="sk-SK"/>
              </w:rPr>
              <w:t>;</w:t>
            </w:r>
          </w:p>
          <w:p w:rsidR="00750073" w:rsidRDefault="00750073" w:rsidP="00973BC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hypokalciémia spoj</w:t>
            </w:r>
            <w:r w:rsidR="001B01C0">
              <w:rPr>
                <w:rFonts w:ascii="Times New Roman" w:hAnsi="Times New Roman"/>
                <w:lang w:val="sk-SK"/>
              </w:rPr>
              <w:t>ená</w:t>
            </w:r>
            <w:r>
              <w:rPr>
                <w:rFonts w:ascii="Times New Roman" w:hAnsi="Times New Roman"/>
                <w:lang w:val="sk-SK"/>
              </w:rPr>
              <w:t xml:space="preserve"> s</w:t>
            </w:r>
            <w:r w:rsidR="00B14B1D">
              <w:rPr>
                <w:rFonts w:ascii="Times New Roman" w:hAnsi="Times New Roman"/>
                <w:lang w:val="sk-SK"/>
              </w:rPr>
              <w:t> </w:t>
            </w:r>
            <w:r>
              <w:rPr>
                <w:rFonts w:ascii="Times New Roman" w:hAnsi="Times New Roman"/>
                <w:lang w:val="sk-SK"/>
              </w:rPr>
              <w:t>hypoma</w:t>
            </w:r>
            <w:r w:rsidR="00B14B1D">
              <w:rPr>
                <w:rFonts w:ascii="Times New Roman" w:hAnsi="Times New Roman"/>
                <w:lang w:val="sk-SK"/>
              </w:rPr>
              <w:t>-</w:t>
            </w:r>
            <w:r>
              <w:rPr>
                <w:rFonts w:ascii="Times New Roman" w:hAnsi="Times New Roman"/>
                <w:lang w:val="sk-SK"/>
              </w:rPr>
              <w:t>gneziémiou;</w:t>
            </w:r>
          </w:p>
          <w:p w:rsidR="00750073" w:rsidRPr="00AD5D78" w:rsidRDefault="00750073" w:rsidP="00973BC2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hypokaliémia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Psychické poruchy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poruchy spánku</w:t>
            </w:r>
          </w:p>
        </w:tc>
        <w:tc>
          <w:tcPr>
            <w:tcW w:w="1560" w:type="dxa"/>
          </w:tcPr>
          <w:p w:rsidR="00750073" w:rsidRPr="00AD5D78" w:rsidRDefault="00750073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depresie (a</w:t>
            </w:r>
            <w:r w:rsidR="001B01C0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 xml:space="preserve">všetky </w:t>
            </w:r>
            <w:r w:rsidRPr="00343696">
              <w:rPr>
                <w:rFonts w:ascii="Times New Roman" w:hAnsi="Times New Roman"/>
                <w:lang w:val="sk-SK"/>
              </w:rPr>
              <w:t>zhoršenia</w:t>
            </w:r>
            <w:r w:rsidRPr="00AD5D78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dezorientácia (a všetky </w:t>
            </w:r>
            <w:r w:rsidRPr="00343696">
              <w:rPr>
                <w:rFonts w:ascii="Times New Roman" w:hAnsi="Times New Roman"/>
                <w:lang w:val="sk-SK"/>
              </w:rPr>
              <w:t>zhoršenia</w:t>
            </w:r>
            <w:r w:rsidRPr="00AD5D78">
              <w:rPr>
                <w:rFonts w:ascii="Times New Roman" w:hAnsi="Times New Roman"/>
                <w:lang w:val="sk-SK"/>
              </w:rPr>
              <w:t>)</w:t>
            </w:r>
          </w:p>
        </w:tc>
        <w:tc>
          <w:tcPr>
            <w:tcW w:w="1559" w:type="dxa"/>
          </w:tcPr>
          <w:p w:rsidR="00750073" w:rsidRPr="00AD5D78" w:rsidRDefault="00750073" w:rsidP="005D701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halucinácie; zmätenosť (zvlášť u</w:t>
            </w:r>
            <w:r w:rsidR="005D7018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>predispono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 xml:space="preserve">vaných pacientov ako aj </w:t>
            </w:r>
            <w:r w:rsidRPr="00343696">
              <w:rPr>
                <w:rFonts w:ascii="Times New Roman" w:hAnsi="Times New Roman"/>
                <w:lang w:val="sk-SK"/>
              </w:rPr>
              <w:t>zhoršenie</w:t>
            </w:r>
            <w:r w:rsidRPr="00AD5D78">
              <w:rPr>
                <w:rFonts w:ascii="Times New Roman" w:hAnsi="Times New Roman"/>
                <w:lang w:val="sk-SK"/>
              </w:rPr>
              <w:t xml:space="preserve"> týchto príznakov, ak už existujú)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nervového systému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bolesť hlavy; závraty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343696">
              <w:rPr>
                <w:rFonts w:ascii="Times New Roman" w:hAnsi="Times New Roman"/>
                <w:lang w:val="sk-SK"/>
              </w:rPr>
              <w:t>poruchy chuti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parestézia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oka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poruchy videnia;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zahmlené videnie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gastrointestinálne</w:t>
            </w:r>
            <w:r w:rsidR="00A24645">
              <w:rPr>
                <w:rFonts w:ascii="Times New Roman" w:hAnsi="Times New Roman"/>
                <w:b/>
                <w:lang w:val="sk-SK"/>
              </w:rPr>
              <w:t>-</w:t>
            </w:r>
            <w:r w:rsidRPr="00271DB3">
              <w:rPr>
                <w:rFonts w:ascii="Times New Roman" w:hAnsi="Times New Roman"/>
                <w:b/>
                <w:lang w:val="sk-SK"/>
              </w:rPr>
              <w:t>ho traktu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glandulár-ne polypy fundu (benígne)</w:t>
            </w: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hnačka;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nauzea /vracanie;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abdominálna distenzia a</w:t>
            </w:r>
            <w:r w:rsidR="001B01C0">
              <w:rPr>
                <w:rFonts w:ascii="Times New Roman" w:hAnsi="Times New Roman"/>
                <w:lang w:val="sk-SK"/>
              </w:rPr>
              <w:t> </w:t>
            </w:r>
            <w:r w:rsidRPr="00AD5D78">
              <w:rPr>
                <w:rFonts w:ascii="Times New Roman" w:hAnsi="Times New Roman"/>
                <w:lang w:val="sk-SK"/>
              </w:rPr>
              <w:t>nadúvanie;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zápcha; sucho v ústach;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bolesť brucha a diskomfort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pečene a žlčových ciest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zvýšenie hladín pečeňových enzýmov (transami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Pr="00AD5D78">
              <w:rPr>
                <w:rFonts w:ascii="Times New Roman" w:hAnsi="Times New Roman"/>
                <w:lang w:val="sk-SK"/>
              </w:rPr>
              <w:t>názy, GGT)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zvýšenie hladiny bilirubínu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1B01C0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h</w:t>
            </w:r>
            <w:r w:rsidR="00750073" w:rsidRPr="00AD5D78">
              <w:rPr>
                <w:rFonts w:ascii="Times New Roman" w:hAnsi="Times New Roman"/>
                <w:lang w:val="sk-SK"/>
              </w:rPr>
              <w:t>epatocelulár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="00750073" w:rsidRPr="00AD5D78">
              <w:rPr>
                <w:rFonts w:ascii="Times New Roman" w:hAnsi="Times New Roman"/>
                <w:lang w:val="sk-SK"/>
              </w:rPr>
              <w:t>ne poškodenie; žltačka; hepatocelulár</w:t>
            </w:r>
            <w:r w:rsidR="005D7018">
              <w:rPr>
                <w:rFonts w:ascii="Times New Roman" w:hAnsi="Times New Roman"/>
                <w:lang w:val="sk-SK"/>
              </w:rPr>
              <w:t>-</w:t>
            </w:r>
            <w:r w:rsidR="00750073" w:rsidRPr="00AD5D78">
              <w:rPr>
                <w:rFonts w:ascii="Times New Roman" w:hAnsi="Times New Roman"/>
                <w:lang w:val="sk-SK"/>
              </w:rPr>
              <w:t>ne zlyhanie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AD5D78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kože a podkožného tkaniva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1B01C0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vyrážka/</w:t>
            </w:r>
          </w:p>
          <w:p w:rsidR="001B01C0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exantém/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erupcie;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svrbenie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žihľavka; angioedém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Stevensov-Johnsonov syndróm; L</w:t>
            </w:r>
            <w:r w:rsidRPr="00343696">
              <w:rPr>
                <w:rFonts w:ascii="Times New Roman" w:hAnsi="Times New Roman"/>
                <w:lang w:val="sk-SK"/>
              </w:rPr>
              <w:t>ye</w:t>
            </w:r>
            <w:r w:rsidRPr="00AD5D78">
              <w:rPr>
                <w:rFonts w:ascii="Times New Roman" w:hAnsi="Times New Roman"/>
                <w:lang w:val="sk-SK"/>
              </w:rPr>
              <w:t>llov syndróm; multiformný erytém; fotosenzitivita</w:t>
            </w:r>
            <w:r>
              <w:rPr>
                <w:rFonts w:ascii="Times New Roman" w:hAnsi="Times New Roman"/>
                <w:lang w:val="sk-SK"/>
              </w:rPr>
              <w:t>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subakútny kožný lupus erythematosus (pozri časť 4.4)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kostrovej a svalovej sústavy a spoji</w:t>
            </w:r>
            <w:r w:rsidR="001B01C0">
              <w:rPr>
                <w:rFonts w:ascii="Times New Roman" w:hAnsi="Times New Roman"/>
                <w:b/>
                <w:lang w:val="sk-SK"/>
              </w:rPr>
              <w:t>vo</w:t>
            </w:r>
            <w:r w:rsidRPr="00271DB3">
              <w:rPr>
                <w:rFonts w:ascii="Times New Roman" w:hAnsi="Times New Roman"/>
                <w:b/>
                <w:lang w:val="sk-SK"/>
              </w:rPr>
              <w:t>vého tkaniva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1B01C0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Zlomenina </w:t>
            </w:r>
            <w:r w:rsidR="00750073" w:rsidRPr="00AD5D78">
              <w:rPr>
                <w:rFonts w:ascii="Times New Roman" w:hAnsi="Times New Roman"/>
                <w:color w:val="000000"/>
                <w:lang w:val="sk-SK"/>
              </w:rPr>
              <w:t xml:space="preserve">bedrovej </w:t>
            </w:r>
            <w:r>
              <w:rPr>
                <w:rFonts w:ascii="Times New Roman" w:hAnsi="Times New Roman"/>
                <w:color w:val="000000"/>
                <w:lang w:val="sk-SK"/>
              </w:rPr>
              <w:t>kosti</w:t>
            </w:r>
            <w:r w:rsidR="00750073" w:rsidRPr="00AD5D78">
              <w:rPr>
                <w:rFonts w:ascii="Times New Roman" w:hAnsi="Times New Roman"/>
                <w:lang w:val="sk-SK"/>
              </w:rPr>
              <w:t>, zápästia a chrbtice (pozri časť 4.4)</w:t>
            </w:r>
          </w:p>
        </w:tc>
        <w:tc>
          <w:tcPr>
            <w:tcW w:w="1560" w:type="dxa"/>
          </w:tcPr>
          <w:p w:rsidR="00750073" w:rsidRPr="00AD5D78" w:rsidRDefault="00750073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a</w:t>
            </w:r>
            <w:r w:rsidR="001B01C0">
              <w:rPr>
                <w:rFonts w:ascii="Times New Roman" w:hAnsi="Times New Roman"/>
                <w:lang w:val="sk-SK"/>
              </w:rPr>
              <w:t>r</w:t>
            </w:r>
            <w:r w:rsidRPr="00AD5D78">
              <w:rPr>
                <w:rFonts w:ascii="Times New Roman" w:hAnsi="Times New Roman"/>
                <w:lang w:val="sk-SK"/>
              </w:rPr>
              <w:t>tralgia, myalgia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1F3864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svalové kŕče v dôsledku porúch </w:t>
            </w:r>
            <w:r w:rsidR="001B01C0">
              <w:rPr>
                <w:rFonts w:ascii="Times New Roman" w:hAnsi="Times New Roman"/>
                <w:lang w:val="sk-SK"/>
              </w:rPr>
              <w:t xml:space="preserve">rovnováhy </w:t>
            </w:r>
            <w:r>
              <w:rPr>
                <w:rFonts w:ascii="Times New Roman" w:hAnsi="Times New Roman"/>
                <w:lang w:val="sk-SK"/>
              </w:rPr>
              <w:t>ele</w:t>
            </w:r>
            <w:r w:rsidR="001B01C0">
              <w:rPr>
                <w:rFonts w:ascii="Times New Roman" w:hAnsi="Times New Roman"/>
                <w:lang w:val="sk-SK"/>
              </w:rPr>
              <w:t>k</w:t>
            </w:r>
            <w:r>
              <w:rPr>
                <w:rFonts w:ascii="Times New Roman" w:hAnsi="Times New Roman"/>
                <w:lang w:val="sk-SK"/>
              </w:rPr>
              <w:t>trolytov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Poruchy obličiek a</w:t>
            </w:r>
            <w:r w:rsidR="001B01C0">
              <w:rPr>
                <w:rFonts w:ascii="Times New Roman" w:hAnsi="Times New Roman"/>
                <w:b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lang w:val="sk-SK"/>
              </w:rPr>
              <w:t>močových ciest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intersticiálna nefritída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(s možnosťou progresie do zlyhania obličiek)</w:t>
            </w: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bCs/>
                <w:lang w:val="sk-SK"/>
              </w:rPr>
              <w:t>Poruchy reprodukčného systému a</w:t>
            </w:r>
            <w:r w:rsidR="001B01C0">
              <w:rPr>
                <w:rFonts w:ascii="Times New Roman" w:hAnsi="Times New Roman"/>
                <w:b/>
                <w:bCs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bCs/>
                <w:lang w:val="sk-SK"/>
              </w:rPr>
              <w:t>prsníkov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bCs/>
                <w:lang w:val="sk-SK"/>
              </w:rPr>
              <w:t xml:space="preserve">gynekomastia 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  <w:tr w:rsidR="00750073" w:rsidRPr="00AD5D78" w:rsidTr="00271DB3">
        <w:tc>
          <w:tcPr>
            <w:tcW w:w="1985" w:type="dxa"/>
          </w:tcPr>
          <w:p w:rsidR="00750073" w:rsidRPr="00271DB3" w:rsidRDefault="00750073" w:rsidP="001F3864">
            <w:pPr>
              <w:spacing w:after="0" w:line="240" w:lineRule="auto"/>
              <w:rPr>
                <w:rFonts w:ascii="Times New Roman" w:hAnsi="Times New Roman"/>
                <w:b/>
                <w:lang w:val="sk-SK"/>
              </w:rPr>
            </w:pPr>
            <w:r w:rsidRPr="00271DB3">
              <w:rPr>
                <w:rFonts w:ascii="Times New Roman" w:hAnsi="Times New Roman"/>
                <w:b/>
                <w:lang w:val="sk-SK"/>
              </w:rPr>
              <w:t>Celkové poruchy a</w:t>
            </w:r>
            <w:r w:rsidR="001B01C0">
              <w:rPr>
                <w:rFonts w:ascii="Times New Roman" w:hAnsi="Times New Roman"/>
                <w:b/>
                <w:lang w:val="sk-SK"/>
              </w:rPr>
              <w:t> </w:t>
            </w:r>
            <w:r w:rsidRPr="00271DB3">
              <w:rPr>
                <w:rFonts w:ascii="Times New Roman" w:hAnsi="Times New Roman"/>
                <w:b/>
                <w:lang w:val="sk-SK"/>
              </w:rPr>
              <w:t>reakcie v mieste podania</w:t>
            </w:r>
          </w:p>
        </w:tc>
        <w:tc>
          <w:tcPr>
            <w:tcW w:w="1276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417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slabosť, únava, malátnosť </w:t>
            </w:r>
          </w:p>
        </w:tc>
        <w:tc>
          <w:tcPr>
            <w:tcW w:w="1560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>zvýšenie telesnej teploty;</w:t>
            </w:r>
          </w:p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  <w:r w:rsidRPr="00AD5D78">
              <w:rPr>
                <w:rFonts w:ascii="Times New Roman" w:hAnsi="Times New Roman"/>
                <w:lang w:val="sk-SK"/>
              </w:rPr>
              <w:t xml:space="preserve">periférny edém </w:t>
            </w: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1559" w:type="dxa"/>
          </w:tcPr>
          <w:p w:rsidR="00750073" w:rsidRPr="00AD5D78" w:rsidRDefault="00750073" w:rsidP="00AD5D78">
            <w:pPr>
              <w:spacing w:after="0" w:line="240" w:lineRule="auto"/>
              <w:rPr>
                <w:rFonts w:ascii="Times New Roman" w:hAnsi="Times New Roman"/>
                <w:lang w:val="sk-SK"/>
              </w:rPr>
            </w:pPr>
          </w:p>
        </w:tc>
      </w:tr>
    </w:tbl>
    <w:p w:rsidR="004E2B43" w:rsidRPr="00343696" w:rsidRDefault="004E2B43" w:rsidP="00AD5D78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C26630" w:rsidRPr="00606BE8" w:rsidRDefault="00C26630" w:rsidP="00343696">
      <w:pPr>
        <w:spacing w:after="0" w:line="240" w:lineRule="auto"/>
        <w:rPr>
          <w:rFonts w:ascii="Times New Roman" w:hAnsi="Times New Roman"/>
          <w:u w:val="single"/>
          <w:lang w:val="pl-PL"/>
        </w:rPr>
      </w:pPr>
      <w:r w:rsidRPr="00606BE8">
        <w:rPr>
          <w:rFonts w:ascii="Times New Roman" w:hAnsi="Times New Roman"/>
          <w:noProof/>
          <w:u w:val="single"/>
          <w:lang w:val="pl-PL"/>
        </w:rPr>
        <w:t>Hlásenie podozrení na nežiaduce reakcie</w:t>
      </w:r>
    </w:p>
    <w:p w:rsidR="00C26630" w:rsidRPr="00E55BD8" w:rsidRDefault="00C26630" w:rsidP="00AD5D78">
      <w:pPr>
        <w:spacing w:after="0" w:line="240" w:lineRule="auto"/>
        <w:rPr>
          <w:rFonts w:ascii="Times New Roman" w:hAnsi="Times New Roman"/>
          <w:bCs/>
          <w:lang w:val="pl-PL"/>
        </w:rPr>
      </w:pPr>
      <w:r w:rsidRPr="00606BE8">
        <w:rPr>
          <w:rFonts w:ascii="Times New Roman" w:hAnsi="Times New Roman"/>
          <w:noProof/>
          <w:lang w:val="pl-PL"/>
        </w:rPr>
        <w:t>Hlásenie podozrení na nežiaduce reakcie po registrácii lieku je dôležité.</w:t>
      </w:r>
      <w:r w:rsidRPr="00606BE8">
        <w:rPr>
          <w:rFonts w:ascii="Times New Roman" w:hAnsi="Times New Roman"/>
          <w:lang w:val="pl-PL"/>
        </w:rPr>
        <w:t xml:space="preserve"> </w:t>
      </w:r>
      <w:r w:rsidRPr="00606BE8">
        <w:rPr>
          <w:rFonts w:ascii="Times New Roman" w:hAnsi="Times New Roman"/>
          <w:noProof/>
          <w:lang w:val="pl-PL"/>
        </w:rPr>
        <w:t>Umožňuje priebežné monitorovanie pomeru prínosu a rizika lieku.</w:t>
      </w:r>
      <w:r w:rsidRPr="00606BE8">
        <w:rPr>
          <w:rFonts w:ascii="Times New Roman" w:hAnsi="Times New Roman"/>
          <w:lang w:val="pl-PL"/>
        </w:rPr>
        <w:t xml:space="preserve"> Od </w:t>
      </w:r>
      <w:r w:rsidRPr="00606BE8">
        <w:rPr>
          <w:rFonts w:ascii="Times New Roman" w:hAnsi="Times New Roman"/>
          <w:noProof/>
          <w:lang w:val="pl-PL"/>
        </w:rPr>
        <w:t xml:space="preserve">zdravotníckych pracovníkov sa vyžaduje, aby hlásili akékoľvek podozrenia na nežiaduce reakcie </w:t>
      </w:r>
      <w:r w:rsidR="00276389" w:rsidRPr="00271DB3">
        <w:rPr>
          <w:rFonts w:ascii="Times New Roman" w:hAnsi="Times New Roman"/>
          <w:noProof/>
          <w:highlight w:val="lightGray"/>
          <w:lang w:val="pl-PL"/>
        </w:rPr>
        <w:t>na</w:t>
      </w:r>
      <w:r w:rsidRPr="00271DB3">
        <w:rPr>
          <w:rFonts w:ascii="Times New Roman" w:hAnsi="Times New Roman"/>
          <w:noProof/>
          <w:highlight w:val="lightGray"/>
          <w:lang w:val="pl-PL"/>
        </w:rPr>
        <w:t xml:space="preserve"> </w:t>
      </w:r>
      <w:r w:rsidRPr="001F3864">
        <w:rPr>
          <w:rFonts w:ascii="Times New Roman" w:hAnsi="Times New Roman"/>
          <w:noProof/>
          <w:highlight w:val="lightGray"/>
          <w:lang w:val="pl-PL"/>
        </w:rPr>
        <w:t>národné</w:t>
      </w:r>
      <w:r w:rsidRPr="001B01C0">
        <w:rPr>
          <w:rFonts w:ascii="Times New Roman" w:hAnsi="Times New Roman"/>
          <w:noProof/>
          <w:highlight w:val="lightGray"/>
          <w:lang w:val="pl-PL"/>
        </w:rPr>
        <w:t xml:space="preserve"> </w:t>
      </w:r>
      <w:r w:rsidR="00276389" w:rsidRPr="001B01C0">
        <w:rPr>
          <w:rFonts w:ascii="Times New Roman" w:hAnsi="Times New Roman"/>
          <w:noProof/>
          <w:highlight w:val="lightGray"/>
          <w:lang w:val="pl-PL"/>
        </w:rPr>
        <w:t>centrum</w:t>
      </w:r>
      <w:r w:rsidRPr="001B01C0">
        <w:rPr>
          <w:rFonts w:ascii="Times New Roman" w:hAnsi="Times New Roman"/>
          <w:noProof/>
          <w:highlight w:val="lightGray"/>
          <w:lang w:val="pl-PL"/>
        </w:rPr>
        <w:t xml:space="preserve"> hlásenia uvedené v </w:t>
      </w:r>
      <w:hyperlink r:id="rId8" w:history="1">
        <w:r w:rsidRPr="001B01C0">
          <w:rPr>
            <w:rStyle w:val="Hypertextovprepojenie"/>
            <w:rFonts w:ascii="Times New Roman" w:hAnsi="Times New Roman"/>
            <w:noProof/>
            <w:highlight w:val="lightGray"/>
            <w:lang w:val="pl-PL"/>
          </w:rPr>
          <w:t>Prílohe V</w:t>
        </w:r>
      </w:hyperlink>
      <w:r w:rsidRPr="001F3864">
        <w:rPr>
          <w:rFonts w:ascii="Times New Roman" w:hAnsi="Times New Roman"/>
          <w:noProof/>
          <w:lang w:val="pl-PL"/>
        </w:rPr>
        <w:t>.</w:t>
      </w:r>
    </w:p>
    <w:p w:rsidR="00913A3C" w:rsidRPr="00271DB3" w:rsidRDefault="00913A3C" w:rsidP="00AD5D78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4E2B43" w:rsidRPr="00AD5D78" w:rsidRDefault="004E2B43" w:rsidP="00271DB3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lang w:val="pl-PL"/>
        </w:rPr>
      </w:pPr>
      <w:r w:rsidRPr="00AD5D78">
        <w:rPr>
          <w:rFonts w:ascii="Times New Roman" w:hAnsi="Times New Roman"/>
          <w:b/>
          <w:bCs/>
          <w:lang w:val="pl-PL"/>
        </w:rPr>
        <w:t>4.</w:t>
      </w:r>
      <w:r w:rsidR="001B01C0" w:rsidRPr="00AD5D78">
        <w:rPr>
          <w:rFonts w:ascii="Times New Roman" w:hAnsi="Times New Roman"/>
          <w:b/>
          <w:bCs/>
          <w:lang w:val="pl-PL"/>
        </w:rPr>
        <w:t>9</w:t>
      </w:r>
      <w:r w:rsidR="001B01C0">
        <w:rPr>
          <w:rFonts w:ascii="Times New Roman" w:hAnsi="Times New Roman"/>
          <w:b/>
          <w:bCs/>
          <w:lang w:val="pl-PL"/>
        </w:rPr>
        <w:tab/>
      </w:r>
      <w:r w:rsidRPr="00AD5D78">
        <w:rPr>
          <w:rFonts w:ascii="Times New Roman" w:hAnsi="Times New Roman"/>
          <w:b/>
          <w:bCs/>
          <w:lang w:val="pl-PL"/>
        </w:rPr>
        <w:t>Predávkovanie</w:t>
      </w:r>
    </w:p>
    <w:p w:rsidR="00913A3C" w:rsidRPr="00AD5D78" w:rsidRDefault="00913A3C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Nie sú známe </w:t>
      </w:r>
      <w:r w:rsidR="001B01C0" w:rsidRPr="00AD5D78">
        <w:rPr>
          <w:sz w:val="22"/>
          <w:szCs w:val="22"/>
          <w:lang w:val="sk-SK"/>
        </w:rPr>
        <w:t xml:space="preserve">žiadne </w:t>
      </w:r>
      <w:r w:rsidRPr="00AD5D78">
        <w:rPr>
          <w:sz w:val="22"/>
          <w:szCs w:val="22"/>
          <w:lang w:val="sk-SK"/>
        </w:rPr>
        <w:t>príznaky predávkovania u ľudí.</w:t>
      </w:r>
    </w:p>
    <w:p w:rsidR="00C26630" w:rsidRPr="00AD5D78" w:rsidRDefault="005751AB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Systémová expozícia s dávkou až do 240</w:t>
      </w:r>
      <w:r w:rsidR="001B01C0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 podávaných intravenózne počas 2 minút bola dobre tolerovaná.</w:t>
      </w:r>
    </w:p>
    <w:p w:rsidR="005751AB" w:rsidRPr="00AD5D78" w:rsidRDefault="005751AB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Keďže sa pantoprazol vo veľkom rozsahu viaže na proteíny, nie je ľahko dialyzovateľný.</w:t>
      </w:r>
    </w:p>
    <w:p w:rsidR="005751AB" w:rsidRPr="00343696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5751AB" w:rsidRPr="00E55BD8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E55BD8">
        <w:rPr>
          <w:rFonts w:ascii="Times New Roman" w:hAnsi="Times New Roman"/>
          <w:lang w:val="sk-SK"/>
        </w:rPr>
        <w:t xml:space="preserve">Pri predávkovaní s klinickými </w:t>
      </w:r>
      <w:r w:rsidR="00E55BD8">
        <w:rPr>
          <w:rFonts w:ascii="Times New Roman" w:hAnsi="Times New Roman"/>
          <w:lang w:val="sk-SK"/>
        </w:rPr>
        <w:t>prejavmi</w:t>
      </w:r>
      <w:r w:rsidRPr="00E55BD8">
        <w:rPr>
          <w:rFonts w:ascii="Times New Roman" w:hAnsi="Times New Roman"/>
          <w:lang w:val="sk-SK"/>
        </w:rPr>
        <w:t xml:space="preserve"> intoxikácie </w:t>
      </w:r>
      <w:r w:rsidR="001B01C0" w:rsidRPr="00E55BD8">
        <w:rPr>
          <w:rFonts w:ascii="Times New Roman" w:hAnsi="Times New Roman"/>
          <w:lang w:val="sk-SK"/>
        </w:rPr>
        <w:t xml:space="preserve">nie sú </w:t>
      </w:r>
      <w:r w:rsidRPr="00E55BD8">
        <w:rPr>
          <w:rFonts w:ascii="Times New Roman" w:hAnsi="Times New Roman"/>
          <w:lang w:val="sk-SK"/>
        </w:rPr>
        <w:t>okrem symptomatickej a podpornej liečby odporučené žiadne špecifické terapeutické postupy.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913A3C" w:rsidRPr="00271DB3" w:rsidRDefault="00913A3C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FARMAKOLOGICKÉ VLASTNOSTI</w:t>
      </w:r>
    </w:p>
    <w:p w:rsidR="00913A3C" w:rsidRPr="00271DB3" w:rsidRDefault="00913A3C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271DB3">
      <w:pPr>
        <w:keepNext/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5.1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Farmakodynamické vlastnosti</w:t>
      </w:r>
    </w:p>
    <w:p w:rsidR="00913A3C" w:rsidRPr="00AD5D78" w:rsidRDefault="00913A3C" w:rsidP="00271DB3">
      <w:pPr>
        <w:pStyle w:val="Default"/>
        <w:keepNext/>
        <w:rPr>
          <w:sz w:val="22"/>
          <w:szCs w:val="22"/>
          <w:lang w:val="sk-SK"/>
        </w:rPr>
      </w:pPr>
    </w:p>
    <w:p w:rsidR="001B01C0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 xml:space="preserve">Farmakoterapeutická skupina: </w:t>
      </w:r>
      <w:r w:rsidR="001B01C0" w:rsidRPr="006B2646">
        <w:rPr>
          <w:sz w:val="22"/>
          <w:szCs w:val="22"/>
          <w:lang w:val="sk-SK"/>
        </w:rPr>
        <w:t xml:space="preserve">Liečivá pri poruchách acidity, </w:t>
      </w:r>
      <w:r w:rsidRPr="00AD5D78">
        <w:rPr>
          <w:sz w:val="22"/>
          <w:szCs w:val="22"/>
          <w:lang w:val="sk-SK"/>
        </w:rPr>
        <w:t>inhibítory protónovej pumpy,</w:t>
      </w:r>
    </w:p>
    <w:p w:rsidR="004E2B43" w:rsidRPr="00AD5D78" w:rsidRDefault="004E2B43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ATC kód: A02BC02</w:t>
      </w:r>
    </w:p>
    <w:p w:rsidR="00913A3C" w:rsidRPr="00AD5D78" w:rsidRDefault="00913A3C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5751AB" w:rsidRPr="00AD5D78" w:rsidRDefault="005751AB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Mechanizmus účinku</w:t>
      </w:r>
    </w:p>
    <w:p w:rsidR="005751AB" w:rsidRPr="00AD5D78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>Pantoprazol je substituovaný benzimidazol, ktorý v žalúdku inhibuje sekréciu kyseliny chlorovodíkovej špecifickou blokádou protónových púmp parietálnych buniek.</w:t>
      </w:r>
    </w:p>
    <w:p w:rsidR="00575F2F" w:rsidRDefault="00575F2F" w:rsidP="00AD5D78">
      <w:pPr>
        <w:pStyle w:val="Default"/>
        <w:rPr>
          <w:bCs/>
          <w:sz w:val="22"/>
          <w:szCs w:val="22"/>
          <w:lang w:val="sk-SK"/>
        </w:rPr>
      </w:pPr>
    </w:p>
    <w:p w:rsidR="005751AB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 xml:space="preserve">Pantoprazol konvertuje na </w:t>
      </w:r>
      <w:r w:rsidR="001B01C0">
        <w:rPr>
          <w:bCs/>
          <w:sz w:val="22"/>
          <w:szCs w:val="22"/>
          <w:lang w:val="sk-SK"/>
        </w:rPr>
        <w:t>svoju</w:t>
      </w:r>
      <w:r w:rsidR="001B01C0" w:rsidRPr="00AD5D78">
        <w:rPr>
          <w:bCs/>
          <w:sz w:val="22"/>
          <w:szCs w:val="22"/>
          <w:lang w:val="sk-SK"/>
        </w:rPr>
        <w:t xml:space="preserve"> </w:t>
      </w:r>
      <w:r w:rsidRPr="00AD5D78">
        <w:rPr>
          <w:bCs/>
          <w:sz w:val="22"/>
          <w:szCs w:val="22"/>
          <w:lang w:val="sk-SK"/>
        </w:rPr>
        <w:t>aktívnu formu v kyslom prostredí parietálnych buniek, kde inhibuje enzým H</w:t>
      </w:r>
      <w:r w:rsidRPr="00AD5D78">
        <w:rPr>
          <w:bCs/>
          <w:sz w:val="22"/>
          <w:szCs w:val="22"/>
          <w:vertAlign w:val="superscript"/>
          <w:lang w:val="sk-SK"/>
        </w:rPr>
        <w:t>+</w:t>
      </w:r>
      <w:r w:rsidRPr="00AD5D78">
        <w:rPr>
          <w:bCs/>
          <w:sz w:val="22"/>
          <w:szCs w:val="22"/>
          <w:lang w:val="sk-SK"/>
        </w:rPr>
        <w:t>/K</w:t>
      </w:r>
      <w:r w:rsidRPr="00AD5D78">
        <w:rPr>
          <w:bCs/>
          <w:sz w:val="22"/>
          <w:szCs w:val="22"/>
          <w:vertAlign w:val="superscript"/>
          <w:lang w:val="sk-SK"/>
        </w:rPr>
        <w:t>+</w:t>
      </w:r>
      <w:r w:rsidRPr="00AD5D78">
        <w:rPr>
          <w:bCs/>
          <w:sz w:val="22"/>
          <w:szCs w:val="22"/>
          <w:lang w:val="sk-SK"/>
        </w:rPr>
        <w:t>-ATP</w:t>
      </w:r>
      <w:r w:rsidR="001B01C0">
        <w:rPr>
          <w:bCs/>
          <w:sz w:val="22"/>
          <w:szCs w:val="22"/>
          <w:lang w:val="sk-SK"/>
        </w:rPr>
        <w:t>-</w:t>
      </w:r>
      <w:r w:rsidRPr="00AD5D78">
        <w:rPr>
          <w:bCs/>
          <w:sz w:val="22"/>
          <w:szCs w:val="22"/>
          <w:lang w:val="sk-SK"/>
        </w:rPr>
        <w:t>ázu, t.</w:t>
      </w:r>
      <w:r w:rsidR="001B01C0">
        <w:rPr>
          <w:bCs/>
          <w:sz w:val="22"/>
          <w:szCs w:val="22"/>
          <w:lang w:val="sk-SK"/>
        </w:rPr>
        <w:t xml:space="preserve"> </w:t>
      </w:r>
      <w:r w:rsidRPr="00AD5D78">
        <w:rPr>
          <w:bCs/>
          <w:sz w:val="22"/>
          <w:szCs w:val="22"/>
          <w:lang w:val="sk-SK"/>
        </w:rPr>
        <w:t>j. posledný stupeň produkcie kyseliny chlorovodíkovej v žalúdku. Inhibícia závisí od dávky a ovplyvňuje bazálnu aj stimulovanú sekréciu kyseliny. U väčšiny pacientov dochádza k vymiznutiu príznakov v priebehu 2 týždňov. Tak ako u iných inhibítorov protónovej pumpy a</w:t>
      </w:r>
      <w:r w:rsidR="001B01C0">
        <w:rPr>
          <w:bCs/>
          <w:sz w:val="22"/>
          <w:szCs w:val="22"/>
          <w:lang w:val="sk-SK"/>
        </w:rPr>
        <w:t> </w:t>
      </w:r>
      <w:r w:rsidRPr="00AD5D78">
        <w:rPr>
          <w:bCs/>
          <w:sz w:val="22"/>
          <w:szCs w:val="22"/>
          <w:lang w:val="sk-SK"/>
        </w:rPr>
        <w:t>inhibítorov H</w:t>
      </w:r>
      <w:r w:rsidRPr="00AD5D78">
        <w:rPr>
          <w:bCs/>
          <w:sz w:val="22"/>
          <w:szCs w:val="22"/>
          <w:vertAlign w:val="subscript"/>
          <w:lang w:val="sk-SK"/>
        </w:rPr>
        <w:t xml:space="preserve">2 </w:t>
      </w:r>
      <w:r w:rsidRPr="00AD5D78">
        <w:rPr>
          <w:bCs/>
          <w:sz w:val="22"/>
          <w:szCs w:val="22"/>
          <w:lang w:val="sk-SK"/>
        </w:rPr>
        <w:t>-receptorov, liečba pantoprazolom znižuje kyslosť v žalúdku, čím sa úmerne k</w:t>
      </w:r>
      <w:r w:rsidR="001B01C0">
        <w:rPr>
          <w:bCs/>
          <w:sz w:val="22"/>
          <w:szCs w:val="22"/>
          <w:lang w:val="sk-SK"/>
        </w:rPr>
        <w:t> </w:t>
      </w:r>
      <w:r w:rsidRPr="00AD5D78">
        <w:rPr>
          <w:bCs/>
          <w:sz w:val="22"/>
          <w:szCs w:val="22"/>
          <w:lang w:val="sk-SK"/>
        </w:rPr>
        <w:t>zníženiu kyseliny zvyšuje hladina gastrínu. Zvýšenie hladiny gastrínu je reverzibilné. Pretože sa pantoprazol viaže na enzým distálne k úrovni bunkového receptora, môže inhibovať sekréciu kyseliny chlorovodíkovej nezávisle od stimulácie inými látkami (acetylcholín, histamín, gastrín). Účinok je rovnaký, či sa liek podáva perorálne alebo intravenózne.</w:t>
      </w:r>
    </w:p>
    <w:p w:rsidR="00575F2F" w:rsidRDefault="00575F2F" w:rsidP="00AD5D78">
      <w:pPr>
        <w:pStyle w:val="Default"/>
        <w:rPr>
          <w:bCs/>
          <w:sz w:val="22"/>
          <w:szCs w:val="22"/>
          <w:lang w:val="sk-SK"/>
        </w:rPr>
      </w:pPr>
    </w:p>
    <w:p w:rsidR="00575F2F" w:rsidRPr="00AD5D78" w:rsidRDefault="00575F2F" w:rsidP="00AD5D78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u w:val="single"/>
          <w:lang w:val="sk-SK"/>
        </w:rPr>
        <w:t>Farmakodynamické účinky</w:t>
      </w:r>
    </w:p>
    <w:p w:rsidR="005751AB" w:rsidRPr="00AD5D78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 xml:space="preserve">Hladiny gastrínu nalačno sa po </w:t>
      </w:r>
      <w:r w:rsidR="001B01C0">
        <w:rPr>
          <w:bCs/>
          <w:sz w:val="22"/>
          <w:szCs w:val="22"/>
          <w:lang w:val="sk-SK"/>
        </w:rPr>
        <w:t>podaní</w:t>
      </w:r>
      <w:r w:rsidRPr="00AD5D78">
        <w:rPr>
          <w:bCs/>
          <w:sz w:val="22"/>
          <w:szCs w:val="22"/>
          <w:lang w:val="sk-SK"/>
        </w:rPr>
        <w:t xml:space="preserve"> pantoprazolu zvyšujú. Pri krátkodobom užívaní vo väčšine prípadov neprekračujú hornú hranicu normálu. Počas dlhodobej liečby sa hladina gastrínu väčšinou zdvojnásobuje. Nadmerné zvýšenie sa však vyskytuje iba v ojedinelých prípadoch. Dôsledkom toho možno u menšieho počtu pacientov počas dlhodobej liečby zaznamenať mierne až stredné zvýšenie počtu špecifických endokrinných buniek (ECL) v žalúdku (jednoduchá až adenomatoidná hyperplázia). Avšak podľa doteraz vykonaných štúdií sa u ľudí nezistila tvorba karcinoidných prekurzorov (atypická hyperplázia) alebo gastrických karcinoidov, ktoré sa zistili v štúdi</w:t>
      </w:r>
      <w:r w:rsidR="001E675D" w:rsidRPr="00AD5D78">
        <w:rPr>
          <w:bCs/>
          <w:sz w:val="22"/>
          <w:szCs w:val="22"/>
          <w:lang w:val="sk-SK"/>
        </w:rPr>
        <w:t>á</w:t>
      </w:r>
      <w:r w:rsidRPr="00AD5D78">
        <w:rPr>
          <w:bCs/>
          <w:sz w:val="22"/>
          <w:szCs w:val="22"/>
          <w:lang w:val="sk-SK"/>
        </w:rPr>
        <w:t>ch na zvieratách (pozri časť 5.3)</w:t>
      </w:r>
      <w:r w:rsidR="001E675D" w:rsidRPr="00AD5D78">
        <w:rPr>
          <w:bCs/>
          <w:sz w:val="22"/>
          <w:szCs w:val="22"/>
          <w:lang w:val="sk-SK"/>
        </w:rPr>
        <w:t>.</w:t>
      </w:r>
    </w:p>
    <w:p w:rsidR="005751AB" w:rsidRDefault="005751AB" w:rsidP="00AD5D78">
      <w:pPr>
        <w:pStyle w:val="Default"/>
        <w:rPr>
          <w:bCs/>
          <w:sz w:val="22"/>
          <w:szCs w:val="22"/>
          <w:lang w:val="sk-SK"/>
        </w:rPr>
      </w:pPr>
      <w:r w:rsidRPr="00AD5D78">
        <w:rPr>
          <w:bCs/>
          <w:sz w:val="22"/>
          <w:szCs w:val="22"/>
          <w:lang w:val="sk-SK"/>
        </w:rPr>
        <w:t>Vplyv dlhodobej liečby pantoprazolom, ktorá presahuje jeden rok, na endokrinné parametre štítnej žľazy sa vzhľadom na výsledky štúdií na zvieratách nedá úplne vylúčiť.</w:t>
      </w:r>
    </w:p>
    <w:p w:rsidR="00276389" w:rsidRDefault="00276389" w:rsidP="00AD5D78">
      <w:pPr>
        <w:pStyle w:val="Default"/>
        <w:rPr>
          <w:bCs/>
          <w:sz w:val="22"/>
          <w:szCs w:val="22"/>
          <w:lang w:val="sk-SK"/>
        </w:rPr>
      </w:pPr>
    </w:p>
    <w:p w:rsidR="00276389" w:rsidRPr="001B01C0" w:rsidRDefault="00276389" w:rsidP="00276389">
      <w:pPr>
        <w:pStyle w:val="Default"/>
        <w:rPr>
          <w:sz w:val="22"/>
          <w:szCs w:val="22"/>
          <w:lang w:val="sk-SK"/>
        </w:rPr>
      </w:pPr>
      <w:r w:rsidRPr="001F3864">
        <w:rPr>
          <w:sz w:val="22"/>
          <w:szCs w:val="22"/>
          <w:lang w:val="sk-SK"/>
        </w:rPr>
        <w:t>Počas liečby antisekrečnými liekmi sa zvyšuje sérová hladina gastrínu ako odpoveď na zníženú sekréciu kyseliny. Zvýši sa tiež hladina CgA v dôsledku zníženej kyslosti žalú</w:t>
      </w:r>
      <w:r w:rsidRPr="001B01C0">
        <w:rPr>
          <w:sz w:val="22"/>
          <w:szCs w:val="22"/>
          <w:lang w:val="sk-SK"/>
        </w:rPr>
        <w:t>dka. Zvýšená hladina CgA môže interferovať s vyšetreniami na neuroendokrinné nádory.</w:t>
      </w:r>
    </w:p>
    <w:p w:rsidR="00276389" w:rsidRPr="00AD5D78" w:rsidRDefault="00276389" w:rsidP="00276389">
      <w:pPr>
        <w:pStyle w:val="Default"/>
        <w:rPr>
          <w:bCs/>
          <w:sz w:val="22"/>
          <w:szCs w:val="22"/>
          <w:lang w:val="sk-SK"/>
        </w:rPr>
      </w:pPr>
      <w:r w:rsidRPr="001B01C0">
        <w:rPr>
          <w:sz w:val="22"/>
          <w:szCs w:val="22"/>
          <w:lang w:val="sk-SK"/>
        </w:rPr>
        <w:t>Z dostupných uverejnených dôkazov vyplýva, že inhibítory protónovej pumpy sa majú vysadiť 5 dní až 2 týždne pred meraniami hladiny CgA. To má umožniť, aby sa hladiny CgA, ktoré m</w:t>
      </w:r>
      <w:r w:rsidR="001B01C0">
        <w:rPr>
          <w:sz w:val="22"/>
          <w:szCs w:val="22"/>
          <w:lang w:val="sk-SK"/>
        </w:rPr>
        <w:t>ôžu</w:t>
      </w:r>
      <w:r w:rsidRPr="001F3864">
        <w:rPr>
          <w:sz w:val="22"/>
          <w:szCs w:val="22"/>
          <w:lang w:val="sk-SK"/>
        </w:rPr>
        <w:t xml:space="preserve"> byť po liečbe PPI umelo zvýšené, vrátili do referenčného rozsahu.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5.2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Farmakokinetické vlastnosti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sk-SK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iCs/>
          <w:u w:val="single"/>
          <w:lang w:val="sk-SK"/>
        </w:rPr>
        <w:t>Absor</w:t>
      </w:r>
      <w:r w:rsidR="00271DB3">
        <w:rPr>
          <w:rFonts w:ascii="Times New Roman" w:hAnsi="Times New Roman"/>
          <w:iCs/>
          <w:u w:val="single"/>
          <w:lang w:val="sk-SK"/>
        </w:rPr>
        <w:t>p</w:t>
      </w:r>
      <w:bookmarkStart w:id="0" w:name="_GoBack"/>
      <w:bookmarkEnd w:id="0"/>
      <w:r w:rsidRPr="00AD5D78">
        <w:rPr>
          <w:rFonts w:ascii="Times New Roman" w:hAnsi="Times New Roman"/>
          <w:iCs/>
          <w:u w:val="single"/>
          <w:lang w:val="sk-SK"/>
        </w:rPr>
        <w:t>cia</w:t>
      </w:r>
    </w:p>
    <w:p w:rsidR="001B01C0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r w:rsidRPr="00343696">
        <w:rPr>
          <w:rFonts w:ascii="Times New Roman" w:hAnsi="Times New Roman"/>
          <w:lang w:val="sk-SK"/>
        </w:rPr>
        <w:t>Pantoprazol sa rýc</w:t>
      </w:r>
      <w:r w:rsidRPr="00E55BD8">
        <w:rPr>
          <w:rFonts w:ascii="Times New Roman" w:hAnsi="Times New Roman"/>
          <w:lang w:val="sk-SK"/>
        </w:rPr>
        <w:t>hlo absorbuje a maximálna plazmatická koncentrácia sa dosiahne už po jednej jednorazovej perorálnej dávke 40</w:t>
      </w:r>
      <w:r w:rsidR="001B01C0">
        <w:rPr>
          <w:rFonts w:ascii="Times New Roman" w:hAnsi="Times New Roman"/>
          <w:lang w:val="sk-SK"/>
        </w:rPr>
        <w:t> </w:t>
      </w:r>
      <w:r w:rsidRPr="00E55BD8">
        <w:rPr>
          <w:rFonts w:ascii="Times New Roman" w:hAnsi="Times New Roman"/>
          <w:lang w:val="sk-SK"/>
        </w:rPr>
        <w:t>mg. Maximálna koncentrácia v sére približne 2</w:t>
      </w:r>
      <w:r w:rsidRPr="00AD5D78">
        <w:rPr>
          <w:rFonts w:ascii="Times New Roman" w:hAnsi="Times New Roman"/>
          <w:lang w:val="sk-SK"/>
        </w:rPr>
        <w:t>–3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</w:rPr>
        <w:t>μ</w:t>
      </w:r>
      <w:r w:rsidRPr="00AD5D78">
        <w:rPr>
          <w:rFonts w:ascii="Times New Roman" w:hAnsi="Times New Roman"/>
          <w:lang w:val="sk-SK"/>
        </w:rPr>
        <w:t>g/ml sa dosiahne v priemere za približne 2,5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hodiny po podaní a tieto hodnoty zostávajú konštantné po opakovanom podávaní.</w:t>
      </w:r>
    </w:p>
    <w:p w:rsidR="001E0C56" w:rsidRPr="00AD5D78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E0C56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>Farmakokinetika sa nemení po jednorazovom alebo opakovanom podaní. Pri rozpätí dávok od 10 do 80</w:t>
      </w:r>
      <w:r w:rsidR="001B01C0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mg zostáva kinetika pantoprazolu v plazme lineárna po perorálnom aj po intravenóznom podaní.</w:t>
      </w:r>
    </w:p>
    <w:p w:rsidR="001B01C0" w:rsidRPr="00AD5D78" w:rsidRDefault="001B01C0" w:rsidP="00AD5D78">
      <w:pPr>
        <w:pStyle w:val="Zkladntext"/>
        <w:spacing w:after="0" w:line="240" w:lineRule="auto"/>
        <w:rPr>
          <w:rFonts w:ascii="Times New Roman" w:hAnsi="Times New Roman"/>
          <w:lang w:val="sk-SK"/>
        </w:rPr>
      </w:pPr>
    </w:p>
    <w:p w:rsidR="001E0C56" w:rsidRPr="00AD5D78" w:rsidRDefault="001E0C56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Preukázalo sa, že absolútna biologická dostupnosť z tablety je okolo 77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%. Súbežný príjem potravy nemá žiaden vplyv na AUC, maximálnu sérovú koncentráciu ani na biologickú dostupnosť. Pri súbežnom príjme potravy sa zyšuje len variabilita </w:t>
      </w:r>
      <w:r w:rsidR="00CF3611" w:rsidRPr="00AD5D78">
        <w:rPr>
          <w:rFonts w:ascii="Times New Roman" w:hAnsi="Times New Roman"/>
          <w:lang w:val="pl-PL"/>
        </w:rPr>
        <w:t xml:space="preserve">oneskoreného </w:t>
      </w:r>
      <w:r w:rsidRPr="00AD5D78">
        <w:rPr>
          <w:rFonts w:ascii="Times New Roman" w:hAnsi="Times New Roman"/>
          <w:lang w:val="pl-PL"/>
        </w:rPr>
        <w:t>času vstrebávania.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4E2B43" w:rsidRPr="00AD5D78" w:rsidRDefault="004E2B43" w:rsidP="00271DB3">
      <w:pPr>
        <w:keepNext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iCs/>
          <w:u w:val="single"/>
          <w:lang w:val="pl-PL"/>
        </w:rPr>
        <w:t>Distribúcia</w:t>
      </w:r>
    </w:p>
    <w:p w:rsidR="004E2B43" w:rsidRPr="00E55BD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Pantoprazol sa z 98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% viaže na sérové bielkoviny. Distribučný objem je okolo 0,15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l/kg.</w:t>
      </w:r>
    </w:p>
    <w:p w:rsidR="00CE3E37" w:rsidRPr="00AD5D78" w:rsidRDefault="00CE3E37" w:rsidP="00AD5D78">
      <w:pPr>
        <w:spacing w:after="0" w:line="240" w:lineRule="auto"/>
        <w:rPr>
          <w:rFonts w:ascii="Times New Roman" w:hAnsi="Times New Roman"/>
          <w:iCs/>
          <w:u w:val="single"/>
          <w:lang w:val="pl-PL"/>
        </w:rPr>
      </w:pPr>
    </w:p>
    <w:p w:rsidR="004E2B43" w:rsidRPr="00AD5D78" w:rsidRDefault="00575F2F" w:rsidP="00AD5D78">
      <w:pPr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Biotransformácia</w:t>
      </w:r>
    </w:p>
    <w:p w:rsidR="00575F2F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Liečivo sa </w:t>
      </w:r>
      <w:r w:rsidR="001E0C56" w:rsidRPr="00AD5D78">
        <w:rPr>
          <w:rFonts w:ascii="Times New Roman" w:hAnsi="Times New Roman"/>
          <w:lang w:val="pl-PL"/>
        </w:rPr>
        <w:t xml:space="preserve">takmer výhradne </w:t>
      </w:r>
      <w:r w:rsidRPr="00AD5D78">
        <w:rPr>
          <w:rFonts w:ascii="Times New Roman" w:hAnsi="Times New Roman"/>
          <w:lang w:val="pl-PL"/>
        </w:rPr>
        <w:t xml:space="preserve">metabolizuje v pečeni. Hlavnou metabolickou cestou je demetylácia CYP2C19 s následnou sulfátovou konjugáciou, inou metabolickou cestou je oxidácia CYP3A4. </w:t>
      </w:r>
    </w:p>
    <w:p w:rsidR="00575F2F" w:rsidRDefault="00575F2F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575F2F" w:rsidRDefault="00575F2F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iCs/>
          <w:u w:val="single"/>
          <w:lang w:val="pl-PL"/>
        </w:rPr>
        <w:t>Eliminácia</w:t>
      </w:r>
    </w:p>
    <w:p w:rsidR="00CE3E37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Terminálny polčas je približne 1 hodina a klírens okolo 0,1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l/h/kg. Zaznamenaných </w:t>
      </w:r>
      <w:r w:rsidR="001F3864">
        <w:rPr>
          <w:rFonts w:ascii="Times New Roman" w:hAnsi="Times New Roman"/>
          <w:lang w:val="pl-PL"/>
        </w:rPr>
        <w:t>bolo</w:t>
      </w:r>
      <w:r w:rsidRPr="00AD5D78">
        <w:rPr>
          <w:rFonts w:ascii="Times New Roman" w:hAnsi="Times New Roman"/>
          <w:lang w:val="pl-PL"/>
        </w:rPr>
        <w:t xml:space="preserve"> niekoľko prípadov </w:t>
      </w:r>
      <w:r w:rsidR="00C94D97" w:rsidRPr="00AD5D78">
        <w:rPr>
          <w:rFonts w:ascii="Times New Roman" w:hAnsi="Times New Roman"/>
          <w:lang w:val="pl-PL"/>
        </w:rPr>
        <w:t xml:space="preserve">jedincov </w:t>
      </w:r>
      <w:r w:rsidRPr="00AD5D78">
        <w:rPr>
          <w:rFonts w:ascii="Times New Roman" w:hAnsi="Times New Roman"/>
          <w:lang w:val="pl-PL"/>
        </w:rPr>
        <w:t>so spomaleným vylučovaním. Vzhľadom na špecifickú väzbu pantoprazolu na protónové pumpy parietálnych buniek</w:t>
      </w:r>
      <w:r w:rsidR="001F3864">
        <w:rPr>
          <w:rFonts w:ascii="Times New Roman" w:hAnsi="Times New Roman"/>
          <w:lang w:val="pl-PL"/>
        </w:rPr>
        <w:t>,</w:t>
      </w:r>
      <w:r w:rsidRPr="00AD5D78">
        <w:rPr>
          <w:rFonts w:ascii="Times New Roman" w:hAnsi="Times New Roman"/>
          <w:lang w:val="pl-PL"/>
        </w:rPr>
        <w:t xml:space="preserve"> polčas vylučovania nekoreluje s oveľa dlhším trvaním účinku (inhibícia sekrécie kyseliny).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Vylučovanie obličkami je hlavnou cestou vylučovania (okolo 80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%) metabolitov pantoprazolu, zvyšok sa vylúči stolicou. Hlavným metabolito</w:t>
      </w:r>
      <w:r w:rsidR="00632EF6" w:rsidRPr="00AD5D78">
        <w:rPr>
          <w:rFonts w:ascii="Times New Roman" w:hAnsi="Times New Roman"/>
          <w:lang w:val="pl-PL"/>
        </w:rPr>
        <w:t>m</w:t>
      </w:r>
      <w:r w:rsidRPr="00AD5D78">
        <w:rPr>
          <w:rFonts w:ascii="Times New Roman" w:hAnsi="Times New Roman"/>
          <w:lang w:val="pl-PL"/>
        </w:rPr>
        <w:t xml:space="preserve"> v sére aj v moči je desmetylpantoprazol konjugovaný so sulfátom. Polčas hlavného metabolitu (približne 1,5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h</w:t>
      </w:r>
      <w:r w:rsidR="001F3864">
        <w:rPr>
          <w:rFonts w:ascii="Times New Roman" w:hAnsi="Times New Roman"/>
          <w:lang w:val="pl-PL"/>
        </w:rPr>
        <w:t>odiny</w:t>
      </w:r>
      <w:r w:rsidRPr="00AD5D78">
        <w:rPr>
          <w:rFonts w:ascii="Times New Roman" w:hAnsi="Times New Roman"/>
          <w:lang w:val="pl-PL"/>
        </w:rPr>
        <w:t xml:space="preserve">) nie je </w:t>
      </w:r>
      <w:r w:rsidR="001E675D" w:rsidRPr="00AD5D78">
        <w:rPr>
          <w:rFonts w:ascii="Times New Roman" w:hAnsi="Times New Roman"/>
          <w:lang w:val="pl-PL"/>
        </w:rPr>
        <w:t xml:space="preserve">oveľa </w:t>
      </w:r>
      <w:r w:rsidRPr="00AD5D78">
        <w:rPr>
          <w:rFonts w:ascii="Times New Roman" w:hAnsi="Times New Roman"/>
          <w:lang w:val="pl-PL"/>
        </w:rPr>
        <w:t>dlhší ako polčas pantoprazolu.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iCs/>
          <w:lang w:val="pl-PL"/>
        </w:rPr>
      </w:pPr>
    </w:p>
    <w:p w:rsidR="004E2B43" w:rsidRPr="00AD5D78" w:rsidRDefault="00575F2F" w:rsidP="00AD5D78">
      <w:pPr>
        <w:spacing w:after="0" w:line="240" w:lineRule="auto"/>
        <w:rPr>
          <w:rFonts w:ascii="Times New Roman" w:hAnsi="Times New Roman"/>
          <w:u w:val="single"/>
          <w:lang w:val="pl-PL"/>
        </w:rPr>
      </w:pPr>
      <w:r>
        <w:rPr>
          <w:rFonts w:ascii="Times New Roman" w:hAnsi="Times New Roman"/>
          <w:iCs/>
          <w:u w:val="single"/>
          <w:lang w:val="pl-PL"/>
        </w:rPr>
        <w:t>O</w:t>
      </w:r>
      <w:r w:rsidR="004E2B43" w:rsidRPr="00AD5D78">
        <w:rPr>
          <w:rFonts w:ascii="Times New Roman" w:hAnsi="Times New Roman"/>
          <w:iCs/>
          <w:u w:val="single"/>
          <w:lang w:val="pl-PL"/>
        </w:rPr>
        <w:t>sobitné skupiny pacientov</w:t>
      </w:r>
    </w:p>
    <w:p w:rsidR="001F3864" w:rsidRPr="006B2646" w:rsidRDefault="001F3864" w:rsidP="001F3864">
      <w:pPr>
        <w:pStyle w:val="Zkladntext"/>
        <w:spacing w:after="0" w:line="240" w:lineRule="auto"/>
        <w:rPr>
          <w:rFonts w:ascii="Times New Roman" w:hAnsi="Times New Roman"/>
          <w:i/>
          <w:lang w:val="pl-PL"/>
        </w:rPr>
      </w:pPr>
      <w:r>
        <w:rPr>
          <w:rFonts w:ascii="Times New Roman" w:hAnsi="Times New Roman"/>
          <w:i/>
          <w:lang w:val="pl-PL"/>
        </w:rPr>
        <w:t>Pomalí metabolizéri</w:t>
      </w:r>
    </w:p>
    <w:p w:rsidR="00C94D97" w:rsidRPr="00AD5D78" w:rsidRDefault="00C94D9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Približne 3</w:t>
      </w:r>
      <w:r w:rsidR="001F3864">
        <w:rPr>
          <w:rFonts w:ascii="Times New Roman" w:hAnsi="Times New Roman"/>
          <w:lang w:val="pl-PL"/>
        </w:rPr>
        <w:t> </w:t>
      </w:r>
      <w:r w:rsidRPr="00343696">
        <w:rPr>
          <w:rFonts w:ascii="Times New Roman" w:hAnsi="Times New Roman"/>
          <w:lang w:val="pl-PL"/>
        </w:rPr>
        <w:t xml:space="preserve">% európskej populácie nemá funkčný CYP2C19 enzým, preto sa nazývajú </w:t>
      </w:r>
      <w:r w:rsidRPr="00E55BD8">
        <w:rPr>
          <w:rFonts w:ascii="Times New Roman" w:hAnsi="Times New Roman"/>
          <w:lang w:val="pl-PL"/>
        </w:rPr>
        <w:t>slabými</w:t>
      </w:r>
      <w:r w:rsidRPr="00AD5D78">
        <w:rPr>
          <w:rFonts w:ascii="Times New Roman" w:hAnsi="Times New Roman"/>
          <w:lang w:val="pl-PL"/>
        </w:rPr>
        <w:t xml:space="preserve"> </w:t>
      </w:r>
      <w:r w:rsidRPr="00343696">
        <w:rPr>
          <w:rFonts w:ascii="Times New Roman" w:hAnsi="Times New Roman"/>
          <w:lang w:val="pl-PL"/>
        </w:rPr>
        <w:t>metabo</w:t>
      </w:r>
      <w:r w:rsidRPr="00E55BD8">
        <w:rPr>
          <w:rFonts w:ascii="Times New Roman" w:hAnsi="Times New Roman"/>
          <w:lang w:val="pl-PL"/>
        </w:rPr>
        <w:t>lizérmi. U týchto jedincov metabolizmus pantoprazolu pravdepodobne katalyzuje hlavne CYP3A4. Po jednorazovom podaní 40</w:t>
      </w:r>
      <w:r w:rsidR="001F3864">
        <w:rPr>
          <w:rFonts w:ascii="Times New Roman" w:hAnsi="Times New Roman"/>
          <w:lang w:val="pl-PL"/>
        </w:rPr>
        <w:t> </w:t>
      </w:r>
      <w:r w:rsidRPr="00E55BD8">
        <w:rPr>
          <w:rFonts w:ascii="Times New Roman" w:hAnsi="Times New Roman"/>
          <w:lang w:val="pl-PL"/>
        </w:rPr>
        <w:t>mg pantoprazolu stredná plocha pod krivkou vyjadrujúcou vzťah plazmatická koncentrácia-čas bola pri</w:t>
      </w:r>
      <w:r w:rsidRPr="00AD5D78">
        <w:rPr>
          <w:rFonts w:ascii="Times New Roman" w:hAnsi="Times New Roman"/>
          <w:lang w:val="pl-PL"/>
        </w:rPr>
        <w:t>bližne 6</w:t>
      </w:r>
      <w:r w:rsidR="001F3864">
        <w:rPr>
          <w:rFonts w:ascii="Times New Roman" w:hAnsi="Times New Roman"/>
          <w:lang w:val="pl-PL"/>
        </w:rPr>
        <w:t>-</w:t>
      </w:r>
      <w:r w:rsidRPr="00AD5D78">
        <w:rPr>
          <w:rFonts w:ascii="Times New Roman" w:hAnsi="Times New Roman"/>
          <w:lang w:val="pl-PL"/>
        </w:rPr>
        <w:t>násobne vyššia u slabých metabolizérov ako u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jedincov s funkčným CYP2C19 enzýmom (extenzívnych metabolizérov). Stredné maximálne plazmatické koncentrácie boli vyššie o približne 60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 xml:space="preserve">%. Tieto zistenia nemajú žiaden dopad na dávkovanie pantoprazolu. </w:t>
      </w:r>
    </w:p>
    <w:p w:rsidR="001E675D" w:rsidRPr="00AD5D78" w:rsidRDefault="001E675D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F01920" w:rsidP="00AD5D78">
      <w:pPr>
        <w:pStyle w:val="Default"/>
        <w:rPr>
          <w:sz w:val="22"/>
          <w:szCs w:val="22"/>
          <w:lang w:val="pl-PL"/>
        </w:rPr>
      </w:pPr>
      <w:r>
        <w:rPr>
          <w:i/>
          <w:sz w:val="22"/>
          <w:szCs w:val="22"/>
          <w:lang w:val="sk-SK"/>
        </w:rPr>
        <w:t>P</w:t>
      </w:r>
      <w:r w:rsidR="001E675D" w:rsidRPr="00AD5D78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1E675D" w:rsidRPr="00AD5D78">
        <w:rPr>
          <w:i/>
          <w:sz w:val="22"/>
          <w:szCs w:val="22"/>
          <w:lang w:val="sk-SK"/>
        </w:rPr>
        <w:t xml:space="preserve"> funkcie obličiek</w:t>
      </w:r>
    </w:p>
    <w:p w:rsidR="00C94D97" w:rsidRPr="00AD5D78" w:rsidRDefault="00C94D9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 xml:space="preserve">Neodporúča sa zníženie dávky, </w:t>
      </w:r>
      <w:r w:rsidR="001F3864">
        <w:rPr>
          <w:rFonts w:ascii="Times New Roman" w:hAnsi="Times New Roman"/>
          <w:lang w:val="pl-PL"/>
        </w:rPr>
        <w:t>a</w:t>
      </w:r>
      <w:r w:rsidRPr="00343696">
        <w:rPr>
          <w:rFonts w:ascii="Times New Roman" w:hAnsi="Times New Roman"/>
          <w:lang w:val="pl-PL"/>
        </w:rPr>
        <w:t>k sa pantoprazol podáva pacientom s po</w:t>
      </w:r>
      <w:r w:rsidR="00CF3611" w:rsidRPr="00E55BD8">
        <w:rPr>
          <w:rFonts w:ascii="Times New Roman" w:hAnsi="Times New Roman"/>
          <w:lang w:val="pl-PL"/>
        </w:rPr>
        <w:t>rušenou</w:t>
      </w:r>
      <w:r w:rsidRPr="00E55BD8">
        <w:rPr>
          <w:rFonts w:ascii="Times New Roman" w:hAnsi="Times New Roman"/>
          <w:lang w:val="pl-PL"/>
        </w:rPr>
        <w:t xml:space="preserve"> funkcoiu obličiek (vrátane dialyzovaných pacientov</w:t>
      </w:r>
      <w:r w:rsidRPr="00AD5D78">
        <w:rPr>
          <w:rFonts w:ascii="Times New Roman" w:hAnsi="Times New Roman"/>
          <w:lang w:val="pl-PL"/>
        </w:rPr>
        <w:t>). Tak ako u zdravých pacientov je polčas pantoprazolu krátky. Len veľmi malé množstvá pantoprazolu sú dialyzovateľné. Hoci má hlavný metabolit mierne predĺžený polčas (2 – 3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hod</w:t>
      </w:r>
      <w:r w:rsidR="001F3864">
        <w:rPr>
          <w:rFonts w:ascii="Times New Roman" w:hAnsi="Times New Roman"/>
          <w:lang w:val="pl-PL"/>
        </w:rPr>
        <w:t>iny</w:t>
      </w:r>
      <w:r w:rsidRPr="00AD5D78">
        <w:rPr>
          <w:rFonts w:ascii="Times New Roman" w:hAnsi="Times New Roman"/>
          <w:lang w:val="pl-PL"/>
        </w:rPr>
        <w:t>), vylučovanie je relatívne rýchle a nedochádza ku kumulácii.</w:t>
      </w:r>
    </w:p>
    <w:p w:rsidR="00CE3E37" w:rsidRPr="00AD5D78" w:rsidRDefault="00CE3E3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F01920" w:rsidP="00AD5D78">
      <w:pPr>
        <w:pStyle w:val="Default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</w:t>
      </w:r>
      <w:r w:rsidR="001E675D" w:rsidRPr="00AD5D78">
        <w:rPr>
          <w:i/>
          <w:sz w:val="22"/>
          <w:szCs w:val="22"/>
          <w:lang w:val="sk-SK"/>
        </w:rPr>
        <w:t>oruch</w:t>
      </w:r>
      <w:r>
        <w:rPr>
          <w:i/>
          <w:sz w:val="22"/>
          <w:szCs w:val="22"/>
          <w:lang w:val="sk-SK"/>
        </w:rPr>
        <w:t>a</w:t>
      </w:r>
      <w:r w:rsidR="001E675D" w:rsidRPr="00AD5D78">
        <w:rPr>
          <w:i/>
          <w:sz w:val="22"/>
          <w:szCs w:val="22"/>
          <w:lang w:val="sk-SK"/>
        </w:rPr>
        <w:t xml:space="preserve"> funkcie pečene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Napriek tomu, že u pacientov s cirhózou pečene (</w:t>
      </w:r>
      <w:r w:rsidRPr="00E55BD8">
        <w:rPr>
          <w:rFonts w:ascii="Times New Roman" w:hAnsi="Times New Roman"/>
          <w:lang w:val="pl-PL"/>
        </w:rPr>
        <w:t>triedy A a B podľa Childa) sa hodnoty polčasu zvyšujú na 7 – 9 hodín a hodnoty AUC sa zvyšujú faktorom 5 – 7, maximálna sérová koncentrácia sa zvýši iba nepatrne faktorom 1,5 v porovnaní so zdravými jedincami.</w:t>
      </w:r>
    </w:p>
    <w:p w:rsidR="00CE3E37" w:rsidRPr="00AD5D78" w:rsidRDefault="00CE3E37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</w:p>
    <w:p w:rsidR="001E675D" w:rsidRPr="00AD5D78" w:rsidRDefault="001E675D" w:rsidP="00AD5D78">
      <w:pPr>
        <w:pStyle w:val="Default"/>
        <w:rPr>
          <w:i/>
          <w:sz w:val="22"/>
          <w:szCs w:val="22"/>
          <w:lang w:val="sk-SK"/>
        </w:rPr>
      </w:pPr>
      <w:r w:rsidRPr="00AD5D78">
        <w:rPr>
          <w:i/>
          <w:sz w:val="22"/>
          <w:szCs w:val="22"/>
          <w:lang w:val="sk-SK"/>
        </w:rPr>
        <w:t>Starší pacienti</w:t>
      </w:r>
    </w:p>
    <w:p w:rsidR="004E2B43" w:rsidRPr="00E55BD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Mierne zvýšenie AUC a C</w:t>
      </w:r>
      <w:r w:rsidRPr="00AD5D78">
        <w:rPr>
          <w:rFonts w:ascii="Times New Roman" w:hAnsi="Times New Roman"/>
          <w:vertAlign w:val="subscript"/>
          <w:lang w:val="pl-PL"/>
        </w:rPr>
        <w:t>max</w:t>
      </w:r>
      <w:r w:rsidRPr="00343696">
        <w:rPr>
          <w:rFonts w:ascii="Times New Roman" w:hAnsi="Times New Roman"/>
          <w:lang w:val="pl-PL"/>
        </w:rPr>
        <w:t xml:space="preserve"> u </w:t>
      </w:r>
      <w:r w:rsidRPr="00E55BD8">
        <w:rPr>
          <w:rFonts w:ascii="Times New Roman" w:hAnsi="Times New Roman"/>
          <w:lang w:val="pl-PL"/>
        </w:rPr>
        <w:t>starších pacientov v porovnaní s mladšími tiež nie je klinicky významné.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</w:p>
    <w:p w:rsidR="004E2B43" w:rsidRPr="00AD5D78" w:rsidRDefault="00F01920" w:rsidP="00AD5D78">
      <w:pPr>
        <w:spacing w:after="0" w:line="240" w:lineRule="auto"/>
        <w:rPr>
          <w:rFonts w:ascii="Times New Roman" w:hAnsi="Times New Roman"/>
          <w:i/>
          <w:u w:val="single"/>
          <w:lang w:val="pl-PL"/>
        </w:rPr>
      </w:pPr>
      <w:r>
        <w:rPr>
          <w:rFonts w:ascii="Times New Roman" w:hAnsi="Times New Roman"/>
          <w:i/>
          <w:lang w:val="pl-PL"/>
        </w:rPr>
        <w:t>Pediatrická populácia</w:t>
      </w:r>
    </w:p>
    <w:p w:rsidR="00CE3E37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343696">
        <w:rPr>
          <w:rFonts w:ascii="Times New Roman" w:hAnsi="Times New Roman"/>
          <w:lang w:val="pl-PL"/>
        </w:rPr>
        <w:t>Po podaní jednor</w:t>
      </w:r>
      <w:r w:rsidR="001F3864">
        <w:rPr>
          <w:rFonts w:ascii="Times New Roman" w:hAnsi="Times New Roman"/>
          <w:lang w:val="pl-PL"/>
        </w:rPr>
        <w:t>a</w:t>
      </w:r>
      <w:r w:rsidRPr="00343696">
        <w:rPr>
          <w:rFonts w:ascii="Times New Roman" w:hAnsi="Times New Roman"/>
          <w:lang w:val="pl-PL"/>
        </w:rPr>
        <w:t xml:space="preserve">zovej </w:t>
      </w:r>
      <w:r w:rsidR="001F3864" w:rsidRPr="006B2646">
        <w:rPr>
          <w:rFonts w:ascii="Times New Roman" w:hAnsi="Times New Roman"/>
        </w:rPr>
        <w:t>perorálnej</w:t>
      </w:r>
      <w:r w:rsidR="001F3864" w:rsidRPr="00343696">
        <w:rPr>
          <w:rFonts w:ascii="Times New Roman" w:hAnsi="Times New Roman"/>
          <w:lang w:val="pl-PL"/>
        </w:rPr>
        <w:t xml:space="preserve"> </w:t>
      </w:r>
      <w:r w:rsidRPr="00343696">
        <w:rPr>
          <w:rFonts w:ascii="Times New Roman" w:hAnsi="Times New Roman"/>
          <w:lang w:val="pl-PL"/>
        </w:rPr>
        <w:t>dávky 20 alebo 40</w:t>
      </w:r>
      <w:r w:rsidR="001F3864">
        <w:rPr>
          <w:rFonts w:ascii="Times New Roman" w:hAnsi="Times New Roman"/>
          <w:lang w:val="pl-PL"/>
        </w:rPr>
        <w:t> </w:t>
      </w:r>
      <w:r w:rsidRPr="00343696">
        <w:rPr>
          <w:rFonts w:ascii="Times New Roman" w:hAnsi="Times New Roman"/>
          <w:lang w:val="pl-PL"/>
        </w:rPr>
        <w:t>mg pantoprazolu deťom vo veku 5 – 16 rokov boli hodnoty AUC a C</w:t>
      </w:r>
      <w:r w:rsidRPr="00AD5D78">
        <w:rPr>
          <w:rFonts w:ascii="Times New Roman" w:hAnsi="Times New Roman"/>
          <w:vertAlign w:val="subscript"/>
          <w:lang w:val="pl-PL"/>
        </w:rPr>
        <w:t>max</w:t>
      </w:r>
      <w:r w:rsidRPr="00343696">
        <w:rPr>
          <w:rFonts w:ascii="Times New Roman" w:hAnsi="Times New Roman"/>
          <w:lang w:val="pl-PL"/>
        </w:rPr>
        <w:t xml:space="preserve"> v rozsahu zodpovedajúcom hodnotám u dospelých.</w:t>
      </w:r>
    </w:p>
    <w:p w:rsidR="004E2B43" w:rsidRPr="00AD5D78" w:rsidRDefault="004E2B43" w:rsidP="00AD5D78">
      <w:pPr>
        <w:pStyle w:val="Zkladntext"/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Po </w:t>
      </w:r>
      <w:r w:rsidR="001F3864">
        <w:rPr>
          <w:rFonts w:ascii="Times New Roman" w:hAnsi="Times New Roman"/>
          <w:lang w:val="pl-PL"/>
        </w:rPr>
        <w:t>podaní</w:t>
      </w:r>
      <w:r w:rsidRPr="00AD5D78">
        <w:rPr>
          <w:rFonts w:ascii="Times New Roman" w:hAnsi="Times New Roman"/>
          <w:lang w:val="pl-PL"/>
        </w:rPr>
        <w:t xml:space="preserve"> jednorazovej </w:t>
      </w:r>
      <w:r w:rsidRPr="00271DB3">
        <w:rPr>
          <w:rFonts w:ascii="Times New Roman" w:hAnsi="Times New Roman"/>
          <w:lang w:val="sk-SK"/>
        </w:rPr>
        <w:t>i</w:t>
      </w:r>
      <w:r w:rsidR="001F3864" w:rsidRPr="00271DB3">
        <w:rPr>
          <w:rFonts w:ascii="Times New Roman" w:hAnsi="Times New Roman"/>
          <w:lang w:val="sk-SK"/>
        </w:rPr>
        <w:t xml:space="preserve">ntravenóznej </w:t>
      </w:r>
      <w:r w:rsidRPr="00271DB3">
        <w:rPr>
          <w:rFonts w:ascii="Times New Roman" w:hAnsi="Times New Roman"/>
          <w:lang w:val="sk-SK"/>
        </w:rPr>
        <w:t>dávky</w:t>
      </w:r>
      <w:r w:rsidRPr="00AD5D78">
        <w:rPr>
          <w:rFonts w:ascii="Times New Roman" w:hAnsi="Times New Roman"/>
          <w:lang w:val="pl-PL"/>
        </w:rPr>
        <w:t xml:space="preserve"> pantoprazolu 0,8 alebo 1,6</w:t>
      </w:r>
      <w:r w:rsidR="001F3864">
        <w:rPr>
          <w:rFonts w:ascii="Times New Roman" w:hAnsi="Times New Roman"/>
          <w:lang w:val="pl-PL"/>
        </w:rPr>
        <w:t> </w:t>
      </w:r>
      <w:r w:rsidRPr="00AD5D78">
        <w:rPr>
          <w:rFonts w:ascii="Times New Roman" w:hAnsi="Times New Roman"/>
          <w:lang w:val="pl-PL"/>
        </w:rPr>
        <w:t>mg/kg deťom vo veku 2 – 16 rokov nebol signifikantný vzťah medzi klírensom pantoprazolu a vekom alebo hmotnosťou. AUC a distribučný objem boli v rozsahu zodpovedajúcom údajom u dospelých.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5.3</w:t>
      </w:r>
      <w:r w:rsidRPr="00AD5D78">
        <w:rPr>
          <w:rFonts w:ascii="Times New Roman" w:hAnsi="Times New Roman"/>
          <w:b/>
          <w:color w:val="000000"/>
          <w:lang w:val="sk-SK"/>
        </w:rPr>
        <w:tab/>
        <w:t>Predklinické údaje o bezpečnosti</w:t>
      </w:r>
    </w:p>
    <w:p w:rsidR="00CE3E37" w:rsidRPr="00AD5D78" w:rsidRDefault="00CE3E37" w:rsidP="00AD5D78">
      <w:pPr>
        <w:pStyle w:val="Default"/>
        <w:rPr>
          <w:sz w:val="22"/>
          <w:szCs w:val="22"/>
          <w:lang w:val="sk-SK"/>
        </w:rPr>
      </w:pPr>
    </w:p>
    <w:p w:rsidR="00C94D97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Predklinické údaje získané na základe obvyklých farmakologických štúdií bezpečnosti, toxicity po opakovanom podaní dávky a genotoxicity neodhalili žiadne osobitné riziko pre ľudí.</w:t>
      </w:r>
    </w:p>
    <w:p w:rsidR="00F01920" w:rsidRPr="00AD5D78" w:rsidRDefault="00F01920" w:rsidP="00AD5D78">
      <w:pPr>
        <w:pStyle w:val="Default"/>
        <w:rPr>
          <w:sz w:val="22"/>
          <w:szCs w:val="22"/>
          <w:lang w:val="sk-SK"/>
        </w:rPr>
      </w:pPr>
    </w:p>
    <w:p w:rsidR="00C94D97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V </w:t>
      </w:r>
      <w:r w:rsidR="001F3864">
        <w:rPr>
          <w:sz w:val="22"/>
          <w:szCs w:val="22"/>
          <w:lang w:val="sk-SK"/>
        </w:rPr>
        <w:t>dvoj</w:t>
      </w:r>
      <w:r w:rsidRPr="00AD5D78">
        <w:rPr>
          <w:sz w:val="22"/>
          <w:szCs w:val="22"/>
          <w:lang w:val="sk-SK"/>
        </w:rPr>
        <w:t>ročných štúdiách karcinogenity na potkanoch sa zistili neuroendokrinologické neoplazmy. Okrem toho sa u potkanov našli papilómy zo skvamóznych buniek v oblasti ústia pažeráka. Mechanizmus vedúci k tvorbe žalúdočných karcinoidov spôsobených substituovanými benzimidazolmi sa dôkladne preskúmal a dovoľuje vysloviť záver, že ide o sekundárnu reakciu na veľmi vysoké hladiny gastrínu v sére, ktoré sa vyskytovali u potkanov počas dlhodobej liečby</w:t>
      </w:r>
      <w:r w:rsidR="008D4A17" w:rsidRPr="00AD5D78">
        <w:rPr>
          <w:sz w:val="22"/>
          <w:szCs w:val="22"/>
          <w:lang w:val="sk-SK"/>
        </w:rPr>
        <w:t xml:space="preserve"> vysokými dávkami</w:t>
      </w:r>
      <w:r w:rsidRPr="00AD5D78">
        <w:rPr>
          <w:sz w:val="22"/>
          <w:szCs w:val="22"/>
          <w:lang w:val="sk-SK"/>
        </w:rPr>
        <w:t>.</w:t>
      </w:r>
      <w:r w:rsidR="00A75D3E" w:rsidRPr="00AD5D78">
        <w:rPr>
          <w:sz w:val="22"/>
          <w:szCs w:val="22"/>
          <w:lang w:val="sk-SK"/>
        </w:rPr>
        <w:t xml:space="preserve"> </w:t>
      </w:r>
      <w:r w:rsidRPr="00AD5D78">
        <w:rPr>
          <w:sz w:val="22"/>
          <w:szCs w:val="22"/>
          <w:lang w:val="sk-SK"/>
        </w:rPr>
        <w:t xml:space="preserve">V dvojročných štúdiách na </w:t>
      </w:r>
      <w:r w:rsidR="001F3864">
        <w:rPr>
          <w:sz w:val="22"/>
          <w:szCs w:val="22"/>
          <w:lang w:val="sk-SK"/>
        </w:rPr>
        <w:t xml:space="preserve">hlodavcoch </w:t>
      </w:r>
      <w:r w:rsidRPr="00AD5D78">
        <w:rPr>
          <w:sz w:val="22"/>
          <w:szCs w:val="22"/>
          <w:lang w:val="sk-SK"/>
        </w:rPr>
        <w:t>sa pozoroval zvýšený počet nádorov pečene</w:t>
      </w:r>
      <w:r w:rsidR="001F3864" w:rsidRPr="001F3864">
        <w:rPr>
          <w:sz w:val="22"/>
          <w:szCs w:val="22"/>
          <w:lang w:val="sk-SK"/>
        </w:rPr>
        <w:t xml:space="preserve"> </w:t>
      </w:r>
      <w:r w:rsidR="001F3864">
        <w:rPr>
          <w:sz w:val="22"/>
          <w:szCs w:val="22"/>
          <w:lang w:val="sk-SK"/>
        </w:rPr>
        <w:t xml:space="preserve">u </w:t>
      </w:r>
      <w:r w:rsidR="001F3864" w:rsidRPr="00AD5D78">
        <w:rPr>
          <w:sz w:val="22"/>
          <w:szCs w:val="22"/>
          <w:lang w:val="sk-SK"/>
        </w:rPr>
        <w:t>potkano</w:t>
      </w:r>
      <w:r w:rsidR="001F3864">
        <w:rPr>
          <w:sz w:val="22"/>
          <w:szCs w:val="22"/>
          <w:lang w:val="sk-SK"/>
        </w:rPr>
        <w:t>v</w:t>
      </w:r>
      <w:r w:rsidR="001F3864" w:rsidRPr="00AD5D78">
        <w:rPr>
          <w:sz w:val="22"/>
          <w:szCs w:val="22"/>
          <w:lang w:val="sk-SK"/>
        </w:rPr>
        <w:t xml:space="preserve"> a myších samič</w:t>
      </w:r>
      <w:r w:rsidR="001F3864">
        <w:rPr>
          <w:sz w:val="22"/>
          <w:szCs w:val="22"/>
          <w:lang w:val="sk-SK"/>
        </w:rPr>
        <w:t>ie</w:t>
      </w:r>
      <w:r w:rsidR="001F3864" w:rsidRPr="00AD5D78">
        <w:rPr>
          <w:sz w:val="22"/>
          <w:szCs w:val="22"/>
          <w:lang w:val="sk-SK"/>
        </w:rPr>
        <w:t>k</w:t>
      </w:r>
      <w:r w:rsidRPr="00AD5D78">
        <w:rPr>
          <w:sz w:val="22"/>
          <w:szCs w:val="22"/>
          <w:lang w:val="sk-SK"/>
        </w:rPr>
        <w:t>, čo sa interpretovalo ako dôsledok vysokej miery metabolizmu pantoprazolu v pečeni.</w:t>
      </w:r>
    </w:p>
    <w:p w:rsidR="001F3864" w:rsidRPr="00AD5D78" w:rsidRDefault="001F3864" w:rsidP="00AD5D78">
      <w:pPr>
        <w:pStyle w:val="Default"/>
        <w:rPr>
          <w:sz w:val="22"/>
          <w:szCs w:val="22"/>
          <w:lang w:val="sk-SK"/>
        </w:rPr>
      </w:pPr>
    </w:p>
    <w:p w:rsidR="00C94D97" w:rsidRPr="00AD5D78" w:rsidRDefault="00C94D97" w:rsidP="00AD5D78">
      <w:pPr>
        <w:pStyle w:val="Default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Mierne zvýšenie neoplastických zmien štítnej žľazy sa zaznamenalo v skupine potkanov, ktoré dostávali najvyššiu dávku (200</w:t>
      </w:r>
      <w:r w:rsidR="001F3864">
        <w:rPr>
          <w:sz w:val="22"/>
          <w:szCs w:val="22"/>
          <w:lang w:val="sk-SK"/>
        </w:rPr>
        <w:t> </w:t>
      </w:r>
      <w:r w:rsidRPr="00AD5D78">
        <w:rPr>
          <w:sz w:val="22"/>
          <w:szCs w:val="22"/>
          <w:lang w:val="sk-SK"/>
        </w:rPr>
        <w:t>mg/kg). Výskyt týchto neoplaziem súvisí so zmenami pri odbúravaní tyroxínu v pečeni potkanov, ktoré vyvolal pantoprazol. Vzhľadom na to, že terapeutická dávka u človeka je nízka, neočakávajú sa žiadne vedľajšie účinky na štítnu žľazu.</w:t>
      </w:r>
    </w:p>
    <w:p w:rsidR="00F01920" w:rsidRDefault="00F01920" w:rsidP="00AD5D78">
      <w:pPr>
        <w:spacing w:after="0" w:line="240" w:lineRule="auto"/>
        <w:rPr>
          <w:rFonts w:ascii="Times New Roman" w:hAnsi="Times New Roman"/>
          <w:lang w:val="pt-BR"/>
        </w:rPr>
      </w:pPr>
    </w:p>
    <w:p w:rsidR="00BF5C44" w:rsidRPr="00AD5D78" w:rsidRDefault="00C94D97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>V reprodukčných štúdiách na zvieratách sa zaznamenali pr</w:t>
      </w:r>
      <w:r w:rsidR="00BF5C44" w:rsidRPr="00AD5D78">
        <w:rPr>
          <w:rFonts w:ascii="Times New Roman" w:hAnsi="Times New Roman"/>
          <w:lang w:val="pt-BR"/>
        </w:rPr>
        <w:t>ejavy</w:t>
      </w:r>
      <w:r w:rsidRPr="00AD5D78">
        <w:rPr>
          <w:rFonts w:ascii="Times New Roman" w:hAnsi="Times New Roman"/>
          <w:lang w:val="pt-BR"/>
        </w:rPr>
        <w:t xml:space="preserve"> miernej fetotoxicity pri dávkach vyšších ako 5</w:t>
      </w:r>
      <w:r w:rsidR="001F3864">
        <w:rPr>
          <w:rFonts w:ascii="Times New Roman" w:hAnsi="Times New Roman"/>
          <w:lang w:val="pt-BR"/>
        </w:rPr>
        <w:t> </w:t>
      </w:r>
      <w:r w:rsidRPr="00AD5D78">
        <w:rPr>
          <w:rFonts w:ascii="Times New Roman" w:hAnsi="Times New Roman"/>
          <w:lang w:val="pt-BR"/>
        </w:rPr>
        <w:t>mg/kg.</w:t>
      </w:r>
    </w:p>
    <w:p w:rsidR="00BF5C44" w:rsidRPr="00AD5D78" w:rsidRDefault="00C94D97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>Štúdie nepreukázali zhoršenú plodnosť alebo teratogénne účinky.</w:t>
      </w:r>
    </w:p>
    <w:p w:rsidR="00C94D97" w:rsidRPr="00AD5D78" w:rsidRDefault="00C94D97" w:rsidP="00AD5D78">
      <w:pPr>
        <w:spacing w:after="0" w:line="240" w:lineRule="auto"/>
        <w:rPr>
          <w:rFonts w:ascii="Times New Roman" w:hAnsi="Times New Roman"/>
          <w:lang w:val="pt-BR"/>
        </w:rPr>
      </w:pPr>
      <w:r w:rsidRPr="00AD5D78">
        <w:rPr>
          <w:rFonts w:ascii="Times New Roman" w:hAnsi="Times New Roman"/>
          <w:lang w:val="pt-BR"/>
        </w:rPr>
        <w:t>Prestup pantoprazolu placentou sa skúmal u potkanov, pričom sa zistilo, že sa zvyšuje pokračujúcou gestáciou. V dôsledku toho je koncentrácia pantoprazolu v plode krátko pred pôrodom zvýšená.</w:t>
      </w: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73694D" w:rsidRPr="00AD5D78" w:rsidRDefault="0073694D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</w:t>
      </w:r>
      <w:r w:rsidRPr="00AD5D78">
        <w:rPr>
          <w:rFonts w:ascii="Times New Roman" w:hAnsi="Times New Roman"/>
          <w:b/>
          <w:color w:val="000000"/>
          <w:lang w:val="sk-SK"/>
        </w:rPr>
        <w:tab/>
        <w:t>FARMACEUTICKÉ INFOMÁCIE</w:t>
      </w:r>
    </w:p>
    <w:p w:rsidR="00CE3E37" w:rsidRPr="00271DB3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6.1</w:t>
      </w:r>
      <w:r w:rsidRPr="00AD5D78">
        <w:rPr>
          <w:rFonts w:ascii="Times New Roman" w:hAnsi="Times New Roman"/>
          <w:b/>
          <w:color w:val="000000"/>
          <w:lang w:val="sk-SK"/>
        </w:rPr>
        <w:tab/>
        <w:t>Zoznam pomocných látok</w:t>
      </w:r>
    </w:p>
    <w:p w:rsidR="00CE3E37" w:rsidRPr="00AD5D78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 w:rsidRPr="00AD5D78">
        <w:rPr>
          <w:rFonts w:ascii="Times New Roman" w:hAnsi="Times New Roman"/>
          <w:i/>
          <w:color w:val="000000"/>
          <w:lang w:val="sk-SK"/>
        </w:rPr>
        <w:t>Jadro tablety: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altitol (E965)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k</w:t>
      </w:r>
      <w:r w:rsidR="004E2B43" w:rsidRPr="00AD5D78">
        <w:rPr>
          <w:rFonts w:ascii="Times New Roman" w:hAnsi="Times New Roman"/>
          <w:color w:val="000000"/>
          <w:lang w:val="sk-SK"/>
        </w:rPr>
        <w:t xml:space="preserve">rospovidón 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4E2B43" w:rsidRPr="00AD5D78">
        <w:rPr>
          <w:rFonts w:ascii="Times New Roman" w:hAnsi="Times New Roman"/>
          <w:color w:val="000000"/>
          <w:lang w:val="sk-SK"/>
        </w:rPr>
        <w:t>odná soľ kroskarmelózy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4E2B43" w:rsidRPr="00AD5D78">
        <w:rPr>
          <w:rFonts w:ascii="Times New Roman" w:hAnsi="Times New Roman"/>
          <w:lang w:val="sk-SK"/>
        </w:rPr>
        <w:t>hličitan sodný, bezvodý (E500)</w:t>
      </w:r>
    </w:p>
    <w:p w:rsidR="008D4A17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lang w:val="sk-SK"/>
        </w:rPr>
        <w:t>k</w:t>
      </w:r>
      <w:r w:rsidR="008D4A17" w:rsidRPr="00AD5D78">
        <w:rPr>
          <w:rFonts w:ascii="Times New Roman" w:hAnsi="Times New Roman"/>
          <w:lang w:val="sk-SK"/>
        </w:rPr>
        <w:t>alciumstearát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i/>
          <w:color w:val="000000"/>
          <w:lang w:val="sk-SK"/>
        </w:rPr>
      </w:pPr>
      <w:r w:rsidRPr="00AD5D78">
        <w:rPr>
          <w:rFonts w:ascii="Times New Roman" w:hAnsi="Times New Roman"/>
          <w:i/>
          <w:color w:val="000000"/>
          <w:lang w:val="sk-SK"/>
        </w:rPr>
        <w:t>Obal tablety: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p</w:t>
      </w:r>
      <w:r w:rsidR="004E2B43" w:rsidRPr="00AD5D78">
        <w:rPr>
          <w:rFonts w:ascii="Times New Roman" w:hAnsi="Times New Roman"/>
          <w:color w:val="000000"/>
          <w:lang w:val="sk-SK"/>
        </w:rPr>
        <w:t>olyvinylalkohol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astenec (E553b)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o</w:t>
      </w:r>
      <w:r w:rsidR="004E2B43" w:rsidRPr="00AD5D78">
        <w:rPr>
          <w:rFonts w:ascii="Times New Roman" w:hAnsi="Times New Roman"/>
          <w:color w:val="000000"/>
          <w:lang w:val="sk-SK"/>
        </w:rPr>
        <w:t>xid titaničitý (E171)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m</w:t>
      </w:r>
      <w:r w:rsidR="004E2B43" w:rsidRPr="00AD5D78">
        <w:rPr>
          <w:rFonts w:ascii="Times New Roman" w:hAnsi="Times New Roman"/>
          <w:color w:val="000000"/>
          <w:lang w:val="sk-SK"/>
        </w:rPr>
        <w:t>akrogol 3350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s</w:t>
      </w:r>
      <w:r w:rsidR="004E2B43" w:rsidRPr="00AD5D78">
        <w:rPr>
          <w:rFonts w:ascii="Times New Roman" w:hAnsi="Times New Roman"/>
          <w:color w:val="000000"/>
          <w:lang w:val="sk-SK"/>
        </w:rPr>
        <w:t>ójový lecitín (E322)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ž</w:t>
      </w:r>
      <w:r w:rsidR="004E2B43" w:rsidRPr="00AD5D78">
        <w:rPr>
          <w:rFonts w:ascii="Times New Roman" w:hAnsi="Times New Roman"/>
          <w:color w:val="000000"/>
          <w:lang w:val="sk-SK"/>
        </w:rPr>
        <w:t>ltý oxid železitý (E172)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</w:t>
      </w:r>
      <w:r w:rsidR="004E2B43" w:rsidRPr="00AD5D78">
        <w:rPr>
          <w:rFonts w:ascii="Times New Roman" w:hAnsi="Times New Roman"/>
          <w:lang w:val="sk-SK"/>
        </w:rPr>
        <w:t>hličitan sodný, bezvodý (E500)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k</w:t>
      </w:r>
      <w:r w:rsidR="004E2B43" w:rsidRPr="00AD5D78">
        <w:rPr>
          <w:rFonts w:ascii="Times New Roman" w:hAnsi="Times New Roman"/>
          <w:color w:val="000000"/>
          <w:lang w:val="sk-SK"/>
        </w:rPr>
        <w:t>opolymér kyseliny metakrylovej a etylakrylátu (1:1 disperzia 30 percent)</w:t>
      </w:r>
    </w:p>
    <w:p w:rsidR="004E2B43" w:rsidRPr="00AD5D78" w:rsidRDefault="00130961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>
        <w:rPr>
          <w:rFonts w:ascii="Times New Roman" w:hAnsi="Times New Roman"/>
          <w:color w:val="000000"/>
          <w:lang w:val="sk-SK"/>
        </w:rPr>
        <w:t>t</w:t>
      </w:r>
      <w:r w:rsidR="004E2B43" w:rsidRPr="00AD5D78">
        <w:rPr>
          <w:rFonts w:ascii="Times New Roman" w:hAnsi="Times New Roman"/>
          <w:color w:val="000000"/>
          <w:lang w:val="sk-SK"/>
        </w:rPr>
        <w:t>rietylcitrát (E1505)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6.2</w:t>
      </w:r>
      <w:r w:rsidRPr="00AD5D78">
        <w:rPr>
          <w:rFonts w:ascii="Times New Roman" w:hAnsi="Times New Roman"/>
          <w:b/>
          <w:color w:val="000000"/>
          <w:lang w:val="sk-SK"/>
        </w:rPr>
        <w:tab/>
        <w:t>Inkompatibility</w:t>
      </w:r>
    </w:p>
    <w:p w:rsidR="0073694D" w:rsidRPr="00AD5D78" w:rsidRDefault="0073694D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Neaplikovateľné.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6.3</w:t>
      </w:r>
      <w:r w:rsidRPr="00AD5D78">
        <w:rPr>
          <w:rFonts w:ascii="Times New Roman" w:hAnsi="Times New Roman"/>
          <w:b/>
          <w:color w:val="000000"/>
          <w:lang w:val="sk-SK"/>
        </w:rPr>
        <w:tab/>
        <w:t>Čas použiteľnosti</w:t>
      </w:r>
    </w:p>
    <w:p w:rsidR="00CE3E37" w:rsidRPr="00AD5D78" w:rsidRDefault="00CE3E37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CE3E37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D5D78">
        <w:rPr>
          <w:rFonts w:ascii="Times New Roman" w:hAnsi="Times New Roman"/>
          <w:lang w:val="sk-SK" w:eastAsia="ar-SA"/>
        </w:rPr>
        <w:t xml:space="preserve">Pre </w:t>
      </w:r>
      <w:r w:rsidR="004E2B43" w:rsidRPr="00AD5D78">
        <w:rPr>
          <w:rFonts w:ascii="Times New Roman" w:hAnsi="Times New Roman"/>
          <w:lang w:val="sk-SK" w:eastAsia="ar-SA"/>
        </w:rPr>
        <w:t>Nylon/Al/PVC/Al blistrové balenie: 3 roky</w:t>
      </w:r>
    </w:p>
    <w:p w:rsidR="004E2B43" w:rsidRPr="00AD5D78" w:rsidRDefault="004E2B43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CE3E37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  <w:r w:rsidRPr="00AD5D78">
        <w:rPr>
          <w:rFonts w:ascii="Times New Roman" w:hAnsi="Times New Roman"/>
          <w:lang w:val="sk-SK" w:eastAsia="ar-SA"/>
        </w:rPr>
        <w:t xml:space="preserve">Pre </w:t>
      </w:r>
      <w:r w:rsidR="004E2B43" w:rsidRPr="00AD5D78">
        <w:rPr>
          <w:rFonts w:ascii="Times New Roman" w:hAnsi="Times New Roman"/>
          <w:lang w:val="sk-SK" w:eastAsia="ar-SA"/>
        </w:rPr>
        <w:t>HDPE fľaše: 2 roky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Po prvom otvorení fľaše spotrebujte liek do 3 mesiacov.</w:t>
      </w:r>
    </w:p>
    <w:p w:rsidR="004E2B43" w:rsidRPr="00AD5D78" w:rsidRDefault="004E2B43" w:rsidP="00AD5D78">
      <w:pPr>
        <w:tabs>
          <w:tab w:val="left" w:pos="0"/>
          <w:tab w:val="left" w:pos="1134"/>
        </w:tabs>
        <w:spacing w:after="0" w:line="240" w:lineRule="auto"/>
        <w:rPr>
          <w:rFonts w:ascii="Times New Roman" w:hAnsi="Times New Roman"/>
          <w:lang w:val="sk-SK" w:eastAsia="ar-SA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6.4</w:t>
      </w:r>
      <w:r w:rsidRPr="00AD5D78">
        <w:rPr>
          <w:rFonts w:ascii="Times New Roman" w:hAnsi="Times New Roman"/>
          <w:b/>
          <w:color w:val="000000"/>
          <w:lang w:val="sk-SK"/>
        </w:rPr>
        <w:tab/>
        <w:t>Špeciálne upozornenia na uchovávanie</w:t>
      </w:r>
    </w:p>
    <w:p w:rsidR="00CE3E37" w:rsidRPr="00AD5D78" w:rsidRDefault="00CE3E3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Tento liek nevyžaduje žiadne zvláštne podmienky na uchovávanie.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6.5</w:t>
      </w:r>
      <w:r w:rsidRPr="00AD5D78">
        <w:rPr>
          <w:rFonts w:ascii="Times New Roman" w:hAnsi="Times New Roman"/>
          <w:b/>
          <w:color w:val="000000"/>
          <w:lang w:val="sk-SK"/>
        </w:rPr>
        <w:tab/>
        <w:t>Druh obalu a obsah balenia</w:t>
      </w:r>
    </w:p>
    <w:p w:rsidR="00CE3E37" w:rsidRPr="00AD5D78" w:rsidRDefault="00CE3E37" w:rsidP="00AD5D7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 w:eastAsia="ar-SA"/>
        </w:rPr>
      </w:pPr>
    </w:p>
    <w:p w:rsidR="004E2B43" w:rsidRPr="00AD5D78" w:rsidRDefault="004E2B43" w:rsidP="00AD5D78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 w:eastAsia="ar-SA"/>
        </w:rPr>
        <w:t xml:space="preserve">Nylon/Al/PVC/Al </w:t>
      </w:r>
      <w:r w:rsidRPr="00AD5D78">
        <w:rPr>
          <w:rFonts w:ascii="Times New Roman" w:hAnsi="Times New Roman"/>
          <w:lang w:val="pl-PL"/>
        </w:rPr>
        <w:t>blistrové balenie</w:t>
      </w:r>
      <w:r w:rsidR="00130961">
        <w:rPr>
          <w:rFonts w:ascii="Times New Roman" w:hAnsi="Times New Roman"/>
          <w:lang w:val="pl-PL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 xml:space="preserve">HDPE fľaše s PP </w:t>
      </w:r>
      <w:r w:rsidRPr="00AD5D78">
        <w:rPr>
          <w:rFonts w:ascii="Times New Roman" w:hAnsi="Times New Roman"/>
          <w:lang w:val="sk-SK"/>
        </w:rPr>
        <w:t>uzáverom a</w:t>
      </w:r>
      <w:r w:rsidR="00130961">
        <w:rPr>
          <w:rFonts w:ascii="Times New Roman" w:hAnsi="Times New Roman"/>
          <w:lang w:val="sk-SK"/>
        </w:rPr>
        <w:t> </w:t>
      </w:r>
      <w:r w:rsidRPr="00AD5D78">
        <w:rPr>
          <w:rFonts w:ascii="Times New Roman" w:hAnsi="Times New Roman"/>
          <w:lang w:val="sk-SK"/>
        </w:rPr>
        <w:t>vys</w:t>
      </w:r>
      <w:r w:rsidR="001F3864">
        <w:rPr>
          <w:rFonts w:ascii="Times New Roman" w:hAnsi="Times New Roman"/>
          <w:lang w:val="sk-SK"/>
        </w:rPr>
        <w:t>ú</w:t>
      </w:r>
      <w:r w:rsidRPr="00AD5D78">
        <w:rPr>
          <w:rFonts w:ascii="Times New Roman" w:hAnsi="Times New Roman"/>
          <w:lang w:val="sk-SK"/>
        </w:rPr>
        <w:t>šadlom</w:t>
      </w:r>
      <w:r w:rsidR="00130961">
        <w:rPr>
          <w:rFonts w:ascii="Times New Roman" w:hAnsi="Times New Roman"/>
          <w:lang w:val="sk-SK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lang w:val="pl-PL"/>
        </w:rPr>
      </w:pPr>
    </w:p>
    <w:p w:rsidR="004E2B43" w:rsidRPr="00AD5D78" w:rsidRDefault="004E2B43" w:rsidP="00AD5D78">
      <w:pPr>
        <w:spacing w:after="0" w:line="240" w:lineRule="auto"/>
        <w:rPr>
          <w:rFonts w:ascii="Times New Roman" w:hAnsi="Times New Roman"/>
          <w:lang w:val="pl-PL"/>
        </w:rPr>
      </w:pPr>
      <w:r w:rsidRPr="00AD5D78">
        <w:rPr>
          <w:rFonts w:ascii="Times New Roman" w:hAnsi="Times New Roman"/>
          <w:lang w:val="pl-PL"/>
        </w:rPr>
        <w:t>Veľkos</w:t>
      </w:r>
      <w:r w:rsidR="008D4A17" w:rsidRPr="00AD5D78">
        <w:rPr>
          <w:rFonts w:ascii="Times New Roman" w:hAnsi="Times New Roman"/>
          <w:lang w:val="pl-PL"/>
        </w:rPr>
        <w:t>ti</w:t>
      </w:r>
      <w:r w:rsidRPr="00AD5D78">
        <w:rPr>
          <w:rFonts w:ascii="Times New Roman" w:hAnsi="Times New Roman"/>
          <w:lang w:val="pl-PL"/>
        </w:rPr>
        <w:t xml:space="preserve"> balenia:</w:t>
      </w:r>
    </w:p>
    <w:p w:rsidR="004E2B43" w:rsidRPr="000D61B4" w:rsidRDefault="004E2B43" w:rsidP="00AD5D78">
      <w:pPr>
        <w:spacing w:after="0" w:line="240" w:lineRule="auto"/>
        <w:rPr>
          <w:rFonts w:ascii="Times New Roman" w:hAnsi="Times New Roman"/>
          <w:noProof/>
          <w:lang w:val="pl-PL"/>
        </w:rPr>
      </w:pPr>
      <w:r w:rsidRPr="00AD5D78">
        <w:rPr>
          <w:rFonts w:ascii="Times New Roman" w:hAnsi="Times New Roman"/>
          <w:lang w:val="pl-PL"/>
        </w:rPr>
        <w:t>14</w:t>
      </w:r>
      <w:r w:rsidR="007D323C" w:rsidRPr="00AD5D78">
        <w:rPr>
          <w:rFonts w:ascii="Times New Roman" w:hAnsi="Times New Roman"/>
          <w:lang w:val="pl-PL"/>
        </w:rPr>
        <w:t>,</w:t>
      </w:r>
      <w:r w:rsidRPr="00343696">
        <w:rPr>
          <w:rFonts w:ascii="Times New Roman" w:hAnsi="Times New Roman"/>
          <w:lang w:val="pl-PL"/>
        </w:rPr>
        <w:t xml:space="preserve"> </w:t>
      </w:r>
      <w:r w:rsidRPr="00E55BD8">
        <w:rPr>
          <w:rFonts w:ascii="Times New Roman" w:hAnsi="Times New Roman"/>
          <w:lang w:val="pl-PL"/>
        </w:rPr>
        <w:t>28</w:t>
      </w:r>
      <w:r w:rsidR="007D323C" w:rsidRPr="00AD5D78">
        <w:rPr>
          <w:rFonts w:ascii="Times New Roman" w:hAnsi="Times New Roman"/>
          <w:lang w:val="pl-PL"/>
        </w:rPr>
        <w:t>, 56, 84, 90 a 98</w:t>
      </w:r>
      <w:r w:rsidRPr="00343696">
        <w:rPr>
          <w:rFonts w:ascii="Times New Roman" w:hAnsi="Times New Roman"/>
          <w:lang w:val="pl-PL"/>
        </w:rPr>
        <w:t xml:space="preserve"> </w:t>
      </w:r>
      <w:r w:rsidRPr="00E55BD8">
        <w:rPr>
          <w:rFonts w:ascii="Times New Roman" w:hAnsi="Times New Roman"/>
          <w:color w:val="000000"/>
          <w:lang w:val="sk-SK"/>
        </w:rPr>
        <w:t>gastrorezistentných tabliet</w:t>
      </w:r>
      <w:r w:rsidRPr="00E55BD8">
        <w:rPr>
          <w:rFonts w:ascii="Times New Roman" w:hAnsi="Times New Roman"/>
          <w:noProof/>
          <w:lang w:val="pl-PL"/>
        </w:rPr>
        <w:t xml:space="preserve"> (blistrové balenie)</w:t>
      </w:r>
      <w:r w:rsidR="00AF4B4C">
        <w:rPr>
          <w:rFonts w:ascii="Times New Roman" w:hAnsi="Times New Roman"/>
          <w:noProof/>
          <w:lang w:val="pl-PL"/>
        </w:rPr>
        <w:t>.</w:t>
      </w:r>
    </w:p>
    <w:p w:rsidR="004E2B43" w:rsidRPr="00AD5D78" w:rsidRDefault="004E2B43" w:rsidP="00AD5D78">
      <w:pPr>
        <w:tabs>
          <w:tab w:val="left" w:pos="0"/>
          <w:tab w:val="left" w:pos="748"/>
        </w:tabs>
        <w:spacing w:after="0" w:line="240" w:lineRule="auto"/>
        <w:rPr>
          <w:rFonts w:ascii="Times New Roman" w:hAnsi="Times New Roman"/>
          <w:highlight w:val="lightGray"/>
          <w:lang w:val="pl-PL"/>
        </w:rPr>
      </w:pPr>
      <w:r w:rsidRPr="00AD5D78">
        <w:rPr>
          <w:rFonts w:ascii="Times New Roman" w:hAnsi="Times New Roman"/>
          <w:lang w:val="pl-PL"/>
        </w:rPr>
        <w:t xml:space="preserve">14 a 28 </w:t>
      </w:r>
      <w:r w:rsidRPr="00AD5D78">
        <w:rPr>
          <w:rFonts w:ascii="Times New Roman" w:hAnsi="Times New Roman"/>
          <w:color w:val="000000"/>
          <w:lang w:val="sk-SK"/>
        </w:rPr>
        <w:t>gastrorezistentných tabliet</w:t>
      </w:r>
      <w:r w:rsidRPr="00AD5D78">
        <w:rPr>
          <w:rFonts w:ascii="Times New Roman" w:hAnsi="Times New Roman"/>
          <w:noProof/>
          <w:lang w:val="pl-PL"/>
        </w:rPr>
        <w:t xml:space="preserve"> (HDPE fľaše)</w:t>
      </w:r>
      <w:r w:rsidR="00AF4B4C">
        <w:rPr>
          <w:rFonts w:ascii="Times New Roman" w:hAnsi="Times New Roman"/>
          <w:noProof/>
          <w:lang w:val="pl-PL"/>
        </w:rPr>
        <w:t>.</w:t>
      </w:r>
      <w:r w:rsidRPr="00AD5D78">
        <w:rPr>
          <w:rFonts w:ascii="Times New Roman" w:hAnsi="Times New Roman"/>
          <w:noProof/>
          <w:vertAlign w:val="superscript"/>
          <w:lang w:val="pl-PL"/>
        </w:rPr>
        <w:t xml:space="preserve"> </w:t>
      </w:r>
    </w:p>
    <w:p w:rsidR="004E2B43" w:rsidRPr="00AD5D78" w:rsidRDefault="004E2B43" w:rsidP="00AD5D78">
      <w:pPr>
        <w:tabs>
          <w:tab w:val="left" w:pos="0"/>
          <w:tab w:val="left" w:pos="480"/>
          <w:tab w:val="left" w:pos="840"/>
          <w:tab w:val="right" w:pos="8763"/>
        </w:tabs>
        <w:spacing w:after="0" w:line="240" w:lineRule="auto"/>
        <w:rPr>
          <w:rFonts w:ascii="Times New Roman" w:hAnsi="Times New Roman"/>
          <w:highlight w:val="yellow"/>
          <w:lang w:val="pl-PL" w:eastAsia="ar-SA"/>
        </w:rPr>
      </w:pPr>
    </w:p>
    <w:p w:rsidR="004E2B43" w:rsidRPr="00AD5D78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lang w:val="sk-SK"/>
        </w:rPr>
        <w:t>Na trh nemusia byť uvedené</w:t>
      </w:r>
      <w:r w:rsidRPr="00AD5D78">
        <w:rPr>
          <w:rFonts w:ascii="Times New Roman" w:hAnsi="Times New Roman"/>
          <w:noProof/>
          <w:lang w:val="sk-SK"/>
        </w:rPr>
        <w:t xml:space="preserve"> </w:t>
      </w:r>
      <w:r w:rsidRPr="00AD5D78">
        <w:rPr>
          <w:rFonts w:ascii="Times New Roman" w:hAnsi="Times New Roman"/>
          <w:lang w:val="sk-SK"/>
        </w:rPr>
        <w:t>všetky veľkosti balenia.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6.6</w:t>
      </w:r>
      <w:r w:rsidRPr="00AD5D78">
        <w:rPr>
          <w:rFonts w:ascii="Times New Roman" w:hAnsi="Times New Roman"/>
          <w:b/>
          <w:color w:val="000000"/>
          <w:lang w:val="sk-SK"/>
        </w:rPr>
        <w:tab/>
      </w:r>
      <w:r w:rsidRPr="00AD5D78">
        <w:rPr>
          <w:rFonts w:ascii="Times New Roman" w:hAnsi="Times New Roman"/>
          <w:b/>
          <w:bCs/>
          <w:color w:val="000000"/>
          <w:lang w:val="sk-SK"/>
        </w:rPr>
        <w:t>Špeciálne opatrenia na likvidáciu</w:t>
      </w:r>
      <w:r w:rsidRPr="00AD5D78">
        <w:rPr>
          <w:rFonts w:ascii="Times New Roman" w:hAnsi="Times New Roman"/>
          <w:b/>
          <w:color w:val="000000"/>
          <w:lang w:val="sk-SK"/>
        </w:rPr>
        <w:t xml:space="preserve"> </w:t>
      </w:r>
      <w:r w:rsidRPr="00AD5D78">
        <w:rPr>
          <w:rFonts w:ascii="Times New Roman" w:hAnsi="Times New Roman"/>
          <w:b/>
          <w:bCs/>
          <w:color w:val="000000"/>
          <w:lang w:val="sk-SK"/>
        </w:rPr>
        <w:t>a iné zaobchádzanie s liekom</w:t>
      </w:r>
    </w:p>
    <w:p w:rsidR="00CE3E37" w:rsidRPr="00AD5D78" w:rsidRDefault="00CE3E37" w:rsidP="00AD5D78">
      <w:pPr>
        <w:pStyle w:val="Default"/>
        <w:ind w:left="540" w:hanging="540"/>
        <w:rPr>
          <w:sz w:val="22"/>
          <w:szCs w:val="22"/>
          <w:lang w:val="sk-SK"/>
        </w:rPr>
      </w:pPr>
    </w:p>
    <w:p w:rsidR="004E2B43" w:rsidRPr="00AD5D78" w:rsidRDefault="004E2B43" w:rsidP="00AD5D78">
      <w:pPr>
        <w:pStyle w:val="Default"/>
        <w:ind w:left="540" w:hanging="540"/>
        <w:rPr>
          <w:sz w:val="22"/>
          <w:szCs w:val="22"/>
          <w:lang w:val="sk-SK"/>
        </w:rPr>
      </w:pPr>
      <w:r w:rsidRPr="00AD5D78">
        <w:rPr>
          <w:sz w:val="22"/>
          <w:szCs w:val="22"/>
          <w:lang w:val="sk-SK"/>
        </w:rPr>
        <w:t>Žiadne zvláštne požiadavky.</w:t>
      </w:r>
    </w:p>
    <w:p w:rsidR="00CE3E37" w:rsidRPr="00AD5D78" w:rsidRDefault="00130961" w:rsidP="00AD5D78">
      <w:pPr>
        <w:pStyle w:val="Defaul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Všetok nepoužitý liek alebo odpad vzniknutý z lieku sa má zlikvidovať v súlade s národnými požiadavkami.</w:t>
      </w:r>
    </w:p>
    <w:p w:rsidR="00BE2A57" w:rsidRDefault="00BE2A57" w:rsidP="00AD5D78">
      <w:pPr>
        <w:pStyle w:val="Default"/>
        <w:rPr>
          <w:sz w:val="22"/>
          <w:szCs w:val="22"/>
          <w:lang w:val="sk-SK"/>
        </w:rPr>
      </w:pPr>
    </w:p>
    <w:p w:rsidR="00AD5D78" w:rsidRPr="00AD5D78" w:rsidRDefault="00AD5D78" w:rsidP="00AD5D78">
      <w:pPr>
        <w:pStyle w:val="Default"/>
        <w:rPr>
          <w:sz w:val="22"/>
          <w:szCs w:val="22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7.</w:t>
      </w:r>
      <w:r w:rsidRPr="00AD5D78">
        <w:rPr>
          <w:rFonts w:ascii="Times New Roman" w:hAnsi="Times New Roman"/>
          <w:b/>
          <w:color w:val="000000"/>
          <w:lang w:val="sk-SK"/>
        </w:rPr>
        <w:tab/>
        <w:t>DRŽITEĽ ROZHODNUTIA O REGISTRÁCII</w:t>
      </w:r>
    </w:p>
    <w:p w:rsidR="00965AE0" w:rsidRPr="00AD5D78" w:rsidRDefault="00965AE0" w:rsidP="00AD5D78">
      <w:pPr>
        <w:spacing w:after="0" w:line="240" w:lineRule="auto"/>
        <w:rPr>
          <w:rFonts w:ascii="Times New Roman" w:hAnsi="Times New Roman"/>
          <w:lang w:val="sk-SK"/>
        </w:rPr>
      </w:pPr>
    </w:p>
    <w:p w:rsidR="00313E9C" w:rsidRPr="00AD5D78" w:rsidRDefault="00313E9C" w:rsidP="00AD5D78">
      <w:pPr>
        <w:spacing w:after="0" w:line="240" w:lineRule="auto"/>
        <w:rPr>
          <w:rFonts w:ascii="Times New Roman" w:hAnsi="Times New Roman"/>
          <w:lang w:val="sk-SK"/>
        </w:rPr>
      </w:pPr>
      <w:r w:rsidRPr="00AD5D78">
        <w:rPr>
          <w:rFonts w:ascii="Times New Roman" w:hAnsi="Times New Roman"/>
          <w:lang w:val="sk-SK"/>
        </w:rPr>
        <w:t xml:space="preserve">Zentiva, k.s., </w:t>
      </w:r>
      <w:r w:rsidR="0004658E" w:rsidRPr="00AD5D78">
        <w:rPr>
          <w:rFonts w:ascii="Times New Roman" w:hAnsi="Times New Roman"/>
          <w:lang w:val="sk-SK"/>
        </w:rPr>
        <w:t xml:space="preserve">U kabelovny 130, 102 37 </w:t>
      </w:r>
      <w:r w:rsidRPr="00AD5D78">
        <w:rPr>
          <w:rFonts w:ascii="Times New Roman" w:hAnsi="Times New Roman"/>
          <w:lang w:val="sk-SK"/>
        </w:rPr>
        <w:t>Praha</w:t>
      </w:r>
      <w:r w:rsidR="00750073">
        <w:rPr>
          <w:rFonts w:ascii="Times New Roman" w:hAnsi="Times New Roman"/>
          <w:lang w:val="sk-SK"/>
        </w:rPr>
        <w:t xml:space="preserve"> </w:t>
      </w:r>
      <w:r w:rsidR="00750073" w:rsidRPr="001F3864">
        <w:rPr>
          <w:rFonts w:ascii="Times New Roman" w:hAnsi="Times New Roman"/>
          <w:lang w:val="sk-SK"/>
        </w:rPr>
        <w:t>10</w:t>
      </w:r>
      <w:r w:rsidR="001F3864" w:rsidRPr="00271DB3">
        <w:rPr>
          <w:rFonts w:ascii="Times New Roman" w:hAnsi="Times New Roman"/>
          <w:lang w:val="sk-SK"/>
        </w:rPr>
        <w:t xml:space="preserve"> </w:t>
      </w:r>
      <w:r w:rsidR="001F3864" w:rsidRPr="001F3864">
        <w:rPr>
          <w:rFonts w:ascii="Times New Roman" w:hAnsi="Times New Roman"/>
          <w:lang w:val="sk-SK"/>
        </w:rPr>
        <w:t>- Dolní Měcholupy</w:t>
      </w:r>
      <w:r w:rsidRPr="001F3864">
        <w:rPr>
          <w:rFonts w:ascii="Times New Roman" w:hAnsi="Times New Roman"/>
          <w:lang w:val="sk-SK"/>
        </w:rPr>
        <w:t>, Česká</w:t>
      </w:r>
      <w:r w:rsidRPr="00AD5D78">
        <w:rPr>
          <w:rFonts w:ascii="Times New Roman" w:hAnsi="Times New Roman"/>
          <w:lang w:val="sk-SK"/>
        </w:rPr>
        <w:t xml:space="preserve"> republika</w:t>
      </w:r>
    </w:p>
    <w:p w:rsidR="00BE2A57" w:rsidRDefault="00BE2A57" w:rsidP="00AD5D78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AD5D78" w:rsidRPr="00AD5D78" w:rsidRDefault="00AD5D78" w:rsidP="00AD5D78">
      <w:pPr>
        <w:spacing w:after="0" w:line="240" w:lineRule="auto"/>
        <w:rPr>
          <w:rFonts w:ascii="Times New Roman" w:hAnsi="Times New Roman"/>
          <w:highlight w:val="lightGray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8.</w:t>
      </w:r>
      <w:r w:rsidRPr="00AD5D78">
        <w:rPr>
          <w:rFonts w:ascii="Times New Roman" w:hAnsi="Times New Roman"/>
          <w:b/>
          <w:color w:val="000000"/>
          <w:lang w:val="sk-SK"/>
        </w:rPr>
        <w:tab/>
        <w:t>REGISTRAČNÉ ČÍSLO</w:t>
      </w: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D4A17" w:rsidRPr="00AD5D78" w:rsidRDefault="008D4A1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AD5D78">
        <w:rPr>
          <w:rFonts w:ascii="Times New Roman" w:hAnsi="Times New Roman"/>
          <w:color w:val="000000"/>
          <w:lang w:val="sk-SK"/>
        </w:rPr>
        <w:t>09/0103/11-S</w:t>
      </w:r>
    </w:p>
    <w:p w:rsidR="00BF5C44" w:rsidRPr="00AD5D78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8D4A17" w:rsidRPr="00AD5D78" w:rsidRDefault="008D4A17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9.</w:t>
      </w:r>
      <w:r w:rsidRPr="00AD5D78">
        <w:rPr>
          <w:rFonts w:ascii="Times New Roman" w:hAnsi="Times New Roman"/>
          <w:b/>
          <w:color w:val="000000"/>
          <w:lang w:val="sk-SK"/>
        </w:rPr>
        <w:tab/>
        <w:t>DÁTUM PRVEJ REGISTRÁCIE/PREDĹŽENIA REGISTRÁCIE</w:t>
      </w:r>
    </w:p>
    <w:p w:rsidR="0004658E" w:rsidRPr="00AD5D78" w:rsidRDefault="0004658E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04658E" w:rsidP="00AD5D78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AD5D78">
        <w:rPr>
          <w:rFonts w:ascii="Times New Roman" w:hAnsi="Times New Roman"/>
          <w:bCs/>
          <w:lang w:val="sk-SK"/>
        </w:rPr>
        <w:t xml:space="preserve">Dátum prvej registrácie: </w:t>
      </w:r>
      <w:r w:rsidR="005738F8" w:rsidRPr="00AD5D78">
        <w:rPr>
          <w:rFonts w:ascii="Times New Roman" w:hAnsi="Times New Roman"/>
          <w:bCs/>
          <w:lang w:val="sk-SK"/>
        </w:rPr>
        <w:t>15.</w:t>
      </w:r>
      <w:r w:rsidR="00276389">
        <w:rPr>
          <w:rFonts w:ascii="Times New Roman" w:hAnsi="Times New Roman"/>
          <w:bCs/>
          <w:lang w:val="sk-SK"/>
        </w:rPr>
        <w:t xml:space="preserve"> </w:t>
      </w:r>
      <w:r w:rsidR="00276389" w:rsidRPr="001F3864">
        <w:rPr>
          <w:rFonts w:ascii="Times New Roman" w:hAnsi="Times New Roman"/>
          <w:bCs/>
          <w:lang w:val="sk-SK"/>
        </w:rPr>
        <w:t xml:space="preserve">februára </w:t>
      </w:r>
      <w:r w:rsidR="005738F8" w:rsidRPr="001F3864">
        <w:rPr>
          <w:rFonts w:ascii="Times New Roman" w:hAnsi="Times New Roman"/>
          <w:bCs/>
          <w:lang w:val="sk-SK"/>
        </w:rPr>
        <w:t>2</w:t>
      </w:r>
      <w:r w:rsidR="005738F8" w:rsidRPr="00AD5D78">
        <w:rPr>
          <w:rFonts w:ascii="Times New Roman" w:hAnsi="Times New Roman"/>
          <w:bCs/>
          <w:lang w:val="sk-SK"/>
        </w:rPr>
        <w:t>011</w:t>
      </w:r>
    </w:p>
    <w:p w:rsidR="001F3864" w:rsidRPr="00002D69" w:rsidRDefault="001F3864" w:rsidP="001F3864">
      <w:pPr>
        <w:spacing w:after="0" w:line="240" w:lineRule="auto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>Dátum posledného predĺženia registrácie:</w:t>
      </w:r>
    </w:p>
    <w:p w:rsidR="00BF5C44" w:rsidRPr="00AD5D78" w:rsidRDefault="00BF5C44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BE2A57" w:rsidRPr="00AD5D78" w:rsidRDefault="00BE2A57" w:rsidP="00AD5D78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4E2B43" w:rsidRPr="00AD5D78" w:rsidRDefault="004E2B43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AD5D78">
        <w:rPr>
          <w:rFonts w:ascii="Times New Roman" w:hAnsi="Times New Roman"/>
          <w:b/>
          <w:color w:val="000000"/>
          <w:lang w:val="sk-SK"/>
        </w:rPr>
        <w:t>10.</w:t>
      </w:r>
      <w:r w:rsidRPr="00AD5D78">
        <w:rPr>
          <w:rFonts w:ascii="Times New Roman" w:hAnsi="Times New Roman"/>
          <w:b/>
          <w:color w:val="000000"/>
          <w:lang w:val="sk-SK"/>
        </w:rPr>
        <w:tab/>
        <w:t>DÁTUM REVÍZIE TEXTU</w:t>
      </w:r>
    </w:p>
    <w:p w:rsidR="00BF5C44" w:rsidRPr="00271DB3" w:rsidRDefault="00BF5C4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4E2B43" w:rsidRPr="00AD5D78" w:rsidRDefault="001F3864" w:rsidP="00AD5D78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05/2019</w:t>
      </w:r>
    </w:p>
    <w:sectPr w:rsidR="004E2B43" w:rsidRPr="00AD5D78" w:rsidSect="00271D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84" w:rsidRDefault="00754284">
      <w:r>
        <w:separator/>
      </w:r>
    </w:p>
  </w:endnote>
  <w:endnote w:type="continuationSeparator" w:id="0">
    <w:p w:rsidR="00754284" w:rsidRDefault="0075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Default="00A24645" w:rsidP="00850FF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24645" w:rsidRDefault="00A2464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271DB3" w:rsidRDefault="00A24645" w:rsidP="00271DB3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271DB3">
      <w:rPr>
        <w:rFonts w:ascii="Times New Roman" w:hAnsi="Times New Roman"/>
        <w:sz w:val="18"/>
        <w:szCs w:val="18"/>
      </w:rPr>
      <w:fldChar w:fldCharType="begin"/>
    </w:r>
    <w:r w:rsidRPr="00271DB3">
      <w:rPr>
        <w:rFonts w:ascii="Times New Roman" w:hAnsi="Times New Roman"/>
        <w:sz w:val="18"/>
        <w:szCs w:val="18"/>
      </w:rPr>
      <w:instrText>PAGE   \* MERGEFORMAT</w:instrText>
    </w:r>
    <w:r w:rsidRPr="00271DB3">
      <w:rPr>
        <w:rFonts w:ascii="Times New Roman" w:hAnsi="Times New Roman"/>
        <w:sz w:val="18"/>
        <w:szCs w:val="18"/>
      </w:rPr>
      <w:fldChar w:fldCharType="separate"/>
    </w:r>
    <w:r w:rsidR="00271DB3" w:rsidRPr="00271DB3">
      <w:rPr>
        <w:rFonts w:ascii="Times New Roman" w:hAnsi="Times New Roman"/>
        <w:noProof/>
        <w:sz w:val="18"/>
        <w:szCs w:val="18"/>
        <w:lang w:val="sk-SK"/>
      </w:rPr>
      <w:t>10</w:t>
    </w:r>
    <w:r w:rsidRPr="00271DB3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606BE8" w:rsidRDefault="00A24645" w:rsidP="00606BE8">
    <w:pPr>
      <w:pStyle w:val="Pta"/>
      <w:jc w:val="center"/>
      <w:rPr>
        <w:rFonts w:ascii="Times New Roman" w:hAnsi="Times New Roman"/>
        <w:sz w:val="18"/>
        <w:szCs w:val="18"/>
      </w:rPr>
    </w:pPr>
    <w:r w:rsidRPr="00606BE8">
      <w:rPr>
        <w:rFonts w:ascii="Times New Roman" w:hAnsi="Times New Roman"/>
        <w:sz w:val="18"/>
        <w:szCs w:val="18"/>
      </w:rPr>
      <w:fldChar w:fldCharType="begin"/>
    </w:r>
    <w:r w:rsidRPr="00606BE8">
      <w:rPr>
        <w:rFonts w:ascii="Times New Roman" w:hAnsi="Times New Roman"/>
        <w:sz w:val="18"/>
        <w:szCs w:val="18"/>
      </w:rPr>
      <w:instrText>PAGE   \* MERGEFORMAT</w:instrText>
    </w:r>
    <w:r w:rsidRPr="00606BE8">
      <w:rPr>
        <w:rFonts w:ascii="Times New Roman" w:hAnsi="Times New Roman"/>
        <w:sz w:val="18"/>
        <w:szCs w:val="18"/>
      </w:rPr>
      <w:fldChar w:fldCharType="separate"/>
    </w:r>
    <w:r w:rsidRPr="004448A9">
      <w:rPr>
        <w:rFonts w:ascii="Times New Roman" w:hAnsi="Times New Roman"/>
        <w:noProof/>
        <w:sz w:val="18"/>
        <w:szCs w:val="18"/>
        <w:lang w:val="sk-SK"/>
      </w:rPr>
      <w:t>1</w:t>
    </w:r>
    <w:r w:rsidRPr="00606BE8">
      <w:rPr>
        <w:rFonts w:ascii="Times New Roman" w:hAnsi="Times New Roman"/>
        <w:sz w:val="18"/>
        <w:szCs w:val="18"/>
      </w:rPr>
      <w:fldChar w:fldCharType="end"/>
    </w:r>
  </w:p>
  <w:p w:rsidR="00A24645" w:rsidRDefault="00A2464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84" w:rsidRDefault="00754284">
      <w:r>
        <w:separator/>
      </w:r>
    </w:p>
  </w:footnote>
  <w:footnote w:type="continuationSeparator" w:id="0">
    <w:p w:rsidR="00754284" w:rsidRDefault="00754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A676E8" w:rsidRDefault="00A24645" w:rsidP="00F43033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881F88">
      <w:rPr>
        <w:rFonts w:ascii="Times New Roman" w:hAnsi="Times New Roman"/>
        <w:b w:val="0"/>
        <w:sz w:val="18"/>
        <w:szCs w:val="18"/>
        <w:lang w:val="sk-SK"/>
      </w:rPr>
      <w:t>Schválený text k rozhodnutiu o </w:t>
    </w:r>
    <w:r w:rsidRPr="00A676E8">
      <w:rPr>
        <w:rFonts w:ascii="Times New Roman" w:hAnsi="Times New Roman"/>
        <w:b w:val="0"/>
        <w:sz w:val="18"/>
        <w:szCs w:val="18"/>
        <w:lang w:val="sk-SK"/>
      </w:rPr>
      <w:t xml:space="preserve">predĺžení, ev. č.: </w:t>
    </w:r>
    <w:r w:rsidRPr="00271DB3">
      <w:rPr>
        <w:rFonts w:ascii="Times New Roman" w:hAnsi="Times New Roman"/>
        <w:b w:val="0"/>
        <w:sz w:val="18"/>
        <w:szCs w:val="18"/>
        <w:lang w:val="sk-SK"/>
      </w:rPr>
      <w:t>2015/00913-PRE</w:t>
    </w:r>
  </w:p>
  <w:p w:rsidR="00A24645" w:rsidRPr="00271DB3" w:rsidRDefault="00A24645" w:rsidP="00271DB3">
    <w:pPr>
      <w:pStyle w:val="Hlavika"/>
      <w:spacing w:after="0" w:line="240" w:lineRule="auto"/>
      <w:rPr>
        <w:rFonts w:ascii="Times New Roman" w:hAnsi="Times New Roman"/>
        <w:sz w:val="18"/>
        <w:szCs w:val="18"/>
      </w:rPr>
    </w:pPr>
    <w:r w:rsidRPr="00A676E8"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Pr="00271DB3">
      <w:rPr>
        <w:rFonts w:ascii="Times New Roman" w:hAnsi="Times New Roman"/>
        <w:sz w:val="18"/>
        <w:szCs w:val="18"/>
        <w:lang w:val="sk-SK"/>
      </w:rPr>
      <w:t xml:space="preserve"> 2016/05768-Z1A, </w:t>
    </w:r>
    <w:r w:rsidRPr="00A676E8">
      <w:rPr>
        <w:rFonts w:ascii="Times New Roman" w:hAnsi="Times New Roman"/>
        <w:sz w:val="18"/>
        <w:szCs w:val="18"/>
        <w:lang w:val="sk-SK"/>
      </w:rPr>
      <w:t>2017</w:t>
    </w:r>
    <w:r w:rsidRPr="00080A5B">
      <w:rPr>
        <w:rFonts w:ascii="Times New Roman" w:hAnsi="Times New Roman"/>
        <w:sz w:val="18"/>
        <w:szCs w:val="18"/>
        <w:lang w:val="sk-SK"/>
      </w:rPr>
      <w:t>/01688-Z1A</w:t>
    </w:r>
    <w:r w:rsidRPr="00271DB3">
      <w:rPr>
        <w:rFonts w:ascii="Times New Roman" w:hAnsi="Times New Roman"/>
        <w:sz w:val="18"/>
        <w:szCs w:val="18"/>
        <w:lang w:val="sk-SK"/>
      </w:rPr>
      <w:t xml:space="preserve">, </w:t>
    </w:r>
    <w:r>
      <w:rPr>
        <w:rFonts w:ascii="Times New Roman" w:hAnsi="Times New Roman"/>
        <w:sz w:val="18"/>
        <w:szCs w:val="18"/>
        <w:lang w:val="sk-SK"/>
      </w:rPr>
      <w:t>2017/04818-Z1B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645" w:rsidRPr="00750073" w:rsidRDefault="00A24645" w:rsidP="00AD5D78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271DB3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 registrácie, ev. č.: </w:t>
    </w:r>
    <w:r w:rsidRPr="00271DB3">
      <w:rPr>
        <w:rFonts w:ascii="Times New Roman" w:hAnsi="Times New Roman"/>
        <w:b w:val="0"/>
        <w:sz w:val="18"/>
        <w:szCs w:val="18"/>
        <w:highlight w:val="green"/>
        <w:lang w:val="sk-SK"/>
      </w:rPr>
      <w:t>2015/0091</w:t>
    </w:r>
    <w:r>
      <w:rPr>
        <w:rFonts w:ascii="Times New Roman" w:hAnsi="Times New Roman"/>
        <w:b w:val="0"/>
        <w:sz w:val="18"/>
        <w:szCs w:val="18"/>
        <w:highlight w:val="green"/>
        <w:lang w:val="sk-SK"/>
      </w:rPr>
      <w:t>3</w:t>
    </w:r>
    <w:r w:rsidRPr="00271DB3">
      <w:rPr>
        <w:rFonts w:ascii="Times New Roman" w:hAnsi="Times New Roman"/>
        <w:b w:val="0"/>
        <w:sz w:val="18"/>
        <w:szCs w:val="18"/>
        <w:highlight w:val="green"/>
        <w:lang w:val="sk-SK"/>
      </w:rPr>
      <w:t>-PRE</w:t>
    </w:r>
  </w:p>
  <w:p w:rsidR="00A24645" w:rsidRPr="00D34D8F" w:rsidRDefault="00A24645" w:rsidP="00080A5B">
    <w:pPr>
      <w:pStyle w:val="Hlavika"/>
      <w:spacing w:line="240" w:lineRule="auto"/>
    </w:pPr>
    <w:r w:rsidRPr="00271DB3">
      <w:rPr>
        <w:rFonts w:ascii="Times New Roman" w:hAnsi="Times New Roman"/>
        <w:sz w:val="18"/>
        <w:szCs w:val="18"/>
        <w:lang w:val="sk-SK"/>
      </w:rPr>
      <w:t>Príloha č. 1 k notifikácii o zmene, ev. č.:</w:t>
    </w:r>
    <w:r w:rsidRPr="000D61B4">
      <w:rPr>
        <w:rFonts w:ascii="Times New Roman" w:hAnsi="Times New Roman"/>
        <w:b/>
        <w:sz w:val="18"/>
        <w:szCs w:val="18"/>
        <w:lang w:val="sk-SK"/>
      </w:rPr>
      <w:t xml:space="preserve"> </w:t>
    </w:r>
    <w:r w:rsidRPr="00271DB3">
      <w:rPr>
        <w:rFonts w:ascii="Times New Roman" w:hAnsi="Times New Roman"/>
        <w:sz w:val="18"/>
        <w:szCs w:val="18"/>
        <w:highlight w:val="cyan"/>
        <w:lang w:val="sk-SK"/>
      </w:rPr>
      <w:t>2016/05768-Z1A</w:t>
    </w:r>
    <w:r>
      <w:rPr>
        <w:rFonts w:ascii="Times New Roman" w:hAnsi="Times New Roman"/>
        <w:b/>
        <w:sz w:val="18"/>
        <w:szCs w:val="18"/>
        <w:lang w:val="sk-SK"/>
      </w:rPr>
      <w:t xml:space="preserve">, </w:t>
    </w:r>
    <w:r w:rsidRPr="00080A5B">
      <w:rPr>
        <w:rFonts w:ascii="Times New Roman" w:hAnsi="Times New Roman"/>
        <w:sz w:val="18"/>
        <w:szCs w:val="18"/>
        <w:lang w:val="sk-SK"/>
      </w:rPr>
      <w:t>2017/01688-Z1A</w:t>
    </w:r>
    <w:r>
      <w:rPr>
        <w:rFonts w:ascii="Times New Roman" w:hAnsi="Times New Roman"/>
        <w:b/>
        <w:sz w:val="18"/>
        <w:szCs w:val="18"/>
        <w:lang w:val="sk-SK"/>
      </w:rPr>
      <w:t xml:space="preserve">, </w:t>
    </w:r>
    <w:r>
      <w:rPr>
        <w:rFonts w:ascii="Times New Roman" w:hAnsi="Times New Roman"/>
        <w:sz w:val="18"/>
        <w:szCs w:val="18"/>
        <w:lang w:val="sk-SK"/>
      </w:rPr>
      <w:t>2017/04818-Z1B</w:t>
    </w:r>
  </w:p>
  <w:p w:rsidR="00A24645" w:rsidRPr="00276389" w:rsidRDefault="00A24645" w:rsidP="00AD5D78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67911"/>
    <w:multiLevelType w:val="hybridMultilevel"/>
    <w:tmpl w:val="C2C8F7A2"/>
    <w:lvl w:ilvl="0" w:tplc="23109D08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3A813635"/>
    <w:multiLevelType w:val="multilevel"/>
    <w:tmpl w:val="B2BC73A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43"/>
    <w:rsid w:val="00021631"/>
    <w:rsid w:val="00023216"/>
    <w:rsid w:val="0004658E"/>
    <w:rsid w:val="00047CDF"/>
    <w:rsid w:val="0006126E"/>
    <w:rsid w:val="00067DAD"/>
    <w:rsid w:val="0007202C"/>
    <w:rsid w:val="00080A5B"/>
    <w:rsid w:val="0008465D"/>
    <w:rsid w:val="000A5C8B"/>
    <w:rsid w:val="000B711B"/>
    <w:rsid w:val="000B7967"/>
    <w:rsid w:val="000D5690"/>
    <w:rsid w:val="000D61B4"/>
    <w:rsid w:val="001032EB"/>
    <w:rsid w:val="001229A2"/>
    <w:rsid w:val="00125CEF"/>
    <w:rsid w:val="00130961"/>
    <w:rsid w:val="00133A14"/>
    <w:rsid w:val="00161631"/>
    <w:rsid w:val="001911FF"/>
    <w:rsid w:val="001A275F"/>
    <w:rsid w:val="001B01C0"/>
    <w:rsid w:val="001D5FEB"/>
    <w:rsid w:val="001E0C56"/>
    <w:rsid w:val="001E675D"/>
    <w:rsid w:val="001F1FCC"/>
    <w:rsid w:val="001F3864"/>
    <w:rsid w:val="00203247"/>
    <w:rsid w:val="0024432A"/>
    <w:rsid w:val="002523D6"/>
    <w:rsid w:val="00257DFE"/>
    <w:rsid w:val="00271DB3"/>
    <w:rsid w:val="00276389"/>
    <w:rsid w:val="002861A7"/>
    <w:rsid w:val="002931A5"/>
    <w:rsid w:val="002A5318"/>
    <w:rsid w:val="002C2614"/>
    <w:rsid w:val="002D4611"/>
    <w:rsid w:val="002E5C76"/>
    <w:rsid w:val="00311162"/>
    <w:rsid w:val="00313E9C"/>
    <w:rsid w:val="00342217"/>
    <w:rsid w:val="00343696"/>
    <w:rsid w:val="003601C4"/>
    <w:rsid w:val="00366847"/>
    <w:rsid w:val="00372136"/>
    <w:rsid w:val="0038634E"/>
    <w:rsid w:val="00395621"/>
    <w:rsid w:val="003B2F06"/>
    <w:rsid w:val="003C491D"/>
    <w:rsid w:val="003D1167"/>
    <w:rsid w:val="003D4C0B"/>
    <w:rsid w:val="00401252"/>
    <w:rsid w:val="00426BD0"/>
    <w:rsid w:val="00444697"/>
    <w:rsid w:val="004448A9"/>
    <w:rsid w:val="00463790"/>
    <w:rsid w:val="00492676"/>
    <w:rsid w:val="004A3C4B"/>
    <w:rsid w:val="004E0492"/>
    <w:rsid w:val="004E2B43"/>
    <w:rsid w:val="004F4320"/>
    <w:rsid w:val="0050113A"/>
    <w:rsid w:val="00560F08"/>
    <w:rsid w:val="0056180A"/>
    <w:rsid w:val="005738F8"/>
    <w:rsid w:val="005751AB"/>
    <w:rsid w:val="00575F2F"/>
    <w:rsid w:val="005B5E59"/>
    <w:rsid w:val="005D7018"/>
    <w:rsid w:val="005D726C"/>
    <w:rsid w:val="00606BE8"/>
    <w:rsid w:val="006116DB"/>
    <w:rsid w:val="0062682C"/>
    <w:rsid w:val="00632EF6"/>
    <w:rsid w:val="00657140"/>
    <w:rsid w:val="00662BB1"/>
    <w:rsid w:val="00662ED8"/>
    <w:rsid w:val="006757D1"/>
    <w:rsid w:val="006A390D"/>
    <w:rsid w:val="006B7B59"/>
    <w:rsid w:val="006E1CF3"/>
    <w:rsid w:val="006E263B"/>
    <w:rsid w:val="00724D32"/>
    <w:rsid w:val="00725F47"/>
    <w:rsid w:val="0072722A"/>
    <w:rsid w:val="0073694D"/>
    <w:rsid w:val="00750073"/>
    <w:rsid w:val="00754284"/>
    <w:rsid w:val="007A07FB"/>
    <w:rsid w:val="007B0966"/>
    <w:rsid w:val="007D323C"/>
    <w:rsid w:val="007D41F1"/>
    <w:rsid w:val="007F129F"/>
    <w:rsid w:val="00816EEE"/>
    <w:rsid w:val="00817EC8"/>
    <w:rsid w:val="00850FF2"/>
    <w:rsid w:val="008D422E"/>
    <w:rsid w:val="008D4A17"/>
    <w:rsid w:val="00904686"/>
    <w:rsid w:val="00913A3C"/>
    <w:rsid w:val="00923DBC"/>
    <w:rsid w:val="00960C12"/>
    <w:rsid w:val="009656BF"/>
    <w:rsid w:val="00965AE0"/>
    <w:rsid w:val="00973BC2"/>
    <w:rsid w:val="00986AEC"/>
    <w:rsid w:val="00990312"/>
    <w:rsid w:val="0099094B"/>
    <w:rsid w:val="009B26CA"/>
    <w:rsid w:val="009D6ACD"/>
    <w:rsid w:val="009E296B"/>
    <w:rsid w:val="00A0225A"/>
    <w:rsid w:val="00A24645"/>
    <w:rsid w:val="00A31C2D"/>
    <w:rsid w:val="00A345FE"/>
    <w:rsid w:val="00A5219F"/>
    <w:rsid w:val="00A67606"/>
    <w:rsid w:val="00A676E8"/>
    <w:rsid w:val="00A75D3E"/>
    <w:rsid w:val="00A86A41"/>
    <w:rsid w:val="00A9498E"/>
    <w:rsid w:val="00A97A7F"/>
    <w:rsid w:val="00AC6144"/>
    <w:rsid w:val="00AD5D78"/>
    <w:rsid w:val="00AE5C7D"/>
    <w:rsid w:val="00AF4B4C"/>
    <w:rsid w:val="00B03924"/>
    <w:rsid w:val="00B07260"/>
    <w:rsid w:val="00B14B1D"/>
    <w:rsid w:val="00B63117"/>
    <w:rsid w:val="00B737F0"/>
    <w:rsid w:val="00B778D6"/>
    <w:rsid w:val="00B92CBE"/>
    <w:rsid w:val="00BA2166"/>
    <w:rsid w:val="00BE2A57"/>
    <w:rsid w:val="00BE365F"/>
    <w:rsid w:val="00BF18EB"/>
    <w:rsid w:val="00BF59E0"/>
    <w:rsid w:val="00BF5C44"/>
    <w:rsid w:val="00C000EA"/>
    <w:rsid w:val="00C26630"/>
    <w:rsid w:val="00C466C1"/>
    <w:rsid w:val="00C60F27"/>
    <w:rsid w:val="00C76FB2"/>
    <w:rsid w:val="00C76FBF"/>
    <w:rsid w:val="00C8264E"/>
    <w:rsid w:val="00C877BE"/>
    <w:rsid w:val="00C94D97"/>
    <w:rsid w:val="00CB7084"/>
    <w:rsid w:val="00CC7070"/>
    <w:rsid w:val="00CE3E37"/>
    <w:rsid w:val="00CF3611"/>
    <w:rsid w:val="00D04631"/>
    <w:rsid w:val="00D10DEF"/>
    <w:rsid w:val="00DA4305"/>
    <w:rsid w:val="00E305A0"/>
    <w:rsid w:val="00E55BD8"/>
    <w:rsid w:val="00E946B5"/>
    <w:rsid w:val="00ED3F68"/>
    <w:rsid w:val="00F01920"/>
    <w:rsid w:val="00F07D50"/>
    <w:rsid w:val="00F32DAA"/>
    <w:rsid w:val="00F33DE7"/>
    <w:rsid w:val="00F37C8E"/>
    <w:rsid w:val="00F43033"/>
    <w:rsid w:val="00F4622A"/>
    <w:rsid w:val="00F6223B"/>
    <w:rsid w:val="00FA51D9"/>
    <w:rsid w:val="00FB0DFB"/>
    <w:rsid w:val="00FB16E6"/>
    <w:rsid w:val="00FC1B79"/>
    <w:rsid w:val="00FD16FA"/>
    <w:rsid w:val="00FD54F9"/>
    <w:rsid w:val="00FF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2B4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4E2B43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E2B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MEAEnBodyText">
    <w:name w:val="EMEA En Body Text"/>
    <w:basedOn w:val="Default"/>
    <w:next w:val="Default"/>
    <w:rsid w:val="004E2B43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4E2B43"/>
    <w:rPr>
      <w:color w:val="auto"/>
    </w:rPr>
  </w:style>
  <w:style w:type="character" w:customStyle="1" w:styleId="Zkladntext3Char">
    <w:name w:val="Základný text 3 Char"/>
    <w:link w:val="Zkladntext3"/>
    <w:locked/>
    <w:rsid w:val="004E2B43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4E2B43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4E2B43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4E2B43"/>
    <w:pPr>
      <w:spacing w:after="120"/>
    </w:pPr>
  </w:style>
  <w:style w:type="character" w:customStyle="1" w:styleId="ZkladntextChar">
    <w:name w:val="Základný text Char"/>
    <w:link w:val="Zkladntext"/>
    <w:locked/>
    <w:rsid w:val="004E2B43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4E2B43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character" w:customStyle="1" w:styleId="Nadpis7Char">
    <w:name w:val="Nadpis 7 Char"/>
    <w:link w:val="Nadpis7"/>
    <w:locked/>
    <w:rsid w:val="004E2B43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customStyle="1" w:styleId="MusterTitelspcde">
    <w:name w:val="Muster_Titel_spcde"/>
    <w:basedOn w:val="Normlny"/>
    <w:rsid w:val="004E2B43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5B5E5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E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E59"/>
  </w:style>
  <w:style w:type="character" w:customStyle="1" w:styleId="CharChar">
    <w:name w:val="Char Char"/>
    <w:locked/>
    <w:rsid w:val="00CC7070"/>
    <w:rPr>
      <w:rFonts w:ascii="Calibri" w:hAnsi="Calibri"/>
      <w:sz w:val="22"/>
      <w:szCs w:val="22"/>
      <w:lang w:val="en-US" w:eastAsia="en-US" w:bidi="ar-SA"/>
    </w:rPr>
  </w:style>
  <w:style w:type="paragraph" w:styleId="Textbubliny">
    <w:name w:val="Balloon Text"/>
    <w:basedOn w:val="Normlny"/>
    <w:semiHidden/>
    <w:rsid w:val="00492676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63790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C26630"/>
    <w:rPr>
      <w:rFonts w:cs="Times New Roman"/>
      <w:color w:val="0000FF"/>
      <w:u w:val="single"/>
    </w:rPr>
  </w:style>
  <w:style w:type="character" w:styleId="Odkaznakomentr">
    <w:name w:val="annotation reference"/>
    <w:rsid w:val="00067DA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7DAD"/>
    <w:rPr>
      <w:sz w:val="20"/>
      <w:szCs w:val="20"/>
    </w:rPr>
  </w:style>
  <w:style w:type="character" w:customStyle="1" w:styleId="TextkomentraChar">
    <w:name w:val="Text komentára Char"/>
    <w:link w:val="Textkomentra"/>
    <w:rsid w:val="00067DA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67DAD"/>
    <w:rPr>
      <w:b/>
      <w:bCs/>
    </w:rPr>
  </w:style>
  <w:style w:type="character" w:customStyle="1" w:styleId="PredmetkomentraChar">
    <w:name w:val="Predmet komentára Char"/>
    <w:link w:val="Predmetkomentra"/>
    <w:rsid w:val="00067DAD"/>
    <w:rPr>
      <w:rFonts w:ascii="Calibri" w:hAnsi="Calibr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E2B43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4E2B43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E2B4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MEAEnBodyText">
    <w:name w:val="EMEA En Body Text"/>
    <w:basedOn w:val="Default"/>
    <w:next w:val="Default"/>
    <w:rsid w:val="004E2B43"/>
    <w:rPr>
      <w:color w:val="auto"/>
    </w:rPr>
  </w:style>
  <w:style w:type="paragraph" w:styleId="Zkladntext3">
    <w:name w:val="Body Text 3"/>
    <w:basedOn w:val="Default"/>
    <w:next w:val="Default"/>
    <w:link w:val="Zkladntext3Char"/>
    <w:rsid w:val="004E2B43"/>
    <w:rPr>
      <w:color w:val="auto"/>
    </w:rPr>
  </w:style>
  <w:style w:type="character" w:customStyle="1" w:styleId="Zkladntext3Char">
    <w:name w:val="Základný text 3 Char"/>
    <w:link w:val="Zkladntext3"/>
    <w:locked/>
    <w:rsid w:val="004E2B43"/>
    <w:rPr>
      <w:sz w:val="24"/>
      <w:szCs w:val="24"/>
      <w:lang w:val="en-US" w:eastAsia="en-US" w:bidi="ar-SA"/>
    </w:rPr>
  </w:style>
  <w:style w:type="paragraph" w:styleId="Zarkazkladnhotextu">
    <w:name w:val="Body Text Indent"/>
    <w:basedOn w:val="Default"/>
    <w:next w:val="Default"/>
    <w:link w:val="ZarkazkladnhotextuChar"/>
    <w:rsid w:val="004E2B43"/>
    <w:rPr>
      <w:color w:val="auto"/>
    </w:rPr>
  </w:style>
  <w:style w:type="character" w:customStyle="1" w:styleId="ZarkazkladnhotextuChar">
    <w:name w:val="Zarážka základného textu Char"/>
    <w:link w:val="Zarkazkladnhotextu"/>
    <w:locked/>
    <w:rsid w:val="004E2B43"/>
    <w:rPr>
      <w:sz w:val="24"/>
      <w:szCs w:val="24"/>
      <w:lang w:val="en-US" w:eastAsia="en-US" w:bidi="ar-SA"/>
    </w:rPr>
  </w:style>
  <w:style w:type="paragraph" w:styleId="Zkladntext">
    <w:name w:val="Body Text"/>
    <w:basedOn w:val="Normlny"/>
    <w:link w:val="ZkladntextChar"/>
    <w:rsid w:val="004E2B43"/>
    <w:pPr>
      <w:spacing w:after="120"/>
    </w:pPr>
  </w:style>
  <w:style w:type="character" w:customStyle="1" w:styleId="ZkladntextChar">
    <w:name w:val="Základný text Char"/>
    <w:link w:val="Zkladntext"/>
    <w:locked/>
    <w:rsid w:val="004E2B43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4E2B43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character" w:customStyle="1" w:styleId="Nadpis7Char">
    <w:name w:val="Nadpis 7 Char"/>
    <w:link w:val="Nadpis7"/>
    <w:locked/>
    <w:rsid w:val="004E2B43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customStyle="1" w:styleId="MusterTitelspcde">
    <w:name w:val="Muster_Titel_spcde"/>
    <w:basedOn w:val="Normlny"/>
    <w:rsid w:val="004E2B43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5B5E5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B5E5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B5E59"/>
  </w:style>
  <w:style w:type="character" w:customStyle="1" w:styleId="CharChar">
    <w:name w:val="Char Char"/>
    <w:locked/>
    <w:rsid w:val="00CC7070"/>
    <w:rPr>
      <w:rFonts w:ascii="Calibri" w:hAnsi="Calibri"/>
      <w:sz w:val="22"/>
      <w:szCs w:val="22"/>
      <w:lang w:val="en-US" w:eastAsia="en-US" w:bidi="ar-SA"/>
    </w:rPr>
  </w:style>
  <w:style w:type="paragraph" w:styleId="Textbubliny">
    <w:name w:val="Balloon Text"/>
    <w:basedOn w:val="Normlny"/>
    <w:semiHidden/>
    <w:rsid w:val="00492676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463790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uiPriority w:val="99"/>
    <w:rsid w:val="00C26630"/>
    <w:rPr>
      <w:rFonts w:cs="Times New Roman"/>
      <w:color w:val="0000FF"/>
      <w:u w:val="single"/>
    </w:rPr>
  </w:style>
  <w:style w:type="character" w:styleId="Odkaznakomentr">
    <w:name w:val="annotation reference"/>
    <w:rsid w:val="00067DA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067DAD"/>
    <w:rPr>
      <w:sz w:val="20"/>
      <w:szCs w:val="20"/>
    </w:rPr>
  </w:style>
  <w:style w:type="character" w:customStyle="1" w:styleId="TextkomentraChar">
    <w:name w:val="Text komentára Char"/>
    <w:link w:val="Textkomentra"/>
    <w:rsid w:val="00067DAD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067DAD"/>
    <w:rPr>
      <w:b/>
      <w:bCs/>
    </w:rPr>
  </w:style>
  <w:style w:type="character" w:customStyle="1" w:styleId="PredmetkomentraChar">
    <w:name w:val="Predmet komentára Char"/>
    <w:link w:val="Predmetkomentra"/>
    <w:rsid w:val="00067DAD"/>
    <w:rPr>
      <w:rFonts w:ascii="Calibri" w:hAnsi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4220</Words>
  <Characters>24055</Characters>
  <Application>Microsoft Office Word</Application>
  <DocSecurity>0</DocSecurity>
  <Lines>200</Lines>
  <Paragraphs>56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Pantoprazole Vale 40 mg</vt:lpstr>
      <vt:lpstr>Pantoprazole Vale 40 mg </vt:lpstr>
    </vt:vector>
  </TitlesOfParts>
  <Company>Zentiva a.s.</Company>
  <LinksUpToDate>false</LinksUpToDate>
  <CharactersWithSpaces>28219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40 mg</dc:title>
  <dc:subject>SmPC</dc:subject>
  <dc:creator>Hranaiová</dc:creator>
  <cp:lastModifiedBy>marianna forgacova</cp:lastModifiedBy>
  <cp:revision>2</cp:revision>
  <dcterms:created xsi:type="dcterms:W3CDTF">2019-05-15T06:37:00Z</dcterms:created>
  <dcterms:modified xsi:type="dcterms:W3CDTF">2019-05-15T06:37:00Z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1103431138</vt:i4>
  </property>
  <property fmtid="{D5CDD505-2E9C-101B-9397-08002B2CF9AE}" pid="4" name="_EmailSubject">
    <vt:lpwstr>[EXTERNAL] FW: Ozzion 20 mg gastrorezistentné tablety, Ozzion 40 mg gastrorezistentné tablety - 2015/ 00914-PRE, 2015/00913-PRE, 2016/05098-Z1A, 2016/05768-Z1A, 2017/01688-Z1, 2017/04818-Z1B a 2019/00855-ZIA.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