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60C3B" w14:textId="77777777" w:rsidR="00307071" w:rsidRPr="00D86CEF" w:rsidRDefault="00307071" w:rsidP="00A368C6">
      <w:pPr>
        <w:jc w:val="center"/>
        <w:rPr>
          <w:sz w:val="22"/>
          <w:szCs w:val="22"/>
          <w:lang w:val="sk-SK" w:eastAsia="sk-SK"/>
        </w:rPr>
      </w:pPr>
    </w:p>
    <w:p w14:paraId="07402EEB" w14:textId="77777777" w:rsidR="00307071" w:rsidRPr="00A042E5" w:rsidRDefault="00307071" w:rsidP="00A042E5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t>SÚHRN CHARAKTERISTICKÝCH VLASTNOSTÍ LIEKU</w:t>
      </w:r>
    </w:p>
    <w:p w14:paraId="4454AE09" w14:textId="77777777" w:rsidR="00307071" w:rsidRPr="00A042E5" w:rsidRDefault="00307071" w:rsidP="00A042E5">
      <w:pPr>
        <w:rPr>
          <w:snapToGrid w:val="0"/>
          <w:sz w:val="22"/>
          <w:szCs w:val="22"/>
          <w:u w:val="single"/>
          <w:lang w:val="sk-SK"/>
        </w:rPr>
      </w:pPr>
    </w:p>
    <w:p w14:paraId="7FA55FBD" w14:textId="77777777" w:rsidR="00307071" w:rsidRPr="00A042E5" w:rsidRDefault="00307071" w:rsidP="00A042E5">
      <w:pPr>
        <w:rPr>
          <w:snapToGrid w:val="0"/>
          <w:sz w:val="22"/>
          <w:szCs w:val="22"/>
          <w:u w:val="single"/>
          <w:lang w:val="sk-SK"/>
        </w:rPr>
      </w:pPr>
    </w:p>
    <w:p w14:paraId="0656D903" w14:textId="77777777" w:rsidR="00307071" w:rsidRPr="00A042E5" w:rsidRDefault="00307071" w:rsidP="00A042E5">
      <w:pPr>
        <w:pStyle w:val="Nadpis2"/>
        <w:numPr>
          <w:ilvl w:val="0"/>
          <w:numId w:val="5"/>
        </w:numPr>
        <w:spacing w:before="0" w:after="0"/>
        <w:ind w:left="567" w:hanging="567"/>
        <w:rPr>
          <w:bCs/>
          <w:color w:val="000000"/>
          <w:sz w:val="22"/>
          <w:szCs w:val="22"/>
        </w:rPr>
      </w:pPr>
      <w:r w:rsidRPr="00A042E5">
        <w:rPr>
          <w:color w:val="000000"/>
          <w:sz w:val="22"/>
          <w:szCs w:val="22"/>
        </w:rPr>
        <w:t>NÁZOV LIEKU</w:t>
      </w:r>
    </w:p>
    <w:p w14:paraId="4CD00B9A" w14:textId="77777777" w:rsidR="00307071" w:rsidRPr="00A368C6" w:rsidRDefault="00307071" w:rsidP="00A042E5">
      <w:pPr>
        <w:rPr>
          <w:sz w:val="22"/>
          <w:szCs w:val="22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</w:tblGrid>
      <w:tr w:rsidR="00307071" w:rsidRPr="00A042E5" w14:paraId="616C100A" w14:textId="77777777" w:rsidTr="00A368C6">
        <w:trPr>
          <w:trHeight w:val="109"/>
        </w:trPr>
        <w:tc>
          <w:tcPr>
            <w:tcW w:w="8897" w:type="dxa"/>
          </w:tcPr>
          <w:p w14:paraId="6459DFAC" w14:textId="04E7D845" w:rsidR="005E02C2" w:rsidRPr="00A042E5" w:rsidRDefault="00D140C3" w:rsidP="00A042E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k-SK" w:eastAsia="cs-CZ"/>
              </w:rPr>
            </w:pPr>
            <w:proofErr w:type="spellStart"/>
            <w:r w:rsidRPr="00A042E5">
              <w:rPr>
                <w:color w:val="000000"/>
                <w:sz w:val="22"/>
                <w:szCs w:val="22"/>
                <w:lang w:val="sk-SK" w:eastAsia="cs-CZ"/>
              </w:rPr>
              <w:t>Helicid</w:t>
            </w:r>
            <w:proofErr w:type="spellEnd"/>
            <w:r w:rsidR="00307071" w:rsidRPr="00A042E5">
              <w:rPr>
                <w:color w:val="000000"/>
                <w:sz w:val="22"/>
                <w:szCs w:val="22"/>
                <w:lang w:val="sk-SK" w:eastAsia="cs-CZ"/>
              </w:rPr>
              <w:t xml:space="preserve"> 40</w:t>
            </w:r>
          </w:p>
          <w:p w14:paraId="391478D3" w14:textId="273053A6" w:rsidR="00307071" w:rsidRPr="00A042E5" w:rsidRDefault="001357B2">
            <w:pPr>
              <w:autoSpaceDE w:val="0"/>
              <w:autoSpaceDN w:val="0"/>
              <w:adjustRightInd w:val="0"/>
              <w:ind w:right="-568"/>
              <w:rPr>
                <w:color w:val="000000"/>
                <w:sz w:val="22"/>
                <w:szCs w:val="22"/>
                <w:lang w:val="sk-SK" w:eastAsia="cs-CZ"/>
              </w:rPr>
            </w:pPr>
            <w:r>
              <w:rPr>
                <w:color w:val="000000"/>
                <w:sz w:val="22"/>
                <w:szCs w:val="22"/>
                <w:lang w:val="sk-SK" w:eastAsia="cs-CZ"/>
              </w:rPr>
              <w:t xml:space="preserve">40 mg </w:t>
            </w:r>
            <w:r w:rsidR="005F45C6" w:rsidRPr="00A042E5">
              <w:rPr>
                <w:color w:val="000000"/>
                <w:sz w:val="22"/>
                <w:szCs w:val="22"/>
                <w:lang w:val="sk-SK" w:eastAsia="cs-CZ"/>
              </w:rPr>
              <w:t>t</w:t>
            </w:r>
            <w:r w:rsidR="0036065A">
              <w:rPr>
                <w:color w:val="000000"/>
                <w:sz w:val="22"/>
                <w:szCs w:val="22"/>
                <w:lang w:val="sk-SK" w:eastAsia="cs-CZ"/>
              </w:rPr>
              <w:t xml:space="preserve">vrdá </w:t>
            </w:r>
            <w:proofErr w:type="spellStart"/>
            <w:r w:rsidR="0036065A">
              <w:rPr>
                <w:color w:val="000000"/>
                <w:sz w:val="22"/>
                <w:szCs w:val="22"/>
                <w:lang w:val="sk-SK" w:eastAsia="cs-CZ"/>
              </w:rPr>
              <w:t>gastrorezistentná</w:t>
            </w:r>
            <w:proofErr w:type="spellEnd"/>
            <w:r w:rsidR="0036065A">
              <w:rPr>
                <w:color w:val="000000"/>
                <w:sz w:val="22"/>
                <w:szCs w:val="22"/>
                <w:lang w:val="sk-SK" w:eastAsia="cs-CZ"/>
              </w:rPr>
              <w:t xml:space="preserve"> kapsula</w:t>
            </w:r>
          </w:p>
        </w:tc>
      </w:tr>
    </w:tbl>
    <w:p w14:paraId="4A360A76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163C1CD9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1B2B6B5B" w14:textId="77777777" w:rsidR="00307071" w:rsidRPr="00A042E5" w:rsidRDefault="00307071" w:rsidP="00A042E5">
      <w:pPr>
        <w:pStyle w:val="Nadpis2"/>
        <w:numPr>
          <w:ilvl w:val="0"/>
          <w:numId w:val="5"/>
        </w:numPr>
        <w:spacing w:before="0" w:after="0"/>
        <w:ind w:left="567" w:hanging="567"/>
        <w:rPr>
          <w:sz w:val="22"/>
          <w:szCs w:val="22"/>
        </w:rPr>
      </w:pPr>
      <w:r w:rsidRPr="00A042E5">
        <w:rPr>
          <w:caps w:val="0"/>
          <w:sz w:val="22"/>
          <w:szCs w:val="22"/>
        </w:rPr>
        <w:t>KVALITATÍVNE A KVANTITATÍVNE ZLOŽENIE</w:t>
      </w:r>
    </w:p>
    <w:p w14:paraId="6BC23036" w14:textId="77777777" w:rsidR="00307071" w:rsidRPr="00A042E5" w:rsidRDefault="00307071" w:rsidP="00A042E5">
      <w:pPr>
        <w:rPr>
          <w:sz w:val="22"/>
          <w:szCs w:val="22"/>
          <w:lang w:val="sk-SK"/>
        </w:rPr>
      </w:pPr>
    </w:p>
    <w:p w14:paraId="13C083A0" w14:textId="65D277B4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Každá kapsula obsahuje 40</w:t>
      </w:r>
      <w:r w:rsidR="001357B2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 xml:space="preserve">mg </w:t>
      </w:r>
      <w:proofErr w:type="spellStart"/>
      <w:r w:rsidRPr="00A042E5">
        <w:rPr>
          <w:sz w:val="22"/>
          <w:szCs w:val="22"/>
          <w:lang w:val="sk-SK"/>
        </w:rPr>
        <w:t>omeprazolu</w:t>
      </w:r>
      <w:proofErr w:type="spellEnd"/>
      <w:r w:rsidRPr="00A042E5">
        <w:rPr>
          <w:sz w:val="22"/>
          <w:szCs w:val="22"/>
          <w:lang w:val="sk-SK"/>
        </w:rPr>
        <w:t>.</w:t>
      </w:r>
    </w:p>
    <w:p w14:paraId="5B865C47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cs-CZ"/>
        </w:rPr>
      </w:pPr>
    </w:p>
    <w:p w14:paraId="4C8EF0C0" w14:textId="63521DD6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u w:val="single"/>
          <w:lang w:val="sk-SK"/>
        </w:rPr>
        <w:t>Pomocné látky so známym účinkom</w:t>
      </w:r>
      <w:r w:rsidR="00A65659">
        <w:rPr>
          <w:sz w:val="22"/>
          <w:szCs w:val="22"/>
          <w:lang w:val="sk-SK"/>
        </w:rPr>
        <w:t>:</w:t>
      </w:r>
    </w:p>
    <w:p w14:paraId="22B6D13D" w14:textId="4502E55F" w:rsidR="00307071" w:rsidRPr="00A042E5" w:rsidRDefault="001357B2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Každá kapsula obsahuje 112-128,1</w:t>
      </w:r>
      <w:r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mg s</w:t>
      </w:r>
      <w:r w:rsidR="00307071" w:rsidRPr="00A042E5">
        <w:rPr>
          <w:sz w:val="22"/>
          <w:szCs w:val="22"/>
          <w:lang w:val="sk-SK"/>
        </w:rPr>
        <w:t>acharóz</w:t>
      </w:r>
      <w:r>
        <w:rPr>
          <w:sz w:val="22"/>
          <w:szCs w:val="22"/>
          <w:lang w:val="sk-SK"/>
        </w:rPr>
        <w:t>y</w:t>
      </w:r>
      <w:r w:rsidR="00307071" w:rsidRPr="00A042E5">
        <w:rPr>
          <w:sz w:val="22"/>
          <w:szCs w:val="22"/>
          <w:lang w:val="sk-SK"/>
        </w:rPr>
        <w:t xml:space="preserve"> a </w:t>
      </w:r>
      <w:r w:rsidRPr="00A042E5">
        <w:rPr>
          <w:sz w:val="22"/>
          <w:szCs w:val="22"/>
          <w:lang w:val="sk-SK"/>
        </w:rPr>
        <w:t>6,7</w:t>
      </w:r>
      <w:r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 xml:space="preserve">mg </w:t>
      </w:r>
      <w:r w:rsidR="00307071" w:rsidRPr="00A042E5">
        <w:rPr>
          <w:sz w:val="22"/>
          <w:szCs w:val="22"/>
          <w:lang w:val="sk-SK"/>
        </w:rPr>
        <w:t>bezvod</w:t>
      </w:r>
      <w:r>
        <w:rPr>
          <w:sz w:val="22"/>
          <w:szCs w:val="22"/>
          <w:lang w:val="sk-SK"/>
        </w:rPr>
        <w:t>ej</w:t>
      </w:r>
      <w:r w:rsidR="00307071" w:rsidRPr="00A042E5">
        <w:rPr>
          <w:sz w:val="22"/>
          <w:szCs w:val="22"/>
          <w:lang w:val="sk-SK"/>
        </w:rPr>
        <w:t xml:space="preserve"> laktóz</w:t>
      </w:r>
      <w:r>
        <w:rPr>
          <w:sz w:val="22"/>
          <w:szCs w:val="22"/>
          <w:lang w:val="sk-SK"/>
        </w:rPr>
        <w:t>y</w:t>
      </w:r>
      <w:r w:rsidR="00307071" w:rsidRPr="00A042E5">
        <w:rPr>
          <w:sz w:val="22"/>
          <w:szCs w:val="22"/>
          <w:lang w:val="sk-SK"/>
        </w:rPr>
        <w:t>.</w:t>
      </w:r>
    </w:p>
    <w:p w14:paraId="5A85E2AE" w14:textId="77777777" w:rsidR="00307071" w:rsidRPr="00A042E5" w:rsidRDefault="00307071">
      <w:pPr>
        <w:ind w:left="567" w:hanging="567"/>
        <w:outlineLvl w:val="0"/>
        <w:rPr>
          <w:sz w:val="22"/>
          <w:szCs w:val="22"/>
          <w:lang w:val="sk-SK" w:eastAsia="sk-SK"/>
        </w:rPr>
      </w:pPr>
    </w:p>
    <w:p w14:paraId="5D561F07" w14:textId="77777777" w:rsidR="00307071" w:rsidRPr="00A042E5" w:rsidRDefault="00307071">
      <w:pPr>
        <w:ind w:left="567" w:hanging="567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Úplný zoznam pomocných látok, pozri časť 6.1.</w:t>
      </w:r>
    </w:p>
    <w:p w14:paraId="4BF12603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7D4C0C17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6978C7BD" w14:textId="77777777" w:rsidR="00307071" w:rsidRPr="00A042E5" w:rsidRDefault="00307071" w:rsidP="00A042E5">
      <w:pPr>
        <w:pStyle w:val="Nadpis2"/>
        <w:spacing w:before="0" w:after="0"/>
        <w:ind w:left="567" w:hanging="567"/>
        <w:rPr>
          <w:sz w:val="22"/>
          <w:szCs w:val="22"/>
        </w:rPr>
      </w:pPr>
      <w:r w:rsidRPr="00A042E5">
        <w:rPr>
          <w:sz w:val="22"/>
          <w:szCs w:val="22"/>
        </w:rPr>
        <w:t>3.</w:t>
      </w:r>
      <w:r w:rsidRPr="00A042E5">
        <w:rPr>
          <w:sz w:val="22"/>
          <w:szCs w:val="22"/>
        </w:rPr>
        <w:tab/>
      </w:r>
      <w:r w:rsidRPr="00A042E5">
        <w:rPr>
          <w:caps w:val="0"/>
          <w:sz w:val="22"/>
          <w:szCs w:val="22"/>
        </w:rPr>
        <w:t>LIEKOVÁ FORMA</w:t>
      </w:r>
    </w:p>
    <w:p w14:paraId="59938163" w14:textId="77777777" w:rsidR="00307071" w:rsidRPr="00A042E5" w:rsidRDefault="00307071" w:rsidP="00A042E5">
      <w:pPr>
        <w:rPr>
          <w:sz w:val="22"/>
          <w:szCs w:val="22"/>
          <w:lang w:val="sk-SK"/>
        </w:rPr>
      </w:pPr>
    </w:p>
    <w:p w14:paraId="0AD7AA1B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Tvrdá </w:t>
      </w:r>
      <w:proofErr w:type="spellStart"/>
      <w:r w:rsidRPr="00A042E5">
        <w:rPr>
          <w:sz w:val="22"/>
          <w:szCs w:val="22"/>
          <w:lang w:val="sk-SK"/>
        </w:rPr>
        <w:t>gastrorezistentná</w:t>
      </w:r>
      <w:proofErr w:type="spellEnd"/>
      <w:r w:rsidRPr="00A042E5">
        <w:rPr>
          <w:sz w:val="22"/>
          <w:szCs w:val="22"/>
          <w:lang w:val="sk-SK"/>
        </w:rPr>
        <w:t xml:space="preserve"> kapsula</w:t>
      </w:r>
      <w:r w:rsidR="00F020DC" w:rsidRPr="00A042E5">
        <w:rPr>
          <w:sz w:val="22"/>
          <w:szCs w:val="22"/>
          <w:lang w:val="sk-SK"/>
        </w:rPr>
        <w:t>.</w:t>
      </w:r>
    </w:p>
    <w:p w14:paraId="0EA579F2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31BC6AE8" w14:textId="34AC1B6A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Tvrdá </w:t>
      </w:r>
      <w:proofErr w:type="spellStart"/>
      <w:r w:rsidRPr="00A042E5">
        <w:rPr>
          <w:sz w:val="22"/>
          <w:szCs w:val="22"/>
          <w:lang w:val="sk-SK"/>
        </w:rPr>
        <w:t>gastrorezistentná</w:t>
      </w:r>
      <w:proofErr w:type="spellEnd"/>
      <w:r w:rsidRPr="00A042E5">
        <w:rPr>
          <w:sz w:val="22"/>
          <w:szCs w:val="22"/>
          <w:lang w:val="sk-SK"/>
        </w:rPr>
        <w:t xml:space="preserve"> kapsula </w:t>
      </w:r>
      <w:r w:rsidR="001357B2">
        <w:rPr>
          <w:sz w:val="22"/>
          <w:szCs w:val="22"/>
          <w:lang w:val="sk-SK"/>
        </w:rPr>
        <w:t>veľkosti</w:t>
      </w:r>
      <w:r w:rsidR="00377991">
        <w:rPr>
          <w:sz w:val="22"/>
          <w:szCs w:val="22"/>
          <w:lang w:val="sk-SK"/>
        </w:rPr>
        <w:t xml:space="preserve"> </w:t>
      </w:r>
      <w:r w:rsidRPr="00A042E5">
        <w:rPr>
          <w:sz w:val="22"/>
          <w:szCs w:val="22"/>
          <w:lang w:val="sk-SK"/>
        </w:rPr>
        <w:t>2 (dĺžka približne 18,0</w:t>
      </w:r>
      <w:r w:rsidR="001357B2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mm) so svetlohnedým telom a</w:t>
      </w:r>
      <w:r w:rsidR="001357B2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hned</w:t>
      </w:r>
      <w:r w:rsidR="00F020DC" w:rsidRPr="00A042E5">
        <w:rPr>
          <w:sz w:val="22"/>
          <w:szCs w:val="22"/>
          <w:lang w:val="sk-SK"/>
        </w:rPr>
        <w:t>ým</w:t>
      </w:r>
      <w:r w:rsidRPr="00A042E5">
        <w:rPr>
          <w:sz w:val="22"/>
          <w:szCs w:val="22"/>
          <w:lang w:val="sk-SK"/>
        </w:rPr>
        <w:t xml:space="preserve"> </w:t>
      </w:r>
      <w:r w:rsidR="00AE05D0">
        <w:rPr>
          <w:sz w:val="22"/>
          <w:szCs w:val="22"/>
          <w:lang w:val="sk-SK"/>
        </w:rPr>
        <w:t>viečkom</w:t>
      </w:r>
      <w:r w:rsidRPr="00A042E5">
        <w:rPr>
          <w:sz w:val="22"/>
          <w:szCs w:val="22"/>
          <w:lang w:val="sk-SK"/>
        </w:rPr>
        <w:t xml:space="preserve">. Kapsula obsahuje takmer biele až slabo žltohnedé guľovité </w:t>
      </w:r>
      <w:proofErr w:type="spellStart"/>
      <w:r w:rsidRPr="00A042E5">
        <w:rPr>
          <w:sz w:val="22"/>
          <w:szCs w:val="22"/>
          <w:lang w:val="sk-SK"/>
        </w:rPr>
        <w:t>pelety</w:t>
      </w:r>
      <w:proofErr w:type="spellEnd"/>
      <w:r w:rsidRPr="00A042E5">
        <w:rPr>
          <w:sz w:val="22"/>
          <w:szCs w:val="22"/>
          <w:lang w:val="sk-SK"/>
        </w:rPr>
        <w:t>.</w:t>
      </w:r>
    </w:p>
    <w:p w14:paraId="245E163B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4887A801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17450EA6" w14:textId="1D07189F" w:rsidR="00307071" w:rsidRPr="00A042E5" w:rsidRDefault="00307071" w:rsidP="00A042E5">
      <w:pPr>
        <w:pStyle w:val="Nadpis2"/>
        <w:spacing w:before="0" w:after="0"/>
        <w:ind w:left="567" w:hanging="567"/>
        <w:rPr>
          <w:sz w:val="22"/>
          <w:szCs w:val="22"/>
        </w:rPr>
      </w:pPr>
      <w:r w:rsidRPr="00A042E5">
        <w:rPr>
          <w:sz w:val="22"/>
          <w:szCs w:val="22"/>
        </w:rPr>
        <w:t>4.</w:t>
      </w:r>
      <w:r w:rsidRPr="00A042E5">
        <w:rPr>
          <w:sz w:val="22"/>
          <w:szCs w:val="22"/>
        </w:rPr>
        <w:tab/>
      </w:r>
      <w:r w:rsidRPr="00A042E5">
        <w:rPr>
          <w:caps w:val="0"/>
          <w:sz w:val="22"/>
          <w:szCs w:val="22"/>
        </w:rPr>
        <w:t>KLINICKÉ ÚDAJE</w:t>
      </w:r>
    </w:p>
    <w:p w14:paraId="4F4FB971" w14:textId="77777777" w:rsidR="00307071" w:rsidRPr="00A368C6" w:rsidRDefault="00307071" w:rsidP="00A042E5">
      <w:pPr>
        <w:rPr>
          <w:snapToGrid w:val="0"/>
          <w:sz w:val="22"/>
          <w:szCs w:val="22"/>
          <w:lang w:val="sk-SK"/>
        </w:rPr>
      </w:pPr>
    </w:p>
    <w:p w14:paraId="4089F44D" w14:textId="77777777" w:rsidR="00307071" w:rsidRPr="00A042E5" w:rsidRDefault="00307071" w:rsidP="00A042E5">
      <w:pPr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t>4.1</w:t>
      </w:r>
      <w:r w:rsidRPr="00A042E5">
        <w:rPr>
          <w:b/>
          <w:sz w:val="22"/>
          <w:szCs w:val="22"/>
          <w:lang w:val="sk-SK" w:eastAsia="sk-SK"/>
        </w:rPr>
        <w:tab/>
        <w:t>Terapeutické indikácie</w:t>
      </w:r>
    </w:p>
    <w:p w14:paraId="076DF60F" w14:textId="77777777" w:rsidR="00307071" w:rsidRPr="00A368C6" w:rsidRDefault="00307071" w:rsidP="00A042E5">
      <w:pPr>
        <w:rPr>
          <w:snapToGrid w:val="0"/>
          <w:sz w:val="22"/>
          <w:szCs w:val="22"/>
          <w:lang w:val="sk-SK"/>
        </w:rPr>
      </w:pPr>
    </w:p>
    <w:p w14:paraId="33FD371A" w14:textId="77777777" w:rsidR="00307071" w:rsidRPr="00A042E5" w:rsidRDefault="00D140C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042E5">
        <w:rPr>
          <w:sz w:val="22"/>
          <w:szCs w:val="22"/>
          <w:lang w:val="sk-SK"/>
        </w:rPr>
        <w:t>Helicid</w:t>
      </w:r>
      <w:proofErr w:type="spellEnd"/>
      <w:r w:rsidR="00307071" w:rsidRPr="00A042E5" w:rsidDel="00495AB7">
        <w:rPr>
          <w:sz w:val="22"/>
          <w:szCs w:val="22"/>
          <w:lang w:val="sk-SK"/>
        </w:rPr>
        <w:t xml:space="preserve"> </w:t>
      </w:r>
      <w:r w:rsidRPr="00A042E5">
        <w:rPr>
          <w:sz w:val="22"/>
          <w:szCs w:val="22"/>
          <w:lang w:val="sk-SK"/>
        </w:rPr>
        <w:t xml:space="preserve">40 </w:t>
      </w:r>
      <w:r w:rsidR="00307071" w:rsidRPr="00A042E5">
        <w:rPr>
          <w:sz w:val="22"/>
          <w:szCs w:val="22"/>
          <w:lang w:val="sk-SK"/>
        </w:rPr>
        <w:t>kapsuly sú indikované na:</w:t>
      </w:r>
    </w:p>
    <w:p w14:paraId="1437A29C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65FD0F" w14:textId="1B01C96E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>Dospelí</w:t>
      </w:r>
    </w:p>
    <w:p w14:paraId="24A9FFBE" w14:textId="77777777" w:rsidR="00307071" w:rsidRPr="00A042E5" w:rsidRDefault="00307071" w:rsidP="00D86CEF">
      <w:pPr>
        <w:numPr>
          <w:ilvl w:val="0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L</w:t>
      </w:r>
      <w:r w:rsidRPr="00A042E5">
        <w:rPr>
          <w:sz w:val="22"/>
          <w:szCs w:val="22"/>
          <w:lang w:val="sk-SK" w:eastAsia="sk-SK"/>
        </w:rPr>
        <w:t>iečbu dvanástnikových vredov</w:t>
      </w:r>
    </w:p>
    <w:p w14:paraId="28C4E6F4" w14:textId="77777777" w:rsidR="00307071" w:rsidRPr="00A042E5" w:rsidRDefault="00307071" w:rsidP="00D86CEF">
      <w:pPr>
        <w:numPr>
          <w:ilvl w:val="0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P</w:t>
      </w:r>
      <w:r w:rsidRPr="00A042E5">
        <w:rPr>
          <w:sz w:val="22"/>
          <w:szCs w:val="22"/>
          <w:lang w:val="sk-SK" w:eastAsia="sk-SK"/>
        </w:rPr>
        <w:t xml:space="preserve">revenciu </w:t>
      </w:r>
      <w:proofErr w:type="spellStart"/>
      <w:r w:rsidRPr="00A042E5">
        <w:rPr>
          <w:sz w:val="22"/>
          <w:szCs w:val="22"/>
          <w:lang w:val="sk-SK" w:eastAsia="sk-SK"/>
        </w:rPr>
        <w:t>relapsu</w:t>
      </w:r>
      <w:proofErr w:type="spellEnd"/>
      <w:r w:rsidRPr="00A042E5">
        <w:rPr>
          <w:sz w:val="22"/>
          <w:szCs w:val="22"/>
          <w:lang w:val="sk-SK" w:eastAsia="sk-SK"/>
        </w:rPr>
        <w:t xml:space="preserve"> dvanástnikových vredov</w:t>
      </w:r>
    </w:p>
    <w:p w14:paraId="24DCEAB2" w14:textId="77777777" w:rsidR="00307071" w:rsidRPr="00A042E5" w:rsidRDefault="00307071" w:rsidP="003D3EBC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L</w:t>
      </w:r>
      <w:r w:rsidRPr="00A042E5">
        <w:rPr>
          <w:sz w:val="22"/>
          <w:szCs w:val="22"/>
          <w:lang w:val="sk-SK" w:eastAsia="sk-SK"/>
        </w:rPr>
        <w:t>iečbu žalúdkových vredov</w:t>
      </w:r>
    </w:p>
    <w:p w14:paraId="4A247027" w14:textId="77777777" w:rsidR="00307071" w:rsidRPr="00A042E5" w:rsidRDefault="00307071" w:rsidP="00462091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P</w:t>
      </w:r>
      <w:r w:rsidRPr="00A042E5">
        <w:rPr>
          <w:sz w:val="22"/>
          <w:szCs w:val="22"/>
          <w:lang w:val="sk-SK" w:eastAsia="sk-SK"/>
        </w:rPr>
        <w:t xml:space="preserve">revenciu </w:t>
      </w:r>
      <w:proofErr w:type="spellStart"/>
      <w:r w:rsidRPr="00A042E5">
        <w:rPr>
          <w:sz w:val="22"/>
          <w:szCs w:val="22"/>
          <w:lang w:val="sk-SK" w:eastAsia="sk-SK"/>
        </w:rPr>
        <w:t>relapsu</w:t>
      </w:r>
      <w:proofErr w:type="spellEnd"/>
      <w:r w:rsidRPr="00A042E5">
        <w:rPr>
          <w:sz w:val="22"/>
          <w:szCs w:val="22"/>
          <w:lang w:val="sk-SK" w:eastAsia="sk-SK"/>
        </w:rPr>
        <w:t xml:space="preserve"> žalúdkových vredov</w:t>
      </w:r>
    </w:p>
    <w:p w14:paraId="72EF5890" w14:textId="34483F3D" w:rsidR="00307071" w:rsidRPr="00A042E5" w:rsidRDefault="00307071" w:rsidP="00462091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V kombinácii s vhodnými antibiotikami na </w:t>
      </w:r>
      <w:proofErr w:type="spellStart"/>
      <w:r w:rsidRPr="00A042E5">
        <w:rPr>
          <w:sz w:val="22"/>
          <w:szCs w:val="22"/>
          <w:lang w:val="sk-SK"/>
        </w:rPr>
        <w:t>eradikáciu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/>
        </w:rPr>
        <w:t>Helicobacter</w:t>
      </w:r>
      <w:proofErr w:type="spellEnd"/>
      <w:r w:rsidRPr="00A042E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/>
        </w:rPr>
        <w:t xml:space="preserve"> (H. </w:t>
      </w:r>
      <w:proofErr w:type="spellStart"/>
      <w:r w:rsidRPr="00A042E5">
        <w:rPr>
          <w:i/>
          <w:iCs/>
          <w:sz w:val="22"/>
          <w:szCs w:val="22"/>
          <w:lang w:val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/>
        </w:rPr>
        <w:t xml:space="preserve">) </w:t>
      </w:r>
      <w:r w:rsidRPr="00A042E5">
        <w:rPr>
          <w:iCs/>
          <w:sz w:val="22"/>
          <w:szCs w:val="22"/>
          <w:lang w:val="sk-SK"/>
        </w:rPr>
        <w:t xml:space="preserve">pri </w:t>
      </w:r>
      <w:proofErr w:type="spellStart"/>
      <w:r w:rsidRPr="00A042E5">
        <w:rPr>
          <w:iCs/>
          <w:sz w:val="22"/>
          <w:szCs w:val="22"/>
          <w:lang w:val="sk-SK"/>
        </w:rPr>
        <w:t>peptickej</w:t>
      </w:r>
      <w:proofErr w:type="spellEnd"/>
      <w:r w:rsidRPr="00A042E5">
        <w:rPr>
          <w:iCs/>
          <w:sz w:val="22"/>
          <w:szCs w:val="22"/>
          <w:lang w:val="sk-SK"/>
        </w:rPr>
        <w:t xml:space="preserve"> vredovej chorobe</w:t>
      </w:r>
    </w:p>
    <w:p w14:paraId="632588B1" w14:textId="1318DEF4" w:rsidR="00307071" w:rsidRPr="001A0FA9" w:rsidRDefault="00307071" w:rsidP="00C53EF4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Liečbu žalúdkových a dvanástnikových vredov v súvislosti s užívaním </w:t>
      </w:r>
      <w:proofErr w:type="spellStart"/>
      <w:r w:rsidR="001A0FA9" w:rsidRPr="00A368C6">
        <w:rPr>
          <w:iCs/>
          <w:sz w:val="22"/>
          <w:szCs w:val="22"/>
        </w:rPr>
        <w:t>nesteroid</w:t>
      </w:r>
      <w:r w:rsidR="00DB09A9">
        <w:rPr>
          <w:iCs/>
          <w:sz w:val="22"/>
          <w:szCs w:val="22"/>
        </w:rPr>
        <w:t>n</w:t>
      </w:r>
      <w:r w:rsidR="001A0FA9" w:rsidRPr="00A368C6">
        <w:rPr>
          <w:iCs/>
          <w:sz w:val="22"/>
          <w:szCs w:val="22"/>
        </w:rPr>
        <w:t>ých</w:t>
      </w:r>
      <w:proofErr w:type="spellEnd"/>
      <w:r w:rsidR="001A0FA9" w:rsidRPr="00A368C6">
        <w:rPr>
          <w:iCs/>
          <w:sz w:val="22"/>
          <w:szCs w:val="22"/>
        </w:rPr>
        <w:t xml:space="preserve"> </w:t>
      </w:r>
      <w:proofErr w:type="spellStart"/>
      <w:r w:rsidR="001A0FA9" w:rsidRPr="00A368C6">
        <w:rPr>
          <w:iCs/>
          <w:sz w:val="22"/>
          <w:szCs w:val="22"/>
        </w:rPr>
        <w:t>antiflogistík</w:t>
      </w:r>
      <w:proofErr w:type="spellEnd"/>
      <w:r w:rsidR="001A0FA9" w:rsidRPr="001A0FA9">
        <w:rPr>
          <w:sz w:val="22"/>
          <w:szCs w:val="22"/>
          <w:lang w:val="sk-SK"/>
        </w:rPr>
        <w:t xml:space="preserve"> (</w:t>
      </w:r>
      <w:r w:rsidR="001A0FA9" w:rsidRPr="001A0FA9">
        <w:rPr>
          <w:sz w:val="22"/>
          <w:szCs w:val="22"/>
          <w:shd w:val="clear" w:color="auto" w:fill="FFFFFF"/>
        </w:rPr>
        <w:t>nonsteroidal anti-inflammatory drugs,</w:t>
      </w:r>
      <w:r w:rsidR="001A0FA9" w:rsidRPr="001A0FA9">
        <w:rPr>
          <w:sz w:val="22"/>
          <w:szCs w:val="22"/>
          <w:lang w:val="sk-SK"/>
        </w:rPr>
        <w:t xml:space="preserve"> </w:t>
      </w:r>
      <w:r w:rsidRPr="001A0FA9">
        <w:rPr>
          <w:sz w:val="22"/>
          <w:szCs w:val="22"/>
          <w:lang w:val="sk-SK"/>
        </w:rPr>
        <w:t>NSAID</w:t>
      </w:r>
      <w:r w:rsidR="001A0FA9" w:rsidRPr="001A0FA9">
        <w:rPr>
          <w:sz w:val="22"/>
          <w:szCs w:val="22"/>
          <w:lang w:val="sk-SK"/>
        </w:rPr>
        <w:t>)</w:t>
      </w:r>
    </w:p>
    <w:p w14:paraId="31F9DC39" w14:textId="1EE17A80" w:rsidR="00307071" w:rsidRPr="00A042E5" w:rsidRDefault="00307071" w:rsidP="00970E9C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Prevenciu vzniku žalúdkových a dvanástnikových vredov v súvislosti s užívaním NSAID u</w:t>
      </w:r>
      <w:r w:rsidR="00F020DC" w:rsidRPr="00A042E5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rizikových pacientov</w:t>
      </w:r>
    </w:p>
    <w:p w14:paraId="59823C17" w14:textId="77777777" w:rsidR="00307071" w:rsidRPr="00A042E5" w:rsidRDefault="00307071" w:rsidP="00FA7AC3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Liečbu </w:t>
      </w:r>
      <w:proofErr w:type="spellStart"/>
      <w:r w:rsidRPr="00A042E5">
        <w:rPr>
          <w:sz w:val="22"/>
          <w:szCs w:val="22"/>
          <w:lang w:val="sk-SK"/>
        </w:rPr>
        <w:t>refluxnej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proofErr w:type="spellStart"/>
      <w:r w:rsidRPr="00A042E5">
        <w:rPr>
          <w:sz w:val="22"/>
          <w:szCs w:val="22"/>
          <w:lang w:val="sk-SK"/>
        </w:rPr>
        <w:t>ezofagitídy</w:t>
      </w:r>
      <w:proofErr w:type="spellEnd"/>
    </w:p>
    <w:p w14:paraId="74481FD6" w14:textId="4B254C7A" w:rsidR="00307071" w:rsidRPr="00A042E5" w:rsidRDefault="00307071" w:rsidP="00FA7AC3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Dlhodobú liečbu pacientov s vyliečenou </w:t>
      </w:r>
      <w:proofErr w:type="spellStart"/>
      <w:r w:rsidRPr="00A042E5">
        <w:rPr>
          <w:sz w:val="22"/>
          <w:szCs w:val="22"/>
          <w:lang w:val="sk-SK"/>
        </w:rPr>
        <w:t>refluxnou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proofErr w:type="spellStart"/>
      <w:r w:rsidRPr="00A042E5">
        <w:rPr>
          <w:sz w:val="22"/>
          <w:szCs w:val="22"/>
          <w:lang w:val="sk-SK"/>
        </w:rPr>
        <w:t>ezofagitídou</w:t>
      </w:r>
      <w:proofErr w:type="spellEnd"/>
    </w:p>
    <w:p w14:paraId="0DFA3AA6" w14:textId="1B8CA56C" w:rsidR="00307071" w:rsidRPr="00A042E5" w:rsidRDefault="00307071" w:rsidP="00FA7AC3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 xml:space="preserve">Liečbu symptomatickej </w:t>
      </w:r>
      <w:proofErr w:type="spellStart"/>
      <w:r w:rsidRPr="00A042E5">
        <w:rPr>
          <w:sz w:val="22"/>
          <w:szCs w:val="22"/>
          <w:lang w:val="sk-SK" w:eastAsia="sk-SK"/>
        </w:rPr>
        <w:t>gastroezofag</w:t>
      </w:r>
      <w:r w:rsidR="001A0FA9">
        <w:rPr>
          <w:sz w:val="22"/>
          <w:szCs w:val="22"/>
          <w:lang w:val="sk-SK" w:eastAsia="sk-SK"/>
        </w:rPr>
        <w:t>e</w:t>
      </w:r>
      <w:r w:rsidRPr="00A042E5">
        <w:rPr>
          <w:sz w:val="22"/>
          <w:szCs w:val="22"/>
          <w:lang w:val="sk-SK" w:eastAsia="sk-SK"/>
        </w:rPr>
        <w:t>álnej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refluxnej</w:t>
      </w:r>
      <w:proofErr w:type="spellEnd"/>
      <w:r w:rsidRPr="00A042E5">
        <w:rPr>
          <w:sz w:val="22"/>
          <w:szCs w:val="22"/>
          <w:lang w:val="sk-SK" w:eastAsia="sk-SK"/>
        </w:rPr>
        <w:t xml:space="preserve"> choroby</w:t>
      </w:r>
    </w:p>
    <w:p w14:paraId="53A8A6FA" w14:textId="70F3C533" w:rsidR="00307071" w:rsidRPr="00A042E5" w:rsidRDefault="00307071" w:rsidP="006B5BEE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Liečbu </w:t>
      </w:r>
      <w:proofErr w:type="spellStart"/>
      <w:r w:rsidRPr="00A042E5">
        <w:rPr>
          <w:sz w:val="22"/>
          <w:szCs w:val="22"/>
          <w:lang w:val="sk-SK"/>
        </w:rPr>
        <w:t>Zollingerovho-Ellisonovho</w:t>
      </w:r>
      <w:proofErr w:type="spellEnd"/>
      <w:r w:rsidRPr="00A042E5">
        <w:rPr>
          <w:sz w:val="22"/>
          <w:szCs w:val="22"/>
          <w:lang w:val="sk-SK"/>
        </w:rPr>
        <w:t xml:space="preserve"> syndrómu</w:t>
      </w:r>
    </w:p>
    <w:p w14:paraId="081AB94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1FD29" w14:textId="363DD707" w:rsidR="00307071" w:rsidRPr="00A042E5" w:rsidRDefault="00307071" w:rsidP="000D345C">
      <w:pPr>
        <w:keepNext/>
        <w:tabs>
          <w:tab w:val="left" w:pos="567"/>
        </w:tabs>
        <w:ind w:right="49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 xml:space="preserve">Použitie </w:t>
      </w:r>
      <w:r w:rsidR="001A0FA9">
        <w:rPr>
          <w:noProof/>
          <w:color w:val="000000"/>
          <w:sz w:val="22"/>
          <w:szCs w:val="22"/>
          <w:u w:val="single"/>
          <w:lang w:val="sk-SK"/>
        </w:rPr>
        <w:t>v pediatrickej populácii</w:t>
      </w:r>
    </w:p>
    <w:p w14:paraId="7299BBBF" w14:textId="7D6EEF52" w:rsidR="00307071" w:rsidRPr="00A042E5" w:rsidRDefault="00307071" w:rsidP="000D345C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Deti staršie ako 1 rok a s hmotnosťou </w:t>
      </w:r>
      <w:r w:rsidRPr="00A042E5">
        <w:rPr>
          <w:i/>
          <w:iCs/>
          <w:sz w:val="22"/>
          <w:szCs w:val="22"/>
          <w:lang w:val="sk-SK"/>
        </w:rPr>
        <w:t>≥ 10</w:t>
      </w:r>
      <w:r w:rsidR="001A0FA9">
        <w:rPr>
          <w:i/>
          <w:iCs/>
          <w:sz w:val="22"/>
          <w:szCs w:val="22"/>
          <w:lang w:val="sk-SK"/>
        </w:rPr>
        <w:t> </w:t>
      </w:r>
      <w:r w:rsidRPr="00A042E5">
        <w:rPr>
          <w:i/>
          <w:iCs/>
          <w:sz w:val="22"/>
          <w:szCs w:val="22"/>
          <w:lang w:val="sk-SK"/>
        </w:rPr>
        <w:t>kg</w:t>
      </w:r>
    </w:p>
    <w:p w14:paraId="0EC494E3" w14:textId="77777777" w:rsidR="00307071" w:rsidRPr="00A042E5" w:rsidRDefault="00307071" w:rsidP="001A0FA9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sz w:val="22"/>
          <w:szCs w:val="22"/>
          <w:lang w:val="sk-SK" w:eastAsia="sk-SK"/>
        </w:rPr>
        <w:t>refluxnej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ezofagitídy</w:t>
      </w:r>
      <w:proofErr w:type="spellEnd"/>
    </w:p>
    <w:p w14:paraId="26907DBE" w14:textId="61157FF8" w:rsidR="00307071" w:rsidRPr="00A042E5" w:rsidRDefault="00307071" w:rsidP="001A0FA9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rPr>
          <w:i/>
          <w:iCs/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Symptomatická </w:t>
      </w:r>
      <w:r w:rsidRPr="00A042E5">
        <w:rPr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sz w:val="22"/>
          <w:szCs w:val="22"/>
          <w:lang w:val="sk-SK" w:eastAsia="sk-SK"/>
        </w:rPr>
        <w:t>pyrózy</w:t>
      </w:r>
      <w:proofErr w:type="spellEnd"/>
      <w:r w:rsidRPr="00A042E5">
        <w:rPr>
          <w:sz w:val="22"/>
          <w:szCs w:val="22"/>
          <w:lang w:val="sk-SK" w:eastAsia="sk-SK"/>
        </w:rPr>
        <w:t xml:space="preserve"> a </w:t>
      </w:r>
      <w:proofErr w:type="spellStart"/>
      <w:r w:rsidRPr="00A042E5">
        <w:rPr>
          <w:sz w:val="22"/>
          <w:szCs w:val="22"/>
          <w:lang w:val="sk-SK" w:eastAsia="sk-SK"/>
        </w:rPr>
        <w:t>regurgitácie</w:t>
      </w:r>
      <w:proofErr w:type="spellEnd"/>
      <w:r w:rsidRPr="00A042E5">
        <w:rPr>
          <w:sz w:val="22"/>
          <w:szCs w:val="22"/>
          <w:lang w:val="sk-SK" w:eastAsia="sk-SK"/>
        </w:rPr>
        <w:t xml:space="preserve"> kyseliny pri </w:t>
      </w:r>
      <w:proofErr w:type="spellStart"/>
      <w:r w:rsidRPr="00A042E5">
        <w:rPr>
          <w:sz w:val="22"/>
          <w:szCs w:val="22"/>
          <w:lang w:val="sk-SK" w:eastAsia="sk-SK"/>
        </w:rPr>
        <w:t>gastroezofag</w:t>
      </w:r>
      <w:r w:rsidR="001A0FA9">
        <w:rPr>
          <w:sz w:val="22"/>
          <w:szCs w:val="22"/>
          <w:lang w:val="sk-SK" w:eastAsia="sk-SK"/>
        </w:rPr>
        <w:t>e</w:t>
      </w:r>
      <w:r w:rsidRPr="00A042E5">
        <w:rPr>
          <w:sz w:val="22"/>
          <w:szCs w:val="22"/>
          <w:lang w:val="sk-SK" w:eastAsia="sk-SK"/>
        </w:rPr>
        <w:t>álnej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refluxnej</w:t>
      </w:r>
      <w:proofErr w:type="spellEnd"/>
      <w:r w:rsidRPr="00A042E5">
        <w:rPr>
          <w:sz w:val="22"/>
          <w:szCs w:val="22"/>
          <w:lang w:val="sk-SK" w:eastAsia="sk-SK"/>
        </w:rPr>
        <w:t xml:space="preserve"> chorobe</w:t>
      </w:r>
    </w:p>
    <w:p w14:paraId="10349B1F" w14:textId="77777777" w:rsidR="00307071" w:rsidRPr="00A042E5" w:rsidRDefault="00307071" w:rsidP="00A368C6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</w:p>
    <w:p w14:paraId="4D2FB779" w14:textId="240B01CA" w:rsidR="00307071" w:rsidRPr="00A042E5" w:rsidRDefault="00307071" w:rsidP="00A368C6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lastRenderedPageBreak/>
        <w:t xml:space="preserve">Deti staršie ako 4 roky a </w:t>
      </w:r>
      <w:r w:rsidR="00A042E5" w:rsidRPr="00A042E5">
        <w:rPr>
          <w:i/>
          <w:iCs/>
          <w:sz w:val="22"/>
          <w:szCs w:val="22"/>
          <w:lang w:val="sk-SK" w:eastAsia="sk-SK"/>
        </w:rPr>
        <w:t>dospievajúci</w:t>
      </w:r>
    </w:p>
    <w:p w14:paraId="3A9E742D" w14:textId="2D13AE2B" w:rsidR="00307071" w:rsidRPr="00A042E5" w:rsidRDefault="00307071" w:rsidP="00D86CEF">
      <w:pPr>
        <w:numPr>
          <w:ilvl w:val="1"/>
          <w:numId w:val="8"/>
        </w:numPr>
        <w:suppressAutoHyphens/>
        <w:ind w:left="567" w:hanging="283"/>
        <w:rPr>
          <w:i/>
          <w:iCs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ar-SA"/>
        </w:rPr>
        <w:t xml:space="preserve">V kombinácii s antibiotikami na liečbu </w:t>
      </w:r>
      <w:r w:rsidR="00A042E5" w:rsidRPr="00A042E5">
        <w:rPr>
          <w:sz w:val="22"/>
          <w:szCs w:val="22"/>
          <w:lang w:val="sk-SK" w:eastAsia="ar-SA"/>
        </w:rPr>
        <w:t xml:space="preserve">dvanástnikového </w:t>
      </w:r>
      <w:r w:rsidRPr="00A042E5">
        <w:rPr>
          <w:sz w:val="22"/>
          <w:szCs w:val="22"/>
          <w:lang w:val="sk-SK" w:eastAsia="ar-SA"/>
        </w:rPr>
        <w:t xml:space="preserve">vredu spôsobeného </w:t>
      </w:r>
      <w:r w:rsidRPr="00A042E5">
        <w:rPr>
          <w:i/>
          <w:iCs/>
          <w:sz w:val="22"/>
          <w:szCs w:val="22"/>
          <w:lang w:val="sk-SK"/>
        </w:rPr>
        <w:t>H.</w:t>
      </w:r>
      <w:r w:rsidR="00A042E5" w:rsidRPr="00A042E5">
        <w:rPr>
          <w:i/>
          <w:iCs/>
          <w:sz w:val="22"/>
          <w:szCs w:val="22"/>
          <w:lang w:val="sk-SK"/>
        </w:rPr>
        <w:t> </w:t>
      </w:r>
      <w:proofErr w:type="spellStart"/>
      <w:r w:rsidRPr="00A042E5">
        <w:rPr>
          <w:i/>
          <w:iCs/>
          <w:sz w:val="22"/>
          <w:szCs w:val="22"/>
          <w:lang w:val="sk-SK"/>
        </w:rPr>
        <w:t>pylori</w:t>
      </w:r>
      <w:proofErr w:type="spellEnd"/>
    </w:p>
    <w:p w14:paraId="6BDBA64E" w14:textId="77777777" w:rsidR="00307071" w:rsidRPr="00A042E5" w:rsidRDefault="00307071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14:paraId="6487F4DF" w14:textId="77777777" w:rsidR="00307071" w:rsidRPr="00A042E5" w:rsidRDefault="00307071" w:rsidP="00A042E5">
      <w:pPr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D86CEF">
        <w:rPr>
          <w:b/>
          <w:sz w:val="22"/>
          <w:szCs w:val="22"/>
          <w:lang w:val="sk-SK" w:eastAsia="sk-SK"/>
        </w:rPr>
        <w:t>4.2</w:t>
      </w:r>
      <w:r w:rsidRPr="00D86CEF">
        <w:rPr>
          <w:b/>
          <w:sz w:val="22"/>
          <w:szCs w:val="22"/>
          <w:lang w:val="sk-SK" w:eastAsia="sk-SK"/>
        </w:rPr>
        <w:tab/>
        <w:t>Dávkovanie</w:t>
      </w:r>
      <w:r w:rsidRPr="001A1037">
        <w:rPr>
          <w:b/>
          <w:sz w:val="22"/>
          <w:szCs w:val="22"/>
          <w:lang w:val="sk-SK" w:eastAsia="sk-SK"/>
        </w:rPr>
        <w:t xml:space="preserve"> a</w:t>
      </w:r>
      <w:r w:rsidRPr="00A042E5">
        <w:rPr>
          <w:b/>
          <w:sz w:val="22"/>
          <w:szCs w:val="22"/>
          <w:lang w:val="sk-SK" w:eastAsia="sk-SK"/>
        </w:rPr>
        <w:t xml:space="preserve"> spôsob podávania</w:t>
      </w:r>
    </w:p>
    <w:p w14:paraId="52E8AF8F" w14:textId="77777777" w:rsidR="001A0FA9" w:rsidRDefault="001A0FA9" w:rsidP="00A368C6">
      <w:pPr>
        <w:pStyle w:val="Nadpis9"/>
        <w:autoSpaceDE w:val="0"/>
        <w:autoSpaceDN w:val="0"/>
        <w:adjustRightInd w:val="0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p w14:paraId="4EC9F6A3" w14:textId="670D78C4" w:rsidR="00307071" w:rsidRPr="00A042E5" w:rsidRDefault="00307071" w:rsidP="00A368C6">
      <w:pPr>
        <w:pStyle w:val="Nadpis9"/>
        <w:autoSpaceDE w:val="0"/>
        <w:autoSpaceDN w:val="0"/>
        <w:adjustRightInd w:val="0"/>
        <w:spacing w:before="0" w:after="120"/>
        <w:rPr>
          <w:rFonts w:ascii="Times New Roman" w:hAnsi="Times New Roman"/>
          <w:sz w:val="22"/>
          <w:szCs w:val="22"/>
          <w:u w:val="single"/>
        </w:rPr>
      </w:pPr>
      <w:r w:rsidRPr="00A042E5">
        <w:rPr>
          <w:rFonts w:ascii="Times New Roman" w:hAnsi="Times New Roman"/>
          <w:sz w:val="22"/>
          <w:szCs w:val="22"/>
          <w:u w:val="single"/>
        </w:rPr>
        <w:t>Dávkovanie</w:t>
      </w:r>
    </w:p>
    <w:p w14:paraId="02876DED" w14:textId="77777777" w:rsidR="00A042E5" w:rsidRPr="00A042E5" w:rsidRDefault="00A042E5" w:rsidP="00A042E5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A042E5">
        <w:rPr>
          <w:iCs/>
          <w:sz w:val="22"/>
          <w:szCs w:val="22"/>
          <w:u w:val="single"/>
          <w:lang w:val="sk-SK"/>
        </w:rPr>
        <w:t>Dospelí</w:t>
      </w:r>
    </w:p>
    <w:p w14:paraId="2090BD2B" w14:textId="77777777" w:rsidR="00A042E5" w:rsidRPr="00A042E5" w:rsidRDefault="00A042E5" w:rsidP="00A042E5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14:paraId="6BB5EA92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Liečba dvanástnikových vredov</w:t>
      </w:r>
    </w:p>
    <w:p w14:paraId="3CF4CC9D" w14:textId="6F9E87AA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Odporúčané dávkovanie u pacientov s aktívnym vredom dvanástnika je 20</w:t>
      </w:r>
      <w:r w:rsidR="001A0FA9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1A0FA9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denne. U väčšiny pacientov dôjde k vyhojeniu v priebehu 2 týždňov. U tých pacientov, kde po </w:t>
      </w:r>
      <w:r w:rsidR="001A1037">
        <w:rPr>
          <w:sz w:val="22"/>
          <w:szCs w:val="22"/>
          <w:lang w:val="sk-SK" w:eastAsia="sk-SK"/>
        </w:rPr>
        <w:t>iniciálnej</w:t>
      </w:r>
      <w:r w:rsidRPr="00867B94">
        <w:rPr>
          <w:sz w:val="22"/>
          <w:szCs w:val="22"/>
          <w:lang w:val="sk-SK" w:eastAsia="sk-SK"/>
        </w:rPr>
        <w:t xml:space="preserve"> liečbe nedôjde k úplnému </w:t>
      </w:r>
      <w:r w:rsidRPr="00A042E5">
        <w:rPr>
          <w:sz w:val="22"/>
          <w:szCs w:val="22"/>
          <w:lang w:val="sk-SK" w:eastAsia="sk-SK"/>
        </w:rPr>
        <w:t xml:space="preserve">vyhojeniu, </w:t>
      </w:r>
      <w:r w:rsidR="005D2B48" w:rsidRPr="00A042E5">
        <w:rPr>
          <w:sz w:val="22"/>
          <w:szCs w:val="22"/>
          <w:lang w:val="sk-SK" w:eastAsia="sk-SK"/>
        </w:rPr>
        <w:t xml:space="preserve">k nemu </w:t>
      </w:r>
      <w:r w:rsidRPr="00A042E5">
        <w:rPr>
          <w:sz w:val="22"/>
          <w:szCs w:val="22"/>
          <w:lang w:val="sk-SK" w:eastAsia="sk-SK"/>
        </w:rPr>
        <w:t>zvyčajne dochádza po ďalšej dvojtýždňovej liečbe. Pacientom, u ktorých dvanástnikový vred na liečbu reaguje nedostatočne, sa odporúča podávať 40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ar-SA"/>
        </w:rPr>
        <w:t>jedenkrát denne a k vyhojeniu zvyčajne dochádza v priebehu štyroch týždňov.</w:t>
      </w:r>
    </w:p>
    <w:p w14:paraId="165A7A54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13B372" w14:textId="24429B63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 xml:space="preserve">Prevencia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relapsu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i/>
          <w:iCs/>
          <w:sz w:val="22"/>
          <w:szCs w:val="22"/>
          <w:lang w:val="sk-SK" w:eastAsia="sk-SK"/>
        </w:rPr>
        <w:t>dvanástnikových vredov</w:t>
      </w:r>
    </w:p>
    <w:p w14:paraId="16D7E878" w14:textId="2A4FE33B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Na prevenciu </w:t>
      </w:r>
      <w:proofErr w:type="spellStart"/>
      <w:r w:rsidRPr="00A042E5">
        <w:rPr>
          <w:sz w:val="22"/>
          <w:szCs w:val="22"/>
          <w:lang w:val="sk-SK" w:eastAsia="ar-SA"/>
        </w:rPr>
        <w:t>relapsu</w:t>
      </w:r>
      <w:proofErr w:type="spellEnd"/>
      <w:r w:rsidRPr="00A042E5">
        <w:rPr>
          <w:sz w:val="22"/>
          <w:szCs w:val="22"/>
          <w:lang w:val="sk-SK" w:eastAsia="ar-SA"/>
        </w:rPr>
        <w:t xml:space="preserve"> dvanástnikových vredov u pacientov negatívnych na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 xml:space="preserve">alebo v prípade, že </w:t>
      </w:r>
      <w:proofErr w:type="spellStart"/>
      <w:r w:rsidRPr="00A042E5">
        <w:rPr>
          <w:sz w:val="22"/>
          <w:szCs w:val="22"/>
          <w:lang w:val="sk-SK" w:eastAsia="ar-SA"/>
        </w:rPr>
        <w:t>eradikácia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 xml:space="preserve">nie je možná, sa odporúča dávka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 U niektorých pacientov môže postačovať denná dávka 10 mg. V prípade zlyhania liečby sa môže dávka zvýšiť na 40 mg.</w:t>
      </w:r>
    </w:p>
    <w:p w14:paraId="73FE0514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15C706" w14:textId="77777777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>Liečba žalúdkových vredov</w:t>
      </w:r>
    </w:p>
    <w:p w14:paraId="25812DA3" w14:textId="2FC7887C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Odporúčaná dávka je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 U väčšiny pacientov dochádza k vyhojeniu v priebehu štyroch týždňov. U tých pacientov, u ktorých po </w:t>
      </w:r>
      <w:r w:rsidR="000A7098">
        <w:rPr>
          <w:sz w:val="22"/>
          <w:szCs w:val="22"/>
          <w:lang w:val="sk-SK" w:eastAsia="ar-SA"/>
        </w:rPr>
        <w:t>iniciálnej</w:t>
      </w:r>
      <w:r w:rsidRPr="001A1037">
        <w:rPr>
          <w:sz w:val="22"/>
          <w:szCs w:val="22"/>
          <w:lang w:val="sk-SK" w:eastAsia="ar-SA"/>
        </w:rPr>
        <w:t xml:space="preserve"> liečbe nedôjde k úpln</w:t>
      </w:r>
      <w:r w:rsidR="00AB545D" w:rsidRPr="001A1037">
        <w:rPr>
          <w:sz w:val="22"/>
          <w:szCs w:val="22"/>
          <w:lang w:val="sk-SK" w:eastAsia="ar-SA"/>
        </w:rPr>
        <w:t>é</w:t>
      </w:r>
      <w:r w:rsidRPr="00A042E5">
        <w:rPr>
          <w:sz w:val="22"/>
          <w:szCs w:val="22"/>
          <w:lang w:val="sk-SK" w:eastAsia="ar-SA"/>
        </w:rPr>
        <w:t xml:space="preserve">mu vyhojeniu, </w:t>
      </w:r>
      <w:r w:rsidR="005D2B48" w:rsidRPr="00A042E5">
        <w:rPr>
          <w:sz w:val="22"/>
          <w:szCs w:val="22"/>
          <w:lang w:val="sk-SK" w:eastAsia="ar-SA"/>
        </w:rPr>
        <w:t xml:space="preserve">k nemu </w:t>
      </w:r>
      <w:r w:rsidRPr="00A042E5">
        <w:rPr>
          <w:sz w:val="22"/>
          <w:szCs w:val="22"/>
          <w:lang w:val="sk-SK" w:eastAsia="ar-SA"/>
        </w:rPr>
        <w:t xml:space="preserve">zvyčajne dochádza počas ďalších štyroch týždňov liečby. Pacientom s nedostatočne reagujúcim žalúdkovým vredom sa odporúča dávka 40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 a k vyhojeniu zvyčajne dochádza v priebehu ôsmich týždňov.</w:t>
      </w:r>
    </w:p>
    <w:p w14:paraId="67C094D0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219DE28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Prevencia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relapsu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žalúdkových vredov</w:t>
      </w:r>
    </w:p>
    <w:p w14:paraId="156C8245" w14:textId="14CBBD1D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V prevencii </w:t>
      </w:r>
      <w:proofErr w:type="spellStart"/>
      <w:r w:rsidRPr="00A042E5">
        <w:rPr>
          <w:sz w:val="22"/>
          <w:szCs w:val="22"/>
          <w:lang w:val="sk-SK" w:eastAsia="sk-SK"/>
        </w:rPr>
        <w:t>relapsu</w:t>
      </w:r>
      <w:proofErr w:type="spellEnd"/>
      <w:r w:rsidRPr="00A042E5">
        <w:rPr>
          <w:sz w:val="22"/>
          <w:szCs w:val="22"/>
          <w:lang w:val="sk-SK" w:eastAsia="sk-SK"/>
        </w:rPr>
        <w:t xml:space="preserve"> u pacientov</w:t>
      </w:r>
      <w:r w:rsidRPr="00A042E5">
        <w:rPr>
          <w:sz w:val="22"/>
          <w:szCs w:val="22"/>
          <w:lang w:val="sk-SK" w:eastAsia="ar-SA"/>
        </w:rPr>
        <w:t xml:space="preserve"> s nedostatočne reagujúcim žalúdkovým vredom sa odporúča dávka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</w:t>
      </w:r>
      <w:r w:rsidRPr="00A042E5">
        <w:rPr>
          <w:sz w:val="22"/>
          <w:szCs w:val="22"/>
          <w:lang w:val="sk-SK" w:eastAsia="sk-SK"/>
        </w:rPr>
        <w:t xml:space="preserve"> V prípade potreby sa môže dávka zvýšiť na 40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jedenkrát denne.</w:t>
      </w:r>
    </w:p>
    <w:p w14:paraId="7ECE4D7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7E6AC7" w14:textId="77777777" w:rsidR="00307071" w:rsidRPr="00867B94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proofErr w:type="spellStart"/>
      <w:r w:rsidRPr="00820AB9">
        <w:rPr>
          <w:i/>
          <w:iCs/>
          <w:sz w:val="22"/>
          <w:szCs w:val="22"/>
          <w:lang w:val="sk-SK" w:eastAsia="sk-SK"/>
        </w:rPr>
        <w:t>Eradikácia</w:t>
      </w:r>
      <w:proofErr w:type="spellEnd"/>
      <w:r w:rsidRPr="00820AB9">
        <w:rPr>
          <w:i/>
          <w:iCs/>
          <w:sz w:val="22"/>
          <w:szCs w:val="22"/>
          <w:lang w:val="sk-SK" w:eastAsia="sk-SK"/>
        </w:rPr>
        <w:t xml:space="preserve"> H. </w:t>
      </w:r>
      <w:proofErr w:type="spellStart"/>
      <w:r w:rsidRPr="00820AB9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820AB9">
        <w:rPr>
          <w:i/>
          <w:iCs/>
          <w:sz w:val="22"/>
          <w:szCs w:val="22"/>
          <w:lang w:val="sk-SK" w:eastAsia="sk-SK"/>
        </w:rPr>
        <w:t xml:space="preserve"> pri </w:t>
      </w:r>
      <w:proofErr w:type="spellStart"/>
      <w:r w:rsidRPr="00820AB9">
        <w:rPr>
          <w:i/>
          <w:iCs/>
          <w:sz w:val="22"/>
          <w:szCs w:val="22"/>
          <w:lang w:val="sk-SK" w:eastAsia="sk-SK"/>
        </w:rPr>
        <w:t>peptickej</w:t>
      </w:r>
      <w:proofErr w:type="spellEnd"/>
      <w:r w:rsidRPr="00867B94">
        <w:rPr>
          <w:i/>
          <w:iCs/>
          <w:sz w:val="22"/>
          <w:szCs w:val="22"/>
          <w:lang w:val="sk-SK" w:eastAsia="sk-SK"/>
        </w:rPr>
        <w:t xml:space="preserve"> vredovej chorobe</w:t>
      </w:r>
    </w:p>
    <w:p w14:paraId="0638B7FC" w14:textId="64B29F16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Pri výbere antibiotík na </w:t>
      </w:r>
      <w:proofErr w:type="spellStart"/>
      <w:r w:rsidRPr="00A042E5">
        <w:rPr>
          <w:sz w:val="22"/>
          <w:szCs w:val="22"/>
          <w:lang w:val="sk-SK" w:eastAsia="sk-SK"/>
        </w:rPr>
        <w:t>eradikáciu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i/>
          <w:iCs/>
          <w:sz w:val="22"/>
          <w:szCs w:val="22"/>
          <w:lang w:val="sk-SK" w:eastAsia="sk-SK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je potrebné zohľadňovať individuálnu znášanlivosť</w:t>
      </w:r>
      <w:r w:rsidR="003D3EBC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liečiva u pacienta a má sa uskutočňovať v súlade so stavom rezistencie a odporúčaniami liečby na</w:t>
      </w:r>
      <w:r w:rsidR="003D3EBC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národnej, regionálnej a miestnej úrovni.</w:t>
      </w:r>
    </w:p>
    <w:p w14:paraId="48F6E7C2" w14:textId="4BF2AC16" w:rsidR="00307071" w:rsidRPr="00A042E5" w:rsidRDefault="00307071" w:rsidP="00D86CE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+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+ </w:t>
      </w:r>
      <w:proofErr w:type="spellStart"/>
      <w:r w:rsidRPr="00A042E5">
        <w:rPr>
          <w:sz w:val="22"/>
          <w:szCs w:val="22"/>
          <w:lang w:val="sk-SK" w:eastAsia="sk-SK"/>
        </w:rPr>
        <w:t>amoxicilín</w:t>
      </w:r>
      <w:proofErr w:type="spellEnd"/>
      <w:r w:rsidRPr="00A042E5">
        <w:rPr>
          <w:sz w:val="22"/>
          <w:szCs w:val="22"/>
          <w:lang w:val="sk-SK" w:eastAsia="sk-SK"/>
        </w:rPr>
        <w:t xml:space="preserve"> 1000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mg, každý </w:t>
      </w:r>
      <w:r w:rsidR="005D2B48">
        <w:rPr>
          <w:sz w:val="22"/>
          <w:szCs w:val="22"/>
          <w:lang w:val="sk-SK" w:eastAsia="sk-SK"/>
        </w:rPr>
        <w:t>dva</w:t>
      </w:r>
      <w:r w:rsidRPr="00A042E5">
        <w:rPr>
          <w:sz w:val="22"/>
          <w:szCs w:val="22"/>
          <w:lang w:val="sk-SK" w:eastAsia="sk-SK"/>
        </w:rPr>
        <w:t>krát denne počas jedného týždňa alebo</w:t>
      </w:r>
    </w:p>
    <w:p w14:paraId="4325DF11" w14:textId="10004CFB" w:rsidR="00307071" w:rsidRPr="00A042E5" w:rsidRDefault="00307071" w:rsidP="003D3EBC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+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 xml:space="preserve"> 250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(prípadne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mg) + </w:t>
      </w:r>
      <w:proofErr w:type="spellStart"/>
      <w:r w:rsidRPr="00A042E5">
        <w:rPr>
          <w:sz w:val="22"/>
          <w:szCs w:val="22"/>
          <w:lang w:val="sk-SK" w:eastAsia="sk-SK"/>
        </w:rPr>
        <w:t>metronidazol</w:t>
      </w:r>
      <w:proofErr w:type="spellEnd"/>
      <w:r w:rsidRPr="00A042E5">
        <w:rPr>
          <w:sz w:val="22"/>
          <w:szCs w:val="22"/>
          <w:lang w:val="sk-SK" w:eastAsia="sk-SK"/>
        </w:rPr>
        <w:t xml:space="preserve"> 400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(alebo 500</w:t>
      </w:r>
      <w:r w:rsidR="009E3B67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alebo </w:t>
      </w:r>
      <w:proofErr w:type="spellStart"/>
      <w:r w:rsidRPr="00A042E5">
        <w:rPr>
          <w:sz w:val="22"/>
          <w:szCs w:val="22"/>
          <w:lang w:val="sk-SK" w:eastAsia="sk-SK"/>
        </w:rPr>
        <w:t>tinidazol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mg), každý </w:t>
      </w:r>
      <w:r w:rsidR="005D2B48">
        <w:rPr>
          <w:sz w:val="22"/>
          <w:szCs w:val="22"/>
          <w:lang w:val="sk-SK" w:eastAsia="sk-SK"/>
        </w:rPr>
        <w:t>dva</w:t>
      </w:r>
      <w:r w:rsidRPr="00A042E5">
        <w:rPr>
          <w:sz w:val="22"/>
          <w:szCs w:val="22"/>
          <w:lang w:val="sk-SK" w:eastAsia="sk-SK"/>
        </w:rPr>
        <w:t>krát denne počas jedného týždňa alebo</w:t>
      </w:r>
    </w:p>
    <w:p w14:paraId="1EEB64BF" w14:textId="33367137" w:rsidR="00307071" w:rsidRPr="00A042E5" w:rsidRDefault="00307071" w:rsidP="0046209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40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r w:rsidR="005D2B48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 s </w:t>
      </w:r>
      <w:proofErr w:type="spellStart"/>
      <w:r w:rsidRPr="00A042E5">
        <w:rPr>
          <w:sz w:val="22"/>
          <w:szCs w:val="22"/>
          <w:lang w:val="sk-SK" w:eastAsia="sk-SK"/>
        </w:rPr>
        <w:t>amoxicilínom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a </w:t>
      </w:r>
      <w:proofErr w:type="spellStart"/>
      <w:r w:rsidRPr="00A042E5">
        <w:rPr>
          <w:sz w:val="22"/>
          <w:szCs w:val="22"/>
          <w:lang w:val="sk-SK" w:eastAsia="sk-SK"/>
        </w:rPr>
        <w:t>metronidazolom</w:t>
      </w:r>
      <w:proofErr w:type="spellEnd"/>
      <w:r w:rsidRPr="00A042E5">
        <w:rPr>
          <w:sz w:val="22"/>
          <w:szCs w:val="22"/>
          <w:lang w:val="sk-SK" w:eastAsia="sk-SK"/>
        </w:rPr>
        <w:t xml:space="preserve"> 400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(alebo 500</w:t>
      </w:r>
      <w:r w:rsidR="00462091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alebo </w:t>
      </w:r>
      <w:proofErr w:type="spellStart"/>
      <w:r w:rsidRPr="00A042E5">
        <w:rPr>
          <w:sz w:val="22"/>
          <w:szCs w:val="22"/>
          <w:lang w:val="sk-SK" w:eastAsia="sk-SK"/>
        </w:rPr>
        <w:t>tinidazol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mg), ob</w:t>
      </w:r>
      <w:r w:rsidR="005D2B48">
        <w:rPr>
          <w:sz w:val="22"/>
          <w:szCs w:val="22"/>
          <w:lang w:val="sk-SK" w:eastAsia="sk-SK"/>
        </w:rPr>
        <w:t>idv</w:t>
      </w:r>
      <w:r w:rsidRPr="00A042E5">
        <w:rPr>
          <w:sz w:val="22"/>
          <w:szCs w:val="22"/>
          <w:lang w:val="sk-SK" w:eastAsia="sk-SK"/>
        </w:rPr>
        <w:t xml:space="preserve">a </w:t>
      </w:r>
      <w:r w:rsidR="005D2B48">
        <w:rPr>
          <w:sz w:val="22"/>
          <w:szCs w:val="22"/>
          <w:lang w:val="sk-SK" w:eastAsia="sk-SK"/>
        </w:rPr>
        <w:t>tri</w:t>
      </w:r>
      <w:r w:rsidRPr="00A042E5">
        <w:rPr>
          <w:sz w:val="22"/>
          <w:szCs w:val="22"/>
          <w:lang w:val="sk-SK" w:eastAsia="sk-SK"/>
        </w:rPr>
        <w:t>krát denne počas jedného týždňa.</w:t>
      </w:r>
    </w:p>
    <w:p w14:paraId="4784B77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4980613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Ak je pacient ešte stále pozitívny na </w:t>
      </w:r>
      <w:r w:rsidRPr="00A042E5">
        <w:rPr>
          <w:i/>
          <w:iCs/>
          <w:sz w:val="22"/>
          <w:szCs w:val="22"/>
          <w:lang w:val="sk-SK" w:eastAsia="sk-SK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, </w:t>
      </w:r>
      <w:r w:rsidRPr="00A042E5">
        <w:rPr>
          <w:sz w:val="22"/>
          <w:szCs w:val="22"/>
          <w:lang w:val="sk-SK" w:eastAsia="sk-SK"/>
        </w:rPr>
        <w:t>liečbu v každom režime možno zopakovať.</w:t>
      </w:r>
    </w:p>
    <w:p w14:paraId="5D1F8D1E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75B2EF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Liečba vredov žalúdka, dvanástnika v súvislosti s užívaním NSAID</w:t>
      </w:r>
    </w:p>
    <w:p w14:paraId="245E380B" w14:textId="4AA21010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Na liečbu vredov žalúdka a dvanástnika v súvislosti s</w:t>
      </w:r>
      <w:r w:rsidRPr="00A042E5">
        <w:rPr>
          <w:sz w:val="22"/>
          <w:szCs w:val="22"/>
          <w:lang w:val="sk-SK" w:eastAsia="ar-SA"/>
        </w:rPr>
        <w:t xml:space="preserve"> užívaním NSAID sa odporúča </w:t>
      </w:r>
      <w:r w:rsidRPr="00A042E5">
        <w:rPr>
          <w:sz w:val="22"/>
          <w:szCs w:val="22"/>
          <w:lang w:val="sk-SK" w:eastAsia="sk-SK"/>
        </w:rPr>
        <w:t>dávka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jedenkrát denne. U väčšiny pacientov dôjde k vyhojeniu vredu v priebehu štyroch týždňov. U tých pacientov, u ktorých nedošlo k úplnému vyhojeniu po </w:t>
      </w:r>
      <w:r w:rsidR="00C53EF4">
        <w:rPr>
          <w:sz w:val="22"/>
          <w:szCs w:val="22"/>
          <w:lang w:val="sk-SK" w:eastAsia="sk-SK"/>
        </w:rPr>
        <w:t>iniciálnej</w:t>
      </w:r>
      <w:r w:rsidRPr="00A042E5">
        <w:rPr>
          <w:sz w:val="22"/>
          <w:szCs w:val="22"/>
          <w:lang w:val="sk-SK" w:eastAsia="sk-SK"/>
        </w:rPr>
        <w:t xml:space="preserve"> liečbe, zvyčajne dochádza k vyhojeniu v priebehu ďalších štyroch týždňov liečby.</w:t>
      </w:r>
    </w:p>
    <w:p w14:paraId="4D98C0D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A861D" w14:textId="77777777" w:rsidR="00307071" w:rsidRPr="00A042E5" w:rsidRDefault="00307071" w:rsidP="00A368C6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Prevencia vredov žalúdka, dvanástnika v súvislosti s užívaním NSAID u rizikových pacientov</w:t>
      </w:r>
    </w:p>
    <w:p w14:paraId="7BD717DD" w14:textId="179F3B8A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V prevencii vredov žalúdka, dvanástnika vyskytujúcich sa v súvislosti s užívaním NSAID</w:t>
      </w:r>
      <w:r w:rsidR="00C53EF4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u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rizikových pacientov (vek &gt;60 rokov, s vredmi žalúdka a/alebo vredmi dvanástnika, s krvácaním </w:t>
      </w:r>
      <w:r w:rsidRPr="00A042E5">
        <w:rPr>
          <w:sz w:val="22"/>
          <w:szCs w:val="22"/>
          <w:lang w:val="sk-SK" w:eastAsia="sk-SK"/>
        </w:rPr>
        <w:lastRenderedPageBreak/>
        <w:t>z</w:t>
      </w:r>
      <w:r w:rsidR="00C53EF4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hornej časti </w:t>
      </w:r>
      <w:proofErr w:type="spellStart"/>
      <w:r w:rsidR="005D2B48">
        <w:rPr>
          <w:sz w:val="22"/>
          <w:szCs w:val="22"/>
          <w:lang w:val="sk-SK" w:eastAsia="sk-SK"/>
        </w:rPr>
        <w:t>gastrointestinálneho</w:t>
      </w:r>
      <w:proofErr w:type="spellEnd"/>
      <w:r w:rsidR="005D2B48">
        <w:rPr>
          <w:sz w:val="22"/>
          <w:szCs w:val="22"/>
          <w:lang w:val="sk-SK" w:eastAsia="sk-SK"/>
        </w:rPr>
        <w:t xml:space="preserve"> traktu</w:t>
      </w:r>
      <w:r w:rsidRPr="00A042E5">
        <w:rPr>
          <w:sz w:val="22"/>
          <w:szCs w:val="22"/>
          <w:lang w:val="sk-SK" w:eastAsia="sk-SK"/>
        </w:rPr>
        <w:t xml:space="preserve"> v anamnéze) je odporúčaná dávka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ar-SA"/>
        </w:rPr>
        <w:t>jedenkrát</w:t>
      </w:r>
      <w:r w:rsidRPr="00A042E5">
        <w:rPr>
          <w:sz w:val="22"/>
          <w:szCs w:val="22"/>
          <w:lang w:val="sk-SK" w:eastAsia="sk-SK"/>
        </w:rPr>
        <w:t xml:space="preserve"> denne.</w:t>
      </w:r>
    </w:p>
    <w:p w14:paraId="05BB85A1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022D36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ezofagitídy</w:t>
      </w:r>
      <w:proofErr w:type="spellEnd"/>
    </w:p>
    <w:p w14:paraId="1C8D1B2E" w14:textId="55A3E4EF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sk-SK"/>
        </w:rPr>
        <w:t>Odporúčaná dávka je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5D2B48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denne. </w:t>
      </w:r>
      <w:r w:rsidRPr="00A042E5">
        <w:rPr>
          <w:sz w:val="22"/>
          <w:szCs w:val="22"/>
          <w:lang w:val="sk-SK" w:eastAsia="ar-SA"/>
        </w:rPr>
        <w:t xml:space="preserve">U väčšiny pacientov dochádza k vyhojeniu v priebehu štyroch týždňov. U tých pacientov, u ktorých po </w:t>
      </w:r>
      <w:r w:rsidR="00362D11">
        <w:rPr>
          <w:sz w:val="22"/>
          <w:szCs w:val="22"/>
          <w:lang w:val="sk-SK" w:eastAsia="ar-SA"/>
        </w:rPr>
        <w:t>iniciálnej</w:t>
      </w:r>
      <w:r w:rsidRPr="00A042E5">
        <w:rPr>
          <w:sz w:val="22"/>
          <w:szCs w:val="22"/>
          <w:lang w:val="sk-SK" w:eastAsia="ar-SA"/>
        </w:rPr>
        <w:t xml:space="preserve"> liečbe nedôjde k úpln</w:t>
      </w:r>
      <w:r w:rsidR="00C16901" w:rsidRPr="00A042E5">
        <w:rPr>
          <w:sz w:val="22"/>
          <w:szCs w:val="22"/>
          <w:lang w:val="sk-SK" w:eastAsia="ar-SA"/>
        </w:rPr>
        <w:t>é</w:t>
      </w:r>
      <w:r w:rsidRPr="00A042E5">
        <w:rPr>
          <w:sz w:val="22"/>
          <w:szCs w:val="22"/>
          <w:lang w:val="sk-SK" w:eastAsia="ar-SA"/>
        </w:rPr>
        <w:t xml:space="preserve">mu vyhojeniu, </w:t>
      </w:r>
      <w:r w:rsidR="005D2B48" w:rsidRPr="00A042E5">
        <w:rPr>
          <w:sz w:val="22"/>
          <w:szCs w:val="22"/>
          <w:lang w:val="sk-SK" w:eastAsia="ar-SA"/>
        </w:rPr>
        <w:t xml:space="preserve">k nemu </w:t>
      </w:r>
      <w:r w:rsidRPr="00A042E5">
        <w:rPr>
          <w:sz w:val="22"/>
          <w:szCs w:val="22"/>
          <w:lang w:val="sk-SK" w:eastAsia="ar-SA"/>
        </w:rPr>
        <w:t>zvyčajne dochádza počas ďalších štyroch týždňov liečby.</w:t>
      </w:r>
    </w:p>
    <w:p w14:paraId="6C586DC7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U pacientov so závažnou </w:t>
      </w:r>
      <w:proofErr w:type="spellStart"/>
      <w:r w:rsidRPr="00A042E5">
        <w:rPr>
          <w:sz w:val="22"/>
          <w:szCs w:val="22"/>
          <w:lang w:val="sk-SK" w:eastAsia="ar-SA"/>
        </w:rPr>
        <w:t>ezofagitídou</w:t>
      </w:r>
      <w:proofErr w:type="spellEnd"/>
      <w:r w:rsidRPr="00A042E5">
        <w:rPr>
          <w:sz w:val="22"/>
          <w:szCs w:val="22"/>
          <w:lang w:val="sk-SK" w:eastAsia="ar-SA"/>
        </w:rPr>
        <w:t xml:space="preserve"> sa odporúča dávka 40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 a k vyhojeniu zvyčajne dochádza v priebehu ôsmich týždňov.</w:t>
      </w:r>
    </w:p>
    <w:p w14:paraId="177862BB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06818" w14:textId="77777777" w:rsidR="00307071" w:rsidRPr="00A042E5" w:rsidRDefault="00307071">
      <w:pPr>
        <w:suppressAutoHyphens/>
        <w:ind w:left="567" w:hanging="567"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 xml:space="preserve">Dlhodobá liečba pacientov s vyliečenou </w:t>
      </w:r>
      <w:proofErr w:type="spellStart"/>
      <w:r w:rsidRPr="00A042E5">
        <w:rPr>
          <w:i/>
          <w:sz w:val="22"/>
          <w:szCs w:val="22"/>
          <w:lang w:val="sk-SK" w:eastAsia="ar-SA"/>
        </w:rPr>
        <w:t>reflux</w:t>
      </w:r>
      <w:r w:rsidR="00C16901" w:rsidRPr="00A042E5">
        <w:rPr>
          <w:i/>
          <w:sz w:val="22"/>
          <w:szCs w:val="22"/>
          <w:lang w:val="sk-SK" w:eastAsia="ar-SA"/>
        </w:rPr>
        <w:t>n</w:t>
      </w:r>
      <w:r w:rsidRPr="00A042E5">
        <w:rPr>
          <w:i/>
          <w:sz w:val="22"/>
          <w:szCs w:val="22"/>
          <w:lang w:val="sk-SK" w:eastAsia="ar-SA"/>
        </w:rPr>
        <w:t>ou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i/>
          <w:sz w:val="22"/>
          <w:szCs w:val="22"/>
          <w:lang w:val="sk-SK" w:eastAsia="ar-SA"/>
        </w:rPr>
        <w:t>ezofagitídou</w:t>
      </w:r>
      <w:proofErr w:type="spellEnd"/>
    </w:p>
    <w:p w14:paraId="7356111F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Pri dlhodobej liečbe pacientov </w:t>
      </w:r>
      <w:r w:rsidR="00BA5CBF">
        <w:rPr>
          <w:sz w:val="22"/>
          <w:szCs w:val="22"/>
          <w:lang w:val="sk-SK" w:eastAsia="ar-SA"/>
        </w:rPr>
        <w:t xml:space="preserve">s </w:t>
      </w:r>
      <w:r w:rsidRPr="00A042E5">
        <w:rPr>
          <w:sz w:val="22"/>
          <w:szCs w:val="22"/>
          <w:lang w:val="sk-SK" w:eastAsia="ar-SA"/>
        </w:rPr>
        <w:t xml:space="preserve">vyliečenou </w:t>
      </w:r>
      <w:proofErr w:type="spellStart"/>
      <w:r w:rsidRPr="00A042E5">
        <w:rPr>
          <w:sz w:val="22"/>
          <w:szCs w:val="22"/>
          <w:lang w:val="sk-SK" w:eastAsia="ar-SA"/>
        </w:rPr>
        <w:t>reflux</w:t>
      </w:r>
      <w:r w:rsidR="00C16901" w:rsidRPr="00A042E5">
        <w:rPr>
          <w:sz w:val="22"/>
          <w:szCs w:val="22"/>
          <w:lang w:val="sk-SK" w:eastAsia="ar-SA"/>
        </w:rPr>
        <w:t>n</w:t>
      </w:r>
      <w:r w:rsidRPr="00A042E5">
        <w:rPr>
          <w:sz w:val="22"/>
          <w:szCs w:val="22"/>
          <w:lang w:val="sk-SK" w:eastAsia="ar-SA"/>
        </w:rPr>
        <w:t>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ezofagitídou</w:t>
      </w:r>
      <w:proofErr w:type="spellEnd"/>
      <w:r w:rsidRPr="00A042E5">
        <w:rPr>
          <w:sz w:val="22"/>
          <w:szCs w:val="22"/>
          <w:lang w:val="sk-SK" w:eastAsia="ar-SA"/>
        </w:rPr>
        <w:t xml:space="preserve"> sa odporúča dávka 10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 V prípade potreby je možné dávku zvýšiť na 20-40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</w:t>
      </w:r>
    </w:p>
    <w:p w14:paraId="47DBB924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35A683A" w14:textId="6891D2DD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 xml:space="preserve">Liečba symptomatickej </w:t>
      </w:r>
      <w:proofErr w:type="spellStart"/>
      <w:r w:rsidRPr="00A042E5">
        <w:rPr>
          <w:i/>
          <w:sz w:val="22"/>
          <w:szCs w:val="22"/>
          <w:lang w:val="sk-SK" w:eastAsia="ar-SA"/>
        </w:rPr>
        <w:t>gastroezofag</w:t>
      </w:r>
      <w:r w:rsidR="005D2B48">
        <w:rPr>
          <w:i/>
          <w:sz w:val="22"/>
          <w:szCs w:val="22"/>
          <w:lang w:val="sk-SK" w:eastAsia="ar-SA"/>
        </w:rPr>
        <w:t>e</w:t>
      </w:r>
      <w:r w:rsidRPr="00A042E5">
        <w:rPr>
          <w:i/>
          <w:sz w:val="22"/>
          <w:szCs w:val="22"/>
          <w:lang w:val="sk-SK" w:eastAsia="ar-SA"/>
        </w:rPr>
        <w:t>álnej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i/>
          <w:sz w:val="22"/>
          <w:szCs w:val="22"/>
          <w:lang w:val="sk-SK" w:eastAsia="ar-SA"/>
        </w:rPr>
        <w:t>reflux</w:t>
      </w:r>
      <w:r w:rsidR="00C16901" w:rsidRPr="00A042E5">
        <w:rPr>
          <w:i/>
          <w:sz w:val="22"/>
          <w:szCs w:val="22"/>
          <w:lang w:val="sk-SK" w:eastAsia="ar-SA"/>
        </w:rPr>
        <w:t>n</w:t>
      </w:r>
      <w:r w:rsidRPr="00A042E5">
        <w:rPr>
          <w:i/>
          <w:sz w:val="22"/>
          <w:szCs w:val="22"/>
          <w:lang w:val="sk-SK" w:eastAsia="ar-SA"/>
        </w:rPr>
        <w:t>ej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choroby</w:t>
      </w:r>
    </w:p>
    <w:p w14:paraId="4E5D6438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Odporúčaná dávka je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denne. Pacienti môžu dostatočne odpovedať na dávku 10 mg denne a preto sa má zvážiť individuálna úprava dávky.</w:t>
      </w:r>
    </w:p>
    <w:p w14:paraId="6FDA8871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Ak sa po štyroch týždňoch liečby dávkou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 nedosiahne kontrola symptómov, odporúča sa ďalšie vyšetrenie.</w:t>
      </w:r>
    </w:p>
    <w:p w14:paraId="2DB1378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AD40FE" w14:textId="77777777" w:rsidR="00307071" w:rsidRPr="00A042E5" w:rsidRDefault="00307071">
      <w:pPr>
        <w:suppressAutoHyphens/>
        <w:ind w:left="567" w:hanging="567"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 xml:space="preserve">Liečba </w:t>
      </w:r>
      <w:proofErr w:type="spellStart"/>
      <w:r w:rsidRPr="00A042E5">
        <w:rPr>
          <w:i/>
          <w:sz w:val="22"/>
          <w:szCs w:val="22"/>
          <w:lang w:val="sk-SK" w:eastAsia="ar-SA"/>
        </w:rPr>
        <w:t>Zollingerovho-Ellisonovho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syndrómu</w:t>
      </w:r>
    </w:p>
    <w:p w14:paraId="4BA31428" w14:textId="0C4B63B6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U pacientov so </w:t>
      </w:r>
      <w:proofErr w:type="spellStart"/>
      <w:r w:rsidRPr="00A042E5">
        <w:rPr>
          <w:sz w:val="22"/>
          <w:szCs w:val="22"/>
          <w:lang w:val="sk-SK" w:eastAsia="ar-SA"/>
        </w:rPr>
        <w:t>Zollingerovým-Ellisonovým</w:t>
      </w:r>
      <w:proofErr w:type="spellEnd"/>
      <w:r w:rsidRPr="00A042E5">
        <w:rPr>
          <w:sz w:val="22"/>
          <w:szCs w:val="22"/>
          <w:lang w:val="sk-SK" w:eastAsia="ar-SA"/>
        </w:rPr>
        <w:t xml:space="preserve"> syndrómom sa má dávkovanie upraviť individuálne a liečba má pokračovať tak dlho, ako je to klinicky indikované. Odporúčaná začiatočná dávka je 60 mg denne. Všetci pacienti s ťažkou formou ochorenia, ktorí nedostatočne reagovali na iné liečebné postupy boli účinne liečení a viac ako 90 % pacientov pokračovalo v užívaní dávok 20-120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denne. Pri dávke vyššej ako 80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denne, sa má dávka rozdeliť a podávať dvakrát denne.</w:t>
      </w:r>
    </w:p>
    <w:p w14:paraId="4A49321A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13EBAE" w14:textId="433D02F3" w:rsidR="00307071" w:rsidRPr="00A042E5" w:rsidRDefault="00303BC5">
      <w:pPr>
        <w:keepNext/>
        <w:autoSpaceDE w:val="0"/>
        <w:autoSpaceDN w:val="0"/>
        <w:adjustRightInd w:val="0"/>
        <w:outlineLvl w:val="8"/>
        <w:rPr>
          <w:sz w:val="22"/>
          <w:szCs w:val="22"/>
          <w:u w:val="single"/>
          <w:lang w:val="sk-SK" w:eastAsia="sk-SK"/>
        </w:rPr>
      </w:pPr>
      <w:proofErr w:type="spellStart"/>
      <w:r w:rsidRPr="008E60CE">
        <w:rPr>
          <w:sz w:val="22"/>
          <w:szCs w:val="22"/>
          <w:u w:val="single"/>
        </w:rPr>
        <w:t>Pediatrická</w:t>
      </w:r>
      <w:proofErr w:type="spellEnd"/>
      <w:r w:rsidRPr="008E60CE">
        <w:rPr>
          <w:sz w:val="22"/>
          <w:szCs w:val="22"/>
          <w:u w:val="single"/>
        </w:rPr>
        <w:t xml:space="preserve"> </w:t>
      </w:r>
      <w:proofErr w:type="spellStart"/>
      <w:r w:rsidRPr="008E60CE">
        <w:rPr>
          <w:sz w:val="22"/>
          <w:szCs w:val="22"/>
          <w:u w:val="single"/>
        </w:rPr>
        <w:t>populácia</w:t>
      </w:r>
      <w:proofErr w:type="spellEnd"/>
    </w:p>
    <w:p w14:paraId="1845630E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</w:p>
    <w:p w14:paraId="38F5D8D8" w14:textId="0B927693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sk-SK"/>
        </w:rPr>
      </w:pPr>
      <w:r w:rsidRPr="00A042E5">
        <w:rPr>
          <w:i/>
          <w:iCs/>
          <w:sz w:val="22"/>
          <w:szCs w:val="22"/>
          <w:u w:val="single"/>
          <w:lang w:val="sk-SK" w:eastAsia="sk-SK"/>
        </w:rPr>
        <w:t>Deti staršie ako 1 rok a s hmotnosťou ≥ 10</w:t>
      </w:r>
      <w:r w:rsidR="005D2B48" w:rsidRPr="00A368C6">
        <w:rPr>
          <w:sz w:val="22"/>
          <w:szCs w:val="22"/>
          <w:u w:val="single"/>
          <w:lang w:val="sk-SK" w:eastAsia="sk-SK"/>
        </w:rPr>
        <w:t> </w:t>
      </w:r>
      <w:r w:rsidRPr="00A042E5">
        <w:rPr>
          <w:i/>
          <w:iCs/>
          <w:sz w:val="22"/>
          <w:szCs w:val="22"/>
          <w:u w:val="single"/>
          <w:lang w:val="sk-SK" w:eastAsia="sk-SK"/>
        </w:rPr>
        <w:t>kg</w:t>
      </w:r>
    </w:p>
    <w:p w14:paraId="4A8C9841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ezofagitídy</w:t>
      </w:r>
      <w:proofErr w:type="spellEnd"/>
    </w:p>
    <w:p w14:paraId="0C1B8700" w14:textId="43EF762F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Symptomatická liečba pálenia záhy 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regurgitácie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žalúdkovej kyseliny pri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gastroezofag</w:t>
      </w:r>
      <w:r w:rsidR="005D2B48">
        <w:rPr>
          <w:i/>
          <w:iCs/>
          <w:sz w:val="22"/>
          <w:szCs w:val="22"/>
          <w:lang w:val="sk-SK" w:eastAsia="sk-SK"/>
        </w:rPr>
        <w:t>e</w:t>
      </w:r>
      <w:r w:rsidRPr="00A042E5">
        <w:rPr>
          <w:i/>
          <w:iCs/>
          <w:sz w:val="22"/>
          <w:szCs w:val="22"/>
          <w:lang w:val="sk-SK" w:eastAsia="sk-SK"/>
        </w:rPr>
        <w:t>álnej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  <w:r w:rsidR="000E575B">
        <w:rPr>
          <w:i/>
          <w:iCs/>
          <w:sz w:val="22"/>
          <w:szCs w:val="22"/>
          <w:lang w:val="sk-SK" w:eastAsia="sk-SK"/>
        </w:rPr>
        <w:t xml:space="preserve"> </w:t>
      </w:r>
      <w:r w:rsidRPr="00A042E5">
        <w:rPr>
          <w:i/>
          <w:iCs/>
          <w:sz w:val="22"/>
          <w:szCs w:val="22"/>
          <w:lang w:val="sk-SK" w:eastAsia="sk-SK"/>
        </w:rPr>
        <w:t>chorobe</w:t>
      </w:r>
    </w:p>
    <w:p w14:paraId="5495B13B" w14:textId="77777777" w:rsidR="005D2B48" w:rsidRDefault="005D2B48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716D40F" w14:textId="77777777" w:rsidR="00307071" w:rsidRPr="00A042E5" w:rsidRDefault="00307071" w:rsidP="00A368C6">
      <w:pPr>
        <w:autoSpaceDE w:val="0"/>
        <w:autoSpaceDN w:val="0"/>
        <w:adjustRightInd w:val="0"/>
        <w:spacing w:after="6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Odporúčané dávkovanie je nasledovné: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5245"/>
      </w:tblGrid>
      <w:tr w:rsidR="00307071" w:rsidRPr="00A042E5" w14:paraId="55432914" w14:textId="77777777" w:rsidTr="00611D39">
        <w:tc>
          <w:tcPr>
            <w:tcW w:w="1488" w:type="dxa"/>
          </w:tcPr>
          <w:p w14:paraId="4F8D4D2C" w14:textId="0CDB9F66" w:rsidR="00307071" w:rsidRPr="00A368C6" w:rsidRDefault="003070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sk-SK"/>
              </w:rPr>
            </w:pPr>
            <w:r w:rsidRPr="00A368C6">
              <w:rPr>
                <w:b/>
                <w:sz w:val="22"/>
                <w:szCs w:val="22"/>
                <w:lang w:val="sk-SK" w:eastAsia="sk-SK"/>
              </w:rPr>
              <w:t>Vek</w:t>
            </w:r>
          </w:p>
        </w:tc>
        <w:tc>
          <w:tcPr>
            <w:tcW w:w="1559" w:type="dxa"/>
          </w:tcPr>
          <w:p w14:paraId="7AD67E60" w14:textId="77777777" w:rsidR="00307071" w:rsidRPr="00A368C6" w:rsidRDefault="003070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sk-SK"/>
              </w:rPr>
            </w:pPr>
            <w:r w:rsidRPr="00A368C6">
              <w:rPr>
                <w:b/>
                <w:sz w:val="22"/>
                <w:szCs w:val="22"/>
                <w:lang w:val="sk-SK" w:eastAsia="sk-SK"/>
              </w:rPr>
              <w:t>Hmotnosť</w:t>
            </w:r>
          </w:p>
        </w:tc>
        <w:tc>
          <w:tcPr>
            <w:tcW w:w="5245" w:type="dxa"/>
          </w:tcPr>
          <w:p w14:paraId="11BB3093" w14:textId="607ED628" w:rsidR="00307071" w:rsidRPr="00A368C6" w:rsidRDefault="003070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sk-SK"/>
              </w:rPr>
            </w:pPr>
            <w:r w:rsidRPr="00A368C6">
              <w:rPr>
                <w:b/>
                <w:sz w:val="22"/>
                <w:szCs w:val="22"/>
                <w:lang w:val="sk-SK" w:eastAsia="sk-SK"/>
              </w:rPr>
              <w:t>Dávk</w:t>
            </w:r>
            <w:r w:rsidR="005D2B48" w:rsidRPr="00A368C6">
              <w:rPr>
                <w:b/>
                <w:sz w:val="22"/>
                <w:szCs w:val="22"/>
                <w:lang w:val="sk-SK" w:eastAsia="sk-SK"/>
              </w:rPr>
              <w:t>ovanie</w:t>
            </w:r>
          </w:p>
        </w:tc>
      </w:tr>
      <w:tr w:rsidR="00307071" w:rsidRPr="0070683D" w14:paraId="07F6A689" w14:textId="77777777" w:rsidTr="00611D39">
        <w:tc>
          <w:tcPr>
            <w:tcW w:w="1488" w:type="dxa"/>
          </w:tcPr>
          <w:p w14:paraId="0C8BCE84" w14:textId="77777777" w:rsidR="00307071" w:rsidRPr="000E575B" w:rsidRDefault="00307071" w:rsidP="00A042E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≥ 1 rok</w:t>
            </w:r>
          </w:p>
        </w:tc>
        <w:tc>
          <w:tcPr>
            <w:tcW w:w="1559" w:type="dxa"/>
          </w:tcPr>
          <w:p w14:paraId="6A7E6728" w14:textId="7CEAAF05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10-20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kg</w:t>
            </w:r>
          </w:p>
        </w:tc>
        <w:tc>
          <w:tcPr>
            <w:tcW w:w="5245" w:type="dxa"/>
          </w:tcPr>
          <w:p w14:paraId="0E485522" w14:textId="5F67D691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10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denne. Dávku možno v prípade potreby zvýšiť na 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</w:t>
            </w:r>
            <w:r w:rsidR="005D2B48">
              <w:rPr>
                <w:sz w:val="22"/>
                <w:szCs w:val="22"/>
                <w:lang w:val="sk-SK" w:eastAsia="sk-SK"/>
              </w:rPr>
              <w:t>.</w:t>
            </w:r>
          </w:p>
        </w:tc>
      </w:tr>
      <w:tr w:rsidR="00307071" w:rsidRPr="0070683D" w14:paraId="17FA08C8" w14:textId="77777777" w:rsidTr="00611D39">
        <w:tc>
          <w:tcPr>
            <w:tcW w:w="1488" w:type="dxa"/>
          </w:tcPr>
          <w:p w14:paraId="1C5F9D8E" w14:textId="77777777" w:rsidR="00307071" w:rsidRPr="000E575B" w:rsidRDefault="00307071" w:rsidP="00A042E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≥ 2 roky</w:t>
            </w:r>
          </w:p>
        </w:tc>
        <w:tc>
          <w:tcPr>
            <w:tcW w:w="1559" w:type="dxa"/>
          </w:tcPr>
          <w:p w14:paraId="1B2C0484" w14:textId="2D9F560A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&gt;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kg</w:t>
            </w:r>
          </w:p>
        </w:tc>
        <w:tc>
          <w:tcPr>
            <w:tcW w:w="5245" w:type="dxa"/>
          </w:tcPr>
          <w:p w14:paraId="02B5EAB6" w14:textId="2B413B61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denne. Dávku možno v prípade potreby zvýšiť na 40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</w:t>
            </w:r>
            <w:r w:rsidR="005D2B48">
              <w:rPr>
                <w:sz w:val="22"/>
                <w:szCs w:val="22"/>
                <w:lang w:val="sk-SK" w:eastAsia="sk-SK"/>
              </w:rPr>
              <w:t>.</w:t>
            </w:r>
          </w:p>
        </w:tc>
      </w:tr>
    </w:tbl>
    <w:p w14:paraId="6E2FB121" w14:textId="77777777" w:rsidR="00307071" w:rsidRPr="00A042E5" w:rsidRDefault="00307071" w:rsidP="00A042E5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0CF818D" w14:textId="008FB1B6" w:rsidR="00307071" w:rsidRPr="00A042E5" w:rsidRDefault="00307071" w:rsidP="000D345C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i/>
          <w:iCs/>
          <w:sz w:val="22"/>
          <w:szCs w:val="22"/>
          <w:lang w:val="sk-SK" w:eastAsia="sk-SK"/>
        </w:rPr>
        <w:t>Refluxná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ezofagitída</w:t>
      </w:r>
      <w:proofErr w:type="spellEnd"/>
      <w:r w:rsidRPr="000E575B">
        <w:rPr>
          <w:bCs/>
          <w:i/>
          <w:iCs/>
          <w:sz w:val="22"/>
          <w:szCs w:val="22"/>
          <w:lang w:val="sk-SK" w:eastAsia="sk-SK"/>
        </w:rPr>
        <w:t>:</w:t>
      </w:r>
      <w:r w:rsidRPr="00A368C6">
        <w:rPr>
          <w:bCs/>
          <w:iCs/>
          <w:sz w:val="22"/>
          <w:szCs w:val="22"/>
          <w:lang w:val="sk-SK" w:eastAsia="sk-SK"/>
        </w:rPr>
        <w:t xml:space="preserve"> </w:t>
      </w:r>
      <w:r w:rsidRPr="00A042E5">
        <w:rPr>
          <w:bCs/>
          <w:iCs/>
          <w:sz w:val="22"/>
          <w:szCs w:val="22"/>
          <w:lang w:val="sk-SK" w:eastAsia="sk-SK"/>
        </w:rPr>
        <w:t>D</w:t>
      </w:r>
      <w:r w:rsidR="005D2B48">
        <w:rPr>
          <w:bCs/>
          <w:iCs/>
          <w:sz w:val="22"/>
          <w:szCs w:val="22"/>
          <w:lang w:val="sk-SK" w:eastAsia="sk-SK"/>
        </w:rPr>
        <w:t>ĺžka</w:t>
      </w:r>
      <w:r w:rsidRPr="00A042E5">
        <w:rPr>
          <w:bCs/>
          <w:iCs/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liečby je 4 až 8 týždňov.</w:t>
      </w:r>
    </w:p>
    <w:p w14:paraId="13A9EB2C" w14:textId="77777777" w:rsidR="00307071" w:rsidRPr="00A042E5" w:rsidRDefault="00307071" w:rsidP="000D345C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8AFAE81" w14:textId="5780544F" w:rsidR="00307071" w:rsidRPr="00A042E5" w:rsidRDefault="00307071" w:rsidP="000D345C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Symptomatická liečba pálenia záhy 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regurgitácie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žalúdkovej kyseliny pri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gastroezofag</w:t>
      </w:r>
      <w:r w:rsidR="005D2B48">
        <w:rPr>
          <w:i/>
          <w:iCs/>
          <w:sz w:val="22"/>
          <w:szCs w:val="22"/>
          <w:lang w:val="sk-SK" w:eastAsia="sk-SK"/>
        </w:rPr>
        <w:t>e</w:t>
      </w:r>
      <w:r w:rsidRPr="00A042E5">
        <w:rPr>
          <w:i/>
          <w:iCs/>
          <w:sz w:val="22"/>
          <w:szCs w:val="22"/>
          <w:lang w:val="sk-SK" w:eastAsia="sk-SK"/>
        </w:rPr>
        <w:t>álnej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</w:p>
    <w:p w14:paraId="5EA6DDE1" w14:textId="23A152CF" w:rsidR="005D2B48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chorobe</w:t>
      </w:r>
    </w:p>
    <w:p w14:paraId="077ED79F" w14:textId="3AD0A9E6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iCs/>
          <w:sz w:val="22"/>
          <w:szCs w:val="22"/>
          <w:lang w:val="sk-SK" w:eastAsia="sk-SK"/>
        </w:rPr>
        <w:t>Dĺžka</w:t>
      </w:r>
      <w:r w:rsidRPr="00A042E5">
        <w:rPr>
          <w:sz w:val="22"/>
          <w:szCs w:val="22"/>
          <w:lang w:val="sk-SK" w:eastAsia="sk-SK"/>
        </w:rPr>
        <w:t xml:space="preserve"> liečby je 2 až 4 týždne. Ak sa po 2 až 4 týždňoch nedosiahne kontrola</w:t>
      </w:r>
      <w:r w:rsidR="005D2B48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príznakov, má sa vykonať ďalšie vyšetrenie pacienta.</w:t>
      </w:r>
    </w:p>
    <w:p w14:paraId="2822AADB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0160F5" w14:textId="418E962A" w:rsidR="00307071" w:rsidRPr="00A042E5" w:rsidRDefault="00307071" w:rsidP="0036065A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noProof/>
          <w:color w:val="000000"/>
          <w:sz w:val="22"/>
          <w:szCs w:val="22"/>
          <w:u w:val="single"/>
          <w:lang w:val="sk-SK"/>
        </w:rPr>
        <w:t>Deti st</w:t>
      </w:r>
      <w:r w:rsidR="0036065A">
        <w:rPr>
          <w:i/>
          <w:noProof/>
          <w:color w:val="000000"/>
          <w:sz w:val="22"/>
          <w:szCs w:val="22"/>
          <w:u w:val="single"/>
          <w:lang w:val="sk-SK"/>
        </w:rPr>
        <w:t>aršie ako 4 roky a dospievajúci</w:t>
      </w:r>
    </w:p>
    <w:p w14:paraId="30F18932" w14:textId="77777777" w:rsidR="00307071" w:rsidRPr="00A042E5" w:rsidRDefault="00307071" w:rsidP="0036065A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Liečba dvanástnikoveho vredu spôsobeného H. pylori</w:t>
      </w:r>
    </w:p>
    <w:p w14:paraId="3D29161C" w14:textId="7212A9CE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Pri výbere vhodnej kombinovanej liečby sa má vziať do úvahy oficiálny národný, regionálny a </w:t>
      </w:r>
      <w:r w:rsidR="009D43C5">
        <w:rPr>
          <w:noProof/>
          <w:color w:val="000000"/>
          <w:sz w:val="22"/>
          <w:szCs w:val="22"/>
          <w:lang w:val="sk-SK"/>
        </w:rPr>
        <w:t>miestny</w:t>
      </w:r>
      <w:r w:rsidRPr="00A042E5">
        <w:rPr>
          <w:noProof/>
          <w:color w:val="000000"/>
          <w:sz w:val="22"/>
          <w:szCs w:val="22"/>
          <w:lang w:val="sk-SK"/>
        </w:rPr>
        <w:t xml:space="preserve"> pokyn, ktorý sa týka bakteriálnej rezistencie, dĺžky liečby (najčastejšie 7 dní, avšak niekedy až 14 dní) a vhodného používania antibakteriálnych látok.</w:t>
      </w:r>
    </w:p>
    <w:p w14:paraId="6C420CEE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3CF701B8" w14:textId="2119036F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lastRenderedPageBreak/>
        <w:t>Liečba má prebiehať pod dohľadom lekára špecialistu.</w:t>
      </w:r>
    </w:p>
    <w:p w14:paraId="6B09C20A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7065DD6F" w14:textId="1639D141" w:rsidR="00307071" w:rsidRPr="00A042E5" w:rsidRDefault="00307071" w:rsidP="00A368C6">
      <w:pPr>
        <w:tabs>
          <w:tab w:val="left" w:pos="567"/>
        </w:tabs>
        <w:spacing w:after="60"/>
        <w:ind w:right="51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Odporúčan</w:t>
      </w:r>
      <w:r w:rsidR="009D43C5">
        <w:rPr>
          <w:noProof/>
          <w:color w:val="000000"/>
          <w:sz w:val="22"/>
          <w:szCs w:val="22"/>
          <w:lang w:val="sk-SK"/>
        </w:rPr>
        <w:t>é</w:t>
      </w:r>
      <w:r w:rsidRPr="00A042E5">
        <w:rPr>
          <w:noProof/>
          <w:color w:val="000000"/>
          <w:sz w:val="22"/>
          <w:szCs w:val="22"/>
          <w:lang w:val="sk-SK"/>
        </w:rPr>
        <w:t xml:space="preserve"> dávkovanie </w:t>
      </w:r>
      <w:r w:rsidR="009D43C5">
        <w:rPr>
          <w:noProof/>
          <w:color w:val="000000"/>
          <w:sz w:val="22"/>
          <w:szCs w:val="22"/>
          <w:lang w:val="sk-SK"/>
        </w:rPr>
        <w:t>je</w:t>
      </w:r>
      <w:r w:rsidRPr="00A042E5">
        <w:rPr>
          <w:noProof/>
          <w:color w:val="000000"/>
          <w:sz w:val="22"/>
          <w:szCs w:val="22"/>
          <w:lang w:val="sk-SK"/>
        </w:rPr>
        <w:t xml:space="preserve"> nasledujúce: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7513"/>
      </w:tblGrid>
      <w:tr w:rsidR="00307071" w:rsidRPr="00A042E5" w14:paraId="3F01F173" w14:textId="77777777" w:rsidTr="00611D39">
        <w:tc>
          <w:tcPr>
            <w:tcW w:w="1526" w:type="dxa"/>
          </w:tcPr>
          <w:p w14:paraId="31C3EF69" w14:textId="77777777" w:rsidR="00307071" w:rsidRPr="00A368C6" w:rsidRDefault="00307071">
            <w:pPr>
              <w:tabs>
                <w:tab w:val="left" w:pos="567"/>
              </w:tabs>
              <w:ind w:right="49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368C6">
              <w:rPr>
                <w:b/>
                <w:noProof/>
                <w:color w:val="000000"/>
                <w:sz w:val="22"/>
                <w:szCs w:val="22"/>
                <w:lang w:val="sk-SK"/>
              </w:rPr>
              <w:t>Hmotnosť</w:t>
            </w:r>
          </w:p>
        </w:tc>
        <w:tc>
          <w:tcPr>
            <w:tcW w:w="7513" w:type="dxa"/>
          </w:tcPr>
          <w:p w14:paraId="44C46FCD" w14:textId="77777777" w:rsidR="00307071" w:rsidRPr="00A368C6" w:rsidRDefault="00307071">
            <w:pPr>
              <w:tabs>
                <w:tab w:val="left" w:pos="567"/>
              </w:tabs>
              <w:ind w:right="49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368C6">
              <w:rPr>
                <w:b/>
                <w:noProof/>
                <w:color w:val="000000"/>
                <w:sz w:val="22"/>
                <w:szCs w:val="22"/>
                <w:lang w:val="sk-SK"/>
              </w:rPr>
              <w:t>Dávkovanie</w:t>
            </w:r>
          </w:p>
        </w:tc>
      </w:tr>
      <w:tr w:rsidR="00307071" w:rsidRPr="0070683D" w14:paraId="6397F702" w14:textId="77777777" w:rsidTr="00611D39">
        <w:tc>
          <w:tcPr>
            <w:tcW w:w="1526" w:type="dxa"/>
          </w:tcPr>
          <w:p w14:paraId="4898AAC9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15 – 30 kg</w:t>
            </w:r>
          </w:p>
        </w:tc>
        <w:tc>
          <w:tcPr>
            <w:tcW w:w="7513" w:type="dxa"/>
          </w:tcPr>
          <w:p w14:paraId="23DCAAFA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Kombinácia s dvoma antibiotikami: omeprazol 10 mg, amoxicilín 25 mg/kg telesnej hmotnosti a klaritromycín 7,5 mg/kg telesnej hmotnosti; všetky sa podávajú spolu dvakrát denne počas jedného týždňa.</w:t>
            </w:r>
          </w:p>
        </w:tc>
      </w:tr>
      <w:tr w:rsidR="00307071" w:rsidRPr="0070683D" w14:paraId="23050615" w14:textId="77777777" w:rsidTr="00611D39">
        <w:tc>
          <w:tcPr>
            <w:tcW w:w="1526" w:type="dxa"/>
          </w:tcPr>
          <w:p w14:paraId="57EBFEC9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31 – 40 kg</w:t>
            </w:r>
          </w:p>
        </w:tc>
        <w:tc>
          <w:tcPr>
            <w:tcW w:w="7513" w:type="dxa"/>
          </w:tcPr>
          <w:p w14:paraId="139A56EA" w14:textId="77777777" w:rsidR="00307071" w:rsidRPr="00A044E5" w:rsidRDefault="00307071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Kombinácia s dvoma antibiotikami: omeprazol 20 mg, amoxicilín 750 mg a klaritromycín 7,5 mg/kg telesnej hmotnosti; všetky sa podávajú dvakrát denne počas jedného týždňa.</w:t>
            </w:r>
          </w:p>
        </w:tc>
      </w:tr>
      <w:tr w:rsidR="00307071" w:rsidRPr="0070683D" w14:paraId="69BA31C1" w14:textId="77777777" w:rsidTr="00611D39">
        <w:tc>
          <w:tcPr>
            <w:tcW w:w="1526" w:type="dxa"/>
          </w:tcPr>
          <w:p w14:paraId="12C71A84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&gt; 40 kg</w:t>
            </w:r>
          </w:p>
        </w:tc>
        <w:tc>
          <w:tcPr>
            <w:tcW w:w="7513" w:type="dxa"/>
          </w:tcPr>
          <w:p w14:paraId="7B50E6FB" w14:textId="77777777" w:rsidR="00307071" w:rsidRPr="00A044E5" w:rsidRDefault="00307071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Kombinácia s dvoma antibiotikami: omeprazol 20 mg, amoxicilín 1 g a klaritromycín 500 mg; všetky sa podávajú dvakrát denne počas jedného týždňa.</w:t>
            </w:r>
          </w:p>
        </w:tc>
      </w:tr>
    </w:tbl>
    <w:p w14:paraId="27139BA5" w14:textId="77777777" w:rsidR="00307071" w:rsidRPr="00A042E5" w:rsidRDefault="00307071" w:rsidP="00A042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46DD50" w14:textId="77777777" w:rsidR="00307071" w:rsidRPr="00A042E5" w:rsidRDefault="00307071" w:rsidP="00A042E5">
      <w:pPr>
        <w:keepNext/>
        <w:autoSpaceDE w:val="0"/>
        <w:autoSpaceDN w:val="0"/>
        <w:adjustRightInd w:val="0"/>
        <w:outlineLvl w:val="8"/>
        <w:rPr>
          <w:sz w:val="22"/>
          <w:szCs w:val="22"/>
          <w:u w:val="single"/>
          <w:lang w:val="sk-SK" w:eastAsia="sk-SK"/>
        </w:rPr>
      </w:pPr>
      <w:r w:rsidRPr="00A042E5">
        <w:rPr>
          <w:sz w:val="22"/>
          <w:szCs w:val="22"/>
          <w:u w:val="single"/>
          <w:lang w:val="sk-SK" w:eastAsia="sk-SK"/>
        </w:rPr>
        <w:t>Osobitné skupiny pacientov</w:t>
      </w:r>
    </w:p>
    <w:p w14:paraId="57A50DC5" w14:textId="57A5703F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Po</w:t>
      </w:r>
      <w:r w:rsidR="00A044E5">
        <w:rPr>
          <w:i/>
          <w:iCs/>
          <w:sz w:val="22"/>
          <w:szCs w:val="22"/>
          <w:lang w:val="sk-SK" w:eastAsia="sk-SK"/>
        </w:rPr>
        <w:t>rucha</w:t>
      </w:r>
      <w:r w:rsidRPr="00A042E5">
        <w:rPr>
          <w:i/>
          <w:iCs/>
          <w:sz w:val="22"/>
          <w:szCs w:val="22"/>
          <w:lang w:val="sk-SK" w:eastAsia="sk-SK"/>
        </w:rPr>
        <w:t xml:space="preserve"> funkcie obličiek</w:t>
      </w:r>
    </w:p>
    <w:p w14:paraId="720E11E2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 pacientov s poruchou funkcie obličiek nie je potrebné upravovať dávkovanie (pozri časť 5.2).</w:t>
      </w:r>
    </w:p>
    <w:p w14:paraId="20D10AB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0E94821F" w14:textId="00D00033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Po</w:t>
      </w:r>
      <w:r w:rsidR="00A044E5">
        <w:rPr>
          <w:i/>
          <w:iCs/>
          <w:sz w:val="22"/>
          <w:szCs w:val="22"/>
          <w:lang w:val="sk-SK" w:eastAsia="sk-SK"/>
        </w:rPr>
        <w:t>rucha</w:t>
      </w:r>
      <w:r w:rsidRPr="00A042E5">
        <w:rPr>
          <w:i/>
          <w:iCs/>
          <w:sz w:val="22"/>
          <w:szCs w:val="22"/>
          <w:lang w:val="sk-SK" w:eastAsia="sk-SK"/>
        </w:rPr>
        <w:t xml:space="preserve"> funkcie pečene</w:t>
      </w:r>
    </w:p>
    <w:p w14:paraId="725093DC" w14:textId="431D57F2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 pacientov s po</w:t>
      </w:r>
      <w:r w:rsidR="001B51DC">
        <w:rPr>
          <w:sz w:val="22"/>
          <w:szCs w:val="22"/>
          <w:lang w:val="sk-SK" w:eastAsia="sk-SK"/>
        </w:rPr>
        <w:t>ruchou</w:t>
      </w:r>
      <w:r w:rsidRPr="00A042E5">
        <w:rPr>
          <w:sz w:val="22"/>
          <w:szCs w:val="22"/>
          <w:lang w:val="sk-SK" w:eastAsia="sk-SK"/>
        </w:rPr>
        <w:t xml:space="preserve"> funkci</w:t>
      </w:r>
      <w:r w:rsidR="001B51DC">
        <w:rPr>
          <w:sz w:val="22"/>
          <w:szCs w:val="22"/>
          <w:lang w:val="sk-SK" w:eastAsia="sk-SK"/>
        </w:rPr>
        <w:t>e</w:t>
      </w:r>
      <w:r w:rsidRPr="00A042E5">
        <w:rPr>
          <w:sz w:val="22"/>
          <w:szCs w:val="22"/>
          <w:lang w:val="sk-SK" w:eastAsia="sk-SK"/>
        </w:rPr>
        <w:t xml:space="preserve"> pečene môže postačovať denná dávka 10-20</w:t>
      </w:r>
      <w:r w:rsidR="009D43C5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(pozri časť 5.2).</w:t>
      </w:r>
    </w:p>
    <w:p w14:paraId="18454C6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59080B4" w14:textId="0E8B98DA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Starší pacienti (vek &gt;</w:t>
      </w:r>
      <w:r w:rsidR="009D43C5">
        <w:rPr>
          <w:sz w:val="22"/>
          <w:szCs w:val="22"/>
          <w:lang w:val="sk-SK" w:eastAsia="sk-SK"/>
        </w:rPr>
        <w:t> </w:t>
      </w:r>
      <w:r w:rsidRPr="00A042E5">
        <w:rPr>
          <w:i/>
          <w:iCs/>
          <w:sz w:val="22"/>
          <w:szCs w:val="22"/>
          <w:lang w:val="sk-SK" w:eastAsia="sk-SK"/>
        </w:rPr>
        <w:t>65 rokov)</w:t>
      </w:r>
    </w:p>
    <w:p w14:paraId="03A6543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 starších pacientov nie je potrebné upravovať dávkovanie (pozri časť 5.2).</w:t>
      </w:r>
    </w:p>
    <w:p w14:paraId="1EF92E6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76D5C7" w14:textId="262F5B80" w:rsidR="00307071" w:rsidRPr="00A042E5" w:rsidRDefault="00307071" w:rsidP="00A368C6">
      <w:pPr>
        <w:autoSpaceDE w:val="0"/>
        <w:autoSpaceDN w:val="0"/>
        <w:adjustRightInd w:val="0"/>
        <w:spacing w:after="120"/>
        <w:rPr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 xml:space="preserve">Spôsob </w:t>
      </w:r>
      <w:r w:rsidR="001B51DC">
        <w:rPr>
          <w:sz w:val="22"/>
          <w:szCs w:val="22"/>
          <w:u w:val="single"/>
          <w:lang w:val="sk-SK"/>
        </w:rPr>
        <w:t>podávania</w:t>
      </w:r>
    </w:p>
    <w:p w14:paraId="61F40663" w14:textId="09F57CE7" w:rsidR="00307071" w:rsidRPr="00A042E5" w:rsidRDefault="00D140C3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Helicid</w:t>
      </w:r>
      <w:proofErr w:type="spellEnd"/>
      <w:r w:rsidR="00307071"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40 </w:t>
      </w:r>
      <w:r w:rsidR="00307071" w:rsidRPr="00A042E5">
        <w:rPr>
          <w:sz w:val="22"/>
          <w:szCs w:val="22"/>
          <w:lang w:val="sk-SK" w:eastAsia="sk-SK"/>
        </w:rPr>
        <w:t>kapsuly sa odporúča užívať ráno, prehltnúť ich celé a zapiť s pol</w:t>
      </w:r>
      <w:r w:rsidR="009D43C5">
        <w:rPr>
          <w:sz w:val="22"/>
          <w:szCs w:val="22"/>
          <w:lang w:val="sk-SK" w:eastAsia="sk-SK"/>
        </w:rPr>
        <w:t>ovicou</w:t>
      </w:r>
      <w:r w:rsidR="00307071" w:rsidRPr="00A042E5">
        <w:rPr>
          <w:sz w:val="22"/>
          <w:szCs w:val="22"/>
          <w:lang w:val="sk-SK" w:eastAsia="sk-SK"/>
        </w:rPr>
        <w:t xml:space="preserve"> pohár</w:t>
      </w:r>
      <w:r w:rsidR="009D43C5">
        <w:rPr>
          <w:sz w:val="22"/>
          <w:szCs w:val="22"/>
          <w:lang w:val="sk-SK" w:eastAsia="sk-SK"/>
        </w:rPr>
        <w:t>a</w:t>
      </w:r>
      <w:r w:rsidR="00307071" w:rsidRPr="00A042E5">
        <w:rPr>
          <w:sz w:val="22"/>
          <w:szCs w:val="22"/>
          <w:lang w:val="sk-SK" w:eastAsia="sk-SK"/>
        </w:rPr>
        <w:t xml:space="preserve"> vody. Kapsuly sa nesmú žuvať ani drviť.</w:t>
      </w:r>
    </w:p>
    <w:p w14:paraId="69A5EEA9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DC1BC69" w14:textId="48025EB6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Pacienti, ktorí majú ťažkosti s prehĺtaním a deti, ktoré dokážu piť alebo prehltnúť polotuhé jedlo</w:t>
      </w:r>
    </w:p>
    <w:p w14:paraId="61198FE6" w14:textId="13046438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Pacienti môžu kapsulu otvoriť a obsah prehltnúť s pol</w:t>
      </w:r>
      <w:r w:rsidR="009D43C5">
        <w:rPr>
          <w:sz w:val="22"/>
          <w:szCs w:val="22"/>
          <w:lang w:val="sk-SK" w:eastAsia="sk-SK"/>
        </w:rPr>
        <w:t>ovicou</w:t>
      </w:r>
      <w:r w:rsidRPr="00A042E5">
        <w:rPr>
          <w:sz w:val="22"/>
          <w:szCs w:val="22"/>
          <w:lang w:val="sk-SK" w:eastAsia="sk-SK"/>
        </w:rPr>
        <w:t xml:space="preserve"> pohár</w:t>
      </w:r>
      <w:r w:rsidR="009D43C5">
        <w:rPr>
          <w:sz w:val="22"/>
          <w:szCs w:val="22"/>
          <w:lang w:val="sk-SK" w:eastAsia="sk-SK"/>
        </w:rPr>
        <w:t>a</w:t>
      </w:r>
      <w:r w:rsidRPr="00A042E5">
        <w:rPr>
          <w:sz w:val="22"/>
          <w:szCs w:val="22"/>
          <w:lang w:val="sk-SK" w:eastAsia="sk-SK"/>
        </w:rPr>
        <w:t xml:space="preserve"> vody alebo po zmiešaní obsahu s</w:t>
      </w:r>
      <w:r w:rsidR="008F7FE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mierne kyslou tekutinou, akou je napr. ovocný džús, jablková šťava alebo nesýtená voda. Pacienti</w:t>
      </w:r>
      <w:r w:rsidR="00733408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majú byť poučení, že táto disperzia sa má užiť okamžite (alebo v priebehu 30 minút) a vždy </w:t>
      </w:r>
      <w:r w:rsidR="009D43C5">
        <w:rPr>
          <w:sz w:val="22"/>
          <w:szCs w:val="22"/>
          <w:lang w:val="sk-SK" w:eastAsia="sk-SK"/>
        </w:rPr>
        <w:t xml:space="preserve">sa má </w:t>
      </w:r>
      <w:r w:rsidRPr="00A042E5">
        <w:rPr>
          <w:sz w:val="22"/>
          <w:szCs w:val="22"/>
          <w:lang w:val="sk-SK" w:eastAsia="sk-SK"/>
        </w:rPr>
        <w:t>zmiešať tesne pred vypitím a pohár ešte raz vypláchnuť vodou a obsah vypiť.</w:t>
      </w:r>
    </w:p>
    <w:p w14:paraId="2CB262AB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1C4ED01" w14:textId="2A8585F9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Alternatívne môžu pacienti nechať kapsulu rozpustiť v ústach (cmúľať) a prehltnúť </w:t>
      </w:r>
      <w:proofErr w:type="spellStart"/>
      <w:r w:rsidRPr="00A042E5">
        <w:rPr>
          <w:sz w:val="22"/>
          <w:szCs w:val="22"/>
          <w:lang w:val="sk-SK" w:eastAsia="sk-SK"/>
        </w:rPr>
        <w:t>pelety</w:t>
      </w:r>
      <w:proofErr w:type="spellEnd"/>
      <w:r w:rsidRPr="00A042E5">
        <w:rPr>
          <w:sz w:val="22"/>
          <w:szCs w:val="22"/>
          <w:lang w:val="sk-SK" w:eastAsia="sk-SK"/>
        </w:rPr>
        <w:t xml:space="preserve"> s</w:t>
      </w:r>
      <w:r w:rsidR="00BD43F7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pol</w:t>
      </w:r>
      <w:r w:rsidR="009D43C5">
        <w:rPr>
          <w:sz w:val="22"/>
          <w:szCs w:val="22"/>
          <w:lang w:val="sk-SK" w:eastAsia="sk-SK"/>
        </w:rPr>
        <w:t>ovicou</w:t>
      </w:r>
      <w:r w:rsidR="00BD43F7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pohár</w:t>
      </w:r>
      <w:r w:rsidR="009D43C5">
        <w:rPr>
          <w:sz w:val="22"/>
          <w:szCs w:val="22"/>
          <w:lang w:val="sk-SK" w:eastAsia="sk-SK"/>
        </w:rPr>
        <w:t>a</w:t>
      </w:r>
      <w:r w:rsidRPr="00A042E5">
        <w:rPr>
          <w:sz w:val="22"/>
          <w:szCs w:val="22"/>
          <w:lang w:val="sk-SK" w:eastAsia="sk-SK"/>
        </w:rPr>
        <w:t xml:space="preserve"> vody. </w:t>
      </w:r>
      <w:proofErr w:type="spellStart"/>
      <w:r w:rsidRPr="00A042E5">
        <w:rPr>
          <w:sz w:val="22"/>
          <w:szCs w:val="22"/>
          <w:lang w:val="sk-SK" w:eastAsia="sk-SK"/>
        </w:rPr>
        <w:t>Enterosolventné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pelety</w:t>
      </w:r>
      <w:proofErr w:type="spellEnd"/>
      <w:r w:rsidRPr="00A042E5">
        <w:rPr>
          <w:sz w:val="22"/>
          <w:szCs w:val="22"/>
          <w:lang w:val="sk-SK" w:eastAsia="sk-SK"/>
        </w:rPr>
        <w:t xml:space="preserve"> sa nesmú žuvať.</w:t>
      </w:r>
    </w:p>
    <w:p w14:paraId="4AC50B7D" w14:textId="77777777" w:rsidR="00307071" w:rsidRPr="00A042E5" w:rsidRDefault="00307071">
      <w:pPr>
        <w:tabs>
          <w:tab w:val="left" w:pos="1260"/>
        </w:tabs>
        <w:rPr>
          <w:sz w:val="22"/>
          <w:szCs w:val="22"/>
          <w:lang w:val="sk-SK"/>
        </w:rPr>
      </w:pPr>
    </w:p>
    <w:p w14:paraId="0456A93C" w14:textId="77777777" w:rsidR="00307071" w:rsidRPr="00A042E5" w:rsidRDefault="00307071" w:rsidP="000D345C">
      <w:pPr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t>4.3</w:t>
      </w:r>
      <w:r w:rsidRPr="00A042E5">
        <w:rPr>
          <w:b/>
          <w:sz w:val="22"/>
          <w:szCs w:val="22"/>
          <w:lang w:val="sk-SK" w:eastAsia="sk-SK"/>
        </w:rPr>
        <w:tab/>
        <w:t>Kontraindikácie</w:t>
      </w:r>
    </w:p>
    <w:p w14:paraId="0BA708B7" w14:textId="77777777" w:rsidR="00307071" w:rsidRPr="00A042E5" w:rsidRDefault="00307071">
      <w:pPr>
        <w:widowControl w:val="0"/>
        <w:rPr>
          <w:sz w:val="22"/>
          <w:szCs w:val="22"/>
          <w:lang w:val="sk-SK" w:eastAsia="sk-SK"/>
        </w:rPr>
      </w:pPr>
    </w:p>
    <w:p w14:paraId="2206048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Precitlivenosť na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, substituované </w:t>
      </w:r>
      <w:proofErr w:type="spellStart"/>
      <w:r w:rsidRPr="00A042E5">
        <w:rPr>
          <w:sz w:val="22"/>
          <w:szCs w:val="22"/>
          <w:lang w:val="sk-SK" w:eastAsia="sk-SK"/>
        </w:rPr>
        <w:t>benzimidazoly</w:t>
      </w:r>
      <w:proofErr w:type="spellEnd"/>
      <w:r w:rsidRPr="00A042E5">
        <w:rPr>
          <w:sz w:val="22"/>
          <w:szCs w:val="22"/>
          <w:lang w:val="sk-SK" w:eastAsia="sk-SK"/>
        </w:rPr>
        <w:t xml:space="preserve"> alebo na ktorúkoľvek z pomocných látok uvedených v časti 6.1.</w:t>
      </w:r>
    </w:p>
    <w:p w14:paraId="5BE7D9A0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29BB620F" w14:textId="5F715BD3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sa rovnako ako iné inhibítory protónovej pumpy </w:t>
      </w:r>
      <w:r w:rsidRPr="009D43C5">
        <w:rPr>
          <w:sz w:val="22"/>
          <w:szCs w:val="22"/>
          <w:lang w:val="sk-SK" w:eastAsia="sk-SK"/>
        </w:rPr>
        <w:t>(</w:t>
      </w:r>
      <w:proofErr w:type="spellStart"/>
      <w:r w:rsidR="009D43C5" w:rsidRPr="00A368C6">
        <w:rPr>
          <w:rFonts w:eastAsia="TimesNewRoman"/>
          <w:sz w:val="22"/>
          <w:szCs w:val="22"/>
          <w:lang w:val="sk-SK" w:eastAsia="sk-SK"/>
        </w:rPr>
        <w:t>proton</w:t>
      </w:r>
      <w:proofErr w:type="spellEnd"/>
      <w:r w:rsidR="009D43C5" w:rsidRPr="00A368C6">
        <w:rPr>
          <w:rFonts w:eastAsia="TimesNewRoman"/>
          <w:sz w:val="22"/>
          <w:szCs w:val="22"/>
          <w:lang w:val="sk-SK" w:eastAsia="sk-SK"/>
        </w:rPr>
        <w:t xml:space="preserve"> </w:t>
      </w:r>
      <w:proofErr w:type="spellStart"/>
      <w:r w:rsidR="009D43C5" w:rsidRPr="00A368C6">
        <w:rPr>
          <w:rFonts w:eastAsia="TimesNewRoman"/>
          <w:sz w:val="22"/>
          <w:szCs w:val="22"/>
          <w:lang w:val="sk-SK" w:eastAsia="sk-SK"/>
        </w:rPr>
        <w:t>pump</w:t>
      </w:r>
      <w:proofErr w:type="spellEnd"/>
      <w:r w:rsidR="009D43C5" w:rsidRPr="00A368C6">
        <w:rPr>
          <w:rFonts w:eastAsia="TimesNewRoman"/>
          <w:sz w:val="22"/>
          <w:szCs w:val="22"/>
          <w:lang w:val="sk-SK" w:eastAsia="sk-SK"/>
        </w:rPr>
        <w:t xml:space="preserve"> </w:t>
      </w:r>
      <w:proofErr w:type="spellStart"/>
      <w:r w:rsidR="009D43C5" w:rsidRPr="00A368C6">
        <w:rPr>
          <w:rFonts w:eastAsia="TimesNewRoman"/>
          <w:sz w:val="22"/>
          <w:szCs w:val="22"/>
          <w:lang w:val="sk-SK" w:eastAsia="sk-SK"/>
        </w:rPr>
        <w:t>inhibitors</w:t>
      </w:r>
      <w:proofErr w:type="spellEnd"/>
      <w:r w:rsidR="009D43C5" w:rsidRPr="00A368C6">
        <w:rPr>
          <w:rFonts w:eastAsia="TimesNewRoman"/>
          <w:sz w:val="22"/>
          <w:szCs w:val="22"/>
          <w:lang w:val="sk-SK" w:eastAsia="sk-SK"/>
        </w:rPr>
        <w:t xml:space="preserve">, </w:t>
      </w:r>
      <w:r w:rsidRPr="009D43C5">
        <w:rPr>
          <w:sz w:val="22"/>
          <w:szCs w:val="22"/>
          <w:lang w:val="sk-SK" w:eastAsia="sk-SK"/>
        </w:rPr>
        <w:t>PPI)</w:t>
      </w:r>
      <w:r w:rsidRPr="00A042E5">
        <w:rPr>
          <w:sz w:val="22"/>
          <w:szCs w:val="22"/>
          <w:lang w:val="sk-SK" w:eastAsia="sk-SK"/>
        </w:rPr>
        <w:t xml:space="preserve"> nemá podávať súbežne s</w:t>
      </w:r>
      <w:r w:rsidR="009D43C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nelfinavirom</w:t>
      </w:r>
      <w:proofErr w:type="spellEnd"/>
      <w:r w:rsidRPr="00A042E5">
        <w:rPr>
          <w:sz w:val="22"/>
          <w:szCs w:val="22"/>
          <w:lang w:val="sk-SK" w:eastAsia="sk-SK"/>
        </w:rPr>
        <w:t xml:space="preserve"> (pozri časť 4.5).</w:t>
      </w:r>
    </w:p>
    <w:p w14:paraId="14ADADBF" w14:textId="77777777" w:rsidR="00307071" w:rsidRPr="00A368C6" w:rsidRDefault="00307071">
      <w:pPr>
        <w:tabs>
          <w:tab w:val="left" w:pos="720"/>
        </w:tabs>
        <w:autoSpaceDE w:val="0"/>
        <w:autoSpaceDN w:val="0"/>
        <w:adjustRightInd w:val="0"/>
        <w:spacing w:line="260" w:lineRule="exact"/>
        <w:rPr>
          <w:color w:val="000000"/>
          <w:sz w:val="22"/>
          <w:szCs w:val="22"/>
          <w:lang w:val="sk-SK"/>
        </w:rPr>
      </w:pPr>
    </w:p>
    <w:p w14:paraId="65EF391F" w14:textId="77777777" w:rsidR="00307071" w:rsidRPr="00B70555" w:rsidRDefault="00307071" w:rsidP="00C33BE5">
      <w:pPr>
        <w:keepNext/>
        <w:numPr>
          <w:ilvl w:val="1"/>
          <w:numId w:val="29"/>
        </w:numPr>
        <w:tabs>
          <w:tab w:val="clear" w:pos="705"/>
          <w:tab w:val="num" w:pos="567"/>
        </w:tabs>
        <w:spacing w:line="260" w:lineRule="exact"/>
        <w:ind w:left="567" w:hanging="567"/>
        <w:outlineLvl w:val="1"/>
        <w:rPr>
          <w:b/>
          <w:sz w:val="22"/>
          <w:szCs w:val="22"/>
          <w:lang w:val="sk-SK" w:eastAsia="cs-CZ"/>
        </w:rPr>
      </w:pPr>
      <w:r w:rsidRPr="00B70555">
        <w:rPr>
          <w:b/>
          <w:sz w:val="22"/>
          <w:szCs w:val="22"/>
          <w:lang w:val="sk-SK" w:eastAsia="cs-CZ"/>
        </w:rPr>
        <w:t>Osobitné upozornenia a opatrenia pri používaní</w:t>
      </w:r>
    </w:p>
    <w:p w14:paraId="256F5811" w14:textId="77777777" w:rsidR="00307071" w:rsidRPr="00A042E5" w:rsidRDefault="00307071" w:rsidP="00C33BE5">
      <w:pPr>
        <w:keepNext/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3B925D0B" w14:textId="1ADC9A9A" w:rsidR="00307071" w:rsidRPr="00A042E5" w:rsidRDefault="00307071" w:rsidP="00C33BE5">
      <w:pPr>
        <w:keepNext/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Pri výskyte akéhoľvek varovného symptómu (napr. významný neúmyselný pokles telesnej hmotnosti, opakujúce sa vracanie, dysfágia, hemateméza alebo meléna) a </w:t>
      </w:r>
      <w:r w:rsidR="00B70555">
        <w:rPr>
          <w:noProof/>
          <w:color w:val="000000"/>
          <w:sz w:val="22"/>
          <w:szCs w:val="22"/>
          <w:lang w:val="sk-SK"/>
        </w:rPr>
        <w:t>a</w:t>
      </w:r>
      <w:r w:rsidRPr="00A042E5">
        <w:rPr>
          <w:noProof/>
          <w:color w:val="000000"/>
          <w:sz w:val="22"/>
          <w:szCs w:val="22"/>
          <w:lang w:val="sk-SK"/>
        </w:rPr>
        <w:t>k existuje podozrenie na žalúdkový vred alebo ak bol vred diagnostikovaný, je potrebné vylúčiť malignitu, pretože liečba môže zmierňovať príznaky a zapríčiniť oneskorenie stanovenia diagnózy.</w:t>
      </w:r>
    </w:p>
    <w:p w14:paraId="790832CE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4A91F16F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Súbežné podávanie atazanaviru s inhibítormi protónovej pumpy sa neodporúča (pozri časť 4.5). Ak je kombinácia atazanaviru s inhibítorom protónovej pumpy nevyhnutná, odporúča sa starostlivé klinické sledovanie (napr. vírusová záťaž) v kombinácii so zvýšením dávky atazanaviru na 400 mg so 100 mg ritonaviru; 20 mg omeprazolu sa nemá prekročiť.</w:t>
      </w:r>
    </w:p>
    <w:p w14:paraId="5BE81F0A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FBBC2A" w14:textId="2AF513D6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>, ako všetky liečivá zabraňujúce tvorbe kyseliny, môže znížiť absorpciu vitamínu B</w:t>
      </w:r>
      <w:r w:rsidRPr="00B70313">
        <w:rPr>
          <w:sz w:val="22"/>
          <w:szCs w:val="22"/>
          <w:vertAlign w:val="subscript"/>
          <w:lang w:val="sk-SK" w:eastAsia="ar-SA"/>
        </w:rPr>
        <w:t>12</w:t>
      </w:r>
      <w:r w:rsidRPr="00A042E5">
        <w:rPr>
          <w:sz w:val="22"/>
          <w:szCs w:val="22"/>
          <w:lang w:val="sk-SK" w:eastAsia="ar-SA"/>
        </w:rPr>
        <w:t xml:space="preserve"> (</w:t>
      </w:r>
      <w:proofErr w:type="spellStart"/>
      <w:r w:rsidRPr="00A042E5">
        <w:rPr>
          <w:sz w:val="22"/>
          <w:szCs w:val="22"/>
          <w:lang w:val="sk-SK" w:eastAsia="ar-SA"/>
        </w:rPr>
        <w:t>kyanokobalamín</w:t>
      </w:r>
      <w:proofErr w:type="spellEnd"/>
      <w:r w:rsidRPr="00A042E5">
        <w:rPr>
          <w:sz w:val="22"/>
          <w:szCs w:val="22"/>
          <w:lang w:val="sk-SK" w:eastAsia="ar-SA"/>
        </w:rPr>
        <w:t xml:space="preserve">) z dôvodu </w:t>
      </w:r>
      <w:proofErr w:type="spellStart"/>
      <w:r w:rsidRPr="00A042E5">
        <w:rPr>
          <w:sz w:val="22"/>
          <w:szCs w:val="22"/>
          <w:lang w:val="sk-SK" w:eastAsia="ar-SA"/>
        </w:rPr>
        <w:t>hypo</w:t>
      </w:r>
      <w:proofErr w:type="spellEnd"/>
      <w:r w:rsidRPr="00A042E5">
        <w:rPr>
          <w:sz w:val="22"/>
          <w:szCs w:val="22"/>
          <w:lang w:val="sk-SK" w:eastAsia="ar-SA"/>
        </w:rPr>
        <w:t xml:space="preserve">- alebo </w:t>
      </w:r>
      <w:proofErr w:type="spellStart"/>
      <w:r w:rsidRPr="00A042E5">
        <w:rPr>
          <w:sz w:val="22"/>
          <w:szCs w:val="22"/>
          <w:lang w:val="sk-SK" w:eastAsia="ar-SA"/>
        </w:rPr>
        <w:t>achlórhydrie</w:t>
      </w:r>
      <w:proofErr w:type="spellEnd"/>
      <w:r w:rsidRPr="00A042E5">
        <w:rPr>
          <w:sz w:val="22"/>
          <w:szCs w:val="22"/>
          <w:lang w:val="sk-SK" w:eastAsia="ar-SA"/>
        </w:rPr>
        <w:t>. Toto sa má vziať do úvahy pri dlhodobej liečbe pacientov so zníženou telesnou zásobou</w:t>
      </w:r>
      <w:r w:rsidR="00B70555" w:rsidRPr="00B70555">
        <w:rPr>
          <w:sz w:val="22"/>
          <w:szCs w:val="22"/>
          <w:lang w:val="sk-SK" w:eastAsia="ar-SA"/>
        </w:rPr>
        <w:t xml:space="preserve"> </w:t>
      </w:r>
      <w:r w:rsidR="00B70555" w:rsidRPr="00A042E5">
        <w:rPr>
          <w:sz w:val="22"/>
          <w:szCs w:val="22"/>
          <w:lang w:val="sk-SK" w:eastAsia="ar-SA"/>
        </w:rPr>
        <w:t>vitamínu B</w:t>
      </w:r>
      <w:r w:rsidR="00B70555" w:rsidRPr="00E36795">
        <w:rPr>
          <w:sz w:val="22"/>
          <w:szCs w:val="22"/>
          <w:vertAlign w:val="subscript"/>
          <w:lang w:val="sk-SK" w:eastAsia="ar-SA"/>
        </w:rPr>
        <w:t>12</w:t>
      </w:r>
      <w:r w:rsidRPr="00A042E5">
        <w:rPr>
          <w:sz w:val="22"/>
          <w:szCs w:val="22"/>
          <w:lang w:val="sk-SK" w:eastAsia="ar-SA"/>
        </w:rPr>
        <w:t xml:space="preserve"> alebo rizikovými faktormi pre zníženie absorpcie vitamínu B</w:t>
      </w:r>
      <w:r w:rsidRPr="00E36795">
        <w:rPr>
          <w:sz w:val="22"/>
          <w:szCs w:val="22"/>
          <w:vertAlign w:val="subscript"/>
          <w:lang w:val="sk-SK" w:eastAsia="ar-SA"/>
        </w:rPr>
        <w:t>12</w:t>
      </w:r>
      <w:r w:rsidRPr="00A042E5">
        <w:rPr>
          <w:sz w:val="22"/>
          <w:szCs w:val="22"/>
          <w:lang w:val="sk-SK" w:eastAsia="ar-SA"/>
        </w:rPr>
        <w:t>.</w:t>
      </w:r>
    </w:p>
    <w:p w14:paraId="3E6E88E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87B4B4" w14:textId="22286EED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je inhibítor enzýmu CYP2C19. Na začiatku </w:t>
      </w:r>
      <w:r w:rsidR="00B70555">
        <w:rPr>
          <w:sz w:val="22"/>
          <w:szCs w:val="22"/>
          <w:lang w:val="sk-SK" w:eastAsia="ar-SA"/>
        </w:rPr>
        <w:t xml:space="preserve">liečby </w:t>
      </w:r>
      <w:r w:rsidRPr="00A042E5">
        <w:rPr>
          <w:sz w:val="22"/>
          <w:szCs w:val="22"/>
          <w:lang w:val="sk-SK" w:eastAsia="ar-SA"/>
        </w:rPr>
        <w:t>alebo </w:t>
      </w:r>
      <w:r w:rsidR="00B70555">
        <w:rPr>
          <w:sz w:val="22"/>
          <w:szCs w:val="22"/>
          <w:lang w:val="sk-SK" w:eastAsia="ar-SA"/>
        </w:rPr>
        <w:t xml:space="preserve">pri </w:t>
      </w:r>
      <w:r w:rsidRPr="00A042E5">
        <w:rPr>
          <w:sz w:val="22"/>
          <w:szCs w:val="22"/>
          <w:lang w:val="sk-SK" w:eastAsia="ar-SA"/>
        </w:rPr>
        <w:t xml:space="preserve">ukončení liečby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sa má vziať do úvahy možnosť vzniku interakcií s liečivami metabolizovanými prostredníctvom enzýmu CYP2C19. Pozorovala sa interakcia medzi </w:t>
      </w:r>
      <w:proofErr w:type="spellStart"/>
      <w:r w:rsidRPr="00A042E5">
        <w:rPr>
          <w:sz w:val="22"/>
          <w:szCs w:val="22"/>
          <w:lang w:val="sk-SK" w:eastAsia="ar-SA"/>
        </w:rPr>
        <w:t>klopidogrelom</w:t>
      </w:r>
      <w:proofErr w:type="spellEnd"/>
      <w:r w:rsidRPr="00A042E5">
        <w:rPr>
          <w:sz w:val="22"/>
          <w:szCs w:val="22"/>
          <w:lang w:val="sk-SK" w:eastAsia="ar-SA"/>
        </w:rPr>
        <w:t xml:space="preserve"> a 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(pozri časť 4.5). Klinický význam tejto interakcie je neistý. </w:t>
      </w:r>
      <w:r w:rsidRPr="00A042E5">
        <w:rPr>
          <w:noProof/>
          <w:color w:val="000000"/>
          <w:sz w:val="22"/>
          <w:szCs w:val="22"/>
          <w:lang w:val="sk-SK"/>
        </w:rPr>
        <w:t xml:space="preserve">Z preventívnych dôvodov </w:t>
      </w:r>
      <w:r w:rsidR="00C46B9F">
        <w:rPr>
          <w:noProof/>
          <w:color w:val="000000"/>
          <w:sz w:val="22"/>
          <w:szCs w:val="22"/>
          <w:lang w:val="sk-SK"/>
        </w:rPr>
        <w:t>je</w:t>
      </w:r>
      <w:r w:rsidRPr="00A042E5">
        <w:rPr>
          <w:noProof/>
          <w:color w:val="000000"/>
          <w:sz w:val="22"/>
          <w:szCs w:val="22"/>
          <w:lang w:val="sk-SK"/>
        </w:rPr>
        <w:t xml:space="preserve"> </w:t>
      </w:r>
      <w:r w:rsidR="00C46B9F">
        <w:rPr>
          <w:noProof/>
          <w:color w:val="000000"/>
          <w:sz w:val="22"/>
          <w:szCs w:val="22"/>
          <w:lang w:val="sk-SK"/>
        </w:rPr>
        <w:t>po</w:t>
      </w:r>
      <w:r w:rsidRPr="00A042E5">
        <w:rPr>
          <w:noProof/>
          <w:color w:val="000000"/>
          <w:sz w:val="22"/>
          <w:szCs w:val="22"/>
          <w:lang w:val="sk-SK"/>
        </w:rPr>
        <w:t>treb</w:t>
      </w:r>
      <w:r w:rsidR="00C46B9F">
        <w:rPr>
          <w:noProof/>
          <w:color w:val="000000"/>
          <w:sz w:val="22"/>
          <w:szCs w:val="22"/>
          <w:lang w:val="sk-SK"/>
        </w:rPr>
        <w:t>né sa</w:t>
      </w:r>
      <w:r w:rsidRPr="00A042E5">
        <w:rPr>
          <w:noProof/>
          <w:color w:val="000000"/>
          <w:sz w:val="22"/>
          <w:szCs w:val="22"/>
          <w:lang w:val="sk-SK"/>
        </w:rPr>
        <w:t xml:space="preserve"> vyhýbať </w:t>
      </w:r>
      <w:r w:rsidRPr="00A042E5">
        <w:rPr>
          <w:sz w:val="22"/>
          <w:szCs w:val="22"/>
          <w:lang w:val="sk-SK" w:eastAsia="ar-SA"/>
        </w:rPr>
        <w:t xml:space="preserve">súbežnému použitiu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a </w:t>
      </w:r>
      <w:proofErr w:type="spellStart"/>
      <w:r w:rsidRPr="00A042E5">
        <w:rPr>
          <w:sz w:val="22"/>
          <w:szCs w:val="22"/>
          <w:lang w:val="sk-SK" w:eastAsia="ar-SA"/>
        </w:rPr>
        <w:t>klopidogrelu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3E2C379B" w14:textId="77777777" w:rsidR="00307071" w:rsidRPr="00A042E5" w:rsidDel="006E5F10" w:rsidRDefault="00307071">
      <w:pPr>
        <w:suppressAutoHyphens/>
        <w:rPr>
          <w:iCs/>
          <w:sz w:val="22"/>
          <w:szCs w:val="22"/>
          <w:lang w:val="sk-SK" w:eastAsia="ar-SA"/>
        </w:rPr>
      </w:pPr>
    </w:p>
    <w:p w14:paraId="113BB012" w14:textId="77777777" w:rsidR="00307071" w:rsidRPr="00A368C6" w:rsidRDefault="00E36795" w:rsidP="00E36795">
      <w:pPr>
        <w:pStyle w:val="Pta"/>
        <w:keepNext/>
        <w:outlineLvl w:val="0"/>
        <w:rPr>
          <w:i/>
          <w:iCs/>
          <w:sz w:val="22"/>
          <w:szCs w:val="22"/>
          <w:lang w:val="sk-SK"/>
        </w:rPr>
      </w:pPr>
      <w:proofErr w:type="spellStart"/>
      <w:r w:rsidRPr="00A368C6">
        <w:rPr>
          <w:i/>
          <w:iCs/>
          <w:sz w:val="22"/>
          <w:szCs w:val="22"/>
          <w:lang w:val="sk-SK"/>
        </w:rPr>
        <w:t>Hypomagneziémia</w:t>
      </w:r>
      <w:proofErr w:type="spellEnd"/>
    </w:p>
    <w:p w14:paraId="21ADA818" w14:textId="628691CB" w:rsidR="00307071" w:rsidRPr="00A042E5" w:rsidRDefault="00307071" w:rsidP="00435BC9">
      <w:pPr>
        <w:tabs>
          <w:tab w:val="left" w:pos="708"/>
          <w:tab w:val="left" w:pos="1701"/>
          <w:tab w:val="right" w:pos="3969"/>
          <w:tab w:val="right" w:pos="5670"/>
          <w:tab w:val="right" w:pos="7056"/>
        </w:tabs>
        <w:spacing w:line="240" w:lineRule="atLeast"/>
        <w:rPr>
          <w:sz w:val="22"/>
          <w:szCs w:val="22"/>
          <w:lang w:val="sk-SK" w:eastAsia="de-DE"/>
        </w:rPr>
      </w:pPr>
      <w:r w:rsidRPr="00A042E5">
        <w:rPr>
          <w:sz w:val="22"/>
          <w:szCs w:val="22"/>
          <w:lang w:val="sk-SK" w:eastAsia="de-DE"/>
        </w:rPr>
        <w:t xml:space="preserve">U pacientov liečených inhibítormi protónovej pumpy ako je </w:t>
      </w:r>
      <w:proofErr w:type="spellStart"/>
      <w:r w:rsidRPr="00A042E5">
        <w:rPr>
          <w:sz w:val="22"/>
          <w:szCs w:val="22"/>
          <w:lang w:val="sk-SK" w:eastAsia="de-DE"/>
        </w:rPr>
        <w:t>omeprazol</w:t>
      </w:r>
      <w:proofErr w:type="spellEnd"/>
      <w:r w:rsidRPr="00A042E5">
        <w:rPr>
          <w:sz w:val="22"/>
          <w:szCs w:val="22"/>
          <w:lang w:val="sk-SK" w:eastAsia="de-DE"/>
        </w:rPr>
        <w:t xml:space="preserve">, počas najmenej troch mesiacov a vo väčšine prípadov jeden rok, bola hlásená </w:t>
      </w:r>
      <w:r w:rsidR="00EE1FDB">
        <w:rPr>
          <w:sz w:val="22"/>
          <w:szCs w:val="22"/>
          <w:lang w:val="sk-SK" w:eastAsia="de-DE"/>
        </w:rPr>
        <w:t>závažná</w:t>
      </w:r>
      <w:r w:rsidRPr="00A042E5">
        <w:rPr>
          <w:sz w:val="22"/>
          <w:szCs w:val="22"/>
          <w:lang w:val="sk-SK" w:eastAsia="de-DE"/>
        </w:rPr>
        <w:t xml:space="preserve"> </w:t>
      </w:r>
      <w:proofErr w:type="spellStart"/>
      <w:r w:rsidRPr="00A042E5">
        <w:rPr>
          <w:sz w:val="22"/>
          <w:szCs w:val="22"/>
          <w:lang w:val="sk-SK" w:eastAsia="de-DE"/>
        </w:rPr>
        <w:t>hypomagnez</w:t>
      </w:r>
      <w:r w:rsidR="00EE1FDB">
        <w:rPr>
          <w:sz w:val="22"/>
          <w:szCs w:val="22"/>
          <w:lang w:val="sk-SK" w:eastAsia="de-DE"/>
        </w:rPr>
        <w:t>i</w:t>
      </w:r>
      <w:r w:rsidRPr="00A042E5">
        <w:rPr>
          <w:sz w:val="22"/>
          <w:szCs w:val="22"/>
          <w:lang w:val="sk-SK" w:eastAsia="de-DE"/>
        </w:rPr>
        <w:t>émia</w:t>
      </w:r>
      <w:proofErr w:type="spellEnd"/>
      <w:r w:rsidRPr="00A042E5">
        <w:rPr>
          <w:sz w:val="22"/>
          <w:szCs w:val="22"/>
          <w:lang w:val="sk-SK" w:eastAsia="de-DE"/>
        </w:rPr>
        <w:t xml:space="preserve">. </w:t>
      </w:r>
      <w:proofErr w:type="spellStart"/>
      <w:r w:rsidRPr="00A042E5">
        <w:rPr>
          <w:sz w:val="22"/>
          <w:szCs w:val="22"/>
          <w:lang w:val="sk-SK" w:eastAsia="de-DE"/>
        </w:rPr>
        <w:t>Hypomagnez</w:t>
      </w:r>
      <w:r w:rsidR="00387CA9">
        <w:rPr>
          <w:sz w:val="22"/>
          <w:szCs w:val="22"/>
          <w:lang w:val="sk-SK" w:eastAsia="de-DE"/>
        </w:rPr>
        <w:t>i</w:t>
      </w:r>
      <w:r w:rsidRPr="00A042E5">
        <w:rPr>
          <w:sz w:val="22"/>
          <w:szCs w:val="22"/>
          <w:lang w:val="sk-SK" w:eastAsia="de-DE"/>
        </w:rPr>
        <w:t>émia</w:t>
      </w:r>
      <w:proofErr w:type="spellEnd"/>
      <w:r w:rsidRPr="00A042E5">
        <w:rPr>
          <w:sz w:val="22"/>
          <w:szCs w:val="22"/>
          <w:lang w:val="sk-SK" w:eastAsia="de-DE"/>
        </w:rPr>
        <w:t xml:space="preserve"> môže manifestovať závažnými symptómami ako je únava, </w:t>
      </w:r>
      <w:proofErr w:type="spellStart"/>
      <w:r w:rsidRPr="00A042E5">
        <w:rPr>
          <w:sz w:val="22"/>
          <w:szCs w:val="22"/>
          <w:lang w:val="sk-SK" w:eastAsia="de-DE"/>
        </w:rPr>
        <w:t>tetánia</w:t>
      </w:r>
      <w:proofErr w:type="spellEnd"/>
      <w:r w:rsidRPr="00A042E5">
        <w:rPr>
          <w:sz w:val="22"/>
          <w:szCs w:val="22"/>
          <w:lang w:val="sk-SK" w:eastAsia="de-DE"/>
        </w:rPr>
        <w:t>, del</w:t>
      </w:r>
      <w:r w:rsidR="00AB545D" w:rsidRPr="00A042E5">
        <w:rPr>
          <w:sz w:val="22"/>
          <w:szCs w:val="22"/>
          <w:lang w:val="sk-SK" w:eastAsia="de-DE"/>
        </w:rPr>
        <w:t>í</w:t>
      </w:r>
      <w:r w:rsidRPr="00A042E5">
        <w:rPr>
          <w:sz w:val="22"/>
          <w:szCs w:val="22"/>
          <w:lang w:val="sk-SK" w:eastAsia="de-DE"/>
        </w:rPr>
        <w:t xml:space="preserve">rium, kŕče, závraty a </w:t>
      </w:r>
      <w:proofErr w:type="spellStart"/>
      <w:r w:rsidRPr="00A042E5">
        <w:rPr>
          <w:sz w:val="22"/>
          <w:szCs w:val="22"/>
          <w:lang w:val="sk-SK" w:eastAsia="de-DE"/>
        </w:rPr>
        <w:t>ventrikulárna</w:t>
      </w:r>
      <w:proofErr w:type="spellEnd"/>
      <w:r w:rsidRPr="00A042E5">
        <w:rPr>
          <w:sz w:val="22"/>
          <w:szCs w:val="22"/>
          <w:lang w:val="sk-SK" w:eastAsia="de-DE"/>
        </w:rPr>
        <w:t xml:space="preserve"> </w:t>
      </w:r>
      <w:proofErr w:type="spellStart"/>
      <w:r w:rsidRPr="00A042E5">
        <w:rPr>
          <w:sz w:val="22"/>
          <w:szCs w:val="22"/>
          <w:lang w:val="sk-SK" w:eastAsia="de-DE"/>
        </w:rPr>
        <w:t>arytmia</w:t>
      </w:r>
      <w:proofErr w:type="spellEnd"/>
      <w:r w:rsidRPr="00A042E5">
        <w:rPr>
          <w:sz w:val="22"/>
          <w:szCs w:val="22"/>
          <w:lang w:val="sk-SK" w:eastAsia="de-DE"/>
        </w:rPr>
        <w:t xml:space="preserve">, ale tiež môže vzniknúť nepozorovane a byť </w:t>
      </w:r>
      <w:r w:rsidR="007E692A">
        <w:rPr>
          <w:sz w:val="22"/>
          <w:szCs w:val="22"/>
          <w:lang w:val="sk-SK" w:eastAsia="de-DE"/>
        </w:rPr>
        <w:t>prehliadnutá</w:t>
      </w:r>
      <w:r w:rsidRPr="00A042E5">
        <w:rPr>
          <w:sz w:val="22"/>
          <w:szCs w:val="22"/>
          <w:lang w:val="sk-SK" w:eastAsia="de-DE"/>
        </w:rPr>
        <w:t>. U</w:t>
      </w:r>
      <w:r w:rsidR="00387CA9">
        <w:rPr>
          <w:sz w:val="22"/>
          <w:szCs w:val="22"/>
          <w:lang w:val="sk-SK" w:eastAsia="de-DE"/>
        </w:rPr>
        <w:t> </w:t>
      </w:r>
      <w:r w:rsidRPr="00A042E5">
        <w:rPr>
          <w:sz w:val="22"/>
          <w:szCs w:val="22"/>
          <w:lang w:val="sk-SK" w:eastAsia="de-DE"/>
        </w:rPr>
        <w:t xml:space="preserve">väčšiny postihnutých pacientov sa </w:t>
      </w:r>
      <w:proofErr w:type="spellStart"/>
      <w:r w:rsidRPr="00A042E5">
        <w:rPr>
          <w:sz w:val="22"/>
          <w:szCs w:val="22"/>
          <w:lang w:val="sk-SK" w:eastAsia="de-DE"/>
        </w:rPr>
        <w:t>hypomagnez</w:t>
      </w:r>
      <w:r w:rsidR="00387CA9">
        <w:rPr>
          <w:sz w:val="22"/>
          <w:szCs w:val="22"/>
          <w:lang w:val="sk-SK" w:eastAsia="de-DE"/>
        </w:rPr>
        <w:t>i</w:t>
      </w:r>
      <w:r w:rsidRPr="00A042E5">
        <w:rPr>
          <w:sz w:val="22"/>
          <w:szCs w:val="22"/>
          <w:lang w:val="sk-SK" w:eastAsia="de-DE"/>
        </w:rPr>
        <w:t>émia</w:t>
      </w:r>
      <w:proofErr w:type="spellEnd"/>
      <w:r w:rsidRPr="00A042E5">
        <w:rPr>
          <w:sz w:val="22"/>
          <w:szCs w:val="22"/>
          <w:lang w:val="sk-SK" w:eastAsia="de-DE"/>
        </w:rPr>
        <w:t xml:space="preserve"> zlepšila po podaní magnézia a vysadení inhibítorov protónovej pumpy.</w:t>
      </w:r>
      <w:r w:rsidR="007E692A">
        <w:rPr>
          <w:sz w:val="22"/>
          <w:szCs w:val="22"/>
          <w:lang w:val="sk-SK" w:eastAsia="de-DE"/>
        </w:rPr>
        <w:t xml:space="preserve"> </w:t>
      </w:r>
      <w:r w:rsidRPr="00A042E5">
        <w:rPr>
          <w:sz w:val="22"/>
          <w:szCs w:val="22"/>
          <w:lang w:val="sk-SK"/>
        </w:rPr>
        <w:t>U pacientov, u ktorých sa plánuje dlhodobá liečba alebo ktorí majú užívať inhibítor protónovej pumpy spolu s </w:t>
      </w:r>
      <w:proofErr w:type="spellStart"/>
      <w:r w:rsidRPr="00A042E5">
        <w:rPr>
          <w:sz w:val="22"/>
          <w:szCs w:val="22"/>
          <w:lang w:val="sk-SK"/>
        </w:rPr>
        <w:t>digoxínom</w:t>
      </w:r>
      <w:proofErr w:type="spellEnd"/>
      <w:r w:rsidRPr="00A042E5">
        <w:rPr>
          <w:sz w:val="22"/>
          <w:szCs w:val="22"/>
          <w:lang w:val="sk-SK"/>
        </w:rPr>
        <w:t xml:space="preserve">, alebo inými liekmi spôsobujúcimi </w:t>
      </w:r>
      <w:proofErr w:type="spellStart"/>
      <w:r w:rsidRPr="00A042E5">
        <w:rPr>
          <w:sz w:val="22"/>
          <w:szCs w:val="22"/>
          <w:lang w:val="sk-SK"/>
        </w:rPr>
        <w:t>hypomagnez</w:t>
      </w:r>
      <w:r w:rsidR="00435BC9">
        <w:rPr>
          <w:sz w:val="22"/>
          <w:szCs w:val="22"/>
          <w:lang w:val="sk-SK"/>
        </w:rPr>
        <w:t>i</w:t>
      </w:r>
      <w:r w:rsidRPr="00A042E5">
        <w:rPr>
          <w:sz w:val="22"/>
          <w:szCs w:val="22"/>
          <w:lang w:val="sk-SK"/>
        </w:rPr>
        <w:t>émiu</w:t>
      </w:r>
      <w:proofErr w:type="spellEnd"/>
      <w:r w:rsidRPr="00A042E5">
        <w:rPr>
          <w:sz w:val="22"/>
          <w:szCs w:val="22"/>
          <w:lang w:val="sk-SK"/>
        </w:rPr>
        <w:t xml:space="preserve"> (napr. diuretikami), ma</w:t>
      </w:r>
      <w:r w:rsidR="00435BC9">
        <w:rPr>
          <w:sz w:val="22"/>
          <w:szCs w:val="22"/>
          <w:lang w:val="sk-SK"/>
        </w:rPr>
        <w:t>jú</w:t>
      </w:r>
      <w:r w:rsidRPr="00A042E5">
        <w:rPr>
          <w:sz w:val="22"/>
          <w:szCs w:val="22"/>
          <w:lang w:val="sk-SK"/>
        </w:rPr>
        <w:t xml:space="preserve"> zdravotnícki pracovníci zvážiť meranie hladiny magnézia pred začiatkom liečby a opakovane v jej priebehu.</w:t>
      </w:r>
    </w:p>
    <w:p w14:paraId="1E165924" w14:textId="77777777" w:rsidR="00307071" w:rsidRPr="00A042E5" w:rsidRDefault="00307071">
      <w:pPr>
        <w:rPr>
          <w:i/>
          <w:iCs/>
          <w:snapToGrid w:val="0"/>
          <w:sz w:val="22"/>
          <w:szCs w:val="22"/>
          <w:lang w:val="sk-SK"/>
        </w:rPr>
      </w:pPr>
    </w:p>
    <w:p w14:paraId="344E9F4D" w14:textId="4D746C22" w:rsidR="00337E0B" w:rsidRPr="008E60CE" w:rsidRDefault="00337E0B" w:rsidP="00337E0B">
      <w:pPr>
        <w:pStyle w:val="Text"/>
        <w:tabs>
          <w:tab w:val="clear" w:pos="568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8E60CE">
        <w:rPr>
          <w:rFonts w:ascii="Times New Roman" w:hAnsi="Times New Roman"/>
          <w:sz w:val="22"/>
          <w:szCs w:val="22"/>
          <w:lang w:val="sk-SK" w:eastAsia="ar-SA"/>
        </w:rPr>
        <w:t>Inhibítory protónovej pumpy, najmä ak sa užívajú vo vysokých dávkach a dlhodobo (&gt;</w:t>
      </w:r>
      <w:r w:rsidR="00B70555">
        <w:rPr>
          <w:rFonts w:ascii="Times New Roman" w:hAnsi="Times New Roman"/>
          <w:sz w:val="22"/>
          <w:szCs w:val="22"/>
          <w:lang w:val="sk-SK" w:eastAsia="ar-SA"/>
        </w:rPr>
        <w:t> 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>1 rok), môžu mierne zvýšiť riziko zlomenín bedr</w:t>
      </w:r>
      <w:r w:rsidR="00B70555">
        <w:rPr>
          <w:rFonts w:ascii="Times New Roman" w:hAnsi="Times New Roman"/>
          <w:sz w:val="22"/>
          <w:szCs w:val="22"/>
          <w:lang w:val="sk-SK" w:eastAsia="ar-SA"/>
        </w:rPr>
        <w:t>ovej kosti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, zápästia a chrbtice, predovšetkým u starších pacientov alebo pri výskyte iných známych rizikových faktorov. </w:t>
      </w:r>
      <w:proofErr w:type="spellStart"/>
      <w:r w:rsidRPr="008E60CE">
        <w:rPr>
          <w:rFonts w:ascii="Times New Roman" w:hAnsi="Times New Roman"/>
          <w:sz w:val="22"/>
          <w:szCs w:val="22"/>
          <w:lang w:val="sk-SK" w:eastAsia="ar-SA"/>
        </w:rPr>
        <w:t>Observačné</w:t>
      </w:r>
      <w:proofErr w:type="spellEnd"/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 štúdie naznačujú, že inhibítory protónovej pumpy môžu zvýšiť celkové riziko zlomeniny o 10–40</w:t>
      </w:r>
      <w:r w:rsidR="000616A3">
        <w:rPr>
          <w:rFonts w:ascii="Times New Roman" w:hAnsi="Times New Roman"/>
          <w:sz w:val="22"/>
          <w:szCs w:val="22"/>
          <w:lang w:val="sk-SK" w:eastAsia="ar-SA"/>
        </w:rPr>
        <w:t> 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%. Časť tohto zvýšenia môže byť spôsobená inými rizikovými faktormi. Pacienti s rizikom </w:t>
      </w:r>
      <w:proofErr w:type="spellStart"/>
      <w:r w:rsidRPr="008E60CE">
        <w:rPr>
          <w:rFonts w:ascii="Times New Roman" w:hAnsi="Times New Roman"/>
          <w:sz w:val="22"/>
          <w:szCs w:val="22"/>
          <w:lang w:val="sk-SK" w:eastAsia="ar-SA"/>
        </w:rPr>
        <w:t>osteoporózy</w:t>
      </w:r>
      <w:proofErr w:type="spellEnd"/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 majú byť liečení podľa súčasných klinických </w:t>
      </w:r>
      <w:r w:rsidR="000D345C">
        <w:rPr>
          <w:rFonts w:ascii="Times New Roman" w:hAnsi="Times New Roman"/>
          <w:sz w:val="22"/>
          <w:szCs w:val="22"/>
          <w:lang w:val="sk-SK" w:eastAsia="ar-SA"/>
        </w:rPr>
        <w:t xml:space="preserve">usmernení 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>a majú mať zabezpečený adekvátny príjem vitamínu D a vápnika.</w:t>
      </w:r>
    </w:p>
    <w:p w14:paraId="47422DEE" w14:textId="77777777" w:rsidR="00337E0B" w:rsidRDefault="00337E0B">
      <w:pPr>
        <w:rPr>
          <w:i/>
          <w:iCs/>
          <w:snapToGrid w:val="0"/>
          <w:sz w:val="22"/>
          <w:szCs w:val="22"/>
          <w:lang w:val="sk-SK"/>
        </w:rPr>
      </w:pPr>
    </w:p>
    <w:p w14:paraId="5A668B4D" w14:textId="77777777" w:rsidR="00307071" w:rsidRPr="007E692A" w:rsidRDefault="00307071">
      <w:pPr>
        <w:rPr>
          <w:i/>
          <w:iCs/>
          <w:snapToGrid w:val="0"/>
          <w:sz w:val="22"/>
          <w:szCs w:val="22"/>
          <w:lang w:val="sk-SK"/>
        </w:rPr>
      </w:pPr>
      <w:r w:rsidRPr="007E692A">
        <w:rPr>
          <w:i/>
          <w:iCs/>
          <w:snapToGrid w:val="0"/>
          <w:sz w:val="22"/>
          <w:szCs w:val="22"/>
          <w:lang w:val="sk-SK"/>
        </w:rPr>
        <w:t>Interferencia s laboratórnymi testami</w:t>
      </w:r>
    </w:p>
    <w:p w14:paraId="2AFADEEB" w14:textId="614A214A" w:rsidR="00307071" w:rsidRPr="0070683D" w:rsidRDefault="00307071">
      <w:pPr>
        <w:rPr>
          <w:snapToGrid w:val="0"/>
          <w:sz w:val="22"/>
          <w:szCs w:val="22"/>
          <w:lang w:val="sk-SK"/>
        </w:rPr>
      </w:pPr>
      <w:r w:rsidRPr="007E692A">
        <w:rPr>
          <w:iCs/>
          <w:snapToGrid w:val="0"/>
          <w:sz w:val="22"/>
          <w:szCs w:val="22"/>
          <w:lang w:val="sk-SK"/>
        </w:rPr>
        <w:t xml:space="preserve">Zvýšená hladina </w:t>
      </w:r>
      <w:proofErr w:type="spellStart"/>
      <w:r w:rsidR="00D511AC" w:rsidRPr="007E692A">
        <w:rPr>
          <w:rStyle w:val="st1"/>
          <w:color w:val="222222"/>
          <w:sz w:val="22"/>
          <w:szCs w:val="22"/>
          <w:lang w:val="sk-SK"/>
        </w:rPr>
        <w:t>chromogranínu</w:t>
      </w:r>
      <w:proofErr w:type="spellEnd"/>
      <w:r w:rsidR="00D511AC" w:rsidRPr="007E692A">
        <w:rPr>
          <w:rStyle w:val="st1"/>
          <w:color w:val="222222"/>
          <w:sz w:val="22"/>
          <w:szCs w:val="22"/>
          <w:lang w:val="sk-SK"/>
        </w:rPr>
        <w:t xml:space="preserve"> A (</w:t>
      </w:r>
      <w:proofErr w:type="spellStart"/>
      <w:r w:rsidRPr="007E692A">
        <w:rPr>
          <w:iCs/>
          <w:snapToGrid w:val="0"/>
          <w:sz w:val="22"/>
          <w:szCs w:val="22"/>
          <w:lang w:val="sk-SK"/>
        </w:rPr>
        <w:t>CgA</w:t>
      </w:r>
      <w:proofErr w:type="spellEnd"/>
      <w:r w:rsidRPr="007E692A">
        <w:rPr>
          <w:iCs/>
          <w:snapToGrid w:val="0"/>
          <w:sz w:val="22"/>
          <w:szCs w:val="22"/>
          <w:lang w:val="sk-SK"/>
        </w:rPr>
        <w:t>) môže interferovať s vyšetren</w:t>
      </w:r>
      <w:r w:rsidR="0070683D" w:rsidRPr="00A368C6">
        <w:rPr>
          <w:iCs/>
          <w:snapToGrid w:val="0"/>
          <w:sz w:val="22"/>
          <w:szCs w:val="22"/>
          <w:lang w:val="sk-SK"/>
        </w:rPr>
        <w:t>ia</w:t>
      </w:r>
      <w:r w:rsidRPr="007E692A">
        <w:rPr>
          <w:iCs/>
          <w:snapToGrid w:val="0"/>
          <w:sz w:val="22"/>
          <w:szCs w:val="22"/>
          <w:lang w:val="sk-SK"/>
        </w:rPr>
        <w:t>m</w:t>
      </w:r>
      <w:r w:rsidR="0070683D" w:rsidRPr="00A368C6">
        <w:rPr>
          <w:iCs/>
          <w:snapToGrid w:val="0"/>
          <w:sz w:val="22"/>
          <w:szCs w:val="22"/>
          <w:lang w:val="sk-SK"/>
        </w:rPr>
        <w:t>i</w:t>
      </w:r>
      <w:r w:rsidRPr="007E692A">
        <w:rPr>
          <w:iCs/>
          <w:snapToGrid w:val="0"/>
          <w:sz w:val="22"/>
          <w:szCs w:val="22"/>
          <w:lang w:val="sk-SK"/>
        </w:rPr>
        <w:t xml:space="preserve"> na </w:t>
      </w:r>
      <w:proofErr w:type="spellStart"/>
      <w:r w:rsidRPr="007E692A">
        <w:rPr>
          <w:iCs/>
          <w:snapToGrid w:val="0"/>
          <w:sz w:val="22"/>
          <w:szCs w:val="22"/>
          <w:lang w:val="sk-SK"/>
        </w:rPr>
        <w:t>neuroendokrinné</w:t>
      </w:r>
      <w:proofErr w:type="spellEnd"/>
      <w:r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70683D" w:rsidRPr="00A368C6">
        <w:rPr>
          <w:iCs/>
          <w:snapToGrid w:val="0"/>
          <w:sz w:val="22"/>
          <w:szCs w:val="22"/>
          <w:lang w:val="sk-SK"/>
        </w:rPr>
        <w:t>nádory</w:t>
      </w:r>
      <w:r w:rsidRPr="007E692A">
        <w:rPr>
          <w:iCs/>
          <w:snapToGrid w:val="0"/>
          <w:sz w:val="22"/>
          <w:szCs w:val="22"/>
          <w:lang w:val="sk-SK"/>
        </w:rPr>
        <w:t xml:space="preserve">. Aby sa </w:t>
      </w:r>
      <w:r w:rsidR="0070683D" w:rsidRPr="00A368C6">
        <w:rPr>
          <w:iCs/>
          <w:snapToGrid w:val="0"/>
          <w:sz w:val="22"/>
          <w:szCs w:val="22"/>
          <w:lang w:val="sk-SK"/>
        </w:rPr>
        <w:t>zabránilo</w:t>
      </w:r>
      <w:r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D511AC" w:rsidRPr="007E692A">
        <w:rPr>
          <w:iCs/>
          <w:snapToGrid w:val="0"/>
          <w:sz w:val="22"/>
          <w:szCs w:val="22"/>
          <w:lang w:val="sk-SK"/>
        </w:rPr>
        <w:t>tejto interferencii</w:t>
      </w:r>
      <w:r w:rsidRPr="007E692A">
        <w:rPr>
          <w:iCs/>
          <w:snapToGrid w:val="0"/>
          <w:sz w:val="22"/>
          <w:szCs w:val="22"/>
          <w:lang w:val="sk-SK"/>
        </w:rPr>
        <w:t xml:space="preserve">, liečba </w:t>
      </w:r>
      <w:proofErr w:type="spellStart"/>
      <w:r w:rsidR="00813A0B" w:rsidRPr="00A368C6">
        <w:rPr>
          <w:iCs/>
          <w:snapToGrid w:val="0"/>
          <w:sz w:val="22"/>
          <w:szCs w:val="22"/>
          <w:lang w:val="sk-SK"/>
        </w:rPr>
        <w:t>Helicidom</w:t>
      </w:r>
      <w:proofErr w:type="spellEnd"/>
      <w:r w:rsidR="00813A0B" w:rsidRPr="00A368C6">
        <w:rPr>
          <w:iCs/>
          <w:snapToGrid w:val="0"/>
          <w:sz w:val="22"/>
          <w:szCs w:val="22"/>
          <w:lang w:val="sk-SK"/>
        </w:rPr>
        <w:t xml:space="preserve"> 40</w:t>
      </w:r>
      <w:r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D511AC" w:rsidRPr="007E692A">
        <w:rPr>
          <w:iCs/>
          <w:snapToGrid w:val="0"/>
          <w:sz w:val="22"/>
          <w:szCs w:val="22"/>
          <w:lang w:val="sk-SK"/>
        </w:rPr>
        <w:t xml:space="preserve">sa má </w:t>
      </w:r>
      <w:r w:rsidR="00813A0B" w:rsidRPr="00A368C6">
        <w:rPr>
          <w:iCs/>
          <w:snapToGrid w:val="0"/>
          <w:sz w:val="22"/>
          <w:szCs w:val="22"/>
          <w:lang w:val="sk-SK"/>
        </w:rPr>
        <w:t>zastaviť</w:t>
      </w:r>
      <w:r w:rsidR="00D511AC"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813A0B" w:rsidRPr="00A368C6">
        <w:rPr>
          <w:iCs/>
          <w:snapToGrid w:val="0"/>
          <w:sz w:val="22"/>
          <w:szCs w:val="22"/>
          <w:lang w:val="sk-SK"/>
        </w:rPr>
        <w:t xml:space="preserve">aspoň </w:t>
      </w:r>
      <w:r w:rsidR="00D511AC" w:rsidRPr="007E692A">
        <w:rPr>
          <w:iCs/>
          <w:snapToGrid w:val="0"/>
          <w:sz w:val="22"/>
          <w:szCs w:val="22"/>
          <w:lang w:val="sk-SK"/>
        </w:rPr>
        <w:t>na 5</w:t>
      </w:r>
      <w:r w:rsidRPr="007E692A">
        <w:rPr>
          <w:iCs/>
          <w:snapToGrid w:val="0"/>
          <w:sz w:val="22"/>
          <w:szCs w:val="22"/>
          <w:lang w:val="sk-SK"/>
        </w:rPr>
        <w:t xml:space="preserve"> dní pred </w:t>
      </w:r>
      <w:r w:rsidR="00813A0B" w:rsidRPr="00A368C6">
        <w:rPr>
          <w:iCs/>
          <w:snapToGrid w:val="0"/>
          <w:sz w:val="22"/>
          <w:szCs w:val="22"/>
          <w:lang w:val="sk-SK"/>
        </w:rPr>
        <w:t>vykonaním</w:t>
      </w:r>
      <w:r w:rsidR="007E692A">
        <w:rPr>
          <w:iCs/>
          <w:snapToGrid w:val="0"/>
          <w:sz w:val="22"/>
          <w:szCs w:val="22"/>
          <w:lang w:val="sk-SK"/>
        </w:rPr>
        <w:t xml:space="preserve"> </w:t>
      </w:r>
      <w:r w:rsidRPr="007E692A">
        <w:rPr>
          <w:iCs/>
          <w:snapToGrid w:val="0"/>
          <w:sz w:val="22"/>
          <w:szCs w:val="22"/>
          <w:lang w:val="sk-SK"/>
        </w:rPr>
        <w:t xml:space="preserve">meraní </w:t>
      </w:r>
      <w:proofErr w:type="spellStart"/>
      <w:r w:rsidRPr="007E692A">
        <w:rPr>
          <w:iCs/>
          <w:snapToGrid w:val="0"/>
          <w:sz w:val="22"/>
          <w:szCs w:val="22"/>
          <w:lang w:val="sk-SK"/>
        </w:rPr>
        <w:t>CgA</w:t>
      </w:r>
      <w:proofErr w:type="spellEnd"/>
      <w:r w:rsidR="00D511AC"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D511AC" w:rsidRPr="00A368C6">
        <w:rPr>
          <w:sz w:val="22"/>
          <w:szCs w:val="22"/>
          <w:lang w:val="sk-SK"/>
        </w:rPr>
        <w:t>(pozri časť 5.1)</w:t>
      </w:r>
      <w:r w:rsidRPr="007E692A">
        <w:rPr>
          <w:iCs/>
          <w:snapToGrid w:val="0"/>
          <w:sz w:val="22"/>
          <w:szCs w:val="22"/>
          <w:lang w:val="sk-SK"/>
        </w:rPr>
        <w:t>.</w:t>
      </w:r>
      <w:r w:rsidR="0070683D"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70683D" w:rsidRPr="00A368C6">
        <w:rPr>
          <w:sz w:val="22"/>
          <w:szCs w:val="22"/>
          <w:lang w:val="sk-SK"/>
        </w:rPr>
        <w:t xml:space="preserve">Ak sa hladina </w:t>
      </w:r>
      <w:proofErr w:type="spellStart"/>
      <w:r w:rsidR="0070683D" w:rsidRPr="00A368C6">
        <w:rPr>
          <w:sz w:val="22"/>
          <w:szCs w:val="22"/>
          <w:lang w:val="sk-SK"/>
        </w:rPr>
        <w:t>CgA</w:t>
      </w:r>
      <w:proofErr w:type="spellEnd"/>
      <w:r w:rsidR="0070683D" w:rsidRPr="00A368C6">
        <w:rPr>
          <w:sz w:val="22"/>
          <w:szCs w:val="22"/>
          <w:lang w:val="sk-SK"/>
        </w:rPr>
        <w:t xml:space="preserve"> a </w:t>
      </w:r>
      <w:proofErr w:type="spellStart"/>
      <w:r w:rsidR="0070683D" w:rsidRPr="00A368C6">
        <w:rPr>
          <w:sz w:val="22"/>
          <w:szCs w:val="22"/>
          <w:lang w:val="sk-SK"/>
        </w:rPr>
        <w:t>gastrínu</w:t>
      </w:r>
      <w:proofErr w:type="spellEnd"/>
      <w:r w:rsidR="0070683D" w:rsidRPr="00A368C6">
        <w:rPr>
          <w:sz w:val="22"/>
          <w:szCs w:val="22"/>
          <w:lang w:val="sk-SK"/>
        </w:rPr>
        <w:t xml:space="preserve"> nevráti po prvom meraní k</w:t>
      </w:r>
      <w:r w:rsidR="007E692A">
        <w:rPr>
          <w:sz w:val="22"/>
          <w:szCs w:val="22"/>
          <w:lang w:val="sk-SK"/>
        </w:rPr>
        <w:t> </w:t>
      </w:r>
      <w:r w:rsidR="0070683D" w:rsidRPr="00A368C6">
        <w:rPr>
          <w:sz w:val="22"/>
          <w:szCs w:val="22"/>
          <w:lang w:val="sk-SK"/>
        </w:rPr>
        <w:t>referenčnému rozsahu, merania sa majú zopakovať 14 dní po ukončení liečby inhibítorom protónovej pumpy.</w:t>
      </w:r>
    </w:p>
    <w:p w14:paraId="75469DF5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26AFE0" w14:textId="73EC0EEA" w:rsidR="00D511AC" w:rsidRPr="00A368C6" w:rsidRDefault="00D511AC" w:rsidP="00D511A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Niektoré deti s chronickými ochorením môžu vyžadovať dlhodobú liečbu, hoci sa to neodporúča.</w:t>
      </w:r>
    </w:p>
    <w:p w14:paraId="3435DF32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04B32" w14:textId="42050A96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Liečba inhibítormi protónovej pumpy môže mať za následok mierne zvýšené riziko </w:t>
      </w:r>
      <w:proofErr w:type="spellStart"/>
      <w:r w:rsidRPr="00A368C6">
        <w:rPr>
          <w:sz w:val="22"/>
          <w:szCs w:val="22"/>
          <w:lang w:val="sk-SK"/>
        </w:rPr>
        <w:t>gastrointestinálnych</w:t>
      </w:r>
      <w:proofErr w:type="spellEnd"/>
      <w:r w:rsidRPr="00A368C6">
        <w:rPr>
          <w:sz w:val="22"/>
          <w:szCs w:val="22"/>
          <w:lang w:val="sk-SK"/>
        </w:rPr>
        <w:t xml:space="preserve"> infekcií vyvolaných</w:t>
      </w:r>
      <w:r w:rsidR="00B70555" w:rsidRPr="007E692A">
        <w:rPr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 xml:space="preserve">napr. </w:t>
      </w:r>
      <w:proofErr w:type="spellStart"/>
      <w:r w:rsidRPr="00A368C6">
        <w:rPr>
          <w:i/>
          <w:sz w:val="22"/>
          <w:szCs w:val="22"/>
          <w:lang w:val="sk-SK"/>
        </w:rPr>
        <w:t>Salmonellou</w:t>
      </w:r>
      <w:proofErr w:type="spellEnd"/>
      <w:r w:rsidRPr="00A368C6">
        <w:rPr>
          <w:sz w:val="22"/>
          <w:szCs w:val="22"/>
          <w:lang w:val="sk-SK"/>
        </w:rPr>
        <w:t xml:space="preserve"> a </w:t>
      </w:r>
      <w:proofErr w:type="spellStart"/>
      <w:r w:rsidRPr="00A368C6">
        <w:rPr>
          <w:i/>
          <w:sz w:val="22"/>
          <w:szCs w:val="22"/>
          <w:lang w:val="sk-SK"/>
        </w:rPr>
        <w:t>Campylobacterom</w:t>
      </w:r>
      <w:proofErr w:type="spellEnd"/>
      <w:r w:rsidRPr="00A368C6">
        <w:rPr>
          <w:sz w:val="22"/>
          <w:szCs w:val="22"/>
          <w:lang w:val="sk-SK"/>
        </w:rPr>
        <w:t xml:space="preserve"> (pozri časť 5.1).</w:t>
      </w:r>
    </w:p>
    <w:p w14:paraId="19118253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C176BA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Počas každej dlhodobej liečby, najmä ak trvá dlhšie ako 1 rok, majú byť pacienti pravidelne sledovaní.</w:t>
      </w:r>
    </w:p>
    <w:p w14:paraId="4BF4AFD6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A7EA9" w14:textId="567405C4" w:rsidR="00D511AC" w:rsidRPr="00A368C6" w:rsidRDefault="00D511AC" w:rsidP="00C33BE5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A368C6">
        <w:rPr>
          <w:i/>
          <w:sz w:val="22"/>
          <w:szCs w:val="22"/>
          <w:lang w:val="sk-SK"/>
        </w:rPr>
        <w:t>Subakútny</w:t>
      </w:r>
      <w:proofErr w:type="spellEnd"/>
      <w:r w:rsidRPr="00A368C6">
        <w:rPr>
          <w:i/>
          <w:sz w:val="22"/>
          <w:szCs w:val="22"/>
          <w:lang w:val="sk-SK"/>
        </w:rPr>
        <w:t xml:space="preserve"> kožný </w:t>
      </w:r>
      <w:proofErr w:type="spellStart"/>
      <w:r w:rsidRPr="00A368C6">
        <w:rPr>
          <w:i/>
          <w:sz w:val="22"/>
          <w:szCs w:val="22"/>
          <w:lang w:val="sk-SK"/>
        </w:rPr>
        <w:t>lupus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erythematosus</w:t>
      </w:r>
      <w:proofErr w:type="spellEnd"/>
      <w:r w:rsidRPr="00A368C6">
        <w:rPr>
          <w:i/>
          <w:sz w:val="22"/>
          <w:szCs w:val="22"/>
          <w:lang w:val="sk-SK"/>
        </w:rPr>
        <w:t xml:space="preserve"> (</w:t>
      </w:r>
      <w:proofErr w:type="spellStart"/>
      <w:r w:rsidRPr="00A368C6">
        <w:rPr>
          <w:i/>
          <w:sz w:val="22"/>
          <w:szCs w:val="22"/>
          <w:lang w:val="sk-SK"/>
        </w:rPr>
        <w:t>subacute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cutaneous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lupus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erythematosus</w:t>
      </w:r>
      <w:proofErr w:type="spellEnd"/>
      <w:r w:rsidR="007E692A" w:rsidRPr="009935AB">
        <w:rPr>
          <w:i/>
          <w:sz w:val="22"/>
          <w:szCs w:val="22"/>
          <w:lang w:val="sk-SK"/>
        </w:rPr>
        <w:t>,</w:t>
      </w:r>
      <w:r w:rsidR="007E692A" w:rsidRPr="007E692A">
        <w:rPr>
          <w:i/>
          <w:sz w:val="22"/>
          <w:szCs w:val="22"/>
          <w:lang w:val="sk-SK"/>
        </w:rPr>
        <w:t xml:space="preserve"> </w:t>
      </w:r>
      <w:r w:rsidR="007E692A" w:rsidRPr="001A112F">
        <w:rPr>
          <w:i/>
          <w:sz w:val="22"/>
          <w:szCs w:val="22"/>
          <w:lang w:val="sk-SK"/>
        </w:rPr>
        <w:t>SCLE</w:t>
      </w:r>
      <w:r w:rsidRPr="00A368C6">
        <w:rPr>
          <w:i/>
          <w:sz w:val="22"/>
          <w:szCs w:val="22"/>
          <w:lang w:val="sk-SK"/>
        </w:rPr>
        <w:t>)</w:t>
      </w:r>
    </w:p>
    <w:p w14:paraId="7EA9CBAB" w14:textId="77777777" w:rsidR="00D511AC" w:rsidRPr="00A368C6" w:rsidRDefault="00D511AC" w:rsidP="00C33BE5">
      <w:pPr>
        <w:keepNext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Inhibítory protónovej pumpy súvisia s veľmi zriedkavými prípadmi SCLE. Ak sa vyskytnú lézie, najmä v oblastiach kože vystavených slnku, a ak sú sprevádzané </w:t>
      </w:r>
      <w:proofErr w:type="spellStart"/>
      <w:r w:rsidRPr="00A368C6">
        <w:rPr>
          <w:sz w:val="22"/>
          <w:szCs w:val="22"/>
          <w:lang w:val="sk-SK"/>
        </w:rPr>
        <w:t>artralgiou</w:t>
      </w:r>
      <w:proofErr w:type="spellEnd"/>
      <w:r w:rsidRPr="00A368C6">
        <w:rPr>
          <w:sz w:val="22"/>
          <w:szCs w:val="22"/>
          <w:lang w:val="sk-SK"/>
        </w:rPr>
        <w:t xml:space="preserve">, pacient má ihneď vyhľadať lekársku pomoc a zdravotnícky pracovník má zvážiť vysadenie </w:t>
      </w:r>
      <w:proofErr w:type="spellStart"/>
      <w:r w:rsidR="00192C4D" w:rsidRPr="00A368C6">
        <w:rPr>
          <w:sz w:val="22"/>
          <w:szCs w:val="22"/>
          <w:lang w:val="sk-SK"/>
        </w:rPr>
        <w:t>Helicidu</w:t>
      </w:r>
      <w:proofErr w:type="spellEnd"/>
      <w:r w:rsidR="00192C4D" w:rsidRPr="00A368C6">
        <w:rPr>
          <w:sz w:val="22"/>
          <w:szCs w:val="22"/>
          <w:lang w:val="sk-SK"/>
        </w:rPr>
        <w:t xml:space="preserve"> 40</w:t>
      </w:r>
      <w:r w:rsidRPr="00A368C6">
        <w:rPr>
          <w:sz w:val="22"/>
          <w:szCs w:val="22"/>
          <w:lang w:val="sk-SK"/>
        </w:rPr>
        <w:t>. SCLE po predchádzajúcej liečbe inhibítorom protónovej pumpy môže zvýšiť riziko SCLE pri použití iných inhibítorov protónovej pumpy.</w:t>
      </w:r>
    </w:p>
    <w:p w14:paraId="52F75AC1" w14:textId="77777777" w:rsidR="00D511AC" w:rsidRPr="00A368C6" w:rsidRDefault="00D511AC" w:rsidP="00D511AC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6616CDC" w14:textId="1FA9EB1C" w:rsidR="00D511AC" w:rsidRPr="00A368C6" w:rsidRDefault="00192C4D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368C6">
        <w:rPr>
          <w:sz w:val="22"/>
          <w:szCs w:val="22"/>
          <w:lang w:val="sk-SK"/>
        </w:rPr>
        <w:t>Helicid</w:t>
      </w:r>
      <w:proofErr w:type="spellEnd"/>
      <w:r w:rsidRPr="00A368C6">
        <w:rPr>
          <w:sz w:val="22"/>
          <w:szCs w:val="22"/>
          <w:lang w:val="sk-SK"/>
        </w:rPr>
        <w:t xml:space="preserve"> 40</w:t>
      </w:r>
      <w:r w:rsidR="00D511AC" w:rsidRPr="00A368C6">
        <w:rPr>
          <w:sz w:val="22"/>
          <w:szCs w:val="22"/>
          <w:lang w:val="sk-SK"/>
        </w:rPr>
        <w:t xml:space="preserve"> obsahuje sacharózu a laktózu. Pacienti so zriedkavými dedičnými problémami intolerancie </w:t>
      </w:r>
      <w:proofErr w:type="spellStart"/>
      <w:r w:rsidR="00D511AC" w:rsidRPr="00A368C6">
        <w:rPr>
          <w:sz w:val="22"/>
          <w:szCs w:val="22"/>
          <w:lang w:val="sk-SK"/>
        </w:rPr>
        <w:t>galaktózy</w:t>
      </w:r>
      <w:proofErr w:type="spellEnd"/>
      <w:r w:rsidR="00D511AC" w:rsidRPr="00A368C6">
        <w:rPr>
          <w:sz w:val="22"/>
          <w:szCs w:val="22"/>
          <w:lang w:val="sk-SK"/>
        </w:rPr>
        <w:t xml:space="preserve"> alebo fruktózy, </w:t>
      </w:r>
      <w:r w:rsidR="007E692A" w:rsidRPr="00A368C6">
        <w:rPr>
          <w:sz w:val="22"/>
          <w:szCs w:val="22"/>
          <w:lang w:val="sk-SK"/>
        </w:rPr>
        <w:t>celkovým deficitom</w:t>
      </w:r>
      <w:r w:rsidR="007E692A" w:rsidRPr="007E692A" w:rsidDel="007E692A">
        <w:rPr>
          <w:sz w:val="22"/>
          <w:szCs w:val="22"/>
          <w:lang w:val="sk-SK"/>
        </w:rPr>
        <w:t xml:space="preserve"> </w:t>
      </w:r>
      <w:proofErr w:type="spellStart"/>
      <w:r w:rsidR="00D511AC" w:rsidRPr="00A368C6">
        <w:rPr>
          <w:sz w:val="22"/>
          <w:szCs w:val="22"/>
          <w:lang w:val="sk-SK"/>
        </w:rPr>
        <w:t>laktázy</w:t>
      </w:r>
      <w:proofErr w:type="spellEnd"/>
      <w:r w:rsidR="00D511AC" w:rsidRPr="00A368C6">
        <w:rPr>
          <w:sz w:val="22"/>
          <w:szCs w:val="22"/>
          <w:lang w:val="sk-SK"/>
        </w:rPr>
        <w:t xml:space="preserve">, </w:t>
      </w:r>
      <w:proofErr w:type="spellStart"/>
      <w:r w:rsidR="00D511AC" w:rsidRPr="00A368C6">
        <w:rPr>
          <w:sz w:val="22"/>
          <w:szCs w:val="22"/>
          <w:lang w:val="sk-SK"/>
        </w:rPr>
        <w:t>glukózo-galaktózov</w:t>
      </w:r>
      <w:r w:rsidR="007E692A" w:rsidRPr="007E692A">
        <w:rPr>
          <w:sz w:val="22"/>
          <w:szCs w:val="22"/>
          <w:lang w:val="sk-SK"/>
        </w:rPr>
        <w:t>ou</w:t>
      </w:r>
      <w:proofErr w:type="spellEnd"/>
      <w:r w:rsidR="00D511AC" w:rsidRPr="00A368C6">
        <w:rPr>
          <w:sz w:val="22"/>
          <w:szCs w:val="22"/>
          <w:lang w:val="sk-SK"/>
        </w:rPr>
        <w:t xml:space="preserve"> </w:t>
      </w:r>
      <w:proofErr w:type="spellStart"/>
      <w:r w:rsidR="00D511AC" w:rsidRPr="00A368C6">
        <w:rPr>
          <w:sz w:val="22"/>
          <w:szCs w:val="22"/>
          <w:lang w:val="sk-SK"/>
        </w:rPr>
        <w:t>malabsorpci</w:t>
      </w:r>
      <w:r w:rsidR="007E692A" w:rsidRPr="007E692A">
        <w:rPr>
          <w:sz w:val="22"/>
          <w:szCs w:val="22"/>
          <w:lang w:val="sk-SK"/>
        </w:rPr>
        <w:t>ou</w:t>
      </w:r>
      <w:proofErr w:type="spellEnd"/>
      <w:r w:rsidR="00D511AC" w:rsidRPr="00A368C6">
        <w:rPr>
          <w:sz w:val="22"/>
          <w:szCs w:val="22"/>
          <w:lang w:val="sk-SK"/>
        </w:rPr>
        <w:t xml:space="preserve"> </w:t>
      </w:r>
      <w:r w:rsidR="00D511AC" w:rsidRPr="00A368C6">
        <w:rPr>
          <w:color w:val="000000"/>
          <w:sz w:val="22"/>
          <w:szCs w:val="22"/>
          <w:lang w:val="sk-SK" w:eastAsia="cs-CZ"/>
        </w:rPr>
        <w:t>alebo deficit</w:t>
      </w:r>
      <w:r w:rsidR="007E692A" w:rsidRPr="007E692A">
        <w:rPr>
          <w:color w:val="000000"/>
          <w:sz w:val="22"/>
          <w:szCs w:val="22"/>
          <w:lang w:val="sk-SK" w:eastAsia="cs-CZ"/>
        </w:rPr>
        <w:t>om</w:t>
      </w:r>
      <w:r w:rsidR="00D511AC" w:rsidRPr="00A368C6">
        <w:rPr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D511AC" w:rsidRPr="00A368C6">
        <w:rPr>
          <w:color w:val="000000"/>
          <w:sz w:val="22"/>
          <w:szCs w:val="22"/>
          <w:lang w:val="sk-SK" w:eastAsia="cs-CZ"/>
        </w:rPr>
        <w:t>sacharázy</w:t>
      </w:r>
      <w:proofErr w:type="spellEnd"/>
      <w:r w:rsidR="00D511AC" w:rsidRPr="00A368C6">
        <w:rPr>
          <w:color w:val="000000"/>
          <w:sz w:val="22"/>
          <w:szCs w:val="22"/>
          <w:lang w:val="sk-SK" w:eastAsia="cs-CZ"/>
        </w:rPr>
        <w:t xml:space="preserve"> a </w:t>
      </w:r>
      <w:proofErr w:type="spellStart"/>
      <w:r w:rsidR="00D511AC" w:rsidRPr="00A368C6">
        <w:rPr>
          <w:color w:val="000000"/>
          <w:sz w:val="22"/>
          <w:szCs w:val="22"/>
          <w:lang w:val="sk-SK" w:eastAsia="cs-CZ"/>
        </w:rPr>
        <w:t>izomaltázy</w:t>
      </w:r>
      <w:proofErr w:type="spellEnd"/>
      <w:r w:rsidR="00D511AC" w:rsidRPr="00A368C6">
        <w:rPr>
          <w:color w:val="000000"/>
          <w:sz w:val="22"/>
          <w:szCs w:val="22"/>
          <w:lang w:val="sk-SK" w:eastAsia="cs-CZ"/>
        </w:rPr>
        <w:t xml:space="preserve"> </w:t>
      </w:r>
      <w:r w:rsidR="00D511AC" w:rsidRPr="00A368C6">
        <w:rPr>
          <w:sz w:val="22"/>
          <w:szCs w:val="22"/>
          <w:lang w:val="sk-SK"/>
        </w:rPr>
        <w:t>nesmú užívať tento liek.</w:t>
      </w:r>
    </w:p>
    <w:p w14:paraId="7413E398" w14:textId="77777777" w:rsidR="007E692A" w:rsidRPr="00A368C6" w:rsidRDefault="007E692A">
      <w:pPr>
        <w:rPr>
          <w:snapToGrid w:val="0"/>
          <w:sz w:val="22"/>
          <w:szCs w:val="22"/>
          <w:lang w:val="sk-SK"/>
        </w:rPr>
      </w:pPr>
    </w:p>
    <w:p w14:paraId="4041A7C9" w14:textId="77777777" w:rsidR="00307071" w:rsidRPr="00A042E5" w:rsidRDefault="00307071" w:rsidP="001E029D">
      <w:pPr>
        <w:keepNext/>
        <w:tabs>
          <w:tab w:val="left" w:pos="567"/>
        </w:tabs>
        <w:ind w:left="567" w:right="51" w:hanging="567"/>
        <w:rPr>
          <w:b/>
          <w:sz w:val="22"/>
          <w:szCs w:val="22"/>
          <w:lang w:val="sk-SK"/>
        </w:rPr>
      </w:pPr>
      <w:r w:rsidRPr="00A042E5">
        <w:rPr>
          <w:b/>
          <w:sz w:val="22"/>
          <w:szCs w:val="22"/>
          <w:lang w:val="sk-SK"/>
        </w:rPr>
        <w:lastRenderedPageBreak/>
        <w:t>4.5</w:t>
      </w:r>
      <w:r w:rsidRPr="00A042E5">
        <w:rPr>
          <w:b/>
          <w:sz w:val="22"/>
          <w:szCs w:val="22"/>
          <w:lang w:val="sk-SK"/>
        </w:rPr>
        <w:tab/>
        <w:t>Liekové a iné interakcie</w:t>
      </w:r>
    </w:p>
    <w:p w14:paraId="31CE9519" w14:textId="77777777" w:rsidR="00307071" w:rsidRPr="00A368C6" w:rsidRDefault="00307071" w:rsidP="001E029D">
      <w:pPr>
        <w:keepNext/>
        <w:ind w:right="51"/>
        <w:outlineLvl w:val="2"/>
        <w:rPr>
          <w:sz w:val="22"/>
          <w:szCs w:val="22"/>
          <w:lang w:val="sk-SK"/>
        </w:rPr>
      </w:pPr>
    </w:p>
    <w:p w14:paraId="5D3ABA12" w14:textId="77777777" w:rsidR="00307071" w:rsidRPr="00A042E5" w:rsidRDefault="00307071">
      <w:pPr>
        <w:keepNext/>
        <w:ind w:right="49"/>
        <w:outlineLvl w:val="2"/>
        <w:rPr>
          <w:bCs/>
          <w:i/>
          <w:iCs/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 xml:space="preserve">Účinky </w:t>
      </w:r>
      <w:proofErr w:type="spellStart"/>
      <w:r w:rsidRPr="00A042E5">
        <w:rPr>
          <w:sz w:val="22"/>
          <w:szCs w:val="22"/>
          <w:u w:val="single"/>
          <w:lang w:val="sk-SK"/>
        </w:rPr>
        <w:t>omeprazolu</w:t>
      </w:r>
      <w:proofErr w:type="spellEnd"/>
      <w:r w:rsidRPr="00A042E5">
        <w:rPr>
          <w:sz w:val="22"/>
          <w:szCs w:val="22"/>
          <w:u w:val="single"/>
          <w:lang w:val="sk-SK"/>
        </w:rPr>
        <w:t xml:space="preserve"> na </w:t>
      </w:r>
      <w:proofErr w:type="spellStart"/>
      <w:r w:rsidRPr="00A042E5">
        <w:rPr>
          <w:sz w:val="22"/>
          <w:szCs w:val="22"/>
          <w:u w:val="single"/>
          <w:lang w:val="sk-SK"/>
        </w:rPr>
        <w:t>farmakokinetiku</w:t>
      </w:r>
      <w:proofErr w:type="spellEnd"/>
      <w:r w:rsidRPr="00A042E5">
        <w:rPr>
          <w:sz w:val="22"/>
          <w:szCs w:val="22"/>
          <w:u w:val="single"/>
          <w:lang w:val="sk-SK"/>
        </w:rPr>
        <w:t xml:space="preserve"> iných liečiv</w:t>
      </w:r>
    </w:p>
    <w:p w14:paraId="31012426" w14:textId="77777777" w:rsidR="00307071" w:rsidRPr="00A042E5" w:rsidRDefault="00307071">
      <w:pPr>
        <w:ind w:right="49"/>
        <w:rPr>
          <w:i/>
          <w:iCs/>
          <w:sz w:val="22"/>
          <w:szCs w:val="22"/>
          <w:lang w:val="sk-SK"/>
        </w:rPr>
      </w:pPr>
    </w:p>
    <w:p w14:paraId="13D496F4" w14:textId="77777777" w:rsidR="00307071" w:rsidRPr="00A042E5" w:rsidRDefault="00307071">
      <w:pPr>
        <w:ind w:right="49"/>
        <w:rPr>
          <w:i/>
          <w:iCs/>
          <w:sz w:val="22"/>
          <w:szCs w:val="22"/>
          <w:u w:val="single"/>
          <w:lang w:val="sk-SK"/>
        </w:rPr>
      </w:pPr>
      <w:r w:rsidRPr="00A042E5">
        <w:rPr>
          <w:i/>
          <w:iCs/>
          <w:sz w:val="22"/>
          <w:szCs w:val="22"/>
          <w:u w:val="single"/>
          <w:lang w:val="sk-SK"/>
        </w:rPr>
        <w:t>Liečivá s absorpciou závislou od pH</w:t>
      </w:r>
    </w:p>
    <w:p w14:paraId="5DAFDD9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/>
        </w:rPr>
        <w:t xml:space="preserve">Znížená kyslosť vo vnútri žalúdka počas liečby </w:t>
      </w:r>
      <w:proofErr w:type="spellStart"/>
      <w:r w:rsidRPr="00A042E5">
        <w:rPr>
          <w:sz w:val="22"/>
          <w:szCs w:val="22"/>
          <w:lang w:val="sk-SK"/>
        </w:rPr>
        <w:t>omeprazolom</w:t>
      </w:r>
      <w:proofErr w:type="spellEnd"/>
      <w:r w:rsidRPr="00A042E5">
        <w:rPr>
          <w:sz w:val="22"/>
          <w:szCs w:val="22"/>
          <w:lang w:val="sk-SK"/>
        </w:rPr>
        <w:t xml:space="preserve"> môže zvýšiť alebo znížiť absorpciu liečiv, </w:t>
      </w:r>
      <w:r w:rsidRPr="00A042E5">
        <w:rPr>
          <w:sz w:val="22"/>
          <w:szCs w:val="22"/>
          <w:lang w:val="sk-SK" w:eastAsia="ar-SA"/>
        </w:rPr>
        <w:t>ktorých absorpcia je závislá od pH žalúdka.</w:t>
      </w:r>
    </w:p>
    <w:p w14:paraId="3ED5BB1C" w14:textId="77777777" w:rsidR="00307071" w:rsidRPr="00A042E5" w:rsidRDefault="00307071">
      <w:pPr>
        <w:ind w:right="49"/>
        <w:rPr>
          <w:sz w:val="22"/>
          <w:szCs w:val="22"/>
          <w:lang w:val="sk-SK"/>
        </w:rPr>
      </w:pPr>
    </w:p>
    <w:p w14:paraId="2877EA4E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sk-SK" w:eastAsia="sl-SI"/>
        </w:rPr>
      </w:pPr>
      <w:proofErr w:type="spellStart"/>
      <w:r w:rsidRPr="00A042E5">
        <w:rPr>
          <w:i/>
          <w:sz w:val="22"/>
          <w:szCs w:val="22"/>
          <w:lang w:val="sk-SK" w:eastAsia="sl-SI"/>
        </w:rPr>
        <w:t>Nelfinavir</w:t>
      </w:r>
      <w:proofErr w:type="spellEnd"/>
      <w:r w:rsidRPr="00A042E5">
        <w:rPr>
          <w:i/>
          <w:sz w:val="22"/>
          <w:szCs w:val="22"/>
          <w:lang w:val="sk-SK" w:eastAsia="sl-SI"/>
        </w:rPr>
        <w:t xml:space="preserve">, </w:t>
      </w:r>
      <w:proofErr w:type="spellStart"/>
      <w:r w:rsidRPr="00A042E5">
        <w:rPr>
          <w:i/>
          <w:sz w:val="22"/>
          <w:szCs w:val="22"/>
          <w:lang w:val="sk-SK" w:eastAsia="sl-SI"/>
        </w:rPr>
        <w:t>atazanavir</w:t>
      </w:r>
      <w:proofErr w:type="spellEnd"/>
    </w:p>
    <w:p w14:paraId="1B64709B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  <w:r w:rsidRPr="00A042E5">
        <w:rPr>
          <w:sz w:val="22"/>
          <w:szCs w:val="22"/>
          <w:lang w:val="sk-SK" w:eastAsia="sl-SI"/>
        </w:rPr>
        <w:t>V prípade súbežného podávania s </w:t>
      </w:r>
      <w:proofErr w:type="spellStart"/>
      <w:r w:rsidRPr="00A042E5">
        <w:rPr>
          <w:sz w:val="22"/>
          <w:szCs w:val="22"/>
          <w:lang w:val="sk-SK" w:eastAsia="sl-SI"/>
        </w:rPr>
        <w:t>omeprazolom</w:t>
      </w:r>
      <w:proofErr w:type="spellEnd"/>
      <w:r w:rsidRPr="00A042E5">
        <w:rPr>
          <w:sz w:val="22"/>
          <w:szCs w:val="22"/>
          <w:lang w:val="sk-SK" w:eastAsia="sl-SI"/>
        </w:rPr>
        <w:t xml:space="preserve"> sú plazmatické hladiny </w:t>
      </w:r>
      <w:proofErr w:type="spellStart"/>
      <w:r w:rsidRPr="00A042E5">
        <w:rPr>
          <w:sz w:val="22"/>
          <w:szCs w:val="22"/>
          <w:lang w:val="sk-SK" w:eastAsia="sl-SI"/>
        </w:rPr>
        <w:t>nelfinaviru</w:t>
      </w:r>
      <w:proofErr w:type="spellEnd"/>
      <w:r w:rsidRPr="00A042E5">
        <w:rPr>
          <w:sz w:val="22"/>
          <w:szCs w:val="22"/>
          <w:lang w:val="sk-SK" w:eastAsia="sl-SI"/>
        </w:rPr>
        <w:t xml:space="preserve"> a 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znížené.</w:t>
      </w:r>
    </w:p>
    <w:p w14:paraId="77409B9C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</w:p>
    <w:p w14:paraId="049E9D72" w14:textId="19993EAA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  <w:r w:rsidRPr="00A042E5">
        <w:rPr>
          <w:sz w:val="22"/>
          <w:szCs w:val="22"/>
          <w:lang w:val="sk-SK" w:eastAsia="sl-SI"/>
        </w:rPr>
        <w:t xml:space="preserve">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s </w:t>
      </w:r>
      <w:proofErr w:type="spellStart"/>
      <w:r w:rsidRPr="00A042E5">
        <w:rPr>
          <w:sz w:val="22"/>
          <w:szCs w:val="22"/>
          <w:lang w:val="sk-SK" w:eastAsia="sl-SI"/>
        </w:rPr>
        <w:t>nelfinavirom</w:t>
      </w:r>
      <w:proofErr w:type="spellEnd"/>
      <w:r w:rsidRPr="00A042E5">
        <w:rPr>
          <w:sz w:val="22"/>
          <w:szCs w:val="22"/>
          <w:lang w:val="sk-SK" w:eastAsia="sl-SI"/>
        </w:rPr>
        <w:t xml:space="preserve"> je kontraindikované (pozri časť 4.3). 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(40 mg jedenkrát denne) znížilo priemernú expozíciu </w:t>
      </w:r>
      <w:proofErr w:type="spellStart"/>
      <w:r w:rsidRPr="00A042E5">
        <w:rPr>
          <w:sz w:val="22"/>
          <w:szCs w:val="22"/>
          <w:lang w:val="sk-SK" w:eastAsia="sl-SI"/>
        </w:rPr>
        <w:t>nelfinaviru</w:t>
      </w:r>
      <w:proofErr w:type="spellEnd"/>
      <w:r w:rsidRPr="00A042E5">
        <w:rPr>
          <w:sz w:val="22"/>
          <w:szCs w:val="22"/>
          <w:lang w:val="sk-SK" w:eastAsia="sl-SI"/>
        </w:rPr>
        <w:t xml:space="preserve"> približne o 40 % a priemerná expozícia farmakologicky aktívnemu </w:t>
      </w:r>
      <w:proofErr w:type="spellStart"/>
      <w:r w:rsidRPr="00A042E5">
        <w:rPr>
          <w:sz w:val="22"/>
          <w:szCs w:val="22"/>
          <w:lang w:val="sk-SK" w:eastAsia="sl-SI"/>
        </w:rPr>
        <w:t>metabolitu</w:t>
      </w:r>
      <w:proofErr w:type="spellEnd"/>
      <w:r w:rsidRPr="00A042E5">
        <w:rPr>
          <w:sz w:val="22"/>
          <w:szCs w:val="22"/>
          <w:lang w:val="sk-SK" w:eastAsia="sl-SI"/>
        </w:rPr>
        <w:t xml:space="preserve"> M8 bola znížená približne o 75</w:t>
      </w:r>
      <w:r w:rsidR="007E692A">
        <w:rPr>
          <w:sz w:val="22"/>
          <w:szCs w:val="22"/>
          <w:lang w:val="sk-SK" w:eastAsia="sl-SI"/>
        </w:rPr>
        <w:noBreakHyphen/>
      </w:r>
      <w:r w:rsidRPr="00A042E5">
        <w:rPr>
          <w:sz w:val="22"/>
          <w:szCs w:val="22"/>
          <w:lang w:val="sk-SK" w:eastAsia="sl-SI"/>
        </w:rPr>
        <w:t>90 %. Interakcia môže tiež zahŕňať inhibíciu CYP2C19.</w:t>
      </w:r>
    </w:p>
    <w:p w14:paraId="540AD5EF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</w:p>
    <w:p w14:paraId="3EBE2284" w14:textId="2705BFF9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  <w:r w:rsidRPr="00A042E5">
        <w:rPr>
          <w:sz w:val="22"/>
          <w:szCs w:val="22"/>
          <w:lang w:val="sk-SK" w:eastAsia="sl-SI"/>
        </w:rPr>
        <w:t xml:space="preserve">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s </w:t>
      </w:r>
      <w:proofErr w:type="spellStart"/>
      <w:r w:rsidRPr="00A042E5">
        <w:rPr>
          <w:sz w:val="22"/>
          <w:szCs w:val="22"/>
          <w:lang w:val="sk-SK" w:eastAsia="sl-SI"/>
        </w:rPr>
        <w:t>atazanavirom</w:t>
      </w:r>
      <w:proofErr w:type="spellEnd"/>
      <w:r w:rsidRPr="00A042E5">
        <w:rPr>
          <w:sz w:val="22"/>
          <w:szCs w:val="22"/>
          <w:lang w:val="sk-SK" w:eastAsia="sl-SI"/>
        </w:rPr>
        <w:t xml:space="preserve"> sa neodporúča (pozri časť 4.4). 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(40 mg jedenkrát denne) s 300 mg atazanaviru/100 mg </w:t>
      </w:r>
      <w:proofErr w:type="spellStart"/>
      <w:r w:rsidRPr="00A042E5">
        <w:rPr>
          <w:sz w:val="22"/>
          <w:szCs w:val="22"/>
          <w:lang w:val="sk-SK" w:eastAsia="sl-SI"/>
        </w:rPr>
        <w:t>ritonaviru</w:t>
      </w:r>
      <w:proofErr w:type="spellEnd"/>
      <w:r w:rsidRPr="00A042E5">
        <w:rPr>
          <w:sz w:val="22"/>
          <w:szCs w:val="22"/>
          <w:lang w:val="sk-SK" w:eastAsia="sl-SI"/>
        </w:rPr>
        <w:t xml:space="preserve"> zdravým dobrovoľníkom viedlo k zníženiu expozície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o 75 %. Zvýšenie dávky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na 400 mg nekompenzovalo dopad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na expozíciu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. 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(20 mg jedenkrát denne) so 400 mg atazanaviru/100 mg </w:t>
      </w:r>
      <w:proofErr w:type="spellStart"/>
      <w:r w:rsidRPr="00A042E5">
        <w:rPr>
          <w:sz w:val="22"/>
          <w:szCs w:val="22"/>
          <w:lang w:val="sk-SK" w:eastAsia="sl-SI"/>
        </w:rPr>
        <w:t>ritonaviru</w:t>
      </w:r>
      <w:proofErr w:type="spellEnd"/>
      <w:r w:rsidRPr="00A042E5">
        <w:rPr>
          <w:sz w:val="22"/>
          <w:szCs w:val="22"/>
          <w:lang w:val="sk-SK" w:eastAsia="sl-SI"/>
        </w:rPr>
        <w:t xml:space="preserve"> zdravým dobrovoľníkom viedlo k</w:t>
      </w:r>
      <w:r w:rsidR="002106B8">
        <w:rPr>
          <w:sz w:val="22"/>
          <w:szCs w:val="22"/>
          <w:lang w:val="sk-SK" w:eastAsia="sl-SI"/>
        </w:rPr>
        <w:t> </w:t>
      </w:r>
      <w:r w:rsidRPr="00A042E5">
        <w:rPr>
          <w:sz w:val="22"/>
          <w:szCs w:val="22"/>
          <w:lang w:val="sk-SK" w:eastAsia="sl-SI"/>
        </w:rPr>
        <w:t xml:space="preserve">zníženiu expozície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približne o 30 % v porovnaní s 300 mg atazanaviru/100 mg </w:t>
      </w:r>
      <w:proofErr w:type="spellStart"/>
      <w:r w:rsidRPr="00A042E5">
        <w:rPr>
          <w:sz w:val="22"/>
          <w:szCs w:val="22"/>
          <w:lang w:val="sk-SK" w:eastAsia="sl-SI"/>
        </w:rPr>
        <w:t>ritonaviru</w:t>
      </w:r>
      <w:proofErr w:type="spellEnd"/>
      <w:r w:rsidRPr="00A042E5">
        <w:rPr>
          <w:sz w:val="22"/>
          <w:szCs w:val="22"/>
          <w:lang w:val="sk-SK" w:eastAsia="sl-SI"/>
        </w:rPr>
        <w:t xml:space="preserve"> jedenkrát denne.</w:t>
      </w:r>
    </w:p>
    <w:p w14:paraId="1F3F02F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626001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proofErr w:type="spellStart"/>
      <w:r w:rsidRPr="00A042E5">
        <w:rPr>
          <w:i/>
          <w:iCs/>
          <w:sz w:val="22"/>
          <w:szCs w:val="22"/>
          <w:lang w:val="sk-SK" w:eastAsia="sk-SK"/>
        </w:rPr>
        <w:t>Digoxín</w:t>
      </w:r>
      <w:proofErr w:type="spellEnd"/>
    </w:p>
    <w:p w14:paraId="700DD207" w14:textId="22A2807C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Pri súbežnej liečbe </w:t>
      </w:r>
      <w:proofErr w:type="spellStart"/>
      <w:r w:rsidRPr="00A042E5">
        <w:rPr>
          <w:sz w:val="22"/>
          <w:szCs w:val="22"/>
          <w:lang w:val="sk-SK" w:eastAsia="sk-SK"/>
        </w:rPr>
        <w:t>omeprazolom</w:t>
      </w:r>
      <w:proofErr w:type="spellEnd"/>
      <w:r w:rsidRPr="00A042E5">
        <w:rPr>
          <w:sz w:val="22"/>
          <w:szCs w:val="22"/>
          <w:lang w:val="sk-SK" w:eastAsia="sk-SK"/>
        </w:rPr>
        <w:t xml:space="preserve"> (20</w:t>
      </w:r>
      <w:r w:rsidR="00D315E4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denne) a </w:t>
      </w:r>
      <w:proofErr w:type="spellStart"/>
      <w:r w:rsidRPr="00A042E5">
        <w:rPr>
          <w:sz w:val="22"/>
          <w:szCs w:val="22"/>
          <w:lang w:val="sk-SK" w:eastAsia="sk-SK"/>
        </w:rPr>
        <w:t>digoxínom</w:t>
      </w:r>
      <w:proofErr w:type="spellEnd"/>
      <w:r w:rsidRPr="00A042E5">
        <w:rPr>
          <w:sz w:val="22"/>
          <w:szCs w:val="22"/>
          <w:lang w:val="sk-SK" w:eastAsia="sk-SK"/>
        </w:rPr>
        <w:t xml:space="preserve"> sa u zdravých osôb biologická</w:t>
      </w:r>
      <w:r w:rsidR="002106B8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dostupnosť zvýšila o</w:t>
      </w:r>
      <w:r w:rsidR="002106B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10</w:t>
      </w:r>
      <w:r w:rsidR="002106B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%. Toxicita </w:t>
      </w:r>
      <w:proofErr w:type="spellStart"/>
      <w:r w:rsidRPr="00A042E5">
        <w:rPr>
          <w:sz w:val="22"/>
          <w:szCs w:val="22"/>
          <w:lang w:val="sk-SK" w:eastAsia="sk-SK"/>
        </w:rPr>
        <w:t>digoxínu</w:t>
      </w:r>
      <w:proofErr w:type="spellEnd"/>
      <w:r w:rsidRPr="00A042E5">
        <w:rPr>
          <w:sz w:val="22"/>
          <w:szCs w:val="22"/>
          <w:lang w:val="sk-SK" w:eastAsia="sk-SK"/>
        </w:rPr>
        <w:t xml:space="preserve"> bola hlásená zriedkavo. Opatrnosť je však potrebná pri podávaní vysokých dávok starším pacientom. </w:t>
      </w:r>
      <w:r w:rsidRPr="00A042E5">
        <w:rPr>
          <w:sz w:val="22"/>
          <w:szCs w:val="22"/>
          <w:lang w:val="sk-SK"/>
        </w:rPr>
        <w:t xml:space="preserve">Vtedy je potrebné </w:t>
      </w:r>
      <w:r w:rsidRPr="00A042E5">
        <w:rPr>
          <w:sz w:val="22"/>
          <w:szCs w:val="22"/>
          <w:lang w:val="sk-SK" w:eastAsia="sk-SK"/>
        </w:rPr>
        <w:t xml:space="preserve">zintenzívniť monitorovanie terapeutických hladín </w:t>
      </w:r>
      <w:proofErr w:type="spellStart"/>
      <w:r w:rsidRPr="00A042E5">
        <w:rPr>
          <w:sz w:val="22"/>
          <w:szCs w:val="22"/>
          <w:lang w:val="sk-SK" w:eastAsia="sk-SK"/>
        </w:rPr>
        <w:t>digoxínu</w:t>
      </w:r>
      <w:proofErr w:type="spellEnd"/>
      <w:r w:rsidRPr="00A042E5">
        <w:rPr>
          <w:sz w:val="22"/>
          <w:szCs w:val="22"/>
          <w:lang w:val="sk-SK" w:eastAsia="sk-SK"/>
        </w:rPr>
        <w:t>.</w:t>
      </w:r>
    </w:p>
    <w:p w14:paraId="5D3F4FDA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E73B08" w14:textId="77777777" w:rsidR="00307071" w:rsidRPr="00A042E5" w:rsidRDefault="00307071">
      <w:pPr>
        <w:ind w:right="49"/>
        <w:rPr>
          <w:i/>
          <w:sz w:val="22"/>
          <w:szCs w:val="22"/>
          <w:lang w:val="sk-SK"/>
        </w:rPr>
      </w:pPr>
      <w:proofErr w:type="spellStart"/>
      <w:r w:rsidRPr="00A042E5">
        <w:rPr>
          <w:i/>
          <w:sz w:val="22"/>
          <w:szCs w:val="22"/>
          <w:lang w:val="sk-SK"/>
        </w:rPr>
        <w:t>Klopidogrel</w:t>
      </w:r>
      <w:proofErr w:type="spellEnd"/>
    </w:p>
    <w:p w14:paraId="21D07DC5" w14:textId="4FF361A5" w:rsidR="002106B8" w:rsidRPr="00A368C6" w:rsidRDefault="002106B8" w:rsidP="002106B8">
      <w:pPr>
        <w:rPr>
          <w:rStyle w:val="hps"/>
          <w:color w:val="000000"/>
          <w:sz w:val="22"/>
          <w:szCs w:val="22"/>
          <w:lang w:val="sk-SK"/>
        </w:rPr>
      </w:pP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Výsledky štúdií u zdravých jedincov preukázali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farmakokinetickú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(FK)/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farmakodynamickú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(FD) interakciu medzi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klopidogrelom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(300</w:t>
      </w:r>
      <w:r w:rsidR="00D315E4">
        <w:rPr>
          <w:sz w:val="22"/>
          <w:szCs w:val="22"/>
          <w:lang w:val="sk-SK" w:eastAsia="sk-SK"/>
        </w:rPr>
        <w:t> </w:t>
      </w: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mg </w:t>
      </w:r>
      <w:proofErr w:type="spellStart"/>
      <w:r w:rsidRPr="00A368C6">
        <w:rPr>
          <w:color w:val="000000"/>
          <w:sz w:val="22"/>
          <w:szCs w:val="22"/>
          <w:lang w:val="sk-SK"/>
        </w:rPr>
        <w:t>nasycovacia</w:t>
      </w:r>
      <w:proofErr w:type="spellEnd"/>
      <w:r w:rsidRPr="00A368C6">
        <w:rPr>
          <w:color w:val="000000"/>
          <w:sz w:val="22"/>
          <w:szCs w:val="22"/>
          <w:lang w:val="sk-SK"/>
        </w:rPr>
        <w:t xml:space="preserve"> dávka</w:t>
      </w: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/75</w:t>
      </w:r>
      <w:r w:rsidR="00D315E4">
        <w:rPr>
          <w:sz w:val="22"/>
          <w:szCs w:val="22"/>
          <w:lang w:val="sk-SK" w:eastAsia="sk-SK"/>
        </w:rPr>
        <w:t> </w:t>
      </w: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mg denná udržiavacia dávka) a</w:t>
      </w:r>
      <w:r w:rsidR="00D315E4">
        <w:rPr>
          <w:sz w:val="22"/>
          <w:szCs w:val="22"/>
          <w:lang w:val="sk-SK" w:eastAsia="sk-SK"/>
        </w:rPr>
        <w:t> 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omeprazolom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(80 mg perorálne denne) s následným znížením expozície aktívnemu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metabolitu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klopidogrelu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v priemere o 46 %</w:t>
      </w:r>
      <w:r w:rsidRPr="00A368C6">
        <w:rPr>
          <w:rStyle w:val="longtext"/>
          <w:color w:val="000000"/>
          <w:sz w:val="22"/>
          <w:szCs w:val="22"/>
          <w:lang w:val="sk-SK"/>
        </w:rPr>
        <w:t xml:space="preserve"> a znížením maximálnej inhibície (indukovanej ADP) </w:t>
      </w:r>
      <w:proofErr w:type="spellStart"/>
      <w:r w:rsidRPr="00A368C6">
        <w:rPr>
          <w:rStyle w:val="longtext"/>
          <w:color w:val="000000"/>
          <w:sz w:val="22"/>
          <w:szCs w:val="22"/>
          <w:lang w:val="sk-SK"/>
        </w:rPr>
        <w:t>agregácie</w:t>
      </w:r>
      <w:proofErr w:type="spellEnd"/>
      <w:r w:rsidRPr="00A368C6">
        <w:rPr>
          <w:rStyle w:val="longtext"/>
          <w:color w:val="000000"/>
          <w:sz w:val="22"/>
          <w:szCs w:val="22"/>
          <w:lang w:val="sk-SK"/>
        </w:rPr>
        <w:t xml:space="preserve"> </w:t>
      </w:r>
      <w:r w:rsidRPr="00A368C6">
        <w:rPr>
          <w:color w:val="000000"/>
          <w:sz w:val="22"/>
          <w:szCs w:val="22"/>
          <w:lang w:val="sk-SK"/>
        </w:rPr>
        <w:t>krvných</w:t>
      </w:r>
      <w:r w:rsidRPr="00A368C6">
        <w:rPr>
          <w:rStyle w:val="longtext"/>
          <w:color w:val="000000"/>
          <w:sz w:val="22"/>
          <w:szCs w:val="22"/>
          <w:lang w:val="sk-SK"/>
        </w:rPr>
        <w:t xml:space="preserve"> doštičiek v priemere o 16 %. 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V oboch pozorovacích a klinických štúdiách sa </w:t>
      </w:r>
      <w:r w:rsidRPr="00A368C6">
        <w:rPr>
          <w:sz w:val="22"/>
          <w:szCs w:val="22"/>
          <w:lang w:val="sk-SK"/>
        </w:rPr>
        <w:t>zaznamenali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 nekonziste</w:t>
      </w:r>
      <w:r w:rsidR="00FC02BD">
        <w:rPr>
          <w:rStyle w:val="hps"/>
          <w:color w:val="000000"/>
          <w:sz w:val="22"/>
          <w:szCs w:val="22"/>
          <w:lang w:val="sk-SK"/>
        </w:rPr>
        <w:t>n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tné údaje týkajúce sa klinických dôsledkov tejto FK/FD interakcie </w:t>
      </w:r>
      <w:proofErr w:type="spellStart"/>
      <w:r w:rsidRPr="00A368C6">
        <w:rPr>
          <w:rStyle w:val="hps"/>
          <w:color w:val="000000"/>
          <w:sz w:val="22"/>
          <w:szCs w:val="22"/>
          <w:lang w:val="sk-SK"/>
        </w:rPr>
        <w:t>omeprazolu</w:t>
      </w:r>
      <w:proofErr w:type="spellEnd"/>
      <w:r w:rsidRPr="00A368C6">
        <w:rPr>
          <w:rStyle w:val="hps"/>
          <w:color w:val="000000"/>
          <w:sz w:val="22"/>
          <w:szCs w:val="22"/>
          <w:lang w:val="sk-SK"/>
        </w:rPr>
        <w:t xml:space="preserve"> z hľadiska závažných kardiovaskulárnych </w:t>
      </w:r>
      <w:r w:rsidR="00632096" w:rsidRPr="00A368C6">
        <w:rPr>
          <w:rStyle w:val="hps"/>
          <w:color w:val="000000"/>
          <w:sz w:val="22"/>
          <w:szCs w:val="22"/>
          <w:lang w:val="sk-SK"/>
        </w:rPr>
        <w:t>príhod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. </w:t>
      </w:r>
      <w:r w:rsidRPr="00A368C6">
        <w:rPr>
          <w:sz w:val="22"/>
          <w:szCs w:val="22"/>
          <w:lang w:val="sk-SK"/>
        </w:rPr>
        <w:t xml:space="preserve">Z preventívnych dôvodov 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sa súbežné podávanie </w:t>
      </w:r>
      <w:proofErr w:type="spellStart"/>
      <w:r w:rsidRPr="00A368C6">
        <w:rPr>
          <w:rStyle w:val="hps"/>
          <w:color w:val="000000"/>
          <w:sz w:val="22"/>
          <w:szCs w:val="22"/>
          <w:lang w:val="sk-SK"/>
        </w:rPr>
        <w:t>omeprazolu</w:t>
      </w:r>
      <w:proofErr w:type="spellEnd"/>
      <w:r w:rsidRPr="00A368C6">
        <w:rPr>
          <w:rStyle w:val="hps"/>
          <w:color w:val="000000"/>
          <w:sz w:val="22"/>
          <w:szCs w:val="22"/>
          <w:lang w:val="sk-SK"/>
        </w:rPr>
        <w:t xml:space="preserve"> a</w:t>
      </w:r>
      <w:r w:rsidR="00D315E4">
        <w:rPr>
          <w:rStyle w:val="hps"/>
          <w:color w:val="000000"/>
          <w:sz w:val="22"/>
          <w:szCs w:val="22"/>
          <w:lang w:val="sk-SK"/>
        </w:rPr>
        <w:t> </w:t>
      </w:r>
      <w:proofErr w:type="spellStart"/>
      <w:r w:rsidRPr="00A368C6">
        <w:rPr>
          <w:rStyle w:val="hps"/>
          <w:color w:val="000000"/>
          <w:sz w:val="22"/>
          <w:szCs w:val="22"/>
          <w:lang w:val="sk-SK"/>
        </w:rPr>
        <w:t>klopidogrelu</w:t>
      </w:r>
      <w:proofErr w:type="spellEnd"/>
      <w:r w:rsidRPr="00A368C6">
        <w:rPr>
          <w:rStyle w:val="hps"/>
          <w:color w:val="000000"/>
          <w:sz w:val="22"/>
          <w:szCs w:val="22"/>
          <w:lang w:val="sk-SK"/>
        </w:rPr>
        <w:t xml:space="preserve"> neodporúča (pozri časť 4.4).</w:t>
      </w:r>
    </w:p>
    <w:p w14:paraId="2B6653CF" w14:textId="77777777" w:rsidR="00307071" w:rsidRPr="00A042E5" w:rsidRDefault="00307071">
      <w:pPr>
        <w:ind w:right="49"/>
        <w:rPr>
          <w:sz w:val="22"/>
          <w:szCs w:val="22"/>
          <w:lang w:val="sk-SK"/>
        </w:rPr>
      </w:pPr>
    </w:p>
    <w:p w14:paraId="0FA9E5AC" w14:textId="77777777" w:rsidR="00307071" w:rsidRPr="00A042E5" w:rsidRDefault="00307071" w:rsidP="00C33BE5">
      <w:pPr>
        <w:keepNext/>
        <w:ind w:right="51"/>
        <w:rPr>
          <w:i/>
          <w:sz w:val="22"/>
          <w:szCs w:val="22"/>
          <w:lang w:val="sk-SK"/>
        </w:rPr>
      </w:pPr>
      <w:r w:rsidRPr="00A042E5">
        <w:rPr>
          <w:i/>
          <w:sz w:val="22"/>
          <w:szCs w:val="22"/>
          <w:lang w:val="sk-SK"/>
        </w:rPr>
        <w:t>Iné liečivá</w:t>
      </w:r>
    </w:p>
    <w:p w14:paraId="03DCB72D" w14:textId="62203A41" w:rsidR="00307071" w:rsidRPr="00A042E5" w:rsidRDefault="00307071" w:rsidP="00C33BE5">
      <w:pPr>
        <w:keepNext/>
        <w:ind w:right="51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Absorpcia </w:t>
      </w:r>
      <w:proofErr w:type="spellStart"/>
      <w:r w:rsidRPr="00A042E5">
        <w:rPr>
          <w:sz w:val="22"/>
          <w:szCs w:val="22"/>
          <w:lang w:val="sk-SK"/>
        </w:rPr>
        <w:t>pozakonazolu</w:t>
      </w:r>
      <w:proofErr w:type="spellEnd"/>
      <w:r w:rsidRPr="00A042E5">
        <w:rPr>
          <w:sz w:val="22"/>
          <w:szCs w:val="22"/>
          <w:lang w:val="sk-SK"/>
        </w:rPr>
        <w:t xml:space="preserve">, </w:t>
      </w:r>
      <w:proofErr w:type="spellStart"/>
      <w:r w:rsidRPr="00A042E5">
        <w:rPr>
          <w:sz w:val="22"/>
          <w:szCs w:val="22"/>
          <w:lang w:val="sk-SK"/>
        </w:rPr>
        <w:t>erlotinibu</w:t>
      </w:r>
      <w:proofErr w:type="spellEnd"/>
      <w:r w:rsidRPr="00A042E5">
        <w:rPr>
          <w:sz w:val="22"/>
          <w:szCs w:val="22"/>
          <w:lang w:val="sk-SK"/>
        </w:rPr>
        <w:t xml:space="preserve">, </w:t>
      </w:r>
      <w:proofErr w:type="spellStart"/>
      <w:r w:rsidRPr="00A042E5">
        <w:rPr>
          <w:sz w:val="22"/>
          <w:szCs w:val="22"/>
          <w:lang w:val="sk-SK"/>
        </w:rPr>
        <w:t>ketokonazolu</w:t>
      </w:r>
      <w:proofErr w:type="spellEnd"/>
      <w:r w:rsidRPr="00A042E5">
        <w:rPr>
          <w:sz w:val="22"/>
          <w:szCs w:val="22"/>
          <w:lang w:val="sk-SK"/>
        </w:rPr>
        <w:t xml:space="preserve"> a </w:t>
      </w:r>
      <w:proofErr w:type="spellStart"/>
      <w:r w:rsidRPr="00A042E5">
        <w:rPr>
          <w:sz w:val="22"/>
          <w:szCs w:val="22"/>
          <w:lang w:val="sk-SK"/>
        </w:rPr>
        <w:t>itrakonazolu</w:t>
      </w:r>
      <w:proofErr w:type="spellEnd"/>
      <w:r w:rsidRPr="00A042E5">
        <w:rPr>
          <w:sz w:val="22"/>
          <w:szCs w:val="22"/>
          <w:lang w:val="sk-SK"/>
        </w:rPr>
        <w:t xml:space="preserve"> je významne redukovaná a teda klinická účinnos</w:t>
      </w:r>
      <w:r w:rsidR="00EE06E8">
        <w:rPr>
          <w:sz w:val="22"/>
          <w:szCs w:val="22"/>
          <w:lang w:val="sk-SK"/>
        </w:rPr>
        <w:t xml:space="preserve">ť môže byť oslabená. Súbežnému </w:t>
      </w:r>
      <w:r w:rsidRPr="00A042E5">
        <w:rPr>
          <w:sz w:val="22"/>
          <w:szCs w:val="22"/>
          <w:lang w:val="sk-SK"/>
        </w:rPr>
        <w:t xml:space="preserve">použitiu s </w:t>
      </w:r>
      <w:proofErr w:type="spellStart"/>
      <w:r w:rsidRPr="00A042E5">
        <w:rPr>
          <w:sz w:val="22"/>
          <w:szCs w:val="22"/>
          <w:lang w:val="sk-SK"/>
        </w:rPr>
        <w:t>pozakonazolom</w:t>
      </w:r>
      <w:proofErr w:type="spellEnd"/>
      <w:r w:rsidRPr="00A042E5">
        <w:rPr>
          <w:sz w:val="22"/>
          <w:szCs w:val="22"/>
          <w:lang w:val="sk-SK"/>
        </w:rPr>
        <w:t xml:space="preserve"> a </w:t>
      </w:r>
      <w:proofErr w:type="spellStart"/>
      <w:r w:rsidRPr="00A042E5">
        <w:rPr>
          <w:sz w:val="22"/>
          <w:szCs w:val="22"/>
          <w:lang w:val="sk-SK"/>
        </w:rPr>
        <w:t>erlotinibom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r w:rsidR="00F253F6">
        <w:rPr>
          <w:sz w:val="22"/>
          <w:szCs w:val="22"/>
          <w:lang w:val="sk-SK"/>
        </w:rPr>
        <w:t>je</w:t>
      </w:r>
      <w:r w:rsidRPr="00A042E5">
        <w:rPr>
          <w:sz w:val="22"/>
          <w:szCs w:val="22"/>
          <w:lang w:val="sk-SK"/>
        </w:rPr>
        <w:t xml:space="preserve"> </w:t>
      </w:r>
      <w:r w:rsidR="00F253F6">
        <w:rPr>
          <w:sz w:val="22"/>
          <w:szCs w:val="22"/>
          <w:lang w:val="sk-SK"/>
        </w:rPr>
        <w:t>po</w:t>
      </w:r>
      <w:r w:rsidRPr="00A042E5">
        <w:rPr>
          <w:sz w:val="22"/>
          <w:szCs w:val="22"/>
          <w:lang w:val="sk-SK"/>
        </w:rPr>
        <w:t>treb</w:t>
      </w:r>
      <w:r w:rsidR="00F253F6">
        <w:rPr>
          <w:sz w:val="22"/>
          <w:szCs w:val="22"/>
          <w:lang w:val="sk-SK"/>
        </w:rPr>
        <w:t>né sa</w:t>
      </w:r>
      <w:r w:rsidRPr="00A042E5">
        <w:rPr>
          <w:sz w:val="22"/>
          <w:szCs w:val="22"/>
          <w:lang w:val="sk-SK"/>
        </w:rPr>
        <w:t xml:space="preserve"> vyhnúť</w:t>
      </w:r>
      <w:r w:rsidR="006A5CCC">
        <w:rPr>
          <w:sz w:val="22"/>
          <w:szCs w:val="22"/>
          <w:lang w:val="sk-SK"/>
        </w:rPr>
        <w:t>.</w:t>
      </w:r>
    </w:p>
    <w:p w14:paraId="456BFBF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ADD233" w14:textId="77777777" w:rsidR="00307071" w:rsidRPr="00A042E5" w:rsidRDefault="00307071">
      <w:pPr>
        <w:tabs>
          <w:tab w:val="left" w:pos="567"/>
        </w:tabs>
        <w:ind w:right="49"/>
        <w:rPr>
          <w:i/>
          <w:iCs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iCs/>
          <w:noProof/>
          <w:color w:val="000000"/>
          <w:sz w:val="22"/>
          <w:szCs w:val="22"/>
          <w:u w:val="single"/>
          <w:lang w:val="sk-SK"/>
        </w:rPr>
        <w:t>Liečivá metabolizované CYP2C19</w:t>
      </w:r>
    </w:p>
    <w:p w14:paraId="5965D374" w14:textId="75766B54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 je stredne silný inhi</w:t>
      </w:r>
      <w:r w:rsidR="00EE06E8">
        <w:rPr>
          <w:noProof/>
          <w:color w:val="000000"/>
          <w:sz w:val="22"/>
          <w:szCs w:val="22"/>
          <w:lang w:val="sk-SK"/>
        </w:rPr>
        <w:t xml:space="preserve">bítor CYP2C19, hlavného enzýmu </w:t>
      </w:r>
      <w:r w:rsidRPr="00A042E5">
        <w:rPr>
          <w:noProof/>
          <w:color w:val="000000"/>
          <w:sz w:val="22"/>
          <w:szCs w:val="22"/>
          <w:lang w:val="sk-SK"/>
        </w:rPr>
        <w:t>metabolizujúceho omeprazol. Preto metabolizmus súbežne podávaných liečiv, ktoré sú tiež metabolizované CYP2C19, sa môže znížiť a systémová expozícia týmto látkam sa môže zvýšiť. Príkladmi takýchto liečiv sú R</w:t>
      </w:r>
      <w:r w:rsidRPr="00A042E5">
        <w:rPr>
          <w:noProof/>
          <w:color w:val="000000"/>
          <w:sz w:val="22"/>
          <w:szCs w:val="22"/>
          <w:lang w:val="sk-SK"/>
        </w:rPr>
        <w:noBreakHyphen/>
        <w:t>warfarín a iné antagonisty vitamínu K, cilostazol, diazepam a fenytoín.</w:t>
      </w:r>
    </w:p>
    <w:p w14:paraId="326DFCAE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0837C7F" w14:textId="77777777" w:rsidR="00307071" w:rsidRPr="00A042E5" w:rsidRDefault="00307071" w:rsidP="00A368C6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Cilostazol</w:t>
      </w:r>
    </w:p>
    <w:p w14:paraId="0F4BF373" w14:textId="677BF1F3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 podávaný v dávkach 40 mg zdravým dobrovoľníkom v skríženej štúdii zvýšil C</w:t>
      </w:r>
      <w:r w:rsidRPr="00A042E5">
        <w:rPr>
          <w:noProof/>
          <w:color w:val="000000"/>
          <w:sz w:val="22"/>
          <w:szCs w:val="22"/>
          <w:vertAlign w:val="subscript"/>
          <w:lang w:val="sk-SK"/>
        </w:rPr>
        <w:t>max</w:t>
      </w:r>
      <w:r w:rsidR="00F253F6">
        <w:rPr>
          <w:noProof/>
          <w:color w:val="000000"/>
          <w:sz w:val="22"/>
          <w:szCs w:val="22"/>
          <w:vertAlign w:val="subscript"/>
          <w:lang w:val="sk-SK"/>
        </w:rPr>
        <w:t xml:space="preserve"> </w:t>
      </w:r>
      <w:r w:rsidRPr="00A042E5">
        <w:rPr>
          <w:noProof/>
          <w:color w:val="000000"/>
          <w:sz w:val="22"/>
          <w:szCs w:val="22"/>
          <w:lang w:val="sk-SK"/>
        </w:rPr>
        <w:t xml:space="preserve">cilostazolu o 18 % </w:t>
      </w:r>
      <w:r w:rsidR="00F253F6" w:rsidRPr="00A042E5">
        <w:rPr>
          <w:noProof/>
          <w:color w:val="000000"/>
          <w:sz w:val="22"/>
          <w:szCs w:val="22"/>
          <w:lang w:val="sk-SK"/>
        </w:rPr>
        <w:t xml:space="preserve">a AUC cilostazolu </w:t>
      </w:r>
      <w:r w:rsidR="00F253F6">
        <w:rPr>
          <w:noProof/>
          <w:color w:val="000000"/>
          <w:sz w:val="22"/>
          <w:szCs w:val="22"/>
          <w:lang w:val="sk-SK"/>
        </w:rPr>
        <w:t>o</w:t>
      </w:r>
      <w:r w:rsidRPr="00A042E5">
        <w:rPr>
          <w:noProof/>
          <w:color w:val="000000"/>
          <w:sz w:val="22"/>
          <w:szCs w:val="22"/>
          <w:lang w:val="sk-SK"/>
        </w:rPr>
        <w:t> 26 % a </w:t>
      </w:r>
      <w:r w:rsidR="00F253F6" w:rsidRPr="00A042E5">
        <w:rPr>
          <w:noProof/>
          <w:color w:val="000000"/>
          <w:sz w:val="22"/>
          <w:szCs w:val="22"/>
          <w:lang w:val="sk-SK"/>
        </w:rPr>
        <w:t>C</w:t>
      </w:r>
      <w:r w:rsidR="00F253F6" w:rsidRPr="00A042E5">
        <w:rPr>
          <w:noProof/>
          <w:color w:val="000000"/>
          <w:sz w:val="22"/>
          <w:szCs w:val="22"/>
          <w:vertAlign w:val="subscript"/>
          <w:lang w:val="sk-SK"/>
        </w:rPr>
        <w:t>max</w:t>
      </w:r>
      <w:r w:rsidR="00F253F6" w:rsidRPr="00A042E5">
        <w:rPr>
          <w:noProof/>
          <w:color w:val="000000"/>
          <w:sz w:val="22"/>
          <w:szCs w:val="22"/>
          <w:lang w:val="sk-SK"/>
        </w:rPr>
        <w:t xml:space="preserve"> </w:t>
      </w:r>
      <w:r w:rsidRPr="00A042E5">
        <w:rPr>
          <w:noProof/>
          <w:color w:val="000000"/>
          <w:sz w:val="22"/>
          <w:szCs w:val="22"/>
          <w:lang w:val="sk-SK"/>
        </w:rPr>
        <w:t>jedného z jeho aktívnych metabolitov o 29 % a </w:t>
      </w:r>
      <w:r w:rsidR="00F253F6" w:rsidRPr="00A042E5">
        <w:rPr>
          <w:noProof/>
          <w:color w:val="000000"/>
          <w:sz w:val="22"/>
          <w:szCs w:val="22"/>
          <w:lang w:val="sk-SK"/>
        </w:rPr>
        <w:t xml:space="preserve">AUC </w:t>
      </w:r>
      <w:r w:rsidRPr="00A042E5">
        <w:rPr>
          <w:noProof/>
          <w:color w:val="000000"/>
          <w:sz w:val="22"/>
          <w:szCs w:val="22"/>
          <w:lang w:val="sk-SK"/>
        </w:rPr>
        <w:t>o 69 %.</w:t>
      </w:r>
    </w:p>
    <w:p w14:paraId="6FC7380C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8BE2A2E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Fenytoín</w:t>
      </w:r>
    </w:p>
    <w:p w14:paraId="4265106F" w14:textId="5BA67F40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Odporúča sa monitorovať plazmatické koncentrácie fenytoínu počas prvých dvoch týždňov po začatí liečby omeprazolom a ak dôjde k úprave dávky fenytoínu, monitorovanie a ďalšia úprava dávky je potrebná aj po ukončení liečby omeprazolom.</w:t>
      </w:r>
    </w:p>
    <w:p w14:paraId="3A34577A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u w:val="single"/>
          <w:lang w:val="sk-SK"/>
        </w:rPr>
      </w:pPr>
    </w:p>
    <w:p w14:paraId="050CC568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Neznámy mechanizmus</w:t>
      </w:r>
    </w:p>
    <w:p w14:paraId="55FDD157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0554D70B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Sachinavir</w:t>
      </w:r>
    </w:p>
    <w:p w14:paraId="22CA6BB5" w14:textId="1D6C9A9C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Súbežné podávanie omeprazolu so sachinavirom/ritonavirom viedlo k zvýšeniu plazmatických hladín sachinaviru približne až o 70 % spojené s dobrou znášanlivosťou HIV-infikovanými pacientami.</w:t>
      </w:r>
    </w:p>
    <w:p w14:paraId="4A92C6C2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7BDFEFAB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Takrolimus</w:t>
      </w:r>
    </w:p>
    <w:p w14:paraId="58FA623D" w14:textId="18FDF4A3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Pri súbežnom podávaní ome</w:t>
      </w:r>
      <w:r w:rsidR="00A873A1">
        <w:rPr>
          <w:noProof/>
          <w:color w:val="000000"/>
          <w:sz w:val="22"/>
          <w:szCs w:val="22"/>
          <w:lang w:val="sk-SK"/>
        </w:rPr>
        <w:t>p</w:t>
      </w:r>
      <w:r w:rsidRPr="00A042E5">
        <w:rPr>
          <w:noProof/>
          <w:color w:val="000000"/>
          <w:sz w:val="22"/>
          <w:szCs w:val="22"/>
          <w:lang w:val="sk-SK"/>
        </w:rPr>
        <w:t xml:space="preserve">razolu bolo hlásené zvýšenie sérových hladín takrolimu. Má sa </w:t>
      </w:r>
      <w:r w:rsidR="00F253F6">
        <w:rPr>
          <w:noProof/>
          <w:color w:val="000000"/>
          <w:sz w:val="22"/>
          <w:szCs w:val="22"/>
          <w:lang w:val="sk-SK"/>
        </w:rPr>
        <w:t>s</w:t>
      </w:r>
      <w:r w:rsidRPr="00A042E5">
        <w:rPr>
          <w:noProof/>
          <w:color w:val="000000"/>
          <w:sz w:val="22"/>
          <w:szCs w:val="22"/>
          <w:lang w:val="sk-SK"/>
        </w:rPr>
        <w:t>p</w:t>
      </w:r>
      <w:r w:rsidR="00F253F6">
        <w:rPr>
          <w:noProof/>
          <w:color w:val="000000"/>
          <w:sz w:val="22"/>
          <w:szCs w:val="22"/>
          <w:lang w:val="sk-SK"/>
        </w:rPr>
        <w:t>rísniť</w:t>
      </w:r>
      <w:r w:rsidRPr="00A042E5">
        <w:rPr>
          <w:noProof/>
          <w:color w:val="000000"/>
          <w:sz w:val="22"/>
          <w:szCs w:val="22"/>
          <w:lang w:val="sk-SK"/>
        </w:rPr>
        <w:t xml:space="preserve"> sledovanie koncentrácií takrolimu ako aj funkcie obličiek (klírens kreatinínu) a ak je to potrebné, upraviť dávkovanie takrolimu.</w:t>
      </w:r>
    </w:p>
    <w:p w14:paraId="1897A663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</w:p>
    <w:p w14:paraId="0CD6F0D8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  <w:proofErr w:type="spellStart"/>
      <w:r w:rsidRPr="00A042E5">
        <w:rPr>
          <w:i/>
          <w:iCs/>
          <w:sz w:val="22"/>
          <w:szCs w:val="22"/>
          <w:lang w:val="sk-SK"/>
        </w:rPr>
        <w:t>Metotrexát</w:t>
      </w:r>
      <w:proofErr w:type="spellEnd"/>
    </w:p>
    <w:p w14:paraId="2CE24FE2" w14:textId="47897D55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Pri </w:t>
      </w:r>
      <w:r w:rsidR="00F253F6" w:rsidRPr="00A042E5">
        <w:rPr>
          <w:sz w:val="22"/>
          <w:szCs w:val="22"/>
          <w:lang w:val="sk-SK"/>
        </w:rPr>
        <w:t>s</w:t>
      </w:r>
      <w:r w:rsidR="00F253F6">
        <w:rPr>
          <w:sz w:val="22"/>
          <w:szCs w:val="22"/>
          <w:lang w:val="sk-SK"/>
        </w:rPr>
        <w:t>úbežnom</w:t>
      </w:r>
      <w:r w:rsidR="00F253F6" w:rsidRPr="00A042E5">
        <w:rPr>
          <w:sz w:val="22"/>
          <w:szCs w:val="22"/>
          <w:lang w:val="sk-SK"/>
        </w:rPr>
        <w:t xml:space="preserve"> </w:t>
      </w:r>
      <w:r w:rsidRPr="00A042E5">
        <w:rPr>
          <w:sz w:val="22"/>
          <w:szCs w:val="22"/>
          <w:lang w:val="sk-SK"/>
        </w:rPr>
        <w:t xml:space="preserve">podávaní s inhibítormi protónovej pumpy </w:t>
      </w:r>
      <w:r w:rsidR="00F253F6" w:rsidRPr="00A042E5">
        <w:rPr>
          <w:sz w:val="22"/>
          <w:szCs w:val="22"/>
          <w:lang w:val="sk-SK"/>
        </w:rPr>
        <w:t xml:space="preserve">boli </w:t>
      </w:r>
      <w:r w:rsidRPr="00A042E5">
        <w:rPr>
          <w:sz w:val="22"/>
          <w:szCs w:val="22"/>
          <w:lang w:val="sk-SK"/>
        </w:rPr>
        <w:t xml:space="preserve">u niektorých pacientov hlásené zvýšené hladiny </w:t>
      </w:r>
      <w:proofErr w:type="spellStart"/>
      <w:r w:rsidRPr="00A042E5">
        <w:rPr>
          <w:sz w:val="22"/>
          <w:szCs w:val="22"/>
          <w:lang w:val="sk-SK"/>
        </w:rPr>
        <w:t>metotrexátu</w:t>
      </w:r>
      <w:proofErr w:type="spellEnd"/>
      <w:r w:rsidRPr="00A042E5">
        <w:rPr>
          <w:sz w:val="22"/>
          <w:szCs w:val="22"/>
          <w:lang w:val="sk-SK"/>
        </w:rPr>
        <w:t xml:space="preserve">. Pri podávaní vysokých dávok </w:t>
      </w:r>
      <w:proofErr w:type="spellStart"/>
      <w:r w:rsidRPr="00A042E5">
        <w:rPr>
          <w:sz w:val="22"/>
          <w:szCs w:val="22"/>
          <w:lang w:val="sk-SK"/>
        </w:rPr>
        <w:t>metotrexátu</w:t>
      </w:r>
      <w:proofErr w:type="spellEnd"/>
      <w:r w:rsidRPr="00A042E5">
        <w:rPr>
          <w:sz w:val="22"/>
          <w:szCs w:val="22"/>
          <w:lang w:val="sk-SK"/>
        </w:rPr>
        <w:t xml:space="preserve"> môže byť potrebné zvážiť dočasné vysadenie </w:t>
      </w:r>
      <w:proofErr w:type="spellStart"/>
      <w:r w:rsidRPr="00A042E5">
        <w:rPr>
          <w:sz w:val="22"/>
          <w:szCs w:val="22"/>
          <w:lang w:val="sk-SK"/>
        </w:rPr>
        <w:t>omeprazolu</w:t>
      </w:r>
      <w:proofErr w:type="spellEnd"/>
      <w:r w:rsidRPr="00A042E5">
        <w:rPr>
          <w:sz w:val="22"/>
          <w:szCs w:val="22"/>
          <w:lang w:val="sk-SK"/>
        </w:rPr>
        <w:t>.</w:t>
      </w:r>
    </w:p>
    <w:p w14:paraId="011F5A89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E0ED8C" w14:textId="77777777" w:rsidR="00307071" w:rsidRPr="00A042E5" w:rsidRDefault="00307071">
      <w:pPr>
        <w:keepNext/>
        <w:tabs>
          <w:tab w:val="left" w:pos="567"/>
        </w:tabs>
        <w:ind w:right="51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Účinky iných liečiv na farmakokinetiku omeprazolu</w:t>
      </w:r>
    </w:p>
    <w:p w14:paraId="1205DB0C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05B10968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noProof/>
          <w:color w:val="000000"/>
          <w:sz w:val="22"/>
          <w:szCs w:val="22"/>
          <w:u w:val="single"/>
          <w:lang w:val="sk-SK"/>
        </w:rPr>
        <w:t>Inhibítory CYP2C19 a/alebo CYP3A4</w:t>
      </w:r>
    </w:p>
    <w:p w14:paraId="73C292CA" w14:textId="025F309B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highlight w:val="green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Keďže sa omeprazol metabolizuje enzýmami CYP2C19 a CYP3A4, liečivá známe ako inhítory CYP2C19 alebo CYP3A4 (ako je klaritromycín a vorikonazol), môžu spôsobiť zvýšenie sérových hladín omeprazolu znížením rýchlosti metabolizmu omeprazolu. Súbežná liečba vorikonazolom viedla k viac ako k zdvojnásobeniu expozície omeprazolu. Pretože vysoké dávky omeprazolu boli dobre tolerované, nie je všeobecne nutná úprava dávky omeprazolu. Avšak, úprava dávky sa má zvážiť u pacientov so závažn</w:t>
      </w:r>
      <w:r w:rsidR="00A243A2">
        <w:rPr>
          <w:noProof/>
          <w:color w:val="000000"/>
          <w:sz w:val="22"/>
          <w:szCs w:val="22"/>
          <w:lang w:val="sk-SK"/>
        </w:rPr>
        <w:t>ou</w:t>
      </w:r>
      <w:r w:rsidRPr="00A042E5">
        <w:rPr>
          <w:noProof/>
          <w:color w:val="000000"/>
          <w:sz w:val="22"/>
          <w:szCs w:val="22"/>
          <w:lang w:val="sk-SK"/>
        </w:rPr>
        <w:t xml:space="preserve"> </w:t>
      </w:r>
      <w:r w:rsidR="00A243A2">
        <w:rPr>
          <w:noProof/>
          <w:color w:val="000000"/>
          <w:sz w:val="22"/>
          <w:szCs w:val="22"/>
          <w:lang w:val="sk-SK"/>
        </w:rPr>
        <w:t>poruchou</w:t>
      </w:r>
      <w:r w:rsidRPr="00A042E5">
        <w:rPr>
          <w:noProof/>
          <w:color w:val="000000"/>
          <w:sz w:val="22"/>
          <w:szCs w:val="22"/>
          <w:lang w:val="sk-SK"/>
        </w:rPr>
        <w:t xml:space="preserve"> funkcie pečene a ak je indikovaná dlhodobá liečba.</w:t>
      </w:r>
    </w:p>
    <w:p w14:paraId="0A8633D4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597EFF31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noProof/>
          <w:color w:val="000000"/>
          <w:sz w:val="22"/>
          <w:szCs w:val="22"/>
          <w:u w:val="single"/>
          <w:lang w:val="sk-SK"/>
        </w:rPr>
        <w:t>Induktory CYP2C19 a/alebo CYP3A4</w:t>
      </w:r>
    </w:p>
    <w:p w14:paraId="7810D6F6" w14:textId="18D8674E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Liečivá známe ako induktory enzýmov CYP2C19 alebo CYP3A4 alebo obidvoch (ako je rifampicín a ľubovník bodkovaný), môžu spôsobiť zníženie sérových hladín omeprazolu zvýšením rýchlosti metabolizmu omeprazolu.</w:t>
      </w:r>
    </w:p>
    <w:p w14:paraId="3913853E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3CEB6853" w14:textId="40FFC945" w:rsidR="00307071" w:rsidRPr="00A042E5" w:rsidRDefault="00307071" w:rsidP="00EE06E8">
      <w:pPr>
        <w:keepNext/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 w:eastAsia="sk-SK"/>
        </w:rPr>
      </w:pPr>
      <w:r w:rsidRPr="00A042E5">
        <w:rPr>
          <w:b/>
          <w:bCs/>
          <w:sz w:val="22"/>
          <w:szCs w:val="22"/>
          <w:lang w:val="sk-SK" w:eastAsia="sk-SK"/>
        </w:rPr>
        <w:t>4.6</w:t>
      </w:r>
      <w:r w:rsidRPr="00A042E5">
        <w:rPr>
          <w:b/>
          <w:bCs/>
          <w:sz w:val="22"/>
          <w:szCs w:val="22"/>
          <w:lang w:val="sk-SK" w:eastAsia="sk-SK"/>
        </w:rPr>
        <w:tab/>
      </w:r>
      <w:proofErr w:type="spellStart"/>
      <w:r w:rsidRPr="00A042E5">
        <w:rPr>
          <w:b/>
          <w:bCs/>
          <w:sz w:val="22"/>
          <w:szCs w:val="22"/>
          <w:lang w:val="sk-SK" w:eastAsia="sk-SK"/>
        </w:rPr>
        <w:t>Fertilita</w:t>
      </w:r>
      <w:proofErr w:type="spellEnd"/>
      <w:r w:rsidRPr="00A042E5">
        <w:rPr>
          <w:b/>
          <w:bCs/>
          <w:sz w:val="22"/>
          <w:szCs w:val="22"/>
          <w:lang w:val="sk-SK" w:eastAsia="sk-SK"/>
        </w:rPr>
        <w:t>, gravidita a laktácia</w:t>
      </w:r>
    </w:p>
    <w:p w14:paraId="2E0E18F6" w14:textId="77777777" w:rsidR="00307071" w:rsidRPr="00A042E5" w:rsidRDefault="00307071" w:rsidP="00EE06E8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DE062EA" w14:textId="77777777" w:rsidR="00A243A2" w:rsidRPr="00A368C6" w:rsidRDefault="00A243A2" w:rsidP="00EE06E8">
      <w:pPr>
        <w:keepNext/>
        <w:rPr>
          <w:noProof/>
          <w:sz w:val="22"/>
          <w:szCs w:val="22"/>
          <w:lang w:val="sk-SK"/>
        </w:rPr>
      </w:pPr>
      <w:r w:rsidRPr="00A368C6">
        <w:rPr>
          <w:noProof/>
          <w:sz w:val="22"/>
          <w:szCs w:val="22"/>
          <w:u w:val="single"/>
          <w:lang w:val="sk-SK"/>
        </w:rPr>
        <w:t>Gravidita</w:t>
      </w:r>
    </w:p>
    <w:p w14:paraId="29952892" w14:textId="3AA55A93" w:rsidR="00307071" w:rsidRPr="00A042E5" w:rsidRDefault="00307071" w:rsidP="00EE06E8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Výsledky troch </w:t>
      </w:r>
      <w:proofErr w:type="spellStart"/>
      <w:r w:rsidRPr="00A042E5">
        <w:rPr>
          <w:sz w:val="22"/>
          <w:szCs w:val="22"/>
          <w:lang w:val="sk-SK" w:eastAsia="sk-SK"/>
        </w:rPr>
        <w:t>prospektívnych</w:t>
      </w:r>
      <w:proofErr w:type="spellEnd"/>
      <w:r w:rsidRPr="00A042E5">
        <w:rPr>
          <w:sz w:val="22"/>
          <w:szCs w:val="22"/>
          <w:lang w:val="sk-SK" w:eastAsia="sk-SK"/>
        </w:rPr>
        <w:t xml:space="preserve"> epidemiologických štúdií (viac </w:t>
      </w:r>
      <w:r w:rsidR="00A243A2">
        <w:rPr>
          <w:sz w:val="22"/>
          <w:szCs w:val="22"/>
          <w:lang w:val="sk-SK" w:eastAsia="sk-SK"/>
        </w:rPr>
        <w:t>ako</w:t>
      </w:r>
      <w:r w:rsidRPr="00A042E5">
        <w:rPr>
          <w:sz w:val="22"/>
          <w:szCs w:val="22"/>
          <w:lang w:val="sk-SK" w:eastAsia="sk-SK"/>
        </w:rPr>
        <w:t xml:space="preserve"> 1 000 expozícií)</w:t>
      </w:r>
      <w:r w:rsidR="00A243A2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ukázali, že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nemá žiadne negatívne pôsobenie v gravidite, ani na zdravie plodu/novorodenca.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sa môže užívať v gravidite.</w:t>
      </w:r>
    </w:p>
    <w:p w14:paraId="5A422E1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7F0473C" w14:textId="77777777" w:rsidR="00A243A2" w:rsidRPr="00A368C6" w:rsidRDefault="00A243A2" w:rsidP="00A243A2">
      <w:pPr>
        <w:rPr>
          <w:noProof/>
          <w:sz w:val="22"/>
          <w:szCs w:val="22"/>
          <w:lang w:val="sk-SK"/>
        </w:rPr>
      </w:pPr>
      <w:r w:rsidRPr="00A368C6">
        <w:rPr>
          <w:noProof/>
          <w:sz w:val="22"/>
          <w:szCs w:val="22"/>
          <w:u w:val="single"/>
          <w:lang w:val="sk-SK"/>
        </w:rPr>
        <w:t>Dojčenie</w:t>
      </w:r>
    </w:p>
    <w:p w14:paraId="17E998D3" w14:textId="311ECE8F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sa vylučuje do materského mlieka, ale je nepravdepodobné, že ovplyvň</w:t>
      </w:r>
      <w:r w:rsidR="00FC02BD">
        <w:rPr>
          <w:sz w:val="22"/>
          <w:szCs w:val="22"/>
          <w:lang w:val="sk-SK" w:eastAsia="sk-SK"/>
        </w:rPr>
        <w:t>uje</w:t>
      </w:r>
      <w:r w:rsidRPr="00A042E5">
        <w:rPr>
          <w:sz w:val="22"/>
          <w:szCs w:val="22"/>
          <w:lang w:val="sk-SK" w:eastAsia="sk-SK"/>
        </w:rPr>
        <w:t xml:space="preserve"> dojča pri terapeutických dávkach.</w:t>
      </w:r>
    </w:p>
    <w:p w14:paraId="779889D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1EC662E" w14:textId="77777777" w:rsidR="00C056E7" w:rsidRPr="008E60CE" w:rsidRDefault="00C056E7" w:rsidP="00C056E7">
      <w:pPr>
        <w:rPr>
          <w:sz w:val="22"/>
          <w:szCs w:val="22"/>
          <w:lang w:val="sk-SK" w:eastAsia="sk-SK"/>
        </w:rPr>
      </w:pPr>
      <w:r w:rsidRPr="008E60CE">
        <w:rPr>
          <w:noProof/>
          <w:sz w:val="22"/>
          <w:szCs w:val="22"/>
          <w:u w:val="single"/>
        </w:rPr>
        <w:t>Fertilita</w:t>
      </w:r>
    </w:p>
    <w:p w14:paraId="3019352D" w14:textId="0B59A4F5" w:rsidR="00C056E7" w:rsidRPr="00A368C6" w:rsidRDefault="00C056E7" w:rsidP="00C056E7">
      <w:pPr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Štúdie na zvieratách s </w:t>
      </w:r>
      <w:proofErr w:type="spellStart"/>
      <w:r w:rsidRPr="00A368C6">
        <w:rPr>
          <w:sz w:val="22"/>
          <w:szCs w:val="22"/>
          <w:lang w:val="sk-SK"/>
        </w:rPr>
        <w:t>racemickou</w:t>
      </w:r>
      <w:proofErr w:type="spellEnd"/>
      <w:r w:rsidRPr="00A368C6">
        <w:rPr>
          <w:sz w:val="22"/>
          <w:szCs w:val="22"/>
          <w:lang w:val="sk-SK"/>
        </w:rPr>
        <w:t xml:space="preserve"> zmesou </w:t>
      </w:r>
      <w:proofErr w:type="spellStart"/>
      <w:r w:rsidRPr="00A368C6">
        <w:rPr>
          <w:sz w:val="22"/>
          <w:szCs w:val="22"/>
          <w:lang w:val="sk-SK"/>
        </w:rPr>
        <w:t>omeprazolu</w:t>
      </w:r>
      <w:proofErr w:type="spellEnd"/>
      <w:r w:rsidR="00FC02BD">
        <w:rPr>
          <w:sz w:val="22"/>
          <w:szCs w:val="22"/>
          <w:lang w:val="sk-SK"/>
        </w:rPr>
        <w:t>, podávanou perorálne</w:t>
      </w:r>
      <w:r w:rsidRPr="00A368C6">
        <w:rPr>
          <w:sz w:val="22"/>
          <w:szCs w:val="22"/>
          <w:lang w:val="sk-SK"/>
        </w:rPr>
        <w:t xml:space="preserve"> nenaznačujú vplyv na </w:t>
      </w:r>
      <w:proofErr w:type="spellStart"/>
      <w:r w:rsidRPr="00A368C6">
        <w:rPr>
          <w:sz w:val="22"/>
          <w:szCs w:val="22"/>
          <w:lang w:val="sk-SK"/>
        </w:rPr>
        <w:t>fertilitu</w:t>
      </w:r>
      <w:proofErr w:type="spellEnd"/>
      <w:r w:rsidRPr="00A368C6">
        <w:rPr>
          <w:sz w:val="22"/>
          <w:szCs w:val="22"/>
          <w:lang w:val="sk-SK"/>
        </w:rPr>
        <w:t>.</w:t>
      </w:r>
    </w:p>
    <w:p w14:paraId="5219D0F2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4371A656" w14:textId="77777777" w:rsidR="00307071" w:rsidRPr="00A042E5" w:rsidRDefault="00307071" w:rsidP="00A368C6">
      <w:pPr>
        <w:keepNext/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lastRenderedPageBreak/>
        <w:t>4.7</w:t>
      </w:r>
      <w:r w:rsidRPr="00A042E5">
        <w:rPr>
          <w:b/>
          <w:sz w:val="22"/>
          <w:szCs w:val="22"/>
          <w:lang w:val="sk-SK" w:eastAsia="sk-SK"/>
        </w:rPr>
        <w:tab/>
        <w:t>Ovplyvnenie schopnosti viesť vozidlá a obsluhovať stroje</w:t>
      </w:r>
    </w:p>
    <w:p w14:paraId="7A070396" w14:textId="77777777" w:rsidR="00307071" w:rsidRPr="00A042E5" w:rsidRDefault="00307071" w:rsidP="00A368C6">
      <w:pPr>
        <w:keepNext/>
        <w:widowControl w:val="0"/>
        <w:tabs>
          <w:tab w:val="left" w:pos="-1440"/>
          <w:tab w:val="left" w:pos="-720"/>
        </w:tabs>
        <w:rPr>
          <w:sz w:val="22"/>
          <w:szCs w:val="22"/>
          <w:lang w:val="sk-SK" w:eastAsia="sk-SK"/>
        </w:rPr>
      </w:pPr>
    </w:p>
    <w:p w14:paraId="7A21833B" w14:textId="0A277CD5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Je nepravdepodobné, že </w:t>
      </w:r>
      <w:proofErr w:type="spellStart"/>
      <w:r w:rsidR="00D140C3" w:rsidRPr="00A042E5">
        <w:rPr>
          <w:sz w:val="22"/>
          <w:szCs w:val="22"/>
          <w:lang w:val="sk-SK" w:eastAsia="sk-SK"/>
        </w:rPr>
        <w:t>Helicid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D140C3" w:rsidRPr="00A042E5">
        <w:rPr>
          <w:sz w:val="22"/>
          <w:szCs w:val="22"/>
          <w:lang w:val="sk-SK" w:eastAsia="sk-SK"/>
        </w:rPr>
        <w:t xml:space="preserve">40 </w:t>
      </w:r>
      <w:r w:rsidRPr="00A042E5">
        <w:rPr>
          <w:sz w:val="22"/>
          <w:szCs w:val="22"/>
          <w:lang w:val="sk-SK" w:eastAsia="sk-SK"/>
        </w:rPr>
        <w:t>ovplyvň</w:t>
      </w:r>
      <w:r w:rsidR="00FC02BD">
        <w:rPr>
          <w:sz w:val="22"/>
          <w:szCs w:val="22"/>
          <w:lang w:val="sk-SK" w:eastAsia="sk-SK"/>
        </w:rPr>
        <w:t>uje</w:t>
      </w:r>
      <w:r w:rsidRPr="00A042E5">
        <w:rPr>
          <w:sz w:val="22"/>
          <w:szCs w:val="22"/>
          <w:lang w:val="sk-SK" w:eastAsia="sk-SK"/>
        </w:rPr>
        <w:t xml:space="preserve"> schopnosť viesť vozidlá a</w:t>
      </w:r>
      <w:r w:rsidR="00C056E7">
        <w:rPr>
          <w:sz w:val="22"/>
          <w:szCs w:val="22"/>
          <w:lang w:val="sk-SK" w:eastAsia="sk-SK"/>
        </w:rPr>
        <w:t>lebo</w:t>
      </w:r>
      <w:r w:rsidRPr="00A042E5">
        <w:rPr>
          <w:sz w:val="22"/>
          <w:szCs w:val="22"/>
          <w:lang w:val="sk-SK" w:eastAsia="sk-SK"/>
        </w:rPr>
        <w:t xml:space="preserve"> obsluhovať stroje. Môžu sa vyskytnúť nežiaduce reakcie ako sú závrat a poruchy zraku (pozri časť 4.8). Ak sa prejavia, pacienti nemajú viesť vozidlá alebo obsluhovať stroje.</w:t>
      </w:r>
    </w:p>
    <w:p w14:paraId="72B46471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0D7E468E" w14:textId="77777777" w:rsidR="00307071" w:rsidRPr="00FC02BD" w:rsidRDefault="00307071" w:rsidP="000D345C">
      <w:pPr>
        <w:keepNext/>
        <w:numPr>
          <w:ilvl w:val="1"/>
          <w:numId w:val="30"/>
        </w:numPr>
        <w:tabs>
          <w:tab w:val="clear" w:pos="720"/>
          <w:tab w:val="num" w:pos="567"/>
        </w:tabs>
        <w:spacing w:line="260" w:lineRule="exact"/>
        <w:ind w:left="567" w:hanging="567"/>
        <w:outlineLvl w:val="1"/>
        <w:rPr>
          <w:b/>
          <w:sz w:val="22"/>
          <w:szCs w:val="22"/>
          <w:lang w:val="sk-SK" w:eastAsia="cs-CZ"/>
        </w:rPr>
      </w:pPr>
      <w:r w:rsidRPr="00FC02BD">
        <w:rPr>
          <w:b/>
          <w:sz w:val="22"/>
          <w:szCs w:val="22"/>
          <w:lang w:val="sk-SK" w:eastAsia="cs-CZ"/>
        </w:rPr>
        <w:t>Nežiaduce účinky</w:t>
      </w:r>
    </w:p>
    <w:p w14:paraId="406560AC" w14:textId="77777777" w:rsidR="00307071" w:rsidRPr="00A042E5" w:rsidRDefault="00307071" w:rsidP="00A042E5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color w:val="000000"/>
          <w:sz w:val="22"/>
          <w:szCs w:val="22"/>
          <w:lang w:val="sk-SK"/>
        </w:rPr>
      </w:pPr>
    </w:p>
    <w:p w14:paraId="0C3A6AF9" w14:textId="77777777" w:rsidR="00C056E7" w:rsidRPr="008E60CE" w:rsidRDefault="00C056E7" w:rsidP="00C056E7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8E60CE">
        <w:rPr>
          <w:sz w:val="22"/>
          <w:szCs w:val="22"/>
          <w:u w:val="single"/>
        </w:rPr>
        <w:t>Súhrn</w:t>
      </w:r>
      <w:proofErr w:type="spellEnd"/>
      <w:r w:rsidRPr="008E60CE">
        <w:rPr>
          <w:sz w:val="22"/>
          <w:szCs w:val="22"/>
          <w:u w:val="single"/>
        </w:rPr>
        <w:t xml:space="preserve"> </w:t>
      </w:r>
      <w:proofErr w:type="spellStart"/>
      <w:r w:rsidRPr="008E60CE">
        <w:rPr>
          <w:sz w:val="22"/>
          <w:szCs w:val="22"/>
          <w:u w:val="single"/>
        </w:rPr>
        <w:t>bezpečnostného</w:t>
      </w:r>
      <w:proofErr w:type="spellEnd"/>
      <w:r w:rsidRPr="008E60CE">
        <w:rPr>
          <w:sz w:val="22"/>
          <w:szCs w:val="22"/>
          <w:u w:val="single"/>
        </w:rPr>
        <w:t xml:space="preserve"> </w:t>
      </w:r>
      <w:proofErr w:type="spellStart"/>
      <w:r w:rsidRPr="008E60CE">
        <w:rPr>
          <w:sz w:val="22"/>
          <w:szCs w:val="22"/>
          <w:u w:val="single"/>
        </w:rPr>
        <w:t>profilu</w:t>
      </w:r>
      <w:proofErr w:type="spellEnd"/>
    </w:p>
    <w:p w14:paraId="382686AF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Najčastejšie vedľajšie účinky (1 – 10 % pacientov) sú bolesť hlavy, bolesť brucha, zápcha, hnačka, plynatosť a nauzea/vracanie.</w:t>
      </w:r>
    </w:p>
    <w:p w14:paraId="3909B234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4064B6F" w14:textId="74909317" w:rsidR="00C056E7" w:rsidRPr="00A368C6" w:rsidRDefault="00C056E7" w:rsidP="000D345C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368C6">
        <w:rPr>
          <w:sz w:val="22"/>
          <w:szCs w:val="22"/>
          <w:u w:val="single"/>
          <w:lang w:val="sk-SK"/>
        </w:rPr>
        <w:t xml:space="preserve">Tabuľkový zoznam nežiaducich </w:t>
      </w:r>
      <w:r w:rsidR="00632096" w:rsidRPr="00A368C6">
        <w:rPr>
          <w:sz w:val="22"/>
          <w:szCs w:val="22"/>
          <w:u w:val="single"/>
          <w:lang w:val="sk-SK"/>
        </w:rPr>
        <w:t>reakcií</w:t>
      </w:r>
    </w:p>
    <w:p w14:paraId="4088B34C" w14:textId="3F19C182" w:rsidR="00307071" w:rsidRPr="00A042E5" w:rsidRDefault="00307071" w:rsidP="000D345C">
      <w:pPr>
        <w:keepNext/>
        <w:tabs>
          <w:tab w:val="left" w:pos="567"/>
        </w:tabs>
        <w:ind w:right="49"/>
        <w:rPr>
          <w:iCs/>
          <w:noProof/>
          <w:color w:val="000000"/>
          <w:sz w:val="22"/>
          <w:szCs w:val="22"/>
          <w:lang w:val="sk-SK"/>
        </w:rPr>
      </w:pPr>
      <w:r w:rsidRPr="00A042E5">
        <w:rPr>
          <w:bCs/>
          <w:noProof/>
          <w:color w:val="000000"/>
          <w:sz w:val="22"/>
          <w:szCs w:val="22"/>
          <w:lang w:val="sk-SK"/>
        </w:rPr>
        <w:t>V programe klinických štúdií pre omeprazol a po uvedení lieku na trh sa identifikovali nasledujúce nežiaduce liekové reakcie alebo sa zaznamenalo podozrenie na ne. O žiadnej reakcii sa nezistilo, že súvis</w:t>
      </w:r>
      <w:r w:rsidR="00FC02BD">
        <w:rPr>
          <w:bCs/>
          <w:noProof/>
          <w:color w:val="000000"/>
          <w:sz w:val="22"/>
          <w:szCs w:val="22"/>
          <w:lang w:val="sk-SK"/>
        </w:rPr>
        <w:t>í</w:t>
      </w:r>
      <w:r w:rsidRPr="00A042E5">
        <w:rPr>
          <w:bCs/>
          <w:noProof/>
          <w:color w:val="000000"/>
          <w:sz w:val="22"/>
          <w:szCs w:val="22"/>
          <w:lang w:val="sk-SK"/>
        </w:rPr>
        <w:t xml:space="preserve"> s dávkou. Nežiaduce reakcie uvedené nižšie sú klasifikované podľa frekvencie a tried orgánových systémov (TOS). Kategórie frekvencie sú definované podľa nasledujúcej konvencie: veľmi časté (</w:t>
      </w:r>
      <w:r w:rsidR="00970E9C" w:rsidRPr="00970E9C">
        <w:rPr>
          <w:sz w:val="22"/>
          <w:szCs w:val="22"/>
          <w:lang w:val="pl-PL"/>
        </w:rPr>
        <w:sym w:font="Symbol" w:char="F0B3"/>
      </w:r>
      <w:r w:rsidRPr="00A042E5">
        <w:rPr>
          <w:bCs/>
          <w:noProof/>
          <w:color w:val="000000"/>
          <w:sz w:val="22"/>
          <w:szCs w:val="22"/>
          <w:lang w:val="sk-SK"/>
        </w:rPr>
        <w:t> 1/10), č</w:t>
      </w:r>
      <w:r w:rsidRPr="00A042E5">
        <w:rPr>
          <w:iCs/>
          <w:noProof/>
          <w:color w:val="000000"/>
          <w:sz w:val="22"/>
          <w:szCs w:val="22"/>
          <w:lang w:val="sk-SK"/>
        </w:rPr>
        <w:t>asté (</w:t>
      </w:r>
      <w:r w:rsidR="00970E9C" w:rsidRPr="000D345C">
        <w:rPr>
          <w:sz w:val="22"/>
          <w:szCs w:val="22"/>
          <w:lang w:val="pl-PL"/>
        </w:rPr>
        <w:sym w:font="Symbol" w:char="F0B3"/>
      </w:r>
      <w:r w:rsidRPr="00A042E5">
        <w:rPr>
          <w:iCs/>
          <w:noProof/>
          <w:color w:val="000000"/>
          <w:sz w:val="22"/>
          <w:szCs w:val="22"/>
          <w:lang w:val="sk-SK"/>
        </w:rPr>
        <w:t> 1/100</w:t>
      </w:r>
      <w:r w:rsidR="00970E9C">
        <w:rPr>
          <w:iCs/>
          <w:noProof/>
          <w:color w:val="000000"/>
          <w:sz w:val="22"/>
          <w:szCs w:val="22"/>
          <w:lang w:val="sk-SK"/>
        </w:rPr>
        <w:t xml:space="preserve"> až</w:t>
      </w:r>
      <w:r w:rsidRPr="00A042E5">
        <w:rPr>
          <w:iCs/>
          <w:noProof/>
          <w:color w:val="000000"/>
          <w:sz w:val="22"/>
          <w:szCs w:val="22"/>
          <w:lang w:val="sk-SK"/>
        </w:rPr>
        <w:t xml:space="preserve"> &lt; 1/10), m</w:t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>enej časté (</w:t>
      </w:r>
      <w:r w:rsidR="00970E9C" w:rsidRPr="00AB229F">
        <w:rPr>
          <w:sz w:val="22"/>
          <w:szCs w:val="22"/>
          <w:lang w:val="pl-PL"/>
        </w:rPr>
        <w:sym w:font="Symbol" w:char="F0B3"/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> 1/1 000</w:t>
      </w:r>
      <w:r w:rsidR="00970E9C">
        <w:rPr>
          <w:bCs/>
          <w:iCs/>
          <w:noProof/>
          <w:color w:val="000000"/>
          <w:sz w:val="22"/>
          <w:szCs w:val="22"/>
          <w:lang w:val="sk-SK"/>
        </w:rPr>
        <w:t xml:space="preserve"> až</w:t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 xml:space="preserve"> &lt; 1/100), z</w:t>
      </w:r>
      <w:r w:rsidRPr="00A042E5">
        <w:rPr>
          <w:iCs/>
          <w:noProof/>
          <w:color w:val="000000"/>
          <w:sz w:val="22"/>
          <w:szCs w:val="22"/>
          <w:lang w:val="sk-SK"/>
        </w:rPr>
        <w:t>riedkavé (</w:t>
      </w:r>
      <w:r w:rsidR="00970E9C" w:rsidRPr="00AB229F">
        <w:rPr>
          <w:sz w:val="22"/>
          <w:szCs w:val="22"/>
          <w:lang w:val="pl-PL"/>
        </w:rPr>
        <w:sym w:font="Symbol" w:char="F0B3"/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> </w:t>
      </w:r>
      <w:r w:rsidRPr="00A042E5">
        <w:rPr>
          <w:iCs/>
          <w:noProof/>
          <w:color w:val="000000"/>
          <w:sz w:val="22"/>
          <w:szCs w:val="22"/>
          <w:lang w:val="sk-SK"/>
        </w:rPr>
        <w:t>1/10 000</w:t>
      </w:r>
      <w:r w:rsidR="00970E9C">
        <w:rPr>
          <w:iCs/>
          <w:noProof/>
          <w:color w:val="000000"/>
          <w:sz w:val="22"/>
          <w:szCs w:val="22"/>
          <w:lang w:val="sk-SK"/>
        </w:rPr>
        <w:t xml:space="preserve"> až</w:t>
      </w:r>
      <w:r w:rsidRPr="00A042E5">
        <w:rPr>
          <w:iCs/>
          <w:noProof/>
          <w:color w:val="000000"/>
          <w:sz w:val="22"/>
          <w:szCs w:val="22"/>
          <w:lang w:val="sk-SK"/>
        </w:rPr>
        <w:t xml:space="preserve"> &lt; 1/1 000), veľmi zriedkavé (&lt; 1/10 000), neznáme (nemožno odhadnúť z</w:t>
      </w:r>
      <w:r w:rsidR="00970E9C">
        <w:rPr>
          <w:iCs/>
          <w:noProof/>
          <w:color w:val="000000"/>
          <w:sz w:val="22"/>
          <w:szCs w:val="22"/>
          <w:lang w:val="sk-SK"/>
        </w:rPr>
        <w:t> </w:t>
      </w:r>
      <w:r w:rsidRPr="00A042E5">
        <w:rPr>
          <w:iCs/>
          <w:noProof/>
          <w:color w:val="000000"/>
          <w:sz w:val="22"/>
          <w:szCs w:val="22"/>
          <w:lang w:val="sk-SK"/>
        </w:rPr>
        <w:t>dostupných údajov).</w:t>
      </w:r>
    </w:p>
    <w:p w14:paraId="57533982" w14:textId="77777777" w:rsidR="00307071" w:rsidRPr="00A042E5" w:rsidRDefault="00307071">
      <w:pPr>
        <w:tabs>
          <w:tab w:val="left" w:pos="567"/>
        </w:tabs>
        <w:spacing w:line="260" w:lineRule="exact"/>
        <w:rPr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3000"/>
        <w:gridCol w:w="5458"/>
      </w:tblGrid>
      <w:tr w:rsidR="00307071" w:rsidRPr="00A042E5" w14:paraId="058AAC3F" w14:textId="77777777" w:rsidTr="004D39BA">
        <w:trPr>
          <w:cantSplit/>
          <w:trHeight w:val="293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1455" w14:textId="77777777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noProof/>
                <w:color w:val="000000"/>
                <w:sz w:val="22"/>
                <w:szCs w:val="22"/>
                <w:lang w:val="sk-SK"/>
              </w:rPr>
              <w:t>TOS/frekvencia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2CE21" w14:textId="77777777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noProof/>
                <w:color w:val="000000"/>
                <w:sz w:val="22"/>
                <w:szCs w:val="22"/>
                <w:lang w:val="sk-SK"/>
              </w:rPr>
              <w:t>Nežiaduca reakcia</w:t>
            </w:r>
          </w:p>
        </w:tc>
      </w:tr>
      <w:tr w:rsidR="00307071" w:rsidRPr="00A042E5" w14:paraId="4A8E9F21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FEA1B6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307071" w:rsidRPr="00A042E5" w14:paraId="6F29CA43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90ED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73A912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Leukopénia, trombocytopénia</w:t>
            </w:r>
          </w:p>
        </w:tc>
      </w:tr>
      <w:tr w:rsidR="00307071" w:rsidRPr="00A042E5" w14:paraId="0BEA30A7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6B6B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2C41C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Agranulocytóza, pancytopénia</w:t>
            </w:r>
          </w:p>
        </w:tc>
      </w:tr>
      <w:tr w:rsidR="00307071" w:rsidRPr="00A042E5" w14:paraId="24DD3AA5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593F46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307071" w:rsidRPr="0070683D" w14:paraId="3761D7F6" w14:textId="77777777" w:rsidTr="004D39BA">
        <w:trPr>
          <w:cantSplit/>
          <w:trHeight w:val="54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9A17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74F81" w14:textId="5A217626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Hypersenzitívne reakcie napr. horúčka, angioedém a</w:t>
            </w:r>
            <w:r w:rsidR="00FC02BD">
              <w:rPr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anafylaktická reakcia/šok</w:t>
            </w:r>
          </w:p>
        </w:tc>
      </w:tr>
      <w:tr w:rsidR="00307071" w:rsidRPr="00A042E5" w14:paraId="7EDAE16A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A6D8E0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307071" w:rsidRPr="00A042E5" w14:paraId="5D29DE8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89C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DFA0D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Hyponatriémia</w:t>
            </w:r>
          </w:p>
        </w:tc>
      </w:tr>
      <w:tr w:rsidR="00307071" w:rsidRPr="0070683D" w14:paraId="3FD71994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9287" w14:textId="581FB720" w:rsidR="00307071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>
              <w:rPr>
                <w:noProof/>
                <w:color w:val="000000"/>
                <w:sz w:val="22"/>
                <w:szCs w:val="22"/>
                <w:lang w:val="sk-SK"/>
              </w:rPr>
              <w:t>N</w:t>
            </w:r>
            <w:r w:rsidR="00307071" w:rsidRPr="00A042E5">
              <w:rPr>
                <w:noProof/>
                <w:color w:val="000000"/>
                <w:sz w:val="22"/>
                <w:szCs w:val="22"/>
                <w:lang w:val="sk-SK"/>
              </w:rPr>
              <w:t>eznám</w:t>
            </w:r>
            <w:r>
              <w:rPr>
                <w:noProof/>
                <w:color w:val="000000"/>
                <w:sz w:val="22"/>
                <w:szCs w:val="22"/>
                <w:lang w:val="sk-SK"/>
              </w:rPr>
              <w:t>e</w:t>
            </w:r>
            <w:r w:rsidR="00307071" w:rsidRPr="00A042E5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410D93" w14:textId="50BE70C3" w:rsidR="007F1614" w:rsidRPr="00A368C6" w:rsidRDefault="00307071" w:rsidP="007F1614">
            <w:pPr>
              <w:tabs>
                <w:tab w:val="left" w:pos="850"/>
              </w:tabs>
              <w:spacing w:line="260" w:lineRule="exact"/>
              <w:rPr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Hypomagneziémia</w:t>
            </w:r>
            <w:r w:rsidR="007F1614" w:rsidRPr="00A368C6">
              <w:rPr>
                <w:sz w:val="22"/>
                <w:szCs w:val="22"/>
                <w:lang w:val="sk-SK"/>
              </w:rPr>
              <w:t xml:space="preserve">, závažná </w:t>
            </w:r>
            <w:proofErr w:type="spellStart"/>
            <w:r w:rsidR="007F1614" w:rsidRPr="00A368C6">
              <w:rPr>
                <w:sz w:val="22"/>
                <w:szCs w:val="22"/>
                <w:lang w:val="sk-SK"/>
              </w:rPr>
              <w:t>hypomagneziémia</w:t>
            </w:r>
            <w:proofErr w:type="spellEnd"/>
            <w:r w:rsidR="007F1614" w:rsidRPr="00A368C6">
              <w:rPr>
                <w:sz w:val="22"/>
                <w:szCs w:val="22"/>
                <w:lang w:val="sk-SK"/>
              </w:rPr>
              <w:t xml:space="preserve"> môže viesť k </w:t>
            </w:r>
            <w:proofErr w:type="spellStart"/>
            <w:r w:rsidR="007F1614" w:rsidRPr="00A368C6">
              <w:rPr>
                <w:sz w:val="22"/>
                <w:szCs w:val="22"/>
                <w:lang w:val="sk-SK"/>
              </w:rPr>
              <w:t>hypokalciémii</w:t>
            </w:r>
            <w:proofErr w:type="spellEnd"/>
            <w:r w:rsidR="007F1614" w:rsidRPr="00A368C6">
              <w:rPr>
                <w:sz w:val="22"/>
                <w:szCs w:val="22"/>
                <w:lang w:val="sk-SK"/>
              </w:rPr>
              <w:t>.</w:t>
            </w:r>
          </w:p>
          <w:p w14:paraId="4AB293A6" w14:textId="77777777" w:rsidR="00307071" w:rsidRPr="000D345C" w:rsidRDefault="007F1614" w:rsidP="007F1614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proofErr w:type="spellStart"/>
            <w:r w:rsidRPr="00A368C6">
              <w:rPr>
                <w:sz w:val="22"/>
                <w:szCs w:val="22"/>
                <w:lang w:val="sk-SK"/>
              </w:rPr>
              <w:t>Hypomagneziémia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sa môže spájať aj s </w:t>
            </w:r>
            <w:proofErr w:type="spellStart"/>
            <w:r w:rsidRPr="00A368C6">
              <w:rPr>
                <w:sz w:val="22"/>
                <w:szCs w:val="22"/>
                <w:lang w:val="sk-SK"/>
              </w:rPr>
              <w:t>hypokaliémiou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>.</w:t>
            </w:r>
          </w:p>
        </w:tc>
      </w:tr>
      <w:tr w:rsidR="00307071" w:rsidRPr="00A042E5" w14:paraId="3B091CF8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FD072D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Psychické poruchy</w:t>
            </w:r>
          </w:p>
        </w:tc>
      </w:tr>
      <w:tr w:rsidR="00307071" w:rsidRPr="00A042E5" w14:paraId="4FAA6AB5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24D7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748A2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Insomnia</w:t>
            </w:r>
          </w:p>
        </w:tc>
      </w:tr>
      <w:tr w:rsidR="00307071" w:rsidRPr="00A042E5" w14:paraId="7C842B1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854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1173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Agitácia, zmätenosť, depresia</w:t>
            </w:r>
          </w:p>
        </w:tc>
      </w:tr>
      <w:tr w:rsidR="00307071" w:rsidRPr="00A042E5" w14:paraId="65489799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CFB9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BE477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Agresivita, halucinácie</w:t>
            </w:r>
          </w:p>
        </w:tc>
      </w:tr>
      <w:tr w:rsidR="00307071" w:rsidRPr="00A042E5" w14:paraId="1053160D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ECB7C7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307071" w:rsidRPr="00A042E5" w14:paraId="076E210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B28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noProof/>
                <w:color w:val="000000"/>
                <w:sz w:val="22"/>
                <w:szCs w:val="22"/>
                <w:lang w:val="sk-SK"/>
              </w:rPr>
              <w:t>Č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asté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A1180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Bolesť hlavy</w:t>
            </w:r>
          </w:p>
        </w:tc>
      </w:tr>
      <w:tr w:rsidR="00307071" w:rsidRPr="00A042E5" w14:paraId="21EC575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1F54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1C90D0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Závrat, parestézia, somnolencia</w:t>
            </w:r>
          </w:p>
        </w:tc>
      </w:tr>
      <w:tr w:rsidR="00307071" w:rsidRPr="00A042E5" w14:paraId="302883E3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DEBB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066E7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Poruchy chuti</w:t>
            </w:r>
          </w:p>
        </w:tc>
      </w:tr>
      <w:tr w:rsidR="00307071" w:rsidRPr="00A042E5" w14:paraId="64B5ED39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D586F63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oka</w:t>
            </w:r>
          </w:p>
        </w:tc>
      </w:tr>
      <w:tr w:rsidR="00307071" w:rsidRPr="00A042E5" w14:paraId="41DBFF3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8FC1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49B61B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Rozmazané videnie</w:t>
            </w:r>
          </w:p>
        </w:tc>
      </w:tr>
      <w:tr w:rsidR="00307071" w:rsidRPr="00A042E5" w14:paraId="06E490AA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DB309C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ucha a labyrintu</w:t>
            </w:r>
          </w:p>
        </w:tc>
      </w:tr>
      <w:tr w:rsidR="00307071" w:rsidRPr="00A042E5" w14:paraId="59FBD234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81E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97073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Vertigo</w:t>
            </w:r>
          </w:p>
        </w:tc>
      </w:tr>
      <w:tr w:rsidR="00307071" w:rsidRPr="00A042E5" w14:paraId="427FD98F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BBFA58" w14:textId="77777777" w:rsidR="00307071" w:rsidRPr="000D345C" w:rsidRDefault="00307071" w:rsidP="004D39BA">
            <w:pPr>
              <w:keepNext/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dýchacej sústavy, hrudníka a mediastína</w:t>
            </w:r>
          </w:p>
        </w:tc>
      </w:tr>
      <w:tr w:rsidR="00307071" w:rsidRPr="00A042E5" w14:paraId="0311D890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29C0" w14:textId="77777777" w:rsidR="00307071" w:rsidRPr="000D345C" w:rsidRDefault="00307071" w:rsidP="004D39BA">
            <w:pPr>
              <w:keepNext/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08CAF" w14:textId="77777777" w:rsidR="00307071" w:rsidRPr="000D345C" w:rsidRDefault="00307071" w:rsidP="004D39BA">
            <w:pPr>
              <w:keepNext/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Bronchospazmus</w:t>
            </w:r>
          </w:p>
        </w:tc>
      </w:tr>
      <w:tr w:rsidR="00307071" w:rsidRPr="00A042E5" w14:paraId="4CDCA073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EADCE9F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307071" w:rsidRPr="0070683D" w14:paraId="016FB81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41D4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noProof/>
                <w:color w:val="000000"/>
                <w:sz w:val="22"/>
                <w:szCs w:val="22"/>
                <w:lang w:val="sk-SK"/>
              </w:rPr>
              <w:t>Č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asté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5E4AFE" w14:textId="231ED07E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Bolesť brucha, zápcha, hnačka, plynatosť, nauzea/vracanie</w:t>
            </w:r>
            <w:r w:rsidR="00981EB6">
              <w:rPr>
                <w:noProof/>
                <w:color w:val="000000"/>
                <w:sz w:val="22"/>
                <w:szCs w:val="22"/>
                <w:lang w:val="sk-SK"/>
              </w:rPr>
              <w:t>,</w:t>
            </w:r>
            <w:r w:rsidR="00981EB6" w:rsidRPr="006D365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81EB6" w:rsidRPr="006D3650">
              <w:rPr>
                <w:sz w:val="22"/>
                <w:szCs w:val="22"/>
                <w:lang w:val="sk-SK"/>
              </w:rPr>
              <w:t>glandulárne</w:t>
            </w:r>
            <w:proofErr w:type="spellEnd"/>
            <w:r w:rsidR="00981EB6" w:rsidRPr="006D3650">
              <w:rPr>
                <w:sz w:val="22"/>
                <w:szCs w:val="22"/>
                <w:lang w:val="sk-SK"/>
              </w:rPr>
              <w:t xml:space="preserve"> polypy </w:t>
            </w:r>
            <w:proofErr w:type="spellStart"/>
            <w:r w:rsidR="00981EB6" w:rsidRPr="006D3650">
              <w:rPr>
                <w:sz w:val="22"/>
                <w:szCs w:val="22"/>
                <w:lang w:val="sk-SK"/>
              </w:rPr>
              <w:t>fundu</w:t>
            </w:r>
            <w:proofErr w:type="spellEnd"/>
            <w:r w:rsidR="00981EB6" w:rsidRPr="006D3650">
              <w:rPr>
                <w:sz w:val="22"/>
                <w:szCs w:val="22"/>
                <w:lang w:val="sk-SK"/>
              </w:rPr>
              <w:t xml:space="preserve"> (benígne)</w:t>
            </w:r>
          </w:p>
        </w:tc>
      </w:tr>
      <w:tr w:rsidR="00307071" w:rsidRPr="0070683D" w14:paraId="5C22457E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C8BD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lastRenderedPageBreak/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7FC7D6" w14:textId="34BEF716" w:rsidR="00307071" w:rsidRPr="00613376" w:rsidRDefault="00307071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Sucho v ústach, stomatitída, gastrointestinálna kandidóza, m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ikroskopická kolitída</w:t>
            </w:r>
          </w:p>
        </w:tc>
      </w:tr>
      <w:tr w:rsidR="00307071" w:rsidRPr="00A042E5" w14:paraId="49E4B91B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D0CA11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307071" w:rsidRPr="00A042E5" w14:paraId="7EE1EB53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0CDC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603BC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Zvýšené hladiny pečeňových enzýmov</w:t>
            </w:r>
          </w:p>
        </w:tc>
      </w:tr>
      <w:tr w:rsidR="00307071" w:rsidRPr="00A042E5" w14:paraId="32A071E6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CB89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60E53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Hepatitída so žltačkou alebo bez nej</w:t>
            </w:r>
          </w:p>
        </w:tc>
      </w:tr>
      <w:tr w:rsidR="00307071" w:rsidRPr="0070683D" w14:paraId="15733FCE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6630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30CEB" w14:textId="77777777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Zlyhávanie pečene, encefalopatia u pacientov s predchádzajúcim ochorením pečene</w:t>
            </w:r>
          </w:p>
        </w:tc>
      </w:tr>
      <w:tr w:rsidR="00307071" w:rsidRPr="00A042E5" w14:paraId="63B18087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16390AA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307071" w:rsidRPr="00A042E5" w14:paraId="0DC522E9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B2C8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836BA3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Dermatitída, pruritus, vyrážka, urtikária</w:t>
            </w:r>
          </w:p>
        </w:tc>
      </w:tr>
      <w:tr w:rsidR="00307071" w:rsidRPr="00A042E5" w14:paraId="1BC6C15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8FE30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C647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Alopécia, fotosenzitivita</w:t>
            </w:r>
          </w:p>
        </w:tc>
      </w:tr>
      <w:tr w:rsidR="00307071" w:rsidRPr="0070683D" w14:paraId="6EDD991F" w14:textId="77777777" w:rsidTr="004D39BA">
        <w:trPr>
          <w:cantSplit/>
          <w:trHeight w:val="54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ACA1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8F7DE4" w14:textId="143BBE3E" w:rsidR="00307071" w:rsidRPr="000D345C" w:rsidRDefault="00307071" w:rsidP="00A368C6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 xml:space="preserve">Multiformný erytém, Stevensov-Johnsonov syndróm, toxická epidermálna nekrolýza </w:t>
            </w:r>
            <w:r w:rsidRPr="00981EB6">
              <w:rPr>
                <w:noProof/>
                <w:color w:val="000000"/>
                <w:sz w:val="22"/>
                <w:szCs w:val="22"/>
                <w:lang w:val="sk-SK"/>
              </w:rPr>
              <w:t>(</w:t>
            </w:r>
            <w:proofErr w:type="spellStart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>toxic</w:t>
            </w:r>
            <w:proofErr w:type="spellEnd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>epidermal</w:t>
            </w:r>
            <w:proofErr w:type="spellEnd"/>
            <w:r w:rsidR="00981EB6">
              <w:rPr>
                <w:rFonts w:eastAsia="TimesNewRoman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>necrolysis</w:t>
            </w:r>
            <w:proofErr w:type="spellEnd"/>
            <w:r w:rsidR="00981EB6" w:rsidRPr="00A368C6">
              <w:rPr>
                <w:rFonts w:eastAsia="TimesNewRoman"/>
                <w:sz w:val="22"/>
                <w:szCs w:val="22"/>
                <w:lang w:val="sk-SK" w:eastAsia="sk-SK"/>
              </w:rPr>
              <w:t>,</w:t>
            </w:r>
            <w:r w:rsidR="00981EB6" w:rsidRPr="00981EB6">
              <w:rPr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Pr="00981EB6">
              <w:rPr>
                <w:noProof/>
                <w:color w:val="000000"/>
                <w:sz w:val="22"/>
                <w:szCs w:val="22"/>
                <w:lang w:val="sk-SK"/>
              </w:rPr>
              <w:t>TEN)</w:t>
            </w:r>
          </w:p>
        </w:tc>
      </w:tr>
      <w:tr w:rsidR="007F1614" w:rsidRPr="0070683D" w14:paraId="4D4DF74E" w14:textId="77777777" w:rsidTr="004D39BA">
        <w:trPr>
          <w:cantSplit/>
          <w:trHeight w:val="203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3FDC" w14:textId="77777777" w:rsidR="007F1614" w:rsidRPr="00981EB6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368C6">
              <w:rPr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C6AFAA" w14:textId="77777777" w:rsidR="007F1614" w:rsidRPr="00A042E5" w:rsidRDefault="007F1614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proofErr w:type="spellStart"/>
            <w:r w:rsidRPr="00A368C6">
              <w:rPr>
                <w:sz w:val="22"/>
                <w:szCs w:val="22"/>
                <w:lang w:val="sk-SK"/>
              </w:rPr>
              <w:t>Subakútny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kožný </w:t>
            </w:r>
            <w:proofErr w:type="spellStart"/>
            <w:r w:rsidRPr="00A368C6">
              <w:rPr>
                <w:sz w:val="22"/>
                <w:szCs w:val="22"/>
                <w:lang w:val="sk-SK"/>
              </w:rPr>
              <w:t>lupus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368C6">
              <w:rPr>
                <w:sz w:val="22"/>
                <w:szCs w:val="22"/>
                <w:lang w:val="sk-SK"/>
              </w:rPr>
              <w:t>erythematosus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(pozri časť 4.4)</w:t>
            </w:r>
          </w:p>
        </w:tc>
      </w:tr>
      <w:tr w:rsidR="007F1614" w:rsidRPr="00A042E5" w14:paraId="23BACD9F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315506A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7F1614" w:rsidRPr="00A042E5" w14:paraId="49E514C9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21CE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0BBE5" w14:textId="1D19DD76" w:rsidR="007F1614" w:rsidRPr="000D345C" w:rsidRDefault="007F1614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Fraktúra bedr</w:t>
            </w:r>
            <w:r w:rsidR="00981EB6">
              <w:rPr>
                <w:noProof/>
                <w:color w:val="000000"/>
                <w:sz w:val="22"/>
                <w:szCs w:val="22"/>
                <w:lang w:val="sk-SK"/>
              </w:rPr>
              <w:t>ovej kosti</w:t>
            </w: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, zapästia a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lebo</w:t>
            </w: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 xml:space="preserve"> chrbtice </w:t>
            </w:r>
          </w:p>
        </w:tc>
      </w:tr>
      <w:tr w:rsidR="007F1614" w:rsidRPr="00A042E5" w14:paraId="31B70FA4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3FA1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4F0CE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Artralgia, myalgia</w:t>
            </w:r>
          </w:p>
        </w:tc>
      </w:tr>
      <w:tr w:rsidR="007F1614" w:rsidRPr="00A042E5" w14:paraId="3867424F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C358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5ECB8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Svalová slabosť</w:t>
            </w:r>
          </w:p>
        </w:tc>
      </w:tr>
      <w:tr w:rsidR="007F1614" w:rsidRPr="00A042E5" w14:paraId="5F7F27E2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C67A704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7F1614" w:rsidRPr="00A042E5" w14:paraId="1392EEE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E471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D86A2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Intersticiálna nefritída</w:t>
            </w:r>
          </w:p>
        </w:tc>
      </w:tr>
      <w:tr w:rsidR="007F1614" w:rsidRPr="00A042E5" w14:paraId="7C065FD4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E4365E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sz w:val="22"/>
                <w:szCs w:val="22"/>
                <w:lang w:val="sk-SK" w:eastAsia="sk-SK"/>
              </w:rPr>
              <w:t>Poruchy reprodukčného systému a prsníkov</w:t>
            </w:r>
          </w:p>
        </w:tc>
      </w:tr>
      <w:tr w:rsidR="007F1614" w:rsidRPr="00A042E5" w14:paraId="55276C61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4440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Veľmi zriedkavé: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20506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proofErr w:type="spellStart"/>
            <w:r w:rsidRPr="00A042E5">
              <w:rPr>
                <w:sz w:val="22"/>
                <w:szCs w:val="22"/>
                <w:lang w:val="sk-SK" w:eastAsia="sk-SK"/>
              </w:rPr>
              <w:t>Gynekomastia</w:t>
            </w:r>
            <w:proofErr w:type="spellEnd"/>
          </w:p>
        </w:tc>
      </w:tr>
      <w:tr w:rsidR="007F1614" w:rsidRPr="00A042E5" w14:paraId="0F30D645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4759DBA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7F1614" w:rsidRPr="00A042E5" w14:paraId="4C8D1562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C58B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DF5358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Malátnosť, periférny edém</w:t>
            </w:r>
          </w:p>
        </w:tc>
      </w:tr>
      <w:tr w:rsidR="007F1614" w:rsidRPr="00A042E5" w14:paraId="5E05B5B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3635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E656B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Zvýšené potenie</w:t>
            </w:r>
          </w:p>
        </w:tc>
      </w:tr>
    </w:tbl>
    <w:p w14:paraId="1C198427" w14:textId="77777777" w:rsidR="00307071" w:rsidRPr="00A042E5" w:rsidRDefault="00307071" w:rsidP="00A042E5">
      <w:pPr>
        <w:tabs>
          <w:tab w:val="left" w:pos="567"/>
        </w:tabs>
        <w:spacing w:line="260" w:lineRule="exact"/>
        <w:rPr>
          <w:noProof/>
          <w:color w:val="000000"/>
          <w:sz w:val="22"/>
          <w:szCs w:val="22"/>
          <w:lang w:val="sk-SK"/>
        </w:rPr>
      </w:pPr>
    </w:p>
    <w:p w14:paraId="19EF8F02" w14:textId="77777777" w:rsidR="00307071" w:rsidRPr="00A042E5" w:rsidRDefault="00307071" w:rsidP="001A1037">
      <w:pPr>
        <w:tabs>
          <w:tab w:val="left" w:pos="567"/>
        </w:tabs>
        <w:spacing w:line="260" w:lineRule="exact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Pediatrická populácia</w:t>
      </w:r>
    </w:p>
    <w:p w14:paraId="164DF41B" w14:textId="77777777" w:rsidR="00307071" w:rsidRPr="00A042E5" w:rsidRDefault="00307071">
      <w:pPr>
        <w:tabs>
          <w:tab w:val="left" w:pos="426"/>
          <w:tab w:val="left" w:pos="567"/>
        </w:tabs>
        <w:ind w:right="49"/>
        <w:rPr>
          <w:iCs/>
          <w:noProof/>
          <w:color w:val="000000"/>
          <w:sz w:val="22"/>
          <w:szCs w:val="22"/>
          <w:lang w:val="sk-SK"/>
        </w:rPr>
      </w:pPr>
      <w:r w:rsidRPr="00A042E5">
        <w:rPr>
          <w:iCs/>
          <w:noProof/>
          <w:color w:val="000000"/>
          <w:sz w:val="22"/>
          <w:szCs w:val="22"/>
          <w:lang w:val="sk-SK"/>
        </w:rPr>
        <w:t xml:space="preserve">Bezpečnosť omeprazolu sa stanovila celkovo u 310 detí vo veku 0 až 16 rokov s ochorením súvisiacim s kyselinou. </w:t>
      </w:r>
      <w:r w:rsidRPr="00A042E5">
        <w:rPr>
          <w:noProof/>
          <w:color w:val="000000"/>
          <w:sz w:val="22"/>
          <w:szCs w:val="22"/>
          <w:lang w:val="sk-SK"/>
        </w:rPr>
        <w:t>Tieto údaje sa získali z klinickej štúdie zahŕňajúcej 46 detí, ktorým sa na liečbu závažnej erozívnej ezofagitídy podávali udržiavacie dávky omeprazolu počas 749 dní.</w:t>
      </w:r>
      <w:r w:rsidRPr="00A042E5">
        <w:rPr>
          <w:iCs/>
          <w:noProof/>
          <w:color w:val="000000"/>
          <w:sz w:val="22"/>
          <w:szCs w:val="22"/>
          <w:lang w:val="sk-SK"/>
        </w:rPr>
        <w:t xml:space="preserve"> Profil nežiaducich udalostí bol pri krátkodobej aj pri dlhodobej liečbe zvyčajne rovnaký ako u dospelých. Nie sú k dispozícii žiadne údaje týkajúce sa účinkov dlhodobej liečby omeprazolom na pubertu a rast.</w:t>
      </w:r>
    </w:p>
    <w:p w14:paraId="479A6203" w14:textId="77777777" w:rsidR="00307071" w:rsidRPr="00A042E5" w:rsidRDefault="00307071">
      <w:pPr>
        <w:pStyle w:val="Normlnywebov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sk-SK"/>
        </w:rPr>
      </w:pPr>
    </w:p>
    <w:p w14:paraId="08AEDB65" w14:textId="77777777" w:rsidR="00307071" w:rsidRPr="00A368C6" w:rsidRDefault="00307071" w:rsidP="000D345C">
      <w:pPr>
        <w:rPr>
          <w:sz w:val="22"/>
          <w:szCs w:val="22"/>
          <w:u w:val="single"/>
          <w:lang w:val="sk-SK" w:eastAsia="sk-SK"/>
        </w:rPr>
      </w:pPr>
      <w:r w:rsidRPr="00A368C6">
        <w:rPr>
          <w:sz w:val="22"/>
          <w:szCs w:val="22"/>
          <w:u w:val="single"/>
          <w:lang w:val="sk-SK" w:eastAsia="sk-SK"/>
        </w:rPr>
        <w:t>Hlásenie podozrení na nežiaduce reakcie</w:t>
      </w:r>
    </w:p>
    <w:p w14:paraId="37235E0D" w14:textId="1EC4B3FD" w:rsidR="00307071" w:rsidRPr="000D345C" w:rsidRDefault="00307071" w:rsidP="00A042E5">
      <w:pPr>
        <w:suppressLineNumbers/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0D345C">
        <w:rPr>
          <w:sz w:val="22"/>
          <w:szCs w:val="22"/>
          <w:lang w:val="sk-SK" w:eastAsia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613376">
        <w:rPr>
          <w:sz w:val="22"/>
          <w:szCs w:val="22"/>
          <w:lang w:val="sk-SK" w:eastAsia="sk-SK"/>
        </w:rPr>
        <w:t>na</w:t>
      </w:r>
      <w:r w:rsidRPr="000D345C">
        <w:rPr>
          <w:sz w:val="22"/>
          <w:szCs w:val="22"/>
          <w:lang w:val="sk-SK" w:eastAsia="sk-SK"/>
        </w:rPr>
        <w:t xml:space="preserve"> </w:t>
      </w:r>
      <w:r w:rsidRPr="000D345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13376">
        <w:rPr>
          <w:noProof/>
          <w:sz w:val="22"/>
          <w:szCs w:val="22"/>
          <w:highlight w:val="lightGray"/>
          <w:lang w:val="sk-SK"/>
        </w:rPr>
        <w:t>centrum</w:t>
      </w:r>
      <w:r w:rsidRPr="000D345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D345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D345C">
        <w:rPr>
          <w:noProof/>
          <w:sz w:val="22"/>
          <w:szCs w:val="22"/>
          <w:lang w:val="sk-SK"/>
        </w:rPr>
        <w:t>.</w:t>
      </w:r>
    </w:p>
    <w:p w14:paraId="62DBE094" w14:textId="77777777" w:rsidR="00307071" w:rsidRPr="000D345C" w:rsidRDefault="00307071" w:rsidP="000D345C">
      <w:pPr>
        <w:rPr>
          <w:sz w:val="22"/>
          <w:szCs w:val="22"/>
          <w:lang w:val="sk-SK"/>
        </w:rPr>
      </w:pPr>
    </w:p>
    <w:p w14:paraId="28436F06" w14:textId="77777777" w:rsidR="00307071" w:rsidRPr="001A1037" w:rsidRDefault="00307071" w:rsidP="000D345C">
      <w:pPr>
        <w:keepNext/>
        <w:ind w:left="567" w:hanging="567"/>
        <w:outlineLvl w:val="1"/>
        <w:rPr>
          <w:b/>
          <w:smallCaps/>
          <w:sz w:val="22"/>
          <w:szCs w:val="22"/>
          <w:u w:val="single"/>
          <w:lang w:val="sk-SK" w:eastAsia="cs-CZ"/>
        </w:rPr>
      </w:pPr>
      <w:r w:rsidRPr="00A042E5">
        <w:rPr>
          <w:b/>
          <w:smallCaps/>
          <w:sz w:val="22"/>
          <w:szCs w:val="22"/>
          <w:lang w:val="sk-SK" w:eastAsia="cs-CZ"/>
        </w:rPr>
        <w:t>4.9</w:t>
      </w:r>
      <w:r w:rsidRPr="00A042E5">
        <w:rPr>
          <w:b/>
          <w:smallCaps/>
          <w:sz w:val="22"/>
          <w:szCs w:val="22"/>
          <w:lang w:val="sk-SK" w:eastAsia="cs-CZ"/>
        </w:rPr>
        <w:tab/>
      </w:r>
      <w:r w:rsidRPr="00A042E5">
        <w:rPr>
          <w:b/>
          <w:sz w:val="22"/>
          <w:szCs w:val="22"/>
          <w:lang w:val="sk-SK" w:eastAsia="cs-CZ"/>
        </w:rPr>
        <w:t>Predávkovanie</w:t>
      </w:r>
    </w:p>
    <w:p w14:paraId="3E070A2D" w14:textId="77777777" w:rsidR="00307071" w:rsidRPr="00A042E5" w:rsidRDefault="00307071" w:rsidP="00A042E5">
      <w:pPr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2F1E47C0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 účinkoch predávkovania omeprazolom u ľudí sú dostupné len obmedzené informácie. V literatúre boli popísané dávky až do 560 mg a zaznamenali sa ojedinelé hlásenia, keď jednorazové perorálne dávky dosiahli až 2 400 mg omeprazolu (120</w:t>
      </w:r>
      <w:r w:rsidRPr="00A042E5">
        <w:rPr>
          <w:noProof/>
          <w:color w:val="000000"/>
          <w:sz w:val="22"/>
          <w:szCs w:val="22"/>
          <w:lang w:val="sk-SK"/>
        </w:rPr>
        <w:noBreakHyphen/>
        <w:t>násobok zvyčajnej odporúčanej klinickej dávky). Zaznamenala sa nauzea, vracanie, závrat, bolesť brucha, hnačka a bolesť hlavy. V jednotlivých prípadoch bola tiež popísaná apatia, depresia a zmätenosť.</w:t>
      </w:r>
    </w:p>
    <w:p w14:paraId="37B35DB4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771E8AC5" w14:textId="4EC3F1A9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Opísané symptómy boli prechodné a nezaznamenal sa žiadny závažný následok. Rýchlosť eliminácie sa pri zvýšených dávkach nezmenila (kinetika </w:t>
      </w:r>
      <w:r w:rsidR="0052637E">
        <w:rPr>
          <w:noProof/>
          <w:color w:val="000000"/>
          <w:sz w:val="22"/>
          <w:szCs w:val="22"/>
          <w:lang w:val="sk-SK"/>
        </w:rPr>
        <w:t>1. poriadku</w:t>
      </w:r>
      <w:r w:rsidRPr="00A042E5">
        <w:rPr>
          <w:noProof/>
          <w:color w:val="000000"/>
          <w:sz w:val="22"/>
          <w:szCs w:val="22"/>
          <w:lang w:val="sk-SK"/>
        </w:rPr>
        <w:t xml:space="preserve">). </w:t>
      </w:r>
      <w:r w:rsidR="0052637E" w:rsidRPr="00A368C6">
        <w:rPr>
          <w:sz w:val="22"/>
          <w:szCs w:val="22"/>
          <w:lang w:val="sk-SK"/>
        </w:rPr>
        <w:t>V prípade potreby má byť liečba symptomatická.</w:t>
      </w:r>
    </w:p>
    <w:p w14:paraId="69BE933C" w14:textId="77777777" w:rsidR="00307071" w:rsidRPr="00A042E5" w:rsidRDefault="00307071">
      <w:pPr>
        <w:rPr>
          <w:sz w:val="22"/>
          <w:szCs w:val="22"/>
          <w:lang w:val="sk-SK"/>
        </w:rPr>
      </w:pPr>
    </w:p>
    <w:p w14:paraId="4F2365BF" w14:textId="77777777" w:rsidR="00307071" w:rsidRPr="00A042E5" w:rsidRDefault="00307071">
      <w:pPr>
        <w:rPr>
          <w:sz w:val="22"/>
          <w:szCs w:val="22"/>
          <w:lang w:val="sk-SK"/>
        </w:rPr>
      </w:pPr>
    </w:p>
    <w:p w14:paraId="1C034162" w14:textId="77777777" w:rsidR="00307071" w:rsidRPr="00A042E5" w:rsidRDefault="00307071" w:rsidP="000D345C">
      <w:pPr>
        <w:keepNext/>
        <w:numPr>
          <w:ilvl w:val="0"/>
          <w:numId w:val="32"/>
        </w:numPr>
        <w:tabs>
          <w:tab w:val="clear" w:pos="1065"/>
          <w:tab w:val="num" w:pos="567"/>
          <w:tab w:val="num" w:pos="720"/>
        </w:tabs>
        <w:spacing w:line="260" w:lineRule="exact"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042E5">
        <w:rPr>
          <w:b/>
          <w:bCs/>
          <w:caps/>
          <w:sz w:val="22"/>
          <w:szCs w:val="22"/>
          <w:lang w:val="sk-SK" w:eastAsia="cs-CZ"/>
        </w:rPr>
        <w:lastRenderedPageBreak/>
        <w:t>FARMAKOLOGICKÉ VLASTNOSTI</w:t>
      </w:r>
    </w:p>
    <w:p w14:paraId="43EFFCC8" w14:textId="77777777" w:rsidR="00307071" w:rsidRPr="00A042E5" w:rsidRDefault="00307071" w:rsidP="0090378C">
      <w:pPr>
        <w:tabs>
          <w:tab w:val="num" w:pos="567"/>
        </w:tabs>
        <w:spacing w:line="260" w:lineRule="exact"/>
        <w:ind w:left="567" w:hanging="567"/>
        <w:rPr>
          <w:color w:val="000000"/>
          <w:sz w:val="22"/>
          <w:szCs w:val="22"/>
          <w:lang w:val="sk-SK"/>
        </w:rPr>
      </w:pPr>
    </w:p>
    <w:p w14:paraId="68C156A0" w14:textId="77777777" w:rsidR="00307071" w:rsidRPr="00A042E5" w:rsidRDefault="00307071" w:rsidP="000D345C">
      <w:pPr>
        <w:keepNext/>
        <w:numPr>
          <w:ilvl w:val="1"/>
          <w:numId w:val="31"/>
        </w:numPr>
        <w:tabs>
          <w:tab w:val="num" w:pos="567"/>
        </w:tabs>
        <w:spacing w:line="260" w:lineRule="exact"/>
        <w:ind w:left="567" w:hanging="567"/>
        <w:outlineLvl w:val="1"/>
        <w:rPr>
          <w:b/>
          <w:sz w:val="22"/>
          <w:szCs w:val="22"/>
          <w:lang w:val="sk-SK" w:eastAsia="cs-CZ"/>
        </w:rPr>
      </w:pPr>
      <w:proofErr w:type="spellStart"/>
      <w:r w:rsidRPr="00A042E5">
        <w:rPr>
          <w:b/>
          <w:sz w:val="22"/>
          <w:szCs w:val="22"/>
          <w:lang w:val="sk-SK" w:eastAsia="cs-CZ"/>
        </w:rPr>
        <w:t>Farmakodynamické</w:t>
      </w:r>
      <w:proofErr w:type="spellEnd"/>
      <w:r w:rsidRPr="00A042E5">
        <w:rPr>
          <w:b/>
          <w:sz w:val="22"/>
          <w:szCs w:val="22"/>
          <w:lang w:val="sk-SK" w:eastAsia="cs-CZ"/>
        </w:rPr>
        <w:t xml:space="preserve"> vlastnosti</w:t>
      </w:r>
    </w:p>
    <w:p w14:paraId="5C252D63" w14:textId="77777777" w:rsidR="00307071" w:rsidRPr="00A042E5" w:rsidRDefault="00307071" w:rsidP="00A042E5">
      <w:pPr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378E44DD" w14:textId="7B39C367" w:rsidR="00981EB6" w:rsidRDefault="00307071" w:rsidP="00A042E5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Farmakoterapeutická skupina:</w:t>
      </w:r>
      <w:r w:rsidR="0090378C" w:rsidRPr="00A368C6">
        <w:rPr>
          <w:sz w:val="22"/>
          <w:szCs w:val="22"/>
          <w:lang w:val="sk-SK"/>
        </w:rPr>
        <w:t xml:space="preserve"> </w:t>
      </w:r>
      <w:r w:rsidR="00981EB6" w:rsidRPr="0070683D">
        <w:rPr>
          <w:sz w:val="22"/>
          <w:szCs w:val="22"/>
          <w:lang w:val="sk-SK"/>
        </w:rPr>
        <w:t>L</w:t>
      </w:r>
      <w:r w:rsidR="0090378C" w:rsidRPr="00A368C6">
        <w:rPr>
          <w:sz w:val="22"/>
          <w:szCs w:val="22"/>
          <w:lang w:val="sk-SK"/>
        </w:rPr>
        <w:t xml:space="preserve">iečivá pri poruchách </w:t>
      </w:r>
      <w:proofErr w:type="spellStart"/>
      <w:r w:rsidR="0090378C" w:rsidRPr="00A368C6">
        <w:rPr>
          <w:sz w:val="22"/>
          <w:szCs w:val="22"/>
          <w:lang w:val="sk-SK"/>
        </w:rPr>
        <w:t>acidity</w:t>
      </w:r>
      <w:proofErr w:type="spellEnd"/>
      <w:r w:rsidRPr="00A042E5">
        <w:rPr>
          <w:noProof/>
          <w:color w:val="000000"/>
          <w:sz w:val="22"/>
          <w:szCs w:val="22"/>
          <w:lang w:val="sk-SK"/>
        </w:rPr>
        <w:t>, inhibítory protónovej pumpy</w:t>
      </w:r>
    </w:p>
    <w:p w14:paraId="194B1312" w14:textId="67F4B27E" w:rsidR="00307071" w:rsidRPr="00A042E5" w:rsidRDefault="00307071" w:rsidP="00A042E5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ATC kód: A02BC01</w:t>
      </w:r>
    </w:p>
    <w:p w14:paraId="702766CA" w14:textId="77777777" w:rsidR="00307071" w:rsidRPr="00A368C6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329F37A3" w14:textId="77777777" w:rsidR="00307071" w:rsidRPr="00A042E5" w:rsidRDefault="00307071" w:rsidP="000D345C">
      <w:pPr>
        <w:keepNext/>
        <w:tabs>
          <w:tab w:val="left" w:pos="567"/>
        </w:tabs>
        <w:ind w:right="51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Mechanizmus účinku</w:t>
      </w:r>
    </w:p>
    <w:p w14:paraId="2126438E" w14:textId="77777777" w:rsidR="00307071" w:rsidRPr="00A042E5" w:rsidRDefault="00307071" w:rsidP="000D345C">
      <w:pPr>
        <w:keepNext/>
        <w:tabs>
          <w:tab w:val="left" w:pos="567"/>
        </w:tabs>
        <w:ind w:right="51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Omeprazol, racemická zmes dvoch enantiomérov, znižuje sekréciu žalúdkovej kyseliny prostredníctvom vysoko cieleného mechanizmu účinku. Je to špecifický inhibítor kyselinovej pumpy v parietálnej bunke. Účinkuje rýchlo a pri dávkovaní jedenkrát denne poskytuje kontrolu reverzibilnou inhibíciou sekrécie žalúdkovej kyseliny.</w:t>
      </w:r>
    </w:p>
    <w:p w14:paraId="53FA622C" w14:textId="77777777" w:rsidR="00307071" w:rsidRPr="00A368C6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79505AE" w14:textId="0F2FF458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 je slabá zásada, koncentrovaná a konvertovaná na aktívnu formu v silne kyslom prostredí intracelulárnych kanálikov parietálnej bunky, kde inhibuje enzým H</w:t>
      </w:r>
      <w:r w:rsidRPr="00A042E5">
        <w:rPr>
          <w:noProof/>
          <w:color w:val="000000"/>
          <w:sz w:val="22"/>
          <w:szCs w:val="22"/>
          <w:vertAlign w:val="superscript"/>
          <w:lang w:val="sk-SK"/>
        </w:rPr>
        <w:t>+</w:t>
      </w:r>
      <w:r w:rsidRPr="00A042E5">
        <w:rPr>
          <w:noProof/>
          <w:color w:val="000000"/>
          <w:sz w:val="22"/>
          <w:szCs w:val="22"/>
          <w:lang w:val="sk-SK"/>
        </w:rPr>
        <w:t>/K</w:t>
      </w:r>
      <w:r w:rsidRPr="00A042E5">
        <w:rPr>
          <w:noProof/>
          <w:color w:val="000000"/>
          <w:sz w:val="22"/>
          <w:szCs w:val="22"/>
          <w:vertAlign w:val="superscript"/>
          <w:lang w:val="sk-SK"/>
        </w:rPr>
        <w:t>+</w:t>
      </w:r>
      <w:r w:rsidRPr="00A042E5">
        <w:rPr>
          <w:noProof/>
          <w:color w:val="000000"/>
          <w:sz w:val="22"/>
          <w:szCs w:val="22"/>
          <w:lang w:val="sk-SK"/>
        </w:rPr>
        <w:t xml:space="preserve">-ATPázu - </w:t>
      </w:r>
      <w:r w:rsidR="0090378C">
        <w:rPr>
          <w:noProof/>
          <w:color w:val="000000"/>
          <w:sz w:val="22"/>
          <w:szCs w:val="22"/>
          <w:lang w:val="sk-SK"/>
        </w:rPr>
        <w:t>protónovú</w:t>
      </w:r>
      <w:r w:rsidRPr="00A042E5">
        <w:rPr>
          <w:noProof/>
          <w:color w:val="000000"/>
          <w:sz w:val="22"/>
          <w:szCs w:val="22"/>
          <w:lang w:val="sk-SK"/>
        </w:rPr>
        <w:t xml:space="preserve"> pumpu. </w:t>
      </w:r>
      <w:r w:rsidRPr="00A042E5">
        <w:rPr>
          <w:sz w:val="22"/>
          <w:szCs w:val="22"/>
          <w:lang w:val="sk-SK" w:eastAsia="ar-SA"/>
        </w:rPr>
        <w:t>Tento účinok na finálny stupeň procesu tvorby žalúdkovej kyseliny je závislý od dávky a zabezpečuje vysoko účinnú inhibíciu bazálnej ako aj stimulovanej sekrécie kyseliny bez ohľadu na typ stimulu.</w:t>
      </w:r>
    </w:p>
    <w:p w14:paraId="3B07B9EE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3274B182" w14:textId="77777777" w:rsidR="00307071" w:rsidRPr="00A042E5" w:rsidRDefault="00307071">
      <w:pPr>
        <w:keepNext/>
        <w:autoSpaceDE w:val="0"/>
        <w:autoSpaceDN w:val="0"/>
        <w:adjustRightInd w:val="0"/>
        <w:outlineLvl w:val="8"/>
        <w:rPr>
          <w:sz w:val="22"/>
          <w:szCs w:val="22"/>
          <w:u w:val="single"/>
          <w:lang w:val="sk-SK" w:eastAsia="sk-SK"/>
        </w:rPr>
      </w:pPr>
      <w:proofErr w:type="spellStart"/>
      <w:r w:rsidRPr="00820AB9">
        <w:rPr>
          <w:sz w:val="22"/>
          <w:szCs w:val="22"/>
          <w:u w:val="single"/>
          <w:lang w:val="sk-SK" w:eastAsia="sk-SK"/>
        </w:rPr>
        <w:t>Farma</w:t>
      </w:r>
      <w:r w:rsidRPr="00077437">
        <w:rPr>
          <w:sz w:val="22"/>
          <w:szCs w:val="22"/>
          <w:u w:val="single"/>
          <w:lang w:val="sk-SK" w:eastAsia="sk-SK"/>
        </w:rPr>
        <w:t>kod</w:t>
      </w:r>
      <w:r w:rsidRPr="00A042E5">
        <w:rPr>
          <w:sz w:val="22"/>
          <w:szCs w:val="22"/>
          <w:u w:val="single"/>
          <w:lang w:val="sk-SK" w:eastAsia="sk-SK"/>
        </w:rPr>
        <w:t>ynamické</w:t>
      </w:r>
      <w:proofErr w:type="spellEnd"/>
      <w:r w:rsidRPr="00A042E5">
        <w:rPr>
          <w:sz w:val="22"/>
          <w:szCs w:val="22"/>
          <w:u w:val="single"/>
          <w:lang w:val="sk-SK" w:eastAsia="sk-SK"/>
        </w:rPr>
        <w:t xml:space="preserve"> účinky</w:t>
      </w:r>
    </w:p>
    <w:p w14:paraId="151FDEB4" w14:textId="3DBD7D8E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Všetky pozorované </w:t>
      </w:r>
      <w:proofErr w:type="spellStart"/>
      <w:r w:rsidRPr="00A042E5">
        <w:rPr>
          <w:sz w:val="22"/>
          <w:szCs w:val="22"/>
          <w:lang w:val="sk-SK" w:eastAsia="sk-SK"/>
        </w:rPr>
        <w:t>farmakodynamické</w:t>
      </w:r>
      <w:proofErr w:type="spellEnd"/>
      <w:r w:rsidRPr="00A042E5">
        <w:rPr>
          <w:sz w:val="22"/>
          <w:szCs w:val="22"/>
          <w:lang w:val="sk-SK" w:eastAsia="sk-SK"/>
        </w:rPr>
        <w:t xml:space="preserve"> účinky možno vysvetliť pôsobením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na sekréciu</w:t>
      </w:r>
      <w:r w:rsidR="00981EB6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kyseliny.</w:t>
      </w:r>
    </w:p>
    <w:p w14:paraId="02AF6D0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EF61330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Účinok na sekréciu žalúdkovej kyseliny</w:t>
      </w:r>
    </w:p>
    <w:p w14:paraId="105AB7B5" w14:textId="620B91E4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Perorálne podanie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981EB6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>krát denne z</w:t>
      </w:r>
      <w:r w:rsidR="00AB545D" w:rsidRPr="00A042E5">
        <w:rPr>
          <w:sz w:val="22"/>
          <w:szCs w:val="22"/>
          <w:lang w:val="sk-SK" w:eastAsia="sk-SK"/>
        </w:rPr>
        <w:t>a</w:t>
      </w:r>
      <w:r w:rsidRPr="00A042E5">
        <w:rPr>
          <w:sz w:val="22"/>
          <w:szCs w:val="22"/>
          <w:lang w:val="sk-SK" w:eastAsia="sk-SK"/>
        </w:rPr>
        <w:t>bezpečuje rýchlu a účinnú inhibíciu sekrécie</w:t>
      </w:r>
      <w:r w:rsidR="00981EB6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žalúdkovej kyseliny počas dňa aj noci s maximálnym účinkom do 4 dní liečby. Pri perorálnom podaní 20</w:t>
      </w:r>
      <w:r w:rsidR="00981EB6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981EB6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 sa u pacientov s dvanástnikovým vredom udržiaval priemerný pokles </w:t>
      </w:r>
      <w:proofErr w:type="spellStart"/>
      <w:r w:rsidRPr="00A042E5">
        <w:rPr>
          <w:sz w:val="22"/>
          <w:szCs w:val="22"/>
          <w:lang w:val="sk-SK" w:eastAsia="sk-SK"/>
        </w:rPr>
        <w:t>acidity</w:t>
      </w:r>
      <w:proofErr w:type="spellEnd"/>
      <w:r w:rsidRPr="00A042E5">
        <w:rPr>
          <w:sz w:val="22"/>
          <w:szCs w:val="22"/>
          <w:lang w:val="sk-SK" w:eastAsia="sk-SK"/>
        </w:rPr>
        <w:t xml:space="preserve"> v žalúdku najmenej 80</w:t>
      </w:r>
      <w:r w:rsidR="00981EB6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% počas 24 hodín, s priemerným poklesom maxima tvorby kyseliny približne 70</w:t>
      </w:r>
      <w:r w:rsidR="00981EB6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 po stimulácii </w:t>
      </w:r>
      <w:proofErr w:type="spellStart"/>
      <w:r w:rsidRPr="00A042E5">
        <w:rPr>
          <w:sz w:val="22"/>
          <w:szCs w:val="22"/>
          <w:lang w:val="sk-SK" w:eastAsia="sk-SK"/>
        </w:rPr>
        <w:t>pentagastrínom</w:t>
      </w:r>
      <w:proofErr w:type="spellEnd"/>
      <w:r w:rsidRPr="00A042E5">
        <w:rPr>
          <w:sz w:val="22"/>
          <w:szCs w:val="22"/>
          <w:lang w:val="sk-SK" w:eastAsia="sk-SK"/>
        </w:rPr>
        <w:t xml:space="preserve"> 24 hodín po podaní dávky.</w:t>
      </w:r>
    </w:p>
    <w:p w14:paraId="03465C0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D44E74F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U pacientov s </w:t>
      </w:r>
      <w:r w:rsidRPr="00A042E5">
        <w:rPr>
          <w:sz w:val="22"/>
          <w:szCs w:val="22"/>
          <w:lang w:val="sk-SK" w:eastAsia="sk-SK"/>
        </w:rPr>
        <w:t xml:space="preserve">dvanástnikovým </w:t>
      </w:r>
      <w:r w:rsidRPr="00A042E5">
        <w:rPr>
          <w:sz w:val="22"/>
          <w:szCs w:val="22"/>
          <w:lang w:val="sk-SK" w:eastAsia="ar-SA"/>
        </w:rPr>
        <w:t xml:space="preserve">vredom sa po perorálnom podaní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dávke 20 mg udržiava v žalúdku pH ≥ 3 v priemere 17 hodín z časového obdobia 24 hodín.</w:t>
      </w:r>
    </w:p>
    <w:p w14:paraId="176AA416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71259710" w14:textId="072B155F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U pacientov s </w:t>
      </w:r>
      <w:proofErr w:type="spellStart"/>
      <w:r w:rsidRPr="00A042E5">
        <w:rPr>
          <w:sz w:val="22"/>
          <w:szCs w:val="22"/>
          <w:lang w:val="sk-SK" w:eastAsia="ar-SA"/>
        </w:rPr>
        <w:t>gastroezof</w:t>
      </w:r>
      <w:r w:rsidR="00AB545D" w:rsidRPr="00A042E5">
        <w:rPr>
          <w:sz w:val="22"/>
          <w:szCs w:val="22"/>
          <w:lang w:val="sk-SK" w:eastAsia="ar-SA"/>
        </w:rPr>
        <w:t>a</w:t>
      </w:r>
      <w:r w:rsidRPr="00A042E5">
        <w:rPr>
          <w:sz w:val="22"/>
          <w:szCs w:val="22"/>
          <w:lang w:val="sk-SK" w:eastAsia="ar-SA"/>
        </w:rPr>
        <w:t>g</w:t>
      </w:r>
      <w:r w:rsidR="00A368C6">
        <w:rPr>
          <w:sz w:val="22"/>
          <w:szCs w:val="22"/>
          <w:lang w:val="sk-SK" w:eastAsia="ar-SA"/>
        </w:rPr>
        <w:t>e</w:t>
      </w:r>
      <w:r w:rsidR="00AB545D" w:rsidRPr="00A042E5">
        <w:rPr>
          <w:sz w:val="22"/>
          <w:szCs w:val="22"/>
          <w:lang w:val="sk-SK" w:eastAsia="ar-SA"/>
        </w:rPr>
        <w:t>áln</w:t>
      </w:r>
      <w:r w:rsidRPr="00A042E5">
        <w:rPr>
          <w:sz w:val="22"/>
          <w:szCs w:val="22"/>
          <w:lang w:val="sk-SK" w:eastAsia="ar-SA"/>
        </w:rPr>
        <w:t>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reflux</w:t>
      </w:r>
      <w:r w:rsidR="00AB545D" w:rsidRPr="00A042E5">
        <w:rPr>
          <w:sz w:val="22"/>
          <w:szCs w:val="22"/>
          <w:lang w:val="sk-SK" w:eastAsia="ar-SA"/>
        </w:rPr>
        <w:t>n</w:t>
      </w:r>
      <w:r w:rsidRPr="00A042E5">
        <w:rPr>
          <w:sz w:val="22"/>
          <w:szCs w:val="22"/>
          <w:lang w:val="sk-SK" w:eastAsia="ar-SA"/>
        </w:rPr>
        <w:t>ou</w:t>
      </w:r>
      <w:proofErr w:type="spellEnd"/>
      <w:r w:rsidRPr="00A042E5">
        <w:rPr>
          <w:sz w:val="22"/>
          <w:szCs w:val="22"/>
          <w:lang w:val="sk-SK" w:eastAsia="ar-SA"/>
        </w:rPr>
        <w:t xml:space="preserve"> chorobou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v závislosti od dávky znižuje/normalizuje pôsobenie kyseliny v pažeráku ako následok zníženej sekrécie kyseliny a kyslosti žalúdka. Inhibícia sekrécie kyseliny súvisí s plochou pod krivkou závislosti plazmatickej koncentrácie a času (AUC)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a nie od aktuálnej plazmatickej koncentrácie v danom čase.</w:t>
      </w:r>
    </w:p>
    <w:p w14:paraId="4A212E0F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75F0C8FE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Počas liečby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sa nepozorovala </w:t>
      </w:r>
      <w:proofErr w:type="spellStart"/>
      <w:r w:rsidRPr="00A042E5">
        <w:rPr>
          <w:sz w:val="22"/>
          <w:szCs w:val="22"/>
          <w:lang w:val="sk-SK" w:eastAsia="ar-SA"/>
        </w:rPr>
        <w:t>tachyfylaxia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315BA66B" w14:textId="77777777" w:rsidR="00307071" w:rsidRPr="00A042E5" w:rsidRDefault="00307071">
      <w:pPr>
        <w:rPr>
          <w:i/>
          <w:snapToGrid w:val="0"/>
          <w:sz w:val="22"/>
          <w:szCs w:val="22"/>
          <w:highlight w:val="yellow"/>
          <w:lang w:val="sk-SK"/>
        </w:rPr>
      </w:pPr>
    </w:p>
    <w:p w14:paraId="240C3150" w14:textId="77777777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 xml:space="preserve">Účinok na 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</w:p>
    <w:p w14:paraId="02CC86C2" w14:textId="2E334DE9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>s</w:t>
      </w:r>
      <w:r w:rsidR="00981EB6">
        <w:rPr>
          <w:sz w:val="22"/>
          <w:szCs w:val="22"/>
          <w:lang w:val="sk-SK" w:eastAsia="ar-SA"/>
        </w:rPr>
        <w:t>úvisí</w:t>
      </w:r>
      <w:r w:rsidRPr="00A042E5">
        <w:rPr>
          <w:sz w:val="22"/>
          <w:szCs w:val="22"/>
          <w:lang w:val="sk-SK" w:eastAsia="ar-SA"/>
        </w:rPr>
        <w:t xml:space="preserve"> s </w:t>
      </w:r>
      <w:proofErr w:type="spellStart"/>
      <w:r w:rsidRPr="00A042E5">
        <w:rPr>
          <w:sz w:val="22"/>
          <w:szCs w:val="22"/>
          <w:lang w:val="sk-SK" w:eastAsia="ar-SA"/>
        </w:rPr>
        <w:t>peptickou</w:t>
      </w:r>
      <w:proofErr w:type="spellEnd"/>
      <w:r w:rsidRPr="00A042E5">
        <w:rPr>
          <w:sz w:val="22"/>
          <w:szCs w:val="22"/>
          <w:lang w:val="sk-SK" w:eastAsia="ar-SA"/>
        </w:rPr>
        <w:t xml:space="preserve"> vredovou chorobou vrátane vredovej choroby dvanástnika a žalúdka. </w:t>
      </w:r>
      <w:r w:rsidRPr="00A042E5">
        <w:rPr>
          <w:i/>
          <w:iCs/>
          <w:sz w:val="22"/>
          <w:szCs w:val="22"/>
          <w:lang w:val="sk-SK" w:eastAsia="ar-SA"/>
        </w:rPr>
        <w:t>H.</w:t>
      </w:r>
      <w:r w:rsidR="00FA7AC3">
        <w:rPr>
          <w:i/>
          <w:iCs/>
          <w:sz w:val="22"/>
          <w:szCs w:val="22"/>
          <w:lang w:val="sk-SK" w:eastAsia="ar-SA"/>
        </w:rPr>
        <w:t> 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iCs/>
          <w:sz w:val="22"/>
          <w:szCs w:val="22"/>
          <w:lang w:val="sk-SK" w:eastAsia="ar-SA"/>
        </w:rPr>
        <w:t>je hlavným</w:t>
      </w:r>
      <w:r w:rsidRPr="00A042E5">
        <w:rPr>
          <w:sz w:val="22"/>
          <w:szCs w:val="22"/>
          <w:lang w:val="sk-SK" w:eastAsia="ar-SA"/>
        </w:rPr>
        <w:t xml:space="preserve"> faktorom v rozvoji gastritídy.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 xml:space="preserve">spolu so žalúdkovou kyselinou sú hlavnými faktormi vo vývoji </w:t>
      </w:r>
      <w:proofErr w:type="spellStart"/>
      <w:r w:rsidRPr="00A042E5">
        <w:rPr>
          <w:sz w:val="22"/>
          <w:szCs w:val="22"/>
          <w:lang w:val="sk-SK" w:eastAsia="ar-SA"/>
        </w:rPr>
        <w:t>peptickej</w:t>
      </w:r>
      <w:proofErr w:type="spellEnd"/>
      <w:r w:rsidRPr="00A042E5">
        <w:rPr>
          <w:sz w:val="22"/>
          <w:szCs w:val="22"/>
          <w:lang w:val="sk-SK" w:eastAsia="ar-SA"/>
        </w:rPr>
        <w:t xml:space="preserve"> vredovej choroby.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>je najvýznamnejším faktorom rozvoja atrofickej gastritídy, ktorá súvisí so zvýšeným rizikom vzniku rakoviny žalúdka.</w:t>
      </w:r>
    </w:p>
    <w:p w14:paraId="7B5A78E5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58DCE0C7" w14:textId="0140A5CF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Eradikácia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a antibiotikami s</w:t>
      </w:r>
      <w:r w:rsidR="00981EB6">
        <w:rPr>
          <w:sz w:val="22"/>
          <w:szCs w:val="22"/>
          <w:lang w:val="sk-SK" w:eastAsia="ar-SA"/>
        </w:rPr>
        <w:t>úvisí</w:t>
      </w:r>
      <w:r w:rsidRPr="00A042E5">
        <w:rPr>
          <w:sz w:val="22"/>
          <w:szCs w:val="22"/>
          <w:lang w:val="sk-SK" w:eastAsia="ar-SA"/>
        </w:rPr>
        <w:t xml:space="preserve"> s vysokou mierou vyhojenia a dlhodobou </w:t>
      </w:r>
      <w:proofErr w:type="spellStart"/>
      <w:r w:rsidRPr="00A042E5">
        <w:rPr>
          <w:sz w:val="22"/>
          <w:szCs w:val="22"/>
          <w:lang w:val="sk-SK" w:eastAsia="ar-SA"/>
        </w:rPr>
        <w:t>remisiou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peptických</w:t>
      </w:r>
      <w:proofErr w:type="spellEnd"/>
      <w:r w:rsidRPr="00A042E5">
        <w:rPr>
          <w:sz w:val="22"/>
          <w:szCs w:val="22"/>
          <w:lang w:val="sk-SK" w:eastAsia="ar-SA"/>
        </w:rPr>
        <w:t xml:space="preserve"> vredov.</w:t>
      </w:r>
    </w:p>
    <w:p w14:paraId="2CA81F51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48C624EA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Testovali sa dvojkombinačné liečby a zistilo sa, že sú menej účinné ako trojkombinačné liečby. Môžu sa však vziať do úvahy v prípadoch, keď známa hypersenzitivita zabraňuje použitiu akejkoľvek trojkombinácie.</w:t>
      </w:r>
    </w:p>
    <w:p w14:paraId="74831193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63463C2C" w14:textId="77777777" w:rsidR="00307071" w:rsidRPr="00A042E5" w:rsidRDefault="00307071" w:rsidP="00A368C6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Iné účinky súvisiace s inhibíciou kyseliny</w:t>
      </w:r>
    </w:p>
    <w:p w14:paraId="187F42EC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Počas dlhodobej liečby sa zaznamenali glandulárne cysty v žalúdku s o niečo vyššou frekvenciou. Tieto zmeny sú fyziologickým dôsledkom výraznej inhibície sekrécie kyseliny, sú benígne a javia sa byť reverzibilné.</w:t>
      </w:r>
    </w:p>
    <w:p w14:paraId="65371087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0C81FF1C" w14:textId="77777777" w:rsidR="00307071" w:rsidRPr="00A042E5" w:rsidRDefault="00307071">
      <w:pPr>
        <w:tabs>
          <w:tab w:val="left" w:pos="567"/>
        </w:tabs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Znížená žalúdková acidita z akéhokoľvek dôvodu, vrátane inhibítorov protónovej pumpy, zvyšuje v žalúdku počet baktérií, ktoré sú normálne prítomné v gastrointestinálnom trakte. Liečba liečivami, ktoré znižujú kyselinu, môže mať za následok mierne zvýšené riziko gastrointestinálnych infekcií, ktorých pôvodcom je </w:t>
      </w:r>
      <w:r w:rsidRPr="00A042E5">
        <w:rPr>
          <w:i/>
          <w:noProof/>
          <w:color w:val="000000"/>
          <w:sz w:val="22"/>
          <w:szCs w:val="22"/>
          <w:lang w:val="sk-SK"/>
        </w:rPr>
        <w:t>Salmonella</w:t>
      </w:r>
      <w:r w:rsidRPr="00A042E5">
        <w:rPr>
          <w:noProof/>
          <w:color w:val="000000"/>
          <w:sz w:val="22"/>
          <w:szCs w:val="22"/>
          <w:lang w:val="sk-SK"/>
        </w:rPr>
        <w:t xml:space="preserve"> a </w:t>
      </w:r>
      <w:r w:rsidRPr="00A042E5">
        <w:rPr>
          <w:i/>
          <w:noProof/>
          <w:color w:val="000000"/>
          <w:sz w:val="22"/>
          <w:szCs w:val="22"/>
          <w:lang w:val="sk-SK"/>
        </w:rPr>
        <w:t>Campylobacter</w:t>
      </w:r>
      <w:r w:rsidRPr="00A042E5">
        <w:rPr>
          <w:noProof/>
          <w:color w:val="000000"/>
          <w:sz w:val="22"/>
          <w:szCs w:val="22"/>
          <w:lang w:val="sk-SK"/>
        </w:rPr>
        <w:t>.</w:t>
      </w:r>
    </w:p>
    <w:p w14:paraId="72249682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4534081D" w14:textId="7DFE2A3F" w:rsidR="00403678" w:rsidRPr="00981EB6" w:rsidRDefault="00FA7AC3" w:rsidP="00FA7AC3">
      <w:pPr>
        <w:outlineLvl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Počas liečby </w:t>
      </w:r>
      <w:proofErr w:type="spellStart"/>
      <w:r w:rsidRPr="00A368C6">
        <w:rPr>
          <w:sz w:val="22"/>
          <w:szCs w:val="22"/>
          <w:lang w:val="sk-SK"/>
        </w:rPr>
        <w:t>antisekrečnými</w:t>
      </w:r>
      <w:proofErr w:type="spellEnd"/>
      <w:r w:rsidRPr="00A368C6">
        <w:rPr>
          <w:sz w:val="22"/>
          <w:szCs w:val="22"/>
          <w:lang w:val="sk-SK"/>
        </w:rPr>
        <w:t xml:space="preserve"> liekmi sa zvyšuje sérov</w:t>
      </w:r>
      <w:r w:rsidR="00403678" w:rsidRPr="00981EB6">
        <w:rPr>
          <w:sz w:val="22"/>
          <w:szCs w:val="22"/>
          <w:lang w:val="sk-SK"/>
        </w:rPr>
        <w:t>á hladina</w:t>
      </w:r>
      <w:r w:rsidRPr="00A368C6">
        <w:rPr>
          <w:sz w:val="22"/>
          <w:szCs w:val="22"/>
          <w:lang w:val="sk-SK"/>
        </w:rPr>
        <w:t xml:space="preserve"> </w:t>
      </w:r>
      <w:proofErr w:type="spellStart"/>
      <w:r w:rsidRPr="00A368C6">
        <w:rPr>
          <w:sz w:val="22"/>
          <w:szCs w:val="22"/>
          <w:lang w:val="sk-SK"/>
        </w:rPr>
        <w:t>gastrín</w:t>
      </w:r>
      <w:r w:rsidR="00403678" w:rsidRPr="00981EB6">
        <w:rPr>
          <w:sz w:val="22"/>
          <w:szCs w:val="22"/>
          <w:lang w:val="sk-SK"/>
        </w:rPr>
        <w:t>u</w:t>
      </w:r>
      <w:proofErr w:type="spellEnd"/>
      <w:r w:rsidRPr="00A368C6">
        <w:rPr>
          <w:sz w:val="22"/>
          <w:szCs w:val="22"/>
          <w:lang w:val="sk-SK"/>
        </w:rPr>
        <w:t xml:space="preserve"> ako </w:t>
      </w:r>
      <w:r w:rsidR="00403678" w:rsidRPr="00981EB6">
        <w:rPr>
          <w:sz w:val="22"/>
          <w:szCs w:val="22"/>
          <w:lang w:val="sk-SK"/>
        </w:rPr>
        <w:t>odpoveď</w:t>
      </w:r>
      <w:r w:rsidRPr="00A368C6">
        <w:rPr>
          <w:sz w:val="22"/>
          <w:szCs w:val="22"/>
          <w:lang w:val="sk-SK"/>
        </w:rPr>
        <w:t xml:space="preserve"> na zníženú sekréciu žalúdočnej kyseliny. Zvýš</w:t>
      </w:r>
      <w:r w:rsidR="00403678" w:rsidRPr="00981EB6">
        <w:rPr>
          <w:sz w:val="22"/>
          <w:szCs w:val="22"/>
          <w:lang w:val="sk-SK"/>
        </w:rPr>
        <w:t>i sa tiež</w:t>
      </w:r>
      <w:r w:rsidRPr="00A368C6">
        <w:rPr>
          <w:sz w:val="22"/>
          <w:szCs w:val="22"/>
          <w:lang w:val="sk-SK"/>
        </w:rPr>
        <w:t xml:space="preserve"> hladina </w:t>
      </w:r>
      <w:proofErr w:type="spellStart"/>
      <w:r w:rsidRPr="00A368C6">
        <w:rPr>
          <w:sz w:val="22"/>
          <w:szCs w:val="22"/>
          <w:lang w:val="sk-SK"/>
        </w:rPr>
        <w:t>CgA</w:t>
      </w:r>
      <w:proofErr w:type="spellEnd"/>
      <w:r w:rsidRPr="00A368C6">
        <w:rPr>
          <w:sz w:val="22"/>
          <w:szCs w:val="22"/>
          <w:lang w:val="sk-SK"/>
        </w:rPr>
        <w:t xml:space="preserve"> </w:t>
      </w:r>
      <w:r w:rsidR="00403678" w:rsidRPr="00981EB6">
        <w:rPr>
          <w:sz w:val="22"/>
          <w:szCs w:val="22"/>
          <w:lang w:val="sk-SK"/>
        </w:rPr>
        <w:t xml:space="preserve">v dôsledku zníženej kyslosti žalúdka. Zvýšená hladina </w:t>
      </w:r>
      <w:proofErr w:type="spellStart"/>
      <w:r w:rsidR="00403678" w:rsidRPr="00981EB6">
        <w:rPr>
          <w:sz w:val="22"/>
          <w:szCs w:val="22"/>
          <w:lang w:val="sk-SK"/>
        </w:rPr>
        <w:t>CgA</w:t>
      </w:r>
      <w:proofErr w:type="spellEnd"/>
      <w:r w:rsidR="00403678" w:rsidRPr="00981EB6">
        <w:rPr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 xml:space="preserve">môže </w:t>
      </w:r>
      <w:r w:rsidR="00403678" w:rsidRPr="00981EB6">
        <w:rPr>
          <w:sz w:val="22"/>
          <w:szCs w:val="22"/>
          <w:lang w:val="sk-SK"/>
        </w:rPr>
        <w:t>interferovať s</w:t>
      </w:r>
      <w:r w:rsidRPr="00A368C6">
        <w:rPr>
          <w:sz w:val="22"/>
          <w:szCs w:val="22"/>
          <w:lang w:val="sk-SK"/>
        </w:rPr>
        <w:t xml:space="preserve"> vyšetreni</w:t>
      </w:r>
      <w:r w:rsidR="00403678" w:rsidRPr="00981EB6">
        <w:rPr>
          <w:sz w:val="22"/>
          <w:szCs w:val="22"/>
          <w:lang w:val="sk-SK"/>
        </w:rPr>
        <w:t>ami</w:t>
      </w:r>
      <w:r w:rsidRPr="00A368C6">
        <w:rPr>
          <w:sz w:val="22"/>
          <w:szCs w:val="22"/>
          <w:lang w:val="sk-SK"/>
        </w:rPr>
        <w:t xml:space="preserve"> na </w:t>
      </w:r>
      <w:proofErr w:type="spellStart"/>
      <w:r w:rsidRPr="00A368C6">
        <w:rPr>
          <w:sz w:val="22"/>
          <w:szCs w:val="22"/>
          <w:lang w:val="sk-SK"/>
        </w:rPr>
        <w:t>neuroendokrinné</w:t>
      </w:r>
      <w:proofErr w:type="spellEnd"/>
      <w:r w:rsidRPr="00A368C6">
        <w:rPr>
          <w:sz w:val="22"/>
          <w:szCs w:val="22"/>
          <w:lang w:val="sk-SK"/>
        </w:rPr>
        <w:t xml:space="preserve"> nádory.</w:t>
      </w:r>
    </w:p>
    <w:p w14:paraId="33246218" w14:textId="77777777" w:rsidR="00403678" w:rsidRPr="00981EB6" w:rsidRDefault="00403678" w:rsidP="00FA7AC3">
      <w:pPr>
        <w:outlineLvl w:val="0"/>
        <w:rPr>
          <w:sz w:val="22"/>
          <w:szCs w:val="22"/>
          <w:lang w:val="sk-SK"/>
        </w:rPr>
      </w:pPr>
    </w:p>
    <w:p w14:paraId="00AEE20E" w14:textId="16B45F4B" w:rsidR="00FA7AC3" w:rsidRDefault="00A15084" w:rsidP="00FA7AC3">
      <w:pPr>
        <w:outlineLvl w:val="0"/>
        <w:rPr>
          <w:sz w:val="22"/>
          <w:szCs w:val="22"/>
          <w:lang w:val="sk-SK"/>
        </w:rPr>
      </w:pPr>
      <w:r w:rsidRPr="00A368C6">
        <w:rPr>
          <w:noProof/>
          <w:sz w:val="22"/>
          <w:szCs w:val="22"/>
          <w:lang w:val="sk-SK"/>
        </w:rPr>
        <w:t xml:space="preserve">Z dostupných uverejnených </w:t>
      </w:r>
      <w:r w:rsidRPr="00A368C6">
        <w:rPr>
          <w:sz w:val="22"/>
          <w:szCs w:val="22"/>
          <w:lang w:val="sk-SK"/>
        </w:rPr>
        <w:t>dôkazov vyplýva</w:t>
      </w:r>
      <w:r w:rsidR="00FA7AC3" w:rsidRPr="00A368C6">
        <w:rPr>
          <w:sz w:val="22"/>
          <w:szCs w:val="22"/>
          <w:lang w:val="sk-SK"/>
        </w:rPr>
        <w:t>, že inhibítor</w:t>
      </w:r>
      <w:r w:rsidRPr="00A368C6">
        <w:rPr>
          <w:sz w:val="22"/>
          <w:szCs w:val="22"/>
          <w:lang w:val="sk-SK"/>
        </w:rPr>
        <w:t>y</w:t>
      </w:r>
      <w:r w:rsidR="00FA7AC3" w:rsidRPr="00A368C6">
        <w:rPr>
          <w:sz w:val="22"/>
          <w:szCs w:val="22"/>
          <w:lang w:val="sk-SK"/>
        </w:rPr>
        <w:t xml:space="preserve"> protónovej pumpy sa </w:t>
      </w:r>
      <w:r w:rsidRPr="00A368C6">
        <w:rPr>
          <w:sz w:val="22"/>
          <w:szCs w:val="22"/>
          <w:lang w:val="sk-SK"/>
        </w:rPr>
        <w:t>majú</w:t>
      </w:r>
      <w:r w:rsidR="00FA7AC3" w:rsidRPr="00A368C6">
        <w:rPr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>vysadiť</w:t>
      </w:r>
      <w:r w:rsidR="00FA7AC3" w:rsidRPr="00A368C6">
        <w:rPr>
          <w:sz w:val="22"/>
          <w:szCs w:val="22"/>
          <w:lang w:val="sk-SK"/>
        </w:rPr>
        <w:t xml:space="preserve"> 5 dní </w:t>
      </w:r>
      <w:r w:rsidRPr="00A368C6">
        <w:rPr>
          <w:sz w:val="22"/>
          <w:szCs w:val="22"/>
          <w:lang w:val="sk-SK"/>
        </w:rPr>
        <w:t xml:space="preserve">až 2 týždne </w:t>
      </w:r>
      <w:r w:rsidR="00FA7AC3" w:rsidRPr="00A368C6">
        <w:rPr>
          <w:sz w:val="22"/>
          <w:szCs w:val="22"/>
          <w:lang w:val="sk-SK"/>
        </w:rPr>
        <w:t>pred meraním</w:t>
      </w:r>
      <w:r w:rsidRPr="00A368C6">
        <w:rPr>
          <w:sz w:val="22"/>
          <w:szCs w:val="22"/>
          <w:lang w:val="sk-SK"/>
        </w:rPr>
        <w:t xml:space="preserve"> hladiny</w:t>
      </w:r>
      <w:r w:rsidR="00FA7AC3" w:rsidRPr="00A368C6">
        <w:rPr>
          <w:sz w:val="22"/>
          <w:szCs w:val="22"/>
          <w:lang w:val="sk-SK"/>
        </w:rPr>
        <w:t xml:space="preserve"> </w:t>
      </w:r>
      <w:proofErr w:type="spellStart"/>
      <w:r w:rsidR="00FA7AC3" w:rsidRPr="00A368C6">
        <w:rPr>
          <w:sz w:val="22"/>
          <w:szCs w:val="22"/>
          <w:lang w:val="sk-SK"/>
        </w:rPr>
        <w:t>CgA</w:t>
      </w:r>
      <w:proofErr w:type="spellEnd"/>
      <w:r w:rsidR="00FA7AC3" w:rsidRPr="00A368C6">
        <w:rPr>
          <w:sz w:val="22"/>
          <w:szCs w:val="22"/>
          <w:lang w:val="sk-SK"/>
        </w:rPr>
        <w:t xml:space="preserve">. </w:t>
      </w:r>
      <w:r w:rsidRPr="00A368C6">
        <w:rPr>
          <w:sz w:val="22"/>
          <w:szCs w:val="22"/>
          <w:lang w:val="sk-SK"/>
        </w:rPr>
        <w:t xml:space="preserve">To má umožniť, aby sa hladiny </w:t>
      </w:r>
      <w:proofErr w:type="spellStart"/>
      <w:r w:rsidRPr="00A368C6">
        <w:rPr>
          <w:sz w:val="22"/>
          <w:szCs w:val="22"/>
          <w:lang w:val="sk-SK"/>
        </w:rPr>
        <w:t>CgA</w:t>
      </w:r>
      <w:proofErr w:type="spellEnd"/>
      <w:r w:rsidRPr="00A368C6">
        <w:rPr>
          <w:sz w:val="22"/>
          <w:szCs w:val="22"/>
          <w:lang w:val="sk-SK"/>
        </w:rPr>
        <w:t>, ktoré m</w:t>
      </w:r>
      <w:r w:rsidR="00C46B9F">
        <w:rPr>
          <w:sz w:val="22"/>
          <w:szCs w:val="22"/>
          <w:lang w:val="sk-SK"/>
        </w:rPr>
        <w:t>ôžu</w:t>
      </w:r>
      <w:r w:rsidRPr="00A368C6">
        <w:rPr>
          <w:sz w:val="22"/>
          <w:szCs w:val="22"/>
          <w:lang w:val="sk-SK"/>
        </w:rPr>
        <w:t xml:space="preserve"> byť po liečbe PPI umelo zvýšené, vrátili do referenčného rozsahu</w:t>
      </w:r>
      <w:r w:rsidRPr="00A368C6">
        <w:rPr>
          <w:noProof/>
          <w:sz w:val="22"/>
          <w:szCs w:val="22"/>
          <w:lang w:val="sk-SK"/>
        </w:rPr>
        <w:t>.</w:t>
      </w:r>
    </w:p>
    <w:p w14:paraId="6213BF89" w14:textId="77777777" w:rsidR="00981EB6" w:rsidRPr="00A368C6" w:rsidRDefault="00981EB6" w:rsidP="00FA7AC3">
      <w:pPr>
        <w:outlineLvl w:val="0"/>
        <w:rPr>
          <w:sz w:val="22"/>
          <w:szCs w:val="22"/>
          <w:lang w:val="sk-SK"/>
        </w:rPr>
      </w:pPr>
    </w:p>
    <w:p w14:paraId="5022EB0F" w14:textId="77777777" w:rsidR="00FA7AC3" w:rsidRPr="00A368C6" w:rsidRDefault="00FA7AC3" w:rsidP="00FA7AC3">
      <w:pPr>
        <w:outlineLvl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U niektorých pacientov (dospelých aj detí) sa počas dlhodobej liečby </w:t>
      </w:r>
      <w:proofErr w:type="spellStart"/>
      <w:r w:rsidRPr="00A368C6">
        <w:rPr>
          <w:sz w:val="22"/>
          <w:szCs w:val="22"/>
          <w:lang w:val="sk-SK"/>
        </w:rPr>
        <w:t>omeprazolom</w:t>
      </w:r>
      <w:proofErr w:type="spellEnd"/>
      <w:r w:rsidRPr="00A368C6">
        <w:rPr>
          <w:sz w:val="22"/>
          <w:szCs w:val="22"/>
          <w:lang w:val="sk-SK"/>
        </w:rPr>
        <w:t xml:space="preserve"> pozoroval zvýšený počet ECL buniek, pravdepodobne súvisiaci so zvýšenými hladinami sérových </w:t>
      </w:r>
      <w:proofErr w:type="spellStart"/>
      <w:r w:rsidRPr="00A368C6">
        <w:rPr>
          <w:sz w:val="22"/>
          <w:szCs w:val="22"/>
          <w:lang w:val="sk-SK"/>
        </w:rPr>
        <w:t>gastrínov</w:t>
      </w:r>
      <w:proofErr w:type="spellEnd"/>
      <w:r w:rsidRPr="00A368C6">
        <w:rPr>
          <w:sz w:val="22"/>
          <w:szCs w:val="22"/>
          <w:lang w:val="sk-SK"/>
        </w:rPr>
        <w:t>. Tieto pozorovania sa nepovažujú za klinicky významné.</w:t>
      </w:r>
    </w:p>
    <w:p w14:paraId="3364C0D7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B46D4CB" w14:textId="4B35A9AB" w:rsidR="00307071" w:rsidRPr="00A042E5" w:rsidRDefault="00FA7AC3">
      <w:pPr>
        <w:suppressAutoHyphens/>
        <w:rPr>
          <w:sz w:val="22"/>
          <w:szCs w:val="22"/>
          <w:u w:val="single"/>
          <w:lang w:val="sk-SK" w:eastAsia="ar-SA"/>
        </w:rPr>
      </w:pPr>
      <w:r w:rsidRPr="00A368C6">
        <w:rPr>
          <w:sz w:val="22"/>
          <w:szCs w:val="22"/>
          <w:u w:val="single"/>
          <w:lang w:val="sk-SK"/>
        </w:rPr>
        <w:t>Pediatrická populácia</w:t>
      </w:r>
    </w:p>
    <w:p w14:paraId="275E3DAC" w14:textId="20B870CD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V nekontrolovanej </w:t>
      </w:r>
      <w:r w:rsidR="00FA7AC3" w:rsidRPr="00A368C6">
        <w:rPr>
          <w:sz w:val="22"/>
          <w:szCs w:val="22"/>
          <w:lang w:val="sk-SK"/>
        </w:rPr>
        <w:t xml:space="preserve">klinickom skúšaní </w:t>
      </w:r>
      <w:r w:rsidRPr="00A042E5">
        <w:rPr>
          <w:sz w:val="22"/>
          <w:szCs w:val="22"/>
          <w:lang w:val="sk-SK" w:eastAsia="ar-SA"/>
        </w:rPr>
        <w:t xml:space="preserve">u detí (vo veku 1 až 16 rokov) so závažnou </w:t>
      </w:r>
      <w:proofErr w:type="spellStart"/>
      <w:r w:rsidRPr="00A042E5">
        <w:rPr>
          <w:sz w:val="22"/>
          <w:szCs w:val="22"/>
          <w:lang w:val="sk-SK" w:eastAsia="ar-SA"/>
        </w:rPr>
        <w:t>refluxnou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ezofagitídou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dávkach 0,7 až 1,4 mg/kg zlepšil stupeň </w:t>
      </w:r>
      <w:proofErr w:type="spellStart"/>
      <w:r w:rsidRPr="00A042E5">
        <w:rPr>
          <w:sz w:val="22"/>
          <w:szCs w:val="22"/>
          <w:lang w:val="sk-SK" w:eastAsia="ar-SA"/>
        </w:rPr>
        <w:t>ezofagitídy</w:t>
      </w:r>
      <w:proofErr w:type="spellEnd"/>
      <w:r w:rsidRPr="00A042E5">
        <w:rPr>
          <w:sz w:val="22"/>
          <w:szCs w:val="22"/>
          <w:lang w:val="sk-SK" w:eastAsia="ar-SA"/>
        </w:rPr>
        <w:t xml:space="preserve"> v 90 % prípadov a významne </w:t>
      </w:r>
      <w:r w:rsidRPr="00A042E5">
        <w:rPr>
          <w:noProof/>
          <w:color w:val="000000"/>
          <w:sz w:val="22"/>
          <w:szCs w:val="22"/>
          <w:lang w:val="sk-SK"/>
        </w:rPr>
        <w:t>znížil príznaky refluxu.</w:t>
      </w:r>
      <w:r w:rsidRPr="00A042E5">
        <w:rPr>
          <w:sz w:val="22"/>
          <w:szCs w:val="22"/>
          <w:lang w:val="sk-SK" w:eastAsia="ar-SA"/>
        </w:rPr>
        <w:t xml:space="preserve"> V jednoduchej zaslepenej štúdii boli deti vo veku 0-24 mesiacov s klinicky diagnostikovanou </w:t>
      </w:r>
      <w:r w:rsidRPr="00A042E5">
        <w:rPr>
          <w:noProof/>
          <w:color w:val="000000"/>
          <w:sz w:val="22"/>
          <w:szCs w:val="22"/>
          <w:lang w:val="sk-SK"/>
        </w:rPr>
        <w:t>gastroezofag</w:t>
      </w:r>
      <w:r w:rsidR="00C46B9F">
        <w:rPr>
          <w:noProof/>
          <w:color w:val="000000"/>
          <w:sz w:val="22"/>
          <w:szCs w:val="22"/>
          <w:lang w:val="sk-SK"/>
        </w:rPr>
        <w:t>e</w:t>
      </w:r>
      <w:r w:rsidRPr="00A042E5">
        <w:rPr>
          <w:noProof/>
          <w:color w:val="000000"/>
          <w:sz w:val="22"/>
          <w:szCs w:val="22"/>
          <w:lang w:val="sk-SK"/>
        </w:rPr>
        <w:t>álnou refluxnou chorobou</w:t>
      </w:r>
      <w:r w:rsidRPr="00A042E5">
        <w:rPr>
          <w:sz w:val="22"/>
          <w:szCs w:val="22"/>
          <w:lang w:val="sk-SK" w:eastAsia="ar-SA"/>
        </w:rPr>
        <w:t xml:space="preserve"> liečené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dávkach 0,5; 1,0 alebo 1,5 mg/kg. Bez ohľadu na veľkosť dávky sa frekvencia epizód vracania/</w:t>
      </w:r>
      <w:proofErr w:type="spellStart"/>
      <w:r w:rsidRPr="00A042E5">
        <w:rPr>
          <w:sz w:val="22"/>
          <w:szCs w:val="22"/>
          <w:lang w:val="sk-SK" w:eastAsia="ar-SA"/>
        </w:rPr>
        <w:t>regurgitácie</w:t>
      </w:r>
      <w:proofErr w:type="spellEnd"/>
      <w:r w:rsidRPr="00A042E5">
        <w:rPr>
          <w:sz w:val="22"/>
          <w:szCs w:val="22"/>
          <w:lang w:val="sk-SK" w:eastAsia="ar-SA"/>
        </w:rPr>
        <w:t xml:space="preserve"> znížila po 8 týždňoch liečby o 50 %.</w:t>
      </w:r>
    </w:p>
    <w:p w14:paraId="6570C5BA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325E4D08" w14:textId="49BFC7FD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proofErr w:type="spellStart"/>
      <w:r w:rsidRPr="00A042E5">
        <w:rPr>
          <w:i/>
          <w:sz w:val="22"/>
          <w:szCs w:val="22"/>
          <w:lang w:val="sk-SK" w:eastAsia="ar-SA"/>
        </w:rPr>
        <w:t>Eradikácia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H</w:t>
      </w:r>
      <w:r w:rsidR="006B5BEE">
        <w:rPr>
          <w:i/>
          <w:sz w:val="22"/>
          <w:szCs w:val="22"/>
          <w:lang w:val="sk-SK" w:eastAsia="ar-SA"/>
        </w:rPr>
        <w:t>.</w:t>
      </w:r>
      <w:r w:rsidRPr="00A042E5">
        <w:rPr>
          <w:i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i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u detí</w:t>
      </w:r>
    </w:p>
    <w:p w14:paraId="23C3F87E" w14:textId="210ACE4F" w:rsidR="00307071" w:rsidRPr="00A042E5" w:rsidRDefault="00307071" w:rsidP="000D345C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Randomizovan</w:t>
      </w:r>
      <w:r w:rsidR="006B5BEE">
        <w:rPr>
          <w:sz w:val="22"/>
          <w:szCs w:val="22"/>
          <w:lang w:val="sk-SK" w:eastAsia="ar-SA"/>
        </w:rPr>
        <w:t>é</w:t>
      </w:r>
      <w:proofErr w:type="spellEnd"/>
      <w:r w:rsidRPr="00A042E5">
        <w:rPr>
          <w:sz w:val="22"/>
          <w:szCs w:val="22"/>
          <w:lang w:val="sk-SK" w:eastAsia="ar-SA"/>
        </w:rPr>
        <w:t>, dvojito zaslepen</w:t>
      </w:r>
      <w:r w:rsidR="006B5BEE">
        <w:rPr>
          <w:sz w:val="22"/>
          <w:szCs w:val="22"/>
          <w:lang w:val="sk-SK" w:eastAsia="ar-SA"/>
        </w:rPr>
        <w:t>é</w:t>
      </w:r>
      <w:r w:rsidRPr="00A042E5">
        <w:rPr>
          <w:sz w:val="22"/>
          <w:szCs w:val="22"/>
          <w:lang w:val="sk-SK" w:eastAsia="ar-SA"/>
        </w:rPr>
        <w:t xml:space="preserve"> </w:t>
      </w:r>
      <w:r w:rsidRPr="001555F9">
        <w:rPr>
          <w:sz w:val="22"/>
          <w:szCs w:val="22"/>
          <w:lang w:val="sk-SK" w:eastAsia="ar-SA"/>
        </w:rPr>
        <w:t>klinick</w:t>
      </w:r>
      <w:r w:rsidR="006B5BEE" w:rsidRPr="001555F9">
        <w:rPr>
          <w:sz w:val="22"/>
          <w:szCs w:val="22"/>
          <w:lang w:val="sk-SK" w:eastAsia="ar-SA"/>
        </w:rPr>
        <w:t>é</w:t>
      </w:r>
      <w:r w:rsidRPr="001555F9">
        <w:rPr>
          <w:sz w:val="22"/>
          <w:szCs w:val="22"/>
          <w:lang w:val="sk-SK" w:eastAsia="ar-SA"/>
        </w:rPr>
        <w:t xml:space="preserve"> </w:t>
      </w:r>
      <w:r w:rsidR="006B5BEE" w:rsidRPr="001555F9">
        <w:rPr>
          <w:sz w:val="22"/>
          <w:szCs w:val="22"/>
          <w:lang w:val="sk-SK" w:eastAsia="ar-SA"/>
        </w:rPr>
        <w:t>skúšanie</w:t>
      </w:r>
      <w:r w:rsidR="006B5BEE">
        <w:rPr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>(</w:t>
      </w:r>
      <w:proofErr w:type="spellStart"/>
      <w:r w:rsidRPr="00A042E5">
        <w:rPr>
          <w:sz w:val="22"/>
          <w:szCs w:val="22"/>
          <w:lang w:val="sk-SK" w:eastAsia="ar-SA"/>
        </w:rPr>
        <w:t>Héliot</w:t>
      </w:r>
      <w:proofErr w:type="spellEnd"/>
      <w:r w:rsidRPr="00A042E5">
        <w:rPr>
          <w:sz w:val="22"/>
          <w:szCs w:val="22"/>
          <w:lang w:val="sk-SK" w:eastAsia="ar-SA"/>
        </w:rPr>
        <w:t>) potvrdil</w:t>
      </w:r>
      <w:r w:rsidR="006B5BEE">
        <w:rPr>
          <w:sz w:val="22"/>
          <w:szCs w:val="22"/>
          <w:lang w:val="sk-SK" w:eastAsia="ar-SA"/>
        </w:rPr>
        <w:t>o</w:t>
      </w:r>
      <w:r w:rsidRPr="00A042E5">
        <w:rPr>
          <w:sz w:val="22"/>
          <w:szCs w:val="22"/>
          <w:lang w:val="sk-SK" w:eastAsia="ar-SA"/>
        </w:rPr>
        <w:t>,</w:t>
      </w:r>
      <w:r w:rsidRPr="00A042E5">
        <w:rPr>
          <w:sz w:val="22"/>
          <w:szCs w:val="22"/>
          <w:lang w:val="sk-SK" w:eastAsia="sk-SK"/>
        </w:rPr>
        <w:t xml:space="preserve"> že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v kombinácii s</w:t>
      </w:r>
      <w:r w:rsidR="00C46B9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dvoma antibiotikami (</w:t>
      </w:r>
      <w:proofErr w:type="spellStart"/>
      <w:r w:rsidRPr="00A042E5">
        <w:rPr>
          <w:sz w:val="22"/>
          <w:szCs w:val="22"/>
          <w:lang w:val="sk-SK" w:eastAsia="sk-SK"/>
        </w:rPr>
        <w:t>amoxicilínom</w:t>
      </w:r>
      <w:proofErr w:type="spellEnd"/>
      <w:r w:rsidRPr="00A042E5">
        <w:rPr>
          <w:sz w:val="22"/>
          <w:szCs w:val="22"/>
          <w:lang w:val="sk-SK" w:eastAsia="sk-SK"/>
        </w:rPr>
        <w:t xml:space="preserve"> a </w:t>
      </w:r>
      <w:proofErr w:type="spellStart"/>
      <w:r w:rsidRPr="00A042E5">
        <w:rPr>
          <w:sz w:val="22"/>
          <w:szCs w:val="22"/>
          <w:lang w:val="sk-SK" w:eastAsia="sk-SK"/>
        </w:rPr>
        <w:t>klaritromycínom</w:t>
      </w:r>
      <w:proofErr w:type="spellEnd"/>
      <w:r w:rsidRPr="00A042E5">
        <w:rPr>
          <w:sz w:val="22"/>
          <w:szCs w:val="22"/>
          <w:lang w:val="sk-SK" w:eastAsia="sk-SK"/>
        </w:rPr>
        <w:t xml:space="preserve">) bol bezpečný a účinný v liečbe infekcie spôsobenej </w:t>
      </w:r>
      <w:r w:rsidRPr="00A042E5">
        <w:rPr>
          <w:i/>
          <w:iCs/>
          <w:sz w:val="22"/>
          <w:szCs w:val="22"/>
          <w:lang w:val="sk-SK" w:eastAsia="sk-SK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u detí s gastritídou vo veku 4 rokov a starších: miera </w:t>
      </w:r>
      <w:proofErr w:type="spellStart"/>
      <w:r w:rsidRPr="00A042E5">
        <w:rPr>
          <w:sz w:val="22"/>
          <w:szCs w:val="22"/>
          <w:lang w:val="sk-SK" w:eastAsia="sk-SK"/>
        </w:rPr>
        <w:t>eradikácie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H.pylori</w:t>
      </w:r>
      <w:proofErr w:type="spellEnd"/>
      <w:r w:rsidRPr="00A042E5">
        <w:rPr>
          <w:sz w:val="22"/>
          <w:szCs w:val="22"/>
          <w:lang w:val="sk-SK" w:eastAsia="sk-SK"/>
        </w:rPr>
        <w:t>: 74,2</w:t>
      </w:r>
      <w:r w:rsidR="00C46B9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 (23/31 pacientov) liečených kombináciou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="00C46B9F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+</w:t>
      </w:r>
      <w:r w:rsidR="00C46B9F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amoxicilín</w:t>
      </w:r>
      <w:proofErr w:type="spellEnd"/>
      <w:r w:rsidR="00C46B9F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+</w:t>
      </w:r>
      <w:r w:rsidR="00C46B9F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C46B9F">
        <w:rPr>
          <w:sz w:val="22"/>
          <w:szCs w:val="22"/>
          <w:lang w:val="sk-SK" w:eastAsia="sk-SK"/>
        </w:rPr>
        <w:t>oproti</w:t>
      </w:r>
      <w:r w:rsidRPr="00A042E5">
        <w:rPr>
          <w:sz w:val="22"/>
          <w:szCs w:val="22"/>
          <w:lang w:val="sk-SK" w:eastAsia="sk-SK"/>
        </w:rPr>
        <w:t xml:space="preserve"> 9,4</w:t>
      </w:r>
      <w:r w:rsidR="00C46B9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 (3/32 pacientov) liečených kombináciou </w:t>
      </w:r>
      <w:proofErr w:type="spellStart"/>
      <w:r w:rsidRPr="00A042E5">
        <w:rPr>
          <w:sz w:val="22"/>
          <w:szCs w:val="22"/>
          <w:lang w:val="sk-SK" w:eastAsia="sk-SK"/>
        </w:rPr>
        <w:t>amoxicilín</w:t>
      </w:r>
      <w:proofErr w:type="spellEnd"/>
      <w:r w:rsidR="00C46B9F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+</w:t>
      </w:r>
      <w:r w:rsidR="00C46B9F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>. Klinický prínos liečby súvisiaci s</w:t>
      </w:r>
      <w:r w:rsidR="006B5BEE">
        <w:rPr>
          <w:sz w:val="22"/>
          <w:szCs w:val="22"/>
          <w:lang w:val="sk-SK" w:eastAsia="sk-SK"/>
        </w:rPr>
        <w:t> </w:t>
      </w:r>
      <w:proofErr w:type="spellStart"/>
      <w:r w:rsidRPr="00A042E5">
        <w:rPr>
          <w:sz w:val="22"/>
          <w:szCs w:val="22"/>
          <w:lang w:val="sk-SK" w:eastAsia="sk-SK"/>
        </w:rPr>
        <w:t>dyspeptickými</w:t>
      </w:r>
      <w:proofErr w:type="spellEnd"/>
      <w:r w:rsidRPr="00A042E5">
        <w:rPr>
          <w:sz w:val="22"/>
          <w:szCs w:val="22"/>
          <w:lang w:val="sk-SK" w:eastAsia="sk-SK"/>
        </w:rPr>
        <w:t xml:space="preserve"> symptómami však preukázaný nebol. </w:t>
      </w:r>
      <w:r w:rsidR="006B5BEE" w:rsidRPr="00A368C6">
        <w:rPr>
          <w:sz w:val="22"/>
          <w:szCs w:val="22"/>
          <w:lang w:val="sk-SK"/>
        </w:rPr>
        <w:t>Toto klinické skúšanie neprináša žiadne údaje týkajúce sa detí mladších ako 4 roky.</w:t>
      </w:r>
    </w:p>
    <w:p w14:paraId="3020AEC0" w14:textId="77777777" w:rsidR="00307071" w:rsidRPr="00A368C6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70DCBF55" w14:textId="77777777" w:rsidR="00307071" w:rsidRPr="00A042E5" w:rsidRDefault="00307071" w:rsidP="00EE06E8">
      <w:pPr>
        <w:keepNext/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5.2</w:t>
      </w:r>
      <w:r w:rsidRPr="00A042E5">
        <w:rPr>
          <w:b/>
          <w:sz w:val="22"/>
          <w:szCs w:val="22"/>
          <w:lang w:val="sk-SK" w:eastAsia="ar-SA"/>
        </w:rPr>
        <w:tab/>
      </w:r>
      <w:proofErr w:type="spellStart"/>
      <w:r w:rsidRPr="00A042E5">
        <w:rPr>
          <w:b/>
          <w:sz w:val="22"/>
          <w:szCs w:val="22"/>
          <w:lang w:val="sk-SK" w:eastAsia="ar-SA"/>
        </w:rPr>
        <w:t>Farmakokinetické</w:t>
      </w:r>
      <w:proofErr w:type="spellEnd"/>
      <w:r w:rsidRPr="00A042E5">
        <w:rPr>
          <w:b/>
          <w:sz w:val="22"/>
          <w:szCs w:val="22"/>
          <w:lang w:val="sk-SK" w:eastAsia="ar-SA"/>
        </w:rPr>
        <w:t xml:space="preserve"> vlastnosti</w:t>
      </w:r>
    </w:p>
    <w:p w14:paraId="5FA519EF" w14:textId="77777777" w:rsidR="00307071" w:rsidRPr="00A042E5" w:rsidRDefault="00307071" w:rsidP="00EE06E8">
      <w:pPr>
        <w:keepNext/>
        <w:suppressAutoHyphens/>
        <w:rPr>
          <w:sz w:val="22"/>
          <w:szCs w:val="22"/>
          <w:lang w:val="sk-SK" w:eastAsia="ar-SA"/>
        </w:rPr>
      </w:pPr>
    </w:p>
    <w:p w14:paraId="5BE0E1FB" w14:textId="77777777" w:rsidR="00307071" w:rsidRPr="00A042E5" w:rsidRDefault="00307071" w:rsidP="00EE06E8">
      <w:pPr>
        <w:keepNext/>
        <w:suppressAutoHyphens/>
        <w:rPr>
          <w:sz w:val="22"/>
          <w:szCs w:val="22"/>
          <w:u w:val="single"/>
          <w:lang w:val="sk-SK" w:eastAsia="ar-SA"/>
        </w:rPr>
      </w:pPr>
      <w:r w:rsidRPr="00A042E5">
        <w:rPr>
          <w:sz w:val="22"/>
          <w:szCs w:val="22"/>
          <w:u w:val="single"/>
          <w:lang w:val="sk-SK" w:eastAsia="ar-SA"/>
        </w:rPr>
        <w:t>Absorpcia</w:t>
      </w:r>
    </w:p>
    <w:p w14:paraId="5D4A3332" w14:textId="6C2F0AD3" w:rsidR="00307071" w:rsidRPr="00A042E5" w:rsidRDefault="00307071" w:rsidP="00EE06E8">
      <w:pPr>
        <w:keepNext/>
        <w:suppressAutoHyphens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a </w:t>
      </w:r>
      <w:proofErr w:type="spellStart"/>
      <w:r w:rsidRPr="00A042E5">
        <w:rPr>
          <w:sz w:val="22"/>
          <w:szCs w:val="22"/>
          <w:lang w:val="sk-SK" w:eastAsia="ar-SA"/>
        </w:rPr>
        <w:t>horečnatá</w:t>
      </w:r>
      <w:proofErr w:type="spellEnd"/>
      <w:r w:rsidRPr="00A042E5">
        <w:rPr>
          <w:sz w:val="22"/>
          <w:szCs w:val="22"/>
          <w:lang w:val="sk-SK" w:eastAsia="ar-SA"/>
        </w:rPr>
        <w:t xml:space="preserve"> soľ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sú citlivé na pôsobenie kyseliny, a preto sa podávajú perorálne vo forme </w:t>
      </w:r>
      <w:proofErr w:type="spellStart"/>
      <w:r w:rsidRPr="00A042E5">
        <w:rPr>
          <w:sz w:val="22"/>
          <w:szCs w:val="22"/>
          <w:lang w:val="sk-SK" w:eastAsia="ar-SA"/>
        </w:rPr>
        <w:t>gastrorezistentných</w:t>
      </w:r>
      <w:proofErr w:type="spellEnd"/>
      <w:r w:rsidRPr="00A042E5">
        <w:rPr>
          <w:sz w:val="22"/>
          <w:szCs w:val="22"/>
          <w:lang w:val="sk-SK" w:eastAsia="ar-SA"/>
        </w:rPr>
        <w:t xml:space="preserve"> granúl v kapsul</w:t>
      </w:r>
      <w:r w:rsidR="00BF32BA" w:rsidRPr="00A042E5">
        <w:rPr>
          <w:sz w:val="22"/>
          <w:szCs w:val="22"/>
          <w:lang w:val="sk-SK" w:eastAsia="ar-SA"/>
        </w:rPr>
        <w:t>á</w:t>
      </w:r>
      <w:r w:rsidRPr="00A042E5">
        <w:rPr>
          <w:sz w:val="22"/>
          <w:szCs w:val="22"/>
          <w:lang w:val="sk-SK" w:eastAsia="ar-SA"/>
        </w:rPr>
        <w:t xml:space="preserve">ch alebo tabletách. Absorpcia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 rýchla, pričom maximálne plazmatické hladiny sa dosahujú približne 1-2 hodiny po podaní dávky. Absorpcia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prebieha v tenkom čreve a zvyčajne je ukončená do 3-6 hodín. Súčasný príjem jedla nemá žiadny vplyv na biologickú dostupnosť. Systémová dostupnosť (biologická dostupnosť) je po perorálnom podaní jednorazovej dávky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približne 40 %. Po opakovanom podávaní jedenkrát denne sa biologická dostup</w:t>
      </w:r>
      <w:r w:rsidR="00EE06E8">
        <w:rPr>
          <w:sz w:val="22"/>
          <w:szCs w:val="22"/>
          <w:lang w:val="sk-SK" w:eastAsia="ar-SA"/>
        </w:rPr>
        <w:t>nosť zvyšuje približne na 60 %.</w:t>
      </w:r>
    </w:p>
    <w:p w14:paraId="029AFD47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0EF346CA" w14:textId="77777777" w:rsidR="00307071" w:rsidRPr="00A042E5" w:rsidRDefault="00307071">
      <w:pPr>
        <w:suppressAutoHyphens/>
        <w:rPr>
          <w:sz w:val="22"/>
          <w:szCs w:val="22"/>
          <w:u w:val="single"/>
          <w:lang w:val="sk-SK" w:eastAsia="ar-SA"/>
        </w:rPr>
      </w:pPr>
      <w:r w:rsidRPr="00A042E5">
        <w:rPr>
          <w:sz w:val="22"/>
          <w:szCs w:val="22"/>
          <w:u w:val="single"/>
          <w:lang w:val="sk-SK" w:eastAsia="ar-SA"/>
        </w:rPr>
        <w:t>Distribúcia</w:t>
      </w:r>
    </w:p>
    <w:p w14:paraId="25EF7D7E" w14:textId="373130E2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Zdanlivý distribučný objem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u zdravých jedincov je približne 0,3 l/kg telesnej hmotno</w:t>
      </w:r>
      <w:r w:rsidR="00EE06E8">
        <w:rPr>
          <w:sz w:val="22"/>
          <w:szCs w:val="22"/>
          <w:lang w:val="sk-SK" w:eastAsia="ar-SA"/>
        </w:rPr>
        <w:t xml:space="preserve">sti. </w:t>
      </w:r>
      <w:proofErr w:type="spellStart"/>
      <w:r w:rsidR="00EE06E8">
        <w:rPr>
          <w:sz w:val="22"/>
          <w:szCs w:val="22"/>
          <w:lang w:val="sk-SK" w:eastAsia="ar-SA"/>
        </w:rPr>
        <w:t>Omeprazol</w:t>
      </w:r>
      <w:proofErr w:type="spellEnd"/>
      <w:r w:rsidR="00EE06E8">
        <w:rPr>
          <w:sz w:val="22"/>
          <w:szCs w:val="22"/>
          <w:lang w:val="sk-SK" w:eastAsia="ar-SA"/>
        </w:rPr>
        <w:t xml:space="preserve"> sa z 97 % viaže </w:t>
      </w:r>
      <w:r w:rsidRPr="00A042E5">
        <w:rPr>
          <w:sz w:val="22"/>
          <w:szCs w:val="22"/>
          <w:lang w:val="sk-SK" w:eastAsia="ar-SA"/>
        </w:rPr>
        <w:t>na plazmatické bielkoviny.</w:t>
      </w:r>
    </w:p>
    <w:p w14:paraId="6FAE078A" w14:textId="77777777" w:rsidR="00307071" w:rsidRPr="00A042E5" w:rsidRDefault="00307071">
      <w:pPr>
        <w:rPr>
          <w:snapToGrid w:val="0"/>
          <w:sz w:val="22"/>
          <w:szCs w:val="22"/>
          <w:u w:val="single"/>
          <w:lang w:val="sk-SK"/>
        </w:rPr>
      </w:pPr>
    </w:p>
    <w:p w14:paraId="02641EE4" w14:textId="0A1E57FE" w:rsidR="00307071" w:rsidRPr="00A042E5" w:rsidRDefault="00E9156E" w:rsidP="00A368C6">
      <w:pPr>
        <w:keepNext/>
        <w:suppressAutoHyphens/>
        <w:rPr>
          <w:sz w:val="22"/>
          <w:szCs w:val="22"/>
          <w:u w:val="single"/>
          <w:lang w:val="sk-SK" w:eastAsia="ar-SA"/>
        </w:rPr>
      </w:pPr>
      <w:proofErr w:type="spellStart"/>
      <w:r>
        <w:rPr>
          <w:sz w:val="22"/>
          <w:szCs w:val="22"/>
          <w:u w:val="single"/>
          <w:lang w:val="sk-SK" w:eastAsia="ar-SA"/>
        </w:rPr>
        <w:t>Biotransformácia</w:t>
      </w:r>
      <w:proofErr w:type="spellEnd"/>
    </w:p>
    <w:p w14:paraId="5601B7B7" w14:textId="3644C1ED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sa úplne metabolizuje prostredníctvom enzýmového systému </w:t>
      </w:r>
      <w:proofErr w:type="spellStart"/>
      <w:r w:rsidRPr="00A042E5">
        <w:rPr>
          <w:sz w:val="22"/>
          <w:szCs w:val="22"/>
          <w:lang w:val="sk-SK" w:eastAsia="ar-SA"/>
        </w:rPr>
        <w:t>cytochrómu</w:t>
      </w:r>
      <w:proofErr w:type="spellEnd"/>
      <w:r w:rsidRPr="00A042E5">
        <w:rPr>
          <w:sz w:val="22"/>
          <w:szCs w:val="22"/>
          <w:lang w:val="sk-SK" w:eastAsia="ar-SA"/>
        </w:rPr>
        <w:t xml:space="preserve"> P450 (CYP). Prevažná časť jeho metabolizmu je závislá od </w:t>
      </w:r>
      <w:proofErr w:type="spellStart"/>
      <w:r w:rsidRPr="00A042E5">
        <w:rPr>
          <w:sz w:val="22"/>
          <w:szCs w:val="22"/>
          <w:lang w:val="sk-SK" w:eastAsia="ar-SA"/>
        </w:rPr>
        <w:t>polyformného</w:t>
      </w:r>
      <w:proofErr w:type="spellEnd"/>
      <w:r w:rsidRPr="00A042E5">
        <w:rPr>
          <w:sz w:val="22"/>
          <w:szCs w:val="22"/>
          <w:lang w:val="sk-SK" w:eastAsia="ar-SA"/>
        </w:rPr>
        <w:t xml:space="preserve"> enzýmu CYP2C19, ktorý je zodpovedný za tvorbu </w:t>
      </w:r>
      <w:proofErr w:type="spellStart"/>
      <w:r w:rsidRPr="00A042E5">
        <w:rPr>
          <w:sz w:val="22"/>
          <w:szCs w:val="22"/>
          <w:lang w:val="sk-SK" w:eastAsia="ar-SA"/>
        </w:rPr>
        <w:t>hydroxyomeprazolu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, hlavného </w:t>
      </w:r>
      <w:proofErr w:type="spellStart"/>
      <w:r w:rsidRPr="00A042E5">
        <w:rPr>
          <w:sz w:val="22"/>
          <w:szCs w:val="22"/>
          <w:lang w:val="sk-SK" w:eastAsia="ar-SA"/>
        </w:rPr>
        <w:t>metabolitu</w:t>
      </w:r>
      <w:proofErr w:type="spellEnd"/>
      <w:r w:rsidRPr="00A042E5">
        <w:rPr>
          <w:sz w:val="22"/>
          <w:szCs w:val="22"/>
          <w:lang w:val="sk-SK" w:eastAsia="ar-SA"/>
        </w:rPr>
        <w:t xml:space="preserve"> v plazme.</w:t>
      </w:r>
    </w:p>
    <w:p w14:paraId="1AF1CBBD" w14:textId="2B1B8779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Zostávajúca časť je závislá od inej špecifickej </w:t>
      </w:r>
      <w:proofErr w:type="spellStart"/>
      <w:r w:rsidRPr="00A042E5">
        <w:rPr>
          <w:sz w:val="22"/>
          <w:szCs w:val="22"/>
          <w:lang w:val="sk-SK" w:eastAsia="ar-SA"/>
        </w:rPr>
        <w:t>izoformy</w:t>
      </w:r>
      <w:proofErr w:type="spellEnd"/>
      <w:r w:rsidRPr="00A042E5">
        <w:rPr>
          <w:sz w:val="22"/>
          <w:szCs w:val="22"/>
          <w:lang w:val="sk-SK" w:eastAsia="ar-SA"/>
        </w:rPr>
        <w:t xml:space="preserve">, CYP3A4, ktorá je zodpovedná za tvorbu sulfónu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. Ako dôsledok vysokej afinity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voči CYP2C19 existuje možnosť </w:t>
      </w:r>
      <w:proofErr w:type="spellStart"/>
      <w:r w:rsidRPr="00A042E5">
        <w:rPr>
          <w:sz w:val="22"/>
          <w:szCs w:val="22"/>
          <w:lang w:val="sk-SK" w:eastAsia="ar-SA"/>
        </w:rPr>
        <w:lastRenderedPageBreak/>
        <w:t>kompetitívnej</w:t>
      </w:r>
      <w:proofErr w:type="spellEnd"/>
      <w:r w:rsidRPr="00A042E5">
        <w:rPr>
          <w:sz w:val="22"/>
          <w:szCs w:val="22"/>
          <w:lang w:val="sk-SK" w:eastAsia="ar-SA"/>
        </w:rPr>
        <w:t xml:space="preserve"> inhibície a metabolických liekových interakcií typu liečivo-liečivo s inými substrátmi pre CYP2C19. Avšak vzhľadom </w:t>
      </w:r>
      <w:r w:rsidR="00C46B9F">
        <w:rPr>
          <w:sz w:val="22"/>
          <w:szCs w:val="22"/>
          <w:lang w:val="sk-SK" w:eastAsia="ar-SA"/>
        </w:rPr>
        <w:t>na</w:t>
      </w:r>
      <w:r w:rsidRPr="00A042E5">
        <w:rPr>
          <w:sz w:val="22"/>
          <w:szCs w:val="22"/>
          <w:lang w:val="sk-SK" w:eastAsia="ar-SA"/>
        </w:rPr>
        <w:t xml:space="preserve"> nízk</w:t>
      </w:r>
      <w:r w:rsidR="00C46B9F">
        <w:rPr>
          <w:sz w:val="22"/>
          <w:szCs w:val="22"/>
          <w:lang w:val="sk-SK" w:eastAsia="ar-SA"/>
        </w:rPr>
        <w:t>u</w:t>
      </w:r>
      <w:r w:rsidRPr="00A042E5">
        <w:rPr>
          <w:sz w:val="22"/>
          <w:szCs w:val="22"/>
          <w:lang w:val="sk-SK" w:eastAsia="ar-SA"/>
        </w:rPr>
        <w:t xml:space="preserve"> afinit</w:t>
      </w:r>
      <w:r w:rsidR="00C46B9F">
        <w:rPr>
          <w:sz w:val="22"/>
          <w:szCs w:val="22"/>
          <w:lang w:val="sk-SK" w:eastAsia="ar-SA"/>
        </w:rPr>
        <w:t>u</w:t>
      </w:r>
      <w:r w:rsidRPr="00A042E5">
        <w:rPr>
          <w:sz w:val="22"/>
          <w:szCs w:val="22"/>
          <w:lang w:val="sk-SK" w:eastAsia="ar-SA"/>
        </w:rPr>
        <w:t xml:space="preserve"> voči CYP3A4,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nemá potenciál </w:t>
      </w:r>
      <w:proofErr w:type="spellStart"/>
      <w:r w:rsidRPr="00A042E5">
        <w:rPr>
          <w:sz w:val="22"/>
          <w:szCs w:val="22"/>
          <w:lang w:val="sk-SK" w:eastAsia="ar-SA"/>
        </w:rPr>
        <w:t>inhibovať</w:t>
      </w:r>
      <w:proofErr w:type="spellEnd"/>
      <w:r w:rsidRPr="00A042E5">
        <w:rPr>
          <w:sz w:val="22"/>
          <w:szCs w:val="22"/>
          <w:lang w:val="sk-SK" w:eastAsia="ar-SA"/>
        </w:rPr>
        <w:t xml:space="preserve"> metabolizmus iných substrátov pre CYP3A4. Okrem toho,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nemá inhibičný účinok na hlavné CYP enzýmy.</w:t>
      </w:r>
    </w:p>
    <w:p w14:paraId="4921DD7D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333AD75B" w14:textId="5A28E47A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Približne 3 % kaukazskej populácie a 15-20 % ázijskej populácie nemá funkčný enzým CYP2C19 a sú označovaní ako slabí </w:t>
      </w:r>
      <w:proofErr w:type="spellStart"/>
      <w:r w:rsidRPr="00A042E5">
        <w:rPr>
          <w:sz w:val="22"/>
          <w:szCs w:val="22"/>
          <w:lang w:val="sk-SK" w:eastAsia="ar-SA"/>
        </w:rPr>
        <w:t>metabolizéri</w:t>
      </w:r>
      <w:proofErr w:type="spellEnd"/>
      <w:r w:rsidRPr="00A042E5">
        <w:rPr>
          <w:sz w:val="22"/>
          <w:szCs w:val="22"/>
          <w:lang w:val="sk-SK" w:eastAsia="ar-SA"/>
        </w:rPr>
        <w:t xml:space="preserve">. U týchto jedincov je metabolizmus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pravdepodobne </w:t>
      </w:r>
      <w:proofErr w:type="spellStart"/>
      <w:r w:rsidRPr="00A042E5">
        <w:rPr>
          <w:sz w:val="22"/>
          <w:szCs w:val="22"/>
          <w:lang w:val="sk-SK" w:eastAsia="ar-SA"/>
        </w:rPr>
        <w:t>katalyzovaný</w:t>
      </w:r>
      <w:proofErr w:type="spellEnd"/>
      <w:r w:rsidRPr="00A042E5">
        <w:rPr>
          <w:sz w:val="22"/>
          <w:szCs w:val="22"/>
          <w:lang w:val="sk-SK" w:eastAsia="ar-SA"/>
        </w:rPr>
        <w:t xml:space="preserve"> prevažne CYP3A4. Po opakovanom podávaní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dávke 20 mg </w:t>
      </w:r>
      <w:r w:rsidR="00C46B9F">
        <w:rPr>
          <w:sz w:val="22"/>
          <w:szCs w:val="22"/>
          <w:lang w:val="sk-SK" w:eastAsia="ar-SA"/>
        </w:rPr>
        <w:t>jedenkrát</w:t>
      </w:r>
      <w:r w:rsidRPr="00A042E5">
        <w:rPr>
          <w:sz w:val="22"/>
          <w:szCs w:val="22"/>
          <w:lang w:val="sk-SK" w:eastAsia="ar-SA"/>
        </w:rPr>
        <w:t xml:space="preserve"> denne bola priemerná hodnota AUC 5 až 10-násobne vyššia u slabých </w:t>
      </w:r>
      <w:proofErr w:type="spellStart"/>
      <w:r w:rsidRPr="00A042E5">
        <w:rPr>
          <w:sz w:val="22"/>
          <w:szCs w:val="22"/>
          <w:lang w:val="sk-SK" w:eastAsia="ar-SA"/>
        </w:rPr>
        <w:t>metabolizérov</w:t>
      </w:r>
      <w:proofErr w:type="spellEnd"/>
      <w:r w:rsidRPr="00A042E5">
        <w:rPr>
          <w:sz w:val="22"/>
          <w:szCs w:val="22"/>
          <w:lang w:val="sk-SK" w:eastAsia="ar-SA"/>
        </w:rPr>
        <w:t xml:space="preserve"> v porovnaní s jedincami s funkčným enzýmom CYP2C19 (silní </w:t>
      </w:r>
      <w:proofErr w:type="spellStart"/>
      <w:r w:rsidRPr="00A042E5">
        <w:rPr>
          <w:sz w:val="22"/>
          <w:szCs w:val="22"/>
          <w:lang w:val="sk-SK" w:eastAsia="ar-SA"/>
        </w:rPr>
        <w:t>metabolizéri</w:t>
      </w:r>
      <w:proofErr w:type="spellEnd"/>
      <w:r w:rsidRPr="00A042E5">
        <w:rPr>
          <w:sz w:val="22"/>
          <w:szCs w:val="22"/>
          <w:lang w:val="sk-SK" w:eastAsia="ar-SA"/>
        </w:rPr>
        <w:t xml:space="preserve">). Priemerné maximálne plazmatické koncentrácie boli tiež 3 až 5-krát vyššie. Tieto zistenia nemajú vplyv na dávkovanie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73649AD1" w14:textId="77777777" w:rsidR="00307071" w:rsidRPr="00A042E5" w:rsidRDefault="00307071">
      <w:pPr>
        <w:rPr>
          <w:sz w:val="22"/>
          <w:szCs w:val="22"/>
          <w:lang w:val="sk-SK"/>
        </w:rPr>
      </w:pPr>
    </w:p>
    <w:p w14:paraId="75943F2E" w14:textId="2441D34F" w:rsidR="00307071" w:rsidRPr="00C46B9F" w:rsidRDefault="00E9156E">
      <w:pPr>
        <w:suppressAutoHyphens/>
        <w:rPr>
          <w:sz w:val="22"/>
          <w:szCs w:val="22"/>
          <w:u w:val="single"/>
          <w:lang w:val="sk-SK" w:eastAsia="ar-SA"/>
        </w:rPr>
      </w:pPr>
      <w:r w:rsidRPr="00C46B9F">
        <w:rPr>
          <w:sz w:val="22"/>
          <w:szCs w:val="22"/>
          <w:u w:val="single"/>
          <w:lang w:val="sk-SK" w:eastAsia="ar-SA"/>
        </w:rPr>
        <w:t>Eliminácia</w:t>
      </w:r>
    </w:p>
    <w:p w14:paraId="5348C045" w14:textId="69E640CA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46B9F">
        <w:rPr>
          <w:sz w:val="22"/>
          <w:szCs w:val="22"/>
          <w:lang w:val="sk-SK"/>
        </w:rPr>
        <w:t xml:space="preserve">Plazmatický eliminačný polčas </w:t>
      </w:r>
      <w:proofErr w:type="spellStart"/>
      <w:r w:rsidRPr="00C46B9F">
        <w:rPr>
          <w:sz w:val="22"/>
          <w:szCs w:val="22"/>
          <w:lang w:val="sk-SK"/>
        </w:rPr>
        <w:t>omeprazolu</w:t>
      </w:r>
      <w:proofErr w:type="spellEnd"/>
      <w:r w:rsidRPr="00C46B9F">
        <w:rPr>
          <w:sz w:val="22"/>
          <w:szCs w:val="22"/>
          <w:lang w:val="sk-SK"/>
        </w:rPr>
        <w:t xml:space="preserve"> je zvyčajne kratší ako jedna hodina po jednorazovom ako aj po opakovanom podaní perorálnej dávky jedenkrát denne. </w:t>
      </w:r>
      <w:proofErr w:type="spellStart"/>
      <w:r w:rsidRPr="00C46B9F">
        <w:rPr>
          <w:sz w:val="22"/>
          <w:szCs w:val="22"/>
          <w:lang w:val="sk-SK"/>
        </w:rPr>
        <w:t>Omeprazol</w:t>
      </w:r>
      <w:proofErr w:type="spellEnd"/>
      <w:r w:rsidRPr="00C46B9F">
        <w:rPr>
          <w:sz w:val="22"/>
          <w:szCs w:val="22"/>
          <w:lang w:val="sk-SK"/>
        </w:rPr>
        <w:t xml:space="preserve"> je úplne eliminovaný z plazmy medzi dávkami bez tendencie ku kumulácii pri podaní </w:t>
      </w:r>
      <w:r w:rsidR="00C46B9F">
        <w:rPr>
          <w:sz w:val="22"/>
          <w:szCs w:val="22"/>
          <w:lang w:val="sk-SK"/>
        </w:rPr>
        <w:t>jedenkrát</w:t>
      </w:r>
      <w:r w:rsidRPr="00C46B9F">
        <w:rPr>
          <w:sz w:val="22"/>
          <w:szCs w:val="22"/>
          <w:lang w:val="sk-SK"/>
        </w:rPr>
        <w:t xml:space="preserve"> denne. Takmer 80 % perorálne podanej dávky </w:t>
      </w:r>
      <w:proofErr w:type="spellStart"/>
      <w:r w:rsidRPr="00C46B9F">
        <w:rPr>
          <w:sz w:val="22"/>
          <w:szCs w:val="22"/>
          <w:lang w:val="sk-SK"/>
        </w:rPr>
        <w:t>omeprazolu</w:t>
      </w:r>
      <w:proofErr w:type="spellEnd"/>
      <w:r w:rsidRPr="00C46B9F">
        <w:rPr>
          <w:sz w:val="22"/>
          <w:szCs w:val="22"/>
          <w:lang w:val="sk-SK"/>
        </w:rPr>
        <w:t xml:space="preserve"> sa vylúči vo forme </w:t>
      </w:r>
      <w:proofErr w:type="spellStart"/>
      <w:r w:rsidRPr="00C46B9F">
        <w:rPr>
          <w:sz w:val="22"/>
          <w:szCs w:val="22"/>
          <w:lang w:val="sk-SK"/>
        </w:rPr>
        <w:t>metabolitov</w:t>
      </w:r>
      <w:proofErr w:type="spellEnd"/>
      <w:r w:rsidRPr="00C46B9F">
        <w:rPr>
          <w:sz w:val="22"/>
          <w:szCs w:val="22"/>
          <w:lang w:val="sk-SK"/>
        </w:rPr>
        <w:t xml:space="preserve"> močom, zvyšok stolicou, primárne pochádzajúci zo žlčovej sekrécie.</w:t>
      </w:r>
    </w:p>
    <w:p w14:paraId="2904FAF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1BF4A0" w14:textId="77777777" w:rsidR="00E9156E" w:rsidRDefault="00E915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368C6">
        <w:rPr>
          <w:noProof/>
          <w:sz w:val="22"/>
          <w:szCs w:val="22"/>
          <w:u w:val="single"/>
          <w:lang w:val="sk-SK"/>
        </w:rPr>
        <w:t>Linearita/nelinearita</w:t>
      </w:r>
    </w:p>
    <w:p w14:paraId="2E846861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Po opakovanom podaní sa hodnota AUC </w:t>
      </w:r>
      <w:proofErr w:type="spellStart"/>
      <w:r w:rsidRPr="00A042E5">
        <w:rPr>
          <w:sz w:val="22"/>
          <w:szCs w:val="22"/>
          <w:lang w:val="sk-SK"/>
        </w:rPr>
        <w:t>omeprazolu</w:t>
      </w:r>
      <w:proofErr w:type="spellEnd"/>
      <w:r w:rsidRPr="00A042E5">
        <w:rPr>
          <w:sz w:val="22"/>
          <w:szCs w:val="22"/>
          <w:lang w:val="sk-SK"/>
        </w:rPr>
        <w:t xml:space="preserve"> zvyšuje. Toto zvýšenie je závislé od dávky a výsledkom je nelineárna závislosť AUC na dávke po opakovanom podaní. Táto časová a dávková závislosť je dôsledkom poklesu metabolizmu prvého prechodu a systémového </w:t>
      </w:r>
      <w:proofErr w:type="spellStart"/>
      <w:r w:rsidRPr="00A042E5">
        <w:rPr>
          <w:sz w:val="22"/>
          <w:szCs w:val="22"/>
          <w:lang w:val="sk-SK"/>
        </w:rPr>
        <w:t>klírensu</w:t>
      </w:r>
      <w:proofErr w:type="spellEnd"/>
      <w:r w:rsidRPr="00A042E5">
        <w:rPr>
          <w:sz w:val="22"/>
          <w:szCs w:val="22"/>
          <w:lang w:val="sk-SK"/>
        </w:rPr>
        <w:t xml:space="preserve"> pravdepodobne spôsobeného inhibíciou enzýmu CYP2C19 </w:t>
      </w:r>
      <w:proofErr w:type="spellStart"/>
      <w:r w:rsidRPr="00A042E5">
        <w:rPr>
          <w:sz w:val="22"/>
          <w:szCs w:val="22"/>
          <w:lang w:val="sk-SK"/>
        </w:rPr>
        <w:t>omeprazolom</w:t>
      </w:r>
      <w:proofErr w:type="spellEnd"/>
      <w:r w:rsidRPr="00A042E5">
        <w:rPr>
          <w:sz w:val="22"/>
          <w:szCs w:val="22"/>
          <w:lang w:val="sk-SK"/>
        </w:rPr>
        <w:t xml:space="preserve"> a/alebo jeho </w:t>
      </w:r>
      <w:proofErr w:type="spellStart"/>
      <w:r w:rsidRPr="00A042E5">
        <w:rPr>
          <w:sz w:val="22"/>
          <w:szCs w:val="22"/>
          <w:lang w:val="sk-SK"/>
        </w:rPr>
        <w:t>metabolitmi</w:t>
      </w:r>
      <w:proofErr w:type="spellEnd"/>
      <w:r w:rsidRPr="00A042E5">
        <w:rPr>
          <w:sz w:val="22"/>
          <w:szCs w:val="22"/>
          <w:lang w:val="sk-SK"/>
        </w:rPr>
        <w:t xml:space="preserve"> (napr. sulfónom).</w:t>
      </w:r>
    </w:p>
    <w:p w14:paraId="28A52B4E" w14:textId="77777777" w:rsidR="00307071" w:rsidRPr="00A042E5" w:rsidRDefault="00307071">
      <w:pPr>
        <w:ind w:right="49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U žiadneho </w:t>
      </w:r>
      <w:proofErr w:type="spellStart"/>
      <w:r w:rsidRPr="00A042E5">
        <w:rPr>
          <w:sz w:val="22"/>
          <w:szCs w:val="22"/>
          <w:lang w:val="sk-SK"/>
        </w:rPr>
        <w:t>metabolitu</w:t>
      </w:r>
      <w:proofErr w:type="spellEnd"/>
      <w:r w:rsidRPr="00A042E5">
        <w:rPr>
          <w:sz w:val="22"/>
          <w:szCs w:val="22"/>
          <w:lang w:val="sk-SK"/>
        </w:rPr>
        <w:t xml:space="preserve"> sa nezistil vplyv na sekréciu žalúdkovej kyseliny.</w:t>
      </w:r>
    </w:p>
    <w:p w14:paraId="637B0F8C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3106141" w14:textId="0C5439DF" w:rsidR="00307071" w:rsidRPr="00A042E5" w:rsidRDefault="00E9156E">
      <w:pPr>
        <w:suppressAutoHyphens/>
        <w:rPr>
          <w:sz w:val="22"/>
          <w:szCs w:val="22"/>
          <w:u w:val="single"/>
          <w:lang w:val="sk-SK" w:eastAsia="ar-SA"/>
        </w:rPr>
      </w:pPr>
      <w:r>
        <w:rPr>
          <w:sz w:val="22"/>
          <w:szCs w:val="22"/>
          <w:u w:val="single"/>
          <w:lang w:val="sk-SK" w:eastAsia="ar-SA"/>
        </w:rPr>
        <w:t>Osobitné</w:t>
      </w:r>
      <w:r w:rsidR="00307071" w:rsidRPr="00A042E5">
        <w:rPr>
          <w:sz w:val="22"/>
          <w:szCs w:val="22"/>
          <w:u w:val="single"/>
          <w:lang w:val="sk-SK" w:eastAsia="ar-SA"/>
        </w:rPr>
        <w:t xml:space="preserve"> skupiny pacientov</w:t>
      </w:r>
    </w:p>
    <w:p w14:paraId="266FA39A" w14:textId="77777777" w:rsidR="00307071" w:rsidRPr="00A042E5" w:rsidRDefault="00307071">
      <w:pPr>
        <w:suppressAutoHyphens/>
        <w:rPr>
          <w:sz w:val="22"/>
          <w:szCs w:val="22"/>
          <w:u w:val="single"/>
          <w:lang w:val="sk-SK" w:eastAsia="ar-SA"/>
        </w:rPr>
      </w:pPr>
    </w:p>
    <w:p w14:paraId="23E40C23" w14:textId="163CCE05" w:rsidR="00307071" w:rsidRPr="00A042E5" w:rsidRDefault="008B1D4F">
      <w:pPr>
        <w:suppressAutoHyphens/>
        <w:rPr>
          <w:i/>
          <w:sz w:val="22"/>
          <w:szCs w:val="22"/>
          <w:lang w:val="sk-SK" w:eastAsia="ar-SA"/>
        </w:rPr>
      </w:pPr>
      <w:r w:rsidRPr="00A368C6">
        <w:rPr>
          <w:i/>
          <w:iCs/>
          <w:sz w:val="22"/>
          <w:szCs w:val="22"/>
          <w:lang w:val="sk-SK"/>
        </w:rPr>
        <w:t>Porucha funkcie pečene</w:t>
      </w:r>
    </w:p>
    <w:p w14:paraId="7EB2663D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Metabolizmus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u pacientov s dysfunkciou pečene je znížený, čo vedie k zvýšeniu hodnoty AUC. Pri dávkovaní jedenkrát denne sa neprejavila žiadna tendencia ku kumulácii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1D0935F6" w14:textId="77777777" w:rsidR="00307071" w:rsidRPr="00A042E5" w:rsidRDefault="00307071">
      <w:pPr>
        <w:suppressAutoHyphens/>
        <w:rPr>
          <w:sz w:val="22"/>
          <w:szCs w:val="22"/>
          <w:u w:val="single"/>
          <w:lang w:val="sk-SK" w:eastAsia="ar-SA"/>
        </w:rPr>
      </w:pPr>
    </w:p>
    <w:p w14:paraId="0567E554" w14:textId="35B85D86" w:rsidR="00307071" w:rsidRPr="00A042E5" w:rsidRDefault="008B1D4F" w:rsidP="00E1660A">
      <w:pPr>
        <w:keepNext/>
        <w:suppressAutoHyphens/>
        <w:rPr>
          <w:sz w:val="22"/>
          <w:szCs w:val="22"/>
          <w:lang w:val="sk-SK" w:eastAsia="ar-SA"/>
        </w:rPr>
      </w:pPr>
      <w:r w:rsidRPr="00A368C6">
        <w:rPr>
          <w:i/>
          <w:iCs/>
          <w:sz w:val="22"/>
          <w:szCs w:val="22"/>
          <w:lang w:val="sk-SK"/>
        </w:rPr>
        <w:t>Porucha funkcie obličiek</w:t>
      </w:r>
    </w:p>
    <w:p w14:paraId="7DD57B83" w14:textId="4150801E" w:rsidR="00307071" w:rsidRPr="00A042E5" w:rsidRDefault="00307071" w:rsidP="00E1660A">
      <w:pPr>
        <w:keepNext/>
        <w:suppressAutoHyphens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Farmakokinetika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>, vrátane systémovej biologickej dostupnosti a rýchlosti eliminácie sa nemení u pacientov so zníženou funkciou obličiek.</w:t>
      </w:r>
    </w:p>
    <w:p w14:paraId="01F0530B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7BAE899C" w14:textId="77777777" w:rsidR="00307071" w:rsidRPr="00A042E5" w:rsidRDefault="00307071">
      <w:pPr>
        <w:suppressAutoHyphens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>Starší pacienti</w:t>
      </w:r>
    </w:p>
    <w:p w14:paraId="71E223DA" w14:textId="484FC69B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Rýchlosť metabolizmu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 mierne znížená u starších jedincov (vo veku 75-79</w:t>
      </w:r>
      <w:r w:rsidR="008B1D4F">
        <w:rPr>
          <w:sz w:val="22"/>
          <w:szCs w:val="22"/>
          <w:lang w:val="sk-SK" w:eastAsia="ar-SA"/>
        </w:rPr>
        <w:t xml:space="preserve"> rokov</w:t>
      </w:r>
      <w:r w:rsidRPr="00A042E5">
        <w:rPr>
          <w:sz w:val="22"/>
          <w:szCs w:val="22"/>
          <w:lang w:val="sk-SK" w:eastAsia="ar-SA"/>
        </w:rPr>
        <w:t>).</w:t>
      </w:r>
    </w:p>
    <w:p w14:paraId="0B864E9F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3A82D6F2" w14:textId="05DB263E" w:rsidR="00307071" w:rsidRPr="00A042E5" w:rsidRDefault="00307071">
      <w:pPr>
        <w:suppressAutoHyphens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>Pediatrick</w:t>
      </w:r>
      <w:r w:rsidR="008B1D4F">
        <w:rPr>
          <w:i/>
          <w:sz w:val="22"/>
          <w:szCs w:val="22"/>
          <w:lang w:val="sk-SK" w:eastAsia="ar-SA"/>
        </w:rPr>
        <w:t>á</w:t>
      </w:r>
      <w:r w:rsidRPr="00A042E5">
        <w:rPr>
          <w:i/>
          <w:sz w:val="22"/>
          <w:szCs w:val="22"/>
          <w:lang w:val="sk-SK" w:eastAsia="ar-SA"/>
        </w:rPr>
        <w:t xml:space="preserve"> </w:t>
      </w:r>
      <w:r w:rsidR="008B1D4F">
        <w:rPr>
          <w:i/>
          <w:sz w:val="22"/>
          <w:szCs w:val="22"/>
          <w:lang w:val="sk-SK" w:eastAsia="ar-SA"/>
        </w:rPr>
        <w:t>populácia</w:t>
      </w:r>
    </w:p>
    <w:p w14:paraId="487CC9B2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Počas liečby odporúčanými dávkami </w:t>
      </w:r>
      <w:r w:rsidR="008B1D4F">
        <w:rPr>
          <w:sz w:val="22"/>
          <w:szCs w:val="22"/>
          <w:lang w:val="sk-SK" w:eastAsia="ar-SA"/>
        </w:rPr>
        <w:t xml:space="preserve">u </w:t>
      </w:r>
      <w:r w:rsidRPr="00A042E5">
        <w:rPr>
          <w:sz w:val="22"/>
          <w:szCs w:val="22"/>
          <w:lang w:val="sk-SK" w:eastAsia="ar-SA"/>
        </w:rPr>
        <w:t xml:space="preserve">detí vo veku od 1 roku sa dosiahli podobné plazmatické koncentrácie ako u dospelých. U detí mladších ako 6 mesiacov je </w:t>
      </w:r>
      <w:proofErr w:type="spellStart"/>
      <w:r w:rsidRPr="00A042E5">
        <w:rPr>
          <w:sz w:val="22"/>
          <w:szCs w:val="22"/>
          <w:lang w:val="sk-SK" w:eastAsia="ar-SA"/>
        </w:rPr>
        <w:t>klírens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nízky z dôvodu nízkej s</w:t>
      </w:r>
      <w:r w:rsidRPr="00A042E5">
        <w:rPr>
          <w:sz w:val="22"/>
          <w:szCs w:val="22"/>
          <w:shd w:val="clear" w:color="auto" w:fill="FFFFFF"/>
          <w:lang w:val="sk-SK" w:eastAsia="ar-SA"/>
        </w:rPr>
        <w:t xml:space="preserve">chopnosti </w:t>
      </w:r>
      <w:r w:rsidRPr="00A042E5">
        <w:rPr>
          <w:sz w:val="22"/>
          <w:szCs w:val="22"/>
          <w:lang w:val="sk-SK" w:eastAsia="ar-SA"/>
        </w:rPr>
        <w:t xml:space="preserve">metabolizovať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76528BF3" w14:textId="77777777" w:rsidR="00307071" w:rsidRPr="00A042E5" w:rsidRDefault="00307071">
      <w:pPr>
        <w:rPr>
          <w:sz w:val="22"/>
          <w:szCs w:val="22"/>
          <w:lang w:val="sk-SK"/>
        </w:rPr>
      </w:pPr>
    </w:p>
    <w:p w14:paraId="57CFE4C2" w14:textId="77777777" w:rsidR="00307071" w:rsidRPr="00A042E5" w:rsidRDefault="00307071" w:rsidP="004D39BA">
      <w:pPr>
        <w:keepNext/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5.3</w:t>
      </w:r>
      <w:r w:rsidRPr="00A042E5">
        <w:rPr>
          <w:b/>
          <w:sz w:val="22"/>
          <w:szCs w:val="22"/>
          <w:lang w:val="sk-SK" w:eastAsia="ar-SA"/>
        </w:rPr>
        <w:tab/>
        <w:t>Predklinické údaje o bezpečnosti</w:t>
      </w:r>
    </w:p>
    <w:p w14:paraId="5D87CD80" w14:textId="77777777" w:rsidR="00307071" w:rsidRPr="00A042E5" w:rsidRDefault="00307071" w:rsidP="004D39BA">
      <w:pPr>
        <w:keepNext/>
        <w:suppressAutoHyphens/>
        <w:rPr>
          <w:sz w:val="22"/>
          <w:szCs w:val="22"/>
          <w:lang w:val="sk-SK" w:eastAsia="ar-SA"/>
        </w:rPr>
      </w:pPr>
    </w:p>
    <w:p w14:paraId="3DE39E56" w14:textId="77777777" w:rsidR="00307071" w:rsidRPr="00A042E5" w:rsidRDefault="00307071" w:rsidP="004D39BA">
      <w:pPr>
        <w:keepNext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/>
        </w:rPr>
        <w:t xml:space="preserve">V celoživotných štúdiách na potkanoch liečených </w:t>
      </w:r>
      <w:proofErr w:type="spellStart"/>
      <w:r w:rsidRPr="00A042E5">
        <w:rPr>
          <w:sz w:val="22"/>
          <w:szCs w:val="22"/>
          <w:lang w:val="sk-SK"/>
        </w:rPr>
        <w:t>omeprazolom</w:t>
      </w:r>
      <w:proofErr w:type="spellEnd"/>
      <w:r w:rsidRPr="00A042E5">
        <w:rPr>
          <w:sz w:val="22"/>
          <w:szCs w:val="22"/>
          <w:lang w:val="sk-SK"/>
        </w:rPr>
        <w:t xml:space="preserve">, </w:t>
      </w:r>
      <w:r w:rsidRPr="00A042E5">
        <w:rPr>
          <w:sz w:val="22"/>
          <w:szCs w:val="22"/>
          <w:lang w:val="sk-SK" w:eastAsia="ar-SA"/>
        </w:rPr>
        <w:t xml:space="preserve">bola pozorovaná </w:t>
      </w:r>
      <w:proofErr w:type="spellStart"/>
      <w:r w:rsidRPr="00A042E5">
        <w:rPr>
          <w:sz w:val="22"/>
          <w:szCs w:val="22"/>
          <w:lang w:val="sk-SK" w:eastAsia="ar-SA"/>
        </w:rPr>
        <w:t>hyperplázia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ECL-buniek</w:t>
      </w:r>
      <w:proofErr w:type="spellEnd"/>
      <w:r w:rsidRPr="00A042E5">
        <w:rPr>
          <w:sz w:val="22"/>
          <w:szCs w:val="22"/>
          <w:lang w:val="sk-SK" w:eastAsia="ar-SA"/>
        </w:rPr>
        <w:t xml:space="preserve"> v žalúdku a </w:t>
      </w:r>
      <w:proofErr w:type="spellStart"/>
      <w:r w:rsidRPr="00A042E5">
        <w:rPr>
          <w:sz w:val="22"/>
          <w:szCs w:val="22"/>
          <w:lang w:val="sk-SK" w:eastAsia="ar-SA"/>
        </w:rPr>
        <w:t>karcinoidy</w:t>
      </w:r>
      <w:proofErr w:type="spellEnd"/>
      <w:r w:rsidRPr="00A042E5">
        <w:rPr>
          <w:sz w:val="22"/>
          <w:szCs w:val="22"/>
          <w:lang w:val="sk-SK" w:eastAsia="ar-SA"/>
        </w:rPr>
        <w:t xml:space="preserve">. Tieto zmeny sú výsledkom pretrvávajúcej </w:t>
      </w:r>
      <w:proofErr w:type="spellStart"/>
      <w:r w:rsidRPr="00A042E5">
        <w:rPr>
          <w:sz w:val="22"/>
          <w:szCs w:val="22"/>
          <w:lang w:val="sk-SK" w:eastAsia="ar-SA"/>
        </w:rPr>
        <w:t>hypergastrinémie</w:t>
      </w:r>
      <w:proofErr w:type="spellEnd"/>
      <w:r w:rsidRPr="00A042E5">
        <w:rPr>
          <w:sz w:val="22"/>
          <w:szCs w:val="22"/>
          <w:lang w:val="sk-SK" w:eastAsia="ar-SA"/>
        </w:rPr>
        <w:t>, ktorá vzniká sekundárne po inhibícii kyseliny.</w:t>
      </w:r>
      <w:r w:rsidRPr="00A042E5">
        <w:rPr>
          <w:sz w:val="22"/>
          <w:szCs w:val="22"/>
          <w:lang w:val="sk-SK"/>
        </w:rPr>
        <w:t xml:space="preserve"> K podobným zisteniam sa dospelo po liečbe antagonistami H</w:t>
      </w:r>
      <w:r w:rsidRPr="00A042E5">
        <w:rPr>
          <w:sz w:val="22"/>
          <w:szCs w:val="22"/>
          <w:vertAlign w:val="subscript"/>
          <w:lang w:val="sk-SK"/>
        </w:rPr>
        <w:t>2</w:t>
      </w:r>
      <w:r w:rsidRPr="00A042E5">
        <w:rPr>
          <w:sz w:val="22"/>
          <w:szCs w:val="22"/>
          <w:lang w:val="sk-SK"/>
        </w:rPr>
        <w:t xml:space="preserve">-receptora, inhibítormi protónovej pumpy a po parciálnej </w:t>
      </w:r>
      <w:proofErr w:type="spellStart"/>
      <w:r w:rsidRPr="00A042E5">
        <w:rPr>
          <w:sz w:val="22"/>
          <w:szCs w:val="22"/>
          <w:lang w:val="sk-SK"/>
        </w:rPr>
        <w:t>fundektómii</w:t>
      </w:r>
      <w:proofErr w:type="spellEnd"/>
      <w:r w:rsidRPr="00A042E5">
        <w:rPr>
          <w:sz w:val="22"/>
          <w:szCs w:val="22"/>
          <w:lang w:val="sk-SK"/>
        </w:rPr>
        <w:t>. Tieto zmeny teda nie sú výsledkom priameho účinku žiadneho z liečiv.</w:t>
      </w:r>
    </w:p>
    <w:p w14:paraId="603E263A" w14:textId="77777777" w:rsidR="00307071" w:rsidRPr="00A042E5" w:rsidRDefault="00307071">
      <w:pPr>
        <w:rPr>
          <w:sz w:val="22"/>
          <w:szCs w:val="22"/>
          <w:lang w:val="sk-SK"/>
        </w:rPr>
      </w:pPr>
    </w:p>
    <w:p w14:paraId="4B4D68DE" w14:textId="77777777" w:rsidR="00307071" w:rsidRPr="00A042E5" w:rsidRDefault="00307071">
      <w:pPr>
        <w:rPr>
          <w:sz w:val="22"/>
          <w:szCs w:val="22"/>
          <w:lang w:val="sk-SK"/>
        </w:rPr>
      </w:pPr>
    </w:p>
    <w:p w14:paraId="73BCF8C4" w14:textId="77777777" w:rsidR="00307071" w:rsidRPr="00A042E5" w:rsidRDefault="00307071" w:rsidP="000D345C">
      <w:pPr>
        <w:keepNext/>
        <w:outlineLvl w:val="0"/>
        <w:rPr>
          <w:b/>
          <w:bCs/>
          <w:caps/>
          <w:sz w:val="22"/>
          <w:szCs w:val="22"/>
          <w:lang w:val="sk-SK" w:eastAsia="cs-CZ"/>
        </w:rPr>
      </w:pPr>
      <w:r w:rsidRPr="00A042E5">
        <w:rPr>
          <w:b/>
          <w:bCs/>
          <w:caps/>
          <w:sz w:val="22"/>
          <w:szCs w:val="22"/>
          <w:lang w:val="sk-SK" w:eastAsia="cs-CZ"/>
        </w:rPr>
        <w:lastRenderedPageBreak/>
        <w:t>6.</w:t>
      </w:r>
      <w:r w:rsidRPr="00A042E5">
        <w:rPr>
          <w:b/>
          <w:bCs/>
          <w:caps/>
          <w:sz w:val="22"/>
          <w:szCs w:val="22"/>
          <w:lang w:val="sk-SK" w:eastAsia="cs-CZ"/>
        </w:rPr>
        <w:tab/>
        <w:t>FARMACEUTICKÉ INFORMÁCIE</w:t>
      </w:r>
    </w:p>
    <w:p w14:paraId="33A07B87" w14:textId="77777777" w:rsidR="00307071" w:rsidRPr="00A042E5" w:rsidRDefault="00307071" w:rsidP="000D345C">
      <w:pPr>
        <w:keepNext/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2EAFBB7E" w14:textId="77777777" w:rsidR="00307071" w:rsidRPr="00A042E5" w:rsidRDefault="00307071" w:rsidP="000D345C">
      <w:pPr>
        <w:keepNext/>
        <w:numPr>
          <w:ilvl w:val="1"/>
          <w:numId w:val="33"/>
        </w:numPr>
        <w:tabs>
          <w:tab w:val="left" w:pos="567"/>
        </w:tabs>
        <w:spacing w:line="260" w:lineRule="exact"/>
        <w:outlineLvl w:val="1"/>
        <w:rPr>
          <w:b/>
          <w:sz w:val="22"/>
          <w:szCs w:val="22"/>
          <w:lang w:val="sk-SK" w:eastAsia="cs-CZ"/>
        </w:rPr>
      </w:pPr>
      <w:r w:rsidRPr="00A042E5">
        <w:rPr>
          <w:b/>
          <w:sz w:val="22"/>
          <w:szCs w:val="22"/>
          <w:lang w:val="sk-SK" w:eastAsia="cs-CZ"/>
        </w:rPr>
        <w:t>Zoznam pomocných látok</w:t>
      </w:r>
    </w:p>
    <w:p w14:paraId="26B89543" w14:textId="77777777" w:rsidR="00307071" w:rsidRPr="00A042E5" w:rsidRDefault="00307071" w:rsidP="000D345C">
      <w:pPr>
        <w:keepNext/>
        <w:rPr>
          <w:sz w:val="22"/>
          <w:szCs w:val="22"/>
          <w:lang w:val="sk-SK"/>
        </w:rPr>
      </w:pPr>
    </w:p>
    <w:p w14:paraId="1242DF91" w14:textId="3782FBA1" w:rsidR="00307071" w:rsidRPr="00A042E5" w:rsidRDefault="00307071" w:rsidP="000D345C">
      <w:pPr>
        <w:keepNext/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z w:val="22"/>
          <w:szCs w:val="22"/>
          <w:u w:val="single"/>
          <w:lang w:val="sk-SK"/>
        </w:rPr>
        <w:t>Pelety</w:t>
      </w:r>
      <w:proofErr w:type="spellEnd"/>
      <w:r w:rsidRPr="00A368C6">
        <w:rPr>
          <w:sz w:val="22"/>
          <w:szCs w:val="22"/>
          <w:lang w:val="sk-SK"/>
        </w:rPr>
        <w:t>:</w:t>
      </w:r>
    </w:p>
    <w:p w14:paraId="2A87884E" w14:textId="36FC28BB" w:rsidR="00307071" w:rsidRPr="00A042E5" w:rsidRDefault="00307071">
      <w:pPr>
        <w:tabs>
          <w:tab w:val="left" w:pos="567"/>
          <w:tab w:val="left" w:pos="3119"/>
          <w:tab w:val="left" w:pos="4962"/>
          <w:tab w:val="left" w:pos="6804"/>
        </w:tabs>
        <w:spacing w:line="260" w:lineRule="exact"/>
        <w:rPr>
          <w:color w:val="000000"/>
          <w:sz w:val="22"/>
          <w:szCs w:val="22"/>
          <w:lang w:val="sk-SK"/>
        </w:rPr>
      </w:pPr>
      <w:proofErr w:type="spellStart"/>
      <w:r w:rsidRPr="00A042E5">
        <w:rPr>
          <w:color w:val="000000"/>
          <w:sz w:val="22"/>
          <w:szCs w:val="22"/>
          <w:lang w:val="sk-SK"/>
        </w:rPr>
        <w:t>zrn</w:t>
      </w:r>
      <w:r w:rsidR="00571C08">
        <w:rPr>
          <w:color w:val="000000"/>
          <w:sz w:val="22"/>
          <w:szCs w:val="22"/>
          <w:lang w:val="sk-SK"/>
        </w:rPr>
        <w:t>en</w:t>
      </w:r>
      <w:r w:rsidRPr="00A042E5">
        <w:rPr>
          <w:color w:val="000000"/>
          <w:sz w:val="22"/>
          <w:szCs w:val="22"/>
          <w:lang w:val="sk-SK"/>
        </w:rPr>
        <w:t>ý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cukor (obsahuje sacharózu a kukuričný škrob)</w:t>
      </w:r>
    </w:p>
    <w:p w14:paraId="2C84EEE1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bezvodá laktóza</w:t>
      </w:r>
    </w:p>
    <w:p w14:paraId="02CCFFB7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hypromelóza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2910/6</w:t>
      </w:r>
    </w:p>
    <w:p w14:paraId="0D7AB805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hydroxypropylcelulóza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</w:t>
      </w:r>
    </w:p>
    <w:p w14:paraId="37F2558F" w14:textId="77777777" w:rsidR="00307071" w:rsidRPr="00A042E5" w:rsidRDefault="00307071">
      <w:pPr>
        <w:tabs>
          <w:tab w:val="left" w:pos="567"/>
          <w:tab w:val="left" w:pos="3119"/>
          <w:tab w:val="left" w:pos="4962"/>
          <w:tab w:val="left" w:pos="6804"/>
        </w:tabs>
        <w:spacing w:line="260" w:lineRule="exact"/>
        <w:rPr>
          <w:color w:val="000000"/>
          <w:sz w:val="22"/>
          <w:szCs w:val="22"/>
          <w:lang w:val="sk-SK"/>
        </w:rPr>
      </w:pPr>
      <w:proofErr w:type="spellStart"/>
      <w:r w:rsidRPr="00A042E5">
        <w:rPr>
          <w:color w:val="000000"/>
          <w:sz w:val="22"/>
          <w:szCs w:val="22"/>
          <w:lang w:val="sk-SK"/>
        </w:rPr>
        <w:t>nátriumlaurylsulfát</w:t>
      </w:r>
      <w:proofErr w:type="spellEnd"/>
    </w:p>
    <w:p w14:paraId="66C93334" w14:textId="02B34E3A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dodekahydrát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A042E5">
        <w:rPr>
          <w:snapToGrid w:val="0"/>
          <w:sz w:val="22"/>
          <w:szCs w:val="22"/>
          <w:lang w:val="sk-SK"/>
        </w:rPr>
        <w:t>hydrog</w:t>
      </w:r>
      <w:r w:rsidR="00571C08">
        <w:rPr>
          <w:snapToGrid w:val="0"/>
          <w:sz w:val="22"/>
          <w:szCs w:val="22"/>
          <w:lang w:val="sk-SK"/>
        </w:rPr>
        <w:t>e</w:t>
      </w:r>
      <w:r w:rsidRPr="00A042E5">
        <w:rPr>
          <w:snapToGrid w:val="0"/>
          <w:sz w:val="22"/>
          <w:szCs w:val="22"/>
          <w:lang w:val="sk-SK"/>
        </w:rPr>
        <w:t>nfosforečnanu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sodného </w:t>
      </w:r>
    </w:p>
    <w:p w14:paraId="4FBE2D14" w14:textId="017CFB7F" w:rsidR="00307071" w:rsidRPr="00A042E5" w:rsidRDefault="00307071">
      <w:pPr>
        <w:tabs>
          <w:tab w:val="left" w:pos="567"/>
          <w:tab w:val="left" w:pos="3119"/>
          <w:tab w:val="left" w:pos="4962"/>
          <w:tab w:val="left" w:pos="6804"/>
        </w:tabs>
        <w:spacing w:line="260" w:lineRule="exact"/>
        <w:rPr>
          <w:color w:val="000000"/>
          <w:sz w:val="22"/>
          <w:szCs w:val="22"/>
          <w:lang w:val="sk-SK"/>
        </w:rPr>
      </w:pPr>
      <w:r w:rsidRPr="00A042E5">
        <w:rPr>
          <w:color w:val="000000"/>
          <w:sz w:val="22"/>
          <w:szCs w:val="22"/>
          <w:lang w:val="sk-SK"/>
        </w:rPr>
        <w:t>30</w:t>
      </w:r>
      <w:r w:rsidR="00571C08">
        <w:rPr>
          <w:color w:val="000000"/>
          <w:sz w:val="22"/>
          <w:szCs w:val="22"/>
          <w:lang w:val="sk-SK"/>
        </w:rPr>
        <w:t> </w:t>
      </w:r>
      <w:r w:rsidRPr="00A042E5">
        <w:rPr>
          <w:color w:val="000000"/>
          <w:sz w:val="22"/>
          <w:szCs w:val="22"/>
          <w:lang w:val="sk-SK"/>
        </w:rPr>
        <w:t xml:space="preserve">% disperzia </w:t>
      </w:r>
      <w:proofErr w:type="spellStart"/>
      <w:r w:rsidRPr="00A042E5">
        <w:rPr>
          <w:color w:val="000000"/>
          <w:sz w:val="22"/>
          <w:szCs w:val="22"/>
          <w:lang w:val="sk-SK"/>
        </w:rPr>
        <w:t>kopolyméru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kyseliny </w:t>
      </w:r>
      <w:proofErr w:type="spellStart"/>
      <w:r w:rsidRPr="00A042E5">
        <w:rPr>
          <w:color w:val="000000"/>
          <w:sz w:val="22"/>
          <w:szCs w:val="22"/>
          <w:lang w:val="sk-SK"/>
        </w:rPr>
        <w:t>metakrylovej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A042E5">
        <w:rPr>
          <w:color w:val="000000"/>
          <w:sz w:val="22"/>
          <w:szCs w:val="22"/>
          <w:lang w:val="sk-SK"/>
        </w:rPr>
        <w:t>etylakrylátu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</w:t>
      </w:r>
      <w:r w:rsidRPr="00A042E5">
        <w:rPr>
          <w:snapToGrid w:val="0"/>
          <w:sz w:val="22"/>
          <w:szCs w:val="22"/>
          <w:lang w:val="sk-SK"/>
        </w:rPr>
        <w:t>(1:1)</w:t>
      </w:r>
    </w:p>
    <w:p w14:paraId="4DD43447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makrogol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6000</w:t>
      </w:r>
    </w:p>
    <w:p w14:paraId="60E663BA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mastenec</w:t>
      </w:r>
    </w:p>
    <w:p w14:paraId="018CD1E8" w14:textId="77777777" w:rsidR="00307071" w:rsidRPr="00A042E5" w:rsidRDefault="00307071">
      <w:pPr>
        <w:rPr>
          <w:snapToGrid w:val="0"/>
          <w:sz w:val="22"/>
          <w:szCs w:val="22"/>
          <w:u w:val="single"/>
          <w:lang w:val="sk-SK"/>
        </w:rPr>
      </w:pPr>
    </w:p>
    <w:p w14:paraId="125D6403" w14:textId="77777777" w:rsidR="00307071" w:rsidRPr="00A042E5" w:rsidRDefault="00307071">
      <w:pPr>
        <w:rPr>
          <w:snapToGrid w:val="0"/>
          <w:sz w:val="22"/>
          <w:szCs w:val="22"/>
          <w:u w:val="single"/>
          <w:lang w:val="sk-SK"/>
        </w:rPr>
      </w:pPr>
      <w:r w:rsidRPr="00A042E5">
        <w:rPr>
          <w:snapToGrid w:val="0"/>
          <w:sz w:val="22"/>
          <w:szCs w:val="22"/>
          <w:u w:val="single"/>
          <w:lang w:val="sk-SK"/>
        </w:rPr>
        <w:t>Prázdna tvrdá želatínová kapsula obsahuje:</w:t>
      </w:r>
    </w:p>
    <w:p w14:paraId="5C89CBCA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Telo:</w:t>
      </w:r>
    </w:p>
    <w:p w14:paraId="2D5BDD83" w14:textId="33CCB4B4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 xml:space="preserve">čierny oxid železitý </w:t>
      </w:r>
      <w:r w:rsidRPr="00A042E5">
        <w:rPr>
          <w:snapToGrid w:val="0"/>
          <w:sz w:val="22"/>
          <w:szCs w:val="22"/>
          <w:lang w:val="sk-SK"/>
        </w:rPr>
        <w:t>(E172)</w:t>
      </w:r>
    </w:p>
    <w:p w14:paraId="384DB392" w14:textId="4F3D289F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>červený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17EEBEBC" w14:textId="784C3453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>žlt</w:t>
      </w:r>
      <w:r w:rsidRPr="00A042E5">
        <w:rPr>
          <w:sz w:val="22"/>
          <w:szCs w:val="22"/>
          <w:lang w:val="sk-SK" w:eastAsia="sk-SK"/>
        </w:rPr>
        <w:t>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3D17EBD8" w14:textId="1E8048D1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Pr="00A042E5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(E171)</w:t>
      </w:r>
    </w:p>
    <w:p w14:paraId="59BF8420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želatína</w:t>
      </w:r>
    </w:p>
    <w:p w14:paraId="233CA47B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687EC8E4" w14:textId="4356D8E3" w:rsidR="00307071" w:rsidRPr="00A042E5" w:rsidRDefault="00AE05D0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Viečko</w:t>
      </w:r>
      <w:r w:rsidR="00307071" w:rsidRPr="00A042E5">
        <w:rPr>
          <w:snapToGrid w:val="0"/>
          <w:sz w:val="22"/>
          <w:szCs w:val="22"/>
          <w:lang w:val="sk-SK"/>
        </w:rPr>
        <w:t>:</w:t>
      </w:r>
    </w:p>
    <w:p w14:paraId="62EDB43C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indigokarmín</w:t>
      </w:r>
      <w:proofErr w:type="spellEnd"/>
    </w:p>
    <w:p w14:paraId="542840BB" w14:textId="3A764CB9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>červený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27482518" w14:textId="676A2408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>žlt</w:t>
      </w:r>
      <w:r w:rsidRPr="00A042E5">
        <w:rPr>
          <w:sz w:val="22"/>
          <w:szCs w:val="22"/>
          <w:lang w:val="sk-SK" w:eastAsia="sk-SK"/>
        </w:rPr>
        <w:t>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15C3D76C" w14:textId="6DF5240A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Pr="00A042E5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(E171)</w:t>
      </w:r>
    </w:p>
    <w:p w14:paraId="152C0B93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želatína</w:t>
      </w:r>
    </w:p>
    <w:p w14:paraId="55C4C8DD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795AA48B" w14:textId="77777777" w:rsidR="00307071" w:rsidRPr="00A042E5" w:rsidRDefault="00307071" w:rsidP="00E1660A">
      <w:pPr>
        <w:keepNext/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6.2</w:t>
      </w:r>
      <w:r w:rsidRPr="00A042E5">
        <w:rPr>
          <w:b/>
          <w:sz w:val="22"/>
          <w:szCs w:val="22"/>
          <w:lang w:val="sk-SK" w:eastAsia="ar-SA"/>
        </w:rPr>
        <w:tab/>
        <w:t>Inkompatibility</w:t>
      </w:r>
    </w:p>
    <w:p w14:paraId="256755AB" w14:textId="77777777" w:rsidR="00307071" w:rsidRPr="00A042E5" w:rsidRDefault="00307071" w:rsidP="00E1660A">
      <w:pPr>
        <w:keepNext/>
        <w:suppressAutoHyphens/>
        <w:ind w:left="567" w:hanging="567"/>
        <w:rPr>
          <w:sz w:val="22"/>
          <w:szCs w:val="22"/>
          <w:lang w:val="sk-SK" w:eastAsia="ar-SA"/>
        </w:rPr>
      </w:pPr>
    </w:p>
    <w:p w14:paraId="084E4DA0" w14:textId="77777777" w:rsidR="00307071" w:rsidRPr="00A042E5" w:rsidRDefault="00307071" w:rsidP="00E1660A">
      <w:pPr>
        <w:keepNext/>
        <w:suppressAutoHyphens/>
        <w:ind w:left="567" w:hanging="567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Neaplikovateľné.</w:t>
      </w:r>
    </w:p>
    <w:p w14:paraId="3F04B80F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3315F57C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6.3</w:t>
      </w:r>
      <w:r w:rsidRPr="00A042E5">
        <w:rPr>
          <w:b/>
          <w:sz w:val="22"/>
          <w:szCs w:val="22"/>
          <w:lang w:val="sk-SK" w:eastAsia="ar-SA"/>
        </w:rPr>
        <w:tab/>
        <w:t>Čas použiteľnosti</w:t>
      </w:r>
    </w:p>
    <w:p w14:paraId="6C776E4F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3CCFCBDA" w14:textId="77777777" w:rsidR="00307071" w:rsidRPr="00A042E5" w:rsidRDefault="00307071">
      <w:pPr>
        <w:suppressAutoHyphens/>
        <w:ind w:left="540" w:hanging="54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2 roky</w:t>
      </w:r>
    </w:p>
    <w:p w14:paraId="0ACC4D7B" w14:textId="4213792E" w:rsidR="00307071" w:rsidRPr="00A042E5" w:rsidRDefault="00307071">
      <w:pPr>
        <w:rPr>
          <w:noProof/>
          <w:sz w:val="22"/>
          <w:szCs w:val="22"/>
          <w:lang w:val="sk-SK" w:eastAsia="sk-SK"/>
        </w:rPr>
      </w:pPr>
      <w:r w:rsidRPr="00A042E5">
        <w:rPr>
          <w:noProof/>
          <w:sz w:val="22"/>
          <w:szCs w:val="22"/>
          <w:lang w:val="sk-SK" w:eastAsia="sk-SK"/>
        </w:rPr>
        <w:t xml:space="preserve">Po prvom otvorení fľašky </w:t>
      </w:r>
      <w:r w:rsidR="00571C08">
        <w:rPr>
          <w:noProof/>
          <w:sz w:val="22"/>
          <w:szCs w:val="22"/>
          <w:lang w:val="sk-SK" w:eastAsia="sk-SK"/>
        </w:rPr>
        <w:t xml:space="preserve">sa </w:t>
      </w:r>
      <w:r w:rsidRPr="00A042E5">
        <w:rPr>
          <w:noProof/>
          <w:sz w:val="22"/>
          <w:szCs w:val="22"/>
          <w:lang w:val="sk-SK" w:eastAsia="sk-SK"/>
        </w:rPr>
        <w:t xml:space="preserve">liek </w:t>
      </w:r>
      <w:r w:rsidR="00571C08">
        <w:rPr>
          <w:noProof/>
          <w:sz w:val="22"/>
          <w:szCs w:val="22"/>
          <w:lang w:val="sk-SK" w:eastAsia="sk-SK"/>
        </w:rPr>
        <w:t xml:space="preserve">môže </w:t>
      </w:r>
      <w:r w:rsidRPr="00A042E5">
        <w:rPr>
          <w:noProof/>
          <w:sz w:val="22"/>
          <w:szCs w:val="22"/>
          <w:lang w:val="sk-SK" w:eastAsia="sk-SK"/>
        </w:rPr>
        <w:t>uchováva</w:t>
      </w:r>
      <w:r w:rsidR="00571C08">
        <w:rPr>
          <w:noProof/>
          <w:sz w:val="22"/>
          <w:szCs w:val="22"/>
          <w:lang w:val="sk-SK" w:eastAsia="sk-SK"/>
        </w:rPr>
        <w:t>ť</w:t>
      </w:r>
      <w:r w:rsidRPr="00A042E5">
        <w:rPr>
          <w:noProof/>
          <w:sz w:val="22"/>
          <w:szCs w:val="22"/>
          <w:lang w:val="sk-SK" w:eastAsia="sk-SK"/>
        </w:rPr>
        <w:t xml:space="preserve"> po dobu maximálne 3 mesiacov pri teplote do 25</w:t>
      </w:r>
      <w:r w:rsidR="00571C08">
        <w:rPr>
          <w:noProof/>
          <w:sz w:val="22"/>
          <w:szCs w:val="22"/>
          <w:lang w:val="sk-SK" w:eastAsia="sk-SK"/>
        </w:rPr>
        <w:t> </w:t>
      </w:r>
      <w:r w:rsidRPr="00A042E5">
        <w:rPr>
          <w:noProof/>
          <w:sz w:val="22"/>
          <w:szCs w:val="22"/>
          <w:vertAlign w:val="superscript"/>
          <w:lang w:val="sk-SK" w:eastAsia="sk-SK"/>
        </w:rPr>
        <w:t>o</w:t>
      </w:r>
      <w:r w:rsidRPr="00A042E5">
        <w:rPr>
          <w:noProof/>
          <w:sz w:val="22"/>
          <w:szCs w:val="22"/>
          <w:lang w:val="sk-SK" w:eastAsia="sk-SK"/>
        </w:rPr>
        <w:t>C.</w:t>
      </w:r>
    </w:p>
    <w:p w14:paraId="5AC50EA5" w14:textId="77777777" w:rsidR="00307071" w:rsidRPr="00A368C6" w:rsidRDefault="00307071">
      <w:pPr>
        <w:rPr>
          <w:sz w:val="22"/>
          <w:szCs w:val="22"/>
          <w:lang w:val="sk-SK"/>
        </w:rPr>
      </w:pPr>
    </w:p>
    <w:p w14:paraId="54CFBB2A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6.4</w:t>
      </w:r>
      <w:r w:rsidRPr="00A042E5">
        <w:rPr>
          <w:b/>
          <w:sz w:val="22"/>
          <w:szCs w:val="22"/>
          <w:lang w:val="sk-SK" w:eastAsia="ar-SA"/>
        </w:rPr>
        <w:tab/>
        <w:t>Špeciálne upozornenia na uchovávanie</w:t>
      </w:r>
    </w:p>
    <w:p w14:paraId="404C1153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4141798A" w14:textId="001CA013" w:rsidR="00307071" w:rsidRPr="001A1037" w:rsidRDefault="00307071">
      <w:pPr>
        <w:tabs>
          <w:tab w:val="left" w:pos="9072"/>
        </w:tabs>
        <w:ind w:right="-1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Uchovávajte pri teplote do 25</w:t>
      </w:r>
      <w:r w:rsidR="00571C0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sym w:font="Times New Roman" w:char="00B0"/>
      </w:r>
      <w:r w:rsidRPr="00A042E5">
        <w:rPr>
          <w:sz w:val="22"/>
          <w:szCs w:val="22"/>
          <w:lang w:val="sk-SK" w:eastAsia="sk-SK"/>
        </w:rPr>
        <w:t>C v pôv</w:t>
      </w:r>
      <w:r w:rsidRPr="001A1037">
        <w:rPr>
          <w:sz w:val="22"/>
          <w:szCs w:val="22"/>
          <w:lang w:val="sk-SK" w:eastAsia="sk-SK"/>
        </w:rPr>
        <w:t>odnom o</w:t>
      </w:r>
      <w:r w:rsidR="00E1660A">
        <w:rPr>
          <w:sz w:val="22"/>
          <w:szCs w:val="22"/>
          <w:lang w:val="sk-SK" w:eastAsia="sk-SK"/>
        </w:rPr>
        <w:t>bale na ochranu pred vlhkosťou.</w:t>
      </w:r>
    </w:p>
    <w:p w14:paraId="07E07B8D" w14:textId="764A5F16" w:rsidR="00307071" w:rsidRPr="00A042E5" w:rsidRDefault="00307071">
      <w:pPr>
        <w:rPr>
          <w:noProof/>
          <w:sz w:val="22"/>
          <w:szCs w:val="22"/>
          <w:lang w:val="sk-SK"/>
        </w:rPr>
      </w:pPr>
      <w:r w:rsidRPr="00A042E5">
        <w:rPr>
          <w:noProof/>
          <w:sz w:val="22"/>
          <w:szCs w:val="22"/>
          <w:lang w:val="sk-SK"/>
        </w:rPr>
        <w:t>Podmienky uchovávania po prvom otvorení lieku, pozri časť 6.3.</w:t>
      </w:r>
    </w:p>
    <w:p w14:paraId="49F09096" w14:textId="77777777" w:rsidR="00307071" w:rsidRPr="00A042E5" w:rsidRDefault="00307071">
      <w:pPr>
        <w:rPr>
          <w:sz w:val="22"/>
          <w:szCs w:val="22"/>
          <w:lang w:val="sk-SK"/>
        </w:rPr>
      </w:pPr>
    </w:p>
    <w:p w14:paraId="2CE7A575" w14:textId="77777777" w:rsidR="00307071" w:rsidRPr="00A042E5" w:rsidRDefault="00307071">
      <w:pPr>
        <w:numPr>
          <w:ilvl w:val="1"/>
          <w:numId w:val="34"/>
        </w:numPr>
        <w:suppressAutoHyphens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Druh obalu a obsah balenia</w:t>
      </w:r>
    </w:p>
    <w:p w14:paraId="4DC3409C" w14:textId="77777777" w:rsidR="00307071" w:rsidRPr="00A042E5" w:rsidRDefault="00307071">
      <w:pPr>
        <w:rPr>
          <w:sz w:val="22"/>
          <w:szCs w:val="22"/>
          <w:lang w:val="sk-SK"/>
        </w:rPr>
      </w:pPr>
    </w:p>
    <w:p w14:paraId="23D8CA38" w14:textId="3148C53A" w:rsidR="00616100" w:rsidRPr="001E029D" w:rsidRDefault="00307071" w:rsidP="005D07C3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 w:rsidRPr="001E029D">
        <w:rPr>
          <w:sz w:val="22"/>
          <w:szCs w:val="22"/>
          <w:lang w:val="sk-SK"/>
        </w:rPr>
        <w:t>Fľaška z hnedého skla (</w:t>
      </w:r>
      <w:r w:rsidR="00241BE9">
        <w:rPr>
          <w:sz w:val="22"/>
          <w:szCs w:val="22"/>
          <w:lang w:val="sk-SK"/>
        </w:rPr>
        <w:t>s veľkosťou</w:t>
      </w:r>
      <w:r w:rsidRPr="001E029D">
        <w:rPr>
          <w:sz w:val="22"/>
          <w:szCs w:val="22"/>
          <w:lang w:val="sk-SK"/>
        </w:rPr>
        <w:t xml:space="preserve"> 20, 40, 70 a</w:t>
      </w:r>
      <w:r w:rsidR="00571C08" w:rsidRPr="001E029D">
        <w:rPr>
          <w:sz w:val="22"/>
          <w:szCs w:val="22"/>
          <w:lang w:val="sk-SK"/>
        </w:rPr>
        <w:t> </w:t>
      </w:r>
      <w:r w:rsidRPr="001E029D">
        <w:rPr>
          <w:sz w:val="22"/>
          <w:szCs w:val="22"/>
          <w:lang w:val="sk-SK"/>
        </w:rPr>
        <w:t>100</w:t>
      </w:r>
      <w:r w:rsidR="00571C08" w:rsidRPr="001E029D">
        <w:rPr>
          <w:sz w:val="22"/>
          <w:szCs w:val="22"/>
          <w:lang w:val="sk-SK"/>
        </w:rPr>
        <w:t> </w:t>
      </w:r>
      <w:r w:rsidRPr="001E029D">
        <w:rPr>
          <w:sz w:val="22"/>
          <w:szCs w:val="22"/>
          <w:lang w:val="sk-SK"/>
        </w:rPr>
        <w:t xml:space="preserve">ml) s bielym HDPE </w:t>
      </w:r>
      <w:proofErr w:type="spellStart"/>
      <w:r w:rsidRPr="001E029D">
        <w:rPr>
          <w:sz w:val="22"/>
          <w:szCs w:val="22"/>
          <w:lang w:val="sk-SK"/>
        </w:rPr>
        <w:t>skrutkovacím</w:t>
      </w:r>
      <w:proofErr w:type="spellEnd"/>
      <w:r w:rsidRPr="001E029D">
        <w:rPr>
          <w:sz w:val="22"/>
          <w:szCs w:val="22"/>
          <w:lang w:val="sk-SK"/>
        </w:rPr>
        <w:t xml:space="preserve"> uzáverom s</w:t>
      </w:r>
      <w:r w:rsidR="003E634E" w:rsidRPr="001E029D">
        <w:rPr>
          <w:sz w:val="22"/>
          <w:szCs w:val="22"/>
          <w:lang w:val="sk-SK"/>
        </w:rPr>
        <w:t> </w:t>
      </w:r>
      <w:r w:rsidRPr="001E029D">
        <w:rPr>
          <w:sz w:val="22"/>
          <w:szCs w:val="22"/>
          <w:lang w:val="sk-SK"/>
        </w:rPr>
        <w:t>vys</w:t>
      </w:r>
      <w:r w:rsidR="00571C08" w:rsidRPr="001E029D">
        <w:rPr>
          <w:sz w:val="22"/>
          <w:szCs w:val="22"/>
          <w:lang w:val="sk-SK"/>
        </w:rPr>
        <w:t>ú</w:t>
      </w:r>
      <w:r w:rsidRPr="001E029D">
        <w:rPr>
          <w:sz w:val="22"/>
          <w:szCs w:val="22"/>
          <w:lang w:val="sk-SK"/>
        </w:rPr>
        <w:t>šadlom</w:t>
      </w:r>
      <w:r w:rsidR="00571C08" w:rsidRPr="001E029D">
        <w:rPr>
          <w:sz w:val="22"/>
          <w:szCs w:val="22"/>
          <w:lang w:val="sk-SK"/>
        </w:rPr>
        <w:t>, skladacia papierová škatuľka.</w:t>
      </w:r>
    </w:p>
    <w:p w14:paraId="3406470D" w14:textId="4FC31CE2" w:rsidR="002F09D1" w:rsidRPr="005D07C3" w:rsidRDefault="00571C08" w:rsidP="005D07C3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 w:rsidRPr="001E029D">
        <w:rPr>
          <w:sz w:val="22"/>
          <w:szCs w:val="22"/>
          <w:lang w:val="sk-SK"/>
        </w:rPr>
        <w:t>B</w:t>
      </w:r>
      <w:r w:rsidR="00307071" w:rsidRPr="001E029D">
        <w:rPr>
          <w:sz w:val="22"/>
          <w:szCs w:val="22"/>
          <w:lang w:val="sk-SK"/>
        </w:rPr>
        <w:t>iela HDPE fľaška (</w:t>
      </w:r>
      <w:r w:rsidR="00241BE9">
        <w:rPr>
          <w:sz w:val="22"/>
          <w:szCs w:val="22"/>
          <w:lang w:val="sk-SK"/>
        </w:rPr>
        <w:t xml:space="preserve">s </w:t>
      </w:r>
      <w:r w:rsidR="00307071" w:rsidRPr="001E029D">
        <w:rPr>
          <w:sz w:val="22"/>
          <w:szCs w:val="22"/>
          <w:lang w:val="sk-SK"/>
        </w:rPr>
        <w:t>veľkos</w:t>
      </w:r>
      <w:r w:rsidR="00241BE9">
        <w:rPr>
          <w:sz w:val="22"/>
          <w:szCs w:val="22"/>
          <w:lang w:val="sk-SK"/>
        </w:rPr>
        <w:t>ťou</w:t>
      </w:r>
      <w:r w:rsidR="00307071" w:rsidRPr="001E029D">
        <w:rPr>
          <w:sz w:val="22"/>
          <w:szCs w:val="22"/>
          <w:lang w:val="sk-SK"/>
        </w:rPr>
        <w:t xml:space="preserve"> 15, 30 a</w:t>
      </w:r>
      <w:r w:rsidRPr="001E029D">
        <w:rPr>
          <w:sz w:val="22"/>
          <w:szCs w:val="22"/>
          <w:lang w:val="sk-SK"/>
        </w:rPr>
        <w:t> </w:t>
      </w:r>
      <w:r w:rsidR="00307071" w:rsidRPr="001E029D">
        <w:rPr>
          <w:sz w:val="22"/>
          <w:szCs w:val="22"/>
          <w:lang w:val="sk-SK"/>
        </w:rPr>
        <w:t>50</w:t>
      </w:r>
      <w:r w:rsidRPr="001E029D">
        <w:rPr>
          <w:sz w:val="22"/>
          <w:szCs w:val="22"/>
          <w:lang w:val="sk-SK"/>
        </w:rPr>
        <w:t> </w:t>
      </w:r>
      <w:r w:rsidR="00307071" w:rsidRPr="001E029D">
        <w:rPr>
          <w:sz w:val="22"/>
          <w:szCs w:val="22"/>
          <w:lang w:val="sk-SK"/>
        </w:rPr>
        <w:t xml:space="preserve">ml) s bielym </w:t>
      </w:r>
      <w:r w:rsidR="00C15A03" w:rsidRPr="001E029D">
        <w:rPr>
          <w:sz w:val="22"/>
          <w:szCs w:val="22"/>
          <w:lang w:val="sk-SK"/>
        </w:rPr>
        <w:t xml:space="preserve">plastovým </w:t>
      </w:r>
      <w:proofErr w:type="spellStart"/>
      <w:r w:rsidR="00C15A03" w:rsidRPr="001E029D">
        <w:rPr>
          <w:sz w:val="22"/>
          <w:szCs w:val="22"/>
          <w:lang w:val="sk-SK"/>
        </w:rPr>
        <w:t>skrutkovacím</w:t>
      </w:r>
      <w:proofErr w:type="spellEnd"/>
      <w:r w:rsidR="00C15A03" w:rsidRPr="001E029D">
        <w:rPr>
          <w:sz w:val="22"/>
          <w:szCs w:val="22"/>
          <w:lang w:val="sk-SK"/>
        </w:rPr>
        <w:t xml:space="preserve"> uzáverom s vys</w:t>
      </w:r>
      <w:r w:rsidRPr="001E029D">
        <w:rPr>
          <w:sz w:val="22"/>
          <w:szCs w:val="22"/>
          <w:lang w:val="sk-SK"/>
        </w:rPr>
        <w:t>ú</w:t>
      </w:r>
      <w:r w:rsidR="00C15A03" w:rsidRPr="001E029D">
        <w:rPr>
          <w:sz w:val="22"/>
          <w:szCs w:val="22"/>
          <w:lang w:val="sk-SK"/>
        </w:rPr>
        <w:t>šadlom</w:t>
      </w:r>
      <w:r w:rsidRPr="001E029D">
        <w:rPr>
          <w:sz w:val="22"/>
          <w:szCs w:val="22"/>
          <w:lang w:val="sk-SK"/>
        </w:rPr>
        <w:t>,</w:t>
      </w:r>
      <w:r w:rsidR="00C15A03" w:rsidRPr="001E029D">
        <w:rPr>
          <w:sz w:val="22"/>
          <w:szCs w:val="22"/>
          <w:lang w:val="sk-SK"/>
        </w:rPr>
        <w:t> s</w:t>
      </w:r>
      <w:r w:rsidRPr="001E029D">
        <w:rPr>
          <w:sz w:val="22"/>
          <w:szCs w:val="22"/>
          <w:lang w:val="sk-SK"/>
        </w:rPr>
        <w:t xml:space="preserve"> detským </w:t>
      </w:r>
      <w:r w:rsidR="00C15A03" w:rsidRPr="001E029D">
        <w:rPr>
          <w:sz w:val="22"/>
          <w:szCs w:val="22"/>
          <w:lang w:val="sk-SK"/>
        </w:rPr>
        <w:t xml:space="preserve">bezpečnostným </w:t>
      </w:r>
      <w:r w:rsidR="00FD3042" w:rsidRPr="001E029D">
        <w:rPr>
          <w:sz w:val="22"/>
          <w:szCs w:val="22"/>
          <w:lang w:val="sk-SK"/>
        </w:rPr>
        <w:t>otváraním</w:t>
      </w:r>
      <w:r w:rsidR="00C15A03" w:rsidRPr="001E029D">
        <w:rPr>
          <w:sz w:val="22"/>
          <w:szCs w:val="22"/>
          <w:lang w:val="sk-SK"/>
        </w:rPr>
        <w:t xml:space="preserve"> a s bezpečnostným krúžkom na zabezpečenie prvotnej neporušenosti balenia</w:t>
      </w:r>
      <w:r w:rsidRPr="001E029D">
        <w:rPr>
          <w:sz w:val="22"/>
          <w:szCs w:val="22"/>
          <w:lang w:val="sk-SK"/>
        </w:rPr>
        <w:t>, skladacia papierová škatuľka.</w:t>
      </w:r>
    </w:p>
    <w:p w14:paraId="311DDEB9" w14:textId="0B37E9A4" w:rsidR="002F09D1" w:rsidRPr="005D07C3" w:rsidRDefault="005D07C3" w:rsidP="005D07C3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F507A0" w:rsidRPr="001E029D">
        <w:rPr>
          <w:sz w:val="22"/>
          <w:szCs w:val="22"/>
          <w:lang w:val="sk-SK"/>
        </w:rPr>
        <w:t>iela HDPE fľaška (</w:t>
      </w:r>
      <w:r w:rsidR="00241BE9">
        <w:rPr>
          <w:sz w:val="22"/>
          <w:szCs w:val="22"/>
          <w:lang w:val="sk-SK"/>
        </w:rPr>
        <w:t xml:space="preserve">s </w:t>
      </w:r>
      <w:r w:rsidR="00F507A0" w:rsidRPr="001E029D">
        <w:rPr>
          <w:sz w:val="22"/>
          <w:szCs w:val="22"/>
          <w:lang w:val="sk-SK"/>
        </w:rPr>
        <w:t>veľkos</w:t>
      </w:r>
      <w:r w:rsidR="00241BE9">
        <w:rPr>
          <w:sz w:val="22"/>
          <w:szCs w:val="22"/>
          <w:lang w:val="sk-SK"/>
        </w:rPr>
        <w:t>ťou</w:t>
      </w:r>
      <w:r w:rsidR="00F507A0" w:rsidRPr="001E029D">
        <w:rPr>
          <w:sz w:val="22"/>
          <w:szCs w:val="22"/>
          <w:lang w:val="sk-SK"/>
        </w:rPr>
        <w:t xml:space="preserve"> 15, 30 a 60 ml) s bielym plastovým </w:t>
      </w:r>
      <w:proofErr w:type="spellStart"/>
      <w:r w:rsidR="00F507A0" w:rsidRPr="001E029D">
        <w:rPr>
          <w:sz w:val="22"/>
          <w:szCs w:val="22"/>
          <w:lang w:val="sk-SK"/>
        </w:rPr>
        <w:t>skrutkovacím</w:t>
      </w:r>
      <w:proofErr w:type="spellEnd"/>
      <w:r w:rsidR="00F507A0" w:rsidRPr="001E029D">
        <w:rPr>
          <w:sz w:val="22"/>
          <w:szCs w:val="22"/>
          <w:lang w:val="sk-SK"/>
        </w:rPr>
        <w:t xml:space="preserve"> uzáverom s vysúšadlom a s bezpečnostným krúžkom na zabezpečenie prvotnej neporušenosti balenia</w:t>
      </w:r>
      <w:r w:rsidRPr="005D07C3">
        <w:rPr>
          <w:sz w:val="22"/>
          <w:szCs w:val="22"/>
          <w:lang w:val="sk-SK"/>
        </w:rPr>
        <w:t xml:space="preserve">, </w:t>
      </w:r>
      <w:r w:rsidRPr="001E029D">
        <w:rPr>
          <w:sz w:val="22"/>
          <w:szCs w:val="22"/>
          <w:lang w:val="sk-SK"/>
        </w:rPr>
        <w:t>skladacia papierová škatuľka.</w:t>
      </w:r>
    </w:p>
    <w:p w14:paraId="569288F9" w14:textId="5EA3C6CA" w:rsidR="00307071" w:rsidRPr="001E029D" w:rsidRDefault="00307071" w:rsidP="005D07C3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proofErr w:type="spellStart"/>
      <w:r w:rsidRPr="001E029D">
        <w:rPr>
          <w:sz w:val="22"/>
          <w:szCs w:val="22"/>
          <w:lang w:val="sk-SK"/>
        </w:rPr>
        <w:lastRenderedPageBreak/>
        <w:t>oPA</w:t>
      </w:r>
      <w:proofErr w:type="spellEnd"/>
      <w:r w:rsidRPr="001E029D">
        <w:rPr>
          <w:sz w:val="22"/>
          <w:szCs w:val="22"/>
          <w:lang w:val="sk-SK"/>
        </w:rPr>
        <w:t>/</w:t>
      </w:r>
      <w:proofErr w:type="spellStart"/>
      <w:r w:rsidRPr="001E029D">
        <w:rPr>
          <w:sz w:val="22"/>
          <w:szCs w:val="22"/>
          <w:lang w:val="sk-SK"/>
        </w:rPr>
        <w:t>Al</w:t>
      </w:r>
      <w:proofErr w:type="spellEnd"/>
      <w:r w:rsidRPr="001E029D">
        <w:rPr>
          <w:sz w:val="22"/>
          <w:szCs w:val="22"/>
          <w:lang w:val="sk-SK"/>
        </w:rPr>
        <w:t>/HDPE</w:t>
      </w:r>
      <w:r w:rsidR="00446D10">
        <w:rPr>
          <w:sz w:val="22"/>
          <w:szCs w:val="22"/>
          <w:lang w:val="sk-SK"/>
        </w:rPr>
        <w:t xml:space="preserve"> </w:t>
      </w:r>
      <w:r w:rsidR="00336F60" w:rsidRPr="001E029D">
        <w:rPr>
          <w:sz w:val="22"/>
          <w:szCs w:val="22"/>
          <w:lang w:val="sk-SK"/>
        </w:rPr>
        <w:t>+</w:t>
      </w:r>
      <w:r w:rsidR="00446D10">
        <w:rPr>
          <w:sz w:val="22"/>
          <w:szCs w:val="22"/>
          <w:lang w:val="sk-SK"/>
        </w:rPr>
        <w:t xml:space="preserve"> </w:t>
      </w:r>
      <w:r w:rsidRPr="001E029D">
        <w:rPr>
          <w:sz w:val="22"/>
          <w:szCs w:val="22"/>
          <w:lang w:val="sk-SK"/>
        </w:rPr>
        <w:t>PE + vys</w:t>
      </w:r>
      <w:r w:rsidR="00571C08" w:rsidRPr="001E029D">
        <w:rPr>
          <w:sz w:val="22"/>
          <w:szCs w:val="22"/>
          <w:lang w:val="sk-SK"/>
        </w:rPr>
        <w:t>ú</w:t>
      </w:r>
      <w:r w:rsidRPr="001E029D">
        <w:rPr>
          <w:sz w:val="22"/>
          <w:szCs w:val="22"/>
          <w:lang w:val="sk-SK"/>
        </w:rPr>
        <w:t>šadlo</w:t>
      </w:r>
      <w:r w:rsidR="00446D10">
        <w:rPr>
          <w:sz w:val="22"/>
          <w:szCs w:val="22"/>
          <w:lang w:val="sk-SK"/>
        </w:rPr>
        <w:t xml:space="preserve"> </w:t>
      </w:r>
      <w:r w:rsidR="00336F60" w:rsidRPr="001E029D">
        <w:rPr>
          <w:sz w:val="22"/>
          <w:szCs w:val="22"/>
          <w:lang w:val="sk-SK"/>
        </w:rPr>
        <w:t>+</w:t>
      </w:r>
      <w:r w:rsidR="00446D10">
        <w:rPr>
          <w:sz w:val="22"/>
          <w:szCs w:val="22"/>
          <w:lang w:val="sk-SK"/>
        </w:rPr>
        <w:t xml:space="preserve"> </w:t>
      </w:r>
      <w:r w:rsidRPr="001E029D">
        <w:rPr>
          <w:sz w:val="22"/>
          <w:szCs w:val="22"/>
          <w:lang w:val="sk-SK"/>
        </w:rPr>
        <w:t xml:space="preserve">HDPE </w:t>
      </w:r>
      <w:r w:rsidR="007C3013" w:rsidRPr="001E029D">
        <w:rPr>
          <w:sz w:val="22"/>
          <w:szCs w:val="22"/>
          <w:lang w:val="sk-SK"/>
        </w:rPr>
        <w:t xml:space="preserve">- </w:t>
      </w:r>
      <w:proofErr w:type="spellStart"/>
      <w:r w:rsidR="00336F60" w:rsidRPr="001E029D">
        <w:rPr>
          <w:sz w:val="22"/>
          <w:szCs w:val="22"/>
          <w:lang w:val="sk-SK"/>
        </w:rPr>
        <w:t>Al</w:t>
      </w:r>
      <w:proofErr w:type="spellEnd"/>
      <w:r w:rsidR="00336F60" w:rsidRPr="001E029D">
        <w:rPr>
          <w:sz w:val="22"/>
          <w:szCs w:val="22"/>
          <w:lang w:val="sk-SK"/>
        </w:rPr>
        <w:t xml:space="preserve"> </w:t>
      </w:r>
      <w:proofErr w:type="spellStart"/>
      <w:r w:rsidRPr="001E029D">
        <w:rPr>
          <w:sz w:val="22"/>
          <w:szCs w:val="22"/>
          <w:lang w:val="sk-SK"/>
        </w:rPr>
        <w:t>blister</w:t>
      </w:r>
      <w:proofErr w:type="spellEnd"/>
      <w:r w:rsidR="00336F60" w:rsidRPr="001E029D">
        <w:rPr>
          <w:sz w:val="22"/>
          <w:szCs w:val="22"/>
          <w:lang w:val="sk-SK"/>
        </w:rPr>
        <w:t xml:space="preserve"> alebo </w:t>
      </w:r>
      <w:proofErr w:type="spellStart"/>
      <w:r w:rsidR="00336F60" w:rsidRPr="001E029D">
        <w:rPr>
          <w:sz w:val="22"/>
          <w:szCs w:val="22"/>
        </w:rPr>
        <w:t>oPA</w:t>
      </w:r>
      <w:proofErr w:type="spellEnd"/>
      <w:r w:rsidR="00336F60" w:rsidRPr="001E029D">
        <w:rPr>
          <w:sz w:val="22"/>
          <w:szCs w:val="22"/>
        </w:rPr>
        <w:t>/Al/PVC – Al blister</w:t>
      </w:r>
      <w:r w:rsidRPr="001E029D">
        <w:rPr>
          <w:sz w:val="22"/>
          <w:szCs w:val="22"/>
          <w:lang w:val="sk-SK"/>
        </w:rPr>
        <w:t>, skladacia papierová škatuľka.</w:t>
      </w:r>
    </w:p>
    <w:p w14:paraId="4E9D8C4D" w14:textId="77777777" w:rsidR="00307071" w:rsidRPr="00A042E5" w:rsidRDefault="00307071">
      <w:pPr>
        <w:rPr>
          <w:sz w:val="22"/>
          <w:szCs w:val="22"/>
          <w:lang w:val="sk-SK"/>
        </w:rPr>
      </w:pPr>
    </w:p>
    <w:p w14:paraId="165766DE" w14:textId="632D7D33" w:rsidR="00307071" w:rsidRPr="00A042E5" w:rsidRDefault="00307071" w:rsidP="000D345C">
      <w:pPr>
        <w:keepNext/>
        <w:rPr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>Fľaška z hnedého skla</w:t>
      </w:r>
      <w:r w:rsidRPr="00A368C6">
        <w:rPr>
          <w:sz w:val="22"/>
          <w:szCs w:val="22"/>
          <w:lang w:val="sk-SK"/>
        </w:rPr>
        <w:t>:</w:t>
      </w:r>
    </w:p>
    <w:p w14:paraId="3212053A" w14:textId="36496400" w:rsidR="00307071" w:rsidRPr="007C3013" w:rsidRDefault="00307071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/>
        </w:rPr>
        <w:t>7, 14, 15 kapsúl v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20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ml fľaške</w:t>
      </w:r>
    </w:p>
    <w:p w14:paraId="785F4CD8" w14:textId="4C0E2D5E" w:rsidR="00307071" w:rsidRPr="007C3013" w:rsidRDefault="00307071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/>
        </w:rPr>
        <w:t>28, 30 kapsúl v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40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ml fľaške</w:t>
      </w:r>
    </w:p>
    <w:p w14:paraId="7B14054F" w14:textId="25F468A5" w:rsidR="00307071" w:rsidRPr="007C3013" w:rsidRDefault="00307071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/>
        </w:rPr>
        <w:t>50, 60, 90 kapsúl v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70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ml fľaške</w:t>
      </w:r>
    </w:p>
    <w:p w14:paraId="4A1C97DE" w14:textId="56EF3DE6" w:rsidR="00307071" w:rsidRPr="00A042E5" w:rsidRDefault="00307071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/>
        </w:rPr>
        <w:t>90, 100 kapsúl v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100</w:t>
      </w:r>
      <w:r w:rsidR="00571C08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ml fľaške</w:t>
      </w:r>
    </w:p>
    <w:p w14:paraId="45FAF657" w14:textId="77777777" w:rsidR="00307071" w:rsidRPr="000D345C" w:rsidRDefault="00307071">
      <w:pPr>
        <w:pStyle w:val="Zkladntext"/>
        <w:rPr>
          <w:sz w:val="22"/>
          <w:szCs w:val="22"/>
          <w:lang w:val="sk-SK"/>
        </w:rPr>
      </w:pPr>
    </w:p>
    <w:p w14:paraId="47C94783" w14:textId="01F9AC9E" w:rsidR="00307071" w:rsidRPr="000D345C" w:rsidRDefault="00307071">
      <w:pPr>
        <w:suppressAutoHyphens/>
        <w:ind w:left="567" w:hanging="567"/>
        <w:rPr>
          <w:sz w:val="22"/>
          <w:szCs w:val="22"/>
          <w:u w:val="single"/>
          <w:lang w:val="sk-SK"/>
        </w:rPr>
      </w:pPr>
      <w:r w:rsidRPr="000D345C">
        <w:rPr>
          <w:sz w:val="22"/>
          <w:szCs w:val="22"/>
          <w:u w:val="single"/>
          <w:lang w:val="sk-SK"/>
        </w:rPr>
        <w:t xml:space="preserve">HDPE </w:t>
      </w:r>
      <w:r w:rsidRPr="00446D10">
        <w:rPr>
          <w:sz w:val="22"/>
          <w:szCs w:val="22"/>
          <w:u w:val="single"/>
          <w:lang w:val="sk-SK"/>
        </w:rPr>
        <w:t>fľaška</w:t>
      </w:r>
      <w:r w:rsidR="00336F60" w:rsidRPr="00446D10">
        <w:rPr>
          <w:sz w:val="22"/>
          <w:szCs w:val="22"/>
          <w:u w:val="single"/>
          <w:lang w:val="sk-SK"/>
        </w:rPr>
        <w:t xml:space="preserve"> s detským bezpečnostným otváraním</w:t>
      </w:r>
      <w:r w:rsidR="003E634E" w:rsidRPr="00A368C6">
        <w:rPr>
          <w:sz w:val="22"/>
          <w:szCs w:val="22"/>
          <w:lang w:val="sk-SK"/>
        </w:rPr>
        <w:t>:</w:t>
      </w:r>
    </w:p>
    <w:p w14:paraId="0FC9599D" w14:textId="7DE566B1" w:rsidR="00307071" w:rsidRPr="007C3013" w:rsidRDefault="00307071">
      <w:pPr>
        <w:rPr>
          <w:sz w:val="22"/>
          <w:szCs w:val="22"/>
          <w:lang w:val="sk-SK"/>
        </w:rPr>
      </w:pPr>
      <w:r w:rsidRPr="00336F60">
        <w:rPr>
          <w:sz w:val="22"/>
          <w:szCs w:val="22"/>
          <w:lang w:val="sk-SK"/>
        </w:rPr>
        <w:t xml:space="preserve">7, </w:t>
      </w:r>
      <w:r w:rsidR="00CE65C7" w:rsidRPr="00336F60">
        <w:rPr>
          <w:sz w:val="22"/>
          <w:szCs w:val="22"/>
          <w:lang w:val="sk-SK" w:bidi="en-US"/>
        </w:rPr>
        <w:t xml:space="preserve">14, </w:t>
      </w:r>
      <w:r w:rsidRPr="007C3013">
        <w:rPr>
          <w:sz w:val="22"/>
          <w:szCs w:val="22"/>
          <w:lang w:val="sk-SK"/>
        </w:rPr>
        <w:t>15 kapsúl v</w:t>
      </w:r>
      <w:r w:rsidR="00924EBD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15</w:t>
      </w:r>
      <w:r w:rsidR="00924EBD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ml fľaške</w:t>
      </w:r>
    </w:p>
    <w:p w14:paraId="3A7F9A87" w14:textId="07625A1C" w:rsidR="00307071" w:rsidRPr="007C3013" w:rsidRDefault="00CE65C7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 w:bidi="en-US"/>
        </w:rPr>
        <w:t xml:space="preserve">28, </w:t>
      </w:r>
      <w:r w:rsidR="00307071" w:rsidRPr="007C3013">
        <w:rPr>
          <w:sz w:val="22"/>
          <w:szCs w:val="22"/>
          <w:lang w:val="sk-SK"/>
        </w:rPr>
        <w:t>30, 60</w:t>
      </w:r>
      <w:r w:rsidR="007C3013">
        <w:rPr>
          <w:sz w:val="22"/>
          <w:szCs w:val="22"/>
          <w:lang w:val="sk-SK"/>
        </w:rPr>
        <w:t xml:space="preserve"> (2 x 30)</w:t>
      </w:r>
      <w:r w:rsidR="00307071" w:rsidRPr="007C3013">
        <w:rPr>
          <w:sz w:val="22"/>
          <w:szCs w:val="22"/>
          <w:lang w:val="sk-SK"/>
        </w:rPr>
        <w:t xml:space="preserve"> kapsúl v</w:t>
      </w:r>
      <w:r w:rsidR="00924EBD" w:rsidRPr="007C3013">
        <w:rPr>
          <w:sz w:val="22"/>
          <w:szCs w:val="22"/>
          <w:lang w:val="sk-SK"/>
        </w:rPr>
        <w:t> </w:t>
      </w:r>
      <w:r w:rsidR="00307071" w:rsidRPr="007C3013">
        <w:rPr>
          <w:sz w:val="22"/>
          <w:szCs w:val="22"/>
          <w:lang w:val="sk-SK"/>
        </w:rPr>
        <w:t>30</w:t>
      </w:r>
      <w:r w:rsidR="00924EBD" w:rsidRPr="007C3013">
        <w:rPr>
          <w:sz w:val="22"/>
          <w:szCs w:val="22"/>
          <w:lang w:val="sk-SK"/>
        </w:rPr>
        <w:t> </w:t>
      </w:r>
      <w:r w:rsidR="00307071" w:rsidRPr="007C3013">
        <w:rPr>
          <w:sz w:val="22"/>
          <w:szCs w:val="22"/>
          <w:lang w:val="sk-SK"/>
        </w:rPr>
        <w:t>ml fľaške</w:t>
      </w:r>
    </w:p>
    <w:p w14:paraId="4C57F340" w14:textId="1174DC08" w:rsidR="00307071" w:rsidRDefault="00307071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/>
        </w:rPr>
        <w:t>50, 100</w:t>
      </w:r>
      <w:r w:rsidR="007C3013">
        <w:rPr>
          <w:sz w:val="22"/>
          <w:szCs w:val="22"/>
          <w:lang w:val="sk-SK"/>
        </w:rPr>
        <w:t xml:space="preserve"> (2 x 50)</w:t>
      </w:r>
      <w:r w:rsidRPr="007C3013">
        <w:rPr>
          <w:sz w:val="22"/>
          <w:szCs w:val="22"/>
          <w:lang w:val="sk-SK"/>
        </w:rPr>
        <w:t xml:space="preserve"> kapsúl v</w:t>
      </w:r>
      <w:r w:rsidR="00924EBD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50</w:t>
      </w:r>
      <w:r w:rsidR="00924EBD" w:rsidRPr="007C3013">
        <w:rPr>
          <w:sz w:val="22"/>
          <w:szCs w:val="22"/>
          <w:lang w:val="sk-SK"/>
        </w:rPr>
        <w:t> </w:t>
      </w:r>
      <w:r w:rsidRPr="007C3013">
        <w:rPr>
          <w:sz w:val="22"/>
          <w:szCs w:val="22"/>
          <w:lang w:val="sk-SK"/>
        </w:rPr>
        <w:t>ml fľaške</w:t>
      </w:r>
    </w:p>
    <w:p w14:paraId="16E64F1C" w14:textId="77777777" w:rsidR="00336F60" w:rsidRDefault="00336F60">
      <w:pPr>
        <w:rPr>
          <w:sz w:val="22"/>
          <w:szCs w:val="22"/>
          <w:lang w:val="sk-SK"/>
        </w:rPr>
      </w:pPr>
    </w:p>
    <w:p w14:paraId="663A2C4D" w14:textId="77777777" w:rsidR="00336F60" w:rsidRPr="000D345C" w:rsidRDefault="00336F60" w:rsidP="00336F60">
      <w:pPr>
        <w:suppressAutoHyphens/>
        <w:ind w:left="567" w:hanging="567"/>
        <w:rPr>
          <w:sz w:val="22"/>
          <w:szCs w:val="22"/>
          <w:u w:val="single"/>
          <w:lang w:val="sk-SK"/>
        </w:rPr>
      </w:pPr>
      <w:r w:rsidRPr="000D345C">
        <w:rPr>
          <w:sz w:val="22"/>
          <w:szCs w:val="22"/>
          <w:u w:val="single"/>
          <w:lang w:val="sk-SK"/>
        </w:rPr>
        <w:t>HDPE fľaška</w:t>
      </w:r>
      <w:r w:rsidRPr="00A368C6">
        <w:rPr>
          <w:sz w:val="22"/>
          <w:szCs w:val="22"/>
          <w:lang w:val="sk-SK"/>
        </w:rPr>
        <w:t>:</w:t>
      </w:r>
    </w:p>
    <w:p w14:paraId="60C2832D" w14:textId="77777777" w:rsidR="00336F60" w:rsidRPr="007C3013" w:rsidRDefault="00336F60" w:rsidP="00336F60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/>
        </w:rPr>
        <w:t xml:space="preserve">7, </w:t>
      </w:r>
      <w:r w:rsidRPr="007C3013">
        <w:rPr>
          <w:sz w:val="22"/>
          <w:szCs w:val="22"/>
          <w:lang w:val="sk-SK" w:bidi="en-US"/>
        </w:rPr>
        <w:t xml:space="preserve">14, </w:t>
      </w:r>
      <w:r w:rsidRPr="007C3013">
        <w:rPr>
          <w:sz w:val="22"/>
          <w:szCs w:val="22"/>
          <w:lang w:val="sk-SK"/>
        </w:rPr>
        <w:t>15 kapsúl v 15 ml fľaške</w:t>
      </w:r>
    </w:p>
    <w:p w14:paraId="212F4332" w14:textId="67CC3C00" w:rsidR="00336F60" w:rsidRPr="007C3013" w:rsidRDefault="00336F60" w:rsidP="00336F60">
      <w:pPr>
        <w:rPr>
          <w:sz w:val="22"/>
          <w:szCs w:val="22"/>
          <w:lang w:val="sk-SK"/>
        </w:rPr>
      </w:pPr>
      <w:r w:rsidRPr="007C3013">
        <w:rPr>
          <w:sz w:val="22"/>
          <w:szCs w:val="22"/>
          <w:lang w:val="sk-SK" w:bidi="en-US"/>
        </w:rPr>
        <w:t xml:space="preserve">28, </w:t>
      </w:r>
      <w:r w:rsidRPr="007C3013">
        <w:rPr>
          <w:sz w:val="22"/>
          <w:szCs w:val="22"/>
          <w:lang w:val="sk-SK"/>
        </w:rPr>
        <w:t>30, 60</w:t>
      </w:r>
      <w:r w:rsidR="007C3013">
        <w:rPr>
          <w:sz w:val="22"/>
          <w:szCs w:val="22"/>
          <w:lang w:val="sk-SK"/>
        </w:rPr>
        <w:t xml:space="preserve"> (2 x 30)</w:t>
      </w:r>
      <w:r w:rsidRPr="007C3013">
        <w:rPr>
          <w:sz w:val="22"/>
          <w:szCs w:val="22"/>
          <w:lang w:val="sk-SK"/>
        </w:rPr>
        <w:t xml:space="preserve"> kapsúl v 30 ml fľaške</w:t>
      </w:r>
    </w:p>
    <w:p w14:paraId="1C75974D" w14:textId="593AFCA3" w:rsidR="00336F60" w:rsidRPr="00A042E5" w:rsidRDefault="007C30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50, </w:t>
      </w:r>
      <w:r w:rsidR="00336F60" w:rsidRPr="007C3013">
        <w:rPr>
          <w:sz w:val="22"/>
          <w:szCs w:val="22"/>
          <w:lang w:val="sk-SK"/>
        </w:rPr>
        <w:t xml:space="preserve">100 </w:t>
      </w:r>
      <w:r>
        <w:rPr>
          <w:sz w:val="22"/>
          <w:szCs w:val="22"/>
          <w:lang w:val="sk-SK"/>
        </w:rPr>
        <w:t>(2 x 50)</w:t>
      </w:r>
      <w:r w:rsidRPr="007C3013">
        <w:rPr>
          <w:sz w:val="22"/>
          <w:szCs w:val="22"/>
          <w:lang w:val="sk-SK"/>
        </w:rPr>
        <w:t xml:space="preserve"> </w:t>
      </w:r>
      <w:r w:rsidR="00336F60" w:rsidRPr="007C3013">
        <w:rPr>
          <w:sz w:val="22"/>
          <w:szCs w:val="22"/>
          <w:lang w:val="sk-SK"/>
        </w:rPr>
        <w:t>kapsúl v 60 ml fľaške</w:t>
      </w:r>
    </w:p>
    <w:p w14:paraId="651BBFA8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/>
        </w:rPr>
      </w:pPr>
    </w:p>
    <w:p w14:paraId="74946EF6" w14:textId="1647F289" w:rsidR="00307071" w:rsidRPr="000D345C" w:rsidRDefault="00307071">
      <w:pPr>
        <w:suppressAutoHyphens/>
        <w:ind w:left="567" w:hanging="567"/>
        <w:rPr>
          <w:sz w:val="22"/>
          <w:szCs w:val="22"/>
          <w:u w:val="single"/>
        </w:rPr>
      </w:pPr>
      <w:proofErr w:type="spellStart"/>
      <w:proofErr w:type="gramStart"/>
      <w:r w:rsidRPr="000D345C">
        <w:rPr>
          <w:sz w:val="22"/>
          <w:szCs w:val="22"/>
          <w:u w:val="single"/>
        </w:rPr>
        <w:t>oPA</w:t>
      </w:r>
      <w:proofErr w:type="spellEnd"/>
      <w:r w:rsidRPr="000D345C">
        <w:rPr>
          <w:sz w:val="22"/>
          <w:szCs w:val="22"/>
          <w:u w:val="single"/>
        </w:rPr>
        <w:t>/Al/HDPE</w:t>
      </w:r>
      <w:proofErr w:type="gramEnd"/>
      <w:r w:rsidR="000747C8">
        <w:rPr>
          <w:sz w:val="22"/>
          <w:szCs w:val="22"/>
          <w:u w:val="single"/>
        </w:rPr>
        <w:t xml:space="preserve"> </w:t>
      </w:r>
      <w:r w:rsidR="007C3013">
        <w:rPr>
          <w:sz w:val="22"/>
          <w:szCs w:val="22"/>
          <w:u w:val="single"/>
        </w:rPr>
        <w:t>+</w:t>
      </w:r>
      <w:r w:rsidR="000747C8">
        <w:rPr>
          <w:sz w:val="22"/>
          <w:szCs w:val="22"/>
          <w:u w:val="single"/>
        </w:rPr>
        <w:t xml:space="preserve"> </w:t>
      </w:r>
      <w:r w:rsidRPr="000D345C">
        <w:rPr>
          <w:sz w:val="22"/>
          <w:szCs w:val="22"/>
          <w:u w:val="single"/>
        </w:rPr>
        <w:t xml:space="preserve">PE + </w:t>
      </w:r>
      <w:r w:rsidRPr="00A368C6">
        <w:rPr>
          <w:sz w:val="22"/>
          <w:szCs w:val="22"/>
          <w:u w:val="single"/>
          <w:lang w:val="sk-SK"/>
        </w:rPr>
        <w:t>vys</w:t>
      </w:r>
      <w:r w:rsidR="00571C08" w:rsidRPr="00A368C6">
        <w:rPr>
          <w:sz w:val="22"/>
          <w:szCs w:val="22"/>
          <w:u w:val="single"/>
          <w:lang w:val="sk-SK"/>
        </w:rPr>
        <w:t>ú</w:t>
      </w:r>
      <w:r w:rsidRPr="00A368C6">
        <w:rPr>
          <w:sz w:val="22"/>
          <w:szCs w:val="22"/>
          <w:u w:val="single"/>
          <w:lang w:val="sk-SK"/>
        </w:rPr>
        <w:t>šadlo</w:t>
      </w:r>
      <w:r w:rsidR="00446D10">
        <w:rPr>
          <w:sz w:val="22"/>
          <w:szCs w:val="22"/>
          <w:u w:val="single"/>
          <w:lang w:val="sk-SK"/>
        </w:rPr>
        <w:t xml:space="preserve"> </w:t>
      </w:r>
      <w:r w:rsidR="007C3013">
        <w:rPr>
          <w:sz w:val="22"/>
          <w:szCs w:val="22"/>
          <w:u w:val="single"/>
          <w:lang w:val="sk-SK"/>
        </w:rPr>
        <w:t>+</w:t>
      </w:r>
      <w:r w:rsidR="00446D10">
        <w:rPr>
          <w:sz w:val="22"/>
          <w:szCs w:val="22"/>
          <w:u w:val="single"/>
          <w:lang w:val="sk-SK"/>
        </w:rPr>
        <w:t xml:space="preserve"> </w:t>
      </w:r>
      <w:r w:rsidRPr="000D345C">
        <w:rPr>
          <w:sz w:val="22"/>
          <w:szCs w:val="22"/>
          <w:u w:val="single"/>
        </w:rPr>
        <w:t xml:space="preserve">HDPE </w:t>
      </w:r>
      <w:r w:rsidR="007C3013">
        <w:rPr>
          <w:sz w:val="22"/>
          <w:szCs w:val="22"/>
          <w:u w:val="single"/>
        </w:rPr>
        <w:t xml:space="preserve">– Al </w:t>
      </w:r>
      <w:r w:rsidRPr="000D345C">
        <w:rPr>
          <w:sz w:val="22"/>
          <w:szCs w:val="22"/>
          <w:u w:val="single"/>
        </w:rPr>
        <w:t>blister</w:t>
      </w:r>
      <w:r w:rsidR="007C3013">
        <w:rPr>
          <w:sz w:val="22"/>
          <w:szCs w:val="22"/>
          <w:u w:val="single"/>
        </w:rPr>
        <w:t xml:space="preserve"> </w:t>
      </w:r>
      <w:proofErr w:type="spellStart"/>
      <w:r w:rsidR="007C3013" w:rsidRPr="00446D10">
        <w:rPr>
          <w:sz w:val="22"/>
          <w:szCs w:val="22"/>
          <w:u w:val="single"/>
        </w:rPr>
        <w:t>a</w:t>
      </w:r>
      <w:r w:rsidR="001178F7">
        <w:rPr>
          <w:sz w:val="22"/>
          <w:szCs w:val="22"/>
          <w:u w:val="single"/>
        </w:rPr>
        <w:t>lebo</w:t>
      </w:r>
      <w:proofErr w:type="spellEnd"/>
      <w:r w:rsidR="007C3013" w:rsidRPr="001E029D">
        <w:rPr>
          <w:sz w:val="22"/>
          <w:szCs w:val="22"/>
          <w:u w:val="single"/>
          <w:lang w:val="sk-SK"/>
        </w:rPr>
        <w:t xml:space="preserve"> </w:t>
      </w:r>
      <w:proofErr w:type="spellStart"/>
      <w:r w:rsidR="007C3013" w:rsidRPr="001E029D">
        <w:rPr>
          <w:sz w:val="22"/>
          <w:szCs w:val="22"/>
          <w:u w:val="single"/>
        </w:rPr>
        <w:t>oPA</w:t>
      </w:r>
      <w:proofErr w:type="spellEnd"/>
      <w:r w:rsidR="007C3013" w:rsidRPr="001E029D">
        <w:rPr>
          <w:sz w:val="22"/>
          <w:szCs w:val="22"/>
          <w:u w:val="single"/>
        </w:rPr>
        <w:t>/Al/PVC – Al blister</w:t>
      </w:r>
      <w:r w:rsidRPr="00A368C6">
        <w:rPr>
          <w:sz w:val="22"/>
          <w:szCs w:val="22"/>
        </w:rPr>
        <w:t>:</w:t>
      </w:r>
    </w:p>
    <w:p w14:paraId="3A5FA1CB" w14:textId="77777777" w:rsidR="00446D10" w:rsidRDefault="007C3013">
      <w:pPr>
        <w:rPr>
          <w:sz w:val="22"/>
          <w:szCs w:val="22"/>
          <w:lang w:val="sk-SK"/>
        </w:rPr>
      </w:pPr>
      <w:r w:rsidRPr="001E029D">
        <w:rPr>
          <w:sz w:val="22"/>
          <w:szCs w:val="22"/>
          <w:lang w:val="sk-SK"/>
        </w:rPr>
        <w:t>7</w:t>
      </w:r>
      <w:r w:rsidR="002F09D1">
        <w:rPr>
          <w:sz w:val="22"/>
          <w:szCs w:val="22"/>
          <w:lang w:val="sk-SK"/>
        </w:rPr>
        <w:t xml:space="preserve"> </w:t>
      </w:r>
      <w:r w:rsidR="002F09D1" w:rsidRPr="00001777">
        <w:rPr>
          <w:sz w:val="22"/>
          <w:szCs w:val="22"/>
          <w:lang w:val="sk-SK"/>
        </w:rPr>
        <w:t>kapsúl</w:t>
      </w:r>
      <w:r w:rsidRPr="001E029D">
        <w:rPr>
          <w:sz w:val="22"/>
          <w:szCs w:val="22"/>
          <w:lang w:val="sk-SK"/>
        </w:rPr>
        <w:t xml:space="preserve"> (1 </w:t>
      </w:r>
      <w:proofErr w:type="spellStart"/>
      <w:r w:rsidRPr="001E029D">
        <w:rPr>
          <w:sz w:val="22"/>
          <w:szCs w:val="22"/>
          <w:lang w:val="sk-SK"/>
        </w:rPr>
        <w:t>blister</w:t>
      </w:r>
      <w:proofErr w:type="spellEnd"/>
      <w:r w:rsidRPr="001E029D">
        <w:rPr>
          <w:sz w:val="22"/>
          <w:szCs w:val="22"/>
          <w:lang w:val="sk-SK"/>
        </w:rPr>
        <w:t xml:space="preserve"> so 7 kapsulami)</w:t>
      </w:r>
    </w:p>
    <w:p w14:paraId="7398CB56" w14:textId="61302DA3" w:rsidR="00446D10" w:rsidRDefault="007C3013">
      <w:pPr>
        <w:rPr>
          <w:sz w:val="22"/>
          <w:szCs w:val="22"/>
          <w:lang w:val="sk-SK"/>
        </w:rPr>
      </w:pPr>
      <w:r w:rsidRPr="001E029D">
        <w:rPr>
          <w:sz w:val="22"/>
          <w:szCs w:val="22"/>
          <w:lang w:val="sk-SK"/>
        </w:rPr>
        <w:t xml:space="preserve">14 kapsúl (1 </w:t>
      </w:r>
      <w:proofErr w:type="spellStart"/>
      <w:r w:rsidRPr="001E029D">
        <w:rPr>
          <w:sz w:val="22"/>
          <w:szCs w:val="22"/>
          <w:lang w:val="sk-SK"/>
        </w:rPr>
        <w:t>blister</w:t>
      </w:r>
      <w:proofErr w:type="spellEnd"/>
      <w:r w:rsidRPr="001E029D">
        <w:rPr>
          <w:sz w:val="22"/>
          <w:szCs w:val="22"/>
          <w:lang w:val="sk-SK"/>
        </w:rPr>
        <w:t xml:space="preserve"> </w:t>
      </w:r>
      <w:r w:rsidR="002D2E9B">
        <w:rPr>
          <w:sz w:val="22"/>
          <w:szCs w:val="22"/>
          <w:lang w:val="sk-SK"/>
        </w:rPr>
        <w:t>so</w:t>
      </w:r>
      <w:r w:rsidRPr="001E029D">
        <w:rPr>
          <w:sz w:val="22"/>
          <w:szCs w:val="22"/>
          <w:lang w:val="sk-SK"/>
        </w:rPr>
        <w:t xml:space="preserve"> 14 </w:t>
      </w:r>
      <w:r w:rsidR="002D2E9B">
        <w:rPr>
          <w:sz w:val="22"/>
          <w:szCs w:val="22"/>
          <w:lang w:val="sk-SK"/>
        </w:rPr>
        <w:t>k</w:t>
      </w:r>
      <w:r w:rsidRPr="001E029D">
        <w:rPr>
          <w:sz w:val="22"/>
          <w:szCs w:val="22"/>
          <w:lang w:val="sk-SK"/>
        </w:rPr>
        <w:t>apsul</w:t>
      </w:r>
      <w:r w:rsidR="002D2E9B">
        <w:rPr>
          <w:sz w:val="22"/>
          <w:szCs w:val="22"/>
          <w:lang w:val="sk-SK"/>
        </w:rPr>
        <w:t xml:space="preserve">ami, 2 </w:t>
      </w:r>
      <w:proofErr w:type="spellStart"/>
      <w:r w:rsidR="002D2E9B">
        <w:rPr>
          <w:sz w:val="22"/>
          <w:szCs w:val="22"/>
          <w:lang w:val="sk-SK"/>
        </w:rPr>
        <w:t>blist</w:t>
      </w:r>
      <w:r w:rsidR="002D2E9B" w:rsidRPr="002D2E9B">
        <w:rPr>
          <w:sz w:val="22"/>
          <w:szCs w:val="22"/>
          <w:lang w:val="sk-SK"/>
        </w:rPr>
        <w:t>r</w:t>
      </w:r>
      <w:r w:rsidR="002D2E9B">
        <w:rPr>
          <w:sz w:val="22"/>
          <w:szCs w:val="22"/>
          <w:lang w:val="sk-SK"/>
        </w:rPr>
        <w:t>e</w:t>
      </w:r>
      <w:proofErr w:type="spellEnd"/>
      <w:r w:rsidRPr="001E029D">
        <w:rPr>
          <w:sz w:val="22"/>
          <w:szCs w:val="22"/>
          <w:lang w:val="sk-SK"/>
        </w:rPr>
        <w:t xml:space="preserve"> </w:t>
      </w:r>
      <w:r w:rsidR="002F09D1">
        <w:rPr>
          <w:sz w:val="22"/>
          <w:szCs w:val="22"/>
          <w:lang w:val="sk-SK"/>
        </w:rPr>
        <w:t xml:space="preserve">– každý </w:t>
      </w:r>
      <w:r w:rsidR="002D2E9B">
        <w:rPr>
          <w:sz w:val="22"/>
          <w:szCs w:val="22"/>
          <w:lang w:val="sk-SK"/>
        </w:rPr>
        <w:t>so</w:t>
      </w:r>
      <w:r w:rsidRPr="001E029D">
        <w:rPr>
          <w:sz w:val="22"/>
          <w:szCs w:val="22"/>
          <w:lang w:val="sk-SK"/>
        </w:rPr>
        <w:t xml:space="preserve"> 7 </w:t>
      </w:r>
      <w:r w:rsidR="002D2E9B">
        <w:rPr>
          <w:sz w:val="22"/>
          <w:szCs w:val="22"/>
          <w:lang w:val="sk-SK"/>
        </w:rPr>
        <w:t>k</w:t>
      </w:r>
      <w:r w:rsidRPr="001E029D">
        <w:rPr>
          <w:sz w:val="22"/>
          <w:szCs w:val="22"/>
          <w:lang w:val="sk-SK"/>
        </w:rPr>
        <w:t>apsul</w:t>
      </w:r>
      <w:r w:rsidR="002D2E9B">
        <w:rPr>
          <w:sz w:val="22"/>
          <w:szCs w:val="22"/>
          <w:lang w:val="sk-SK"/>
        </w:rPr>
        <w:t>ami</w:t>
      </w:r>
      <w:r w:rsidR="002D2E9B" w:rsidRPr="002D2E9B">
        <w:rPr>
          <w:sz w:val="22"/>
          <w:szCs w:val="22"/>
          <w:lang w:val="sk-SK"/>
        </w:rPr>
        <w:t>)</w:t>
      </w:r>
    </w:p>
    <w:p w14:paraId="4CF1C76C" w14:textId="1053A514" w:rsidR="00446D10" w:rsidRDefault="002D2E9B">
      <w:pPr>
        <w:rPr>
          <w:sz w:val="22"/>
          <w:szCs w:val="22"/>
          <w:lang w:val="sk-SK"/>
        </w:rPr>
      </w:pPr>
      <w:r w:rsidRPr="002D2E9B">
        <w:rPr>
          <w:sz w:val="22"/>
          <w:szCs w:val="22"/>
          <w:lang w:val="sk-SK"/>
        </w:rPr>
        <w:t xml:space="preserve">28 </w:t>
      </w:r>
      <w:r>
        <w:rPr>
          <w:sz w:val="22"/>
          <w:szCs w:val="22"/>
          <w:lang w:val="sk-SK"/>
        </w:rPr>
        <w:t>k</w:t>
      </w:r>
      <w:r w:rsidR="007C3013" w:rsidRPr="001E029D">
        <w:rPr>
          <w:sz w:val="22"/>
          <w:szCs w:val="22"/>
          <w:lang w:val="sk-SK"/>
        </w:rPr>
        <w:t>aps</w:t>
      </w:r>
      <w:r>
        <w:rPr>
          <w:sz w:val="22"/>
          <w:szCs w:val="22"/>
          <w:lang w:val="sk-SK"/>
        </w:rPr>
        <w:t>ú</w:t>
      </w:r>
      <w:r w:rsidR="007C3013" w:rsidRPr="001E029D">
        <w:rPr>
          <w:sz w:val="22"/>
          <w:szCs w:val="22"/>
          <w:lang w:val="sk-SK"/>
        </w:rPr>
        <w:t>l</w:t>
      </w:r>
      <w:r>
        <w:rPr>
          <w:sz w:val="22"/>
          <w:szCs w:val="22"/>
          <w:lang w:val="sk-SK"/>
        </w:rPr>
        <w:t xml:space="preserve"> (4 </w:t>
      </w:r>
      <w:proofErr w:type="spellStart"/>
      <w:r>
        <w:rPr>
          <w:sz w:val="22"/>
          <w:szCs w:val="22"/>
          <w:lang w:val="sk-SK"/>
        </w:rPr>
        <w:t>blist</w:t>
      </w:r>
      <w:r w:rsidRPr="002D2E9B">
        <w:rPr>
          <w:sz w:val="22"/>
          <w:szCs w:val="22"/>
          <w:lang w:val="sk-SK"/>
        </w:rPr>
        <w:t>r</w:t>
      </w:r>
      <w:r>
        <w:rPr>
          <w:sz w:val="22"/>
          <w:szCs w:val="22"/>
          <w:lang w:val="sk-SK"/>
        </w:rPr>
        <w:t>e</w:t>
      </w:r>
      <w:proofErr w:type="spellEnd"/>
      <w:r w:rsidR="007C3013" w:rsidRPr="001E029D">
        <w:rPr>
          <w:sz w:val="22"/>
          <w:szCs w:val="22"/>
          <w:lang w:val="sk-SK"/>
        </w:rPr>
        <w:t xml:space="preserve"> </w:t>
      </w:r>
      <w:r w:rsidR="002F09D1">
        <w:rPr>
          <w:sz w:val="22"/>
          <w:szCs w:val="22"/>
          <w:lang w:val="sk-SK"/>
        </w:rPr>
        <w:t xml:space="preserve">– každý </w:t>
      </w:r>
      <w:r>
        <w:rPr>
          <w:sz w:val="22"/>
          <w:szCs w:val="22"/>
          <w:lang w:val="sk-SK"/>
        </w:rPr>
        <w:t>so</w:t>
      </w:r>
      <w:r w:rsidR="007C3013" w:rsidRPr="001E029D">
        <w:rPr>
          <w:sz w:val="22"/>
          <w:szCs w:val="22"/>
          <w:lang w:val="sk-SK"/>
        </w:rPr>
        <w:t xml:space="preserve"> 7 </w:t>
      </w:r>
      <w:r>
        <w:rPr>
          <w:sz w:val="22"/>
          <w:szCs w:val="22"/>
          <w:lang w:val="sk-SK"/>
        </w:rPr>
        <w:t>k</w:t>
      </w:r>
      <w:r w:rsidR="007C3013" w:rsidRPr="001E029D">
        <w:rPr>
          <w:sz w:val="22"/>
          <w:szCs w:val="22"/>
          <w:lang w:val="sk-SK"/>
        </w:rPr>
        <w:t>apsul</w:t>
      </w:r>
      <w:r>
        <w:rPr>
          <w:sz w:val="22"/>
          <w:szCs w:val="22"/>
          <w:lang w:val="sk-SK"/>
        </w:rPr>
        <w:t>ami</w:t>
      </w:r>
      <w:r w:rsidR="007C3013" w:rsidRPr="001E029D">
        <w:rPr>
          <w:sz w:val="22"/>
          <w:szCs w:val="22"/>
          <w:lang w:val="sk-SK"/>
        </w:rPr>
        <w:t xml:space="preserve">, 2 </w:t>
      </w:r>
      <w:proofErr w:type="spellStart"/>
      <w:r w:rsidR="007C3013" w:rsidRPr="001E029D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e</w:t>
      </w:r>
      <w:proofErr w:type="spellEnd"/>
      <w:r w:rsidRPr="002D2E9B">
        <w:rPr>
          <w:sz w:val="22"/>
          <w:szCs w:val="22"/>
          <w:lang w:val="sk-SK"/>
        </w:rPr>
        <w:t xml:space="preserve"> </w:t>
      </w:r>
      <w:r w:rsidR="002F09D1">
        <w:rPr>
          <w:sz w:val="22"/>
          <w:szCs w:val="22"/>
          <w:lang w:val="sk-SK"/>
        </w:rPr>
        <w:t xml:space="preserve">– každý </w:t>
      </w:r>
      <w:r>
        <w:rPr>
          <w:sz w:val="22"/>
          <w:szCs w:val="22"/>
          <w:lang w:val="sk-SK"/>
        </w:rPr>
        <w:t>so</w:t>
      </w:r>
      <w:r w:rsidR="007C3013" w:rsidRPr="001E029D">
        <w:rPr>
          <w:sz w:val="22"/>
          <w:szCs w:val="22"/>
          <w:lang w:val="sk-SK"/>
        </w:rPr>
        <w:t xml:space="preserve"> 14 </w:t>
      </w:r>
      <w:r>
        <w:rPr>
          <w:sz w:val="22"/>
          <w:szCs w:val="22"/>
          <w:lang w:val="sk-SK"/>
        </w:rPr>
        <w:t>k</w:t>
      </w:r>
      <w:r w:rsidR="007C3013" w:rsidRPr="001E029D">
        <w:rPr>
          <w:sz w:val="22"/>
          <w:szCs w:val="22"/>
          <w:lang w:val="sk-SK"/>
        </w:rPr>
        <w:t>apsul</w:t>
      </w:r>
      <w:r>
        <w:rPr>
          <w:sz w:val="22"/>
          <w:szCs w:val="22"/>
          <w:lang w:val="sk-SK"/>
        </w:rPr>
        <w:t>ami</w:t>
      </w:r>
      <w:r w:rsidR="007C3013" w:rsidRPr="001E029D">
        <w:rPr>
          <w:sz w:val="22"/>
          <w:szCs w:val="22"/>
          <w:lang w:val="sk-SK"/>
        </w:rPr>
        <w:t>)</w:t>
      </w:r>
    </w:p>
    <w:p w14:paraId="0D6DAA9D" w14:textId="739BCF96" w:rsidR="007C3013" w:rsidRPr="007C3013" w:rsidRDefault="007C3013">
      <w:pPr>
        <w:rPr>
          <w:sz w:val="22"/>
          <w:szCs w:val="22"/>
          <w:lang w:val="sk-SK"/>
        </w:rPr>
      </w:pPr>
      <w:r w:rsidRPr="001E029D">
        <w:rPr>
          <w:sz w:val="22"/>
          <w:szCs w:val="22"/>
          <w:lang w:val="sk-SK"/>
        </w:rPr>
        <w:t xml:space="preserve">56 </w:t>
      </w:r>
      <w:r w:rsidR="002D2E9B">
        <w:rPr>
          <w:sz w:val="22"/>
          <w:szCs w:val="22"/>
          <w:lang w:val="sk-SK"/>
        </w:rPr>
        <w:t>k</w:t>
      </w:r>
      <w:r w:rsidRPr="001E029D">
        <w:rPr>
          <w:sz w:val="22"/>
          <w:szCs w:val="22"/>
          <w:lang w:val="sk-SK"/>
        </w:rPr>
        <w:t>aps</w:t>
      </w:r>
      <w:r w:rsidR="002D2E9B">
        <w:rPr>
          <w:sz w:val="22"/>
          <w:szCs w:val="22"/>
          <w:lang w:val="sk-SK"/>
        </w:rPr>
        <w:t>ú</w:t>
      </w:r>
      <w:r w:rsidRPr="001E029D">
        <w:rPr>
          <w:sz w:val="22"/>
          <w:szCs w:val="22"/>
          <w:lang w:val="sk-SK"/>
        </w:rPr>
        <w:t xml:space="preserve">l (4 </w:t>
      </w:r>
      <w:proofErr w:type="spellStart"/>
      <w:r w:rsidRPr="001E029D">
        <w:rPr>
          <w:sz w:val="22"/>
          <w:szCs w:val="22"/>
          <w:lang w:val="sk-SK"/>
        </w:rPr>
        <w:t>blistr</w:t>
      </w:r>
      <w:r w:rsidR="002D2E9B">
        <w:rPr>
          <w:sz w:val="22"/>
          <w:szCs w:val="22"/>
          <w:lang w:val="sk-SK"/>
        </w:rPr>
        <w:t>e</w:t>
      </w:r>
      <w:proofErr w:type="spellEnd"/>
      <w:r w:rsidRPr="001E029D">
        <w:rPr>
          <w:sz w:val="22"/>
          <w:szCs w:val="22"/>
          <w:lang w:val="sk-SK"/>
        </w:rPr>
        <w:t xml:space="preserve"> </w:t>
      </w:r>
      <w:r w:rsidR="00AA31AA">
        <w:rPr>
          <w:sz w:val="22"/>
          <w:szCs w:val="22"/>
          <w:lang w:val="sk-SK"/>
        </w:rPr>
        <w:t xml:space="preserve">– každý </w:t>
      </w:r>
      <w:r w:rsidR="002D2E9B">
        <w:rPr>
          <w:sz w:val="22"/>
          <w:szCs w:val="22"/>
          <w:lang w:val="sk-SK"/>
        </w:rPr>
        <w:t>so</w:t>
      </w:r>
      <w:r w:rsidRPr="001E029D">
        <w:rPr>
          <w:sz w:val="22"/>
          <w:szCs w:val="22"/>
          <w:lang w:val="sk-SK"/>
        </w:rPr>
        <w:t xml:space="preserve"> 14 </w:t>
      </w:r>
      <w:r w:rsidR="002D2E9B">
        <w:rPr>
          <w:sz w:val="22"/>
          <w:szCs w:val="22"/>
          <w:lang w:val="sk-SK"/>
        </w:rPr>
        <w:t>k</w:t>
      </w:r>
      <w:r w:rsidRPr="001E029D">
        <w:rPr>
          <w:sz w:val="22"/>
          <w:szCs w:val="22"/>
          <w:lang w:val="sk-SK"/>
        </w:rPr>
        <w:t>apsul</w:t>
      </w:r>
      <w:r w:rsidR="002D2E9B">
        <w:rPr>
          <w:sz w:val="22"/>
          <w:szCs w:val="22"/>
          <w:lang w:val="sk-SK"/>
        </w:rPr>
        <w:t>ami</w:t>
      </w:r>
      <w:r w:rsidRPr="001E029D">
        <w:rPr>
          <w:sz w:val="22"/>
          <w:szCs w:val="22"/>
          <w:lang w:val="sk-SK"/>
        </w:rPr>
        <w:t xml:space="preserve">, 8 </w:t>
      </w:r>
      <w:proofErr w:type="spellStart"/>
      <w:r w:rsidRPr="001E029D">
        <w:rPr>
          <w:sz w:val="22"/>
          <w:szCs w:val="22"/>
          <w:lang w:val="sk-SK"/>
        </w:rPr>
        <w:t>blistr</w:t>
      </w:r>
      <w:r w:rsidR="002D2E9B">
        <w:rPr>
          <w:sz w:val="22"/>
          <w:szCs w:val="22"/>
          <w:lang w:val="sk-SK"/>
        </w:rPr>
        <w:t>ov</w:t>
      </w:r>
      <w:proofErr w:type="spellEnd"/>
      <w:r w:rsidRPr="001E029D">
        <w:rPr>
          <w:sz w:val="22"/>
          <w:szCs w:val="22"/>
          <w:lang w:val="sk-SK"/>
        </w:rPr>
        <w:t xml:space="preserve"> </w:t>
      </w:r>
      <w:r w:rsidR="00AA31AA">
        <w:rPr>
          <w:sz w:val="22"/>
          <w:szCs w:val="22"/>
          <w:lang w:val="sk-SK"/>
        </w:rPr>
        <w:t xml:space="preserve">– každý </w:t>
      </w:r>
      <w:r w:rsidR="002D2E9B">
        <w:rPr>
          <w:sz w:val="22"/>
          <w:szCs w:val="22"/>
          <w:lang w:val="sk-SK"/>
        </w:rPr>
        <w:t>so</w:t>
      </w:r>
      <w:r w:rsidRPr="001E029D">
        <w:rPr>
          <w:sz w:val="22"/>
          <w:szCs w:val="22"/>
          <w:lang w:val="sk-SK"/>
        </w:rPr>
        <w:t xml:space="preserve"> 7 </w:t>
      </w:r>
      <w:r w:rsidR="002D2E9B">
        <w:rPr>
          <w:sz w:val="22"/>
          <w:szCs w:val="22"/>
          <w:lang w:val="sk-SK"/>
        </w:rPr>
        <w:t>k</w:t>
      </w:r>
      <w:r w:rsidRPr="001E029D">
        <w:rPr>
          <w:sz w:val="22"/>
          <w:szCs w:val="22"/>
          <w:lang w:val="sk-SK"/>
        </w:rPr>
        <w:t>apsul</w:t>
      </w:r>
      <w:r w:rsidR="002D2E9B">
        <w:rPr>
          <w:sz w:val="22"/>
          <w:szCs w:val="22"/>
          <w:lang w:val="sk-SK"/>
        </w:rPr>
        <w:t>ami</w:t>
      </w:r>
      <w:r w:rsidRPr="001E029D">
        <w:rPr>
          <w:sz w:val="22"/>
          <w:szCs w:val="22"/>
          <w:lang w:val="sk-SK"/>
        </w:rPr>
        <w:t>)</w:t>
      </w:r>
      <w:bookmarkStart w:id="0" w:name="_GoBack"/>
      <w:bookmarkEnd w:id="0"/>
    </w:p>
    <w:p w14:paraId="139A70AF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26E19290" w14:textId="0589B8E4" w:rsidR="00307071" w:rsidRPr="00A042E5" w:rsidRDefault="002A4C03" w:rsidP="000D345C">
      <w:pPr>
        <w:suppressAutoHyphens/>
        <w:rPr>
          <w:sz w:val="22"/>
          <w:szCs w:val="22"/>
          <w:lang w:val="sk-SK" w:eastAsia="ar-SA"/>
        </w:rPr>
      </w:pPr>
      <w:r w:rsidRPr="00A368C6">
        <w:rPr>
          <w:sz w:val="22"/>
          <w:szCs w:val="22"/>
          <w:lang w:val="sk-SK"/>
        </w:rPr>
        <w:t>Na trh nemusia byť uvedené</w:t>
      </w:r>
      <w:r w:rsidRPr="00A368C6">
        <w:rPr>
          <w:noProof/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>všetky veľkosti balenia.</w:t>
      </w:r>
    </w:p>
    <w:p w14:paraId="36C05F80" w14:textId="77777777" w:rsidR="00307071" w:rsidRPr="00A042E5" w:rsidRDefault="00307071">
      <w:pPr>
        <w:rPr>
          <w:sz w:val="22"/>
          <w:szCs w:val="22"/>
          <w:lang w:val="sk-SK"/>
        </w:rPr>
      </w:pPr>
    </w:p>
    <w:p w14:paraId="0D1C8C64" w14:textId="4BB237E9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6.6</w:t>
      </w:r>
      <w:r w:rsidRPr="00A042E5">
        <w:rPr>
          <w:b/>
          <w:sz w:val="22"/>
          <w:szCs w:val="22"/>
          <w:lang w:val="sk-SK" w:eastAsia="ar-SA"/>
        </w:rPr>
        <w:tab/>
        <w:t xml:space="preserve">Špeciálne opatrenia na </w:t>
      </w:r>
      <w:r w:rsidRPr="00AF678B">
        <w:rPr>
          <w:b/>
          <w:sz w:val="22"/>
          <w:szCs w:val="22"/>
          <w:lang w:val="sk-SK" w:eastAsia="ar-SA"/>
        </w:rPr>
        <w:t>likvidáciu</w:t>
      </w:r>
      <w:r w:rsidR="00AF678B" w:rsidRPr="00AF678B">
        <w:rPr>
          <w:b/>
          <w:sz w:val="22"/>
          <w:szCs w:val="22"/>
          <w:lang w:val="sk-SK" w:eastAsia="ar-SA"/>
        </w:rPr>
        <w:t xml:space="preserve"> </w:t>
      </w:r>
      <w:r w:rsidR="00AF678B" w:rsidRPr="00A368C6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1B429878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7C954704" w14:textId="34BB8554" w:rsidR="00AF678B" w:rsidRPr="00A368C6" w:rsidRDefault="00AF678B" w:rsidP="00AF678B">
      <w:pPr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05D25A9E" w14:textId="77777777" w:rsidR="00AF678B" w:rsidRDefault="00AF678B" w:rsidP="00AF678B">
      <w:pPr>
        <w:rPr>
          <w:sz w:val="22"/>
          <w:szCs w:val="22"/>
          <w:lang w:val="sk-SK"/>
        </w:rPr>
      </w:pPr>
    </w:p>
    <w:p w14:paraId="74A17595" w14:textId="1A1B4AA5" w:rsidR="002D2E9B" w:rsidRPr="00A368C6" w:rsidRDefault="002D2E9B" w:rsidP="00AF678B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 xml:space="preserve">Pre HDPE </w:t>
      </w:r>
      <w:r w:rsidRPr="00B26A87">
        <w:rPr>
          <w:sz w:val="22"/>
          <w:szCs w:val="22"/>
          <w:u w:val="single"/>
          <w:lang w:val="sk-SK"/>
        </w:rPr>
        <w:t>fľašku s detským bezpečnostným otváraním</w:t>
      </w:r>
      <w:r w:rsidRPr="00A368C6">
        <w:rPr>
          <w:sz w:val="22"/>
          <w:szCs w:val="22"/>
          <w:lang w:val="sk-SK"/>
        </w:rPr>
        <w:t>:</w:t>
      </w:r>
    </w:p>
    <w:p w14:paraId="64DFF9A6" w14:textId="18F6AEA0" w:rsidR="00307071" w:rsidRPr="00A042E5" w:rsidRDefault="00AF678B" w:rsidP="00AF678B">
      <w:pPr>
        <w:suppressAutoHyphens/>
        <w:rPr>
          <w:sz w:val="22"/>
          <w:szCs w:val="22"/>
          <w:lang w:val="sk-SK" w:eastAsia="ar-SA"/>
        </w:rPr>
      </w:pPr>
      <w:r>
        <w:rPr>
          <w:sz w:val="22"/>
          <w:szCs w:val="22"/>
          <w:lang w:val="sk-SK" w:eastAsia="ar-SA"/>
        </w:rPr>
        <w:t xml:space="preserve">Fľašku otvorte zatlačením </w:t>
      </w:r>
      <w:r w:rsidR="00924EBD" w:rsidRPr="009D2A9A">
        <w:rPr>
          <w:sz w:val="22"/>
          <w:szCs w:val="22"/>
          <w:lang w:val="sk-SK"/>
        </w:rPr>
        <w:t>detsk</w:t>
      </w:r>
      <w:r w:rsidR="00924EBD">
        <w:rPr>
          <w:sz w:val="22"/>
          <w:szCs w:val="22"/>
          <w:lang w:val="sk-SK"/>
        </w:rPr>
        <w:t>ého</w:t>
      </w:r>
      <w:r w:rsidR="00924EBD" w:rsidRPr="009D2A9A">
        <w:rPr>
          <w:sz w:val="22"/>
          <w:szCs w:val="22"/>
          <w:lang w:val="sk-SK"/>
        </w:rPr>
        <w:t xml:space="preserve"> bezpečnostn</w:t>
      </w:r>
      <w:r w:rsidR="00924EBD">
        <w:rPr>
          <w:sz w:val="22"/>
          <w:szCs w:val="22"/>
          <w:lang w:val="sk-SK"/>
        </w:rPr>
        <w:t>ého</w:t>
      </w:r>
      <w:r w:rsidR="00924EBD" w:rsidRPr="009D2A9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 w:eastAsia="ar-SA"/>
        </w:rPr>
        <w:t>uzáveru smerom nadol a otočením proti smeru hodinových ručičiek.</w:t>
      </w:r>
    </w:p>
    <w:p w14:paraId="7F794F22" w14:textId="77777777" w:rsidR="00307071" w:rsidRPr="00A042E5" w:rsidRDefault="00307071">
      <w:pPr>
        <w:rPr>
          <w:sz w:val="22"/>
          <w:szCs w:val="22"/>
          <w:lang w:val="sk-SK"/>
        </w:rPr>
      </w:pPr>
    </w:p>
    <w:p w14:paraId="6BDDD8E4" w14:textId="77777777" w:rsidR="00307071" w:rsidRPr="00A368C6" w:rsidRDefault="00307071">
      <w:pPr>
        <w:rPr>
          <w:bCs/>
          <w:iCs/>
          <w:caps/>
          <w:sz w:val="22"/>
          <w:szCs w:val="22"/>
          <w:lang w:val="sk-SK"/>
        </w:rPr>
      </w:pPr>
    </w:p>
    <w:p w14:paraId="38D68150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7.</w:t>
      </w:r>
      <w:r w:rsidRPr="00A042E5">
        <w:rPr>
          <w:b/>
          <w:sz w:val="22"/>
          <w:szCs w:val="22"/>
          <w:lang w:val="sk-SK" w:eastAsia="ar-SA"/>
        </w:rPr>
        <w:tab/>
        <w:t>DRŽITEĽ ROZHODNUTIA O REGISTRÁCII</w:t>
      </w:r>
    </w:p>
    <w:p w14:paraId="182BB5DA" w14:textId="77777777" w:rsidR="00307071" w:rsidRPr="00A042E5" w:rsidRDefault="00307071">
      <w:pPr>
        <w:rPr>
          <w:sz w:val="22"/>
          <w:szCs w:val="22"/>
          <w:lang w:val="sk-SK"/>
        </w:rPr>
      </w:pPr>
    </w:p>
    <w:p w14:paraId="5FEC333A" w14:textId="4A95F210" w:rsidR="002A4C03" w:rsidRDefault="0030707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Zentiva</w:t>
      </w:r>
      <w:proofErr w:type="spellEnd"/>
      <w:r w:rsidRPr="00A042E5">
        <w:rPr>
          <w:sz w:val="22"/>
          <w:szCs w:val="22"/>
          <w:lang w:val="sk-SK" w:eastAsia="sk-SK"/>
        </w:rPr>
        <w:t xml:space="preserve">, </w:t>
      </w:r>
      <w:proofErr w:type="spellStart"/>
      <w:r w:rsidRPr="00A042E5">
        <w:rPr>
          <w:sz w:val="22"/>
          <w:szCs w:val="22"/>
          <w:lang w:val="sk-SK" w:eastAsia="sk-SK"/>
        </w:rPr>
        <w:t>k.s</w:t>
      </w:r>
      <w:proofErr w:type="spellEnd"/>
      <w:r w:rsidRPr="00A042E5">
        <w:rPr>
          <w:sz w:val="22"/>
          <w:szCs w:val="22"/>
          <w:lang w:val="sk-SK" w:eastAsia="sk-SK"/>
        </w:rPr>
        <w:t>.</w:t>
      </w:r>
    </w:p>
    <w:p w14:paraId="03761968" w14:textId="3C99D0B1" w:rsidR="002A4C03" w:rsidRDefault="00226EC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 </w:t>
      </w:r>
      <w:proofErr w:type="spellStart"/>
      <w:r w:rsidRPr="00A042E5">
        <w:rPr>
          <w:sz w:val="22"/>
          <w:szCs w:val="22"/>
          <w:lang w:val="sk-SK" w:eastAsia="sk-SK"/>
        </w:rPr>
        <w:t>kabelovny</w:t>
      </w:r>
      <w:proofErr w:type="spellEnd"/>
      <w:r w:rsidRPr="00A042E5">
        <w:rPr>
          <w:sz w:val="22"/>
          <w:szCs w:val="22"/>
          <w:lang w:val="sk-SK" w:eastAsia="sk-SK"/>
        </w:rPr>
        <w:t xml:space="preserve"> 130</w:t>
      </w:r>
    </w:p>
    <w:p w14:paraId="64B95C62" w14:textId="73E7EA38" w:rsidR="002A4C03" w:rsidRDefault="00226EC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102 37 </w:t>
      </w:r>
      <w:r w:rsidR="00307071" w:rsidRPr="00A042E5">
        <w:rPr>
          <w:sz w:val="22"/>
          <w:szCs w:val="22"/>
          <w:lang w:val="sk-SK" w:eastAsia="sk-SK"/>
        </w:rPr>
        <w:t>Praha</w:t>
      </w:r>
      <w:r w:rsidR="002A4C03">
        <w:rPr>
          <w:sz w:val="22"/>
          <w:szCs w:val="22"/>
          <w:lang w:val="sk-SK" w:eastAsia="sk-SK"/>
        </w:rPr>
        <w:t xml:space="preserve"> 10 – Dolní </w:t>
      </w:r>
      <w:proofErr w:type="spellStart"/>
      <w:r w:rsidR="002A4C03">
        <w:rPr>
          <w:sz w:val="22"/>
          <w:szCs w:val="22"/>
          <w:lang w:val="sk-SK" w:eastAsia="sk-SK"/>
        </w:rPr>
        <w:t>Měcholupy</w:t>
      </w:r>
      <w:proofErr w:type="spellEnd"/>
    </w:p>
    <w:p w14:paraId="3619FEE2" w14:textId="77777777" w:rsidR="00307071" w:rsidRPr="00A042E5" w:rsidRDefault="0030707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Česká republika</w:t>
      </w:r>
    </w:p>
    <w:p w14:paraId="1E53F16E" w14:textId="77777777" w:rsidR="00307071" w:rsidRPr="00A042E5" w:rsidRDefault="00307071" w:rsidP="00A042E5">
      <w:pPr>
        <w:rPr>
          <w:sz w:val="22"/>
          <w:szCs w:val="22"/>
          <w:lang w:val="sk-SK"/>
        </w:rPr>
      </w:pPr>
    </w:p>
    <w:p w14:paraId="1561CDD3" w14:textId="77777777" w:rsidR="00307071" w:rsidRPr="00A042E5" w:rsidRDefault="00307071">
      <w:pPr>
        <w:rPr>
          <w:sz w:val="22"/>
          <w:szCs w:val="22"/>
          <w:lang w:val="sk-SK"/>
        </w:rPr>
      </w:pPr>
    </w:p>
    <w:p w14:paraId="6421C85B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8.</w:t>
      </w:r>
      <w:r w:rsidRPr="00A042E5">
        <w:rPr>
          <w:b/>
          <w:sz w:val="22"/>
          <w:szCs w:val="22"/>
          <w:lang w:val="sk-SK" w:eastAsia="ar-SA"/>
        </w:rPr>
        <w:tab/>
        <w:t>REGISTRAČNÉ ČÍSLO</w:t>
      </w:r>
    </w:p>
    <w:p w14:paraId="7F102771" w14:textId="77777777" w:rsidR="00307071" w:rsidRPr="00E56E4C" w:rsidRDefault="00307071">
      <w:pPr>
        <w:numPr>
          <w:ilvl w:val="12"/>
          <w:numId w:val="0"/>
        </w:numPr>
        <w:rPr>
          <w:sz w:val="22"/>
          <w:szCs w:val="22"/>
          <w:highlight w:val="lightGray"/>
          <w:lang w:val="sk-SK"/>
        </w:rPr>
      </w:pPr>
    </w:p>
    <w:p w14:paraId="29C618D5" w14:textId="77777777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09/0262/13-S</w:t>
      </w:r>
    </w:p>
    <w:p w14:paraId="2FB363BE" w14:textId="77777777" w:rsidR="00307071" w:rsidRPr="00A368C6" w:rsidRDefault="00307071">
      <w:pPr>
        <w:rPr>
          <w:sz w:val="22"/>
          <w:szCs w:val="22"/>
          <w:lang w:val="sk-SK"/>
        </w:rPr>
      </w:pPr>
    </w:p>
    <w:p w14:paraId="10064AFD" w14:textId="77777777" w:rsidR="00667004" w:rsidRPr="00A368C6" w:rsidRDefault="00667004">
      <w:pPr>
        <w:rPr>
          <w:sz w:val="22"/>
          <w:szCs w:val="22"/>
          <w:lang w:val="sk-SK"/>
        </w:rPr>
      </w:pPr>
    </w:p>
    <w:p w14:paraId="5C779304" w14:textId="757423A8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9.</w:t>
      </w:r>
      <w:r w:rsidRPr="00A042E5">
        <w:rPr>
          <w:b/>
          <w:sz w:val="22"/>
          <w:szCs w:val="22"/>
          <w:lang w:val="sk-SK" w:eastAsia="ar-SA"/>
        </w:rPr>
        <w:tab/>
        <w:t>DÁTUM PRVEJ REGISTRÁCIE/PREDĹŽENIA REGISTRÁCIE</w:t>
      </w:r>
    </w:p>
    <w:p w14:paraId="724FE8C0" w14:textId="77777777" w:rsidR="00307071" w:rsidRPr="00E56E4C" w:rsidRDefault="00307071">
      <w:pPr>
        <w:numPr>
          <w:ilvl w:val="12"/>
          <w:numId w:val="0"/>
        </w:numPr>
        <w:rPr>
          <w:sz w:val="22"/>
          <w:szCs w:val="22"/>
          <w:highlight w:val="lightGray"/>
          <w:lang w:val="sk-SK"/>
        </w:rPr>
      </w:pPr>
    </w:p>
    <w:p w14:paraId="7EA107F4" w14:textId="231150F8" w:rsidR="00307071" w:rsidRDefault="00307071">
      <w:pPr>
        <w:rPr>
          <w:noProof/>
          <w:sz w:val="22"/>
          <w:szCs w:val="22"/>
          <w:lang w:val="sk-SK"/>
        </w:rPr>
      </w:pPr>
      <w:r w:rsidRPr="000D345C">
        <w:rPr>
          <w:noProof/>
          <w:sz w:val="22"/>
          <w:szCs w:val="22"/>
          <w:lang w:val="sk-SK"/>
        </w:rPr>
        <w:t>Dátum prvej registrácie: 28.</w:t>
      </w:r>
      <w:r w:rsidR="00667004">
        <w:rPr>
          <w:noProof/>
          <w:sz w:val="22"/>
          <w:szCs w:val="22"/>
          <w:lang w:val="sk-SK"/>
        </w:rPr>
        <w:t xml:space="preserve"> jún</w:t>
      </w:r>
      <w:r w:rsidR="00B143C5">
        <w:rPr>
          <w:noProof/>
          <w:sz w:val="22"/>
          <w:szCs w:val="22"/>
          <w:lang w:val="sk-SK"/>
        </w:rPr>
        <w:t>a</w:t>
      </w:r>
      <w:r w:rsidR="00667004">
        <w:rPr>
          <w:noProof/>
          <w:sz w:val="22"/>
          <w:szCs w:val="22"/>
          <w:lang w:val="sk-SK"/>
        </w:rPr>
        <w:t xml:space="preserve"> </w:t>
      </w:r>
      <w:r w:rsidRPr="000D345C">
        <w:rPr>
          <w:noProof/>
          <w:sz w:val="22"/>
          <w:szCs w:val="22"/>
          <w:lang w:val="sk-SK"/>
        </w:rPr>
        <w:t>2013</w:t>
      </w:r>
    </w:p>
    <w:p w14:paraId="2616AE09" w14:textId="026F3017" w:rsidR="00924EBD" w:rsidRPr="000D345C" w:rsidRDefault="00924EBD">
      <w:p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Dátum posledného predĺženia registrácie:</w:t>
      </w:r>
    </w:p>
    <w:p w14:paraId="02BB25BD" w14:textId="77777777" w:rsidR="00307071" w:rsidRPr="00A042E5" w:rsidRDefault="0030707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0A36E25" w14:textId="77777777" w:rsidR="00307071" w:rsidRPr="00A042E5" w:rsidRDefault="0030707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8C55AE8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lastRenderedPageBreak/>
        <w:t>10.</w:t>
      </w:r>
      <w:r w:rsidRPr="00A042E5">
        <w:rPr>
          <w:b/>
          <w:sz w:val="22"/>
          <w:szCs w:val="22"/>
          <w:lang w:val="sk-SK" w:eastAsia="ar-SA"/>
        </w:rPr>
        <w:tab/>
        <w:t>DÁTUM REVÍZIE TEXTU</w:t>
      </w:r>
    </w:p>
    <w:p w14:paraId="463D627A" w14:textId="77777777" w:rsidR="00307071" w:rsidRPr="00E56E4C" w:rsidRDefault="00307071">
      <w:pPr>
        <w:numPr>
          <w:ilvl w:val="12"/>
          <w:numId w:val="0"/>
        </w:numPr>
        <w:rPr>
          <w:sz w:val="22"/>
          <w:szCs w:val="22"/>
          <w:highlight w:val="lightGray"/>
          <w:lang w:val="sk-SK"/>
        </w:rPr>
      </w:pPr>
    </w:p>
    <w:p w14:paraId="3BF7C740" w14:textId="757C82F8" w:rsidR="00307071" w:rsidRPr="00A042E5" w:rsidRDefault="00B26A8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05/2019</w:t>
      </w:r>
    </w:p>
    <w:sectPr w:rsidR="00307071" w:rsidRPr="00A042E5" w:rsidSect="001E029D">
      <w:headerReference w:type="default" r:id="rId9"/>
      <w:footerReference w:type="default" r:id="rId10"/>
      <w:headerReference w:type="first" r:id="rId11"/>
      <w:pgSz w:w="11906" w:h="16838" w:code="9"/>
      <w:pgMar w:top="1391" w:right="1418" w:bottom="1134" w:left="1418" w:header="737" w:footer="73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7E62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4727" w14:textId="77777777" w:rsidR="00B26108" w:rsidRDefault="00B26108">
      <w:r>
        <w:separator/>
      </w:r>
    </w:p>
  </w:endnote>
  <w:endnote w:type="continuationSeparator" w:id="0">
    <w:p w14:paraId="719DDA39" w14:textId="77777777" w:rsidR="00B26108" w:rsidRDefault="00B26108">
      <w:r>
        <w:continuationSeparator/>
      </w:r>
    </w:p>
  </w:endnote>
  <w:endnote w:type="continuationNotice" w:id="1">
    <w:p w14:paraId="04CF1CF5" w14:textId="77777777" w:rsidR="00B26108" w:rsidRDefault="00B26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6B137" w14:textId="316174E5" w:rsidR="00241BE9" w:rsidRPr="00A368C6" w:rsidRDefault="00241BE9" w:rsidP="00A368C6">
    <w:pPr>
      <w:pStyle w:val="Pta"/>
      <w:jc w:val="center"/>
      <w:rPr>
        <w:sz w:val="18"/>
        <w:szCs w:val="18"/>
        <w:lang w:val="sk-SK"/>
      </w:rPr>
    </w:pPr>
    <w:r w:rsidRPr="001357B2">
      <w:rPr>
        <w:sz w:val="18"/>
        <w:szCs w:val="18"/>
      </w:rPr>
      <w:fldChar w:fldCharType="begin"/>
    </w:r>
    <w:r w:rsidRPr="001357B2">
      <w:rPr>
        <w:sz w:val="18"/>
        <w:szCs w:val="18"/>
      </w:rPr>
      <w:instrText>PAGE   \* MERGEFORMAT</w:instrText>
    </w:r>
    <w:r w:rsidRPr="001357B2">
      <w:rPr>
        <w:sz w:val="18"/>
        <w:szCs w:val="18"/>
      </w:rPr>
      <w:fldChar w:fldCharType="separate"/>
    </w:r>
    <w:r w:rsidR="00FE48E7" w:rsidRPr="00FE48E7">
      <w:rPr>
        <w:noProof/>
        <w:sz w:val="18"/>
        <w:szCs w:val="18"/>
        <w:lang w:val="sk-SK"/>
      </w:rPr>
      <w:t>14</w:t>
    </w:r>
    <w:r w:rsidRPr="001357B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8B702" w14:textId="77777777" w:rsidR="00B26108" w:rsidRDefault="00B26108">
      <w:r>
        <w:separator/>
      </w:r>
    </w:p>
  </w:footnote>
  <w:footnote w:type="continuationSeparator" w:id="0">
    <w:p w14:paraId="38C2E938" w14:textId="77777777" w:rsidR="00B26108" w:rsidRDefault="00B26108">
      <w:r>
        <w:continuationSeparator/>
      </w:r>
    </w:p>
  </w:footnote>
  <w:footnote w:type="continuationNotice" w:id="1">
    <w:p w14:paraId="665DFBA2" w14:textId="77777777" w:rsidR="00B26108" w:rsidRDefault="00B261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66D6" w14:textId="3276DF22" w:rsidR="00241BE9" w:rsidRPr="00A368C6" w:rsidRDefault="00241BE9" w:rsidP="00A368C6">
    <w:pPr>
      <w:rPr>
        <w:sz w:val="18"/>
        <w:szCs w:val="18"/>
      </w:rPr>
    </w:pPr>
    <w:r w:rsidRPr="001357B2">
      <w:rPr>
        <w:bCs/>
        <w:sz w:val="18"/>
        <w:szCs w:val="18"/>
        <w:lang w:val="sk-SK" w:eastAsia="sk-SK"/>
      </w:rPr>
      <w:t xml:space="preserve">Príloha č. </w:t>
    </w:r>
    <w:r w:rsidR="00446D10">
      <w:rPr>
        <w:bCs/>
        <w:sz w:val="18"/>
        <w:szCs w:val="18"/>
        <w:lang w:val="sk-SK" w:eastAsia="sk-SK"/>
      </w:rPr>
      <w:t>2</w:t>
    </w:r>
    <w:r w:rsidR="00446D10" w:rsidRPr="001357B2">
      <w:rPr>
        <w:bCs/>
        <w:sz w:val="18"/>
        <w:szCs w:val="18"/>
        <w:lang w:val="sk-SK" w:eastAsia="sk-SK"/>
      </w:rPr>
      <w:t xml:space="preserve"> </w:t>
    </w:r>
    <w:r w:rsidRPr="001357B2">
      <w:rPr>
        <w:bCs/>
        <w:sz w:val="18"/>
        <w:szCs w:val="18"/>
        <w:lang w:val="sk-SK" w:eastAsia="sk-SK"/>
      </w:rPr>
      <w:t xml:space="preserve">k notifikácii o zmene, ev. č.: </w:t>
    </w:r>
    <w:r>
      <w:rPr>
        <w:bCs/>
        <w:sz w:val="18"/>
        <w:szCs w:val="18"/>
        <w:lang w:val="sk-SK" w:eastAsia="sk-SK"/>
      </w:rPr>
      <w:t>2018/</w:t>
    </w:r>
    <w:r w:rsidRPr="007C4A17">
      <w:rPr>
        <w:bCs/>
        <w:sz w:val="18"/>
        <w:szCs w:val="18"/>
        <w:lang w:val="sk-SK" w:eastAsia="sk-SK"/>
      </w:rPr>
      <w:t>04130-Z1B</w:t>
    </w:r>
    <w:r>
      <w:rPr>
        <w:bCs/>
        <w:sz w:val="18"/>
        <w:szCs w:val="18"/>
        <w:lang w:val="sk-SK" w:eastAsia="sk-SK"/>
      </w:rPr>
      <w:t>, 2018/04132</w:t>
    </w:r>
    <w:r w:rsidRPr="007C4A17">
      <w:rPr>
        <w:bCs/>
        <w:sz w:val="18"/>
        <w:szCs w:val="18"/>
        <w:lang w:val="sk-SK" w:eastAsia="sk-SK"/>
      </w:rPr>
      <w:t>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88DB" w14:textId="548B82F0" w:rsidR="00241BE9" w:rsidRPr="00C91045" w:rsidRDefault="00241BE9" w:rsidP="008435F8">
    <w:pPr>
      <w:rPr>
        <w:sz w:val="18"/>
        <w:szCs w:val="18"/>
        <w:lang w:val="sk-SK" w:eastAsia="sk-SK"/>
      </w:rPr>
    </w:pPr>
    <w:r w:rsidRPr="008775BA">
      <w:rPr>
        <w:bCs/>
        <w:sz w:val="18"/>
        <w:szCs w:val="18"/>
        <w:lang w:val="sk-SK" w:eastAsia="sk-SK"/>
      </w:rPr>
      <w:t>Príloha č.1 k notifikácii o zmene, ev. č.: 2015/07162-Z1B</w:t>
    </w:r>
    <w:r>
      <w:rPr>
        <w:bCs/>
        <w:sz w:val="18"/>
        <w:szCs w:val="18"/>
        <w:lang w:val="sk-SK" w:eastAsia="sk-SK"/>
      </w:rPr>
      <w:t xml:space="preserve">, </w:t>
    </w:r>
    <w:r w:rsidRPr="00A368C6">
      <w:rPr>
        <w:bCs/>
        <w:sz w:val="18"/>
        <w:szCs w:val="18"/>
        <w:highlight w:val="yellow"/>
        <w:lang w:val="sk-SK" w:eastAsia="sk-SK"/>
      </w:rPr>
      <w:t>2016/05804-Z1A,</w:t>
    </w:r>
    <w:r>
      <w:rPr>
        <w:bCs/>
        <w:sz w:val="18"/>
        <w:szCs w:val="18"/>
        <w:lang w:val="sk-SK" w:eastAsia="sk-SK"/>
      </w:rPr>
      <w:t xml:space="preserve"> 2017/03025-Z1A</w:t>
    </w:r>
  </w:p>
  <w:p w14:paraId="3CDBF5F0" w14:textId="77777777" w:rsidR="00241BE9" w:rsidRDefault="00241B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9F6EC2"/>
    <w:multiLevelType w:val="hybridMultilevel"/>
    <w:tmpl w:val="C41A9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7306C"/>
    <w:multiLevelType w:val="hybridMultilevel"/>
    <w:tmpl w:val="9FAE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30A25"/>
    <w:multiLevelType w:val="hybridMultilevel"/>
    <w:tmpl w:val="42226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7313F"/>
    <w:multiLevelType w:val="hybridMultilevel"/>
    <w:tmpl w:val="146A9E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62E93"/>
    <w:multiLevelType w:val="hybridMultilevel"/>
    <w:tmpl w:val="76762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2DCA9F0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D1EE0"/>
    <w:multiLevelType w:val="hybridMultilevel"/>
    <w:tmpl w:val="B8204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8167A"/>
    <w:multiLevelType w:val="hybridMultilevel"/>
    <w:tmpl w:val="D50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100C5"/>
    <w:multiLevelType w:val="hybridMultilevel"/>
    <w:tmpl w:val="EF24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37EAC"/>
    <w:multiLevelType w:val="hybridMultilevel"/>
    <w:tmpl w:val="468E2D24"/>
    <w:lvl w:ilvl="0" w:tplc="21B20E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1D1D2B54"/>
    <w:multiLevelType w:val="hybridMultilevel"/>
    <w:tmpl w:val="552E3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04354"/>
    <w:multiLevelType w:val="multilevel"/>
    <w:tmpl w:val="553C45F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1086282"/>
    <w:multiLevelType w:val="hybridMultilevel"/>
    <w:tmpl w:val="C23C2218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344DC"/>
    <w:multiLevelType w:val="hybridMultilevel"/>
    <w:tmpl w:val="78C47B12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25C4CF7"/>
    <w:multiLevelType w:val="multilevel"/>
    <w:tmpl w:val="E01E89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3400698"/>
    <w:multiLevelType w:val="hybridMultilevel"/>
    <w:tmpl w:val="6E1E0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3B7B"/>
    <w:multiLevelType w:val="hybridMultilevel"/>
    <w:tmpl w:val="C4C0B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41D7D"/>
    <w:multiLevelType w:val="hybridMultilevel"/>
    <w:tmpl w:val="562A1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17DA0"/>
    <w:multiLevelType w:val="hybridMultilevel"/>
    <w:tmpl w:val="79402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C5718"/>
    <w:multiLevelType w:val="singleLevel"/>
    <w:tmpl w:val="2CC8612C"/>
    <w:lvl w:ilvl="0">
      <w:start w:val="1"/>
      <w:numFmt w:val="decimal"/>
      <w:pStyle w:val="Nadpisgrafu"/>
      <w:lvlText w:val="Graf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1">
    <w:nsid w:val="32F81E3E"/>
    <w:multiLevelType w:val="singleLevel"/>
    <w:tmpl w:val="7C764A7C"/>
    <w:lvl w:ilvl="0">
      <w:start w:val="1"/>
      <w:numFmt w:val="decimal"/>
      <w:pStyle w:val="Nadpisobrzku"/>
      <w:lvlText w:val="Obrázek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2">
    <w:nsid w:val="34432FF0"/>
    <w:multiLevelType w:val="hybridMultilevel"/>
    <w:tmpl w:val="418C2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5437"/>
    <w:multiLevelType w:val="hybridMultilevel"/>
    <w:tmpl w:val="284C31F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1829BB"/>
    <w:multiLevelType w:val="hybridMultilevel"/>
    <w:tmpl w:val="96189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4C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C496D"/>
    <w:multiLevelType w:val="hybridMultilevel"/>
    <w:tmpl w:val="4764557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151FB5"/>
    <w:multiLevelType w:val="hybridMultilevel"/>
    <w:tmpl w:val="FD740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7014E"/>
    <w:multiLevelType w:val="multilevel"/>
    <w:tmpl w:val="68A87E2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2B841CF"/>
    <w:multiLevelType w:val="multilevel"/>
    <w:tmpl w:val="D13203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36E1387"/>
    <w:multiLevelType w:val="hybridMultilevel"/>
    <w:tmpl w:val="9344FB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090751"/>
    <w:multiLevelType w:val="hybridMultilevel"/>
    <w:tmpl w:val="51E2B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97E54"/>
    <w:multiLevelType w:val="singleLevel"/>
    <w:tmpl w:val="37C6F5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53104923"/>
    <w:multiLevelType w:val="hybridMultilevel"/>
    <w:tmpl w:val="03D2E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5409B"/>
    <w:multiLevelType w:val="hybridMultilevel"/>
    <w:tmpl w:val="9260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78C"/>
    <w:multiLevelType w:val="hybridMultilevel"/>
    <w:tmpl w:val="AAB2FD8A"/>
    <w:lvl w:ilvl="0" w:tplc="F48C5AB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AC29F2"/>
    <w:multiLevelType w:val="multilevel"/>
    <w:tmpl w:val="AB3CD0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69407927"/>
    <w:multiLevelType w:val="hybridMultilevel"/>
    <w:tmpl w:val="A25AE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64075"/>
    <w:multiLevelType w:val="hybridMultilevel"/>
    <w:tmpl w:val="F466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A2E69"/>
    <w:multiLevelType w:val="hybridMultilevel"/>
    <w:tmpl w:val="E29A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DA9A5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16914"/>
    <w:multiLevelType w:val="hybridMultilevel"/>
    <w:tmpl w:val="703C0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B2623"/>
    <w:multiLevelType w:val="hybridMultilevel"/>
    <w:tmpl w:val="F006A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45AA7"/>
    <w:multiLevelType w:val="hybridMultilevel"/>
    <w:tmpl w:val="67440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52B36"/>
    <w:multiLevelType w:val="singleLevel"/>
    <w:tmpl w:val="26EEBAB6"/>
    <w:lvl w:ilvl="0">
      <w:start w:val="1"/>
      <w:numFmt w:val="decimal"/>
      <w:pStyle w:val="Nadpistabulky"/>
      <w:lvlText w:val="Tabulka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num w:numId="1">
    <w:abstractNumId w:val="21"/>
  </w:num>
  <w:num w:numId="2">
    <w:abstractNumId w:val="42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38"/>
  </w:num>
  <w:num w:numId="7">
    <w:abstractNumId w:val="6"/>
  </w:num>
  <w:num w:numId="8">
    <w:abstractNumId w:val="26"/>
  </w:num>
  <w:num w:numId="9">
    <w:abstractNumId w:val="18"/>
  </w:num>
  <w:num w:numId="10">
    <w:abstractNumId w:val="9"/>
  </w:num>
  <w:num w:numId="11">
    <w:abstractNumId w:val="36"/>
  </w:num>
  <w:num w:numId="12">
    <w:abstractNumId w:val="24"/>
  </w:num>
  <w:num w:numId="13">
    <w:abstractNumId w:val="40"/>
  </w:num>
  <w:num w:numId="14">
    <w:abstractNumId w:val="11"/>
  </w:num>
  <w:num w:numId="15">
    <w:abstractNumId w:val="41"/>
  </w:num>
  <w:num w:numId="16">
    <w:abstractNumId w:val="22"/>
  </w:num>
  <w:num w:numId="17">
    <w:abstractNumId w:val="37"/>
  </w:num>
  <w:num w:numId="18">
    <w:abstractNumId w:val="7"/>
  </w:num>
  <w:num w:numId="19">
    <w:abstractNumId w:val="33"/>
  </w:num>
  <w:num w:numId="20">
    <w:abstractNumId w:val="17"/>
  </w:num>
  <w:num w:numId="21">
    <w:abstractNumId w:val="14"/>
  </w:num>
  <w:num w:numId="22">
    <w:abstractNumId w:val="3"/>
  </w:num>
  <w:num w:numId="23">
    <w:abstractNumId w:val="4"/>
  </w:num>
  <w:num w:numId="24">
    <w:abstractNumId w:val="2"/>
  </w:num>
  <w:num w:numId="25">
    <w:abstractNumId w:val="39"/>
  </w:num>
  <w:num w:numId="26">
    <w:abstractNumId w:val="8"/>
  </w:num>
  <w:num w:numId="27">
    <w:abstractNumId w:val="19"/>
  </w:num>
  <w:num w:numId="28">
    <w:abstractNumId w:val="23"/>
  </w:num>
  <w:num w:numId="29">
    <w:abstractNumId w:val="28"/>
  </w:num>
  <w:num w:numId="30">
    <w:abstractNumId w:val="15"/>
  </w:num>
  <w:num w:numId="31">
    <w:abstractNumId w:val="35"/>
  </w:num>
  <w:num w:numId="32">
    <w:abstractNumId w:val="34"/>
  </w:num>
  <w:num w:numId="33">
    <w:abstractNumId w:val="12"/>
  </w:num>
  <w:num w:numId="34">
    <w:abstractNumId w:val="27"/>
  </w:num>
  <w:num w:numId="35">
    <w:abstractNumId w:val="31"/>
  </w:num>
  <w:num w:numId="36">
    <w:abstractNumId w:val="13"/>
  </w:num>
  <w:num w:numId="37">
    <w:abstractNumId w:val="25"/>
  </w:num>
  <w:num w:numId="38">
    <w:abstractNumId w:val="16"/>
  </w:num>
  <w:num w:numId="39">
    <w:abstractNumId w:val="29"/>
  </w:num>
  <w:num w:numId="40">
    <w:abstractNumId w:val="32"/>
  </w:num>
  <w:num w:numId="41">
    <w:abstractNumId w:val="5"/>
  </w:num>
  <w:num w:numId="42">
    <w:abstractNumId w:val="1"/>
  </w:num>
  <w:num w:numId="43">
    <w:abstractNumId w:val="30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llingerová, Zdenka">
    <w15:presenceInfo w15:providerId="AD" w15:userId="S-1-5-21-1997520613-757588823-405340720-3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CC"/>
    <w:rsid w:val="00010631"/>
    <w:rsid w:val="00010944"/>
    <w:rsid w:val="00012257"/>
    <w:rsid w:val="00012A2A"/>
    <w:rsid w:val="00041325"/>
    <w:rsid w:val="000446CC"/>
    <w:rsid w:val="0004772C"/>
    <w:rsid w:val="000616A3"/>
    <w:rsid w:val="00065418"/>
    <w:rsid w:val="00073E1F"/>
    <w:rsid w:val="000747C8"/>
    <w:rsid w:val="00077437"/>
    <w:rsid w:val="00080652"/>
    <w:rsid w:val="000975CB"/>
    <w:rsid w:val="000A7098"/>
    <w:rsid w:val="000B1733"/>
    <w:rsid w:val="000C783D"/>
    <w:rsid w:val="000D2A2C"/>
    <w:rsid w:val="000D345C"/>
    <w:rsid w:val="000D6D88"/>
    <w:rsid w:val="000E575B"/>
    <w:rsid w:val="00105F17"/>
    <w:rsid w:val="001109B3"/>
    <w:rsid w:val="00114864"/>
    <w:rsid w:val="001178F7"/>
    <w:rsid w:val="00121392"/>
    <w:rsid w:val="0012139C"/>
    <w:rsid w:val="00122824"/>
    <w:rsid w:val="00123BCE"/>
    <w:rsid w:val="00124AAF"/>
    <w:rsid w:val="0013028C"/>
    <w:rsid w:val="001310D0"/>
    <w:rsid w:val="00134370"/>
    <w:rsid w:val="001357B2"/>
    <w:rsid w:val="0013793D"/>
    <w:rsid w:val="00150FB4"/>
    <w:rsid w:val="00154295"/>
    <w:rsid w:val="001555F9"/>
    <w:rsid w:val="00155FDB"/>
    <w:rsid w:val="0015732E"/>
    <w:rsid w:val="001610DD"/>
    <w:rsid w:val="00171351"/>
    <w:rsid w:val="0017272F"/>
    <w:rsid w:val="00172A30"/>
    <w:rsid w:val="001778A4"/>
    <w:rsid w:val="0018487E"/>
    <w:rsid w:val="00186A13"/>
    <w:rsid w:val="00191AD0"/>
    <w:rsid w:val="00192C4D"/>
    <w:rsid w:val="001956F8"/>
    <w:rsid w:val="00197207"/>
    <w:rsid w:val="001A0FA9"/>
    <w:rsid w:val="001A1037"/>
    <w:rsid w:val="001B2C13"/>
    <w:rsid w:val="001B51DC"/>
    <w:rsid w:val="001E029D"/>
    <w:rsid w:val="001E0312"/>
    <w:rsid w:val="001E2BEC"/>
    <w:rsid w:val="001F279B"/>
    <w:rsid w:val="001F6968"/>
    <w:rsid w:val="0020657E"/>
    <w:rsid w:val="002106B8"/>
    <w:rsid w:val="0021565E"/>
    <w:rsid w:val="0022233B"/>
    <w:rsid w:val="00226354"/>
    <w:rsid w:val="00226B18"/>
    <w:rsid w:val="00226EC1"/>
    <w:rsid w:val="0023395C"/>
    <w:rsid w:val="002370CC"/>
    <w:rsid w:val="00241065"/>
    <w:rsid w:val="00241BE9"/>
    <w:rsid w:val="0025050D"/>
    <w:rsid w:val="002521C3"/>
    <w:rsid w:val="00257539"/>
    <w:rsid w:val="00265C30"/>
    <w:rsid w:val="00282F80"/>
    <w:rsid w:val="00283593"/>
    <w:rsid w:val="00283A36"/>
    <w:rsid w:val="00283B5F"/>
    <w:rsid w:val="00293B92"/>
    <w:rsid w:val="002A19EE"/>
    <w:rsid w:val="002A4C03"/>
    <w:rsid w:val="002B0F54"/>
    <w:rsid w:val="002B1AFB"/>
    <w:rsid w:val="002C6669"/>
    <w:rsid w:val="002D265A"/>
    <w:rsid w:val="002D2E9B"/>
    <w:rsid w:val="002D350C"/>
    <w:rsid w:val="002E034F"/>
    <w:rsid w:val="002E3850"/>
    <w:rsid w:val="002F09D1"/>
    <w:rsid w:val="002F2B85"/>
    <w:rsid w:val="002F2F9F"/>
    <w:rsid w:val="00300FEB"/>
    <w:rsid w:val="00303BC5"/>
    <w:rsid w:val="0030411C"/>
    <w:rsid w:val="0030614F"/>
    <w:rsid w:val="00307071"/>
    <w:rsid w:val="0031552D"/>
    <w:rsid w:val="00315D00"/>
    <w:rsid w:val="00317208"/>
    <w:rsid w:val="00320E22"/>
    <w:rsid w:val="00326293"/>
    <w:rsid w:val="00327D75"/>
    <w:rsid w:val="00330AC0"/>
    <w:rsid w:val="00332961"/>
    <w:rsid w:val="0033470E"/>
    <w:rsid w:val="003360D6"/>
    <w:rsid w:val="00336F60"/>
    <w:rsid w:val="00337E0B"/>
    <w:rsid w:val="003445D5"/>
    <w:rsid w:val="003457D3"/>
    <w:rsid w:val="0034760F"/>
    <w:rsid w:val="0036065A"/>
    <w:rsid w:val="00360C9E"/>
    <w:rsid w:val="00362216"/>
    <w:rsid w:val="0036226E"/>
    <w:rsid w:val="00362D11"/>
    <w:rsid w:val="00363F5A"/>
    <w:rsid w:val="003662AF"/>
    <w:rsid w:val="00366696"/>
    <w:rsid w:val="003705B6"/>
    <w:rsid w:val="00373A0D"/>
    <w:rsid w:val="00375DF2"/>
    <w:rsid w:val="003774BF"/>
    <w:rsid w:val="00377991"/>
    <w:rsid w:val="003862EB"/>
    <w:rsid w:val="00387117"/>
    <w:rsid w:val="00387CA9"/>
    <w:rsid w:val="00391421"/>
    <w:rsid w:val="003A4E6C"/>
    <w:rsid w:val="003B7EF9"/>
    <w:rsid w:val="003C3C7F"/>
    <w:rsid w:val="003C4420"/>
    <w:rsid w:val="003C6595"/>
    <w:rsid w:val="003D17A7"/>
    <w:rsid w:val="003D2483"/>
    <w:rsid w:val="003D3EBC"/>
    <w:rsid w:val="003D7ED5"/>
    <w:rsid w:val="003E634E"/>
    <w:rsid w:val="003F43FD"/>
    <w:rsid w:val="00403678"/>
    <w:rsid w:val="0040398E"/>
    <w:rsid w:val="004056FE"/>
    <w:rsid w:val="00406673"/>
    <w:rsid w:val="00410737"/>
    <w:rsid w:val="00410FE7"/>
    <w:rsid w:val="004118D5"/>
    <w:rsid w:val="00413958"/>
    <w:rsid w:val="00413FEE"/>
    <w:rsid w:val="004206EF"/>
    <w:rsid w:val="00422DCA"/>
    <w:rsid w:val="00425D49"/>
    <w:rsid w:val="00430D6D"/>
    <w:rsid w:val="00433A98"/>
    <w:rsid w:val="00434CA9"/>
    <w:rsid w:val="00435BC9"/>
    <w:rsid w:val="00436716"/>
    <w:rsid w:val="00446597"/>
    <w:rsid w:val="00446D10"/>
    <w:rsid w:val="00450466"/>
    <w:rsid w:val="00454C33"/>
    <w:rsid w:val="00462091"/>
    <w:rsid w:val="00470B68"/>
    <w:rsid w:val="00473F33"/>
    <w:rsid w:val="00476C94"/>
    <w:rsid w:val="00477AAD"/>
    <w:rsid w:val="00491A2F"/>
    <w:rsid w:val="00495AB7"/>
    <w:rsid w:val="004B3D5F"/>
    <w:rsid w:val="004B40D9"/>
    <w:rsid w:val="004C2276"/>
    <w:rsid w:val="004C2D56"/>
    <w:rsid w:val="004C66C4"/>
    <w:rsid w:val="004D39BA"/>
    <w:rsid w:val="004D5DDB"/>
    <w:rsid w:val="004E17C4"/>
    <w:rsid w:val="004E641D"/>
    <w:rsid w:val="004F38E0"/>
    <w:rsid w:val="00500BF7"/>
    <w:rsid w:val="00501B85"/>
    <w:rsid w:val="00512D47"/>
    <w:rsid w:val="005211E1"/>
    <w:rsid w:val="00521D9B"/>
    <w:rsid w:val="0052637E"/>
    <w:rsid w:val="00530167"/>
    <w:rsid w:val="0053384E"/>
    <w:rsid w:val="005405D6"/>
    <w:rsid w:val="00544E09"/>
    <w:rsid w:val="00554515"/>
    <w:rsid w:val="00567061"/>
    <w:rsid w:val="00571C08"/>
    <w:rsid w:val="00573614"/>
    <w:rsid w:val="00576C75"/>
    <w:rsid w:val="00580DCA"/>
    <w:rsid w:val="0059123E"/>
    <w:rsid w:val="00591BFF"/>
    <w:rsid w:val="00593753"/>
    <w:rsid w:val="005A04D1"/>
    <w:rsid w:val="005A10EE"/>
    <w:rsid w:val="005A3C99"/>
    <w:rsid w:val="005B2B38"/>
    <w:rsid w:val="005B6A4B"/>
    <w:rsid w:val="005B792F"/>
    <w:rsid w:val="005C0945"/>
    <w:rsid w:val="005D07C3"/>
    <w:rsid w:val="005D140B"/>
    <w:rsid w:val="005D2B48"/>
    <w:rsid w:val="005D637D"/>
    <w:rsid w:val="005D7287"/>
    <w:rsid w:val="005D7778"/>
    <w:rsid w:val="005E02C2"/>
    <w:rsid w:val="005E3BBC"/>
    <w:rsid w:val="005F2629"/>
    <w:rsid w:val="005F39D2"/>
    <w:rsid w:val="005F45C6"/>
    <w:rsid w:val="005F783A"/>
    <w:rsid w:val="006071FE"/>
    <w:rsid w:val="00611D39"/>
    <w:rsid w:val="00613376"/>
    <w:rsid w:val="00614760"/>
    <w:rsid w:val="00616100"/>
    <w:rsid w:val="006203CE"/>
    <w:rsid w:val="006208A3"/>
    <w:rsid w:val="006232FF"/>
    <w:rsid w:val="006304CC"/>
    <w:rsid w:val="00631397"/>
    <w:rsid w:val="00632096"/>
    <w:rsid w:val="00640172"/>
    <w:rsid w:val="00640EF8"/>
    <w:rsid w:val="006424AE"/>
    <w:rsid w:val="00662E4F"/>
    <w:rsid w:val="00667004"/>
    <w:rsid w:val="0066724C"/>
    <w:rsid w:val="0067684E"/>
    <w:rsid w:val="00677FD0"/>
    <w:rsid w:val="00692AB3"/>
    <w:rsid w:val="006A0BB1"/>
    <w:rsid w:val="006A3FA9"/>
    <w:rsid w:val="006A5CCC"/>
    <w:rsid w:val="006A7E12"/>
    <w:rsid w:val="006B038C"/>
    <w:rsid w:val="006B3196"/>
    <w:rsid w:val="006B488F"/>
    <w:rsid w:val="006B5BEE"/>
    <w:rsid w:val="006C54F8"/>
    <w:rsid w:val="006D2CB3"/>
    <w:rsid w:val="006D3203"/>
    <w:rsid w:val="006E16B1"/>
    <w:rsid w:val="006E46B0"/>
    <w:rsid w:val="006E5115"/>
    <w:rsid w:val="006E5F10"/>
    <w:rsid w:val="006F0260"/>
    <w:rsid w:val="00701E17"/>
    <w:rsid w:val="007062BD"/>
    <w:rsid w:val="007066EA"/>
    <w:rsid w:val="0070683D"/>
    <w:rsid w:val="00707DDD"/>
    <w:rsid w:val="00710D5E"/>
    <w:rsid w:val="0071606C"/>
    <w:rsid w:val="00720678"/>
    <w:rsid w:val="0072175E"/>
    <w:rsid w:val="0072623A"/>
    <w:rsid w:val="00733408"/>
    <w:rsid w:val="00733C97"/>
    <w:rsid w:val="007408D1"/>
    <w:rsid w:val="00741B3F"/>
    <w:rsid w:val="007451FC"/>
    <w:rsid w:val="00747762"/>
    <w:rsid w:val="0075050F"/>
    <w:rsid w:val="00752776"/>
    <w:rsid w:val="00752F33"/>
    <w:rsid w:val="007574CC"/>
    <w:rsid w:val="00765A05"/>
    <w:rsid w:val="00771E09"/>
    <w:rsid w:val="007730A1"/>
    <w:rsid w:val="00776DEB"/>
    <w:rsid w:val="00784EF5"/>
    <w:rsid w:val="007972EC"/>
    <w:rsid w:val="007B044A"/>
    <w:rsid w:val="007B41D4"/>
    <w:rsid w:val="007B56AA"/>
    <w:rsid w:val="007B5BE4"/>
    <w:rsid w:val="007C1178"/>
    <w:rsid w:val="007C1FAB"/>
    <w:rsid w:val="007C27D8"/>
    <w:rsid w:val="007C3013"/>
    <w:rsid w:val="007C4A17"/>
    <w:rsid w:val="007E692A"/>
    <w:rsid w:val="007F1614"/>
    <w:rsid w:val="007F1926"/>
    <w:rsid w:val="007F468B"/>
    <w:rsid w:val="008069A0"/>
    <w:rsid w:val="0081152F"/>
    <w:rsid w:val="00813A0B"/>
    <w:rsid w:val="0081554D"/>
    <w:rsid w:val="00820AB9"/>
    <w:rsid w:val="008254F2"/>
    <w:rsid w:val="00827EEA"/>
    <w:rsid w:val="00831B20"/>
    <w:rsid w:val="00841099"/>
    <w:rsid w:val="008435F8"/>
    <w:rsid w:val="008511C8"/>
    <w:rsid w:val="00851986"/>
    <w:rsid w:val="00854FB5"/>
    <w:rsid w:val="0085682C"/>
    <w:rsid w:val="00867B94"/>
    <w:rsid w:val="00873F9F"/>
    <w:rsid w:val="008775BA"/>
    <w:rsid w:val="0088483C"/>
    <w:rsid w:val="00897595"/>
    <w:rsid w:val="0089789B"/>
    <w:rsid w:val="00897DC7"/>
    <w:rsid w:val="008A7833"/>
    <w:rsid w:val="008B1D4F"/>
    <w:rsid w:val="008C0663"/>
    <w:rsid w:val="008C5F0C"/>
    <w:rsid w:val="008D3910"/>
    <w:rsid w:val="008E6F95"/>
    <w:rsid w:val="008F1986"/>
    <w:rsid w:val="008F3CBE"/>
    <w:rsid w:val="008F55AD"/>
    <w:rsid w:val="008F5E49"/>
    <w:rsid w:val="008F7FEF"/>
    <w:rsid w:val="0090378C"/>
    <w:rsid w:val="0090469A"/>
    <w:rsid w:val="009079F3"/>
    <w:rsid w:val="00912EDC"/>
    <w:rsid w:val="009215DB"/>
    <w:rsid w:val="00923542"/>
    <w:rsid w:val="00924EBD"/>
    <w:rsid w:val="00925B7F"/>
    <w:rsid w:val="00926308"/>
    <w:rsid w:val="00935F89"/>
    <w:rsid w:val="00940741"/>
    <w:rsid w:val="009462F1"/>
    <w:rsid w:val="009473DB"/>
    <w:rsid w:val="009479E5"/>
    <w:rsid w:val="009625CA"/>
    <w:rsid w:val="00963EF0"/>
    <w:rsid w:val="00964C5B"/>
    <w:rsid w:val="009658CF"/>
    <w:rsid w:val="00967DD2"/>
    <w:rsid w:val="00970165"/>
    <w:rsid w:val="00970E9C"/>
    <w:rsid w:val="0097287C"/>
    <w:rsid w:val="00972E99"/>
    <w:rsid w:val="0097440B"/>
    <w:rsid w:val="00975325"/>
    <w:rsid w:val="00981714"/>
    <w:rsid w:val="00981EB6"/>
    <w:rsid w:val="00990F7F"/>
    <w:rsid w:val="009934A6"/>
    <w:rsid w:val="00995846"/>
    <w:rsid w:val="009965D2"/>
    <w:rsid w:val="009A3717"/>
    <w:rsid w:val="009B2B6F"/>
    <w:rsid w:val="009B483E"/>
    <w:rsid w:val="009B5BF3"/>
    <w:rsid w:val="009C2973"/>
    <w:rsid w:val="009C429F"/>
    <w:rsid w:val="009C4998"/>
    <w:rsid w:val="009C5F5C"/>
    <w:rsid w:val="009D0841"/>
    <w:rsid w:val="009D43C5"/>
    <w:rsid w:val="009D7488"/>
    <w:rsid w:val="009E3B67"/>
    <w:rsid w:val="00A042E5"/>
    <w:rsid w:val="00A044E5"/>
    <w:rsid w:val="00A07DB6"/>
    <w:rsid w:val="00A10067"/>
    <w:rsid w:val="00A10600"/>
    <w:rsid w:val="00A11234"/>
    <w:rsid w:val="00A12DE5"/>
    <w:rsid w:val="00A14B87"/>
    <w:rsid w:val="00A15084"/>
    <w:rsid w:val="00A243A2"/>
    <w:rsid w:val="00A3277D"/>
    <w:rsid w:val="00A354B9"/>
    <w:rsid w:val="00A360BB"/>
    <w:rsid w:val="00A368C6"/>
    <w:rsid w:val="00A4301A"/>
    <w:rsid w:val="00A5109F"/>
    <w:rsid w:val="00A51DAB"/>
    <w:rsid w:val="00A53D0E"/>
    <w:rsid w:val="00A549B6"/>
    <w:rsid w:val="00A62090"/>
    <w:rsid w:val="00A65659"/>
    <w:rsid w:val="00A65C7B"/>
    <w:rsid w:val="00A8103E"/>
    <w:rsid w:val="00A81DEB"/>
    <w:rsid w:val="00A873A1"/>
    <w:rsid w:val="00A962F0"/>
    <w:rsid w:val="00AA05A8"/>
    <w:rsid w:val="00AA1607"/>
    <w:rsid w:val="00AA31AA"/>
    <w:rsid w:val="00AA6A83"/>
    <w:rsid w:val="00AB545D"/>
    <w:rsid w:val="00AC3598"/>
    <w:rsid w:val="00AE05D0"/>
    <w:rsid w:val="00AE3BC8"/>
    <w:rsid w:val="00AE7068"/>
    <w:rsid w:val="00AF0CD3"/>
    <w:rsid w:val="00AF3033"/>
    <w:rsid w:val="00AF413A"/>
    <w:rsid w:val="00AF471A"/>
    <w:rsid w:val="00AF678B"/>
    <w:rsid w:val="00AF6A4B"/>
    <w:rsid w:val="00B143C5"/>
    <w:rsid w:val="00B1507E"/>
    <w:rsid w:val="00B25862"/>
    <w:rsid w:val="00B26108"/>
    <w:rsid w:val="00B26A87"/>
    <w:rsid w:val="00B35382"/>
    <w:rsid w:val="00B46A5D"/>
    <w:rsid w:val="00B470D9"/>
    <w:rsid w:val="00B51F23"/>
    <w:rsid w:val="00B5465F"/>
    <w:rsid w:val="00B56C83"/>
    <w:rsid w:val="00B601B9"/>
    <w:rsid w:val="00B6276C"/>
    <w:rsid w:val="00B70313"/>
    <w:rsid w:val="00B70555"/>
    <w:rsid w:val="00B77CA8"/>
    <w:rsid w:val="00B80C94"/>
    <w:rsid w:val="00B80F37"/>
    <w:rsid w:val="00B8175C"/>
    <w:rsid w:val="00B817C7"/>
    <w:rsid w:val="00B90A50"/>
    <w:rsid w:val="00BA1096"/>
    <w:rsid w:val="00BA5CBF"/>
    <w:rsid w:val="00BA61C3"/>
    <w:rsid w:val="00BA7DA0"/>
    <w:rsid w:val="00BB032F"/>
    <w:rsid w:val="00BB2B16"/>
    <w:rsid w:val="00BB5064"/>
    <w:rsid w:val="00BC020E"/>
    <w:rsid w:val="00BC5384"/>
    <w:rsid w:val="00BC61F4"/>
    <w:rsid w:val="00BD43F7"/>
    <w:rsid w:val="00BD760C"/>
    <w:rsid w:val="00BD77B9"/>
    <w:rsid w:val="00BE08D7"/>
    <w:rsid w:val="00BE1F13"/>
    <w:rsid w:val="00BE4588"/>
    <w:rsid w:val="00BE7CD0"/>
    <w:rsid w:val="00BF32BA"/>
    <w:rsid w:val="00C056E7"/>
    <w:rsid w:val="00C06697"/>
    <w:rsid w:val="00C06AAC"/>
    <w:rsid w:val="00C152C2"/>
    <w:rsid w:val="00C15A03"/>
    <w:rsid w:val="00C16901"/>
    <w:rsid w:val="00C2623F"/>
    <w:rsid w:val="00C31C1E"/>
    <w:rsid w:val="00C33BE5"/>
    <w:rsid w:val="00C36827"/>
    <w:rsid w:val="00C42B64"/>
    <w:rsid w:val="00C46B9F"/>
    <w:rsid w:val="00C47532"/>
    <w:rsid w:val="00C50C98"/>
    <w:rsid w:val="00C53EF4"/>
    <w:rsid w:val="00C55ACE"/>
    <w:rsid w:val="00C61BC6"/>
    <w:rsid w:val="00C65479"/>
    <w:rsid w:val="00C708B5"/>
    <w:rsid w:val="00C7517F"/>
    <w:rsid w:val="00C76C7E"/>
    <w:rsid w:val="00C95E4F"/>
    <w:rsid w:val="00CA06FB"/>
    <w:rsid w:val="00CA6014"/>
    <w:rsid w:val="00CB4DEC"/>
    <w:rsid w:val="00CB678A"/>
    <w:rsid w:val="00CC32B8"/>
    <w:rsid w:val="00CC4636"/>
    <w:rsid w:val="00CD3AFB"/>
    <w:rsid w:val="00CD5133"/>
    <w:rsid w:val="00CD70B6"/>
    <w:rsid w:val="00CE09EA"/>
    <w:rsid w:val="00CE351E"/>
    <w:rsid w:val="00CE65C7"/>
    <w:rsid w:val="00CF3CD5"/>
    <w:rsid w:val="00CF71DF"/>
    <w:rsid w:val="00D04313"/>
    <w:rsid w:val="00D04CE4"/>
    <w:rsid w:val="00D1049C"/>
    <w:rsid w:val="00D140C3"/>
    <w:rsid w:val="00D315E4"/>
    <w:rsid w:val="00D402A3"/>
    <w:rsid w:val="00D511AC"/>
    <w:rsid w:val="00D549B3"/>
    <w:rsid w:val="00D5711A"/>
    <w:rsid w:val="00D66ECD"/>
    <w:rsid w:val="00D72741"/>
    <w:rsid w:val="00D7402F"/>
    <w:rsid w:val="00D77E9C"/>
    <w:rsid w:val="00D86CEF"/>
    <w:rsid w:val="00D91CD9"/>
    <w:rsid w:val="00D9563C"/>
    <w:rsid w:val="00DA0E4F"/>
    <w:rsid w:val="00DA1BC2"/>
    <w:rsid w:val="00DA346B"/>
    <w:rsid w:val="00DA4C44"/>
    <w:rsid w:val="00DB09A9"/>
    <w:rsid w:val="00DC30DA"/>
    <w:rsid w:val="00DC79F2"/>
    <w:rsid w:val="00DD0042"/>
    <w:rsid w:val="00DD114B"/>
    <w:rsid w:val="00DD5DD4"/>
    <w:rsid w:val="00DD6FFB"/>
    <w:rsid w:val="00DE1E4F"/>
    <w:rsid w:val="00DE319F"/>
    <w:rsid w:val="00DE33F6"/>
    <w:rsid w:val="00DE3A7A"/>
    <w:rsid w:val="00DF0143"/>
    <w:rsid w:val="00DF2CC9"/>
    <w:rsid w:val="00E02489"/>
    <w:rsid w:val="00E1660A"/>
    <w:rsid w:val="00E21816"/>
    <w:rsid w:val="00E2272C"/>
    <w:rsid w:val="00E232AF"/>
    <w:rsid w:val="00E23F1E"/>
    <w:rsid w:val="00E24986"/>
    <w:rsid w:val="00E257A6"/>
    <w:rsid w:val="00E36795"/>
    <w:rsid w:val="00E41504"/>
    <w:rsid w:val="00E42225"/>
    <w:rsid w:val="00E42402"/>
    <w:rsid w:val="00E42795"/>
    <w:rsid w:val="00E45132"/>
    <w:rsid w:val="00E50A9D"/>
    <w:rsid w:val="00E540F0"/>
    <w:rsid w:val="00E541A9"/>
    <w:rsid w:val="00E56E4C"/>
    <w:rsid w:val="00E65722"/>
    <w:rsid w:val="00E763FC"/>
    <w:rsid w:val="00E9156E"/>
    <w:rsid w:val="00E9376A"/>
    <w:rsid w:val="00E9597A"/>
    <w:rsid w:val="00E968D4"/>
    <w:rsid w:val="00EA23E4"/>
    <w:rsid w:val="00EA273F"/>
    <w:rsid w:val="00EA3D39"/>
    <w:rsid w:val="00EA5EAB"/>
    <w:rsid w:val="00ED1E40"/>
    <w:rsid w:val="00ED6B57"/>
    <w:rsid w:val="00EE06E8"/>
    <w:rsid w:val="00EE1FDB"/>
    <w:rsid w:val="00EF27BE"/>
    <w:rsid w:val="00EF66CF"/>
    <w:rsid w:val="00EF7503"/>
    <w:rsid w:val="00F00F84"/>
    <w:rsid w:val="00F020DC"/>
    <w:rsid w:val="00F02A33"/>
    <w:rsid w:val="00F13BBA"/>
    <w:rsid w:val="00F150FA"/>
    <w:rsid w:val="00F24368"/>
    <w:rsid w:val="00F253F6"/>
    <w:rsid w:val="00F34416"/>
    <w:rsid w:val="00F3501D"/>
    <w:rsid w:val="00F40DC4"/>
    <w:rsid w:val="00F425ED"/>
    <w:rsid w:val="00F4292C"/>
    <w:rsid w:val="00F43050"/>
    <w:rsid w:val="00F4428E"/>
    <w:rsid w:val="00F472B8"/>
    <w:rsid w:val="00F507A0"/>
    <w:rsid w:val="00F50A36"/>
    <w:rsid w:val="00F514C6"/>
    <w:rsid w:val="00F515C3"/>
    <w:rsid w:val="00F525DA"/>
    <w:rsid w:val="00F614B7"/>
    <w:rsid w:val="00F670CD"/>
    <w:rsid w:val="00F70D20"/>
    <w:rsid w:val="00F81B1E"/>
    <w:rsid w:val="00F821D3"/>
    <w:rsid w:val="00F84338"/>
    <w:rsid w:val="00F93206"/>
    <w:rsid w:val="00F932F4"/>
    <w:rsid w:val="00FA45B5"/>
    <w:rsid w:val="00FA7AC3"/>
    <w:rsid w:val="00FB06E1"/>
    <w:rsid w:val="00FC02BD"/>
    <w:rsid w:val="00FC1127"/>
    <w:rsid w:val="00FC20FC"/>
    <w:rsid w:val="00FC26BD"/>
    <w:rsid w:val="00FC29AA"/>
    <w:rsid w:val="00FC39D0"/>
    <w:rsid w:val="00FD3042"/>
    <w:rsid w:val="00FE0E5D"/>
    <w:rsid w:val="00FE34A8"/>
    <w:rsid w:val="00FE48E7"/>
    <w:rsid w:val="00FF4E1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F03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C76C7E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C76C7E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C76C7E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C76C7E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C76C7E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C76C7E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C76C7E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C76C7E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C76C7E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C76C7E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C76C7E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C76C7E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C76C7E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C76C7E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C76C7E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C76C7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C76C7E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uiPriority w:val="99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rsid w:val="0033470E"/>
  </w:style>
  <w:style w:type="character" w:customStyle="1" w:styleId="st1">
    <w:name w:val="st1"/>
    <w:uiPriority w:val="99"/>
    <w:rsid w:val="0025050D"/>
  </w:style>
  <w:style w:type="character" w:customStyle="1" w:styleId="longtext">
    <w:name w:val="long_text"/>
    <w:rsid w:val="002106B8"/>
  </w:style>
  <w:style w:type="character" w:styleId="Odkaznakomentr">
    <w:name w:val="annotation reference"/>
    <w:basedOn w:val="Predvolenpsmoodseku"/>
    <w:uiPriority w:val="99"/>
    <w:semiHidden/>
    <w:unhideWhenUsed/>
    <w:rsid w:val="00C368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827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827"/>
    <w:rPr>
      <w:rFonts w:ascii="Times New Roman" w:hAnsi="Times New Roman"/>
      <w:b/>
      <w:bCs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C76C7E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C76C7E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C76C7E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C76C7E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C76C7E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C76C7E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C76C7E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C76C7E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C76C7E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C76C7E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C76C7E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C76C7E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C76C7E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C76C7E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C76C7E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C76C7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C76C7E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uiPriority w:val="99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rsid w:val="0033470E"/>
  </w:style>
  <w:style w:type="character" w:customStyle="1" w:styleId="st1">
    <w:name w:val="st1"/>
    <w:uiPriority w:val="99"/>
    <w:rsid w:val="0025050D"/>
  </w:style>
  <w:style w:type="character" w:customStyle="1" w:styleId="longtext">
    <w:name w:val="long_text"/>
    <w:rsid w:val="002106B8"/>
  </w:style>
  <w:style w:type="character" w:styleId="Odkaznakomentr">
    <w:name w:val="annotation reference"/>
    <w:basedOn w:val="Predvolenpsmoodseku"/>
    <w:uiPriority w:val="99"/>
    <w:semiHidden/>
    <w:unhideWhenUsed/>
    <w:rsid w:val="00C368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827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827"/>
    <w:rPr>
      <w:rFonts w:ascii="Times New Roman" w:hAnsi="Times New Roman"/>
      <w:b/>
      <w:bCs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170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70170927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70170923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170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template_new.dot</Template>
  <TotalTime>0</TotalTime>
  <Pages>15</Pages>
  <Words>5541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Helicid 40</vt:lpstr>
    </vt:vector>
  </TitlesOfParts>
  <Company>Zentiva, a.s.</Company>
  <LinksUpToDate>false</LinksUpToDate>
  <CharactersWithSpaces>37054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Helicid 40</dc:title>
  <dc:subject>SmPC</dc:subject>
  <dc:creator>Katarína Rybárska</dc:creator>
  <cp:lastModifiedBy>marianna forgacova</cp:lastModifiedBy>
  <cp:revision>3</cp:revision>
  <cp:lastPrinted>2019-05-16T13:42:00Z</cp:lastPrinted>
  <dcterms:created xsi:type="dcterms:W3CDTF">2019-05-16T13:42:00Z</dcterms:created>
  <dcterms:modified xsi:type="dcterms:W3CDTF">2019-05-17T07:31:00Z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1109440115</vt:i4>
  </property>
  <property fmtid="{D5CDD505-2E9C-101B-9397-08002B2CF9AE}" pid="4" name="_EmailSubject">
    <vt:lpwstr>[EXTERNAL] RE: Helicid 40- 2018/04130-Z1B, 2018/04132-Z1B  ukončenie národnej fázy reg.procedúry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