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FA081" w14:textId="77777777" w:rsidR="007266AA" w:rsidRDefault="007266AA">
      <w:pPr>
        <w:tabs>
          <w:tab w:val="left" w:pos="-1440"/>
          <w:tab w:val="left" w:pos="-720"/>
        </w:tabs>
        <w:spacing w:line="240" w:lineRule="auto"/>
        <w:jc w:val="center"/>
        <w:rPr>
          <w:b/>
        </w:rPr>
      </w:pPr>
      <w:bookmarkStart w:id="0" w:name="_GoBack"/>
      <w:bookmarkEnd w:id="0"/>
      <w:r>
        <w:rPr>
          <w:b/>
        </w:rPr>
        <w:t>SÚHRN CHARAKTERISTICKÝCH VLASTNOSTÍ LIEKU</w:t>
      </w:r>
    </w:p>
    <w:p w14:paraId="536D238B" w14:textId="77777777" w:rsidR="007266AA" w:rsidRDefault="007266AA">
      <w:pPr>
        <w:tabs>
          <w:tab w:val="left" w:pos="-1440"/>
          <w:tab w:val="left" w:pos="-720"/>
        </w:tabs>
        <w:spacing w:line="240" w:lineRule="auto"/>
        <w:jc w:val="center"/>
        <w:rPr>
          <w:b/>
        </w:rPr>
      </w:pPr>
    </w:p>
    <w:p w14:paraId="1CF96B8E" w14:textId="77777777" w:rsidR="007266AA" w:rsidRDefault="007266AA">
      <w:pPr>
        <w:tabs>
          <w:tab w:val="left" w:pos="-1440"/>
          <w:tab w:val="left" w:pos="-720"/>
        </w:tabs>
        <w:spacing w:line="240" w:lineRule="auto"/>
        <w:jc w:val="center"/>
        <w:rPr>
          <w:b/>
        </w:rPr>
      </w:pPr>
    </w:p>
    <w:p w14:paraId="279FFB2F" w14:textId="77777777" w:rsidR="007266AA" w:rsidRDefault="007266AA">
      <w:pPr>
        <w:spacing w:line="240" w:lineRule="auto"/>
      </w:pPr>
      <w:r>
        <w:rPr>
          <w:b/>
        </w:rPr>
        <w:t>1.</w:t>
      </w:r>
      <w:r>
        <w:tab/>
      </w:r>
      <w:r>
        <w:rPr>
          <w:b/>
        </w:rPr>
        <w:t>NÁZOV LIEKU</w:t>
      </w:r>
    </w:p>
    <w:p w14:paraId="3F73F053" w14:textId="77777777" w:rsidR="007266AA" w:rsidRDefault="007266AA">
      <w:pPr>
        <w:spacing w:line="240" w:lineRule="auto"/>
        <w:rPr>
          <w:iCs/>
        </w:rPr>
      </w:pPr>
    </w:p>
    <w:p w14:paraId="5DD7671C" w14:textId="77777777" w:rsidR="007266AA" w:rsidRDefault="00511B31">
      <w:pPr>
        <w:tabs>
          <w:tab w:val="left" w:pos="0"/>
        </w:tabs>
        <w:spacing w:line="240" w:lineRule="auto"/>
      </w:pPr>
      <w:r>
        <w:t>A</w:t>
      </w:r>
      <w:r w:rsidR="00567C08">
        <w:t>DADUT</w:t>
      </w:r>
      <w:r w:rsidR="007266AA">
        <w:t xml:space="preserve"> 0,5 mg mäkké kapsuly</w:t>
      </w:r>
    </w:p>
    <w:p w14:paraId="2B9B7789" w14:textId="77777777" w:rsidR="007266AA" w:rsidRDefault="007266AA">
      <w:pPr>
        <w:widowControl w:val="0"/>
        <w:spacing w:line="240" w:lineRule="auto"/>
      </w:pPr>
    </w:p>
    <w:p w14:paraId="06459EDC" w14:textId="77777777" w:rsidR="007266AA" w:rsidRDefault="007266AA">
      <w:pPr>
        <w:widowControl w:val="0"/>
        <w:spacing w:line="240" w:lineRule="auto"/>
      </w:pPr>
    </w:p>
    <w:p w14:paraId="37EC1A77" w14:textId="77777777" w:rsidR="007266AA" w:rsidRDefault="007266AA">
      <w:pPr>
        <w:widowControl w:val="0"/>
        <w:spacing w:line="240" w:lineRule="auto"/>
      </w:pPr>
      <w:r>
        <w:rPr>
          <w:b/>
        </w:rPr>
        <w:t>2.</w:t>
      </w:r>
      <w:r>
        <w:tab/>
      </w:r>
      <w:r>
        <w:rPr>
          <w:b/>
        </w:rPr>
        <w:t>KVALITATÍVNE A KVANTITATÍVNE ZLOŽENIE</w:t>
      </w:r>
    </w:p>
    <w:p w14:paraId="77C01813" w14:textId="77777777" w:rsidR="007266AA" w:rsidRDefault="007266AA">
      <w:pPr>
        <w:spacing w:line="240" w:lineRule="auto"/>
      </w:pPr>
    </w:p>
    <w:p w14:paraId="1F6890BB" w14:textId="77777777" w:rsidR="007266AA" w:rsidRDefault="007266AA">
      <w:pPr>
        <w:pStyle w:val="EMEAEnBodyText"/>
        <w:tabs>
          <w:tab w:val="left" w:pos="567"/>
        </w:tabs>
        <w:autoSpaceDE w:val="0"/>
        <w:autoSpaceDN w:val="0"/>
        <w:adjustRightInd w:val="0"/>
        <w:spacing w:before="0" w:after="0"/>
        <w:rPr>
          <w:color w:val="000000"/>
        </w:rPr>
      </w:pPr>
      <w:r>
        <w:rPr>
          <w:color w:val="000000"/>
        </w:rPr>
        <w:t>Každá kapsula obsahuje 0,5 mg dutasteridu.</w:t>
      </w:r>
    </w:p>
    <w:p w14:paraId="09852B48" w14:textId="77777777" w:rsidR="007266AA" w:rsidRDefault="007266AA">
      <w:pPr>
        <w:spacing w:line="240" w:lineRule="auto"/>
        <w:rPr>
          <w:color w:val="000000"/>
        </w:rPr>
      </w:pPr>
    </w:p>
    <w:p w14:paraId="54DA185C" w14:textId="77777777" w:rsidR="00BC3066" w:rsidRDefault="007266AA">
      <w:pPr>
        <w:spacing w:line="240" w:lineRule="auto"/>
        <w:rPr>
          <w:color w:val="000000"/>
        </w:rPr>
      </w:pPr>
      <w:r w:rsidRPr="00634CE6">
        <w:rPr>
          <w:color w:val="000000"/>
          <w:u w:val="single"/>
        </w:rPr>
        <w:t>Pomocná látka so známym účinkom:</w:t>
      </w:r>
      <w:r w:rsidR="00E37E96">
        <w:rPr>
          <w:color w:val="000000"/>
        </w:rPr>
        <w:t xml:space="preserve"> </w:t>
      </w:r>
    </w:p>
    <w:p w14:paraId="4DE56BE5" w14:textId="77777777" w:rsidR="007266AA" w:rsidRDefault="00BC3066">
      <w:pPr>
        <w:spacing w:line="240" w:lineRule="auto"/>
        <w:rPr>
          <w:color w:val="000000"/>
        </w:rPr>
      </w:pPr>
      <w:r>
        <w:rPr>
          <w:color w:val="000000"/>
        </w:rPr>
        <w:t xml:space="preserve">Každá kapsula obsahuje </w:t>
      </w:r>
      <w:r w:rsidR="00E37E96">
        <w:rPr>
          <w:color w:val="000000"/>
        </w:rPr>
        <w:t xml:space="preserve">lecitín v stopovom množstve (môže </w:t>
      </w:r>
      <w:r>
        <w:rPr>
          <w:color w:val="000000"/>
        </w:rPr>
        <w:t>obsahovať</w:t>
      </w:r>
      <w:r w:rsidR="00113078">
        <w:rPr>
          <w:color w:val="000000"/>
        </w:rPr>
        <w:t xml:space="preserve"> </w:t>
      </w:r>
      <w:r w:rsidR="00E37E96">
        <w:rPr>
          <w:color w:val="000000"/>
        </w:rPr>
        <w:t>sójov</w:t>
      </w:r>
      <w:r>
        <w:rPr>
          <w:color w:val="000000"/>
        </w:rPr>
        <w:t>ý</w:t>
      </w:r>
      <w:r w:rsidR="00E37E96">
        <w:rPr>
          <w:color w:val="000000"/>
        </w:rPr>
        <w:t xml:space="preserve"> olej) (E322)</w:t>
      </w:r>
      <w:r>
        <w:rPr>
          <w:color w:val="000000"/>
        </w:rPr>
        <w:t>.</w:t>
      </w:r>
    </w:p>
    <w:p w14:paraId="75690E4C" w14:textId="77777777" w:rsidR="007266AA" w:rsidRDefault="007266AA">
      <w:pPr>
        <w:spacing w:line="240" w:lineRule="auto"/>
        <w:rPr>
          <w:color w:val="000000"/>
        </w:rPr>
      </w:pPr>
    </w:p>
    <w:p w14:paraId="5A567F35" w14:textId="77777777" w:rsidR="00BC3066" w:rsidRDefault="00BC3066" w:rsidP="00BC3066">
      <w:pPr>
        <w:spacing w:line="240" w:lineRule="auto"/>
        <w:rPr>
          <w:color w:val="000000"/>
        </w:rPr>
      </w:pPr>
      <w:r>
        <w:rPr>
          <w:color w:val="000000"/>
        </w:rPr>
        <w:t>Úplný zoznam pomocných látok, pozri časť 6.1.</w:t>
      </w:r>
    </w:p>
    <w:p w14:paraId="435AE8FF" w14:textId="77777777" w:rsidR="00BC3066" w:rsidRDefault="00BC3066">
      <w:pPr>
        <w:spacing w:line="240" w:lineRule="auto"/>
        <w:rPr>
          <w:color w:val="000000"/>
        </w:rPr>
      </w:pPr>
    </w:p>
    <w:p w14:paraId="11A96930" w14:textId="77777777" w:rsidR="007266AA" w:rsidRDefault="007266AA">
      <w:pPr>
        <w:spacing w:line="240" w:lineRule="auto"/>
        <w:rPr>
          <w:color w:val="000000"/>
        </w:rPr>
      </w:pPr>
    </w:p>
    <w:p w14:paraId="2B351527" w14:textId="77777777" w:rsidR="007266AA" w:rsidRDefault="007266AA">
      <w:pPr>
        <w:spacing w:line="240" w:lineRule="auto"/>
        <w:ind w:left="567" w:hanging="567"/>
        <w:rPr>
          <w:b/>
          <w:caps/>
          <w:color w:val="000000"/>
        </w:rPr>
      </w:pPr>
      <w:r>
        <w:rPr>
          <w:b/>
          <w:color w:val="000000"/>
        </w:rPr>
        <w:t>3.</w:t>
      </w:r>
      <w:r>
        <w:tab/>
      </w:r>
      <w:r>
        <w:rPr>
          <w:b/>
          <w:color w:val="000000"/>
        </w:rPr>
        <w:t>LIEKOVÁ FORMA</w:t>
      </w:r>
    </w:p>
    <w:p w14:paraId="2E795448" w14:textId="77777777" w:rsidR="007266AA" w:rsidRDefault="007266AA">
      <w:pPr>
        <w:spacing w:line="240" w:lineRule="auto"/>
        <w:rPr>
          <w:color w:val="000000"/>
        </w:rPr>
      </w:pPr>
    </w:p>
    <w:p w14:paraId="7FA32332" w14:textId="77777777" w:rsidR="00E37E96" w:rsidRDefault="00E37E96">
      <w:pPr>
        <w:spacing w:line="240" w:lineRule="auto"/>
        <w:rPr>
          <w:color w:val="000000"/>
        </w:rPr>
      </w:pPr>
      <w:r>
        <w:rPr>
          <w:color w:val="000000"/>
        </w:rPr>
        <w:t>Mäkká kapsula</w:t>
      </w:r>
    </w:p>
    <w:p w14:paraId="308A3B96" w14:textId="77777777" w:rsidR="007266AA" w:rsidRDefault="00E37E96">
      <w:pPr>
        <w:spacing w:line="240" w:lineRule="auto"/>
        <w:rPr>
          <w:color w:val="000000"/>
        </w:rPr>
      </w:pPr>
      <w:r>
        <w:rPr>
          <w:color w:val="000000"/>
        </w:rPr>
        <w:t xml:space="preserve"> </w:t>
      </w:r>
    </w:p>
    <w:p w14:paraId="421CBE3C" w14:textId="77777777" w:rsidR="007266AA" w:rsidRDefault="00E37E96">
      <w:pPr>
        <w:spacing w:line="240" w:lineRule="auto"/>
        <w:rPr>
          <w:color w:val="000000"/>
        </w:rPr>
      </w:pPr>
      <w:r>
        <w:rPr>
          <w:color w:val="000000"/>
        </w:rPr>
        <w:t>A</w:t>
      </w:r>
      <w:r w:rsidR="00567C08">
        <w:rPr>
          <w:color w:val="000000"/>
        </w:rPr>
        <w:t>DADUT</w:t>
      </w:r>
      <w:r>
        <w:rPr>
          <w:color w:val="000000"/>
        </w:rPr>
        <w:t xml:space="preserve"> mäkké kapsuly sú </w:t>
      </w:r>
      <w:r w:rsidR="00111460">
        <w:rPr>
          <w:color w:val="000000"/>
        </w:rPr>
        <w:t>podlhovasté</w:t>
      </w:r>
      <w:r>
        <w:rPr>
          <w:color w:val="000000"/>
        </w:rPr>
        <w:t xml:space="preserve"> mäkké želatínové kapsul</w:t>
      </w:r>
      <w:r w:rsidR="00BC3066">
        <w:rPr>
          <w:color w:val="000000"/>
        </w:rPr>
        <w:t>y</w:t>
      </w:r>
      <w:r>
        <w:rPr>
          <w:color w:val="000000"/>
        </w:rPr>
        <w:t xml:space="preserve"> (približne 16,5 x 6,5 mm) svetlo žltej farby, naplnenej </w:t>
      </w:r>
      <w:r w:rsidR="006A5DA5">
        <w:rPr>
          <w:color w:val="000000"/>
        </w:rPr>
        <w:t>transparentnou tekutinou.</w:t>
      </w:r>
    </w:p>
    <w:p w14:paraId="63BAEE58" w14:textId="77777777" w:rsidR="007266AA" w:rsidRDefault="007266AA">
      <w:pPr>
        <w:spacing w:line="240" w:lineRule="auto"/>
        <w:rPr>
          <w:color w:val="000000"/>
        </w:rPr>
      </w:pPr>
    </w:p>
    <w:p w14:paraId="15568B0D" w14:textId="77777777" w:rsidR="007266AA" w:rsidRDefault="007266AA">
      <w:pPr>
        <w:spacing w:line="240" w:lineRule="auto"/>
        <w:rPr>
          <w:color w:val="000000"/>
        </w:rPr>
      </w:pPr>
    </w:p>
    <w:p w14:paraId="34212679" w14:textId="77777777" w:rsidR="007266AA" w:rsidRDefault="007266AA">
      <w:pPr>
        <w:spacing w:line="240" w:lineRule="auto"/>
        <w:ind w:left="567" w:hanging="567"/>
        <w:rPr>
          <w:caps/>
        </w:rPr>
      </w:pPr>
      <w:r>
        <w:rPr>
          <w:b/>
          <w:caps/>
        </w:rPr>
        <w:t>4.</w:t>
      </w:r>
      <w:r>
        <w:tab/>
      </w:r>
      <w:r>
        <w:rPr>
          <w:b/>
          <w:caps/>
        </w:rPr>
        <w:t>KLINICKÉ ÚDAJE</w:t>
      </w:r>
    </w:p>
    <w:p w14:paraId="76CDC4FF" w14:textId="77777777" w:rsidR="007266AA" w:rsidRDefault="007266AA">
      <w:pPr>
        <w:spacing w:line="240" w:lineRule="auto"/>
      </w:pPr>
    </w:p>
    <w:p w14:paraId="4F0B710F" w14:textId="77777777" w:rsidR="007266AA" w:rsidRDefault="007266AA">
      <w:pPr>
        <w:spacing w:line="240" w:lineRule="auto"/>
        <w:ind w:left="567" w:hanging="567"/>
      </w:pPr>
      <w:r>
        <w:rPr>
          <w:b/>
        </w:rPr>
        <w:t xml:space="preserve">4.1 </w:t>
      </w:r>
      <w:r>
        <w:tab/>
      </w:r>
      <w:r>
        <w:rPr>
          <w:b/>
        </w:rPr>
        <w:t>Terapeutické indikácie</w:t>
      </w:r>
    </w:p>
    <w:p w14:paraId="04FD2132" w14:textId="77777777" w:rsidR="007266AA" w:rsidRDefault="007266AA">
      <w:pPr>
        <w:spacing w:line="240" w:lineRule="auto"/>
      </w:pPr>
    </w:p>
    <w:p w14:paraId="7DEF3F58" w14:textId="77777777" w:rsidR="007266AA" w:rsidRDefault="007266AA">
      <w:pPr>
        <w:spacing w:line="240" w:lineRule="auto"/>
        <w:rPr>
          <w:snapToGrid w:val="0"/>
        </w:rPr>
      </w:pPr>
      <w:r>
        <w:t xml:space="preserve">Liečba </w:t>
      </w:r>
      <w:r w:rsidR="00BC3066">
        <w:t>stredne ťažkých</w:t>
      </w:r>
      <w:r>
        <w:t xml:space="preserve"> až ťažkých symptómov benígnej hyperplázie prostaty (BPH).</w:t>
      </w:r>
    </w:p>
    <w:p w14:paraId="5E5E1E69" w14:textId="77777777" w:rsidR="007266AA" w:rsidRDefault="007266AA">
      <w:pPr>
        <w:spacing w:line="240" w:lineRule="auto"/>
        <w:rPr>
          <w:snapToGrid w:val="0"/>
        </w:rPr>
      </w:pPr>
    </w:p>
    <w:p w14:paraId="5BC17D55" w14:textId="77777777" w:rsidR="007266AA" w:rsidRDefault="007266AA">
      <w:pPr>
        <w:tabs>
          <w:tab w:val="num" w:pos="720"/>
        </w:tabs>
        <w:spacing w:line="240" w:lineRule="auto"/>
        <w:rPr>
          <w:snapToGrid w:val="0"/>
        </w:rPr>
      </w:pPr>
      <w:r>
        <w:t xml:space="preserve">Zníženie </w:t>
      </w:r>
      <w:r w:rsidR="00BC3066">
        <w:t>rizika</w:t>
      </w:r>
      <w:r>
        <w:t xml:space="preserve"> akútnej retencie moču (AUR) a</w:t>
      </w:r>
      <w:r w:rsidR="00BC3066">
        <w:t> chirurgického zákroku</w:t>
      </w:r>
      <w:r>
        <w:t xml:space="preserve"> u pacientov so </w:t>
      </w:r>
      <w:r>
        <w:rPr>
          <w:szCs w:val="22"/>
        </w:rPr>
        <w:t xml:space="preserve">stredne ťažkými </w:t>
      </w:r>
      <w:r>
        <w:t xml:space="preserve">až ťažkými symptómami BPH. </w:t>
      </w:r>
    </w:p>
    <w:p w14:paraId="28F201E5" w14:textId="77777777" w:rsidR="007266AA" w:rsidRDefault="007266AA">
      <w:pPr>
        <w:spacing w:line="240" w:lineRule="auto"/>
        <w:ind w:left="720"/>
        <w:rPr>
          <w:snapToGrid w:val="0"/>
        </w:rPr>
      </w:pPr>
    </w:p>
    <w:p w14:paraId="673F63C3" w14:textId="77777777" w:rsidR="007266AA" w:rsidRDefault="007266AA">
      <w:pPr>
        <w:spacing w:line="240" w:lineRule="auto"/>
        <w:rPr>
          <w:snapToGrid w:val="0"/>
        </w:rPr>
      </w:pPr>
      <w:r>
        <w:t xml:space="preserve">Informácie o účinkoch liečby a populáciách pacientov </w:t>
      </w:r>
      <w:r>
        <w:rPr>
          <w:szCs w:val="22"/>
        </w:rPr>
        <w:t>skúmaných</w:t>
      </w:r>
      <w:r>
        <w:t xml:space="preserve"> v rámci klinických skúšaní si pozrite, prosím, v časti 5.1.</w:t>
      </w:r>
    </w:p>
    <w:p w14:paraId="05E32B2D" w14:textId="77777777" w:rsidR="007266AA" w:rsidRDefault="007266AA">
      <w:pPr>
        <w:spacing w:line="240" w:lineRule="auto"/>
      </w:pPr>
    </w:p>
    <w:p w14:paraId="76FC1012" w14:textId="77777777" w:rsidR="007266AA" w:rsidRDefault="007266AA">
      <w:pPr>
        <w:spacing w:line="240" w:lineRule="auto"/>
        <w:ind w:left="567" w:hanging="567"/>
        <w:rPr>
          <w:b/>
        </w:rPr>
      </w:pPr>
      <w:r>
        <w:rPr>
          <w:b/>
        </w:rPr>
        <w:t>4.2</w:t>
      </w:r>
      <w:r>
        <w:tab/>
      </w:r>
      <w:r>
        <w:rPr>
          <w:b/>
        </w:rPr>
        <w:t>Dávkovanie a spôsob podávania</w:t>
      </w:r>
    </w:p>
    <w:p w14:paraId="3F01819E" w14:textId="77777777" w:rsidR="007266AA" w:rsidRDefault="007266AA">
      <w:pPr>
        <w:spacing w:line="240" w:lineRule="auto"/>
        <w:rPr>
          <w:color w:val="000000"/>
          <w:szCs w:val="22"/>
        </w:rPr>
      </w:pPr>
    </w:p>
    <w:p w14:paraId="37D666A3" w14:textId="77777777" w:rsidR="00F75A39" w:rsidRDefault="00F75A39" w:rsidP="00F75A39">
      <w:pPr>
        <w:spacing w:line="240" w:lineRule="auto"/>
      </w:pPr>
      <w:r>
        <w:rPr>
          <w:color w:val="000000"/>
          <w:szCs w:val="22"/>
        </w:rPr>
        <w:t>A</w:t>
      </w:r>
      <w:r w:rsidR="00567C08">
        <w:rPr>
          <w:color w:val="000000"/>
          <w:szCs w:val="22"/>
        </w:rPr>
        <w:t>DADUT</w:t>
      </w:r>
      <w:r>
        <w:t xml:space="preserve"> sa môže podávať samotný alebo v kombinácii s alfa-blokátorom tamsulozínom (0,4 mg) (pozri časti 4.4, 4.8 a 5.1).</w:t>
      </w:r>
    </w:p>
    <w:p w14:paraId="372C45B2" w14:textId="77777777" w:rsidR="006A5DA5" w:rsidRDefault="006A5DA5">
      <w:pPr>
        <w:spacing w:line="240" w:lineRule="auto"/>
        <w:rPr>
          <w:color w:val="000000"/>
          <w:szCs w:val="22"/>
        </w:rPr>
      </w:pPr>
    </w:p>
    <w:p w14:paraId="387A8645" w14:textId="77777777" w:rsidR="007266AA" w:rsidRPr="00F75A39" w:rsidRDefault="007266AA">
      <w:pPr>
        <w:pStyle w:val="Zkladntext3"/>
        <w:tabs>
          <w:tab w:val="left" w:pos="567"/>
        </w:tabs>
        <w:rPr>
          <w:color w:val="000000"/>
          <w:u w:val="single"/>
        </w:rPr>
      </w:pPr>
      <w:r w:rsidRPr="00F75A39">
        <w:rPr>
          <w:color w:val="000000"/>
          <w:u w:val="single"/>
        </w:rPr>
        <w:t>Dávkovanie</w:t>
      </w:r>
    </w:p>
    <w:p w14:paraId="4F7DDF48" w14:textId="77777777" w:rsidR="007266AA" w:rsidRDefault="007266AA">
      <w:pPr>
        <w:spacing w:line="240" w:lineRule="auto"/>
        <w:rPr>
          <w:i/>
        </w:rPr>
      </w:pPr>
    </w:p>
    <w:p w14:paraId="2AEB9B4F" w14:textId="77777777" w:rsidR="007266AA" w:rsidRPr="00F75A39" w:rsidRDefault="007266AA">
      <w:pPr>
        <w:spacing w:line="240" w:lineRule="auto"/>
        <w:rPr>
          <w:i/>
        </w:rPr>
      </w:pPr>
      <w:r w:rsidRPr="00F75A39">
        <w:rPr>
          <w:i/>
        </w:rPr>
        <w:t>Dospelí (vrátane starších pacientov)</w:t>
      </w:r>
    </w:p>
    <w:p w14:paraId="2BB1EA7C" w14:textId="77777777" w:rsidR="007266AA" w:rsidRDefault="007266AA">
      <w:pPr>
        <w:spacing w:line="240" w:lineRule="auto"/>
        <w:ind w:left="720"/>
      </w:pPr>
    </w:p>
    <w:p w14:paraId="637D6725" w14:textId="77777777" w:rsidR="007266AA" w:rsidRDefault="007266AA">
      <w:pPr>
        <w:spacing w:line="240" w:lineRule="auto"/>
      </w:pPr>
      <w:r>
        <w:t xml:space="preserve">Odporúčaná dávka </w:t>
      </w:r>
      <w:r w:rsidR="00F75A39">
        <w:t>A</w:t>
      </w:r>
      <w:r w:rsidR="00567C08">
        <w:t>DADUTU</w:t>
      </w:r>
      <w:r>
        <w:t xml:space="preserve"> je jedna kapsula (0,5 mg) </w:t>
      </w:r>
      <w:r w:rsidRPr="00B410F4">
        <w:t>užitá</w:t>
      </w:r>
      <w:r>
        <w:t xml:space="preserve"> perorálne </w:t>
      </w:r>
      <w:r w:rsidRPr="00D75591">
        <w:t>raz</w:t>
      </w:r>
      <w:r>
        <w:t xml:space="preserve"> denne. Kapsuly sa majú prehĺtať celé, nie </w:t>
      </w:r>
      <w:r w:rsidRPr="00D75591">
        <w:t>požuté a</w:t>
      </w:r>
      <w:r>
        <w:t>lebo otvorené, nakoľko kontakt s obsahom kapsuly môže mať za následok podráždenie orofaryngeálnej sliznice.</w:t>
      </w:r>
      <w:r w:rsidR="00C837A0">
        <w:t xml:space="preserve"> </w:t>
      </w:r>
      <w:r>
        <w:t xml:space="preserve">Kapsuly sa môžu užiť s jedlom alebo bez jedla. </w:t>
      </w:r>
      <w:r w:rsidRPr="00D75591">
        <w:t>Hoci zlepšenie môže byť pozorované</w:t>
      </w:r>
      <w:r w:rsidR="00B21B7F">
        <w:t xml:space="preserve"> v</w:t>
      </w:r>
      <w:r w:rsidR="00A20DCF">
        <w:t> počiatočnej fáze</w:t>
      </w:r>
      <w:r w:rsidRPr="00D75591">
        <w:t>,</w:t>
      </w:r>
      <w:r>
        <w:t xml:space="preserve"> môže trvať až 6 mesiacov, kým sa dosiahne odpoveď na liečbu. U starších pacientov nie je potrebná žiadna úprava dávkovania.</w:t>
      </w:r>
    </w:p>
    <w:p w14:paraId="5CEAD6F3" w14:textId="77777777" w:rsidR="007266AA" w:rsidRDefault="007266AA">
      <w:pPr>
        <w:spacing w:line="240" w:lineRule="auto"/>
        <w:ind w:left="720"/>
      </w:pPr>
    </w:p>
    <w:p w14:paraId="38450052" w14:textId="77777777" w:rsidR="007266AA" w:rsidRPr="00F75A39" w:rsidRDefault="007266AA">
      <w:pPr>
        <w:spacing w:line="240" w:lineRule="auto"/>
        <w:rPr>
          <w:i/>
        </w:rPr>
      </w:pPr>
      <w:r w:rsidRPr="00F75A39">
        <w:rPr>
          <w:i/>
        </w:rPr>
        <w:t>Porucha funkcie obličiek</w:t>
      </w:r>
    </w:p>
    <w:p w14:paraId="4A2A0DAC" w14:textId="77777777" w:rsidR="007266AA" w:rsidRDefault="007266AA">
      <w:pPr>
        <w:spacing w:line="240" w:lineRule="auto"/>
      </w:pPr>
    </w:p>
    <w:p w14:paraId="4A5B6F0D" w14:textId="77777777" w:rsidR="007266AA" w:rsidRDefault="00940700">
      <w:pPr>
        <w:spacing w:line="240" w:lineRule="auto"/>
      </w:pPr>
      <w:r>
        <w:t>Vplyv</w:t>
      </w:r>
      <w:r w:rsidR="007266AA">
        <w:t xml:space="preserve"> poruchy</w:t>
      </w:r>
      <w:r>
        <w:t xml:space="preserve"> funkcie</w:t>
      </w:r>
      <w:r w:rsidR="007266AA">
        <w:t xml:space="preserve"> obličiek na farmakokinetiku dutasteridu nebol doposiaľ predmetom skúšania.</w:t>
      </w:r>
      <w:r w:rsidR="00F75A39">
        <w:t xml:space="preserve"> </w:t>
      </w:r>
      <w:r w:rsidR="007266AA">
        <w:t>U pacientov s</w:t>
      </w:r>
      <w:r>
        <w:t> </w:t>
      </w:r>
      <w:r w:rsidR="007266AA">
        <w:t>poruchou</w:t>
      </w:r>
      <w:r>
        <w:t xml:space="preserve"> funkcie</w:t>
      </w:r>
      <w:r w:rsidR="007266AA">
        <w:t xml:space="preserve"> obličiek sa nepredpokladá úprava dávkovania (pozri časť 5.2).</w:t>
      </w:r>
    </w:p>
    <w:p w14:paraId="30C03152" w14:textId="77777777" w:rsidR="007266AA" w:rsidRDefault="007266AA">
      <w:pPr>
        <w:spacing w:line="240" w:lineRule="auto"/>
      </w:pPr>
    </w:p>
    <w:p w14:paraId="5830EA55" w14:textId="77777777" w:rsidR="007266AA" w:rsidRPr="00F75A39" w:rsidRDefault="007266AA">
      <w:pPr>
        <w:spacing w:line="240" w:lineRule="auto"/>
        <w:rPr>
          <w:i/>
        </w:rPr>
      </w:pPr>
      <w:r w:rsidRPr="00F75A39">
        <w:rPr>
          <w:i/>
        </w:rPr>
        <w:t>Porucha funkcie pečene</w:t>
      </w:r>
    </w:p>
    <w:p w14:paraId="679AAD05" w14:textId="77777777" w:rsidR="007266AA" w:rsidRDefault="007266AA">
      <w:pPr>
        <w:spacing w:line="240" w:lineRule="auto"/>
      </w:pPr>
      <w:r>
        <w:t xml:space="preserve">Keďže </w:t>
      </w:r>
      <w:r w:rsidR="00940700">
        <w:t>vplyv</w:t>
      </w:r>
      <w:r>
        <w:t xml:space="preserve"> poruchy funkcie pečene na farmakokinetiku dutasteridu doposiaľ nebol študovaný, treba u pacientov s miernou až stredne ťažkou poruchou funkcie pečene postupovať obozretne (pozri časti 4.4 a 5.2). U pacientov s ťažkou poruchou funkcie pečene je použitie dutasteridu kontraindikované (pozri časť 4.3).</w:t>
      </w:r>
    </w:p>
    <w:p w14:paraId="16C865B7" w14:textId="77777777" w:rsidR="007266AA" w:rsidRDefault="007266AA">
      <w:pPr>
        <w:spacing w:line="240" w:lineRule="auto"/>
      </w:pPr>
    </w:p>
    <w:p w14:paraId="20F2DE25" w14:textId="77777777" w:rsidR="007266AA" w:rsidRDefault="007266AA">
      <w:pPr>
        <w:spacing w:line="240" w:lineRule="auto"/>
        <w:ind w:left="567" w:hanging="567"/>
      </w:pPr>
      <w:r>
        <w:rPr>
          <w:b/>
        </w:rPr>
        <w:t>4.3</w:t>
      </w:r>
      <w:r>
        <w:tab/>
      </w:r>
      <w:r>
        <w:rPr>
          <w:b/>
        </w:rPr>
        <w:t>Kontraindikácie</w:t>
      </w:r>
    </w:p>
    <w:p w14:paraId="204101EB" w14:textId="77777777" w:rsidR="007266AA" w:rsidRDefault="007266AA">
      <w:pPr>
        <w:spacing w:line="240" w:lineRule="auto"/>
      </w:pPr>
    </w:p>
    <w:p w14:paraId="78F34AFE" w14:textId="77777777" w:rsidR="007266AA" w:rsidRDefault="003F7F61">
      <w:pPr>
        <w:spacing w:line="240" w:lineRule="auto"/>
      </w:pPr>
      <w:r>
        <w:t>A</w:t>
      </w:r>
      <w:r w:rsidR="00567C08">
        <w:t>DADUT</w:t>
      </w:r>
      <w:r w:rsidR="007266AA">
        <w:t xml:space="preserve"> je kontraindikovaný u:</w:t>
      </w:r>
    </w:p>
    <w:p w14:paraId="2890DC13" w14:textId="77777777" w:rsidR="003A4902" w:rsidRDefault="003A4902" w:rsidP="003A4902">
      <w:pPr>
        <w:spacing w:line="240" w:lineRule="auto"/>
        <w:ind w:left="567" w:hanging="567"/>
      </w:pPr>
      <w:r>
        <w:t>–</w:t>
      </w:r>
      <w:r>
        <w:tab/>
        <w:t>pacientov s precitlivenosťou na dutasterid, iné inhibítory 5-alfa-reduktázy</w:t>
      </w:r>
      <w:r w:rsidRPr="009E0B42">
        <w:rPr>
          <w:szCs w:val="22"/>
        </w:rPr>
        <w:t>,</w:t>
      </w:r>
      <w:r w:rsidR="00B85FBD" w:rsidRPr="00B34AA8">
        <w:rPr>
          <w:spacing w:val="5"/>
          <w:szCs w:val="22"/>
        </w:rPr>
        <w:t xml:space="preserve"> </w:t>
      </w:r>
      <w:r w:rsidR="00A20DCF" w:rsidRPr="00B34AA8">
        <w:rPr>
          <w:spacing w:val="5"/>
          <w:szCs w:val="22"/>
        </w:rPr>
        <w:t xml:space="preserve">na </w:t>
      </w:r>
      <w:r w:rsidR="00441C99" w:rsidRPr="00B34AA8">
        <w:rPr>
          <w:spacing w:val="5"/>
          <w:szCs w:val="22"/>
        </w:rPr>
        <w:t xml:space="preserve">sóju a arašidy </w:t>
      </w:r>
      <w:r>
        <w:t xml:space="preserve">alebo </w:t>
      </w:r>
      <w:r>
        <w:rPr>
          <w:noProof/>
          <w:szCs w:val="22"/>
        </w:rPr>
        <w:t xml:space="preserve">na ktorúkoľvek </w:t>
      </w:r>
      <w:r>
        <w:t>z pomocných látok uvedených v časti 6.1.</w:t>
      </w:r>
    </w:p>
    <w:p w14:paraId="58578AA9" w14:textId="77777777" w:rsidR="007266AA" w:rsidRDefault="007266AA">
      <w:pPr>
        <w:spacing w:line="240" w:lineRule="auto"/>
        <w:ind w:left="567" w:hanging="567"/>
      </w:pPr>
      <w:r>
        <w:t>–</w:t>
      </w:r>
      <w:r>
        <w:tab/>
        <w:t>žien, detí a dospievajúcich (pozri časť 4.6),</w:t>
      </w:r>
    </w:p>
    <w:p w14:paraId="316F535B" w14:textId="77777777" w:rsidR="007266AA" w:rsidRDefault="007266AA">
      <w:pPr>
        <w:spacing w:line="240" w:lineRule="auto"/>
        <w:ind w:left="567" w:hanging="567"/>
      </w:pPr>
      <w:r>
        <w:t>–</w:t>
      </w:r>
      <w:r>
        <w:tab/>
        <w:t>pacientov s ťažkou poruchou funkcie pečene.</w:t>
      </w:r>
    </w:p>
    <w:p w14:paraId="1719E2ED" w14:textId="77777777" w:rsidR="00255A71" w:rsidRDefault="00255A71">
      <w:pPr>
        <w:spacing w:line="240" w:lineRule="auto"/>
      </w:pPr>
    </w:p>
    <w:p w14:paraId="572367FA" w14:textId="77777777" w:rsidR="007266AA" w:rsidRDefault="007266AA">
      <w:pPr>
        <w:spacing w:line="240" w:lineRule="auto"/>
        <w:rPr>
          <w:b/>
        </w:rPr>
      </w:pPr>
      <w:r>
        <w:rPr>
          <w:b/>
        </w:rPr>
        <w:t>4.4</w:t>
      </w:r>
      <w:r>
        <w:tab/>
      </w:r>
      <w:r>
        <w:rPr>
          <w:b/>
        </w:rPr>
        <w:t>Osobitné upozornenia a opatrenia pri používaní</w:t>
      </w:r>
    </w:p>
    <w:p w14:paraId="0458BF69" w14:textId="77777777" w:rsidR="007266AA" w:rsidRDefault="007266AA">
      <w:pPr>
        <w:spacing w:line="240" w:lineRule="auto"/>
      </w:pPr>
    </w:p>
    <w:p w14:paraId="0442EDC9" w14:textId="77777777" w:rsidR="00DD152D" w:rsidRDefault="007266AA" w:rsidP="00017F3E">
      <w:pPr>
        <w:spacing w:line="240" w:lineRule="auto"/>
      </w:pPr>
      <w:r>
        <w:t xml:space="preserve">Kombinovaná terapia by sa mala predpísať až po starostlivom vyhodnotení pomeru prínosu a rizika spojeného s možnosťou zvýšeného rizika nežiaducich </w:t>
      </w:r>
      <w:r w:rsidR="00113078">
        <w:t>udalostí</w:t>
      </w:r>
      <w:r>
        <w:t xml:space="preserve"> (vrátane zlyhania srdca) a po posúdení alternatívnych liečebných možností vrátane monoterapií (pozri časť 4.2).</w:t>
      </w:r>
      <w:r w:rsidR="00AE0411">
        <w:t xml:space="preserve"> </w:t>
      </w:r>
    </w:p>
    <w:p w14:paraId="68738369" w14:textId="77777777" w:rsidR="00DD152D" w:rsidRDefault="00DD152D" w:rsidP="00017F3E">
      <w:pPr>
        <w:spacing w:line="240" w:lineRule="auto"/>
      </w:pPr>
    </w:p>
    <w:p w14:paraId="5BB3CD99" w14:textId="16A8E55B" w:rsidR="007266AA" w:rsidRPr="00017F3E" w:rsidRDefault="00AE0411" w:rsidP="00017F3E">
      <w:pPr>
        <w:spacing w:line="240" w:lineRule="auto"/>
      </w:pPr>
      <w:r w:rsidRPr="00255A71">
        <w:t>Tento liek obsahuje lecitín (môže obsahovať sójový olej). Ak ste alergický na arašidy alebo só</w:t>
      </w:r>
      <w:r>
        <w:t>ju, neužívajte tento liek.</w:t>
      </w:r>
    </w:p>
    <w:p w14:paraId="1BE3581A" w14:textId="77777777" w:rsidR="007266AA" w:rsidRDefault="007266AA">
      <w:pPr>
        <w:spacing w:line="240" w:lineRule="auto"/>
      </w:pPr>
    </w:p>
    <w:p w14:paraId="7BB79809" w14:textId="77777777" w:rsidR="007266AA" w:rsidRPr="00255A71" w:rsidRDefault="007266AA">
      <w:pPr>
        <w:spacing w:line="240" w:lineRule="auto"/>
        <w:rPr>
          <w:i/>
        </w:rPr>
      </w:pPr>
      <w:r w:rsidRPr="00255A71">
        <w:rPr>
          <w:i/>
        </w:rPr>
        <w:t xml:space="preserve">Zlyhanie srdca </w:t>
      </w:r>
    </w:p>
    <w:p w14:paraId="4D50931F" w14:textId="77777777" w:rsidR="007266AA" w:rsidRDefault="007266AA">
      <w:pPr>
        <w:spacing w:line="240" w:lineRule="auto"/>
      </w:pPr>
      <w:r>
        <w:t xml:space="preserve">V dvoch 4-ročných klinických štúdiách bol výskyt </w:t>
      </w:r>
      <w:r w:rsidRPr="00250A9B">
        <w:t>zlyhania srdca</w:t>
      </w:r>
      <w:r>
        <w:t xml:space="preserve"> (spoločný výraz pre zaznamenané príhody najmä zlyhania srdca a kongestívneho zlyhania srdca) častejší u jedincov užívajúcich kombináciu dutasteridu a niektorého alfablokátora, hlavne tamsulozínu, než u jedincov, ktorí neužívali túto kombináciu.V týchto dvoch skúšaniach bol výskyt srdcového zlyhania nízky (≤1 %) a premenlivý medzi obomi štúdiami (pozri časť 5.1).</w:t>
      </w:r>
    </w:p>
    <w:p w14:paraId="2728DDDC" w14:textId="77777777" w:rsidR="007266AA" w:rsidRDefault="007266AA">
      <w:pPr>
        <w:spacing w:line="240" w:lineRule="auto"/>
      </w:pPr>
    </w:p>
    <w:p w14:paraId="65D41357" w14:textId="77777777" w:rsidR="007266AA" w:rsidRPr="00255A71" w:rsidRDefault="007266AA">
      <w:pPr>
        <w:spacing w:line="240" w:lineRule="auto"/>
        <w:rPr>
          <w:i/>
        </w:rPr>
      </w:pPr>
      <w:r w:rsidRPr="00255A71">
        <w:rPr>
          <w:i/>
        </w:rPr>
        <w:t>Účinky na prostatický špecifický antigén (PSA) a detekciu rakoviny prostaty</w:t>
      </w:r>
    </w:p>
    <w:p w14:paraId="13F6E951" w14:textId="77777777" w:rsidR="007266AA" w:rsidRDefault="007266AA">
      <w:pPr>
        <w:spacing w:line="240" w:lineRule="auto"/>
      </w:pPr>
      <w:r>
        <w:t>Digitálne rektálne vyšetrenie, ako aj ostatné spôsoby vyhodnotenia rakoviny prostaty sa musia vykonať na pacientoch pred začiatkom liečby dutasteridom a po jej začatí v pravidelných intervaloch.</w:t>
      </w:r>
    </w:p>
    <w:p w14:paraId="026193CF" w14:textId="77777777" w:rsidR="007266AA" w:rsidRDefault="007266AA">
      <w:pPr>
        <w:spacing w:line="240" w:lineRule="auto"/>
      </w:pPr>
    </w:p>
    <w:p w14:paraId="74701555" w14:textId="77777777" w:rsidR="007266AA" w:rsidRDefault="007266AA">
      <w:pPr>
        <w:spacing w:line="240" w:lineRule="auto"/>
      </w:pPr>
      <w:r>
        <w:t>Koncentrácia prostatického špecifického antigénu (PSA) v sére je dôležitou zložkou detekcie rakoviny prostaty. Po 6 mesiacoch liečby spôsobuje dutasterid zníženie priemerných hladín PSA v sére o približne 50 %.</w:t>
      </w:r>
    </w:p>
    <w:p w14:paraId="0AEF535F" w14:textId="77777777" w:rsidR="007266AA" w:rsidRDefault="007266AA">
      <w:pPr>
        <w:spacing w:line="240" w:lineRule="auto"/>
        <w:rPr>
          <w:snapToGrid w:val="0"/>
        </w:rPr>
      </w:pPr>
    </w:p>
    <w:p w14:paraId="1A5E26E0" w14:textId="77777777" w:rsidR="007266AA" w:rsidRDefault="007266AA">
      <w:pPr>
        <w:spacing w:line="240" w:lineRule="auto"/>
        <w:rPr>
          <w:snapToGrid w:val="0"/>
        </w:rPr>
      </w:pPr>
      <w:r>
        <w:t xml:space="preserve">U pacientov, ktorí </w:t>
      </w:r>
      <w:r w:rsidR="00B410F4">
        <w:t>užívajú</w:t>
      </w:r>
      <w:r>
        <w:t xml:space="preserve"> dutasterid, je nutné po 6 mesiacoch liečby dutasteridom určiť novú východiskovú hodnotu PSA. Potom sa odporúča monitorovať hodnoty PSA v pravidelných intervaloch. </w:t>
      </w:r>
      <w:r w:rsidRPr="00FE41FC">
        <w:t>Každé potvrdené zvýšenie z najnižšej hladiny PSA počas liečby dutasteridom môže signalizovať prítomnosť rakoviny prostaty (najmä karcinómu vysokého stupňa) alebo nedodržiavanie predpísanej liečby dutasteridom a preto by sa malo starostlivo vyhodnotiť, a to aj vtedy, ak sú tieto hodnoty ešte v rámci normálneho rozpätia u mužov, ktorí neužívajú inhibítor 5</w:t>
      </w:r>
      <w:r w:rsidRPr="00FE41FC">
        <w:rPr>
          <w:snapToGrid w:val="0"/>
        </w:rPr>
        <w:sym w:font="Symbol" w:char="F061"/>
      </w:r>
      <w:r w:rsidRPr="00FE41FC">
        <w:noBreakHyphen/>
        <w:t>reduktázy (pozri časť 5.1).</w:t>
      </w:r>
      <w:r w:rsidR="00CA258E" w:rsidRPr="00FE41FC">
        <w:t xml:space="preserve"> </w:t>
      </w:r>
      <w:r w:rsidRPr="00FE41FC">
        <w:t>U pacienta, ktorý užíva dutasterid, sa musí hodnota PSA interpretovať na základe porovnania s jeho predchádzajúcimi hodnotami PSA.</w:t>
      </w:r>
    </w:p>
    <w:p w14:paraId="29061E2B" w14:textId="77777777" w:rsidR="007266AA" w:rsidRDefault="007266AA">
      <w:pPr>
        <w:spacing w:line="240" w:lineRule="auto"/>
        <w:rPr>
          <w:snapToGrid w:val="0"/>
        </w:rPr>
      </w:pPr>
    </w:p>
    <w:p w14:paraId="6AC01356" w14:textId="77777777" w:rsidR="007266AA" w:rsidRDefault="007266AA">
      <w:pPr>
        <w:spacing w:line="240" w:lineRule="auto"/>
        <w:rPr>
          <w:snapToGrid w:val="0"/>
        </w:rPr>
      </w:pPr>
      <w:r>
        <w:t>Po určení novej východiskovej hodnoty PSA neprekáža liečba dutasteridom pri použití PSA ako pomôcky pri diagnostikovaní rakoviny prostaty (pozri časť 5.1).</w:t>
      </w:r>
    </w:p>
    <w:p w14:paraId="65B2C187" w14:textId="77777777" w:rsidR="007266AA" w:rsidRDefault="007266AA">
      <w:pPr>
        <w:spacing w:line="240" w:lineRule="auto"/>
        <w:rPr>
          <w:snapToGrid w:val="0"/>
        </w:rPr>
      </w:pPr>
    </w:p>
    <w:p w14:paraId="15B7387B" w14:textId="77777777" w:rsidR="00A20DCF" w:rsidRDefault="007266AA">
      <w:pPr>
        <w:spacing w:line="240" w:lineRule="auto"/>
        <w:rPr>
          <w:snapToGrid w:val="0"/>
        </w:rPr>
      </w:pPr>
      <w:r>
        <w:t>Celkové hladiny PSA v sére sa vrátia k východiskovým hodnotám do 6 mesiacov po prerušení liečby. Pomer voľného k celkovému PSA ostáva nezmenený aj napriek vplyvu dutasteridu</w:t>
      </w:r>
      <w:r w:rsidRPr="0039326C">
        <w:t xml:space="preserve">. </w:t>
      </w:r>
      <w:r w:rsidR="00A20DCF" w:rsidRPr="00A20DCF">
        <w:rPr>
          <w:snapToGrid w:val="0"/>
        </w:rPr>
        <w:t xml:space="preserve">Ak </w:t>
      </w:r>
      <w:r w:rsidR="0039326C">
        <w:rPr>
          <w:snapToGrid w:val="0"/>
        </w:rPr>
        <w:t xml:space="preserve">sa </w:t>
      </w:r>
      <w:r w:rsidR="00A20DCF" w:rsidRPr="00A20DCF">
        <w:rPr>
          <w:snapToGrid w:val="0"/>
        </w:rPr>
        <w:t xml:space="preserve">lekári </w:t>
      </w:r>
      <w:r w:rsidR="0039326C">
        <w:rPr>
          <w:snapToGrid w:val="0"/>
        </w:rPr>
        <w:t xml:space="preserve">rozhodnú </w:t>
      </w:r>
      <w:r w:rsidR="00A20DCF" w:rsidRPr="00A20DCF">
        <w:rPr>
          <w:snapToGrid w:val="0"/>
        </w:rPr>
        <w:t>použi</w:t>
      </w:r>
      <w:r w:rsidR="0039326C">
        <w:rPr>
          <w:snapToGrid w:val="0"/>
        </w:rPr>
        <w:t>ť</w:t>
      </w:r>
      <w:r w:rsidR="00A20DCF" w:rsidRPr="00A20DCF">
        <w:rPr>
          <w:snapToGrid w:val="0"/>
        </w:rPr>
        <w:t xml:space="preserve"> </w:t>
      </w:r>
      <w:r w:rsidR="0039326C">
        <w:rPr>
          <w:snapToGrid w:val="0"/>
        </w:rPr>
        <w:t xml:space="preserve">bezpercentný </w:t>
      </w:r>
      <w:r w:rsidR="00A20DCF" w:rsidRPr="00A20DCF">
        <w:rPr>
          <w:snapToGrid w:val="0"/>
        </w:rPr>
        <w:t>PSA ako pomôcku pri det</w:t>
      </w:r>
      <w:r w:rsidR="0039326C">
        <w:rPr>
          <w:snapToGrid w:val="0"/>
        </w:rPr>
        <w:t xml:space="preserve">ekcii rakoviny prostaty u mužov, ktorí podstupujú </w:t>
      </w:r>
      <w:r w:rsidR="00A20DCF" w:rsidRPr="00A20DCF">
        <w:rPr>
          <w:snapToGrid w:val="0"/>
        </w:rPr>
        <w:t xml:space="preserve">liečbu dutasteridom, </w:t>
      </w:r>
      <w:r w:rsidR="0039326C">
        <w:rPr>
          <w:snapToGrid w:val="0"/>
        </w:rPr>
        <w:t>žiadna úprava jeho hodnoty nie je potrebná</w:t>
      </w:r>
      <w:r w:rsidR="00A20DCF" w:rsidRPr="00A20DCF">
        <w:rPr>
          <w:snapToGrid w:val="0"/>
        </w:rPr>
        <w:t>.</w:t>
      </w:r>
    </w:p>
    <w:p w14:paraId="30FE7165" w14:textId="77777777" w:rsidR="007266AA" w:rsidRDefault="007266AA">
      <w:pPr>
        <w:spacing w:line="240" w:lineRule="auto"/>
      </w:pPr>
    </w:p>
    <w:p w14:paraId="2C50F7B3" w14:textId="77777777" w:rsidR="007266AA" w:rsidRPr="00CA258E" w:rsidRDefault="007266AA">
      <w:pPr>
        <w:spacing w:line="240" w:lineRule="auto"/>
        <w:rPr>
          <w:i/>
        </w:rPr>
      </w:pPr>
      <w:r w:rsidRPr="00CA258E">
        <w:rPr>
          <w:i/>
        </w:rPr>
        <w:t>Rakovina prostaty a nádory vysokého stupňa</w:t>
      </w:r>
    </w:p>
    <w:p w14:paraId="393B56DC" w14:textId="77777777" w:rsidR="007266AA" w:rsidRDefault="007266AA">
      <w:pPr>
        <w:spacing w:line="240" w:lineRule="auto"/>
      </w:pPr>
      <w:r w:rsidRPr="007A7752">
        <w:lastRenderedPageBreak/>
        <w:t>Výsledky jednej klinickej štúdie (štúdia REDUCE) s</w:t>
      </w:r>
      <w:r w:rsidR="0039326C" w:rsidRPr="007A7752">
        <w:t> </w:t>
      </w:r>
      <w:r w:rsidRPr="007A7752">
        <w:t>mužmi</w:t>
      </w:r>
      <w:r w:rsidR="0039326C" w:rsidRPr="007A7752">
        <w:t xml:space="preserve">, ktorí mali </w:t>
      </w:r>
      <w:r w:rsidRPr="007A7752">
        <w:t>zvýšen</w:t>
      </w:r>
      <w:r w:rsidR="0039326C" w:rsidRPr="007A7752">
        <w:t>é</w:t>
      </w:r>
      <w:r w:rsidRPr="007A7752">
        <w:t xml:space="preserve"> rizikom rakoviny prostaty</w:t>
      </w:r>
      <w:r w:rsidR="0039326C" w:rsidRPr="007A7752">
        <w:t>,</w:t>
      </w:r>
      <w:r w:rsidRPr="007A7752">
        <w:t xml:space="preserve"> odhalili vyšš</w:t>
      </w:r>
      <w:r w:rsidR="00F34D99" w:rsidRPr="007A7752">
        <w:t>iu</w:t>
      </w:r>
      <w:r w:rsidRPr="007A7752">
        <w:t xml:space="preserve"> </w:t>
      </w:r>
      <w:r w:rsidR="00F34D99" w:rsidRPr="007A7752">
        <w:t xml:space="preserve">incidienciu karcinómov prostaty s </w:t>
      </w:r>
      <w:r w:rsidRPr="007A7752">
        <w:t>Gleasono</w:t>
      </w:r>
      <w:r w:rsidR="00F34D99" w:rsidRPr="007A7752">
        <w:t>vým</w:t>
      </w:r>
      <w:r w:rsidRPr="007A7752">
        <w:t xml:space="preserve"> skóre 8–10 u mužov liečených dutasteridom v porovnaní s mužmi, ktorí dostávali placebo.</w:t>
      </w:r>
      <w:r w:rsidR="00F34D99" w:rsidRPr="007A7752">
        <w:t xml:space="preserve"> S</w:t>
      </w:r>
      <w:r w:rsidRPr="007A7752">
        <w:t>úvislosť medzi dutasteridom a rakovinou prostaty vysokého stupňa nie je jasná. U mužov, ktorí užívajú dutasterid</w:t>
      </w:r>
      <w:r>
        <w:t xml:space="preserve">, sa má pravidelne vyhodnocovať riziko rakoviny prostaty </w:t>
      </w:r>
      <w:r w:rsidR="00061BD5">
        <w:t>vrátane</w:t>
      </w:r>
      <w:r>
        <w:t xml:space="preserve"> kontroly PSA (pozri časť 5.1).</w:t>
      </w:r>
    </w:p>
    <w:p w14:paraId="347FFEAE" w14:textId="77777777" w:rsidR="007266AA" w:rsidRDefault="007266AA">
      <w:pPr>
        <w:spacing w:line="240" w:lineRule="auto"/>
      </w:pPr>
    </w:p>
    <w:p w14:paraId="2D5A1B00" w14:textId="77777777" w:rsidR="007266AA" w:rsidRPr="00CA258E" w:rsidRDefault="00355E9D">
      <w:pPr>
        <w:spacing w:line="240" w:lineRule="auto"/>
        <w:ind w:left="567" w:hanging="567"/>
        <w:rPr>
          <w:i/>
        </w:rPr>
      </w:pPr>
      <w:r>
        <w:rPr>
          <w:i/>
        </w:rPr>
        <w:t>Vytekajúce</w:t>
      </w:r>
      <w:r w:rsidR="007266AA" w:rsidRPr="00CA258E">
        <w:rPr>
          <w:i/>
        </w:rPr>
        <w:t xml:space="preserve"> kapsuly </w:t>
      </w:r>
    </w:p>
    <w:p w14:paraId="74CA94E8" w14:textId="77777777" w:rsidR="007266AA" w:rsidRDefault="007266AA">
      <w:pPr>
        <w:spacing w:line="240" w:lineRule="auto"/>
      </w:pPr>
      <w:r>
        <w:t xml:space="preserve">Dutasterid sa absorbuje cez kožu, </w:t>
      </w:r>
      <w:r w:rsidR="00355E9D">
        <w:t xml:space="preserve"> </w:t>
      </w:r>
      <w:r>
        <w:t xml:space="preserve">preto </w:t>
      </w:r>
      <w:r w:rsidR="00355E9D">
        <w:t xml:space="preserve">sa </w:t>
      </w:r>
      <w:r w:rsidRPr="00540F6B">
        <w:t>ženy</w:t>
      </w:r>
      <w:r w:rsidR="00355E9D" w:rsidRPr="00540F6B">
        <w:t>, deti</w:t>
      </w:r>
      <w:r w:rsidRPr="00540F6B">
        <w:t xml:space="preserve"> a</w:t>
      </w:r>
      <w:r w:rsidR="00355E9D" w:rsidRPr="00540F6B">
        <w:t xml:space="preserve"> dospievajúci </w:t>
      </w:r>
      <w:r w:rsidR="00355E9D">
        <w:t>musia</w:t>
      </w:r>
      <w:r>
        <w:t xml:space="preserve"> vyhnúť kontaktu s </w:t>
      </w:r>
      <w:r w:rsidR="00355E9D">
        <w:t>vytekajúcimi</w:t>
      </w:r>
      <w:r>
        <w:t xml:space="preserve"> kapsulami (pozri časť 4.6). Ak dôjde ku kontaktu s </w:t>
      </w:r>
      <w:r w:rsidR="00355E9D">
        <w:t>vytekajúcimi</w:t>
      </w:r>
      <w:r>
        <w:t xml:space="preserve"> kapsulami, postihnutá oblasť sa musí okamžite umyť mydlom a vodou.</w:t>
      </w:r>
    </w:p>
    <w:p w14:paraId="1ABF742E" w14:textId="77777777" w:rsidR="007266AA" w:rsidRDefault="007266AA">
      <w:pPr>
        <w:spacing w:line="240" w:lineRule="auto"/>
      </w:pPr>
    </w:p>
    <w:p w14:paraId="3DD8D1C4" w14:textId="77777777" w:rsidR="007266AA" w:rsidRPr="00CA258E" w:rsidRDefault="007266AA">
      <w:pPr>
        <w:spacing w:line="240" w:lineRule="auto"/>
        <w:rPr>
          <w:i/>
        </w:rPr>
      </w:pPr>
      <w:r w:rsidRPr="00CA258E">
        <w:rPr>
          <w:i/>
        </w:rPr>
        <w:t>Porucha funkcie pečene</w:t>
      </w:r>
    </w:p>
    <w:p w14:paraId="41F429DD" w14:textId="77777777" w:rsidR="007266AA" w:rsidRDefault="007266AA">
      <w:pPr>
        <w:spacing w:line="240" w:lineRule="auto"/>
      </w:pPr>
      <w:r>
        <w:t>Dutasterid nebol skúmaný u pacientov s ochorením pečene. Pacientom s miernou až stredne ťažkou poruchou funkcie pečene je treba dutasterid podávať opatrne (pozri časti 4.2, 4.3 a 5.2).</w:t>
      </w:r>
    </w:p>
    <w:p w14:paraId="4EF6DF12" w14:textId="77777777" w:rsidR="007266AA" w:rsidRDefault="007266AA">
      <w:pPr>
        <w:spacing w:line="240" w:lineRule="auto"/>
      </w:pPr>
    </w:p>
    <w:p w14:paraId="6FD8A2EF" w14:textId="77777777" w:rsidR="007266AA" w:rsidRPr="00CA258E" w:rsidRDefault="007266AA">
      <w:pPr>
        <w:spacing w:line="240" w:lineRule="auto"/>
        <w:rPr>
          <w:i/>
        </w:rPr>
      </w:pPr>
      <w:r w:rsidRPr="00CA258E">
        <w:rPr>
          <w:i/>
        </w:rPr>
        <w:t>Neoplázia prsníkov</w:t>
      </w:r>
    </w:p>
    <w:p w14:paraId="64EF8C27" w14:textId="77777777" w:rsidR="007266AA" w:rsidRDefault="007266AA">
      <w:pPr>
        <w:spacing w:line="240" w:lineRule="auto"/>
      </w:pPr>
      <w:r>
        <w:t>Rakovina prsníka bola zaznamenaná u mužov, ktorí užívali dutasterid v rámci klinických skúšaní (pozri časť 5.1) a v období po uvedení lieku na trh. Lekári majú poučiť svojich pacientov, aby okamžite hlásili akékoľvek zmeny v tkanive prsníka, akými sú hrčky alebo výtok z bradaviek.V súčasnosti nie je jasné, či je medzi výskytom rakoviny prsníka u mužov a dlhodobým používaním dutasteridu príčinný vzťah.</w:t>
      </w:r>
    </w:p>
    <w:p w14:paraId="54E0B292" w14:textId="77777777" w:rsidR="007266AA" w:rsidRDefault="007266AA">
      <w:pPr>
        <w:spacing w:line="240" w:lineRule="auto"/>
      </w:pPr>
    </w:p>
    <w:p w14:paraId="4B2F7549" w14:textId="77777777" w:rsidR="007266AA" w:rsidRDefault="007266AA">
      <w:pPr>
        <w:spacing w:line="240" w:lineRule="auto"/>
        <w:ind w:left="567" w:hanging="567"/>
      </w:pPr>
      <w:r>
        <w:rPr>
          <w:b/>
        </w:rPr>
        <w:t>4.5</w:t>
      </w:r>
      <w:r>
        <w:tab/>
      </w:r>
      <w:r>
        <w:rPr>
          <w:b/>
        </w:rPr>
        <w:t>Liekové a iné interakcie</w:t>
      </w:r>
    </w:p>
    <w:p w14:paraId="76B36116" w14:textId="77777777" w:rsidR="007266AA" w:rsidRDefault="007266AA">
      <w:pPr>
        <w:spacing w:line="240" w:lineRule="auto"/>
      </w:pPr>
    </w:p>
    <w:p w14:paraId="5AA07497" w14:textId="77777777" w:rsidR="007266AA" w:rsidRDefault="007266AA">
      <w:pPr>
        <w:spacing w:line="240" w:lineRule="auto"/>
        <w:rPr>
          <w:snapToGrid w:val="0"/>
        </w:rPr>
      </w:pPr>
      <w:r>
        <w:t>Informáciu o znížení sérových hladín PSA počas liečby dutasteridom a odporúčania týkajúce sa detekcie rakoviny prostaty, pozri časť 4.4.</w:t>
      </w:r>
    </w:p>
    <w:p w14:paraId="58A59866" w14:textId="77777777" w:rsidR="007266AA" w:rsidRDefault="007266AA">
      <w:pPr>
        <w:spacing w:line="240" w:lineRule="auto"/>
        <w:rPr>
          <w:snapToGrid w:val="0"/>
        </w:rPr>
      </w:pPr>
    </w:p>
    <w:p w14:paraId="63D46F33" w14:textId="77777777" w:rsidR="007266AA" w:rsidRPr="00CA258E" w:rsidRDefault="007266AA">
      <w:pPr>
        <w:spacing w:line="240" w:lineRule="auto"/>
        <w:rPr>
          <w:i/>
        </w:rPr>
      </w:pPr>
      <w:r w:rsidRPr="00CA258E">
        <w:rPr>
          <w:i/>
        </w:rPr>
        <w:t>Účinok iných liekov na farmakokinetiku dutasteridu</w:t>
      </w:r>
    </w:p>
    <w:p w14:paraId="67BAD1D0" w14:textId="77777777" w:rsidR="007266AA" w:rsidRDefault="007266AA">
      <w:pPr>
        <w:spacing w:line="240" w:lineRule="auto"/>
      </w:pPr>
    </w:p>
    <w:p w14:paraId="0510140C" w14:textId="77777777" w:rsidR="007266AA" w:rsidRDefault="007266AA">
      <w:pPr>
        <w:spacing w:line="240" w:lineRule="auto"/>
        <w:rPr>
          <w:snapToGrid w:val="0"/>
        </w:rPr>
      </w:pPr>
      <w:r>
        <w:rPr>
          <w:i/>
          <w:snapToGrid w:val="0"/>
        </w:rPr>
        <w:t>Použitie spolu s inhibítormi CYP3A4 a/alebo inhibítormi P-glykoproteínu:</w:t>
      </w:r>
    </w:p>
    <w:p w14:paraId="54DDD106" w14:textId="77777777" w:rsidR="007266AA" w:rsidRDefault="007266AA">
      <w:pPr>
        <w:spacing w:line="240" w:lineRule="auto"/>
      </w:pPr>
      <w:r>
        <w:t xml:space="preserve">Dutasterid sa vylučuje najmä metabolizmom. </w:t>
      </w:r>
      <w:r>
        <w:rPr>
          <w:i/>
        </w:rPr>
        <w:t>In vitro</w:t>
      </w:r>
      <w:r>
        <w:t xml:space="preserve"> štúdie ukazujú, že tento metabolizmus je katalyzovaný prostredníctvom CYP3A4 a CYP3A5. Neuskutočnili sa žiadne formálne interakčné štúdie s účinnými inhibítormi CYP3A4. </w:t>
      </w:r>
      <w:r w:rsidR="002309FB">
        <w:t>V</w:t>
      </w:r>
      <w:r>
        <w:t xml:space="preserve"> populačnej farmakokinetickej štúdii však boli sérové koncentrácie dutasteridu v priemere 1,6 až 1,8-násobne vyššie u malého počtu pacientov liečených súčasne verapamilom alebo diltiazemom (mierne inhibítory CYP3A4 a inhibítory P-glykoproteínu) ako u iných pacientov. </w:t>
      </w:r>
    </w:p>
    <w:p w14:paraId="5CA8A3A7" w14:textId="77777777" w:rsidR="007266AA" w:rsidRDefault="007266AA">
      <w:pPr>
        <w:spacing w:line="240" w:lineRule="auto"/>
      </w:pPr>
    </w:p>
    <w:p w14:paraId="4C9B1AA7" w14:textId="77777777" w:rsidR="007266AA" w:rsidRDefault="007266AA">
      <w:pPr>
        <w:spacing w:line="240" w:lineRule="auto"/>
      </w:pPr>
      <w:r>
        <w:t xml:space="preserve">Dlhodobá kombinácia dutasteridu s liekmi, ktoré sú účinnými inhibítormi enzýmu CYP3A4 (napr. ritonavir, indinavir, nefazodón, itrakonazol, ketokonazol podávané perorálne) môže zvýšiť sérové koncentrácie dutasteridu. Ďalšia inhibícia 5-alfa-reduktázy pri zvýšenej expozícii dutasteridu nie je pravdepodobná. Zníženie frekvencie dávok dutasteridu sa však môže zvážiť, ak sú pozorované vedľajšie účinky. Je potrebné vziať na vedomie, že v prípade enzymatickej inhibície sa môže dlhý polčas ešte viac predĺžiť a môže trvať viac ako 6 mesiacov súbežnej liečby, kým sa dosiahne nový ustálený stav. </w:t>
      </w:r>
    </w:p>
    <w:p w14:paraId="755A6277" w14:textId="77777777" w:rsidR="007266AA" w:rsidRDefault="007266AA">
      <w:pPr>
        <w:spacing w:line="240" w:lineRule="auto"/>
      </w:pPr>
    </w:p>
    <w:p w14:paraId="27805B5B" w14:textId="77777777" w:rsidR="007266AA" w:rsidRDefault="007266AA">
      <w:pPr>
        <w:spacing w:line="240" w:lineRule="auto"/>
      </w:pPr>
      <w:r>
        <w:t xml:space="preserve">Podávanie </w:t>
      </w:r>
      <w:r w:rsidR="00FC2D17">
        <w:t>12 </w:t>
      </w:r>
      <w:r>
        <w:t>g cholestyramínu hodinu po podaní 5 mg jednorazovej dávky dutasteridu nemalo vplyv na farmakokinetiku dutasteridu.</w:t>
      </w:r>
    </w:p>
    <w:p w14:paraId="023D69BC" w14:textId="77777777" w:rsidR="007266AA" w:rsidRDefault="007266AA">
      <w:pPr>
        <w:spacing w:line="240" w:lineRule="auto"/>
      </w:pPr>
    </w:p>
    <w:p w14:paraId="090E0334" w14:textId="77777777" w:rsidR="007266AA" w:rsidRPr="002309FB" w:rsidRDefault="007266AA">
      <w:pPr>
        <w:spacing w:line="240" w:lineRule="auto"/>
        <w:rPr>
          <w:i/>
        </w:rPr>
      </w:pPr>
      <w:r w:rsidRPr="002309FB">
        <w:rPr>
          <w:i/>
        </w:rPr>
        <w:t>Účinok dutasteridu na farmakokinetiku iných liekov</w:t>
      </w:r>
    </w:p>
    <w:p w14:paraId="799D9451" w14:textId="77777777" w:rsidR="007266AA" w:rsidRPr="007A7752" w:rsidRDefault="007266AA">
      <w:pPr>
        <w:spacing w:line="240" w:lineRule="auto"/>
      </w:pPr>
      <w:r>
        <w:t xml:space="preserve">Dutasterid nemá žiadny účinok na farmakokinetiku warfarínu alebo digoxínu. To ukazuje, že dutasterid neinhibuje/neindukuje CYP2C9 alebo transportér P-glykoproteínu. </w:t>
      </w:r>
      <w:r>
        <w:rPr>
          <w:i/>
        </w:rPr>
        <w:t>In vitro</w:t>
      </w:r>
      <w:r>
        <w:t xml:space="preserve"> interakčné štúdie ukazujú, že </w:t>
      </w:r>
      <w:r w:rsidRPr="007A7752">
        <w:t>dutasterid neinhibuje enzýmy CYP1A2, CYP2</w:t>
      </w:r>
      <w:r w:rsidR="002309FB" w:rsidRPr="007A7752">
        <w:t>D</w:t>
      </w:r>
      <w:r w:rsidRPr="007A7752">
        <w:t>6, CYP2C</w:t>
      </w:r>
      <w:r w:rsidR="002309FB" w:rsidRPr="007A7752">
        <w:t>9</w:t>
      </w:r>
      <w:r w:rsidRPr="007A7752">
        <w:t>, CYP2C19</w:t>
      </w:r>
      <w:r w:rsidR="002309FB" w:rsidRPr="007A7752">
        <w:t xml:space="preserve"> </w:t>
      </w:r>
      <w:r w:rsidRPr="007A7752">
        <w:t>alebo CYP3A4.</w:t>
      </w:r>
    </w:p>
    <w:p w14:paraId="2D4FE1A0" w14:textId="77777777" w:rsidR="007266AA" w:rsidRDefault="007266AA">
      <w:pPr>
        <w:spacing w:line="240" w:lineRule="auto"/>
      </w:pPr>
      <w:r w:rsidRPr="007A7752">
        <w:t xml:space="preserve">V malej </w:t>
      </w:r>
      <w:r w:rsidR="00FE1F11" w:rsidRPr="007A7752">
        <w:t xml:space="preserve">dvojtýždňovej </w:t>
      </w:r>
      <w:r w:rsidRPr="007A7752">
        <w:t xml:space="preserve">štúdii </w:t>
      </w:r>
      <w:r w:rsidR="00FE1F11" w:rsidRPr="007A7752">
        <w:t>(N=24) u</w:t>
      </w:r>
      <w:r w:rsidRPr="007A7752">
        <w:t xml:space="preserve"> zdravý</w:t>
      </w:r>
      <w:r w:rsidR="00FE1F11" w:rsidRPr="007A7752">
        <w:t>ch</w:t>
      </w:r>
      <w:r w:rsidRPr="007A7752">
        <w:t xml:space="preserve"> muž</w:t>
      </w:r>
      <w:r w:rsidR="00FE1F11" w:rsidRPr="007A7752">
        <w:t>ov</w:t>
      </w:r>
      <w:r w:rsidRPr="007A7752">
        <w:t xml:space="preserve"> dutasterid (0,5 mg denne) nemal žiaden účinok na farmakokinetiku tamsulozínu alebo terazosínu.</w:t>
      </w:r>
      <w:r w:rsidRPr="007A7752">
        <w:rPr>
          <w:color w:val="000000"/>
        </w:rPr>
        <w:t xml:space="preserve"> V tejto štúdii </w:t>
      </w:r>
      <w:r w:rsidR="00FE1F11" w:rsidRPr="007A7752">
        <w:rPr>
          <w:color w:val="000000"/>
        </w:rPr>
        <w:t>neboli ani žiadne znaky</w:t>
      </w:r>
      <w:r w:rsidRPr="007A7752">
        <w:rPr>
          <w:color w:val="000000"/>
        </w:rPr>
        <w:t xml:space="preserve"> farmakodynamick</w:t>
      </w:r>
      <w:r w:rsidR="00FE1F11" w:rsidRPr="007A7752">
        <w:rPr>
          <w:color w:val="000000"/>
        </w:rPr>
        <w:t>ej</w:t>
      </w:r>
      <w:r w:rsidRPr="007A7752">
        <w:rPr>
          <w:color w:val="000000"/>
        </w:rPr>
        <w:t xml:space="preserve"> interakci</w:t>
      </w:r>
      <w:r w:rsidR="00FE1F11" w:rsidRPr="007A7752">
        <w:rPr>
          <w:color w:val="000000"/>
        </w:rPr>
        <w:t>e</w:t>
      </w:r>
      <w:r w:rsidRPr="007A7752">
        <w:rPr>
          <w:color w:val="000000"/>
        </w:rPr>
        <w:t>.</w:t>
      </w:r>
    </w:p>
    <w:p w14:paraId="6C8F8B91" w14:textId="77777777" w:rsidR="007266AA" w:rsidRDefault="007266AA">
      <w:pPr>
        <w:spacing w:line="240" w:lineRule="auto"/>
      </w:pPr>
    </w:p>
    <w:p w14:paraId="59EA2EB6" w14:textId="77777777" w:rsidR="007266AA" w:rsidRDefault="007266AA">
      <w:pPr>
        <w:numPr>
          <w:ilvl w:val="1"/>
          <w:numId w:val="8"/>
        </w:numPr>
        <w:tabs>
          <w:tab w:val="clear" w:pos="570"/>
          <w:tab w:val="left" w:pos="567"/>
        </w:tabs>
        <w:spacing w:line="240" w:lineRule="auto"/>
        <w:rPr>
          <w:b/>
        </w:rPr>
      </w:pPr>
      <w:r>
        <w:rPr>
          <w:b/>
        </w:rPr>
        <w:t>Fertilita, gravidita a laktácia</w:t>
      </w:r>
    </w:p>
    <w:p w14:paraId="080EF1D5" w14:textId="77777777" w:rsidR="007266AA" w:rsidRDefault="007266AA">
      <w:pPr>
        <w:spacing w:line="240" w:lineRule="auto"/>
        <w:rPr>
          <w:b/>
        </w:rPr>
      </w:pPr>
    </w:p>
    <w:p w14:paraId="40603991" w14:textId="77777777" w:rsidR="007266AA" w:rsidRDefault="007266AA">
      <w:pPr>
        <w:spacing w:line="240" w:lineRule="auto"/>
      </w:pPr>
      <w:r>
        <w:t>Používanie dutasteridu u žien je kontraindikované.</w:t>
      </w:r>
    </w:p>
    <w:p w14:paraId="468D4A90" w14:textId="77777777" w:rsidR="007266AA" w:rsidRDefault="007266AA">
      <w:pPr>
        <w:spacing w:line="240" w:lineRule="auto"/>
      </w:pPr>
    </w:p>
    <w:p w14:paraId="35725CD1" w14:textId="77777777" w:rsidR="007266AA" w:rsidRPr="00813503" w:rsidRDefault="007266AA">
      <w:pPr>
        <w:spacing w:line="240" w:lineRule="auto"/>
        <w:rPr>
          <w:i/>
        </w:rPr>
      </w:pPr>
      <w:r w:rsidRPr="00813503">
        <w:rPr>
          <w:i/>
        </w:rPr>
        <w:lastRenderedPageBreak/>
        <w:t xml:space="preserve">Gravidita </w:t>
      </w:r>
    </w:p>
    <w:p w14:paraId="7F5F83FB" w14:textId="77777777" w:rsidR="007266AA" w:rsidRDefault="007266AA">
      <w:pPr>
        <w:spacing w:line="240" w:lineRule="auto"/>
      </w:pPr>
      <w:r>
        <w:t xml:space="preserve">Dutasterid tak ako iné inhibítory 5-alfa-reduktázy inhibuje konverziu testosterónu na dihydrotestosterón, a môže, ak je podávaný gravidnej žene, ktorej plod je mužského pohlavia, zabrániť vývoju vonkajších pohlavných orgánov plodu (pozri časť 4.4). Zo spermií jedincov užívajúcich dutasterid </w:t>
      </w:r>
      <w:r w:rsidR="00FC2D17">
        <w:t xml:space="preserve">0,5 mg </w:t>
      </w:r>
      <w:r>
        <w:t xml:space="preserve">denne boli získané malé množstvá dutasteridu. Nie je známe, či mužský plod môže byť nepriaznivo ovplyvnený, ak je jeho matka vystavená spermiám pacienta liečeného dutasteridom (takéto riziko je vyššie počas prvých 16 týždňov gravidity). </w:t>
      </w:r>
    </w:p>
    <w:p w14:paraId="0E572E05" w14:textId="77777777" w:rsidR="007266AA" w:rsidRDefault="007266AA">
      <w:pPr>
        <w:spacing w:line="240" w:lineRule="auto"/>
      </w:pPr>
    </w:p>
    <w:p w14:paraId="418D36C8" w14:textId="77777777" w:rsidR="007266AA" w:rsidRDefault="007266AA">
      <w:pPr>
        <w:spacing w:line="240" w:lineRule="auto"/>
      </w:pPr>
      <w:r>
        <w:t>Tak ako u iných inhibítorov 5-alfa-reduktázy sa odporúča, aby v prípadoch, keď pacientova partnerka je gravidná alebo je potenciálne gravidná, pacient zabránil expozícii partnerky spermiám použitím prezervatívu.</w:t>
      </w:r>
    </w:p>
    <w:p w14:paraId="617B5CA3" w14:textId="77777777" w:rsidR="007266AA" w:rsidRDefault="007266AA">
      <w:pPr>
        <w:spacing w:line="240" w:lineRule="auto"/>
      </w:pPr>
    </w:p>
    <w:p w14:paraId="549DCC14" w14:textId="77777777" w:rsidR="007266AA" w:rsidRDefault="007266AA">
      <w:pPr>
        <w:spacing w:line="240" w:lineRule="auto"/>
      </w:pPr>
      <w:r>
        <w:t>Informácie o predklinických údajoch si pozrite v časti 5.3.</w:t>
      </w:r>
    </w:p>
    <w:p w14:paraId="44AB0690" w14:textId="77777777" w:rsidR="007266AA" w:rsidRDefault="007266AA">
      <w:pPr>
        <w:spacing w:line="240" w:lineRule="auto"/>
      </w:pPr>
    </w:p>
    <w:p w14:paraId="7027A058" w14:textId="77777777" w:rsidR="007266AA" w:rsidRPr="00B36812" w:rsidRDefault="00FC2D17">
      <w:pPr>
        <w:spacing w:line="240" w:lineRule="auto"/>
        <w:rPr>
          <w:i/>
        </w:rPr>
      </w:pPr>
      <w:r w:rsidRPr="00B36812">
        <w:rPr>
          <w:i/>
        </w:rPr>
        <w:t>Dojčenie</w:t>
      </w:r>
    </w:p>
    <w:p w14:paraId="3B3F4E99" w14:textId="77777777" w:rsidR="007266AA" w:rsidRDefault="007266AA">
      <w:pPr>
        <w:spacing w:line="240" w:lineRule="auto"/>
      </w:pPr>
      <w:r>
        <w:t xml:space="preserve">Nie je známe, či sa dutasterid vylučuje </w:t>
      </w:r>
      <w:r w:rsidRPr="00540F6B">
        <w:t xml:space="preserve">do </w:t>
      </w:r>
      <w:r w:rsidR="00FC2D17" w:rsidRPr="00540F6B">
        <w:t xml:space="preserve">ľudského </w:t>
      </w:r>
      <w:r w:rsidRPr="00540F6B">
        <w:t>mlieka</w:t>
      </w:r>
      <w:r>
        <w:t>.</w:t>
      </w:r>
    </w:p>
    <w:p w14:paraId="06B71C87" w14:textId="77777777" w:rsidR="007266AA" w:rsidRDefault="007266AA">
      <w:pPr>
        <w:spacing w:line="240" w:lineRule="auto"/>
        <w:rPr>
          <w:b/>
        </w:rPr>
      </w:pPr>
    </w:p>
    <w:p w14:paraId="39CE0B75" w14:textId="77777777" w:rsidR="00813503" w:rsidRPr="00203EF1" w:rsidRDefault="00813503" w:rsidP="00813503">
      <w:pPr>
        <w:spacing w:line="240" w:lineRule="auto"/>
        <w:rPr>
          <w:i/>
          <w:snapToGrid w:val="0"/>
          <w:szCs w:val="22"/>
        </w:rPr>
      </w:pPr>
      <w:r w:rsidRPr="00203EF1">
        <w:rPr>
          <w:i/>
          <w:snapToGrid w:val="0"/>
        </w:rPr>
        <w:t>Fertilita</w:t>
      </w:r>
    </w:p>
    <w:p w14:paraId="309A6BFC" w14:textId="77777777" w:rsidR="00813503" w:rsidRDefault="00813503" w:rsidP="00813503">
      <w:pPr>
        <w:spacing w:line="240" w:lineRule="auto"/>
        <w:rPr>
          <w:szCs w:val="22"/>
        </w:rPr>
      </w:pPr>
      <w:r>
        <w:t xml:space="preserve">U zdravých mužov bol zaznamenaný vplyv dutasteridu na charakteristické </w:t>
      </w:r>
      <w:r w:rsidRPr="00540F6B">
        <w:t>vlastnosti spermy</w:t>
      </w:r>
      <w:r>
        <w:t xml:space="preserve"> (zníženie počtu spermií, objem spermy a motilitu spermií) (pozri časť 5.1). Možnosť zníženia mužskej fertility sa nedá vylúčiť.</w:t>
      </w:r>
    </w:p>
    <w:p w14:paraId="2F2D6C47" w14:textId="77777777" w:rsidR="00813503" w:rsidRDefault="00813503">
      <w:pPr>
        <w:spacing w:line="240" w:lineRule="auto"/>
        <w:rPr>
          <w:b/>
        </w:rPr>
      </w:pPr>
    </w:p>
    <w:p w14:paraId="7C9FAF70" w14:textId="77777777" w:rsidR="007266AA" w:rsidRDefault="007266AA">
      <w:pPr>
        <w:spacing w:line="240" w:lineRule="auto"/>
        <w:ind w:left="567" w:hanging="567"/>
      </w:pPr>
      <w:r>
        <w:rPr>
          <w:b/>
        </w:rPr>
        <w:t xml:space="preserve">4.7 </w:t>
      </w:r>
      <w:r>
        <w:tab/>
      </w:r>
      <w:r>
        <w:rPr>
          <w:b/>
        </w:rPr>
        <w:t>Ovplyvnenie schopnosti viesť vozidlá a obsluhovať stroje</w:t>
      </w:r>
    </w:p>
    <w:p w14:paraId="151A5F1D" w14:textId="77777777" w:rsidR="007266AA" w:rsidRDefault="007266AA">
      <w:pPr>
        <w:spacing w:line="240" w:lineRule="auto"/>
      </w:pPr>
    </w:p>
    <w:p w14:paraId="2FBFA617" w14:textId="77777777" w:rsidR="007266AA" w:rsidRDefault="007266AA">
      <w:pPr>
        <w:spacing w:line="240" w:lineRule="auto"/>
        <w:rPr>
          <w:snapToGrid w:val="0"/>
          <w:color w:val="000000"/>
        </w:rPr>
      </w:pPr>
      <w:r>
        <w:rPr>
          <w:snapToGrid w:val="0"/>
          <w:color w:val="000000"/>
        </w:rPr>
        <w:t>Na základe farmakodynamických vlastností dutasteridu sa neočakáva, že by liečba dutasteridom mohla narušiť schopnosť viesť vozidlá alebo obsluhovať stroje.</w:t>
      </w:r>
    </w:p>
    <w:p w14:paraId="66538FED" w14:textId="77777777" w:rsidR="007266AA" w:rsidRDefault="007266AA">
      <w:pPr>
        <w:spacing w:line="240" w:lineRule="auto"/>
      </w:pPr>
    </w:p>
    <w:p w14:paraId="2EC5738E" w14:textId="77777777" w:rsidR="007266AA" w:rsidRDefault="007266AA">
      <w:pPr>
        <w:spacing w:line="240" w:lineRule="auto"/>
        <w:rPr>
          <w:b/>
        </w:rPr>
      </w:pPr>
      <w:r>
        <w:rPr>
          <w:b/>
        </w:rPr>
        <w:t xml:space="preserve">4.8 </w:t>
      </w:r>
      <w:r>
        <w:tab/>
      </w:r>
      <w:r>
        <w:rPr>
          <w:b/>
        </w:rPr>
        <w:t>Nežiaduce účinky</w:t>
      </w:r>
    </w:p>
    <w:p w14:paraId="67EEDD1C" w14:textId="77777777" w:rsidR="007266AA" w:rsidRDefault="007266AA">
      <w:pPr>
        <w:spacing w:line="240" w:lineRule="auto"/>
      </w:pPr>
    </w:p>
    <w:p w14:paraId="51A562CC" w14:textId="77777777" w:rsidR="007266AA" w:rsidRPr="00B36812" w:rsidRDefault="007266AA">
      <w:pPr>
        <w:spacing w:line="240" w:lineRule="auto"/>
        <w:rPr>
          <w:color w:val="000000"/>
          <w:szCs w:val="22"/>
          <w:u w:val="single"/>
        </w:rPr>
      </w:pPr>
      <w:r w:rsidRPr="00B36812">
        <w:rPr>
          <w:color w:val="000000"/>
          <w:u w:val="single"/>
        </w:rPr>
        <w:t>Dutasterid ako monoterapia</w:t>
      </w:r>
    </w:p>
    <w:p w14:paraId="50CC0DF7" w14:textId="77777777" w:rsidR="007266AA" w:rsidRDefault="007266AA">
      <w:pPr>
        <w:spacing w:line="240" w:lineRule="auto"/>
        <w:rPr>
          <w:snapToGrid w:val="0"/>
          <w:color w:val="000000"/>
        </w:rPr>
      </w:pPr>
      <w:r>
        <w:rPr>
          <w:snapToGrid w:val="0"/>
          <w:color w:val="000000"/>
        </w:rPr>
        <w:t xml:space="preserve">Nežiaduce </w:t>
      </w:r>
      <w:r w:rsidR="004C54DF">
        <w:rPr>
          <w:snapToGrid w:val="0"/>
          <w:color w:val="000000"/>
        </w:rPr>
        <w:t>reakcie</w:t>
      </w:r>
      <w:r>
        <w:rPr>
          <w:snapToGrid w:val="0"/>
          <w:color w:val="000000"/>
        </w:rPr>
        <w:t xml:space="preserve"> sa rozvinuli približne u 19 % z 2 167 pacientov, ktorí užívali dutasterid v dvojročn</w:t>
      </w:r>
      <w:r w:rsidR="005D3A3C">
        <w:rPr>
          <w:snapToGrid w:val="0"/>
          <w:color w:val="000000"/>
        </w:rPr>
        <w:t>ých</w:t>
      </w:r>
      <w:r>
        <w:rPr>
          <w:snapToGrid w:val="0"/>
          <w:color w:val="000000"/>
        </w:rPr>
        <w:t xml:space="preserve"> </w:t>
      </w:r>
      <w:r w:rsidR="00FE1F11">
        <w:rPr>
          <w:snapToGrid w:val="0"/>
          <w:color w:val="000000"/>
        </w:rPr>
        <w:t>placebo kontrolovan</w:t>
      </w:r>
      <w:r w:rsidR="005D3A3C">
        <w:rPr>
          <w:snapToGrid w:val="0"/>
          <w:color w:val="000000"/>
        </w:rPr>
        <w:t>ých</w:t>
      </w:r>
      <w:r w:rsidR="00FE1F11">
        <w:rPr>
          <w:snapToGrid w:val="0"/>
          <w:color w:val="000000"/>
        </w:rPr>
        <w:t xml:space="preserve"> </w:t>
      </w:r>
      <w:r>
        <w:rPr>
          <w:snapToGrid w:val="0"/>
          <w:color w:val="000000"/>
        </w:rPr>
        <w:t>štúdi</w:t>
      </w:r>
      <w:r w:rsidR="005D3A3C">
        <w:rPr>
          <w:snapToGrid w:val="0"/>
          <w:color w:val="000000"/>
        </w:rPr>
        <w:t>ách</w:t>
      </w:r>
      <w:r>
        <w:rPr>
          <w:snapToGrid w:val="0"/>
          <w:color w:val="000000"/>
        </w:rPr>
        <w:t xml:space="preserve"> fázy III</w:t>
      </w:r>
      <w:r w:rsidR="00FE1F11">
        <w:rPr>
          <w:snapToGrid w:val="0"/>
          <w:color w:val="000000"/>
        </w:rPr>
        <w:t>, počas prvého roku liečby.</w:t>
      </w:r>
      <w:r>
        <w:rPr>
          <w:snapToGrid w:val="0"/>
          <w:color w:val="000000"/>
        </w:rPr>
        <w:t xml:space="preserve"> Väčšina udalostí bola</w:t>
      </w:r>
      <w:r w:rsidR="005D3A3C">
        <w:rPr>
          <w:snapToGrid w:val="0"/>
          <w:color w:val="000000"/>
        </w:rPr>
        <w:t xml:space="preserve"> mierneho</w:t>
      </w:r>
      <w:r>
        <w:rPr>
          <w:snapToGrid w:val="0"/>
          <w:color w:val="000000"/>
        </w:rPr>
        <w:t xml:space="preserve"> alebo stredne ťažkého stupňa a</w:t>
      </w:r>
      <w:r w:rsidR="005D3A3C">
        <w:rPr>
          <w:snapToGrid w:val="0"/>
          <w:color w:val="000000"/>
        </w:rPr>
        <w:t xml:space="preserve"> vyskytovala sa v </w:t>
      </w:r>
      <w:r>
        <w:rPr>
          <w:snapToGrid w:val="0"/>
          <w:color w:val="000000"/>
        </w:rPr>
        <w:t>reprodukč</w:t>
      </w:r>
      <w:r w:rsidR="005D3A3C">
        <w:rPr>
          <w:snapToGrid w:val="0"/>
          <w:color w:val="000000"/>
        </w:rPr>
        <w:t>nom</w:t>
      </w:r>
      <w:r>
        <w:rPr>
          <w:snapToGrid w:val="0"/>
          <w:color w:val="000000"/>
        </w:rPr>
        <w:t xml:space="preserve"> systém</w:t>
      </w:r>
      <w:r w:rsidR="005D3A3C">
        <w:rPr>
          <w:snapToGrid w:val="0"/>
          <w:color w:val="000000"/>
        </w:rPr>
        <w:t>e</w:t>
      </w:r>
      <w:r>
        <w:rPr>
          <w:snapToGrid w:val="0"/>
          <w:color w:val="000000"/>
        </w:rPr>
        <w:t xml:space="preserve">. </w:t>
      </w:r>
      <w:r w:rsidR="005D3A3C" w:rsidRPr="0036747C">
        <w:rPr>
          <w:szCs w:val="22"/>
        </w:rPr>
        <w:t>Počas ďalších 2 rokov sa v rozšírených otvorených štúdiách nepozorovala žiadna zmena profilu nežiaducich udalostí</w:t>
      </w:r>
      <w:r w:rsidRPr="003D5432">
        <w:rPr>
          <w:snapToGrid w:val="0"/>
          <w:color w:val="000000"/>
        </w:rPr>
        <w:t>.</w:t>
      </w:r>
    </w:p>
    <w:p w14:paraId="3F409F1D" w14:textId="77777777" w:rsidR="007266AA" w:rsidRDefault="007266AA">
      <w:pPr>
        <w:spacing w:line="240" w:lineRule="auto"/>
      </w:pPr>
    </w:p>
    <w:p w14:paraId="2D24E1F8" w14:textId="77777777" w:rsidR="007266AA" w:rsidRDefault="007266AA">
      <w:pPr>
        <w:spacing w:line="240" w:lineRule="auto"/>
        <w:rPr>
          <w:snapToGrid w:val="0"/>
          <w:color w:val="000000"/>
        </w:rPr>
      </w:pPr>
      <w:r>
        <w:rPr>
          <w:snapToGrid w:val="0"/>
          <w:color w:val="000000"/>
        </w:rPr>
        <w:t xml:space="preserve">Nasledovná tabuľka uvádza nežiaduce </w:t>
      </w:r>
      <w:r w:rsidR="00A86811">
        <w:rPr>
          <w:snapToGrid w:val="0"/>
          <w:color w:val="000000"/>
        </w:rPr>
        <w:t>reakcie</w:t>
      </w:r>
      <w:r>
        <w:rPr>
          <w:snapToGrid w:val="0"/>
          <w:color w:val="000000"/>
        </w:rPr>
        <w:t xml:space="preserve"> z kontrolovaných klinických skúšaní a z postmarketingových skúseností. Uvedené nežiaduce </w:t>
      </w:r>
      <w:r w:rsidR="00A86811">
        <w:rPr>
          <w:snapToGrid w:val="0"/>
          <w:color w:val="000000"/>
        </w:rPr>
        <w:t>udalosti</w:t>
      </w:r>
      <w:r>
        <w:rPr>
          <w:snapToGrid w:val="0"/>
          <w:color w:val="000000"/>
        </w:rPr>
        <w:t xml:space="preserve"> z klinických skúšaní sú účinky posúdené skúšajúcimi ako súvisiace s liekom (s incidenciou väčšou alebo rovnou 1 %), ktorých výskyt bol vyšší u pacientov liečených dutasteridom v porovnaní s placebom počas prvého roku liečby. </w:t>
      </w:r>
      <w:r>
        <w:t xml:space="preserve">Nežiaduce </w:t>
      </w:r>
      <w:r w:rsidR="004C54DF">
        <w:t>udalosti</w:t>
      </w:r>
      <w:r>
        <w:t xml:space="preserve"> po uvedení lieku na trh boli identifikované zo spontánnych postmarketingových hlásení; preto ich presný výskyt nie je známy</w:t>
      </w:r>
      <w:r>
        <w:rPr>
          <w:snapToGrid w:val="0"/>
          <w:color w:val="000000"/>
        </w:rPr>
        <w:t>:</w:t>
      </w:r>
    </w:p>
    <w:p w14:paraId="7AFDB70A" w14:textId="77777777" w:rsidR="007266AA" w:rsidRDefault="007266AA">
      <w:pPr>
        <w:spacing w:line="240" w:lineRule="auto"/>
        <w:rPr>
          <w:snapToGrid w:val="0"/>
          <w:color w:val="000000"/>
        </w:rPr>
      </w:pPr>
    </w:p>
    <w:p w14:paraId="7263F390" w14:textId="77777777" w:rsidR="007266AA" w:rsidRDefault="007266AA">
      <w:pPr>
        <w:spacing w:line="240" w:lineRule="auto"/>
        <w:rPr>
          <w:snapToGrid w:val="0"/>
          <w:color w:val="000000"/>
        </w:rPr>
      </w:pPr>
      <w:r>
        <w:rPr>
          <w:snapToGrid w:val="0"/>
          <w:color w:val="000000"/>
        </w:rPr>
        <w:t>veľmi časté (≥ 1/10); časté (≥ 1/100, &lt; 1/10); menej časté (≥ 1/1 000, &lt; 1/100); zriedkavé (≥ 1/10 000, &lt; 1/1 000); veľmi zriedkavé (&lt; 1/10 000), neznáme (nedajú sa určiť z dostupných údajov).</w:t>
      </w:r>
    </w:p>
    <w:p w14:paraId="7F83E21B" w14:textId="77777777" w:rsidR="007266AA" w:rsidRDefault="007266AA">
      <w:pPr>
        <w:spacing w:line="240" w:lineRule="auto"/>
        <w:rPr>
          <w:snapToGrid w:val="0"/>
          <w:color w:val="00000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62"/>
        <w:gridCol w:w="2750"/>
        <w:gridCol w:w="2521"/>
        <w:gridCol w:w="2290"/>
      </w:tblGrid>
      <w:tr w:rsidR="007266AA" w14:paraId="13A96F88" w14:textId="77777777">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hideMark/>
          </w:tcPr>
          <w:p w14:paraId="01861D53" w14:textId="77777777" w:rsidR="007266AA" w:rsidRDefault="007266AA">
            <w:pPr>
              <w:spacing w:line="240" w:lineRule="auto"/>
              <w:rPr>
                <w:snapToGrid w:val="0"/>
                <w:color w:val="000000"/>
              </w:rPr>
            </w:pPr>
            <w:r>
              <w:rPr>
                <w:b/>
                <w:snapToGrid w:val="0"/>
                <w:color w:val="000000"/>
              </w:rPr>
              <w:t>Trieda orgánových systémov</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111FA1D7" w14:textId="77777777" w:rsidR="007266AA" w:rsidRDefault="007266AA">
            <w:pPr>
              <w:spacing w:line="240" w:lineRule="auto"/>
              <w:rPr>
                <w:snapToGrid w:val="0"/>
                <w:color w:val="000000"/>
              </w:rPr>
            </w:pPr>
            <w:r>
              <w:rPr>
                <w:b/>
                <w:snapToGrid w:val="0"/>
                <w:color w:val="000000"/>
              </w:rPr>
              <w:t>Nežiaduca reakcia</w:t>
            </w:r>
          </w:p>
        </w:tc>
        <w:tc>
          <w:tcPr>
            <w:tcW w:w="1900" w:type="pct"/>
            <w:gridSpan w:val="2"/>
            <w:tcBorders>
              <w:top w:val="outset" w:sz="6" w:space="0" w:color="auto"/>
              <w:left w:val="outset" w:sz="6" w:space="0" w:color="auto"/>
              <w:bottom w:val="outset" w:sz="6" w:space="0" w:color="auto"/>
              <w:right w:val="outset" w:sz="6" w:space="0" w:color="auto"/>
            </w:tcBorders>
            <w:hideMark/>
          </w:tcPr>
          <w:p w14:paraId="059080CA" w14:textId="77777777" w:rsidR="007266AA" w:rsidRDefault="007266AA">
            <w:pPr>
              <w:spacing w:line="240" w:lineRule="auto"/>
              <w:rPr>
                <w:snapToGrid w:val="0"/>
                <w:color w:val="000000"/>
              </w:rPr>
            </w:pPr>
            <w:r>
              <w:rPr>
                <w:b/>
                <w:snapToGrid w:val="0"/>
                <w:color w:val="000000"/>
              </w:rPr>
              <w:t>Výskyt podľa údajov klinického skúšania</w:t>
            </w:r>
          </w:p>
        </w:tc>
      </w:tr>
      <w:tr w:rsidR="007266AA" w14:paraId="08F213C6"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2881B1" w14:textId="77777777" w:rsidR="007266AA" w:rsidRDefault="007266AA">
            <w:pPr>
              <w:spacing w:line="240" w:lineRule="auto"/>
              <w:rPr>
                <w:snapToGrid w:val="0"/>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5E39" w14:textId="77777777" w:rsidR="007266AA" w:rsidRDefault="007266AA">
            <w:pPr>
              <w:spacing w:line="240" w:lineRule="auto"/>
              <w:rPr>
                <w:snapToGrid w:val="0"/>
                <w:color w:val="000000"/>
              </w:rPr>
            </w:pPr>
          </w:p>
        </w:tc>
        <w:tc>
          <w:tcPr>
            <w:tcW w:w="1100" w:type="pct"/>
            <w:tcBorders>
              <w:top w:val="outset" w:sz="6" w:space="0" w:color="auto"/>
              <w:left w:val="outset" w:sz="6" w:space="0" w:color="auto"/>
              <w:bottom w:val="outset" w:sz="6" w:space="0" w:color="auto"/>
              <w:right w:val="outset" w:sz="6" w:space="0" w:color="auto"/>
            </w:tcBorders>
            <w:hideMark/>
          </w:tcPr>
          <w:p w14:paraId="319F76B1" w14:textId="77777777" w:rsidR="007266AA" w:rsidRDefault="007266AA">
            <w:pPr>
              <w:spacing w:line="240" w:lineRule="auto"/>
              <w:rPr>
                <w:snapToGrid w:val="0"/>
                <w:color w:val="000000"/>
              </w:rPr>
            </w:pPr>
            <w:r>
              <w:rPr>
                <w:b/>
                <w:snapToGrid w:val="0"/>
                <w:color w:val="000000"/>
              </w:rPr>
              <w:t>Výskyt počas 1. roku liečby (n=2 167)</w:t>
            </w:r>
          </w:p>
        </w:tc>
        <w:tc>
          <w:tcPr>
            <w:tcW w:w="1000" w:type="pct"/>
            <w:tcBorders>
              <w:top w:val="outset" w:sz="6" w:space="0" w:color="auto"/>
              <w:left w:val="outset" w:sz="6" w:space="0" w:color="auto"/>
              <w:bottom w:val="outset" w:sz="6" w:space="0" w:color="auto"/>
              <w:right w:val="outset" w:sz="6" w:space="0" w:color="auto"/>
            </w:tcBorders>
            <w:hideMark/>
          </w:tcPr>
          <w:p w14:paraId="4D9930CD" w14:textId="77777777" w:rsidR="007266AA" w:rsidRDefault="007266AA">
            <w:pPr>
              <w:spacing w:line="240" w:lineRule="auto"/>
              <w:rPr>
                <w:snapToGrid w:val="0"/>
                <w:color w:val="000000"/>
              </w:rPr>
            </w:pPr>
            <w:r>
              <w:rPr>
                <w:b/>
                <w:snapToGrid w:val="0"/>
                <w:color w:val="000000"/>
              </w:rPr>
              <w:t>Výskyt počas 2. roku liečby (n=1 744)</w:t>
            </w:r>
          </w:p>
        </w:tc>
      </w:tr>
      <w:tr w:rsidR="007266AA" w14:paraId="268DBE45" w14:textId="77777777">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hideMark/>
          </w:tcPr>
          <w:p w14:paraId="49ED4A9A" w14:textId="77777777" w:rsidR="007266AA" w:rsidRDefault="007266AA">
            <w:pPr>
              <w:spacing w:line="240" w:lineRule="auto"/>
              <w:rPr>
                <w:snapToGrid w:val="0"/>
                <w:color w:val="000000"/>
              </w:rPr>
            </w:pPr>
            <w:r>
              <w:rPr>
                <w:snapToGrid w:val="0"/>
                <w:color w:val="000000"/>
              </w:rPr>
              <w:t xml:space="preserve">Poruchy reprodukčného systému a prsníkov </w:t>
            </w:r>
          </w:p>
        </w:tc>
        <w:tc>
          <w:tcPr>
            <w:tcW w:w="1200" w:type="pct"/>
            <w:tcBorders>
              <w:top w:val="outset" w:sz="6" w:space="0" w:color="auto"/>
              <w:left w:val="outset" w:sz="6" w:space="0" w:color="auto"/>
              <w:bottom w:val="outset" w:sz="6" w:space="0" w:color="auto"/>
              <w:right w:val="outset" w:sz="6" w:space="0" w:color="auto"/>
            </w:tcBorders>
            <w:hideMark/>
          </w:tcPr>
          <w:p w14:paraId="2F53CE36" w14:textId="77777777" w:rsidR="007266AA" w:rsidRDefault="007266AA">
            <w:pPr>
              <w:spacing w:line="240" w:lineRule="auto"/>
              <w:rPr>
                <w:snapToGrid w:val="0"/>
                <w:color w:val="000000"/>
              </w:rPr>
            </w:pPr>
            <w:r>
              <w:rPr>
                <w:snapToGrid w:val="0"/>
                <w:color w:val="000000"/>
              </w:rPr>
              <w:t>Impotencia</w:t>
            </w:r>
            <w:r>
              <w:rPr>
                <w:snapToGrid w:val="0"/>
                <w:color w:val="000000"/>
                <w:vertAlign w:val="superscript"/>
              </w:rPr>
              <w:t>*</w:t>
            </w:r>
          </w:p>
        </w:tc>
        <w:tc>
          <w:tcPr>
            <w:tcW w:w="1100" w:type="pct"/>
            <w:tcBorders>
              <w:top w:val="outset" w:sz="6" w:space="0" w:color="auto"/>
              <w:left w:val="outset" w:sz="6" w:space="0" w:color="auto"/>
              <w:bottom w:val="outset" w:sz="6" w:space="0" w:color="auto"/>
              <w:right w:val="outset" w:sz="6" w:space="0" w:color="auto"/>
            </w:tcBorders>
            <w:hideMark/>
          </w:tcPr>
          <w:p w14:paraId="3D1AC668" w14:textId="77777777" w:rsidR="007266AA" w:rsidRDefault="007266AA">
            <w:pPr>
              <w:spacing w:line="240" w:lineRule="auto"/>
              <w:rPr>
                <w:snapToGrid w:val="0"/>
                <w:color w:val="000000"/>
              </w:rPr>
            </w:pPr>
            <w:r>
              <w:rPr>
                <w:snapToGrid w:val="0"/>
                <w:color w:val="000000"/>
              </w:rPr>
              <w:t xml:space="preserve">6,0 % </w:t>
            </w:r>
          </w:p>
        </w:tc>
        <w:tc>
          <w:tcPr>
            <w:tcW w:w="1000" w:type="pct"/>
            <w:tcBorders>
              <w:top w:val="outset" w:sz="6" w:space="0" w:color="auto"/>
              <w:left w:val="outset" w:sz="6" w:space="0" w:color="auto"/>
              <w:bottom w:val="outset" w:sz="6" w:space="0" w:color="auto"/>
              <w:right w:val="outset" w:sz="6" w:space="0" w:color="auto"/>
            </w:tcBorders>
            <w:hideMark/>
          </w:tcPr>
          <w:p w14:paraId="473A66FC" w14:textId="77777777" w:rsidR="007266AA" w:rsidRDefault="007266AA">
            <w:pPr>
              <w:spacing w:line="240" w:lineRule="auto"/>
              <w:rPr>
                <w:snapToGrid w:val="0"/>
                <w:color w:val="000000"/>
              </w:rPr>
            </w:pPr>
            <w:r>
              <w:rPr>
                <w:snapToGrid w:val="0"/>
                <w:color w:val="000000"/>
              </w:rPr>
              <w:t xml:space="preserve">1,7 % </w:t>
            </w:r>
          </w:p>
        </w:tc>
      </w:tr>
      <w:tr w:rsidR="007266AA" w14:paraId="7D543014"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9260C" w14:textId="77777777" w:rsidR="007266AA" w:rsidRDefault="007266AA">
            <w:pPr>
              <w:spacing w:line="240" w:lineRule="auto"/>
              <w:rPr>
                <w:snapToGrid w:val="0"/>
                <w:color w:val="000000"/>
              </w:rPr>
            </w:pPr>
          </w:p>
        </w:tc>
        <w:tc>
          <w:tcPr>
            <w:tcW w:w="1200" w:type="pct"/>
            <w:tcBorders>
              <w:top w:val="outset" w:sz="6" w:space="0" w:color="auto"/>
              <w:left w:val="outset" w:sz="6" w:space="0" w:color="auto"/>
              <w:bottom w:val="outset" w:sz="6" w:space="0" w:color="auto"/>
              <w:right w:val="outset" w:sz="6" w:space="0" w:color="auto"/>
            </w:tcBorders>
            <w:hideMark/>
          </w:tcPr>
          <w:p w14:paraId="0DC5710E" w14:textId="77777777" w:rsidR="007266AA" w:rsidRDefault="007266AA">
            <w:pPr>
              <w:spacing w:line="240" w:lineRule="auto"/>
              <w:rPr>
                <w:snapToGrid w:val="0"/>
                <w:color w:val="000000"/>
              </w:rPr>
            </w:pPr>
            <w:r>
              <w:rPr>
                <w:snapToGrid w:val="0"/>
                <w:color w:val="000000"/>
              </w:rPr>
              <w:t>Pozmenené (znížené) libido</w:t>
            </w:r>
            <w:r>
              <w:rPr>
                <w:snapToGrid w:val="0"/>
                <w:color w:val="000000"/>
                <w:vertAlign w:val="superscript"/>
              </w:rPr>
              <w:t>*</w:t>
            </w:r>
          </w:p>
        </w:tc>
        <w:tc>
          <w:tcPr>
            <w:tcW w:w="1100" w:type="pct"/>
            <w:tcBorders>
              <w:top w:val="outset" w:sz="6" w:space="0" w:color="auto"/>
              <w:left w:val="outset" w:sz="6" w:space="0" w:color="auto"/>
              <w:bottom w:val="outset" w:sz="6" w:space="0" w:color="auto"/>
              <w:right w:val="outset" w:sz="6" w:space="0" w:color="auto"/>
            </w:tcBorders>
            <w:hideMark/>
          </w:tcPr>
          <w:p w14:paraId="6A8EDFA1" w14:textId="77777777" w:rsidR="007266AA" w:rsidRDefault="007266AA">
            <w:pPr>
              <w:spacing w:line="240" w:lineRule="auto"/>
              <w:rPr>
                <w:snapToGrid w:val="0"/>
                <w:color w:val="000000"/>
              </w:rPr>
            </w:pPr>
            <w:r>
              <w:rPr>
                <w:snapToGrid w:val="0"/>
                <w:color w:val="000000"/>
              </w:rPr>
              <w:t xml:space="preserve">3,7 % </w:t>
            </w:r>
          </w:p>
        </w:tc>
        <w:tc>
          <w:tcPr>
            <w:tcW w:w="1000" w:type="pct"/>
            <w:tcBorders>
              <w:top w:val="outset" w:sz="6" w:space="0" w:color="auto"/>
              <w:left w:val="outset" w:sz="6" w:space="0" w:color="auto"/>
              <w:bottom w:val="outset" w:sz="6" w:space="0" w:color="auto"/>
              <w:right w:val="outset" w:sz="6" w:space="0" w:color="auto"/>
            </w:tcBorders>
            <w:hideMark/>
          </w:tcPr>
          <w:p w14:paraId="06261083" w14:textId="77777777" w:rsidR="007266AA" w:rsidRDefault="007266AA">
            <w:pPr>
              <w:spacing w:line="240" w:lineRule="auto"/>
              <w:rPr>
                <w:snapToGrid w:val="0"/>
                <w:color w:val="000000"/>
              </w:rPr>
            </w:pPr>
            <w:r>
              <w:rPr>
                <w:snapToGrid w:val="0"/>
                <w:color w:val="000000"/>
              </w:rPr>
              <w:t xml:space="preserve">0,6 % </w:t>
            </w:r>
          </w:p>
        </w:tc>
      </w:tr>
      <w:tr w:rsidR="007266AA" w14:paraId="480D7D31"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C55BD7" w14:textId="77777777" w:rsidR="007266AA" w:rsidRDefault="007266AA">
            <w:pPr>
              <w:spacing w:line="240" w:lineRule="auto"/>
              <w:rPr>
                <w:snapToGrid w:val="0"/>
                <w:color w:val="000000"/>
              </w:rPr>
            </w:pPr>
          </w:p>
        </w:tc>
        <w:tc>
          <w:tcPr>
            <w:tcW w:w="1200" w:type="pct"/>
            <w:tcBorders>
              <w:top w:val="outset" w:sz="6" w:space="0" w:color="auto"/>
              <w:left w:val="outset" w:sz="6" w:space="0" w:color="auto"/>
              <w:bottom w:val="outset" w:sz="6" w:space="0" w:color="auto"/>
              <w:right w:val="outset" w:sz="6" w:space="0" w:color="auto"/>
            </w:tcBorders>
            <w:hideMark/>
          </w:tcPr>
          <w:p w14:paraId="2B61023A" w14:textId="77777777" w:rsidR="007266AA" w:rsidRDefault="007266AA">
            <w:pPr>
              <w:spacing w:line="240" w:lineRule="auto"/>
              <w:rPr>
                <w:snapToGrid w:val="0"/>
                <w:color w:val="000000"/>
              </w:rPr>
            </w:pPr>
            <w:r>
              <w:rPr>
                <w:snapToGrid w:val="0"/>
                <w:color w:val="000000"/>
              </w:rPr>
              <w:t>Poruchy ejakulácie</w:t>
            </w:r>
            <w:r>
              <w:rPr>
                <w:snapToGrid w:val="0"/>
                <w:color w:val="000000"/>
                <w:vertAlign w:val="superscript"/>
              </w:rPr>
              <w:t xml:space="preserve">* </w:t>
            </w:r>
          </w:p>
        </w:tc>
        <w:tc>
          <w:tcPr>
            <w:tcW w:w="1100" w:type="pct"/>
            <w:tcBorders>
              <w:top w:val="outset" w:sz="6" w:space="0" w:color="auto"/>
              <w:left w:val="outset" w:sz="6" w:space="0" w:color="auto"/>
              <w:bottom w:val="outset" w:sz="6" w:space="0" w:color="auto"/>
              <w:right w:val="outset" w:sz="6" w:space="0" w:color="auto"/>
            </w:tcBorders>
            <w:hideMark/>
          </w:tcPr>
          <w:p w14:paraId="439F2A9C" w14:textId="77777777" w:rsidR="007266AA" w:rsidRDefault="007266AA">
            <w:pPr>
              <w:spacing w:line="240" w:lineRule="auto"/>
              <w:rPr>
                <w:snapToGrid w:val="0"/>
                <w:color w:val="000000"/>
              </w:rPr>
            </w:pPr>
            <w:r>
              <w:rPr>
                <w:snapToGrid w:val="0"/>
                <w:color w:val="000000"/>
              </w:rPr>
              <w:t xml:space="preserve">1,8 % </w:t>
            </w:r>
          </w:p>
        </w:tc>
        <w:tc>
          <w:tcPr>
            <w:tcW w:w="1000" w:type="pct"/>
            <w:tcBorders>
              <w:top w:val="outset" w:sz="6" w:space="0" w:color="auto"/>
              <w:left w:val="outset" w:sz="6" w:space="0" w:color="auto"/>
              <w:bottom w:val="outset" w:sz="6" w:space="0" w:color="auto"/>
              <w:right w:val="outset" w:sz="6" w:space="0" w:color="auto"/>
            </w:tcBorders>
            <w:hideMark/>
          </w:tcPr>
          <w:p w14:paraId="4C327DB6" w14:textId="77777777" w:rsidR="007266AA" w:rsidRDefault="007266AA">
            <w:pPr>
              <w:spacing w:line="240" w:lineRule="auto"/>
              <w:rPr>
                <w:snapToGrid w:val="0"/>
                <w:color w:val="000000"/>
              </w:rPr>
            </w:pPr>
            <w:r>
              <w:rPr>
                <w:snapToGrid w:val="0"/>
                <w:color w:val="000000"/>
              </w:rPr>
              <w:t xml:space="preserve">0,5 % </w:t>
            </w:r>
          </w:p>
        </w:tc>
      </w:tr>
      <w:tr w:rsidR="007266AA" w14:paraId="6746A382"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88A4FB" w14:textId="77777777" w:rsidR="007266AA" w:rsidRDefault="007266AA">
            <w:pPr>
              <w:spacing w:line="240" w:lineRule="auto"/>
              <w:rPr>
                <w:snapToGrid w:val="0"/>
                <w:color w:val="000000"/>
              </w:rPr>
            </w:pPr>
          </w:p>
        </w:tc>
        <w:tc>
          <w:tcPr>
            <w:tcW w:w="1200" w:type="pct"/>
            <w:tcBorders>
              <w:top w:val="outset" w:sz="6" w:space="0" w:color="auto"/>
              <w:left w:val="outset" w:sz="6" w:space="0" w:color="auto"/>
              <w:bottom w:val="outset" w:sz="6" w:space="0" w:color="auto"/>
              <w:right w:val="outset" w:sz="6" w:space="0" w:color="auto"/>
            </w:tcBorders>
            <w:hideMark/>
          </w:tcPr>
          <w:p w14:paraId="3D2E0567" w14:textId="77777777" w:rsidR="007266AA" w:rsidRDefault="007266AA">
            <w:pPr>
              <w:spacing w:line="240" w:lineRule="auto"/>
              <w:rPr>
                <w:snapToGrid w:val="0"/>
                <w:color w:val="000000"/>
              </w:rPr>
            </w:pPr>
            <w:r>
              <w:rPr>
                <w:snapToGrid w:val="0"/>
                <w:color w:val="000000"/>
              </w:rPr>
              <w:t>Ochorenia prsníkov</w:t>
            </w:r>
            <w:r>
              <w:rPr>
                <w:snapToGrid w:val="0"/>
                <w:color w:val="000000"/>
                <w:vertAlign w:val="superscript"/>
              </w:rPr>
              <w:t>+</w:t>
            </w:r>
          </w:p>
        </w:tc>
        <w:tc>
          <w:tcPr>
            <w:tcW w:w="1100" w:type="pct"/>
            <w:tcBorders>
              <w:top w:val="outset" w:sz="6" w:space="0" w:color="auto"/>
              <w:left w:val="outset" w:sz="6" w:space="0" w:color="auto"/>
              <w:bottom w:val="outset" w:sz="6" w:space="0" w:color="auto"/>
              <w:right w:val="outset" w:sz="6" w:space="0" w:color="auto"/>
            </w:tcBorders>
            <w:hideMark/>
          </w:tcPr>
          <w:p w14:paraId="2992208D" w14:textId="77777777" w:rsidR="007266AA" w:rsidRDefault="007266AA">
            <w:pPr>
              <w:spacing w:line="240" w:lineRule="auto"/>
              <w:rPr>
                <w:snapToGrid w:val="0"/>
                <w:color w:val="000000"/>
              </w:rPr>
            </w:pPr>
            <w:r>
              <w:rPr>
                <w:snapToGrid w:val="0"/>
                <w:color w:val="000000"/>
              </w:rPr>
              <w:t xml:space="preserve">1,3 % </w:t>
            </w:r>
          </w:p>
        </w:tc>
        <w:tc>
          <w:tcPr>
            <w:tcW w:w="1000" w:type="pct"/>
            <w:tcBorders>
              <w:top w:val="outset" w:sz="6" w:space="0" w:color="auto"/>
              <w:left w:val="outset" w:sz="6" w:space="0" w:color="auto"/>
              <w:bottom w:val="outset" w:sz="6" w:space="0" w:color="auto"/>
              <w:right w:val="outset" w:sz="6" w:space="0" w:color="auto"/>
            </w:tcBorders>
            <w:hideMark/>
          </w:tcPr>
          <w:p w14:paraId="65F79CC8" w14:textId="77777777" w:rsidR="007266AA" w:rsidRDefault="007266AA">
            <w:pPr>
              <w:spacing w:line="240" w:lineRule="auto"/>
              <w:rPr>
                <w:snapToGrid w:val="0"/>
                <w:color w:val="000000"/>
              </w:rPr>
            </w:pPr>
            <w:r>
              <w:rPr>
                <w:snapToGrid w:val="0"/>
                <w:color w:val="000000"/>
              </w:rPr>
              <w:t xml:space="preserve">1,3% </w:t>
            </w:r>
          </w:p>
        </w:tc>
      </w:tr>
      <w:tr w:rsidR="007266AA" w14:paraId="0F8645AB" w14:textId="77777777">
        <w:trPr>
          <w:tblCellSpacing w:w="0" w:type="dxa"/>
        </w:trPr>
        <w:tc>
          <w:tcPr>
            <w:tcW w:w="900" w:type="pct"/>
            <w:vMerge w:val="restart"/>
            <w:tcBorders>
              <w:top w:val="outset" w:sz="6" w:space="0" w:color="auto"/>
              <w:left w:val="outset" w:sz="6" w:space="0" w:color="auto"/>
              <w:bottom w:val="outset" w:sz="6" w:space="0" w:color="auto"/>
              <w:right w:val="outset" w:sz="6" w:space="0" w:color="auto"/>
            </w:tcBorders>
            <w:hideMark/>
          </w:tcPr>
          <w:p w14:paraId="1BFB9FED" w14:textId="77777777" w:rsidR="007266AA" w:rsidRDefault="007266AA">
            <w:pPr>
              <w:spacing w:line="240" w:lineRule="auto"/>
              <w:rPr>
                <w:snapToGrid w:val="0"/>
                <w:color w:val="000000"/>
              </w:rPr>
            </w:pPr>
            <w:r>
              <w:rPr>
                <w:snapToGrid w:val="0"/>
                <w:color w:val="000000"/>
              </w:rPr>
              <w:t xml:space="preserve">Poruchy imunitného systému </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1F32F794" w14:textId="77777777" w:rsidR="007266AA" w:rsidRDefault="007266AA">
            <w:pPr>
              <w:spacing w:line="240" w:lineRule="auto"/>
              <w:rPr>
                <w:snapToGrid w:val="0"/>
                <w:color w:val="000000"/>
              </w:rPr>
            </w:pPr>
            <w:r>
              <w:rPr>
                <w:snapToGrid w:val="0"/>
                <w:color w:val="000000"/>
              </w:rPr>
              <w:t xml:space="preserve">Alergické reakcie zahŕňajúce vyrážku, pruritus, urtikáriu, </w:t>
            </w:r>
            <w:r>
              <w:rPr>
                <w:snapToGrid w:val="0"/>
                <w:color w:val="000000"/>
              </w:rPr>
              <w:lastRenderedPageBreak/>
              <w:t xml:space="preserve">lokalizovaný edém a angioedém. </w:t>
            </w:r>
          </w:p>
        </w:tc>
        <w:tc>
          <w:tcPr>
            <w:tcW w:w="1900" w:type="pct"/>
            <w:gridSpan w:val="2"/>
            <w:tcBorders>
              <w:top w:val="outset" w:sz="6" w:space="0" w:color="auto"/>
              <w:left w:val="outset" w:sz="6" w:space="0" w:color="auto"/>
              <w:bottom w:val="outset" w:sz="6" w:space="0" w:color="auto"/>
              <w:right w:val="outset" w:sz="6" w:space="0" w:color="auto"/>
            </w:tcBorders>
            <w:hideMark/>
          </w:tcPr>
          <w:p w14:paraId="0150B040" w14:textId="77777777" w:rsidR="007266AA" w:rsidRDefault="007266AA">
            <w:pPr>
              <w:spacing w:line="240" w:lineRule="auto"/>
              <w:rPr>
                <w:snapToGrid w:val="0"/>
                <w:color w:val="000000"/>
              </w:rPr>
            </w:pPr>
            <w:r>
              <w:rPr>
                <w:b/>
                <w:snapToGrid w:val="0"/>
                <w:color w:val="000000"/>
              </w:rPr>
              <w:lastRenderedPageBreak/>
              <w:t>Výskyt odhadovaný na základe údajov po uvedení liečiva na trh</w:t>
            </w:r>
          </w:p>
        </w:tc>
      </w:tr>
      <w:tr w:rsidR="007266AA" w14:paraId="59BE68AD" w14:textId="7777777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2B705D" w14:textId="77777777" w:rsidR="007266AA" w:rsidRDefault="007266AA">
            <w:pPr>
              <w:spacing w:line="240" w:lineRule="auto"/>
              <w:rPr>
                <w:snapToGrid w:val="0"/>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826A73" w14:textId="77777777" w:rsidR="007266AA" w:rsidRDefault="007266AA">
            <w:pPr>
              <w:spacing w:line="240" w:lineRule="auto"/>
              <w:rPr>
                <w:snapToGrid w:val="0"/>
                <w:color w:val="000000"/>
              </w:rPr>
            </w:pPr>
          </w:p>
        </w:tc>
        <w:tc>
          <w:tcPr>
            <w:tcW w:w="1900" w:type="pct"/>
            <w:gridSpan w:val="2"/>
            <w:tcBorders>
              <w:top w:val="outset" w:sz="6" w:space="0" w:color="auto"/>
              <w:left w:val="outset" w:sz="6" w:space="0" w:color="auto"/>
              <w:bottom w:val="outset" w:sz="6" w:space="0" w:color="auto"/>
              <w:right w:val="outset" w:sz="6" w:space="0" w:color="auto"/>
            </w:tcBorders>
            <w:hideMark/>
          </w:tcPr>
          <w:p w14:paraId="043AAAFD" w14:textId="77777777" w:rsidR="007266AA" w:rsidRDefault="007266AA">
            <w:pPr>
              <w:spacing w:line="240" w:lineRule="auto"/>
              <w:rPr>
                <w:snapToGrid w:val="0"/>
                <w:color w:val="000000"/>
              </w:rPr>
            </w:pPr>
            <w:r>
              <w:rPr>
                <w:snapToGrid w:val="0"/>
                <w:color w:val="000000"/>
              </w:rPr>
              <w:t xml:space="preserve">Neznáme </w:t>
            </w:r>
          </w:p>
        </w:tc>
      </w:tr>
      <w:tr w:rsidR="007266AA" w14:paraId="18EC3527" w14:textId="77777777">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14:paraId="78C29A99" w14:textId="77777777" w:rsidR="007266AA" w:rsidRDefault="007266AA">
            <w:pPr>
              <w:spacing w:line="240" w:lineRule="auto"/>
              <w:rPr>
                <w:snapToGrid w:val="0"/>
                <w:color w:val="000000"/>
              </w:rPr>
            </w:pPr>
            <w:r>
              <w:rPr>
                <w:snapToGrid w:val="0"/>
                <w:color w:val="000000"/>
              </w:rPr>
              <w:t xml:space="preserve">Psychické poruchy </w:t>
            </w:r>
          </w:p>
        </w:tc>
        <w:tc>
          <w:tcPr>
            <w:tcW w:w="1200" w:type="pct"/>
            <w:tcBorders>
              <w:top w:val="outset" w:sz="6" w:space="0" w:color="auto"/>
              <w:left w:val="outset" w:sz="6" w:space="0" w:color="auto"/>
              <w:bottom w:val="outset" w:sz="6" w:space="0" w:color="auto"/>
              <w:right w:val="outset" w:sz="6" w:space="0" w:color="auto"/>
            </w:tcBorders>
            <w:hideMark/>
          </w:tcPr>
          <w:p w14:paraId="5CB1D30C" w14:textId="77777777" w:rsidR="007266AA" w:rsidRDefault="00C53457">
            <w:pPr>
              <w:spacing w:line="240" w:lineRule="auto"/>
              <w:rPr>
                <w:snapToGrid w:val="0"/>
                <w:color w:val="000000"/>
              </w:rPr>
            </w:pPr>
            <w:r>
              <w:rPr>
                <w:snapToGrid w:val="0"/>
                <w:color w:val="000000"/>
              </w:rPr>
              <w:t>Depresívna</w:t>
            </w:r>
            <w:r w:rsidR="007266AA" w:rsidRPr="00C53457">
              <w:rPr>
                <w:snapToGrid w:val="0"/>
                <w:color w:val="000000"/>
              </w:rPr>
              <w:t xml:space="preserve"> nálada</w:t>
            </w:r>
            <w:r w:rsidR="007266AA">
              <w:rPr>
                <w:snapToGrid w:val="0"/>
                <w:color w:val="000000"/>
              </w:rPr>
              <w:t xml:space="preserve"> </w:t>
            </w:r>
          </w:p>
        </w:tc>
        <w:tc>
          <w:tcPr>
            <w:tcW w:w="1900" w:type="pct"/>
            <w:gridSpan w:val="2"/>
            <w:tcBorders>
              <w:top w:val="outset" w:sz="6" w:space="0" w:color="auto"/>
              <w:left w:val="outset" w:sz="6" w:space="0" w:color="auto"/>
              <w:bottom w:val="outset" w:sz="6" w:space="0" w:color="auto"/>
              <w:right w:val="outset" w:sz="6" w:space="0" w:color="auto"/>
            </w:tcBorders>
            <w:hideMark/>
          </w:tcPr>
          <w:p w14:paraId="2CFA49C1" w14:textId="77777777" w:rsidR="007266AA" w:rsidRDefault="007266AA">
            <w:pPr>
              <w:spacing w:line="240" w:lineRule="auto"/>
              <w:rPr>
                <w:snapToGrid w:val="0"/>
                <w:color w:val="000000"/>
              </w:rPr>
            </w:pPr>
            <w:r>
              <w:rPr>
                <w:snapToGrid w:val="0"/>
                <w:color w:val="000000"/>
              </w:rPr>
              <w:t xml:space="preserve">Neznáme </w:t>
            </w:r>
          </w:p>
        </w:tc>
      </w:tr>
      <w:tr w:rsidR="007266AA" w14:paraId="3B10DB86" w14:textId="77777777">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14:paraId="38BFC9F2" w14:textId="77777777" w:rsidR="007266AA" w:rsidRDefault="007266AA">
            <w:pPr>
              <w:spacing w:line="240" w:lineRule="auto"/>
              <w:rPr>
                <w:snapToGrid w:val="0"/>
                <w:color w:val="000000"/>
              </w:rPr>
            </w:pPr>
            <w:r>
              <w:rPr>
                <w:snapToGrid w:val="0"/>
                <w:color w:val="000000"/>
              </w:rPr>
              <w:t xml:space="preserve">Poruchy kože a podkožného tkaniva </w:t>
            </w:r>
          </w:p>
        </w:tc>
        <w:tc>
          <w:tcPr>
            <w:tcW w:w="1200" w:type="pct"/>
            <w:tcBorders>
              <w:top w:val="outset" w:sz="6" w:space="0" w:color="auto"/>
              <w:left w:val="outset" w:sz="6" w:space="0" w:color="auto"/>
              <w:bottom w:val="outset" w:sz="6" w:space="0" w:color="auto"/>
              <w:right w:val="outset" w:sz="6" w:space="0" w:color="auto"/>
            </w:tcBorders>
            <w:hideMark/>
          </w:tcPr>
          <w:p w14:paraId="30B32C45" w14:textId="77777777" w:rsidR="007266AA" w:rsidRDefault="007266AA">
            <w:pPr>
              <w:spacing w:line="240" w:lineRule="auto"/>
              <w:rPr>
                <w:snapToGrid w:val="0"/>
                <w:color w:val="000000"/>
              </w:rPr>
            </w:pPr>
            <w:r>
              <w:rPr>
                <w:snapToGrid w:val="0"/>
                <w:color w:val="000000"/>
              </w:rPr>
              <w:t xml:space="preserve">Alopécia (najmä strata telesného ochlpenia), hypertrichóza </w:t>
            </w:r>
          </w:p>
        </w:tc>
        <w:tc>
          <w:tcPr>
            <w:tcW w:w="1900" w:type="pct"/>
            <w:gridSpan w:val="2"/>
            <w:tcBorders>
              <w:top w:val="outset" w:sz="6" w:space="0" w:color="auto"/>
              <w:left w:val="outset" w:sz="6" w:space="0" w:color="auto"/>
              <w:bottom w:val="outset" w:sz="6" w:space="0" w:color="auto"/>
              <w:right w:val="outset" w:sz="6" w:space="0" w:color="auto"/>
            </w:tcBorders>
            <w:hideMark/>
          </w:tcPr>
          <w:p w14:paraId="64B6275C" w14:textId="77777777" w:rsidR="007266AA" w:rsidRDefault="007266AA">
            <w:pPr>
              <w:spacing w:line="240" w:lineRule="auto"/>
              <w:rPr>
                <w:snapToGrid w:val="0"/>
                <w:color w:val="000000"/>
              </w:rPr>
            </w:pPr>
            <w:r>
              <w:rPr>
                <w:snapToGrid w:val="0"/>
                <w:color w:val="000000"/>
              </w:rPr>
              <w:t xml:space="preserve">Menej časté </w:t>
            </w:r>
          </w:p>
        </w:tc>
      </w:tr>
      <w:tr w:rsidR="007266AA" w14:paraId="631E90B5" w14:textId="77777777">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14:paraId="10C27B20" w14:textId="77777777" w:rsidR="007266AA" w:rsidRDefault="007266AA">
            <w:pPr>
              <w:spacing w:line="240" w:lineRule="auto"/>
              <w:rPr>
                <w:snapToGrid w:val="0"/>
                <w:color w:val="000000"/>
              </w:rPr>
            </w:pPr>
            <w:r>
              <w:rPr>
                <w:snapToGrid w:val="0"/>
                <w:color w:val="000000"/>
              </w:rPr>
              <w:t xml:space="preserve">Poruchy reprodukčného systému a prsníkov </w:t>
            </w:r>
          </w:p>
        </w:tc>
        <w:tc>
          <w:tcPr>
            <w:tcW w:w="1200" w:type="pct"/>
            <w:tcBorders>
              <w:top w:val="outset" w:sz="6" w:space="0" w:color="auto"/>
              <w:left w:val="outset" w:sz="6" w:space="0" w:color="auto"/>
              <w:bottom w:val="outset" w:sz="6" w:space="0" w:color="auto"/>
              <w:right w:val="outset" w:sz="6" w:space="0" w:color="auto"/>
            </w:tcBorders>
            <w:hideMark/>
          </w:tcPr>
          <w:p w14:paraId="0FFA2D21" w14:textId="77777777" w:rsidR="007266AA" w:rsidRDefault="007266AA">
            <w:pPr>
              <w:spacing w:line="240" w:lineRule="auto"/>
              <w:rPr>
                <w:snapToGrid w:val="0"/>
                <w:color w:val="000000"/>
              </w:rPr>
            </w:pPr>
            <w:r>
              <w:rPr>
                <w:snapToGrid w:val="0"/>
                <w:color w:val="000000"/>
              </w:rPr>
              <w:t xml:space="preserve">Bolesť a opuch semenníkov </w:t>
            </w:r>
          </w:p>
        </w:tc>
        <w:tc>
          <w:tcPr>
            <w:tcW w:w="1900" w:type="pct"/>
            <w:gridSpan w:val="2"/>
            <w:tcBorders>
              <w:top w:val="outset" w:sz="6" w:space="0" w:color="auto"/>
              <w:left w:val="outset" w:sz="6" w:space="0" w:color="auto"/>
              <w:bottom w:val="outset" w:sz="6" w:space="0" w:color="auto"/>
              <w:right w:val="outset" w:sz="6" w:space="0" w:color="auto"/>
            </w:tcBorders>
            <w:hideMark/>
          </w:tcPr>
          <w:p w14:paraId="0BA20ECD" w14:textId="77777777" w:rsidR="007266AA" w:rsidRDefault="007266AA">
            <w:pPr>
              <w:spacing w:line="240" w:lineRule="auto"/>
              <w:rPr>
                <w:snapToGrid w:val="0"/>
                <w:color w:val="000000"/>
              </w:rPr>
            </w:pPr>
            <w:r>
              <w:rPr>
                <w:snapToGrid w:val="0"/>
                <w:color w:val="000000"/>
              </w:rPr>
              <w:t xml:space="preserve">Neznáme </w:t>
            </w:r>
          </w:p>
        </w:tc>
      </w:tr>
    </w:tbl>
    <w:p w14:paraId="26A25F79" w14:textId="77777777" w:rsidR="007266AA" w:rsidRDefault="007266AA">
      <w:pPr>
        <w:spacing w:line="240" w:lineRule="auto"/>
        <w:rPr>
          <w:snapToGrid w:val="0"/>
          <w:color w:val="000000"/>
        </w:rPr>
      </w:pPr>
      <w:r>
        <w:rPr>
          <w:snapToGrid w:val="0"/>
          <w:color w:val="000000"/>
        </w:rPr>
        <w:t xml:space="preserve">*Tieto sexuálne nežiaduce </w:t>
      </w:r>
      <w:r w:rsidR="00C731C5">
        <w:rPr>
          <w:snapToGrid w:val="0"/>
          <w:color w:val="000000"/>
        </w:rPr>
        <w:t>udalosti</w:t>
      </w:r>
      <w:r>
        <w:rPr>
          <w:snapToGrid w:val="0"/>
          <w:color w:val="000000"/>
        </w:rPr>
        <w:t xml:space="preserve"> sú spojené s liečbou dutasteridom (zahŕňajúc monoterapiu a kombináciu s tamsulozínom). Tieto nežiaduce </w:t>
      </w:r>
      <w:r w:rsidR="00C731C5">
        <w:rPr>
          <w:snapToGrid w:val="0"/>
          <w:color w:val="000000"/>
        </w:rPr>
        <w:t>udalosti</w:t>
      </w:r>
      <w:r>
        <w:rPr>
          <w:snapToGrid w:val="0"/>
          <w:color w:val="000000"/>
        </w:rPr>
        <w:t xml:space="preserve"> môžu pretrvávať aj po prerušení liečby. Úloha dutasteridu v tomto pretrvávaní nie je známa. </w:t>
      </w:r>
    </w:p>
    <w:p w14:paraId="3E357821" w14:textId="77777777" w:rsidR="00B36812" w:rsidRDefault="00B36812">
      <w:pPr>
        <w:spacing w:line="240" w:lineRule="auto"/>
        <w:rPr>
          <w:snapToGrid w:val="0"/>
          <w:color w:val="000000"/>
          <w:vertAlign w:val="superscript"/>
        </w:rPr>
      </w:pPr>
    </w:p>
    <w:p w14:paraId="244E554B" w14:textId="77777777" w:rsidR="007266AA" w:rsidRDefault="007266AA">
      <w:pPr>
        <w:spacing w:line="240" w:lineRule="auto"/>
        <w:rPr>
          <w:snapToGrid w:val="0"/>
          <w:color w:val="000000"/>
        </w:rPr>
      </w:pPr>
      <w:r>
        <w:rPr>
          <w:snapToGrid w:val="0"/>
          <w:color w:val="000000"/>
          <w:vertAlign w:val="superscript"/>
        </w:rPr>
        <w:t>+</w:t>
      </w:r>
      <w:r>
        <w:rPr>
          <w:snapToGrid w:val="0"/>
          <w:color w:val="000000"/>
        </w:rPr>
        <w:t xml:space="preserve">zahŕňa citlivosť prsníkov a ich zväčšenie </w:t>
      </w:r>
    </w:p>
    <w:p w14:paraId="6C2AE6C6" w14:textId="77777777" w:rsidR="007266AA" w:rsidRDefault="007266AA">
      <w:pPr>
        <w:spacing w:line="240" w:lineRule="auto"/>
        <w:rPr>
          <w:snapToGrid w:val="0"/>
          <w:color w:val="000000"/>
        </w:rPr>
      </w:pPr>
    </w:p>
    <w:p w14:paraId="44E4338A" w14:textId="77777777" w:rsidR="007266AA" w:rsidRPr="00B36812" w:rsidRDefault="007266AA">
      <w:pPr>
        <w:spacing w:line="240" w:lineRule="auto"/>
        <w:rPr>
          <w:color w:val="000000"/>
          <w:szCs w:val="22"/>
          <w:u w:val="single"/>
        </w:rPr>
      </w:pPr>
      <w:r w:rsidRPr="00B36812">
        <w:rPr>
          <w:color w:val="000000"/>
          <w:u w:val="single"/>
        </w:rPr>
        <w:t>Dutasterid v kombinácii s alfablokátorom tamsulozínom</w:t>
      </w:r>
    </w:p>
    <w:p w14:paraId="019A077C" w14:textId="77777777" w:rsidR="007266AA" w:rsidRDefault="007266AA">
      <w:pPr>
        <w:autoSpaceDE w:val="0"/>
        <w:autoSpaceDN w:val="0"/>
        <w:adjustRightInd w:val="0"/>
        <w:spacing w:line="240" w:lineRule="auto"/>
        <w:rPr>
          <w:color w:val="000000"/>
          <w:szCs w:val="22"/>
        </w:rPr>
      </w:pPr>
      <w:r>
        <w:rPr>
          <w:color w:val="000000"/>
        </w:rPr>
        <w:t>Údaje zo štvorročnej štúdie CombAT, ktorá porovnávala dutasterid 0,5 mg (n=1 623) a tamsulozín 0,4 mg (n=1 611) podávané jedenkrát denne samostatne a v kombinácii (n=1 610), ukázali, že incidencia všetkých nežiaducich účinkov kvalifikovaných skúšajúcimi ako súvisiace so skúmanými liekmi, počas prvého, druhého, tretieho a štvrtého roku liečby bola pri liečbe kombináciou dutasterid/tamsulozín 22 %, 6 %, 4 % a 2 %, pri monoterapii dutasteridom 15 %, 6 %, 3 % a 2 % a pri monoterapii tamsulozínom 13 %, 5 %, 2 % a 2 %. Vyšší výskyt nežiaducich účinkov v skupine s kombinovanou liečbou počas prvého roku liečby bola dôsledkom vyššieho výskytu ochorení reprodukčného systému, najmä porúch ejakulácie, pozorovaných v tejto skupine.</w:t>
      </w:r>
    </w:p>
    <w:p w14:paraId="0D1DC511" w14:textId="77777777" w:rsidR="007266AA" w:rsidRDefault="007266AA">
      <w:pPr>
        <w:spacing w:line="240" w:lineRule="auto"/>
        <w:rPr>
          <w:color w:val="000000"/>
          <w:szCs w:val="22"/>
        </w:rPr>
      </w:pPr>
    </w:p>
    <w:p w14:paraId="4A1DC650" w14:textId="77777777" w:rsidR="007266AA" w:rsidRDefault="007266AA">
      <w:pPr>
        <w:autoSpaceDE w:val="0"/>
        <w:autoSpaceDN w:val="0"/>
        <w:adjustRightInd w:val="0"/>
        <w:spacing w:line="240" w:lineRule="auto"/>
        <w:rPr>
          <w:b/>
          <w:bCs/>
          <w:iCs/>
          <w:szCs w:val="22"/>
        </w:rPr>
      </w:pPr>
      <w:r>
        <w:rPr>
          <w:color w:val="000000"/>
        </w:rPr>
        <w:t xml:space="preserve">Počas prvého roku liečby v rámci štúdie CombAT boli hlásené nasledovné nežiaduce </w:t>
      </w:r>
      <w:r w:rsidR="009A0C34">
        <w:rPr>
          <w:color w:val="000000"/>
        </w:rPr>
        <w:t>udalosti</w:t>
      </w:r>
      <w:r>
        <w:rPr>
          <w:color w:val="000000"/>
        </w:rPr>
        <w:t xml:space="preserve"> kvalifikované skúšajúcimi ako súvisiace so študijnými liekmi, ktorých výskyt bol väčší alebo rovnajúci sa 1 %; výskyt týchto </w:t>
      </w:r>
      <w:r w:rsidR="009A0C34">
        <w:rPr>
          <w:color w:val="000000"/>
        </w:rPr>
        <w:t>udalostí</w:t>
      </w:r>
      <w:r>
        <w:rPr>
          <w:color w:val="000000"/>
        </w:rPr>
        <w:t xml:space="preserve"> počas štyroch rokov liečby je uvedený v nasledujúcej tabuľke:</w:t>
      </w:r>
    </w:p>
    <w:p w14:paraId="734DC5AF" w14:textId="77777777" w:rsidR="007266AA" w:rsidRDefault="007266AA">
      <w:pPr>
        <w:spacing w:line="240" w:lineRule="auto"/>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2339"/>
        <w:gridCol w:w="1360"/>
        <w:gridCol w:w="1359"/>
        <w:gridCol w:w="1327"/>
        <w:gridCol w:w="1197"/>
      </w:tblGrid>
      <w:tr w:rsidR="007266AA" w14:paraId="3070D61A" w14:textId="77777777">
        <w:trPr>
          <w:cantSplit/>
          <w:trHeight w:val="351"/>
        </w:trPr>
        <w:tc>
          <w:tcPr>
            <w:tcW w:w="1983" w:type="dxa"/>
            <w:vMerge w:val="restart"/>
          </w:tcPr>
          <w:p w14:paraId="09A5D233" w14:textId="77777777" w:rsidR="007266AA" w:rsidRDefault="007266AA">
            <w:pPr>
              <w:keepNext/>
              <w:spacing w:line="240" w:lineRule="auto"/>
              <w:rPr>
                <w:b/>
                <w:szCs w:val="22"/>
              </w:rPr>
            </w:pPr>
          </w:p>
          <w:p w14:paraId="397D9950" w14:textId="77777777" w:rsidR="007266AA" w:rsidRDefault="007266AA">
            <w:pPr>
              <w:keepNext/>
              <w:spacing w:line="240" w:lineRule="auto"/>
            </w:pPr>
            <w:r>
              <w:rPr>
                <w:b/>
              </w:rPr>
              <w:t xml:space="preserve">Trieda </w:t>
            </w:r>
            <w:r>
              <w:rPr>
                <w:b/>
                <w:noProof/>
                <w:lang w:val="it-IT"/>
              </w:rPr>
              <w:t>orgánových systémov</w:t>
            </w:r>
            <w:r>
              <w:rPr>
                <w:b/>
                <w:i/>
                <w:noProof/>
                <w:lang w:val="it-IT"/>
              </w:rPr>
              <w:t xml:space="preserve"> </w:t>
            </w:r>
          </w:p>
        </w:tc>
        <w:tc>
          <w:tcPr>
            <w:tcW w:w="2427" w:type="dxa"/>
            <w:vMerge w:val="restart"/>
            <w:vAlign w:val="bottom"/>
          </w:tcPr>
          <w:p w14:paraId="226F610A" w14:textId="77777777" w:rsidR="007266AA" w:rsidRPr="00250A9B" w:rsidRDefault="007266AA">
            <w:pPr>
              <w:keepNext/>
              <w:spacing w:line="240" w:lineRule="auto"/>
              <w:rPr>
                <w:b/>
              </w:rPr>
            </w:pPr>
            <w:r w:rsidRPr="00250A9B">
              <w:rPr>
                <w:b/>
              </w:rPr>
              <w:t>Nežiaduca reakcia</w:t>
            </w:r>
          </w:p>
        </w:tc>
        <w:tc>
          <w:tcPr>
            <w:tcW w:w="5337" w:type="dxa"/>
            <w:gridSpan w:val="4"/>
          </w:tcPr>
          <w:p w14:paraId="25EA8158" w14:textId="77777777" w:rsidR="007266AA" w:rsidRPr="00250A9B" w:rsidRDefault="007266AA" w:rsidP="00D10BF5">
            <w:pPr>
              <w:keepNext/>
              <w:spacing w:line="240" w:lineRule="auto"/>
              <w:jc w:val="center"/>
              <w:rPr>
                <w:b/>
              </w:rPr>
            </w:pPr>
            <w:r w:rsidRPr="00250A9B">
              <w:rPr>
                <w:b/>
              </w:rPr>
              <w:t>Výskyt počas obdobia</w:t>
            </w:r>
            <w:r w:rsidR="00D10BF5">
              <w:rPr>
                <w:b/>
              </w:rPr>
              <w:t xml:space="preserve"> liečby</w:t>
            </w:r>
          </w:p>
        </w:tc>
      </w:tr>
      <w:tr w:rsidR="007266AA" w14:paraId="6389EA24" w14:textId="77777777">
        <w:trPr>
          <w:cantSplit/>
          <w:trHeight w:val="388"/>
        </w:trPr>
        <w:tc>
          <w:tcPr>
            <w:tcW w:w="1983" w:type="dxa"/>
            <w:vMerge/>
          </w:tcPr>
          <w:p w14:paraId="73D261B5" w14:textId="77777777" w:rsidR="007266AA" w:rsidRDefault="007266AA">
            <w:pPr>
              <w:keepNext/>
              <w:keepLines/>
              <w:spacing w:line="240" w:lineRule="auto"/>
            </w:pPr>
          </w:p>
        </w:tc>
        <w:tc>
          <w:tcPr>
            <w:tcW w:w="2427" w:type="dxa"/>
            <w:vMerge/>
          </w:tcPr>
          <w:p w14:paraId="68FB5AC8" w14:textId="77777777" w:rsidR="007266AA" w:rsidRDefault="007266AA">
            <w:pPr>
              <w:keepNext/>
              <w:keepLines/>
              <w:spacing w:line="240" w:lineRule="auto"/>
            </w:pPr>
          </w:p>
        </w:tc>
        <w:tc>
          <w:tcPr>
            <w:tcW w:w="1389" w:type="dxa"/>
            <w:vAlign w:val="center"/>
          </w:tcPr>
          <w:p w14:paraId="0DD69894" w14:textId="77777777" w:rsidR="007266AA" w:rsidRDefault="007266AA">
            <w:pPr>
              <w:keepNext/>
              <w:keepLines/>
              <w:spacing w:line="240" w:lineRule="auto"/>
              <w:jc w:val="center"/>
            </w:pPr>
            <w:r>
              <w:t>1. rok</w:t>
            </w:r>
          </w:p>
        </w:tc>
        <w:tc>
          <w:tcPr>
            <w:tcW w:w="1388" w:type="dxa"/>
            <w:shd w:val="clear" w:color="auto" w:fill="auto"/>
            <w:vAlign w:val="center"/>
          </w:tcPr>
          <w:p w14:paraId="7CA82B25" w14:textId="77777777" w:rsidR="007266AA" w:rsidRDefault="007266AA">
            <w:pPr>
              <w:keepNext/>
              <w:keepLines/>
              <w:spacing w:line="240" w:lineRule="auto"/>
              <w:jc w:val="center"/>
            </w:pPr>
            <w:r>
              <w:t>2. rok</w:t>
            </w:r>
          </w:p>
        </w:tc>
        <w:tc>
          <w:tcPr>
            <w:tcW w:w="1352" w:type="dxa"/>
            <w:shd w:val="clear" w:color="auto" w:fill="auto"/>
            <w:vAlign w:val="center"/>
          </w:tcPr>
          <w:p w14:paraId="5A8C3249" w14:textId="77777777" w:rsidR="007266AA" w:rsidRDefault="007266AA">
            <w:pPr>
              <w:keepNext/>
              <w:keepLines/>
              <w:spacing w:line="240" w:lineRule="auto"/>
              <w:jc w:val="center"/>
            </w:pPr>
            <w:r>
              <w:t>3. rok</w:t>
            </w:r>
          </w:p>
        </w:tc>
        <w:tc>
          <w:tcPr>
            <w:tcW w:w="1208" w:type="dxa"/>
            <w:shd w:val="clear" w:color="auto" w:fill="auto"/>
            <w:vAlign w:val="center"/>
          </w:tcPr>
          <w:p w14:paraId="4F72007F" w14:textId="77777777" w:rsidR="007266AA" w:rsidRDefault="007266AA">
            <w:pPr>
              <w:keepNext/>
              <w:keepLines/>
              <w:spacing w:line="240" w:lineRule="auto"/>
              <w:jc w:val="center"/>
            </w:pPr>
            <w:r>
              <w:t>4. rok</w:t>
            </w:r>
          </w:p>
        </w:tc>
      </w:tr>
      <w:tr w:rsidR="007266AA" w14:paraId="0DA87D89" w14:textId="77777777">
        <w:trPr>
          <w:cantSplit/>
          <w:trHeight w:val="296"/>
        </w:trPr>
        <w:tc>
          <w:tcPr>
            <w:tcW w:w="1983" w:type="dxa"/>
            <w:vMerge/>
          </w:tcPr>
          <w:p w14:paraId="3CE85765" w14:textId="77777777" w:rsidR="007266AA" w:rsidRDefault="007266AA">
            <w:pPr>
              <w:keepNext/>
              <w:keepLines/>
              <w:tabs>
                <w:tab w:val="left" w:pos="162"/>
              </w:tabs>
              <w:spacing w:line="240" w:lineRule="auto"/>
            </w:pPr>
          </w:p>
        </w:tc>
        <w:tc>
          <w:tcPr>
            <w:tcW w:w="2427" w:type="dxa"/>
            <w:tcBorders>
              <w:top w:val="single" w:sz="4" w:space="0" w:color="auto"/>
              <w:bottom w:val="nil"/>
            </w:tcBorders>
          </w:tcPr>
          <w:p w14:paraId="386DA23F" w14:textId="77777777" w:rsidR="007266AA" w:rsidRDefault="007266AA">
            <w:pPr>
              <w:keepNext/>
              <w:keepLines/>
              <w:tabs>
                <w:tab w:val="left" w:pos="162"/>
              </w:tabs>
              <w:spacing w:line="240" w:lineRule="auto"/>
              <w:rPr>
                <w:szCs w:val="24"/>
              </w:rPr>
            </w:pPr>
            <w:r>
              <w:tab/>
              <w:t>Kombinácia</w:t>
            </w:r>
            <w:r>
              <w:rPr>
                <w:vertAlign w:val="superscript"/>
              </w:rPr>
              <w:t xml:space="preserve">a </w:t>
            </w:r>
            <w:r>
              <w:t>(n)</w:t>
            </w:r>
          </w:p>
        </w:tc>
        <w:tc>
          <w:tcPr>
            <w:tcW w:w="1389" w:type="dxa"/>
            <w:tcBorders>
              <w:top w:val="single" w:sz="4" w:space="0" w:color="auto"/>
              <w:bottom w:val="nil"/>
            </w:tcBorders>
          </w:tcPr>
          <w:p w14:paraId="60F61B95" w14:textId="77777777" w:rsidR="007266AA" w:rsidRDefault="007266AA">
            <w:pPr>
              <w:keepNext/>
              <w:keepLines/>
              <w:spacing w:line="240" w:lineRule="auto"/>
              <w:jc w:val="center"/>
            </w:pPr>
            <w:r>
              <w:t>(n=1 610)</w:t>
            </w:r>
          </w:p>
        </w:tc>
        <w:tc>
          <w:tcPr>
            <w:tcW w:w="1388" w:type="dxa"/>
            <w:tcBorders>
              <w:top w:val="single" w:sz="4" w:space="0" w:color="auto"/>
              <w:bottom w:val="nil"/>
            </w:tcBorders>
          </w:tcPr>
          <w:p w14:paraId="5C8D1505" w14:textId="77777777" w:rsidR="007266AA" w:rsidRDefault="007266AA">
            <w:pPr>
              <w:keepNext/>
              <w:keepLines/>
              <w:spacing w:line="240" w:lineRule="auto"/>
              <w:jc w:val="center"/>
            </w:pPr>
            <w:r>
              <w:t>(n=1 428)</w:t>
            </w:r>
          </w:p>
        </w:tc>
        <w:tc>
          <w:tcPr>
            <w:tcW w:w="1352" w:type="dxa"/>
            <w:tcBorders>
              <w:top w:val="single" w:sz="4" w:space="0" w:color="auto"/>
              <w:bottom w:val="nil"/>
            </w:tcBorders>
          </w:tcPr>
          <w:p w14:paraId="2B6C3E41" w14:textId="77777777" w:rsidR="007266AA" w:rsidRDefault="007266AA">
            <w:pPr>
              <w:keepNext/>
              <w:keepLines/>
              <w:spacing w:line="240" w:lineRule="auto"/>
              <w:jc w:val="center"/>
            </w:pPr>
            <w:r>
              <w:t>(n=1 283)</w:t>
            </w:r>
          </w:p>
        </w:tc>
        <w:tc>
          <w:tcPr>
            <w:tcW w:w="1208" w:type="dxa"/>
            <w:tcBorders>
              <w:top w:val="single" w:sz="4" w:space="0" w:color="auto"/>
              <w:bottom w:val="nil"/>
            </w:tcBorders>
          </w:tcPr>
          <w:p w14:paraId="729D0A7E" w14:textId="77777777" w:rsidR="007266AA" w:rsidRDefault="007266AA">
            <w:pPr>
              <w:keepNext/>
              <w:keepLines/>
              <w:spacing w:line="240" w:lineRule="auto"/>
              <w:jc w:val="center"/>
            </w:pPr>
            <w:r>
              <w:t>(n=1 200)</w:t>
            </w:r>
          </w:p>
        </w:tc>
      </w:tr>
      <w:tr w:rsidR="007266AA" w14:paraId="444DCFAE" w14:textId="77777777">
        <w:trPr>
          <w:cantSplit/>
          <w:trHeight w:val="398"/>
        </w:trPr>
        <w:tc>
          <w:tcPr>
            <w:tcW w:w="1983" w:type="dxa"/>
            <w:vMerge/>
          </w:tcPr>
          <w:p w14:paraId="13E4AAB1" w14:textId="77777777" w:rsidR="007266AA" w:rsidRDefault="007266AA">
            <w:pPr>
              <w:keepNext/>
              <w:keepLines/>
              <w:tabs>
                <w:tab w:val="left" w:pos="162"/>
              </w:tabs>
              <w:spacing w:line="240" w:lineRule="auto"/>
            </w:pPr>
          </w:p>
        </w:tc>
        <w:tc>
          <w:tcPr>
            <w:tcW w:w="2427" w:type="dxa"/>
            <w:tcBorders>
              <w:top w:val="nil"/>
              <w:bottom w:val="nil"/>
            </w:tcBorders>
          </w:tcPr>
          <w:p w14:paraId="46750B70" w14:textId="77777777" w:rsidR="007266AA" w:rsidRDefault="007266AA">
            <w:pPr>
              <w:keepNext/>
              <w:keepLines/>
              <w:tabs>
                <w:tab w:val="left" w:pos="162"/>
              </w:tabs>
              <w:spacing w:line="240" w:lineRule="auto"/>
            </w:pPr>
            <w:r>
              <w:tab/>
              <w:t xml:space="preserve">Dutasterid </w:t>
            </w:r>
          </w:p>
        </w:tc>
        <w:tc>
          <w:tcPr>
            <w:tcW w:w="1389" w:type="dxa"/>
            <w:tcBorders>
              <w:top w:val="nil"/>
              <w:bottom w:val="nil"/>
            </w:tcBorders>
          </w:tcPr>
          <w:p w14:paraId="134497F0" w14:textId="77777777" w:rsidR="007266AA" w:rsidRDefault="007266AA">
            <w:pPr>
              <w:keepNext/>
              <w:keepLines/>
              <w:spacing w:line="240" w:lineRule="auto"/>
              <w:jc w:val="center"/>
            </w:pPr>
            <w:r>
              <w:t>(n=1 623)</w:t>
            </w:r>
          </w:p>
        </w:tc>
        <w:tc>
          <w:tcPr>
            <w:tcW w:w="1388" w:type="dxa"/>
            <w:tcBorders>
              <w:top w:val="nil"/>
              <w:bottom w:val="nil"/>
            </w:tcBorders>
          </w:tcPr>
          <w:p w14:paraId="49859A45" w14:textId="77777777" w:rsidR="007266AA" w:rsidRDefault="007266AA">
            <w:pPr>
              <w:keepNext/>
              <w:keepLines/>
              <w:spacing w:line="240" w:lineRule="auto"/>
              <w:jc w:val="center"/>
            </w:pPr>
            <w:r>
              <w:t>(n=1 464)</w:t>
            </w:r>
          </w:p>
        </w:tc>
        <w:tc>
          <w:tcPr>
            <w:tcW w:w="1352" w:type="dxa"/>
            <w:tcBorders>
              <w:top w:val="nil"/>
              <w:bottom w:val="nil"/>
            </w:tcBorders>
          </w:tcPr>
          <w:p w14:paraId="257C18DE" w14:textId="77777777" w:rsidR="007266AA" w:rsidRDefault="007266AA">
            <w:pPr>
              <w:keepNext/>
              <w:keepLines/>
              <w:spacing w:line="240" w:lineRule="auto"/>
              <w:jc w:val="center"/>
            </w:pPr>
            <w:r>
              <w:t>(n=1 325)</w:t>
            </w:r>
          </w:p>
        </w:tc>
        <w:tc>
          <w:tcPr>
            <w:tcW w:w="1208" w:type="dxa"/>
            <w:tcBorders>
              <w:top w:val="nil"/>
              <w:bottom w:val="nil"/>
            </w:tcBorders>
          </w:tcPr>
          <w:p w14:paraId="24D2C149" w14:textId="77777777" w:rsidR="007266AA" w:rsidRDefault="007266AA">
            <w:pPr>
              <w:keepNext/>
              <w:keepLines/>
              <w:spacing w:line="240" w:lineRule="auto"/>
              <w:jc w:val="center"/>
            </w:pPr>
            <w:r>
              <w:t>(n=1 200)</w:t>
            </w:r>
          </w:p>
        </w:tc>
      </w:tr>
      <w:tr w:rsidR="007266AA" w14:paraId="4800EFC5" w14:textId="77777777">
        <w:trPr>
          <w:cantSplit/>
          <w:trHeight w:val="398"/>
        </w:trPr>
        <w:tc>
          <w:tcPr>
            <w:tcW w:w="1983" w:type="dxa"/>
            <w:vMerge/>
            <w:tcBorders>
              <w:bottom w:val="single" w:sz="4" w:space="0" w:color="auto"/>
            </w:tcBorders>
          </w:tcPr>
          <w:p w14:paraId="78252EF5" w14:textId="77777777" w:rsidR="007266AA" w:rsidRDefault="007266AA">
            <w:pPr>
              <w:keepNext/>
              <w:keepLines/>
              <w:tabs>
                <w:tab w:val="left" w:pos="162"/>
              </w:tabs>
              <w:spacing w:line="240" w:lineRule="auto"/>
            </w:pPr>
          </w:p>
        </w:tc>
        <w:tc>
          <w:tcPr>
            <w:tcW w:w="2427" w:type="dxa"/>
            <w:tcBorders>
              <w:top w:val="nil"/>
              <w:bottom w:val="single" w:sz="4" w:space="0" w:color="auto"/>
            </w:tcBorders>
          </w:tcPr>
          <w:p w14:paraId="45876AA9" w14:textId="77777777" w:rsidR="007266AA" w:rsidRDefault="007266AA">
            <w:pPr>
              <w:keepNext/>
              <w:keepLines/>
              <w:tabs>
                <w:tab w:val="left" w:pos="162"/>
              </w:tabs>
              <w:spacing w:line="240" w:lineRule="auto"/>
            </w:pPr>
            <w:r>
              <w:tab/>
              <w:t xml:space="preserve">Tamsulozín </w:t>
            </w:r>
          </w:p>
        </w:tc>
        <w:tc>
          <w:tcPr>
            <w:tcW w:w="1389" w:type="dxa"/>
            <w:tcBorders>
              <w:top w:val="nil"/>
              <w:bottom w:val="single" w:sz="4" w:space="0" w:color="auto"/>
            </w:tcBorders>
          </w:tcPr>
          <w:p w14:paraId="7713A065" w14:textId="77777777" w:rsidR="007266AA" w:rsidRDefault="007266AA">
            <w:pPr>
              <w:keepNext/>
              <w:keepLines/>
              <w:spacing w:line="240" w:lineRule="auto"/>
              <w:jc w:val="center"/>
            </w:pPr>
            <w:r>
              <w:t>(n=1 611)</w:t>
            </w:r>
          </w:p>
        </w:tc>
        <w:tc>
          <w:tcPr>
            <w:tcW w:w="1388" w:type="dxa"/>
            <w:tcBorders>
              <w:top w:val="nil"/>
              <w:bottom w:val="single" w:sz="4" w:space="0" w:color="auto"/>
            </w:tcBorders>
          </w:tcPr>
          <w:p w14:paraId="46FD3C13" w14:textId="77777777" w:rsidR="007266AA" w:rsidRDefault="007266AA">
            <w:pPr>
              <w:keepNext/>
              <w:keepLines/>
              <w:spacing w:line="240" w:lineRule="auto"/>
              <w:jc w:val="center"/>
            </w:pPr>
            <w:r>
              <w:t>(n=1 468)</w:t>
            </w:r>
          </w:p>
        </w:tc>
        <w:tc>
          <w:tcPr>
            <w:tcW w:w="1352" w:type="dxa"/>
            <w:tcBorders>
              <w:top w:val="nil"/>
              <w:bottom w:val="single" w:sz="4" w:space="0" w:color="auto"/>
            </w:tcBorders>
          </w:tcPr>
          <w:p w14:paraId="7BF688A1" w14:textId="77777777" w:rsidR="007266AA" w:rsidRDefault="007266AA">
            <w:pPr>
              <w:keepNext/>
              <w:keepLines/>
              <w:spacing w:line="240" w:lineRule="auto"/>
              <w:jc w:val="center"/>
            </w:pPr>
            <w:r>
              <w:t>(n=1 281)</w:t>
            </w:r>
          </w:p>
        </w:tc>
        <w:tc>
          <w:tcPr>
            <w:tcW w:w="1208" w:type="dxa"/>
            <w:tcBorders>
              <w:top w:val="nil"/>
              <w:bottom w:val="single" w:sz="4" w:space="0" w:color="auto"/>
            </w:tcBorders>
          </w:tcPr>
          <w:p w14:paraId="3BE47FA0" w14:textId="77777777" w:rsidR="007266AA" w:rsidRDefault="007266AA">
            <w:pPr>
              <w:keepNext/>
              <w:keepLines/>
              <w:spacing w:line="240" w:lineRule="auto"/>
              <w:jc w:val="center"/>
            </w:pPr>
            <w:r>
              <w:t>(n=1 112)</w:t>
            </w:r>
          </w:p>
        </w:tc>
      </w:tr>
      <w:tr w:rsidR="007266AA" w14:paraId="0BABE572" w14:textId="77777777">
        <w:trPr>
          <w:cantSplit/>
          <w:trHeight w:val="950"/>
        </w:trPr>
        <w:tc>
          <w:tcPr>
            <w:tcW w:w="1983" w:type="dxa"/>
            <w:tcBorders>
              <w:top w:val="single" w:sz="4" w:space="0" w:color="auto"/>
            </w:tcBorders>
          </w:tcPr>
          <w:p w14:paraId="66FB3FD1" w14:textId="77777777" w:rsidR="007266AA" w:rsidRDefault="007266AA">
            <w:pPr>
              <w:keepNext/>
              <w:keepLines/>
              <w:tabs>
                <w:tab w:val="left" w:pos="162"/>
              </w:tabs>
              <w:spacing w:line="240" w:lineRule="auto"/>
              <w:rPr>
                <w:snapToGrid w:val="0"/>
                <w:color w:val="000000"/>
                <w:szCs w:val="22"/>
              </w:rPr>
            </w:pPr>
            <w:r>
              <w:t>Poruchy nervového systému</w:t>
            </w:r>
          </w:p>
        </w:tc>
        <w:tc>
          <w:tcPr>
            <w:tcW w:w="2427" w:type="dxa"/>
            <w:tcBorders>
              <w:top w:val="single" w:sz="4" w:space="0" w:color="auto"/>
            </w:tcBorders>
          </w:tcPr>
          <w:p w14:paraId="4FCC1A4E" w14:textId="77777777" w:rsidR="007266AA" w:rsidRDefault="007266AA" w:rsidP="00634CE6">
            <w:pPr>
              <w:keepNext/>
              <w:keepLines/>
              <w:tabs>
                <w:tab w:val="clear" w:pos="567"/>
              </w:tabs>
              <w:spacing w:line="240" w:lineRule="auto"/>
              <w:ind w:firstLine="177"/>
            </w:pPr>
            <w:r>
              <w:t>Závrat</w:t>
            </w:r>
          </w:p>
          <w:p w14:paraId="6419F2F5" w14:textId="77777777" w:rsidR="007266AA" w:rsidRDefault="007266AA">
            <w:pPr>
              <w:keepNext/>
              <w:keepLines/>
              <w:tabs>
                <w:tab w:val="left" w:pos="162"/>
              </w:tabs>
              <w:spacing w:line="240" w:lineRule="auto"/>
            </w:pPr>
            <w:r>
              <w:tab/>
              <w:t>Kombinácia</w:t>
            </w:r>
            <w:r>
              <w:rPr>
                <w:vertAlign w:val="superscript"/>
              </w:rPr>
              <w:t>a</w:t>
            </w:r>
          </w:p>
          <w:p w14:paraId="528A8BED" w14:textId="77777777" w:rsidR="007266AA" w:rsidRDefault="007266AA">
            <w:pPr>
              <w:keepNext/>
              <w:keepLines/>
              <w:tabs>
                <w:tab w:val="left" w:pos="162"/>
              </w:tabs>
              <w:spacing w:line="240" w:lineRule="auto"/>
            </w:pPr>
            <w:r>
              <w:tab/>
              <w:t>Dutasterid</w:t>
            </w:r>
          </w:p>
          <w:p w14:paraId="2826E4A8" w14:textId="77777777" w:rsidR="007266AA" w:rsidRDefault="007266AA">
            <w:pPr>
              <w:keepNext/>
              <w:keepLines/>
              <w:tabs>
                <w:tab w:val="left" w:pos="162"/>
              </w:tabs>
              <w:spacing w:line="240" w:lineRule="auto"/>
            </w:pPr>
            <w:r>
              <w:tab/>
              <w:t>Tamsulozín</w:t>
            </w:r>
          </w:p>
        </w:tc>
        <w:tc>
          <w:tcPr>
            <w:tcW w:w="1389" w:type="dxa"/>
            <w:tcBorders>
              <w:top w:val="single" w:sz="4" w:space="0" w:color="auto"/>
            </w:tcBorders>
            <w:vAlign w:val="bottom"/>
          </w:tcPr>
          <w:p w14:paraId="771EC789" w14:textId="77777777" w:rsidR="007266AA" w:rsidRDefault="007266AA">
            <w:pPr>
              <w:keepNext/>
              <w:keepLines/>
              <w:spacing w:line="240" w:lineRule="auto"/>
              <w:jc w:val="center"/>
            </w:pPr>
            <w:r>
              <w:t>1,4 %</w:t>
            </w:r>
          </w:p>
          <w:p w14:paraId="72D9D00C" w14:textId="77777777" w:rsidR="007266AA" w:rsidRDefault="007266AA">
            <w:pPr>
              <w:keepNext/>
              <w:keepLines/>
              <w:spacing w:line="240" w:lineRule="auto"/>
              <w:jc w:val="center"/>
            </w:pPr>
            <w:r>
              <w:t>0,7 %</w:t>
            </w:r>
          </w:p>
          <w:p w14:paraId="290F512D" w14:textId="77777777" w:rsidR="007266AA" w:rsidRDefault="007266AA">
            <w:pPr>
              <w:keepNext/>
              <w:keepLines/>
              <w:spacing w:line="240" w:lineRule="auto"/>
              <w:jc w:val="center"/>
            </w:pPr>
            <w:r>
              <w:t>1,3 %</w:t>
            </w:r>
          </w:p>
        </w:tc>
        <w:tc>
          <w:tcPr>
            <w:tcW w:w="1388" w:type="dxa"/>
            <w:tcBorders>
              <w:top w:val="single" w:sz="4" w:space="0" w:color="auto"/>
            </w:tcBorders>
            <w:vAlign w:val="bottom"/>
          </w:tcPr>
          <w:p w14:paraId="4BA9E5B7" w14:textId="77777777" w:rsidR="007266AA" w:rsidRDefault="007266AA">
            <w:pPr>
              <w:keepNext/>
              <w:keepLines/>
              <w:spacing w:line="240" w:lineRule="auto"/>
              <w:jc w:val="center"/>
            </w:pPr>
            <w:r>
              <w:t>0,1 %</w:t>
            </w:r>
          </w:p>
          <w:p w14:paraId="4FDE8A6D" w14:textId="77777777" w:rsidR="007266AA" w:rsidRDefault="007266AA">
            <w:pPr>
              <w:keepNext/>
              <w:keepLines/>
              <w:spacing w:line="240" w:lineRule="auto"/>
              <w:jc w:val="center"/>
            </w:pPr>
            <w:r>
              <w:t>0,1 %</w:t>
            </w:r>
          </w:p>
          <w:p w14:paraId="2771557C" w14:textId="77777777" w:rsidR="007266AA" w:rsidRDefault="007266AA">
            <w:pPr>
              <w:keepNext/>
              <w:keepLines/>
              <w:spacing w:line="240" w:lineRule="auto"/>
              <w:jc w:val="center"/>
            </w:pPr>
            <w:r>
              <w:t>0,4 %</w:t>
            </w:r>
          </w:p>
        </w:tc>
        <w:tc>
          <w:tcPr>
            <w:tcW w:w="1352" w:type="dxa"/>
            <w:tcBorders>
              <w:top w:val="single" w:sz="4" w:space="0" w:color="auto"/>
            </w:tcBorders>
            <w:vAlign w:val="bottom"/>
          </w:tcPr>
          <w:p w14:paraId="41E94060" w14:textId="77777777" w:rsidR="007266AA" w:rsidRDefault="007266AA">
            <w:pPr>
              <w:keepNext/>
              <w:keepLines/>
              <w:spacing w:line="240" w:lineRule="auto"/>
              <w:jc w:val="center"/>
            </w:pPr>
            <w:r>
              <w:t>&lt; 0,1 %</w:t>
            </w:r>
          </w:p>
          <w:p w14:paraId="2C5783E9" w14:textId="77777777" w:rsidR="007266AA" w:rsidRDefault="007266AA">
            <w:pPr>
              <w:keepNext/>
              <w:keepLines/>
              <w:spacing w:line="240" w:lineRule="auto"/>
              <w:jc w:val="center"/>
            </w:pPr>
            <w:r>
              <w:t>&lt; 0,1 %</w:t>
            </w:r>
          </w:p>
          <w:p w14:paraId="346C3DBD" w14:textId="77777777" w:rsidR="007266AA" w:rsidRDefault="007266AA">
            <w:pPr>
              <w:keepNext/>
              <w:keepLines/>
              <w:spacing w:line="240" w:lineRule="auto"/>
              <w:jc w:val="center"/>
            </w:pPr>
            <w:r>
              <w:t>&lt; 0,1 %</w:t>
            </w:r>
          </w:p>
        </w:tc>
        <w:tc>
          <w:tcPr>
            <w:tcW w:w="1208" w:type="dxa"/>
            <w:tcBorders>
              <w:top w:val="single" w:sz="4" w:space="0" w:color="auto"/>
            </w:tcBorders>
            <w:vAlign w:val="bottom"/>
          </w:tcPr>
          <w:p w14:paraId="37894910" w14:textId="77777777" w:rsidR="007266AA" w:rsidRDefault="007266AA">
            <w:pPr>
              <w:keepNext/>
              <w:keepLines/>
              <w:spacing w:line="240" w:lineRule="auto"/>
              <w:jc w:val="center"/>
            </w:pPr>
            <w:r>
              <w:t>0,2 %</w:t>
            </w:r>
          </w:p>
          <w:p w14:paraId="28C4B6A4" w14:textId="77777777" w:rsidR="007266AA" w:rsidRDefault="007266AA">
            <w:pPr>
              <w:keepNext/>
              <w:keepLines/>
              <w:spacing w:line="240" w:lineRule="auto"/>
              <w:jc w:val="center"/>
            </w:pPr>
            <w:r>
              <w:t>&lt; 0,1 %</w:t>
            </w:r>
          </w:p>
          <w:p w14:paraId="1D9F8487" w14:textId="77777777" w:rsidR="007266AA" w:rsidRDefault="007266AA">
            <w:pPr>
              <w:keepNext/>
              <w:keepLines/>
              <w:spacing w:line="240" w:lineRule="auto"/>
              <w:jc w:val="center"/>
            </w:pPr>
            <w:r>
              <w:t xml:space="preserve">0 % </w:t>
            </w:r>
          </w:p>
        </w:tc>
      </w:tr>
      <w:tr w:rsidR="007266AA" w14:paraId="49169761" w14:textId="77777777">
        <w:trPr>
          <w:cantSplit/>
          <w:trHeight w:val="1264"/>
        </w:trPr>
        <w:tc>
          <w:tcPr>
            <w:tcW w:w="1983" w:type="dxa"/>
            <w:tcBorders>
              <w:top w:val="single" w:sz="4" w:space="0" w:color="auto"/>
            </w:tcBorders>
          </w:tcPr>
          <w:p w14:paraId="5C8DF4F1" w14:textId="77777777" w:rsidR="007266AA" w:rsidRDefault="007266AA">
            <w:pPr>
              <w:keepNext/>
              <w:keepLines/>
              <w:tabs>
                <w:tab w:val="left" w:pos="162"/>
              </w:tabs>
              <w:spacing w:line="240" w:lineRule="auto"/>
              <w:rPr>
                <w:snapToGrid w:val="0"/>
                <w:szCs w:val="22"/>
              </w:rPr>
            </w:pPr>
            <w:r>
              <w:t>Poruchy srdca a srdcovej činnosti</w:t>
            </w:r>
          </w:p>
        </w:tc>
        <w:tc>
          <w:tcPr>
            <w:tcW w:w="2427" w:type="dxa"/>
            <w:tcBorders>
              <w:top w:val="single" w:sz="4" w:space="0" w:color="auto"/>
            </w:tcBorders>
          </w:tcPr>
          <w:p w14:paraId="4CFABA09" w14:textId="77777777" w:rsidR="007266AA" w:rsidRDefault="007266AA">
            <w:pPr>
              <w:keepNext/>
              <w:keepLines/>
              <w:tabs>
                <w:tab w:val="left" w:pos="162"/>
              </w:tabs>
              <w:spacing w:line="240" w:lineRule="auto"/>
            </w:pPr>
            <w:r>
              <w:t>Zlyhanie srdca (spoločný výraz</w:t>
            </w:r>
            <w:r>
              <w:rPr>
                <w:vertAlign w:val="superscript"/>
              </w:rPr>
              <w:t>b</w:t>
            </w:r>
            <w:r>
              <w:t xml:space="preserve">) </w:t>
            </w:r>
          </w:p>
          <w:p w14:paraId="49BFC81B" w14:textId="77777777" w:rsidR="007266AA" w:rsidRDefault="007266AA">
            <w:pPr>
              <w:keepNext/>
              <w:keepLines/>
              <w:tabs>
                <w:tab w:val="left" w:pos="162"/>
              </w:tabs>
              <w:spacing w:line="240" w:lineRule="auto"/>
            </w:pPr>
            <w:r>
              <w:tab/>
              <w:t>Kombinácia</w:t>
            </w:r>
            <w:r>
              <w:rPr>
                <w:vertAlign w:val="superscript"/>
              </w:rPr>
              <w:t>a</w:t>
            </w:r>
          </w:p>
          <w:p w14:paraId="5D6C8FAB" w14:textId="77777777" w:rsidR="007266AA" w:rsidRDefault="007266AA">
            <w:pPr>
              <w:keepNext/>
              <w:keepLines/>
              <w:tabs>
                <w:tab w:val="left" w:pos="162"/>
              </w:tabs>
              <w:spacing w:line="240" w:lineRule="auto"/>
            </w:pPr>
            <w:r>
              <w:tab/>
              <w:t>Dutasterid</w:t>
            </w:r>
          </w:p>
          <w:p w14:paraId="28D0877D" w14:textId="77777777" w:rsidR="007266AA" w:rsidRDefault="007266AA">
            <w:pPr>
              <w:keepNext/>
              <w:keepLines/>
              <w:tabs>
                <w:tab w:val="left" w:pos="162"/>
              </w:tabs>
              <w:spacing w:line="240" w:lineRule="auto"/>
            </w:pPr>
            <w:r>
              <w:tab/>
              <w:t>Tamsulozín</w:t>
            </w:r>
          </w:p>
        </w:tc>
        <w:tc>
          <w:tcPr>
            <w:tcW w:w="1389" w:type="dxa"/>
            <w:tcBorders>
              <w:top w:val="single" w:sz="4" w:space="0" w:color="auto"/>
            </w:tcBorders>
            <w:vAlign w:val="center"/>
          </w:tcPr>
          <w:p w14:paraId="62EA7D42" w14:textId="77777777" w:rsidR="007266AA" w:rsidRDefault="007266AA">
            <w:pPr>
              <w:keepNext/>
              <w:keepLines/>
              <w:spacing w:line="240" w:lineRule="auto"/>
              <w:jc w:val="center"/>
            </w:pPr>
          </w:p>
          <w:p w14:paraId="58D42551" w14:textId="77777777" w:rsidR="007266AA" w:rsidRDefault="007266AA">
            <w:pPr>
              <w:keepNext/>
              <w:keepLines/>
              <w:spacing w:line="240" w:lineRule="auto"/>
              <w:jc w:val="center"/>
            </w:pPr>
          </w:p>
          <w:p w14:paraId="5DA8742F" w14:textId="77777777" w:rsidR="007266AA" w:rsidRDefault="007266AA">
            <w:pPr>
              <w:keepNext/>
              <w:keepLines/>
              <w:spacing w:line="240" w:lineRule="auto"/>
              <w:jc w:val="center"/>
            </w:pPr>
            <w:r>
              <w:t>0,2 %</w:t>
            </w:r>
          </w:p>
          <w:p w14:paraId="227E0E29" w14:textId="77777777" w:rsidR="007266AA" w:rsidRDefault="007266AA">
            <w:pPr>
              <w:keepNext/>
              <w:keepLines/>
              <w:spacing w:line="240" w:lineRule="auto"/>
              <w:jc w:val="center"/>
            </w:pPr>
            <w:r>
              <w:t>&lt; 0,1 %</w:t>
            </w:r>
          </w:p>
          <w:p w14:paraId="58F201A0" w14:textId="77777777" w:rsidR="007266AA" w:rsidRDefault="007266AA">
            <w:pPr>
              <w:keepNext/>
              <w:keepLines/>
              <w:spacing w:line="240" w:lineRule="auto"/>
              <w:jc w:val="center"/>
            </w:pPr>
            <w:r>
              <w:t>0,1 %</w:t>
            </w:r>
          </w:p>
        </w:tc>
        <w:tc>
          <w:tcPr>
            <w:tcW w:w="1388" w:type="dxa"/>
            <w:tcBorders>
              <w:top w:val="single" w:sz="4" w:space="0" w:color="auto"/>
            </w:tcBorders>
            <w:vAlign w:val="bottom"/>
          </w:tcPr>
          <w:p w14:paraId="573542F2" w14:textId="77777777" w:rsidR="007266AA" w:rsidRDefault="007266AA">
            <w:pPr>
              <w:keepNext/>
              <w:keepLines/>
              <w:spacing w:line="240" w:lineRule="auto"/>
              <w:jc w:val="center"/>
            </w:pPr>
            <w:r>
              <w:t>0,4%</w:t>
            </w:r>
          </w:p>
          <w:p w14:paraId="3156265E" w14:textId="77777777" w:rsidR="007266AA" w:rsidRDefault="007266AA">
            <w:pPr>
              <w:keepNext/>
              <w:keepLines/>
              <w:spacing w:line="240" w:lineRule="auto"/>
              <w:jc w:val="center"/>
            </w:pPr>
            <w:r>
              <w:t>0,1 %</w:t>
            </w:r>
          </w:p>
          <w:p w14:paraId="510A9F91" w14:textId="77777777" w:rsidR="007266AA" w:rsidRDefault="007266AA">
            <w:pPr>
              <w:keepNext/>
              <w:keepLines/>
              <w:spacing w:line="240" w:lineRule="auto"/>
              <w:jc w:val="center"/>
            </w:pPr>
            <w:r>
              <w:t>&lt; 0,1 %</w:t>
            </w:r>
          </w:p>
        </w:tc>
        <w:tc>
          <w:tcPr>
            <w:tcW w:w="1352" w:type="dxa"/>
            <w:tcBorders>
              <w:top w:val="single" w:sz="4" w:space="0" w:color="auto"/>
            </w:tcBorders>
            <w:vAlign w:val="bottom"/>
          </w:tcPr>
          <w:p w14:paraId="1F985917" w14:textId="77777777" w:rsidR="007266AA" w:rsidRDefault="007266AA">
            <w:pPr>
              <w:keepNext/>
              <w:keepLines/>
              <w:spacing w:line="240" w:lineRule="auto"/>
              <w:jc w:val="center"/>
            </w:pPr>
            <w:r>
              <w:t>0,2 %</w:t>
            </w:r>
          </w:p>
          <w:p w14:paraId="329E91E9" w14:textId="77777777" w:rsidR="007266AA" w:rsidRDefault="007266AA">
            <w:pPr>
              <w:keepNext/>
              <w:keepLines/>
              <w:spacing w:line="240" w:lineRule="auto"/>
              <w:jc w:val="center"/>
            </w:pPr>
            <w:r>
              <w:t>&lt; 0,1 %</w:t>
            </w:r>
          </w:p>
          <w:p w14:paraId="08506739" w14:textId="77777777" w:rsidR="007266AA" w:rsidRDefault="007266AA">
            <w:pPr>
              <w:keepNext/>
              <w:keepLines/>
              <w:spacing w:line="240" w:lineRule="auto"/>
              <w:jc w:val="center"/>
            </w:pPr>
            <w:r>
              <w:t>0,4 %</w:t>
            </w:r>
          </w:p>
        </w:tc>
        <w:tc>
          <w:tcPr>
            <w:tcW w:w="1208" w:type="dxa"/>
            <w:tcBorders>
              <w:top w:val="single" w:sz="4" w:space="0" w:color="auto"/>
            </w:tcBorders>
            <w:vAlign w:val="bottom"/>
          </w:tcPr>
          <w:p w14:paraId="0F94A571" w14:textId="77777777" w:rsidR="007266AA" w:rsidRDefault="007266AA">
            <w:pPr>
              <w:keepNext/>
              <w:keepLines/>
              <w:spacing w:line="240" w:lineRule="auto"/>
              <w:jc w:val="center"/>
            </w:pPr>
            <w:r>
              <w:t>0,2 %</w:t>
            </w:r>
          </w:p>
          <w:p w14:paraId="549B8836" w14:textId="77777777" w:rsidR="007266AA" w:rsidRDefault="007266AA">
            <w:pPr>
              <w:keepNext/>
              <w:keepLines/>
              <w:spacing w:line="240" w:lineRule="auto"/>
              <w:jc w:val="center"/>
            </w:pPr>
            <w:r>
              <w:t>0 %</w:t>
            </w:r>
          </w:p>
          <w:p w14:paraId="6DC5673E" w14:textId="77777777" w:rsidR="007266AA" w:rsidRDefault="007266AA">
            <w:pPr>
              <w:keepNext/>
              <w:keepLines/>
              <w:spacing w:line="240" w:lineRule="auto"/>
              <w:jc w:val="center"/>
            </w:pPr>
            <w:r>
              <w:t>0,2 %</w:t>
            </w:r>
          </w:p>
        </w:tc>
      </w:tr>
      <w:tr w:rsidR="007266AA" w14:paraId="2CC8582F" w14:textId="77777777">
        <w:trPr>
          <w:cantSplit/>
          <w:trHeight w:val="288"/>
        </w:trPr>
        <w:tc>
          <w:tcPr>
            <w:tcW w:w="1983" w:type="dxa"/>
            <w:vMerge w:val="restart"/>
            <w:tcBorders>
              <w:top w:val="single" w:sz="4" w:space="0" w:color="auto"/>
            </w:tcBorders>
          </w:tcPr>
          <w:p w14:paraId="02BA46C6" w14:textId="77777777" w:rsidR="007266AA" w:rsidRDefault="007266AA">
            <w:pPr>
              <w:keepNext/>
              <w:keepLines/>
              <w:tabs>
                <w:tab w:val="left" w:pos="162"/>
              </w:tabs>
              <w:spacing w:line="240" w:lineRule="auto"/>
            </w:pPr>
            <w:r>
              <w:rPr>
                <w:snapToGrid w:val="0"/>
                <w:color w:val="000000"/>
              </w:rPr>
              <w:t>Poruchy reprodukčného systému a prsníkov, psychické poruchy, laboratórne a funkčné vyšetrenia</w:t>
            </w:r>
          </w:p>
        </w:tc>
        <w:tc>
          <w:tcPr>
            <w:tcW w:w="2427" w:type="dxa"/>
            <w:tcBorders>
              <w:top w:val="single" w:sz="4" w:space="0" w:color="auto"/>
              <w:bottom w:val="nil"/>
            </w:tcBorders>
          </w:tcPr>
          <w:p w14:paraId="3F39C7F0" w14:textId="77777777" w:rsidR="007266AA" w:rsidRDefault="007266AA">
            <w:pPr>
              <w:keepNext/>
              <w:keepLines/>
              <w:tabs>
                <w:tab w:val="left" w:pos="162"/>
              </w:tabs>
              <w:spacing w:line="240" w:lineRule="auto"/>
            </w:pPr>
            <w:r>
              <w:t>Impotencia</w:t>
            </w:r>
            <w:r>
              <w:rPr>
                <w:vertAlign w:val="superscript"/>
              </w:rPr>
              <w:t>c</w:t>
            </w:r>
          </w:p>
        </w:tc>
        <w:tc>
          <w:tcPr>
            <w:tcW w:w="1389" w:type="dxa"/>
            <w:tcBorders>
              <w:top w:val="single" w:sz="4" w:space="0" w:color="auto"/>
              <w:bottom w:val="nil"/>
            </w:tcBorders>
          </w:tcPr>
          <w:p w14:paraId="26B809E6" w14:textId="77777777" w:rsidR="007266AA" w:rsidRDefault="007266AA">
            <w:pPr>
              <w:keepNext/>
              <w:keepLines/>
              <w:spacing w:line="240" w:lineRule="auto"/>
              <w:jc w:val="center"/>
            </w:pPr>
          </w:p>
        </w:tc>
        <w:tc>
          <w:tcPr>
            <w:tcW w:w="1388" w:type="dxa"/>
            <w:tcBorders>
              <w:top w:val="single" w:sz="4" w:space="0" w:color="auto"/>
              <w:bottom w:val="nil"/>
            </w:tcBorders>
          </w:tcPr>
          <w:p w14:paraId="7D608083" w14:textId="77777777" w:rsidR="007266AA" w:rsidRDefault="007266AA">
            <w:pPr>
              <w:keepNext/>
              <w:keepLines/>
              <w:spacing w:line="240" w:lineRule="auto"/>
              <w:jc w:val="center"/>
            </w:pPr>
          </w:p>
        </w:tc>
        <w:tc>
          <w:tcPr>
            <w:tcW w:w="1352" w:type="dxa"/>
            <w:tcBorders>
              <w:top w:val="single" w:sz="4" w:space="0" w:color="auto"/>
              <w:bottom w:val="nil"/>
            </w:tcBorders>
          </w:tcPr>
          <w:p w14:paraId="7A2F1820" w14:textId="77777777" w:rsidR="007266AA" w:rsidRDefault="007266AA">
            <w:pPr>
              <w:keepNext/>
              <w:keepLines/>
              <w:spacing w:line="240" w:lineRule="auto"/>
              <w:jc w:val="center"/>
            </w:pPr>
          </w:p>
        </w:tc>
        <w:tc>
          <w:tcPr>
            <w:tcW w:w="1208" w:type="dxa"/>
            <w:tcBorders>
              <w:top w:val="single" w:sz="4" w:space="0" w:color="auto"/>
              <w:bottom w:val="nil"/>
            </w:tcBorders>
          </w:tcPr>
          <w:p w14:paraId="7BBD6B3F" w14:textId="77777777" w:rsidR="007266AA" w:rsidRDefault="007266AA">
            <w:pPr>
              <w:keepNext/>
              <w:keepLines/>
              <w:spacing w:line="240" w:lineRule="auto"/>
              <w:jc w:val="center"/>
            </w:pPr>
          </w:p>
        </w:tc>
      </w:tr>
      <w:tr w:rsidR="007266AA" w14:paraId="37478C25" w14:textId="77777777">
        <w:trPr>
          <w:trHeight w:val="314"/>
        </w:trPr>
        <w:tc>
          <w:tcPr>
            <w:tcW w:w="1983" w:type="dxa"/>
            <w:vMerge/>
          </w:tcPr>
          <w:p w14:paraId="1CEBC623"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1C1CF5FF" w14:textId="77777777" w:rsidR="007266AA" w:rsidRDefault="007266AA">
            <w:pPr>
              <w:keepNext/>
              <w:keepLines/>
              <w:tabs>
                <w:tab w:val="left" w:pos="162"/>
              </w:tabs>
              <w:spacing w:line="240" w:lineRule="auto"/>
              <w:ind w:left="720" w:hanging="720"/>
            </w:pPr>
            <w:r>
              <w:tab/>
              <w:t>Kombinácia</w:t>
            </w:r>
            <w:r>
              <w:rPr>
                <w:vertAlign w:val="superscript"/>
              </w:rPr>
              <w:t>a</w:t>
            </w:r>
          </w:p>
        </w:tc>
        <w:tc>
          <w:tcPr>
            <w:tcW w:w="1389" w:type="dxa"/>
            <w:tcBorders>
              <w:top w:val="nil"/>
              <w:bottom w:val="nil"/>
            </w:tcBorders>
            <w:vAlign w:val="bottom"/>
          </w:tcPr>
          <w:p w14:paraId="1E1603D7" w14:textId="77777777" w:rsidR="007266AA" w:rsidRDefault="007266AA">
            <w:pPr>
              <w:keepNext/>
              <w:keepLines/>
              <w:spacing w:line="240" w:lineRule="auto"/>
              <w:jc w:val="center"/>
            </w:pPr>
            <w:r>
              <w:t>6,3 %</w:t>
            </w:r>
          </w:p>
        </w:tc>
        <w:tc>
          <w:tcPr>
            <w:tcW w:w="1388" w:type="dxa"/>
            <w:tcBorders>
              <w:top w:val="nil"/>
              <w:bottom w:val="nil"/>
            </w:tcBorders>
            <w:vAlign w:val="bottom"/>
          </w:tcPr>
          <w:p w14:paraId="4D9E1E87" w14:textId="77777777" w:rsidR="007266AA" w:rsidRDefault="007266AA">
            <w:pPr>
              <w:keepNext/>
              <w:keepLines/>
              <w:spacing w:line="240" w:lineRule="auto"/>
              <w:jc w:val="center"/>
            </w:pPr>
            <w:r>
              <w:t xml:space="preserve">1,8 % </w:t>
            </w:r>
          </w:p>
        </w:tc>
        <w:tc>
          <w:tcPr>
            <w:tcW w:w="1352" w:type="dxa"/>
            <w:tcBorders>
              <w:top w:val="nil"/>
              <w:bottom w:val="nil"/>
            </w:tcBorders>
            <w:vAlign w:val="bottom"/>
          </w:tcPr>
          <w:p w14:paraId="46060F90" w14:textId="77777777" w:rsidR="007266AA" w:rsidRDefault="007266AA">
            <w:pPr>
              <w:keepNext/>
              <w:keepLines/>
              <w:spacing w:line="240" w:lineRule="auto"/>
              <w:jc w:val="center"/>
            </w:pPr>
            <w:r>
              <w:t>0,9 %</w:t>
            </w:r>
          </w:p>
        </w:tc>
        <w:tc>
          <w:tcPr>
            <w:tcW w:w="1208" w:type="dxa"/>
            <w:tcBorders>
              <w:top w:val="nil"/>
              <w:bottom w:val="nil"/>
            </w:tcBorders>
            <w:vAlign w:val="bottom"/>
          </w:tcPr>
          <w:p w14:paraId="718FDE14" w14:textId="77777777" w:rsidR="007266AA" w:rsidRDefault="007266AA">
            <w:pPr>
              <w:keepNext/>
              <w:keepLines/>
              <w:spacing w:line="240" w:lineRule="auto"/>
              <w:jc w:val="center"/>
            </w:pPr>
            <w:r>
              <w:t>0,4 %</w:t>
            </w:r>
          </w:p>
        </w:tc>
      </w:tr>
      <w:tr w:rsidR="007266AA" w14:paraId="2FD00C2E" w14:textId="77777777">
        <w:trPr>
          <w:trHeight w:val="314"/>
        </w:trPr>
        <w:tc>
          <w:tcPr>
            <w:tcW w:w="1983" w:type="dxa"/>
            <w:vMerge/>
          </w:tcPr>
          <w:p w14:paraId="4ED82A0D"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55D220EB" w14:textId="77777777" w:rsidR="007266AA" w:rsidRDefault="007266AA">
            <w:pPr>
              <w:keepNext/>
              <w:keepLines/>
              <w:tabs>
                <w:tab w:val="left" w:pos="162"/>
              </w:tabs>
              <w:spacing w:line="240" w:lineRule="auto"/>
              <w:ind w:left="720" w:hanging="720"/>
            </w:pPr>
            <w:r>
              <w:tab/>
              <w:t>Dutasterid</w:t>
            </w:r>
          </w:p>
        </w:tc>
        <w:tc>
          <w:tcPr>
            <w:tcW w:w="1389" w:type="dxa"/>
            <w:tcBorders>
              <w:top w:val="nil"/>
              <w:bottom w:val="nil"/>
            </w:tcBorders>
            <w:vAlign w:val="bottom"/>
          </w:tcPr>
          <w:p w14:paraId="7945BC4C" w14:textId="77777777" w:rsidR="007266AA" w:rsidRDefault="007266AA">
            <w:pPr>
              <w:keepNext/>
              <w:keepLines/>
              <w:spacing w:line="240" w:lineRule="auto"/>
              <w:jc w:val="center"/>
            </w:pPr>
            <w:r>
              <w:t>5,1 %</w:t>
            </w:r>
          </w:p>
        </w:tc>
        <w:tc>
          <w:tcPr>
            <w:tcW w:w="1388" w:type="dxa"/>
            <w:tcBorders>
              <w:top w:val="nil"/>
              <w:bottom w:val="nil"/>
            </w:tcBorders>
            <w:vAlign w:val="bottom"/>
          </w:tcPr>
          <w:p w14:paraId="0355A327" w14:textId="77777777" w:rsidR="007266AA" w:rsidRDefault="007266AA">
            <w:pPr>
              <w:keepNext/>
              <w:keepLines/>
              <w:spacing w:line="240" w:lineRule="auto"/>
              <w:jc w:val="center"/>
            </w:pPr>
            <w:r>
              <w:t xml:space="preserve">1,6 % </w:t>
            </w:r>
          </w:p>
        </w:tc>
        <w:tc>
          <w:tcPr>
            <w:tcW w:w="1352" w:type="dxa"/>
            <w:tcBorders>
              <w:top w:val="nil"/>
              <w:bottom w:val="nil"/>
            </w:tcBorders>
            <w:vAlign w:val="bottom"/>
          </w:tcPr>
          <w:p w14:paraId="0760C63E" w14:textId="77777777" w:rsidR="007266AA" w:rsidRDefault="007266AA">
            <w:pPr>
              <w:keepNext/>
              <w:keepLines/>
              <w:spacing w:line="240" w:lineRule="auto"/>
              <w:jc w:val="center"/>
            </w:pPr>
            <w:r>
              <w:t>0,6 %</w:t>
            </w:r>
          </w:p>
        </w:tc>
        <w:tc>
          <w:tcPr>
            <w:tcW w:w="1208" w:type="dxa"/>
            <w:tcBorders>
              <w:top w:val="nil"/>
              <w:bottom w:val="nil"/>
            </w:tcBorders>
            <w:vAlign w:val="bottom"/>
          </w:tcPr>
          <w:p w14:paraId="26A1FF68" w14:textId="77777777" w:rsidR="007266AA" w:rsidRDefault="007266AA">
            <w:pPr>
              <w:keepNext/>
              <w:keepLines/>
              <w:spacing w:line="240" w:lineRule="auto"/>
              <w:jc w:val="center"/>
            </w:pPr>
            <w:r>
              <w:t>0,3 %</w:t>
            </w:r>
          </w:p>
        </w:tc>
      </w:tr>
      <w:tr w:rsidR="007266AA" w14:paraId="11954E78" w14:textId="77777777">
        <w:trPr>
          <w:trHeight w:val="350"/>
        </w:trPr>
        <w:tc>
          <w:tcPr>
            <w:tcW w:w="1983" w:type="dxa"/>
            <w:vMerge/>
          </w:tcPr>
          <w:p w14:paraId="5B6FFA8E" w14:textId="77777777" w:rsidR="007266AA" w:rsidRDefault="007266AA">
            <w:pPr>
              <w:keepNext/>
              <w:keepLines/>
              <w:tabs>
                <w:tab w:val="left" w:pos="162"/>
              </w:tabs>
              <w:spacing w:line="240" w:lineRule="auto"/>
              <w:ind w:left="720" w:hanging="720"/>
            </w:pPr>
          </w:p>
        </w:tc>
        <w:tc>
          <w:tcPr>
            <w:tcW w:w="2427" w:type="dxa"/>
            <w:tcBorders>
              <w:top w:val="nil"/>
            </w:tcBorders>
          </w:tcPr>
          <w:p w14:paraId="71EBFC1D" w14:textId="77777777" w:rsidR="007266AA" w:rsidRDefault="007266AA">
            <w:pPr>
              <w:keepNext/>
              <w:keepLines/>
              <w:tabs>
                <w:tab w:val="left" w:pos="162"/>
              </w:tabs>
              <w:spacing w:line="240" w:lineRule="auto"/>
              <w:ind w:left="720" w:hanging="720"/>
            </w:pPr>
            <w:r>
              <w:tab/>
              <w:t>Tamsulozín</w:t>
            </w:r>
          </w:p>
        </w:tc>
        <w:tc>
          <w:tcPr>
            <w:tcW w:w="1389" w:type="dxa"/>
            <w:tcBorders>
              <w:top w:val="nil"/>
            </w:tcBorders>
            <w:vAlign w:val="bottom"/>
          </w:tcPr>
          <w:p w14:paraId="0533DF46" w14:textId="77777777" w:rsidR="007266AA" w:rsidRDefault="007266AA">
            <w:pPr>
              <w:keepNext/>
              <w:keepLines/>
              <w:spacing w:line="240" w:lineRule="auto"/>
              <w:jc w:val="center"/>
            </w:pPr>
            <w:r>
              <w:t>3,3 %</w:t>
            </w:r>
          </w:p>
        </w:tc>
        <w:tc>
          <w:tcPr>
            <w:tcW w:w="1388" w:type="dxa"/>
            <w:tcBorders>
              <w:top w:val="nil"/>
            </w:tcBorders>
            <w:vAlign w:val="bottom"/>
          </w:tcPr>
          <w:p w14:paraId="320921EC" w14:textId="77777777" w:rsidR="007266AA" w:rsidRDefault="007266AA">
            <w:pPr>
              <w:keepNext/>
              <w:keepLines/>
              <w:spacing w:line="240" w:lineRule="auto"/>
              <w:jc w:val="center"/>
            </w:pPr>
            <w:r>
              <w:t xml:space="preserve">1,0 % </w:t>
            </w:r>
          </w:p>
        </w:tc>
        <w:tc>
          <w:tcPr>
            <w:tcW w:w="1352" w:type="dxa"/>
            <w:tcBorders>
              <w:top w:val="nil"/>
            </w:tcBorders>
            <w:vAlign w:val="bottom"/>
          </w:tcPr>
          <w:p w14:paraId="23673BFE" w14:textId="77777777" w:rsidR="007266AA" w:rsidRDefault="007266AA">
            <w:pPr>
              <w:keepNext/>
              <w:keepLines/>
              <w:spacing w:line="240" w:lineRule="auto"/>
              <w:jc w:val="center"/>
            </w:pPr>
            <w:r>
              <w:t>0,6 %</w:t>
            </w:r>
          </w:p>
        </w:tc>
        <w:tc>
          <w:tcPr>
            <w:tcW w:w="1208" w:type="dxa"/>
            <w:tcBorders>
              <w:top w:val="nil"/>
            </w:tcBorders>
            <w:vAlign w:val="bottom"/>
          </w:tcPr>
          <w:p w14:paraId="4A755045" w14:textId="77777777" w:rsidR="007266AA" w:rsidRDefault="007266AA">
            <w:pPr>
              <w:keepNext/>
              <w:keepLines/>
              <w:spacing w:line="240" w:lineRule="auto"/>
              <w:jc w:val="center"/>
            </w:pPr>
            <w:r>
              <w:t xml:space="preserve">1,1 % </w:t>
            </w:r>
          </w:p>
        </w:tc>
      </w:tr>
      <w:tr w:rsidR="007266AA" w14:paraId="084B5BAC" w14:textId="77777777">
        <w:trPr>
          <w:trHeight w:val="350"/>
        </w:trPr>
        <w:tc>
          <w:tcPr>
            <w:tcW w:w="1983" w:type="dxa"/>
            <w:vMerge/>
          </w:tcPr>
          <w:p w14:paraId="27F01E8C" w14:textId="77777777" w:rsidR="007266AA" w:rsidRDefault="007266AA">
            <w:pPr>
              <w:keepNext/>
              <w:keepLines/>
              <w:spacing w:line="240" w:lineRule="auto"/>
            </w:pPr>
          </w:p>
        </w:tc>
        <w:tc>
          <w:tcPr>
            <w:tcW w:w="2427" w:type="dxa"/>
            <w:tcBorders>
              <w:bottom w:val="nil"/>
            </w:tcBorders>
          </w:tcPr>
          <w:p w14:paraId="41D0A93E" w14:textId="77777777" w:rsidR="007266AA" w:rsidRDefault="007266AA">
            <w:pPr>
              <w:keepNext/>
              <w:keepLines/>
              <w:spacing w:line="240" w:lineRule="auto"/>
            </w:pPr>
            <w:r>
              <w:t>Zmenené (znížené) libido</w:t>
            </w:r>
            <w:r>
              <w:rPr>
                <w:vertAlign w:val="superscript"/>
              </w:rPr>
              <w:t>c</w:t>
            </w:r>
          </w:p>
        </w:tc>
        <w:tc>
          <w:tcPr>
            <w:tcW w:w="1389" w:type="dxa"/>
            <w:tcBorders>
              <w:bottom w:val="nil"/>
            </w:tcBorders>
            <w:vAlign w:val="bottom"/>
          </w:tcPr>
          <w:p w14:paraId="7CF974D4" w14:textId="77777777" w:rsidR="007266AA" w:rsidRDefault="007266AA">
            <w:pPr>
              <w:keepNext/>
              <w:keepLines/>
              <w:spacing w:line="240" w:lineRule="auto"/>
              <w:jc w:val="center"/>
            </w:pPr>
          </w:p>
        </w:tc>
        <w:tc>
          <w:tcPr>
            <w:tcW w:w="1388" w:type="dxa"/>
            <w:tcBorders>
              <w:bottom w:val="nil"/>
            </w:tcBorders>
            <w:vAlign w:val="bottom"/>
          </w:tcPr>
          <w:p w14:paraId="0903E9E5" w14:textId="77777777" w:rsidR="007266AA" w:rsidRDefault="007266AA">
            <w:pPr>
              <w:keepNext/>
              <w:keepLines/>
              <w:spacing w:line="240" w:lineRule="auto"/>
              <w:jc w:val="center"/>
            </w:pPr>
          </w:p>
        </w:tc>
        <w:tc>
          <w:tcPr>
            <w:tcW w:w="1352" w:type="dxa"/>
            <w:tcBorders>
              <w:bottom w:val="nil"/>
            </w:tcBorders>
            <w:vAlign w:val="bottom"/>
          </w:tcPr>
          <w:p w14:paraId="7630B9D9" w14:textId="77777777" w:rsidR="007266AA" w:rsidRDefault="007266AA">
            <w:pPr>
              <w:keepNext/>
              <w:keepLines/>
              <w:spacing w:line="240" w:lineRule="auto"/>
              <w:jc w:val="center"/>
            </w:pPr>
          </w:p>
        </w:tc>
        <w:tc>
          <w:tcPr>
            <w:tcW w:w="1208" w:type="dxa"/>
            <w:tcBorders>
              <w:bottom w:val="nil"/>
            </w:tcBorders>
            <w:vAlign w:val="bottom"/>
          </w:tcPr>
          <w:p w14:paraId="4656BADC" w14:textId="77777777" w:rsidR="007266AA" w:rsidRDefault="007266AA">
            <w:pPr>
              <w:keepNext/>
              <w:keepLines/>
              <w:spacing w:line="240" w:lineRule="auto"/>
              <w:jc w:val="center"/>
            </w:pPr>
          </w:p>
        </w:tc>
      </w:tr>
      <w:tr w:rsidR="007266AA" w14:paraId="3DCB95B5" w14:textId="77777777">
        <w:trPr>
          <w:trHeight w:val="350"/>
        </w:trPr>
        <w:tc>
          <w:tcPr>
            <w:tcW w:w="1983" w:type="dxa"/>
            <w:vMerge/>
          </w:tcPr>
          <w:p w14:paraId="4E088F7A"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39752BCA" w14:textId="77777777" w:rsidR="007266AA" w:rsidRDefault="007266AA">
            <w:pPr>
              <w:keepNext/>
              <w:keepLines/>
              <w:tabs>
                <w:tab w:val="left" w:pos="162"/>
              </w:tabs>
              <w:spacing w:line="240" w:lineRule="auto"/>
              <w:ind w:left="720" w:hanging="720"/>
            </w:pPr>
            <w:r>
              <w:tab/>
              <w:t>Kombinácia</w:t>
            </w:r>
            <w:r>
              <w:rPr>
                <w:vertAlign w:val="superscript"/>
              </w:rPr>
              <w:t>a</w:t>
            </w:r>
          </w:p>
        </w:tc>
        <w:tc>
          <w:tcPr>
            <w:tcW w:w="1389" w:type="dxa"/>
            <w:tcBorders>
              <w:top w:val="nil"/>
              <w:bottom w:val="nil"/>
            </w:tcBorders>
            <w:vAlign w:val="bottom"/>
          </w:tcPr>
          <w:p w14:paraId="5F1DB082" w14:textId="77777777" w:rsidR="007266AA" w:rsidRDefault="007266AA">
            <w:pPr>
              <w:keepNext/>
              <w:keepLines/>
              <w:spacing w:line="240" w:lineRule="auto"/>
              <w:jc w:val="center"/>
            </w:pPr>
            <w:r>
              <w:t>5,3 %</w:t>
            </w:r>
          </w:p>
        </w:tc>
        <w:tc>
          <w:tcPr>
            <w:tcW w:w="1388" w:type="dxa"/>
            <w:tcBorders>
              <w:top w:val="nil"/>
              <w:bottom w:val="nil"/>
            </w:tcBorders>
            <w:vAlign w:val="bottom"/>
          </w:tcPr>
          <w:p w14:paraId="11095A0C" w14:textId="77777777" w:rsidR="007266AA" w:rsidRDefault="007266AA">
            <w:pPr>
              <w:keepNext/>
              <w:keepLines/>
              <w:spacing w:line="240" w:lineRule="auto"/>
              <w:jc w:val="center"/>
            </w:pPr>
            <w:r>
              <w:t>0,8 %</w:t>
            </w:r>
          </w:p>
        </w:tc>
        <w:tc>
          <w:tcPr>
            <w:tcW w:w="1352" w:type="dxa"/>
            <w:tcBorders>
              <w:top w:val="nil"/>
              <w:bottom w:val="nil"/>
            </w:tcBorders>
            <w:vAlign w:val="bottom"/>
          </w:tcPr>
          <w:p w14:paraId="2ED04AA3" w14:textId="77777777" w:rsidR="007266AA" w:rsidRDefault="007266AA">
            <w:pPr>
              <w:keepNext/>
              <w:keepLines/>
              <w:spacing w:line="240" w:lineRule="auto"/>
              <w:jc w:val="center"/>
            </w:pPr>
            <w:r>
              <w:t>0,2 %</w:t>
            </w:r>
          </w:p>
        </w:tc>
        <w:tc>
          <w:tcPr>
            <w:tcW w:w="1208" w:type="dxa"/>
            <w:tcBorders>
              <w:top w:val="nil"/>
              <w:bottom w:val="nil"/>
            </w:tcBorders>
            <w:vAlign w:val="bottom"/>
          </w:tcPr>
          <w:p w14:paraId="07CC259C" w14:textId="77777777" w:rsidR="007266AA" w:rsidRDefault="007266AA">
            <w:pPr>
              <w:keepNext/>
              <w:keepLines/>
              <w:spacing w:line="240" w:lineRule="auto"/>
              <w:jc w:val="center"/>
            </w:pPr>
            <w:r>
              <w:t>0 %</w:t>
            </w:r>
          </w:p>
        </w:tc>
      </w:tr>
      <w:tr w:rsidR="007266AA" w14:paraId="2F43FB67" w14:textId="77777777">
        <w:trPr>
          <w:trHeight w:val="350"/>
        </w:trPr>
        <w:tc>
          <w:tcPr>
            <w:tcW w:w="1983" w:type="dxa"/>
            <w:vMerge/>
          </w:tcPr>
          <w:p w14:paraId="463B17E5"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64108F8B" w14:textId="77777777" w:rsidR="007266AA" w:rsidRDefault="007266AA">
            <w:pPr>
              <w:keepNext/>
              <w:keepLines/>
              <w:tabs>
                <w:tab w:val="left" w:pos="162"/>
              </w:tabs>
              <w:spacing w:line="240" w:lineRule="auto"/>
              <w:ind w:left="720" w:hanging="720"/>
            </w:pPr>
            <w:r>
              <w:tab/>
              <w:t>Dutasterid</w:t>
            </w:r>
          </w:p>
        </w:tc>
        <w:tc>
          <w:tcPr>
            <w:tcW w:w="1389" w:type="dxa"/>
            <w:tcBorders>
              <w:top w:val="nil"/>
              <w:bottom w:val="nil"/>
            </w:tcBorders>
            <w:vAlign w:val="bottom"/>
          </w:tcPr>
          <w:p w14:paraId="6A5FC227" w14:textId="77777777" w:rsidR="007266AA" w:rsidRDefault="007266AA">
            <w:pPr>
              <w:keepNext/>
              <w:keepLines/>
              <w:spacing w:line="240" w:lineRule="auto"/>
              <w:jc w:val="center"/>
            </w:pPr>
            <w:r>
              <w:t>3,8 %</w:t>
            </w:r>
          </w:p>
        </w:tc>
        <w:tc>
          <w:tcPr>
            <w:tcW w:w="1388" w:type="dxa"/>
            <w:tcBorders>
              <w:top w:val="nil"/>
              <w:bottom w:val="nil"/>
            </w:tcBorders>
            <w:vAlign w:val="bottom"/>
          </w:tcPr>
          <w:p w14:paraId="76A83944" w14:textId="77777777" w:rsidR="007266AA" w:rsidRDefault="007266AA">
            <w:pPr>
              <w:keepNext/>
              <w:keepLines/>
              <w:spacing w:line="240" w:lineRule="auto"/>
              <w:jc w:val="center"/>
            </w:pPr>
            <w:r>
              <w:t>1,0 %</w:t>
            </w:r>
          </w:p>
        </w:tc>
        <w:tc>
          <w:tcPr>
            <w:tcW w:w="1352" w:type="dxa"/>
            <w:tcBorders>
              <w:top w:val="nil"/>
              <w:bottom w:val="nil"/>
            </w:tcBorders>
            <w:vAlign w:val="bottom"/>
          </w:tcPr>
          <w:p w14:paraId="2EA9E382" w14:textId="77777777" w:rsidR="007266AA" w:rsidRDefault="007266AA">
            <w:pPr>
              <w:keepNext/>
              <w:keepLines/>
              <w:spacing w:line="240" w:lineRule="auto"/>
              <w:jc w:val="center"/>
            </w:pPr>
            <w:r>
              <w:t>0,2 %</w:t>
            </w:r>
          </w:p>
        </w:tc>
        <w:tc>
          <w:tcPr>
            <w:tcW w:w="1208" w:type="dxa"/>
            <w:tcBorders>
              <w:top w:val="nil"/>
              <w:bottom w:val="nil"/>
            </w:tcBorders>
            <w:vAlign w:val="bottom"/>
          </w:tcPr>
          <w:p w14:paraId="4689CB2B" w14:textId="77777777" w:rsidR="007266AA" w:rsidRDefault="007266AA">
            <w:pPr>
              <w:keepNext/>
              <w:keepLines/>
              <w:spacing w:line="240" w:lineRule="auto"/>
              <w:jc w:val="center"/>
            </w:pPr>
            <w:r>
              <w:t>0 %</w:t>
            </w:r>
          </w:p>
        </w:tc>
      </w:tr>
      <w:tr w:rsidR="007266AA" w14:paraId="48006132" w14:textId="77777777">
        <w:trPr>
          <w:trHeight w:val="350"/>
        </w:trPr>
        <w:tc>
          <w:tcPr>
            <w:tcW w:w="1983" w:type="dxa"/>
            <w:vMerge/>
          </w:tcPr>
          <w:p w14:paraId="5E105C88" w14:textId="77777777" w:rsidR="007266AA" w:rsidRDefault="007266AA">
            <w:pPr>
              <w:keepNext/>
              <w:keepLines/>
              <w:tabs>
                <w:tab w:val="left" w:pos="162"/>
              </w:tabs>
              <w:spacing w:line="240" w:lineRule="auto"/>
              <w:ind w:left="720" w:hanging="720"/>
            </w:pPr>
          </w:p>
        </w:tc>
        <w:tc>
          <w:tcPr>
            <w:tcW w:w="2427" w:type="dxa"/>
            <w:tcBorders>
              <w:top w:val="nil"/>
            </w:tcBorders>
          </w:tcPr>
          <w:p w14:paraId="34BABD80" w14:textId="77777777" w:rsidR="007266AA" w:rsidRDefault="007266AA">
            <w:pPr>
              <w:keepNext/>
              <w:keepLines/>
              <w:tabs>
                <w:tab w:val="left" w:pos="162"/>
              </w:tabs>
              <w:spacing w:line="240" w:lineRule="auto"/>
              <w:ind w:left="720" w:hanging="720"/>
            </w:pPr>
            <w:r>
              <w:tab/>
              <w:t>Tamsulozín</w:t>
            </w:r>
          </w:p>
        </w:tc>
        <w:tc>
          <w:tcPr>
            <w:tcW w:w="1389" w:type="dxa"/>
            <w:tcBorders>
              <w:top w:val="nil"/>
            </w:tcBorders>
            <w:vAlign w:val="bottom"/>
          </w:tcPr>
          <w:p w14:paraId="7B04A725" w14:textId="77777777" w:rsidR="007266AA" w:rsidRDefault="007266AA">
            <w:pPr>
              <w:keepNext/>
              <w:keepLines/>
              <w:spacing w:line="240" w:lineRule="auto"/>
              <w:jc w:val="center"/>
            </w:pPr>
            <w:r>
              <w:t>2,5 %</w:t>
            </w:r>
          </w:p>
        </w:tc>
        <w:tc>
          <w:tcPr>
            <w:tcW w:w="1388" w:type="dxa"/>
            <w:tcBorders>
              <w:top w:val="nil"/>
            </w:tcBorders>
            <w:vAlign w:val="bottom"/>
          </w:tcPr>
          <w:p w14:paraId="7C8D39DD" w14:textId="77777777" w:rsidR="007266AA" w:rsidRDefault="007266AA">
            <w:pPr>
              <w:keepNext/>
              <w:keepLines/>
              <w:spacing w:line="240" w:lineRule="auto"/>
              <w:jc w:val="center"/>
            </w:pPr>
            <w:r>
              <w:t>0,7 %</w:t>
            </w:r>
          </w:p>
        </w:tc>
        <w:tc>
          <w:tcPr>
            <w:tcW w:w="1352" w:type="dxa"/>
            <w:tcBorders>
              <w:top w:val="nil"/>
            </w:tcBorders>
            <w:vAlign w:val="bottom"/>
          </w:tcPr>
          <w:p w14:paraId="50F1C434" w14:textId="77777777" w:rsidR="007266AA" w:rsidRDefault="007266AA">
            <w:pPr>
              <w:keepNext/>
              <w:keepLines/>
              <w:spacing w:line="240" w:lineRule="auto"/>
              <w:jc w:val="center"/>
            </w:pPr>
            <w:r>
              <w:t>0,2 %</w:t>
            </w:r>
          </w:p>
        </w:tc>
        <w:tc>
          <w:tcPr>
            <w:tcW w:w="1208" w:type="dxa"/>
            <w:tcBorders>
              <w:top w:val="nil"/>
            </w:tcBorders>
            <w:vAlign w:val="bottom"/>
          </w:tcPr>
          <w:p w14:paraId="6600CE8A" w14:textId="77777777" w:rsidR="007266AA" w:rsidRDefault="007266AA">
            <w:pPr>
              <w:keepNext/>
              <w:keepLines/>
              <w:spacing w:line="240" w:lineRule="auto"/>
              <w:jc w:val="center"/>
            </w:pPr>
            <w:r>
              <w:t xml:space="preserve">&lt; 0,1 % </w:t>
            </w:r>
          </w:p>
        </w:tc>
      </w:tr>
      <w:tr w:rsidR="007266AA" w14:paraId="5819C586" w14:textId="77777777">
        <w:trPr>
          <w:trHeight w:val="404"/>
        </w:trPr>
        <w:tc>
          <w:tcPr>
            <w:tcW w:w="1983" w:type="dxa"/>
            <w:vMerge/>
          </w:tcPr>
          <w:p w14:paraId="519D8591" w14:textId="77777777" w:rsidR="007266AA" w:rsidRDefault="007266AA">
            <w:pPr>
              <w:keepNext/>
              <w:keepLines/>
              <w:spacing w:line="240" w:lineRule="auto"/>
            </w:pPr>
          </w:p>
        </w:tc>
        <w:tc>
          <w:tcPr>
            <w:tcW w:w="2427" w:type="dxa"/>
            <w:tcBorders>
              <w:bottom w:val="nil"/>
            </w:tcBorders>
          </w:tcPr>
          <w:p w14:paraId="2319F3AE" w14:textId="77777777" w:rsidR="007266AA" w:rsidRDefault="007266AA">
            <w:pPr>
              <w:keepNext/>
              <w:keepLines/>
              <w:spacing w:line="240" w:lineRule="auto"/>
            </w:pPr>
            <w:r>
              <w:t>Poruchy ejakulácie</w:t>
            </w:r>
            <w:r>
              <w:rPr>
                <w:vertAlign w:val="superscript"/>
              </w:rPr>
              <w:t>c</w:t>
            </w:r>
          </w:p>
        </w:tc>
        <w:tc>
          <w:tcPr>
            <w:tcW w:w="1389" w:type="dxa"/>
            <w:tcBorders>
              <w:bottom w:val="nil"/>
            </w:tcBorders>
            <w:vAlign w:val="bottom"/>
          </w:tcPr>
          <w:p w14:paraId="35A6122F" w14:textId="77777777" w:rsidR="007266AA" w:rsidRDefault="007266AA">
            <w:pPr>
              <w:keepNext/>
              <w:keepLines/>
              <w:spacing w:line="240" w:lineRule="auto"/>
              <w:jc w:val="center"/>
            </w:pPr>
          </w:p>
        </w:tc>
        <w:tc>
          <w:tcPr>
            <w:tcW w:w="1388" w:type="dxa"/>
            <w:tcBorders>
              <w:bottom w:val="nil"/>
            </w:tcBorders>
            <w:vAlign w:val="bottom"/>
          </w:tcPr>
          <w:p w14:paraId="3F1462DA" w14:textId="77777777" w:rsidR="007266AA" w:rsidRDefault="007266AA">
            <w:pPr>
              <w:keepNext/>
              <w:keepLines/>
              <w:spacing w:line="240" w:lineRule="auto"/>
              <w:jc w:val="center"/>
            </w:pPr>
          </w:p>
        </w:tc>
        <w:tc>
          <w:tcPr>
            <w:tcW w:w="1352" w:type="dxa"/>
            <w:tcBorders>
              <w:bottom w:val="nil"/>
            </w:tcBorders>
            <w:vAlign w:val="bottom"/>
          </w:tcPr>
          <w:p w14:paraId="0C210D81" w14:textId="77777777" w:rsidR="007266AA" w:rsidRDefault="007266AA">
            <w:pPr>
              <w:keepNext/>
              <w:keepLines/>
              <w:spacing w:line="240" w:lineRule="auto"/>
              <w:jc w:val="center"/>
            </w:pPr>
          </w:p>
        </w:tc>
        <w:tc>
          <w:tcPr>
            <w:tcW w:w="1208" w:type="dxa"/>
            <w:tcBorders>
              <w:bottom w:val="nil"/>
            </w:tcBorders>
            <w:vAlign w:val="bottom"/>
          </w:tcPr>
          <w:p w14:paraId="6B0FCC34" w14:textId="77777777" w:rsidR="007266AA" w:rsidRDefault="007266AA">
            <w:pPr>
              <w:keepNext/>
              <w:keepLines/>
              <w:spacing w:line="240" w:lineRule="auto"/>
              <w:jc w:val="center"/>
            </w:pPr>
          </w:p>
        </w:tc>
      </w:tr>
      <w:tr w:rsidR="007266AA" w14:paraId="23485BB8" w14:textId="77777777">
        <w:trPr>
          <w:trHeight w:val="350"/>
        </w:trPr>
        <w:tc>
          <w:tcPr>
            <w:tcW w:w="1983" w:type="dxa"/>
            <w:vMerge/>
          </w:tcPr>
          <w:p w14:paraId="6FBB8F67"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09794793" w14:textId="77777777" w:rsidR="007266AA" w:rsidRDefault="007266AA">
            <w:pPr>
              <w:keepNext/>
              <w:keepLines/>
              <w:tabs>
                <w:tab w:val="left" w:pos="162"/>
              </w:tabs>
              <w:spacing w:line="240" w:lineRule="auto"/>
              <w:ind w:left="720" w:hanging="720"/>
            </w:pPr>
            <w:r>
              <w:tab/>
              <w:t>Kombinácia</w:t>
            </w:r>
            <w:r>
              <w:rPr>
                <w:vertAlign w:val="superscript"/>
              </w:rPr>
              <w:t>a</w:t>
            </w:r>
          </w:p>
        </w:tc>
        <w:tc>
          <w:tcPr>
            <w:tcW w:w="1389" w:type="dxa"/>
            <w:tcBorders>
              <w:top w:val="nil"/>
              <w:bottom w:val="nil"/>
            </w:tcBorders>
            <w:vAlign w:val="bottom"/>
          </w:tcPr>
          <w:p w14:paraId="0CBB8E46" w14:textId="77777777" w:rsidR="007266AA" w:rsidRDefault="007266AA">
            <w:pPr>
              <w:keepNext/>
              <w:keepLines/>
              <w:spacing w:line="240" w:lineRule="auto"/>
              <w:jc w:val="center"/>
            </w:pPr>
            <w:r>
              <w:t>9,0 %</w:t>
            </w:r>
          </w:p>
        </w:tc>
        <w:tc>
          <w:tcPr>
            <w:tcW w:w="1388" w:type="dxa"/>
            <w:tcBorders>
              <w:top w:val="nil"/>
              <w:bottom w:val="nil"/>
            </w:tcBorders>
            <w:vAlign w:val="bottom"/>
          </w:tcPr>
          <w:p w14:paraId="124DCBEE" w14:textId="77777777" w:rsidR="007266AA" w:rsidRDefault="007266AA">
            <w:pPr>
              <w:keepNext/>
              <w:keepLines/>
              <w:spacing w:line="240" w:lineRule="auto"/>
              <w:jc w:val="center"/>
            </w:pPr>
            <w:r>
              <w:t>1,0 %</w:t>
            </w:r>
          </w:p>
        </w:tc>
        <w:tc>
          <w:tcPr>
            <w:tcW w:w="1352" w:type="dxa"/>
            <w:tcBorders>
              <w:top w:val="nil"/>
              <w:bottom w:val="nil"/>
            </w:tcBorders>
            <w:vAlign w:val="bottom"/>
          </w:tcPr>
          <w:p w14:paraId="4D951B4A" w14:textId="77777777" w:rsidR="007266AA" w:rsidRDefault="007266AA">
            <w:pPr>
              <w:keepNext/>
              <w:keepLines/>
              <w:spacing w:line="240" w:lineRule="auto"/>
              <w:jc w:val="center"/>
            </w:pPr>
            <w:r>
              <w:t>0,5 %</w:t>
            </w:r>
          </w:p>
        </w:tc>
        <w:tc>
          <w:tcPr>
            <w:tcW w:w="1208" w:type="dxa"/>
            <w:tcBorders>
              <w:top w:val="nil"/>
              <w:bottom w:val="nil"/>
            </w:tcBorders>
            <w:vAlign w:val="bottom"/>
          </w:tcPr>
          <w:p w14:paraId="6C44B7B4" w14:textId="77777777" w:rsidR="007266AA" w:rsidRDefault="007266AA">
            <w:pPr>
              <w:keepNext/>
              <w:keepLines/>
              <w:spacing w:line="240" w:lineRule="auto"/>
              <w:jc w:val="center"/>
            </w:pPr>
            <w:r>
              <w:t>&lt; 0,1 %</w:t>
            </w:r>
          </w:p>
        </w:tc>
      </w:tr>
      <w:tr w:rsidR="007266AA" w14:paraId="685BEC0E" w14:textId="77777777">
        <w:trPr>
          <w:trHeight w:val="350"/>
        </w:trPr>
        <w:tc>
          <w:tcPr>
            <w:tcW w:w="1983" w:type="dxa"/>
            <w:vMerge/>
          </w:tcPr>
          <w:p w14:paraId="29F367E7"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79E5DC63" w14:textId="77777777" w:rsidR="007266AA" w:rsidRDefault="007266AA">
            <w:pPr>
              <w:keepNext/>
              <w:keepLines/>
              <w:tabs>
                <w:tab w:val="left" w:pos="162"/>
              </w:tabs>
              <w:spacing w:line="240" w:lineRule="auto"/>
              <w:ind w:left="720" w:hanging="720"/>
            </w:pPr>
            <w:r>
              <w:tab/>
              <w:t>Dutasterid</w:t>
            </w:r>
          </w:p>
        </w:tc>
        <w:tc>
          <w:tcPr>
            <w:tcW w:w="1389" w:type="dxa"/>
            <w:tcBorders>
              <w:top w:val="nil"/>
              <w:bottom w:val="nil"/>
            </w:tcBorders>
            <w:vAlign w:val="bottom"/>
          </w:tcPr>
          <w:p w14:paraId="0244A925" w14:textId="77777777" w:rsidR="007266AA" w:rsidRDefault="007266AA">
            <w:pPr>
              <w:keepNext/>
              <w:keepLines/>
              <w:spacing w:line="240" w:lineRule="auto"/>
              <w:jc w:val="center"/>
            </w:pPr>
            <w:r>
              <w:t>1,5 %</w:t>
            </w:r>
          </w:p>
        </w:tc>
        <w:tc>
          <w:tcPr>
            <w:tcW w:w="1388" w:type="dxa"/>
            <w:tcBorders>
              <w:top w:val="nil"/>
              <w:bottom w:val="nil"/>
            </w:tcBorders>
            <w:vAlign w:val="bottom"/>
          </w:tcPr>
          <w:p w14:paraId="1F19A891" w14:textId="77777777" w:rsidR="007266AA" w:rsidRDefault="007266AA">
            <w:pPr>
              <w:keepNext/>
              <w:keepLines/>
              <w:spacing w:line="240" w:lineRule="auto"/>
              <w:jc w:val="center"/>
            </w:pPr>
            <w:r>
              <w:t>0,5 %</w:t>
            </w:r>
          </w:p>
        </w:tc>
        <w:tc>
          <w:tcPr>
            <w:tcW w:w="1352" w:type="dxa"/>
            <w:tcBorders>
              <w:top w:val="nil"/>
              <w:bottom w:val="nil"/>
            </w:tcBorders>
            <w:vAlign w:val="bottom"/>
          </w:tcPr>
          <w:p w14:paraId="36647807" w14:textId="77777777" w:rsidR="007266AA" w:rsidRDefault="007266AA">
            <w:pPr>
              <w:keepNext/>
              <w:keepLines/>
              <w:spacing w:line="240" w:lineRule="auto"/>
              <w:jc w:val="center"/>
            </w:pPr>
            <w:r>
              <w:t>0,2 %</w:t>
            </w:r>
          </w:p>
        </w:tc>
        <w:tc>
          <w:tcPr>
            <w:tcW w:w="1208" w:type="dxa"/>
            <w:tcBorders>
              <w:top w:val="nil"/>
              <w:bottom w:val="nil"/>
            </w:tcBorders>
            <w:vAlign w:val="bottom"/>
          </w:tcPr>
          <w:p w14:paraId="475D7B9C" w14:textId="77777777" w:rsidR="007266AA" w:rsidRDefault="007266AA">
            <w:pPr>
              <w:keepNext/>
              <w:keepLines/>
              <w:spacing w:line="240" w:lineRule="auto"/>
              <w:jc w:val="center"/>
            </w:pPr>
            <w:r>
              <w:t>0,3 %</w:t>
            </w:r>
          </w:p>
        </w:tc>
      </w:tr>
      <w:tr w:rsidR="007266AA" w14:paraId="7B1EB989" w14:textId="77777777">
        <w:trPr>
          <w:trHeight w:val="350"/>
        </w:trPr>
        <w:tc>
          <w:tcPr>
            <w:tcW w:w="1983" w:type="dxa"/>
            <w:vMerge/>
          </w:tcPr>
          <w:p w14:paraId="297BD3DE" w14:textId="77777777" w:rsidR="007266AA" w:rsidRDefault="007266AA">
            <w:pPr>
              <w:keepNext/>
              <w:keepLines/>
              <w:tabs>
                <w:tab w:val="left" w:pos="162"/>
              </w:tabs>
              <w:spacing w:line="240" w:lineRule="auto"/>
              <w:ind w:left="720" w:hanging="720"/>
            </w:pPr>
          </w:p>
        </w:tc>
        <w:tc>
          <w:tcPr>
            <w:tcW w:w="2427" w:type="dxa"/>
            <w:tcBorders>
              <w:top w:val="nil"/>
            </w:tcBorders>
          </w:tcPr>
          <w:p w14:paraId="0E7BAC04" w14:textId="77777777" w:rsidR="007266AA" w:rsidRDefault="007266AA">
            <w:pPr>
              <w:keepNext/>
              <w:keepLines/>
              <w:tabs>
                <w:tab w:val="left" w:pos="162"/>
              </w:tabs>
              <w:spacing w:line="240" w:lineRule="auto"/>
              <w:ind w:left="720" w:hanging="720"/>
            </w:pPr>
            <w:r>
              <w:tab/>
              <w:t>Tamsulozín</w:t>
            </w:r>
          </w:p>
        </w:tc>
        <w:tc>
          <w:tcPr>
            <w:tcW w:w="1389" w:type="dxa"/>
            <w:tcBorders>
              <w:top w:val="nil"/>
            </w:tcBorders>
            <w:vAlign w:val="bottom"/>
          </w:tcPr>
          <w:p w14:paraId="3982CA0E" w14:textId="77777777" w:rsidR="007266AA" w:rsidRDefault="007266AA">
            <w:pPr>
              <w:keepNext/>
              <w:keepLines/>
              <w:spacing w:line="240" w:lineRule="auto"/>
              <w:jc w:val="center"/>
            </w:pPr>
            <w:r>
              <w:t>2,7 %</w:t>
            </w:r>
          </w:p>
        </w:tc>
        <w:tc>
          <w:tcPr>
            <w:tcW w:w="1388" w:type="dxa"/>
            <w:tcBorders>
              <w:top w:val="nil"/>
            </w:tcBorders>
            <w:vAlign w:val="bottom"/>
          </w:tcPr>
          <w:p w14:paraId="698E4231" w14:textId="77777777" w:rsidR="007266AA" w:rsidRDefault="007266AA">
            <w:pPr>
              <w:keepNext/>
              <w:keepLines/>
              <w:spacing w:line="240" w:lineRule="auto"/>
              <w:jc w:val="center"/>
            </w:pPr>
            <w:r>
              <w:t>0,5 %</w:t>
            </w:r>
          </w:p>
        </w:tc>
        <w:tc>
          <w:tcPr>
            <w:tcW w:w="1352" w:type="dxa"/>
            <w:tcBorders>
              <w:top w:val="nil"/>
            </w:tcBorders>
            <w:vAlign w:val="bottom"/>
          </w:tcPr>
          <w:p w14:paraId="118E3A1B" w14:textId="77777777" w:rsidR="007266AA" w:rsidRDefault="007266AA">
            <w:pPr>
              <w:keepNext/>
              <w:keepLines/>
              <w:spacing w:line="240" w:lineRule="auto"/>
              <w:jc w:val="center"/>
            </w:pPr>
            <w:r>
              <w:t>0,2 %</w:t>
            </w:r>
          </w:p>
        </w:tc>
        <w:tc>
          <w:tcPr>
            <w:tcW w:w="1208" w:type="dxa"/>
            <w:tcBorders>
              <w:top w:val="nil"/>
            </w:tcBorders>
            <w:vAlign w:val="bottom"/>
          </w:tcPr>
          <w:p w14:paraId="1857CB4B" w14:textId="77777777" w:rsidR="007266AA" w:rsidRDefault="007266AA">
            <w:pPr>
              <w:keepNext/>
              <w:keepLines/>
              <w:spacing w:line="240" w:lineRule="auto"/>
              <w:jc w:val="center"/>
            </w:pPr>
            <w:r>
              <w:t xml:space="preserve">0,3 % </w:t>
            </w:r>
          </w:p>
        </w:tc>
      </w:tr>
      <w:tr w:rsidR="007266AA" w14:paraId="1AA02E29" w14:textId="77777777">
        <w:trPr>
          <w:trHeight w:val="350"/>
        </w:trPr>
        <w:tc>
          <w:tcPr>
            <w:tcW w:w="1983" w:type="dxa"/>
            <w:vMerge/>
          </w:tcPr>
          <w:p w14:paraId="64C0ACEF" w14:textId="77777777" w:rsidR="007266AA" w:rsidRDefault="007266AA">
            <w:pPr>
              <w:keepNext/>
              <w:keepLines/>
              <w:spacing w:line="240" w:lineRule="auto"/>
            </w:pPr>
          </w:p>
        </w:tc>
        <w:tc>
          <w:tcPr>
            <w:tcW w:w="2427" w:type="dxa"/>
            <w:tcBorders>
              <w:bottom w:val="nil"/>
            </w:tcBorders>
          </w:tcPr>
          <w:p w14:paraId="4EB749E1" w14:textId="77777777" w:rsidR="007266AA" w:rsidRDefault="007266AA">
            <w:pPr>
              <w:keepNext/>
              <w:keepLines/>
              <w:spacing w:line="240" w:lineRule="auto"/>
            </w:pPr>
            <w:r>
              <w:t>Poruchy prsníkov</w:t>
            </w:r>
            <w:r>
              <w:rPr>
                <w:vertAlign w:val="superscript"/>
              </w:rPr>
              <w:t>d</w:t>
            </w:r>
          </w:p>
        </w:tc>
        <w:tc>
          <w:tcPr>
            <w:tcW w:w="1389" w:type="dxa"/>
            <w:tcBorders>
              <w:bottom w:val="nil"/>
            </w:tcBorders>
            <w:vAlign w:val="bottom"/>
          </w:tcPr>
          <w:p w14:paraId="689A1CA5" w14:textId="77777777" w:rsidR="007266AA" w:rsidRDefault="007266AA">
            <w:pPr>
              <w:keepNext/>
              <w:keepLines/>
              <w:spacing w:line="240" w:lineRule="auto"/>
              <w:jc w:val="center"/>
            </w:pPr>
          </w:p>
        </w:tc>
        <w:tc>
          <w:tcPr>
            <w:tcW w:w="1388" w:type="dxa"/>
            <w:tcBorders>
              <w:bottom w:val="nil"/>
            </w:tcBorders>
            <w:vAlign w:val="bottom"/>
          </w:tcPr>
          <w:p w14:paraId="7B49D2F5" w14:textId="77777777" w:rsidR="007266AA" w:rsidRDefault="007266AA">
            <w:pPr>
              <w:keepNext/>
              <w:keepLines/>
              <w:spacing w:line="240" w:lineRule="auto"/>
              <w:jc w:val="center"/>
            </w:pPr>
          </w:p>
        </w:tc>
        <w:tc>
          <w:tcPr>
            <w:tcW w:w="1352" w:type="dxa"/>
            <w:tcBorders>
              <w:bottom w:val="nil"/>
            </w:tcBorders>
            <w:vAlign w:val="bottom"/>
          </w:tcPr>
          <w:p w14:paraId="5A2F0C38" w14:textId="77777777" w:rsidR="007266AA" w:rsidRDefault="007266AA">
            <w:pPr>
              <w:keepNext/>
              <w:keepLines/>
              <w:spacing w:line="240" w:lineRule="auto"/>
              <w:jc w:val="center"/>
            </w:pPr>
          </w:p>
        </w:tc>
        <w:tc>
          <w:tcPr>
            <w:tcW w:w="1208" w:type="dxa"/>
            <w:tcBorders>
              <w:bottom w:val="nil"/>
            </w:tcBorders>
            <w:vAlign w:val="bottom"/>
          </w:tcPr>
          <w:p w14:paraId="59F4AD10" w14:textId="77777777" w:rsidR="007266AA" w:rsidRDefault="007266AA">
            <w:pPr>
              <w:keepNext/>
              <w:keepLines/>
              <w:spacing w:line="240" w:lineRule="auto"/>
              <w:jc w:val="center"/>
            </w:pPr>
          </w:p>
        </w:tc>
      </w:tr>
      <w:tr w:rsidR="007266AA" w14:paraId="29C0990A" w14:textId="77777777">
        <w:trPr>
          <w:trHeight w:val="278"/>
        </w:trPr>
        <w:tc>
          <w:tcPr>
            <w:tcW w:w="1983" w:type="dxa"/>
            <w:vMerge/>
          </w:tcPr>
          <w:p w14:paraId="0E178B3A"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3844E99E" w14:textId="77777777" w:rsidR="007266AA" w:rsidRDefault="007266AA">
            <w:pPr>
              <w:keepNext/>
              <w:keepLines/>
              <w:tabs>
                <w:tab w:val="left" w:pos="162"/>
              </w:tabs>
              <w:spacing w:line="240" w:lineRule="auto"/>
              <w:ind w:left="720" w:hanging="720"/>
            </w:pPr>
            <w:r>
              <w:tab/>
              <w:t>Kombinácia</w:t>
            </w:r>
            <w:r>
              <w:rPr>
                <w:vertAlign w:val="superscript"/>
              </w:rPr>
              <w:t>a</w:t>
            </w:r>
          </w:p>
        </w:tc>
        <w:tc>
          <w:tcPr>
            <w:tcW w:w="1389" w:type="dxa"/>
            <w:tcBorders>
              <w:top w:val="nil"/>
              <w:bottom w:val="nil"/>
            </w:tcBorders>
            <w:vAlign w:val="bottom"/>
          </w:tcPr>
          <w:p w14:paraId="46C3190E" w14:textId="77777777" w:rsidR="007266AA" w:rsidRDefault="007266AA">
            <w:pPr>
              <w:keepNext/>
              <w:keepLines/>
              <w:spacing w:line="240" w:lineRule="auto"/>
              <w:jc w:val="center"/>
            </w:pPr>
            <w:r>
              <w:t>2,1 %</w:t>
            </w:r>
          </w:p>
        </w:tc>
        <w:tc>
          <w:tcPr>
            <w:tcW w:w="1388" w:type="dxa"/>
            <w:tcBorders>
              <w:top w:val="nil"/>
              <w:bottom w:val="nil"/>
            </w:tcBorders>
            <w:vAlign w:val="bottom"/>
          </w:tcPr>
          <w:p w14:paraId="45A512F0" w14:textId="77777777" w:rsidR="007266AA" w:rsidRDefault="007266AA">
            <w:pPr>
              <w:keepNext/>
              <w:keepLines/>
              <w:spacing w:line="240" w:lineRule="auto"/>
              <w:jc w:val="center"/>
            </w:pPr>
            <w:r>
              <w:t>0,8 %</w:t>
            </w:r>
          </w:p>
        </w:tc>
        <w:tc>
          <w:tcPr>
            <w:tcW w:w="1352" w:type="dxa"/>
            <w:tcBorders>
              <w:top w:val="nil"/>
              <w:bottom w:val="nil"/>
            </w:tcBorders>
            <w:vAlign w:val="bottom"/>
          </w:tcPr>
          <w:p w14:paraId="68D46DC2" w14:textId="77777777" w:rsidR="007266AA" w:rsidRDefault="007266AA">
            <w:pPr>
              <w:keepNext/>
              <w:keepLines/>
              <w:spacing w:line="240" w:lineRule="auto"/>
              <w:jc w:val="center"/>
            </w:pPr>
            <w:r>
              <w:t>0,9 %</w:t>
            </w:r>
          </w:p>
        </w:tc>
        <w:tc>
          <w:tcPr>
            <w:tcW w:w="1208" w:type="dxa"/>
            <w:tcBorders>
              <w:top w:val="nil"/>
              <w:bottom w:val="nil"/>
            </w:tcBorders>
            <w:vAlign w:val="bottom"/>
          </w:tcPr>
          <w:p w14:paraId="38838CE2" w14:textId="77777777" w:rsidR="007266AA" w:rsidRDefault="007266AA">
            <w:pPr>
              <w:keepNext/>
              <w:keepLines/>
              <w:spacing w:line="240" w:lineRule="auto"/>
              <w:jc w:val="center"/>
            </w:pPr>
            <w:r>
              <w:t>0,6 %</w:t>
            </w:r>
          </w:p>
        </w:tc>
      </w:tr>
      <w:tr w:rsidR="007266AA" w14:paraId="360D9E06" w14:textId="77777777">
        <w:trPr>
          <w:trHeight w:val="278"/>
        </w:trPr>
        <w:tc>
          <w:tcPr>
            <w:tcW w:w="1983" w:type="dxa"/>
            <w:vMerge/>
          </w:tcPr>
          <w:p w14:paraId="5CBBCD6D" w14:textId="77777777" w:rsidR="007266AA" w:rsidRDefault="007266AA">
            <w:pPr>
              <w:keepNext/>
              <w:keepLines/>
              <w:tabs>
                <w:tab w:val="left" w:pos="162"/>
              </w:tabs>
              <w:spacing w:line="240" w:lineRule="auto"/>
              <w:ind w:left="720" w:hanging="720"/>
            </w:pPr>
          </w:p>
        </w:tc>
        <w:tc>
          <w:tcPr>
            <w:tcW w:w="2427" w:type="dxa"/>
            <w:tcBorders>
              <w:top w:val="nil"/>
              <w:bottom w:val="nil"/>
            </w:tcBorders>
          </w:tcPr>
          <w:p w14:paraId="2BC4C2AA" w14:textId="77777777" w:rsidR="007266AA" w:rsidRDefault="007266AA">
            <w:pPr>
              <w:keepNext/>
              <w:keepLines/>
              <w:tabs>
                <w:tab w:val="left" w:pos="162"/>
              </w:tabs>
              <w:spacing w:line="240" w:lineRule="auto"/>
              <w:ind w:left="720" w:hanging="720"/>
            </w:pPr>
            <w:r>
              <w:tab/>
              <w:t>Dutasterid</w:t>
            </w:r>
          </w:p>
        </w:tc>
        <w:tc>
          <w:tcPr>
            <w:tcW w:w="1389" w:type="dxa"/>
            <w:tcBorders>
              <w:top w:val="nil"/>
              <w:bottom w:val="nil"/>
            </w:tcBorders>
            <w:vAlign w:val="bottom"/>
          </w:tcPr>
          <w:p w14:paraId="366CB519" w14:textId="77777777" w:rsidR="007266AA" w:rsidRDefault="007266AA">
            <w:pPr>
              <w:keepNext/>
              <w:keepLines/>
              <w:spacing w:line="240" w:lineRule="auto"/>
              <w:jc w:val="center"/>
            </w:pPr>
            <w:r>
              <w:t>1,7 %</w:t>
            </w:r>
          </w:p>
        </w:tc>
        <w:tc>
          <w:tcPr>
            <w:tcW w:w="1388" w:type="dxa"/>
            <w:tcBorders>
              <w:top w:val="nil"/>
              <w:bottom w:val="nil"/>
            </w:tcBorders>
            <w:vAlign w:val="bottom"/>
          </w:tcPr>
          <w:p w14:paraId="036C428C" w14:textId="77777777" w:rsidR="007266AA" w:rsidRDefault="007266AA">
            <w:pPr>
              <w:keepNext/>
              <w:keepLines/>
              <w:spacing w:line="240" w:lineRule="auto"/>
              <w:jc w:val="center"/>
            </w:pPr>
            <w:r>
              <w:t>1,2 %</w:t>
            </w:r>
          </w:p>
        </w:tc>
        <w:tc>
          <w:tcPr>
            <w:tcW w:w="1352" w:type="dxa"/>
            <w:tcBorders>
              <w:top w:val="nil"/>
              <w:bottom w:val="nil"/>
            </w:tcBorders>
            <w:vAlign w:val="bottom"/>
          </w:tcPr>
          <w:p w14:paraId="6B41ACC1" w14:textId="77777777" w:rsidR="007266AA" w:rsidRDefault="007266AA">
            <w:pPr>
              <w:keepNext/>
              <w:keepLines/>
              <w:spacing w:line="240" w:lineRule="auto"/>
              <w:jc w:val="center"/>
            </w:pPr>
            <w:r>
              <w:t>0,5 %</w:t>
            </w:r>
          </w:p>
        </w:tc>
        <w:tc>
          <w:tcPr>
            <w:tcW w:w="1208" w:type="dxa"/>
            <w:tcBorders>
              <w:top w:val="nil"/>
              <w:bottom w:val="nil"/>
            </w:tcBorders>
            <w:vAlign w:val="bottom"/>
          </w:tcPr>
          <w:p w14:paraId="518D5548" w14:textId="77777777" w:rsidR="007266AA" w:rsidRDefault="007266AA">
            <w:pPr>
              <w:keepNext/>
              <w:keepLines/>
              <w:spacing w:line="240" w:lineRule="auto"/>
              <w:jc w:val="center"/>
            </w:pPr>
            <w:r>
              <w:t>0,7 %</w:t>
            </w:r>
          </w:p>
        </w:tc>
      </w:tr>
      <w:tr w:rsidR="007266AA" w14:paraId="3A0A63B7" w14:textId="77777777">
        <w:trPr>
          <w:trHeight w:val="314"/>
        </w:trPr>
        <w:tc>
          <w:tcPr>
            <w:tcW w:w="1983" w:type="dxa"/>
            <w:vMerge/>
            <w:tcBorders>
              <w:bottom w:val="single" w:sz="4" w:space="0" w:color="auto"/>
            </w:tcBorders>
          </w:tcPr>
          <w:p w14:paraId="4374111D" w14:textId="77777777" w:rsidR="007266AA" w:rsidRDefault="007266AA">
            <w:pPr>
              <w:keepNext/>
              <w:keepLines/>
              <w:tabs>
                <w:tab w:val="left" w:pos="162"/>
              </w:tabs>
              <w:spacing w:line="240" w:lineRule="auto"/>
              <w:ind w:left="720" w:hanging="720"/>
            </w:pPr>
          </w:p>
        </w:tc>
        <w:tc>
          <w:tcPr>
            <w:tcW w:w="2427" w:type="dxa"/>
            <w:tcBorders>
              <w:top w:val="nil"/>
              <w:bottom w:val="single" w:sz="4" w:space="0" w:color="auto"/>
            </w:tcBorders>
          </w:tcPr>
          <w:p w14:paraId="56C16392" w14:textId="77777777" w:rsidR="007266AA" w:rsidRDefault="007266AA">
            <w:pPr>
              <w:keepNext/>
              <w:keepLines/>
              <w:tabs>
                <w:tab w:val="left" w:pos="162"/>
              </w:tabs>
              <w:spacing w:line="240" w:lineRule="auto"/>
              <w:ind w:left="720" w:hanging="720"/>
            </w:pPr>
            <w:r>
              <w:tab/>
              <w:t>Tamsulozín</w:t>
            </w:r>
          </w:p>
        </w:tc>
        <w:tc>
          <w:tcPr>
            <w:tcW w:w="1389" w:type="dxa"/>
            <w:tcBorders>
              <w:top w:val="nil"/>
              <w:bottom w:val="single" w:sz="4" w:space="0" w:color="auto"/>
            </w:tcBorders>
            <w:vAlign w:val="bottom"/>
          </w:tcPr>
          <w:p w14:paraId="5415B04E" w14:textId="77777777" w:rsidR="007266AA" w:rsidRDefault="007266AA">
            <w:pPr>
              <w:keepNext/>
              <w:keepLines/>
              <w:spacing w:line="240" w:lineRule="auto"/>
              <w:jc w:val="center"/>
            </w:pPr>
            <w:r>
              <w:t>0,8 %</w:t>
            </w:r>
          </w:p>
        </w:tc>
        <w:tc>
          <w:tcPr>
            <w:tcW w:w="1388" w:type="dxa"/>
            <w:tcBorders>
              <w:top w:val="nil"/>
              <w:bottom w:val="single" w:sz="4" w:space="0" w:color="auto"/>
            </w:tcBorders>
            <w:vAlign w:val="bottom"/>
          </w:tcPr>
          <w:p w14:paraId="5F197920" w14:textId="77777777" w:rsidR="007266AA" w:rsidRDefault="007266AA">
            <w:pPr>
              <w:keepNext/>
              <w:keepLines/>
              <w:spacing w:line="240" w:lineRule="auto"/>
              <w:jc w:val="center"/>
            </w:pPr>
            <w:r>
              <w:t>0,4 %</w:t>
            </w:r>
          </w:p>
        </w:tc>
        <w:tc>
          <w:tcPr>
            <w:tcW w:w="1352" w:type="dxa"/>
            <w:tcBorders>
              <w:top w:val="nil"/>
              <w:bottom w:val="single" w:sz="4" w:space="0" w:color="auto"/>
            </w:tcBorders>
            <w:vAlign w:val="bottom"/>
          </w:tcPr>
          <w:p w14:paraId="6F48A3D4" w14:textId="77777777" w:rsidR="007266AA" w:rsidRDefault="007266AA">
            <w:pPr>
              <w:keepNext/>
              <w:keepLines/>
              <w:spacing w:line="240" w:lineRule="auto"/>
              <w:jc w:val="center"/>
            </w:pPr>
            <w:r>
              <w:t>0,2 %</w:t>
            </w:r>
          </w:p>
        </w:tc>
        <w:tc>
          <w:tcPr>
            <w:tcW w:w="1208" w:type="dxa"/>
            <w:tcBorders>
              <w:top w:val="nil"/>
              <w:bottom w:val="single" w:sz="4" w:space="0" w:color="auto"/>
            </w:tcBorders>
            <w:vAlign w:val="bottom"/>
          </w:tcPr>
          <w:p w14:paraId="50C1E8BC" w14:textId="77777777" w:rsidR="007266AA" w:rsidRDefault="007266AA">
            <w:pPr>
              <w:keepNext/>
              <w:keepLines/>
              <w:spacing w:line="240" w:lineRule="auto"/>
              <w:jc w:val="center"/>
            </w:pPr>
            <w:r>
              <w:t xml:space="preserve">0 % </w:t>
            </w:r>
          </w:p>
        </w:tc>
      </w:tr>
    </w:tbl>
    <w:p w14:paraId="3BA04124" w14:textId="77777777" w:rsidR="007266AA" w:rsidRDefault="007266AA">
      <w:pPr>
        <w:keepNext/>
        <w:spacing w:line="240" w:lineRule="auto"/>
      </w:pPr>
      <w:r>
        <w:rPr>
          <w:vertAlign w:val="superscript"/>
        </w:rPr>
        <w:t>a</w:t>
      </w:r>
      <w:r>
        <w:tab/>
        <w:t>Kombinácia = dutasterid 0,5 mg raz denne plus tamsulozín 0,4 mg raz denne.</w:t>
      </w:r>
      <w:r>
        <w:br/>
      </w:r>
      <w:r>
        <w:rPr>
          <w:vertAlign w:val="superscript"/>
        </w:rPr>
        <w:t>b</w:t>
      </w:r>
      <w:r>
        <w:tab/>
        <w:t xml:space="preserve">Srdcové zlyhanie ako spoločný výraz zahŕňalo kongestívne zlyhanie srdca, srdcové zlyhanie, zlyhanie ľavej srdcovej komory, akútne srdcové zlyhanie, kardiogénny šok, akútne zlyhanie ľavej srdcovej komory, zlyhanie pravej srdcovej komory, akútne zlyhanie pravej srdcovej komory, zlyhanie oboch srdcových komôr, kardiopulmonálne zlyhanie, kongestívnu kardiomyopatiu. </w:t>
      </w:r>
      <w:r>
        <w:br/>
      </w:r>
      <w:r>
        <w:rPr>
          <w:vertAlign w:val="superscript"/>
        </w:rPr>
        <w:t>c</w:t>
      </w:r>
      <w:r>
        <w:tab/>
        <w:t>Tieto sexuálne nežiaduce účinky sú spojené s liečbou dutasteridom (zahŕňajúc monoterapiu a kombináciu s tamsulozínom). Tieto nežiaduce účinky môžu pretrvávať aj po prerušení liečby. Úloha dutasteridu v tomto pretrvávaní nie je známa.</w:t>
      </w:r>
    </w:p>
    <w:p w14:paraId="0DEFDDDE" w14:textId="77777777" w:rsidR="007266AA" w:rsidRDefault="007266AA">
      <w:pPr>
        <w:keepNext/>
        <w:spacing w:line="240" w:lineRule="auto"/>
        <w:rPr>
          <w:color w:val="000000"/>
          <w:szCs w:val="24"/>
        </w:rPr>
      </w:pPr>
      <w:r>
        <w:rPr>
          <w:vertAlign w:val="superscript"/>
        </w:rPr>
        <w:t>d</w:t>
      </w:r>
      <w:r>
        <w:rPr>
          <w:vertAlign w:val="superscript"/>
        </w:rPr>
        <w:tab/>
      </w:r>
      <w:r>
        <w:t>Zahŕňa citlivosť prsníkov a ich zväčšenie.</w:t>
      </w:r>
    </w:p>
    <w:p w14:paraId="461F54AE" w14:textId="77777777" w:rsidR="007266AA" w:rsidRDefault="007266AA">
      <w:pPr>
        <w:spacing w:line="240" w:lineRule="auto"/>
      </w:pPr>
    </w:p>
    <w:p w14:paraId="3B00788B" w14:textId="77777777" w:rsidR="007266AA" w:rsidRPr="00634CE6" w:rsidRDefault="007266AA">
      <w:pPr>
        <w:spacing w:line="240" w:lineRule="auto"/>
        <w:rPr>
          <w:u w:val="single"/>
        </w:rPr>
      </w:pPr>
      <w:r w:rsidRPr="00634CE6">
        <w:rPr>
          <w:u w:val="single"/>
        </w:rPr>
        <w:t>Ďalšie údaje</w:t>
      </w:r>
    </w:p>
    <w:p w14:paraId="1C1D4477" w14:textId="77777777" w:rsidR="003F4DC7" w:rsidRPr="0036747C" w:rsidRDefault="007266AA" w:rsidP="003F4DC7">
      <w:pPr>
        <w:keepNext/>
        <w:keepLines/>
        <w:rPr>
          <w:szCs w:val="22"/>
        </w:rPr>
      </w:pPr>
      <w:r w:rsidRPr="007A7752">
        <w:t>Štúdia REDUCE odhalila vyšš</w:t>
      </w:r>
      <w:r w:rsidR="00D10BF5" w:rsidRPr="007A7752">
        <w:t>iu</w:t>
      </w:r>
      <w:r w:rsidRPr="007A7752">
        <w:t xml:space="preserve"> </w:t>
      </w:r>
      <w:r w:rsidR="00D10BF5" w:rsidRPr="007A7752">
        <w:t xml:space="preserve">incidenciu karcinómov prostaty s </w:t>
      </w:r>
      <w:r w:rsidRPr="007A7752">
        <w:t xml:space="preserve"> Gleasono</w:t>
      </w:r>
      <w:r w:rsidR="00D10BF5" w:rsidRPr="007A7752">
        <w:t>vým</w:t>
      </w:r>
      <w:r w:rsidRPr="007A7752">
        <w:t xml:space="preserve"> skóre 8–10 u m</w:t>
      </w:r>
      <w:r>
        <w:t>užov liečených dutasteridom v porovnaní s mužmi, ktorí dostávali placebo (pozri časti 4.4 a 5.1). Ne</w:t>
      </w:r>
      <w:r w:rsidR="00D10BF5">
        <w:t>stanovilo sa</w:t>
      </w:r>
      <w:r>
        <w:t xml:space="preserve">, </w:t>
      </w:r>
    </w:p>
    <w:p w14:paraId="29D84626" w14:textId="77777777" w:rsidR="003F4DC7" w:rsidRPr="0036747C" w:rsidRDefault="003F4DC7" w:rsidP="003F4DC7">
      <w:pPr>
        <w:keepNext/>
        <w:keepLines/>
        <w:rPr>
          <w:color w:val="000000"/>
          <w:szCs w:val="22"/>
        </w:rPr>
      </w:pPr>
      <w:r w:rsidRPr="0036747C">
        <w:rPr>
          <w:szCs w:val="22"/>
        </w:rPr>
        <w:t>či účinok dutasteridu na zníženie objemu prostaty, alebo faktory súvisiace so štúdiou, ovplyvnili výsledky tejto štúdie.</w:t>
      </w:r>
    </w:p>
    <w:p w14:paraId="6907ED21" w14:textId="77777777" w:rsidR="007266AA" w:rsidRDefault="007266AA">
      <w:pPr>
        <w:spacing w:line="240" w:lineRule="auto"/>
      </w:pPr>
      <w:r>
        <w:t>.</w:t>
      </w:r>
    </w:p>
    <w:p w14:paraId="7020F635" w14:textId="77777777" w:rsidR="007266AA" w:rsidRDefault="007266AA">
      <w:pPr>
        <w:spacing w:line="240" w:lineRule="auto"/>
        <w:rPr>
          <w:snapToGrid w:val="0"/>
          <w:color w:val="000000"/>
        </w:rPr>
      </w:pPr>
    </w:p>
    <w:p w14:paraId="3B924CAF" w14:textId="77777777" w:rsidR="007266AA" w:rsidRDefault="007266AA">
      <w:pPr>
        <w:spacing w:line="240" w:lineRule="auto"/>
      </w:pPr>
      <w:r>
        <w:lastRenderedPageBreak/>
        <w:t>V klinických štúdiách a po uvedení lieku na trh bol</w:t>
      </w:r>
      <w:r w:rsidR="003F4DC7">
        <w:t xml:space="preserve">o </w:t>
      </w:r>
      <w:r>
        <w:t xml:space="preserve"> </w:t>
      </w:r>
      <w:r w:rsidR="003F4DC7">
        <w:t>hlásené</w:t>
      </w:r>
      <w:r>
        <w:t xml:space="preserve"> nasledujúc</w:t>
      </w:r>
      <w:r w:rsidR="003F4DC7">
        <w:t>e:</w:t>
      </w:r>
      <w:r>
        <w:t xml:space="preserve"> rakovina prsníka u mužov (pozri časť 4.4).</w:t>
      </w:r>
    </w:p>
    <w:p w14:paraId="7694B21C" w14:textId="77777777" w:rsidR="007266AA" w:rsidRDefault="007266AA">
      <w:pPr>
        <w:spacing w:line="240" w:lineRule="auto"/>
      </w:pPr>
    </w:p>
    <w:p w14:paraId="4181C286" w14:textId="77777777" w:rsidR="007266AA" w:rsidRDefault="007266AA">
      <w:pPr>
        <w:spacing w:line="240" w:lineRule="auto"/>
        <w:rPr>
          <w:u w:val="single"/>
        </w:rPr>
      </w:pPr>
      <w:r>
        <w:rPr>
          <w:u w:val="single"/>
        </w:rPr>
        <w:t>Hlásenie podozrení na nežiaduce reakcie</w:t>
      </w:r>
    </w:p>
    <w:p w14:paraId="2A106D51" w14:textId="77777777" w:rsidR="007266AA" w:rsidRDefault="007266AA">
      <w:pPr>
        <w:rPr>
          <w:rFonts w:eastAsia="Calibri"/>
          <w:szCs w:val="22"/>
          <w:lang w:eastAsia="zh-CN"/>
        </w:rPr>
      </w:pPr>
      <w:r>
        <w:t xml:space="preserve">Hlásenie podozrení na nežiaduce reakcie po registrácii lieku je dôležité. Umožňuje priebežné monitorovanie pomeru prínosu a rizika lieku. Od zdravotníckych pracovníkov sa vyžaduje, aby hlásili akékoľvek podozrenia na nežiaduce účinky </w:t>
      </w:r>
      <w:r w:rsidR="00133703">
        <w:rPr>
          <w:noProof/>
          <w:szCs w:val="22"/>
        </w:rPr>
        <w:t xml:space="preserve">na </w:t>
      </w:r>
      <w:r>
        <w:rPr>
          <w:noProof/>
          <w:szCs w:val="22"/>
          <w:highlight w:val="lightGray"/>
        </w:rPr>
        <w:t xml:space="preserve">národné </w:t>
      </w:r>
      <w:r w:rsidR="00133703">
        <w:rPr>
          <w:noProof/>
          <w:szCs w:val="22"/>
          <w:highlight w:val="lightGray"/>
        </w:rPr>
        <w:t xml:space="preserve">centrum </w:t>
      </w:r>
      <w:r>
        <w:rPr>
          <w:noProof/>
          <w:szCs w:val="22"/>
          <w:highlight w:val="lightGray"/>
        </w:rPr>
        <w:t>hlásenia uvedené v </w:t>
      </w:r>
      <w:hyperlink r:id="rId9" w:history="1">
        <w:r>
          <w:rPr>
            <w:rStyle w:val="Hypertextovprepojenie"/>
            <w:noProof/>
            <w:szCs w:val="22"/>
            <w:highlight w:val="lightGray"/>
          </w:rPr>
          <w:t>Prílohe V</w:t>
        </w:r>
      </w:hyperlink>
      <w:r>
        <w:rPr>
          <w:noProof/>
          <w:szCs w:val="22"/>
        </w:rPr>
        <w:t>.</w:t>
      </w:r>
    </w:p>
    <w:p w14:paraId="533E7FB6" w14:textId="77777777" w:rsidR="007266AA" w:rsidRDefault="007266AA">
      <w:pPr>
        <w:spacing w:line="240" w:lineRule="auto"/>
        <w:rPr>
          <w:b/>
        </w:rPr>
      </w:pPr>
    </w:p>
    <w:p w14:paraId="1FB6474E" w14:textId="77777777" w:rsidR="007266AA" w:rsidRDefault="007266AA">
      <w:pPr>
        <w:spacing w:line="240" w:lineRule="auto"/>
        <w:rPr>
          <w:b/>
        </w:rPr>
      </w:pPr>
      <w:r>
        <w:rPr>
          <w:b/>
        </w:rPr>
        <w:t>4.9</w:t>
      </w:r>
      <w:r>
        <w:tab/>
      </w:r>
      <w:r>
        <w:rPr>
          <w:b/>
        </w:rPr>
        <w:t>Predávkovanie</w:t>
      </w:r>
    </w:p>
    <w:p w14:paraId="2EDA3B2D" w14:textId="77777777" w:rsidR="007266AA" w:rsidRDefault="007266AA">
      <w:pPr>
        <w:spacing w:line="240" w:lineRule="auto"/>
        <w:rPr>
          <w:b/>
        </w:rPr>
      </w:pPr>
    </w:p>
    <w:p w14:paraId="051CFDE6" w14:textId="77777777" w:rsidR="007266AA" w:rsidRDefault="007266AA">
      <w:pPr>
        <w:spacing w:line="240" w:lineRule="auto"/>
        <w:rPr>
          <w:snapToGrid w:val="0"/>
          <w:color w:val="000000"/>
        </w:rPr>
      </w:pPr>
      <w:r w:rsidRPr="007E421A">
        <w:t xml:space="preserve">V štúdiách </w:t>
      </w:r>
      <w:r w:rsidR="004655ED" w:rsidRPr="007E421A">
        <w:t>s </w:t>
      </w:r>
      <w:r w:rsidRPr="007E421A">
        <w:t>dutasterid</w:t>
      </w:r>
      <w:r w:rsidR="004655ED" w:rsidRPr="007E421A">
        <w:t xml:space="preserve">om boli </w:t>
      </w:r>
      <w:r w:rsidRPr="007E421A">
        <w:t>dobrovoľníko</w:t>
      </w:r>
      <w:r w:rsidR="004655ED" w:rsidRPr="007E421A">
        <w:t>m</w:t>
      </w:r>
      <w:r w:rsidRPr="007A7752">
        <w:rPr>
          <w:snapToGrid w:val="0"/>
          <w:color w:val="000000"/>
        </w:rPr>
        <w:t xml:space="preserve"> </w:t>
      </w:r>
      <w:r w:rsidR="004655ED" w:rsidRPr="007A7752">
        <w:rPr>
          <w:snapToGrid w:val="0"/>
          <w:color w:val="000000"/>
        </w:rPr>
        <w:t xml:space="preserve">podávané </w:t>
      </w:r>
      <w:r w:rsidR="00554AC9" w:rsidRPr="007A7752">
        <w:rPr>
          <w:snapToGrid w:val="0"/>
          <w:color w:val="000000"/>
        </w:rPr>
        <w:t xml:space="preserve">jednorazové </w:t>
      </w:r>
      <w:r w:rsidR="004655ED" w:rsidRPr="007A7752">
        <w:rPr>
          <w:snapToGrid w:val="0"/>
          <w:color w:val="000000"/>
        </w:rPr>
        <w:t xml:space="preserve">denné dávky </w:t>
      </w:r>
      <w:r w:rsidRPr="007A7752">
        <w:rPr>
          <w:snapToGrid w:val="0"/>
          <w:color w:val="000000"/>
        </w:rPr>
        <w:t>dutasterid</w:t>
      </w:r>
      <w:r w:rsidR="004655ED" w:rsidRPr="007A7752">
        <w:rPr>
          <w:snapToGrid w:val="0"/>
          <w:color w:val="000000"/>
        </w:rPr>
        <w:t>u</w:t>
      </w:r>
      <w:r w:rsidRPr="007A7752">
        <w:rPr>
          <w:snapToGrid w:val="0"/>
          <w:color w:val="000000"/>
        </w:rPr>
        <w:t xml:space="preserve"> </w:t>
      </w:r>
      <w:r w:rsidR="004655ED" w:rsidRPr="007A7752">
        <w:rPr>
          <w:snapToGrid w:val="0"/>
          <w:color w:val="000000"/>
        </w:rPr>
        <w:t>až</w:t>
      </w:r>
      <w:r w:rsidRPr="007A7752">
        <w:rPr>
          <w:snapToGrid w:val="0"/>
          <w:color w:val="000000"/>
        </w:rPr>
        <w:t xml:space="preserve"> do 40 mg/ deň (80-násobok terapeutickej dávky) po</w:t>
      </w:r>
      <w:r w:rsidR="004655ED" w:rsidRPr="007A7752">
        <w:rPr>
          <w:snapToGrid w:val="0"/>
          <w:color w:val="000000"/>
        </w:rPr>
        <w:t>čas</w:t>
      </w:r>
      <w:r w:rsidRPr="007A7752">
        <w:rPr>
          <w:snapToGrid w:val="0"/>
          <w:color w:val="000000"/>
        </w:rPr>
        <w:t xml:space="preserve"> 7 dní bez významných znepokojení </w:t>
      </w:r>
      <w:r w:rsidR="004655ED" w:rsidRPr="007A7752">
        <w:rPr>
          <w:snapToGrid w:val="0"/>
          <w:color w:val="000000"/>
        </w:rPr>
        <w:t>ohľadom</w:t>
      </w:r>
      <w:r w:rsidR="003D5432" w:rsidRPr="007A7752">
        <w:rPr>
          <w:snapToGrid w:val="0"/>
          <w:color w:val="000000"/>
        </w:rPr>
        <w:t xml:space="preserve"> </w:t>
      </w:r>
      <w:r w:rsidRPr="007A7752">
        <w:rPr>
          <w:snapToGrid w:val="0"/>
          <w:color w:val="000000"/>
        </w:rPr>
        <w:t xml:space="preserve">bezpečnosti. V klinických štúdiách, v ktorých boli </w:t>
      </w:r>
      <w:r w:rsidR="004655ED" w:rsidRPr="007A7752">
        <w:rPr>
          <w:snapToGrid w:val="0"/>
          <w:color w:val="000000"/>
        </w:rPr>
        <w:t>osobám</w:t>
      </w:r>
      <w:r w:rsidRPr="007A7752">
        <w:rPr>
          <w:snapToGrid w:val="0"/>
          <w:color w:val="000000"/>
        </w:rPr>
        <w:t xml:space="preserve"> podávané 5 mg dávky denne po dobu 6 mesiacov, neboli zaznamenané nežiaduce účinky okrem tých, ktoré boli pozorované pri terapeutických dávkach 0,5 mg. Neexistuje žiadne špecifické antidotum pre </w:t>
      </w:r>
      <w:r w:rsidRPr="007A7752">
        <w:t>dutasterid</w:t>
      </w:r>
      <w:r w:rsidRPr="007A7752">
        <w:rPr>
          <w:snapToGrid w:val="0"/>
          <w:color w:val="000000"/>
        </w:rPr>
        <w:t>, a preto sa musí pri podozrení na predávkovanie poskytnúť primeraná symptomatická a podporná liečba.</w:t>
      </w:r>
    </w:p>
    <w:p w14:paraId="44451E25" w14:textId="77777777" w:rsidR="007266AA" w:rsidRDefault="007266AA">
      <w:pPr>
        <w:spacing w:line="240" w:lineRule="auto"/>
      </w:pPr>
    </w:p>
    <w:p w14:paraId="2AA2571F" w14:textId="77777777" w:rsidR="007266AA" w:rsidRDefault="007266AA">
      <w:pPr>
        <w:spacing w:line="240" w:lineRule="auto"/>
      </w:pPr>
    </w:p>
    <w:p w14:paraId="30F50665" w14:textId="77777777" w:rsidR="007266AA" w:rsidRDefault="007266AA">
      <w:pPr>
        <w:spacing w:line="240" w:lineRule="auto"/>
        <w:ind w:left="567" w:hanging="567"/>
      </w:pPr>
      <w:r>
        <w:rPr>
          <w:b/>
        </w:rPr>
        <w:t>5.</w:t>
      </w:r>
      <w:r>
        <w:tab/>
      </w:r>
      <w:r>
        <w:rPr>
          <w:b/>
        </w:rPr>
        <w:t>FARMAKOLOGICKÉ VLASTNOSTI</w:t>
      </w:r>
    </w:p>
    <w:p w14:paraId="43032B21" w14:textId="77777777" w:rsidR="007266AA" w:rsidRDefault="007266AA">
      <w:pPr>
        <w:spacing w:line="240" w:lineRule="auto"/>
        <w:rPr>
          <w:b/>
        </w:rPr>
      </w:pPr>
    </w:p>
    <w:p w14:paraId="6B9A740B" w14:textId="77777777" w:rsidR="007266AA" w:rsidRDefault="007266AA">
      <w:pPr>
        <w:spacing w:line="240" w:lineRule="auto"/>
        <w:ind w:left="567" w:hanging="567"/>
      </w:pPr>
      <w:r>
        <w:rPr>
          <w:b/>
        </w:rPr>
        <w:t>5.1.</w:t>
      </w:r>
      <w:r>
        <w:tab/>
      </w:r>
      <w:r>
        <w:rPr>
          <w:b/>
        </w:rPr>
        <w:t>Farmakodynamické vlastnosti</w:t>
      </w:r>
    </w:p>
    <w:p w14:paraId="1F62A8C8" w14:textId="77777777" w:rsidR="007266AA" w:rsidRDefault="007266AA">
      <w:pPr>
        <w:spacing w:line="240" w:lineRule="auto"/>
      </w:pPr>
    </w:p>
    <w:p w14:paraId="26F1D1F5" w14:textId="77777777" w:rsidR="007266AA" w:rsidRDefault="007266AA">
      <w:pPr>
        <w:spacing w:line="240" w:lineRule="auto"/>
        <w:rPr>
          <w:snapToGrid w:val="0"/>
          <w:color w:val="000000"/>
        </w:rPr>
      </w:pPr>
      <w:r>
        <w:t xml:space="preserve">Farmakoterapeutická skupina: </w:t>
      </w:r>
      <w:r w:rsidR="009A0C34">
        <w:t xml:space="preserve">urologiká, </w:t>
      </w:r>
      <w:r w:rsidRPr="00CE01DA">
        <w:t xml:space="preserve">inhibítory </w:t>
      </w:r>
      <w:r w:rsidRPr="00CE01DA">
        <w:rPr>
          <w:snapToGrid w:val="0"/>
          <w:color w:val="000000"/>
        </w:rPr>
        <w:t>testosterón</w:t>
      </w:r>
      <w:r w:rsidRPr="00CE01DA">
        <w:noBreakHyphen/>
      </w:r>
      <w:r w:rsidRPr="00CE01DA">
        <w:rPr>
          <w:snapToGrid w:val="0"/>
          <w:color w:val="000000"/>
        </w:rPr>
        <w:t>5</w:t>
      </w:r>
      <w:r w:rsidRPr="00CE01DA">
        <w:noBreakHyphen/>
      </w:r>
      <w:r w:rsidRPr="00CE01DA">
        <w:rPr>
          <w:snapToGrid w:val="0"/>
          <w:color w:val="000000"/>
        </w:rPr>
        <w:t>alfa</w:t>
      </w:r>
      <w:r w:rsidRPr="00CE01DA">
        <w:noBreakHyphen/>
      </w:r>
      <w:r w:rsidRPr="00CE01DA">
        <w:rPr>
          <w:snapToGrid w:val="0"/>
          <w:color w:val="000000"/>
        </w:rPr>
        <w:t>reduktázy</w:t>
      </w:r>
      <w:r w:rsidRPr="00CE01DA">
        <w:t xml:space="preserve">, ATC kód: </w:t>
      </w:r>
      <w:r w:rsidRPr="00CE01DA">
        <w:rPr>
          <w:snapToGrid w:val="0"/>
          <w:color w:val="000000"/>
        </w:rPr>
        <w:t>G04C B02</w:t>
      </w:r>
    </w:p>
    <w:p w14:paraId="26105A8E" w14:textId="77777777" w:rsidR="007266AA" w:rsidRDefault="007266AA">
      <w:pPr>
        <w:spacing w:line="240" w:lineRule="auto"/>
        <w:rPr>
          <w:snapToGrid w:val="0"/>
          <w:color w:val="000000"/>
        </w:rPr>
      </w:pPr>
    </w:p>
    <w:p w14:paraId="5C6EB60D" w14:textId="77777777" w:rsidR="007266AA" w:rsidRDefault="007266AA">
      <w:pPr>
        <w:spacing w:line="240" w:lineRule="auto"/>
      </w:pPr>
      <w:r>
        <w:t>Dutasterid znižuje hladiny cirkulujúceho dihydrotestosterónu (DHT) inhibovaním izoenzýmov 5-alfa-reduktázy typu I aj typu II, ktoré sú zodpovedné za konverziu testosterónu na DHT.</w:t>
      </w:r>
    </w:p>
    <w:p w14:paraId="1E4B00F8" w14:textId="77777777" w:rsidR="007266AA" w:rsidRDefault="007266AA">
      <w:pPr>
        <w:spacing w:line="240" w:lineRule="auto"/>
      </w:pPr>
    </w:p>
    <w:p w14:paraId="3E70E151" w14:textId="77777777" w:rsidR="007266AA" w:rsidRPr="00027D57" w:rsidRDefault="007266AA">
      <w:pPr>
        <w:spacing w:line="240" w:lineRule="auto"/>
        <w:rPr>
          <w:color w:val="000000"/>
          <w:szCs w:val="22"/>
          <w:u w:val="single"/>
        </w:rPr>
      </w:pPr>
      <w:r w:rsidRPr="00027D57">
        <w:rPr>
          <w:color w:val="000000"/>
          <w:u w:val="single"/>
        </w:rPr>
        <w:t>Dutasterid ako monoterapia</w:t>
      </w:r>
    </w:p>
    <w:p w14:paraId="0B80B540" w14:textId="77777777" w:rsidR="007266AA" w:rsidRDefault="007266AA">
      <w:pPr>
        <w:spacing w:line="240" w:lineRule="auto"/>
      </w:pPr>
    </w:p>
    <w:p w14:paraId="63B5FD0A" w14:textId="77777777" w:rsidR="007266AA" w:rsidRDefault="00027D57">
      <w:pPr>
        <w:spacing w:line="240" w:lineRule="auto"/>
        <w:rPr>
          <w:i/>
        </w:rPr>
      </w:pPr>
      <w:r>
        <w:rPr>
          <w:i/>
        </w:rPr>
        <w:t>Účinky na DHT/testosterón</w:t>
      </w:r>
    </w:p>
    <w:p w14:paraId="57B94997" w14:textId="77777777" w:rsidR="007266AA" w:rsidRPr="007A7752" w:rsidRDefault="007266AA">
      <w:pPr>
        <w:spacing w:line="240" w:lineRule="auto"/>
      </w:pPr>
      <w:r>
        <w:t xml:space="preserve">Účinok denných dávok dutasteridu na redukciu DHT je závislý od dávky a je pozorovaný v priebehu 1–2 </w:t>
      </w:r>
      <w:r w:rsidRPr="007A7752">
        <w:t>týždňov (85 %</w:t>
      </w:r>
      <w:r w:rsidR="00C11537" w:rsidRPr="007A7752">
        <w:t xml:space="preserve"> a</w:t>
      </w:r>
      <w:r w:rsidRPr="007A7752">
        <w:t xml:space="preserve"> 90 % redukcia</w:t>
      </w:r>
      <w:r w:rsidR="00C11537" w:rsidRPr="007A7752">
        <w:t xml:space="preserve"> v uvedenom poradí</w:t>
      </w:r>
      <w:r w:rsidRPr="007A7752">
        <w:t xml:space="preserve">). </w:t>
      </w:r>
    </w:p>
    <w:p w14:paraId="7A490157" w14:textId="77777777" w:rsidR="007266AA" w:rsidRDefault="007266AA">
      <w:pPr>
        <w:spacing w:line="240" w:lineRule="auto"/>
        <w:rPr>
          <w:snapToGrid w:val="0"/>
        </w:rPr>
      </w:pPr>
      <w:r w:rsidRPr="007A7752">
        <w:t xml:space="preserve">U pacientov s BPH liečených dutasteridom </w:t>
      </w:r>
      <w:r w:rsidR="009D7E9A" w:rsidRPr="007A7752">
        <w:t>dávkou</w:t>
      </w:r>
      <w:r w:rsidRPr="007A7752">
        <w:t xml:space="preserve"> 0,5 mg/deň bol</w:t>
      </w:r>
      <w:r w:rsidR="009D7E9A" w:rsidRPr="007A7752">
        <w:t>o</w:t>
      </w:r>
      <w:r w:rsidRPr="007A7752">
        <w:t xml:space="preserve"> </w:t>
      </w:r>
      <w:r w:rsidR="009D7E9A" w:rsidRPr="007A7752">
        <w:t xml:space="preserve">priemerné zníženie v sérovom </w:t>
      </w:r>
      <w:r w:rsidRPr="007A7752">
        <w:t xml:space="preserve">DHT 94 % po 1 roku a 93 % </w:t>
      </w:r>
      <w:r w:rsidR="009D7E9A" w:rsidRPr="007A7752">
        <w:t xml:space="preserve">zníženie </w:t>
      </w:r>
      <w:r w:rsidRPr="007A7752">
        <w:t>po 2 rokoch a</w:t>
      </w:r>
      <w:r w:rsidR="009D7E9A" w:rsidRPr="007A7752">
        <w:t> priemerné zvýšenie v sérov</w:t>
      </w:r>
      <w:r w:rsidR="00D6474A" w:rsidRPr="007A7752">
        <w:t>om</w:t>
      </w:r>
      <w:r w:rsidRPr="007A7752">
        <w:t xml:space="preserve"> testoster</w:t>
      </w:r>
      <w:r w:rsidR="00D6474A" w:rsidRPr="007A7752">
        <w:t>óne</w:t>
      </w:r>
      <w:r w:rsidRPr="007A7752">
        <w:t xml:space="preserve"> bol</w:t>
      </w:r>
      <w:r w:rsidR="009D7E9A" w:rsidRPr="007A7752">
        <w:t>o 19 %</w:t>
      </w:r>
      <w:r w:rsidRPr="007A7752">
        <w:t xml:space="preserve"> po 1 aj po 2 rokoch.</w:t>
      </w:r>
    </w:p>
    <w:p w14:paraId="5DC55E7D" w14:textId="77777777" w:rsidR="007266AA" w:rsidRDefault="007266AA">
      <w:pPr>
        <w:spacing w:line="240" w:lineRule="auto"/>
        <w:rPr>
          <w:snapToGrid w:val="0"/>
        </w:rPr>
      </w:pPr>
    </w:p>
    <w:p w14:paraId="77C6D339" w14:textId="77777777" w:rsidR="007266AA" w:rsidRDefault="007266AA">
      <w:pPr>
        <w:spacing w:line="240" w:lineRule="auto"/>
        <w:rPr>
          <w:i/>
        </w:rPr>
      </w:pPr>
      <w:r>
        <w:rPr>
          <w:i/>
        </w:rPr>
        <w:t>Účinok na objem prostaty</w:t>
      </w:r>
    </w:p>
    <w:p w14:paraId="21A22E8A" w14:textId="77777777" w:rsidR="007266AA" w:rsidRDefault="007266AA">
      <w:pPr>
        <w:spacing w:line="240" w:lineRule="auto"/>
      </w:pPr>
      <w:r>
        <w:t xml:space="preserve">Signifikantné redukcie objemu prostaty boli detekované už po jednom mesiaci po </w:t>
      </w:r>
      <w:r w:rsidR="00A800D6">
        <w:t>začatí</w:t>
      </w:r>
      <w:r>
        <w:t xml:space="preserve"> liečby a redukcie pokračovali až do 24. mesiaca (p&lt;0,001). Dutasterid viedol k priemernej redukcii celkového objemu prostaty o 23,6 % (z východiskovej hodnoty 54,9 ml na 42,1 ml) v 12. mesiaci v porovnaní s priemernou redukciou o 0,5 % (z 54,0 ml na 53,7 ml) v skupine s placebom. Signifikantné (p&lt;0,001) redukcie sa tiež vyskytli v prechodnej zóne objemu prostaty už po jednom mesiaci a pokračovali až do 24. mesiaca, s priemernou redukciou v prechodnej zóne objemu prostaty o 17,8 % (z východiskovej hodnoty 26,8 ml na 21,4 ml) v skupine užívajúcej dutasterid v porovnaní s priemerným zvýšením o 7,9 % (z 26,8 ml na 27,5 ml) u skupiny užívajúcej placebo v 12. mesiaci. Zmenšenie objemu prostaty pozorované počas prvých dvoch rokov dvojito zaslepenej liečby sa udržiavalo aj počas ďalších 2 rokov otvorených predĺžených štúdií. Redukcia veľkosti prostaty viedla k zlepšeniu symptómov a znížila riziko AUR a chirurgického zákroku súvisiaceho s BPH.</w:t>
      </w:r>
    </w:p>
    <w:p w14:paraId="65E02F49" w14:textId="77777777" w:rsidR="007266AA" w:rsidRDefault="007266AA">
      <w:pPr>
        <w:spacing w:line="240" w:lineRule="auto"/>
        <w:rPr>
          <w:i/>
        </w:rPr>
      </w:pPr>
    </w:p>
    <w:p w14:paraId="6482E47A" w14:textId="77777777" w:rsidR="007266AA" w:rsidRPr="00A909C8" w:rsidRDefault="007266AA">
      <w:pPr>
        <w:spacing w:line="240" w:lineRule="auto"/>
        <w:rPr>
          <w:i/>
          <w:u w:val="single"/>
        </w:rPr>
      </w:pPr>
      <w:r w:rsidRPr="00A909C8">
        <w:rPr>
          <w:i/>
          <w:u w:val="single"/>
        </w:rPr>
        <w:t>Klinická účinnosť a bezpečnosť</w:t>
      </w:r>
    </w:p>
    <w:p w14:paraId="0C83F7D0" w14:textId="77777777" w:rsidR="007266AA" w:rsidRDefault="007266AA">
      <w:pPr>
        <w:autoSpaceDE w:val="0"/>
        <w:autoSpaceDN w:val="0"/>
        <w:adjustRightInd w:val="0"/>
        <w:spacing w:line="240" w:lineRule="auto"/>
        <w:jc w:val="both"/>
        <w:rPr>
          <w:color w:val="000000"/>
          <w:szCs w:val="22"/>
        </w:rPr>
      </w:pPr>
      <w:r>
        <w:t>Dutasterid v dávke 0,5 mg/deň alebo placebo boli vyhodnotené u 4 325 mužov s</w:t>
      </w:r>
      <w:r w:rsidR="00A800D6">
        <w:t>o stredne ťažkými</w:t>
      </w:r>
      <w:r>
        <w:t xml:space="preserve"> až ťažkými symptómami BPH, ktorí mali prostatu </w:t>
      </w:r>
      <w:r>
        <w:sym w:font="Symbol" w:char="F0B3"/>
      </w:r>
      <w:r>
        <w:t xml:space="preserve">30 ml a hodnotu PSA v rozsahu 1,5–10 ng/ml, v troch 2-ročných multicentrických, medzinárodných, placebom kontrolovaných, dvojito zaslepených štúdiách primárnej účinnosti. </w:t>
      </w:r>
      <w:r w:rsidRPr="007A7752">
        <w:rPr>
          <w:color w:val="000000"/>
        </w:rPr>
        <w:t>Štúdie potom pokračovali</w:t>
      </w:r>
      <w:r w:rsidR="000506BB" w:rsidRPr="007A7752">
        <w:rPr>
          <w:color w:val="000000"/>
        </w:rPr>
        <w:t xml:space="preserve"> do 4 rokov</w:t>
      </w:r>
      <w:r w:rsidRPr="007A7752">
        <w:rPr>
          <w:color w:val="000000"/>
        </w:rPr>
        <w:t xml:space="preserve"> ako </w:t>
      </w:r>
      <w:r w:rsidR="000506BB" w:rsidRPr="007A7752">
        <w:rPr>
          <w:color w:val="000000"/>
        </w:rPr>
        <w:t xml:space="preserve">predĺžené </w:t>
      </w:r>
      <w:r w:rsidRPr="007A7752">
        <w:rPr>
          <w:color w:val="000000"/>
        </w:rPr>
        <w:t>otvorené so</w:t>
      </w:r>
      <w:r>
        <w:rPr>
          <w:color w:val="000000"/>
        </w:rPr>
        <w:t xml:space="preserve"> všetkými pacientmi zotrvávajúcimi v štúdii, ktorí užívali dutasterid v rovnakej dávke 0,5 mg. 37 % pacientov randomizovaných na začiatku k užívaniu placeba a 40 % pacientov randomizovaných k užívaniu dutasteridu zotrvalo v štúdii 4 roky. Väčšina (71 %) z 2 340 jedincov absolvovala v rámci predĺženej otvorenej štúdie ďalšie 2 roky otvorenej liečby.</w:t>
      </w:r>
    </w:p>
    <w:p w14:paraId="3DC691B9" w14:textId="77777777" w:rsidR="007266AA" w:rsidRDefault="007266AA">
      <w:pPr>
        <w:spacing w:line="240" w:lineRule="auto"/>
      </w:pPr>
    </w:p>
    <w:p w14:paraId="05D131AA" w14:textId="77777777" w:rsidR="007266AA" w:rsidRDefault="007266AA">
      <w:pPr>
        <w:spacing w:line="240" w:lineRule="auto"/>
      </w:pPr>
      <w:r>
        <w:lastRenderedPageBreak/>
        <w:t>Najdôležitejšími parametrami klinickej účinnosti bol Index symptómov Americkej urologickej asociácie (AUA-SI), maximálny prietok moču (Q</w:t>
      </w:r>
      <w:r>
        <w:rPr>
          <w:vertAlign w:val="subscript"/>
        </w:rPr>
        <w:t>max</w:t>
      </w:r>
      <w:r>
        <w:t>) a výskyt akútnej retencie moču a chirurgického zákroku súvisiaceho s BPH.</w:t>
      </w:r>
    </w:p>
    <w:p w14:paraId="456AF6DD" w14:textId="77777777" w:rsidR="007266AA" w:rsidRDefault="007266AA">
      <w:pPr>
        <w:spacing w:line="240" w:lineRule="auto"/>
      </w:pPr>
    </w:p>
    <w:p w14:paraId="338D474A" w14:textId="77777777" w:rsidR="007266AA" w:rsidRDefault="007266AA">
      <w:pPr>
        <w:spacing w:line="240" w:lineRule="auto"/>
      </w:pPr>
      <w:r>
        <w:t>AUA-SI je 7-položkový dotazník o symptómoch týkajúcich sa BPH s maximálnym bodovým skóre 35. Na začiatku štúdií mali pacienti priemerné skóre približne17. Po šesťmesačnej, jedno- a dvojročnej liečbe mala skupina užívajúca placebo priemerné zlepšenia o 2,5</w:t>
      </w:r>
      <w:r w:rsidR="00C11537">
        <w:t xml:space="preserve">; </w:t>
      </w:r>
      <w:r>
        <w:t>2,5 a 2,3 bodu, zatiaľ čo skupina užívajúca dutasterid sa zlepšila o 3,2</w:t>
      </w:r>
      <w:r w:rsidR="00C11537">
        <w:t xml:space="preserve">; </w:t>
      </w:r>
      <w:r>
        <w:t xml:space="preserve">3,8 a 4,5 bodu. Rozdiely medzi skupinami boli štatisticky signifikantné. Zlepšenie uvedené v AUA-SI pozorované počas prvých 2 rokov dvojito zaslepenej liečby </w:t>
      </w:r>
      <w:r w:rsidR="00C11537">
        <w:t>sa udržalo</w:t>
      </w:r>
      <w:r>
        <w:t xml:space="preserve"> počas ďalších 2 rokov predĺžených otvorených štúdií.</w:t>
      </w:r>
    </w:p>
    <w:p w14:paraId="4DF4B4E7" w14:textId="77777777" w:rsidR="007266AA" w:rsidRDefault="007266AA">
      <w:pPr>
        <w:spacing w:line="240" w:lineRule="auto"/>
      </w:pPr>
    </w:p>
    <w:p w14:paraId="3FCCE5A6" w14:textId="77777777" w:rsidR="007266AA" w:rsidRDefault="007266AA">
      <w:pPr>
        <w:spacing w:line="240" w:lineRule="auto"/>
        <w:rPr>
          <w:i/>
        </w:rPr>
      </w:pPr>
      <w:r>
        <w:rPr>
          <w:i/>
        </w:rPr>
        <w:t>Q</w:t>
      </w:r>
      <w:r>
        <w:rPr>
          <w:i/>
          <w:vertAlign w:val="subscript"/>
        </w:rPr>
        <w:t>max</w:t>
      </w:r>
      <w:r>
        <w:rPr>
          <w:i/>
        </w:rPr>
        <w:t xml:space="preserve"> (maximálny prietok moču)</w:t>
      </w:r>
    </w:p>
    <w:p w14:paraId="3292E214" w14:textId="77777777" w:rsidR="007266AA" w:rsidRDefault="007266AA">
      <w:pPr>
        <w:spacing w:line="240" w:lineRule="auto"/>
      </w:pPr>
      <w:r>
        <w:t>Priemerná východisková hodnota Q</w:t>
      </w:r>
      <w:r>
        <w:rPr>
          <w:vertAlign w:val="subscript"/>
        </w:rPr>
        <w:t>max</w:t>
      </w:r>
      <w:r>
        <w:t xml:space="preserve"> v štúdiách bola približne 10 ml/sek (normálna hodnota Q</w:t>
      </w:r>
      <w:r>
        <w:rPr>
          <w:vertAlign w:val="subscript"/>
        </w:rPr>
        <w:t>max</w:t>
      </w:r>
      <w:r>
        <w:sym w:font="Symbol" w:char="F0B3"/>
      </w:r>
      <w:r>
        <w:t>15 ml/sek.). Po jednom a dvoch rokoch liečby sa prietok v skupine s placebom zlepšil o 0,8 a 0,9 ml/sek.</w:t>
      </w:r>
      <w:r w:rsidR="007D33B6">
        <w:t xml:space="preserve"> v uvedenom poradí</w:t>
      </w:r>
      <w:r>
        <w:t>, v skupine s dutasteridom o 1,7 a 2,0 ml/sek.</w:t>
      </w:r>
      <w:r w:rsidR="007D33B6">
        <w:t xml:space="preserve"> v uvedenom poradí</w:t>
      </w:r>
      <w:r>
        <w:t xml:space="preserve">. Rozdiel medzi skupinami bol štatisticky signifikantný od 1. mesiaca po 24. mesiac. Zvýšenie maximálnej rýchlosti prietoku moču pozorované počas prvých 2 rokov dvojito zaslepenej liečby </w:t>
      </w:r>
      <w:r w:rsidR="007D33B6">
        <w:t>pokračovalo</w:t>
      </w:r>
      <w:r>
        <w:t xml:space="preserve"> počas ďalších 2 rokov predĺžených otvorených štúdií.</w:t>
      </w:r>
    </w:p>
    <w:p w14:paraId="47F7EBC3" w14:textId="77777777" w:rsidR="007266AA" w:rsidRDefault="007266AA">
      <w:pPr>
        <w:spacing w:line="240" w:lineRule="auto"/>
      </w:pPr>
    </w:p>
    <w:p w14:paraId="0D1C7128" w14:textId="77777777" w:rsidR="007266AA" w:rsidRDefault="007266AA">
      <w:pPr>
        <w:spacing w:line="240" w:lineRule="auto"/>
        <w:rPr>
          <w:i/>
        </w:rPr>
      </w:pPr>
      <w:r>
        <w:rPr>
          <w:i/>
        </w:rPr>
        <w:t xml:space="preserve">Akútna retencia moču a chirurgická intervencia </w:t>
      </w:r>
    </w:p>
    <w:p w14:paraId="172DD2CA" w14:textId="77777777" w:rsidR="007266AA" w:rsidRDefault="007266AA">
      <w:pPr>
        <w:spacing w:line="240" w:lineRule="auto"/>
      </w:pPr>
      <w:r>
        <w:t>Po dvoch rokoch liečby bol výskyt AUR v skupine užívajúcej placebo 4,2 % oproti 1,8 % v skupine, ktorá užívala dutasterid (zníženie rizika o 57 %). Tento rozdiel je štatisticky signifikantný a znamená, že 42 pacientov (95 % CI 30–73) musí byť liečených po dobu dvoch rokov, aby sa zabránilo jednému prípadu akútnej retencie moču (AUR).</w:t>
      </w:r>
    </w:p>
    <w:p w14:paraId="53FC5F41" w14:textId="77777777" w:rsidR="007266AA" w:rsidRDefault="007266AA">
      <w:pPr>
        <w:spacing w:line="240" w:lineRule="auto"/>
      </w:pPr>
    </w:p>
    <w:p w14:paraId="13DF3295" w14:textId="77777777" w:rsidR="007266AA" w:rsidRDefault="007266AA">
      <w:pPr>
        <w:spacing w:line="240" w:lineRule="auto"/>
      </w:pPr>
      <w:r>
        <w:t>Výskyt chirurgického zákroku súvisiaceho s BPH po dvoch rokoch bol 4,1 % v skupine užívajúcej placebo a 2,2 % v skupine užívajúcej dutasterid (zníženie rizika o 48 %).Tento rozdiel je štatisticky signifikantný a znamená, že 51 pacientov (95 % CI 33–109) musí byť liečených po dobu dvoch rokov, aby sa zabránilo jednej chirurgickej intervencii.</w:t>
      </w:r>
    </w:p>
    <w:p w14:paraId="74A43C2B" w14:textId="77777777" w:rsidR="007266AA" w:rsidRDefault="007266AA">
      <w:pPr>
        <w:spacing w:line="240" w:lineRule="auto"/>
      </w:pPr>
    </w:p>
    <w:p w14:paraId="5BA526BE" w14:textId="77777777" w:rsidR="007266AA" w:rsidRDefault="000506BB">
      <w:pPr>
        <w:spacing w:line="240" w:lineRule="auto"/>
        <w:rPr>
          <w:i/>
        </w:rPr>
      </w:pPr>
      <w:r>
        <w:rPr>
          <w:i/>
        </w:rPr>
        <w:t>Poruchy vlasov</w:t>
      </w:r>
    </w:p>
    <w:p w14:paraId="69CC413B" w14:textId="77777777" w:rsidR="007266AA" w:rsidRDefault="007266AA">
      <w:pPr>
        <w:spacing w:line="240" w:lineRule="auto"/>
      </w:pPr>
      <w:r>
        <w:t xml:space="preserve">Účinok dutasteridu </w:t>
      </w:r>
      <w:r w:rsidR="000506BB" w:rsidRPr="000506BB">
        <w:t xml:space="preserve">na rozloženie vlasov </w:t>
      </w:r>
      <w:r>
        <w:t xml:space="preserve">sa počas fázy III programu formálne </w:t>
      </w:r>
      <w:r w:rsidRPr="007A7752">
        <w:t xml:space="preserve">neskúmal, inhibítory 5-alfa-reduktázy však môžu znížiť stratu vlasov a môžu vyvolať rast vlasov u jedincov s mužským </w:t>
      </w:r>
      <w:r w:rsidR="000506BB" w:rsidRPr="007A7752">
        <w:t>typom vypadávania vlasov</w:t>
      </w:r>
      <w:r w:rsidRPr="007A7752">
        <w:t xml:space="preserve"> (mužskou androgenetickou alopéciou).</w:t>
      </w:r>
    </w:p>
    <w:p w14:paraId="5BEF5816" w14:textId="77777777" w:rsidR="007266AA" w:rsidRDefault="007266AA">
      <w:pPr>
        <w:spacing w:line="240" w:lineRule="auto"/>
      </w:pPr>
    </w:p>
    <w:p w14:paraId="0813342A" w14:textId="77777777" w:rsidR="007266AA" w:rsidRDefault="007266AA">
      <w:pPr>
        <w:spacing w:line="240" w:lineRule="auto"/>
        <w:rPr>
          <w:i/>
        </w:rPr>
      </w:pPr>
      <w:r>
        <w:rPr>
          <w:i/>
        </w:rPr>
        <w:t>Funkcia štítnej žľazy</w:t>
      </w:r>
    </w:p>
    <w:p w14:paraId="63C4DF83" w14:textId="77777777" w:rsidR="007266AA" w:rsidRDefault="007266AA">
      <w:pPr>
        <w:spacing w:line="240" w:lineRule="auto"/>
      </w:pPr>
      <w:r>
        <w:t xml:space="preserve">Funkcia štítnej žľazy u zdravých mužov bola vyhodnotená v jednoročnej štúdii. Hladiny voľného tyroxínu boli počas liečby dutasteridom stabilné, ale hladiny TSH boli na konci jednoročnej liečby v porovnaní s placebom mierne zvýšené (o 0,4 MCIU/ml). Keďže hladiny TSH boli variabilné, rozsahy stredných hodnôt TSH (1,4–1,9 MCIU/ml) však zostali v rámci normálnych hraníc (0,5–5/6 MCIU/ml), hladiny voľného tyroxínu boli stabilné v rámci normálneho rozsahu a podobné hladinám pri liečbe placebom, ako aj dutasteridom, zmeny v TSH neboli považované za klinicky signifikantné.V žiadnej klinickej štúdii sa nenašiel dôkaz nepriaznivého vplyvu dutasteridu na funkciu štítnej žľazy. </w:t>
      </w:r>
    </w:p>
    <w:p w14:paraId="12BF7D88" w14:textId="77777777" w:rsidR="007266AA" w:rsidRDefault="007266AA">
      <w:pPr>
        <w:spacing w:line="240" w:lineRule="auto"/>
      </w:pPr>
    </w:p>
    <w:p w14:paraId="573F952F" w14:textId="77777777" w:rsidR="007266AA" w:rsidRDefault="007266AA">
      <w:pPr>
        <w:spacing w:line="240" w:lineRule="auto"/>
        <w:rPr>
          <w:i/>
        </w:rPr>
      </w:pPr>
      <w:r>
        <w:rPr>
          <w:i/>
        </w:rPr>
        <w:t>Neoplázia prsníkov</w:t>
      </w:r>
    </w:p>
    <w:p w14:paraId="3D4B108E" w14:textId="77777777" w:rsidR="007266AA" w:rsidRDefault="007266AA">
      <w:pPr>
        <w:spacing w:line="240" w:lineRule="auto"/>
        <w:rPr>
          <w:snapToGrid w:val="0"/>
          <w:color w:val="000000"/>
        </w:rPr>
      </w:pPr>
      <w:r>
        <w:rPr>
          <w:snapToGrid w:val="0"/>
          <w:color w:val="000000"/>
        </w:rPr>
        <w:t>V dvojročných klinických skúšaniach, ktoré poskytujú 3 374 pacientorokov expozície dutasteridu, a v čase registrácie</w:t>
      </w:r>
      <w:r w:rsidR="00554AC9">
        <w:rPr>
          <w:snapToGrid w:val="0"/>
          <w:color w:val="000000"/>
        </w:rPr>
        <w:t xml:space="preserve"> v</w:t>
      </w:r>
      <w:r>
        <w:rPr>
          <w:snapToGrid w:val="0"/>
          <w:color w:val="000000"/>
        </w:rPr>
        <w:t xml:space="preserve"> </w:t>
      </w:r>
      <w:r w:rsidR="00EB41AB" w:rsidRPr="0036747C">
        <w:rPr>
          <w:szCs w:val="22"/>
        </w:rPr>
        <w:t xml:space="preserve">predĺženej dvojročnej otvorenej </w:t>
      </w:r>
      <w:r w:rsidR="00EB41AB" w:rsidRPr="00F66DB0">
        <w:rPr>
          <w:szCs w:val="22"/>
        </w:rPr>
        <w:t>štúdii</w:t>
      </w:r>
      <w:r w:rsidRPr="00F66DB0">
        <w:rPr>
          <w:snapToGrid w:val="0"/>
          <w:color w:val="000000"/>
        </w:rPr>
        <w:t>,</w:t>
      </w:r>
      <w:r>
        <w:rPr>
          <w:snapToGrid w:val="0"/>
          <w:color w:val="000000"/>
        </w:rPr>
        <w:t xml:space="preserve"> boli </w:t>
      </w:r>
      <w:r w:rsidR="00AF79ED">
        <w:rPr>
          <w:snapToGrid w:val="0"/>
          <w:color w:val="000000"/>
        </w:rPr>
        <w:t>hlásené</w:t>
      </w:r>
      <w:r>
        <w:rPr>
          <w:snapToGrid w:val="0"/>
          <w:color w:val="000000"/>
        </w:rPr>
        <w:t xml:space="preserve"> 2 prípady rakoviny prsníka u pacientov liečených dutasteridom a 1 prípad u pacienta užívajúceho placebo. </w:t>
      </w:r>
      <w:r>
        <w:t xml:space="preserve">V 4-ročných klinických skúšaniach CombAT a REDUCE, ktoré poskytujú 17 489 pacientorokov expozície dutasteridu a 5 027 pacientorokov expozície kombinácii dutasteridu a tamsulozínu, neboli u žiadnej z liečebných skupín </w:t>
      </w:r>
      <w:r w:rsidR="00AF79ED">
        <w:t>hlásené</w:t>
      </w:r>
      <w:r>
        <w:t xml:space="preserve"> žiadne prípady rakoviny prsníka.</w:t>
      </w:r>
    </w:p>
    <w:p w14:paraId="03C6E152" w14:textId="77777777" w:rsidR="007266AA" w:rsidRDefault="007266AA">
      <w:pPr>
        <w:spacing w:line="240" w:lineRule="auto"/>
        <w:rPr>
          <w:snapToGrid w:val="0"/>
          <w:color w:val="000000"/>
        </w:rPr>
      </w:pPr>
    </w:p>
    <w:p w14:paraId="7FBEB012" w14:textId="77777777" w:rsidR="007266AA" w:rsidRDefault="007266AA">
      <w:pPr>
        <w:spacing w:line="240" w:lineRule="auto"/>
      </w:pPr>
      <w:r>
        <w:t>V súčasnosti nie je jasné, či je medzi výskytom rakoviny prsníka u mužov a dlhodobým používaním dutasteridu príčinný vzťah.</w:t>
      </w:r>
    </w:p>
    <w:p w14:paraId="5175A5F6" w14:textId="77777777" w:rsidR="007266AA" w:rsidRDefault="007266AA">
      <w:pPr>
        <w:spacing w:line="240" w:lineRule="auto"/>
        <w:rPr>
          <w:snapToGrid w:val="0"/>
          <w:color w:val="000000"/>
        </w:rPr>
      </w:pPr>
    </w:p>
    <w:p w14:paraId="296CBF49" w14:textId="77777777" w:rsidR="007266AA" w:rsidRDefault="007266AA">
      <w:pPr>
        <w:pStyle w:val="listssp"/>
        <w:tabs>
          <w:tab w:val="left" w:pos="567"/>
        </w:tabs>
        <w:rPr>
          <w:i/>
          <w:sz w:val="22"/>
          <w:szCs w:val="22"/>
        </w:rPr>
      </w:pPr>
      <w:r>
        <w:rPr>
          <w:i/>
          <w:sz w:val="22"/>
        </w:rPr>
        <w:t>Účinky na mužskú fertilitu</w:t>
      </w:r>
    </w:p>
    <w:p w14:paraId="4BF32318" w14:textId="77777777" w:rsidR="007266AA" w:rsidRDefault="007266AA">
      <w:pPr>
        <w:pStyle w:val="listssp"/>
        <w:tabs>
          <w:tab w:val="left" w:pos="567"/>
        </w:tabs>
        <w:rPr>
          <w:snapToGrid w:val="0"/>
          <w:sz w:val="22"/>
          <w:szCs w:val="22"/>
        </w:rPr>
      </w:pPr>
    </w:p>
    <w:p w14:paraId="499625D0" w14:textId="77777777" w:rsidR="007266AA" w:rsidRDefault="007266AA">
      <w:pPr>
        <w:pStyle w:val="listssp"/>
        <w:tabs>
          <w:tab w:val="left" w:pos="567"/>
        </w:tabs>
        <w:rPr>
          <w:snapToGrid w:val="0"/>
          <w:sz w:val="22"/>
          <w:szCs w:val="22"/>
        </w:rPr>
      </w:pPr>
      <w:r>
        <w:rPr>
          <w:sz w:val="22"/>
        </w:rPr>
        <w:lastRenderedPageBreak/>
        <w:t xml:space="preserve">Účinky dutasteridu v dávke 0,5 mg/deň na charakteristické vlastnosti spermy boli hodnotené u zdravých dobrovoľníkov vo veku 18 až 52 rokov (n=27 u dutasteridu, n=23 u placeba) počas 52 týždňov liečby a 24 týždňov sledovania po </w:t>
      </w:r>
      <w:r w:rsidRPr="007A7752">
        <w:rPr>
          <w:sz w:val="22"/>
        </w:rPr>
        <w:t xml:space="preserve">liečbe. </w:t>
      </w:r>
      <w:r w:rsidR="00C348E6" w:rsidRPr="007A7752">
        <w:rPr>
          <w:sz w:val="22"/>
        </w:rPr>
        <w:t>V</w:t>
      </w:r>
      <w:r w:rsidRPr="007A7752">
        <w:rPr>
          <w:sz w:val="22"/>
        </w:rPr>
        <w:t xml:space="preserve"> 52</w:t>
      </w:r>
      <w:r w:rsidR="00C348E6" w:rsidRPr="007A7752">
        <w:rPr>
          <w:sz w:val="22"/>
        </w:rPr>
        <w:t>.</w:t>
      </w:r>
      <w:r w:rsidRPr="007A7752">
        <w:rPr>
          <w:sz w:val="22"/>
        </w:rPr>
        <w:t xml:space="preserve"> týžd</w:t>
      </w:r>
      <w:r w:rsidR="00C348E6" w:rsidRPr="007A7752">
        <w:rPr>
          <w:sz w:val="22"/>
        </w:rPr>
        <w:t>ni</w:t>
      </w:r>
      <w:r w:rsidRPr="007A7752">
        <w:rPr>
          <w:sz w:val="22"/>
        </w:rPr>
        <w:t xml:space="preserve"> bolo </w:t>
      </w:r>
      <w:r w:rsidR="00A57191" w:rsidRPr="007A7752">
        <w:rPr>
          <w:sz w:val="22"/>
        </w:rPr>
        <w:t xml:space="preserve">v skupine s dutasteridom </w:t>
      </w:r>
      <w:r w:rsidRPr="007A7752">
        <w:rPr>
          <w:sz w:val="22"/>
        </w:rPr>
        <w:t xml:space="preserve">priemerné percentuálne zníženie </w:t>
      </w:r>
      <w:r w:rsidR="00A57191" w:rsidRPr="007A7752">
        <w:rPr>
          <w:sz w:val="22"/>
        </w:rPr>
        <w:t xml:space="preserve">od </w:t>
      </w:r>
      <w:r w:rsidRPr="007A7752">
        <w:rPr>
          <w:sz w:val="22"/>
        </w:rPr>
        <w:t xml:space="preserve">východiskových hodnôt </w:t>
      </w:r>
      <w:r w:rsidR="00A57191" w:rsidRPr="007A7752">
        <w:rPr>
          <w:sz w:val="22"/>
        </w:rPr>
        <w:t xml:space="preserve">v </w:t>
      </w:r>
      <w:r w:rsidRPr="007A7752">
        <w:rPr>
          <w:sz w:val="22"/>
        </w:rPr>
        <w:t>celkov</w:t>
      </w:r>
      <w:r w:rsidR="00A57191" w:rsidRPr="007A7752">
        <w:rPr>
          <w:sz w:val="22"/>
        </w:rPr>
        <w:t>om</w:t>
      </w:r>
      <w:r w:rsidRPr="007A7752">
        <w:rPr>
          <w:sz w:val="22"/>
        </w:rPr>
        <w:t xml:space="preserve"> počt</w:t>
      </w:r>
      <w:r w:rsidR="00A57191" w:rsidRPr="007A7752">
        <w:rPr>
          <w:sz w:val="22"/>
        </w:rPr>
        <w:t>e</w:t>
      </w:r>
      <w:r w:rsidRPr="007A7752">
        <w:rPr>
          <w:sz w:val="22"/>
        </w:rPr>
        <w:t xml:space="preserve"> spermií 23 %, </w:t>
      </w:r>
      <w:r w:rsidR="00A57191" w:rsidRPr="007A7752">
        <w:rPr>
          <w:sz w:val="22"/>
        </w:rPr>
        <w:t xml:space="preserve">v </w:t>
      </w:r>
      <w:r w:rsidRPr="007A7752">
        <w:rPr>
          <w:sz w:val="22"/>
        </w:rPr>
        <w:t>objem</w:t>
      </w:r>
      <w:r w:rsidR="00A57191" w:rsidRPr="007A7752">
        <w:rPr>
          <w:sz w:val="22"/>
        </w:rPr>
        <w:t>e</w:t>
      </w:r>
      <w:r w:rsidRPr="007A7752">
        <w:rPr>
          <w:sz w:val="22"/>
        </w:rPr>
        <w:t xml:space="preserve"> spermy 26 % a</w:t>
      </w:r>
      <w:r w:rsidR="00A57191" w:rsidRPr="007A7752">
        <w:rPr>
          <w:sz w:val="22"/>
        </w:rPr>
        <w:t xml:space="preserve"> v </w:t>
      </w:r>
      <w:r w:rsidRPr="007A7752">
        <w:rPr>
          <w:sz w:val="22"/>
        </w:rPr>
        <w:t>motilit</w:t>
      </w:r>
      <w:r w:rsidR="00A57191" w:rsidRPr="007A7752">
        <w:rPr>
          <w:sz w:val="22"/>
        </w:rPr>
        <w:t>e</w:t>
      </w:r>
      <w:r w:rsidRPr="007A7752">
        <w:rPr>
          <w:sz w:val="22"/>
        </w:rPr>
        <w:t xml:space="preserve"> spermií 18% po prepočte na zmeny </w:t>
      </w:r>
      <w:r w:rsidR="00A57191" w:rsidRPr="007A7752">
        <w:rPr>
          <w:sz w:val="22"/>
        </w:rPr>
        <w:t>od</w:t>
      </w:r>
      <w:r w:rsidRPr="007A7752">
        <w:rPr>
          <w:sz w:val="22"/>
        </w:rPr>
        <w:t xml:space="preserve"> východiskový</w:t>
      </w:r>
      <w:r w:rsidR="00A57191" w:rsidRPr="007A7752">
        <w:rPr>
          <w:sz w:val="22"/>
        </w:rPr>
        <w:t>ch</w:t>
      </w:r>
      <w:r w:rsidRPr="007A7752">
        <w:rPr>
          <w:sz w:val="22"/>
        </w:rPr>
        <w:t xml:space="preserve"> hodn</w:t>
      </w:r>
      <w:r w:rsidR="00A57191" w:rsidRPr="007A7752">
        <w:rPr>
          <w:sz w:val="22"/>
        </w:rPr>
        <w:t>ôt</w:t>
      </w:r>
      <w:r w:rsidRPr="007A7752">
        <w:rPr>
          <w:sz w:val="22"/>
        </w:rPr>
        <w:t xml:space="preserve"> </w:t>
      </w:r>
      <w:r w:rsidR="00A57191" w:rsidRPr="007A7752">
        <w:rPr>
          <w:sz w:val="22"/>
        </w:rPr>
        <w:t>v</w:t>
      </w:r>
      <w:r w:rsidRPr="007A7752">
        <w:rPr>
          <w:sz w:val="22"/>
        </w:rPr>
        <w:t xml:space="preserve"> skupin</w:t>
      </w:r>
      <w:r w:rsidR="00A57191" w:rsidRPr="007A7752">
        <w:rPr>
          <w:sz w:val="22"/>
        </w:rPr>
        <w:t>e</w:t>
      </w:r>
      <w:r w:rsidRPr="007A7752">
        <w:rPr>
          <w:sz w:val="22"/>
        </w:rPr>
        <w:t xml:space="preserve"> s placebom. Koncentrácia spermií a morfológia spermií nebola ovplyvnená. Po 24 týždňoch sledovania zostal</w:t>
      </w:r>
      <w:r w:rsidR="000635E0" w:rsidRPr="007A7752">
        <w:rPr>
          <w:sz w:val="22"/>
        </w:rPr>
        <w:t>a</w:t>
      </w:r>
      <w:r w:rsidRPr="007A7752">
        <w:rPr>
          <w:sz w:val="22"/>
        </w:rPr>
        <w:t xml:space="preserve"> priemern</w:t>
      </w:r>
      <w:r w:rsidR="000635E0" w:rsidRPr="007A7752">
        <w:rPr>
          <w:sz w:val="22"/>
        </w:rPr>
        <w:t>á</w:t>
      </w:r>
      <w:r w:rsidRPr="007A7752">
        <w:rPr>
          <w:sz w:val="22"/>
        </w:rPr>
        <w:t xml:space="preserve"> </w:t>
      </w:r>
      <w:r w:rsidR="000635E0" w:rsidRPr="007A7752">
        <w:rPr>
          <w:sz w:val="22"/>
        </w:rPr>
        <w:t xml:space="preserve">percentuálna </w:t>
      </w:r>
      <w:r w:rsidR="00CC08E6" w:rsidRPr="007A7752">
        <w:rPr>
          <w:sz w:val="22"/>
        </w:rPr>
        <w:t>zmena v celkovom počte</w:t>
      </w:r>
      <w:r w:rsidRPr="007A7752">
        <w:rPr>
          <w:sz w:val="22"/>
        </w:rPr>
        <w:t xml:space="preserve"> spermií v skupine s dutasteridom o 23 % nižši</w:t>
      </w:r>
      <w:r w:rsidR="00CC08E6" w:rsidRPr="007A7752">
        <w:rPr>
          <w:sz w:val="22"/>
        </w:rPr>
        <w:t>a</w:t>
      </w:r>
      <w:r w:rsidRPr="007A7752">
        <w:rPr>
          <w:sz w:val="22"/>
        </w:rPr>
        <w:t xml:space="preserve"> ako</w:t>
      </w:r>
      <w:r w:rsidR="00CC08E6" w:rsidRPr="007A7752">
        <w:rPr>
          <w:sz w:val="22"/>
        </w:rPr>
        <w:t xml:space="preserve"> bol</w:t>
      </w:r>
      <w:r w:rsidR="00A57191" w:rsidRPr="007A7752">
        <w:rPr>
          <w:sz w:val="22"/>
        </w:rPr>
        <w:t>a</w:t>
      </w:r>
      <w:r w:rsidRPr="007A7752">
        <w:rPr>
          <w:sz w:val="22"/>
        </w:rPr>
        <w:t xml:space="preserve"> východiskov</w:t>
      </w:r>
      <w:r w:rsidR="00A57191" w:rsidRPr="007A7752">
        <w:rPr>
          <w:sz w:val="22"/>
        </w:rPr>
        <w:t>á</w:t>
      </w:r>
      <w:r w:rsidRPr="007A7752">
        <w:rPr>
          <w:sz w:val="22"/>
        </w:rPr>
        <w:t xml:space="preserve"> hodnot</w:t>
      </w:r>
      <w:r w:rsidR="00A57191" w:rsidRPr="007A7752">
        <w:rPr>
          <w:sz w:val="22"/>
        </w:rPr>
        <w:t>a</w:t>
      </w:r>
      <w:r w:rsidRPr="007A7752">
        <w:rPr>
          <w:sz w:val="22"/>
        </w:rPr>
        <w:t>. Zatiaľ čo priemerné hodnoty pre všetky parametre zostali vo všetkých časových bodoch v rámci normálnych rozsahov a nezodpovedali vopred definovaným kritériám klinicky významnej zmeny (30 %), dvaja jedinci v</w:t>
      </w:r>
      <w:r>
        <w:rPr>
          <w:sz w:val="22"/>
        </w:rPr>
        <w:t xml:space="preserve"> skupine s dutasteridom mali v 52. týždni zníženia počtu spermií vyššie ako 90 % oproti východiskovým hodnotám, s čiastočným obnovením pôvodných počtov počas 24-týždňového sledovania. Možnosť zníženia mužskej fertility sa nedá vylúčiť.</w:t>
      </w:r>
    </w:p>
    <w:p w14:paraId="20356B17" w14:textId="77777777" w:rsidR="000635E0" w:rsidRDefault="000635E0">
      <w:pPr>
        <w:pStyle w:val="listssp"/>
        <w:tabs>
          <w:tab w:val="left" w:pos="567"/>
        </w:tabs>
        <w:rPr>
          <w:snapToGrid w:val="0"/>
          <w:color w:val="000000"/>
          <w:sz w:val="22"/>
          <w:szCs w:val="22"/>
        </w:rPr>
      </w:pPr>
      <w:r w:rsidRPr="0036747C">
        <w:t xml:space="preserve"> </w:t>
      </w:r>
    </w:p>
    <w:p w14:paraId="3C5A129E" w14:textId="77777777" w:rsidR="007266AA" w:rsidRPr="00A909C8" w:rsidRDefault="007266AA">
      <w:pPr>
        <w:pStyle w:val="listssp"/>
        <w:tabs>
          <w:tab w:val="left" w:pos="567"/>
        </w:tabs>
        <w:rPr>
          <w:snapToGrid w:val="0"/>
          <w:color w:val="000000"/>
          <w:sz w:val="22"/>
          <w:szCs w:val="22"/>
          <w:u w:val="single"/>
        </w:rPr>
      </w:pPr>
      <w:r w:rsidRPr="00A909C8">
        <w:rPr>
          <w:snapToGrid w:val="0"/>
          <w:color w:val="000000"/>
          <w:sz w:val="22"/>
          <w:u w:val="single"/>
        </w:rPr>
        <w:t>Dutasterid v kombinácii s</w:t>
      </w:r>
      <w:r w:rsidR="00B55D1D">
        <w:rPr>
          <w:snapToGrid w:val="0"/>
          <w:color w:val="000000"/>
          <w:sz w:val="22"/>
          <w:u w:val="single"/>
        </w:rPr>
        <w:t> </w:t>
      </w:r>
      <w:r w:rsidRPr="00A909C8">
        <w:rPr>
          <w:snapToGrid w:val="0"/>
          <w:color w:val="000000"/>
          <w:sz w:val="22"/>
          <w:u w:val="single"/>
        </w:rPr>
        <w:t>alfablokátorom</w:t>
      </w:r>
      <w:r w:rsidR="00B55D1D">
        <w:rPr>
          <w:snapToGrid w:val="0"/>
          <w:color w:val="000000"/>
          <w:sz w:val="22"/>
          <w:u w:val="single"/>
        </w:rPr>
        <w:t xml:space="preserve"> </w:t>
      </w:r>
      <w:r w:rsidRPr="00A909C8">
        <w:rPr>
          <w:snapToGrid w:val="0"/>
          <w:color w:val="000000"/>
          <w:sz w:val="22"/>
          <w:u w:val="single"/>
        </w:rPr>
        <w:t xml:space="preserve"> tamsulozínom</w:t>
      </w:r>
    </w:p>
    <w:p w14:paraId="66891941" w14:textId="77777777" w:rsidR="007266AA" w:rsidRDefault="007266AA">
      <w:pPr>
        <w:spacing w:line="240" w:lineRule="auto"/>
        <w:rPr>
          <w:color w:val="000000"/>
          <w:szCs w:val="22"/>
        </w:rPr>
      </w:pPr>
      <w:r>
        <w:t>Dutasterid 0,5 mg/deň (n=1 623), tamsulozín 0,4 mg/deň (n=1 611) alebo kombinácia dutasterid 0,5 mg plus tamsulozín 0,4 mg (n=1 610) sa vyhodnocovali u mužov s</w:t>
      </w:r>
      <w:r w:rsidR="00B55D1D">
        <w:t>o stredne ťažkými</w:t>
      </w:r>
      <w:r>
        <w:t xml:space="preserve"> až ťažkými symptómami benígnej hyperplázie prostaty (BPH), ktorí mali prostatu </w:t>
      </w:r>
      <w:r>
        <w:sym w:font="Symbol" w:char="F0B3"/>
      </w:r>
      <w:r>
        <w:t xml:space="preserve"> 30 ml a hodnotu PSA v rozmedzí 1,5–10 ng/ml v multicentrickej, medzinárodnej, randomizovanej, dvojito zaslepenej štúdii s paralelnými skupinami (štúdia CombAT). Približne 53 % jedincov bolo predtým liečených inhibítorom 5-alfa-reduktázy alebo alfablokátorom. Primárnym koncovým ukazovateľom účinnosti počas prvých 2 rokov liečby bola zmena medzinárodného skóre symptómov prostaty (International Prostate Symptom Score – IPSS), čo je 8-položkový</w:t>
      </w:r>
      <w:r>
        <w:rPr>
          <w:szCs w:val="22"/>
        </w:rPr>
        <w:t xml:space="preserve"> dotazník</w:t>
      </w:r>
      <w:r>
        <w:t xml:space="preserve"> vychádzajúci z AUA-SI s dodatočnou otázkou o kvalite života. </w:t>
      </w:r>
      <w:r>
        <w:rPr>
          <w:color w:val="000000"/>
        </w:rPr>
        <w:t>Sekundárne koncové ukazovatele účinnosti po 2 rokoch liečby zahŕňali maximálnu rýchlosť prietoku moču (Q</w:t>
      </w:r>
      <w:r>
        <w:rPr>
          <w:color w:val="000000"/>
          <w:vertAlign w:val="subscript"/>
        </w:rPr>
        <w:t>max</w:t>
      </w:r>
      <w:r>
        <w:rPr>
          <w:color w:val="000000"/>
        </w:rPr>
        <w:t>) a objem prostaty.</w:t>
      </w:r>
      <w:r w:rsidR="00F87DD3">
        <w:rPr>
          <w:color w:val="000000"/>
        </w:rPr>
        <w:t xml:space="preserve"> </w:t>
      </w:r>
      <w:r>
        <w:t xml:space="preserve">Pri kombinácii sa dosiahlo významné zlepšenie </w:t>
      </w:r>
      <w:r w:rsidR="00BB3C22">
        <w:t>skóre</w:t>
      </w:r>
      <w:r>
        <w:t xml:space="preserve"> IPSS od 3. mesiaca v porovnaní s dutasteridom a od 9. mesiaca v porovnaní s tamsulozínom. Pokiaľ ide o Q</w:t>
      </w:r>
      <w:r>
        <w:rPr>
          <w:vertAlign w:val="subscript"/>
        </w:rPr>
        <w:t>max</w:t>
      </w:r>
      <w:r>
        <w:t>, pri kombinácii sa dosiahlo významné zlepšenie od 6. mesiaca v porovnaní s dutasteridom aj tamsulozínom.</w:t>
      </w:r>
    </w:p>
    <w:p w14:paraId="349AB4FF" w14:textId="77777777" w:rsidR="007266AA" w:rsidRDefault="007266AA">
      <w:pPr>
        <w:spacing w:line="240" w:lineRule="auto"/>
        <w:rPr>
          <w:color w:val="000000"/>
          <w:szCs w:val="22"/>
        </w:rPr>
      </w:pPr>
    </w:p>
    <w:p w14:paraId="2E1E6112" w14:textId="77777777" w:rsidR="007266AA" w:rsidRDefault="007266AA">
      <w:pPr>
        <w:spacing w:line="240" w:lineRule="auto"/>
        <w:rPr>
          <w:szCs w:val="24"/>
        </w:rPr>
      </w:pPr>
      <w:r>
        <w:t xml:space="preserve">Primárnym koncovým </w:t>
      </w:r>
      <w:r w:rsidR="00B55D1D">
        <w:t xml:space="preserve"> </w:t>
      </w:r>
      <w:r>
        <w:t>ukazovateľom</w:t>
      </w:r>
      <w:r w:rsidR="00113078">
        <w:t xml:space="preserve"> </w:t>
      </w:r>
      <w:r>
        <w:t xml:space="preserve"> účinnosti po 4 rokoch liečby bol čas do objavenia sa prvej epizódy AUR alebo do chirurgického zákroku súvisiaceho s BPH. Po 4 rokoch liečby sa pri kombinovanej liečbe štatisticky významne znížilo riziko AUR alebo chirurgického zákroku súvisiaceho s BPH (65,8 % zníženie rizika, p&lt;0,001 [95 % CI 54,7 % až 74,1 %]) v porovnaní s monoterapiou tamsulozínom. </w:t>
      </w:r>
      <w:r>
        <w:rPr>
          <w:color w:val="000000"/>
        </w:rPr>
        <w:t xml:space="preserve">Výskyt AUR alebo chirurgického zákroku súvisiaceho s BPH do 4. roka bol 4,2 % pri kombinovanej liečbe a 11,9 % pri tamsulozíne (p&lt;0,001). </w:t>
      </w:r>
      <w:r>
        <w:t xml:space="preserve">V porovnaní s monoterapiou dutasteridom sa pri kombinovanej liečbe znížilo riziko AUR alebo chirurgického zákroku súvisiaceho s BPH o 19,6 % (p=0,18 [95 % CI –10,9 % až 41,7 %]). Výskyt AUR alebo chirurgického zákroku súvisiaceho s BPH do 4. roka bol 4,2 % pri kombinovanej liečbe a 5,2 % pri dutasteride. </w:t>
      </w:r>
    </w:p>
    <w:p w14:paraId="5E7EBF7C" w14:textId="77777777" w:rsidR="007266AA" w:rsidRDefault="007266AA">
      <w:pPr>
        <w:spacing w:line="240" w:lineRule="auto"/>
        <w:rPr>
          <w:color w:val="000000"/>
          <w:szCs w:val="22"/>
        </w:rPr>
      </w:pPr>
    </w:p>
    <w:p w14:paraId="3F84F0FB" w14:textId="77777777" w:rsidR="007266AA" w:rsidRDefault="007266AA">
      <w:pPr>
        <w:spacing w:line="240" w:lineRule="auto"/>
        <w:rPr>
          <w:color w:val="000000"/>
          <w:szCs w:val="22"/>
        </w:rPr>
      </w:pPr>
      <w:r>
        <w:t xml:space="preserve">Sekundárne koncové ukazovatele účinnosti po 4 rokoch liečby zahŕňali čas do klinickej progresie (definovanej ako kombinácia: zhoršenia skóre IPSS o </w:t>
      </w:r>
      <w:r>
        <w:rPr>
          <w:szCs w:val="24"/>
        </w:rPr>
        <w:sym w:font="Symbol" w:char="F0B3"/>
      </w:r>
      <w:r>
        <w:t>4 body, epizódy AUR súvisiace s BPH, inkontinencie, infekcie močových ciest (UTI) a renálnej insuficiencie</w:t>
      </w:r>
      <w:r w:rsidR="002C642C">
        <w:t>)</w:t>
      </w:r>
      <w:r>
        <w:t>, zmenu medzinárodného skóre symptómov prostaty (IPSS), maximálnu rýchlosť prietoku moču (Qmax) a objem prostaty.</w:t>
      </w:r>
      <w:r>
        <w:rPr>
          <w:color w:val="000000"/>
        </w:rPr>
        <w:t xml:space="preserve">Výsledky po 4 rokoch liečby sú uvedené nižšie: </w:t>
      </w:r>
    </w:p>
    <w:p w14:paraId="6A1DAD77" w14:textId="77777777" w:rsidR="007266AA" w:rsidRDefault="007266AA">
      <w:pPr>
        <w:autoSpaceDE w:val="0"/>
        <w:autoSpaceDN w:val="0"/>
        <w:spacing w:line="240" w:lineRule="auto"/>
        <w:rPr>
          <w:color w:val="000000"/>
          <w:szCs w:val="24"/>
        </w:rPr>
      </w:pPr>
    </w:p>
    <w:tbl>
      <w:tblPr>
        <w:tblW w:w="4970" w:type="pct"/>
        <w:tblInd w:w="11"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2058"/>
        <w:gridCol w:w="3415"/>
        <w:gridCol w:w="1339"/>
        <w:gridCol w:w="1429"/>
        <w:gridCol w:w="1324"/>
      </w:tblGrid>
      <w:tr w:rsidR="007266AA" w14:paraId="652DD248" w14:textId="77777777">
        <w:tc>
          <w:tcPr>
            <w:tcW w:w="1076" w:type="pct"/>
            <w:tcBorders>
              <w:left w:val="single" w:sz="6" w:space="0" w:color="000000"/>
              <w:bottom w:val="single" w:sz="6" w:space="0" w:color="000000"/>
            </w:tcBorders>
          </w:tcPr>
          <w:p w14:paraId="0F9497BC" w14:textId="77777777" w:rsidR="007266AA" w:rsidRDefault="007266AA">
            <w:pPr>
              <w:keepNext/>
              <w:keepLines/>
              <w:autoSpaceDE w:val="0"/>
              <w:autoSpaceDN w:val="0"/>
              <w:adjustRightInd w:val="0"/>
              <w:spacing w:line="240" w:lineRule="auto"/>
              <w:ind w:left="30"/>
              <w:rPr>
                <w:bCs/>
                <w:color w:val="000000"/>
                <w:szCs w:val="22"/>
              </w:rPr>
            </w:pPr>
            <w:r>
              <w:rPr>
                <w:color w:val="000000"/>
              </w:rPr>
              <w:lastRenderedPageBreak/>
              <w:t>Parameter</w:t>
            </w:r>
          </w:p>
          <w:p w14:paraId="528DB12E" w14:textId="77777777" w:rsidR="007266AA" w:rsidRDefault="007266AA">
            <w:pPr>
              <w:keepNext/>
              <w:keepLines/>
              <w:autoSpaceDE w:val="0"/>
              <w:autoSpaceDN w:val="0"/>
              <w:adjustRightInd w:val="0"/>
              <w:spacing w:line="240" w:lineRule="auto"/>
              <w:ind w:left="30"/>
              <w:rPr>
                <w:bCs/>
                <w:color w:val="000000"/>
                <w:szCs w:val="22"/>
              </w:rPr>
            </w:pPr>
          </w:p>
        </w:tc>
        <w:tc>
          <w:tcPr>
            <w:tcW w:w="1785" w:type="pct"/>
            <w:tcBorders>
              <w:bottom w:val="single" w:sz="6" w:space="0" w:color="000000"/>
            </w:tcBorders>
          </w:tcPr>
          <w:p w14:paraId="20D32028" w14:textId="77777777" w:rsidR="007266AA" w:rsidRDefault="007266AA">
            <w:pPr>
              <w:keepNext/>
              <w:keepLines/>
              <w:autoSpaceDE w:val="0"/>
              <w:autoSpaceDN w:val="0"/>
              <w:adjustRightInd w:val="0"/>
              <w:spacing w:line="240" w:lineRule="auto"/>
              <w:ind w:left="60"/>
              <w:rPr>
                <w:bCs/>
                <w:color w:val="000000"/>
                <w:szCs w:val="22"/>
              </w:rPr>
            </w:pPr>
            <w:r>
              <w:rPr>
                <w:color w:val="000000"/>
              </w:rPr>
              <w:t>Časový bod</w:t>
            </w:r>
          </w:p>
        </w:tc>
        <w:tc>
          <w:tcPr>
            <w:tcW w:w="700" w:type="pct"/>
            <w:tcBorders>
              <w:bottom w:val="single" w:sz="6" w:space="0" w:color="000000"/>
            </w:tcBorders>
          </w:tcPr>
          <w:p w14:paraId="5E856E54"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Kombinácia</w:t>
            </w:r>
          </w:p>
        </w:tc>
        <w:tc>
          <w:tcPr>
            <w:tcW w:w="747" w:type="pct"/>
            <w:tcBorders>
              <w:bottom w:val="single" w:sz="6" w:space="0" w:color="000000"/>
            </w:tcBorders>
          </w:tcPr>
          <w:p w14:paraId="3FE67783" w14:textId="77777777" w:rsidR="007266AA" w:rsidRDefault="007266AA">
            <w:pPr>
              <w:keepNext/>
              <w:keepLines/>
              <w:autoSpaceDE w:val="0"/>
              <w:autoSpaceDN w:val="0"/>
              <w:adjustRightInd w:val="0"/>
              <w:spacing w:line="240" w:lineRule="auto"/>
              <w:ind w:left="60"/>
              <w:jc w:val="center"/>
              <w:rPr>
                <w:bCs/>
                <w:color w:val="000000"/>
                <w:szCs w:val="22"/>
              </w:rPr>
            </w:pPr>
            <w:r>
              <w:t xml:space="preserve">Dutasterid </w:t>
            </w:r>
          </w:p>
        </w:tc>
        <w:tc>
          <w:tcPr>
            <w:tcW w:w="692" w:type="pct"/>
            <w:tcBorders>
              <w:bottom w:val="single" w:sz="6" w:space="0" w:color="000000"/>
              <w:right w:val="single" w:sz="6" w:space="0" w:color="000000"/>
            </w:tcBorders>
          </w:tcPr>
          <w:p w14:paraId="0783C51E"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Tamsulozín</w:t>
            </w:r>
          </w:p>
        </w:tc>
      </w:tr>
      <w:tr w:rsidR="007266AA" w14:paraId="5850E53F" w14:textId="77777777">
        <w:tc>
          <w:tcPr>
            <w:tcW w:w="1076" w:type="pct"/>
            <w:tcBorders>
              <w:left w:val="single" w:sz="6" w:space="0" w:color="000000"/>
              <w:bottom w:val="single" w:sz="6" w:space="0" w:color="000000"/>
            </w:tcBorders>
          </w:tcPr>
          <w:p w14:paraId="29E911D0" w14:textId="77777777" w:rsidR="007266AA" w:rsidRDefault="007266AA">
            <w:pPr>
              <w:keepNext/>
              <w:keepLines/>
              <w:autoSpaceDE w:val="0"/>
              <w:autoSpaceDN w:val="0"/>
              <w:adjustRightInd w:val="0"/>
              <w:spacing w:line="240" w:lineRule="auto"/>
              <w:ind w:left="30"/>
              <w:rPr>
                <w:bCs/>
                <w:color w:val="000000"/>
                <w:szCs w:val="22"/>
              </w:rPr>
            </w:pPr>
            <w:r>
              <w:rPr>
                <w:color w:val="000000"/>
              </w:rPr>
              <w:t>AUR alebo chirurgický zákrok súvisiaci s BPH (%)</w:t>
            </w:r>
          </w:p>
        </w:tc>
        <w:tc>
          <w:tcPr>
            <w:tcW w:w="1785" w:type="pct"/>
            <w:tcBorders>
              <w:bottom w:val="single" w:sz="6" w:space="0" w:color="000000"/>
            </w:tcBorders>
          </w:tcPr>
          <w:p w14:paraId="6D5D237D" w14:textId="77777777" w:rsidR="007266AA" w:rsidRDefault="007266AA">
            <w:pPr>
              <w:keepNext/>
              <w:keepLines/>
              <w:autoSpaceDE w:val="0"/>
              <w:autoSpaceDN w:val="0"/>
              <w:adjustRightInd w:val="0"/>
              <w:spacing w:line="240" w:lineRule="auto"/>
              <w:ind w:left="60"/>
              <w:rPr>
                <w:bCs/>
                <w:color w:val="000000"/>
                <w:szCs w:val="22"/>
              </w:rPr>
            </w:pPr>
            <w:r>
              <w:rPr>
                <w:color w:val="000000"/>
              </w:rPr>
              <w:t>Výskyt v 48. mesiaci</w:t>
            </w:r>
          </w:p>
        </w:tc>
        <w:tc>
          <w:tcPr>
            <w:tcW w:w="700" w:type="pct"/>
            <w:tcBorders>
              <w:bottom w:val="single" w:sz="6" w:space="0" w:color="000000"/>
            </w:tcBorders>
          </w:tcPr>
          <w:p w14:paraId="292764D4"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4,2</w:t>
            </w:r>
          </w:p>
        </w:tc>
        <w:tc>
          <w:tcPr>
            <w:tcW w:w="747" w:type="pct"/>
            <w:tcBorders>
              <w:bottom w:val="single" w:sz="6" w:space="0" w:color="000000"/>
            </w:tcBorders>
          </w:tcPr>
          <w:p w14:paraId="6753DA93"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5,2</w:t>
            </w:r>
          </w:p>
        </w:tc>
        <w:tc>
          <w:tcPr>
            <w:tcW w:w="692" w:type="pct"/>
            <w:tcBorders>
              <w:bottom w:val="single" w:sz="6" w:space="0" w:color="000000"/>
              <w:right w:val="single" w:sz="6" w:space="0" w:color="000000"/>
            </w:tcBorders>
          </w:tcPr>
          <w:p w14:paraId="16F53723" w14:textId="77777777" w:rsidR="007266AA" w:rsidRDefault="007266AA">
            <w:pPr>
              <w:keepNext/>
              <w:keepLines/>
              <w:autoSpaceDE w:val="0"/>
              <w:autoSpaceDN w:val="0"/>
              <w:adjustRightInd w:val="0"/>
              <w:spacing w:line="240" w:lineRule="auto"/>
              <w:ind w:left="60"/>
              <w:jc w:val="center"/>
              <w:rPr>
                <w:bCs/>
                <w:color w:val="000000"/>
                <w:szCs w:val="22"/>
              </w:rPr>
            </w:pPr>
            <w:r>
              <w:rPr>
                <w:color w:val="000000"/>
              </w:rPr>
              <w:t>11,9a</w:t>
            </w:r>
          </w:p>
        </w:tc>
      </w:tr>
      <w:tr w:rsidR="007266AA" w14:paraId="5C4F71A8" w14:textId="77777777">
        <w:tc>
          <w:tcPr>
            <w:tcW w:w="1076" w:type="pct"/>
            <w:tcBorders>
              <w:left w:val="single" w:sz="6" w:space="0" w:color="000000"/>
              <w:bottom w:val="single" w:sz="6" w:space="0" w:color="000000"/>
            </w:tcBorders>
          </w:tcPr>
          <w:p w14:paraId="3277902F" w14:textId="77777777" w:rsidR="007266AA" w:rsidRDefault="007266AA">
            <w:pPr>
              <w:keepNext/>
              <w:keepLines/>
              <w:autoSpaceDE w:val="0"/>
              <w:autoSpaceDN w:val="0"/>
              <w:adjustRightInd w:val="0"/>
              <w:spacing w:line="240" w:lineRule="auto"/>
              <w:ind w:left="30"/>
              <w:rPr>
                <w:bCs/>
                <w:color w:val="000000"/>
                <w:szCs w:val="22"/>
              </w:rPr>
            </w:pPr>
            <w:r>
              <w:rPr>
                <w:color w:val="000000"/>
              </w:rPr>
              <w:t>Klinická progresia* (%)</w:t>
            </w:r>
          </w:p>
        </w:tc>
        <w:tc>
          <w:tcPr>
            <w:tcW w:w="1785" w:type="pct"/>
            <w:tcBorders>
              <w:bottom w:val="single" w:sz="6" w:space="0" w:color="000000"/>
            </w:tcBorders>
          </w:tcPr>
          <w:p w14:paraId="2FE31CF0" w14:textId="77777777" w:rsidR="007266AA" w:rsidRDefault="007266AA">
            <w:pPr>
              <w:keepNext/>
              <w:keepLines/>
              <w:autoSpaceDE w:val="0"/>
              <w:autoSpaceDN w:val="0"/>
              <w:adjustRightInd w:val="0"/>
              <w:spacing w:line="240" w:lineRule="auto"/>
              <w:ind w:left="60"/>
              <w:rPr>
                <w:bCs/>
                <w:color w:val="000000"/>
                <w:szCs w:val="22"/>
              </w:rPr>
            </w:pPr>
            <w:r>
              <w:rPr>
                <w:color w:val="000000"/>
              </w:rPr>
              <w:t>48. mesiac</w:t>
            </w:r>
          </w:p>
        </w:tc>
        <w:tc>
          <w:tcPr>
            <w:tcW w:w="700" w:type="pct"/>
            <w:tcBorders>
              <w:bottom w:val="single" w:sz="6" w:space="0" w:color="000000"/>
            </w:tcBorders>
          </w:tcPr>
          <w:p w14:paraId="36D9F011" w14:textId="77777777" w:rsidR="007266AA" w:rsidRDefault="007266AA">
            <w:pPr>
              <w:keepNext/>
              <w:keepLines/>
              <w:autoSpaceDE w:val="0"/>
              <w:autoSpaceDN w:val="0"/>
              <w:adjustRightInd w:val="0"/>
              <w:spacing w:line="240" w:lineRule="auto"/>
              <w:ind w:left="60"/>
              <w:jc w:val="center"/>
              <w:rPr>
                <w:bCs/>
                <w:color w:val="000000"/>
                <w:szCs w:val="22"/>
              </w:rPr>
            </w:pPr>
            <w:r>
              <w:t>12,6</w:t>
            </w:r>
          </w:p>
        </w:tc>
        <w:tc>
          <w:tcPr>
            <w:tcW w:w="747" w:type="pct"/>
            <w:tcBorders>
              <w:bottom w:val="single" w:sz="6" w:space="0" w:color="000000"/>
            </w:tcBorders>
          </w:tcPr>
          <w:p w14:paraId="61DB7D96" w14:textId="77777777" w:rsidR="007266AA" w:rsidRDefault="007266AA">
            <w:pPr>
              <w:keepNext/>
              <w:keepLines/>
              <w:autoSpaceDE w:val="0"/>
              <w:autoSpaceDN w:val="0"/>
              <w:adjustRightInd w:val="0"/>
              <w:spacing w:line="240" w:lineRule="auto"/>
              <w:ind w:left="60"/>
              <w:jc w:val="center"/>
              <w:rPr>
                <w:bCs/>
                <w:color w:val="000000"/>
                <w:szCs w:val="22"/>
              </w:rPr>
            </w:pPr>
            <w:r>
              <w:t>17,8b</w:t>
            </w:r>
          </w:p>
        </w:tc>
        <w:tc>
          <w:tcPr>
            <w:tcW w:w="692" w:type="pct"/>
            <w:tcBorders>
              <w:bottom w:val="single" w:sz="6" w:space="0" w:color="000000"/>
              <w:right w:val="single" w:sz="6" w:space="0" w:color="000000"/>
            </w:tcBorders>
          </w:tcPr>
          <w:p w14:paraId="3C6DD349" w14:textId="77777777" w:rsidR="007266AA" w:rsidRDefault="007266AA">
            <w:pPr>
              <w:keepNext/>
              <w:keepLines/>
              <w:autoSpaceDE w:val="0"/>
              <w:autoSpaceDN w:val="0"/>
              <w:adjustRightInd w:val="0"/>
              <w:spacing w:line="240" w:lineRule="auto"/>
              <w:ind w:left="60"/>
              <w:jc w:val="center"/>
              <w:rPr>
                <w:bCs/>
                <w:color w:val="000000"/>
                <w:szCs w:val="22"/>
              </w:rPr>
            </w:pPr>
            <w:r>
              <w:t>21,5a</w:t>
            </w:r>
          </w:p>
        </w:tc>
      </w:tr>
      <w:tr w:rsidR="007266AA" w14:paraId="4D63EF86" w14:textId="77777777">
        <w:tc>
          <w:tcPr>
            <w:tcW w:w="1076" w:type="pct"/>
            <w:tcBorders>
              <w:left w:val="single" w:sz="6" w:space="0" w:color="000000"/>
              <w:bottom w:val="single" w:sz="6" w:space="0" w:color="000000"/>
            </w:tcBorders>
          </w:tcPr>
          <w:p w14:paraId="6EC82793" w14:textId="77777777" w:rsidR="007266AA" w:rsidRDefault="007266AA">
            <w:pPr>
              <w:keepNext/>
              <w:keepLines/>
              <w:autoSpaceDE w:val="0"/>
              <w:autoSpaceDN w:val="0"/>
              <w:adjustRightInd w:val="0"/>
              <w:spacing w:line="240" w:lineRule="auto"/>
              <w:ind w:left="30"/>
              <w:rPr>
                <w:bCs/>
                <w:color w:val="000000"/>
                <w:szCs w:val="22"/>
              </w:rPr>
            </w:pPr>
            <w:r>
              <w:rPr>
                <w:color w:val="000000"/>
              </w:rPr>
              <w:t>IPSS (jednotky)</w:t>
            </w:r>
          </w:p>
        </w:tc>
        <w:tc>
          <w:tcPr>
            <w:tcW w:w="1785" w:type="pct"/>
            <w:tcBorders>
              <w:bottom w:val="single" w:sz="6" w:space="0" w:color="000000"/>
            </w:tcBorders>
          </w:tcPr>
          <w:p w14:paraId="0FA321AD"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004F934A" w14:textId="77777777" w:rsidR="007266AA" w:rsidRDefault="007266AA">
            <w:pPr>
              <w:keepNext/>
              <w:keepLines/>
              <w:autoSpaceDE w:val="0"/>
              <w:autoSpaceDN w:val="0"/>
              <w:adjustRightInd w:val="0"/>
              <w:spacing w:line="240" w:lineRule="auto"/>
              <w:ind w:left="60"/>
              <w:jc w:val="both"/>
              <w:rPr>
                <w:color w:val="000000"/>
                <w:szCs w:val="22"/>
              </w:rPr>
            </w:pPr>
            <w:r>
              <w:rPr>
                <w:color w:val="000000"/>
              </w:rPr>
              <w:t xml:space="preserve">48. mesiac (zmena oproti východiskovej hodnote) </w:t>
            </w:r>
          </w:p>
        </w:tc>
        <w:tc>
          <w:tcPr>
            <w:tcW w:w="700" w:type="pct"/>
            <w:tcBorders>
              <w:bottom w:val="single" w:sz="6" w:space="0" w:color="000000"/>
            </w:tcBorders>
          </w:tcPr>
          <w:p w14:paraId="07D21C28"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[16,6]</w:t>
            </w:r>
          </w:p>
          <w:p w14:paraId="228EECB2"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-6,3</w:t>
            </w:r>
          </w:p>
        </w:tc>
        <w:tc>
          <w:tcPr>
            <w:tcW w:w="747" w:type="pct"/>
            <w:tcBorders>
              <w:bottom w:val="single" w:sz="6" w:space="0" w:color="000000"/>
            </w:tcBorders>
          </w:tcPr>
          <w:p w14:paraId="601B396D"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[16,4]</w:t>
            </w:r>
          </w:p>
          <w:p w14:paraId="0F76F436"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-5,3b</w:t>
            </w:r>
          </w:p>
        </w:tc>
        <w:tc>
          <w:tcPr>
            <w:tcW w:w="692" w:type="pct"/>
            <w:tcBorders>
              <w:bottom w:val="single" w:sz="6" w:space="0" w:color="000000"/>
              <w:right w:val="single" w:sz="6" w:space="0" w:color="000000"/>
            </w:tcBorders>
          </w:tcPr>
          <w:p w14:paraId="61838319"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[16,4]</w:t>
            </w:r>
          </w:p>
          <w:p w14:paraId="0D493ADD"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-3,8a</w:t>
            </w:r>
          </w:p>
        </w:tc>
      </w:tr>
      <w:tr w:rsidR="007266AA" w14:paraId="171364C9" w14:textId="77777777">
        <w:tc>
          <w:tcPr>
            <w:tcW w:w="1076" w:type="pct"/>
            <w:tcBorders>
              <w:left w:val="single" w:sz="6" w:space="0" w:color="000000"/>
              <w:bottom w:val="single" w:sz="6" w:space="0" w:color="000000"/>
            </w:tcBorders>
          </w:tcPr>
          <w:p w14:paraId="0DE8CD36" w14:textId="77777777" w:rsidR="007266AA" w:rsidRDefault="007266AA">
            <w:pPr>
              <w:keepNext/>
              <w:keepLines/>
              <w:autoSpaceDE w:val="0"/>
              <w:autoSpaceDN w:val="0"/>
              <w:adjustRightInd w:val="0"/>
              <w:spacing w:line="240" w:lineRule="auto"/>
              <w:ind w:left="30"/>
              <w:rPr>
                <w:bCs/>
                <w:color w:val="000000"/>
                <w:szCs w:val="22"/>
              </w:rPr>
            </w:pPr>
            <w:r>
              <w:rPr>
                <w:color w:val="000000"/>
              </w:rPr>
              <w:t>Q</w:t>
            </w:r>
            <w:r>
              <w:rPr>
                <w:color w:val="000000"/>
                <w:vertAlign w:val="subscript"/>
              </w:rPr>
              <w:t>max</w:t>
            </w:r>
            <w:r>
              <w:rPr>
                <w:color w:val="000000"/>
              </w:rPr>
              <w:t xml:space="preserve"> (ml/s)</w:t>
            </w:r>
          </w:p>
        </w:tc>
        <w:tc>
          <w:tcPr>
            <w:tcW w:w="1785" w:type="pct"/>
            <w:tcBorders>
              <w:bottom w:val="single" w:sz="6" w:space="0" w:color="000000"/>
            </w:tcBorders>
          </w:tcPr>
          <w:p w14:paraId="371548D0"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4697363E"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3208CAD5"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[10,9]</w:t>
            </w:r>
          </w:p>
          <w:p w14:paraId="165A0CD9"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2,4</w:t>
            </w:r>
          </w:p>
        </w:tc>
        <w:tc>
          <w:tcPr>
            <w:tcW w:w="747" w:type="pct"/>
            <w:tcBorders>
              <w:bottom w:val="single" w:sz="6" w:space="0" w:color="000000"/>
            </w:tcBorders>
          </w:tcPr>
          <w:p w14:paraId="17AB8E8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[10,6]</w:t>
            </w:r>
          </w:p>
          <w:p w14:paraId="2B881655" w14:textId="77777777" w:rsidR="007266AA" w:rsidRDefault="007266AA">
            <w:pPr>
              <w:keepNext/>
              <w:keepLines/>
              <w:tabs>
                <w:tab w:val="left" w:pos="-720"/>
                <w:tab w:val="left" w:pos="-550"/>
              </w:tabs>
              <w:autoSpaceDE w:val="0"/>
              <w:autoSpaceDN w:val="0"/>
              <w:adjustRightInd w:val="0"/>
              <w:spacing w:line="240" w:lineRule="auto"/>
              <w:ind w:left="60"/>
              <w:jc w:val="center"/>
              <w:rPr>
                <w:color w:val="000000"/>
                <w:szCs w:val="22"/>
              </w:rPr>
            </w:pPr>
            <w:r>
              <w:rPr>
                <w:color w:val="000000"/>
              </w:rPr>
              <w:t>2,0</w:t>
            </w:r>
          </w:p>
        </w:tc>
        <w:tc>
          <w:tcPr>
            <w:tcW w:w="692" w:type="pct"/>
            <w:tcBorders>
              <w:bottom w:val="single" w:sz="6" w:space="0" w:color="000000"/>
              <w:right w:val="single" w:sz="6" w:space="0" w:color="000000"/>
            </w:tcBorders>
          </w:tcPr>
          <w:p w14:paraId="1ECD7853"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[10,7]</w:t>
            </w:r>
          </w:p>
          <w:p w14:paraId="4B8DB988"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0,7a</w:t>
            </w:r>
          </w:p>
        </w:tc>
      </w:tr>
      <w:tr w:rsidR="007266AA" w14:paraId="18AC75A1" w14:textId="77777777">
        <w:tc>
          <w:tcPr>
            <w:tcW w:w="1076" w:type="pct"/>
            <w:tcBorders>
              <w:left w:val="single" w:sz="6" w:space="0" w:color="000000"/>
              <w:bottom w:val="single" w:sz="6" w:space="0" w:color="000000"/>
            </w:tcBorders>
          </w:tcPr>
          <w:p w14:paraId="5E0E2658" w14:textId="77777777" w:rsidR="007266AA" w:rsidRDefault="007266AA">
            <w:pPr>
              <w:keepNext/>
              <w:keepLines/>
              <w:autoSpaceDE w:val="0"/>
              <w:autoSpaceDN w:val="0"/>
              <w:adjustRightInd w:val="0"/>
              <w:spacing w:line="240" w:lineRule="auto"/>
              <w:ind w:left="30"/>
              <w:rPr>
                <w:bCs/>
                <w:color w:val="000000"/>
                <w:szCs w:val="22"/>
              </w:rPr>
            </w:pPr>
            <w:r>
              <w:rPr>
                <w:color w:val="000000"/>
              </w:rPr>
              <w:t>Objem prostaty (ml)</w:t>
            </w:r>
          </w:p>
        </w:tc>
        <w:tc>
          <w:tcPr>
            <w:tcW w:w="1785" w:type="pct"/>
            <w:tcBorders>
              <w:bottom w:val="single" w:sz="6" w:space="0" w:color="000000"/>
            </w:tcBorders>
          </w:tcPr>
          <w:p w14:paraId="5FE1E811"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7890B5CE"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629B93AC"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[54,7]</w:t>
            </w:r>
          </w:p>
          <w:p w14:paraId="057D26CC"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-27,3</w:t>
            </w:r>
          </w:p>
        </w:tc>
        <w:tc>
          <w:tcPr>
            <w:tcW w:w="747" w:type="pct"/>
            <w:tcBorders>
              <w:bottom w:val="single" w:sz="6" w:space="0" w:color="000000"/>
            </w:tcBorders>
          </w:tcPr>
          <w:p w14:paraId="2D461682"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[54,6]</w:t>
            </w:r>
          </w:p>
          <w:p w14:paraId="74DA4E1E"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-28,0</w:t>
            </w:r>
          </w:p>
        </w:tc>
        <w:tc>
          <w:tcPr>
            <w:tcW w:w="692" w:type="pct"/>
            <w:tcBorders>
              <w:bottom w:val="single" w:sz="6" w:space="0" w:color="000000"/>
              <w:right w:val="single" w:sz="6" w:space="0" w:color="000000"/>
            </w:tcBorders>
          </w:tcPr>
          <w:p w14:paraId="75F3CD61"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[55,8]</w:t>
            </w:r>
          </w:p>
          <w:p w14:paraId="251B0571"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+4,6a</w:t>
            </w:r>
          </w:p>
        </w:tc>
      </w:tr>
      <w:tr w:rsidR="007266AA" w14:paraId="5833D149" w14:textId="77777777">
        <w:tc>
          <w:tcPr>
            <w:tcW w:w="1076" w:type="pct"/>
            <w:tcBorders>
              <w:left w:val="single" w:sz="6" w:space="0" w:color="000000"/>
              <w:bottom w:val="single" w:sz="6" w:space="0" w:color="000000"/>
            </w:tcBorders>
          </w:tcPr>
          <w:p w14:paraId="2B295018" w14:textId="77777777" w:rsidR="007266AA" w:rsidRDefault="007266AA">
            <w:pPr>
              <w:keepNext/>
              <w:keepLines/>
              <w:autoSpaceDE w:val="0"/>
              <w:autoSpaceDN w:val="0"/>
              <w:adjustRightInd w:val="0"/>
              <w:spacing w:line="240" w:lineRule="auto"/>
              <w:ind w:left="30"/>
              <w:rPr>
                <w:bCs/>
                <w:color w:val="000000"/>
                <w:szCs w:val="22"/>
              </w:rPr>
            </w:pPr>
            <w:r>
              <w:rPr>
                <w:color w:val="000000"/>
              </w:rPr>
              <w:t>Objem prechodnej zóny prostaty (ml)#</w:t>
            </w:r>
          </w:p>
        </w:tc>
        <w:tc>
          <w:tcPr>
            <w:tcW w:w="1785" w:type="pct"/>
            <w:tcBorders>
              <w:bottom w:val="single" w:sz="6" w:space="0" w:color="000000"/>
            </w:tcBorders>
          </w:tcPr>
          <w:p w14:paraId="6AF281CE"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746ABAE9"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3D917F3F"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[27,7]</w:t>
            </w:r>
          </w:p>
          <w:p w14:paraId="11CB5E72"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-17,9</w:t>
            </w:r>
          </w:p>
        </w:tc>
        <w:tc>
          <w:tcPr>
            <w:tcW w:w="747" w:type="pct"/>
            <w:tcBorders>
              <w:bottom w:val="single" w:sz="6" w:space="0" w:color="000000"/>
            </w:tcBorders>
          </w:tcPr>
          <w:p w14:paraId="41F2E4A0"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[30,3]</w:t>
            </w:r>
          </w:p>
          <w:p w14:paraId="1E39A438"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-26,5</w:t>
            </w:r>
          </w:p>
        </w:tc>
        <w:tc>
          <w:tcPr>
            <w:tcW w:w="692" w:type="pct"/>
            <w:tcBorders>
              <w:bottom w:val="single" w:sz="6" w:space="0" w:color="000000"/>
              <w:right w:val="single" w:sz="6" w:space="0" w:color="000000"/>
            </w:tcBorders>
          </w:tcPr>
          <w:p w14:paraId="245DC6DF"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[30,5]</w:t>
            </w:r>
          </w:p>
          <w:p w14:paraId="3CA31A46"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18,2a</w:t>
            </w:r>
          </w:p>
        </w:tc>
      </w:tr>
      <w:tr w:rsidR="007266AA" w14:paraId="668F2D20" w14:textId="77777777">
        <w:tc>
          <w:tcPr>
            <w:tcW w:w="1076" w:type="pct"/>
            <w:tcBorders>
              <w:left w:val="single" w:sz="6" w:space="0" w:color="000000"/>
              <w:bottom w:val="single" w:sz="6" w:space="0" w:color="000000"/>
            </w:tcBorders>
          </w:tcPr>
          <w:p w14:paraId="56F0BFE6" w14:textId="77777777" w:rsidR="007266AA" w:rsidRDefault="007266AA">
            <w:pPr>
              <w:keepNext/>
              <w:keepLines/>
              <w:autoSpaceDE w:val="0"/>
              <w:autoSpaceDN w:val="0"/>
              <w:adjustRightInd w:val="0"/>
              <w:spacing w:line="240" w:lineRule="auto"/>
              <w:ind w:left="30"/>
              <w:rPr>
                <w:bCs/>
                <w:color w:val="000000"/>
                <w:szCs w:val="22"/>
              </w:rPr>
            </w:pPr>
            <w:r>
              <w:rPr>
                <w:color w:val="000000"/>
              </w:rPr>
              <w:t>BPH Index dopadu (BII) (jednotky)</w:t>
            </w:r>
          </w:p>
        </w:tc>
        <w:tc>
          <w:tcPr>
            <w:tcW w:w="1785" w:type="pct"/>
            <w:tcBorders>
              <w:bottom w:val="single" w:sz="6" w:space="0" w:color="000000"/>
            </w:tcBorders>
          </w:tcPr>
          <w:p w14:paraId="6CFEC759"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053297A6"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00F06797"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[5,3]</w:t>
            </w:r>
          </w:p>
          <w:p w14:paraId="21C2CCBF"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-2,2</w:t>
            </w:r>
          </w:p>
        </w:tc>
        <w:tc>
          <w:tcPr>
            <w:tcW w:w="747" w:type="pct"/>
            <w:tcBorders>
              <w:bottom w:val="single" w:sz="6" w:space="0" w:color="000000"/>
            </w:tcBorders>
          </w:tcPr>
          <w:p w14:paraId="49357A67"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[5,3]</w:t>
            </w:r>
          </w:p>
          <w:p w14:paraId="23A59D8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-1,8b</w:t>
            </w:r>
          </w:p>
        </w:tc>
        <w:tc>
          <w:tcPr>
            <w:tcW w:w="692" w:type="pct"/>
            <w:tcBorders>
              <w:bottom w:val="single" w:sz="6" w:space="0" w:color="000000"/>
              <w:right w:val="single" w:sz="6" w:space="0" w:color="000000"/>
            </w:tcBorders>
          </w:tcPr>
          <w:p w14:paraId="2399B0A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[5,3]</w:t>
            </w:r>
          </w:p>
          <w:p w14:paraId="5A1B5B6C"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-1,2a</w:t>
            </w:r>
          </w:p>
        </w:tc>
      </w:tr>
      <w:tr w:rsidR="007266AA" w14:paraId="3DDC0940" w14:textId="77777777">
        <w:tc>
          <w:tcPr>
            <w:tcW w:w="1076" w:type="pct"/>
            <w:tcBorders>
              <w:left w:val="single" w:sz="6" w:space="0" w:color="000000"/>
              <w:bottom w:val="single" w:sz="6" w:space="0" w:color="000000"/>
            </w:tcBorders>
          </w:tcPr>
          <w:p w14:paraId="1DC31E3C" w14:textId="77777777" w:rsidR="007266AA" w:rsidRDefault="007266AA">
            <w:pPr>
              <w:autoSpaceDE w:val="0"/>
              <w:autoSpaceDN w:val="0"/>
              <w:adjustRightInd w:val="0"/>
              <w:spacing w:line="240" w:lineRule="auto"/>
              <w:rPr>
                <w:color w:val="000000"/>
                <w:szCs w:val="22"/>
              </w:rPr>
            </w:pPr>
            <w:r>
              <w:rPr>
                <w:color w:val="000000"/>
              </w:rPr>
              <w:t>IPSS otázka 8 (zdravotný stav vo vzťahu k BPH) (jednotky)</w:t>
            </w:r>
          </w:p>
          <w:p w14:paraId="616BB611" w14:textId="77777777" w:rsidR="007266AA" w:rsidRDefault="007266AA">
            <w:pPr>
              <w:keepNext/>
              <w:keepLines/>
              <w:autoSpaceDE w:val="0"/>
              <w:autoSpaceDN w:val="0"/>
              <w:adjustRightInd w:val="0"/>
              <w:spacing w:line="240" w:lineRule="auto"/>
              <w:rPr>
                <w:bCs/>
                <w:color w:val="000000"/>
                <w:szCs w:val="22"/>
              </w:rPr>
            </w:pPr>
          </w:p>
        </w:tc>
        <w:tc>
          <w:tcPr>
            <w:tcW w:w="1785" w:type="pct"/>
            <w:tcBorders>
              <w:bottom w:val="single" w:sz="6" w:space="0" w:color="000000"/>
            </w:tcBorders>
          </w:tcPr>
          <w:p w14:paraId="7C3494F2" w14:textId="77777777" w:rsidR="007266AA" w:rsidRDefault="007266AA">
            <w:pPr>
              <w:keepNext/>
              <w:keepLines/>
              <w:autoSpaceDE w:val="0"/>
              <w:autoSpaceDN w:val="0"/>
              <w:adjustRightInd w:val="0"/>
              <w:spacing w:line="240" w:lineRule="auto"/>
              <w:ind w:left="60"/>
              <w:jc w:val="both"/>
              <w:rPr>
                <w:color w:val="000000"/>
                <w:szCs w:val="22"/>
              </w:rPr>
            </w:pPr>
            <w:r>
              <w:rPr>
                <w:color w:val="000000"/>
              </w:rPr>
              <w:t>[Východisková hodnota]</w:t>
            </w:r>
          </w:p>
          <w:p w14:paraId="084301E7" w14:textId="77777777" w:rsidR="007266AA" w:rsidRDefault="007266AA">
            <w:pPr>
              <w:keepNext/>
              <w:keepLines/>
              <w:autoSpaceDE w:val="0"/>
              <w:autoSpaceDN w:val="0"/>
              <w:adjustRightInd w:val="0"/>
              <w:spacing w:line="240" w:lineRule="auto"/>
              <w:ind w:left="60"/>
              <w:jc w:val="both"/>
              <w:rPr>
                <w:color w:val="000000"/>
                <w:szCs w:val="22"/>
              </w:rPr>
            </w:pPr>
            <w:r>
              <w:rPr>
                <w:color w:val="000000"/>
              </w:rPr>
              <w:t>48. mesiac (zmena oproti východiskovej hodnote)</w:t>
            </w:r>
          </w:p>
        </w:tc>
        <w:tc>
          <w:tcPr>
            <w:tcW w:w="700" w:type="pct"/>
            <w:tcBorders>
              <w:bottom w:val="single" w:sz="6" w:space="0" w:color="000000"/>
            </w:tcBorders>
          </w:tcPr>
          <w:p w14:paraId="0DACA34F"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[3,6]</w:t>
            </w:r>
          </w:p>
          <w:p w14:paraId="3301BD81"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-1,5</w:t>
            </w:r>
          </w:p>
        </w:tc>
        <w:tc>
          <w:tcPr>
            <w:tcW w:w="747" w:type="pct"/>
            <w:tcBorders>
              <w:bottom w:val="single" w:sz="6" w:space="0" w:color="000000"/>
            </w:tcBorders>
          </w:tcPr>
          <w:p w14:paraId="64CFD35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[3,6]</w:t>
            </w:r>
          </w:p>
          <w:p w14:paraId="13EC2D91"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-1,3b</w:t>
            </w:r>
          </w:p>
        </w:tc>
        <w:tc>
          <w:tcPr>
            <w:tcW w:w="692" w:type="pct"/>
            <w:tcBorders>
              <w:bottom w:val="single" w:sz="6" w:space="0" w:color="000000"/>
              <w:right w:val="single" w:sz="6" w:space="0" w:color="000000"/>
            </w:tcBorders>
          </w:tcPr>
          <w:p w14:paraId="669CCF8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[3,6]</w:t>
            </w:r>
          </w:p>
          <w:p w14:paraId="28D2E65B" w14:textId="77777777" w:rsidR="007266AA" w:rsidRDefault="007266AA">
            <w:pPr>
              <w:keepNext/>
              <w:keepLines/>
              <w:autoSpaceDE w:val="0"/>
              <w:autoSpaceDN w:val="0"/>
              <w:adjustRightInd w:val="0"/>
              <w:spacing w:line="240" w:lineRule="auto"/>
              <w:ind w:left="60"/>
              <w:jc w:val="center"/>
              <w:rPr>
                <w:color w:val="000000"/>
                <w:szCs w:val="22"/>
              </w:rPr>
            </w:pPr>
            <w:r>
              <w:rPr>
                <w:color w:val="000000"/>
              </w:rPr>
              <w:t>-1,1a</w:t>
            </w:r>
          </w:p>
        </w:tc>
      </w:tr>
    </w:tbl>
    <w:p w14:paraId="3D5BAE12" w14:textId="77777777" w:rsidR="007266AA" w:rsidRDefault="007266AA">
      <w:pPr>
        <w:spacing w:line="240" w:lineRule="auto"/>
      </w:pPr>
      <w:r>
        <w:t>Východiskové hodnoty sú priemerné hodnoty a zmeny oproti východiskovej hodnote sú upravené priemerné zmeny.</w:t>
      </w:r>
    </w:p>
    <w:p w14:paraId="0131CFDF" w14:textId="77777777" w:rsidR="007F6098" w:rsidRDefault="007F6098">
      <w:pPr>
        <w:spacing w:line="240" w:lineRule="auto"/>
        <w:rPr>
          <w:szCs w:val="24"/>
        </w:rPr>
      </w:pPr>
    </w:p>
    <w:p w14:paraId="6F003DA1" w14:textId="77777777" w:rsidR="007266AA" w:rsidRDefault="007266AA">
      <w:pPr>
        <w:spacing w:line="240" w:lineRule="auto"/>
      </w:pPr>
      <w:r>
        <w:t xml:space="preserve">* Klinická progresia bola definovaná ako kombinácia: zhoršenia skóre IPSS o </w:t>
      </w:r>
      <w:r>
        <w:rPr>
          <w:szCs w:val="24"/>
        </w:rPr>
        <w:sym w:font="Symbol" w:char="F0B3"/>
      </w:r>
      <w:r>
        <w:t>4 body, epizódy AUR súvisiace s BPH, inkontinencia, UTI a renálna insuficiencia.</w:t>
      </w:r>
    </w:p>
    <w:p w14:paraId="77493C5A" w14:textId="77777777" w:rsidR="007F6098" w:rsidRDefault="007F6098">
      <w:pPr>
        <w:spacing w:line="240" w:lineRule="auto"/>
        <w:rPr>
          <w:szCs w:val="24"/>
        </w:rPr>
      </w:pPr>
    </w:p>
    <w:p w14:paraId="4F9D3F9B" w14:textId="77777777" w:rsidR="007266AA" w:rsidRDefault="007266AA">
      <w:pPr>
        <w:spacing w:line="240" w:lineRule="auto"/>
      </w:pPr>
      <w:r>
        <w:t xml:space="preserve"># Merané na vybraných pracoviskách štúdie (13 % randomizovaných pacientov) </w:t>
      </w:r>
    </w:p>
    <w:p w14:paraId="5E9E0156" w14:textId="77777777" w:rsidR="007F6098" w:rsidRDefault="007F6098">
      <w:pPr>
        <w:spacing w:line="240" w:lineRule="auto"/>
        <w:rPr>
          <w:szCs w:val="24"/>
        </w:rPr>
      </w:pPr>
    </w:p>
    <w:p w14:paraId="6EA62CE3" w14:textId="77777777" w:rsidR="007266AA" w:rsidRDefault="007266AA">
      <w:pPr>
        <w:spacing w:line="240" w:lineRule="auto"/>
      </w:pPr>
      <w:r>
        <w:t>a. Kombinácia dosiahla významnosť (p&lt;0,001) oproti tamsulozínu v 48. mesiaci</w:t>
      </w:r>
    </w:p>
    <w:p w14:paraId="7814E8D6" w14:textId="77777777" w:rsidR="007F6098" w:rsidRDefault="007F6098">
      <w:pPr>
        <w:spacing w:line="240" w:lineRule="auto"/>
        <w:rPr>
          <w:rFonts w:eastAsia="MS Mincho"/>
          <w:szCs w:val="22"/>
        </w:rPr>
      </w:pPr>
    </w:p>
    <w:p w14:paraId="55355AFE" w14:textId="77777777" w:rsidR="007266AA" w:rsidRDefault="007266AA">
      <w:pPr>
        <w:spacing w:line="240" w:lineRule="auto"/>
        <w:rPr>
          <w:szCs w:val="24"/>
        </w:rPr>
      </w:pPr>
      <w:r>
        <w:t>b. Kombinácia dosiahla významnosť (p&lt;0,001) oproti dutasteridu v 48. mesiaci</w:t>
      </w:r>
    </w:p>
    <w:p w14:paraId="7AF0A8D9" w14:textId="77777777" w:rsidR="007266AA" w:rsidRDefault="007266AA">
      <w:pPr>
        <w:spacing w:line="240" w:lineRule="auto"/>
        <w:rPr>
          <w:i/>
        </w:rPr>
      </w:pPr>
    </w:p>
    <w:p w14:paraId="7D8A8038" w14:textId="77777777" w:rsidR="007266AA" w:rsidRPr="00506F8A" w:rsidRDefault="007266AA">
      <w:pPr>
        <w:spacing w:line="240" w:lineRule="auto"/>
        <w:rPr>
          <w:i/>
          <w:caps/>
        </w:rPr>
      </w:pPr>
      <w:r w:rsidRPr="00506F8A">
        <w:rPr>
          <w:i/>
        </w:rPr>
        <w:t>Zlyhanie srdca</w:t>
      </w:r>
    </w:p>
    <w:p w14:paraId="4565DA0E" w14:textId="77777777" w:rsidR="007266AA" w:rsidRDefault="007266AA">
      <w:pPr>
        <w:spacing w:line="240" w:lineRule="auto"/>
      </w:pPr>
      <w:r>
        <w:t>V 4-ročnej štúdii BPH, v ktorej sa 4 844 mužom (štúdia CombAT) podávala kombinácia dutasteridu s tamsulozínom, bol výskyt zlyhania srdca ako spoločného výrazu v skupine užívajúcej kombináciu (14/1 610, 0,9 %) vyšší, než v ktorejkoľvek skupine liečenej monoterapiou: dutasterid (4/1 623, 0,2 %) a tamsulozín (10/1 611, 0,6 %).</w:t>
      </w:r>
    </w:p>
    <w:p w14:paraId="6F6B32B6" w14:textId="77777777" w:rsidR="007266AA" w:rsidRDefault="007266AA">
      <w:pPr>
        <w:spacing w:line="240" w:lineRule="auto"/>
      </w:pPr>
    </w:p>
    <w:p w14:paraId="7E8551F8" w14:textId="77777777" w:rsidR="007266AA" w:rsidRDefault="007266AA">
      <w:pPr>
        <w:spacing w:line="240" w:lineRule="auto"/>
      </w:pPr>
      <w:r>
        <w:t>V samostatnej 4-ročnej štúdii na 8 231 mužoch vo veku 50 až 75 rokov s predchádzajúcou negatívnou biopsiou na stanovenie rakoviny prostaty a východiskovou hodnotou PSA medzi 2,5 ng/ml a 10,0 ng/ml v prípade mužov vo veku 50 až 60 rokov, alebo medzi 3 ng/ml a 10,0 ng/ml v prípade mužov starších ako 60 rokov (štúdia REDUCE), bol výskyt spoločného výrazu zlyhanie srdca u jedincov užívajúcich dutasterid 0,5 mg raz denne (30/4 105, 0,7 %) vyšší ako u jedincov užívajúcich placebo (16/4 126, 0,4 %). Následná analýza tejto štúdie preukázala vyšší výskyt spoločného výrazu zlyhanie srdca u jedincov súčasne užívajúcich dutasterid a alfablokátor (12/1 152, 1,0 %) v porovnaní so subjektmi užívajúcimi dutasterid a žiaden alfablokátor (18/2 953, 0,6 %), placebo a alfablokátor (1/1 399, &lt;0,1 %), alebo placebo a žiaden alfablokátor (15/2 727, 0,6 %)(pozri časť 4.4).</w:t>
      </w:r>
    </w:p>
    <w:p w14:paraId="5BA69FFD" w14:textId="77777777" w:rsidR="007266AA" w:rsidRDefault="007266AA">
      <w:pPr>
        <w:spacing w:line="240" w:lineRule="auto"/>
      </w:pPr>
    </w:p>
    <w:p w14:paraId="2254815B" w14:textId="77777777" w:rsidR="007266AA" w:rsidRPr="00506F8A" w:rsidRDefault="007266AA">
      <w:pPr>
        <w:spacing w:line="240" w:lineRule="auto"/>
        <w:rPr>
          <w:i/>
          <w:caps/>
        </w:rPr>
      </w:pPr>
      <w:r w:rsidRPr="00506F8A">
        <w:rPr>
          <w:i/>
        </w:rPr>
        <w:t>Rakovina prostaty a nádory vysokého stupňa</w:t>
      </w:r>
    </w:p>
    <w:p w14:paraId="1EF34EBC" w14:textId="77777777" w:rsidR="007266AA" w:rsidRDefault="007266AA">
      <w:pPr>
        <w:spacing w:line="240" w:lineRule="auto"/>
      </w:pPr>
    </w:p>
    <w:p w14:paraId="7720517E" w14:textId="77777777" w:rsidR="007266AA" w:rsidRDefault="007266AA">
      <w:pPr>
        <w:spacing w:line="240" w:lineRule="auto"/>
      </w:pPr>
      <w:r>
        <w:t xml:space="preserve">V 4-ročnej porovnávacej štúdii placeba a dutasterinu, ktorá sa uskutočnila na 8 231 mužoch vo veku 50 až 75 rokov s predchádzajúcou negatívnou biopsiou na stanovenie rakoviny prostaty a východiskovou hodnotou PSA medzi 2,5 ng/ml a 10,0 ng/ml v prípade mužov vo veku 50 až 60 rokov, alebo medzi 3 ng/ml a 10,0 ng/ml v prípade mužov starších ako 60 rokov (štúdia REDUCE), 6 706 jedincov malo k dispozícii výsledky biopsie prostaty ihlou (primárne nariadenej protokolom) využiteľné pri analýze na stanovenie Gleasonovho skóre. V štúdii bolo 1 517 jedincov s diagnostikovanou rakovinou prostaty.Väčšina rakovín prostaty detekovateľných biopsiou bola v oboch liečebných skupinách </w:t>
      </w:r>
      <w:r w:rsidR="00BB3C22">
        <w:t xml:space="preserve"> </w:t>
      </w:r>
      <w:r>
        <w:t xml:space="preserve">nízkeho stupňa (Gleason 5–6, 70 %). </w:t>
      </w:r>
    </w:p>
    <w:p w14:paraId="2DE34EC1" w14:textId="77777777" w:rsidR="007266AA" w:rsidRDefault="007266AA">
      <w:pPr>
        <w:spacing w:line="240" w:lineRule="auto"/>
      </w:pPr>
    </w:p>
    <w:p w14:paraId="0450FEE2" w14:textId="77777777" w:rsidR="007266AA" w:rsidRDefault="007266AA">
      <w:pPr>
        <w:spacing w:line="240" w:lineRule="auto"/>
      </w:pPr>
      <w:r>
        <w:t>Výskyt rakoviny prostaty s Gleasonovým skóre 8–10 bol v liečebnej skupine s dutasteridom (n=29, 0,9 %) vyšší, ako v liečebnej skupine, ktorá užívala placebo (n=19, 0,6 %) (p=0,15). V 1.–2. roku bol počet jedincov s rakovinou s Gleasonovým skóre 8-10 podobný počtu zistenému v skupine liečenej dutasteridom (n=17, 0,5 %) a skupine liečenej placebom (n=18, 0,5 %). V 3.–4. roku bolov liečebnej skupine s dutasteridom (n=12, 0,5 %) diagnostikovaných viac rakovín prostaty s Gleasonovým skóre 8–10, ako v liečebnej skupine s placebom (n=1,&lt; 0,1 %) (p=0,0035). Nie sú k dispozícii žiadne údaje o účinku dutasteridu po 4 rokoch u mužov s rizikom rakoviny prostaty. Percentá jedincov, u ktorých bola diagnostikovaná rakovina prostaty s Gleasonovým skóre 8–10, boli u skupiny s dutasteridom konzistentné (0,5 % v každom časovom období) naprieč časovým obdobiam štúdie (1.–2. rok a 3.–4. rok), zatiaľ čo u skupiny užívajúcej placebo bolo percento jedincov s diagnostikovanou rakovinou prostaty s Gleasonovým skóre 8–10 nižšie počas 3.–4. roku, než v 1.–2. Roku (&lt;0,1 % oproti 0,5 %) (pozri časť 4.4). Vo výskyte rakoviny s Gleasonovým skóre 7–10 nebol žiaden rozdiel (p=0,81).</w:t>
      </w:r>
    </w:p>
    <w:p w14:paraId="324EE37E" w14:textId="77777777" w:rsidR="007266AA" w:rsidRDefault="007266AA">
      <w:pPr>
        <w:spacing w:line="240" w:lineRule="auto"/>
      </w:pPr>
    </w:p>
    <w:p w14:paraId="177A25E1" w14:textId="77777777" w:rsidR="007266AA" w:rsidRDefault="007266AA">
      <w:pPr>
        <w:spacing w:line="240" w:lineRule="auto"/>
      </w:pPr>
      <w:r>
        <w:t>V 4-ročnej štúdii BPH (CombAT), v rámci ktorej sa nerobili žiadne protokolom vyžadované biopsie a všetky diagnózy rakoviny prostaty sa zakladali na dôvodných (for-cause) biopsiách, boli podiely rakoviny s Gleasonovým skóre 8–10 u dutasteridu (n=8, 0,5 %), u tamsulozínu (n=11, 0,7 %) a u kombinovanej terapie (n=5, 0,3 %).</w:t>
      </w:r>
    </w:p>
    <w:p w14:paraId="440BD8B1" w14:textId="77777777" w:rsidR="007266AA" w:rsidRDefault="007266AA">
      <w:pPr>
        <w:spacing w:line="240" w:lineRule="auto"/>
      </w:pPr>
    </w:p>
    <w:p w14:paraId="1584E1BC" w14:textId="77777777" w:rsidR="007266AA" w:rsidRDefault="007266AA">
      <w:pPr>
        <w:spacing w:line="240" w:lineRule="auto"/>
      </w:pPr>
      <w:r>
        <w:t xml:space="preserve">Táto súvislosť medzi dutasteridom a rakovinou prostaty vysokého stupňa nie je jasná. </w:t>
      </w:r>
    </w:p>
    <w:p w14:paraId="25D49E33" w14:textId="77777777" w:rsidR="007266AA" w:rsidRDefault="007266AA">
      <w:pPr>
        <w:spacing w:line="240" w:lineRule="auto"/>
        <w:rPr>
          <w:rFonts w:eastAsia="MS Mincho"/>
          <w:szCs w:val="22"/>
        </w:rPr>
      </w:pPr>
    </w:p>
    <w:p w14:paraId="68C5C724" w14:textId="77777777" w:rsidR="007266AA" w:rsidRDefault="007266AA">
      <w:pPr>
        <w:spacing w:line="240" w:lineRule="auto"/>
        <w:ind w:left="567" w:hanging="567"/>
        <w:rPr>
          <w:b/>
        </w:rPr>
      </w:pPr>
      <w:r>
        <w:rPr>
          <w:b/>
        </w:rPr>
        <w:t>5.2</w:t>
      </w:r>
      <w:r>
        <w:tab/>
      </w:r>
      <w:r>
        <w:rPr>
          <w:b/>
        </w:rPr>
        <w:t>Farmakokinetické vlastnosti</w:t>
      </w:r>
    </w:p>
    <w:p w14:paraId="0675AE43" w14:textId="77777777" w:rsidR="007266AA" w:rsidRDefault="007266AA">
      <w:pPr>
        <w:spacing w:line="240" w:lineRule="auto"/>
        <w:ind w:left="567" w:hanging="567"/>
        <w:rPr>
          <w:b/>
        </w:rPr>
      </w:pPr>
    </w:p>
    <w:p w14:paraId="6BAAEF51" w14:textId="77777777" w:rsidR="007266AA" w:rsidRDefault="007266AA">
      <w:pPr>
        <w:spacing w:line="240" w:lineRule="auto"/>
        <w:rPr>
          <w:snapToGrid w:val="0"/>
          <w:color w:val="000000"/>
          <w:u w:val="single"/>
        </w:rPr>
      </w:pPr>
      <w:r>
        <w:rPr>
          <w:snapToGrid w:val="0"/>
          <w:color w:val="000000"/>
          <w:u w:val="single"/>
        </w:rPr>
        <w:t>Absorpcia</w:t>
      </w:r>
    </w:p>
    <w:p w14:paraId="17ABF25C" w14:textId="77777777" w:rsidR="007266AA" w:rsidRDefault="007266AA">
      <w:pPr>
        <w:spacing w:line="240" w:lineRule="auto"/>
        <w:rPr>
          <w:snapToGrid w:val="0"/>
          <w:color w:val="000000"/>
        </w:rPr>
      </w:pPr>
      <w:r>
        <w:rPr>
          <w:snapToGrid w:val="0"/>
          <w:color w:val="000000"/>
        </w:rPr>
        <w:t>Po perorálnom podaní jednorazovej dávky 0,5 mg dutasteridu sa maximálne sérové koncentrácie dutasteridu dosiahnu za 1 až 3 hodiny. Absolútna biologická dostupnosť je približne 60 %. Biologická dostupnosť dutasteridu nie je ovplyvnená jedlom.</w:t>
      </w:r>
    </w:p>
    <w:p w14:paraId="3A7D77AF" w14:textId="77777777" w:rsidR="007266AA" w:rsidRDefault="007266AA">
      <w:pPr>
        <w:spacing w:line="240" w:lineRule="auto"/>
        <w:rPr>
          <w:snapToGrid w:val="0"/>
          <w:color w:val="000000"/>
        </w:rPr>
      </w:pPr>
    </w:p>
    <w:p w14:paraId="7A653A41" w14:textId="77777777" w:rsidR="007266AA" w:rsidRDefault="007266AA">
      <w:pPr>
        <w:spacing w:line="240" w:lineRule="auto"/>
        <w:rPr>
          <w:u w:val="single"/>
        </w:rPr>
      </w:pPr>
      <w:r>
        <w:rPr>
          <w:u w:val="single"/>
        </w:rPr>
        <w:t>Distribúcia</w:t>
      </w:r>
    </w:p>
    <w:p w14:paraId="1878CCF9" w14:textId="77777777" w:rsidR="007266AA" w:rsidRDefault="007266AA">
      <w:pPr>
        <w:spacing w:line="240" w:lineRule="auto"/>
      </w:pPr>
      <w:r>
        <w:t>Dutasterid má veľký distribučný objem (300 až 500 l) a je vysoko viazaný na plazmatické proteíny (&gt;99,5 %). Po dennom dávkovaní dosiahnu sérové koncentrácie dutasteridu 65 % ustálenej sérovej koncentrácie po 1 mesiaci a približne 90 % po 3 mesiacoch.</w:t>
      </w:r>
    </w:p>
    <w:p w14:paraId="6D5C1B96" w14:textId="77777777" w:rsidR="00644426" w:rsidRDefault="00644426">
      <w:pPr>
        <w:spacing w:line="240" w:lineRule="auto"/>
      </w:pPr>
    </w:p>
    <w:p w14:paraId="019B2D00" w14:textId="77777777" w:rsidR="007266AA" w:rsidRDefault="007266AA">
      <w:pPr>
        <w:spacing w:line="240" w:lineRule="auto"/>
        <w:rPr>
          <w:snapToGrid w:val="0"/>
        </w:rPr>
      </w:pPr>
      <w:r>
        <w:t>Ustálené sérové koncentrácie (C</w:t>
      </w:r>
      <w:r>
        <w:rPr>
          <w:vertAlign w:val="subscript"/>
        </w:rPr>
        <w:t>ss</w:t>
      </w:r>
      <w:r>
        <w:t>) v hodnote približne 40 ng/ml sa dosiahnu po 6 mesiacoch podávania 0,5 mg raz denne. Priemerná distribúcia dutasteridu zo séra do spermy je 11,5 %.</w:t>
      </w:r>
    </w:p>
    <w:p w14:paraId="391A14DE" w14:textId="77777777" w:rsidR="007266AA" w:rsidRDefault="007266AA">
      <w:pPr>
        <w:spacing w:line="240" w:lineRule="auto"/>
        <w:rPr>
          <w:snapToGrid w:val="0"/>
        </w:rPr>
      </w:pPr>
    </w:p>
    <w:p w14:paraId="389F6782" w14:textId="77777777" w:rsidR="007266AA" w:rsidRDefault="007266AA">
      <w:pPr>
        <w:spacing w:line="240" w:lineRule="auto"/>
        <w:rPr>
          <w:u w:val="single"/>
        </w:rPr>
      </w:pPr>
      <w:r>
        <w:rPr>
          <w:u w:val="single"/>
        </w:rPr>
        <w:t>Eliminácia</w:t>
      </w:r>
    </w:p>
    <w:p w14:paraId="5652C9E1" w14:textId="77777777" w:rsidR="007266AA" w:rsidRDefault="007266AA">
      <w:pPr>
        <w:spacing w:line="240" w:lineRule="auto"/>
        <w:rPr>
          <w:snapToGrid w:val="0"/>
        </w:rPr>
      </w:pPr>
      <w:r>
        <w:t xml:space="preserve">Dutasterid sa v rozsiahlej miere metabolizuje </w:t>
      </w:r>
      <w:r>
        <w:rPr>
          <w:i/>
          <w:snapToGrid w:val="0"/>
        </w:rPr>
        <w:t>in vivo</w:t>
      </w:r>
      <w:r>
        <w:t xml:space="preserve">. </w:t>
      </w:r>
      <w:r>
        <w:rPr>
          <w:i/>
          <w:snapToGrid w:val="0"/>
        </w:rPr>
        <w:t>In vitro</w:t>
      </w:r>
      <w:r>
        <w:t>, dutasterid je metabolizovaný cytochrómom P450 3A4 a 3A5 na tri</w:t>
      </w:r>
      <w:r w:rsidR="00245F02">
        <w:t xml:space="preserve"> </w:t>
      </w:r>
      <w:r>
        <w:t>monohydroxylované metabolity a jeden dihydroxylovaný metabolit.</w:t>
      </w:r>
    </w:p>
    <w:p w14:paraId="4117ACE8" w14:textId="77777777" w:rsidR="007266AA" w:rsidRDefault="007266AA">
      <w:pPr>
        <w:spacing w:line="240" w:lineRule="auto"/>
        <w:rPr>
          <w:snapToGrid w:val="0"/>
        </w:rPr>
      </w:pPr>
    </w:p>
    <w:p w14:paraId="445116E6" w14:textId="77777777" w:rsidR="007266AA" w:rsidRDefault="007266AA">
      <w:pPr>
        <w:spacing w:line="240" w:lineRule="auto"/>
      </w:pPr>
      <w:r>
        <w:t>Po perorálnej dávke dutasteridu 0,5 mg/deň v ustálenom stave sa 1,0 % až 15,4 % (priemerne 5,4 %) podanej dávky vylúči v nezmenenej forme ako dutasterid stolicou. Zvyšok sa vylučuje stolicou vo forme 4 hlavných metabolitov, z ktorých každý obsahuje 39 %, 21 %, 7 % a 7 % látok súvisiacich s liekom a 6 vedľajších metabolitov (každý menej ako 5 %).V ľudskom moči sú dete</w:t>
      </w:r>
      <w:r w:rsidR="000E3960">
        <w:t>g</w:t>
      </w:r>
      <w:r>
        <w:t>ované len stopové množstvá nezmeneného dutasteridu (menej ako 0,1 % dávky).</w:t>
      </w:r>
    </w:p>
    <w:p w14:paraId="75E84E7E" w14:textId="77777777" w:rsidR="007266AA" w:rsidRDefault="007266AA">
      <w:pPr>
        <w:spacing w:line="240" w:lineRule="auto"/>
      </w:pPr>
    </w:p>
    <w:p w14:paraId="6C1828EA" w14:textId="77777777" w:rsidR="007266AA" w:rsidRDefault="007266AA">
      <w:pPr>
        <w:spacing w:line="240" w:lineRule="auto"/>
      </w:pPr>
      <w:r>
        <w:t xml:space="preserve">Eliminácia dutasteridu závisí od dávky a zdá sa, že pre proces sú charakteristické dve paralelné eliminačné cesty, jedna –saturovateľná pri klinicky relevantných koncentráciách a druhá – nesaturovateľná. </w:t>
      </w:r>
    </w:p>
    <w:p w14:paraId="75E67DA2" w14:textId="77777777" w:rsidR="007266AA" w:rsidRDefault="007266AA">
      <w:pPr>
        <w:spacing w:line="240" w:lineRule="auto"/>
      </w:pPr>
      <w:r>
        <w:lastRenderedPageBreak/>
        <w:t>Pri nízkych sérových koncentráciách (menej ako 3 ng/ml) je dutasterid rýchlo odstránený obidvomi eliminačnými cestami – cestou závislou od koncentrácie a aj cestou nezávislou od koncentrácie. Pri jednorazových dávkach 5 mg alebo menej bol dokázaný rýchly klírens a krátky polčas 3 až 9 dní.</w:t>
      </w:r>
    </w:p>
    <w:p w14:paraId="266EADF5" w14:textId="77777777" w:rsidR="007266AA" w:rsidRDefault="007266AA">
      <w:pPr>
        <w:spacing w:line="240" w:lineRule="auto"/>
      </w:pPr>
    </w:p>
    <w:p w14:paraId="7F145E73" w14:textId="77777777" w:rsidR="007266AA" w:rsidRDefault="007266AA">
      <w:pPr>
        <w:spacing w:line="240" w:lineRule="auto"/>
      </w:pPr>
      <w:r>
        <w:t>Pri terapeutických koncentráciách, po opakovanej dávke 0,5 mg/deň, prevláda pomalšia, lineárna eliminačná cesta a polčas je približne 3–5 týždňov.</w:t>
      </w:r>
    </w:p>
    <w:p w14:paraId="4B7868CC" w14:textId="77777777" w:rsidR="007266AA" w:rsidRDefault="007266AA">
      <w:pPr>
        <w:spacing w:line="240" w:lineRule="auto"/>
      </w:pPr>
    </w:p>
    <w:p w14:paraId="6559403C" w14:textId="77777777" w:rsidR="007266AA" w:rsidRPr="00506F8A" w:rsidRDefault="007266AA">
      <w:pPr>
        <w:spacing w:line="240" w:lineRule="auto"/>
        <w:rPr>
          <w:i/>
        </w:rPr>
      </w:pPr>
      <w:r w:rsidRPr="00506F8A">
        <w:rPr>
          <w:i/>
        </w:rPr>
        <w:t>Starší pacienti</w:t>
      </w:r>
    </w:p>
    <w:p w14:paraId="2C022DBE" w14:textId="77777777" w:rsidR="007266AA" w:rsidRDefault="007266AA">
      <w:pPr>
        <w:spacing w:line="240" w:lineRule="auto"/>
      </w:pPr>
      <w:r>
        <w:t xml:space="preserve">Farmakokinetické vlastnosti dutasteridu boli hodnotené u 36 zdravých mužov vo veku medzi 24 a 87 rokmi po </w:t>
      </w:r>
      <w:r w:rsidR="009E0B42">
        <w:t>podaní</w:t>
      </w:r>
      <w:r>
        <w:t xml:space="preserve"> jednorazovej 5 mg dávky dutasteridu. Nebol pozorovaný žiadny signifikantný vplyv veku na expozíciu dutasteridu, ale u mužov mladších ako 50 rokov bol polčas kratší. Polčas nebol štatisticky rozdielny pri porovnaní skupiny 50–69-ročných so skupinou starších ako 70-ročných. </w:t>
      </w:r>
    </w:p>
    <w:p w14:paraId="6AA193BC" w14:textId="77777777" w:rsidR="007266AA" w:rsidRPr="00634CE6" w:rsidRDefault="007266AA">
      <w:pPr>
        <w:spacing w:line="240" w:lineRule="auto"/>
        <w:rPr>
          <w:u w:val="single"/>
        </w:rPr>
      </w:pPr>
    </w:p>
    <w:p w14:paraId="53AD7899" w14:textId="77777777" w:rsidR="007266AA" w:rsidRPr="00506F8A" w:rsidRDefault="007266AA">
      <w:pPr>
        <w:spacing w:line="240" w:lineRule="auto"/>
        <w:rPr>
          <w:i/>
        </w:rPr>
      </w:pPr>
      <w:r w:rsidRPr="00506F8A">
        <w:rPr>
          <w:i/>
        </w:rPr>
        <w:t>Porucha funkcie obličiek</w:t>
      </w:r>
    </w:p>
    <w:p w14:paraId="40F8759A" w14:textId="77777777" w:rsidR="007266AA" w:rsidRDefault="000E3960">
      <w:pPr>
        <w:spacing w:line="240" w:lineRule="auto"/>
      </w:pPr>
      <w:r>
        <w:t>Vplyv</w:t>
      </w:r>
      <w:r w:rsidR="007266AA">
        <w:t xml:space="preserve"> poruchy funkcie obličiek na farmakokinetiku dutasteridu nebol doposiaľ predmetom skúšania. V ľudskom moči je izolované menej ako 0,1 % 0,5 mg dávky dutasteridu podanej v rovnovážnom stave, takže sa u pacientov s poruchou funkcie obličiek nepredpokladá žiadne klinicky signifikantné zvýšenie plazmatických koncentrácií dutasteridu (pozri časť 4.2).</w:t>
      </w:r>
    </w:p>
    <w:p w14:paraId="16C45DA1" w14:textId="77777777" w:rsidR="007266AA" w:rsidRPr="00634CE6" w:rsidRDefault="007266AA">
      <w:pPr>
        <w:spacing w:line="240" w:lineRule="auto"/>
        <w:rPr>
          <w:u w:val="single"/>
        </w:rPr>
      </w:pPr>
    </w:p>
    <w:p w14:paraId="0648A450" w14:textId="77777777" w:rsidR="007266AA" w:rsidRPr="00506F8A" w:rsidRDefault="007266AA">
      <w:pPr>
        <w:spacing w:line="240" w:lineRule="auto"/>
        <w:rPr>
          <w:i/>
        </w:rPr>
      </w:pPr>
      <w:r w:rsidRPr="00506F8A">
        <w:rPr>
          <w:i/>
        </w:rPr>
        <w:t>Porucha funkcie pečene</w:t>
      </w:r>
    </w:p>
    <w:p w14:paraId="2BD434BB" w14:textId="77777777" w:rsidR="007266AA" w:rsidRDefault="00F544B8">
      <w:pPr>
        <w:spacing w:line="240" w:lineRule="auto"/>
      </w:pPr>
      <w:r w:rsidRPr="0036747C">
        <w:rPr>
          <w:szCs w:val="22"/>
        </w:rPr>
        <w:t xml:space="preserve">Vplyv poruchy funkcie pečene na farmakokinetiku dutasteridu sa neskúmal (pozri časť 4.3). </w:t>
      </w:r>
      <w:r w:rsidR="007266AA">
        <w:t>Keďže dutasterid sa vylučuje najmä cez metabolizmus, predpokladá sa, že u týchto pacientov budú zvýšené plazmatické hladiny a predĺžený polčas dutasteridu (pozri časti 4.2 a 4.4).</w:t>
      </w:r>
    </w:p>
    <w:p w14:paraId="06F7AF19" w14:textId="77777777" w:rsidR="007266AA" w:rsidRDefault="007266AA">
      <w:pPr>
        <w:spacing w:line="240" w:lineRule="auto"/>
        <w:ind w:left="567" w:hanging="567"/>
      </w:pPr>
    </w:p>
    <w:p w14:paraId="6704F84B" w14:textId="77777777" w:rsidR="007266AA" w:rsidRDefault="007266AA">
      <w:pPr>
        <w:spacing w:line="240" w:lineRule="auto"/>
        <w:ind w:left="567" w:hanging="567"/>
      </w:pPr>
      <w:r>
        <w:rPr>
          <w:b/>
        </w:rPr>
        <w:t xml:space="preserve">5.3 </w:t>
      </w:r>
      <w:r>
        <w:tab/>
      </w:r>
      <w:r>
        <w:rPr>
          <w:b/>
        </w:rPr>
        <w:t>Predklinické údaje o bezpečnosti</w:t>
      </w:r>
    </w:p>
    <w:p w14:paraId="44B64783" w14:textId="77777777" w:rsidR="007266AA" w:rsidRDefault="007266AA">
      <w:pPr>
        <w:spacing w:line="240" w:lineRule="auto"/>
      </w:pPr>
    </w:p>
    <w:p w14:paraId="1FE24682" w14:textId="77777777" w:rsidR="007266AA" w:rsidRDefault="007266AA">
      <w:pPr>
        <w:spacing w:line="240" w:lineRule="auto"/>
      </w:pPr>
      <w:r>
        <w:t>Súčasné štúdie všeobecnej toxicity, genotoxicity a karcinogenity nepreukázali žiadne konkrétne nebezpečenstvo pre človeka.</w:t>
      </w:r>
    </w:p>
    <w:p w14:paraId="46B79B81" w14:textId="77777777" w:rsidR="007266AA" w:rsidRDefault="007266AA">
      <w:pPr>
        <w:spacing w:line="240" w:lineRule="auto"/>
      </w:pPr>
    </w:p>
    <w:p w14:paraId="0CD57923" w14:textId="77777777" w:rsidR="007266AA" w:rsidRDefault="007266AA">
      <w:pPr>
        <w:spacing w:line="240" w:lineRule="auto"/>
      </w:pPr>
      <w:r>
        <w:t>Štúdie reprodukčnej toxicity u samčích potkanov ukázali zníženú hmotnosť prostaty a semenných mechúrikov, zníženú sekréciu z vedľajších genitálnych žliaz a redukciu v indexoch fertility (spôsobenú farmakologickým účinkom dutasteridu). Klinický význam týchto nálezov nie je známy.</w:t>
      </w:r>
    </w:p>
    <w:p w14:paraId="7494DBF3" w14:textId="77777777" w:rsidR="007266AA" w:rsidRDefault="007266AA">
      <w:pPr>
        <w:spacing w:line="240" w:lineRule="auto"/>
      </w:pPr>
    </w:p>
    <w:p w14:paraId="0DC6E7E0" w14:textId="77777777" w:rsidR="007266AA" w:rsidRDefault="007266AA">
      <w:pPr>
        <w:spacing w:line="240" w:lineRule="auto"/>
        <w:rPr>
          <w:snapToGrid w:val="0"/>
        </w:rPr>
      </w:pPr>
      <w:r>
        <w:rPr>
          <w:snapToGrid w:val="0"/>
          <w:color w:val="000000"/>
        </w:rPr>
        <w:t>Tak ako u iných inhibítorov 5-alfa-reduktázy,</w:t>
      </w:r>
      <w:r>
        <w:t xml:space="preserve"> bola zaznamenaná feminizácia samčích plodov u potkanov a králikov, keď bol dutasterid podávaný </w:t>
      </w:r>
      <w:r w:rsidRPr="007A7752">
        <w:t xml:space="preserve">počas gestácie. Dutasterid bol zistený v krvi samičích potkanov po párení so samcami liečenými dutasteridom. Keď bol dutasterid podávaný počas gestácie primátom, nebola pozorovaná žiadna feminizácia samčích plodov pri krvných expozíciách, ktoré značne prevyšovali tie, ktorých výskyt je pravdepodobný </w:t>
      </w:r>
      <w:r w:rsidR="008663BD" w:rsidRPr="007A7752">
        <w:t>v</w:t>
      </w:r>
      <w:r w:rsidRPr="007A7752">
        <w:t> spermiá</w:t>
      </w:r>
      <w:r w:rsidR="009E0B42" w:rsidRPr="007A7752">
        <w:t>ch</w:t>
      </w:r>
      <w:r w:rsidRPr="007A7752">
        <w:t xml:space="preserve"> človeka.</w:t>
      </w:r>
      <w:r w:rsidR="0066311C" w:rsidRPr="007A7752">
        <w:t xml:space="preserve"> Je ne</w:t>
      </w:r>
      <w:r w:rsidR="008663BD" w:rsidRPr="007A7752">
        <w:t>pravdepodobné,</w:t>
      </w:r>
      <w:r w:rsidRPr="007A7752">
        <w:t xml:space="preserve"> </w:t>
      </w:r>
      <w:r w:rsidR="008663BD" w:rsidRPr="007A7752">
        <w:t>že</w:t>
      </w:r>
      <w:r w:rsidRPr="007A7752">
        <w:t xml:space="preserve"> mužský plod </w:t>
      </w:r>
      <w:r w:rsidR="008663BD" w:rsidRPr="007A7752">
        <w:t xml:space="preserve">bude </w:t>
      </w:r>
      <w:r w:rsidRPr="007A7752">
        <w:t xml:space="preserve">nepriaznivo postihnutý </w:t>
      </w:r>
      <w:r w:rsidR="00112267" w:rsidRPr="007A7752">
        <w:t>tranferom</w:t>
      </w:r>
      <w:r w:rsidRPr="007A7752">
        <w:t xml:space="preserve"> dutasteridu spermiami.</w:t>
      </w:r>
      <w:r>
        <w:t xml:space="preserve"> </w:t>
      </w:r>
    </w:p>
    <w:p w14:paraId="22BA33C0" w14:textId="77777777" w:rsidR="00112267" w:rsidRDefault="00112267">
      <w:pPr>
        <w:spacing w:line="240" w:lineRule="auto"/>
        <w:rPr>
          <w:b/>
        </w:rPr>
      </w:pPr>
    </w:p>
    <w:p w14:paraId="5C600924" w14:textId="77777777" w:rsidR="007266AA" w:rsidRDefault="007266AA">
      <w:pPr>
        <w:spacing w:line="240" w:lineRule="auto"/>
        <w:rPr>
          <w:b/>
        </w:rPr>
      </w:pPr>
    </w:p>
    <w:p w14:paraId="6B4B935A" w14:textId="77777777" w:rsidR="007266AA" w:rsidRDefault="007266AA">
      <w:pPr>
        <w:spacing w:line="240" w:lineRule="auto"/>
        <w:ind w:left="567" w:hanging="567"/>
        <w:rPr>
          <w:b/>
        </w:rPr>
      </w:pPr>
      <w:r>
        <w:rPr>
          <w:b/>
        </w:rPr>
        <w:t>6.</w:t>
      </w:r>
      <w:r>
        <w:tab/>
      </w:r>
      <w:r>
        <w:rPr>
          <w:b/>
        </w:rPr>
        <w:t>FARMACEUTICKÉ INFORMÁCIE</w:t>
      </w:r>
    </w:p>
    <w:p w14:paraId="4D60C567" w14:textId="77777777" w:rsidR="007266AA" w:rsidRDefault="007266AA">
      <w:pPr>
        <w:spacing w:line="240" w:lineRule="auto"/>
        <w:rPr>
          <w:b/>
        </w:rPr>
      </w:pPr>
    </w:p>
    <w:p w14:paraId="1481D4DD" w14:textId="77777777" w:rsidR="007266AA" w:rsidRDefault="007266AA">
      <w:pPr>
        <w:spacing w:line="240" w:lineRule="auto"/>
        <w:ind w:left="567" w:hanging="567"/>
        <w:rPr>
          <w:b/>
        </w:rPr>
      </w:pPr>
      <w:r>
        <w:rPr>
          <w:b/>
        </w:rPr>
        <w:t>6.1</w:t>
      </w:r>
      <w:r>
        <w:tab/>
      </w:r>
      <w:r>
        <w:rPr>
          <w:b/>
        </w:rPr>
        <w:t>Zoznam pomocných látok</w:t>
      </w:r>
    </w:p>
    <w:p w14:paraId="53CFF0F5" w14:textId="77777777" w:rsidR="007266AA" w:rsidRDefault="007266AA">
      <w:pPr>
        <w:spacing w:line="240" w:lineRule="auto"/>
      </w:pPr>
    </w:p>
    <w:p w14:paraId="6B5BDC90" w14:textId="77777777" w:rsidR="007266AA" w:rsidRPr="00506F8A" w:rsidRDefault="007266AA">
      <w:pPr>
        <w:spacing w:line="240" w:lineRule="auto"/>
        <w:rPr>
          <w:i/>
          <w:szCs w:val="22"/>
        </w:rPr>
      </w:pPr>
      <w:r w:rsidRPr="00506F8A">
        <w:rPr>
          <w:i/>
          <w:szCs w:val="22"/>
        </w:rPr>
        <w:t>Obsah kaps</w:t>
      </w:r>
      <w:r w:rsidR="009E0B42">
        <w:rPr>
          <w:i/>
          <w:szCs w:val="22"/>
        </w:rPr>
        <w:t>u</w:t>
      </w:r>
      <w:r w:rsidRPr="00506F8A">
        <w:rPr>
          <w:i/>
          <w:szCs w:val="22"/>
        </w:rPr>
        <w:t>l</w:t>
      </w:r>
      <w:r w:rsidR="009E0B42">
        <w:rPr>
          <w:i/>
          <w:szCs w:val="22"/>
        </w:rPr>
        <w:t>y</w:t>
      </w:r>
      <w:r w:rsidRPr="00506F8A">
        <w:rPr>
          <w:i/>
          <w:szCs w:val="22"/>
        </w:rPr>
        <w:t>:</w:t>
      </w:r>
    </w:p>
    <w:p w14:paraId="3E29804A" w14:textId="77777777" w:rsidR="007266AA" w:rsidRPr="00634CE6" w:rsidRDefault="00506F8A">
      <w:pPr>
        <w:spacing w:line="240" w:lineRule="auto"/>
        <w:rPr>
          <w:b/>
          <w:i/>
          <w:szCs w:val="22"/>
        </w:rPr>
      </w:pPr>
      <w:r>
        <w:rPr>
          <w:szCs w:val="22"/>
        </w:rPr>
        <w:t>propylénglykol monokaprylát</w:t>
      </w:r>
    </w:p>
    <w:p w14:paraId="592B7A03" w14:textId="77777777" w:rsidR="007266AA" w:rsidRPr="00634CE6" w:rsidRDefault="001524D9">
      <w:pPr>
        <w:spacing w:line="240" w:lineRule="auto"/>
        <w:rPr>
          <w:szCs w:val="22"/>
        </w:rPr>
      </w:pPr>
      <w:r>
        <w:rPr>
          <w:szCs w:val="22"/>
        </w:rPr>
        <w:t>butylhydroxytolué</w:t>
      </w:r>
      <w:r w:rsidR="00506F8A">
        <w:rPr>
          <w:szCs w:val="22"/>
        </w:rPr>
        <w:t>n</w:t>
      </w:r>
    </w:p>
    <w:p w14:paraId="73F4AAD7" w14:textId="77777777" w:rsidR="007266AA" w:rsidRPr="00634CE6" w:rsidRDefault="007266AA">
      <w:pPr>
        <w:autoSpaceDE w:val="0"/>
        <w:autoSpaceDN w:val="0"/>
        <w:adjustRightInd w:val="0"/>
        <w:spacing w:line="240" w:lineRule="auto"/>
        <w:rPr>
          <w:szCs w:val="22"/>
        </w:rPr>
      </w:pPr>
    </w:p>
    <w:p w14:paraId="0C4AED93" w14:textId="77777777" w:rsidR="007266AA" w:rsidRPr="00506F8A" w:rsidRDefault="007266AA">
      <w:pPr>
        <w:autoSpaceDE w:val="0"/>
        <w:autoSpaceDN w:val="0"/>
        <w:adjustRightInd w:val="0"/>
        <w:spacing w:line="240" w:lineRule="auto"/>
        <w:rPr>
          <w:i/>
          <w:szCs w:val="22"/>
        </w:rPr>
      </w:pPr>
      <w:r w:rsidRPr="00506F8A">
        <w:rPr>
          <w:i/>
          <w:szCs w:val="22"/>
        </w:rPr>
        <w:t>Obal kapsuly:</w:t>
      </w:r>
    </w:p>
    <w:p w14:paraId="3188D06F" w14:textId="77777777" w:rsidR="00FC2D17" w:rsidRDefault="00506F8A">
      <w:pPr>
        <w:spacing w:line="240" w:lineRule="auto"/>
        <w:rPr>
          <w:szCs w:val="22"/>
        </w:rPr>
      </w:pPr>
      <w:r>
        <w:rPr>
          <w:szCs w:val="22"/>
        </w:rPr>
        <w:t>želatína</w:t>
      </w:r>
    </w:p>
    <w:p w14:paraId="68B0F65B" w14:textId="77777777" w:rsidR="007266AA" w:rsidRPr="00634CE6" w:rsidRDefault="007266AA">
      <w:pPr>
        <w:spacing w:line="240" w:lineRule="auto"/>
        <w:rPr>
          <w:szCs w:val="22"/>
        </w:rPr>
      </w:pPr>
      <w:r w:rsidRPr="00634CE6">
        <w:rPr>
          <w:szCs w:val="22"/>
        </w:rPr>
        <w:t xml:space="preserve">glycerol </w:t>
      </w:r>
    </w:p>
    <w:p w14:paraId="67E7FE90" w14:textId="77777777" w:rsidR="007266AA" w:rsidRDefault="007266AA">
      <w:pPr>
        <w:spacing w:line="240" w:lineRule="auto"/>
        <w:rPr>
          <w:szCs w:val="22"/>
        </w:rPr>
      </w:pPr>
      <w:r w:rsidRPr="00634CE6">
        <w:rPr>
          <w:szCs w:val="22"/>
        </w:rPr>
        <w:t>oxid titaničitý (E171)</w:t>
      </w:r>
    </w:p>
    <w:p w14:paraId="4A1DBDAB" w14:textId="77777777" w:rsidR="00506F8A" w:rsidRPr="002C6FF5" w:rsidRDefault="002C6FF5" w:rsidP="002C6FF5">
      <w:pPr>
        <w:rPr>
          <w:szCs w:val="22"/>
        </w:rPr>
      </w:pPr>
      <w:r w:rsidRPr="00553F10">
        <w:rPr>
          <w:szCs w:val="22"/>
        </w:rPr>
        <w:t>stredne nasýtené triacylglyceroly</w:t>
      </w:r>
    </w:p>
    <w:p w14:paraId="72021D6A" w14:textId="77777777" w:rsidR="007266AA" w:rsidRPr="00634CE6" w:rsidRDefault="00506F8A">
      <w:pPr>
        <w:spacing w:line="240" w:lineRule="auto"/>
        <w:rPr>
          <w:color w:val="000000"/>
          <w:szCs w:val="22"/>
        </w:rPr>
      </w:pPr>
      <w:r>
        <w:rPr>
          <w:color w:val="000000"/>
          <w:szCs w:val="22"/>
        </w:rPr>
        <w:t xml:space="preserve">lecitín </w:t>
      </w:r>
      <w:r w:rsidR="007266AA" w:rsidRPr="00634CE6">
        <w:rPr>
          <w:color w:val="000000"/>
          <w:szCs w:val="22"/>
        </w:rPr>
        <w:t>(</w:t>
      </w:r>
      <w:r>
        <w:rPr>
          <w:color w:val="000000"/>
          <w:szCs w:val="22"/>
        </w:rPr>
        <w:t>môže obsahovať sójový olej) (E322)</w:t>
      </w:r>
      <w:r w:rsidR="007266AA" w:rsidRPr="00634CE6">
        <w:rPr>
          <w:color w:val="000000"/>
          <w:szCs w:val="22"/>
        </w:rPr>
        <w:t xml:space="preserve"> </w:t>
      </w:r>
    </w:p>
    <w:p w14:paraId="562F529C" w14:textId="77777777" w:rsidR="007266AA" w:rsidRPr="00634CE6" w:rsidRDefault="007266AA">
      <w:pPr>
        <w:spacing w:line="240" w:lineRule="auto"/>
        <w:rPr>
          <w:color w:val="000000"/>
          <w:szCs w:val="22"/>
        </w:rPr>
      </w:pPr>
    </w:p>
    <w:p w14:paraId="7081021C" w14:textId="77777777" w:rsidR="007266AA" w:rsidRDefault="007266AA">
      <w:pPr>
        <w:spacing w:line="240" w:lineRule="auto"/>
        <w:ind w:left="567" w:hanging="567"/>
      </w:pPr>
      <w:r>
        <w:rPr>
          <w:b/>
        </w:rPr>
        <w:t>6.2.</w:t>
      </w:r>
      <w:r>
        <w:tab/>
      </w:r>
      <w:r>
        <w:rPr>
          <w:b/>
        </w:rPr>
        <w:t>Inkompatibility</w:t>
      </w:r>
    </w:p>
    <w:p w14:paraId="203AEB67" w14:textId="77777777" w:rsidR="007266AA" w:rsidRDefault="007266AA">
      <w:pPr>
        <w:spacing w:line="240" w:lineRule="auto"/>
      </w:pPr>
    </w:p>
    <w:p w14:paraId="0F659262" w14:textId="77777777" w:rsidR="007266AA" w:rsidRDefault="007266AA">
      <w:pPr>
        <w:spacing w:line="240" w:lineRule="auto"/>
      </w:pPr>
      <w:r>
        <w:rPr>
          <w:noProof/>
          <w:szCs w:val="22"/>
        </w:rPr>
        <w:t>Neaplikovateľné</w:t>
      </w:r>
      <w:r>
        <w:t>.</w:t>
      </w:r>
    </w:p>
    <w:p w14:paraId="46AD6369" w14:textId="77777777" w:rsidR="007266AA" w:rsidRDefault="007266AA">
      <w:pPr>
        <w:spacing w:line="240" w:lineRule="auto"/>
      </w:pPr>
    </w:p>
    <w:p w14:paraId="04CB9AA0" w14:textId="77777777" w:rsidR="007266AA" w:rsidRDefault="007266AA">
      <w:pPr>
        <w:spacing w:line="240" w:lineRule="auto"/>
        <w:ind w:left="567" w:hanging="567"/>
      </w:pPr>
      <w:r>
        <w:rPr>
          <w:b/>
        </w:rPr>
        <w:t xml:space="preserve">6.3 </w:t>
      </w:r>
      <w:r>
        <w:tab/>
      </w:r>
      <w:r>
        <w:rPr>
          <w:b/>
        </w:rPr>
        <w:t>Čas použiteľnosti</w:t>
      </w:r>
    </w:p>
    <w:p w14:paraId="11F799AF" w14:textId="77777777" w:rsidR="007266AA" w:rsidRDefault="007266AA">
      <w:pPr>
        <w:spacing w:line="240" w:lineRule="auto"/>
      </w:pPr>
    </w:p>
    <w:p w14:paraId="62CF92D5" w14:textId="0403168B" w:rsidR="007266AA" w:rsidRDefault="00C152ED">
      <w:pPr>
        <w:spacing w:line="240" w:lineRule="auto"/>
      </w:pPr>
      <w:r>
        <w:t>36</w:t>
      </w:r>
      <w:r w:rsidR="00506F8A">
        <w:t xml:space="preserve"> mesiacov</w:t>
      </w:r>
    </w:p>
    <w:p w14:paraId="5040E16D" w14:textId="77777777" w:rsidR="007266AA" w:rsidRDefault="007266AA">
      <w:pPr>
        <w:spacing w:line="240" w:lineRule="auto"/>
        <w:rPr>
          <w:b/>
        </w:rPr>
      </w:pPr>
    </w:p>
    <w:p w14:paraId="6414E996" w14:textId="77777777" w:rsidR="007266AA" w:rsidRDefault="007266AA">
      <w:pPr>
        <w:spacing w:line="240" w:lineRule="auto"/>
        <w:ind w:left="567" w:hanging="567"/>
        <w:rPr>
          <w:b/>
        </w:rPr>
      </w:pPr>
      <w:r>
        <w:rPr>
          <w:b/>
        </w:rPr>
        <w:t xml:space="preserve">6.4 </w:t>
      </w:r>
      <w:r>
        <w:tab/>
      </w:r>
      <w:r>
        <w:rPr>
          <w:b/>
        </w:rPr>
        <w:t>Špeciálne upozornenia na uchovávanie</w:t>
      </w:r>
    </w:p>
    <w:p w14:paraId="11521B47" w14:textId="77777777" w:rsidR="007266AA" w:rsidRDefault="007266AA">
      <w:pPr>
        <w:spacing w:line="240" w:lineRule="auto"/>
      </w:pPr>
    </w:p>
    <w:p w14:paraId="15ED28F8" w14:textId="77777777" w:rsidR="007266AA" w:rsidRDefault="007266AA">
      <w:pPr>
        <w:autoSpaceDE w:val="0"/>
        <w:autoSpaceDN w:val="0"/>
        <w:adjustRightInd w:val="0"/>
        <w:spacing w:line="240" w:lineRule="auto"/>
        <w:rPr>
          <w:szCs w:val="22"/>
        </w:rPr>
      </w:pPr>
      <w:r>
        <w:rPr>
          <w:szCs w:val="22"/>
        </w:rPr>
        <w:t xml:space="preserve">Uchovávajte pri teplote </w:t>
      </w:r>
      <w:r w:rsidR="007B0B1A">
        <w:rPr>
          <w:szCs w:val="22"/>
        </w:rPr>
        <w:t>do</w:t>
      </w:r>
      <w:r>
        <w:rPr>
          <w:szCs w:val="22"/>
        </w:rPr>
        <w:t xml:space="preserve"> </w:t>
      </w:r>
      <w:r w:rsidR="00506F8A">
        <w:rPr>
          <w:szCs w:val="22"/>
        </w:rPr>
        <w:t>30</w:t>
      </w:r>
      <w:r>
        <w:rPr>
          <w:szCs w:val="22"/>
        </w:rPr>
        <w:t> °C.</w:t>
      </w:r>
    </w:p>
    <w:p w14:paraId="46497215" w14:textId="77777777" w:rsidR="00506F8A" w:rsidRDefault="000B5789">
      <w:pPr>
        <w:autoSpaceDE w:val="0"/>
        <w:autoSpaceDN w:val="0"/>
        <w:adjustRightInd w:val="0"/>
        <w:spacing w:line="240" w:lineRule="auto"/>
        <w:rPr>
          <w:noProof/>
        </w:rPr>
      </w:pPr>
      <w:r>
        <w:rPr>
          <w:noProof/>
        </w:rPr>
        <w:t>Uchovávajte v pôvodn</w:t>
      </w:r>
      <w:r w:rsidR="007B0B1A">
        <w:rPr>
          <w:noProof/>
        </w:rPr>
        <w:t>om</w:t>
      </w:r>
      <w:r>
        <w:rPr>
          <w:noProof/>
        </w:rPr>
        <w:t xml:space="preserve"> vonkajš</w:t>
      </w:r>
      <w:r w:rsidR="007B0B1A">
        <w:rPr>
          <w:noProof/>
        </w:rPr>
        <w:t>om obale</w:t>
      </w:r>
      <w:r>
        <w:rPr>
          <w:noProof/>
        </w:rPr>
        <w:t xml:space="preserve"> na ochranu pred svetlom.</w:t>
      </w:r>
    </w:p>
    <w:p w14:paraId="0AAA6E1E" w14:textId="77777777" w:rsidR="007266AA" w:rsidRDefault="007266AA">
      <w:pPr>
        <w:spacing w:line="240" w:lineRule="auto"/>
      </w:pPr>
    </w:p>
    <w:p w14:paraId="474F2A3F" w14:textId="77777777" w:rsidR="007266AA" w:rsidRDefault="007266AA">
      <w:pPr>
        <w:numPr>
          <w:ilvl w:val="1"/>
          <w:numId w:val="4"/>
        </w:numPr>
        <w:tabs>
          <w:tab w:val="clear" w:pos="570"/>
          <w:tab w:val="left" w:pos="567"/>
        </w:tabs>
        <w:spacing w:line="240" w:lineRule="auto"/>
        <w:rPr>
          <w:b/>
        </w:rPr>
      </w:pPr>
      <w:r>
        <w:rPr>
          <w:b/>
        </w:rPr>
        <w:t>Druh obalu a obsah balenia</w:t>
      </w:r>
    </w:p>
    <w:p w14:paraId="43149950" w14:textId="77777777" w:rsidR="007266AA" w:rsidRDefault="007266AA">
      <w:pPr>
        <w:spacing w:line="240" w:lineRule="auto"/>
      </w:pPr>
    </w:p>
    <w:p w14:paraId="084A7785" w14:textId="77777777" w:rsidR="000B5789" w:rsidRDefault="000B5789">
      <w:pPr>
        <w:spacing w:line="240" w:lineRule="auto"/>
      </w:pPr>
      <w:r>
        <w:t>Transparentný Triplex (PVC-PE-PVDC)</w:t>
      </w:r>
      <w:r w:rsidR="009831B0">
        <w:t>/</w:t>
      </w:r>
      <w:r w:rsidR="00FF2939">
        <w:t>hliníkový</w:t>
      </w:r>
      <w:r w:rsidR="007266AA">
        <w:t xml:space="preserve"> </w:t>
      </w:r>
      <w:r w:rsidR="005C5C47">
        <w:t>blister.</w:t>
      </w:r>
    </w:p>
    <w:p w14:paraId="2BD7DA8C" w14:textId="77777777" w:rsidR="007266AA" w:rsidRDefault="007266AA">
      <w:pPr>
        <w:spacing w:line="240" w:lineRule="auto"/>
      </w:pPr>
      <w:r>
        <w:t>10</w:t>
      </w:r>
      <w:r w:rsidR="000B5789">
        <w:t>, 30, 50, 60 a 90  kaps</w:t>
      </w:r>
      <w:r w:rsidR="00E54983">
        <w:t>úl</w:t>
      </w:r>
    </w:p>
    <w:p w14:paraId="12E7ED4D" w14:textId="77777777" w:rsidR="007266AA" w:rsidRDefault="007266AA">
      <w:pPr>
        <w:spacing w:line="240" w:lineRule="auto"/>
      </w:pPr>
    </w:p>
    <w:p w14:paraId="66875E8A" w14:textId="77777777" w:rsidR="007266AA" w:rsidRDefault="007266AA">
      <w:pPr>
        <w:spacing w:line="240" w:lineRule="auto"/>
      </w:pPr>
      <w:r>
        <w:rPr>
          <w:szCs w:val="24"/>
        </w:rPr>
        <w:t>Na trh nemusia byť uvedené</w:t>
      </w:r>
      <w:r>
        <w:rPr>
          <w:noProof/>
          <w:szCs w:val="22"/>
        </w:rPr>
        <w:t xml:space="preserve"> všetky veľkosti balenia</w:t>
      </w:r>
      <w:r>
        <w:t>.</w:t>
      </w:r>
    </w:p>
    <w:p w14:paraId="7242BD7B" w14:textId="77777777" w:rsidR="007266AA" w:rsidRDefault="007266AA">
      <w:pPr>
        <w:spacing w:line="240" w:lineRule="auto"/>
      </w:pPr>
    </w:p>
    <w:p w14:paraId="056C005D" w14:textId="77777777" w:rsidR="007266AA" w:rsidRDefault="007266AA">
      <w:pPr>
        <w:spacing w:line="240" w:lineRule="auto"/>
        <w:ind w:left="567" w:hanging="567"/>
        <w:outlineLvl w:val="0"/>
      </w:pPr>
      <w:r>
        <w:rPr>
          <w:b/>
        </w:rPr>
        <w:t>6.6</w:t>
      </w:r>
      <w:r>
        <w:tab/>
      </w:r>
      <w:r>
        <w:rPr>
          <w:b/>
        </w:rPr>
        <w:t>Špeciálne opatrenia na likvidáciu a iné zaobchádzanie s liekom</w:t>
      </w:r>
    </w:p>
    <w:p w14:paraId="1B5699D3" w14:textId="77777777" w:rsidR="007266AA" w:rsidRDefault="007266AA">
      <w:pPr>
        <w:spacing w:line="240" w:lineRule="auto"/>
      </w:pPr>
    </w:p>
    <w:p w14:paraId="6457E34E" w14:textId="77777777" w:rsidR="007266AA" w:rsidRDefault="007266AA">
      <w:pPr>
        <w:spacing w:line="240" w:lineRule="auto"/>
      </w:pPr>
      <w:r>
        <w:t xml:space="preserve">Dutasterid sa absorbuje cez </w:t>
      </w:r>
      <w:r w:rsidR="00C170B0">
        <w:t>kožu</w:t>
      </w:r>
      <w:r>
        <w:t xml:space="preserve">, preto je treba zabrániť kontaktu s </w:t>
      </w:r>
      <w:r w:rsidR="008701A8">
        <w:t>vytekajúcimi</w:t>
      </w:r>
      <w:r>
        <w:t xml:space="preserve"> kapsulami. Ak došlo ku kontaktu s </w:t>
      </w:r>
      <w:r w:rsidR="008701A8">
        <w:t>vytekajúcimi</w:t>
      </w:r>
      <w:r>
        <w:t xml:space="preserve"> kapsulami, musí sa oblasť kontaktu okamžite umyť mydlom a vodou (pozri časť 4.4).</w:t>
      </w:r>
    </w:p>
    <w:p w14:paraId="1AB81542" w14:textId="77777777" w:rsidR="007266AA" w:rsidRDefault="007266AA">
      <w:pPr>
        <w:spacing w:line="240" w:lineRule="auto"/>
      </w:pPr>
    </w:p>
    <w:p w14:paraId="23144A5D" w14:textId="77777777" w:rsidR="007266AA" w:rsidRDefault="00644426">
      <w:pPr>
        <w:spacing w:line="240" w:lineRule="auto"/>
      </w:pPr>
      <w:r>
        <w:rPr>
          <w:noProof/>
          <w:szCs w:val="22"/>
        </w:rPr>
        <w:t>Všetok n</w:t>
      </w:r>
      <w:r w:rsidR="007266AA">
        <w:rPr>
          <w:noProof/>
          <w:szCs w:val="22"/>
        </w:rPr>
        <w:t xml:space="preserve">epoužitý liek alebo odpad vzniknutý z lieku </w:t>
      </w:r>
      <w:r>
        <w:rPr>
          <w:noProof/>
          <w:szCs w:val="22"/>
        </w:rPr>
        <w:t>sa má zlikvidovať v súlade s národnými požiadavkami</w:t>
      </w:r>
      <w:r w:rsidR="007266AA">
        <w:t>.</w:t>
      </w:r>
    </w:p>
    <w:p w14:paraId="5C758CE7" w14:textId="77777777" w:rsidR="007266AA" w:rsidRDefault="007266AA">
      <w:pPr>
        <w:spacing w:line="240" w:lineRule="auto"/>
      </w:pPr>
    </w:p>
    <w:p w14:paraId="24AB5FD3" w14:textId="77777777" w:rsidR="007266AA" w:rsidRDefault="007266AA">
      <w:pPr>
        <w:spacing w:line="240" w:lineRule="auto"/>
      </w:pPr>
    </w:p>
    <w:p w14:paraId="5D87D653" w14:textId="77777777" w:rsidR="007266AA" w:rsidRDefault="007266AA">
      <w:pPr>
        <w:spacing w:line="240" w:lineRule="auto"/>
        <w:ind w:left="567" w:hanging="567"/>
      </w:pPr>
      <w:r>
        <w:rPr>
          <w:b/>
        </w:rPr>
        <w:t>7.</w:t>
      </w:r>
      <w:r>
        <w:tab/>
      </w:r>
      <w:r>
        <w:rPr>
          <w:b/>
        </w:rPr>
        <w:t>DRŽITEĽ ROZHODNUTIA O REGISTRÁCII</w:t>
      </w:r>
    </w:p>
    <w:p w14:paraId="3F362297" w14:textId="77777777" w:rsidR="007266AA" w:rsidRDefault="007266AA">
      <w:pPr>
        <w:spacing w:line="240" w:lineRule="auto"/>
      </w:pPr>
    </w:p>
    <w:p w14:paraId="1AD9DF0A" w14:textId="77777777" w:rsidR="003524C5" w:rsidRPr="003524C5" w:rsidRDefault="003524C5" w:rsidP="003524C5">
      <w:pPr>
        <w:widowControl w:val="0"/>
        <w:tabs>
          <w:tab w:val="clear" w:pos="567"/>
        </w:tabs>
        <w:spacing w:before="8"/>
        <w:rPr>
          <w:rFonts w:eastAsia="Calibri"/>
          <w:szCs w:val="22"/>
          <w:lang w:val="pl-PL" w:eastAsia="en-US" w:bidi="ar-SA"/>
        </w:rPr>
      </w:pPr>
      <w:r w:rsidRPr="003524C5">
        <w:rPr>
          <w:rFonts w:eastAsia="Calibri"/>
          <w:szCs w:val="22"/>
          <w:lang w:val="pl-PL" w:eastAsia="en-US" w:bidi="ar-SA"/>
        </w:rPr>
        <w:t>Adamed Pharma S.A.</w:t>
      </w:r>
    </w:p>
    <w:p w14:paraId="334E307D" w14:textId="77777777" w:rsidR="003524C5" w:rsidRPr="003524C5" w:rsidRDefault="003524C5" w:rsidP="003524C5">
      <w:pPr>
        <w:widowControl w:val="0"/>
        <w:tabs>
          <w:tab w:val="clear" w:pos="567"/>
        </w:tabs>
        <w:spacing w:before="8"/>
        <w:rPr>
          <w:rFonts w:eastAsia="Calibri"/>
          <w:szCs w:val="22"/>
          <w:lang w:val="pl-PL" w:eastAsia="en-US" w:bidi="ar-SA"/>
        </w:rPr>
      </w:pPr>
      <w:r w:rsidRPr="003524C5">
        <w:rPr>
          <w:rFonts w:eastAsia="Calibri"/>
          <w:szCs w:val="22"/>
          <w:lang w:val="pl-PL" w:eastAsia="en-US" w:bidi="ar-SA"/>
        </w:rPr>
        <w:t>Pieńków, ul. M. Adamkiewicza 6A</w:t>
      </w:r>
    </w:p>
    <w:p w14:paraId="59A70B8B" w14:textId="77777777" w:rsidR="005C5C47" w:rsidRPr="009D281B" w:rsidRDefault="005C5C47" w:rsidP="005C5C47">
      <w:pPr>
        <w:spacing w:before="8"/>
      </w:pPr>
      <w:r w:rsidRPr="009D281B">
        <w:t>05-152 Czosnów</w:t>
      </w:r>
    </w:p>
    <w:p w14:paraId="7872AF0E" w14:textId="77777777" w:rsidR="005C5C47" w:rsidRPr="009D281B" w:rsidRDefault="005C5C47" w:rsidP="005C5C47">
      <w:pPr>
        <w:spacing w:before="8"/>
        <w:rPr>
          <w:szCs w:val="26"/>
        </w:rPr>
      </w:pPr>
      <w:r w:rsidRPr="009D281B">
        <w:t>Poľsko</w:t>
      </w:r>
    </w:p>
    <w:p w14:paraId="62B2AAF0" w14:textId="77777777" w:rsidR="007266AA" w:rsidRDefault="007266AA">
      <w:pPr>
        <w:spacing w:line="240" w:lineRule="auto"/>
      </w:pPr>
    </w:p>
    <w:p w14:paraId="7B54A6F4" w14:textId="77777777" w:rsidR="007266AA" w:rsidRDefault="007266AA">
      <w:pPr>
        <w:spacing w:line="240" w:lineRule="auto"/>
      </w:pPr>
    </w:p>
    <w:p w14:paraId="7995E2D0" w14:textId="77777777" w:rsidR="007266AA" w:rsidRDefault="007266AA">
      <w:pPr>
        <w:spacing w:line="240" w:lineRule="auto"/>
        <w:ind w:left="567" w:hanging="567"/>
        <w:rPr>
          <w:b/>
        </w:rPr>
      </w:pPr>
      <w:r>
        <w:rPr>
          <w:b/>
        </w:rPr>
        <w:t>8.</w:t>
      </w:r>
      <w:r>
        <w:tab/>
      </w:r>
      <w:r>
        <w:rPr>
          <w:b/>
        </w:rPr>
        <w:t>REGISTRAČNÉ ČÍSLO</w:t>
      </w:r>
    </w:p>
    <w:p w14:paraId="062B2F4A" w14:textId="77777777" w:rsidR="007266AA" w:rsidRDefault="007266AA">
      <w:pPr>
        <w:spacing w:line="240" w:lineRule="auto"/>
        <w:rPr>
          <w:i/>
        </w:rPr>
      </w:pPr>
    </w:p>
    <w:p w14:paraId="41C1E8BF" w14:textId="77777777" w:rsidR="007266AA" w:rsidRDefault="002C47A8">
      <w:pPr>
        <w:spacing w:line="240" w:lineRule="auto"/>
      </w:pPr>
      <w:r w:rsidRPr="002C47A8">
        <w:t>87/0209/17-S</w:t>
      </w:r>
    </w:p>
    <w:p w14:paraId="470AD070" w14:textId="77777777" w:rsidR="007266AA" w:rsidRDefault="007266AA">
      <w:pPr>
        <w:spacing w:line="240" w:lineRule="auto"/>
      </w:pPr>
    </w:p>
    <w:p w14:paraId="04EB257E" w14:textId="77777777" w:rsidR="007266AA" w:rsidRDefault="007266AA">
      <w:pPr>
        <w:spacing w:line="240" w:lineRule="auto"/>
      </w:pPr>
    </w:p>
    <w:p w14:paraId="4C0A0D38" w14:textId="77777777" w:rsidR="007266AA" w:rsidRDefault="007266AA">
      <w:pPr>
        <w:spacing w:line="240" w:lineRule="auto"/>
        <w:ind w:left="567" w:hanging="567"/>
      </w:pPr>
      <w:r>
        <w:rPr>
          <w:b/>
        </w:rPr>
        <w:t>9.</w:t>
      </w:r>
      <w:r>
        <w:tab/>
      </w:r>
      <w:r>
        <w:rPr>
          <w:b/>
        </w:rPr>
        <w:t>DÁTUM PRVEJ REGISTRÁCIE/PREDĹŽENIA REGISTRÁCIE</w:t>
      </w:r>
    </w:p>
    <w:p w14:paraId="38A9EAE5" w14:textId="77777777" w:rsidR="007266AA" w:rsidRDefault="007266AA">
      <w:pPr>
        <w:spacing w:line="240" w:lineRule="auto"/>
      </w:pPr>
    </w:p>
    <w:p w14:paraId="69A52CF4" w14:textId="459C0F95" w:rsidR="00133703" w:rsidRPr="00E25F9E" w:rsidRDefault="00133703" w:rsidP="00133703">
      <w:pPr>
        <w:spacing w:line="240" w:lineRule="auto"/>
      </w:pPr>
      <w:r w:rsidRPr="00E25F9E">
        <w:t xml:space="preserve">Dátum prvej registrácie: </w:t>
      </w:r>
      <w:r w:rsidR="003524C5" w:rsidRPr="003524C5">
        <w:t>19.</w:t>
      </w:r>
      <w:r w:rsidR="00FA2978">
        <w:t xml:space="preserve"> júl </w:t>
      </w:r>
      <w:r w:rsidR="003524C5" w:rsidRPr="003524C5">
        <w:t>2017</w:t>
      </w:r>
    </w:p>
    <w:p w14:paraId="00BA7DB6" w14:textId="77777777" w:rsidR="007266AA" w:rsidRDefault="007266AA">
      <w:pPr>
        <w:spacing w:line="240" w:lineRule="auto"/>
      </w:pPr>
    </w:p>
    <w:p w14:paraId="0D756645" w14:textId="77777777" w:rsidR="00FC2D17" w:rsidRDefault="00FC2D17">
      <w:pPr>
        <w:spacing w:line="240" w:lineRule="auto"/>
      </w:pPr>
    </w:p>
    <w:p w14:paraId="6BE10C8D" w14:textId="77777777" w:rsidR="007266AA" w:rsidRDefault="007266AA">
      <w:pPr>
        <w:spacing w:line="240" w:lineRule="auto"/>
        <w:ind w:left="567" w:hanging="567"/>
        <w:rPr>
          <w:b/>
        </w:rPr>
      </w:pPr>
      <w:r>
        <w:rPr>
          <w:b/>
        </w:rPr>
        <w:t>10.</w:t>
      </w:r>
      <w:r>
        <w:tab/>
      </w:r>
      <w:r>
        <w:rPr>
          <w:b/>
        </w:rPr>
        <w:t>DÁTUM REVÍZIE TEXTU</w:t>
      </w:r>
    </w:p>
    <w:p w14:paraId="33AB7E5D" w14:textId="77777777" w:rsidR="007266AA" w:rsidRDefault="007266AA">
      <w:pPr>
        <w:spacing w:line="240" w:lineRule="auto"/>
      </w:pPr>
    </w:p>
    <w:p w14:paraId="551B7EB0" w14:textId="0023D7F4" w:rsidR="007266AA" w:rsidRDefault="003F757D">
      <w:pPr>
        <w:spacing w:line="240" w:lineRule="auto"/>
        <w:rPr>
          <w:noProof/>
        </w:rPr>
      </w:pPr>
      <w:r>
        <w:t>0</w:t>
      </w:r>
      <w:r w:rsidR="00A149FD">
        <w:t>5</w:t>
      </w:r>
      <w:r w:rsidR="00133703">
        <w:rPr>
          <w:noProof/>
        </w:rPr>
        <w:t>/201</w:t>
      </w:r>
      <w:r>
        <w:rPr>
          <w:noProof/>
        </w:rPr>
        <w:t>9</w:t>
      </w:r>
    </w:p>
    <w:sectPr w:rsidR="007266AA">
      <w:headerReference w:type="default" r:id="rId10"/>
      <w:footerReference w:type="default" r:id="rId11"/>
      <w:footerReference w:type="first" r:id="rId12"/>
      <w:endnotePr>
        <w:numFmt w:val="decimal"/>
      </w:endnotePr>
      <w:pgSz w:w="11907" w:h="16840" w:code="9"/>
      <w:pgMar w:top="1134" w:right="1134" w:bottom="1134" w:left="1134"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79C18" w14:textId="77777777" w:rsidR="00EF6F3C" w:rsidRDefault="00EF6F3C">
      <w:pPr>
        <w:spacing w:line="240" w:lineRule="auto"/>
      </w:pPr>
      <w:r>
        <w:separator/>
      </w:r>
    </w:p>
  </w:endnote>
  <w:endnote w:type="continuationSeparator" w:id="0">
    <w:p w14:paraId="11BCD4C1" w14:textId="77777777" w:rsidR="00EF6F3C" w:rsidRDefault="00EF6F3C">
      <w:pPr>
        <w:spacing w:line="240" w:lineRule="auto"/>
      </w:pPr>
      <w:r>
        <w:continuationSeparator/>
      </w:r>
    </w:p>
  </w:endnote>
  <w:endnote w:type="continuationNotice" w:id="1">
    <w:p w14:paraId="2BD5E4AC" w14:textId="77777777" w:rsidR="00EF6F3C" w:rsidRDefault="00EF6F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FCF15" w14:textId="77777777" w:rsidR="00CE5E12" w:rsidRPr="00B34AA8" w:rsidRDefault="00CE5E12">
    <w:pPr>
      <w:pStyle w:val="Pta"/>
      <w:jc w:val="center"/>
      <w:rPr>
        <w:rFonts w:ascii="Times New Roman" w:hAnsi="Times New Roman"/>
        <w:sz w:val="18"/>
        <w:szCs w:val="18"/>
      </w:rPr>
    </w:pPr>
    <w:r w:rsidRPr="00B34AA8">
      <w:rPr>
        <w:rFonts w:ascii="Times New Roman" w:hAnsi="Times New Roman"/>
        <w:sz w:val="18"/>
        <w:szCs w:val="18"/>
      </w:rPr>
      <w:fldChar w:fldCharType="begin"/>
    </w:r>
    <w:r w:rsidRPr="00B34AA8">
      <w:rPr>
        <w:rFonts w:ascii="Times New Roman" w:hAnsi="Times New Roman"/>
        <w:sz w:val="18"/>
        <w:szCs w:val="18"/>
      </w:rPr>
      <w:instrText>PAGE   \* MERGEFORMAT</w:instrText>
    </w:r>
    <w:r w:rsidRPr="00B34AA8">
      <w:rPr>
        <w:rFonts w:ascii="Times New Roman" w:hAnsi="Times New Roman"/>
        <w:sz w:val="18"/>
        <w:szCs w:val="18"/>
      </w:rPr>
      <w:fldChar w:fldCharType="separate"/>
    </w:r>
    <w:r w:rsidR="00017F3E">
      <w:rPr>
        <w:rFonts w:ascii="Times New Roman" w:hAnsi="Times New Roman"/>
        <w:noProof/>
        <w:sz w:val="18"/>
        <w:szCs w:val="18"/>
      </w:rPr>
      <w:t>2</w:t>
    </w:r>
    <w:r w:rsidRPr="00B34AA8">
      <w:rPr>
        <w:rFonts w:ascii="Times New Roman" w:hAnsi="Times New Roman"/>
        <w:sz w:val="18"/>
        <w:szCs w:val="18"/>
      </w:rPr>
      <w:fldChar w:fldCharType="end"/>
    </w:r>
  </w:p>
  <w:p w14:paraId="39D81B17" w14:textId="77777777" w:rsidR="007F6098" w:rsidRDefault="007F6098">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DB734" w14:textId="77777777" w:rsidR="007F6098" w:rsidRDefault="007F6098">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E26A9" w14:textId="77777777" w:rsidR="00EF6F3C" w:rsidRDefault="00EF6F3C">
      <w:pPr>
        <w:spacing w:line="240" w:lineRule="auto"/>
      </w:pPr>
      <w:r>
        <w:separator/>
      </w:r>
    </w:p>
  </w:footnote>
  <w:footnote w:type="continuationSeparator" w:id="0">
    <w:p w14:paraId="6312153A" w14:textId="77777777" w:rsidR="00EF6F3C" w:rsidRDefault="00EF6F3C">
      <w:pPr>
        <w:spacing w:line="240" w:lineRule="auto"/>
      </w:pPr>
      <w:r>
        <w:continuationSeparator/>
      </w:r>
    </w:p>
  </w:footnote>
  <w:footnote w:type="continuationNotice" w:id="1">
    <w:p w14:paraId="7756E015" w14:textId="77777777" w:rsidR="00EF6F3C" w:rsidRDefault="00EF6F3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81C07" w14:textId="7A205DC4" w:rsidR="00CE5E12" w:rsidRPr="0000136F" w:rsidRDefault="00C152ED" w:rsidP="00CE5E12">
    <w:pPr>
      <w:pStyle w:val="Hlavika"/>
      <w:rPr>
        <w:rFonts w:ascii="Times New Roman" w:hAnsi="Times New Roman"/>
      </w:rPr>
    </w:pPr>
    <w:r w:rsidRPr="00C152ED">
      <w:rPr>
        <w:rFonts w:ascii="Times New Roman" w:hAnsi="Times New Roman"/>
        <w:sz w:val="18"/>
        <w:szCs w:val="18"/>
      </w:rPr>
      <w:t>Príloha č. 1 k notifikácii o zmene</w:t>
    </w:r>
    <w:r w:rsidR="00CE5E12" w:rsidRPr="0000136F">
      <w:rPr>
        <w:rFonts w:ascii="Times New Roman" w:hAnsi="Times New Roman"/>
        <w:sz w:val="18"/>
        <w:szCs w:val="18"/>
      </w:rPr>
      <w:t>, ev.</w:t>
    </w:r>
    <w:r>
      <w:rPr>
        <w:rFonts w:ascii="Times New Roman" w:hAnsi="Times New Roman"/>
        <w:sz w:val="18"/>
        <w:szCs w:val="18"/>
      </w:rPr>
      <w:t xml:space="preserve"> </w:t>
    </w:r>
    <w:r w:rsidR="00CE5E12" w:rsidRPr="0000136F">
      <w:rPr>
        <w:rFonts w:ascii="Times New Roman" w:hAnsi="Times New Roman"/>
        <w:sz w:val="18"/>
        <w:szCs w:val="18"/>
      </w:rPr>
      <w:t xml:space="preserve">č.: </w:t>
    </w:r>
    <w:r w:rsidR="00DD152D" w:rsidRPr="00DD152D">
      <w:rPr>
        <w:rFonts w:ascii="Times New Roman" w:hAnsi="Times New Roman"/>
        <w:sz w:val="18"/>
        <w:szCs w:val="18"/>
      </w:rPr>
      <w:t>2019/00796-Z1A</w:t>
    </w:r>
  </w:p>
  <w:p w14:paraId="6FB7F635" w14:textId="77777777" w:rsidR="003524C5" w:rsidRDefault="003524C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96499"/>
    <w:multiLevelType w:val="hybridMultilevel"/>
    <w:tmpl w:val="CCEC312A"/>
    <w:lvl w:ilvl="0" w:tplc="49084426">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6F3396D"/>
    <w:multiLevelType w:val="hybridMultilevel"/>
    <w:tmpl w:val="ACBE6F8E"/>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FF594A"/>
    <w:multiLevelType w:val="hybridMultilevel"/>
    <w:tmpl w:val="14D21CD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2B3CE8"/>
    <w:multiLevelType w:val="hybridMultilevel"/>
    <w:tmpl w:val="9C781C7E"/>
    <w:lvl w:ilvl="0" w:tplc="7F66D3E6">
      <w:numFmt w:val="bullet"/>
      <w:lvlText w:val=""/>
      <w:lvlJc w:val="left"/>
      <w:pPr>
        <w:tabs>
          <w:tab w:val="num" w:pos="360"/>
        </w:tabs>
        <w:ind w:left="360" w:hanging="360"/>
      </w:pPr>
      <w:rPr>
        <w:rFonts w:ascii="Symbol" w:hAnsi="Symbol" w:cs="Times New Roman"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746C6"/>
    <w:multiLevelType w:val="hybridMultilevel"/>
    <w:tmpl w:val="9894D510"/>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F584EC1"/>
    <w:multiLevelType w:val="hybridMultilevel"/>
    <w:tmpl w:val="B5B8F88A"/>
    <w:lvl w:ilvl="0" w:tplc="ECE828FC">
      <w:start w:val="3"/>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C1F18"/>
    <w:multiLevelType w:val="multilevel"/>
    <w:tmpl w:val="3FDAEFD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1E137AE"/>
    <w:multiLevelType w:val="hybridMultilevel"/>
    <w:tmpl w:val="A99068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5B228C3"/>
    <w:multiLevelType w:val="hybridMultilevel"/>
    <w:tmpl w:val="5CC0BB2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BA32243"/>
    <w:multiLevelType w:val="hybridMultilevel"/>
    <w:tmpl w:val="C12C5278"/>
    <w:lvl w:ilvl="0" w:tplc="FFFFFFFF">
      <w:start w:val="1"/>
      <w:numFmt w:val="bullet"/>
      <w:lvlText w:val="-"/>
      <w:legacy w:legacy="1" w:legacySpace="0" w:legacyIndent="360"/>
      <w:lvlJc w:val="left"/>
      <w:pPr>
        <w:ind w:left="916" w:hanging="360"/>
      </w:p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2716"/>
        </w:tabs>
        <w:ind w:left="2716" w:hanging="360"/>
      </w:pPr>
      <w:rPr>
        <w:rFonts w:ascii="Wingdings" w:hAnsi="Wingdings" w:hint="default"/>
      </w:rPr>
    </w:lvl>
    <w:lvl w:ilvl="3" w:tplc="08090001" w:tentative="1">
      <w:start w:val="1"/>
      <w:numFmt w:val="bullet"/>
      <w:lvlText w:val=""/>
      <w:lvlJc w:val="left"/>
      <w:pPr>
        <w:tabs>
          <w:tab w:val="num" w:pos="3436"/>
        </w:tabs>
        <w:ind w:left="3436" w:hanging="360"/>
      </w:pPr>
      <w:rPr>
        <w:rFonts w:ascii="Symbol" w:hAnsi="Symbol" w:hint="default"/>
      </w:rPr>
    </w:lvl>
    <w:lvl w:ilvl="4" w:tplc="08090003" w:tentative="1">
      <w:start w:val="1"/>
      <w:numFmt w:val="bullet"/>
      <w:lvlText w:val="o"/>
      <w:lvlJc w:val="left"/>
      <w:pPr>
        <w:tabs>
          <w:tab w:val="num" w:pos="4156"/>
        </w:tabs>
        <w:ind w:left="4156" w:hanging="360"/>
      </w:pPr>
      <w:rPr>
        <w:rFonts w:ascii="Courier New" w:hAnsi="Courier New" w:cs="Courier New" w:hint="default"/>
      </w:rPr>
    </w:lvl>
    <w:lvl w:ilvl="5" w:tplc="08090005" w:tentative="1">
      <w:start w:val="1"/>
      <w:numFmt w:val="bullet"/>
      <w:lvlText w:val=""/>
      <w:lvlJc w:val="left"/>
      <w:pPr>
        <w:tabs>
          <w:tab w:val="num" w:pos="4876"/>
        </w:tabs>
        <w:ind w:left="4876" w:hanging="360"/>
      </w:pPr>
      <w:rPr>
        <w:rFonts w:ascii="Wingdings" w:hAnsi="Wingdings" w:hint="default"/>
      </w:rPr>
    </w:lvl>
    <w:lvl w:ilvl="6" w:tplc="08090001" w:tentative="1">
      <w:start w:val="1"/>
      <w:numFmt w:val="bullet"/>
      <w:lvlText w:val=""/>
      <w:lvlJc w:val="left"/>
      <w:pPr>
        <w:tabs>
          <w:tab w:val="num" w:pos="5596"/>
        </w:tabs>
        <w:ind w:left="5596" w:hanging="360"/>
      </w:pPr>
      <w:rPr>
        <w:rFonts w:ascii="Symbol" w:hAnsi="Symbol" w:hint="default"/>
      </w:rPr>
    </w:lvl>
    <w:lvl w:ilvl="7" w:tplc="08090003" w:tentative="1">
      <w:start w:val="1"/>
      <w:numFmt w:val="bullet"/>
      <w:lvlText w:val="o"/>
      <w:lvlJc w:val="left"/>
      <w:pPr>
        <w:tabs>
          <w:tab w:val="num" w:pos="6316"/>
        </w:tabs>
        <w:ind w:left="6316" w:hanging="360"/>
      </w:pPr>
      <w:rPr>
        <w:rFonts w:ascii="Courier New" w:hAnsi="Courier New" w:cs="Courier New" w:hint="default"/>
      </w:rPr>
    </w:lvl>
    <w:lvl w:ilvl="8" w:tplc="08090005" w:tentative="1">
      <w:start w:val="1"/>
      <w:numFmt w:val="bullet"/>
      <w:lvlText w:val=""/>
      <w:lvlJc w:val="left"/>
      <w:pPr>
        <w:tabs>
          <w:tab w:val="num" w:pos="7036"/>
        </w:tabs>
        <w:ind w:left="7036" w:hanging="360"/>
      </w:pPr>
      <w:rPr>
        <w:rFonts w:ascii="Wingdings" w:hAnsi="Wingdings" w:hint="default"/>
      </w:rPr>
    </w:lvl>
  </w:abstractNum>
  <w:abstractNum w:abstractNumId="19" w15:restartNumberingAfterBreak="0">
    <w:nsid w:val="741C3A3A"/>
    <w:multiLevelType w:val="hybridMultilevel"/>
    <w:tmpl w:val="7464A22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5323E62"/>
    <w:multiLevelType w:val="hybridMultilevel"/>
    <w:tmpl w:val="4154B18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6"/>
  </w:num>
  <w:num w:numId="3">
    <w:abstractNumId w:val="17"/>
  </w:num>
  <w:num w:numId="4">
    <w:abstractNumId w:val="8"/>
  </w:num>
  <w:num w:numId="5">
    <w:abstractNumId w:val="13"/>
  </w:num>
  <w:num w:numId="6">
    <w:abstractNumId w:val="5"/>
  </w:num>
  <w:num w:numId="7">
    <w:abstractNumId w:val="4"/>
  </w:num>
  <w:num w:numId="8">
    <w:abstractNumId w:val="11"/>
  </w:num>
  <w:num w:numId="9">
    <w:abstractNumId w:val="18"/>
  </w:num>
  <w:num w:numId="10">
    <w:abstractNumId w:val="2"/>
  </w:num>
  <w:num w:numId="11">
    <w:abstractNumId w:val="21"/>
  </w:num>
  <w:num w:numId="12">
    <w:abstractNumId w:val="12"/>
  </w:num>
  <w:num w:numId="13">
    <w:abstractNumId w:val="7"/>
  </w:num>
  <w:num w:numId="14">
    <w:abstractNumId w:val="10"/>
  </w:num>
  <w:num w:numId="15">
    <w:abstractNumId w:val="0"/>
    <w:lvlOverride w:ilvl="0">
      <w:lvl w:ilvl="0">
        <w:numFmt w:val="bullet"/>
        <w:lvlText w:val="•"/>
        <w:legacy w:legacy="1" w:legacySpace="0" w:legacyIndent="0"/>
        <w:lvlJc w:val="left"/>
        <w:rPr>
          <w:rFonts w:ascii="Helv" w:hAnsi="Helv" w:hint="default"/>
        </w:rPr>
      </w:lvl>
    </w:lvlOverride>
  </w:num>
  <w:num w:numId="16">
    <w:abstractNumId w:val="6"/>
  </w:num>
  <w:num w:numId="17">
    <w:abstractNumId w:val="14"/>
  </w:num>
  <w:num w:numId="18">
    <w:abstractNumId w:val="20"/>
  </w:num>
  <w:num w:numId="19">
    <w:abstractNumId w:val="19"/>
  </w:num>
  <w:num w:numId="20">
    <w:abstractNumId w:val="3"/>
  </w:num>
  <w:num w:numId="21">
    <w:abstractNumId w:val="1"/>
  </w:num>
  <w:num w:numId="22">
    <w:abstractNumId w:val="9"/>
  </w:num>
  <w:num w:numId="23">
    <w:abstractNumId w:val="0"/>
    <w:lvlOverride w:ilvl="0">
      <w:lvl w:ilvl="0">
        <w:start w:val="1"/>
        <w:numFmt w:val="bullet"/>
        <w:lvlText w:val="-"/>
        <w:legacy w:legacy="1" w:legacySpace="0" w:legacyIndent="360"/>
        <w:lvlJc w:val="left"/>
        <w:pPr>
          <w:ind w:left="360" w:hanging="360"/>
        </w:pPr>
      </w:lvl>
    </w:lvlOverride>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133703"/>
    <w:rsid w:val="00017F3E"/>
    <w:rsid w:val="00027AF0"/>
    <w:rsid w:val="00027D57"/>
    <w:rsid w:val="000506BB"/>
    <w:rsid w:val="000534B1"/>
    <w:rsid w:val="00061BD5"/>
    <w:rsid w:val="000635E0"/>
    <w:rsid w:val="00066DC3"/>
    <w:rsid w:val="0008186B"/>
    <w:rsid w:val="000A6C11"/>
    <w:rsid w:val="000B5789"/>
    <w:rsid w:val="000E0734"/>
    <w:rsid w:val="000E3960"/>
    <w:rsid w:val="000E7224"/>
    <w:rsid w:val="00111460"/>
    <w:rsid w:val="00112267"/>
    <w:rsid w:val="00113078"/>
    <w:rsid w:val="00133703"/>
    <w:rsid w:val="001524D9"/>
    <w:rsid w:val="001753EC"/>
    <w:rsid w:val="00185E1A"/>
    <w:rsid w:val="001925CA"/>
    <w:rsid w:val="00203EF1"/>
    <w:rsid w:val="00230228"/>
    <w:rsid w:val="002309FB"/>
    <w:rsid w:val="00245F02"/>
    <w:rsid w:val="00250A9B"/>
    <w:rsid w:val="00255A71"/>
    <w:rsid w:val="002608D1"/>
    <w:rsid w:val="00281D01"/>
    <w:rsid w:val="002820B9"/>
    <w:rsid w:val="00286BEE"/>
    <w:rsid w:val="002C47A8"/>
    <w:rsid w:val="002C642C"/>
    <w:rsid w:val="002C6FF5"/>
    <w:rsid w:val="002D643B"/>
    <w:rsid w:val="00304B46"/>
    <w:rsid w:val="00335F7B"/>
    <w:rsid w:val="00347A61"/>
    <w:rsid w:val="003524C5"/>
    <w:rsid w:val="00355E9D"/>
    <w:rsid w:val="00361338"/>
    <w:rsid w:val="0039326C"/>
    <w:rsid w:val="003A4902"/>
    <w:rsid w:val="003B68A9"/>
    <w:rsid w:val="003C0B18"/>
    <w:rsid w:val="003D5432"/>
    <w:rsid w:val="003F4DC7"/>
    <w:rsid w:val="003F757D"/>
    <w:rsid w:val="003F7F61"/>
    <w:rsid w:val="00432792"/>
    <w:rsid w:val="00441C99"/>
    <w:rsid w:val="004655ED"/>
    <w:rsid w:val="004C2A3E"/>
    <w:rsid w:val="004C54DF"/>
    <w:rsid w:val="004D2FA9"/>
    <w:rsid w:val="005011C2"/>
    <w:rsid w:val="00506F8A"/>
    <w:rsid w:val="00511B31"/>
    <w:rsid w:val="005132E3"/>
    <w:rsid w:val="00540F6B"/>
    <w:rsid w:val="005465D1"/>
    <w:rsid w:val="00554AC9"/>
    <w:rsid w:val="00567C08"/>
    <w:rsid w:val="005C5C47"/>
    <w:rsid w:val="005C742F"/>
    <w:rsid w:val="005D3A3C"/>
    <w:rsid w:val="00634CE6"/>
    <w:rsid w:val="00641229"/>
    <w:rsid w:val="00644426"/>
    <w:rsid w:val="0066311C"/>
    <w:rsid w:val="00666A37"/>
    <w:rsid w:val="006A5DA5"/>
    <w:rsid w:val="006C61E9"/>
    <w:rsid w:val="006D23A1"/>
    <w:rsid w:val="00722646"/>
    <w:rsid w:val="007266AA"/>
    <w:rsid w:val="0073138C"/>
    <w:rsid w:val="00775EB1"/>
    <w:rsid w:val="007A7752"/>
    <w:rsid w:val="007B0B1A"/>
    <w:rsid w:val="007C0F13"/>
    <w:rsid w:val="007D33B6"/>
    <w:rsid w:val="007E421A"/>
    <w:rsid w:val="007F17FA"/>
    <w:rsid w:val="007F6098"/>
    <w:rsid w:val="00813503"/>
    <w:rsid w:val="008547CB"/>
    <w:rsid w:val="008663BD"/>
    <w:rsid w:val="008701A8"/>
    <w:rsid w:val="0088118F"/>
    <w:rsid w:val="008C7B02"/>
    <w:rsid w:val="008F7CCF"/>
    <w:rsid w:val="00910A58"/>
    <w:rsid w:val="00923FA1"/>
    <w:rsid w:val="00940700"/>
    <w:rsid w:val="009831B0"/>
    <w:rsid w:val="009A0C34"/>
    <w:rsid w:val="009D7E9A"/>
    <w:rsid w:val="009E0B42"/>
    <w:rsid w:val="00A149FD"/>
    <w:rsid w:val="00A20DCF"/>
    <w:rsid w:val="00A57191"/>
    <w:rsid w:val="00A74D2C"/>
    <w:rsid w:val="00A800D6"/>
    <w:rsid w:val="00A82C53"/>
    <w:rsid w:val="00A85A1C"/>
    <w:rsid w:val="00A86811"/>
    <w:rsid w:val="00A909C8"/>
    <w:rsid w:val="00AE0411"/>
    <w:rsid w:val="00AF79ED"/>
    <w:rsid w:val="00B03930"/>
    <w:rsid w:val="00B10B03"/>
    <w:rsid w:val="00B21B7F"/>
    <w:rsid w:val="00B34AA8"/>
    <w:rsid w:val="00B36812"/>
    <w:rsid w:val="00B410F4"/>
    <w:rsid w:val="00B55D1D"/>
    <w:rsid w:val="00B6446F"/>
    <w:rsid w:val="00B70A10"/>
    <w:rsid w:val="00B85FBD"/>
    <w:rsid w:val="00B91F18"/>
    <w:rsid w:val="00BB3C22"/>
    <w:rsid w:val="00BB6DEE"/>
    <w:rsid w:val="00BC3066"/>
    <w:rsid w:val="00BC5388"/>
    <w:rsid w:val="00BF4C93"/>
    <w:rsid w:val="00C11537"/>
    <w:rsid w:val="00C152ED"/>
    <w:rsid w:val="00C170B0"/>
    <w:rsid w:val="00C211E9"/>
    <w:rsid w:val="00C348E6"/>
    <w:rsid w:val="00C359A8"/>
    <w:rsid w:val="00C43DB0"/>
    <w:rsid w:val="00C53457"/>
    <w:rsid w:val="00C731C5"/>
    <w:rsid w:val="00C837A0"/>
    <w:rsid w:val="00C95369"/>
    <w:rsid w:val="00CA258E"/>
    <w:rsid w:val="00CC08E6"/>
    <w:rsid w:val="00CE01DA"/>
    <w:rsid w:val="00CE1D2A"/>
    <w:rsid w:val="00CE5E12"/>
    <w:rsid w:val="00CF3579"/>
    <w:rsid w:val="00D014D1"/>
    <w:rsid w:val="00D10BF5"/>
    <w:rsid w:val="00D276C3"/>
    <w:rsid w:val="00D61242"/>
    <w:rsid w:val="00D6474A"/>
    <w:rsid w:val="00D75591"/>
    <w:rsid w:val="00DB0A2B"/>
    <w:rsid w:val="00DB2AA7"/>
    <w:rsid w:val="00DD152D"/>
    <w:rsid w:val="00DE037C"/>
    <w:rsid w:val="00E03736"/>
    <w:rsid w:val="00E13F31"/>
    <w:rsid w:val="00E37E96"/>
    <w:rsid w:val="00E54983"/>
    <w:rsid w:val="00E63004"/>
    <w:rsid w:val="00E71E4D"/>
    <w:rsid w:val="00E8689B"/>
    <w:rsid w:val="00EA51C8"/>
    <w:rsid w:val="00EB41AB"/>
    <w:rsid w:val="00ED1E47"/>
    <w:rsid w:val="00EF5BD5"/>
    <w:rsid w:val="00EF6F3C"/>
    <w:rsid w:val="00F34D99"/>
    <w:rsid w:val="00F433DC"/>
    <w:rsid w:val="00F511F3"/>
    <w:rsid w:val="00F544B8"/>
    <w:rsid w:val="00F60770"/>
    <w:rsid w:val="00F66DB0"/>
    <w:rsid w:val="00F72CB5"/>
    <w:rsid w:val="00F75A39"/>
    <w:rsid w:val="00F87DD3"/>
    <w:rsid w:val="00F93185"/>
    <w:rsid w:val="00FA2978"/>
    <w:rsid w:val="00FC1E23"/>
    <w:rsid w:val="00FC2D17"/>
    <w:rsid w:val="00FD698C"/>
    <w:rsid w:val="00FD72D0"/>
    <w:rsid w:val="00FE1F11"/>
    <w:rsid w:val="00FE41FC"/>
    <w:rsid w:val="00FF01F6"/>
    <w:rsid w:val="00FF2939"/>
    <w:rsid w:val="00FF70F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54125"/>
  <w15:chartTrackingRefBased/>
  <w15:docId w15:val="{5397C84B-79D2-40E1-B7C8-B1D747E7B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z w:val="22"/>
      <w:lang w:bidi="sk-SK"/>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pPr>
      <w:tabs>
        <w:tab w:val="clear" w:pos="567"/>
      </w:tabs>
      <w:autoSpaceDE w:val="0"/>
      <w:autoSpaceDN w:val="0"/>
      <w:adjustRightInd w:val="0"/>
      <w:spacing w:line="240" w:lineRule="auto"/>
      <w:ind w:left="720"/>
      <w:jc w:val="both"/>
    </w:pPr>
    <w:rPr>
      <w:szCs w:val="22"/>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pPr>
      <w:tabs>
        <w:tab w:val="clear" w:pos="567"/>
      </w:tabs>
      <w:spacing w:line="240" w:lineRule="auto"/>
    </w:pPr>
    <w:rPr>
      <w:i/>
      <w:color w:val="008000"/>
    </w:rPr>
  </w:style>
  <w:style w:type="paragraph" w:styleId="Zkladntext2">
    <w:name w:val="Body Text 2"/>
    <w:basedOn w:val="Normlny"/>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semiHidden/>
    <w:rPr>
      <w:sz w:val="20"/>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bidi="sk-SK"/>
    </w:rPr>
  </w:style>
  <w:style w:type="paragraph" w:customStyle="1" w:styleId="listssp">
    <w:name w:val="list:ssp"/>
    <w:basedOn w:val="Normlny"/>
    <w:pPr>
      <w:tabs>
        <w:tab w:val="clear" w:pos="567"/>
      </w:tabs>
      <w:spacing w:line="240" w:lineRule="auto"/>
    </w:pPr>
    <w:rPr>
      <w:sz w:val="24"/>
    </w:rPr>
  </w:style>
  <w:style w:type="paragraph" w:styleId="Textbubliny">
    <w:name w:val="Balloon Text"/>
    <w:basedOn w:val="Normlny"/>
    <w:semiHidden/>
    <w:rPr>
      <w:rFonts w:ascii="Tahoma" w:hAnsi="Tahoma" w:cs="Tahoma"/>
      <w:sz w:val="16"/>
      <w:szCs w:val="16"/>
    </w:rPr>
  </w:style>
  <w:style w:type="table" w:styleId="Mriekatabuky">
    <w:name w:val="Table Grid"/>
    <w:basedOn w:val="Normlnatabuk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after="240" w:line="240" w:lineRule="auto"/>
      <w:ind w:left="288" w:hanging="288"/>
    </w:pPr>
    <w:rPr>
      <w:sz w:val="20"/>
    </w:rPr>
  </w:style>
  <w:style w:type="paragraph" w:customStyle="1" w:styleId="lefthead12">
    <w:name w:val="lefthead12"/>
    <w:basedOn w:val="Normlny"/>
    <w:next w:val="Normlny"/>
    <w:pPr>
      <w:keepNext/>
      <w:tabs>
        <w:tab w:val="clear" w:pos="567"/>
      </w:tabs>
      <w:spacing w:after="240" w:line="240" w:lineRule="auto"/>
    </w:pPr>
    <w:rPr>
      <w:rFonts w:ascii="Arial" w:hAnsi="Arial"/>
      <w:b/>
      <w:sz w:val="24"/>
    </w:rPr>
  </w:style>
  <w:style w:type="paragraph" w:customStyle="1" w:styleId="NoNumHead4">
    <w:name w:val="NoNum:Head4"/>
    <w:basedOn w:val="Normlny"/>
    <w:next w:val="Normlny"/>
    <w:pPr>
      <w:keepNext/>
      <w:tabs>
        <w:tab w:val="clear" w:pos="567"/>
      </w:tabs>
      <w:spacing w:before="120" w:after="240" w:line="240" w:lineRule="auto"/>
      <w:outlineLvl w:val="0"/>
    </w:pPr>
    <w:rPr>
      <w:rFonts w:ascii="Arial" w:hAnsi="Arial"/>
      <w:b/>
    </w:rPr>
  </w:style>
  <w:style w:type="paragraph" w:styleId="Predmetkomentra">
    <w:name w:val="annotation subject"/>
    <w:basedOn w:val="Textkomentra"/>
    <w:next w:val="Textkomentra"/>
    <w:semiHidden/>
    <w:rPr>
      <w:b/>
      <w:bCs/>
    </w:rPr>
  </w:style>
  <w:style w:type="paragraph" w:customStyle="1" w:styleId="CharChar2">
    <w:name w:val="Char Char2"/>
    <w:basedOn w:val="Normlny"/>
    <w:pPr>
      <w:widowControl w:val="0"/>
      <w:tabs>
        <w:tab w:val="clear" w:pos="567"/>
      </w:tabs>
      <w:adjustRightInd w:val="0"/>
      <w:spacing w:after="160" w:line="240" w:lineRule="exact"/>
      <w:jc w:val="both"/>
      <w:textAlignment w:val="baseline"/>
    </w:pPr>
    <w:rPr>
      <w:rFonts w:ascii="Verdana" w:eastAsia="SimSun" w:hAnsi="Verdana"/>
      <w:sz w:val="20"/>
    </w:rPr>
  </w:style>
  <w:style w:type="paragraph" w:styleId="Revzia">
    <w:name w:val="Revision"/>
    <w:hidden/>
    <w:uiPriority w:val="99"/>
    <w:semiHidden/>
    <w:rPr>
      <w:sz w:val="22"/>
      <w:lang w:bidi="sk-SK"/>
    </w:rPr>
  </w:style>
  <w:style w:type="paragraph" w:customStyle="1" w:styleId="CharChar20">
    <w:name w:val="Char Char2"/>
    <w:basedOn w:val="Normlny"/>
    <w:pPr>
      <w:widowControl w:val="0"/>
      <w:tabs>
        <w:tab w:val="clear" w:pos="567"/>
      </w:tabs>
      <w:adjustRightInd w:val="0"/>
      <w:spacing w:after="160" w:line="240" w:lineRule="exact"/>
      <w:jc w:val="both"/>
      <w:textAlignment w:val="baseline"/>
    </w:pPr>
    <w:rPr>
      <w:rFonts w:ascii="Verdana" w:eastAsia="SimSun" w:hAnsi="Verdana"/>
      <w:sz w:val="20"/>
    </w:rPr>
  </w:style>
  <w:style w:type="paragraph" w:customStyle="1" w:styleId="Car">
    <w:name w:val="Car"/>
    <w:basedOn w:val="Normlny"/>
    <w:pPr>
      <w:widowControl w:val="0"/>
      <w:tabs>
        <w:tab w:val="clear" w:pos="567"/>
      </w:tabs>
      <w:adjustRightInd w:val="0"/>
      <w:spacing w:after="160" w:line="240" w:lineRule="exact"/>
      <w:jc w:val="both"/>
      <w:textAlignment w:val="baseline"/>
    </w:pPr>
    <w:rPr>
      <w:rFonts w:ascii="Verdana" w:eastAsia="SimSun" w:hAnsi="Verdana"/>
      <w:sz w:val="20"/>
    </w:rPr>
  </w:style>
  <w:style w:type="character" w:customStyle="1" w:styleId="Insertions">
    <w:name w:val="Insertions"/>
    <w:uiPriority w:val="1"/>
    <w:qFormat/>
    <w:rPr>
      <w:b/>
      <w:i/>
      <w:color w:val="FF0000"/>
    </w:rPr>
  </w:style>
  <w:style w:type="paragraph" w:styleId="Normlnysozarkami">
    <w:name w:val="Normal Indent"/>
    <w:basedOn w:val="Normlny"/>
    <w:pPr>
      <w:tabs>
        <w:tab w:val="clear" w:pos="567"/>
      </w:tabs>
      <w:spacing w:after="120" w:line="240" w:lineRule="auto"/>
      <w:ind w:left="720"/>
    </w:pPr>
  </w:style>
  <w:style w:type="character" w:styleId="Siln">
    <w:name w:val="Strong"/>
    <w:qFormat/>
    <w:rPr>
      <w:b/>
      <w:bCs/>
    </w:rPr>
  </w:style>
  <w:style w:type="paragraph" w:styleId="Odsekzoznamu">
    <w:name w:val="List Paragraph"/>
    <w:basedOn w:val="Normlny"/>
    <w:uiPriority w:val="34"/>
    <w:qFormat/>
    <w:pPr>
      <w:ind w:left="720"/>
      <w:contextualSpacing/>
    </w:pPr>
  </w:style>
  <w:style w:type="character" w:customStyle="1" w:styleId="HlavikaChar">
    <w:name w:val="Hlavička Char"/>
    <w:link w:val="Hlavika"/>
    <w:rsid w:val="00CE5E12"/>
    <w:rPr>
      <w:rFonts w:ascii="Helvetica" w:hAnsi="Helvetica"/>
      <w:lang w:bidi="sk-SK"/>
    </w:rPr>
  </w:style>
  <w:style w:type="character" w:customStyle="1" w:styleId="PtaChar">
    <w:name w:val="Päta Char"/>
    <w:link w:val="Pta"/>
    <w:uiPriority w:val="99"/>
    <w:rsid w:val="00CE5E12"/>
    <w:rPr>
      <w:rFonts w:ascii="Helvetica" w:hAnsi="Helvetica"/>
      <w:sz w:val="16"/>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21140">
      <w:bodyDiv w:val="1"/>
      <w:marLeft w:val="0"/>
      <w:marRight w:val="0"/>
      <w:marTop w:val="0"/>
      <w:marBottom w:val="0"/>
      <w:divBdr>
        <w:top w:val="none" w:sz="0" w:space="0" w:color="auto"/>
        <w:left w:val="none" w:sz="0" w:space="0" w:color="auto"/>
        <w:bottom w:val="none" w:sz="0" w:space="0" w:color="auto"/>
        <w:right w:val="none" w:sz="0" w:space="0" w:color="auto"/>
      </w:divBdr>
      <w:divsChild>
        <w:div w:id="1087652636">
          <w:marLeft w:val="0"/>
          <w:marRight w:val="0"/>
          <w:marTop w:val="0"/>
          <w:marBottom w:val="0"/>
          <w:divBdr>
            <w:top w:val="none" w:sz="0" w:space="0" w:color="auto"/>
            <w:left w:val="none" w:sz="0" w:space="0" w:color="auto"/>
            <w:bottom w:val="none" w:sz="0" w:space="0" w:color="auto"/>
            <w:right w:val="none" w:sz="0" w:space="0" w:color="auto"/>
          </w:divBdr>
          <w:divsChild>
            <w:div w:id="1017973719">
              <w:marLeft w:val="0"/>
              <w:marRight w:val="0"/>
              <w:marTop w:val="0"/>
              <w:marBottom w:val="0"/>
              <w:divBdr>
                <w:top w:val="none" w:sz="0" w:space="0" w:color="auto"/>
                <w:left w:val="none" w:sz="0" w:space="0" w:color="auto"/>
                <w:bottom w:val="none" w:sz="0" w:space="0" w:color="auto"/>
                <w:right w:val="none" w:sz="0" w:space="0" w:color="auto"/>
              </w:divBdr>
              <w:divsChild>
                <w:div w:id="784038685">
                  <w:marLeft w:val="0"/>
                  <w:marRight w:val="0"/>
                  <w:marTop w:val="0"/>
                  <w:marBottom w:val="0"/>
                  <w:divBdr>
                    <w:top w:val="none" w:sz="0" w:space="0" w:color="auto"/>
                    <w:left w:val="none" w:sz="0" w:space="0" w:color="auto"/>
                    <w:bottom w:val="none" w:sz="0" w:space="0" w:color="auto"/>
                    <w:right w:val="none" w:sz="0" w:space="0" w:color="auto"/>
                  </w:divBdr>
                  <w:divsChild>
                    <w:div w:id="1238173020">
                      <w:marLeft w:val="0"/>
                      <w:marRight w:val="0"/>
                      <w:marTop w:val="0"/>
                      <w:marBottom w:val="0"/>
                      <w:divBdr>
                        <w:top w:val="none" w:sz="0" w:space="0" w:color="auto"/>
                        <w:left w:val="none" w:sz="0" w:space="0" w:color="auto"/>
                        <w:bottom w:val="none" w:sz="0" w:space="0" w:color="auto"/>
                        <w:right w:val="none" w:sz="0" w:space="0" w:color="auto"/>
                      </w:divBdr>
                      <w:divsChild>
                        <w:div w:id="3559164">
                          <w:marLeft w:val="0"/>
                          <w:marRight w:val="0"/>
                          <w:marTop w:val="0"/>
                          <w:marBottom w:val="0"/>
                          <w:divBdr>
                            <w:top w:val="none" w:sz="0" w:space="0" w:color="auto"/>
                            <w:left w:val="none" w:sz="0" w:space="0" w:color="auto"/>
                            <w:bottom w:val="none" w:sz="0" w:space="0" w:color="auto"/>
                            <w:right w:val="none" w:sz="0" w:space="0" w:color="auto"/>
                          </w:divBdr>
                          <w:divsChild>
                            <w:div w:id="723332786">
                              <w:marLeft w:val="0"/>
                              <w:marRight w:val="0"/>
                              <w:marTop w:val="0"/>
                              <w:marBottom w:val="0"/>
                              <w:divBdr>
                                <w:top w:val="none" w:sz="0" w:space="0" w:color="auto"/>
                                <w:left w:val="none" w:sz="0" w:space="0" w:color="auto"/>
                                <w:bottom w:val="none" w:sz="0" w:space="0" w:color="auto"/>
                                <w:right w:val="none" w:sz="0" w:space="0" w:color="auto"/>
                              </w:divBdr>
                              <w:divsChild>
                                <w:div w:id="1552377604">
                                  <w:marLeft w:val="0"/>
                                  <w:marRight w:val="0"/>
                                  <w:marTop w:val="0"/>
                                  <w:marBottom w:val="0"/>
                                  <w:divBdr>
                                    <w:top w:val="none" w:sz="0" w:space="0" w:color="auto"/>
                                    <w:left w:val="none" w:sz="0" w:space="0" w:color="auto"/>
                                    <w:bottom w:val="none" w:sz="0" w:space="0" w:color="auto"/>
                                    <w:right w:val="none" w:sz="0" w:space="0" w:color="auto"/>
                                  </w:divBdr>
                                  <w:divsChild>
                                    <w:div w:id="1529948065">
                                      <w:marLeft w:val="60"/>
                                      <w:marRight w:val="0"/>
                                      <w:marTop w:val="0"/>
                                      <w:marBottom w:val="0"/>
                                      <w:divBdr>
                                        <w:top w:val="none" w:sz="0" w:space="0" w:color="auto"/>
                                        <w:left w:val="none" w:sz="0" w:space="0" w:color="auto"/>
                                        <w:bottom w:val="none" w:sz="0" w:space="0" w:color="auto"/>
                                        <w:right w:val="none" w:sz="0" w:space="0" w:color="auto"/>
                                      </w:divBdr>
                                      <w:divsChild>
                                        <w:div w:id="814567996">
                                          <w:marLeft w:val="0"/>
                                          <w:marRight w:val="0"/>
                                          <w:marTop w:val="0"/>
                                          <w:marBottom w:val="0"/>
                                          <w:divBdr>
                                            <w:top w:val="none" w:sz="0" w:space="0" w:color="auto"/>
                                            <w:left w:val="none" w:sz="0" w:space="0" w:color="auto"/>
                                            <w:bottom w:val="none" w:sz="0" w:space="0" w:color="auto"/>
                                            <w:right w:val="none" w:sz="0" w:space="0" w:color="auto"/>
                                          </w:divBdr>
                                          <w:divsChild>
                                            <w:div w:id="681400301">
                                              <w:marLeft w:val="0"/>
                                              <w:marRight w:val="0"/>
                                              <w:marTop w:val="0"/>
                                              <w:marBottom w:val="120"/>
                                              <w:divBdr>
                                                <w:top w:val="single" w:sz="6" w:space="0" w:color="F5F5F5"/>
                                                <w:left w:val="single" w:sz="6" w:space="0" w:color="F5F5F5"/>
                                                <w:bottom w:val="single" w:sz="6" w:space="0" w:color="F5F5F5"/>
                                                <w:right w:val="single" w:sz="6" w:space="0" w:color="F5F5F5"/>
                                              </w:divBdr>
                                              <w:divsChild>
                                                <w:div w:id="743841211">
                                                  <w:marLeft w:val="0"/>
                                                  <w:marRight w:val="0"/>
                                                  <w:marTop w:val="0"/>
                                                  <w:marBottom w:val="0"/>
                                                  <w:divBdr>
                                                    <w:top w:val="none" w:sz="0" w:space="0" w:color="auto"/>
                                                    <w:left w:val="none" w:sz="0" w:space="0" w:color="auto"/>
                                                    <w:bottom w:val="none" w:sz="0" w:space="0" w:color="auto"/>
                                                    <w:right w:val="none" w:sz="0" w:space="0" w:color="auto"/>
                                                  </w:divBdr>
                                                  <w:divsChild>
                                                    <w:div w:id="8723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632445">
      <w:bodyDiv w:val="1"/>
      <w:marLeft w:val="0"/>
      <w:marRight w:val="0"/>
      <w:marTop w:val="0"/>
      <w:marBottom w:val="0"/>
      <w:divBdr>
        <w:top w:val="none" w:sz="0" w:space="0" w:color="auto"/>
        <w:left w:val="none" w:sz="0" w:space="0" w:color="auto"/>
        <w:bottom w:val="none" w:sz="0" w:space="0" w:color="auto"/>
        <w:right w:val="none" w:sz="0" w:space="0" w:color="auto"/>
      </w:divBdr>
    </w:div>
    <w:div w:id="765078334">
      <w:bodyDiv w:val="1"/>
      <w:marLeft w:val="0"/>
      <w:marRight w:val="0"/>
      <w:marTop w:val="0"/>
      <w:marBottom w:val="0"/>
      <w:divBdr>
        <w:top w:val="none" w:sz="0" w:space="0" w:color="auto"/>
        <w:left w:val="none" w:sz="0" w:space="0" w:color="auto"/>
        <w:bottom w:val="none" w:sz="0" w:space="0" w:color="auto"/>
        <w:right w:val="none" w:sz="0" w:space="0" w:color="auto"/>
      </w:divBdr>
    </w:div>
    <w:div w:id="15322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2D39E-AACA-4894-A46A-620D8DFBEBD1}">
  <ds:schemaRefs>
    <ds:schemaRef ds:uri="http://schemas.openxmlformats.org/officeDocument/2006/bibliography"/>
  </ds:schemaRefs>
</ds:datastoreItem>
</file>

<file path=customXml/itemProps2.xml><?xml version="1.0" encoding="utf-8"?>
<ds:datastoreItem xmlns:ds="http://schemas.openxmlformats.org/officeDocument/2006/customXml" ds:itemID="{F6F54B6B-4728-4A09-9612-53AD7856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5533</Words>
  <Characters>31543</Characters>
  <Application>Microsoft Office Word</Application>
  <DocSecurity>0</DocSecurity>
  <Lines>262</Lines>
  <Paragraphs>74</Paragraphs>
  <ScaleCrop>false</ScaleCrop>
  <HeadingPairs>
    <vt:vector size="10" baseType="variant">
      <vt:variant>
        <vt:lpstr>Názov</vt:lpstr>
      </vt:variant>
      <vt:variant>
        <vt:i4>1</vt:i4>
      </vt:variant>
      <vt:variant>
        <vt:lpstr>Název</vt:lpstr>
      </vt:variant>
      <vt:variant>
        <vt:i4>1</vt:i4>
      </vt:variant>
      <vt:variant>
        <vt:lpstr>Title</vt:lpstr>
      </vt:variant>
      <vt:variant>
        <vt:i4>1</vt:i4>
      </vt:variant>
      <vt:variant>
        <vt:lpstr>Rubrik</vt:lpstr>
      </vt:variant>
      <vt:variant>
        <vt:i4>1</vt:i4>
      </vt:variant>
      <vt:variant>
        <vt:lpstr>Título</vt:lpstr>
      </vt:variant>
      <vt:variant>
        <vt:i4>1</vt:i4>
      </vt:variant>
    </vt:vector>
  </HeadingPairs>
  <TitlesOfParts>
    <vt:vector size="5" baseType="lpstr">
      <vt:lpstr>Avodart capsule, soft ENG</vt:lpstr>
      <vt:lpstr>Avodart capsule, soft ENG</vt:lpstr>
      <vt:lpstr>Avodart capsule, soft ENG</vt:lpstr>
      <vt:lpstr>Avodart capsule, soft ENG</vt:lpstr>
      <vt:lpstr>Version 1,12/2005</vt:lpstr>
    </vt:vector>
  </TitlesOfParts>
  <Company/>
  <LinksUpToDate>false</LinksUpToDate>
  <CharactersWithSpaces>37002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Avodart capsule, soft ENG</dc:title>
  <dc:subject/>
  <dc:creator>Foram</dc:creator>
  <cp:keywords/>
  <cp:lastModifiedBy>zuzana molnarova</cp:lastModifiedBy>
  <cp:revision>2</cp:revision>
  <cp:lastPrinted>2019-05-20T09:28:00Z</cp:lastPrinted>
  <dcterms:created xsi:type="dcterms:W3CDTF">2019-05-20T09:29:00Z</dcterms:created>
  <dcterms:modified xsi:type="dcterms:W3CDTF">2019-05-20T09:29:00Z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General-EMEA/397172/2005</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H-EN_referral_SPC-lab-pl_v.2</vt:lpwstr>
  </property>
  <property fmtid="{D5CDD505-2E9C-101B-9397-08002B2CF9AE}" pid="9" name="DM_Owner">
    <vt:lpwstr>Holemarova Zuzana</vt:lpwstr>
  </property>
  <property fmtid="{D5CDD505-2E9C-101B-9397-08002B2CF9AE}" pid="10" name="DM_Creation_Date">
    <vt:lpwstr>25/11/2005 13:25:04</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02/12/2005 13:03:57</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EMEA/397172/2005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397172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npl_id">
    <vt:lpwstr>20020719000102, </vt:lpwstr>
  </property>
  <property fmtid="{D5CDD505-2E9C-101B-9397-08002B2CF9AE}" pid="33" name="_NewReviewCycle">
    <vt:lpwstr/>
  </property>
</Properties>
</file>