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0A75B2" w14:textId="77777777" w:rsidR="005661CB" w:rsidRPr="008B12BE" w:rsidRDefault="005661CB" w:rsidP="00FF138C">
      <w:pPr>
        <w:spacing w:line="240" w:lineRule="auto"/>
        <w:outlineLvl w:val="0"/>
        <w:rPr>
          <w:caps/>
          <w:sz w:val="16"/>
          <w:szCs w:val="16"/>
          <w:lang w:val="sk-SK"/>
        </w:rPr>
      </w:pPr>
    </w:p>
    <w:p w14:paraId="0D520DBA" w14:textId="77777777" w:rsidR="00EC5A7C" w:rsidRDefault="00EC5A7C" w:rsidP="00FF138C">
      <w:pPr>
        <w:spacing w:line="240" w:lineRule="auto"/>
        <w:jc w:val="center"/>
        <w:outlineLvl w:val="0"/>
        <w:rPr>
          <w:b/>
          <w:bCs/>
          <w:caps/>
          <w:lang w:val="sk-SK"/>
        </w:rPr>
      </w:pPr>
    </w:p>
    <w:p w14:paraId="1FE546CE" w14:textId="77777777" w:rsidR="007B4C7C" w:rsidRPr="00C72CB1" w:rsidRDefault="007B4C7C" w:rsidP="00FF138C">
      <w:pPr>
        <w:spacing w:line="240" w:lineRule="auto"/>
        <w:jc w:val="center"/>
        <w:outlineLvl w:val="0"/>
        <w:rPr>
          <w:b/>
          <w:bCs/>
          <w:caps/>
          <w:lang w:val="sk-SK"/>
        </w:rPr>
      </w:pPr>
      <w:r w:rsidRPr="00C72CB1">
        <w:rPr>
          <w:b/>
          <w:bCs/>
          <w:caps/>
          <w:lang w:val="sk-SK"/>
        </w:rPr>
        <w:t>Súhrn charakteristických vlastností lieku</w:t>
      </w:r>
    </w:p>
    <w:p w14:paraId="39DA0316" w14:textId="77777777" w:rsidR="007B4C7C" w:rsidRPr="00FF138C" w:rsidRDefault="007B4C7C" w:rsidP="00FF138C">
      <w:pPr>
        <w:spacing w:line="240" w:lineRule="auto"/>
        <w:outlineLvl w:val="0"/>
        <w:rPr>
          <w:bCs/>
          <w:caps/>
          <w:lang w:val="sk-SK"/>
        </w:rPr>
      </w:pPr>
    </w:p>
    <w:p w14:paraId="7BB529F2" w14:textId="77777777" w:rsidR="007B4C7C" w:rsidRDefault="00A11458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1.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Názov lieku</w:t>
      </w:r>
    </w:p>
    <w:p w14:paraId="701729A3" w14:textId="77777777" w:rsidR="007B4C7C" w:rsidRDefault="007B4C7C" w:rsidP="00FF138C">
      <w:pPr>
        <w:pStyle w:val="Text"/>
        <w:spacing w:after="0" w:line="240" w:lineRule="auto"/>
        <w:rPr>
          <w:caps/>
          <w:sz w:val="22"/>
          <w:szCs w:val="22"/>
          <w:lang w:val="sk-SK"/>
        </w:rPr>
      </w:pPr>
    </w:p>
    <w:p w14:paraId="43A554D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0,25</w:t>
      </w:r>
      <w:r w:rsidR="00FF138C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</w:t>
      </w:r>
    </w:p>
    <w:p w14:paraId="38B3A07B" w14:textId="77777777" w:rsidR="007B4C7C" w:rsidRPr="00CD0904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D0904">
        <w:rPr>
          <w:caps/>
          <w:sz w:val="22"/>
          <w:szCs w:val="22"/>
          <w:lang w:val="sk-SK"/>
        </w:rPr>
        <w:t>Adartrel</w:t>
      </w:r>
      <w:r w:rsidRPr="00CD0904">
        <w:rPr>
          <w:sz w:val="22"/>
          <w:szCs w:val="22"/>
          <w:lang w:val="sk-SK"/>
        </w:rPr>
        <w:t xml:space="preserve"> 0,5</w:t>
      </w:r>
      <w:r w:rsidR="00FF138C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</w:t>
      </w:r>
    </w:p>
    <w:p w14:paraId="5E205E4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D0904">
        <w:rPr>
          <w:caps/>
          <w:sz w:val="22"/>
          <w:szCs w:val="22"/>
          <w:lang w:val="sk-SK"/>
        </w:rPr>
        <w:t>Adartrel</w:t>
      </w:r>
      <w:r w:rsidRPr="00CD0904">
        <w:rPr>
          <w:sz w:val="22"/>
          <w:szCs w:val="22"/>
          <w:lang w:val="sk-SK"/>
        </w:rPr>
        <w:t xml:space="preserve"> 2</w:t>
      </w:r>
      <w:r w:rsidR="00FF138C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</w:t>
      </w:r>
    </w:p>
    <w:p w14:paraId="7B107B97" w14:textId="77777777" w:rsidR="00BF2C02" w:rsidRDefault="00BF2C02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ACCE01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filmom obalené tablety.</w:t>
      </w:r>
    </w:p>
    <w:p w14:paraId="40BCE11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9130A71" w14:textId="77777777" w:rsidR="00FF138C" w:rsidRPr="00FF138C" w:rsidRDefault="00FF138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A844C8B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2.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Kvalitatívne a kvantitatívne zloženie</w:t>
      </w:r>
    </w:p>
    <w:p w14:paraId="207952E1" w14:textId="77777777" w:rsidR="007B4C7C" w:rsidRDefault="007B4C7C" w:rsidP="00FF138C">
      <w:pPr>
        <w:spacing w:line="240" w:lineRule="auto"/>
        <w:rPr>
          <w:lang w:val="sk-SK"/>
        </w:rPr>
      </w:pPr>
    </w:p>
    <w:p w14:paraId="696D482B" w14:textId="131F46A4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Každá filmom obalená tableta obsahuje 0,25</w:t>
      </w:r>
      <w:r w:rsidR="00FF138C">
        <w:rPr>
          <w:lang w:val="sk-SK"/>
        </w:rPr>
        <w:t> </w:t>
      </w:r>
      <w:r>
        <w:rPr>
          <w:lang w:val="sk-SK"/>
        </w:rPr>
        <w:t xml:space="preserve">mg </w:t>
      </w:r>
      <w:proofErr w:type="spellStart"/>
      <w:r>
        <w:rPr>
          <w:lang w:val="sk-SK"/>
        </w:rPr>
        <w:t>ropinirolu</w:t>
      </w:r>
      <w:proofErr w:type="spellEnd"/>
      <w:r>
        <w:rPr>
          <w:lang w:val="sk-SK"/>
        </w:rPr>
        <w:t xml:space="preserve"> (vo forme </w:t>
      </w:r>
      <w:proofErr w:type="spellStart"/>
      <w:r>
        <w:rPr>
          <w:lang w:val="sk-SK"/>
        </w:rPr>
        <w:t>hydrochloridu</w:t>
      </w:r>
      <w:proofErr w:type="spellEnd"/>
      <w:r>
        <w:rPr>
          <w:lang w:val="sk-SK"/>
        </w:rPr>
        <w:t>).</w:t>
      </w:r>
    </w:p>
    <w:p w14:paraId="69A280F9" w14:textId="55BE5BFB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63487">
        <w:rPr>
          <w:sz w:val="22"/>
          <w:szCs w:val="22"/>
          <w:u w:val="single"/>
          <w:lang w:val="sk-SK"/>
        </w:rPr>
        <w:t>Pomocná látka</w:t>
      </w:r>
      <w:r w:rsidR="00A11458" w:rsidRPr="00963487">
        <w:rPr>
          <w:noProof/>
          <w:sz w:val="22"/>
          <w:szCs w:val="24"/>
          <w:u w:val="single"/>
          <w:lang w:val="sk-SK" w:eastAsia="sk-SK"/>
        </w:rPr>
        <w:t xml:space="preserve"> </w:t>
      </w:r>
      <w:r w:rsidR="00A11458" w:rsidRPr="00963487">
        <w:rPr>
          <w:sz w:val="22"/>
          <w:szCs w:val="22"/>
          <w:u w:val="single"/>
          <w:lang w:val="sk-SK"/>
        </w:rPr>
        <w:t>so známym účinkom</w:t>
      </w:r>
      <w:r w:rsidR="00BF2C02">
        <w:rPr>
          <w:sz w:val="22"/>
          <w:szCs w:val="22"/>
          <w:u w:val="single"/>
          <w:lang w:val="sk-SK"/>
        </w:rPr>
        <w:t xml:space="preserve">: </w:t>
      </w:r>
      <w:r>
        <w:rPr>
          <w:sz w:val="22"/>
          <w:szCs w:val="22"/>
          <w:lang w:val="sk-SK"/>
        </w:rPr>
        <w:t>45,3 mg laktózy</w:t>
      </w:r>
      <w:r w:rsidRPr="00CF362E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(vo forme monohydrátu).</w:t>
      </w:r>
    </w:p>
    <w:p w14:paraId="7C719A83" w14:textId="77777777" w:rsidR="00280623" w:rsidRDefault="00280623" w:rsidP="00BF2C02">
      <w:pPr>
        <w:spacing w:line="240" w:lineRule="auto"/>
        <w:rPr>
          <w:highlight w:val="lightGray"/>
          <w:lang w:val="sk-SK"/>
        </w:rPr>
      </w:pPr>
    </w:p>
    <w:p w14:paraId="289AC053" w14:textId="02E092EF" w:rsidR="00BF2C02" w:rsidRPr="00CD0904" w:rsidRDefault="00BF2C02" w:rsidP="00BF2C02">
      <w:pPr>
        <w:spacing w:line="240" w:lineRule="auto"/>
        <w:rPr>
          <w:lang w:val="sk-SK"/>
        </w:rPr>
      </w:pPr>
      <w:r w:rsidRPr="00CD0904">
        <w:rPr>
          <w:lang w:val="sk-SK"/>
        </w:rPr>
        <w:t xml:space="preserve">Každá filmom obalená tableta obsahuje 0,5 mg </w:t>
      </w:r>
      <w:proofErr w:type="spellStart"/>
      <w:r w:rsidRPr="00CD0904">
        <w:rPr>
          <w:lang w:val="sk-SK"/>
        </w:rPr>
        <w:t>ropinirolu</w:t>
      </w:r>
      <w:proofErr w:type="spellEnd"/>
      <w:r w:rsidRPr="00CD0904">
        <w:rPr>
          <w:lang w:val="sk-SK"/>
        </w:rPr>
        <w:t xml:space="preserve"> (vo forme </w:t>
      </w:r>
      <w:proofErr w:type="spellStart"/>
      <w:r w:rsidRPr="00CD0904">
        <w:rPr>
          <w:lang w:val="sk-SK"/>
        </w:rPr>
        <w:t>hydrochloridu</w:t>
      </w:r>
      <w:proofErr w:type="spellEnd"/>
      <w:r w:rsidRPr="00CD0904">
        <w:rPr>
          <w:lang w:val="sk-SK"/>
        </w:rPr>
        <w:t>).</w:t>
      </w:r>
    </w:p>
    <w:p w14:paraId="53D1080B" w14:textId="52E98C78" w:rsidR="00BF2C02" w:rsidRPr="00CD0904" w:rsidRDefault="00BF2C02" w:rsidP="00BF2C0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u w:val="single"/>
          <w:lang w:val="sk-SK"/>
        </w:rPr>
        <w:t>Pomocná látka</w:t>
      </w:r>
      <w:r w:rsidRPr="00CD0904">
        <w:rPr>
          <w:noProof/>
          <w:sz w:val="22"/>
          <w:szCs w:val="24"/>
          <w:u w:val="single"/>
          <w:lang w:val="sk-SK" w:eastAsia="sk-SK"/>
        </w:rPr>
        <w:t xml:space="preserve"> </w:t>
      </w:r>
      <w:r w:rsidRPr="00CD0904">
        <w:rPr>
          <w:sz w:val="22"/>
          <w:szCs w:val="22"/>
          <w:u w:val="single"/>
          <w:lang w:val="sk-SK"/>
        </w:rPr>
        <w:t xml:space="preserve">so známym účinkom: </w:t>
      </w:r>
      <w:r w:rsidRPr="00CD0904">
        <w:rPr>
          <w:sz w:val="22"/>
          <w:szCs w:val="22"/>
          <w:lang w:val="sk-SK"/>
        </w:rPr>
        <w:t xml:space="preserve">45,0 mg laktózy (vo forme </w:t>
      </w:r>
      <w:proofErr w:type="spellStart"/>
      <w:r w:rsidRPr="00CD0904">
        <w:rPr>
          <w:sz w:val="22"/>
          <w:szCs w:val="22"/>
          <w:lang w:val="sk-SK"/>
        </w:rPr>
        <w:t>monohydrátu</w:t>
      </w:r>
      <w:proofErr w:type="spellEnd"/>
      <w:r w:rsidRPr="00CD0904">
        <w:rPr>
          <w:sz w:val="22"/>
          <w:szCs w:val="22"/>
          <w:lang w:val="sk-SK"/>
        </w:rPr>
        <w:t>).</w:t>
      </w:r>
    </w:p>
    <w:p w14:paraId="0B896C33" w14:textId="77777777" w:rsidR="00280623" w:rsidRPr="00FF7B87" w:rsidRDefault="00280623" w:rsidP="00BF2C02">
      <w:pPr>
        <w:spacing w:line="240" w:lineRule="auto"/>
        <w:rPr>
          <w:lang w:val="sk-SK"/>
        </w:rPr>
      </w:pPr>
    </w:p>
    <w:p w14:paraId="152E6A50" w14:textId="43757154" w:rsidR="00BF2C02" w:rsidRPr="00CD0904" w:rsidRDefault="00BF2C02" w:rsidP="00BF2C02">
      <w:pPr>
        <w:spacing w:line="240" w:lineRule="auto"/>
        <w:rPr>
          <w:lang w:val="sk-SK"/>
        </w:rPr>
      </w:pPr>
      <w:r w:rsidRPr="00CD0904">
        <w:rPr>
          <w:lang w:val="sk-SK"/>
        </w:rPr>
        <w:t>Každá filmom obalená tableta obsahuje 2</w:t>
      </w:r>
      <w:r w:rsidRPr="00CD0904">
        <w:rPr>
          <w:lang w:val="pt-BR"/>
        </w:rPr>
        <w:t> </w:t>
      </w:r>
      <w:r w:rsidRPr="00CD0904">
        <w:rPr>
          <w:lang w:val="sk-SK"/>
        </w:rPr>
        <w:t xml:space="preserve">mg </w:t>
      </w:r>
      <w:proofErr w:type="spellStart"/>
      <w:r w:rsidRPr="00CD0904">
        <w:rPr>
          <w:lang w:val="sk-SK"/>
        </w:rPr>
        <w:t>ropinirolu</w:t>
      </w:r>
      <w:proofErr w:type="spellEnd"/>
      <w:r w:rsidRPr="00CD0904">
        <w:rPr>
          <w:lang w:val="sk-SK"/>
        </w:rPr>
        <w:t xml:space="preserve"> (vo forme </w:t>
      </w:r>
      <w:proofErr w:type="spellStart"/>
      <w:r w:rsidRPr="00CD0904">
        <w:rPr>
          <w:lang w:val="sk-SK"/>
        </w:rPr>
        <w:t>hydrochloridu</w:t>
      </w:r>
      <w:proofErr w:type="spellEnd"/>
      <w:r w:rsidRPr="00CD0904">
        <w:rPr>
          <w:lang w:val="sk-SK"/>
        </w:rPr>
        <w:t>).</w:t>
      </w:r>
    </w:p>
    <w:p w14:paraId="30B12A26" w14:textId="2A2337A5" w:rsidR="00BF2C02" w:rsidRDefault="00BF2C02" w:rsidP="00BF2C02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u w:val="single"/>
          <w:lang w:val="sk-SK"/>
        </w:rPr>
        <w:t>Pomocná látka</w:t>
      </w:r>
      <w:r w:rsidRPr="00CD0904">
        <w:rPr>
          <w:noProof/>
          <w:sz w:val="22"/>
          <w:szCs w:val="24"/>
          <w:u w:val="single"/>
          <w:lang w:val="sk-SK" w:eastAsia="sk-SK"/>
        </w:rPr>
        <w:t xml:space="preserve"> </w:t>
      </w:r>
      <w:r w:rsidRPr="00CD0904">
        <w:rPr>
          <w:sz w:val="22"/>
          <w:szCs w:val="22"/>
          <w:u w:val="single"/>
          <w:lang w:val="sk-SK"/>
        </w:rPr>
        <w:t xml:space="preserve">so známym účinkom: </w:t>
      </w:r>
      <w:r w:rsidRPr="00CD0904">
        <w:rPr>
          <w:sz w:val="22"/>
          <w:szCs w:val="22"/>
          <w:lang w:val="sk-SK"/>
        </w:rPr>
        <w:t xml:space="preserve">44,6 mg laktózy (vo forme </w:t>
      </w:r>
      <w:proofErr w:type="spellStart"/>
      <w:r w:rsidRPr="00CD0904">
        <w:rPr>
          <w:sz w:val="22"/>
          <w:szCs w:val="22"/>
          <w:lang w:val="sk-SK"/>
        </w:rPr>
        <w:t>monohydrátu</w:t>
      </w:r>
      <w:proofErr w:type="spellEnd"/>
      <w:r w:rsidRPr="00CD0904">
        <w:rPr>
          <w:sz w:val="22"/>
          <w:szCs w:val="22"/>
          <w:lang w:val="sk-SK"/>
        </w:rPr>
        <w:t>).</w:t>
      </w:r>
    </w:p>
    <w:p w14:paraId="265BBE28" w14:textId="77777777" w:rsidR="00BF2C02" w:rsidRDefault="00BF2C02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9FF9C1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14:paraId="3E153B9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F9BB9AA" w14:textId="77777777" w:rsidR="00FF138C" w:rsidRPr="00FF138C" w:rsidRDefault="00FF138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2E963C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3.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Lieková forma</w:t>
      </w:r>
    </w:p>
    <w:p w14:paraId="2A464FB8" w14:textId="77777777" w:rsidR="007B4C7C" w:rsidRDefault="007B4C7C" w:rsidP="00FF138C">
      <w:pPr>
        <w:spacing w:line="240" w:lineRule="auto"/>
        <w:rPr>
          <w:color w:val="000000"/>
          <w:lang w:val="sk-SK"/>
        </w:rPr>
      </w:pPr>
    </w:p>
    <w:p w14:paraId="666D0A1A" w14:textId="77777777" w:rsidR="007B4C7C" w:rsidRDefault="007B4C7C" w:rsidP="00FF138C">
      <w:pPr>
        <w:spacing w:line="240" w:lineRule="auto"/>
        <w:rPr>
          <w:color w:val="000000"/>
          <w:lang w:val="sk-SK"/>
        </w:rPr>
      </w:pPr>
      <w:r>
        <w:rPr>
          <w:color w:val="000000"/>
          <w:lang w:val="sk-SK"/>
        </w:rPr>
        <w:t>Filmom obalená tableta.</w:t>
      </w:r>
    </w:p>
    <w:p w14:paraId="49BF5972" w14:textId="77777777" w:rsidR="00BB77F0" w:rsidRDefault="00BB77F0" w:rsidP="00FF138C">
      <w:pPr>
        <w:spacing w:line="240" w:lineRule="auto"/>
        <w:rPr>
          <w:color w:val="000000"/>
          <w:lang w:val="sk-SK"/>
        </w:rPr>
      </w:pPr>
    </w:p>
    <w:p w14:paraId="0029737F" w14:textId="77777777" w:rsidR="007B4C7C" w:rsidRDefault="007B4C7C" w:rsidP="00FF7B87">
      <w:pPr>
        <w:spacing w:line="240" w:lineRule="auto"/>
        <w:ind w:left="851" w:hanging="851"/>
        <w:rPr>
          <w:lang w:val="sk-SK"/>
        </w:rPr>
      </w:pPr>
      <w:r w:rsidRPr="003E5387">
        <w:rPr>
          <w:lang w:val="sk-SK"/>
        </w:rPr>
        <w:t>0,25</w:t>
      </w:r>
      <w:r w:rsidR="00FF138C" w:rsidRPr="003E5387">
        <w:rPr>
          <w:lang w:val="sk-SK"/>
        </w:rPr>
        <w:t> </w:t>
      </w:r>
      <w:r w:rsidRPr="003E5387">
        <w:rPr>
          <w:lang w:val="sk-SK"/>
        </w:rPr>
        <w:t>mg:</w:t>
      </w:r>
      <w:r>
        <w:rPr>
          <w:lang w:val="sk-SK"/>
        </w:rPr>
        <w:t xml:space="preserve"> Biela tableta päťuholníkového tvaru so skosenými hranami, označená "SB" na jednej a</w:t>
      </w:r>
      <w:r w:rsidR="00963487">
        <w:rPr>
          <w:lang w:val="sk-SK"/>
        </w:rPr>
        <w:t> </w:t>
      </w:r>
      <w:r>
        <w:rPr>
          <w:lang w:val="sk-SK"/>
        </w:rPr>
        <w:t>"4890" na druhej strane.</w:t>
      </w:r>
    </w:p>
    <w:p w14:paraId="51407FC4" w14:textId="77777777" w:rsidR="007B4C7C" w:rsidRPr="00CD0904" w:rsidRDefault="007B4C7C" w:rsidP="00FF7B87">
      <w:pPr>
        <w:spacing w:line="240" w:lineRule="auto"/>
        <w:ind w:left="851" w:hanging="851"/>
        <w:rPr>
          <w:lang w:val="sk-SK"/>
        </w:rPr>
      </w:pPr>
      <w:r w:rsidRPr="00CD0904">
        <w:rPr>
          <w:lang w:val="sk-SK"/>
        </w:rPr>
        <w:t>0,5</w:t>
      </w:r>
      <w:r w:rsidR="00FF138C" w:rsidRPr="00CD0904">
        <w:rPr>
          <w:lang w:val="sk-SK"/>
        </w:rPr>
        <w:t> </w:t>
      </w:r>
      <w:r w:rsidRPr="00CD0904">
        <w:rPr>
          <w:lang w:val="sk-SK"/>
        </w:rPr>
        <w:t>mg: Žltá tableta päťuholníkového tvaru so skosenými hranami, označená "SB" na jednej a "4891" na druhej strane.</w:t>
      </w:r>
    </w:p>
    <w:p w14:paraId="327257A0" w14:textId="77777777" w:rsidR="007B4C7C" w:rsidRDefault="007B4C7C" w:rsidP="00FF7B87">
      <w:pPr>
        <w:spacing w:line="240" w:lineRule="auto"/>
        <w:ind w:left="851" w:hanging="851"/>
        <w:rPr>
          <w:lang w:val="sk-SK"/>
        </w:rPr>
      </w:pPr>
      <w:r w:rsidRPr="00CD0904">
        <w:rPr>
          <w:lang w:val="sk-SK"/>
        </w:rPr>
        <w:t>2</w:t>
      </w:r>
      <w:r w:rsidR="00FF138C" w:rsidRPr="00CD0904">
        <w:rPr>
          <w:lang w:val="sk-SK"/>
        </w:rPr>
        <w:t> </w:t>
      </w:r>
      <w:r w:rsidRPr="00CD0904">
        <w:rPr>
          <w:lang w:val="sk-SK"/>
        </w:rPr>
        <w:t>mg: Ružová tableta päťuholníkového tvaru so skosenými hranami, označená "SB" na jednej a</w:t>
      </w:r>
      <w:r w:rsidR="00963487" w:rsidRPr="00CD0904">
        <w:rPr>
          <w:lang w:val="sk-SK"/>
        </w:rPr>
        <w:t> </w:t>
      </w:r>
      <w:r w:rsidRPr="00CD0904">
        <w:rPr>
          <w:lang w:val="sk-SK"/>
        </w:rPr>
        <w:t>"4893" na druhej strane.</w:t>
      </w:r>
    </w:p>
    <w:p w14:paraId="679859AF" w14:textId="77777777" w:rsidR="007B4C7C" w:rsidRDefault="007B4C7C" w:rsidP="00FF138C">
      <w:pPr>
        <w:spacing w:line="240" w:lineRule="auto"/>
        <w:rPr>
          <w:lang w:val="sk-SK"/>
        </w:rPr>
      </w:pPr>
    </w:p>
    <w:p w14:paraId="5AB57021" w14:textId="77777777" w:rsidR="00FF138C" w:rsidRDefault="00FF138C" w:rsidP="00FF138C">
      <w:pPr>
        <w:spacing w:line="240" w:lineRule="auto"/>
        <w:rPr>
          <w:lang w:val="sk-SK"/>
        </w:rPr>
      </w:pPr>
    </w:p>
    <w:p w14:paraId="7D9B8EDB" w14:textId="77777777" w:rsidR="007B4C7C" w:rsidRDefault="00FF138C" w:rsidP="00FF138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4.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Klinické údaje</w:t>
      </w:r>
    </w:p>
    <w:p w14:paraId="53C464D6" w14:textId="77777777" w:rsidR="00FF138C" w:rsidRPr="00FF138C" w:rsidRDefault="00FF138C" w:rsidP="00FF138C">
      <w:pPr>
        <w:spacing w:line="240" w:lineRule="auto"/>
        <w:outlineLvl w:val="0"/>
        <w:rPr>
          <w:bCs/>
          <w:caps/>
          <w:lang w:val="sk-SK"/>
        </w:rPr>
      </w:pPr>
    </w:p>
    <w:p w14:paraId="305D5A8F" w14:textId="77777777" w:rsidR="007B4C7C" w:rsidRDefault="00FF138C" w:rsidP="00FF138C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Terapeutické indikácie</w:t>
      </w:r>
    </w:p>
    <w:p w14:paraId="0867DA3F" w14:textId="77777777" w:rsidR="007B4C7C" w:rsidRDefault="007B4C7C" w:rsidP="00FF138C">
      <w:pPr>
        <w:pStyle w:val="Text"/>
        <w:spacing w:after="0" w:line="240" w:lineRule="auto"/>
        <w:rPr>
          <w:caps/>
          <w:sz w:val="22"/>
          <w:szCs w:val="22"/>
          <w:lang w:val="sk-SK"/>
        </w:rPr>
      </w:pPr>
    </w:p>
    <w:p w14:paraId="132C628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aps/>
          <w:sz w:val="22"/>
          <w:szCs w:val="22"/>
          <w:lang w:val="sk-SK"/>
        </w:rPr>
        <w:t>Adartrel</w:t>
      </w:r>
      <w:r>
        <w:rPr>
          <w:sz w:val="22"/>
          <w:szCs w:val="22"/>
          <w:lang w:val="sk-SK"/>
        </w:rPr>
        <w:t xml:space="preserve"> je indikovaný na symptomatickú liečbu stredne ťažkého až ťažkého idiopatického syndrómu nepokojných nôh (pozri časť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5.1).</w:t>
      </w:r>
    </w:p>
    <w:p w14:paraId="28CBAA82" w14:textId="77777777" w:rsidR="007B4C7C" w:rsidRPr="00A11458" w:rsidRDefault="007B4C7C" w:rsidP="00FF138C">
      <w:pPr>
        <w:pStyle w:val="Heading3"/>
        <w:keepNext w:val="0"/>
        <w:keepLines w:val="0"/>
        <w:spacing w:before="0" w:after="0" w:line="240" w:lineRule="auto"/>
        <w:rPr>
          <w:b w:val="0"/>
          <w:sz w:val="22"/>
          <w:szCs w:val="22"/>
          <w:lang w:val="sk-SK"/>
        </w:rPr>
      </w:pPr>
    </w:p>
    <w:p w14:paraId="2859072F" w14:textId="77777777" w:rsidR="007B4C7C" w:rsidRDefault="007B248A" w:rsidP="007B248A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Dávkovanie a spôsob podávania</w:t>
      </w:r>
    </w:p>
    <w:p w14:paraId="7A75544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22E856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Perorálne použitie.</w:t>
      </w:r>
    </w:p>
    <w:p w14:paraId="4DC08C05" w14:textId="77777777" w:rsidR="007B4C7C" w:rsidRPr="007B248A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EC88038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Dospelí</w:t>
      </w:r>
    </w:p>
    <w:p w14:paraId="1CEBE47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20A8C0D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 sa individuálne dávkovanie určené postupnou titráciou dávky, ktorá bude dostatočne účinná a dobre tolerovaná. Ropinirol sa má užiť tesne pred časom na spánok, dávka sa však môže užiť až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3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hodiny pred tým, ako sa ide spať. Ropinirol sa môže užiť s jedlom, aby sa zlepšila gastrointestinálna tolerancia.</w:t>
      </w:r>
    </w:p>
    <w:p w14:paraId="04F9B0A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9FA95E9" w14:textId="77777777" w:rsidR="007B4C7C" w:rsidRDefault="007B4C7C" w:rsidP="00FF138C">
      <w:pPr>
        <w:pStyle w:val="Text"/>
        <w:keepNext/>
        <w:keepLines/>
        <w:spacing w:after="0" w:line="240" w:lineRule="auto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lastRenderedPageBreak/>
        <w:t>Začiatok liečby (týždeň</w:t>
      </w:r>
      <w:r w:rsidR="007B248A">
        <w:rPr>
          <w:i/>
          <w:sz w:val="22"/>
          <w:szCs w:val="22"/>
          <w:lang w:val="sk-SK"/>
        </w:rPr>
        <w:t> </w:t>
      </w:r>
      <w:r>
        <w:rPr>
          <w:i/>
          <w:sz w:val="22"/>
          <w:szCs w:val="22"/>
          <w:lang w:val="sk-SK"/>
        </w:rPr>
        <w:t>1)</w:t>
      </w:r>
    </w:p>
    <w:p w14:paraId="1D560209" w14:textId="77777777" w:rsidR="007B248A" w:rsidRDefault="007B248A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0798C673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Odporúčaná počiatočná dávka je 0,25</w:t>
      </w:r>
      <w:r w:rsidR="007B248A" w:rsidRP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(podaná tak, ako je to uvedené vyššie) po</w:t>
      </w:r>
      <w:r w:rsidR="007B248A">
        <w:rPr>
          <w:sz w:val="22"/>
          <w:szCs w:val="22"/>
          <w:lang w:val="sk-SK"/>
        </w:rPr>
        <w:t>čas</w:t>
      </w:r>
      <w:r>
        <w:rPr>
          <w:sz w:val="22"/>
          <w:szCs w:val="22"/>
          <w:lang w:val="sk-SK"/>
        </w:rPr>
        <w:t xml:space="preserve"> 2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dní. Ak bude táto dávka dobre tolerovaná, dávka sa má zvýšiť na 0,5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po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zvyšok týždňa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1.</w:t>
      </w:r>
    </w:p>
    <w:p w14:paraId="0B01DF9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1EAF446" w14:textId="77777777" w:rsidR="007B4C7C" w:rsidRDefault="007B4C7C" w:rsidP="007B248A">
      <w:pPr>
        <w:pStyle w:val="Text"/>
        <w:keepNext/>
        <w:keepLines/>
        <w:spacing w:after="0" w:line="240" w:lineRule="auto"/>
        <w:outlineLvl w:val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Terapeutický režim (týždeň</w:t>
      </w:r>
      <w:r w:rsidR="007B248A">
        <w:rPr>
          <w:i/>
          <w:sz w:val="22"/>
          <w:szCs w:val="22"/>
          <w:lang w:val="sk-SK"/>
        </w:rPr>
        <w:t> </w:t>
      </w:r>
      <w:r>
        <w:rPr>
          <w:i/>
          <w:sz w:val="22"/>
          <w:szCs w:val="22"/>
          <w:lang w:val="sk-SK"/>
        </w:rPr>
        <w:t>2 a nasledujúce týždne)</w:t>
      </w:r>
    </w:p>
    <w:p w14:paraId="0DAA1486" w14:textId="77777777" w:rsidR="007B248A" w:rsidRDefault="007B248A" w:rsidP="007B248A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0E20C28" w14:textId="77777777" w:rsidR="007B4C7C" w:rsidRDefault="007B4C7C" w:rsidP="007B248A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 začatí liečby sa má denná dávka zvyšovať až dovtedy, kým sa nedosiahne optimálna terapeutická odpoveď. Priemerná dávka v klinických skúškach, u pacientov so stredne ťažkým až ťažkým syndrómom nepokojných nôh, bola 2</w:t>
      </w:r>
      <w:r w:rsidR="007B248A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</w:t>
      </w:r>
    </w:p>
    <w:p w14:paraId="0AF92C3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421A04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Dávka sa môže zvýšiť na 1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v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týždni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2. Dávka sa potom môže zvýšiť o 0,5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týždenne počas nasledujúcich dvoch týždňov na dávku 2</w:t>
      </w:r>
      <w:r w:rsidR="0060164E" w:rsidRP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 U niektorých pacientov sa na dosiahnutie optimálneho zlepšenia môže dávka postupne zvyšovať maximálne až na 4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denne. V klinických skúškach bola dávka zvýšená o 0,5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každý týždeň na 3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 a potom o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1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až na maximálnu odporúčanú dávku 4</w:t>
      </w:r>
      <w:r w:rsidR="0060164E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jedenkrát denne, ako je znázornené v tabuľke 1.</w:t>
      </w:r>
    </w:p>
    <w:p w14:paraId="690EB86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4C4535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Dávky vyššie ako 4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denne neboli u pacientov so syndrómom nepokojných nôh skúmané.</w:t>
      </w:r>
    </w:p>
    <w:p w14:paraId="2ABE960A" w14:textId="77777777" w:rsidR="007B4C7C" w:rsidRPr="00775F62" w:rsidRDefault="007B4C7C" w:rsidP="00FF138C">
      <w:pPr>
        <w:spacing w:line="240" w:lineRule="auto"/>
        <w:rPr>
          <w:bCs/>
          <w:lang w:val="sk-SK"/>
        </w:rPr>
      </w:pPr>
    </w:p>
    <w:p w14:paraId="6C8EB84D" w14:textId="77777777" w:rsidR="007B4C7C" w:rsidRDefault="007B4C7C" w:rsidP="00FF138C">
      <w:pPr>
        <w:spacing w:line="240" w:lineRule="auto"/>
        <w:rPr>
          <w:b/>
          <w:bCs/>
          <w:lang w:val="sk-SK"/>
        </w:rPr>
      </w:pPr>
      <w:r>
        <w:rPr>
          <w:bCs/>
          <w:u w:val="single"/>
          <w:lang w:val="sk-SK"/>
        </w:rPr>
        <w:t>Tabuľka</w:t>
      </w:r>
      <w:r w:rsidR="00775F62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 xml:space="preserve">1: </w:t>
      </w:r>
      <w:r>
        <w:rPr>
          <w:bCs/>
          <w:u w:val="single"/>
          <w:lang w:val="sk-SK"/>
        </w:rPr>
        <w:tab/>
        <w:t>Titrácia dávky</w:t>
      </w:r>
    </w:p>
    <w:p w14:paraId="3A41446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134"/>
        <w:gridCol w:w="1134"/>
        <w:gridCol w:w="1134"/>
        <w:gridCol w:w="1134"/>
        <w:gridCol w:w="1134"/>
      </w:tblGrid>
      <w:tr w:rsidR="007B4C7C" w14:paraId="3620D404" w14:textId="77777777">
        <w:trPr>
          <w:cantSplit/>
        </w:trPr>
        <w:tc>
          <w:tcPr>
            <w:tcW w:w="2943" w:type="dxa"/>
          </w:tcPr>
          <w:p w14:paraId="74EAFD82" w14:textId="77777777" w:rsidR="007B4C7C" w:rsidRDefault="007B4C7C" w:rsidP="00FF138C">
            <w:pPr>
              <w:pStyle w:val="Body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Týždeň</w:t>
            </w:r>
          </w:p>
        </w:tc>
        <w:tc>
          <w:tcPr>
            <w:tcW w:w="1134" w:type="dxa"/>
          </w:tcPr>
          <w:p w14:paraId="760C645A" w14:textId="77777777" w:rsidR="007B4C7C" w:rsidRDefault="007B4C7C" w:rsidP="00FF138C">
            <w:pPr>
              <w:pStyle w:val="Body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</w:t>
            </w:r>
          </w:p>
        </w:tc>
        <w:tc>
          <w:tcPr>
            <w:tcW w:w="1134" w:type="dxa"/>
          </w:tcPr>
          <w:p w14:paraId="5472C1E9" w14:textId="77777777" w:rsidR="007B4C7C" w:rsidRDefault="007B4C7C" w:rsidP="00FF138C">
            <w:pPr>
              <w:pStyle w:val="Body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3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14:paraId="5185F32A" w14:textId="77777777" w:rsidR="007B4C7C" w:rsidRDefault="007B4C7C" w:rsidP="00FF138C">
            <w:pPr>
              <w:pStyle w:val="Body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4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</w:tcPr>
          <w:p w14:paraId="1ACE8533" w14:textId="77777777" w:rsidR="007B4C7C" w:rsidRDefault="007B4C7C" w:rsidP="00FF138C">
            <w:pPr>
              <w:pStyle w:val="Body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5*</w:t>
            </w:r>
          </w:p>
        </w:tc>
        <w:tc>
          <w:tcPr>
            <w:tcW w:w="1134" w:type="dxa"/>
          </w:tcPr>
          <w:p w14:paraId="7FD8C16D" w14:textId="77777777" w:rsidR="007B4C7C" w:rsidRDefault="007B4C7C" w:rsidP="00FF138C">
            <w:pPr>
              <w:pStyle w:val="Body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6*</w:t>
            </w:r>
          </w:p>
        </w:tc>
        <w:tc>
          <w:tcPr>
            <w:tcW w:w="1134" w:type="dxa"/>
          </w:tcPr>
          <w:p w14:paraId="398172E0" w14:textId="77777777" w:rsidR="007B4C7C" w:rsidRDefault="007B4C7C" w:rsidP="00FF138C">
            <w:pPr>
              <w:pStyle w:val="BodyText"/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7*</w:t>
            </w:r>
          </w:p>
        </w:tc>
      </w:tr>
      <w:tr w:rsidR="007B4C7C" w14:paraId="6FEAC71E" w14:textId="77777777">
        <w:trPr>
          <w:cantSplit/>
        </w:trPr>
        <w:tc>
          <w:tcPr>
            <w:tcW w:w="2943" w:type="dxa"/>
          </w:tcPr>
          <w:p w14:paraId="247272B9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Dávka (mg)/jedenkrát denne</w:t>
            </w:r>
          </w:p>
        </w:tc>
        <w:tc>
          <w:tcPr>
            <w:tcW w:w="1134" w:type="dxa"/>
          </w:tcPr>
          <w:p w14:paraId="55A7F1CE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1</w:t>
            </w:r>
          </w:p>
        </w:tc>
        <w:tc>
          <w:tcPr>
            <w:tcW w:w="1134" w:type="dxa"/>
          </w:tcPr>
          <w:p w14:paraId="26F45A6F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1,5</w:t>
            </w:r>
          </w:p>
        </w:tc>
        <w:tc>
          <w:tcPr>
            <w:tcW w:w="1134" w:type="dxa"/>
            <w:tcBorders>
              <w:right w:val="thinThickSmallGap" w:sz="24" w:space="0" w:color="auto"/>
            </w:tcBorders>
          </w:tcPr>
          <w:p w14:paraId="073E0BB3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</w:t>
            </w:r>
          </w:p>
        </w:tc>
        <w:tc>
          <w:tcPr>
            <w:tcW w:w="1134" w:type="dxa"/>
            <w:tcBorders>
              <w:left w:val="thinThickSmallGap" w:sz="24" w:space="0" w:color="auto"/>
            </w:tcBorders>
          </w:tcPr>
          <w:p w14:paraId="72538E6B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2,5</w:t>
            </w:r>
          </w:p>
        </w:tc>
        <w:tc>
          <w:tcPr>
            <w:tcW w:w="1134" w:type="dxa"/>
          </w:tcPr>
          <w:p w14:paraId="0A8B8826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3</w:t>
            </w:r>
          </w:p>
        </w:tc>
        <w:tc>
          <w:tcPr>
            <w:tcW w:w="1134" w:type="dxa"/>
          </w:tcPr>
          <w:p w14:paraId="25F2D53A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4</w:t>
            </w:r>
          </w:p>
        </w:tc>
      </w:tr>
    </w:tbl>
    <w:p w14:paraId="1CE5BAD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* Na dosiahnutie optimálneho zlepšenia u niektorých pacientov.</w:t>
      </w:r>
    </w:p>
    <w:p w14:paraId="343CB39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7C1EB77" w14:textId="77777777" w:rsidR="00102883" w:rsidRPr="00EB1706" w:rsidRDefault="0010288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bCs/>
          <w:sz w:val="22"/>
          <w:szCs w:val="22"/>
          <w:lang w:val="sk-SK"/>
        </w:rPr>
        <w:t>Účinnosť liečby ropinirolom trvajúcej viac než 12 týždňov nebola preukázaná (pozri časť</w:t>
      </w:r>
      <w:r w:rsidR="00775F62">
        <w:rPr>
          <w:bCs/>
          <w:sz w:val="22"/>
          <w:szCs w:val="22"/>
          <w:lang w:val="sk-SK"/>
        </w:rPr>
        <w:t> </w:t>
      </w:r>
      <w:r>
        <w:rPr>
          <w:bCs/>
          <w:sz w:val="22"/>
          <w:szCs w:val="22"/>
          <w:lang w:val="sk-SK"/>
        </w:rPr>
        <w:t>5.1).</w:t>
      </w:r>
      <w:r w:rsidR="00B13331">
        <w:rPr>
          <w:bCs/>
          <w:sz w:val="22"/>
          <w:szCs w:val="22"/>
          <w:lang w:val="sk-SK"/>
        </w:rPr>
        <w:t xml:space="preserve"> Pacientova odpoveď sa má zhodnotiť po</w:t>
      </w:r>
      <w:r w:rsidR="00775F62">
        <w:rPr>
          <w:bCs/>
          <w:sz w:val="22"/>
          <w:szCs w:val="22"/>
          <w:lang w:val="sk-SK"/>
        </w:rPr>
        <w:t> </w:t>
      </w:r>
      <w:r w:rsidR="00B13331">
        <w:rPr>
          <w:bCs/>
          <w:sz w:val="22"/>
          <w:szCs w:val="22"/>
          <w:lang w:val="sk-SK"/>
        </w:rPr>
        <w:t>12 týždňoch liečby a má sa znovu zvážiť potreba pokračujúcej liečby.</w:t>
      </w:r>
      <w:r w:rsidR="00B13331" w:rsidRPr="00B13331">
        <w:rPr>
          <w:sz w:val="22"/>
          <w:szCs w:val="22"/>
          <w:lang w:val="sk-SK"/>
        </w:rPr>
        <w:t xml:space="preserve"> </w:t>
      </w:r>
      <w:r w:rsidR="00B13331">
        <w:rPr>
          <w:sz w:val="22"/>
          <w:szCs w:val="22"/>
          <w:lang w:val="sk-SK"/>
        </w:rPr>
        <w:t>Ak sa liečba preruší na viac ako na niekoľko dní, má sa opätovne začať titráciou dávky vykonanou tak, ako je to uvedené vyššie.</w:t>
      </w:r>
    </w:p>
    <w:p w14:paraId="0572FEA3" w14:textId="77777777" w:rsidR="00102883" w:rsidRDefault="0010288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3BD2939" w14:textId="77777777" w:rsidR="00413E97" w:rsidRDefault="00303B0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 xml:space="preserve">Keď sa prechádza z liečby iným agonistom dopamínu na liečbu ropinirolom, pred začatím liečby ropinirolom sa musia dodržať odporúčania držiteľa rozhodnutia o registrácii </w:t>
      </w:r>
      <w:r w:rsidR="001B56FB" w:rsidRPr="009B1D02">
        <w:rPr>
          <w:sz w:val="22"/>
          <w:szCs w:val="22"/>
          <w:lang w:val="sk-SK"/>
        </w:rPr>
        <w:t>na</w:t>
      </w:r>
      <w:r w:rsidRPr="009B1D02">
        <w:rPr>
          <w:sz w:val="22"/>
          <w:szCs w:val="22"/>
          <w:lang w:val="sk-SK"/>
        </w:rPr>
        <w:t xml:space="preserve"> vysadenie agonistu dopamínu</w:t>
      </w:r>
      <w:r w:rsidR="00413E97" w:rsidRPr="009B1D02">
        <w:rPr>
          <w:sz w:val="22"/>
          <w:szCs w:val="22"/>
          <w:lang w:val="sk-SK"/>
        </w:rPr>
        <w:t>.</w:t>
      </w:r>
    </w:p>
    <w:p w14:paraId="6AE36771" w14:textId="77777777" w:rsidR="00413E97" w:rsidRDefault="00413E97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79F74DB" w14:textId="0AC8B240" w:rsidR="008A278F" w:rsidRDefault="008A278F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165B3">
        <w:rPr>
          <w:sz w:val="22"/>
          <w:szCs w:val="22"/>
          <w:lang w:val="sk-SK"/>
        </w:rPr>
        <w:t xml:space="preserve">Tak ako pri iných agonistoch dopamínu, </w:t>
      </w:r>
      <w:r w:rsidR="00C165B3">
        <w:rPr>
          <w:sz w:val="22"/>
          <w:szCs w:val="22"/>
          <w:lang w:val="sk-SK"/>
        </w:rPr>
        <w:t>liečbu ropinirolom je potrebné ukončiť postupn</w:t>
      </w:r>
      <w:r w:rsidR="00D14795">
        <w:rPr>
          <w:sz w:val="22"/>
          <w:szCs w:val="22"/>
          <w:lang w:val="sk-SK"/>
        </w:rPr>
        <w:t>ým</w:t>
      </w:r>
      <w:r w:rsidR="006718F0">
        <w:rPr>
          <w:sz w:val="22"/>
          <w:szCs w:val="22"/>
          <w:lang w:val="sk-SK"/>
        </w:rPr>
        <w:t xml:space="preserve"> znižovaním dennej dávky </w:t>
      </w:r>
      <w:r w:rsidR="0072689C" w:rsidRPr="00615794">
        <w:rPr>
          <w:sz w:val="22"/>
          <w:szCs w:val="22"/>
          <w:lang w:val="sk-SK"/>
        </w:rPr>
        <w:t xml:space="preserve">v priebehu obdobia </w:t>
      </w:r>
      <w:r w:rsidR="0072689C" w:rsidRPr="000E2DDB">
        <w:rPr>
          <w:sz w:val="22"/>
          <w:szCs w:val="22"/>
          <w:lang w:val="sk-SK"/>
        </w:rPr>
        <w:t>jedného týždň</w:t>
      </w:r>
      <w:r w:rsidR="0072689C">
        <w:rPr>
          <w:sz w:val="22"/>
          <w:szCs w:val="22"/>
          <w:lang w:val="sk-SK"/>
        </w:rPr>
        <w:t>a</w:t>
      </w:r>
      <w:r w:rsidR="0072689C" w:rsidRPr="00C165B3">
        <w:rPr>
          <w:sz w:val="22"/>
          <w:szCs w:val="22"/>
          <w:lang w:val="sk-SK"/>
        </w:rPr>
        <w:t xml:space="preserve"> </w:t>
      </w:r>
      <w:r w:rsidRPr="00C165B3">
        <w:rPr>
          <w:sz w:val="22"/>
          <w:szCs w:val="22"/>
          <w:lang w:val="sk-SK"/>
        </w:rPr>
        <w:t>(pozri časť 4.4).</w:t>
      </w:r>
    </w:p>
    <w:p w14:paraId="2B52AD88" w14:textId="77777777" w:rsidR="008A278F" w:rsidRPr="00EB1706" w:rsidRDefault="008A278F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DD8082F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Deti a </w:t>
      </w:r>
      <w:r w:rsidR="00775F62">
        <w:rPr>
          <w:bCs/>
          <w:sz w:val="22"/>
          <w:szCs w:val="22"/>
          <w:u w:val="single"/>
          <w:lang w:val="sk-SK"/>
        </w:rPr>
        <w:t>dospievajúci</w:t>
      </w:r>
    </w:p>
    <w:p w14:paraId="03BEBB6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7275CF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ADARTREL sa neodporúča používať u detí mladších ako 18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rokov kvôli nedostatočným údajom o bezpečnosti a účinnosti.</w:t>
      </w:r>
    </w:p>
    <w:p w14:paraId="4C25682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21ABCB9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Starší pacienti</w:t>
      </w:r>
    </w:p>
    <w:p w14:paraId="66C6E36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70E598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>U pacientov vo veku 65</w:t>
      </w:r>
      <w:r w:rsidR="00775F62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rokov a viac je klírens ropinirolu znížený o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približne 15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%. Aj keď úprava dávky nie je vyžadovaná, dávka ropinirolu má byť titrovaná individuálne, so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starostlivým sledovaním znášanlivosti, až do optimálnej klinickej odpovede.</w:t>
      </w:r>
    </w:p>
    <w:p w14:paraId="7C8D86F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7F22AB" w14:textId="77777777" w:rsidR="007B4C7C" w:rsidRPr="00BE15F8" w:rsidRDefault="007B4C7C" w:rsidP="00FF138C">
      <w:pPr>
        <w:pStyle w:val="Text"/>
        <w:spacing w:after="0" w:line="240" w:lineRule="auto"/>
        <w:rPr>
          <w:bCs/>
          <w:sz w:val="22"/>
          <w:szCs w:val="22"/>
          <w:u w:val="single"/>
          <w:lang w:val="sk-SK"/>
        </w:rPr>
      </w:pPr>
      <w:r w:rsidRPr="00BE15F8">
        <w:rPr>
          <w:bCs/>
          <w:sz w:val="22"/>
          <w:szCs w:val="22"/>
          <w:u w:val="single"/>
          <w:lang w:val="sk-SK"/>
        </w:rPr>
        <w:t>Porucha funkcie obličiek</w:t>
      </w:r>
    </w:p>
    <w:p w14:paraId="1461E6D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AE1B57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s miernou až stredne ťažkou poruchou funkcie obličiek (klírens kreatinínu medzi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30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a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50</w:t>
      </w:r>
      <w:r w:rsidR="00775F62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ml/min) nie je potrebná žiadna úprava dávkovania.</w:t>
      </w:r>
    </w:p>
    <w:p w14:paraId="00340AF0" w14:textId="77777777" w:rsidR="00BB77F0" w:rsidRDefault="00BB77F0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8F8281" w14:textId="77777777" w:rsidR="007B4C7C" w:rsidRPr="00B6624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lastRenderedPageBreak/>
        <w:t>Štúdia zameraná na používanie ropinirolu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 xml:space="preserve">pacientov </w:t>
      </w:r>
      <w:r w:rsidR="00775F62">
        <w:rPr>
          <w:sz w:val="22"/>
          <w:szCs w:val="22"/>
          <w:lang w:val="sk-SK"/>
        </w:rPr>
        <w:t>v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termináln</w:t>
      </w:r>
      <w:r w:rsidR="00775F62">
        <w:rPr>
          <w:sz w:val="22"/>
          <w:szCs w:val="22"/>
          <w:lang w:val="sk-SK"/>
        </w:rPr>
        <w:t>o</w:t>
      </w:r>
      <w:r w:rsidRPr="00D9531D">
        <w:rPr>
          <w:sz w:val="22"/>
          <w:szCs w:val="22"/>
          <w:lang w:val="sk-SK"/>
        </w:rPr>
        <w:t>m štádi</w:t>
      </w:r>
      <w:r w:rsidR="00775F62">
        <w:rPr>
          <w:sz w:val="22"/>
          <w:szCs w:val="22"/>
          <w:lang w:val="sk-SK"/>
        </w:rPr>
        <w:t>u</w:t>
      </w:r>
      <w:r w:rsidRPr="00D9531D">
        <w:rPr>
          <w:sz w:val="22"/>
          <w:szCs w:val="22"/>
          <w:lang w:val="sk-SK"/>
        </w:rPr>
        <w:t xml:space="preserve"> ochorenia obličiek (pacienti podstupujúci hemodialýzu) preukázala, že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týchto pacientov je potrebná úprava dávky nasledovným spôsobom: odporúčaná úvodná dávka ADARTRELu je 0,25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mg jedenkrát denne. Ďalšie zvyšovanie dávky má byť na základe znášanlivosti a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účinnosti. Odporúčaná maximálna dávka ADARTRELu je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pacientov podstupujúcich pravidelnú hemodialýzu 3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mg/deň. Dodatočné dávky po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hemodialýze sa nevyžadujú (pozri časť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5.2).</w:t>
      </w:r>
    </w:p>
    <w:p w14:paraId="308E5586" w14:textId="77777777" w:rsidR="007B4C7C" w:rsidRPr="00D9531D" w:rsidRDefault="007B4C7C" w:rsidP="00FF138C">
      <w:pPr>
        <w:pStyle w:val="Text"/>
        <w:spacing w:after="0" w:line="240" w:lineRule="auto"/>
        <w:rPr>
          <w:sz w:val="22"/>
          <w:szCs w:val="22"/>
          <w:highlight w:val="green"/>
          <w:lang w:val="sk-SK"/>
        </w:rPr>
      </w:pPr>
    </w:p>
    <w:p w14:paraId="5F73B42B" w14:textId="77777777" w:rsidR="007B4C7C" w:rsidRPr="00982240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>Používanie ropinirolu u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pacientov s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ťažkou poruchou funkcie obličiek (klírens kreatinínu &lt;</w:t>
      </w:r>
      <w:r>
        <w:rPr>
          <w:sz w:val="22"/>
          <w:szCs w:val="22"/>
          <w:lang w:val="sk-SK"/>
        </w:rPr>
        <w:t> </w:t>
      </w:r>
      <w:r w:rsidRPr="0041733E">
        <w:rPr>
          <w:sz w:val="22"/>
          <w:szCs w:val="22"/>
          <w:lang w:val="sk-SK"/>
        </w:rPr>
        <w:t>30 ml/min) bez pravidelnej hemodialýzy sa neštudovalo.</w:t>
      </w:r>
    </w:p>
    <w:p w14:paraId="74D3C23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ACDB334" w14:textId="77777777" w:rsidR="007B4C7C" w:rsidRDefault="006733AD" w:rsidP="00EB1706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Kontraindikácie</w:t>
      </w:r>
    </w:p>
    <w:p w14:paraId="4060D730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E2C2BAB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Precitlivenosť na liečivo alebo na ktorúkoľvek z pomocných látok</w:t>
      </w:r>
      <w:r w:rsidR="006733AD">
        <w:rPr>
          <w:sz w:val="22"/>
          <w:szCs w:val="22"/>
          <w:lang w:val="sk-SK"/>
        </w:rPr>
        <w:t xml:space="preserve"> uvedených v časti 6.1</w:t>
      </w:r>
      <w:r>
        <w:rPr>
          <w:sz w:val="22"/>
          <w:szCs w:val="22"/>
          <w:lang w:val="sk-SK"/>
        </w:rPr>
        <w:t>.</w:t>
      </w:r>
    </w:p>
    <w:p w14:paraId="5F943A27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487CDBF" w14:textId="77777777" w:rsidR="007B4C7C" w:rsidRDefault="007B4C7C" w:rsidP="00EB1706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Ťažká porucha funkcie obličiek (klírens kreatinínu &lt; 30ml/min) </w:t>
      </w:r>
      <w:r w:rsidRPr="00D9531D">
        <w:rPr>
          <w:sz w:val="22"/>
          <w:szCs w:val="22"/>
          <w:lang w:val="sk-SK"/>
        </w:rPr>
        <w:t>bez pravidelnej hemodialýzy</w:t>
      </w:r>
      <w:r>
        <w:rPr>
          <w:sz w:val="22"/>
          <w:szCs w:val="22"/>
          <w:lang w:val="sk-SK"/>
        </w:rPr>
        <w:t>.</w:t>
      </w:r>
    </w:p>
    <w:p w14:paraId="78ED019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762B23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Ťažká porucha funkcie pečene.</w:t>
      </w:r>
    </w:p>
    <w:p w14:paraId="605C5A12" w14:textId="77777777" w:rsidR="007B4C7C" w:rsidRPr="006733AD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1F8602C" w14:textId="77777777" w:rsidR="007B4C7C" w:rsidRDefault="006733AD" w:rsidP="006733AD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4.4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Osobitné upozornenia a opatrenia pri používaní</w:t>
      </w:r>
    </w:p>
    <w:p w14:paraId="408E4696" w14:textId="77777777" w:rsidR="007B4C7C" w:rsidRPr="006733AD" w:rsidRDefault="007B4C7C" w:rsidP="00FF138C">
      <w:pPr>
        <w:pStyle w:val="Text"/>
        <w:spacing w:after="0" w:line="240" w:lineRule="auto"/>
        <w:outlineLvl w:val="0"/>
        <w:rPr>
          <w:sz w:val="22"/>
          <w:szCs w:val="22"/>
          <w:lang w:val="sk-SK"/>
        </w:rPr>
      </w:pPr>
    </w:p>
    <w:p w14:paraId="2D36B0B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sa nesmie používať na liečbu neuroleptickej akatízie, tasikinézy (neuroleptikami navodená kompulzívna tendencia chodiť), alebo sekundárneho syndrómu nepokojných nôh (napr. spôsobeného zlyhaním obličiek, anémiou z nedostatku železa alebo graviditou).</w:t>
      </w:r>
    </w:p>
    <w:p w14:paraId="262686F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13AE4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9531D">
        <w:rPr>
          <w:sz w:val="22"/>
          <w:szCs w:val="22"/>
          <w:lang w:val="sk-SK"/>
        </w:rPr>
        <w:t xml:space="preserve">Paradoxné zhoršenie príznakov syndrómu nepokojných nôh opisované ako tzv. augmentácia (zvýraznenie príznakov) (buď 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 xml:space="preserve">orší nástup, zvýšená intenzita, alebo rozšírenie príznakov na predtým nepostihnuté končatiny) alebo 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orý ranný spontánny návrat príznakov (opakovaný vý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yt príznakov v</w:t>
      </w:r>
      <w:r>
        <w:rPr>
          <w:sz w:val="22"/>
          <w:szCs w:val="22"/>
          <w:lang w:val="sk-SK"/>
        </w:rPr>
        <w:t> </w:t>
      </w:r>
      <w:smartTag w:uri="urn:schemas-microsoft-com:office:smarttags" w:element="PersonName">
        <w:r w:rsidRPr="00D9531D">
          <w:rPr>
            <w:sz w:val="22"/>
            <w:szCs w:val="22"/>
            <w:lang w:val="sk-SK"/>
          </w:rPr>
          <w:t>sk</w:t>
        </w:r>
      </w:smartTag>
      <w:r w:rsidRPr="00D9531D">
        <w:rPr>
          <w:sz w:val="22"/>
          <w:szCs w:val="22"/>
          <w:lang w:val="sk-SK"/>
        </w:rPr>
        <w:t>orých ranných hodinách) boli pozorované počas liečby ropinirolom. Pokiaľ k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tomuto dôjde, má sa posúdiť primeranosť liečby ropinirolom a</w:t>
      </w:r>
      <w:r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má sa zvážiť úprava dávkovania alebo prerušenie liečby (pozri časť</w:t>
      </w:r>
      <w:r w:rsidR="006733AD">
        <w:rPr>
          <w:sz w:val="22"/>
          <w:szCs w:val="22"/>
          <w:lang w:val="sk-SK"/>
        </w:rPr>
        <w:t> </w:t>
      </w:r>
      <w:r w:rsidRPr="00D9531D">
        <w:rPr>
          <w:sz w:val="22"/>
          <w:szCs w:val="22"/>
          <w:lang w:val="sk-SK"/>
        </w:rPr>
        <w:t>4.8).</w:t>
      </w:r>
    </w:p>
    <w:p w14:paraId="2112CF9D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9B37560" w14:textId="77777777" w:rsidR="007B4C7C" w:rsidRPr="0026173B" w:rsidRDefault="006733A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Parkinsonovej chorob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bolo podávanie ropinirolu menej často spojené so somnolenciou a epizódami náhleho nástupu spánku (pozri časť</w:t>
      </w:r>
      <w:r>
        <w:rPr>
          <w:sz w:val="22"/>
          <w:szCs w:val="22"/>
          <w:lang w:val="sk-SK"/>
        </w:rPr>
        <w:t> </w:t>
      </w:r>
      <w:r w:rsidR="007B4C7C">
        <w:rPr>
          <w:sz w:val="22"/>
          <w:szCs w:val="22"/>
          <w:lang w:val="sk-SK"/>
        </w:rPr>
        <w:t xml:space="preserve">4.8), avšak </w:t>
      </w: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syndróm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nepokojných nôh je tento fenomén veľmi zriedkavý. Napriek tomu pacienti musia byť o tomto fenoméne informovaní a upozornení, aby boli počas liečby ropinirolom pri vedení vozidiel a obsluhe strojov opatrní. Pacienti, u ktorých sa vyskytla somnolencia a/alebo epizóda náhleho nástupu spánku</w:t>
      </w:r>
      <w:r w:rsidR="00444907">
        <w:rPr>
          <w:sz w:val="22"/>
          <w:szCs w:val="22"/>
          <w:lang w:val="sk-SK"/>
        </w:rPr>
        <w:t>,</w:t>
      </w:r>
      <w:r w:rsidR="007B4C7C">
        <w:rPr>
          <w:sz w:val="22"/>
          <w:szCs w:val="22"/>
          <w:lang w:val="sk-SK"/>
        </w:rPr>
        <w:t xml:space="preserve"> nesmú viesť vozidlo alebo obsluhovať stroje. Je možné zvážiť zníženie dávkovania alebo ukončenie terapie.</w:t>
      </w:r>
    </w:p>
    <w:p w14:paraId="24AADEA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A2DAE4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 so závažnými psychotickými poruchami sa nesmú liečiť agonistami dopamínu, pokiaľ potenciálne prínosy neprevažujú riziká.</w:t>
      </w:r>
    </w:p>
    <w:p w14:paraId="55829C7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EB8C165" w14:textId="7CE12BC0" w:rsidR="0026173B" w:rsidRDefault="00CF5DA5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r w:rsidR="00805269">
        <w:rPr>
          <w:sz w:val="22"/>
          <w:szCs w:val="22"/>
          <w:u w:val="single"/>
          <w:lang w:val="sk-SK"/>
        </w:rPr>
        <w:t>návykov a</w:t>
      </w:r>
      <w:r>
        <w:rPr>
          <w:sz w:val="22"/>
          <w:szCs w:val="22"/>
          <w:u w:val="single"/>
          <w:lang w:val="sk-SK"/>
        </w:rPr>
        <w:t xml:space="preserve"> impulzov</w:t>
      </w:r>
    </w:p>
    <w:p w14:paraId="60DFFC75" w14:textId="44FBDB6B" w:rsidR="0026173B" w:rsidRPr="001100EC" w:rsidRDefault="001100E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</w:t>
      </w:r>
      <w:r w:rsidR="00E92D10">
        <w:rPr>
          <w:sz w:val="22"/>
          <w:szCs w:val="22"/>
          <w:lang w:val="sk-SK"/>
        </w:rPr>
        <w:t xml:space="preserve">ov je potrebné pravidelne sledovať kvôli možnosti vzniku </w:t>
      </w:r>
      <w:r>
        <w:rPr>
          <w:sz w:val="22"/>
          <w:szCs w:val="22"/>
          <w:lang w:val="sk-SK"/>
        </w:rPr>
        <w:t>porúch</w:t>
      </w:r>
      <w:r w:rsidR="00D2339F">
        <w:rPr>
          <w:sz w:val="22"/>
          <w:szCs w:val="22"/>
          <w:lang w:val="sk-SK"/>
        </w:rPr>
        <w:t xml:space="preserve"> návykov a impulzov</w:t>
      </w:r>
      <w:r>
        <w:rPr>
          <w:sz w:val="22"/>
          <w:szCs w:val="22"/>
          <w:lang w:val="sk-SK"/>
        </w:rPr>
        <w:t>.</w:t>
      </w:r>
      <w:r w:rsidR="00BB7AF1">
        <w:rPr>
          <w:sz w:val="22"/>
          <w:szCs w:val="22"/>
          <w:lang w:val="sk-SK"/>
        </w:rPr>
        <w:t xml:space="preserve"> Pacientov a</w:t>
      </w:r>
      <w:r w:rsidR="003F6670">
        <w:rPr>
          <w:sz w:val="22"/>
          <w:szCs w:val="22"/>
          <w:lang w:val="sk-SK"/>
        </w:rPr>
        <w:t xml:space="preserve"> ich </w:t>
      </w:r>
      <w:r w:rsidR="00BB7AF1">
        <w:rPr>
          <w:sz w:val="22"/>
          <w:szCs w:val="22"/>
          <w:lang w:val="sk-SK"/>
        </w:rPr>
        <w:t>o</w:t>
      </w:r>
      <w:r w:rsidR="00266FFF">
        <w:rPr>
          <w:sz w:val="22"/>
          <w:szCs w:val="22"/>
          <w:lang w:val="sk-SK"/>
        </w:rPr>
        <w:t>patrovateľ</w:t>
      </w:r>
      <w:r w:rsidR="00377811">
        <w:rPr>
          <w:sz w:val="22"/>
          <w:szCs w:val="22"/>
          <w:lang w:val="sk-SK"/>
        </w:rPr>
        <w:t>ov</w:t>
      </w:r>
      <w:r w:rsidR="00BB7AF1">
        <w:rPr>
          <w:sz w:val="22"/>
          <w:szCs w:val="22"/>
          <w:lang w:val="sk-SK"/>
        </w:rPr>
        <w:t xml:space="preserve"> treba upozorniť na to, že </w:t>
      </w:r>
      <w:r w:rsidR="00C45E01">
        <w:rPr>
          <w:sz w:val="22"/>
          <w:szCs w:val="22"/>
          <w:lang w:val="sk-SK"/>
        </w:rPr>
        <w:t>u pacientov liečených dopamínergnými agonistami vrátane A</w:t>
      </w:r>
      <w:r w:rsidR="00783F15">
        <w:rPr>
          <w:sz w:val="22"/>
          <w:szCs w:val="22"/>
          <w:lang w:val="sk-SK"/>
        </w:rPr>
        <w:t>DARTREL</w:t>
      </w:r>
      <w:r w:rsidR="00C45E01">
        <w:rPr>
          <w:sz w:val="22"/>
          <w:szCs w:val="22"/>
          <w:lang w:val="sk-SK"/>
        </w:rPr>
        <w:t xml:space="preserve">u sa môžu </w:t>
      </w:r>
      <w:r w:rsidR="00865070">
        <w:rPr>
          <w:sz w:val="22"/>
          <w:szCs w:val="22"/>
          <w:lang w:val="sk-SK"/>
        </w:rPr>
        <w:t>vyskytnúť behaviorálne príznaky</w:t>
      </w:r>
      <w:r w:rsidR="00BB7AF1">
        <w:rPr>
          <w:sz w:val="22"/>
          <w:szCs w:val="22"/>
          <w:lang w:val="sk-SK"/>
        </w:rPr>
        <w:t xml:space="preserve"> </w:t>
      </w:r>
      <w:r w:rsidR="00D2339F">
        <w:rPr>
          <w:sz w:val="22"/>
          <w:szCs w:val="22"/>
          <w:lang w:val="sk-SK"/>
        </w:rPr>
        <w:t xml:space="preserve">porúch </w:t>
      </w:r>
      <w:r w:rsidR="00BB7AF1">
        <w:rPr>
          <w:sz w:val="22"/>
          <w:szCs w:val="22"/>
          <w:lang w:val="sk-SK"/>
        </w:rPr>
        <w:t>návykov a impulz</w:t>
      </w:r>
      <w:r w:rsidR="00D2339F">
        <w:rPr>
          <w:sz w:val="22"/>
          <w:szCs w:val="22"/>
          <w:lang w:val="sk-SK"/>
        </w:rPr>
        <w:t>ov</w:t>
      </w:r>
      <w:r w:rsidR="00BB7AF1">
        <w:rPr>
          <w:sz w:val="22"/>
          <w:szCs w:val="22"/>
          <w:lang w:val="sk-SK"/>
        </w:rPr>
        <w:t xml:space="preserve"> zahŕňajú</w:t>
      </w:r>
      <w:r w:rsidR="00C45E01">
        <w:rPr>
          <w:sz w:val="22"/>
          <w:szCs w:val="22"/>
          <w:lang w:val="sk-SK"/>
        </w:rPr>
        <w:t>ce</w:t>
      </w:r>
      <w:r w:rsidR="00BB7AF1">
        <w:rPr>
          <w:sz w:val="22"/>
          <w:szCs w:val="22"/>
          <w:lang w:val="sk-SK"/>
        </w:rPr>
        <w:t xml:space="preserve"> </w:t>
      </w:r>
      <w:r w:rsidR="00BB7AF1" w:rsidRPr="008B16CE">
        <w:rPr>
          <w:sz w:val="22"/>
          <w:szCs w:val="22"/>
          <w:lang w:val="sk-SK"/>
        </w:rPr>
        <w:t>patologické hráčstvo</w:t>
      </w:r>
      <w:r w:rsidR="00BB7AF1">
        <w:rPr>
          <w:sz w:val="22"/>
          <w:szCs w:val="22"/>
          <w:lang w:val="sk-SK"/>
        </w:rPr>
        <w:t xml:space="preserve">, zvýšené libido, </w:t>
      </w:r>
      <w:r w:rsidR="00BB7AF1" w:rsidRPr="008B16CE">
        <w:rPr>
          <w:sz w:val="22"/>
          <w:szCs w:val="22"/>
          <w:lang w:val="sk-SK"/>
        </w:rPr>
        <w:t>hypersexualitu</w:t>
      </w:r>
      <w:r w:rsidR="00C45E01">
        <w:rPr>
          <w:sz w:val="22"/>
          <w:szCs w:val="22"/>
          <w:lang w:val="sk-SK"/>
        </w:rPr>
        <w:t xml:space="preserve">, kompulzívne míňanie alebo nakupovanie, </w:t>
      </w:r>
      <w:r w:rsidR="005C2B45">
        <w:rPr>
          <w:sz w:val="22"/>
          <w:szCs w:val="22"/>
          <w:lang w:val="sk-SK"/>
        </w:rPr>
        <w:t>záchvatov</w:t>
      </w:r>
      <w:r w:rsidR="00DF35DE">
        <w:rPr>
          <w:sz w:val="22"/>
          <w:szCs w:val="22"/>
          <w:lang w:val="sk-SK"/>
        </w:rPr>
        <w:t>it</w:t>
      </w:r>
      <w:r w:rsidR="005C2B45">
        <w:rPr>
          <w:sz w:val="22"/>
          <w:szCs w:val="22"/>
          <w:lang w:val="sk-SK"/>
        </w:rPr>
        <w:t xml:space="preserve">é prejedanie </w:t>
      </w:r>
      <w:r w:rsidR="00E37161">
        <w:rPr>
          <w:sz w:val="22"/>
          <w:szCs w:val="22"/>
          <w:lang w:val="sk-SK"/>
        </w:rPr>
        <w:t xml:space="preserve">sa </w:t>
      </w:r>
      <w:r w:rsidR="005C2B45">
        <w:rPr>
          <w:sz w:val="22"/>
          <w:szCs w:val="22"/>
          <w:lang w:val="sk-SK"/>
        </w:rPr>
        <w:t>a kompulzívne prejedanie</w:t>
      </w:r>
      <w:r w:rsidR="00E37161">
        <w:rPr>
          <w:sz w:val="22"/>
          <w:szCs w:val="22"/>
          <w:lang w:val="sk-SK"/>
        </w:rPr>
        <w:t xml:space="preserve"> sa</w:t>
      </w:r>
      <w:r w:rsidR="005C2B45">
        <w:rPr>
          <w:sz w:val="22"/>
          <w:szCs w:val="22"/>
          <w:lang w:val="sk-SK"/>
        </w:rPr>
        <w:t>. V prípade vzniku takýchto príznakov sa má zvážiť zníženie dávky/postupné ukončenie liečby.</w:t>
      </w:r>
    </w:p>
    <w:p w14:paraId="0BE4FA43" w14:textId="77777777" w:rsidR="0026173B" w:rsidRDefault="0026173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A618313" w14:textId="77777777" w:rsidR="00C50AD7" w:rsidRDefault="00C50AD7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Malígny neuroleptický syndróm</w:t>
      </w:r>
    </w:p>
    <w:p w14:paraId="39EE6C95" w14:textId="77777777" w:rsidR="00C50AD7" w:rsidRDefault="00B93508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Po náhlom </w:t>
      </w:r>
      <w:r w:rsidR="00693E70">
        <w:rPr>
          <w:sz w:val="22"/>
          <w:szCs w:val="22"/>
          <w:lang w:val="sk-SK"/>
        </w:rPr>
        <w:t>vysadení</w:t>
      </w:r>
      <w:r>
        <w:rPr>
          <w:sz w:val="22"/>
          <w:szCs w:val="22"/>
          <w:lang w:val="sk-SK"/>
        </w:rPr>
        <w:t xml:space="preserve"> dopamínergnej liečby boli hlásené príznaky </w:t>
      </w:r>
      <w:r w:rsidR="00693E70" w:rsidRPr="00693E70">
        <w:rPr>
          <w:sz w:val="22"/>
          <w:szCs w:val="22"/>
          <w:lang w:val="sk-SK"/>
        </w:rPr>
        <w:t>poukazujúce na malígny neuroleptický syndróm</w:t>
      </w:r>
      <w:r>
        <w:rPr>
          <w:sz w:val="22"/>
          <w:szCs w:val="22"/>
          <w:lang w:val="sk-SK"/>
        </w:rPr>
        <w:t xml:space="preserve">. Preto sa odporúča postupné </w:t>
      </w:r>
      <w:r w:rsidR="00110AA6">
        <w:rPr>
          <w:sz w:val="22"/>
          <w:szCs w:val="22"/>
          <w:lang w:val="sk-SK"/>
        </w:rPr>
        <w:t>ukončenie liečby (pozri časť 4.2).</w:t>
      </w:r>
    </w:p>
    <w:p w14:paraId="0AC87390" w14:textId="77777777" w:rsidR="00C50AD7" w:rsidRPr="008B16CE" w:rsidRDefault="00C50AD7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0F0C41E" w14:textId="77777777" w:rsidR="0072689C" w:rsidRPr="00DA0BAD" w:rsidRDefault="0072689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DD4BCC">
        <w:rPr>
          <w:rFonts w:eastAsia="Verdana"/>
          <w:sz w:val="22"/>
          <w:szCs w:val="22"/>
          <w:u w:val="single"/>
          <w:lang w:val="sk-SK" w:eastAsia="en-GB"/>
        </w:rPr>
        <w:lastRenderedPageBreak/>
        <w:t xml:space="preserve">Abstinenčný syndróm zapríčinený </w:t>
      </w:r>
      <w:proofErr w:type="spellStart"/>
      <w:r w:rsidRPr="00DD4BCC">
        <w:rPr>
          <w:rFonts w:eastAsia="Verdana"/>
          <w:sz w:val="22"/>
          <w:szCs w:val="22"/>
          <w:u w:val="single"/>
          <w:lang w:val="sk-SK" w:eastAsia="en-GB"/>
        </w:rPr>
        <w:t>agonistami</w:t>
      </w:r>
      <w:proofErr w:type="spellEnd"/>
      <w:r w:rsidRPr="00DD4BCC">
        <w:rPr>
          <w:rFonts w:eastAsia="Verdana"/>
          <w:sz w:val="22"/>
          <w:szCs w:val="22"/>
          <w:u w:val="single"/>
          <w:lang w:val="sk-SK" w:eastAsia="en-GB"/>
        </w:rPr>
        <w:t xml:space="preserve"> dopamínu</w:t>
      </w:r>
    </w:p>
    <w:p w14:paraId="7C258DCC" w14:textId="77777777" w:rsidR="00CF5DA5" w:rsidRDefault="0072689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DD4BCC">
        <w:rPr>
          <w:sz w:val="22"/>
          <w:szCs w:val="22"/>
          <w:lang w:val="sk-SK"/>
        </w:rPr>
        <w:t>V období znižovania dávky alebo po ukončení podávania agonistov dopamínu</w:t>
      </w:r>
      <w:r w:rsidR="00CF5DA5">
        <w:rPr>
          <w:sz w:val="22"/>
          <w:szCs w:val="22"/>
          <w:lang w:val="sk-SK"/>
        </w:rPr>
        <w:t>,</w:t>
      </w:r>
      <w:r w:rsidRPr="00DD4BCC">
        <w:rPr>
          <w:sz w:val="22"/>
          <w:szCs w:val="22"/>
          <w:lang w:val="sk-SK"/>
        </w:rPr>
        <w:t xml:space="preserve"> vrátane ropinirolu</w:t>
      </w:r>
      <w:r w:rsidR="00CF5DA5">
        <w:rPr>
          <w:sz w:val="22"/>
          <w:szCs w:val="22"/>
          <w:lang w:val="sk-SK"/>
        </w:rPr>
        <w:t>,</w:t>
      </w:r>
      <w:r w:rsidRPr="00DD4BCC">
        <w:rPr>
          <w:sz w:val="22"/>
          <w:szCs w:val="22"/>
          <w:lang w:val="sk-SK"/>
        </w:rPr>
        <w:t xml:space="preserve"> sa môžu vyskytnúť nemotorické nežiaduce účinky. Príznaky zahŕňajú apatiu, úzkosť, depresiu, únavu, </w:t>
      </w:r>
    </w:p>
    <w:p w14:paraId="53E63392" w14:textId="77777777" w:rsidR="00CF5DA5" w:rsidRDefault="00CF5DA5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FA0737D" w14:textId="47BDB56F" w:rsidR="0072689C" w:rsidRPr="00DA0BAD" w:rsidRDefault="0072689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DD4BCC">
        <w:rPr>
          <w:sz w:val="22"/>
          <w:szCs w:val="22"/>
          <w:lang w:val="sk-SK"/>
        </w:rPr>
        <w:t>potenie a bolesť, ktoré môžu byť závažné. Pacienti majú byť o tom informovaní predtým, ako sa im začne znižovať dávka agonistu dopamínu a potom majú byť pravidelne kontrolovaní. V prípade pretrvávajúcich príznakov môže byť potrebné</w:t>
      </w:r>
      <w:r w:rsidRPr="00DD4BCC" w:rsidDel="00C10D9A">
        <w:rPr>
          <w:sz w:val="22"/>
          <w:szCs w:val="22"/>
          <w:lang w:val="sk-SK"/>
        </w:rPr>
        <w:t xml:space="preserve"> </w:t>
      </w:r>
      <w:r w:rsidRPr="00DD4BCC">
        <w:rPr>
          <w:sz w:val="22"/>
          <w:szCs w:val="22"/>
          <w:lang w:val="sk-SK"/>
        </w:rPr>
        <w:t>dočasne zvýšiť dávku ropinirolu (pozri časť 4.8).</w:t>
      </w:r>
    </w:p>
    <w:p w14:paraId="697B4BEA" w14:textId="77777777" w:rsidR="0072689C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A1C311E" w14:textId="77777777" w:rsidR="0072689C" w:rsidRPr="00DD4BCC" w:rsidRDefault="0072689C" w:rsidP="0072689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Halucinácie</w:t>
      </w:r>
    </w:p>
    <w:p w14:paraId="66950EF5" w14:textId="77777777" w:rsidR="0072689C" w:rsidRDefault="0072689C" w:rsidP="0072689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DD4BCC">
        <w:rPr>
          <w:rFonts w:eastAsia="Verdana"/>
          <w:sz w:val="22"/>
          <w:szCs w:val="22"/>
          <w:lang w:val="sk-SK" w:eastAsia="en-GB"/>
        </w:rPr>
        <w:t>Halucinácie sú známym vedľajším účinkom liečby agonistami dopamínu a levodopou. Pacienti majú byť informovaní, že sa u nich môžu vyskytnúť halucinácie</w:t>
      </w:r>
      <w:r>
        <w:rPr>
          <w:rFonts w:eastAsia="Verdana"/>
          <w:sz w:val="22"/>
          <w:szCs w:val="22"/>
          <w:lang w:val="sk-SK" w:eastAsia="en-GB"/>
        </w:rPr>
        <w:t>.</w:t>
      </w:r>
    </w:p>
    <w:p w14:paraId="7F6BBCA5" w14:textId="77777777" w:rsidR="0072689C" w:rsidRPr="008B16CE" w:rsidRDefault="0072689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706103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sa má podávať opatrne pacientom so stredne ťažkou poruchou funkcie pečene. Nežiaduce účinky sa musia prísne sledovať.</w:t>
      </w:r>
    </w:p>
    <w:p w14:paraId="4EA8CA9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C712766" w14:textId="62217E9B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Pacienti</w:t>
      </w:r>
      <w:r w:rsidR="00991258">
        <w:rPr>
          <w:sz w:val="22"/>
          <w:szCs w:val="22"/>
          <w:lang w:val="sk-SK"/>
        </w:rPr>
        <w:t xml:space="preserve"> so</w:t>
      </w:r>
      <w:r>
        <w:rPr>
          <w:sz w:val="22"/>
          <w:szCs w:val="22"/>
          <w:lang w:val="sk-SK"/>
        </w:rPr>
        <w:t xml:space="preserve"> zriedkav</w:t>
      </w:r>
      <w:r w:rsidR="00991258">
        <w:rPr>
          <w:sz w:val="22"/>
          <w:szCs w:val="22"/>
          <w:lang w:val="sk-SK"/>
        </w:rPr>
        <w:t>ými</w:t>
      </w:r>
      <w:r>
        <w:rPr>
          <w:sz w:val="22"/>
          <w:szCs w:val="22"/>
          <w:lang w:val="sk-SK"/>
        </w:rPr>
        <w:t xml:space="preserve"> dedičn</w:t>
      </w:r>
      <w:r w:rsidR="00991258">
        <w:rPr>
          <w:sz w:val="22"/>
          <w:szCs w:val="22"/>
          <w:lang w:val="sk-SK"/>
        </w:rPr>
        <w:t>ými</w:t>
      </w:r>
      <w:r>
        <w:rPr>
          <w:sz w:val="22"/>
          <w:szCs w:val="22"/>
          <w:lang w:val="sk-SK"/>
        </w:rPr>
        <w:t xml:space="preserve"> problém</w:t>
      </w:r>
      <w:r w:rsidR="00783EB3">
        <w:rPr>
          <w:sz w:val="22"/>
          <w:szCs w:val="22"/>
          <w:lang w:val="sk-SK"/>
        </w:rPr>
        <w:t>am</w:t>
      </w:r>
      <w:r w:rsidR="00F07F7E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galaktózov</w:t>
      </w:r>
      <w:r w:rsidR="00991258">
        <w:rPr>
          <w:sz w:val="22"/>
          <w:szCs w:val="22"/>
          <w:lang w:val="sk-SK"/>
        </w:rPr>
        <w:t>ej</w:t>
      </w:r>
      <w:proofErr w:type="spellEnd"/>
      <w:r>
        <w:rPr>
          <w:sz w:val="22"/>
          <w:szCs w:val="22"/>
          <w:lang w:val="sk-SK"/>
        </w:rPr>
        <w:t xml:space="preserve"> intoleranci</w:t>
      </w:r>
      <w:r w:rsidR="00991258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,</w:t>
      </w:r>
      <w:r w:rsidR="00991258">
        <w:rPr>
          <w:sz w:val="22"/>
          <w:szCs w:val="22"/>
          <w:lang w:val="sk-SK"/>
        </w:rPr>
        <w:t xml:space="preserve"> celkovým deficitom </w:t>
      </w:r>
      <w:proofErr w:type="spellStart"/>
      <w:r>
        <w:rPr>
          <w:sz w:val="22"/>
          <w:szCs w:val="22"/>
          <w:lang w:val="sk-SK"/>
        </w:rPr>
        <w:t>laktázy</w:t>
      </w:r>
      <w:proofErr w:type="spellEnd"/>
      <w:r>
        <w:rPr>
          <w:sz w:val="22"/>
          <w:szCs w:val="22"/>
          <w:lang w:val="sk-SK"/>
        </w:rPr>
        <w:t xml:space="preserve"> alebo </w:t>
      </w:r>
      <w:proofErr w:type="spellStart"/>
      <w:r>
        <w:rPr>
          <w:sz w:val="22"/>
          <w:szCs w:val="22"/>
          <w:lang w:val="sk-SK"/>
        </w:rPr>
        <w:t>glukózo</w:t>
      </w:r>
      <w:r w:rsidR="005523CC">
        <w:rPr>
          <w:sz w:val="22"/>
          <w:szCs w:val="22"/>
          <w:lang w:val="sk-SK"/>
        </w:rPr>
        <w:noBreakHyphen/>
      </w:r>
      <w:r>
        <w:rPr>
          <w:sz w:val="22"/>
          <w:szCs w:val="22"/>
          <w:lang w:val="sk-SK"/>
        </w:rPr>
        <w:t>galaktózovou</w:t>
      </w:r>
      <w:proofErr w:type="spellEnd"/>
      <w:r>
        <w:rPr>
          <w:sz w:val="22"/>
          <w:szCs w:val="22"/>
          <w:lang w:val="sk-SK"/>
        </w:rPr>
        <w:t xml:space="preserve"> </w:t>
      </w:r>
      <w:proofErr w:type="spellStart"/>
      <w:r>
        <w:rPr>
          <w:sz w:val="22"/>
          <w:szCs w:val="22"/>
          <w:lang w:val="sk-SK"/>
        </w:rPr>
        <w:t>malabsorpciou</w:t>
      </w:r>
      <w:proofErr w:type="spellEnd"/>
      <w:r>
        <w:rPr>
          <w:sz w:val="22"/>
          <w:szCs w:val="22"/>
          <w:lang w:val="sk-SK"/>
        </w:rPr>
        <w:t xml:space="preserve"> nesmú užívať tento liek.</w:t>
      </w:r>
    </w:p>
    <w:p w14:paraId="5C01496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869A3A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 dôvodu rizika hypotenzie sa pacienti s ťažkým kardiovaskulárnym ochorením (najmä koronárnou insuficienciou) majú liečiť opatrne.</w:t>
      </w:r>
    </w:p>
    <w:p w14:paraId="47B6F53C" w14:textId="77777777" w:rsidR="001803AA" w:rsidRDefault="001803AA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0EADCE8" w14:textId="77777777" w:rsidR="007B4C7C" w:rsidRDefault="005523CC" w:rsidP="005523CC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4.5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Liekové a iné interakcie</w:t>
      </w:r>
    </w:p>
    <w:p w14:paraId="5D298F83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E738FA0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metabolizovaný hlavne izoenzýmom CYP1A2 cytochrómu P450. Vo farmakokinetickej štúdii (s 2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mg dávkou ropinirolu, trikrát denne)</w:t>
      </w:r>
      <w:r>
        <w:rPr>
          <w:b/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sa zistilo, že ciprofloxacín zvýšil C</w:t>
      </w:r>
      <w:r>
        <w:rPr>
          <w:sz w:val="22"/>
          <w:szCs w:val="22"/>
          <w:vertAlign w:val="subscript"/>
          <w:lang w:val="sk-SK"/>
        </w:rPr>
        <w:t>max</w:t>
      </w:r>
      <w:r>
        <w:rPr>
          <w:sz w:val="22"/>
          <w:szCs w:val="22"/>
          <w:lang w:val="sk-SK"/>
        </w:rPr>
        <w:t xml:space="preserve"> ropinirolu o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60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 a AUC o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84</w:t>
      </w:r>
      <w:r w:rsidR="00380CC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%, s potenciálnym rizikom nežiaducich účinkov. Z toho dôvodu môže byť u pacientov, ktorí sú už liečení ropinirolom, nutná úprava dávky ropinirolu, pokiaľ im boli nasadené alebo vysadené lieky známe tým, že inhibujú CYP1A2, napr. ciprofloxacín, enoxacín alebo</w:t>
      </w:r>
      <w:r w:rsidR="00444907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fluvoxamín.</w:t>
      </w:r>
    </w:p>
    <w:p w14:paraId="5259AA57" w14:textId="77777777" w:rsidR="007B4C7C" w:rsidRDefault="007B4C7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54E8B4CE" w14:textId="77777777" w:rsidR="007B4C7C" w:rsidRDefault="007B4C7C" w:rsidP="00380CC7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Štúdia zameraná na farmakokinetické interakcie medzi ropinirolom (pri dávke 2</w:t>
      </w:r>
      <w:r w:rsidR="00380CC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mg, trikrát denne)</w:t>
      </w:r>
      <w:r>
        <w:rPr>
          <w:b/>
          <w:color w:val="000000"/>
          <w:sz w:val="22"/>
          <w:szCs w:val="22"/>
          <w:lang w:val="sk-SK"/>
        </w:rPr>
        <w:t xml:space="preserve"> </w:t>
      </w:r>
      <w:r>
        <w:rPr>
          <w:color w:val="000000"/>
          <w:sz w:val="22"/>
          <w:szCs w:val="22"/>
          <w:lang w:val="sk-SK"/>
        </w:rPr>
        <w:t>a</w:t>
      </w:r>
      <w:r w:rsidR="00380CC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teofylínom, substrátom CYP1A2, neodhalila žiadnu zmenu vo farmakokinetike ropinirolu, ani</w:t>
      </w:r>
      <w:r w:rsidR="00444907">
        <w:rPr>
          <w:color w:val="000000"/>
          <w:sz w:val="22"/>
          <w:szCs w:val="22"/>
          <w:lang w:val="sk-SK"/>
        </w:rPr>
        <w:t> </w:t>
      </w:r>
      <w:r>
        <w:rPr>
          <w:color w:val="000000"/>
          <w:sz w:val="22"/>
          <w:szCs w:val="22"/>
          <w:lang w:val="sk-SK"/>
        </w:rPr>
        <w:t>teofylínu. Z tohto dôvodu sa neočakáva, že by ropinirol súperil o metabolizmus iných liekov, ktoré sú metabolizované CYP1A2.</w:t>
      </w:r>
    </w:p>
    <w:p w14:paraId="7E6D1D92" w14:textId="77777777" w:rsidR="007B4C7C" w:rsidRDefault="007B4C7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3B1468F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 xml:space="preserve">Na základe údajov </w:t>
      </w:r>
      <w:r>
        <w:rPr>
          <w:i/>
          <w:iCs/>
          <w:color w:val="000000"/>
          <w:sz w:val="22"/>
          <w:szCs w:val="22"/>
          <w:lang w:val="sk-SK"/>
        </w:rPr>
        <w:t>in</w:t>
      </w:r>
      <w:r w:rsidR="007A6411">
        <w:rPr>
          <w:i/>
          <w:iCs/>
          <w:color w:val="000000"/>
          <w:sz w:val="22"/>
          <w:szCs w:val="22"/>
          <w:lang w:val="sk-SK"/>
        </w:rPr>
        <w:noBreakHyphen/>
      </w:r>
      <w:r>
        <w:rPr>
          <w:i/>
          <w:iCs/>
          <w:color w:val="000000"/>
          <w:sz w:val="22"/>
          <w:szCs w:val="22"/>
          <w:lang w:val="sk-SK"/>
        </w:rPr>
        <w:t>vitro</w:t>
      </w:r>
      <w:r>
        <w:rPr>
          <w:color w:val="000000"/>
          <w:sz w:val="22"/>
          <w:szCs w:val="22"/>
          <w:lang w:val="sk-SK"/>
        </w:rPr>
        <w:t xml:space="preserve"> má ropinirol v terapeutických dávkach malý potenciál na inhibíciu cytochrómu P450. Preto nie je pravdepodobné, že by ropinirol ovplyvnil farmakokinetiku iných liekov cez mechanizmus cytochrómom P450.</w:t>
      </w:r>
    </w:p>
    <w:p w14:paraId="190BC08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2E6752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Je známe, že fajčenie indukuje metabolizmus CYP1A2, a preto môže byť potrebná úprava dávkovania, ak pacienti počas liečby ropinirolom prestanú alebo začnú fajčiť.</w:t>
      </w:r>
    </w:p>
    <w:p w14:paraId="0E293F2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F68508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 pacientov liečených hormonálnou substitučnou terapiou boli pozorované zvýšené plazmatické koncentrácie ropinirolu. U pacientov, ktor</w:t>
      </w:r>
      <w:r w:rsidR="00A748FD">
        <w:rPr>
          <w:sz w:val="22"/>
          <w:szCs w:val="22"/>
          <w:lang w:val="sk-SK"/>
        </w:rPr>
        <w:t>í</w:t>
      </w:r>
      <w:r>
        <w:rPr>
          <w:sz w:val="22"/>
          <w:szCs w:val="22"/>
          <w:lang w:val="sk-SK"/>
        </w:rPr>
        <w:t xml:space="preserve"> už </w:t>
      </w:r>
      <w:r w:rsidR="00A748FD">
        <w:rPr>
          <w:sz w:val="22"/>
          <w:szCs w:val="22"/>
          <w:lang w:val="sk-SK"/>
        </w:rPr>
        <w:t>dostávajú</w:t>
      </w:r>
      <w:r>
        <w:rPr>
          <w:sz w:val="22"/>
          <w:szCs w:val="22"/>
          <w:lang w:val="sk-SK"/>
        </w:rPr>
        <w:t xml:space="preserve"> hormonáln</w:t>
      </w:r>
      <w:r w:rsidR="00A748FD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 xml:space="preserve"> substitučn</w:t>
      </w:r>
      <w:r w:rsidR="00A748FD">
        <w:rPr>
          <w:sz w:val="22"/>
          <w:szCs w:val="22"/>
          <w:lang w:val="sk-SK"/>
        </w:rPr>
        <w:t>ú</w:t>
      </w:r>
      <w:r>
        <w:rPr>
          <w:sz w:val="22"/>
          <w:szCs w:val="22"/>
          <w:lang w:val="sk-SK"/>
        </w:rPr>
        <w:t xml:space="preserve"> terapi</w:t>
      </w:r>
      <w:r w:rsidR="00A748FD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, sa liečba ropinirolom môže začať obvyklým spôsobom. Ak je však hormonálna substitučná terapia zastavená alebo zavedená v priebehu liečby ropinirolom, môže byť potrebná úprava dávky ropinirolu podľa klinickej odpovede.</w:t>
      </w:r>
    </w:p>
    <w:p w14:paraId="3FE5F59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40BF56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Medzi ropinirolom a domperidonom (liek používaný na liečbu nauzey a dávenia) nebola pozorovaná žiadna farmakokinetická interakcia, ktorá by si vyžadovala úpravu dávkovania niektorého z týchto liečiv. Domperidon antagonizuje dopamínergné účinky ropinirolu periférne a neprechádza cez</w:t>
      </w:r>
      <w:r w:rsidR="00DD3A5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hematoencefalickú bariéru. Preto </w:t>
      </w:r>
      <w:r w:rsidR="00FE2751">
        <w:rPr>
          <w:sz w:val="22"/>
          <w:szCs w:val="22"/>
          <w:lang w:val="sk-SK"/>
        </w:rPr>
        <w:t>môže mať</w:t>
      </w:r>
      <w:r>
        <w:rPr>
          <w:sz w:val="22"/>
          <w:szCs w:val="22"/>
          <w:lang w:val="sk-SK"/>
        </w:rPr>
        <w:t xml:space="preserve"> hodnotu ako antiemetikum u pacientov liečených centrálne pôsobiacimi agonistami dopamínu.</w:t>
      </w:r>
    </w:p>
    <w:p w14:paraId="09D15B50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FA8D43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Neuroleptiká</w:t>
      </w:r>
      <w:proofErr w:type="spellEnd"/>
      <w:r>
        <w:rPr>
          <w:sz w:val="22"/>
          <w:szCs w:val="22"/>
          <w:lang w:val="sk-SK"/>
        </w:rPr>
        <w:t xml:space="preserve"> a in</w:t>
      </w:r>
      <w:r w:rsidR="00662E84">
        <w:rPr>
          <w:sz w:val="22"/>
          <w:szCs w:val="22"/>
          <w:lang w:val="sk-SK"/>
        </w:rPr>
        <w:t>é</w:t>
      </w:r>
      <w:r>
        <w:rPr>
          <w:sz w:val="22"/>
          <w:szCs w:val="22"/>
          <w:lang w:val="sk-SK"/>
        </w:rPr>
        <w:t xml:space="preserve"> centrálne pôsobiac</w:t>
      </w:r>
      <w:r w:rsidR="00662E84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antagonist</w:t>
      </w:r>
      <w:r w:rsidR="00662E84">
        <w:rPr>
          <w:sz w:val="22"/>
          <w:szCs w:val="22"/>
          <w:lang w:val="sk-SK"/>
        </w:rPr>
        <w:t>y</w:t>
      </w:r>
      <w:r>
        <w:rPr>
          <w:sz w:val="22"/>
          <w:szCs w:val="22"/>
          <w:lang w:val="sk-SK"/>
        </w:rPr>
        <w:t xml:space="preserve"> dopamínu, ako sú sulpirid alebo metoklopramid, môžu znižovať účinok ropinirolu, a preto sa má zabrániť súčasnému použitiu týchto liekov s ropinirolom.</w:t>
      </w:r>
    </w:p>
    <w:p w14:paraId="4AE23F1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49BFC0C" w14:textId="77777777" w:rsidR="00593C35" w:rsidRDefault="00593C35" w:rsidP="00593C35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A543D5">
        <w:rPr>
          <w:sz w:val="22"/>
          <w:szCs w:val="22"/>
          <w:lang w:val="sk-SK"/>
        </w:rPr>
        <w:t>U pacientov, ktorí užívali kombináciu antagonistov vitamínu K a ropinirolu, boli hlásené prípady nevyvážených hodnôt INR. Vyžaduje sa zvýšené klinické a biologické sledovanie (INR).</w:t>
      </w:r>
    </w:p>
    <w:p w14:paraId="4F214142" w14:textId="77777777" w:rsidR="00593C35" w:rsidRDefault="00593C35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9D16634" w14:textId="77777777" w:rsidR="007B4C7C" w:rsidRDefault="00662E84" w:rsidP="00662E84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4.6</w:t>
      </w:r>
      <w:r>
        <w:rPr>
          <w:b/>
          <w:bCs/>
          <w:lang w:val="sk-SK"/>
        </w:rPr>
        <w:tab/>
        <w:t>Fertilita, g</w:t>
      </w:r>
      <w:r w:rsidR="007B4C7C">
        <w:rPr>
          <w:b/>
          <w:bCs/>
          <w:lang w:val="sk-SK"/>
        </w:rPr>
        <w:t>ravidita a laktácia</w:t>
      </w:r>
    </w:p>
    <w:p w14:paraId="014AC1F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BFF075B" w14:textId="77777777" w:rsidR="00DD3A58" w:rsidRPr="00FF7B87" w:rsidRDefault="00DD3A58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FF7B87">
        <w:rPr>
          <w:sz w:val="22"/>
          <w:szCs w:val="22"/>
          <w:u w:val="single"/>
          <w:lang w:val="sk-SK"/>
        </w:rPr>
        <w:t>Gravidita</w:t>
      </w:r>
    </w:p>
    <w:p w14:paraId="71C9E880" w14:textId="52C55B35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Nie sú k dispozícii dostatočné údaje o použití ropinirolu u gravidných žien.</w:t>
      </w:r>
      <w:r w:rsidR="00253E33">
        <w:rPr>
          <w:sz w:val="22"/>
          <w:szCs w:val="22"/>
          <w:lang w:val="sk-SK"/>
        </w:rPr>
        <w:t xml:space="preserve"> Počas gravidity sa koncentrácie ropinirolu môžu postupne zvýšiť (pozri časť 5.2).</w:t>
      </w:r>
    </w:p>
    <w:p w14:paraId="69E975E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C5D7A89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Štúdie na zvieratách preukázali reprodukčnú toxicitu (pozri časť</w:t>
      </w:r>
      <w:r w:rsidR="00662E8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5.3). Vzhľadom </w:t>
      </w:r>
      <w:r w:rsidR="00662E84">
        <w:rPr>
          <w:sz w:val="22"/>
          <w:szCs w:val="22"/>
          <w:lang w:val="sk-SK"/>
        </w:rPr>
        <w:t>na</w:t>
      </w:r>
      <w:r>
        <w:rPr>
          <w:sz w:val="22"/>
          <w:szCs w:val="22"/>
          <w:lang w:val="sk-SK"/>
        </w:rPr>
        <w:t> to, že potenciálne riziko u ľudí nie je známe, odporúča sa nepoužívať ropinirol počas gravidity, pokiaľ potenciálny prínos pre pacienta neprevyšuje potenciálne riziko pre plod.</w:t>
      </w:r>
    </w:p>
    <w:p w14:paraId="69329C2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59D81D2" w14:textId="77777777" w:rsidR="00DD3A58" w:rsidRPr="00FF7B87" w:rsidRDefault="00B014F0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FF7B87">
        <w:rPr>
          <w:sz w:val="22"/>
          <w:szCs w:val="22"/>
          <w:u w:val="single"/>
          <w:lang w:val="sk-SK"/>
        </w:rPr>
        <w:t>Dojčenie</w:t>
      </w:r>
    </w:p>
    <w:p w14:paraId="168A4695" w14:textId="0D1D6EF1" w:rsidR="007B4C7C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 xml:space="preserve">Preukázalo sa, že látky súvisiace s ropinirolom prechádzajú do mlieka </w:t>
      </w:r>
      <w:r w:rsidR="00A61520">
        <w:rPr>
          <w:sz w:val="22"/>
          <w:szCs w:val="22"/>
          <w:lang w:val="sk-SK"/>
        </w:rPr>
        <w:t>laktujúcich</w:t>
      </w:r>
      <w:r w:rsidRPr="009B1D02">
        <w:rPr>
          <w:sz w:val="22"/>
          <w:szCs w:val="22"/>
          <w:lang w:val="sk-SK"/>
        </w:rPr>
        <w:t xml:space="preserve"> potkanov. Nie je známe, či sa ropinirol a jeho metabolity vylučujú do ľudského mlieka. Riziko u dojčeného dieťaťa nemôže byť vylúčené. </w:t>
      </w:r>
      <w:r w:rsidR="007B4C7C" w:rsidRPr="009B1D02">
        <w:rPr>
          <w:sz w:val="22"/>
          <w:szCs w:val="22"/>
          <w:lang w:val="sk-SK"/>
        </w:rPr>
        <w:t>Ropinirol sa nesmie používať u dojčiacich matiek, pretože môže inhibovať laktáciu.</w:t>
      </w:r>
    </w:p>
    <w:p w14:paraId="70E668F3" w14:textId="77777777" w:rsidR="00061B54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25517CE" w14:textId="77777777" w:rsidR="00061B54" w:rsidRPr="00FF7B87" w:rsidRDefault="00061B54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 w:rsidRPr="00FF7B87">
        <w:rPr>
          <w:sz w:val="22"/>
          <w:szCs w:val="22"/>
          <w:u w:val="single"/>
          <w:lang w:val="sk-SK"/>
        </w:rPr>
        <w:t>Fertilita</w:t>
      </w:r>
    </w:p>
    <w:p w14:paraId="257F1879" w14:textId="77777777" w:rsidR="00061B54" w:rsidRPr="009B1D02" w:rsidRDefault="00061B54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9B1D02">
        <w:rPr>
          <w:sz w:val="22"/>
          <w:szCs w:val="22"/>
          <w:lang w:val="sk-SK"/>
        </w:rPr>
        <w:t>K dispozícii nie sú údaje o </w:t>
      </w:r>
      <w:r w:rsidR="002D7AFD" w:rsidRPr="009B1D02">
        <w:rPr>
          <w:sz w:val="22"/>
          <w:szCs w:val="22"/>
          <w:lang w:val="sk-SK"/>
        </w:rPr>
        <w:t>vplyve</w:t>
      </w:r>
      <w:r w:rsidRPr="009B1D02">
        <w:rPr>
          <w:sz w:val="22"/>
          <w:szCs w:val="22"/>
          <w:lang w:val="sk-SK"/>
        </w:rPr>
        <w:t xml:space="preserve"> ropinirolu na ľudskú fertilitu. </w:t>
      </w:r>
      <w:r w:rsidR="002D7AFD" w:rsidRPr="009B1D02">
        <w:rPr>
          <w:sz w:val="22"/>
          <w:szCs w:val="22"/>
          <w:lang w:val="sk-SK"/>
        </w:rPr>
        <w:t xml:space="preserve">V štúdiách fertility </w:t>
      </w:r>
      <w:r w:rsidR="00A84F82" w:rsidRPr="009B1D02">
        <w:rPr>
          <w:sz w:val="22"/>
          <w:szCs w:val="22"/>
          <w:lang w:val="sk-SK"/>
        </w:rPr>
        <w:t xml:space="preserve">u potkanov </w:t>
      </w:r>
      <w:r w:rsidR="00CA5496" w:rsidRPr="009B1D02">
        <w:rPr>
          <w:sz w:val="22"/>
          <w:szCs w:val="22"/>
          <w:lang w:val="sk-SK"/>
        </w:rPr>
        <w:t xml:space="preserve">sa u samíc pozoroval vplyv na </w:t>
      </w:r>
      <w:r w:rsidR="002D7AFD" w:rsidRPr="009B1D02">
        <w:rPr>
          <w:sz w:val="22"/>
          <w:szCs w:val="22"/>
          <w:lang w:val="sk-SK"/>
        </w:rPr>
        <w:t>implantáciu</w:t>
      </w:r>
      <w:r w:rsidR="00CA5496" w:rsidRPr="009B1D02">
        <w:rPr>
          <w:sz w:val="22"/>
          <w:szCs w:val="22"/>
          <w:lang w:val="sk-SK"/>
        </w:rPr>
        <w:t>, ale nepozoroval sa žiadny vplyv na fertilitu samcov</w:t>
      </w:r>
      <w:r w:rsidR="008A3AB3" w:rsidRPr="009B1D02">
        <w:rPr>
          <w:sz w:val="22"/>
          <w:szCs w:val="22"/>
          <w:lang w:val="sk-SK"/>
        </w:rPr>
        <w:t xml:space="preserve"> (pozri časť 5.3)</w:t>
      </w:r>
      <w:r w:rsidR="002D7AFD" w:rsidRPr="009B1D02">
        <w:rPr>
          <w:sz w:val="22"/>
          <w:szCs w:val="22"/>
          <w:lang w:val="sk-SK"/>
        </w:rPr>
        <w:t>.</w:t>
      </w:r>
    </w:p>
    <w:p w14:paraId="51C28E2E" w14:textId="77777777" w:rsidR="007B4C7C" w:rsidRPr="009B1D02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D56290" w14:textId="77777777" w:rsidR="007B4C7C" w:rsidRDefault="00662E84" w:rsidP="00633990">
      <w:pPr>
        <w:keepNext/>
        <w:keepLines/>
        <w:spacing w:line="240" w:lineRule="auto"/>
        <w:outlineLvl w:val="1"/>
        <w:rPr>
          <w:b/>
          <w:bCs/>
          <w:lang w:val="sk-SK"/>
        </w:rPr>
      </w:pPr>
      <w:r w:rsidRPr="009B1D02">
        <w:rPr>
          <w:b/>
          <w:bCs/>
          <w:lang w:val="sk-SK"/>
        </w:rPr>
        <w:t>4.7</w:t>
      </w:r>
      <w:r w:rsidRPr="009B1D02">
        <w:rPr>
          <w:b/>
          <w:bCs/>
          <w:lang w:val="sk-SK"/>
        </w:rPr>
        <w:tab/>
      </w:r>
      <w:r w:rsidR="007B4C7C" w:rsidRPr="009B1D02">
        <w:rPr>
          <w:b/>
          <w:bCs/>
          <w:lang w:val="sk-SK"/>
        </w:rPr>
        <w:t>Ovplyvnenie schopnosti</w:t>
      </w:r>
      <w:r w:rsidR="007B4C7C">
        <w:rPr>
          <w:b/>
          <w:bCs/>
          <w:lang w:val="sk-SK"/>
        </w:rPr>
        <w:t xml:space="preserve"> viesť vozidlá a obsluhovať stroje</w:t>
      </w:r>
    </w:p>
    <w:p w14:paraId="2832FEB6" w14:textId="77777777" w:rsidR="007B4C7C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7626222" w14:textId="4590102E" w:rsidR="007B4C7C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Pacienti liečení ropinirolom a ktorí majú </w:t>
      </w:r>
      <w:r w:rsidR="00253E33">
        <w:rPr>
          <w:sz w:val="22"/>
          <w:szCs w:val="22"/>
          <w:lang w:val="sk-SK"/>
        </w:rPr>
        <w:t xml:space="preserve">halucinácie, </w:t>
      </w:r>
      <w:r>
        <w:rPr>
          <w:sz w:val="22"/>
          <w:szCs w:val="22"/>
          <w:lang w:val="sk-SK"/>
        </w:rPr>
        <w:t>somnolenciu a/alebo epizódy náhleho spánku musia byť informovaní o tom, aby sa vyhli vedeniu vozidiel alebo zapájaniu sa do činností, v ktorých by narušená bdelosť mohla pre nich alebo pre ostatné osoby predstavovať riziko závažného zranenia alebo úmrtia (napr. obsluha strojov) až dovtedy, kým sa takéto účinky nevyriešia (pozri časť</w:t>
      </w:r>
      <w:r w:rsidR="00662E84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4.4).</w:t>
      </w:r>
    </w:p>
    <w:p w14:paraId="245BA04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A2062D0" w14:textId="77777777" w:rsidR="007B4C7C" w:rsidRDefault="00662E84" w:rsidP="00DD3A58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4.8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Nežiaduce účinky</w:t>
      </w:r>
    </w:p>
    <w:p w14:paraId="777BA70B" w14:textId="77777777" w:rsidR="007B4C7C" w:rsidRDefault="007B4C7C" w:rsidP="00DD3A5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DC436E6" w14:textId="77777777" w:rsidR="007B4C7C" w:rsidRDefault="007B4C7C" w:rsidP="00DD3A5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Nežiaduce liekové reakcie sú nižšie uvedené podľa tried orgánových systémov a frekvencie. Frekvencie z klinických štúdií sú určené ako vyskytujúce sa v miere presahujúcej výskyt </w:t>
      </w:r>
      <w:r w:rsidR="00D23D07">
        <w:rPr>
          <w:sz w:val="22"/>
          <w:szCs w:val="22"/>
          <w:lang w:val="sk-SK"/>
        </w:rPr>
        <w:t>pri</w:t>
      </w:r>
      <w:r>
        <w:rPr>
          <w:sz w:val="22"/>
          <w:szCs w:val="22"/>
          <w:lang w:val="sk-SK"/>
        </w:rPr>
        <w:t> placeb</w:t>
      </w:r>
      <w:r w:rsidR="00D23D07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a sú klasifikované ako veľmi časté (≥</w:t>
      </w:r>
      <w:r w:rsidRPr="0041733E">
        <w:rPr>
          <w:lang w:val="sk-SK"/>
        </w:rPr>
        <w:t> </w:t>
      </w:r>
      <w:r>
        <w:rPr>
          <w:sz w:val="22"/>
          <w:szCs w:val="22"/>
          <w:lang w:val="sk-SK"/>
        </w:rPr>
        <w:t>1/10); časté (≥ 1/100 až &lt; 1/10); menej časté (≥ 1/1 000 až &lt; 1/100); zriedkavé (≥ 1/10 000 až &lt;1/1 000); veľmi zriedkavé (&lt; 1/10 000); neznáme (z dostupných údajov).</w:t>
      </w:r>
    </w:p>
    <w:p w14:paraId="4B7AF09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66CC54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 rámci jednotlivých skupín frekvencií sú nežiaduce účinky usporiadané v poradí klesajúcej závažnosti.</w:t>
      </w:r>
    </w:p>
    <w:p w14:paraId="55D9B26D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B9ED3D2" w14:textId="77777777" w:rsidR="007B4C7C" w:rsidRDefault="007B4C7C" w:rsidP="00D23D07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Použitie ropinirolu </w:t>
      </w:r>
      <w:r w:rsidR="00D23D07">
        <w:rPr>
          <w:sz w:val="22"/>
          <w:szCs w:val="22"/>
          <w:u w:val="single"/>
          <w:lang w:val="sk-SK"/>
        </w:rPr>
        <w:t>pri</w:t>
      </w:r>
      <w:r>
        <w:rPr>
          <w:sz w:val="22"/>
          <w:szCs w:val="22"/>
          <w:u w:val="single"/>
          <w:lang w:val="sk-SK"/>
        </w:rPr>
        <w:t> syndróm</w:t>
      </w:r>
      <w:r w:rsidR="00D23D07">
        <w:rPr>
          <w:sz w:val="22"/>
          <w:szCs w:val="22"/>
          <w:u w:val="single"/>
          <w:lang w:val="sk-SK"/>
        </w:rPr>
        <w:t>e</w:t>
      </w:r>
      <w:r>
        <w:rPr>
          <w:sz w:val="22"/>
          <w:szCs w:val="22"/>
          <w:u w:val="single"/>
          <w:lang w:val="sk-SK"/>
        </w:rPr>
        <w:t xml:space="preserve"> nepokojných nôh</w:t>
      </w:r>
    </w:p>
    <w:p w14:paraId="3730D90F" w14:textId="77777777" w:rsidR="007B4C7C" w:rsidRDefault="007B4C7C" w:rsidP="00D23D07">
      <w:pPr>
        <w:keepNext/>
        <w:keepLines/>
        <w:spacing w:line="240" w:lineRule="auto"/>
        <w:rPr>
          <w:lang w:val="sk-SK"/>
        </w:rPr>
      </w:pPr>
    </w:p>
    <w:p w14:paraId="6803F002" w14:textId="77777777" w:rsidR="007B4C7C" w:rsidRDefault="007B4C7C" w:rsidP="00D23D07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V klinických štúdiách skúmajúcich syndróm nepokojných nôh bola najčastejšou nežiaducou liekovou reakciou nauzea (približne 30 % pacientov). Nežiaduce účinky boli zvyčajne mierne až stredne ťažké a vyskytovali sa na začiatku liečby alebo po zvýšení dávky a málo pacientov bolo vyradených z klinických štúdií z dôvodu nežiaducich účinkov.</w:t>
      </w:r>
    </w:p>
    <w:p w14:paraId="7A1B7B94" w14:textId="77777777" w:rsidR="007B4C7C" w:rsidRDefault="007B4C7C" w:rsidP="00FF138C">
      <w:pPr>
        <w:spacing w:line="240" w:lineRule="auto"/>
        <w:rPr>
          <w:lang w:val="sk-SK"/>
        </w:rPr>
      </w:pPr>
    </w:p>
    <w:p w14:paraId="0B60CA77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Tabuľka</w:t>
      </w:r>
      <w:r w:rsidR="00EE3571">
        <w:rPr>
          <w:lang w:val="sk-SK"/>
        </w:rPr>
        <w:t> </w:t>
      </w:r>
      <w:r>
        <w:rPr>
          <w:lang w:val="sk-SK"/>
        </w:rPr>
        <w:t xml:space="preserve">2 uvádza nežiaduce liekové reakcie hlásené </w:t>
      </w:r>
      <w:r w:rsidR="00EE3571">
        <w:rPr>
          <w:lang w:val="sk-SK"/>
        </w:rPr>
        <w:t>pri</w:t>
      </w:r>
      <w:r>
        <w:rPr>
          <w:lang w:val="sk-SK"/>
        </w:rPr>
        <w:t> ropinirol</w:t>
      </w:r>
      <w:r w:rsidR="00EE3571">
        <w:rPr>
          <w:lang w:val="sk-SK"/>
        </w:rPr>
        <w:t>e</w:t>
      </w:r>
      <w:r>
        <w:rPr>
          <w:lang w:val="sk-SK"/>
        </w:rPr>
        <w:t xml:space="preserve"> v</w:t>
      </w:r>
      <w:r w:rsidR="00EE3571">
        <w:rPr>
          <w:lang w:val="sk-SK"/>
        </w:rPr>
        <w:t> </w:t>
      </w:r>
      <w:r>
        <w:rPr>
          <w:lang w:val="sk-SK"/>
        </w:rPr>
        <w:t>12</w:t>
      </w:r>
      <w:r w:rsidR="00EE3571">
        <w:rPr>
          <w:lang w:val="sk-SK"/>
        </w:rPr>
        <w:noBreakHyphen/>
      </w:r>
      <w:r>
        <w:rPr>
          <w:lang w:val="sk-SK"/>
        </w:rPr>
        <w:t xml:space="preserve">týždňových klinických štúdiách s mierou výskytu </w:t>
      </w:r>
      <w:r w:rsidR="00EE3571">
        <w:rPr>
          <w:lang w:val="sk-SK"/>
        </w:rPr>
        <w:t>≥ </w:t>
      </w:r>
      <w:r>
        <w:rPr>
          <w:lang w:val="sk-SK"/>
        </w:rPr>
        <w:t>1,0</w:t>
      </w:r>
      <w:r w:rsidR="00EE3571">
        <w:rPr>
          <w:lang w:val="sk-SK"/>
        </w:rPr>
        <w:t> </w:t>
      </w:r>
      <w:r>
        <w:rPr>
          <w:lang w:val="sk-SK"/>
        </w:rPr>
        <w:t xml:space="preserve">% ako </w:t>
      </w:r>
      <w:r w:rsidR="00EE3571">
        <w:rPr>
          <w:lang w:val="sk-SK"/>
        </w:rPr>
        <w:t>pri</w:t>
      </w:r>
      <w:r>
        <w:rPr>
          <w:lang w:val="sk-SK"/>
        </w:rPr>
        <w:t> placeb</w:t>
      </w:r>
      <w:r w:rsidR="00EE3571">
        <w:rPr>
          <w:lang w:val="sk-SK"/>
        </w:rPr>
        <w:t>e</w:t>
      </w:r>
      <w:r>
        <w:rPr>
          <w:lang w:val="sk-SK"/>
        </w:rPr>
        <w:t>, alebo tie, ktoré boli hlásené menej často, ale je o nich známe, že sú spojené s ropinirolom.</w:t>
      </w:r>
    </w:p>
    <w:p w14:paraId="1B43E7B6" w14:textId="77777777" w:rsidR="007B4C7C" w:rsidRPr="00EE3571" w:rsidRDefault="007B4C7C" w:rsidP="00FF138C">
      <w:pPr>
        <w:spacing w:line="240" w:lineRule="auto"/>
        <w:ind w:left="1440" w:hanging="1440"/>
        <w:rPr>
          <w:bCs/>
          <w:lang w:val="sk-SK"/>
        </w:rPr>
      </w:pPr>
    </w:p>
    <w:p w14:paraId="171CF89A" w14:textId="77777777" w:rsidR="007B4C7C" w:rsidRDefault="007B4C7C" w:rsidP="00FF7B87">
      <w:pPr>
        <w:keepNext/>
        <w:keepLines/>
        <w:spacing w:line="240" w:lineRule="auto"/>
        <w:ind w:left="1440" w:hanging="1440"/>
        <w:rPr>
          <w:bCs/>
          <w:u w:val="single"/>
          <w:lang w:val="sk-SK"/>
        </w:rPr>
      </w:pPr>
      <w:r>
        <w:rPr>
          <w:bCs/>
          <w:u w:val="single"/>
          <w:lang w:val="sk-SK"/>
        </w:rPr>
        <w:lastRenderedPageBreak/>
        <w:t>Tabuľka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 xml:space="preserve">2: </w:t>
      </w:r>
      <w:r>
        <w:rPr>
          <w:bCs/>
          <w:u w:val="single"/>
          <w:lang w:val="sk-SK"/>
        </w:rPr>
        <w:tab/>
        <w:t>Nežiaduce liekové reakcie hlásené v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12</w:t>
      </w:r>
      <w:r w:rsidR="00EE3571">
        <w:rPr>
          <w:bCs/>
          <w:u w:val="single"/>
          <w:lang w:val="sk-SK"/>
        </w:rPr>
        <w:noBreakHyphen/>
      </w:r>
      <w:r>
        <w:rPr>
          <w:bCs/>
          <w:u w:val="single"/>
          <w:lang w:val="sk-SK"/>
        </w:rPr>
        <w:t>týždňových klinických štúdiách skúmajúcich syndróm nepokojných nôh (ropinirol n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=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309, placebo n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=</w:t>
      </w:r>
      <w:r w:rsidR="00EE3571">
        <w:rPr>
          <w:bCs/>
          <w:u w:val="single"/>
          <w:lang w:val="sk-SK"/>
        </w:rPr>
        <w:t> </w:t>
      </w:r>
      <w:r>
        <w:rPr>
          <w:bCs/>
          <w:u w:val="single"/>
          <w:lang w:val="sk-SK"/>
        </w:rPr>
        <w:t>307)</w:t>
      </w:r>
    </w:p>
    <w:p w14:paraId="4D79EA5C" w14:textId="7777777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7B4C7C" w14:paraId="563418B5" w14:textId="77777777">
        <w:trPr>
          <w:cantSplit/>
        </w:trPr>
        <w:tc>
          <w:tcPr>
            <w:tcW w:w="9606" w:type="dxa"/>
            <w:gridSpan w:val="2"/>
          </w:tcPr>
          <w:p w14:paraId="5920B106" w14:textId="77777777" w:rsidR="007B4C7C" w:rsidRDefault="007B4C7C" w:rsidP="00FF7B87">
            <w:pPr>
              <w:pStyle w:val="BodyText"/>
              <w:keepNext/>
              <w:keepLines/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Psychické poruchy</w:t>
            </w:r>
          </w:p>
        </w:tc>
      </w:tr>
      <w:tr w:rsidR="007B4C7C" w14:paraId="28FD4455" w14:textId="77777777">
        <w:tc>
          <w:tcPr>
            <w:tcW w:w="4928" w:type="dxa"/>
          </w:tcPr>
          <w:p w14:paraId="27A4B651" w14:textId="77777777" w:rsidR="007B4C7C" w:rsidRDefault="007B4C7C" w:rsidP="00FF7B87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74F2FDBD" w14:textId="77777777" w:rsidR="007B4C7C" w:rsidRDefault="007B4C7C" w:rsidP="00FF7B87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Nervozita</w:t>
            </w:r>
          </w:p>
        </w:tc>
      </w:tr>
      <w:tr w:rsidR="007B4C7C" w14:paraId="21BA75D5" w14:textId="77777777">
        <w:tc>
          <w:tcPr>
            <w:tcW w:w="4928" w:type="dxa"/>
          </w:tcPr>
          <w:p w14:paraId="17333059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21D2740A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Zmätenosť</w:t>
            </w:r>
          </w:p>
        </w:tc>
      </w:tr>
      <w:tr w:rsidR="007B4C7C" w14:paraId="0A1C3509" w14:textId="77777777">
        <w:trPr>
          <w:cantSplit/>
        </w:trPr>
        <w:tc>
          <w:tcPr>
            <w:tcW w:w="9606" w:type="dxa"/>
            <w:gridSpan w:val="2"/>
          </w:tcPr>
          <w:p w14:paraId="094729D3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nervového systému</w:t>
            </w:r>
          </w:p>
        </w:tc>
      </w:tr>
      <w:tr w:rsidR="007B4C7C" w14:paraId="33A651A5" w14:textId="77777777">
        <w:tc>
          <w:tcPr>
            <w:tcW w:w="4928" w:type="dxa"/>
          </w:tcPr>
          <w:p w14:paraId="772B4247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519A9DD8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Synkopa, somnolencia, závrat (zahŕňajúci vertigo)</w:t>
            </w:r>
          </w:p>
        </w:tc>
      </w:tr>
      <w:tr w:rsidR="007B4C7C" w14:paraId="4E7C5311" w14:textId="77777777">
        <w:trPr>
          <w:cantSplit/>
        </w:trPr>
        <w:tc>
          <w:tcPr>
            <w:tcW w:w="9606" w:type="dxa"/>
            <w:gridSpan w:val="2"/>
          </w:tcPr>
          <w:p w14:paraId="0E96E92E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ciev</w:t>
            </w:r>
          </w:p>
        </w:tc>
      </w:tr>
      <w:tr w:rsidR="007B4C7C" w14:paraId="600368BE" w14:textId="77777777">
        <w:tc>
          <w:tcPr>
            <w:tcW w:w="4928" w:type="dxa"/>
          </w:tcPr>
          <w:p w14:paraId="128B8659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0DADCFA3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Posturálna hypotenzia, hypotenzia</w:t>
            </w:r>
          </w:p>
        </w:tc>
      </w:tr>
      <w:tr w:rsidR="007B4C7C" w14:paraId="1E942B20" w14:textId="77777777">
        <w:trPr>
          <w:cantSplit/>
        </w:trPr>
        <w:tc>
          <w:tcPr>
            <w:tcW w:w="9606" w:type="dxa"/>
            <w:gridSpan w:val="2"/>
          </w:tcPr>
          <w:p w14:paraId="7DD63AA1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gastrointestinálneho traktu</w:t>
            </w:r>
          </w:p>
        </w:tc>
      </w:tr>
      <w:tr w:rsidR="007B4C7C" w14:paraId="5A00B05C" w14:textId="77777777">
        <w:tc>
          <w:tcPr>
            <w:tcW w:w="4928" w:type="dxa"/>
          </w:tcPr>
          <w:p w14:paraId="35472F2F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Veľmi časté</w:t>
            </w:r>
          </w:p>
        </w:tc>
        <w:tc>
          <w:tcPr>
            <w:tcW w:w="4678" w:type="dxa"/>
          </w:tcPr>
          <w:p w14:paraId="06E9FFA2" w14:textId="77777777" w:rsidR="007B4C7C" w:rsidRDefault="00CD13E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vracanie</w:t>
            </w:r>
            <w:r w:rsidR="007B4C7C">
              <w:rPr>
                <w:lang w:val="sk-SK" w:eastAsia="en-US"/>
              </w:rPr>
              <w:t>, nauzea</w:t>
            </w:r>
          </w:p>
        </w:tc>
      </w:tr>
      <w:tr w:rsidR="007B4C7C" w14:paraId="750D81BE" w14:textId="77777777">
        <w:tc>
          <w:tcPr>
            <w:tcW w:w="4928" w:type="dxa"/>
          </w:tcPr>
          <w:p w14:paraId="677A9056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6400280E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Bolesť brucha</w:t>
            </w:r>
          </w:p>
        </w:tc>
      </w:tr>
      <w:tr w:rsidR="007B4C7C" w14:paraId="3C05AE15" w14:textId="77777777">
        <w:trPr>
          <w:cantSplit/>
        </w:trPr>
        <w:tc>
          <w:tcPr>
            <w:tcW w:w="9606" w:type="dxa"/>
            <w:gridSpan w:val="2"/>
          </w:tcPr>
          <w:p w14:paraId="22373C01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Celkové poruchy a reakcie v mieste podania</w:t>
            </w:r>
          </w:p>
        </w:tc>
      </w:tr>
      <w:tr w:rsidR="007B4C7C" w14:paraId="1AD8E71B" w14:textId="77777777">
        <w:tc>
          <w:tcPr>
            <w:tcW w:w="4928" w:type="dxa"/>
          </w:tcPr>
          <w:p w14:paraId="40F42C8D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725DFDA7" w14:textId="77777777" w:rsidR="007B4C7C" w:rsidRDefault="007B4C7C" w:rsidP="00FF138C">
            <w:pPr>
              <w:pStyle w:val="BodyText"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Únava</w:t>
            </w:r>
          </w:p>
        </w:tc>
      </w:tr>
    </w:tbl>
    <w:p w14:paraId="0E26BEF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F78E07E" w14:textId="77777777" w:rsidR="007B4C7C" w:rsidRPr="0041733E" w:rsidRDefault="007B4C7C" w:rsidP="00FF138C">
      <w:pPr>
        <w:spacing w:line="240" w:lineRule="auto"/>
        <w:ind w:left="1418" w:hanging="1418"/>
        <w:rPr>
          <w:u w:val="single"/>
          <w:lang w:val="sk-SK"/>
        </w:rPr>
      </w:pPr>
      <w:r w:rsidRPr="0041733E">
        <w:rPr>
          <w:u w:val="single"/>
          <w:lang w:val="sk-SK"/>
        </w:rPr>
        <w:t>Tabuľka</w:t>
      </w:r>
      <w:r w:rsidR="00AF4478">
        <w:rPr>
          <w:u w:val="single"/>
          <w:lang w:val="sk-SK"/>
        </w:rPr>
        <w:t> </w:t>
      </w:r>
      <w:r w:rsidRPr="0041733E">
        <w:rPr>
          <w:u w:val="single"/>
          <w:lang w:val="sk-SK"/>
        </w:rPr>
        <w:t>3:</w:t>
      </w:r>
      <w:r w:rsidRPr="0041733E">
        <w:rPr>
          <w:u w:val="single"/>
          <w:lang w:val="sk-SK"/>
        </w:rPr>
        <w:tab/>
      </w:r>
      <w:r w:rsidR="00A845CC">
        <w:rPr>
          <w:bCs/>
          <w:u w:val="single"/>
          <w:lang w:val="sk-SK"/>
        </w:rPr>
        <w:t>Nežiaduce liekové reakcie hlásené v iných</w:t>
      </w:r>
      <w:r w:rsidRPr="0041733E">
        <w:rPr>
          <w:u w:val="single"/>
          <w:lang w:val="sk-SK"/>
        </w:rPr>
        <w:t xml:space="preserve"> klinick</w:t>
      </w:r>
      <w:r w:rsidR="00A845CC">
        <w:rPr>
          <w:u w:val="single"/>
          <w:lang w:val="sk-SK"/>
        </w:rPr>
        <w:t>ých</w:t>
      </w:r>
      <w:r w:rsidRPr="0041733E">
        <w:rPr>
          <w:u w:val="single"/>
          <w:lang w:val="sk-SK"/>
        </w:rPr>
        <w:t xml:space="preserve"> štúdi</w:t>
      </w:r>
      <w:r w:rsidR="00A845CC">
        <w:rPr>
          <w:u w:val="single"/>
          <w:lang w:val="sk-SK"/>
        </w:rPr>
        <w:t>ách</w:t>
      </w:r>
      <w:r w:rsidRPr="0041733E">
        <w:rPr>
          <w:u w:val="single"/>
          <w:lang w:val="sk-SK"/>
        </w:rPr>
        <w:t xml:space="preserve"> zameran</w:t>
      </w:r>
      <w:r w:rsidR="00A845CC">
        <w:rPr>
          <w:u w:val="single"/>
          <w:lang w:val="sk-SK"/>
        </w:rPr>
        <w:t>ých</w:t>
      </w:r>
      <w:r w:rsidRPr="0041733E">
        <w:rPr>
          <w:u w:val="single"/>
          <w:lang w:val="sk-SK"/>
        </w:rPr>
        <w:t xml:space="preserve"> na</w:t>
      </w:r>
      <w:r w:rsidR="00A845CC">
        <w:rPr>
          <w:u w:val="single"/>
          <w:lang w:val="sk-SK"/>
        </w:rPr>
        <w:t> </w:t>
      </w:r>
      <w:r w:rsidRPr="0041733E">
        <w:rPr>
          <w:u w:val="single"/>
          <w:lang w:val="sk-SK"/>
        </w:rPr>
        <w:t>syndróm nepokojných nôh</w:t>
      </w:r>
    </w:p>
    <w:p w14:paraId="5B494F03" w14:textId="77777777" w:rsidR="007B4C7C" w:rsidRPr="00AF4478" w:rsidRDefault="007B4C7C" w:rsidP="00FF138C">
      <w:pPr>
        <w:spacing w:line="240" w:lineRule="auto"/>
        <w:ind w:left="1418" w:hanging="1418"/>
        <w:rPr>
          <w:highlight w:val="yellow"/>
          <w:u w:val="single"/>
          <w:lang w:val="sk-SK"/>
        </w:rPr>
      </w:pP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819"/>
      </w:tblGrid>
      <w:tr w:rsidR="007B4C7C" w:rsidRPr="00AF4478" w14:paraId="2773C503" w14:textId="77777777" w:rsidTr="003F6EA0">
        <w:tc>
          <w:tcPr>
            <w:tcW w:w="9638" w:type="dxa"/>
            <w:gridSpan w:val="2"/>
          </w:tcPr>
          <w:p w14:paraId="26690F11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i/>
                <w:lang w:val="sk-SK"/>
              </w:rPr>
              <w:t>Psychické poruchy</w:t>
            </w:r>
          </w:p>
        </w:tc>
      </w:tr>
      <w:tr w:rsidR="007B4C7C" w:rsidRPr="00AF4478" w14:paraId="3AAFF28A" w14:textId="77777777" w:rsidTr="003F6EA0">
        <w:tc>
          <w:tcPr>
            <w:tcW w:w="4819" w:type="dxa"/>
          </w:tcPr>
          <w:p w14:paraId="1F59C2A8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Menej časté</w:t>
            </w:r>
          </w:p>
        </w:tc>
        <w:tc>
          <w:tcPr>
            <w:tcW w:w="4819" w:type="dxa"/>
          </w:tcPr>
          <w:p w14:paraId="518D7435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Halucinácie</w:t>
            </w:r>
          </w:p>
        </w:tc>
      </w:tr>
      <w:tr w:rsidR="007B4C7C" w:rsidRPr="00AF4478" w14:paraId="790B05AF" w14:textId="77777777" w:rsidTr="003F6EA0">
        <w:tc>
          <w:tcPr>
            <w:tcW w:w="9638" w:type="dxa"/>
            <w:gridSpan w:val="2"/>
          </w:tcPr>
          <w:p w14:paraId="0AF87772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i/>
                <w:lang w:val="sk-SK"/>
              </w:rPr>
              <w:t>Poruchy nervového syst</w:t>
            </w:r>
            <w:r w:rsidR="00813478" w:rsidRPr="00AF4478">
              <w:rPr>
                <w:i/>
                <w:lang w:val="sk-SK"/>
              </w:rPr>
              <w:t>é</w:t>
            </w:r>
            <w:r w:rsidRPr="00AF4478">
              <w:rPr>
                <w:i/>
                <w:lang w:val="sk-SK"/>
              </w:rPr>
              <w:t>m</w:t>
            </w:r>
            <w:r w:rsidR="00813478" w:rsidRPr="00AF4478">
              <w:rPr>
                <w:i/>
                <w:lang w:val="sk-SK"/>
              </w:rPr>
              <w:t>u</w:t>
            </w:r>
          </w:p>
        </w:tc>
      </w:tr>
      <w:tr w:rsidR="007B4C7C" w:rsidRPr="00AF4478" w14:paraId="0287B3AA" w14:textId="77777777" w:rsidTr="003F6EA0">
        <w:tc>
          <w:tcPr>
            <w:tcW w:w="4819" w:type="dxa"/>
          </w:tcPr>
          <w:p w14:paraId="36E61066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Časté</w:t>
            </w:r>
          </w:p>
        </w:tc>
        <w:tc>
          <w:tcPr>
            <w:tcW w:w="4819" w:type="dxa"/>
          </w:tcPr>
          <w:p w14:paraId="330FDC6B" w14:textId="77777777" w:rsidR="007B4C7C" w:rsidRPr="00AF4478" w:rsidRDefault="007B4C7C" w:rsidP="00FF138C">
            <w:pPr>
              <w:spacing w:line="240" w:lineRule="auto"/>
              <w:rPr>
                <w:u w:val="single"/>
                <w:lang w:val="sk-SK"/>
              </w:rPr>
            </w:pPr>
            <w:r w:rsidRPr="00AF4478">
              <w:rPr>
                <w:lang w:val="sk-SK"/>
              </w:rPr>
              <w:t>Tzv. augmentácia (zhoršenie príznakov), opakovaný výskyt príznakov v skorých ranných hodinách (pozri časť 4.4)</w:t>
            </w:r>
          </w:p>
        </w:tc>
      </w:tr>
    </w:tbl>
    <w:p w14:paraId="2B043C7A" w14:textId="77777777" w:rsidR="007B4C7C" w:rsidRPr="00AF447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C90E53E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Liečba nežiaducich účinkov</w:t>
      </w:r>
    </w:p>
    <w:p w14:paraId="3DB772F6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1C20F60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Má sa uvažovať o znížení dávky, ak sa u pacientov vyskytnú významné nežiaduce účinky.</w:t>
      </w:r>
      <w:r w:rsidR="00AF4478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Ak sa nežiaduce účinky zmiernia, je možné opäť zaviesť postupnú titráciu dávky smerom nahor. V prípade potreby sa môžu použiť lieky proti nevoľnosti, ktoré nie sú centrálne pôsobiacimi antagonistami dopamínu, ako je domperidon.</w:t>
      </w:r>
    </w:p>
    <w:p w14:paraId="4CD49EB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13D94E83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Ďalšie skúsenosti s ropinirolom</w:t>
      </w:r>
    </w:p>
    <w:p w14:paraId="12A5B961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7AC58425" w14:textId="77777777" w:rsidR="007B4C7C" w:rsidRDefault="007B4C7C" w:rsidP="00FB13D3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indikovaný aj na liečbu Parkinsonovej choroby. Nižšie sú popísané nežiaduce liekové reakcie hlásené u pacientov s Parkinsonovou chorobou na monoterapii s ropinirolom a na prídavnej terapii pri dávkach až</w:t>
      </w:r>
      <w:r w:rsidR="00FB13D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do</w:t>
      </w:r>
      <w:r w:rsidR="00FB13D3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24</w:t>
      </w:r>
      <w:r w:rsidR="00AF4478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 xml:space="preserve">mg/deň s výskytom presahujúcim výskyt </w:t>
      </w:r>
      <w:r w:rsidR="00AF4478">
        <w:rPr>
          <w:sz w:val="22"/>
          <w:szCs w:val="22"/>
          <w:lang w:val="sk-SK"/>
        </w:rPr>
        <w:t>pri</w:t>
      </w:r>
      <w:r>
        <w:rPr>
          <w:sz w:val="22"/>
          <w:szCs w:val="22"/>
          <w:lang w:val="sk-SK"/>
        </w:rPr>
        <w:t> placeb</w:t>
      </w:r>
      <w:r w:rsidR="00AF4478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>.</w:t>
      </w:r>
    </w:p>
    <w:p w14:paraId="066B6B5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</w:p>
    <w:p w14:paraId="6201B1A9" w14:textId="77777777" w:rsidR="007B4C7C" w:rsidRDefault="007B4C7C" w:rsidP="00AF4478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 w:rsidRPr="00B66248">
        <w:rPr>
          <w:sz w:val="22"/>
          <w:szCs w:val="22"/>
          <w:u w:val="single"/>
          <w:lang w:val="sk-SK"/>
        </w:rPr>
        <w:t xml:space="preserve">Tabuľka </w:t>
      </w:r>
      <w:r w:rsidRPr="00D9531D">
        <w:rPr>
          <w:sz w:val="22"/>
          <w:szCs w:val="22"/>
          <w:u w:val="single"/>
          <w:lang w:val="sk-SK"/>
        </w:rPr>
        <w:t>4</w:t>
      </w:r>
      <w:r>
        <w:rPr>
          <w:sz w:val="22"/>
          <w:szCs w:val="22"/>
          <w:u w:val="single"/>
          <w:lang w:val="sk-SK"/>
        </w:rPr>
        <w:t xml:space="preserve">: </w:t>
      </w:r>
      <w:r>
        <w:rPr>
          <w:sz w:val="22"/>
          <w:szCs w:val="22"/>
          <w:u w:val="single"/>
          <w:lang w:val="sk-SK"/>
        </w:rPr>
        <w:tab/>
        <w:t xml:space="preserve">Nežiaduce liekové reakcie hlásené v klinických štúdiách skúmajúcich Parkinsonovu </w:t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lang w:val="sk-SK"/>
        </w:rPr>
        <w:tab/>
      </w:r>
      <w:r>
        <w:rPr>
          <w:sz w:val="22"/>
          <w:szCs w:val="22"/>
          <w:u w:val="single"/>
          <w:lang w:val="sk-SK"/>
        </w:rPr>
        <w:t>chorobu pri dávkach až</w:t>
      </w:r>
      <w:r w:rsidR="00FB13D3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do</w:t>
      </w:r>
      <w:r w:rsidR="00FB13D3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24</w:t>
      </w:r>
      <w:r w:rsidR="00AF4478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mg/deň</w:t>
      </w:r>
    </w:p>
    <w:p w14:paraId="76097E0D" w14:textId="77777777" w:rsidR="007B4C7C" w:rsidRDefault="007B4C7C" w:rsidP="00AF4478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678"/>
      </w:tblGrid>
      <w:tr w:rsidR="007B4C7C" w14:paraId="594EEA7B" w14:textId="77777777">
        <w:trPr>
          <w:cantSplit/>
        </w:trPr>
        <w:tc>
          <w:tcPr>
            <w:tcW w:w="9606" w:type="dxa"/>
            <w:gridSpan w:val="2"/>
          </w:tcPr>
          <w:p w14:paraId="6535BADF" w14:textId="77777777" w:rsidR="007B4C7C" w:rsidRDefault="007B4C7C" w:rsidP="00AF4478">
            <w:pPr>
              <w:pStyle w:val="BodyText"/>
              <w:keepNext/>
              <w:keepLines/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Psychické poruchy</w:t>
            </w:r>
          </w:p>
        </w:tc>
      </w:tr>
      <w:tr w:rsidR="007B4C7C" w14:paraId="5A59D2FB" w14:textId="77777777">
        <w:tc>
          <w:tcPr>
            <w:tcW w:w="4928" w:type="dxa"/>
          </w:tcPr>
          <w:p w14:paraId="438658FC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14108F65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Halucinácie, zmätenosť</w:t>
            </w:r>
          </w:p>
        </w:tc>
      </w:tr>
      <w:tr w:rsidR="007B4C7C" w14:paraId="4195CC01" w14:textId="77777777">
        <w:tc>
          <w:tcPr>
            <w:tcW w:w="4928" w:type="dxa"/>
          </w:tcPr>
          <w:p w14:paraId="42FFD75A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Menej časté</w:t>
            </w:r>
          </w:p>
        </w:tc>
        <w:tc>
          <w:tcPr>
            <w:tcW w:w="4678" w:type="dxa"/>
          </w:tcPr>
          <w:p w14:paraId="6BF56E4F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Zvýšené libido</w:t>
            </w:r>
          </w:p>
        </w:tc>
      </w:tr>
      <w:tr w:rsidR="007B4C7C" w14:paraId="24C7E26E" w14:textId="77777777">
        <w:trPr>
          <w:cantSplit/>
        </w:trPr>
        <w:tc>
          <w:tcPr>
            <w:tcW w:w="9606" w:type="dxa"/>
            <w:gridSpan w:val="2"/>
          </w:tcPr>
          <w:p w14:paraId="2AC00D38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nervového systému</w:t>
            </w:r>
          </w:p>
        </w:tc>
      </w:tr>
      <w:tr w:rsidR="007B4C7C" w14:paraId="255BFF5B" w14:textId="77777777">
        <w:tc>
          <w:tcPr>
            <w:tcW w:w="4928" w:type="dxa"/>
          </w:tcPr>
          <w:p w14:paraId="23465B92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 xml:space="preserve">Veľmi časté </w:t>
            </w:r>
          </w:p>
        </w:tc>
        <w:tc>
          <w:tcPr>
            <w:tcW w:w="4678" w:type="dxa"/>
          </w:tcPr>
          <w:p w14:paraId="5D33C010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Synkopa, dyskinéza, somnolencia</w:t>
            </w:r>
          </w:p>
        </w:tc>
      </w:tr>
      <w:tr w:rsidR="007B4C7C" w14:paraId="5E4DEA6E" w14:textId="77777777">
        <w:trPr>
          <w:cantSplit/>
        </w:trPr>
        <w:tc>
          <w:tcPr>
            <w:tcW w:w="9606" w:type="dxa"/>
            <w:gridSpan w:val="2"/>
          </w:tcPr>
          <w:p w14:paraId="555FFBDB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Poruchy gastrointestinálneho traktu</w:t>
            </w:r>
          </w:p>
        </w:tc>
      </w:tr>
      <w:tr w:rsidR="007B4C7C" w14:paraId="0C2F3B10" w14:textId="77777777">
        <w:tc>
          <w:tcPr>
            <w:tcW w:w="4928" w:type="dxa"/>
          </w:tcPr>
          <w:p w14:paraId="6E27710C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 xml:space="preserve">Veľmi časté </w:t>
            </w:r>
          </w:p>
        </w:tc>
        <w:tc>
          <w:tcPr>
            <w:tcW w:w="4678" w:type="dxa"/>
          </w:tcPr>
          <w:p w14:paraId="7A28D98F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Nauzea</w:t>
            </w:r>
          </w:p>
        </w:tc>
      </w:tr>
      <w:tr w:rsidR="007B4C7C" w14:paraId="36C9975B" w14:textId="77777777">
        <w:tc>
          <w:tcPr>
            <w:tcW w:w="4928" w:type="dxa"/>
          </w:tcPr>
          <w:p w14:paraId="0AF98EE3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22EB452D" w14:textId="77777777" w:rsidR="007B4C7C" w:rsidRDefault="00CD13E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vracanie</w:t>
            </w:r>
            <w:r w:rsidR="007B4C7C">
              <w:rPr>
                <w:lang w:val="sk-SK" w:eastAsia="en-US"/>
              </w:rPr>
              <w:t>, bolesť brucha, pálenie záhy</w:t>
            </w:r>
          </w:p>
        </w:tc>
      </w:tr>
      <w:tr w:rsidR="007B4C7C" w14:paraId="616C6195" w14:textId="77777777">
        <w:trPr>
          <w:cantSplit/>
        </w:trPr>
        <w:tc>
          <w:tcPr>
            <w:tcW w:w="9606" w:type="dxa"/>
            <w:gridSpan w:val="2"/>
          </w:tcPr>
          <w:p w14:paraId="6EC046E3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i/>
                <w:iCs/>
                <w:lang w:val="sk-SK" w:eastAsia="en-US"/>
              </w:rPr>
            </w:pPr>
            <w:r>
              <w:rPr>
                <w:i/>
                <w:iCs/>
                <w:lang w:val="sk-SK" w:eastAsia="en-US"/>
              </w:rPr>
              <w:t>Celkové poruchy a reakcie v mieste podania</w:t>
            </w:r>
          </w:p>
        </w:tc>
      </w:tr>
      <w:tr w:rsidR="007B4C7C" w:rsidRPr="00406D3D" w14:paraId="7C210C99" w14:textId="77777777">
        <w:tc>
          <w:tcPr>
            <w:tcW w:w="4928" w:type="dxa"/>
          </w:tcPr>
          <w:p w14:paraId="15E8795B" w14:textId="77777777" w:rsidR="007B4C7C" w:rsidRDefault="007B4C7C" w:rsidP="00AF4478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Časté</w:t>
            </w:r>
          </w:p>
        </w:tc>
        <w:tc>
          <w:tcPr>
            <w:tcW w:w="4678" w:type="dxa"/>
          </w:tcPr>
          <w:p w14:paraId="128464F0" w14:textId="77777777" w:rsidR="007B4C7C" w:rsidRDefault="00406D3D" w:rsidP="00406D3D">
            <w:pPr>
              <w:pStyle w:val="BodyText"/>
              <w:keepNext/>
              <w:keepLines/>
              <w:tabs>
                <w:tab w:val="left" w:pos="567"/>
              </w:tabs>
              <w:spacing w:after="0"/>
              <w:rPr>
                <w:lang w:val="sk-SK" w:eastAsia="en-US"/>
              </w:rPr>
            </w:pPr>
            <w:r>
              <w:rPr>
                <w:lang w:val="sk-SK" w:eastAsia="en-US"/>
              </w:rPr>
              <w:t>Periférny edém (vrátane e</w:t>
            </w:r>
            <w:r w:rsidR="007B4C7C">
              <w:rPr>
                <w:lang w:val="sk-SK" w:eastAsia="en-US"/>
              </w:rPr>
              <w:t>dém</w:t>
            </w:r>
            <w:r>
              <w:rPr>
                <w:lang w:val="sk-SK" w:eastAsia="en-US"/>
              </w:rPr>
              <w:t>u</w:t>
            </w:r>
            <w:r w:rsidR="007B4C7C">
              <w:rPr>
                <w:lang w:val="sk-SK" w:eastAsia="en-US"/>
              </w:rPr>
              <w:t xml:space="preserve"> nôh</w:t>
            </w:r>
            <w:r>
              <w:rPr>
                <w:lang w:val="sk-SK" w:eastAsia="en-US"/>
              </w:rPr>
              <w:t>)</w:t>
            </w:r>
          </w:p>
        </w:tc>
      </w:tr>
    </w:tbl>
    <w:p w14:paraId="1AED3961" w14:textId="77777777" w:rsidR="007B4C7C" w:rsidRDefault="007B4C7C" w:rsidP="00FF138C">
      <w:pPr>
        <w:pStyle w:val="Text"/>
        <w:spacing w:after="0" w:line="240" w:lineRule="auto"/>
        <w:rPr>
          <w:i/>
          <w:sz w:val="22"/>
          <w:szCs w:val="22"/>
          <w:lang w:val="sk-SK"/>
        </w:rPr>
      </w:pPr>
    </w:p>
    <w:p w14:paraId="19BEF204" w14:textId="77777777" w:rsidR="007B4C7C" w:rsidRDefault="007B4C7C" w:rsidP="00FF7B87">
      <w:pPr>
        <w:pStyle w:val="Text"/>
        <w:keepNext/>
        <w:spacing w:after="0" w:line="240" w:lineRule="auto"/>
        <w:rPr>
          <w:i/>
          <w:sz w:val="22"/>
          <w:szCs w:val="22"/>
          <w:u w:val="single"/>
          <w:lang w:val="sk-SK"/>
        </w:rPr>
      </w:pPr>
      <w:proofErr w:type="spellStart"/>
      <w:r>
        <w:rPr>
          <w:sz w:val="22"/>
          <w:szCs w:val="22"/>
          <w:u w:val="single"/>
          <w:lang w:val="sk-SK"/>
        </w:rPr>
        <w:lastRenderedPageBreak/>
        <w:t>Postmarketingové</w:t>
      </w:r>
      <w:proofErr w:type="spellEnd"/>
      <w:r>
        <w:rPr>
          <w:sz w:val="22"/>
          <w:szCs w:val="22"/>
          <w:u w:val="single"/>
          <w:lang w:val="sk-SK"/>
        </w:rPr>
        <w:t xml:space="preserve"> hlásenia</w:t>
      </w:r>
    </w:p>
    <w:p w14:paraId="4D574AA2" w14:textId="77777777" w:rsidR="007B4C7C" w:rsidRDefault="007B4C7C" w:rsidP="00FF7B87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28D7181F" w14:textId="77777777" w:rsidR="007B4C7C" w:rsidRDefault="007B4C7C" w:rsidP="00FF7B87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Reakcie z precitlivenosti</w:t>
      </w:r>
      <w:r w:rsidRPr="00FB38A8">
        <w:rPr>
          <w:sz w:val="22"/>
          <w:szCs w:val="22"/>
          <w:lang w:val="sk-SK"/>
        </w:rPr>
        <w:t xml:space="preserve"> (</w:t>
      </w:r>
      <w:r>
        <w:rPr>
          <w:sz w:val="22"/>
          <w:szCs w:val="22"/>
          <w:lang w:val="sk-SK"/>
        </w:rPr>
        <w:t>zahŕňajúce</w:t>
      </w:r>
      <w:r w:rsidRPr="00FB38A8">
        <w:rPr>
          <w:sz w:val="22"/>
          <w:szCs w:val="22"/>
          <w:lang w:val="sk-SK"/>
        </w:rPr>
        <w:t xml:space="preserve"> urti</w:t>
      </w:r>
      <w:r>
        <w:rPr>
          <w:sz w:val="22"/>
          <w:szCs w:val="22"/>
          <w:lang w:val="sk-SK"/>
        </w:rPr>
        <w:t xml:space="preserve">káriu, </w:t>
      </w:r>
      <w:r w:rsidRPr="00FB38A8">
        <w:rPr>
          <w:sz w:val="22"/>
          <w:szCs w:val="22"/>
          <w:lang w:val="sk-SK"/>
        </w:rPr>
        <w:t>angioed</w:t>
      </w:r>
      <w:r>
        <w:rPr>
          <w:sz w:val="22"/>
          <w:szCs w:val="22"/>
          <w:lang w:val="sk-SK"/>
        </w:rPr>
        <w:t>é</w:t>
      </w:r>
      <w:r w:rsidRPr="00FB38A8">
        <w:rPr>
          <w:sz w:val="22"/>
          <w:szCs w:val="22"/>
          <w:lang w:val="sk-SK"/>
        </w:rPr>
        <w:t xml:space="preserve">m, </w:t>
      </w:r>
      <w:r>
        <w:rPr>
          <w:sz w:val="22"/>
          <w:szCs w:val="22"/>
          <w:lang w:val="sk-SK"/>
        </w:rPr>
        <w:t>vyrážku</w:t>
      </w:r>
      <w:r w:rsidRPr="00FB38A8">
        <w:rPr>
          <w:sz w:val="22"/>
          <w:szCs w:val="22"/>
          <w:lang w:val="sk-SK"/>
        </w:rPr>
        <w:t>, pruritus).</w:t>
      </w:r>
    </w:p>
    <w:p w14:paraId="5EC52CFC" w14:textId="77777777" w:rsidR="007B4C7C" w:rsidRPr="00FB38A8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D5BA393" w14:textId="77777777" w:rsidR="007B4C7C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Hlásené boli p</w:t>
      </w:r>
      <w:r w:rsidR="007B4C7C">
        <w:rPr>
          <w:color w:val="000000"/>
          <w:sz w:val="22"/>
          <w:szCs w:val="22"/>
          <w:lang w:val="sk-SK"/>
        </w:rPr>
        <w:t>sychotické reakcie (iné ako halucinácie) zahŕňajúce delírium, bludy</w:t>
      </w:r>
      <w:r>
        <w:rPr>
          <w:color w:val="000000"/>
          <w:sz w:val="22"/>
          <w:szCs w:val="22"/>
          <w:lang w:val="sk-SK"/>
        </w:rPr>
        <w:t xml:space="preserve"> a</w:t>
      </w:r>
      <w:r w:rsidR="007B4C7C">
        <w:rPr>
          <w:color w:val="000000"/>
          <w:sz w:val="22"/>
          <w:szCs w:val="22"/>
          <w:lang w:val="sk-SK"/>
        </w:rPr>
        <w:t xml:space="preserve"> paranoju.</w:t>
      </w:r>
    </w:p>
    <w:p w14:paraId="4F9F2B0C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284353BC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Agresivita* (neznáma frekvencia)</w:t>
      </w:r>
    </w:p>
    <w:p w14:paraId="39F02E1C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*Agresivita súvisela s psychotickými reakciami ako aj s kompulzívnymi príznakmi.</w:t>
      </w:r>
    </w:p>
    <w:p w14:paraId="4E25C7B4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1A6B34EF" w14:textId="77777777" w:rsidR="00FE2751" w:rsidRPr="00FE2751" w:rsidRDefault="00FE2751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u w:val="single"/>
          <w:lang w:val="sk-SK"/>
        </w:rPr>
        <w:t>Psychické poruchy:</w:t>
      </w:r>
      <w:r w:rsidRPr="00633990">
        <w:rPr>
          <w:color w:val="000000"/>
          <w:sz w:val="22"/>
          <w:szCs w:val="22"/>
          <w:lang w:val="sk-SK"/>
        </w:rPr>
        <w:t xml:space="preserve"> </w:t>
      </w:r>
      <w:r w:rsidR="00FF2010">
        <w:rPr>
          <w:color w:val="000000"/>
          <w:sz w:val="22"/>
          <w:szCs w:val="22"/>
          <w:lang w:val="sk-SK"/>
        </w:rPr>
        <w:t>syndróm dopamínovej dysregulácie (neznáma frekvencia)</w:t>
      </w:r>
      <w:r w:rsidR="001B0E42">
        <w:rPr>
          <w:color w:val="000000"/>
          <w:sz w:val="22"/>
          <w:szCs w:val="22"/>
          <w:lang w:val="sk-SK"/>
        </w:rPr>
        <w:t>.</w:t>
      </w:r>
    </w:p>
    <w:p w14:paraId="1DDA87EC" w14:textId="77777777" w:rsidR="00FE2751" w:rsidRDefault="00FE2751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639D2D11" w14:textId="5F910CA7" w:rsidR="00843507" w:rsidRDefault="00CF5DA5" w:rsidP="00843507">
      <w:pPr>
        <w:pStyle w:val="Text"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 xml:space="preserve">Poruchy </w:t>
      </w:r>
      <w:r w:rsidR="003D0EB2">
        <w:rPr>
          <w:sz w:val="22"/>
          <w:szCs w:val="22"/>
          <w:u w:val="single"/>
          <w:lang w:val="sk-SK"/>
        </w:rPr>
        <w:t>návykov</w:t>
      </w:r>
      <w:r>
        <w:rPr>
          <w:sz w:val="22"/>
          <w:szCs w:val="22"/>
          <w:u w:val="single"/>
          <w:lang w:val="sk-SK"/>
        </w:rPr>
        <w:t xml:space="preserve"> </w:t>
      </w:r>
      <w:r w:rsidR="003D0EB2">
        <w:rPr>
          <w:sz w:val="22"/>
          <w:szCs w:val="22"/>
          <w:u w:val="single"/>
          <w:lang w:val="sk-SK"/>
        </w:rPr>
        <w:t xml:space="preserve">a </w:t>
      </w:r>
      <w:r>
        <w:rPr>
          <w:sz w:val="22"/>
          <w:szCs w:val="22"/>
          <w:u w:val="single"/>
          <w:lang w:val="sk-SK"/>
        </w:rPr>
        <w:t>impulzov</w:t>
      </w:r>
      <w:r w:rsidR="00843507" w:rsidRPr="00A7724A">
        <w:rPr>
          <w:sz w:val="22"/>
          <w:szCs w:val="22"/>
          <w:lang w:val="sk-SK"/>
        </w:rPr>
        <w:t xml:space="preserve"> (neznáma frekvencia)</w:t>
      </w:r>
    </w:p>
    <w:p w14:paraId="1FD6D831" w14:textId="77777777" w:rsidR="00843507" w:rsidRDefault="00843507" w:rsidP="00843507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U pacientov liečených dopamínergnými agonistami vrátane A</w:t>
      </w:r>
      <w:r w:rsidR="00783F15">
        <w:rPr>
          <w:sz w:val="22"/>
          <w:szCs w:val="22"/>
          <w:lang w:val="sk-SK"/>
        </w:rPr>
        <w:t>DARTRELu</w:t>
      </w:r>
      <w:r>
        <w:rPr>
          <w:sz w:val="22"/>
          <w:szCs w:val="22"/>
          <w:lang w:val="sk-SK"/>
        </w:rPr>
        <w:t xml:space="preserve"> sa môž</w:t>
      </w:r>
      <w:r w:rsidR="00783F15">
        <w:rPr>
          <w:sz w:val="22"/>
          <w:szCs w:val="22"/>
          <w:lang w:val="sk-SK"/>
        </w:rPr>
        <w:t>e</w:t>
      </w:r>
      <w:r>
        <w:rPr>
          <w:sz w:val="22"/>
          <w:szCs w:val="22"/>
          <w:lang w:val="sk-SK"/>
        </w:rPr>
        <w:t xml:space="preserve"> vyskytnúť </w:t>
      </w:r>
      <w:r w:rsidRPr="008B16CE">
        <w:rPr>
          <w:sz w:val="22"/>
          <w:szCs w:val="22"/>
          <w:lang w:val="sk-SK"/>
        </w:rPr>
        <w:t>patologické hráčstvo</w:t>
      </w:r>
      <w:r>
        <w:rPr>
          <w:sz w:val="22"/>
          <w:szCs w:val="22"/>
          <w:lang w:val="sk-SK"/>
        </w:rPr>
        <w:t xml:space="preserve">, zvýšené libido, </w:t>
      </w:r>
      <w:r w:rsidRPr="008B16CE">
        <w:rPr>
          <w:sz w:val="22"/>
          <w:szCs w:val="22"/>
          <w:lang w:val="sk-SK"/>
        </w:rPr>
        <w:t>hypersexualit</w:t>
      </w:r>
      <w:r w:rsidR="00783F15">
        <w:rPr>
          <w:sz w:val="22"/>
          <w:szCs w:val="22"/>
          <w:lang w:val="sk-SK"/>
        </w:rPr>
        <w:t>a</w:t>
      </w:r>
      <w:r>
        <w:rPr>
          <w:sz w:val="22"/>
          <w:szCs w:val="22"/>
          <w:lang w:val="sk-SK"/>
        </w:rPr>
        <w:t xml:space="preserve">, kompulzívne míňanie alebo nakupovanie, záchvatovité prejedanie </w:t>
      </w:r>
      <w:r w:rsidR="007D75E3">
        <w:rPr>
          <w:sz w:val="22"/>
          <w:szCs w:val="22"/>
          <w:lang w:val="sk-SK"/>
        </w:rPr>
        <w:t xml:space="preserve">sa </w:t>
      </w:r>
      <w:r>
        <w:rPr>
          <w:sz w:val="22"/>
          <w:szCs w:val="22"/>
          <w:lang w:val="sk-SK"/>
        </w:rPr>
        <w:t>a kompulzívne prejedanie</w:t>
      </w:r>
      <w:r w:rsidR="007D75E3">
        <w:rPr>
          <w:sz w:val="22"/>
          <w:szCs w:val="22"/>
          <w:lang w:val="sk-SK"/>
        </w:rPr>
        <w:t xml:space="preserve"> sa</w:t>
      </w:r>
      <w:r w:rsidR="00783F15">
        <w:rPr>
          <w:sz w:val="22"/>
          <w:szCs w:val="22"/>
          <w:lang w:val="sk-SK"/>
        </w:rPr>
        <w:t xml:space="preserve"> (pozri časť 4.4).</w:t>
      </w:r>
    </w:p>
    <w:p w14:paraId="1030A2AD" w14:textId="77777777" w:rsidR="00843507" w:rsidRDefault="00843507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38CF31B6" w14:textId="77777777" w:rsidR="0072689C" w:rsidRDefault="0072689C" w:rsidP="00BB77F0">
      <w:pPr>
        <w:pStyle w:val="Text"/>
        <w:keepNext/>
        <w:keepLines/>
        <w:spacing w:after="0" w:line="240" w:lineRule="auto"/>
        <w:rPr>
          <w:rFonts w:eastAsia="Verdana"/>
          <w:sz w:val="22"/>
          <w:szCs w:val="22"/>
          <w:lang w:val="sk-SK" w:eastAsia="en-GB"/>
        </w:rPr>
      </w:pPr>
      <w:r w:rsidRPr="00DD4BCC">
        <w:rPr>
          <w:rFonts w:eastAsia="Verdana"/>
          <w:sz w:val="22"/>
          <w:szCs w:val="22"/>
          <w:lang w:val="sk-SK" w:eastAsia="en-GB"/>
        </w:rPr>
        <w:t>Abstinenčný syndróm zapríčinený agonistami dopamínu</w:t>
      </w:r>
      <w:r>
        <w:rPr>
          <w:rFonts w:eastAsia="Verdana"/>
          <w:sz w:val="22"/>
          <w:szCs w:val="22"/>
          <w:lang w:val="sk-SK" w:eastAsia="en-GB"/>
        </w:rPr>
        <w:t xml:space="preserve"> (neznáma frekvencia)</w:t>
      </w:r>
    </w:p>
    <w:p w14:paraId="7FB2D2F4" w14:textId="77777777" w:rsidR="0072689C" w:rsidRDefault="0072689C" w:rsidP="00BB77F0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r>
        <w:rPr>
          <w:rFonts w:eastAsia="Verdana"/>
          <w:sz w:val="22"/>
          <w:szCs w:val="22"/>
          <w:lang w:val="sk-SK" w:eastAsia="en-GB"/>
        </w:rPr>
        <w:t xml:space="preserve">Zahŕňajúci </w:t>
      </w:r>
      <w:r w:rsidRPr="00DD4BCC">
        <w:rPr>
          <w:rFonts w:eastAsia="Verdana"/>
          <w:sz w:val="22"/>
          <w:szCs w:val="22"/>
          <w:lang w:val="sk-SK" w:eastAsia="en-GB"/>
        </w:rPr>
        <w:t>apatiu, úzkosť, depresiu, únavu, potenie a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bolesť</w:t>
      </w:r>
      <w:r w:rsidRPr="009D74A7">
        <w:rPr>
          <w:rFonts w:eastAsia="Verdana"/>
          <w:sz w:val="22"/>
          <w:szCs w:val="22"/>
          <w:lang w:val="sk-SK" w:eastAsia="en-GB"/>
        </w:rPr>
        <w:t xml:space="preserve">. </w:t>
      </w:r>
      <w:r w:rsidRPr="00DD4BCC">
        <w:rPr>
          <w:rFonts w:eastAsia="Verdana"/>
          <w:sz w:val="22"/>
          <w:szCs w:val="22"/>
          <w:lang w:val="sk-SK" w:eastAsia="en-GB"/>
        </w:rPr>
        <w:t>V období znižovania dávky alebo po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ukončení podávania agonistov dopamínu vrátane ropinirolu sa môžu vyskytnúť nemotorické nežiaduce účinky (pozri časť</w:t>
      </w:r>
      <w:r>
        <w:rPr>
          <w:rFonts w:eastAsia="Verdana"/>
          <w:sz w:val="22"/>
          <w:szCs w:val="22"/>
          <w:lang w:val="sk-SK" w:eastAsia="en-GB"/>
        </w:rPr>
        <w:t> </w:t>
      </w:r>
      <w:r w:rsidRPr="00DD4BCC">
        <w:rPr>
          <w:rFonts w:eastAsia="Verdana"/>
          <w:sz w:val="22"/>
          <w:szCs w:val="22"/>
          <w:lang w:val="sk-SK" w:eastAsia="en-GB"/>
        </w:rPr>
        <w:t>4.4)</w:t>
      </w:r>
      <w:r>
        <w:rPr>
          <w:rFonts w:eastAsia="Verdana"/>
          <w:sz w:val="22"/>
          <w:szCs w:val="22"/>
          <w:lang w:val="sk-SK" w:eastAsia="en-GB"/>
        </w:rPr>
        <w:t>.</w:t>
      </w:r>
    </w:p>
    <w:p w14:paraId="0A53D18E" w14:textId="77777777" w:rsidR="0072689C" w:rsidRDefault="0072689C" w:rsidP="00FF138C">
      <w:pPr>
        <w:pStyle w:val="Text"/>
        <w:spacing w:after="0" w:line="240" w:lineRule="auto"/>
        <w:rPr>
          <w:color w:val="000000"/>
          <w:sz w:val="22"/>
          <w:szCs w:val="22"/>
          <w:lang w:val="sk-SK"/>
        </w:rPr>
      </w:pPr>
    </w:p>
    <w:p w14:paraId="34DD7647" w14:textId="77777777" w:rsidR="007B4C7C" w:rsidRDefault="00D009DE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Parkinsonovej chorob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je ropinirol spojený so somnolenciou a menej často (≥ 1/1 000 až &lt; 1/100) sa spájal s nadmernou somnolenciou počas dňa a epizódami náhleho nástupu spánku, avšak </w:t>
      </w:r>
      <w:r>
        <w:rPr>
          <w:sz w:val="22"/>
          <w:szCs w:val="22"/>
          <w:lang w:val="sk-SK"/>
        </w:rPr>
        <w:t>pri</w:t>
      </w:r>
      <w:r w:rsidR="007B4C7C">
        <w:rPr>
          <w:sz w:val="22"/>
          <w:szCs w:val="22"/>
          <w:lang w:val="sk-SK"/>
        </w:rPr>
        <w:t> syndróm</w:t>
      </w:r>
      <w:r>
        <w:rPr>
          <w:sz w:val="22"/>
          <w:szCs w:val="22"/>
          <w:lang w:val="sk-SK"/>
        </w:rPr>
        <w:t>e</w:t>
      </w:r>
      <w:r w:rsidR="007B4C7C">
        <w:rPr>
          <w:sz w:val="22"/>
          <w:szCs w:val="22"/>
          <w:lang w:val="sk-SK"/>
        </w:rPr>
        <w:t xml:space="preserve"> nepokojných nôh je tento fenomén veľmi zriedkavý (&lt; 1/10 000).</w:t>
      </w:r>
    </w:p>
    <w:p w14:paraId="2F0F5AC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B1B88F1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Po liečbe ropinirolom bola menej často (≥ 1/1 000 až &lt; 1/100) hlásená posturálna hypotenzia alebo hypotenzia, v zriedkavých prípadoch ťažká.</w:t>
      </w:r>
    </w:p>
    <w:p w14:paraId="6A618C4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B4F23AF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Hlásené boli veľmi zriedkavé prípady hepatálnych reakcií (&lt; 1/10 000), hlavne zvýšená hladina pečeňových enzýmov.</w:t>
      </w:r>
    </w:p>
    <w:p w14:paraId="6618CAA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022B5CA" w14:textId="77777777" w:rsidR="008148CA" w:rsidRPr="008148CA" w:rsidRDefault="008148CA" w:rsidP="00633990">
      <w:pPr>
        <w:pStyle w:val="Text"/>
        <w:keepNext/>
        <w:keepLines/>
        <w:spacing w:after="0"/>
        <w:rPr>
          <w:sz w:val="22"/>
          <w:szCs w:val="22"/>
          <w:u w:val="single"/>
          <w:lang w:val="sk-SK"/>
        </w:rPr>
      </w:pPr>
      <w:r w:rsidRPr="008148CA">
        <w:rPr>
          <w:sz w:val="22"/>
          <w:szCs w:val="22"/>
          <w:u w:val="single"/>
          <w:lang w:val="sk-SK"/>
        </w:rPr>
        <w:t>Hlásenie podozrení na nežiaduce reakcie</w:t>
      </w:r>
    </w:p>
    <w:p w14:paraId="2EA4F9C6" w14:textId="77777777" w:rsidR="008148CA" w:rsidRDefault="008148CA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8148CA">
        <w:rPr>
          <w:sz w:val="22"/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="00221079">
        <w:rPr>
          <w:sz w:val="22"/>
          <w:szCs w:val="22"/>
          <w:lang w:val="sk-SK"/>
        </w:rPr>
        <w:t>na</w:t>
      </w:r>
      <w:r w:rsidRPr="008148CA">
        <w:rPr>
          <w:sz w:val="22"/>
          <w:szCs w:val="22"/>
          <w:lang w:val="sk-SK"/>
        </w:rPr>
        <w:t xml:space="preserve"> </w:t>
      </w:r>
      <w:r w:rsidRPr="008148CA">
        <w:rPr>
          <w:sz w:val="22"/>
          <w:szCs w:val="22"/>
          <w:highlight w:val="lightGray"/>
          <w:lang w:val="sk-SK"/>
        </w:rPr>
        <w:t xml:space="preserve">národné </w:t>
      </w:r>
      <w:r w:rsidR="00221079">
        <w:rPr>
          <w:sz w:val="22"/>
          <w:szCs w:val="22"/>
          <w:highlight w:val="lightGray"/>
          <w:lang w:val="sk-SK"/>
        </w:rPr>
        <w:t>centrum</w:t>
      </w:r>
      <w:r w:rsidRPr="008148CA">
        <w:rPr>
          <w:sz w:val="22"/>
          <w:szCs w:val="22"/>
          <w:highlight w:val="lightGray"/>
          <w:lang w:val="sk-SK"/>
        </w:rPr>
        <w:t xml:space="preserve"> hlásenia uvedené v </w:t>
      </w:r>
      <w:hyperlink r:id="rId7" w:history="1">
        <w:r w:rsidRPr="00BB77F0">
          <w:rPr>
            <w:rStyle w:val="Hyperlink"/>
            <w:sz w:val="22"/>
            <w:highlight w:val="lightGray"/>
            <w:lang w:val="sk-SK"/>
          </w:rPr>
          <w:t>Prílohe V</w:t>
        </w:r>
      </w:hyperlink>
      <w:r>
        <w:rPr>
          <w:sz w:val="22"/>
          <w:szCs w:val="22"/>
          <w:lang w:val="sk-SK"/>
        </w:rPr>
        <w:t>.</w:t>
      </w:r>
    </w:p>
    <w:p w14:paraId="0A0EF048" w14:textId="77777777" w:rsidR="008148CA" w:rsidRDefault="008148CA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A24BB57" w14:textId="77777777" w:rsidR="007B4C7C" w:rsidRDefault="008148CA" w:rsidP="008148CA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4.9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Predávkovanie</w:t>
      </w:r>
    </w:p>
    <w:p w14:paraId="6E33F9D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B052D22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Príznaky predávkovania ropinirolom súvisia s jeho dopamínergnou aktivitou. Tieto príznaky môžu byť zmiernené zodpovedajúcou liečbou antagonistami dopamínu, ako sú neuroleptiká alebo metoklopramid.</w:t>
      </w:r>
    </w:p>
    <w:p w14:paraId="70A164D0" w14:textId="77777777" w:rsidR="008517BD" w:rsidRDefault="008517B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AA57C3D" w14:textId="77777777" w:rsidR="008517BD" w:rsidRDefault="008517BD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99C39F4" w14:textId="77777777" w:rsidR="007B4C7C" w:rsidRDefault="008517BD" w:rsidP="008517BD">
      <w:pPr>
        <w:keepNext/>
        <w:keepLines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5.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Farmakologické vlastnosti</w:t>
      </w:r>
    </w:p>
    <w:p w14:paraId="396820FB" w14:textId="77777777" w:rsidR="008517BD" w:rsidRPr="008517BD" w:rsidRDefault="008517BD" w:rsidP="008517BD">
      <w:pPr>
        <w:keepNext/>
        <w:keepLines/>
        <w:spacing w:line="240" w:lineRule="auto"/>
        <w:outlineLvl w:val="1"/>
        <w:rPr>
          <w:bCs/>
          <w:lang w:val="sk-SK"/>
        </w:rPr>
      </w:pPr>
    </w:p>
    <w:p w14:paraId="6AC600C4" w14:textId="77777777" w:rsidR="007B4C7C" w:rsidRDefault="008517BD" w:rsidP="008517BD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Farmakodynamické vlastnosti</w:t>
      </w:r>
    </w:p>
    <w:p w14:paraId="49185943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6253522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Farmakoterapeutická skupina: Agonista dopamínu, ATC kód: N04BC04.</w:t>
      </w:r>
    </w:p>
    <w:p w14:paraId="1C74325E" w14:textId="77777777" w:rsidR="007B4C7C" w:rsidRDefault="007B4C7C" w:rsidP="008517BD">
      <w:pPr>
        <w:pStyle w:val="Text"/>
        <w:keepNext/>
        <w:keepLines/>
        <w:spacing w:after="0" w:line="240" w:lineRule="auto"/>
        <w:rPr>
          <w:b/>
          <w:sz w:val="22"/>
          <w:szCs w:val="22"/>
          <w:lang w:val="sk-SK"/>
        </w:rPr>
      </w:pPr>
    </w:p>
    <w:p w14:paraId="30BD11E5" w14:textId="77777777" w:rsidR="007B4C7C" w:rsidRDefault="007B4C7C" w:rsidP="008517BD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Mechanizmus účinku</w:t>
      </w:r>
    </w:p>
    <w:p w14:paraId="60645E8C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8C115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Ropinirol je neergolínový agonista dopamínu D2/D3, ktorý stimuluje dopamínové receptory v striáte.</w:t>
      </w:r>
    </w:p>
    <w:p w14:paraId="69818FA4" w14:textId="77777777" w:rsidR="007B4C7C" w:rsidRDefault="007B4C7C" w:rsidP="00FF138C">
      <w:pPr>
        <w:pStyle w:val="Text"/>
        <w:spacing w:after="0" w:line="240" w:lineRule="auto"/>
        <w:rPr>
          <w:b/>
          <w:bCs/>
          <w:sz w:val="22"/>
          <w:szCs w:val="22"/>
          <w:lang w:val="sk-SK"/>
        </w:rPr>
      </w:pPr>
    </w:p>
    <w:p w14:paraId="2A707566" w14:textId="77777777" w:rsidR="007B4C7C" w:rsidRDefault="007B4C7C" w:rsidP="00FF7B87">
      <w:pPr>
        <w:pStyle w:val="Text"/>
        <w:keepNext/>
        <w:keepLines/>
        <w:spacing w:after="0" w:line="240" w:lineRule="auto"/>
        <w:rPr>
          <w:bCs/>
          <w:sz w:val="22"/>
          <w:szCs w:val="22"/>
          <w:u w:val="single"/>
          <w:lang w:val="sk-SK"/>
        </w:rPr>
      </w:pPr>
      <w:r>
        <w:rPr>
          <w:bCs/>
          <w:sz w:val="22"/>
          <w:szCs w:val="22"/>
          <w:u w:val="single"/>
          <w:lang w:val="sk-SK"/>
        </w:rPr>
        <w:lastRenderedPageBreak/>
        <w:t>Klinická účinnosť</w:t>
      </w:r>
    </w:p>
    <w:p w14:paraId="37549655" w14:textId="77777777" w:rsidR="007B4C7C" w:rsidRDefault="007B4C7C" w:rsidP="00FF7B87">
      <w:pPr>
        <w:keepNext/>
        <w:keepLines/>
        <w:spacing w:line="240" w:lineRule="auto"/>
        <w:rPr>
          <w:bCs/>
          <w:iCs/>
          <w:lang w:val="sk-SK"/>
        </w:rPr>
      </w:pPr>
    </w:p>
    <w:p w14:paraId="43181145" w14:textId="77777777" w:rsidR="007B4C7C" w:rsidRDefault="007B4C7C" w:rsidP="00FF7B87">
      <w:pPr>
        <w:keepNext/>
        <w:keepLines/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ADARTREL sa má predpisovať len pacientom so stredne ťažkým až ťažkým idiopatickým syndrómom nepokojných nôh. Stredne ťažký až ťažký idiopatický syndróm nepokojných nôh sa zvyčajne vyskytuje u pacientov, ktorí trpia insomniou alebo ťažkým nepríjemný pocitom v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končatinách.</w:t>
      </w:r>
    </w:p>
    <w:p w14:paraId="0D5B6E78" w14:textId="77777777" w:rsidR="007B4C7C" w:rsidRDefault="007B4C7C" w:rsidP="00FF138C">
      <w:pPr>
        <w:spacing w:line="240" w:lineRule="auto"/>
        <w:rPr>
          <w:bCs/>
          <w:iCs/>
          <w:lang w:val="sk-SK"/>
        </w:rPr>
      </w:pPr>
    </w:p>
    <w:p w14:paraId="07A9A260" w14:textId="77777777" w:rsidR="007B4C7C" w:rsidRDefault="007B4C7C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V štyroch 12</w:t>
      </w:r>
      <w:r w:rsidR="008517BD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štúdiách účinnosti boli pacienti so syndrómom nepokojných nôh randomizovaní k ropinirolu alebo placebu a účinky na skóre IRLS škály (International Restless Legs Syndrome, medzinárodná škála pre syndróm nepokojných nôh) v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týždni boli porovnané s</w:t>
      </w:r>
      <w:r w:rsidR="008517BD">
        <w:rPr>
          <w:bCs/>
          <w:iCs/>
          <w:lang w:val="sk-SK"/>
        </w:rPr>
        <w:t> </w:t>
      </w:r>
      <w:r>
        <w:rPr>
          <w:bCs/>
          <w:iCs/>
          <w:lang w:val="sk-SK"/>
        </w:rPr>
        <w:t>východiskovým stavom. Priemerná dávka ropinirolu pre pacientov so stredne ťažkým až ťažkým syndrómom bola 2,0 mg/deň. V kombinovanej analýze pacientov so stredne ťažkým až ťažkým syndrómom nepokojných nôh zo štyroch 12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štúdií bol upravený rozdiel liečby pre zmenu od východiskového celkového skóre v IRLS škále v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týždni podľa LOCF </w:t>
      </w:r>
      <w:r>
        <w:rPr>
          <w:lang w:val="sk-SK"/>
        </w:rPr>
        <w:t>(„Last Observation Carried Forward“, t.j. analýza, ktorá používa posledné hodnotenie v štúdii bez ohľadu na to, kedy bolo vykonané)</w:t>
      </w:r>
      <w:r>
        <w:rPr>
          <w:bCs/>
          <w:iCs/>
          <w:lang w:val="sk-SK"/>
        </w:rPr>
        <w:t xml:space="preserve"> u všetkých randomizovaných pacientov (populácia “Intention To Treat”)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4,0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bodov (95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%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CI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5,6</w:t>
      </w:r>
      <w:r w:rsidR="003431E6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FC46C1">
        <w:rPr>
          <w:bCs/>
          <w:iCs/>
          <w:lang w:val="sk-SK"/>
        </w:rPr>
        <w:noBreakHyphen/>
      </w:r>
      <w:r>
        <w:rPr>
          <w:bCs/>
          <w:iCs/>
          <w:lang w:val="sk-SK"/>
        </w:rPr>
        <w:t>2,4, p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0,0001; priemerné východiskové body a priemerné body v IRLS v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12.</w:t>
      </w:r>
      <w:r w:rsidR="00FC46C1">
        <w:rPr>
          <w:bCs/>
          <w:iCs/>
          <w:lang w:val="sk-SK"/>
        </w:rPr>
        <w:t> </w:t>
      </w:r>
      <w:r>
        <w:rPr>
          <w:bCs/>
          <w:iCs/>
          <w:lang w:val="sk-SK"/>
        </w:rPr>
        <w:t>týždni podľa LOCF: ropinirol 28,4 a 13,5; placebo 28,2 a 17,4).</w:t>
      </w:r>
    </w:p>
    <w:p w14:paraId="11C6F9DF" w14:textId="77777777" w:rsidR="007B4C7C" w:rsidRDefault="007B4C7C" w:rsidP="00FF138C">
      <w:pPr>
        <w:spacing w:line="240" w:lineRule="auto"/>
        <w:rPr>
          <w:lang w:val="sk-SK"/>
        </w:rPr>
      </w:pPr>
    </w:p>
    <w:p w14:paraId="196C8DF2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12</w:t>
      </w:r>
      <w:r w:rsidR="009925DD">
        <w:rPr>
          <w:lang w:val="sk-SK"/>
        </w:rPr>
        <w:noBreakHyphen/>
      </w:r>
      <w:r>
        <w:rPr>
          <w:lang w:val="sk-SK"/>
        </w:rPr>
        <w:t>týždňová placebom kontrolovaná polysomnografická štúdia u pacientov so syndrómom nepokojných nôh skúmala účinok liečby ropinirolom na pravidelné pohyby nôh v spánku. Štatisticky významný rozdiel v pravidelných pohyboch nôh v spánku bol pozorovaný medzi ropinirolom a</w:t>
      </w:r>
      <w:r w:rsidR="009925DD">
        <w:rPr>
          <w:lang w:val="sk-SK"/>
        </w:rPr>
        <w:t> </w:t>
      </w:r>
      <w:r>
        <w:rPr>
          <w:lang w:val="sk-SK"/>
        </w:rPr>
        <w:t>placebom od východiskového stavu po</w:t>
      </w:r>
      <w:r w:rsidR="009925DD">
        <w:rPr>
          <w:lang w:val="sk-SK"/>
        </w:rPr>
        <w:t> </w:t>
      </w:r>
      <w:r>
        <w:rPr>
          <w:lang w:val="sk-SK"/>
        </w:rPr>
        <w:t>12.</w:t>
      </w:r>
      <w:r w:rsidR="009925DD">
        <w:rPr>
          <w:lang w:val="sk-SK"/>
        </w:rPr>
        <w:t> </w:t>
      </w:r>
      <w:r>
        <w:rPr>
          <w:lang w:val="sk-SK"/>
        </w:rPr>
        <w:t>týždeň.</w:t>
      </w:r>
    </w:p>
    <w:p w14:paraId="748E3DA6" w14:textId="77777777" w:rsidR="007B4C7C" w:rsidRDefault="007B4C7C" w:rsidP="00FF138C">
      <w:pPr>
        <w:spacing w:line="240" w:lineRule="auto"/>
        <w:rPr>
          <w:lang w:val="sk-SK"/>
        </w:rPr>
      </w:pPr>
    </w:p>
    <w:p w14:paraId="0FE0071D" w14:textId="77777777" w:rsidR="007B4C7C" w:rsidRDefault="007B4C7C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Kombinovaná analýza údajov od pacientov so stredne ťažkým až ťažkým syndrómom nepokojných nôh, v štyroch 12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týždňových placebom kontrolovaných štúdiách, poukázala na to, že pacienti liečení ropinirolom hlásili významné zlepšenia v parametroch škály pre spánok štúdie zdravotného výsledku (skóre v rozsahu 0</w:t>
      </w:r>
      <w:r w:rsidR="009925DD">
        <w:rPr>
          <w:bCs/>
          <w:iCs/>
          <w:lang w:val="sk-SK"/>
        </w:rPr>
        <w:t> </w:t>
      </w:r>
      <w:r w:rsidR="009925DD">
        <w:rPr>
          <w:bCs/>
          <w:iCs/>
          <w:lang w:val="sk-SK"/>
        </w:rPr>
        <w:noBreakHyphen/>
        <w:t> </w:t>
      </w:r>
      <w:r>
        <w:rPr>
          <w:bCs/>
          <w:iCs/>
          <w:lang w:val="sk-SK"/>
        </w:rPr>
        <w:t>100 s výnimkou množstva spánku) v porovnaní s placebom. Upravené rozdiely liečby medzi ropinirolom a placebom boli: porucha spánku (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15,2, 95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% CI </w:t>
      </w:r>
      <w:r>
        <w:rPr>
          <w:bCs/>
          <w:iCs/>
          <w:lang w:val="sk-SK"/>
        </w:rPr>
        <w:noBreakHyphen/>
        <w:t>19,37</w:t>
      </w:r>
      <w:r w:rsidR="00D7190B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9925DD">
        <w:rPr>
          <w:bCs/>
          <w:iCs/>
          <w:lang w:val="sk-SK"/>
        </w:rPr>
        <w:noBreakHyphen/>
      </w:r>
      <w:r>
        <w:rPr>
          <w:bCs/>
          <w:iCs/>
          <w:lang w:val="sk-SK"/>
        </w:rPr>
        <w:t>10,94; p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0,0001), množstvo spánku (0,7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hodiny, 95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% CI 0,49</w:t>
      </w:r>
      <w:r w:rsidR="009925DD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0,94); p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9925DD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0,0001), dostatok spánku (18,6, 95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% CI 13,77</w:t>
      </w:r>
      <w:r w:rsidR="00C81C09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23,45; p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 a somnolencia počas dňa (</w:t>
      </w:r>
      <w:r w:rsidR="00C81C09">
        <w:rPr>
          <w:bCs/>
          <w:iCs/>
          <w:lang w:val="sk-SK"/>
        </w:rPr>
        <w:noBreakHyphen/>
      </w:r>
      <w:r>
        <w:rPr>
          <w:bCs/>
          <w:iCs/>
          <w:lang w:val="sk-SK"/>
        </w:rPr>
        <w:t>7,5, 95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 xml:space="preserve">% CI </w:t>
      </w:r>
      <w:r>
        <w:rPr>
          <w:bCs/>
          <w:iCs/>
          <w:lang w:val="sk-SK"/>
        </w:rPr>
        <w:noBreakHyphen/>
        <w:t>10,86</w:t>
      </w:r>
      <w:r w:rsidR="00D7190B">
        <w:rPr>
          <w:bCs/>
          <w:iCs/>
          <w:lang w:val="sk-SK"/>
        </w:rPr>
        <w:t>;</w:t>
      </w:r>
      <w:r>
        <w:rPr>
          <w:bCs/>
          <w:iCs/>
          <w:lang w:val="sk-SK"/>
        </w:rPr>
        <w:t xml:space="preserve"> </w:t>
      </w:r>
      <w:r w:rsidR="00C81C09">
        <w:rPr>
          <w:bCs/>
          <w:iCs/>
          <w:lang w:val="sk-SK"/>
        </w:rPr>
        <w:noBreakHyphen/>
      </w:r>
      <w:r>
        <w:rPr>
          <w:bCs/>
          <w:iCs/>
          <w:lang w:val="sk-SK"/>
        </w:rPr>
        <w:t>4,23; p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&lt;</w:t>
      </w:r>
      <w:r w:rsidR="00C81C09">
        <w:rPr>
          <w:bCs/>
          <w:iCs/>
          <w:lang w:val="sk-SK"/>
        </w:rPr>
        <w:t> </w:t>
      </w:r>
      <w:r>
        <w:rPr>
          <w:bCs/>
          <w:iCs/>
          <w:lang w:val="sk-SK"/>
        </w:rPr>
        <w:t>0,0001).</w:t>
      </w:r>
    </w:p>
    <w:p w14:paraId="207D961D" w14:textId="77777777" w:rsidR="007B4C7C" w:rsidRDefault="007B4C7C" w:rsidP="00FF138C">
      <w:pPr>
        <w:spacing w:line="240" w:lineRule="auto"/>
        <w:rPr>
          <w:bCs/>
          <w:iCs/>
          <w:lang w:val="sk-SK"/>
        </w:rPr>
      </w:pPr>
    </w:p>
    <w:p w14:paraId="0CF4A151" w14:textId="77777777" w:rsidR="00813478" w:rsidRDefault="00813478" w:rsidP="00FF138C">
      <w:pPr>
        <w:spacing w:line="240" w:lineRule="auto"/>
        <w:rPr>
          <w:bCs/>
          <w:iCs/>
          <w:lang w:val="sk-SK"/>
        </w:rPr>
      </w:pPr>
      <w:r>
        <w:rPr>
          <w:bCs/>
          <w:iCs/>
          <w:lang w:val="sk-SK"/>
        </w:rPr>
        <w:t>Dlhodobá účinnosť bola hodnotená v randomizovanej, dvojito zaslepenej, placebom kontrolovanej, 26</w:t>
      </w:r>
      <w:r>
        <w:rPr>
          <w:bCs/>
          <w:iCs/>
          <w:lang w:val="sk-SK"/>
        </w:rPr>
        <w:noBreakHyphen/>
        <w:t>týždňovej klinickej štúdii. Interpretácia celkových výsledkov bola obtiažna kvôli významnej interakcii medzi centrami sledujúcimi liečbu a vysokému podielu chýbajúcich údajov. Nebolo možné preukázať zachovanie účinnosti po 26 týždňoch v porovnaní s placebom.</w:t>
      </w:r>
    </w:p>
    <w:p w14:paraId="1FDD5E8B" w14:textId="77777777" w:rsidR="007B4C7C" w:rsidRDefault="007B4C7C" w:rsidP="00FF138C">
      <w:pPr>
        <w:spacing w:line="240" w:lineRule="auto"/>
        <w:rPr>
          <w:lang w:val="sk-SK"/>
        </w:rPr>
      </w:pPr>
    </w:p>
    <w:p w14:paraId="0A80C43B" w14:textId="77777777" w:rsidR="007B4C7C" w:rsidRPr="0041418D" w:rsidRDefault="007B4C7C" w:rsidP="00FF138C">
      <w:pPr>
        <w:spacing w:line="240" w:lineRule="auto"/>
        <w:rPr>
          <w:u w:val="single"/>
          <w:lang w:val="sk-SK"/>
        </w:rPr>
      </w:pPr>
      <w:r w:rsidRPr="0041418D">
        <w:rPr>
          <w:u w:val="single"/>
          <w:lang w:val="sk-SK"/>
        </w:rPr>
        <w:t>Štúdia vplyvu ropinirolu na repolarizáciu srdca</w:t>
      </w:r>
    </w:p>
    <w:p w14:paraId="08F4B4B9" w14:textId="77777777" w:rsidR="007B4C7C" w:rsidRPr="0041418D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Cielená</w:t>
      </w:r>
      <w:r w:rsidRPr="0041418D">
        <w:rPr>
          <w:lang w:val="sk-SK"/>
        </w:rPr>
        <w:t xml:space="preserve"> štúdia zameraná na QT</w:t>
      </w:r>
      <w:r w:rsidR="00D7190B">
        <w:rPr>
          <w:lang w:val="sk-SK"/>
        </w:rPr>
        <w:t> </w:t>
      </w:r>
      <w:r w:rsidRPr="0041418D">
        <w:rPr>
          <w:lang w:val="sk-SK"/>
        </w:rPr>
        <w:t xml:space="preserve">interval vykonaná u zdravých dobrovoľníkov a dobrovoľníčok, ktorým sa podávali filmom obalené tablety (s okamžitým uvoľňovaním) ropinirolu v dávke 0,5 mg, 1 mg, 2 mg a 4 mg jedenkrát denne </w:t>
      </w:r>
      <w:r>
        <w:rPr>
          <w:lang w:val="sk-SK"/>
        </w:rPr>
        <w:t>pre</w:t>
      </w:r>
      <w:r w:rsidRPr="0041418D">
        <w:rPr>
          <w:lang w:val="sk-SK"/>
        </w:rPr>
        <w:t>ukázala maximálne predĺženie QT</w:t>
      </w:r>
      <w:r w:rsidR="00D7190B">
        <w:rPr>
          <w:lang w:val="sk-SK"/>
        </w:rPr>
        <w:t> </w:t>
      </w:r>
      <w:r w:rsidRPr="0041418D">
        <w:rPr>
          <w:lang w:val="sk-SK"/>
        </w:rPr>
        <w:t>intervalu o</w:t>
      </w:r>
      <w:r w:rsidR="00C81C09">
        <w:rPr>
          <w:lang w:val="sk-SK"/>
        </w:rPr>
        <w:t> </w:t>
      </w:r>
      <w:r w:rsidRPr="0041418D">
        <w:rPr>
          <w:lang w:val="sk-SK"/>
        </w:rPr>
        <w:t>3,46 milisekúnd (bodový odhad) pri 1 mg dávke oproti placebu. Horná hranica jednostranného 95 % intervalu spoľahlivosti pre najväčší priemerný vplyv bola menej ako 7,5 milisekúnd. Vplyv ropinirolu pri</w:t>
      </w:r>
      <w:r w:rsidR="00C81C09">
        <w:rPr>
          <w:lang w:val="sk-SK"/>
        </w:rPr>
        <w:t> </w:t>
      </w:r>
      <w:r w:rsidRPr="0041418D">
        <w:rPr>
          <w:lang w:val="sk-SK"/>
        </w:rPr>
        <w:t>vyšších dávkach sa systematicky nehodnotil.</w:t>
      </w:r>
    </w:p>
    <w:p w14:paraId="2EC5D3E8" w14:textId="77777777" w:rsidR="007B4C7C" w:rsidRDefault="007B4C7C" w:rsidP="00FF138C">
      <w:pPr>
        <w:spacing w:line="240" w:lineRule="auto"/>
        <w:rPr>
          <w:lang w:val="sk-SK"/>
        </w:rPr>
      </w:pPr>
      <w:r w:rsidRPr="0041418D">
        <w:rPr>
          <w:lang w:val="sk-SK"/>
        </w:rPr>
        <w:t xml:space="preserve">Dostupné klinické údaje získané z </w:t>
      </w:r>
      <w:r>
        <w:rPr>
          <w:lang w:val="sk-SK"/>
        </w:rPr>
        <w:t>cielenej</w:t>
      </w:r>
      <w:r w:rsidRPr="0041418D">
        <w:rPr>
          <w:lang w:val="sk-SK"/>
        </w:rPr>
        <w:t xml:space="preserve"> štúdie zameranej na QT</w:t>
      </w:r>
      <w:r w:rsidR="00D7190B">
        <w:rPr>
          <w:lang w:val="sk-SK"/>
        </w:rPr>
        <w:t> </w:t>
      </w:r>
      <w:r w:rsidRPr="0041418D">
        <w:rPr>
          <w:lang w:val="sk-SK"/>
        </w:rPr>
        <w:t>interval nepoukazujú na riziko predĺženia QT intervalu pri dávkach ropinirolu do</w:t>
      </w:r>
      <w:r w:rsidR="00C81C09">
        <w:rPr>
          <w:lang w:val="sk-SK"/>
        </w:rPr>
        <w:t> </w:t>
      </w:r>
      <w:r w:rsidRPr="0041418D">
        <w:rPr>
          <w:lang w:val="sk-SK"/>
        </w:rPr>
        <w:t>4 mg/deň.</w:t>
      </w:r>
    </w:p>
    <w:p w14:paraId="765F35AF" w14:textId="77777777" w:rsidR="00395B4D" w:rsidRDefault="00395B4D" w:rsidP="00FF138C">
      <w:pPr>
        <w:spacing w:line="240" w:lineRule="auto"/>
        <w:rPr>
          <w:lang w:val="sk-SK"/>
        </w:rPr>
      </w:pPr>
    </w:p>
    <w:p w14:paraId="3D9B6293" w14:textId="77777777" w:rsidR="00395B4D" w:rsidRDefault="00395B4D" w:rsidP="00FF138C">
      <w:pPr>
        <w:spacing w:line="240" w:lineRule="auto"/>
        <w:rPr>
          <w:lang w:val="sk-SK"/>
        </w:rPr>
      </w:pPr>
      <w:r>
        <w:rPr>
          <w:lang w:val="sk-SK"/>
        </w:rPr>
        <w:t>V klinických štúdiách bola väčšina pacientov kaukazskej rasy.</w:t>
      </w:r>
    </w:p>
    <w:p w14:paraId="0D217FBE" w14:textId="77777777" w:rsidR="007B4C7C" w:rsidRPr="0041418D" w:rsidRDefault="007B4C7C" w:rsidP="00FF138C">
      <w:pPr>
        <w:spacing w:line="240" w:lineRule="auto"/>
        <w:rPr>
          <w:lang w:val="sk-SK"/>
        </w:rPr>
      </w:pPr>
    </w:p>
    <w:p w14:paraId="592E436F" w14:textId="77777777" w:rsidR="007B4C7C" w:rsidRDefault="00C81C09" w:rsidP="00FF7B87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lastRenderedPageBreak/>
        <w:t>5.2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Farmakokinetické vlastnosti</w:t>
      </w:r>
    </w:p>
    <w:p w14:paraId="5EDDE7FE" w14:textId="77777777" w:rsidR="007B4C7C" w:rsidRPr="00D7190B" w:rsidRDefault="007B4C7C" w:rsidP="00FF7B87">
      <w:pPr>
        <w:keepNext/>
        <w:keepLines/>
        <w:spacing w:line="240" w:lineRule="auto"/>
        <w:rPr>
          <w:lang w:val="sk-SK"/>
        </w:rPr>
      </w:pPr>
      <w:bookmarkStart w:id="0" w:name="_Toc58230925"/>
      <w:bookmarkStart w:id="1" w:name="_Toc58231003"/>
      <w:bookmarkStart w:id="2" w:name="_Toc58921414"/>
    </w:p>
    <w:p w14:paraId="0219DFFB" w14:textId="77777777" w:rsidR="007B4C7C" w:rsidRPr="00BE15F8" w:rsidRDefault="007B4C7C" w:rsidP="00FF7B87">
      <w:pPr>
        <w:keepNext/>
        <w:keepLines/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Absorpcia</w:t>
      </w:r>
      <w:bookmarkEnd w:id="0"/>
      <w:bookmarkEnd w:id="1"/>
      <w:bookmarkEnd w:id="2"/>
    </w:p>
    <w:p w14:paraId="35B25875" w14:textId="77777777" w:rsidR="007B4C7C" w:rsidRDefault="007B4C7C" w:rsidP="00FF7B87">
      <w:pPr>
        <w:keepNext/>
        <w:keepLines/>
        <w:spacing w:line="240" w:lineRule="auto"/>
        <w:rPr>
          <w:lang w:val="sk-SK"/>
        </w:rPr>
      </w:pPr>
    </w:p>
    <w:p w14:paraId="15F843CB" w14:textId="77777777" w:rsidR="007B4C7C" w:rsidRDefault="007B4C7C" w:rsidP="00FF7B87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Biologická dostupnosť ropinirolu je približne 50</w:t>
      </w:r>
      <w:r w:rsidR="007E28D6">
        <w:rPr>
          <w:lang w:val="sk-SK"/>
        </w:rPr>
        <w:t> </w:t>
      </w:r>
      <w:r>
        <w:rPr>
          <w:lang w:val="sk-SK"/>
        </w:rPr>
        <w:t>% (36</w:t>
      </w:r>
      <w:r w:rsidR="007E28D6">
        <w:rPr>
          <w:lang w:val="sk-SK"/>
        </w:rPr>
        <w:t> </w:t>
      </w:r>
      <w:r>
        <w:rPr>
          <w:lang w:val="sk-SK"/>
        </w:rPr>
        <w:t>% až 5</w:t>
      </w:r>
      <w:r w:rsidR="007E28D6">
        <w:rPr>
          <w:lang w:val="sk-SK"/>
        </w:rPr>
        <w:t> </w:t>
      </w:r>
      <w:r>
        <w:rPr>
          <w:lang w:val="sk-SK"/>
        </w:rPr>
        <w:t>7%), pričom C</w:t>
      </w:r>
      <w:r>
        <w:rPr>
          <w:vertAlign w:val="subscript"/>
          <w:lang w:val="sk-SK"/>
        </w:rPr>
        <w:t>max</w:t>
      </w:r>
      <w:r>
        <w:rPr>
          <w:lang w:val="sk-SK"/>
        </w:rPr>
        <w:t xml:space="preserve"> sa dosiahne v</w:t>
      </w:r>
      <w:r w:rsidR="007E28D6">
        <w:rPr>
          <w:lang w:val="sk-SK"/>
        </w:rPr>
        <w:t> </w:t>
      </w:r>
      <w:r>
        <w:rPr>
          <w:lang w:val="sk-SK"/>
        </w:rPr>
        <w:t>priemere po</w:t>
      </w:r>
      <w:r w:rsidR="007E28D6">
        <w:rPr>
          <w:lang w:val="sk-SK"/>
        </w:rPr>
        <w:t> </w:t>
      </w:r>
      <w:r>
        <w:rPr>
          <w:lang w:val="sk-SK"/>
        </w:rPr>
        <w:t>1,5</w:t>
      </w:r>
      <w:r w:rsidR="007E28D6">
        <w:rPr>
          <w:lang w:val="sk-SK"/>
        </w:rPr>
        <w:t> </w:t>
      </w:r>
      <w:r>
        <w:rPr>
          <w:lang w:val="sk-SK"/>
        </w:rPr>
        <w:t>hodine po podaní dávky. Jedlo s vysokým obsahom tuku spomaľuje rýchlosť absorpcie ropinirolu, o čom svedčí predĺženie strednej hodnoty T</w:t>
      </w:r>
      <w:r w:rsidRPr="00EC1B92">
        <w:rPr>
          <w:vertAlign w:val="subscript"/>
          <w:lang w:val="sk-SK"/>
        </w:rPr>
        <w:t>max</w:t>
      </w:r>
      <w:r>
        <w:rPr>
          <w:lang w:val="sk-SK"/>
        </w:rPr>
        <w:t xml:space="preserve"> o</w:t>
      </w:r>
      <w:r w:rsidR="007E28D6">
        <w:rPr>
          <w:lang w:val="sk-SK"/>
        </w:rPr>
        <w:t> </w:t>
      </w:r>
      <w:r>
        <w:rPr>
          <w:lang w:val="sk-SK"/>
        </w:rPr>
        <w:t>2,6 hodiny a pokles C</w:t>
      </w:r>
      <w:r w:rsidRPr="00332A0F">
        <w:rPr>
          <w:vertAlign w:val="subscript"/>
          <w:lang w:val="sk-SK"/>
        </w:rPr>
        <w:t>max</w:t>
      </w:r>
      <w:r>
        <w:rPr>
          <w:lang w:val="sk-SK"/>
        </w:rPr>
        <w:t xml:space="preserve"> v</w:t>
      </w:r>
      <w:r w:rsidR="007E28D6">
        <w:rPr>
          <w:lang w:val="sk-SK"/>
        </w:rPr>
        <w:t> </w:t>
      </w:r>
      <w:r>
        <w:rPr>
          <w:lang w:val="sk-SK"/>
        </w:rPr>
        <w:t>priemere o 25 %.</w:t>
      </w:r>
    </w:p>
    <w:p w14:paraId="2184E18C" w14:textId="77777777" w:rsidR="00BB77F0" w:rsidRDefault="00BB77F0" w:rsidP="00FF138C">
      <w:pPr>
        <w:spacing w:line="240" w:lineRule="auto"/>
        <w:rPr>
          <w:bCs/>
          <w:u w:val="single"/>
          <w:lang w:val="sk-SK"/>
        </w:rPr>
      </w:pPr>
      <w:bookmarkStart w:id="3" w:name="_Toc58230926"/>
      <w:bookmarkStart w:id="4" w:name="_Toc58231004"/>
      <w:bookmarkStart w:id="5" w:name="_Toc58921415"/>
    </w:p>
    <w:p w14:paraId="6AD66B2C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Distribúcia</w:t>
      </w:r>
      <w:bookmarkEnd w:id="3"/>
      <w:bookmarkEnd w:id="4"/>
      <w:bookmarkEnd w:id="5"/>
    </w:p>
    <w:p w14:paraId="3EDA6ECC" w14:textId="77777777" w:rsidR="007B4C7C" w:rsidRDefault="007B4C7C" w:rsidP="00FF138C">
      <w:pPr>
        <w:spacing w:line="240" w:lineRule="auto"/>
        <w:rPr>
          <w:lang w:val="sk-SK"/>
        </w:rPr>
      </w:pPr>
    </w:p>
    <w:p w14:paraId="5CD94CAB" w14:textId="77777777" w:rsidR="007B4C7C" w:rsidRDefault="007B4C7C" w:rsidP="00FF138C">
      <w:pPr>
        <w:spacing w:line="240" w:lineRule="auto"/>
        <w:rPr>
          <w:lang w:val="sk-SK"/>
        </w:rPr>
      </w:pPr>
      <w:r w:rsidRPr="00615794">
        <w:rPr>
          <w:lang w:val="sk-SK"/>
        </w:rPr>
        <w:t xml:space="preserve">Väzba </w:t>
      </w:r>
      <w:r>
        <w:rPr>
          <w:lang w:val="sk-SK"/>
        </w:rPr>
        <w:t>ropinirolu</w:t>
      </w:r>
      <w:r w:rsidRPr="00615794">
        <w:rPr>
          <w:lang w:val="sk-SK"/>
        </w:rPr>
        <w:t xml:space="preserve"> na plazmatické proteíny je nízka (10</w:t>
      </w:r>
      <w:r>
        <w:rPr>
          <w:lang w:val="sk-SK"/>
        </w:rPr>
        <w:t> </w:t>
      </w:r>
      <w:r w:rsidR="007E28D6">
        <w:rPr>
          <w:lang w:val="sk-SK"/>
        </w:rPr>
        <w:t>–</w:t>
      </w:r>
      <w:r>
        <w:rPr>
          <w:lang w:val="sk-SK"/>
        </w:rPr>
        <w:t> </w:t>
      </w:r>
      <w:r w:rsidRPr="00615794">
        <w:rPr>
          <w:lang w:val="sk-SK"/>
        </w:rPr>
        <w:t>40</w:t>
      </w:r>
      <w:r w:rsidR="007E28D6">
        <w:rPr>
          <w:lang w:val="sk-SK"/>
        </w:rPr>
        <w:t> </w:t>
      </w:r>
      <w:r w:rsidRPr="00615794">
        <w:rPr>
          <w:lang w:val="sk-SK"/>
        </w:rPr>
        <w:t>%)</w:t>
      </w:r>
      <w:r>
        <w:rPr>
          <w:lang w:val="sk-SK"/>
        </w:rPr>
        <w:t xml:space="preserve">. Ropinirol vykazuje veľký distribučný objem (približne 7 l/kg), čo </w:t>
      </w:r>
      <w:r w:rsidRPr="00615794">
        <w:rPr>
          <w:lang w:val="sk-SK"/>
        </w:rPr>
        <w:t>je v zhode s jeho vysokou lipofilitou</w:t>
      </w:r>
      <w:r>
        <w:rPr>
          <w:lang w:val="sk-SK"/>
        </w:rPr>
        <w:t>.</w:t>
      </w:r>
    </w:p>
    <w:p w14:paraId="175F1DAE" w14:textId="77777777" w:rsidR="007B4C7C" w:rsidRPr="007E28D6" w:rsidRDefault="007B4C7C" w:rsidP="00FF138C">
      <w:pPr>
        <w:spacing w:line="240" w:lineRule="auto"/>
        <w:rPr>
          <w:lang w:val="sk-SK"/>
        </w:rPr>
      </w:pPr>
      <w:bookmarkStart w:id="6" w:name="_Toc58230927"/>
      <w:bookmarkStart w:id="7" w:name="_Toc58231005"/>
      <w:bookmarkStart w:id="8" w:name="_Toc58921416"/>
    </w:p>
    <w:p w14:paraId="370262B8" w14:textId="77777777" w:rsidR="007B4C7C" w:rsidRPr="00BE15F8" w:rsidRDefault="007E28D6" w:rsidP="00FF138C">
      <w:pPr>
        <w:spacing w:line="240" w:lineRule="auto"/>
        <w:rPr>
          <w:bCs/>
          <w:u w:val="single"/>
          <w:lang w:val="sk-SK"/>
        </w:rPr>
      </w:pPr>
      <w:r>
        <w:rPr>
          <w:bCs/>
          <w:u w:val="single"/>
          <w:lang w:val="sk-SK"/>
        </w:rPr>
        <w:t>Biotransformácia</w:t>
      </w:r>
      <w:bookmarkEnd w:id="6"/>
      <w:bookmarkEnd w:id="7"/>
      <w:bookmarkEnd w:id="8"/>
    </w:p>
    <w:p w14:paraId="719203C2" w14:textId="77777777" w:rsidR="007B4C7C" w:rsidRDefault="007B4C7C" w:rsidP="00FF138C">
      <w:pPr>
        <w:spacing w:line="240" w:lineRule="auto"/>
        <w:rPr>
          <w:lang w:val="sk-SK"/>
        </w:rPr>
      </w:pPr>
    </w:p>
    <w:p w14:paraId="09A71E4B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Ropinirol sa z organizmu odstraňuje predovšetkým prostredníctvom enzýmu CYP1A2 cytochrómu P450 a jeho metabolity sa vylučujú najmä močom. Hlavný metabolit je na zvieracích modeloch dopamínergnej funkcie najmenej 100</w:t>
      </w:r>
      <w:r>
        <w:rPr>
          <w:lang w:val="sk-SK"/>
        </w:rPr>
        <w:noBreakHyphen/>
        <w:t>krát menej účinný ako ropinirol.</w:t>
      </w:r>
    </w:p>
    <w:p w14:paraId="6B41DD9D" w14:textId="77777777" w:rsidR="007B4C7C" w:rsidRPr="004D6536" w:rsidRDefault="007B4C7C" w:rsidP="00FF138C">
      <w:pPr>
        <w:spacing w:line="240" w:lineRule="auto"/>
        <w:rPr>
          <w:lang w:val="sk-SK"/>
        </w:rPr>
      </w:pPr>
      <w:bookmarkStart w:id="9" w:name="_Toc58230928"/>
      <w:bookmarkStart w:id="10" w:name="_Toc58231006"/>
      <w:bookmarkStart w:id="11" w:name="_Toc58921417"/>
    </w:p>
    <w:p w14:paraId="58DFBCFB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Elimináci</w:t>
      </w:r>
      <w:bookmarkEnd w:id="9"/>
      <w:bookmarkEnd w:id="10"/>
      <w:bookmarkEnd w:id="11"/>
      <w:r w:rsidRPr="00BE15F8">
        <w:rPr>
          <w:bCs/>
          <w:u w:val="single"/>
          <w:lang w:val="sk-SK"/>
        </w:rPr>
        <w:t>a</w:t>
      </w:r>
    </w:p>
    <w:p w14:paraId="1A61C739" w14:textId="77777777" w:rsidR="007B4C7C" w:rsidRDefault="007B4C7C" w:rsidP="00FF138C">
      <w:pPr>
        <w:spacing w:line="240" w:lineRule="auto"/>
        <w:rPr>
          <w:lang w:val="sk-SK"/>
        </w:rPr>
      </w:pPr>
    </w:p>
    <w:p w14:paraId="3424879C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Ropinirol sa zo systémovej cirkulácie odstraňuje s priemerným polčasom eliminácie 6 hodín. Po jednorazovom a opakovanom podaní perorálnej dávky sa nepozorovala žiadna zmena perorálneho klírensu ropinirolu. Vo farmakokinetických parametroch sa pozorovala značná interindividuálna variabilita.</w:t>
      </w:r>
    </w:p>
    <w:p w14:paraId="78734475" w14:textId="77777777" w:rsidR="007B4C7C" w:rsidRPr="004D6536" w:rsidRDefault="007B4C7C" w:rsidP="00FF138C">
      <w:pPr>
        <w:spacing w:line="240" w:lineRule="auto"/>
        <w:rPr>
          <w:lang w:val="sk-SK"/>
        </w:rPr>
      </w:pPr>
      <w:bookmarkStart w:id="12" w:name="_Toc58230929"/>
      <w:bookmarkStart w:id="13" w:name="_Toc58231007"/>
      <w:bookmarkStart w:id="14" w:name="_Toc58921418"/>
    </w:p>
    <w:p w14:paraId="79164612" w14:textId="77777777" w:rsidR="007B4C7C" w:rsidRPr="00BE15F8" w:rsidRDefault="007B4C7C" w:rsidP="00FF138C">
      <w:pPr>
        <w:spacing w:line="240" w:lineRule="auto"/>
        <w:rPr>
          <w:bCs/>
          <w:u w:val="single"/>
          <w:lang w:val="sk-SK"/>
        </w:rPr>
      </w:pPr>
      <w:r w:rsidRPr="00BE15F8">
        <w:rPr>
          <w:bCs/>
          <w:u w:val="single"/>
          <w:lang w:val="sk-SK"/>
        </w:rPr>
        <w:t>Linearita</w:t>
      </w:r>
      <w:bookmarkEnd w:id="12"/>
      <w:bookmarkEnd w:id="13"/>
      <w:bookmarkEnd w:id="14"/>
      <w:r w:rsidR="004D6536">
        <w:rPr>
          <w:bCs/>
          <w:u w:val="single"/>
          <w:lang w:val="sk-SK"/>
        </w:rPr>
        <w:t>/nelinearita</w:t>
      </w:r>
    </w:p>
    <w:p w14:paraId="668B0D42" w14:textId="77777777" w:rsidR="007B4C7C" w:rsidRDefault="007B4C7C" w:rsidP="00FF138C">
      <w:pPr>
        <w:spacing w:line="240" w:lineRule="auto"/>
        <w:rPr>
          <w:lang w:val="sk-SK"/>
        </w:rPr>
      </w:pPr>
    </w:p>
    <w:p w14:paraId="7F888C64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Farmakokinetika ropinirolu je vcelku lineárna (C</w:t>
      </w:r>
      <w:r>
        <w:rPr>
          <w:vertAlign w:val="subscript"/>
          <w:lang w:val="sk-SK"/>
        </w:rPr>
        <w:t>max</w:t>
      </w:r>
      <w:r>
        <w:rPr>
          <w:lang w:val="sk-SK"/>
        </w:rPr>
        <w:t xml:space="preserve"> a AUC) v terapeutickom rozsahu medzi 0,25 mg</w:t>
      </w:r>
      <w:r w:rsidR="004D6536">
        <w:rPr>
          <w:lang w:val="sk-SK"/>
        </w:rPr>
        <w:t> </w:t>
      </w:r>
      <w:r>
        <w:rPr>
          <w:lang w:val="sk-SK"/>
        </w:rPr>
        <w:t>a</w:t>
      </w:r>
      <w:r w:rsidR="004D6536">
        <w:rPr>
          <w:lang w:val="sk-SK"/>
        </w:rPr>
        <w:t> </w:t>
      </w:r>
      <w:r>
        <w:rPr>
          <w:lang w:val="sk-SK"/>
        </w:rPr>
        <w:t>4</w:t>
      </w:r>
      <w:r w:rsidR="004D6536">
        <w:rPr>
          <w:lang w:val="sk-SK"/>
        </w:rPr>
        <w:t> </w:t>
      </w:r>
      <w:r>
        <w:rPr>
          <w:lang w:val="sk-SK"/>
        </w:rPr>
        <w:t>mg, po jednorazovej dávke a po opakovanom dávkovaní.</w:t>
      </w:r>
    </w:p>
    <w:p w14:paraId="347EDC5A" w14:textId="77777777" w:rsidR="007B4C7C" w:rsidRDefault="007B4C7C" w:rsidP="00FF138C">
      <w:pPr>
        <w:spacing w:line="240" w:lineRule="auto"/>
        <w:rPr>
          <w:lang w:val="sk-SK"/>
        </w:rPr>
      </w:pPr>
    </w:p>
    <w:p w14:paraId="01D844A3" w14:textId="77777777" w:rsidR="007B4C7C" w:rsidRDefault="007B4C7C" w:rsidP="00FF138C">
      <w:pPr>
        <w:keepNext/>
        <w:keepLines/>
        <w:spacing w:line="240" w:lineRule="auto"/>
        <w:rPr>
          <w:bCs/>
          <w:u w:val="single"/>
          <w:lang w:val="sk-SK"/>
        </w:rPr>
      </w:pPr>
      <w:bookmarkStart w:id="15" w:name="_Toc58230930"/>
      <w:bookmarkStart w:id="16" w:name="_Toc58231008"/>
      <w:bookmarkStart w:id="17" w:name="_Toc58921419"/>
      <w:r w:rsidRPr="00BE15F8">
        <w:rPr>
          <w:bCs/>
          <w:u w:val="single"/>
          <w:lang w:val="sk-SK"/>
        </w:rPr>
        <w:t>Charakteristiky týkajúce sa populácií</w:t>
      </w:r>
      <w:bookmarkEnd w:id="15"/>
      <w:bookmarkEnd w:id="16"/>
      <w:bookmarkEnd w:id="17"/>
    </w:p>
    <w:p w14:paraId="60CDCFD2" w14:textId="77777777" w:rsidR="007B4C7C" w:rsidRDefault="007B4C7C" w:rsidP="00FF138C">
      <w:pPr>
        <w:keepNext/>
        <w:keepLines/>
        <w:spacing w:line="240" w:lineRule="auto"/>
        <w:rPr>
          <w:lang w:val="sk-SK"/>
        </w:rPr>
      </w:pPr>
    </w:p>
    <w:p w14:paraId="52AA8461" w14:textId="77777777" w:rsidR="007B4C7C" w:rsidRPr="00B66248" w:rsidRDefault="007B4C7C" w:rsidP="00FF138C">
      <w:pPr>
        <w:keepNext/>
        <w:keepLines/>
        <w:spacing w:line="240" w:lineRule="auto"/>
        <w:rPr>
          <w:lang w:val="sk-SK"/>
        </w:rPr>
      </w:pPr>
      <w:r w:rsidRPr="00D9531D">
        <w:rPr>
          <w:lang w:val="sk-SK"/>
        </w:rPr>
        <w:t>Perorálny klírens ropinirolu je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15</w:t>
      </w:r>
      <w:r w:rsidRPr="00AE2DFC">
        <w:rPr>
          <w:lang w:val="sk-SK"/>
        </w:rPr>
        <w:t> </w:t>
      </w:r>
      <w:r w:rsidRPr="00D9531D">
        <w:rPr>
          <w:lang w:val="sk-SK"/>
        </w:rPr>
        <w:t>% u</w:t>
      </w:r>
      <w:r w:rsidRPr="00AE2DFC">
        <w:rPr>
          <w:lang w:val="sk-SK"/>
        </w:rPr>
        <w:t> </w:t>
      </w:r>
      <w:r w:rsidRPr="00D9531D">
        <w:rPr>
          <w:lang w:val="sk-SK"/>
        </w:rPr>
        <w:t>starších pacientov (65</w:t>
      </w:r>
      <w:r w:rsidR="004D6536">
        <w:rPr>
          <w:lang w:val="sk-SK"/>
        </w:rPr>
        <w:t> </w:t>
      </w:r>
      <w:r w:rsidRPr="00D9531D">
        <w:rPr>
          <w:lang w:val="sk-SK"/>
        </w:rPr>
        <w:t>rokov a</w:t>
      </w:r>
      <w:r w:rsidRPr="00AE2DFC">
        <w:rPr>
          <w:lang w:val="sk-SK"/>
        </w:rPr>
        <w:t> </w:t>
      </w:r>
      <w:r w:rsidRPr="00D9531D">
        <w:rPr>
          <w:lang w:val="sk-SK"/>
        </w:rPr>
        <w:t>viac) v</w:t>
      </w:r>
      <w:r w:rsidRPr="00AE2DFC">
        <w:rPr>
          <w:lang w:val="sk-SK"/>
        </w:rPr>
        <w:t> </w:t>
      </w:r>
      <w:r w:rsidRPr="00D9531D">
        <w:rPr>
          <w:lang w:val="sk-SK"/>
        </w:rPr>
        <w:t>porovnaní s</w:t>
      </w:r>
      <w:r w:rsidRPr="00AE2DFC">
        <w:rPr>
          <w:lang w:val="sk-SK"/>
        </w:rPr>
        <w:t> </w:t>
      </w:r>
      <w:r w:rsidRPr="00D9531D">
        <w:rPr>
          <w:lang w:val="sk-SK"/>
        </w:rPr>
        <w:t>mladšími pacientmi. Úprava dávkovania u</w:t>
      </w:r>
      <w:r w:rsidRPr="00AE2DFC">
        <w:rPr>
          <w:lang w:val="sk-SK"/>
        </w:rPr>
        <w:t> </w:t>
      </w:r>
      <w:r w:rsidRPr="00D9531D">
        <w:rPr>
          <w:lang w:val="sk-SK"/>
        </w:rPr>
        <w:t>starších pacientov nie je potrebná.</w:t>
      </w:r>
    </w:p>
    <w:p w14:paraId="72A56CF4" w14:textId="77777777" w:rsidR="007B4C7C" w:rsidRPr="00B66248" w:rsidRDefault="007B4C7C" w:rsidP="00FF138C">
      <w:pPr>
        <w:spacing w:line="240" w:lineRule="auto"/>
        <w:rPr>
          <w:lang w:val="sk-SK"/>
        </w:rPr>
      </w:pPr>
    </w:p>
    <w:p w14:paraId="4F51C62C" w14:textId="77777777" w:rsidR="007B4C7C" w:rsidRPr="00D9531D" w:rsidRDefault="007B4C7C" w:rsidP="00633990">
      <w:pPr>
        <w:keepNext/>
        <w:keepLines/>
        <w:spacing w:line="240" w:lineRule="auto"/>
        <w:rPr>
          <w:u w:val="single"/>
          <w:lang w:val="sk-SK"/>
        </w:rPr>
      </w:pPr>
      <w:r w:rsidRPr="00D9531D">
        <w:rPr>
          <w:u w:val="single"/>
          <w:lang w:val="sk-SK"/>
        </w:rPr>
        <w:t>Porucha funkcie obličiek</w:t>
      </w:r>
    </w:p>
    <w:p w14:paraId="0F2C77CE" w14:textId="77777777" w:rsidR="007B4C7C" w:rsidRDefault="007B4C7C" w:rsidP="00633990">
      <w:pPr>
        <w:keepNext/>
        <w:keepLines/>
        <w:spacing w:line="240" w:lineRule="auto"/>
        <w:rPr>
          <w:lang w:val="sk-SK"/>
        </w:rPr>
      </w:pPr>
    </w:p>
    <w:p w14:paraId="37FCC9F1" w14:textId="77777777" w:rsidR="004D6536" w:rsidRDefault="007B4C7C" w:rsidP="00633990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U pacientov s miernou až stredne ťažkou poruchou funkcie obličiek (klírens kreatitínu medzi 30</w:t>
      </w:r>
      <w:r w:rsidR="004D6536">
        <w:rPr>
          <w:lang w:val="sk-SK"/>
        </w:rPr>
        <w:t> </w:t>
      </w:r>
      <w:r>
        <w:rPr>
          <w:lang w:val="sk-SK"/>
        </w:rPr>
        <w:t>a</w:t>
      </w:r>
      <w:r w:rsidR="004D6536">
        <w:rPr>
          <w:lang w:val="sk-SK"/>
        </w:rPr>
        <w:t> </w:t>
      </w:r>
      <w:r>
        <w:rPr>
          <w:lang w:val="sk-SK"/>
        </w:rPr>
        <w:t>50</w:t>
      </w:r>
      <w:r w:rsidR="004D6536">
        <w:rPr>
          <w:lang w:val="sk-SK"/>
        </w:rPr>
        <w:t> </w:t>
      </w:r>
      <w:r>
        <w:rPr>
          <w:lang w:val="sk-SK"/>
        </w:rPr>
        <w:t>ml/min) nie je pozorovaná žiadna zmena vo farmakokinetike ropinirolu</w:t>
      </w:r>
      <w:r w:rsidRPr="00B66248">
        <w:rPr>
          <w:lang w:val="sk-SK"/>
        </w:rPr>
        <w:t>.</w:t>
      </w:r>
    </w:p>
    <w:p w14:paraId="77DBED8D" w14:textId="77777777" w:rsidR="004D6536" w:rsidRDefault="004D6536" w:rsidP="00FF138C">
      <w:pPr>
        <w:spacing w:line="240" w:lineRule="auto"/>
        <w:rPr>
          <w:lang w:val="sk-SK"/>
        </w:rPr>
      </w:pPr>
    </w:p>
    <w:p w14:paraId="4B35339B" w14:textId="77777777" w:rsidR="007B4C7C" w:rsidRDefault="007B4C7C" w:rsidP="00FF138C">
      <w:pPr>
        <w:spacing w:line="240" w:lineRule="auto"/>
        <w:rPr>
          <w:lang w:val="sk-SK"/>
        </w:rPr>
      </w:pPr>
      <w:r w:rsidRPr="00D9531D">
        <w:rPr>
          <w:lang w:val="sk-SK"/>
        </w:rPr>
        <w:t>Perorálny klírens ropinirolu u</w:t>
      </w:r>
      <w:r w:rsidRPr="00AE2DFC">
        <w:rPr>
          <w:lang w:val="sk-SK"/>
        </w:rPr>
        <w:t> </w:t>
      </w:r>
      <w:r w:rsidRPr="00D9531D">
        <w:rPr>
          <w:lang w:val="sk-SK"/>
        </w:rPr>
        <w:t xml:space="preserve">pacientov </w:t>
      </w:r>
      <w:r w:rsidR="00775F62">
        <w:rPr>
          <w:lang w:val="sk-SK"/>
        </w:rPr>
        <w:t>v</w:t>
      </w:r>
      <w:r w:rsidRPr="00AE2DFC">
        <w:rPr>
          <w:lang w:val="sk-SK"/>
        </w:rPr>
        <w:t> </w:t>
      </w:r>
      <w:r w:rsidRPr="00D9531D">
        <w:rPr>
          <w:lang w:val="sk-SK"/>
        </w:rPr>
        <w:t>termináln</w:t>
      </w:r>
      <w:r w:rsidR="00775F62">
        <w:rPr>
          <w:lang w:val="sk-SK"/>
        </w:rPr>
        <w:t>o</w:t>
      </w:r>
      <w:r w:rsidRPr="00D9531D">
        <w:rPr>
          <w:lang w:val="sk-SK"/>
        </w:rPr>
        <w:t>m štádi</w:t>
      </w:r>
      <w:r w:rsidR="00775F62">
        <w:rPr>
          <w:lang w:val="sk-SK"/>
        </w:rPr>
        <w:t>u</w:t>
      </w:r>
      <w:r w:rsidRPr="00D9531D">
        <w:rPr>
          <w:lang w:val="sk-SK"/>
        </w:rPr>
        <w:t xml:space="preserve"> ochorenia obličiek podstupujúcich pravidelnú hemodialýzu je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30</w:t>
      </w:r>
      <w:r w:rsidRPr="00AE2DFC">
        <w:rPr>
          <w:lang w:val="sk-SK"/>
        </w:rPr>
        <w:t> </w:t>
      </w:r>
      <w:r w:rsidRPr="00D9531D">
        <w:rPr>
          <w:lang w:val="sk-SK"/>
        </w:rPr>
        <w:t>%. Perorálny klírens metabolitov SKF</w:t>
      </w:r>
      <w:r w:rsidR="004D6536">
        <w:rPr>
          <w:lang w:val="sk-SK"/>
        </w:rPr>
        <w:noBreakHyphen/>
      </w:r>
      <w:r w:rsidRPr="00D9531D">
        <w:rPr>
          <w:lang w:val="sk-SK"/>
        </w:rPr>
        <w:t>104557 a</w:t>
      </w:r>
      <w:r w:rsidR="004D6536">
        <w:rPr>
          <w:lang w:val="sk-SK"/>
        </w:rPr>
        <w:t> </w:t>
      </w:r>
      <w:r w:rsidRPr="00D9531D">
        <w:rPr>
          <w:lang w:val="sk-SK"/>
        </w:rPr>
        <w:t>SKF</w:t>
      </w:r>
      <w:r w:rsidR="004D6536">
        <w:rPr>
          <w:lang w:val="sk-SK"/>
        </w:rPr>
        <w:noBreakHyphen/>
      </w:r>
      <w:r w:rsidRPr="00D9531D">
        <w:rPr>
          <w:lang w:val="sk-SK"/>
        </w:rPr>
        <w:t>89124 bol tiež znížený o</w:t>
      </w:r>
      <w:r w:rsidRPr="00AE2DFC">
        <w:rPr>
          <w:lang w:val="sk-SK"/>
        </w:rPr>
        <w:t> </w:t>
      </w:r>
      <w:r w:rsidRPr="00D9531D">
        <w:rPr>
          <w:lang w:val="sk-SK"/>
        </w:rPr>
        <w:t>približne 80</w:t>
      </w:r>
      <w:r w:rsidRPr="00AE2DFC">
        <w:rPr>
          <w:lang w:val="sk-SK"/>
        </w:rPr>
        <w:t> </w:t>
      </w:r>
      <w:r w:rsidRPr="00D9531D">
        <w:rPr>
          <w:lang w:val="sk-SK"/>
        </w:rPr>
        <w:t>% a</w:t>
      </w:r>
      <w:r w:rsidRPr="00AE2DFC">
        <w:rPr>
          <w:lang w:val="sk-SK"/>
        </w:rPr>
        <w:t> </w:t>
      </w:r>
      <w:r w:rsidRPr="00D9531D">
        <w:rPr>
          <w:lang w:val="sk-SK"/>
        </w:rPr>
        <w:t>60</w:t>
      </w:r>
      <w:r w:rsidRPr="00AE2DFC">
        <w:rPr>
          <w:lang w:val="sk-SK"/>
        </w:rPr>
        <w:t> </w:t>
      </w:r>
      <w:r w:rsidRPr="00D9531D">
        <w:rPr>
          <w:lang w:val="sk-SK"/>
        </w:rPr>
        <w:t>%, v</w:t>
      </w:r>
      <w:r w:rsidRPr="00AE2DFC">
        <w:rPr>
          <w:lang w:val="sk-SK"/>
        </w:rPr>
        <w:t> </w:t>
      </w:r>
      <w:r w:rsidRPr="00D9531D">
        <w:rPr>
          <w:lang w:val="sk-SK"/>
        </w:rPr>
        <w:t>uvedenom poradí</w:t>
      </w:r>
      <w:r w:rsidR="00D63430">
        <w:rPr>
          <w:lang w:val="sk-SK"/>
        </w:rPr>
        <w:t>.</w:t>
      </w:r>
      <w:r w:rsidRPr="00D9531D">
        <w:rPr>
          <w:lang w:val="sk-SK"/>
        </w:rPr>
        <w:t xml:space="preserve"> Z</w:t>
      </w:r>
      <w:r w:rsidRPr="00AE2DFC">
        <w:rPr>
          <w:lang w:val="sk-SK"/>
        </w:rPr>
        <w:t> </w:t>
      </w:r>
      <w:r w:rsidRPr="00D9531D">
        <w:rPr>
          <w:lang w:val="sk-SK"/>
        </w:rPr>
        <w:t>toho dôvodu, odporúčaná maximálna dávka je limitovaná na 3</w:t>
      </w:r>
      <w:r w:rsidR="004D6536">
        <w:rPr>
          <w:lang w:val="sk-SK"/>
        </w:rPr>
        <w:t> </w:t>
      </w:r>
      <w:r w:rsidRPr="00D9531D">
        <w:rPr>
          <w:lang w:val="sk-SK"/>
        </w:rPr>
        <w:t>mg/deň u</w:t>
      </w:r>
      <w:r w:rsidRPr="00AE2DFC">
        <w:rPr>
          <w:lang w:val="sk-SK"/>
        </w:rPr>
        <w:t> </w:t>
      </w:r>
      <w:r w:rsidRPr="00D9531D">
        <w:rPr>
          <w:lang w:val="sk-SK"/>
        </w:rPr>
        <w:t>týchto pacientov so syndrómom nepokojných nôh (pozri časť</w:t>
      </w:r>
      <w:r w:rsidR="004D6536">
        <w:rPr>
          <w:lang w:val="sk-SK"/>
        </w:rPr>
        <w:t> </w:t>
      </w:r>
      <w:r w:rsidRPr="00D9531D">
        <w:rPr>
          <w:lang w:val="sk-SK"/>
        </w:rPr>
        <w:t>4.2).</w:t>
      </w:r>
    </w:p>
    <w:p w14:paraId="5309A50A" w14:textId="77777777" w:rsidR="007B4C7C" w:rsidRDefault="007B4C7C" w:rsidP="00FF138C">
      <w:pPr>
        <w:spacing w:line="240" w:lineRule="auto"/>
        <w:rPr>
          <w:lang w:val="sk-SK"/>
        </w:rPr>
      </w:pPr>
    </w:p>
    <w:p w14:paraId="340D4168" w14:textId="77777777" w:rsidR="007B4C7C" w:rsidRPr="007B4C7C" w:rsidRDefault="004E46B3" w:rsidP="00FF138C">
      <w:pPr>
        <w:spacing w:line="240" w:lineRule="auto"/>
        <w:rPr>
          <w:u w:val="single"/>
          <w:lang w:val="sk-SK"/>
        </w:rPr>
      </w:pPr>
      <w:r w:rsidRPr="004E46B3">
        <w:rPr>
          <w:u w:val="single"/>
          <w:lang w:val="sk-SK"/>
        </w:rPr>
        <w:t>Pediatrická populácia</w:t>
      </w:r>
    </w:p>
    <w:p w14:paraId="7B930546" w14:textId="77777777" w:rsidR="007B4C7C" w:rsidRPr="007B4C7C" w:rsidRDefault="007B4C7C" w:rsidP="00FF138C">
      <w:pPr>
        <w:spacing w:line="240" w:lineRule="auto"/>
        <w:rPr>
          <w:lang w:val="sk-SK"/>
        </w:rPr>
      </w:pPr>
    </w:p>
    <w:p w14:paraId="3B474F6E" w14:textId="056DBE35" w:rsidR="007B4C7C" w:rsidRDefault="004E46B3" w:rsidP="00FF138C">
      <w:pPr>
        <w:spacing w:line="240" w:lineRule="auto"/>
        <w:rPr>
          <w:lang w:val="sk-SK"/>
        </w:rPr>
      </w:pPr>
      <w:r w:rsidRPr="004E46B3">
        <w:rPr>
          <w:lang w:val="sk-SK"/>
        </w:rPr>
        <w:t>Obmedzené farmakokinetické údaje získané u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dospievajúcich (12</w:t>
      </w:r>
      <w:r w:rsidR="004D6536">
        <w:rPr>
          <w:lang w:val="sk-SK"/>
        </w:rPr>
        <w:t> </w:t>
      </w:r>
      <w:r w:rsidR="004D6536">
        <w:rPr>
          <w:lang w:val="sk-SK"/>
        </w:rPr>
        <w:noBreakHyphen/>
        <w:t> </w:t>
      </w:r>
      <w:r w:rsidRPr="004E46B3">
        <w:rPr>
          <w:lang w:val="sk-SK"/>
        </w:rPr>
        <w:t>17</w:t>
      </w:r>
      <w:r w:rsidR="004D6536">
        <w:rPr>
          <w:lang w:val="sk-SK"/>
        </w:rPr>
        <w:t> </w:t>
      </w:r>
      <w:r w:rsidRPr="004E46B3">
        <w:rPr>
          <w:lang w:val="sk-SK"/>
        </w:rPr>
        <w:t>rokov, n</w:t>
      </w:r>
      <w:r w:rsidR="004D6536" w:rsidRPr="004D6536">
        <w:rPr>
          <w:lang w:val="sk-SK"/>
        </w:rPr>
        <w:t> </w:t>
      </w:r>
      <w:r w:rsidRPr="004E46B3">
        <w:rPr>
          <w:lang w:val="sk-SK"/>
        </w:rPr>
        <w:t>=</w:t>
      </w:r>
      <w:r w:rsidR="004D6536">
        <w:rPr>
          <w:lang w:val="sk-SK"/>
        </w:rPr>
        <w:t> </w:t>
      </w:r>
      <w:r w:rsidRPr="004E46B3">
        <w:rPr>
          <w:lang w:val="sk-SK"/>
        </w:rPr>
        <w:t>9) ukázali, že systémová expozícia po jednorazovej dávke 0,125</w:t>
      </w:r>
      <w:r w:rsidR="004D6536">
        <w:rPr>
          <w:lang w:val="sk-SK"/>
        </w:rPr>
        <w:t> </w:t>
      </w:r>
      <w:r w:rsidRPr="004E46B3">
        <w:rPr>
          <w:lang w:val="sk-SK"/>
        </w:rPr>
        <w:t>mg a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0,25</w:t>
      </w:r>
      <w:r w:rsidR="004D6536">
        <w:rPr>
          <w:lang w:val="sk-SK"/>
        </w:rPr>
        <w:t> </w:t>
      </w:r>
      <w:r w:rsidRPr="004E46B3">
        <w:rPr>
          <w:lang w:val="sk-SK"/>
        </w:rPr>
        <w:t>mg bola podobná expozícii, ktorá sa pozorovala u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dospelých (pozri tiež časť</w:t>
      </w:r>
      <w:r w:rsidR="00AD03EE">
        <w:rPr>
          <w:lang w:val="sk-SK"/>
        </w:rPr>
        <w:t> </w:t>
      </w:r>
      <w:r w:rsidRPr="004E46B3">
        <w:rPr>
          <w:lang w:val="sk-SK"/>
        </w:rPr>
        <w:t>4.2; odstavec „Deti a</w:t>
      </w:r>
      <w:r w:rsidR="007B4C7C" w:rsidRPr="00D77CA6">
        <w:rPr>
          <w:lang w:val="sk-SK"/>
        </w:rPr>
        <w:t> </w:t>
      </w:r>
      <w:r w:rsidRPr="004E46B3">
        <w:rPr>
          <w:lang w:val="sk-SK"/>
        </w:rPr>
        <w:t>dospievajúci“)</w:t>
      </w:r>
      <w:r w:rsidR="007B4C7C">
        <w:rPr>
          <w:lang w:val="sk-SK"/>
        </w:rPr>
        <w:t>.</w:t>
      </w:r>
    </w:p>
    <w:p w14:paraId="0D14723D" w14:textId="77777777" w:rsidR="00BB77F0" w:rsidRDefault="00BB77F0" w:rsidP="00FF138C">
      <w:pPr>
        <w:spacing w:line="240" w:lineRule="auto"/>
        <w:rPr>
          <w:lang w:val="sk-SK"/>
        </w:rPr>
      </w:pPr>
    </w:p>
    <w:p w14:paraId="646F3C77" w14:textId="5B053CA3" w:rsidR="00BB77F0" w:rsidRDefault="00253E33" w:rsidP="00FF7B87">
      <w:pPr>
        <w:keepNext/>
        <w:keepLines/>
        <w:spacing w:line="240" w:lineRule="auto"/>
        <w:rPr>
          <w:u w:val="single"/>
          <w:lang w:val="sk-SK"/>
        </w:rPr>
      </w:pPr>
      <w:r>
        <w:rPr>
          <w:u w:val="single"/>
          <w:lang w:val="sk-SK"/>
        </w:rPr>
        <w:lastRenderedPageBreak/>
        <w:t>Gravidita</w:t>
      </w:r>
    </w:p>
    <w:p w14:paraId="72F40DF5" w14:textId="17C85A8E" w:rsidR="00253E33" w:rsidRDefault="00253E33" w:rsidP="00FF7B87">
      <w:pPr>
        <w:keepNext/>
        <w:keepLines/>
        <w:spacing w:line="240" w:lineRule="auto"/>
        <w:rPr>
          <w:u w:val="single"/>
          <w:lang w:val="sk-SK"/>
        </w:rPr>
      </w:pPr>
    </w:p>
    <w:p w14:paraId="7C46B873" w14:textId="054F52EE" w:rsidR="00253E33" w:rsidRPr="00253E33" w:rsidRDefault="00253E33" w:rsidP="00FF7B87">
      <w:pPr>
        <w:keepNext/>
        <w:keepLines/>
        <w:spacing w:line="240" w:lineRule="auto"/>
        <w:rPr>
          <w:lang w:val="sk-SK"/>
        </w:rPr>
      </w:pPr>
      <w:r>
        <w:rPr>
          <w:bCs/>
          <w:iCs/>
          <w:lang w:val="sk-SK"/>
        </w:rPr>
        <w:t xml:space="preserve">Predpokladá sa, že fyziologické zmeny v období gravidity (vrátane zníženej aktivity CYP1A2) </w:t>
      </w:r>
      <w:r>
        <w:rPr>
          <w:lang w:val="sk-SK"/>
        </w:rPr>
        <w:t xml:space="preserve">postupne vedú k zvýšenej systémovej expozícii ropinirolu u gravidných žien </w:t>
      </w:r>
      <w:r>
        <w:rPr>
          <w:bCs/>
          <w:iCs/>
          <w:lang w:val="sk-SK"/>
        </w:rPr>
        <w:t xml:space="preserve">(pozri </w:t>
      </w:r>
      <w:r w:rsidR="00890D71">
        <w:rPr>
          <w:bCs/>
          <w:iCs/>
          <w:lang w:val="sk-SK"/>
        </w:rPr>
        <w:t>tiež</w:t>
      </w:r>
      <w:r>
        <w:rPr>
          <w:bCs/>
          <w:iCs/>
          <w:lang w:val="sk-SK"/>
        </w:rPr>
        <w:t xml:space="preserve"> časť 4.6).</w:t>
      </w:r>
    </w:p>
    <w:p w14:paraId="1A6F84D0" w14:textId="77777777" w:rsidR="00BB77F0" w:rsidRDefault="00BB77F0" w:rsidP="00AD03EE">
      <w:pPr>
        <w:keepNext/>
        <w:keepLines/>
        <w:spacing w:line="240" w:lineRule="auto"/>
        <w:outlineLvl w:val="1"/>
        <w:rPr>
          <w:b/>
          <w:bCs/>
          <w:lang w:val="sk-SK"/>
        </w:rPr>
      </w:pPr>
    </w:p>
    <w:p w14:paraId="39BEFED6" w14:textId="77777777" w:rsidR="007B4C7C" w:rsidRDefault="00AD03EE" w:rsidP="00AD03EE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5.3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Predklinické údaje o bezpečnosti</w:t>
      </w:r>
    </w:p>
    <w:p w14:paraId="6F432358" w14:textId="77777777" w:rsidR="007B4C7C" w:rsidRDefault="007B4C7C" w:rsidP="00AD03EE">
      <w:pPr>
        <w:keepNext/>
        <w:keepLines/>
        <w:spacing w:line="240" w:lineRule="auto"/>
        <w:rPr>
          <w:lang w:val="sk-SK"/>
        </w:rPr>
      </w:pPr>
    </w:p>
    <w:p w14:paraId="7DAFCB5F" w14:textId="77777777" w:rsidR="007B4C7C" w:rsidRPr="00BC4D58" w:rsidRDefault="007B4C7C" w:rsidP="00AD03EE">
      <w:pPr>
        <w:keepNext/>
        <w:keepLines/>
        <w:spacing w:line="240" w:lineRule="auto"/>
        <w:rPr>
          <w:u w:val="single"/>
          <w:lang w:val="sk-SK"/>
        </w:rPr>
      </w:pPr>
      <w:r w:rsidRPr="00BC4D58">
        <w:rPr>
          <w:u w:val="single"/>
          <w:lang w:val="sk-SK"/>
        </w:rPr>
        <w:t>Toxikológia</w:t>
      </w:r>
    </w:p>
    <w:p w14:paraId="5C19E4A2" w14:textId="77777777" w:rsidR="007B4C7C" w:rsidRDefault="007B4C7C" w:rsidP="00AD03EE">
      <w:pPr>
        <w:keepNext/>
        <w:keepLines/>
        <w:spacing w:line="240" w:lineRule="auto"/>
        <w:rPr>
          <w:lang w:val="sk-SK"/>
        </w:rPr>
      </w:pPr>
      <w:r>
        <w:rPr>
          <w:lang w:val="sk-SK"/>
        </w:rPr>
        <w:t>Toxikologický profil je určený hlavne farmakologickým pôsobením ropinirolu: zmeny správania, hypoprolaktinémia, zníženie krvného tlaku a srdcovej frekvencie, ptóza a salivácia. V dlhodobej štúdii bola po najvyššej dávke (50</w:t>
      </w:r>
      <w:r w:rsidR="00AD03EE">
        <w:rPr>
          <w:lang w:val="sk-SK"/>
        </w:rPr>
        <w:t> </w:t>
      </w:r>
      <w:r>
        <w:rPr>
          <w:lang w:val="sk-SK"/>
        </w:rPr>
        <w:t>mg/kg/deň) pozorovaná degenerácia sietnice len u bielych potkanov a pravdepodobne súvisela so zvýšenou expozíciou svetlu.</w:t>
      </w:r>
    </w:p>
    <w:p w14:paraId="6865150F" w14:textId="77777777" w:rsidR="007B4C7C" w:rsidRDefault="007B4C7C" w:rsidP="00FF138C">
      <w:pPr>
        <w:pStyle w:val="Text"/>
        <w:spacing w:after="0" w:line="240" w:lineRule="auto"/>
        <w:rPr>
          <w:bCs/>
          <w:sz w:val="22"/>
          <w:szCs w:val="22"/>
          <w:lang w:val="sk-SK"/>
        </w:rPr>
      </w:pPr>
    </w:p>
    <w:p w14:paraId="08E5C41C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 w:rsidRPr="00DB110E">
        <w:rPr>
          <w:bCs/>
          <w:sz w:val="22"/>
          <w:szCs w:val="22"/>
          <w:u w:val="single"/>
          <w:lang w:val="sk-SK"/>
        </w:rPr>
        <w:t>Genotoxicita</w:t>
      </w:r>
    </w:p>
    <w:p w14:paraId="71A1099C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Vo zvyčajnom súbore testov </w:t>
      </w:r>
      <w:r>
        <w:rPr>
          <w:i/>
          <w:sz w:val="22"/>
          <w:szCs w:val="22"/>
          <w:lang w:val="sk-SK"/>
        </w:rPr>
        <w:t xml:space="preserve">in vitro </w:t>
      </w:r>
      <w:r>
        <w:rPr>
          <w:sz w:val="22"/>
          <w:szCs w:val="22"/>
          <w:lang w:val="sk-SK"/>
        </w:rPr>
        <w:t xml:space="preserve">a </w:t>
      </w:r>
      <w:r>
        <w:rPr>
          <w:i/>
          <w:sz w:val="22"/>
          <w:szCs w:val="22"/>
          <w:lang w:val="sk-SK"/>
        </w:rPr>
        <w:t>in vivo</w:t>
      </w:r>
      <w:r>
        <w:rPr>
          <w:sz w:val="22"/>
          <w:szCs w:val="22"/>
          <w:lang w:val="sk-SK"/>
        </w:rPr>
        <w:t xml:space="preserve"> nebol zistený žiadny genotoxický potenciál.</w:t>
      </w:r>
    </w:p>
    <w:p w14:paraId="49FAA2A7" w14:textId="77777777" w:rsidR="007B4C7C" w:rsidRDefault="007B4C7C" w:rsidP="00FF138C">
      <w:pPr>
        <w:spacing w:line="240" w:lineRule="auto"/>
        <w:rPr>
          <w:bCs/>
          <w:lang w:val="sk-SK"/>
        </w:rPr>
      </w:pPr>
    </w:p>
    <w:p w14:paraId="2F3EB99C" w14:textId="77777777" w:rsidR="007B4C7C" w:rsidRDefault="007B4C7C" w:rsidP="00FF138C">
      <w:pPr>
        <w:spacing w:line="240" w:lineRule="auto"/>
        <w:rPr>
          <w:lang w:val="sk-SK"/>
        </w:rPr>
      </w:pPr>
      <w:r w:rsidRPr="00DB110E">
        <w:rPr>
          <w:bCs/>
          <w:u w:val="single"/>
          <w:lang w:val="sk-SK"/>
        </w:rPr>
        <w:t>Karcinogenita</w:t>
      </w:r>
    </w:p>
    <w:p w14:paraId="14636074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V dvojročných štúdiách vykonaných na myšiach a potkanoch s dávkovaniami až do</w:t>
      </w:r>
      <w:r w:rsidR="00AD03EE">
        <w:rPr>
          <w:lang w:val="sk-SK"/>
        </w:rPr>
        <w:t> </w:t>
      </w:r>
      <w:r>
        <w:rPr>
          <w:lang w:val="sk-SK"/>
        </w:rPr>
        <w:t>50</w:t>
      </w:r>
      <w:r w:rsidR="00AD03EE">
        <w:rPr>
          <w:lang w:val="sk-SK"/>
        </w:rPr>
        <w:t> </w:t>
      </w:r>
      <w:r>
        <w:rPr>
          <w:lang w:val="sk-SK"/>
        </w:rPr>
        <w:t>mg/kg/deň sa u</w:t>
      </w:r>
      <w:r w:rsidR="00AD03EE">
        <w:rPr>
          <w:lang w:val="sk-SK"/>
        </w:rPr>
        <w:t> </w:t>
      </w:r>
      <w:r>
        <w:rPr>
          <w:lang w:val="sk-SK"/>
        </w:rPr>
        <w:t>myší nezistili žiadne dôkazy o karcinogénnom účinku. U potkanov boli jedinými léziami súvisiacimi s ropinirolom hyperplázia Leydigových buniek a testikulárny adenóm, ktoré boli dôsledkom hypoprolaktinemického účinku ropinirolu. Tieto lézie sa pokladajú za druhovo špecifický jav a</w:t>
      </w:r>
      <w:r w:rsidR="00D63430">
        <w:rPr>
          <w:lang w:val="sk-SK"/>
        </w:rPr>
        <w:t> </w:t>
      </w:r>
      <w:r>
        <w:rPr>
          <w:lang w:val="sk-SK"/>
        </w:rPr>
        <w:t>nepredstavujú nebezpečenstvo pre klinické používanie ropinirolu.</w:t>
      </w:r>
    </w:p>
    <w:p w14:paraId="43780042" w14:textId="77777777" w:rsidR="007B4C7C" w:rsidRDefault="007B4C7C" w:rsidP="00FF138C">
      <w:pPr>
        <w:spacing w:line="240" w:lineRule="auto"/>
        <w:rPr>
          <w:lang w:val="sk-SK"/>
        </w:rPr>
      </w:pPr>
    </w:p>
    <w:p w14:paraId="6DAEADB4" w14:textId="77777777" w:rsidR="007B4C7C" w:rsidRPr="009B1D02" w:rsidRDefault="007B4C7C" w:rsidP="00FF138C">
      <w:pPr>
        <w:spacing w:line="240" w:lineRule="auto"/>
        <w:rPr>
          <w:lang w:val="sk-SK"/>
        </w:rPr>
      </w:pPr>
      <w:r w:rsidRPr="009B1D02">
        <w:rPr>
          <w:u w:val="single"/>
          <w:lang w:val="sk-SK"/>
        </w:rPr>
        <w:t>Reprodukčná toxicita</w:t>
      </w:r>
    </w:p>
    <w:p w14:paraId="6F4C6DE5" w14:textId="77777777" w:rsidR="00CA5496" w:rsidRPr="009B1D02" w:rsidRDefault="00A84F82" w:rsidP="00FF138C">
      <w:pPr>
        <w:spacing w:line="240" w:lineRule="auto"/>
        <w:rPr>
          <w:lang w:val="sk-SK"/>
        </w:rPr>
      </w:pPr>
      <w:r w:rsidRPr="009B1D02">
        <w:rPr>
          <w:lang w:val="sk-SK"/>
        </w:rPr>
        <w:t xml:space="preserve">V štúdiách fertility </w:t>
      </w:r>
      <w:r w:rsidR="00D70160" w:rsidRPr="009B1D02">
        <w:rPr>
          <w:lang w:val="sk-SK"/>
        </w:rPr>
        <w:t>u </w:t>
      </w:r>
      <w:r w:rsidRPr="009B1D02">
        <w:rPr>
          <w:lang w:val="sk-SK"/>
        </w:rPr>
        <w:t>potkanov</w:t>
      </w:r>
      <w:r w:rsidR="00D70160" w:rsidRPr="009B1D02">
        <w:rPr>
          <w:lang w:val="sk-SK"/>
        </w:rPr>
        <w:t xml:space="preserve"> sa u samíc pozoroval vplyv na implantáciu v dôsledku účinku ropinirolu na zníženie hladiny prolaktínu. </w:t>
      </w:r>
      <w:r w:rsidR="00DD02C7" w:rsidRPr="009B1D02">
        <w:rPr>
          <w:lang w:val="sk-SK"/>
        </w:rPr>
        <w:t>Je potrebné poznamenať, že prolaktín nie je potrebný na implantáciu u</w:t>
      </w:r>
      <w:r w:rsidR="00D70160" w:rsidRPr="009B1D02">
        <w:rPr>
          <w:lang w:val="sk-SK"/>
        </w:rPr>
        <w:t> ľudí.</w:t>
      </w:r>
    </w:p>
    <w:p w14:paraId="6220D291" w14:textId="77777777" w:rsidR="00CA5496" w:rsidRPr="009B1D02" w:rsidRDefault="00CA5496" w:rsidP="00FF138C">
      <w:pPr>
        <w:spacing w:line="240" w:lineRule="auto"/>
        <w:rPr>
          <w:lang w:val="sk-SK"/>
        </w:rPr>
      </w:pPr>
    </w:p>
    <w:p w14:paraId="614AC867" w14:textId="796CFBB1" w:rsidR="007B4C7C" w:rsidRDefault="007B4C7C" w:rsidP="00BB77F0">
      <w:pPr>
        <w:keepNext/>
        <w:keepLines/>
        <w:spacing w:line="240" w:lineRule="auto"/>
        <w:rPr>
          <w:lang w:val="sk-SK"/>
        </w:rPr>
      </w:pPr>
      <w:r w:rsidRPr="009B1D02">
        <w:rPr>
          <w:lang w:val="sk-SK"/>
        </w:rPr>
        <w:t xml:space="preserve">Podávanie ropinirolu gravidným potkanom v dávkach toxických pre </w:t>
      </w:r>
      <w:r w:rsidR="006B0D54" w:rsidRPr="009B1D02">
        <w:rPr>
          <w:lang w:val="sk-SK"/>
        </w:rPr>
        <w:t>samicu</w:t>
      </w:r>
      <w:r w:rsidRPr="009B1D02">
        <w:rPr>
          <w:lang w:val="sk-SK"/>
        </w:rPr>
        <w:t xml:space="preserve"> viedlo k zníženej </w:t>
      </w:r>
      <w:r w:rsidR="006B0D54" w:rsidRPr="009B1D02">
        <w:rPr>
          <w:lang w:val="sk-SK"/>
        </w:rPr>
        <w:t xml:space="preserve">telesnej </w:t>
      </w:r>
      <w:r w:rsidRPr="009B1D02">
        <w:rPr>
          <w:lang w:val="sk-SK"/>
        </w:rPr>
        <w:t xml:space="preserve">hmotnosti </w:t>
      </w:r>
      <w:r w:rsidR="006B0D54" w:rsidRPr="009B1D02">
        <w:rPr>
          <w:lang w:val="sk-SK"/>
        </w:rPr>
        <w:t xml:space="preserve">plodu </w:t>
      </w:r>
      <w:r w:rsidRPr="009B1D02">
        <w:rPr>
          <w:lang w:val="sk-SK"/>
        </w:rPr>
        <w:t>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60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</w:t>
      </w:r>
      <w:r w:rsidR="00D70160" w:rsidRPr="009B1D02">
        <w:rPr>
          <w:lang w:val="sk-SK"/>
        </w:rPr>
        <w:t xml:space="preserve">priemerná hodnota AUC u potkanov rovná </w:t>
      </w:r>
      <w:r w:rsidRPr="009B1D02">
        <w:rPr>
          <w:lang w:val="sk-SK"/>
        </w:rPr>
        <w:t>približne 15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>násobk</w:t>
      </w:r>
      <w:r w:rsidR="007F0CA1" w:rsidRPr="009B1D02">
        <w:rPr>
          <w:lang w:val="sk-SK"/>
        </w:rPr>
        <w:t>u</w:t>
      </w:r>
      <w:r w:rsidRPr="009B1D02">
        <w:rPr>
          <w:lang w:val="sk-SK"/>
        </w:rPr>
        <w:t xml:space="preserve">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 xml:space="preserve">dosiahnutej </w:t>
      </w:r>
      <w:r w:rsidRPr="009B1D02">
        <w:rPr>
          <w:lang w:val="sk-SK"/>
        </w:rPr>
        <w:t xml:space="preserve">pri maximálnej </w:t>
      </w:r>
      <w:r w:rsidR="007F0CA1" w:rsidRPr="009B1D02">
        <w:rPr>
          <w:lang w:val="sk-SK"/>
        </w:rPr>
        <w:t xml:space="preserve">odporúčanej </w:t>
      </w:r>
      <w:r w:rsidRPr="009B1D02">
        <w:rPr>
          <w:lang w:val="sk-SK"/>
        </w:rPr>
        <w:t xml:space="preserve">dávke </w:t>
      </w:r>
      <w:r w:rsidR="007F0CA1" w:rsidRPr="009B1D02">
        <w:rPr>
          <w:lang w:val="sk-SK"/>
        </w:rPr>
        <w:t>pre</w:t>
      </w:r>
      <w:r w:rsidRPr="009B1D02">
        <w:rPr>
          <w:lang w:val="sk-SK"/>
        </w:rPr>
        <w:t> ľudí</w:t>
      </w:r>
      <w:r w:rsidR="007F0CA1" w:rsidRPr="009B1D02">
        <w:rPr>
          <w:lang w:val="sk-SK"/>
        </w:rPr>
        <w:t xml:space="preserve"> (Maximum Recommended Human Dose </w:t>
      </w:r>
      <w:r w:rsidR="007F0CA1" w:rsidRPr="009B1D02">
        <w:rPr>
          <w:lang w:val="sk-SK"/>
        </w:rPr>
        <w:noBreakHyphen/>
        <w:t> MRHD)</w:t>
      </w:r>
      <w:r w:rsidRPr="009B1D02">
        <w:rPr>
          <w:lang w:val="sk-SK"/>
        </w:rPr>
        <w:t>), k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zvýšen</w:t>
      </w:r>
      <w:r w:rsidR="006B0D54" w:rsidRPr="009B1D02">
        <w:rPr>
          <w:lang w:val="sk-SK"/>
        </w:rPr>
        <w:t>ej úmrtnosti plodov</w:t>
      </w:r>
      <w:r w:rsidRPr="009B1D02">
        <w:rPr>
          <w:lang w:val="sk-SK"/>
        </w:rPr>
        <w:t xml:space="preserve"> 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90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25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>dosiahnutej pri MRHD</w:t>
      </w:r>
      <w:r w:rsidRPr="009B1D02">
        <w:rPr>
          <w:lang w:val="sk-SK"/>
        </w:rPr>
        <w:t>) a</w:t>
      </w:r>
      <w:r w:rsidR="00B40629" w:rsidRPr="009B1D02">
        <w:rPr>
          <w:lang w:val="sk-SK"/>
        </w:rPr>
        <w:t> </w:t>
      </w:r>
      <w:r w:rsidRPr="009B1D02">
        <w:rPr>
          <w:lang w:val="sk-SK"/>
        </w:rPr>
        <w:t>k</w:t>
      </w:r>
      <w:r w:rsidR="00B40629" w:rsidRPr="009B1D02">
        <w:rPr>
          <w:lang w:val="sk-SK"/>
        </w:rPr>
        <w:t> </w:t>
      </w:r>
      <w:r w:rsidRPr="009B1D02">
        <w:rPr>
          <w:lang w:val="sk-SK"/>
        </w:rPr>
        <w:t>malformáciám prstov p</w:t>
      </w:r>
      <w:r w:rsidR="006B0D54" w:rsidRPr="009B1D02">
        <w:rPr>
          <w:lang w:val="sk-SK"/>
        </w:rPr>
        <w:t>ri</w:t>
      </w:r>
      <w:r w:rsidRPr="009B1D02">
        <w:rPr>
          <w:lang w:val="sk-SK"/>
        </w:rPr>
        <w:t xml:space="preserve"> dávke 150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40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>dosiahnutej pri MRHD</w:t>
      </w:r>
      <w:r w:rsidRPr="009B1D02">
        <w:rPr>
          <w:lang w:val="sk-SK"/>
        </w:rPr>
        <w:t xml:space="preserve">). </w:t>
      </w:r>
      <w:r w:rsidR="006B0D54" w:rsidRPr="009B1D02">
        <w:rPr>
          <w:lang w:val="sk-SK"/>
        </w:rPr>
        <w:t>U potkanov sa pri</w:t>
      </w:r>
      <w:r w:rsidRPr="009B1D02">
        <w:rPr>
          <w:lang w:val="sk-SK"/>
        </w:rPr>
        <w:t xml:space="preserve"> dávke 120</w:t>
      </w:r>
      <w:r w:rsidR="00AD03EE" w:rsidRPr="009B1D02">
        <w:rPr>
          <w:lang w:val="sk-SK"/>
        </w:rPr>
        <w:t> </w:t>
      </w:r>
      <w:r w:rsidRPr="009B1D02">
        <w:rPr>
          <w:lang w:val="sk-SK"/>
        </w:rPr>
        <w:t>mg/kg/deň (približne 30</w:t>
      </w:r>
      <w:r w:rsidR="00AD03EE" w:rsidRPr="009B1D02">
        <w:rPr>
          <w:lang w:val="sk-SK"/>
        </w:rPr>
        <w:noBreakHyphen/>
      </w:r>
      <w:r w:rsidRPr="009B1D02">
        <w:rPr>
          <w:lang w:val="sk-SK"/>
        </w:rPr>
        <w:t xml:space="preserve">násobok </w:t>
      </w:r>
      <w:r w:rsidR="007F0CA1" w:rsidRPr="009B1D02">
        <w:rPr>
          <w:lang w:val="sk-SK"/>
        </w:rPr>
        <w:t xml:space="preserve">najvyššej hodnoty </w:t>
      </w:r>
      <w:r w:rsidRPr="009B1D02">
        <w:rPr>
          <w:lang w:val="sk-SK"/>
        </w:rPr>
        <w:t xml:space="preserve">AUC </w:t>
      </w:r>
      <w:r w:rsidR="007F0CA1" w:rsidRPr="009B1D02">
        <w:rPr>
          <w:lang w:val="sk-SK"/>
        </w:rPr>
        <w:t xml:space="preserve">dosiahnutej </w:t>
      </w:r>
      <w:r w:rsidRPr="009B1D02">
        <w:rPr>
          <w:lang w:val="sk-SK"/>
        </w:rPr>
        <w:t xml:space="preserve">pri </w:t>
      </w:r>
      <w:r w:rsidR="007F0CA1" w:rsidRPr="009B1D02">
        <w:rPr>
          <w:lang w:val="sk-SK"/>
        </w:rPr>
        <w:t>MRHD</w:t>
      </w:r>
      <w:r w:rsidRPr="009B1D02">
        <w:rPr>
          <w:lang w:val="sk-SK"/>
        </w:rPr>
        <w:t>) ne</w:t>
      </w:r>
      <w:r w:rsidR="006B0D54" w:rsidRPr="009B1D02">
        <w:rPr>
          <w:lang w:val="sk-SK"/>
        </w:rPr>
        <w:t xml:space="preserve">zistili </w:t>
      </w:r>
      <w:r w:rsidRPr="009B1D02">
        <w:rPr>
          <w:lang w:val="sk-SK"/>
        </w:rPr>
        <w:t>teratogénn</w:t>
      </w:r>
      <w:r w:rsidR="006B0D54" w:rsidRPr="009B1D02">
        <w:rPr>
          <w:lang w:val="sk-SK"/>
        </w:rPr>
        <w:t>e</w:t>
      </w:r>
      <w:r w:rsidRPr="009B1D02">
        <w:rPr>
          <w:lang w:val="sk-SK"/>
        </w:rPr>
        <w:t xml:space="preserve"> účink</w:t>
      </w:r>
      <w:r w:rsidR="006B0D54" w:rsidRPr="009B1D02">
        <w:rPr>
          <w:lang w:val="sk-SK"/>
        </w:rPr>
        <w:t>y</w:t>
      </w:r>
      <w:r w:rsidRPr="009B1D02">
        <w:rPr>
          <w:lang w:val="sk-SK"/>
        </w:rPr>
        <w:t xml:space="preserve"> a u králikov sa </w:t>
      </w:r>
      <w:r w:rsidR="007F0CA1" w:rsidRPr="009B1D02">
        <w:rPr>
          <w:lang w:val="sk-SK"/>
        </w:rPr>
        <w:t>nepreukázal žiad</w:t>
      </w:r>
      <w:r w:rsidR="00417D33" w:rsidRPr="009B1D02">
        <w:rPr>
          <w:lang w:val="sk-SK"/>
        </w:rPr>
        <w:t>e</w:t>
      </w:r>
      <w:r w:rsidR="007F0CA1" w:rsidRPr="009B1D02">
        <w:rPr>
          <w:lang w:val="sk-SK"/>
        </w:rPr>
        <w:t>n vplyv počas organogenézy</w:t>
      </w:r>
      <w:r w:rsidR="006B0D54" w:rsidRPr="009B1D02">
        <w:rPr>
          <w:lang w:val="sk-SK"/>
        </w:rPr>
        <w:t>, keď sa ropinirol podával samotný v dávke 20 mg/kg (</w:t>
      </w:r>
      <w:r w:rsidR="003E5860" w:rsidRPr="009B1D02">
        <w:rPr>
          <w:lang w:val="sk-SK"/>
        </w:rPr>
        <w:t>60</w:t>
      </w:r>
      <w:r w:rsidR="006B0D54" w:rsidRPr="009B1D02">
        <w:rPr>
          <w:lang w:val="sk-SK"/>
        </w:rPr>
        <w:noBreakHyphen/>
        <w:t>násobok priemernej hodnoty C</w:t>
      </w:r>
      <w:r w:rsidR="006B0D54" w:rsidRPr="009B1D02">
        <w:rPr>
          <w:vertAlign w:val="subscript"/>
          <w:lang w:val="sk-SK"/>
        </w:rPr>
        <w:t>max</w:t>
      </w:r>
      <w:r w:rsidR="006B0D54" w:rsidRPr="009B1D02">
        <w:rPr>
          <w:lang w:val="sk-SK"/>
        </w:rPr>
        <w:t xml:space="preserve"> dosiahnutej u ľudí pri MRHD). Keď sa však ropinirol v dávke 10 mg/kg (</w:t>
      </w:r>
      <w:r w:rsidR="003E5860" w:rsidRPr="009B1D02">
        <w:rPr>
          <w:lang w:val="sk-SK"/>
        </w:rPr>
        <w:t>30</w:t>
      </w:r>
      <w:r w:rsidR="006B0D54" w:rsidRPr="009B1D02">
        <w:rPr>
          <w:lang w:val="sk-SK"/>
        </w:rPr>
        <w:noBreakHyphen/>
        <w:t>násobok priemernej hodnoty C</w:t>
      </w:r>
      <w:r w:rsidR="006B0D54" w:rsidRPr="009B1D02">
        <w:rPr>
          <w:vertAlign w:val="subscript"/>
          <w:lang w:val="sk-SK"/>
        </w:rPr>
        <w:t>max</w:t>
      </w:r>
      <w:r w:rsidR="006B0D54" w:rsidRPr="009B1D02">
        <w:rPr>
          <w:lang w:val="sk-SK"/>
        </w:rPr>
        <w:t xml:space="preserve"> dosiahnutej u ľudí pri MRHD) podal králikom v kombinácii s perorálne podanou L</w:t>
      </w:r>
      <w:r w:rsidR="006B0D54" w:rsidRPr="009B1D02">
        <w:rPr>
          <w:lang w:val="sk-SK"/>
        </w:rPr>
        <w:noBreakHyphen/>
        <w:t>dopou, výskyt malformácií prstov bol vyšší a boli závažnejšie ako pri samotnej L</w:t>
      </w:r>
      <w:r w:rsidR="006B0D54" w:rsidRPr="009B1D02">
        <w:rPr>
          <w:lang w:val="sk-SK"/>
        </w:rPr>
        <w:noBreakHyphen/>
        <w:t>dope</w:t>
      </w:r>
      <w:r w:rsidRPr="009B1D02">
        <w:rPr>
          <w:lang w:val="sk-SK"/>
        </w:rPr>
        <w:t>.</w:t>
      </w:r>
    </w:p>
    <w:p w14:paraId="0CF6F48F" w14:textId="77777777" w:rsidR="007B4C7C" w:rsidRDefault="007B4C7C" w:rsidP="00FF138C">
      <w:pPr>
        <w:spacing w:line="240" w:lineRule="auto"/>
        <w:rPr>
          <w:lang w:val="sk-SK"/>
        </w:rPr>
      </w:pPr>
    </w:p>
    <w:p w14:paraId="7910BCF4" w14:textId="77777777" w:rsidR="007B4C7C" w:rsidRPr="00DD4355" w:rsidRDefault="007B4C7C" w:rsidP="00FF138C">
      <w:pPr>
        <w:spacing w:line="240" w:lineRule="auto"/>
        <w:ind w:right="288"/>
        <w:rPr>
          <w:u w:val="single"/>
          <w:lang w:val="sk-SK"/>
        </w:rPr>
      </w:pPr>
      <w:r w:rsidRPr="00DD4355">
        <w:rPr>
          <w:u w:val="single"/>
          <w:lang w:val="sk-SK"/>
        </w:rPr>
        <w:t>Farmakologické štúdie bezpečnosti</w:t>
      </w:r>
    </w:p>
    <w:p w14:paraId="122DE6E3" w14:textId="77777777" w:rsidR="007B4C7C" w:rsidRPr="00DB110E" w:rsidRDefault="007B4C7C" w:rsidP="00FF138C">
      <w:pPr>
        <w:spacing w:line="240" w:lineRule="auto"/>
        <w:ind w:right="288"/>
        <w:rPr>
          <w:lang w:val="sk-SK"/>
        </w:rPr>
      </w:pPr>
      <w:r w:rsidRPr="00DD4355">
        <w:rPr>
          <w:i/>
          <w:lang w:val="sk-SK"/>
        </w:rPr>
        <w:t>In vitro</w:t>
      </w:r>
      <w:r w:rsidRPr="00DD4355">
        <w:rPr>
          <w:lang w:val="sk-SK"/>
        </w:rPr>
        <w:t xml:space="preserve"> štúdie preukázali, že ropinirol inhibuje prestup draslíka sprostredkovaného hERG kanálom. Hodnota IC</w:t>
      </w:r>
      <w:r w:rsidRPr="00DD4355">
        <w:rPr>
          <w:vertAlign w:val="subscript"/>
          <w:lang w:val="sk-SK"/>
        </w:rPr>
        <w:t>50</w:t>
      </w:r>
      <w:r w:rsidRPr="00DD4355">
        <w:rPr>
          <w:lang w:val="sk-SK"/>
        </w:rPr>
        <w:t xml:space="preserve"> je minimálne 30</w:t>
      </w:r>
      <w:r w:rsidRPr="00DD4355">
        <w:rPr>
          <w:lang w:val="sk-SK"/>
        </w:rPr>
        <w:noBreakHyphen/>
        <w:t xml:space="preserve">násobne vyššia ako predpokladaná maximálna plazmatická koncentrácia u pacientov liečených najvyššou odporúčanou dávkou (4 mg/deň), </w:t>
      </w:r>
      <w:r w:rsidRPr="00296C27">
        <w:rPr>
          <w:lang w:val="sk-SK"/>
        </w:rPr>
        <w:t>pozri časť 5.1.</w:t>
      </w:r>
    </w:p>
    <w:p w14:paraId="05FF4AE4" w14:textId="77777777" w:rsidR="007B4C7C" w:rsidRPr="00DB110E" w:rsidRDefault="007B4C7C" w:rsidP="00FF138C">
      <w:pPr>
        <w:spacing w:line="240" w:lineRule="auto"/>
        <w:rPr>
          <w:lang w:val="sk-SK"/>
        </w:rPr>
      </w:pPr>
    </w:p>
    <w:p w14:paraId="2DE8B7B0" w14:textId="77777777" w:rsidR="007B4C7C" w:rsidRPr="00DB110E" w:rsidRDefault="007B4C7C" w:rsidP="00FF138C">
      <w:pPr>
        <w:spacing w:line="240" w:lineRule="auto"/>
        <w:rPr>
          <w:lang w:val="sk-SK"/>
        </w:rPr>
      </w:pPr>
    </w:p>
    <w:p w14:paraId="53DBB0E1" w14:textId="77777777" w:rsidR="007B4C7C" w:rsidRDefault="00AD03EE" w:rsidP="00633990">
      <w:pPr>
        <w:keepNext/>
        <w:keepLines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lastRenderedPageBreak/>
        <w:t>6.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Farmaceutické informácie</w:t>
      </w:r>
    </w:p>
    <w:p w14:paraId="2E1D8EB1" w14:textId="77777777" w:rsidR="007B4C7C" w:rsidRDefault="007B4C7C" w:rsidP="00633990">
      <w:pPr>
        <w:keepNext/>
        <w:keepLines/>
        <w:spacing w:line="240" w:lineRule="auto"/>
        <w:rPr>
          <w:lang w:val="sk-SK"/>
        </w:rPr>
      </w:pPr>
    </w:p>
    <w:p w14:paraId="3EF7E5CE" w14:textId="77777777" w:rsidR="007B4C7C" w:rsidRDefault="00AD03EE" w:rsidP="00633990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6.1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Zoznam pomocných látok</w:t>
      </w:r>
    </w:p>
    <w:p w14:paraId="4737F0F1" w14:textId="77777777" w:rsidR="007B4C7C" w:rsidRPr="00AD03EE" w:rsidRDefault="007B4C7C" w:rsidP="00633990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82336FA" w14:textId="77777777" w:rsidR="007B4C7C" w:rsidRPr="00B95FA3" w:rsidRDefault="007B4C7C" w:rsidP="001B0E42">
      <w:pPr>
        <w:keepNext/>
        <w:keepLines/>
        <w:spacing w:line="240" w:lineRule="auto"/>
        <w:rPr>
          <w:bCs/>
          <w:u w:val="single"/>
          <w:lang w:val="sk-SK"/>
        </w:rPr>
      </w:pPr>
      <w:r w:rsidRPr="00B95FA3">
        <w:rPr>
          <w:bCs/>
          <w:u w:val="single"/>
          <w:lang w:val="sk-SK"/>
        </w:rPr>
        <w:t>Jadro tablety:</w:t>
      </w:r>
    </w:p>
    <w:p w14:paraId="0A00DE1B" w14:textId="77777777" w:rsidR="00F101AE" w:rsidRDefault="00F101AE" w:rsidP="00FF138C">
      <w:pPr>
        <w:pStyle w:val="Text"/>
        <w:keepNext/>
        <w:keepLines/>
        <w:spacing w:after="0" w:line="240" w:lineRule="auto"/>
        <w:rPr>
          <w:sz w:val="22"/>
          <w:szCs w:val="22"/>
          <w:u w:val="single"/>
          <w:lang w:val="sk-SK"/>
        </w:rPr>
      </w:pPr>
    </w:p>
    <w:p w14:paraId="5E5557A5" w14:textId="4F2D150E" w:rsidR="00B95FA3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7B4C7C">
        <w:rPr>
          <w:sz w:val="22"/>
          <w:szCs w:val="22"/>
          <w:lang w:val="sk-SK"/>
        </w:rPr>
        <w:t>onohydrát</w:t>
      </w:r>
      <w:proofErr w:type="spellEnd"/>
      <w:r w:rsidR="007B4C7C">
        <w:rPr>
          <w:sz w:val="22"/>
          <w:szCs w:val="22"/>
          <w:lang w:val="sk-SK"/>
        </w:rPr>
        <w:t xml:space="preserve"> laktózy</w:t>
      </w:r>
    </w:p>
    <w:p w14:paraId="0B104ABB" w14:textId="0F8D9474" w:rsidR="00B95FA3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="007B4C7C">
        <w:rPr>
          <w:sz w:val="22"/>
          <w:szCs w:val="22"/>
          <w:lang w:val="sk-SK"/>
        </w:rPr>
        <w:t>ikrokryštalická celulóza</w:t>
      </w:r>
    </w:p>
    <w:p w14:paraId="0B0FB018" w14:textId="4584DBDD" w:rsidR="00B95FA3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</w:t>
      </w:r>
      <w:r w:rsidR="007B4C7C">
        <w:rPr>
          <w:sz w:val="22"/>
          <w:szCs w:val="22"/>
          <w:lang w:val="sk-SK"/>
        </w:rPr>
        <w:t xml:space="preserve">odná soľ </w:t>
      </w:r>
      <w:proofErr w:type="spellStart"/>
      <w:r w:rsidR="007B4C7C">
        <w:rPr>
          <w:sz w:val="22"/>
          <w:szCs w:val="22"/>
          <w:lang w:val="sk-SK"/>
        </w:rPr>
        <w:t>kroskarmelózy</w:t>
      </w:r>
      <w:proofErr w:type="spellEnd"/>
    </w:p>
    <w:p w14:paraId="73E3391F" w14:textId="14F39032" w:rsidR="007B4C7C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7B4C7C">
        <w:rPr>
          <w:sz w:val="22"/>
          <w:szCs w:val="22"/>
          <w:lang w:val="sk-SK"/>
        </w:rPr>
        <w:t>agnéziumstearát</w:t>
      </w:r>
      <w:proofErr w:type="spellEnd"/>
      <w:r w:rsidR="007B4C7C">
        <w:rPr>
          <w:sz w:val="22"/>
          <w:szCs w:val="22"/>
          <w:lang w:val="sk-SK"/>
        </w:rPr>
        <w:t>.</w:t>
      </w:r>
    </w:p>
    <w:p w14:paraId="6F13412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50B6C4B0" w14:textId="77777777" w:rsidR="007B4C7C" w:rsidRPr="00B95FA3" w:rsidRDefault="007B4C7C" w:rsidP="00FF138C">
      <w:pPr>
        <w:pStyle w:val="bullethead"/>
        <w:keepNext/>
        <w:keepLines/>
        <w:spacing w:before="0" w:line="240" w:lineRule="auto"/>
        <w:rPr>
          <w:b w:val="0"/>
          <w:bCs/>
          <w:snapToGrid w:val="0"/>
          <w:kern w:val="0"/>
          <w:szCs w:val="22"/>
          <w:u w:val="single"/>
          <w:lang w:val="sk-SK" w:eastAsia="en-GB"/>
        </w:rPr>
      </w:pPr>
      <w:r w:rsidRPr="00B95FA3">
        <w:rPr>
          <w:b w:val="0"/>
          <w:bCs/>
          <w:snapToGrid w:val="0"/>
          <w:kern w:val="0"/>
          <w:szCs w:val="22"/>
          <w:u w:val="single"/>
          <w:lang w:val="sk-SK" w:eastAsia="en-GB"/>
        </w:rPr>
        <w:t>Filmová vrstva:</w:t>
      </w:r>
    </w:p>
    <w:p w14:paraId="0EA48036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57D75D26" w14:textId="77777777" w:rsidR="007B4C7C" w:rsidRDefault="007B4C7C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280623">
        <w:rPr>
          <w:sz w:val="22"/>
          <w:szCs w:val="22"/>
          <w:lang w:val="sk-SK"/>
        </w:rPr>
        <w:t>0,25</w:t>
      </w:r>
      <w:r w:rsidR="00FA4E0B" w:rsidRPr="00280623">
        <w:rPr>
          <w:sz w:val="22"/>
          <w:szCs w:val="22"/>
          <w:lang w:val="sk-SK"/>
        </w:rPr>
        <w:t> </w:t>
      </w:r>
      <w:r w:rsidRPr="00280623">
        <w:rPr>
          <w:sz w:val="22"/>
          <w:szCs w:val="22"/>
          <w:lang w:val="sk-SK"/>
        </w:rPr>
        <w:t>mg (biela):</w:t>
      </w:r>
    </w:p>
    <w:p w14:paraId="7C1D6A38" w14:textId="5EEF78A6" w:rsidR="00FA4E0B" w:rsidRDefault="00890D71" w:rsidP="00FF138C">
      <w:pPr>
        <w:pStyle w:val="Text"/>
        <w:keepNext/>
        <w:keepLines/>
        <w:spacing w:after="0" w:line="240" w:lineRule="auto"/>
        <w:rPr>
          <w:color w:val="000000"/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h</w:t>
      </w:r>
      <w:r w:rsidR="007B4C7C">
        <w:rPr>
          <w:color w:val="000000"/>
          <w:sz w:val="22"/>
          <w:szCs w:val="22"/>
          <w:lang w:val="sk-SK"/>
        </w:rPr>
        <w:t>ypromelóza</w:t>
      </w:r>
      <w:proofErr w:type="spellEnd"/>
    </w:p>
    <w:p w14:paraId="0F80EA5F" w14:textId="23F451C5" w:rsidR="00FA4E0B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m</w:t>
      </w:r>
      <w:r w:rsidR="007B4C7C">
        <w:rPr>
          <w:sz w:val="22"/>
          <w:szCs w:val="22"/>
          <w:lang w:val="sk-SK"/>
        </w:rPr>
        <w:t>akrogol</w:t>
      </w:r>
      <w:proofErr w:type="spellEnd"/>
      <w:r w:rsidR="007B4C7C">
        <w:rPr>
          <w:sz w:val="22"/>
          <w:szCs w:val="22"/>
          <w:lang w:val="sk-SK"/>
        </w:rPr>
        <w:t xml:space="preserve"> 400</w:t>
      </w:r>
    </w:p>
    <w:p w14:paraId="5FABF415" w14:textId="6EF1C7C2" w:rsidR="00FA4E0B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</w:t>
      </w:r>
      <w:r w:rsidR="007B4C7C">
        <w:rPr>
          <w:sz w:val="22"/>
          <w:szCs w:val="22"/>
          <w:lang w:val="sk-SK"/>
        </w:rPr>
        <w:t xml:space="preserve">xid </w:t>
      </w:r>
      <w:proofErr w:type="spellStart"/>
      <w:r w:rsidR="007B4C7C">
        <w:rPr>
          <w:sz w:val="22"/>
          <w:szCs w:val="22"/>
          <w:lang w:val="sk-SK"/>
        </w:rPr>
        <w:t>titaničitý</w:t>
      </w:r>
      <w:proofErr w:type="spellEnd"/>
      <w:r w:rsidR="007B4C7C">
        <w:rPr>
          <w:sz w:val="22"/>
          <w:szCs w:val="22"/>
          <w:lang w:val="sk-SK"/>
        </w:rPr>
        <w:t xml:space="preserve"> (E171)</w:t>
      </w:r>
    </w:p>
    <w:p w14:paraId="62BFC4F6" w14:textId="4C894B79" w:rsidR="007B4C7C" w:rsidRDefault="00890D71" w:rsidP="00FF138C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p</w:t>
      </w:r>
      <w:r w:rsidR="007B4C7C">
        <w:rPr>
          <w:sz w:val="22"/>
          <w:szCs w:val="22"/>
          <w:lang w:val="sk-SK"/>
        </w:rPr>
        <w:t>olysorbát</w:t>
      </w:r>
      <w:proofErr w:type="spellEnd"/>
      <w:r w:rsidR="007B4C7C">
        <w:rPr>
          <w:sz w:val="22"/>
          <w:szCs w:val="22"/>
          <w:lang w:val="sk-SK"/>
        </w:rPr>
        <w:t xml:space="preserve"> 80 (E433).</w:t>
      </w:r>
    </w:p>
    <w:p w14:paraId="71F3EA7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5766338" w14:textId="77777777" w:rsidR="007B4C7C" w:rsidRPr="00CD0904" w:rsidRDefault="007B4C7C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0,5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 (žltá):</w:t>
      </w:r>
    </w:p>
    <w:p w14:paraId="19C93795" w14:textId="4A212D4F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 w:rsidRPr="00CD0904">
        <w:rPr>
          <w:sz w:val="22"/>
          <w:szCs w:val="22"/>
          <w:lang w:val="sk-SK"/>
        </w:rPr>
        <w:t>h</w:t>
      </w:r>
      <w:r w:rsidR="007B4C7C" w:rsidRPr="00CD0904">
        <w:rPr>
          <w:sz w:val="22"/>
          <w:szCs w:val="22"/>
          <w:lang w:val="sk-SK"/>
        </w:rPr>
        <w:t>ypromelóza</w:t>
      </w:r>
      <w:proofErr w:type="spellEnd"/>
    </w:p>
    <w:p w14:paraId="5766199B" w14:textId="75D40D0F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 w:rsidRPr="00CD0904">
        <w:rPr>
          <w:sz w:val="22"/>
          <w:szCs w:val="22"/>
          <w:lang w:val="sk-SK"/>
        </w:rPr>
        <w:t>m</w:t>
      </w:r>
      <w:r w:rsidR="007B4C7C" w:rsidRPr="00CD0904">
        <w:rPr>
          <w:sz w:val="22"/>
          <w:szCs w:val="22"/>
          <w:lang w:val="sk-SK"/>
        </w:rPr>
        <w:t>akrogol</w:t>
      </w:r>
      <w:proofErr w:type="spellEnd"/>
      <w:r w:rsidR="007B4C7C" w:rsidRPr="00CD0904">
        <w:rPr>
          <w:sz w:val="22"/>
          <w:szCs w:val="22"/>
          <w:lang w:val="sk-SK"/>
        </w:rPr>
        <w:t xml:space="preserve"> 400</w:t>
      </w:r>
    </w:p>
    <w:p w14:paraId="02F13E48" w14:textId="6305DEB9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o</w:t>
      </w:r>
      <w:r w:rsidR="007B4C7C" w:rsidRPr="00CD0904">
        <w:rPr>
          <w:sz w:val="22"/>
          <w:szCs w:val="22"/>
          <w:lang w:val="sk-SK"/>
        </w:rPr>
        <w:t xml:space="preserve">xid </w:t>
      </w:r>
      <w:proofErr w:type="spellStart"/>
      <w:r w:rsidR="007B4C7C" w:rsidRPr="00CD0904">
        <w:rPr>
          <w:sz w:val="22"/>
          <w:szCs w:val="22"/>
          <w:lang w:val="sk-SK"/>
        </w:rPr>
        <w:t>titaničitý</w:t>
      </w:r>
      <w:proofErr w:type="spellEnd"/>
      <w:r w:rsidR="007B4C7C" w:rsidRPr="00CD0904">
        <w:rPr>
          <w:sz w:val="22"/>
          <w:szCs w:val="22"/>
          <w:lang w:val="sk-SK"/>
        </w:rPr>
        <w:t xml:space="preserve"> (E171)</w:t>
      </w:r>
    </w:p>
    <w:p w14:paraId="7BEF0401" w14:textId="733E5D29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ž</w:t>
      </w:r>
      <w:r w:rsidR="007B4C7C" w:rsidRPr="00CD0904">
        <w:rPr>
          <w:sz w:val="22"/>
          <w:szCs w:val="22"/>
          <w:lang w:val="sk-SK"/>
        </w:rPr>
        <w:t>ltý oxid železitý (E172)</w:t>
      </w:r>
    </w:p>
    <w:p w14:paraId="1B798EE2" w14:textId="3A88D4B2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č</w:t>
      </w:r>
      <w:r w:rsidR="007B4C7C" w:rsidRPr="00CD0904">
        <w:rPr>
          <w:sz w:val="22"/>
          <w:szCs w:val="22"/>
          <w:lang w:val="sk-SK"/>
        </w:rPr>
        <w:t>ervený oxid železitý (E172)</w:t>
      </w:r>
    </w:p>
    <w:p w14:paraId="216B2987" w14:textId="2E549299" w:rsidR="007B4C7C" w:rsidRPr="00CD0904" w:rsidRDefault="00890D71" w:rsidP="00FA4E0B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proofErr w:type="spellStart"/>
      <w:r w:rsidRPr="00CD0904">
        <w:rPr>
          <w:sz w:val="22"/>
          <w:szCs w:val="22"/>
          <w:lang w:val="sk-SK"/>
        </w:rPr>
        <w:t>i</w:t>
      </w:r>
      <w:r w:rsidR="007B4C7C" w:rsidRPr="00CD0904">
        <w:rPr>
          <w:sz w:val="22"/>
          <w:szCs w:val="22"/>
          <w:lang w:val="sk-SK"/>
        </w:rPr>
        <w:t>ndigokarmínový</w:t>
      </w:r>
      <w:proofErr w:type="spellEnd"/>
      <w:r w:rsidR="007B4C7C" w:rsidRPr="00CD0904">
        <w:rPr>
          <w:sz w:val="22"/>
          <w:szCs w:val="22"/>
          <w:lang w:val="sk-SK"/>
        </w:rPr>
        <w:t xml:space="preserve"> hlinitý lak (E132).</w:t>
      </w:r>
    </w:p>
    <w:p w14:paraId="2724E714" w14:textId="77777777" w:rsidR="007B4C7C" w:rsidRPr="00CD0904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DC1A53C" w14:textId="77777777" w:rsidR="007B4C7C" w:rsidRPr="00CD0904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2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 (ružová):</w:t>
      </w:r>
    </w:p>
    <w:p w14:paraId="1E36A5E9" w14:textId="016A355B" w:rsidR="00340F3C" w:rsidRPr="00CD0904" w:rsidRDefault="00890D71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CD0904">
        <w:rPr>
          <w:lang w:val="sk-SK"/>
        </w:rPr>
        <w:t>h</w:t>
      </w:r>
      <w:r w:rsidR="007B4C7C" w:rsidRPr="00CD0904">
        <w:rPr>
          <w:lang w:val="sk-SK"/>
        </w:rPr>
        <w:t>ypromelóza</w:t>
      </w:r>
      <w:proofErr w:type="spellEnd"/>
    </w:p>
    <w:p w14:paraId="4E920A1F" w14:textId="628D8E17" w:rsidR="007B4C7C" w:rsidRPr="00CD0904" w:rsidRDefault="00890D71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proofErr w:type="spellStart"/>
      <w:r w:rsidRPr="00FF7B87">
        <w:rPr>
          <w:sz w:val="22"/>
          <w:szCs w:val="22"/>
          <w:lang w:val="sk-SK"/>
        </w:rPr>
        <w:t>m</w:t>
      </w:r>
      <w:r w:rsidR="007B4C7C" w:rsidRPr="00CD0904">
        <w:rPr>
          <w:sz w:val="22"/>
          <w:szCs w:val="22"/>
          <w:lang w:val="sk-SK"/>
        </w:rPr>
        <w:t>akrogol</w:t>
      </w:r>
      <w:proofErr w:type="spellEnd"/>
      <w:r w:rsidR="007B4C7C" w:rsidRPr="00CD0904">
        <w:rPr>
          <w:sz w:val="22"/>
          <w:szCs w:val="22"/>
          <w:lang w:val="sk-SK"/>
        </w:rPr>
        <w:t xml:space="preserve"> 400</w:t>
      </w:r>
    </w:p>
    <w:p w14:paraId="539B1496" w14:textId="6B9104BC" w:rsidR="007B4C7C" w:rsidRPr="00CD0904" w:rsidRDefault="00890D71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FF7B87">
        <w:rPr>
          <w:sz w:val="22"/>
          <w:szCs w:val="22"/>
          <w:lang w:val="sk-SK"/>
        </w:rPr>
        <w:t>o</w:t>
      </w:r>
      <w:r w:rsidR="007B4C7C" w:rsidRPr="00CD0904">
        <w:rPr>
          <w:sz w:val="22"/>
          <w:szCs w:val="22"/>
          <w:lang w:val="sk-SK"/>
        </w:rPr>
        <w:t xml:space="preserve">xid </w:t>
      </w:r>
      <w:proofErr w:type="spellStart"/>
      <w:r w:rsidR="007B4C7C" w:rsidRPr="00CD0904">
        <w:rPr>
          <w:sz w:val="22"/>
          <w:szCs w:val="22"/>
          <w:lang w:val="sk-SK"/>
        </w:rPr>
        <w:t>titaničitý</w:t>
      </w:r>
      <w:proofErr w:type="spellEnd"/>
      <w:r w:rsidR="007B4C7C" w:rsidRPr="00CD0904">
        <w:rPr>
          <w:sz w:val="22"/>
          <w:szCs w:val="22"/>
          <w:lang w:val="sk-SK"/>
        </w:rPr>
        <w:t xml:space="preserve"> (E171)</w:t>
      </w:r>
    </w:p>
    <w:p w14:paraId="7F71A9B6" w14:textId="356F99AF" w:rsidR="007B4C7C" w:rsidRPr="00CD0904" w:rsidRDefault="00890D71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FF7B87">
        <w:rPr>
          <w:sz w:val="22"/>
          <w:szCs w:val="22"/>
          <w:lang w:val="sk-SK"/>
        </w:rPr>
        <w:t>ž</w:t>
      </w:r>
      <w:r w:rsidR="007B4C7C" w:rsidRPr="00CD0904">
        <w:rPr>
          <w:sz w:val="22"/>
          <w:szCs w:val="22"/>
          <w:lang w:val="sk-SK"/>
        </w:rPr>
        <w:t>ltý oxid železitý (E172)</w:t>
      </w:r>
    </w:p>
    <w:p w14:paraId="4688A88C" w14:textId="15678BF2" w:rsidR="007B4C7C" w:rsidRDefault="00890D71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FF7B87">
        <w:rPr>
          <w:sz w:val="22"/>
          <w:szCs w:val="22"/>
          <w:lang w:val="sk-SK"/>
        </w:rPr>
        <w:t>č</w:t>
      </w:r>
      <w:r w:rsidR="007B4C7C" w:rsidRPr="00CD0904">
        <w:rPr>
          <w:sz w:val="22"/>
          <w:szCs w:val="22"/>
          <w:lang w:val="sk-SK"/>
        </w:rPr>
        <w:t>ervený oxid železitý (E172).</w:t>
      </w:r>
    </w:p>
    <w:p w14:paraId="03B6DF6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9A50C0C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6.2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Inkompatibility</w:t>
      </w:r>
    </w:p>
    <w:p w14:paraId="6BCBE07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76FAA6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Neaplikovateľné.</w:t>
      </w:r>
    </w:p>
    <w:p w14:paraId="61E8CB1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3AC5235A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6.3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Čas použiteľnosti</w:t>
      </w:r>
    </w:p>
    <w:p w14:paraId="37EA0B4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8BFD653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roky.</w:t>
      </w:r>
    </w:p>
    <w:p w14:paraId="628DE9B8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794C2131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6.4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Špeciálne upozornenia na uchovávanie</w:t>
      </w:r>
    </w:p>
    <w:p w14:paraId="78A23D79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031D41B9" w14:textId="40706D53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pri teplote neprevyšujúcej 25 °C.</w:t>
      </w:r>
    </w:p>
    <w:p w14:paraId="146F05F0" w14:textId="77777777" w:rsid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024396B8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>
        <w:rPr>
          <w:snapToGrid w:val="0"/>
          <w:sz w:val="22"/>
          <w:szCs w:val="22"/>
          <w:lang w:val="sk-SK"/>
        </w:rPr>
        <w:t>Uchovávajte v pôvodnom obale.</w:t>
      </w:r>
    </w:p>
    <w:p w14:paraId="75F9C2BE" w14:textId="77777777" w:rsidR="007B4C7C" w:rsidRDefault="007B4C7C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09B0F22F" w14:textId="77777777" w:rsidR="00FA4E0B" w:rsidRP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  <w:r w:rsidRPr="00FA4E0B">
        <w:rPr>
          <w:snapToGrid w:val="0"/>
          <w:sz w:val="22"/>
          <w:szCs w:val="22"/>
          <w:lang w:val="sk-SK"/>
        </w:rPr>
        <w:t>Podmienky na uchovávanie po prvom otvorení lieku, pozri časť</w:t>
      </w:r>
      <w:r>
        <w:rPr>
          <w:snapToGrid w:val="0"/>
          <w:sz w:val="22"/>
          <w:szCs w:val="22"/>
          <w:lang w:val="sk-SK"/>
        </w:rPr>
        <w:t> </w:t>
      </w:r>
      <w:r w:rsidRPr="00FA4E0B">
        <w:rPr>
          <w:snapToGrid w:val="0"/>
          <w:sz w:val="22"/>
          <w:szCs w:val="22"/>
          <w:lang w:val="sk-SK"/>
        </w:rPr>
        <w:t>6.3</w:t>
      </w:r>
      <w:r>
        <w:rPr>
          <w:snapToGrid w:val="0"/>
          <w:sz w:val="22"/>
          <w:szCs w:val="22"/>
          <w:lang w:val="sk-SK"/>
        </w:rPr>
        <w:t>.</w:t>
      </w:r>
    </w:p>
    <w:p w14:paraId="6447A28E" w14:textId="77777777" w:rsidR="00FA4E0B" w:rsidRDefault="00FA4E0B" w:rsidP="00FF138C">
      <w:pPr>
        <w:pStyle w:val="Text"/>
        <w:spacing w:after="0" w:line="240" w:lineRule="auto"/>
        <w:rPr>
          <w:snapToGrid w:val="0"/>
          <w:sz w:val="22"/>
          <w:szCs w:val="22"/>
          <w:lang w:val="sk-SK"/>
        </w:rPr>
      </w:pPr>
    </w:p>
    <w:p w14:paraId="2B34053E" w14:textId="77777777" w:rsidR="007B4C7C" w:rsidRDefault="00FA4E0B" w:rsidP="00FF7B87">
      <w:pPr>
        <w:keepNext/>
        <w:keepLines/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lastRenderedPageBreak/>
        <w:t>6.5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Druh obalu a obsah balenia</w:t>
      </w:r>
    </w:p>
    <w:p w14:paraId="05B9E555" w14:textId="7777777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479F9E22" w14:textId="77777777" w:rsidR="007B4C7C" w:rsidRDefault="009923F8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PVC/</w:t>
      </w:r>
      <w:r w:rsidR="00B468F1">
        <w:rPr>
          <w:sz w:val="22"/>
          <w:szCs w:val="22"/>
          <w:lang w:val="sk-SK"/>
        </w:rPr>
        <w:t>PE/PVdC</w:t>
      </w:r>
      <w:r>
        <w:rPr>
          <w:sz w:val="22"/>
          <w:szCs w:val="22"/>
          <w:lang w:val="sk-SK"/>
        </w:rPr>
        <w:t>-hliník</w:t>
      </w:r>
      <w:r w:rsidR="00E03292">
        <w:rPr>
          <w:sz w:val="22"/>
          <w:szCs w:val="22"/>
          <w:lang w:val="sk-SK"/>
        </w:rPr>
        <w:t>ový</w:t>
      </w:r>
      <w:r>
        <w:rPr>
          <w:sz w:val="22"/>
          <w:szCs w:val="22"/>
          <w:lang w:val="sk-SK"/>
        </w:rPr>
        <w:t>/papier</w:t>
      </w:r>
      <w:r w:rsidR="00E03292">
        <w:rPr>
          <w:sz w:val="22"/>
          <w:szCs w:val="22"/>
          <w:lang w:val="sk-SK"/>
        </w:rPr>
        <w:t>ový</w:t>
      </w:r>
      <w:r>
        <w:rPr>
          <w:sz w:val="22"/>
          <w:szCs w:val="22"/>
          <w:lang w:val="sk-SK"/>
        </w:rPr>
        <w:t xml:space="preserve"> detský bezpečnostný blister</w:t>
      </w:r>
      <w:r w:rsidR="00E03292">
        <w:rPr>
          <w:sz w:val="22"/>
          <w:szCs w:val="22"/>
          <w:lang w:val="sk-SK"/>
        </w:rPr>
        <w:t>.</w:t>
      </w:r>
    </w:p>
    <w:p w14:paraId="5182574A" w14:textId="7777777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</w:p>
    <w:p w14:paraId="105BA307" w14:textId="341EDBA6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280623">
        <w:rPr>
          <w:sz w:val="22"/>
          <w:szCs w:val="22"/>
          <w:lang w:val="sk-SK"/>
        </w:rPr>
        <w:t>0,25</w:t>
      </w:r>
      <w:r w:rsidR="00FA4E0B" w:rsidRPr="00280623">
        <w:rPr>
          <w:sz w:val="22"/>
          <w:szCs w:val="22"/>
          <w:lang w:val="sk-SK"/>
        </w:rPr>
        <w:t> </w:t>
      </w:r>
      <w:r w:rsidRPr="00280623">
        <w:rPr>
          <w:sz w:val="22"/>
          <w:szCs w:val="22"/>
          <w:lang w:val="sk-SK"/>
        </w:rPr>
        <w:t>mg:</w:t>
      </w:r>
      <w:r>
        <w:rPr>
          <w:sz w:val="22"/>
          <w:szCs w:val="22"/>
          <w:lang w:val="sk-SK"/>
        </w:rPr>
        <w:t xml:space="preserve"> </w:t>
      </w:r>
      <w:r w:rsidR="00280623">
        <w:rPr>
          <w:sz w:val="22"/>
          <w:szCs w:val="22"/>
          <w:lang w:val="sk-SK"/>
        </w:rPr>
        <w:t>b</w:t>
      </w:r>
      <w:r>
        <w:rPr>
          <w:sz w:val="22"/>
          <w:szCs w:val="22"/>
          <w:lang w:val="sk-SK"/>
        </w:rPr>
        <w:t>alenie s 2 alebo 12</w:t>
      </w:r>
      <w:r w:rsidR="00FA4E0B">
        <w:rPr>
          <w:sz w:val="22"/>
          <w:szCs w:val="22"/>
          <w:lang w:val="sk-SK"/>
        </w:rPr>
        <w:t> </w:t>
      </w:r>
      <w:r>
        <w:rPr>
          <w:sz w:val="22"/>
          <w:szCs w:val="22"/>
          <w:lang w:val="sk-SK"/>
        </w:rPr>
        <w:t>tabletami.</w:t>
      </w:r>
    </w:p>
    <w:p w14:paraId="268A01A9" w14:textId="2A37C305" w:rsidR="007B4C7C" w:rsidRPr="00CD0904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0,5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</w:t>
      </w:r>
      <w:r w:rsidR="00280623" w:rsidRPr="00FF7B87">
        <w:rPr>
          <w:sz w:val="22"/>
          <w:szCs w:val="22"/>
          <w:lang w:val="sk-SK"/>
        </w:rPr>
        <w:t>:</w:t>
      </w:r>
      <w:r w:rsidRPr="00CD0904">
        <w:rPr>
          <w:sz w:val="22"/>
          <w:szCs w:val="22"/>
          <w:lang w:val="sk-SK"/>
        </w:rPr>
        <w:t xml:space="preserve"> </w:t>
      </w:r>
      <w:r w:rsidR="00280623" w:rsidRPr="00FF7B87">
        <w:rPr>
          <w:sz w:val="22"/>
          <w:szCs w:val="22"/>
          <w:lang w:val="sk-SK"/>
        </w:rPr>
        <w:t>b</w:t>
      </w:r>
      <w:r w:rsidRPr="00CD0904">
        <w:rPr>
          <w:sz w:val="22"/>
          <w:szCs w:val="22"/>
          <w:lang w:val="sk-SK"/>
        </w:rPr>
        <w:t>alenie s 28 a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84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tabletami.</w:t>
      </w:r>
    </w:p>
    <w:p w14:paraId="176E7A20" w14:textId="400D5FE7" w:rsidR="007B4C7C" w:rsidRDefault="007B4C7C" w:rsidP="00FF7B87">
      <w:pPr>
        <w:pStyle w:val="Text"/>
        <w:keepNext/>
        <w:keepLines/>
        <w:spacing w:after="0" w:line="240" w:lineRule="auto"/>
        <w:rPr>
          <w:sz w:val="22"/>
          <w:szCs w:val="22"/>
          <w:lang w:val="sk-SK"/>
        </w:rPr>
      </w:pPr>
      <w:r w:rsidRPr="00CD0904">
        <w:rPr>
          <w:sz w:val="22"/>
          <w:szCs w:val="22"/>
          <w:lang w:val="sk-SK"/>
        </w:rPr>
        <w:t>2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mg</w:t>
      </w:r>
      <w:r w:rsidR="00280623" w:rsidRPr="00FF7B87">
        <w:rPr>
          <w:sz w:val="22"/>
          <w:szCs w:val="22"/>
          <w:lang w:val="sk-SK"/>
        </w:rPr>
        <w:t>:</w:t>
      </w:r>
      <w:r w:rsidRPr="00CD0904">
        <w:rPr>
          <w:sz w:val="22"/>
          <w:szCs w:val="22"/>
          <w:lang w:val="sk-SK"/>
        </w:rPr>
        <w:t xml:space="preserve"> </w:t>
      </w:r>
      <w:r w:rsidR="00280623" w:rsidRPr="00FF7B87">
        <w:rPr>
          <w:sz w:val="22"/>
          <w:szCs w:val="22"/>
          <w:lang w:val="sk-SK"/>
        </w:rPr>
        <w:t>b</w:t>
      </w:r>
      <w:r w:rsidRPr="00CD0904">
        <w:rPr>
          <w:sz w:val="22"/>
          <w:szCs w:val="22"/>
          <w:lang w:val="sk-SK"/>
        </w:rPr>
        <w:t>alenie s 28 a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84</w:t>
      </w:r>
      <w:r w:rsidR="00FA4E0B" w:rsidRPr="00CD0904">
        <w:rPr>
          <w:sz w:val="22"/>
          <w:szCs w:val="22"/>
          <w:lang w:val="sk-SK"/>
        </w:rPr>
        <w:t> </w:t>
      </w:r>
      <w:r w:rsidRPr="00CD0904">
        <w:rPr>
          <w:sz w:val="22"/>
          <w:szCs w:val="22"/>
          <w:lang w:val="sk-SK"/>
        </w:rPr>
        <w:t>tabletami.</w:t>
      </w:r>
    </w:p>
    <w:p w14:paraId="044FED47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94E737F" w14:textId="77777777" w:rsidR="007B4C7C" w:rsidRDefault="00FA4E0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 w:rsidRPr="00FA4E0B">
        <w:rPr>
          <w:sz w:val="22"/>
          <w:szCs w:val="22"/>
          <w:lang w:val="sk-SK"/>
        </w:rPr>
        <w:t xml:space="preserve">Na trh nemusia byť uvedené </w:t>
      </w:r>
      <w:r w:rsidR="007B4C7C">
        <w:rPr>
          <w:sz w:val="22"/>
          <w:szCs w:val="22"/>
          <w:lang w:val="sk-SK"/>
        </w:rPr>
        <w:t>všetky veľkosti balenia.</w:t>
      </w:r>
    </w:p>
    <w:p w14:paraId="21B1732E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F9C6D59" w14:textId="77777777" w:rsidR="007B4C7C" w:rsidRDefault="00FA4E0B" w:rsidP="00FA4E0B">
      <w:pPr>
        <w:spacing w:line="240" w:lineRule="auto"/>
        <w:outlineLvl w:val="1"/>
        <w:rPr>
          <w:b/>
          <w:bCs/>
          <w:lang w:val="sk-SK"/>
        </w:rPr>
      </w:pPr>
      <w:r>
        <w:rPr>
          <w:b/>
          <w:bCs/>
          <w:lang w:val="sk-SK"/>
        </w:rPr>
        <w:t>6.6</w:t>
      </w:r>
      <w:r>
        <w:rPr>
          <w:b/>
          <w:bCs/>
          <w:lang w:val="sk-SK"/>
        </w:rPr>
        <w:tab/>
      </w:r>
      <w:r w:rsidR="007B4C7C">
        <w:rPr>
          <w:b/>
          <w:bCs/>
          <w:lang w:val="sk-SK"/>
        </w:rPr>
        <w:t>Špeciálne opatrenia na likvidáciu</w:t>
      </w:r>
    </w:p>
    <w:p w14:paraId="1F1BCDAB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27FCDDD" w14:textId="65009C2D" w:rsidR="00FA4E0B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Žiadne zvláštne požiadavky</w:t>
      </w:r>
      <w:r w:rsidR="00FA4E0B">
        <w:rPr>
          <w:sz w:val="22"/>
          <w:szCs w:val="22"/>
          <w:lang w:val="sk-SK"/>
        </w:rPr>
        <w:t xml:space="preserve"> na likvidáciu</w:t>
      </w:r>
      <w:r>
        <w:rPr>
          <w:sz w:val="22"/>
          <w:szCs w:val="22"/>
          <w:lang w:val="sk-SK"/>
        </w:rPr>
        <w:t>.</w:t>
      </w:r>
    </w:p>
    <w:p w14:paraId="4C0955A0" w14:textId="6BBCD384" w:rsidR="00FA4E0B" w:rsidRDefault="00FA4E0B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60B5382" w14:textId="77777777" w:rsidR="00253E33" w:rsidRDefault="00253E33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1D26B9C3" w14:textId="77777777" w:rsidR="007B4C7C" w:rsidRDefault="00FA4E0B" w:rsidP="00FA4E0B">
      <w:pPr>
        <w:keepNext/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7.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Držiteľ rozhodnutia o registrácii</w:t>
      </w:r>
    </w:p>
    <w:p w14:paraId="71B1311F" w14:textId="77777777" w:rsidR="007B4C7C" w:rsidRDefault="007B4C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</w:p>
    <w:p w14:paraId="07307651" w14:textId="28F1B7AF" w:rsidR="00890D71" w:rsidRDefault="00F82957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GlaxoSmithKline Slovakia s.</w:t>
      </w:r>
      <w:r w:rsidR="0028062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r.</w:t>
      </w:r>
      <w:r w:rsidR="00280623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o.</w:t>
      </w:r>
    </w:p>
    <w:p w14:paraId="496052D2" w14:textId="134A03EB" w:rsidR="00890D71" w:rsidRDefault="00F82957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proofErr w:type="spellStart"/>
      <w:r>
        <w:rPr>
          <w:sz w:val="22"/>
          <w:szCs w:val="22"/>
          <w:lang w:val="sk-SK"/>
        </w:rPr>
        <w:t>Galvaniho</w:t>
      </w:r>
      <w:proofErr w:type="spellEnd"/>
      <w:r>
        <w:rPr>
          <w:sz w:val="22"/>
          <w:szCs w:val="22"/>
          <w:lang w:val="sk-SK"/>
        </w:rPr>
        <w:t xml:space="preserve"> 7/A</w:t>
      </w:r>
    </w:p>
    <w:p w14:paraId="75B0F4D1" w14:textId="1984FBC8" w:rsidR="00890D71" w:rsidRDefault="00EC5A7C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821 04 </w:t>
      </w:r>
      <w:r w:rsidR="00F82957">
        <w:rPr>
          <w:sz w:val="22"/>
          <w:szCs w:val="22"/>
          <w:lang w:val="sk-SK"/>
        </w:rPr>
        <w:t>Bratislava</w:t>
      </w:r>
    </w:p>
    <w:p w14:paraId="35B676D0" w14:textId="20ACDAEE" w:rsidR="007B4C7C" w:rsidRDefault="00F82957" w:rsidP="00FF138C">
      <w:pPr>
        <w:pStyle w:val="Text"/>
        <w:keepNext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Slovenská republika</w:t>
      </w:r>
    </w:p>
    <w:p w14:paraId="33F8C97A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A5624D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D00594" w14:textId="77777777" w:rsidR="007B4C7C" w:rsidRDefault="00FA4E0B" w:rsidP="00FA4E0B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8.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Registračné čísl</w:t>
      </w:r>
      <w:r>
        <w:rPr>
          <w:b/>
          <w:bCs/>
          <w:caps/>
          <w:lang w:val="sk-SK"/>
        </w:rPr>
        <w:t>A</w:t>
      </w:r>
    </w:p>
    <w:p w14:paraId="1872BE75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0501511E" w14:textId="77777777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0,25</w:t>
      </w:r>
      <w:r w:rsidR="00FA4E0B">
        <w:rPr>
          <w:lang w:val="sk-SK"/>
        </w:rPr>
        <w:t> </w:t>
      </w:r>
      <w:r>
        <w:rPr>
          <w:lang w:val="sk-SK"/>
        </w:rPr>
        <w:t>mg: 27/0218/06-S</w:t>
      </w:r>
    </w:p>
    <w:p w14:paraId="1E91B1BC" w14:textId="77777777" w:rsidR="007B4C7C" w:rsidRPr="00CD0904" w:rsidRDefault="007B4C7C" w:rsidP="00FF138C">
      <w:pPr>
        <w:spacing w:line="240" w:lineRule="auto"/>
        <w:rPr>
          <w:lang w:val="sk-SK"/>
        </w:rPr>
      </w:pPr>
      <w:r w:rsidRPr="00CD0904">
        <w:rPr>
          <w:lang w:val="sk-SK"/>
        </w:rPr>
        <w:t>0,5</w:t>
      </w:r>
      <w:r w:rsidR="00FA4E0B" w:rsidRPr="00CD0904">
        <w:rPr>
          <w:lang w:val="sk-SK"/>
        </w:rPr>
        <w:t> </w:t>
      </w:r>
      <w:r w:rsidRPr="00CD0904">
        <w:rPr>
          <w:lang w:val="sk-SK"/>
        </w:rPr>
        <w:t>mg: 27/0219/06-S</w:t>
      </w:r>
    </w:p>
    <w:p w14:paraId="565C37DC" w14:textId="77777777" w:rsidR="007B4C7C" w:rsidRDefault="007B4C7C" w:rsidP="00FF138C">
      <w:pPr>
        <w:spacing w:line="240" w:lineRule="auto"/>
        <w:rPr>
          <w:lang w:val="sk-SK"/>
        </w:rPr>
      </w:pPr>
      <w:r w:rsidRPr="00CD0904">
        <w:rPr>
          <w:lang w:val="sk-SK"/>
        </w:rPr>
        <w:t>2</w:t>
      </w:r>
      <w:r w:rsidR="00FA4E0B" w:rsidRPr="00CD0904">
        <w:rPr>
          <w:lang w:val="sk-SK"/>
        </w:rPr>
        <w:t> </w:t>
      </w:r>
      <w:r w:rsidRPr="00CD0904">
        <w:rPr>
          <w:lang w:val="sk-SK"/>
        </w:rPr>
        <w:t>mg: 27/0221/06-S</w:t>
      </w:r>
    </w:p>
    <w:p w14:paraId="2AD7E677" w14:textId="77777777" w:rsidR="007B4C7C" w:rsidRDefault="007B4C7C" w:rsidP="00FF138C">
      <w:pPr>
        <w:spacing w:line="240" w:lineRule="auto"/>
        <w:rPr>
          <w:lang w:val="sk-SK"/>
        </w:rPr>
      </w:pPr>
    </w:p>
    <w:p w14:paraId="37B11A27" w14:textId="77777777" w:rsidR="000A3A1C" w:rsidRDefault="000A3A1C" w:rsidP="00FF138C">
      <w:pPr>
        <w:spacing w:line="240" w:lineRule="auto"/>
        <w:rPr>
          <w:lang w:val="sk-SK"/>
        </w:rPr>
      </w:pPr>
    </w:p>
    <w:p w14:paraId="2045297B" w14:textId="77777777" w:rsidR="007B4C7C" w:rsidRDefault="000A3A1C" w:rsidP="000A3A1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9.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Dátum prvej registrácie/predĺženia registrácie</w:t>
      </w:r>
    </w:p>
    <w:p w14:paraId="185508F6" w14:textId="77777777" w:rsidR="007B4C7C" w:rsidRDefault="007B4C7C" w:rsidP="00FF138C">
      <w:pPr>
        <w:spacing w:line="240" w:lineRule="auto"/>
        <w:rPr>
          <w:lang w:val="sk-SK"/>
        </w:rPr>
      </w:pPr>
    </w:p>
    <w:p w14:paraId="11457E77" w14:textId="63745352" w:rsidR="007B4C7C" w:rsidRDefault="007B4C7C" w:rsidP="00FF138C">
      <w:pPr>
        <w:spacing w:line="240" w:lineRule="auto"/>
        <w:rPr>
          <w:lang w:val="sk-SK"/>
        </w:rPr>
      </w:pPr>
      <w:r>
        <w:rPr>
          <w:lang w:val="sk-SK"/>
        </w:rPr>
        <w:t>Dátum prvej registrácie: 17.</w:t>
      </w:r>
      <w:r w:rsidR="00BB77F0">
        <w:rPr>
          <w:lang w:val="sk-SK"/>
        </w:rPr>
        <w:t xml:space="preserve">mája </w:t>
      </w:r>
      <w:r>
        <w:rPr>
          <w:lang w:val="sk-SK"/>
        </w:rPr>
        <w:t>2006</w:t>
      </w:r>
    </w:p>
    <w:p w14:paraId="32115E71" w14:textId="00AD5CFD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Dátum posledného predĺženia registrácie: 25.</w:t>
      </w:r>
      <w:r w:rsidR="00BB77F0">
        <w:rPr>
          <w:sz w:val="22"/>
          <w:szCs w:val="22"/>
          <w:lang w:val="sk-SK"/>
        </w:rPr>
        <w:t xml:space="preserve">novembra </w:t>
      </w:r>
      <w:r>
        <w:rPr>
          <w:sz w:val="22"/>
          <w:szCs w:val="22"/>
          <w:lang w:val="sk-SK"/>
        </w:rPr>
        <w:t>2009</w:t>
      </w:r>
    </w:p>
    <w:p w14:paraId="5F60EC44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2454D707" w14:textId="77777777" w:rsidR="000A3A1C" w:rsidRDefault="000A3A1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65C9F7B7" w14:textId="77777777" w:rsidR="007B4C7C" w:rsidRDefault="000A3A1C" w:rsidP="000A3A1C">
      <w:pPr>
        <w:spacing w:line="240" w:lineRule="auto"/>
        <w:outlineLvl w:val="0"/>
        <w:rPr>
          <w:b/>
          <w:bCs/>
          <w:caps/>
          <w:lang w:val="sk-SK"/>
        </w:rPr>
      </w:pPr>
      <w:r>
        <w:rPr>
          <w:b/>
          <w:bCs/>
          <w:caps/>
          <w:lang w:val="sk-SK"/>
        </w:rPr>
        <w:t>10.</w:t>
      </w:r>
      <w:r>
        <w:rPr>
          <w:b/>
          <w:bCs/>
          <w:caps/>
          <w:lang w:val="sk-SK"/>
        </w:rPr>
        <w:tab/>
      </w:r>
      <w:r w:rsidR="007B4C7C">
        <w:rPr>
          <w:b/>
          <w:bCs/>
          <w:caps/>
          <w:lang w:val="sk-SK"/>
        </w:rPr>
        <w:t>Dátum revízie textu</w:t>
      </w:r>
    </w:p>
    <w:p w14:paraId="10310EF6" w14:textId="77777777" w:rsidR="007B4C7C" w:rsidRDefault="007B4C7C" w:rsidP="00FF138C">
      <w:pPr>
        <w:pStyle w:val="Text"/>
        <w:spacing w:after="0" w:line="240" w:lineRule="auto"/>
        <w:rPr>
          <w:sz w:val="22"/>
          <w:szCs w:val="22"/>
          <w:lang w:val="sk-SK"/>
        </w:rPr>
      </w:pPr>
    </w:p>
    <w:p w14:paraId="4517A0EC" w14:textId="65ED6C6A" w:rsidR="007B4C7C" w:rsidRDefault="00890D71" w:rsidP="00FF138C">
      <w:pPr>
        <w:spacing w:line="240" w:lineRule="auto"/>
      </w:pPr>
      <w:r>
        <w:rPr>
          <w:lang w:val="sk-SK"/>
        </w:rPr>
        <w:t>05/</w:t>
      </w:r>
      <w:r w:rsidR="00253E33">
        <w:rPr>
          <w:lang w:val="sk-SK"/>
        </w:rPr>
        <w:t>2019</w:t>
      </w:r>
      <w:bookmarkStart w:id="18" w:name="_GoBack"/>
      <w:bookmarkEnd w:id="18"/>
    </w:p>
    <w:sectPr w:rsidR="007B4C7C" w:rsidSect="00BB77F0">
      <w:headerReference w:type="default" r:id="rId8"/>
      <w:footerReference w:type="default" r:id="rId9"/>
      <w:headerReference w:type="first" r:id="rId10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7DCEC0" w14:textId="77777777" w:rsidR="005B64DD" w:rsidRDefault="005B64DD" w:rsidP="00957F3D">
      <w:pPr>
        <w:spacing w:line="240" w:lineRule="auto"/>
      </w:pPr>
      <w:r>
        <w:separator/>
      </w:r>
    </w:p>
  </w:endnote>
  <w:endnote w:type="continuationSeparator" w:id="0">
    <w:p w14:paraId="36AB16B4" w14:textId="77777777" w:rsidR="005B64DD" w:rsidRDefault="005B64DD" w:rsidP="00957F3D">
      <w:pPr>
        <w:spacing w:line="240" w:lineRule="auto"/>
      </w:pPr>
      <w:r>
        <w:continuationSeparator/>
      </w:r>
    </w:p>
  </w:endnote>
  <w:endnote w:type="continuationNotice" w:id="1">
    <w:p w14:paraId="08A24867" w14:textId="77777777" w:rsidR="005B64DD" w:rsidRDefault="005B64D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5685C" w14:textId="1E08460A" w:rsidR="005C0471" w:rsidRPr="00957F3D" w:rsidRDefault="005C0471">
    <w:pPr>
      <w:pStyle w:val="Footer"/>
      <w:jc w:val="center"/>
      <w:rPr>
        <w:rFonts w:ascii="Arial" w:hAnsi="Arial" w:cs="Arial"/>
        <w:sz w:val="16"/>
        <w:szCs w:val="16"/>
      </w:rPr>
    </w:pPr>
    <w:r w:rsidRPr="00957F3D">
      <w:rPr>
        <w:rFonts w:ascii="Arial" w:hAnsi="Arial" w:cs="Arial"/>
        <w:sz w:val="16"/>
        <w:szCs w:val="16"/>
      </w:rPr>
      <w:fldChar w:fldCharType="begin"/>
    </w:r>
    <w:r w:rsidRPr="00957F3D">
      <w:rPr>
        <w:rFonts w:ascii="Arial" w:hAnsi="Arial" w:cs="Arial"/>
        <w:sz w:val="16"/>
        <w:szCs w:val="16"/>
      </w:rPr>
      <w:instrText xml:space="preserve"> PAGE   \* MERGEFORMAT </w:instrText>
    </w:r>
    <w:r w:rsidRPr="00957F3D">
      <w:rPr>
        <w:rFonts w:ascii="Arial" w:hAnsi="Arial" w:cs="Arial"/>
        <w:sz w:val="16"/>
        <w:szCs w:val="16"/>
      </w:rPr>
      <w:fldChar w:fldCharType="separate"/>
    </w:r>
    <w:r w:rsidR="00295EF5">
      <w:rPr>
        <w:rFonts w:ascii="Arial" w:hAnsi="Arial" w:cs="Arial"/>
        <w:noProof/>
        <w:sz w:val="16"/>
        <w:szCs w:val="16"/>
      </w:rPr>
      <w:t>4</w:t>
    </w:r>
    <w:r w:rsidRPr="00957F3D">
      <w:rPr>
        <w:rFonts w:ascii="Arial" w:hAnsi="Arial" w:cs="Arial"/>
        <w:sz w:val="16"/>
        <w:szCs w:val="16"/>
      </w:rPr>
      <w:fldChar w:fldCharType="end"/>
    </w:r>
  </w:p>
  <w:p w14:paraId="3701571B" w14:textId="77777777" w:rsidR="005C0471" w:rsidRDefault="005C0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8F5C5" w14:textId="77777777" w:rsidR="005B64DD" w:rsidRDefault="005B64DD" w:rsidP="00957F3D">
      <w:pPr>
        <w:spacing w:line="240" w:lineRule="auto"/>
      </w:pPr>
      <w:r>
        <w:separator/>
      </w:r>
    </w:p>
  </w:footnote>
  <w:footnote w:type="continuationSeparator" w:id="0">
    <w:p w14:paraId="522870F3" w14:textId="77777777" w:rsidR="005B64DD" w:rsidRDefault="005B64DD" w:rsidP="00957F3D">
      <w:pPr>
        <w:spacing w:line="240" w:lineRule="auto"/>
      </w:pPr>
      <w:r>
        <w:continuationSeparator/>
      </w:r>
    </w:p>
  </w:footnote>
  <w:footnote w:type="continuationNotice" w:id="1">
    <w:p w14:paraId="3A33E0EA" w14:textId="77777777" w:rsidR="005B64DD" w:rsidRDefault="005B64D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F3288" w14:textId="6A4C5045" w:rsidR="00CF5DA5" w:rsidRDefault="00CF5DA5">
    <w:pPr>
      <w:pStyle w:val="Header"/>
    </w:pPr>
    <w:proofErr w:type="spellStart"/>
    <w:r>
      <w:rPr>
        <w:sz w:val="18"/>
        <w:szCs w:val="18"/>
      </w:rPr>
      <w:t>Schválený</w:t>
    </w:r>
    <w:proofErr w:type="spellEnd"/>
    <w:r>
      <w:rPr>
        <w:sz w:val="18"/>
        <w:szCs w:val="18"/>
      </w:rPr>
      <w:t xml:space="preserve"> text k </w:t>
    </w:r>
    <w:proofErr w:type="spellStart"/>
    <w:r w:rsidR="000E7CE3" w:rsidRPr="00FA6FA8">
      <w:rPr>
        <w:sz w:val="18"/>
        <w:szCs w:val="18"/>
      </w:rPr>
      <w:t>rozhodnutiu</w:t>
    </w:r>
    <w:proofErr w:type="spellEnd"/>
    <w:r w:rsidR="000E7CE3" w:rsidRPr="00FA6FA8">
      <w:rPr>
        <w:sz w:val="18"/>
        <w:szCs w:val="18"/>
      </w:rPr>
      <w:t xml:space="preserve"> o </w:t>
    </w:r>
    <w:proofErr w:type="spellStart"/>
    <w:r w:rsidR="000E7CE3" w:rsidRPr="00FA6FA8">
      <w:rPr>
        <w:sz w:val="18"/>
        <w:szCs w:val="18"/>
      </w:rPr>
      <w:t>zmene</w:t>
    </w:r>
    <w:proofErr w:type="spellEnd"/>
    <w:r w:rsidR="000E7CE3" w:rsidRPr="00FA6FA8">
      <w:rPr>
        <w:sz w:val="18"/>
        <w:szCs w:val="18"/>
      </w:rPr>
      <w:t xml:space="preserve">, </w:t>
    </w:r>
    <w:proofErr w:type="spellStart"/>
    <w:r w:rsidR="000E7CE3" w:rsidRPr="00FA6FA8">
      <w:rPr>
        <w:sz w:val="18"/>
        <w:szCs w:val="18"/>
      </w:rPr>
      <w:t>ev</w:t>
    </w:r>
    <w:proofErr w:type="spellEnd"/>
    <w:r w:rsidR="000E7CE3" w:rsidRPr="00FA6FA8">
      <w:rPr>
        <w:sz w:val="18"/>
        <w:szCs w:val="18"/>
      </w:rPr>
      <w:t xml:space="preserve">. č.: </w:t>
    </w:r>
    <w:r w:rsidR="00BF3ED6" w:rsidRPr="00BF3ED6">
      <w:rPr>
        <w:sz w:val="18"/>
        <w:szCs w:val="18"/>
      </w:rPr>
      <w:t>2018/0463</w:t>
    </w:r>
    <w:r w:rsidR="00BF2C02">
      <w:rPr>
        <w:sz w:val="18"/>
        <w:szCs w:val="18"/>
      </w:rPr>
      <w:t>2</w:t>
    </w:r>
    <w:r w:rsidR="00BF3ED6" w:rsidRPr="00BF3ED6">
      <w:rPr>
        <w:sz w:val="18"/>
        <w:szCs w:val="18"/>
      </w:rPr>
      <w:t>-ZME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E701B4" w14:textId="77777777" w:rsidR="0020401D" w:rsidRPr="003E7A2A" w:rsidRDefault="00B43168" w:rsidP="0020401D">
    <w:pPr>
      <w:pStyle w:val="Header"/>
      <w:rPr>
        <w:sz w:val="18"/>
        <w:szCs w:val="18"/>
      </w:rPr>
    </w:pPr>
    <w:proofErr w:type="spellStart"/>
    <w:r w:rsidRPr="00BB77F0">
      <w:rPr>
        <w:sz w:val="18"/>
      </w:rPr>
      <w:t>Príloha</w:t>
    </w:r>
    <w:proofErr w:type="spellEnd"/>
    <w:r w:rsidRPr="00BB77F0">
      <w:rPr>
        <w:sz w:val="18"/>
      </w:rPr>
      <w:t xml:space="preserve"> č. </w:t>
    </w:r>
    <w:r w:rsidR="0020401D">
      <w:rPr>
        <w:sz w:val="18"/>
        <w:szCs w:val="18"/>
      </w:rPr>
      <w:t>1</w:t>
    </w:r>
    <w:r w:rsidR="0020401D" w:rsidRPr="003E7A2A">
      <w:rPr>
        <w:sz w:val="18"/>
        <w:szCs w:val="18"/>
      </w:rPr>
      <w:t xml:space="preserve"> k </w:t>
    </w:r>
    <w:proofErr w:type="spellStart"/>
    <w:r w:rsidR="0020401D" w:rsidRPr="003E7A2A">
      <w:rPr>
        <w:sz w:val="18"/>
        <w:szCs w:val="18"/>
      </w:rPr>
      <w:t>notifikácii</w:t>
    </w:r>
    <w:proofErr w:type="spellEnd"/>
    <w:r w:rsidR="0020401D" w:rsidRPr="003E7A2A">
      <w:rPr>
        <w:sz w:val="18"/>
        <w:szCs w:val="18"/>
      </w:rPr>
      <w:t xml:space="preserve"> o </w:t>
    </w:r>
    <w:proofErr w:type="spellStart"/>
    <w:r w:rsidR="0020401D" w:rsidRPr="003E7A2A">
      <w:rPr>
        <w:sz w:val="18"/>
        <w:szCs w:val="18"/>
      </w:rPr>
      <w:t>zmene</w:t>
    </w:r>
    <w:proofErr w:type="spellEnd"/>
    <w:r w:rsidR="0020401D" w:rsidRPr="003E7A2A">
      <w:rPr>
        <w:sz w:val="18"/>
        <w:szCs w:val="18"/>
      </w:rPr>
      <w:t xml:space="preserve">, </w:t>
    </w:r>
    <w:proofErr w:type="spellStart"/>
    <w:r w:rsidR="0020401D" w:rsidRPr="003E7A2A">
      <w:rPr>
        <w:sz w:val="18"/>
        <w:szCs w:val="18"/>
      </w:rPr>
      <w:t>ev</w:t>
    </w:r>
    <w:proofErr w:type="spellEnd"/>
    <w:r w:rsidR="0020401D" w:rsidRPr="003E7A2A">
      <w:rPr>
        <w:sz w:val="18"/>
        <w:szCs w:val="18"/>
      </w:rPr>
      <w:t>. č.: 2017/03527-Z1B</w:t>
    </w:r>
  </w:p>
  <w:p w14:paraId="1A09655E" w14:textId="6D1D2846" w:rsidR="00B43168" w:rsidRDefault="0020401D">
    <w:pPr>
      <w:pStyle w:val="Header"/>
    </w:pPr>
    <w:proofErr w:type="spellStart"/>
    <w:r w:rsidRPr="00FA6FA8">
      <w:rPr>
        <w:sz w:val="18"/>
        <w:szCs w:val="18"/>
      </w:rPr>
      <w:t>Príloha</w:t>
    </w:r>
    <w:proofErr w:type="spellEnd"/>
    <w:r w:rsidRPr="00FA6FA8">
      <w:rPr>
        <w:sz w:val="18"/>
        <w:szCs w:val="18"/>
      </w:rPr>
      <w:t xml:space="preserve"> č. </w:t>
    </w:r>
    <w:r>
      <w:rPr>
        <w:sz w:val="18"/>
        <w:szCs w:val="18"/>
      </w:rPr>
      <w:t>1</w:t>
    </w:r>
    <w:r w:rsidRPr="00FA6FA8">
      <w:rPr>
        <w:sz w:val="18"/>
        <w:szCs w:val="18"/>
      </w:rPr>
      <w:t xml:space="preserve"> k </w:t>
    </w:r>
    <w:proofErr w:type="spellStart"/>
    <w:r w:rsidRPr="00FA6FA8">
      <w:rPr>
        <w:sz w:val="18"/>
        <w:szCs w:val="18"/>
      </w:rPr>
      <w:t>rozhodnutiu</w:t>
    </w:r>
    <w:proofErr w:type="spellEnd"/>
    <w:r w:rsidRPr="00FA6FA8">
      <w:rPr>
        <w:sz w:val="18"/>
        <w:szCs w:val="18"/>
      </w:rPr>
      <w:t xml:space="preserve"> o </w:t>
    </w:r>
    <w:proofErr w:type="spellStart"/>
    <w:r w:rsidRPr="00FA6FA8">
      <w:rPr>
        <w:sz w:val="18"/>
        <w:szCs w:val="18"/>
      </w:rPr>
      <w:t>zmene</w:t>
    </w:r>
    <w:proofErr w:type="spellEnd"/>
    <w:r w:rsidRPr="00FA6FA8">
      <w:rPr>
        <w:sz w:val="18"/>
        <w:szCs w:val="18"/>
      </w:rPr>
      <w:t xml:space="preserve">, </w:t>
    </w:r>
    <w:proofErr w:type="spellStart"/>
    <w:r w:rsidRPr="00FA6FA8">
      <w:rPr>
        <w:sz w:val="18"/>
        <w:szCs w:val="18"/>
      </w:rPr>
      <w:t>ev</w:t>
    </w:r>
    <w:proofErr w:type="spellEnd"/>
    <w:r w:rsidRPr="00FA6FA8">
      <w:rPr>
        <w:sz w:val="18"/>
        <w:szCs w:val="18"/>
      </w:rPr>
      <w:t>. č.: 2017/00149-ZME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71F19"/>
    <w:multiLevelType w:val="multilevel"/>
    <w:tmpl w:val="B38EE6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52625182"/>
    <w:multiLevelType w:val="multilevel"/>
    <w:tmpl w:val="B38EE62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cs="Times New Roman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567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5F65"/>
    <w:rsid w:val="00032B50"/>
    <w:rsid w:val="00035E42"/>
    <w:rsid w:val="00040174"/>
    <w:rsid w:val="00045B2F"/>
    <w:rsid w:val="00061B54"/>
    <w:rsid w:val="0006379A"/>
    <w:rsid w:val="000673C4"/>
    <w:rsid w:val="00071A9C"/>
    <w:rsid w:val="00092D44"/>
    <w:rsid w:val="000A3A1C"/>
    <w:rsid w:val="000B5C17"/>
    <w:rsid w:val="000D5FE9"/>
    <w:rsid w:val="000E3E70"/>
    <w:rsid w:val="000E7CE3"/>
    <w:rsid w:val="000F31CE"/>
    <w:rsid w:val="00102883"/>
    <w:rsid w:val="001100EC"/>
    <w:rsid w:val="00110AA6"/>
    <w:rsid w:val="00147323"/>
    <w:rsid w:val="001803AA"/>
    <w:rsid w:val="00180D2A"/>
    <w:rsid w:val="00191BD1"/>
    <w:rsid w:val="001B0E42"/>
    <w:rsid w:val="001B2613"/>
    <w:rsid w:val="001B4C4D"/>
    <w:rsid w:val="001B56FB"/>
    <w:rsid w:val="001F34B7"/>
    <w:rsid w:val="0020401D"/>
    <w:rsid w:val="00207168"/>
    <w:rsid w:val="00221079"/>
    <w:rsid w:val="00222E54"/>
    <w:rsid w:val="00224CB7"/>
    <w:rsid w:val="002508F1"/>
    <w:rsid w:val="002533F7"/>
    <w:rsid w:val="00253E33"/>
    <w:rsid w:val="0026173B"/>
    <w:rsid w:val="00266FFF"/>
    <w:rsid w:val="00280623"/>
    <w:rsid w:val="00293C02"/>
    <w:rsid w:val="00295EF5"/>
    <w:rsid w:val="00296C27"/>
    <w:rsid w:val="002A1A79"/>
    <w:rsid w:val="002A4C61"/>
    <w:rsid w:val="002B2364"/>
    <w:rsid w:val="002C0C07"/>
    <w:rsid w:val="002C7367"/>
    <w:rsid w:val="002D4666"/>
    <w:rsid w:val="002D7AFD"/>
    <w:rsid w:val="002E30F5"/>
    <w:rsid w:val="003018D1"/>
    <w:rsid w:val="00303B0D"/>
    <w:rsid w:val="003154C1"/>
    <w:rsid w:val="00330E04"/>
    <w:rsid w:val="00332A0F"/>
    <w:rsid w:val="00334F57"/>
    <w:rsid w:val="00340F3C"/>
    <w:rsid w:val="003431E6"/>
    <w:rsid w:val="00352D7B"/>
    <w:rsid w:val="00353906"/>
    <w:rsid w:val="00375BD4"/>
    <w:rsid w:val="00375CC9"/>
    <w:rsid w:val="00377811"/>
    <w:rsid w:val="00380CC7"/>
    <w:rsid w:val="00385B8B"/>
    <w:rsid w:val="00395B4D"/>
    <w:rsid w:val="003B0DE5"/>
    <w:rsid w:val="003B730A"/>
    <w:rsid w:val="003D0165"/>
    <w:rsid w:val="003D0EB2"/>
    <w:rsid w:val="003D1A36"/>
    <w:rsid w:val="003E5387"/>
    <w:rsid w:val="003E5860"/>
    <w:rsid w:val="003F295A"/>
    <w:rsid w:val="003F6670"/>
    <w:rsid w:val="003F6EA0"/>
    <w:rsid w:val="00406D3D"/>
    <w:rsid w:val="00413E97"/>
    <w:rsid w:val="0041418D"/>
    <w:rsid w:val="0041733E"/>
    <w:rsid w:val="00417D33"/>
    <w:rsid w:val="00420273"/>
    <w:rsid w:val="004327DE"/>
    <w:rsid w:val="004363C5"/>
    <w:rsid w:val="004415E0"/>
    <w:rsid w:val="00444907"/>
    <w:rsid w:val="00453B7C"/>
    <w:rsid w:val="00464598"/>
    <w:rsid w:val="00471486"/>
    <w:rsid w:val="00471EFD"/>
    <w:rsid w:val="00474C53"/>
    <w:rsid w:val="004833BE"/>
    <w:rsid w:val="0049442F"/>
    <w:rsid w:val="00497A19"/>
    <w:rsid w:val="004A07AA"/>
    <w:rsid w:val="004A41BF"/>
    <w:rsid w:val="004C24E0"/>
    <w:rsid w:val="004D3822"/>
    <w:rsid w:val="004D6536"/>
    <w:rsid w:val="004E2792"/>
    <w:rsid w:val="004E46B3"/>
    <w:rsid w:val="004F3A9B"/>
    <w:rsid w:val="004F6E74"/>
    <w:rsid w:val="00507B5B"/>
    <w:rsid w:val="00512C94"/>
    <w:rsid w:val="00513E52"/>
    <w:rsid w:val="00514A8D"/>
    <w:rsid w:val="005276FB"/>
    <w:rsid w:val="00530C91"/>
    <w:rsid w:val="005523CC"/>
    <w:rsid w:val="005544C0"/>
    <w:rsid w:val="005555DA"/>
    <w:rsid w:val="005661CB"/>
    <w:rsid w:val="00587417"/>
    <w:rsid w:val="00593C35"/>
    <w:rsid w:val="0059403D"/>
    <w:rsid w:val="00594DA1"/>
    <w:rsid w:val="00595417"/>
    <w:rsid w:val="00597FE3"/>
    <w:rsid w:val="005B5F65"/>
    <w:rsid w:val="005B64DD"/>
    <w:rsid w:val="005C0471"/>
    <w:rsid w:val="005C2B45"/>
    <w:rsid w:val="005D444D"/>
    <w:rsid w:val="005E2B93"/>
    <w:rsid w:val="005F70BA"/>
    <w:rsid w:val="006006CB"/>
    <w:rsid w:val="0060164E"/>
    <w:rsid w:val="006119C0"/>
    <w:rsid w:val="00615794"/>
    <w:rsid w:val="00615C73"/>
    <w:rsid w:val="00620310"/>
    <w:rsid w:val="00624803"/>
    <w:rsid w:val="00633990"/>
    <w:rsid w:val="00637B73"/>
    <w:rsid w:val="00645665"/>
    <w:rsid w:val="00662E84"/>
    <w:rsid w:val="006718F0"/>
    <w:rsid w:val="006733AD"/>
    <w:rsid w:val="006739AE"/>
    <w:rsid w:val="00683A45"/>
    <w:rsid w:val="00693E70"/>
    <w:rsid w:val="006A019F"/>
    <w:rsid w:val="006B0D54"/>
    <w:rsid w:val="006D5D33"/>
    <w:rsid w:val="006F6687"/>
    <w:rsid w:val="007016C3"/>
    <w:rsid w:val="00703F19"/>
    <w:rsid w:val="00706726"/>
    <w:rsid w:val="0072689C"/>
    <w:rsid w:val="00751746"/>
    <w:rsid w:val="00771707"/>
    <w:rsid w:val="00775D85"/>
    <w:rsid w:val="00775F62"/>
    <w:rsid w:val="00776472"/>
    <w:rsid w:val="00783EB3"/>
    <w:rsid w:val="00783F15"/>
    <w:rsid w:val="00787E05"/>
    <w:rsid w:val="007A6411"/>
    <w:rsid w:val="007B0B1A"/>
    <w:rsid w:val="007B248A"/>
    <w:rsid w:val="007B4C7C"/>
    <w:rsid w:val="007B6EA8"/>
    <w:rsid w:val="007D75E3"/>
    <w:rsid w:val="007E28D6"/>
    <w:rsid w:val="007E329C"/>
    <w:rsid w:val="007F0CA1"/>
    <w:rsid w:val="00805269"/>
    <w:rsid w:val="00813478"/>
    <w:rsid w:val="008148CA"/>
    <w:rsid w:val="00815AEE"/>
    <w:rsid w:val="008232C7"/>
    <w:rsid w:val="00824932"/>
    <w:rsid w:val="00843507"/>
    <w:rsid w:val="008500FA"/>
    <w:rsid w:val="008517BD"/>
    <w:rsid w:val="00863536"/>
    <w:rsid w:val="00865070"/>
    <w:rsid w:val="00870273"/>
    <w:rsid w:val="00873F42"/>
    <w:rsid w:val="00890746"/>
    <w:rsid w:val="00890D71"/>
    <w:rsid w:val="008920CF"/>
    <w:rsid w:val="00897313"/>
    <w:rsid w:val="008A278F"/>
    <w:rsid w:val="008A3AB3"/>
    <w:rsid w:val="008B12BE"/>
    <w:rsid w:val="008B16CE"/>
    <w:rsid w:val="008C1180"/>
    <w:rsid w:val="008C189D"/>
    <w:rsid w:val="008C4A86"/>
    <w:rsid w:val="008E7945"/>
    <w:rsid w:val="008F7A76"/>
    <w:rsid w:val="0090173A"/>
    <w:rsid w:val="00904AC2"/>
    <w:rsid w:val="00920207"/>
    <w:rsid w:val="009572A3"/>
    <w:rsid w:val="00957F3D"/>
    <w:rsid w:val="00963487"/>
    <w:rsid w:val="009722E8"/>
    <w:rsid w:val="00977C03"/>
    <w:rsid w:val="00982240"/>
    <w:rsid w:val="009910BD"/>
    <w:rsid w:val="00991258"/>
    <w:rsid w:val="009923F8"/>
    <w:rsid w:val="009925DD"/>
    <w:rsid w:val="009938A2"/>
    <w:rsid w:val="009B1D02"/>
    <w:rsid w:val="009D5D08"/>
    <w:rsid w:val="009D6A3F"/>
    <w:rsid w:val="009E62B3"/>
    <w:rsid w:val="009F7E0C"/>
    <w:rsid w:val="00A038FF"/>
    <w:rsid w:val="00A04A9D"/>
    <w:rsid w:val="00A07EF8"/>
    <w:rsid w:val="00A11458"/>
    <w:rsid w:val="00A13F0C"/>
    <w:rsid w:val="00A40684"/>
    <w:rsid w:val="00A543D5"/>
    <w:rsid w:val="00A61520"/>
    <w:rsid w:val="00A6269F"/>
    <w:rsid w:val="00A662F6"/>
    <w:rsid w:val="00A748FD"/>
    <w:rsid w:val="00A7724A"/>
    <w:rsid w:val="00A845CC"/>
    <w:rsid w:val="00A84F82"/>
    <w:rsid w:val="00A92B94"/>
    <w:rsid w:val="00AB3895"/>
    <w:rsid w:val="00AD03EE"/>
    <w:rsid w:val="00AD1652"/>
    <w:rsid w:val="00AD21CD"/>
    <w:rsid w:val="00AE2DFC"/>
    <w:rsid w:val="00AF104A"/>
    <w:rsid w:val="00AF4478"/>
    <w:rsid w:val="00B014F0"/>
    <w:rsid w:val="00B13331"/>
    <w:rsid w:val="00B24962"/>
    <w:rsid w:val="00B341F9"/>
    <w:rsid w:val="00B40629"/>
    <w:rsid w:val="00B43168"/>
    <w:rsid w:val="00B468F1"/>
    <w:rsid w:val="00B66248"/>
    <w:rsid w:val="00B756D9"/>
    <w:rsid w:val="00B845E9"/>
    <w:rsid w:val="00B8606D"/>
    <w:rsid w:val="00B87B20"/>
    <w:rsid w:val="00B93508"/>
    <w:rsid w:val="00B95FA3"/>
    <w:rsid w:val="00B96E6D"/>
    <w:rsid w:val="00BB6029"/>
    <w:rsid w:val="00BB77F0"/>
    <w:rsid w:val="00BB7AF1"/>
    <w:rsid w:val="00BC4D58"/>
    <w:rsid w:val="00BD27DC"/>
    <w:rsid w:val="00BE15F8"/>
    <w:rsid w:val="00BF2C02"/>
    <w:rsid w:val="00BF3ED6"/>
    <w:rsid w:val="00C10570"/>
    <w:rsid w:val="00C1336B"/>
    <w:rsid w:val="00C165B3"/>
    <w:rsid w:val="00C37A1B"/>
    <w:rsid w:val="00C4010B"/>
    <w:rsid w:val="00C4221B"/>
    <w:rsid w:val="00C45E01"/>
    <w:rsid w:val="00C50AD7"/>
    <w:rsid w:val="00C7064B"/>
    <w:rsid w:val="00C72CB1"/>
    <w:rsid w:val="00C81C09"/>
    <w:rsid w:val="00C87708"/>
    <w:rsid w:val="00CA1467"/>
    <w:rsid w:val="00CA5496"/>
    <w:rsid w:val="00CC0A84"/>
    <w:rsid w:val="00CC5A54"/>
    <w:rsid w:val="00CD0904"/>
    <w:rsid w:val="00CD13EC"/>
    <w:rsid w:val="00CE1380"/>
    <w:rsid w:val="00CE150B"/>
    <w:rsid w:val="00CE41FE"/>
    <w:rsid w:val="00CF362E"/>
    <w:rsid w:val="00CF5DA5"/>
    <w:rsid w:val="00D009DE"/>
    <w:rsid w:val="00D048DC"/>
    <w:rsid w:val="00D14795"/>
    <w:rsid w:val="00D2339F"/>
    <w:rsid w:val="00D23D07"/>
    <w:rsid w:val="00D32A41"/>
    <w:rsid w:val="00D44A3A"/>
    <w:rsid w:val="00D60F29"/>
    <w:rsid w:val="00D63430"/>
    <w:rsid w:val="00D6571C"/>
    <w:rsid w:val="00D70160"/>
    <w:rsid w:val="00D7190B"/>
    <w:rsid w:val="00D73FC2"/>
    <w:rsid w:val="00D748B9"/>
    <w:rsid w:val="00D77CA6"/>
    <w:rsid w:val="00D84071"/>
    <w:rsid w:val="00D9531D"/>
    <w:rsid w:val="00DA0A84"/>
    <w:rsid w:val="00DA424C"/>
    <w:rsid w:val="00DA55F2"/>
    <w:rsid w:val="00DA5730"/>
    <w:rsid w:val="00DB110E"/>
    <w:rsid w:val="00DB234D"/>
    <w:rsid w:val="00DB3AE2"/>
    <w:rsid w:val="00DD02C7"/>
    <w:rsid w:val="00DD3A58"/>
    <w:rsid w:val="00DD4355"/>
    <w:rsid w:val="00DE6012"/>
    <w:rsid w:val="00DF35DE"/>
    <w:rsid w:val="00E011E6"/>
    <w:rsid w:val="00E03292"/>
    <w:rsid w:val="00E042EA"/>
    <w:rsid w:val="00E12574"/>
    <w:rsid w:val="00E211DF"/>
    <w:rsid w:val="00E37161"/>
    <w:rsid w:val="00E86183"/>
    <w:rsid w:val="00E92D10"/>
    <w:rsid w:val="00E96F0E"/>
    <w:rsid w:val="00EA0765"/>
    <w:rsid w:val="00EB1706"/>
    <w:rsid w:val="00EC1B92"/>
    <w:rsid w:val="00EC5A7C"/>
    <w:rsid w:val="00EE335D"/>
    <w:rsid w:val="00EE3571"/>
    <w:rsid w:val="00F07F7E"/>
    <w:rsid w:val="00F101AE"/>
    <w:rsid w:val="00F13979"/>
    <w:rsid w:val="00F239D4"/>
    <w:rsid w:val="00F3554D"/>
    <w:rsid w:val="00F42CFC"/>
    <w:rsid w:val="00F4361F"/>
    <w:rsid w:val="00F44CB6"/>
    <w:rsid w:val="00F62F7C"/>
    <w:rsid w:val="00F82957"/>
    <w:rsid w:val="00F850F2"/>
    <w:rsid w:val="00F8604F"/>
    <w:rsid w:val="00FA4E0B"/>
    <w:rsid w:val="00FB1053"/>
    <w:rsid w:val="00FB13D3"/>
    <w:rsid w:val="00FB38A8"/>
    <w:rsid w:val="00FC0FD5"/>
    <w:rsid w:val="00FC164D"/>
    <w:rsid w:val="00FC46C1"/>
    <w:rsid w:val="00FD042B"/>
    <w:rsid w:val="00FD69DC"/>
    <w:rsid w:val="00FE11B4"/>
    <w:rsid w:val="00FE2751"/>
    <w:rsid w:val="00FF138C"/>
    <w:rsid w:val="00FF2010"/>
    <w:rsid w:val="00FF2AB2"/>
    <w:rsid w:val="00FF2B3F"/>
    <w:rsid w:val="00F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5CEB59D"/>
  <w15:docId w15:val="{521B44E7-9492-4166-BE6E-D90E2815D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5F65"/>
    <w:pPr>
      <w:spacing w:line="260" w:lineRule="exact"/>
    </w:pPr>
    <w:rPr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6C27"/>
    <w:pPr>
      <w:keepNext/>
      <w:spacing w:before="240" w:after="60"/>
      <w:outlineLvl w:val="0"/>
    </w:pPr>
    <w:rPr>
      <w:rFonts w:ascii="Cambria" w:hAnsi="Cambria"/>
      <w:b/>
      <w:bCs/>
      <w:snapToGrid w:val="0"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6C27"/>
    <w:pPr>
      <w:keepNext/>
      <w:spacing w:before="240" w:after="60"/>
      <w:outlineLvl w:val="1"/>
    </w:pPr>
    <w:rPr>
      <w:rFonts w:ascii="Cambria" w:hAnsi="Cambria"/>
      <w:b/>
      <w:bCs/>
      <w:i/>
      <w:iCs/>
      <w:snapToGrid w:val="0"/>
      <w:sz w:val="28"/>
      <w:szCs w:val="28"/>
    </w:rPr>
  </w:style>
  <w:style w:type="paragraph" w:styleId="Heading3">
    <w:name w:val="heading 3"/>
    <w:aliases w:val="D70AR3,titel 3,OLD Heading 3"/>
    <w:basedOn w:val="Normal"/>
    <w:next w:val="Normal"/>
    <w:link w:val="Heading3Char"/>
    <w:uiPriority w:val="99"/>
    <w:qFormat/>
    <w:rsid w:val="005B5F65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96C27"/>
    <w:pPr>
      <w:keepNext/>
      <w:spacing w:before="240" w:after="60"/>
      <w:outlineLvl w:val="3"/>
    </w:pPr>
    <w:rPr>
      <w:rFonts w:ascii="Calibri" w:hAnsi="Calibri"/>
      <w:b/>
      <w:bCs/>
      <w:snapToGrid w:val="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6C27"/>
    <w:pPr>
      <w:spacing w:before="240" w:after="60"/>
      <w:outlineLvl w:val="4"/>
    </w:pPr>
    <w:rPr>
      <w:rFonts w:ascii="Calibri" w:hAnsi="Calibri"/>
      <w:b/>
      <w:bCs/>
      <w:i/>
      <w:iCs/>
      <w:snapToGrid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296C27"/>
    <w:rPr>
      <w:rFonts w:ascii="Cambria" w:hAnsi="Cambria" w:cs="Times New Roman"/>
      <w:b/>
      <w:bCs/>
      <w:snapToGrid w:val="0"/>
      <w:kern w:val="32"/>
      <w:sz w:val="32"/>
      <w:szCs w:val="32"/>
      <w:lang w:val="en-GB" w:eastAsia="en-GB"/>
    </w:rPr>
  </w:style>
  <w:style w:type="character" w:customStyle="1" w:styleId="Heading2Char">
    <w:name w:val="Heading 2 Char"/>
    <w:link w:val="Heading2"/>
    <w:uiPriority w:val="99"/>
    <w:locked/>
    <w:rsid w:val="00296C27"/>
    <w:rPr>
      <w:rFonts w:ascii="Cambria" w:hAnsi="Cambria" w:cs="Times New Roman"/>
      <w:b/>
      <w:bCs/>
      <w:i/>
      <w:iCs/>
      <w:snapToGrid w:val="0"/>
      <w:sz w:val="28"/>
      <w:szCs w:val="28"/>
      <w:lang w:val="en-GB" w:eastAsia="en-GB"/>
    </w:rPr>
  </w:style>
  <w:style w:type="character" w:customStyle="1" w:styleId="Heading3Char">
    <w:name w:val="Heading 3 Char"/>
    <w:aliases w:val="D70AR3 Char,titel 3 Char,OLD Heading 3 Char"/>
    <w:link w:val="Heading3"/>
    <w:uiPriority w:val="99"/>
    <w:semiHidden/>
    <w:locked/>
    <w:rsid w:val="00706726"/>
    <w:rPr>
      <w:rFonts w:ascii="Cambria" w:hAnsi="Cambria" w:cs="Times New Roman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9"/>
    <w:locked/>
    <w:rsid w:val="00296C27"/>
    <w:rPr>
      <w:rFonts w:ascii="Calibri" w:hAnsi="Calibri" w:cs="Times New Roman"/>
      <w:b/>
      <w:bCs/>
      <w:snapToGrid w:val="0"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9"/>
    <w:locked/>
    <w:rsid w:val="00296C27"/>
    <w:rPr>
      <w:rFonts w:ascii="Calibri" w:hAnsi="Calibri" w:cs="Times New Roman"/>
      <w:b/>
      <w:bCs/>
      <w:i/>
      <w:iCs/>
      <w:snapToGrid w:val="0"/>
      <w:sz w:val="26"/>
      <w:szCs w:val="26"/>
      <w:lang w:val="en-GB" w:eastAsia="en-GB"/>
    </w:rPr>
  </w:style>
  <w:style w:type="paragraph" w:styleId="BodyText">
    <w:name w:val="Body Text"/>
    <w:basedOn w:val="Normal"/>
    <w:link w:val="BodyTextChar"/>
    <w:uiPriority w:val="99"/>
    <w:rsid w:val="005B5F65"/>
    <w:pPr>
      <w:spacing w:after="160" w:line="240" w:lineRule="auto"/>
    </w:pPr>
  </w:style>
  <w:style w:type="character" w:customStyle="1" w:styleId="BodyTextChar">
    <w:name w:val="Body Text Char"/>
    <w:link w:val="BodyText"/>
    <w:uiPriority w:val="99"/>
    <w:semiHidden/>
    <w:locked/>
    <w:rsid w:val="00706726"/>
    <w:rPr>
      <w:rFonts w:cs="Times New Roman"/>
      <w:sz w:val="22"/>
      <w:szCs w:val="22"/>
      <w:lang w:val="en-GB" w:eastAsia="en-GB"/>
    </w:rPr>
  </w:style>
  <w:style w:type="paragraph" w:customStyle="1" w:styleId="Text">
    <w:name w:val="Text"/>
    <w:basedOn w:val="Normal"/>
    <w:uiPriority w:val="99"/>
    <w:rsid w:val="005B5F65"/>
    <w:pPr>
      <w:spacing w:after="240" w:line="312" w:lineRule="atLeast"/>
    </w:pPr>
    <w:rPr>
      <w:sz w:val="24"/>
      <w:szCs w:val="20"/>
      <w:lang w:eastAsia="en-US"/>
    </w:rPr>
  </w:style>
  <w:style w:type="paragraph" w:customStyle="1" w:styleId="bullethead">
    <w:name w:val="bullet head"/>
    <w:basedOn w:val="Normal"/>
    <w:uiPriority w:val="99"/>
    <w:rsid w:val="005B5F65"/>
    <w:pPr>
      <w:spacing w:before="240" w:line="240" w:lineRule="exact"/>
    </w:pPr>
    <w:rPr>
      <w:b/>
      <w:kern w:val="28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87B20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594DA1"/>
    <w:pPr>
      <w:shd w:val="clear" w:color="auto" w:fill="000080"/>
    </w:pPr>
    <w:rPr>
      <w:sz w:val="2"/>
      <w:szCs w:val="20"/>
    </w:rPr>
  </w:style>
  <w:style w:type="character" w:customStyle="1" w:styleId="DocumentMapChar">
    <w:name w:val="Document Map Char"/>
    <w:link w:val="DocumentMap"/>
    <w:uiPriority w:val="99"/>
    <w:semiHidden/>
    <w:locked/>
    <w:rsid w:val="00706726"/>
    <w:rPr>
      <w:rFonts w:cs="Times New Roman"/>
      <w:sz w:val="2"/>
      <w:lang w:val="en-GB" w:eastAsia="en-GB"/>
    </w:rPr>
  </w:style>
  <w:style w:type="paragraph" w:styleId="List">
    <w:name w:val="List"/>
    <w:basedOn w:val="Normal"/>
    <w:uiPriority w:val="99"/>
    <w:rsid w:val="00296C27"/>
    <w:pPr>
      <w:ind w:left="283" w:hanging="283"/>
      <w:contextualSpacing/>
    </w:pPr>
  </w:style>
  <w:style w:type="paragraph" w:styleId="List2">
    <w:name w:val="List 2"/>
    <w:basedOn w:val="Normal"/>
    <w:uiPriority w:val="99"/>
    <w:rsid w:val="00296C27"/>
    <w:pPr>
      <w:ind w:left="566" w:hanging="283"/>
      <w:contextualSpacing/>
    </w:pPr>
  </w:style>
  <w:style w:type="paragraph" w:styleId="Date">
    <w:name w:val="Date"/>
    <w:basedOn w:val="Normal"/>
    <w:next w:val="Normal"/>
    <w:link w:val="DateChar"/>
    <w:uiPriority w:val="99"/>
    <w:rsid w:val="00296C27"/>
    <w:rPr>
      <w:snapToGrid w:val="0"/>
    </w:rPr>
  </w:style>
  <w:style w:type="character" w:customStyle="1" w:styleId="DateChar">
    <w:name w:val="Date Char"/>
    <w:link w:val="Date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ListContinue">
    <w:name w:val="List Continue"/>
    <w:basedOn w:val="Normal"/>
    <w:uiPriority w:val="99"/>
    <w:rsid w:val="00296C27"/>
    <w:pPr>
      <w:spacing w:after="120"/>
      <w:ind w:left="283"/>
      <w:contextualSpacing/>
    </w:pPr>
  </w:style>
  <w:style w:type="paragraph" w:styleId="BodyTextIndent">
    <w:name w:val="Body Text Indent"/>
    <w:basedOn w:val="Normal"/>
    <w:link w:val="BodyTextIndentChar"/>
    <w:uiPriority w:val="99"/>
    <w:rsid w:val="00296C27"/>
    <w:pPr>
      <w:spacing w:after="120"/>
      <w:ind w:left="283"/>
    </w:pPr>
    <w:rPr>
      <w:snapToGrid w:val="0"/>
    </w:rPr>
  </w:style>
  <w:style w:type="character" w:customStyle="1" w:styleId="BodyTextIndentChar">
    <w:name w:val="Body Text Indent Char"/>
    <w:link w:val="BodyTextIndent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BodyTextFirstIndent2">
    <w:name w:val="Body Text First Indent 2"/>
    <w:basedOn w:val="BodyTextIndent"/>
    <w:link w:val="BodyTextFirstIndent2Char"/>
    <w:uiPriority w:val="99"/>
    <w:rsid w:val="00296C2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locked/>
    <w:rsid w:val="00296C27"/>
    <w:rPr>
      <w:rFonts w:cs="Times New Roman"/>
      <w:snapToGrid w:val="0"/>
      <w:sz w:val="22"/>
      <w:szCs w:val="22"/>
      <w:lang w:val="en-GB" w:eastAsia="en-GB"/>
    </w:rPr>
  </w:style>
  <w:style w:type="paragraph" w:styleId="Revision">
    <w:name w:val="Revision"/>
    <w:hidden/>
    <w:uiPriority w:val="99"/>
    <w:semiHidden/>
    <w:rsid w:val="00B341F9"/>
    <w:rPr>
      <w:sz w:val="22"/>
      <w:szCs w:val="22"/>
      <w:lang w:val="en-GB" w:eastAsia="en-GB"/>
    </w:rPr>
  </w:style>
  <w:style w:type="character" w:styleId="FollowedHyperlink">
    <w:name w:val="FollowedHyperlink"/>
    <w:rsid w:val="008148CA"/>
    <w:rPr>
      <w:color w:val="800080"/>
      <w:u w:val="single"/>
    </w:rPr>
  </w:style>
  <w:style w:type="character" w:styleId="Hyperlink">
    <w:name w:val="Hyperlink"/>
    <w:uiPriority w:val="99"/>
    <w:unhideWhenUsed/>
    <w:rsid w:val="008148C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957F3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57F3D"/>
    <w:rPr>
      <w:sz w:val="22"/>
      <w:szCs w:val="22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57F3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57F3D"/>
    <w:rPr>
      <w:sz w:val="22"/>
      <w:szCs w:val="22"/>
      <w:lang w:val="en-GB" w:eastAsia="en-GB"/>
    </w:rPr>
  </w:style>
  <w:style w:type="character" w:styleId="CommentReference">
    <w:name w:val="annotation reference"/>
    <w:uiPriority w:val="99"/>
    <w:semiHidden/>
    <w:unhideWhenUsed/>
    <w:rsid w:val="00904A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AC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904AC2"/>
    <w:rPr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AC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04AC2"/>
    <w:rPr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83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12</Pages>
  <Words>4171</Words>
  <Characters>23780</Characters>
  <Application>Microsoft Office Word</Application>
  <DocSecurity>0</DocSecurity>
  <Lines>198</Lines>
  <Paragraphs>55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GlaxoSmithKline</Company>
  <LinksUpToDate>false</LinksUpToDate>
  <CharactersWithSpaces>27896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txp8955</dc:creator>
  <cp:lastModifiedBy>Timea Peter</cp:lastModifiedBy>
  <cp:revision>6</cp:revision>
  <cp:lastPrinted>2018-04-10T13:14:00Z</cp:lastPrinted>
  <dcterms:created xsi:type="dcterms:W3CDTF">2019-05-17T07:20:00Z</dcterms:created>
  <dcterms:modified xsi:type="dcterms:W3CDTF">2019-05-24T11:32:00Z</dcterms:modified>
</cp:coreProperties>
</file>