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bookmarkStart w:id="0" w:name="_GoBack"/>
      <w:bookmarkEnd w:id="0"/>
      <w:r w:rsidRPr="000D7E1F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:rsidR="00C62AF1" w:rsidRPr="000D7E1F" w:rsidRDefault="00C62AF1">
      <w:pPr>
        <w:pStyle w:val="Nadpis1"/>
        <w:spacing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0D7E1F" w:rsidRDefault="00C62AF1">
      <w:pPr>
        <w:pStyle w:val="Zkladntext"/>
        <w:rPr>
          <w:rFonts w:ascii="Times New Roman" w:hAnsi="Times New Roman"/>
          <w:i w:val="0"/>
          <w:iCs/>
          <w:sz w:val="22"/>
          <w:szCs w:val="22"/>
          <w:lang w:val="sk-SK"/>
        </w:rPr>
      </w:pPr>
      <w:r w:rsidRPr="000D7E1F">
        <w:rPr>
          <w:rFonts w:ascii="Times New Roman" w:hAnsi="Times New Roman"/>
          <w:i w:val="0"/>
          <w:iCs/>
          <w:sz w:val="22"/>
          <w:szCs w:val="22"/>
          <w:lang w:val="sk-SK"/>
        </w:rPr>
        <w:t>Nizoral šampón 2 %</w:t>
      </w:r>
    </w:p>
    <w:p w:rsidR="00C62AF1" w:rsidRPr="000D7E1F" w:rsidRDefault="00C62A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:rsidR="00C62AF1" w:rsidRPr="000D7E1F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Každý gram obsahuje 20 mg ketokonazolu.</w:t>
      </w:r>
    </w:p>
    <w:p w:rsidR="00C62AF1" w:rsidRPr="000D7E1F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0D7E1F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Šampón</w:t>
      </w:r>
    </w:p>
    <w:p w:rsidR="00C62AF1" w:rsidRPr="000D7E1F" w:rsidRDefault="00DF0F12" w:rsidP="00DF0F12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Popis lieku: ružová, číra viskózna tekutina s vôňou byli</w:t>
      </w:r>
      <w:r w:rsidR="009509CD" w:rsidRPr="000D7E1F">
        <w:rPr>
          <w:rFonts w:ascii="Times New Roman" w:hAnsi="Times New Roman"/>
          <w:sz w:val="22"/>
          <w:szCs w:val="22"/>
          <w:lang w:val="sk-SK"/>
        </w:rPr>
        <w:t>ni</w:t>
      </w:r>
      <w:r w:rsidRPr="000D7E1F">
        <w:rPr>
          <w:rFonts w:ascii="Times New Roman" w:hAnsi="Times New Roman"/>
          <w:sz w:val="22"/>
          <w:szCs w:val="22"/>
          <w:lang w:val="sk-SK"/>
        </w:rPr>
        <w:t>ek.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DF0F12" w:rsidRPr="000D7E1F" w:rsidRDefault="00DF0F12">
      <w:pPr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Terapeutické indikácie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 xml:space="preserve">Liečba a profylaxia infekcií vyvolaných kvasinkou rodu </w:t>
      </w:r>
      <w:r w:rsidRPr="000D7E1F">
        <w:rPr>
          <w:rFonts w:ascii="Times New Roman" w:hAnsi="Times New Roman"/>
          <w:i/>
          <w:sz w:val="22"/>
          <w:szCs w:val="22"/>
          <w:lang w:val="sk-SK"/>
        </w:rPr>
        <w:t>Malassezia</w:t>
      </w:r>
      <w:r w:rsidRPr="000D7E1F">
        <w:rPr>
          <w:rFonts w:ascii="Times New Roman" w:hAnsi="Times New Roman"/>
          <w:sz w:val="22"/>
          <w:szCs w:val="22"/>
          <w:lang w:val="sk-SK"/>
        </w:rPr>
        <w:t xml:space="preserve"> (starší názov </w:t>
      </w:r>
      <w:r w:rsidRPr="000D7E1F">
        <w:rPr>
          <w:rFonts w:ascii="Times New Roman" w:hAnsi="Times New Roman"/>
          <w:i/>
          <w:sz w:val="22"/>
          <w:szCs w:val="22"/>
          <w:lang w:val="sk-SK"/>
        </w:rPr>
        <w:t>Pityrosporum</w:t>
      </w:r>
      <w:r w:rsidRPr="000D7E1F">
        <w:rPr>
          <w:rFonts w:ascii="Times New Roman" w:hAnsi="Times New Roman"/>
          <w:sz w:val="22"/>
          <w:szCs w:val="22"/>
          <w:lang w:val="sk-SK"/>
        </w:rPr>
        <w:t>), ako sú napr.  seboroická dermatitída a pityriasis capitis (lupinatosť).</w:t>
      </w:r>
      <w:r w:rsidR="007D5271" w:rsidRPr="000D7E1F">
        <w:rPr>
          <w:rFonts w:ascii="Times New Roman" w:hAnsi="Times New Roman"/>
          <w:sz w:val="22"/>
          <w:szCs w:val="22"/>
          <w:lang w:val="sk-SK"/>
        </w:rPr>
        <w:t xml:space="preserve"> Liečba pityriasis versicolor (lokalizovaná).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Dávkovanie a spôsob podávania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Nizoral šampón 2 % je indikovaný dospelým a dospievajúcim od 12 rokov.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Na jedno umytie zvyčajne postačuje množstvo šampónu do jednej dlane alebo 1 vrecko šampónu.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:rsidR="00814D1B" w:rsidRPr="000D7E1F" w:rsidRDefault="00C62AF1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 xml:space="preserve">Pityriasis versicolor: jedenkrát denne počas </w:t>
      </w:r>
      <w:r w:rsidR="007D5271" w:rsidRPr="000D7E1F">
        <w:rPr>
          <w:rFonts w:ascii="Times New Roman" w:hAnsi="Times New Roman"/>
          <w:sz w:val="22"/>
          <w:szCs w:val="22"/>
          <w:lang w:val="sk-SK"/>
        </w:rPr>
        <w:t>1-</w:t>
      </w:r>
      <w:r w:rsidRPr="000D7E1F">
        <w:rPr>
          <w:rFonts w:ascii="Times New Roman" w:hAnsi="Times New Roman"/>
          <w:sz w:val="22"/>
          <w:szCs w:val="22"/>
          <w:lang w:val="sk-SK"/>
        </w:rPr>
        <w:t>5 dní.</w:t>
      </w:r>
    </w:p>
    <w:p w:rsidR="00814D1B" w:rsidRPr="000D7E1F" w:rsidRDefault="00C62AF1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Seboroická dermatitída a pityriasis capitis: dvakrát týždenne počas 2 až 4 týždňov.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Profylaxia</w:t>
      </w:r>
    </w:p>
    <w:p w:rsidR="00814D1B" w:rsidRPr="000D7E1F" w:rsidRDefault="00C62AF1">
      <w:pPr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Seboroická dermatitída a pityriasis capitis: jedenkrát za týždeň alebo jedenkrát za dva týždne.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Osobitné skupiny pacientov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i/>
          <w:sz w:val="22"/>
          <w:szCs w:val="22"/>
          <w:lang w:val="sk-SK"/>
        </w:rPr>
      </w:pPr>
      <w:r w:rsidRPr="000D7E1F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Bezpečnosť a účinnosť lieku Nizoral šampón 2 % u detí mladších ako 12 rokov nebola stanovená.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Na lokálne použitie do vlasatej časti hlavy alebo na pokožku.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Infikované plochy pokožky alebo vlasatej časti hlavy sa majú dôkladne umyť liekom Nizoral šampón 2 %, ktorý sa má pred opláchnutím na pokožke/vlasatej časti hlavy nechať účinkovať 3 až 5 minút.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lastRenderedPageBreak/>
        <w:t>4.3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Precitlivenosť na ketokonazol alebo na ktorúkoľvek z pomocných látok uvedených v časti 6.1.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C62AF1" w:rsidRPr="000D7E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0D7E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  <w:r w:rsidRPr="000D7E1F">
        <w:rPr>
          <w:rFonts w:ascii="Times New Roman" w:hAnsi="Times New Roman"/>
          <w:b w:val="0"/>
          <w:sz w:val="22"/>
          <w:szCs w:val="22"/>
          <w:lang w:val="sk-SK"/>
        </w:rPr>
        <w:t>U pacientov, ktorí sa dlhodobo liečia kortikosteroidmi na lokálne použitie, sa počas používania lieku N</w:t>
      </w:r>
      <w:r w:rsidRPr="000D7E1F">
        <w:rPr>
          <w:rFonts w:ascii="Times New Roman" w:hAnsi="Times New Roman"/>
          <w:b w:val="0"/>
          <w:bCs/>
          <w:sz w:val="22"/>
          <w:szCs w:val="22"/>
          <w:lang w:val="sk-SK"/>
        </w:rPr>
        <w:t>izoral šampón</w:t>
      </w:r>
      <w:r w:rsidRPr="000D7E1F">
        <w:rPr>
          <w:rFonts w:ascii="Times New Roman" w:hAnsi="Times New Roman"/>
          <w:b w:val="0"/>
          <w:sz w:val="22"/>
          <w:szCs w:val="22"/>
          <w:lang w:val="sk-SK"/>
        </w:rPr>
        <w:t xml:space="preserve"> 2 % odporúča, aby počas obdobia 2 až 3 týždňov postupne vysadzovali liečbu steroidmi, aby sa predišlo návratu príznakov (</w:t>
      </w:r>
      <w:r w:rsidRPr="000D7E1F">
        <w:rPr>
          <w:rFonts w:ascii="Times New Roman" w:hAnsi="Times New Roman"/>
          <w:b w:val="0"/>
          <w:i/>
          <w:sz w:val="22"/>
          <w:szCs w:val="22"/>
          <w:lang w:val="sk-SK"/>
        </w:rPr>
        <w:t>rebound effect)</w:t>
      </w:r>
      <w:r w:rsidRPr="000D7E1F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C62AF1" w:rsidRPr="000D7E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0D7E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  <w:r w:rsidRPr="000D7E1F">
        <w:rPr>
          <w:rFonts w:ascii="Times New Roman" w:hAnsi="Times New Roman"/>
          <w:b w:val="0"/>
          <w:sz w:val="22"/>
          <w:szCs w:val="22"/>
          <w:lang w:val="sk-SK"/>
        </w:rPr>
        <w:t>Má sa predísť kontaktu s očami. Ak sa šampón dostane do kontaktu s očami, oči sa majú vypláchnuť vodou.</w:t>
      </w:r>
    </w:p>
    <w:p w:rsidR="00C62AF1" w:rsidRPr="000D7E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C62AF1" w:rsidRPr="000D7E1F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Nie sú známe.</w:t>
      </w:r>
    </w:p>
    <w:p w:rsidR="00C62AF1" w:rsidRPr="000D7E1F" w:rsidRDefault="00C62AF1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Fertilita, gravidita a laktácia</w:t>
      </w:r>
    </w:p>
    <w:p w:rsidR="00C62AF1" w:rsidRPr="000D7E1F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:rsidR="00C62AF1" w:rsidRPr="000D7E1F" w:rsidRDefault="004D0F6E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0D7E1F">
        <w:rPr>
          <w:rFonts w:ascii="Times New Roman" w:hAnsi="Times New Roman" w:cs="Times New Roman"/>
          <w:sz w:val="22"/>
          <w:szCs w:val="22"/>
          <w:u w:val="single"/>
        </w:rPr>
        <w:t>Gravidita</w:t>
      </w:r>
    </w:p>
    <w:p w:rsidR="00C62AF1" w:rsidRPr="000D7E1F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0D7E1F">
        <w:rPr>
          <w:rFonts w:ascii="Times New Roman" w:hAnsi="Times New Roman" w:cs="Times New Roman"/>
          <w:sz w:val="22"/>
          <w:szCs w:val="22"/>
        </w:rPr>
        <w:t>K dispozícii nie sú adekvátne a dobre kontrolované štúdie u gravidných žien. Plazmatické koncentrácie ketokonazolu po topickom podaní lieku Nizoral šampón 2 % do vlasatej časti hlavy žien, ktoré neboli gravidné, neboli detegovateľné. Plazmatické hladiny boli detegovateľné po topickom podaní lieku Nizoral šampón 2 % na celé telo. Neexistujú žiadne známe riziká spojené s používaním lieku Nizoral šampón 2 % počas gravidity.</w:t>
      </w:r>
    </w:p>
    <w:p w:rsidR="00C62AF1" w:rsidRPr="000D7E1F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:rsidR="00C62AF1" w:rsidRPr="000D7E1F" w:rsidRDefault="004D0F6E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0D7E1F">
        <w:rPr>
          <w:rFonts w:ascii="Times New Roman" w:hAnsi="Times New Roman" w:cs="Times New Roman"/>
          <w:color w:val="000000"/>
          <w:sz w:val="22"/>
          <w:szCs w:val="22"/>
          <w:u w:val="single"/>
          <w:lang w:eastAsia="sk-SK"/>
        </w:rPr>
        <w:t>Dojčenie</w:t>
      </w:r>
      <w:r w:rsidR="00C62AF1" w:rsidRPr="000D7E1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K dispozícii nie sú adekvátne a dobre kontrolované štúdie u žien počas laktácie. Neexistujú žiadne známe riziká spojené s používaním lieku Nizoral šampón 2 % počas laktácie.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76" w:hanging="576"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Netýka sa.</w:t>
      </w: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Bezpečnosť lieku Nizoral šampón 2 % sa hodnotila u 2 890 jedincov v 22 klinických skúšaniach, v ktorých sa Nizoral šampón 2 % podával topicky do vlasatej časti hlavy a/alebo na pokožku.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U ≥ 1 % jedincov liečených liekom Nizoral šampón 2 % sa nehlásili žiadne nežiaduce reakcie.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 xml:space="preserve">Nežiaduce reakcie, ktoré sa v klinických súboroch na hodnotenie údajov objavili u </w:t>
      </w:r>
      <w:r w:rsidR="004D0F6E" w:rsidRPr="000D7E1F">
        <w:rPr>
          <w:rFonts w:ascii="Times New Roman" w:hAnsi="Times New Roman"/>
          <w:sz w:val="22"/>
          <w:szCs w:val="22"/>
          <w:lang w:val="sk-SK"/>
        </w:rPr>
        <w:t>&lt; 1 %</w:t>
      </w:r>
      <w:r w:rsidRPr="000D7E1F">
        <w:rPr>
          <w:rFonts w:ascii="Times New Roman" w:hAnsi="Times New Roman"/>
          <w:sz w:val="22"/>
          <w:szCs w:val="22"/>
          <w:lang w:val="sk-SK"/>
        </w:rPr>
        <w:t> jedincov liečených liekom Nizoral šampón 2 %, sú uvedené v tabuľke 1.</w:t>
      </w:r>
    </w:p>
    <w:p w:rsidR="00C62AF1" w:rsidRPr="000D7E1F" w:rsidRDefault="00C62AF1" w:rsidP="008E0CC1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0"/>
      </w:tblGrid>
      <w:tr w:rsidR="00C62AF1" w:rsidRPr="000D7E1F" w:rsidTr="007C1535">
        <w:trPr>
          <w:tblHeader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2AF1" w:rsidRPr="000D7E1F" w:rsidRDefault="004D0F6E" w:rsidP="0013460E">
            <w:pPr>
              <w:keepNext/>
              <w:keepLines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Tabuľka 1. Nežiaduce reakcie hlásené u &lt; 1 % z 2 890 jedincov liečených liekom Nizoral šampón 2 % v</w:t>
            </w:r>
            <w:r w:rsidR="00C62AF1"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 22 </w:t>
            </w: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klinických skúšaniach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0D7E1F" w:rsidRDefault="00C62AF1" w:rsidP="00D07E2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Trieda orgánových systémov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13460E">
            <w:pPr>
              <w:keepNext/>
              <w:keepLines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Preferovaná terminológia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0D7E1F" w:rsidRDefault="00C62AF1" w:rsidP="00D07E2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oka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0D7E1F" w:rsidRDefault="00C62AF1" w:rsidP="00D07E2A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odráždenie oka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výšené slzenie očí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B60027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rytém v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mieste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nanesenia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p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odráždenie v mieste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recitlivenosť v mieste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B60027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pruritus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mieste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DA2A1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pustuly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mieste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r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eakcia v mieste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recitlivenosť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Infekcie a nákazy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f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olikulitída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605B76">
            <w:pPr>
              <w:numPr>
                <w:ilvl w:val="0"/>
                <w:numId w:val="4"/>
              </w:num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ysgeuzia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kné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lopécia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ontaktná dermatitída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uchá koža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bnormálna štruktúra vlasov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yrážka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ocit pálenia pokožky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0D7E1F" w:rsidRDefault="00C62AF1" w:rsidP="00D07E2A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orucha kože</w:t>
            </w:r>
          </w:p>
        </w:tc>
      </w:tr>
      <w:tr w:rsidR="00C62AF1" w:rsidRPr="000D7E1F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0D7E1F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xfoliácia kože</w:t>
            </w:r>
          </w:p>
        </w:tc>
      </w:tr>
    </w:tbl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Údaje po uvedení lieku na trh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Okrem nežiaducich reakcií hlásených počas klinických štúdií a nežiaducich reakcií uvedených vyššie sa počas skúseností po uvedení lieku na trh hlásili nasledovné nežiaduce reakcie (tabuľka 2 a 3). V každej tabuľke sú frekvencie výskytu uvedené podľa nasledujúcej konvencie:</w:t>
      </w:r>
    </w:p>
    <w:p w:rsidR="00C62AF1" w:rsidRPr="000D7E1F" w:rsidRDefault="00C62AF1" w:rsidP="001966F4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Veľmi časté</w:t>
      </w:r>
      <w:r w:rsidRPr="000D7E1F">
        <w:rPr>
          <w:rFonts w:ascii="Times New Roman" w:hAnsi="Times New Roman"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sz w:val="22"/>
          <w:szCs w:val="22"/>
          <w:lang w:val="sk-SK"/>
        </w:rPr>
        <w:tab/>
        <w:t>≥ 1/10</w:t>
      </w:r>
    </w:p>
    <w:p w:rsidR="00C62AF1" w:rsidRPr="000D7E1F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Časté</w:t>
      </w:r>
      <w:r w:rsidRPr="000D7E1F">
        <w:rPr>
          <w:rFonts w:ascii="Times New Roman" w:hAnsi="Times New Roman"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sz w:val="22"/>
          <w:szCs w:val="22"/>
          <w:lang w:val="sk-SK"/>
        </w:rPr>
        <w:tab/>
        <w:t xml:space="preserve">≥ 1/100 až </w:t>
      </w:r>
      <w:r w:rsidRPr="000D7E1F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0D7E1F">
        <w:rPr>
          <w:rFonts w:ascii="Times New Roman" w:hAnsi="Times New Roman"/>
          <w:sz w:val="22"/>
          <w:szCs w:val="22"/>
          <w:lang w:val="sk-SK"/>
        </w:rPr>
        <w:t> 1/10</w:t>
      </w:r>
    </w:p>
    <w:p w:rsidR="00C62AF1" w:rsidRPr="000D7E1F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Menej časté</w:t>
      </w:r>
      <w:r w:rsidRPr="000D7E1F">
        <w:rPr>
          <w:rFonts w:ascii="Times New Roman" w:hAnsi="Times New Roman"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sz w:val="22"/>
          <w:szCs w:val="22"/>
          <w:lang w:val="sk-SK"/>
        </w:rPr>
        <w:tab/>
        <w:t xml:space="preserve">≥ 1/1 000 až </w:t>
      </w:r>
      <w:r w:rsidRPr="000D7E1F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0D7E1F">
        <w:rPr>
          <w:rFonts w:ascii="Times New Roman" w:hAnsi="Times New Roman"/>
          <w:sz w:val="22"/>
          <w:szCs w:val="22"/>
          <w:lang w:val="sk-SK"/>
        </w:rPr>
        <w:t> 1/100</w:t>
      </w:r>
    </w:p>
    <w:p w:rsidR="00C62AF1" w:rsidRPr="000D7E1F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Zriedkavé</w:t>
      </w:r>
      <w:r w:rsidRPr="000D7E1F">
        <w:rPr>
          <w:rFonts w:ascii="Times New Roman" w:hAnsi="Times New Roman"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sz w:val="22"/>
          <w:szCs w:val="22"/>
          <w:lang w:val="sk-SK"/>
        </w:rPr>
        <w:tab/>
        <w:t xml:space="preserve">≥ 1/10 000 až </w:t>
      </w:r>
      <w:r w:rsidRPr="000D7E1F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0D7E1F">
        <w:rPr>
          <w:rFonts w:ascii="Times New Roman" w:hAnsi="Times New Roman"/>
          <w:sz w:val="22"/>
          <w:szCs w:val="22"/>
          <w:lang w:val="sk-SK"/>
        </w:rPr>
        <w:t> 1/1 000</w:t>
      </w:r>
    </w:p>
    <w:p w:rsidR="00C62AF1" w:rsidRPr="000D7E1F" w:rsidRDefault="00C62AF1" w:rsidP="006A79EF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Veľmi zriedkavé</w:t>
      </w:r>
      <w:r w:rsidRPr="000D7E1F">
        <w:rPr>
          <w:rFonts w:ascii="Times New Roman" w:hAnsi="Times New Roman"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0D7E1F">
        <w:rPr>
          <w:rFonts w:ascii="Times New Roman" w:hAnsi="Times New Roman"/>
          <w:sz w:val="22"/>
          <w:szCs w:val="22"/>
          <w:lang w:val="sk-SK"/>
        </w:rPr>
        <w:t> 1/10 000 vrátane ojedinelých hlásení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V tabuľke 2 sú nežiaduce reakcie uvedené podľa kategórie frekvencie výskytu na základe mier spontánnych hlásení, zatiaľ čo v tabuľke 3 sú rovnaké nežiaduce reakcie uvedené podľa kategórie frekvencie výskytu v klinických skúšaniach alebo epidemiologických štúdiách, ak boli známe.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370"/>
      </w:tblGrid>
      <w:tr w:rsidR="00C62AF1" w:rsidRPr="000D7E1F" w:rsidTr="007C1535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62AF1" w:rsidRPr="000D7E1F" w:rsidRDefault="004D0F6E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 xml:space="preserve">Tabuľka 2. </w:t>
            </w:r>
            <w:r w:rsidR="00C62AF1"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Nežiaduce reakcie identifikované počas skúseností s liekom Nizoral šampón 2 % po jeho uvedení na trh podľa kategórie frekvencie výskytu z mier spontánnych hlásení</w:t>
            </w:r>
          </w:p>
        </w:tc>
      </w:tr>
      <w:tr w:rsidR="00C62AF1" w:rsidRPr="000D7E1F" w:rsidTr="007C15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0D7E1F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0D7E1F" w:rsidTr="007C153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62AF1" w:rsidRPr="000D7E1F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0D7E1F" w:rsidRDefault="00C62AF1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gioedém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urtikária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zmeny zafarbenia vlasov</w:t>
            </w:r>
          </w:p>
        </w:tc>
      </w:tr>
      <w:tr w:rsidR="00C62AF1" w:rsidRPr="000D7E1F" w:rsidTr="007C1535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62AF1" w:rsidRPr="000D7E1F" w:rsidRDefault="00C62AF1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C62AF1" w:rsidRPr="000D7E1F" w:rsidRDefault="004D0F6E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Tab</w:t>
            </w:r>
            <w:r w:rsidR="00C62AF1"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uľka</w:t>
            </w: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3. </w:t>
            </w:r>
            <w:r w:rsidR="00C62AF1"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Nežiaduce reakcie identifikované počas skúseností s liekom Nizoral šampón 2 % po jeho uvedení na trh podľa kategórie frekvencie určenej z klinických skúšaní alebo epidemiologických štúdií</w:t>
            </w:r>
          </w:p>
        </w:tc>
      </w:tr>
      <w:tr w:rsidR="00C62AF1" w:rsidRPr="000D7E1F" w:rsidTr="007C1535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0D7E1F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0D7E1F" w:rsidTr="007C153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62AF1" w:rsidRPr="000D7E1F" w:rsidRDefault="004D0F6E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</w:t>
            </w:r>
            <w:r w:rsidR="00C62AF1" w:rsidRPr="000D7E1F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0D7E1F" w:rsidRDefault="00C62AF1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angioedém,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urtiká</w:t>
            </w:r>
            <w:r w:rsidR="004D0F6E" w:rsidRPr="000D7E1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ria, </w:t>
            </w:r>
            <w:r w:rsidRPr="000D7E1F">
              <w:rPr>
                <w:rFonts w:ascii="Times New Roman" w:hAnsi="Times New Roman"/>
                <w:sz w:val="22"/>
                <w:szCs w:val="22"/>
                <w:lang w:val="sk-SK"/>
              </w:rPr>
              <w:t>zmeny zafarbenia vlasov</w:t>
            </w:r>
          </w:p>
        </w:tc>
      </w:tr>
    </w:tbl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 w:rsidP="000141EE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:rsidR="00C62AF1" w:rsidRPr="000D7E1F" w:rsidRDefault="004D0F6E" w:rsidP="000141EE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642FC" w:rsidRPr="000D7E1F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0D7E1F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6642FC" w:rsidRPr="000D7E1F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0D7E1F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0D7E1F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0D7E1F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V prípade náhodného požitia sa majú vykonať podporné a symptomatické opatrenia. Aby sa predišlo aspirácii, nevyvolávajte vracanie ani nevykonávajte výplach žalúdka.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keepNext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:rsidR="00C62AF1" w:rsidRPr="000D7E1F" w:rsidRDefault="00C62AF1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Farmakodynamické vlastnosti</w:t>
      </w:r>
    </w:p>
    <w:p w:rsidR="00C62AF1" w:rsidRPr="000D7E1F" w:rsidRDefault="00C62AF1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Farmakoterapeutická skupina: antimykotiká na lokálne použitie, imidazolové a triazolové deriváty; ATC kód: D01AC08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Ketokonazol je syntetický derivát imidazoldioxolánu so silným antimykotickým účinkom.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Farmakodynamické účinky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Nizoral šampón 2 % spôsobuje rýchlu úľavu od tvorby šupín a svrbenia, ktoré sú zvyčajne spojené so seboroickou dermatitídou, pityriasis capitis (lupiny) a pityriasis versicolor.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0D7E1F">
        <w:rPr>
          <w:rFonts w:ascii="Times New Roman" w:hAnsi="Times New Roman"/>
          <w:sz w:val="22"/>
          <w:szCs w:val="22"/>
          <w:u w:val="single"/>
          <w:lang w:val="sk-SK"/>
        </w:rPr>
        <w:t>Mikrobiologické vlastnosti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 xml:space="preserve">Ketokonazol má silný antimykotický účinok proti dermatofytom, ako sú napr. </w:t>
      </w:r>
      <w:r w:rsidR="004D0F6E" w:rsidRPr="000D7E1F">
        <w:rPr>
          <w:rFonts w:ascii="Times New Roman" w:hAnsi="Times New Roman"/>
          <w:i/>
          <w:sz w:val="22"/>
          <w:szCs w:val="22"/>
          <w:lang w:val="sk-SK"/>
        </w:rPr>
        <w:t>Trichophyton</w:t>
      </w:r>
      <w:r w:rsidR="004D0F6E" w:rsidRPr="000D7E1F">
        <w:rPr>
          <w:rFonts w:ascii="Times New Roman" w:hAnsi="Times New Roman"/>
          <w:sz w:val="22"/>
          <w:szCs w:val="22"/>
          <w:lang w:val="sk-SK"/>
        </w:rPr>
        <w:t xml:space="preserve"> spp., </w:t>
      </w:r>
      <w:r w:rsidR="004D0F6E" w:rsidRPr="000D7E1F">
        <w:rPr>
          <w:rFonts w:ascii="Times New Roman" w:hAnsi="Times New Roman"/>
          <w:i/>
          <w:sz w:val="22"/>
          <w:szCs w:val="22"/>
          <w:lang w:val="sk-SK"/>
        </w:rPr>
        <w:t>Epidermophyton</w:t>
      </w:r>
      <w:r w:rsidR="004D0F6E" w:rsidRPr="000D7E1F">
        <w:rPr>
          <w:rFonts w:ascii="Times New Roman" w:hAnsi="Times New Roman"/>
          <w:sz w:val="22"/>
          <w:szCs w:val="22"/>
          <w:lang w:val="sk-SK"/>
        </w:rPr>
        <w:t xml:space="preserve"> spp., </w:t>
      </w:r>
      <w:r w:rsidR="004D0F6E" w:rsidRPr="000D7E1F">
        <w:rPr>
          <w:rFonts w:ascii="Times New Roman" w:hAnsi="Times New Roman"/>
          <w:i/>
          <w:sz w:val="22"/>
          <w:szCs w:val="22"/>
          <w:lang w:val="sk-SK"/>
        </w:rPr>
        <w:t xml:space="preserve">Microsporum </w:t>
      </w:r>
      <w:r w:rsidRPr="000D7E1F">
        <w:rPr>
          <w:rFonts w:ascii="Times New Roman" w:hAnsi="Times New Roman"/>
          <w:sz w:val="22"/>
          <w:szCs w:val="22"/>
          <w:lang w:val="sk-SK"/>
        </w:rPr>
        <w:t>spp. a kvasinkám, ako sú napr.</w:t>
      </w:r>
      <w:r w:rsidR="004D0F6E" w:rsidRPr="000D7E1F">
        <w:rPr>
          <w:rFonts w:ascii="Times New Roman" w:hAnsi="Times New Roman"/>
          <w:i/>
          <w:sz w:val="22"/>
          <w:szCs w:val="22"/>
          <w:lang w:val="sk-SK"/>
        </w:rPr>
        <w:t xml:space="preserve"> Candida</w:t>
      </w:r>
      <w:r w:rsidRPr="000D7E1F">
        <w:rPr>
          <w:rFonts w:ascii="Times New Roman" w:hAnsi="Times New Roman"/>
          <w:sz w:val="22"/>
          <w:szCs w:val="22"/>
          <w:lang w:val="sk-SK"/>
        </w:rPr>
        <w:t xml:space="preserve"> spp. a</w:t>
      </w:r>
      <w:r w:rsidR="004D0F6E" w:rsidRPr="000D7E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0F6E" w:rsidRPr="000D7E1F">
        <w:rPr>
          <w:rFonts w:ascii="Times New Roman" w:hAnsi="Times New Roman"/>
          <w:i/>
          <w:sz w:val="22"/>
          <w:szCs w:val="22"/>
          <w:lang w:val="sk-SK"/>
        </w:rPr>
        <w:t>Malassezia</w:t>
      </w:r>
      <w:r w:rsidR="004D0F6E" w:rsidRPr="000D7E1F">
        <w:rPr>
          <w:rFonts w:ascii="Times New Roman" w:hAnsi="Times New Roman"/>
          <w:sz w:val="22"/>
          <w:szCs w:val="22"/>
          <w:lang w:val="sk-SK"/>
        </w:rPr>
        <w:t xml:space="preserve"> spp. (</w:t>
      </w:r>
      <w:r w:rsidR="004D0F6E" w:rsidRPr="000D7E1F">
        <w:rPr>
          <w:rFonts w:ascii="Times New Roman" w:hAnsi="Times New Roman"/>
          <w:i/>
          <w:sz w:val="22"/>
          <w:szCs w:val="22"/>
          <w:lang w:val="sk-SK"/>
        </w:rPr>
        <w:t xml:space="preserve">Pityrosporum </w:t>
      </w:r>
      <w:r w:rsidR="004D0F6E" w:rsidRPr="000D7E1F">
        <w:rPr>
          <w:rFonts w:ascii="Times New Roman" w:hAnsi="Times New Roman"/>
          <w:sz w:val="22"/>
          <w:szCs w:val="22"/>
          <w:lang w:val="sk-SK"/>
        </w:rPr>
        <w:t>spp.).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Farmakokinetické vlastnosti</w:t>
      </w:r>
    </w:p>
    <w:p w:rsidR="00C62AF1" w:rsidRPr="000D7E1F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:rsidR="00C62AF1" w:rsidRPr="000D7E1F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0D7E1F">
        <w:rPr>
          <w:rFonts w:ascii="Times New Roman" w:hAnsi="Times New Roman" w:cs="Times New Roman"/>
          <w:sz w:val="22"/>
          <w:szCs w:val="22"/>
        </w:rPr>
        <w:t xml:space="preserve">Plazmatické koncentrácie ketokonazolu po topickom podaní lieku Nizoral šampón 2 % do vlasatej časti hlavy neboli </w:t>
      </w:r>
      <w:r w:rsidR="000D7E1F" w:rsidRPr="000D7E1F">
        <w:rPr>
          <w:rFonts w:ascii="Times New Roman" w:hAnsi="Times New Roman" w:cs="Times New Roman"/>
          <w:sz w:val="22"/>
          <w:szCs w:val="22"/>
        </w:rPr>
        <w:t>detekovateľné</w:t>
      </w:r>
      <w:r w:rsidRPr="000D7E1F">
        <w:rPr>
          <w:rFonts w:ascii="Times New Roman" w:hAnsi="Times New Roman" w:cs="Times New Roman"/>
          <w:sz w:val="22"/>
          <w:szCs w:val="22"/>
        </w:rPr>
        <w:t>. Plazmatické hladiny sa detegovali po topickom podaní lieku Nizoral šampón 2 % na celé telo.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Zkladntext3"/>
        <w:rPr>
          <w:rFonts w:ascii="Times New Roman" w:hAnsi="Times New Roman" w:cs="Times New Roman"/>
          <w:sz w:val="22"/>
          <w:szCs w:val="22"/>
          <w:u w:val="none"/>
        </w:rPr>
      </w:pPr>
      <w:r w:rsidRPr="000D7E1F">
        <w:rPr>
          <w:rFonts w:ascii="Times New Roman" w:hAnsi="Times New Roman" w:cs="Times New Roman"/>
          <w:sz w:val="22"/>
          <w:szCs w:val="22"/>
          <w:u w:val="none"/>
        </w:rPr>
        <w:t>Predklinické údaje na základe obvyklých štúdií vrátane akútnej toxicity po dermálnom a perorálnom podaní, primárnej okulárnej iritácie, dermálnej iritácie po opakovanom podávaní a toxicity po dermálnom podaní, neodhalili žiadne osobitné riziko pre ľudí.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nátriumlaurylsulfát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monolaurylsulfosukcinát disodný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dietanolamid kyseliny kokosovej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kvarternizovaný živočíšny kolagén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makrogol 120 metylglukózodioleátu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parfém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imidomočovina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hydroxid sodný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kyselina chlorovodíková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sodná soľ erytrozínu E 127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chlorid sodný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čistená voda.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Neaplikovateľné.</w:t>
      </w:r>
    </w:p>
    <w:p w:rsidR="00C62AF1" w:rsidRPr="000D7E1F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:rsidR="00C62AF1" w:rsidRPr="000D7E1F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</w:p>
    <w:p w:rsidR="00C62AF1" w:rsidRPr="000D7E1F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  <w:r w:rsidRPr="000D7E1F">
        <w:rPr>
          <w:rFonts w:ascii="Times New Roman" w:hAnsi="Times New Roman"/>
          <w:i w:val="0"/>
          <w:sz w:val="22"/>
          <w:szCs w:val="22"/>
          <w:lang w:val="sk-SK"/>
        </w:rPr>
        <w:t>3 roky</w:t>
      </w:r>
    </w:p>
    <w:p w:rsidR="00C62AF1" w:rsidRPr="000D7E1F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Fľaška: Uchovávajte pri teplote neprevyšujúcej 25 °C. Fľašku udržiavajte dôkladne uzatvorenú na ochranu pred svetlom.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Vrecko: Uchovávajte pri teplote neprevyšujúcej 30 °C. Chráňte pred svetlom.</w:t>
      </w: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Druh obalu a obsah balenia</w:t>
      </w:r>
    </w:p>
    <w:p w:rsidR="00C62AF1" w:rsidRPr="000D7E1F" w:rsidRDefault="00C62AF1" w:rsidP="008267F8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2160" w:hanging="2160"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60 ml alebo 100 ml biele fľašky z polyetylénu s vysokou hustotou (HDPE) s polypropylénovým (PP) uzáverom (1 fľaška v 1 balení) a 6 ml polyesterové/hliníkové/PE vrecká (6 alebo 12 vreciek v 1 balení).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iné zaobchádzanie s liekom</w:t>
      </w:r>
    </w:p>
    <w:p w:rsidR="00C62AF1" w:rsidRPr="000D7E1F" w:rsidRDefault="00C62AF1" w:rsidP="00920105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 w:rsidP="00920105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Nadpis1"/>
        <w:keepLines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DRŽITEĽ ROZHODNUTIA O REGISTRÁCII</w:t>
      </w:r>
    </w:p>
    <w:p w:rsidR="00C62AF1" w:rsidRPr="000D7E1F" w:rsidRDefault="00C62AF1" w:rsidP="00205047">
      <w:pPr>
        <w:keepNext/>
        <w:keepLines/>
        <w:jc w:val="both"/>
        <w:rPr>
          <w:rFonts w:ascii="Times New Roman" w:hAnsi="Times New Roman"/>
          <w:sz w:val="22"/>
          <w:szCs w:val="22"/>
          <w:lang w:val="sk-SK"/>
        </w:rPr>
      </w:pPr>
    </w:p>
    <w:p w:rsidR="000D7E1F" w:rsidRPr="00FA78AB" w:rsidRDefault="000D7E1F" w:rsidP="000D7E1F">
      <w:pPr>
        <w:rPr>
          <w:rFonts w:ascii="Times New Roman" w:hAnsi="Times New Roman"/>
          <w:sz w:val="22"/>
          <w:szCs w:val="22"/>
          <w:lang w:val="sk-SK" w:eastAsia="sk-SK"/>
        </w:rPr>
      </w:pPr>
      <w:r w:rsidRPr="00FA78AB">
        <w:rPr>
          <w:rFonts w:ascii="Times New Roman" w:hAnsi="Times New Roman"/>
          <w:sz w:val="22"/>
          <w:szCs w:val="22"/>
        </w:rPr>
        <w:t>STADA Arzneimittel AG</w:t>
      </w:r>
    </w:p>
    <w:p w:rsidR="000D7E1F" w:rsidRPr="00FA78AB" w:rsidRDefault="000D7E1F" w:rsidP="000D7E1F">
      <w:pPr>
        <w:rPr>
          <w:rFonts w:ascii="Times New Roman" w:hAnsi="Times New Roman"/>
          <w:sz w:val="22"/>
          <w:szCs w:val="22"/>
        </w:rPr>
      </w:pPr>
      <w:r w:rsidRPr="00FA78AB">
        <w:rPr>
          <w:rFonts w:ascii="Times New Roman" w:hAnsi="Times New Roman"/>
          <w:sz w:val="22"/>
          <w:szCs w:val="22"/>
        </w:rPr>
        <w:t>Stadastrasse 2-18</w:t>
      </w:r>
    </w:p>
    <w:p w:rsidR="000D7E1F" w:rsidRPr="00FA78AB" w:rsidRDefault="000D7E1F" w:rsidP="000D7E1F">
      <w:pPr>
        <w:rPr>
          <w:rFonts w:ascii="Times New Roman" w:hAnsi="Times New Roman"/>
          <w:sz w:val="22"/>
          <w:szCs w:val="22"/>
        </w:rPr>
      </w:pPr>
      <w:r w:rsidRPr="00FA78AB">
        <w:rPr>
          <w:rFonts w:ascii="Times New Roman" w:hAnsi="Times New Roman"/>
          <w:sz w:val="22"/>
          <w:szCs w:val="22"/>
        </w:rPr>
        <w:t>61118 Bad Vilbel</w:t>
      </w:r>
    </w:p>
    <w:p w:rsidR="000D7E1F" w:rsidRPr="00FA78AB" w:rsidRDefault="000D7E1F" w:rsidP="000D7E1F">
      <w:pPr>
        <w:rPr>
          <w:rFonts w:ascii="Times New Roman" w:hAnsi="Times New Roman"/>
          <w:sz w:val="22"/>
          <w:szCs w:val="22"/>
        </w:rPr>
      </w:pPr>
      <w:r w:rsidRPr="00FA78AB">
        <w:rPr>
          <w:rFonts w:ascii="Times New Roman" w:hAnsi="Times New Roman"/>
          <w:sz w:val="22"/>
          <w:szCs w:val="22"/>
        </w:rPr>
        <w:t>Nemecko</w:t>
      </w:r>
    </w:p>
    <w:p w:rsidR="00C62AF1" w:rsidRPr="000D7E1F" w:rsidRDefault="00C62AF1" w:rsidP="007D527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REGISTRAČNÉ ČÍSLO</w:t>
      </w:r>
    </w:p>
    <w:p w:rsidR="00C62AF1" w:rsidRPr="000D7E1F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0D7E1F">
        <w:rPr>
          <w:rFonts w:ascii="Times New Roman" w:hAnsi="Times New Roman"/>
          <w:sz w:val="22"/>
          <w:szCs w:val="22"/>
          <w:lang w:val="sk-SK"/>
        </w:rPr>
        <w:t>26/0067/94-S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4D0F6E" w:rsidP="00205047">
      <w:pPr>
        <w:pStyle w:val="Nadpis2"/>
        <w:tabs>
          <w:tab w:val="left" w:pos="567"/>
        </w:tabs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="00C62AF1" w:rsidRPr="000D7E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0D7E1F">
        <w:rPr>
          <w:rFonts w:ascii="Times New Roman" w:hAnsi="Times New Roman"/>
          <w:b/>
          <w:bCs/>
          <w:sz w:val="22"/>
          <w:szCs w:val="22"/>
          <w:lang w:val="sk-SK"/>
        </w:rPr>
        <w:t>dátum PRVEJ registrácie / predĺženia registrácie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0D7E1F">
        <w:rPr>
          <w:rFonts w:ascii="Times New Roman" w:hAnsi="Times New Roman"/>
          <w:bCs/>
          <w:sz w:val="22"/>
          <w:szCs w:val="22"/>
          <w:lang w:val="sk-SK"/>
        </w:rPr>
        <w:t>Dátum prvej registrácie: 18. marca 1994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0D7E1F">
        <w:rPr>
          <w:rFonts w:ascii="Times New Roman" w:hAnsi="Times New Roman"/>
          <w:bCs/>
          <w:sz w:val="22"/>
          <w:szCs w:val="22"/>
          <w:lang w:val="sk-SK"/>
        </w:rPr>
        <w:t>Dátum posledného predĺženia registrácie:16. októbra 2008</w:t>
      </w: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0D7E1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Pr="000D7E1F" w:rsidRDefault="00C62AF1" w:rsidP="00D07E2A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0D7E1F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0D7E1F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C62AF1" w:rsidRPr="000D7E1F" w:rsidRDefault="00C62AF1" w:rsidP="00D42F0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C62AF1" w:rsidRPr="000D7E1F" w:rsidRDefault="00DC2E6C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spacing w:after="120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Máj 2019</w:t>
      </w:r>
    </w:p>
    <w:sectPr w:rsidR="00C62AF1" w:rsidRPr="000D7E1F" w:rsidSect="00D07E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5"/>
      <w:pgMar w:top="1134" w:right="1418" w:bottom="1134" w:left="1418" w:header="737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E2" w:rsidRDefault="00FA76E2">
      <w:r>
        <w:separator/>
      </w:r>
    </w:p>
  </w:endnote>
  <w:endnote w:type="continuationSeparator" w:id="0">
    <w:p w:rsidR="00FA76E2" w:rsidRDefault="00FA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1" w:rsidRDefault="00926BD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62AF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62AF1" w:rsidRDefault="00C62AF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1B" w:rsidRPr="00D07E2A" w:rsidRDefault="00926BDB" w:rsidP="00D07E2A">
    <w:pPr>
      <w:pStyle w:val="Pta"/>
      <w:jc w:val="center"/>
      <w:rPr>
        <w:rFonts w:ascii="Times New Roman" w:hAnsi="Times New Roman"/>
        <w:sz w:val="18"/>
        <w:szCs w:val="18"/>
      </w:rPr>
    </w:pPr>
    <w:r w:rsidRPr="00C62AF1">
      <w:rPr>
        <w:rFonts w:ascii="Times New Roman" w:hAnsi="Times New Roman"/>
        <w:sz w:val="18"/>
        <w:szCs w:val="18"/>
      </w:rPr>
      <w:fldChar w:fldCharType="begin"/>
    </w:r>
    <w:r w:rsidR="004D0F6E" w:rsidRPr="00D07E2A">
      <w:rPr>
        <w:rFonts w:ascii="Times New Roman" w:hAnsi="Times New Roman"/>
        <w:sz w:val="18"/>
        <w:szCs w:val="18"/>
      </w:rPr>
      <w:instrText xml:space="preserve"> PAGE   </w:instrText>
    </w:r>
    <w:r w:rsidR="004D0F6E">
      <w:rPr>
        <w:rFonts w:ascii="Times New Roman" w:hAnsi="Times New Roman"/>
        <w:sz w:val="18"/>
        <w:szCs w:val="18"/>
      </w:rPr>
      <w:instrText>\</w:instrText>
    </w:r>
    <w:r w:rsidR="004D0F6E" w:rsidRPr="00D07E2A">
      <w:rPr>
        <w:rFonts w:ascii="Times New Roman" w:hAnsi="Times New Roman"/>
        <w:sz w:val="18"/>
        <w:szCs w:val="18"/>
      </w:rPr>
      <w:instrText xml:space="preserve">* MERGEFORMAT </w:instrText>
    </w:r>
    <w:r w:rsidRPr="00C62AF1">
      <w:rPr>
        <w:rFonts w:ascii="Times New Roman" w:hAnsi="Times New Roman"/>
        <w:sz w:val="18"/>
        <w:szCs w:val="18"/>
      </w:rPr>
      <w:fldChar w:fldCharType="separate"/>
    </w:r>
    <w:r w:rsidR="00D10A5B">
      <w:rPr>
        <w:rFonts w:ascii="Times New Roman" w:hAnsi="Times New Roman"/>
        <w:noProof/>
        <w:sz w:val="18"/>
        <w:szCs w:val="18"/>
      </w:rPr>
      <w:t>4</w:t>
    </w:r>
    <w:r w:rsidRPr="00C62AF1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1B" w:rsidRPr="00D07E2A" w:rsidRDefault="00926BDB" w:rsidP="00D07E2A">
    <w:pPr>
      <w:pStyle w:val="Pta"/>
      <w:jc w:val="center"/>
      <w:rPr>
        <w:rFonts w:ascii="Times New Roman" w:hAnsi="Times New Roman"/>
        <w:sz w:val="18"/>
      </w:rPr>
    </w:pPr>
    <w:r w:rsidRPr="00C62AF1">
      <w:rPr>
        <w:rFonts w:ascii="Times New Roman" w:hAnsi="Times New Roman"/>
        <w:sz w:val="18"/>
      </w:rPr>
      <w:fldChar w:fldCharType="begin"/>
    </w:r>
    <w:r w:rsidR="004D0F6E" w:rsidRPr="00D07E2A">
      <w:rPr>
        <w:rFonts w:ascii="Times New Roman" w:hAnsi="Times New Roman"/>
        <w:sz w:val="18"/>
      </w:rPr>
      <w:instrText xml:space="preserve">PAGE   </w:instrText>
    </w:r>
    <w:r w:rsidR="004D0F6E">
      <w:rPr>
        <w:rFonts w:ascii="Times New Roman" w:hAnsi="Times New Roman"/>
        <w:sz w:val="18"/>
      </w:rPr>
      <w:instrText>\</w:instrText>
    </w:r>
    <w:r w:rsidR="004D0F6E" w:rsidRPr="00D07E2A">
      <w:rPr>
        <w:rFonts w:ascii="Times New Roman" w:hAnsi="Times New Roman"/>
        <w:sz w:val="18"/>
      </w:rPr>
      <w:instrText>* MERGEFORMAT</w:instrText>
    </w:r>
    <w:r w:rsidRPr="00C62AF1">
      <w:rPr>
        <w:rFonts w:ascii="Times New Roman" w:hAnsi="Times New Roman"/>
        <w:sz w:val="18"/>
      </w:rPr>
      <w:fldChar w:fldCharType="separate"/>
    </w:r>
    <w:r w:rsidR="00D10A5B" w:rsidRPr="00D10A5B">
      <w:rPr>
        <w:rFonts w:ascii="Times New Roman" w:hAnsi="Times New Roman"/>
        <w:noProof/>
        <w:sz w:val="18"/>
        <w:lang w:val="sk-SK"/>
      </w:rPr>
      <w:t>1</w:t>
    </w:r>
    <w:r w:rsidRPr="00C62AF1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E2" w:rsidRDefault="00FA76E2">
      <w:r>
        <w:separator/>
      </w:r>
    </w:p>
  </w:footnote>
  <w:footnote w:type="continuationSeparator" w:id="0">
    <w:p w:rsidR="00FA76E2" w:rsidRDefault="00FA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70" w:rsidRPr="007D5271" w:rsidRDefault="00FD5570" w:rsidP="00FD5570">
    <w:pPr>
      <w:pStyle w:val="Hlavika"/>
      <w:rPr>
        <w:rFonts w:ascii="Times New Roman" w:hAnsi="Times New Roman"/>
        <w:sz w:val="18"/>
        <w:szCs w:val="18"/>
      </w:rPr>
    </w:pPr>
    <w:r w:rsidRPr="007D5271">
      <w:rPr>
        <w:rFonts w:ascii="Times New Roman" w:hAnsi="Times New Roman"/>
        <w:sz w:val="18"/>
        <w:szCs w:val="18"/>
      </w:rPr>
      <w:t>Schválený text k rozhodnutiu o </w:t>
    </w:r>
    <w:r w:rsidR="007D5271">
      <w:rPr>
        <w:rFonts w:ascii="Times New Roman" w:hAnsi="Times New Roman"/>
        <w:sz w:val="18"/>
        <w:szCs w:val="18"/>
      </w:rPr>
      <w:t>zmene</w:t>
    </w:r>
    <w:r w:rsidRPr="007D5271">
      <w:rPr>
        <w:rFonts w:ascii="Times New Roman" w:hAnsi="Times New Roman"/>
        <w:sz w:val="18"/>
        <w:szCs w:val="18"/>
      </w:rPr>
      <w:t>, ev.</w:t>
    </w:r>
    <w:r w:rsidR="007D5271" w:rsidRPr="007D5271">
      <w:rPr>
        <w:rFonts w:ascii="Times New Roman" w:hAnsi="Times New Roman"/>
        <w:sz w:val="18"/>
        <w:szCs w:val="18"/>
      </w:rPr>
      <w:t xml:space="preserve"> </w:t>
    </w:r>
    <w:r w:rsidRPr="007D5271">
      <w:rPr>
        <w:rFonts w:ascii="Times New Roman" w:hAnsi="Times New Roman"/>
        <w:sz w:val="18"/>
        <w:szCs w:val="18"/>
      </w:rPr>
      <w:t>č.:</w:t>
    </w:r>
    <w:r w:rsidR="007D5271" w:rsidRPr="007D5271">
      <w:rPr>
        <w:rFonts w:ascii="Times New Roman" w:hAnsi="Times New Roman"/>
        <w:sz w:val="18"/>
        <w:szCs w:val="18"/>
      </w:rPr>
      <w:t xml:space="preserve"> 2018/0</w:t>
    </w:r>
    <w:r w:rsidR="007D5271">
      <w:rPr>
        <w:rFonts w:ascii="Times New Roman" w:hAnsi="Times New Roman"/>
        <w:sz w:val="18"/>
        <w:szCs w:val="18"/>
      </w:rPr>
      <w:t>3573</w:t>
    </w:r>
    <w:r w:rsidR="007D5271" w:rsidRPr="007D5271">
      <w:rPr>
        <w:rFonts w:ascii="Times New Roman" w:hAnsi="Times New Roman"/>
        <w:sz w:val="18"/>
        <w:szCs w:val="18"/>
      </w:rPr>
      <w:t>-</w:t>
    </w:r>
    <w:r w:rsidR="007D5271">
      <w:rPr>
        <w:rFonts w:ascii="Times New Roman" w:hAnsi="Times New Roman"/>
        <w:sz w:val="18"/>
        <w:szCs w:val="18"/>
      </w:rPr>
      <w:t>ZME</w:t>
    </w:r>
  </w:p>
  <w:p w:rsidR="00FD5570" w:rsidRPr="00D10A5B" w:rsidRDefault="000D7E1F">
    <w:pPr>
      <w:pStyle w:val="Hlavika"/>
      <w:rPr>
        <w:rFonts w:ascii="Times New Roman" w:hAnsi="Times New Roman"/>
        <w:sz w:val="18"/>
        <w:szCs w:val="18"/>
      </w:rPr>
    </w:pPr>
    <w:r w:rsidRPr="008E712F">
      <w:rPr>
        <w:rFonts w:ascii="Times New Roman" w:hAnsi="Times New Roman"/>
        <w:sz w:val="18"/>
        <w:szCs w:val="18"/>
      </w:rPr>
      <w:t>Schválený text k rozhodnutiu o </w:t>
    </w:r>
    <w:r>
      <w:rPr>
        <w:rFonts w:ascii="Times New Roman" w:hAnsi="Times New Roman"/>
        <w:sz w:val="18"/>
        <w:szCs w:val="18"/>
      </w:rPr>
      <w:t>prevode</w:t>
    </w:r>
    <w:r w:rsidRPr="008E712F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8E712F">
      <w:rPr>
        <w:rFonts w:ascii="Times New Roman" w:hAnsi="Times New Roman"/>
        <w:sz w:val="18"/>
        <w:szCs w:val="18"/>
      </w:rPr>
      <w:t>č.:</w:t>
    </w:r>
    <w:r>
      <w:rPr>
        <w:rFonts w:ascii="Times New Roman" w:hAnsi="Times New Roman"/>
        <w:sz w:val="18"/>
        <w:szCs w:val="18"/>
      </w:rPr>
      <w:t xml:space="preserve"> </w:t>
    </w:r>
    <w:r w:rsidR="00DC2E6C" w:rsidRPr="00DC2E6C">
      <w:rPr>
        <w:rFonts w:ascii="Times New Roman" w:hAnsi="Times New Roman"/>
        <w:sz w:val="18"/>
        <w:szCs w:val="18"/>
      </w:rPr>
      <w:t>2019/01841-TR</w:t>
    </w:r>
  </w:p>
  <w:p w:rsidR="00FD5570" w:rsidRDefault="00FD557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70" w:rsidRPr="007D5271" w:rsidRDefault="00FD5570" w:rsidP="00FD5570">
    <w:pPr>
      <w:pStyle w:val="Hlavika"/>
      <w:rPr>
        <w:rFonts w:ascii="Times New Roman" w:hAnsi="Times New Roman"/>
        <w:sz w:val="18"/>
        <w:szCs w:val="18"/>
      </w:rPr>
    </w:pPr>
    <w:r w:rsidRPr="007D5271">
      <w:rPr>
        <w:rFonts w:ascii="Times New Roman" w:hAnsi="Times New Roman"/>
        <w:sz w:val="18"/>
        <w:szCs w:val="18"/>
      </w:rPr>
      <w:t>Schválený text k rozhodnutiu o </w:t>
    </w:r>
    <w:r w:rsidR="007D5271" w:rsidRPr="007D5271">
      <w:rPr>
        <w:rFonts w:ascii="Times New Roman" w:hAnsi="Times New Roman"/>
        <w:sz w:val="18"/>
        <w:szCs w:val="18"/>
      </w:rPr>
      <w:t>zmene</w:t>
    </w:r>
    <w:r w:rsidRPr="007D5271">
      <w:rPr>
        <w:rFonts w:ascii="Times New Roman" w:hAnsi="Times New Roman"/>
        <w:sz w:val="18"/>
        <w:szCs w:val="18"/>
      </w:rPr>
      <w:t>, ev.</w:t>
    </w:r>
    <w:r w:rsidR="007D5271" w:rsidRPr="007D5271">
      <w:rPr>
        <w:rFonts w:ascii="Times New Roman" w:hAnsi="Times New Roman"/>
        <w:sz w:val="18"/>
        <w:szCs w:val="18"/>
      </w:rPr>
      <w:t xml:space="preserve"> </w:t>
    </w:r>
    <w:r w:rsidRPr="007D5271">
      <w:rPr>
        <w:rFonts w:ascii="Times New Roman" w:hAnsi="Times New Roman"/>
        <w:sz w:val="18"/>
        <w:szCs w:val="18"/>
      </w:rPr>
      <w:t>č.:</w:t>
    </w:r>
    <w:r w:rsidR="007D5271" w:rsidRPr="007D5271">
      <w:rPr>
        <w:rFonts w:ascii="Times New Roman" w:hAnsi="Times New Roman"/>
        <w:sz w:val="18"/>
        <w:szCs w:val="18"/>
      </w:rPr>
      <w:t xml:space="preserve"> 2018/03573-ZME</w:t>
    </w:r>
  </w:p>
  <w:p w:rsidR="00FD5570" w:rsidRPr="00D10A5B" w:rsidRDefault="000D7E1F">
    <w:pPr>
      <w:pStyle w:val="Hlavika"/>
      <w:rPr>
        <w:rFonts w:ascii="Times New Roman" w:hAnsi="Times New Roman"/>
        <w:sz w:val="18"/>
        <w:szCs w:val="18"/>
      </w:rPr>
    </w:pPr>
    <w:r w:rsidRPr="008E712F">
      <w:rPr>
        <w:rFonts w:ascii="Times New Roman" w:hAnsi="Times New Roman"/>
        <w:sz w:val="18"/>
        <w:szCs w:val="18"/>
      </w:rPr>
      <w:t>Schválený text k rozhodnutiu o </w:t>
    </w:r>
    <w:r>
      <w:rPr>
        <w:rFonts w:ascii="Times New Roman" w:hAnsi="Times New Roman"/>
        <w:sz w:val="18"/>
        <w:szCs w:val="18"/>
      </w:rPr>
      <w:t>prevode</w:t>
    </w:r>
    <w:r w:rsidRPr="008E712F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8E712F">
      <w:rPr>
        <w:rFonts w:ascii="Times New Roman" w:hAnsi="Times New Roman"/>
        <w:sz w:val="18"/>
        <w:szCs w:val="18"/>
      </w:rPr>
      <w:t>č.:</w:t>
    </w:r>
    <w:r>
      <w:rPr>
        <w:rFonts w:ascii="Times New Roman" w:hAnsi="Times New Roman"/>
        <w:sz w:val="18"/>
        <w:szCs w:val="18"/>
      </w:rPr>
      <w:t xml:space="preserve"> </w:t>
    </w:r>
    <w:r w:rsidR="00DC2E6C" w:rsidRPr="00DC2E6C">
      <w:rPr>
        <w:rFonts w:ascii="Times New Roman" w:hAnsi="Times New Roman"/>
        <w:sz w:val="18"/>
        <w:szCs w:val="18"/>
      </w:rPr>
      <w:t>2019/01841-TR</w:t>
    </w:r>
  </w:p>
  <w:p w:rsidR="00C62AF1" w:rsidRDefault="00C62A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C61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2" w15:restartNumberingAfterBreak="0">
    <w:nsid w:val="1DCE1374"/>
    <w:multiLevelType w:val="hybridMultilevel"/>
    <w:tmpl w:val="FF18C082"/>
    <w:lvl w:ilvl="0" w:tplc="624EBA1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558D7"/>
    <w:multiLevelType w:val="hybridMultilevel"/>
    <w:tmpl w:val="EB104C90"/>
    <w:lvl w:ilvl="0" w:tplc="624EBA1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B6C69"/>
    <w:multiLevelType w:val="hybridMultilevel"/>
    <w:tmpl w:val="093CB17C"/>
    <w:lvl w:ilvl="0" w:tplc="624EBA14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1AF6BC1"/>
    <w:multiLevelType w:val="singleLevel"/>
    <w:tmpl w:val="3ED4BE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13"/>
    <w:rsid w:val="00003ABA"/>
    <w:rsid w:val="000141EE"/>
    <w:rsid w:val="000161E5"/>
    <w:rsid w:val="00026DFC"/>
    <w:rsid w:val="000345B0"/>
    <w:rsid w:val="000556B8"/>
    <w:rsid w:val="00070B11"/>
    <w:rsid w:val="0009321E"/>
    <w:rsid w:val="000B76F1"/>
    <w:rsid w:val="000D7E1F"/>
    <w:rsid w:val="000E74CE"/>
    <w:rsid w:val="00121B54"/>
    <w:rsid w:val="001251B0"/>
    <w:rsid w:val="00126FFC"/>
    <w:rsid w:val="00127305"/>
    <w:rsid w:val="0013460E"/>
    <w:rsid w:val="0013481C"/>
    <w:rsid w:val="00162073"/>
    <w:rsid w:val="00176030"/>
    <w:rsid w:val="001966F4"/>
    <w:rsid w:val="001A5ECB"/>
    <w:rsid w:val="001A5ECF"/>
    <w:rsid w:val="001B5F9F"/>
    <w:rsid w:val="001C3CF3"/>
    <w:rsid w:val="001E20F6"/>
    <w:rsid w:val="001E2BF2"/>
    <w:rsid w:val="00205047"/>
    <w:rsid w:val="00222D68"/>
    <w:rsid w:val="002267F4"/>
    <w:rsid w:val="002350F6"/>
    <w:rsid w:val="00244B8F"/>
    <w:rsid w:val="00254EF5"/>
    <w:rsid w:val="00260798"/>
    <w:rsid w:val="00264A3F"/>
    <w:rsid w:val="0026774E"/>
    <w:rsid w:val="00281045"/>
    <w:rsid w:val="002826AD"/>
    <w:rsid w:val="00286A45"/>
    <w:rsid w:val="00292BC7"/>
    <w:rsid w:val="002A0BAB"/>
    <w:rsid w:val="002B27AE"/>
    <w:rsid w:val="002B325C"/>
    <w:rsid w:val="002C3E91"/>
    <w:rsid w:val="002D1984"/>
    <w:rsid w:val="002E378E"/>
    <w:rsid w:val="002F032E"/>
    <w:rsid w:val="002F0D71"/>
    <w:rsid w:val="00303216"/>
    <w:rsid w:val="00310D89"/>
    <w:rsid w:val="00311F54"/>
    <w:rsid w:val="00313CAB"/>
    <w:rsid w:val="00325BB8"/>
    <w:rsid w:val="00345ED9"/>
    <w:rsid w:val="00365611"/>
    <w:rsid w:val="00372E79"/>
    <w:rsid w:val="00381899"/>
    <w:rsid w:val="00382DF2"/>
    <w:rsid w:val="003A2F25"/>
    <w:rsid w:val="003C7994"/>
    <w:rsid w:val="00406DDD"/>
    <w:rsid w:val="004121EE"/>
    <w:rsid w:val="0041465D"/>
    <w:rsid w:val="004202CF"/>
    <w:rsid w:val="0042638A"/>
    <w:rsid w:val="00445D95"/>
    <w:rsid w:val="004655FF"/>
    <w:rsid w:val="004816A2"/>
    <w:rsid w:val="004B0447"/>
    <w:rsid w:val="004B49AB"/>
    <w:rsid w:val="004D0F6E"/>
    <w:rsid w:val="004E42E0"/>
    <w:rsid w:val="004F301C"/>
    <w:rsid w:val="0051052F"/>
    <w:rsid w:val="00515E66"/>
    <w:rsid w:val="005168CA"/>
    <w:rsid w:val="005233AF"/>
    <w:rsid w:val="00525920"/>
    <w:rsid w:val="005347DA"/>
    <w:rsid w:val="005450CB"/>
    <w:rsid w:val="00555535"/>
    <w:rsid w:val="00557474"/>
    <w:rsid w:val="00563869"/>
    <w:rsid w:val="005663BA"/>
    <w:rsid w:val="00577317"/>
    <w:rsid w:val="0058526B"/>
    <w:rsid w:val="005A09D6"/>
    <w:rsid w:val="005B1591"/>
    <w:rsid w:val="005B4806"/>
    <w:rsid w:val="005C0097"/>
    <w:rsid w:val="005C5065"/>
    <w:rsid w:val="005E0E77"/>
    <w:rsid w:val="005E25E5"/>
    <w:rsid w:val="00605B76"/>
    <w:rsid w:val="00606056"/>
    <w:rsid w:val="00610CF1"/>
    <w:rsid w:val="00623179"/>
    <w:rsid w:val="00640C3A"/>
    <w:rsid w:val="006442F3"/>
    <w:rsid w:val="006540DA"/>
    <w:rsid w:val="006642FC"/>
    <w:rsid w:val="0068218C"/>
    <w:rsid w:val="006840E2"/>
    <w:rsid w:val="006A027B"/>
    <w:rsid w:val="006A79EF"/>
    <w:rsid w:val="006F5083"/>
    <w:rsid w:val="007132C4"/>
    <w:rsid w:val="00722F10"/>
    <w:rsid w:val="00737A39"/>
    <w:rsid w:val="007433DD"/>
    <w:rsid w:val="00753DFC"/>
    <w:rsid w:val="00765DD1"/>
    <w:rsid w:val="00776231"/>
    <w:rsid w:val="007830A8"/>
    <w:rsid w:val="00783859"/>
    <w:rsid w:val="00786CD2"/>
    <w:rsid w:val="00795960"/>
    <w:rsid w:val="007A1ABE"/>
    <w:rsid w:val="007A3229"/>
    <w:rsid w:val="007B227F"/>
    <w:rsid w:val="007B3A66"/>
    <w:rsid w:val="007C1535"/>
    <w:rsid w:val="007D5271"/>
    <w:rsid w:val="007D5B4E"/>
    <w:rsid w:val="00814D1B"/>
    <w:rsid w:val="0082178F"/>
    <w:rsid w:val="008267F8"/>
    <w:rsid w:val="008431A4"/>
    <w:rsid w:val="008521B2"/>
    <w:rsid w:val="00866F4A"/>
    <w:rsid w:val="00867F4F"/>
    <w:rsid w:val="00874126"/>
    <w:rsid w:val="0088096F"/>
    <w:rsid w:val="00883A40"/>
    <w:rsid w:val="00891B6C"/>
    <w:rsid w:val="008E0CC1"/>
    <w:rsid w:val="00902773"/>
    <w:rsid w:val="009036F3"/>
    <w:rsid w:val="009047B7"/>
    <w:rsid w:val="009069BE"/>
    <w:rsid w:val="0091148E"/>
    <w:rsid w:val="009170FA"/>
    <w:rsid w:val="00920105"/>
    <w:rsid w:val="009238F2"/>
    <w:rsid w:val="00925CC1"/>
    <w:rsid w:val="00926BDB"/>
    <w:rsid w:val="009445F7"/>
    <w:rsid w:val="009509CD"/>
    <w:rsid w:val="00952E85"/>
    <w:rsid w:val="00954DBB"/>
    <w:rsid w:val="00976A35"/>
    <w:rsid w:val="00990D70"/>
    <w:rsid w:val="009A3EEF"/>
    <w:rsid w:val="009A40CF"/>
    <w:rsid w:val="009A675C"/>
    <w:rsid w:val="009D0913"/>
    <w:rsid w:val="009D0B2B"/>
    <w:rsid w:val="009F3C6A"/>
    <w:rsid w:val="00A13418"/>
    <w:rsid w:val="00A41638"/>
    <w:rsid w:val="00A61ADD"/>
    <w:rsid w:val="00A6306B"/>
    <w:rsid w:val="00A85498"/>
    <w:rsid w:val="00A9498D"/>
    <w:rsid w:val="00AA2AF1"/>
    <w:rsid w:val="00AA455F"/>
    <w:rsid w:val="00AA7C40"/>
    <w:rsid w:val="00AC2F13"/>
    <w:rsid w:val="00AE5994"/>
    <w:rsid w:val="00AE7AD9"/>
    <w:rsid w:val="00B00A2C"/>
    <w:rsid w:val="00B02290"/>
    <w:rsid w:val="00B108F3"/>
    <w:rsid w:val="00B45CF9"/>
    <w:rsid w:val="00B60027"/>
    <w:rsid w:val="00B84B00"/>
    <w:rsid w:val="00B91CFA"/>
    <w:rsid w:val="00B94212"/>
    <w:rsid w:val="00B97851"/>
    <w:rsid w:val="00BA32DF"/>
    <w:rsid w:val="00BB2DF9"/>
    <w:rsid w:val="00BC33C5"/>
    <w:rsid w:val="00BD4F37"/>
    <w:rsid w:val="00BD7815"/>
    <w:rsid w:val="00BE0FEE"/>
    <w:rsid w:val="00BE7002"/>
    <w:rsid w:val="00BF4573"/>
    <w:rsid w:val="00C07625"/>
    <w:rsid w:val="00C1192F"/>
    <w:rsid w:val="00C22A8F"/>
    <w:rsid w:val="00C62AF1"/>
    <w:rsid w:val="00C67B6E"/>
    <w:rsid w:val="00C867EF"/>
    <w:rsid w:val="00C922EE"/>
    <w:rsid w:val="00CC247A"/>
    <w:rsid w:val="00CD1DCB"/>
    <w:rsid w:val="00D07E2A"/>
    <w:rsid w:val="00D10A5B"/>
    <w:rsid w:val="00D27E5F"/>
    <w:rsid w:val="00D35299"/>
    <w:rsid w:val="00D425B3"/>
    <w:rsid w:val="00D42F07"/>
    <w:rsid w:val="00D54F0E"/>
    <w:rsid w:val="00D56657"/>
    <w:rsid w:val="00D577B5"/>
    <w:rsid w:val="00D65D1F"/>
    <w:rsid w:val="00D8246F"/>
    <w:rsid w:val="00D8626C"/>
    <w:rsid w:val="00DA2A15"/>
    <w:rsid w:val="00DA632D"/>
    <w:rsid w:val="00DB2517"/>
    <w:rsid w:val="00DC2E6C"/>
    <w:rsid w:val="00DD22C8"/>
    <w:rsid w:val="00DF0F12"/>
    <w:rsid w:val="00DF2004"/>
    <w:rsid w:val="00DF7566"/>
    <w:rsid w:val="00E244F3"/>
    <w:rsid w:val="00E31021"/>
    <w:rsid w:val="00E449F7"/>
    <w:rsid w:val="00E464D5"/>
    <w:rsid w:val="00E54356"/>
    <w:rsid w:val="00E6050E"/>
    <w:rsid w:val="00E86379"/>
    <w:rsid w:val="00EB7684"/>
    <w:rsid w:val="00F01558"/>
    <w:rsid w:val="00F01CFD"/>
    <w:rsid w:val="00F10030"/>
    <w:rsid w:val="00F10304"/>
    <w:rsid w:val="00F313C2"/>
    <w:rsid w:val="00F73CDD"/>
    <w:rsid w:val="00F76260"/>
    <w:rsid w:val="00F819F7"/>
    <w:rsid w:val="00F91346"/>
    <w:rsid w:val="00FA76E2"/>
    <w:rsid w:val="00FD5570"/>
    <w:rsid w:val="00FD7A37"/>
    <w:rsid w:val="00FE3B7A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69DDB1-C74D-4DED-BFB0-7ECA0145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0F6E"/>
    <w:rPr>
      <w:rFonts w:ascii="Tms Rmn" w:hAnsi="Tms Rmn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0F6E"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0F6E"/>
    <w:pPr>
      <w:keepNext/>
      <w:jc w:val="both"/>
      <w:outlineLvl w:val="1"/>
    </w:pPr>
    <w:rPr>
      <w:rFonts w:ascii="Arial" w:hAnsi="Arial"/>
      <w:caps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8E0CC1"/>
    <w:pPr>
      <w:keepNext/>
      <w:keepLines/>
      <w:tabs>
        <w:tab w:val="num" w:pos="1397"/>
      </w:tabs>
      <w:spacing w:before="240" w:after="120"/>
      <w:ind w:left="1397" w:hanging="1397"/>
      <w:outlineLvl w:val="4"/>
    </w:pPr>
    <w:rPr>
      <w:rFonts w:ascii="Arial" w:hAnsi="Arial"/>
      <w:b/>
      <w:sz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5"/>
    </w:pPr>
    <w:rPr>
      <w:rFonts w:ascii="Arial" w:hAnsi="Arial"/>
      <w:b/>
      <w:sz w:val="24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6"/>
    </w:pPr>
    <w:rPr>
      <w:rFonts w:ascii="Arial" w:hAnsi="Arial"/>
      <w:b/>
      <w:sz w:val="24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7"/>
    </w:pPr>
    <w:rPr>
      <w:rFonts w:ascii="Arial" w:hAnsi="Arial"/>
      <w:b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35B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35B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E0CC1"/>
    <w:rPr>
      <w:rFonts w:ascii="Arial" w:hAnsi="Arial"/>
      <w:b/>
      <w:sz w:val="24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E0CC1"/>
    <w:rPr>
      <w:rFonts w:ascii="Arial" w:hAnsi="Arial"/>
      <w:b/>
      <w:sz w:val="24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E0CC1"/>
    <w:rPr>
      <w:rFonts w:ascii="Arial" w:hAnsi="Arial"/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E0CC1"/>
    <w:rPr>
      <w:rFonts w:ascii="Arial" w:hAnsi="Arial"/>
      <w:b/>
      <w:sz w:val="24"/>
    </w:rPr>
  </w:style>
  <w:style w:type="paragraph" w:customStyle="1" w:styleId="Export0">
    <w:name w:val="Export 0"/>
    <w:rsid w:val="004D0F6E"/>
    <w:rPr>
      <w:rFonts w:ascii="Avinion" w:hAnsi="Avinion"/>
      <w:sz w:val="24"/>
      <w:lang w:val="en-US" w:eastAsia="en-US"/>
    </w:rPr>
  </w:style>
  <w:style w:type="paragraph" w:customStyle="1" w:styleId="Export1">
    <w:name w:val="Export 1"/>
    <w:rsid w:val="004D0F6E"/>
    <w:rPr>
      <w:rFonts w:ascii="Avinion" w:hAnsi="Avinion"/>
      <w:i/>
      <w:lang w:val="en-US" w:eastAsia="en-US"/>
    </w:rPr>
  </w:style>
  <w:style w:type="paragraph" w:customStyle="1" w:styleId="Nadpis">
    <w:name w:val="Nadpis"/>
    <w:rsid w:val="004D0F6E"/>
    <w:rPr>
      <w:rFonts w:ascii="Avinion" w:hAnsi="Avinion"/>
      <w:sz w:val="40"/>
      <w:lang w:val="en-US" w:eastAsia="en-US"/>
    </w:rPr>
  </w:style>
  <w:style w:type="paragraph" w:customStyle="1" w:styleId="Export3">
    <w:name w:val="Export 3"/>
    <w:rsid w:val="004D0F6E"/>
    <w:pPr>
      <w:jc w:val="center"/>
    </w:pPr>
    <w:rPr>
      <w:rFonts w:ascii="Avinion" w:hAnsi="Avinion"/>
      <w:b/>
      <w:sz w:val="36"/>
      <w:lang w:val="en-US" w:eastAsia="en-US"/>
    </w:rPr>
  </w:style>
  <w:style w:type="paragraph" w:customStyle="1" w:styleId="Import0">
    <w:name w:val="Import 0"/>
    <w:rsid w:val="004D0F6E"/>
    <w:rPr>
      <w:rFonts w:ascii="Tms Rmn" w:hAnsi="Tms Rmn"/>
      <w:sz w:val="24"/>
      <w:lang w:val="en-US" w:eastAsia="en-US"/>
    </w:rPr>
  </w:style>
  <w:style w:type="paragraph" w:customStyle="1" w:styleId="Import1">
    <w:name w:val="Import 1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customStyle="1" w:styleId="Import2">
    <w:name w:val="Import 2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customStyle="1" w:styleId="Import3">
    <w:name w:val="Import 3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4D0F6E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5B4"/>
    <w:rPr>
      <w:rFonts w:ascii="Tms Rmn" w:hAnsi="Tms Rmn"/>
      <w:lang w:val="en-US" w:eastAsia="en-US"/>
    </w:rPr>
  </w:style>
  <w:style w:type="paragraph" w:styleId="Pta">
    <w:name w:val="footer"/>
    <w:basedOn w:val="Normlny"/>
    <w:link w:val="PtaChar"/>
    <w:uiPriority w:val="99"/>
    <w:rsid w:val="004D0F6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840E2"/>
    <w:rPr>
      <w:rFonts w:ascii="Tms Rmn" w:hAnsi="Tms Rmn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4D0F6E"/>
    <w:rPr>
      <w:rFonts w:ascii="Arial" w:hAnsi="Arial"/>
      <w:i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Normal1">
    <w:name w:val="Normal1"/>
    <w:basedOn w:val="Normlny"/>
    <w:rsid w:val="004D0F6E"/>
    <w:rPr>
      <w:b/>
      <w:sz w:val="24"/>
      <w:lang w:val="en-GB"/>
    </w:rPr>
  </w:style>
  <w:style w:type="character" w:styleId="slostrany">
    <w:name w:val="page number"/>
    <w:basedOn w:val="Predvolenpsmoodseku"/>
    <w:uiPriority w:val="99"/>
    <w:rsid w:val="004D0F6E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4D0F6E"/>
    <w:pPr>
      <w:jc w:val="both"/>
    </w:pPr>
    <w:rPr>
      <w:rFonts w:ascii="Arial" w:hAnsi="Arial" w:cs="Arial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Bodytext">
    <w:name w:val="Bodytext"/>
    <w:basedOn w:val="Normlny"/>
    <w:rsid w:val="004D0F6E"/>
    <w:pPr>
      <w:spacing w:after="200" w:line="360" w:lineRule="exact"/>
      <w:ind w:left="851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D0F6E"/>
    <w:pPr>
      <w:spacing w:line="360" w:lineRule="auto"/>
      <w:ind w:left="851"/>
      <w:jc w:val="both"/>
    </w:pPr>
    <w:rPr>
      <w:rFonts w:ascii="Arial" w:hAnsi="Arial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BodyText12">
    <w:name w:val="BodyText12"/>
    <w:rsid w:val="004D0F6E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TableText">
    <w:name w:val="TableText"/>
    <w:basedOn w:val="Normlny"/>
    <w:rsid w:val="004D0F6E"/>
    <w:pPr>
      <w:keepNext/>
    </w:pPr>
    <w:rPr>
      <w:rFonts w:ascii="Times New Roman" w:hAnsi="Times New Roman"/>
    </w:rPr>
  </w:style>
  <w:style w:type="paragraph" w:styleId="Zkladntext3">
    <w:name w:val="Body Text 3"/>
    <w:basedOn w:val="Normlny"/>
    <w:link w:val="Zkladntext3Char"/>
    <w:uiPriority w:val="99"/>
    <w:rsid w:val="004D0F6E"/>
    <w:rPr>
      <w:rFonts w:ascii="Arial" w:hAnsi="Arial" w:cs="Arial"/>
      <w:u w:val="double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835B4"/>
    <w:rPr>
      <w:rFonts w:ascii="Tms Rmn" w:hAnsi="Tms Rmn"/>
      <w:sz w:val="16"/>
      <w:szCs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D0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5B4"/>
    <w:rPr>
      <w:sz w:val="0"/>
      <w:szCs w:val="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AA2AF1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A2AF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35B4"/>
    <w:rPr>
      <w:rFonts w:ascii="Tms Rmn" w:hAnsi="Tms Rm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A2A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5B4"/>
    <w:rPr>
      <w:rFonts w:ascii="Tms Rmn" w:hAnsi="Tms Rmn"/>
      <w:b/>
      <w:bCs/>
      <w:lang w:val="en-US" w:eastAsia="en-US"/>
    </w:rPr>
  </w:style>
  <w:style w:type="paragraph" w:styleId="Revzia">
    <w:name w:val="Revision"/>
    <w:hidden/>
    <w:uiPriority w:val="99"/>
    <w:semiHidden/>
    <w:rsid w:val="008267F8"/>
    <w:rPr>
      <w:rFonts w:ascii="Tms Rmn" w:hAnsi="Tms Rmn"/>
      <w:lang w:val="en-US" w:eastAsia="en-US"/>
    </w:rPr>
  </w:style>
  <w:style w:type="table" w:styleId="Mriekatabuky">
    <w:name w:val="Table Grid"/>
    <w:basedOn w:val="Normlnatabuka"/>
    <w:uiPriority w:val="59"/>
    <w:rsid w:val="007132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prepojenie">
    <w:name w:val="Hyperlink"/>
    <w:basedOn w:val="Predvolenpsmoodseku"/>
    <w:uiPriority w:val="99"/>
    <w:unhideWhenUsed/>
    <w:rsid w:val="00920105"/>
    <w:rPr>
      <w:color w:val="0000FF"/>
      <w:u w:val="single"/>
    </w:rPr>
  </w:style>
  <w:style w:type="paragraph" w:customStyle="1" w:styleId="Heading0">
    <w:name w:val="Heading 0"/>
    <w:next w:val="Normlny"/>
    <w:rsid w:val="008E0CC1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22A8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22A8F"/>
    <w:rPr>
      <w:rFonts w:ascii="Tms Rmn" w:hAnsi="Tms Rm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Johnson &amp; Johnson</Company>
  <LinksUpToDate>false</LinksUpToDate>
  <CharactersWithSpaces>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Vladimir Devecka</dc:creator>
  <cp:keywords/>
  <dc:description/>
  <cp:lastModifiedBy>Bolebruchová Monika</cp:lastModifiedBy>
  <cp:revision>2</cp:revision>
  <cp:lastPrinted>2017-03-08T11:21:00Z</cp:lastPrinted>
  <dcterms:created xsi:type="dcterms:W3CDTF">2019-05-27T06:07:00Z</dcterms:created>
  <dcterms:modified xsi:type="dcterms:W3CDTF">2019-05-27T06:07:00Z</dcterms:modified>
</cp:coreProperties>
</file>