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60" w:rsidRDefault="00543D60" w:rsidP="00543D60">
      <w:pPr>
        <w:widowControl w:val="0"/>
        <w:autoSpaceDE w:val="0"/>
        <w:autoSpaceDN w:val="0"/>
        <w:adjustRightInd w:val="0"/>
        <w:jc w:val="center"/>
        <w:rPr>
          <w:b/>
          <w:bCs/>
          <w:szCs w:val="22"/>
        </w:rPr>
      </w:pPr>
      <w:bookmarkStart w:id="0" w:name="_GoBack"/>
      <w:bookmarkEnd w:id="0"/>
    </w:p>
    <w:p w:rsidR="00543D60" w:rsidRDefault="00543D60" w:rsidP="00543D60">
      <w:pPr>
        <w:widowControl w:val="0"/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</w:rPr>
        <w:t>SÚHRN CHARAKTERISTICKÝCH VLASTNOSTÍ LIEKU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 xml:space="preserve">1. </w:t>
      </w:r>
      <w:r>
        <w:rPr>
          <w:b/>
          <w:bCs/>
          <w:szCs w:val="22"/>
        </w:rPr>
        <w:tab/>
        <w:t>NÁZOV LIEKU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rPr>
          <w:szCs w:val="22"/>
        </w:rPr>
      </w:pPr>
      <w:proofErr w:type="spellStart"/>
      <w:r>
        <w:rPr>
          <w:szCs w:val="22"/>
        </w:rPr>
        <w:t>Linola</w:t>
      </w:r>
      <w:proofErr w:type="spellEnd"/>
      <w:r>
        <w:rPr>
          <w:szCs w:val="22"/>
        </w:rPr>
        <w:t xml:space="preserve"> Fett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8,15 mg/g </w:t>
      </w:r>
      <w:proofErr w:type="spellStart"/>
      <w:r>
        <w:rPr>
          <w:szCs w:val="22"/>
        </w:rPr>
        <w:t>dermálny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krém</w:t>
      </w:r>
      <w:proofErr w:type="spellEnd"/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 xml:space="preserve">2. </w:t>
      </w:r>
      <w:r>
        <w:rPr>
          <w:b/>
          <w:bCs/>
          <w:szCs w:val="22"/>
        </w:rPr>
        <w:tab/>
        <w:t xml:space="preserve">KVALITATÍVNE A KVANTITATÍVNE ZLOŽENIE 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1 g </w:t>
      </w:r>
      <w:proofErr w:type="spellStart"/>
      <w:r>
        <w:rPr>
          <w:szCs w:val="22"/>
        </w:rPr>
        <w:t>dermálneho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krému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obsahuje</w:t>
      </w:r>
      <w:proofErr w:type="spellEnd"/>
      <w:r>
        <w:rPr>
          <w:szCs w:val="22"/>
        </w:rPr>
        <w:t xml:space="preserve"> 8,15 mg </w:t>
      </w:r>
      <w:proofErr w:type="spellStart"/>
      <w:r>
        <w:rPr>
          <w:szCs w:val="22"/>
        </w:rPr>
        <w:t>nenasýtených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mastných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kyselín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mastné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kyseliny</w:t>
      </w:r>
      <w:proofErr w:type="spellEnd"/>
      <w:r>
        <w:rPr>
          <w:szCs w:val="22"/>
        </w:rPr>
        <w:t xml:space="preserve"> C18:2).</w:t>
      </w:r>
    </w:p>
    <w:p w:rsidR="00543D60" w:rsidRDefault="00543D60" w:rsidP="00543D60">
      <w:pPr>
        <w:rPr>
          <w:szCs w:val="22"/>
        </w:rPr>
      </w:pPr>
    </w:p>
    <w:p w:rsidR="00543D60" w:rsidRDefault="00543D60" w:rsidP="00543D60">
      <w:pPr>
        <w:rPr>
          <w:szCs w:val="22"/>
        </w:rPr>
      </w:pPr>
      <w:r>
        <w:rPr>
          <w:noProof/>
          <w:szCs w:val="22"/>
          <w:u w:val="single"/>
        </w:rPr>
        <w:t>Pomocné látky so známym účinkom:</w:t>
      </w:r>
      <w:r>
        <w:rPr>
          <w:noProof/>
          <w:szCs w:val="22"/>
        </w:rPr>
        <w:t xml:space="preserve"> </w:t>
      </w:r>
      <w:proofErr w:type="spellStart"/>
      <w:r>
        <w:rPr>
          <w:szCs w:val="22"/>
        </w:rPr>
        <w:t>vosk</w:t>
      </w:r>
      <w:proofErr w:type="spellEnd"/>
      <w:r>
        <w:rPr>
          <w:szCs w:val="22"/>
        </w:rPr>
        <w:t xml:space="preserve"> z </w:t>
      </w:r>
      <w:proofErr w:type="spellStart"/>
      <w:r>
        <w:rPr>
          <w:szCs w:val="22"/>
        </w:rPr>
        <w:t>ovčej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vlny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lanolín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hydrogenovaný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podzemnicový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arašidový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olej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podzemnicový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arašidový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olej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cetylalkohol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stearylalkohol</w:t>
      </w:r>
      <w:proofErr w:type="spellEnd"/>
      <w:r>
        <w:rPr>
          <w:szCs w:val="22"/>
        </w:rPr>
        <w:t>.</w:t>
      </w:r>
    </w:p>
    <w:p w:rsidR="00543D60" w:rsidRDefault="00543D60" w:rsidP="00543D60">
      <w:pPr>
        <w:rPr>
          <w:szCs w:val="22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Úplný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zoznam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pomocných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látok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pozri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časť</w:t>
      </w:r>
      <w:proofErr w:type="spellEnd"/>
      <w:r>
        <w:rPr>
          <w:szCs w:val="22"/>
        </w:rPr>
        <w:t> 6.1.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  <w:szCs w:val="22"/>
        </w:rPr>
        <w:t xml:space="preserve">3. </w:t>
      </w:r>
      <w:r>
        <w:rPr>
          <w:b/>
          <w:bCs/>
          <w:szCs w:val="22"/>
        </w:rPr>
        <w:tab/>
        <w:t xml:space="preserve">LIEKOVÁ FORMA 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Dermálny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krém</w:t>
      </w:r>
      <w:proofErr w:type="spellEnd"/>
      <w:r>
        <w:rPr>
          <w:szCs w:val="22"/>
        </w:rPr>
        <w:t>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</w:rPr>
      </w:pPr>
    </w:p>
    <w:p w:rsidR="00543D60" w:rsidRDefault="00543D60" w:rsidP="00543D60">
      <w:pPr>
        <w:rPr>
          <w:szCs w:val="22"/>
          <w:lang w:val="pt-PT"/>
        </w:rPr>
      </w:pPr>
      <w:proofErr w:type="spellStart"/>
      <w:r>
        <w:rPr>
          <w:szCs w:val="22"/>
        </w:rPr>
        <w:t>Mierne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žltkastý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hladký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krém</w:t>
      </w:r>
      <w:proofErr w:type="spellEnd"/>
      <w:r>
        <w:rPr>
          <w:szCs w:val="22"/>
        </w:rPr>
        <w:t xml:space="preserve">. </w:t>
      </w:r>
      <w:r>
        <w:rPr>
          <w:szCs w:val="22"/>
          <w:lang w:val="pt-PT"/>
        </w:rPr>
        <w:t>Emulzia typu voda v oleji.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Niekedy sa môže vyskytnúť separácia oleja na povrchu krému. To však nezhoršuje účinnosť lieku.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pt-PT"/>
        </w:rPr>
      </w:pPr>
      <w:r>
        <w:rPr>
          <w:b/>
          <w:bCs/>
          <w:szCs w:val="22"/>
          <w:lang w:val="pt-PT"/>
        </w:rPr>
        <w:t xml:space="preserve">4. </w:t>
      </w:r>
      <w:r>
        <w:rPr>
          <w:b/>
          <w:bCs/>
          <w:szCs w:val="22"/>
          <w:lang w:val="pt-PT"/>
        </w:rPr>
        <w:tab/>
        <w:t>KLINICKÉ ÚDAJE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b/>
          <w:bCs/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pt-PT"/>
        </w:rPr>
      </w:pPr>
      <w:r>
        <w:rPr>
          <w:b/>
          <w:bCs/>
          <w:szCs w:val="22"/>
          <w:lang w:val="pt-PT"/>
        </w:rPr>
        <w:t xml:space="preserve">4.1 </w:t>
      </w:r>
      <w:r>
        <w:rPr>
          <w:b/>
          <w:bCs/>
          <w:szCs w:val="22"/>
          <w:lang w:val="pt-PT"/>
        </w:rPr>
        <w:tab/>
        <w:t>Terapeutické indikácie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Na podpornú liečbu v prípade miernych až stredne ťažkých foriem atopického ekzému (neurodermatitídy) v subakútnom až chronickom štádiu.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pt-PT"/>
        </w:rPr>
      </w:pPr>
      <w:r>
        <w:rPr>
          <w:b/>
          <w:bCs/>
          <w:szCs w:val="22"/>
          <w:lang w:val="pt-PT"/>
        </w:rPr>
        <w:t xml:space="preserve">4.2 </w:t>
      </w:r>
      <w:r>
        <w:rPr>
          <w:b/>
          <w:bCs/>
          <w:szCs w:val="22"/>
          <w:lang w:val="pt-PT"/>
        </w:rPr>
        <w:tab/>
        <w:t xml:space="preserve">Dávkovanie a spôsob </w:t>
      </w:r>
      <w:r>
        <w:rPr>
          <w:b/>
          <w:noProof/>
          <w:szCs w:val="22"/>
          <w:lang w:val="pt-PT"/>
        </w:rPr>
        <w:t>podávania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rPr>
          <w:lang w:val="pt-PT"/>
        </w:rPr>
      </w:pPr>
      <w:r>
        <w:rPr>
          <w:szCs w:val="22"/>
          <w:lang w:val="pt-PT"/>
        </w:rPr>
        <w:t>Linola Fett sa nanáša na suchú kožu</w:t>
      </w:r>
      <w:r>
        <w:rPr>
          <w:lang w:val="pt-PT"/>
        </w:rPr>
        <w:t xml:space="preserve"> rovnomerne, </w:t>
      </w:r>
      <w:r>
        <w:rPr>
          <w:szCs w:val="22"/>
          <w:lang w:val="pt-PT"/>
        </w:rPr>
        <w:t>niekoľkokrát denne. Zvyčajne postačuje naniesť liek dvakrát denne.</w:t>
      </w:r>
      <w:r>
        <w:rPr>
          <w:highlight w:val="green"/>
          <w:lang w:val="pt-PT"/>
        </w:rPr>
        <w:t xml:space="preserve"> </w:t>
      </w:r>
    </w:p>
    <w:p w:rsidR="00543D60" w:rsidRDefault="00543D60" w:rsidP="00543D60">
      <w:pPr>
        <w:rPr>
          <w:szCs w:val="22"/>
          <w:lang w:val="pt-PT"/>
        </w:rPr>
      </w:pPr>
    </w:p>
    <w:p w:rsidR="00543D60" w:rsidRDefault="00543D60" w:rsidP="00543D60">
      <w:pPr>
        <w:rPr>
          <w:szCs w:val="22"/>
          <w:lang w:val="pt-PT"/>
        </w:rPr>
      </w:pPr>
      <w:r>
        <w:rPr>
          <w:szCs w:val="22"/>
          <w:lang w:val="pt-PT"/>
        </w:rPr>
        <w:t>Odporúča sa používať Linolu Fett až do zlepšenia stavu kože alebo podľa odporúčania lekára. Znášanlivosť Linoly Fett sa preukázala počas 4 týždňov.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pt-PT"/>
        </w:rPr>
      </w:pPr>
      <w:r>
        <w:rPr>
          <w:b/>
          <w:bCs/>
          <w:szCs w:val="22"/>
          <w:lang w:val="pt-PT"/>
        </w:rPr>
        <w:t xml:space="preserve">4.3 </w:t>
      </w:r>
      <w:r>
        <w:rPr>
          <w:b/>
          <w:bCs/>
          <w:szCs w:val="22"/>
          <w:lang w:val="pt-PT"/>
        </w:rPr>
        <w:tab/>
        <w:t>Kontraindikácie</w:t>
      </w:r>
    </w:p>
    <w:p w:rsidR="00543D60" w:rsidRDefault="00543D60" w:rsidP="00543D60">
      <w:pPr>
        <w:widowControl w:val="0"/>
        <w:tabs>
          <w:tab w:val="left" w:pos="480"/>
        </w:tabs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pStyle w:val="Zkladntext"/>
        <w:rPr>
          <w:lang w:val="pt-PT"/>
        </w:rPr>
      </w:pPr>
      <w:r>
        <w:rPr>
          <w:noProof/>
          <w:lang w:val="pt-PT"/>
        </w:rPr>
        <w:t>Precitlivenosť na liečivo, podzemnicu (arašidy),</w:t>
      </w:r>
      <w:r>
        <w:rPr>
          <w:lang w:val="pt-PT"/>
        </w:rPr>
        <w:t xml:space="preserve"> sóju </w:t>
      </w:r>
      <w:r>
        <w:rPr>
          <w:noProof/>
          <w:lang w:val="pt-PT"/>
        </w:rPr>
        <w:t>alebo na ktorúkoľvek z pomocných látok uvedených v časti 6.1.</w:t>
      </w:r>
      <w:r>
        <w:rPr>
          <w:lang w:val="pt-PT"/>
        </w:rPr>
        <w:t xml:space="preserve"> </w:t>
      </w:r>
    </w:p>
    <w:p w:rsidR="00543D60" w:rsidRDefault="00543D60" w:rsidP="00543D60">
      <w:pPr>
        <w:widowControl w:val="0"/>
        <w:tabs>
          <w:tab w:val="left" w:pos="480"/>
        </w:tabs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ind w:left="567" w:hanging="567"/>
        <w:rPr>
          <w:szCs w:val="22"/>
          <w:lang w:val="pt-PT"/>
        </w:rPr>
      </w:pPr>
      <w:r>
        <w:rPr>
          <w:b/>
          <w:bCs/>
          <w:szCs w:val="22"/>
          <w:lang w:val="pt-PT"/>
        </w:rPr>
        <w:t>4.4</w:t>
      </w:r>
      <w:r>
        <w:rPr>
          <w:b/>
          <w:bCs/>
          <w:szCs w:val="22"/>
          <w:lang w:val="pt-PT"/>
        </w:rPr>
        <w:tab/>
        <w:t>Osobitné upozornenia a opatrenia pri používaní</w:t>
      </w:r>
    </w:p>
    <w:p w:rsidR="00543D60" w:rsidRDefault="00543D60" w:rsidP="00543D60">
      <w:pPr>
        <w:widowControl w:val="0"/>
        <w:tabs>
          <w:tab w:val="left" w:pos="460"/>
        </w:tabs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rPr>
          <w:szCs w:val="22"/>
          <w:lang w:val="pt-PT"/>
        </w:rPr>
      </w:pPr>
      <w:r>
        <w:rPr>
          <w:szCs w:val="22"/>
          <w:lang w:val="pt-PT"/>
        </w:rPr>
        <w:t xml:space="preserve">Cetylalkohol a stearylalkohol, podzemnicový (arašidový) olej a vosk z ovčej vlny (lanolín) môžu spôsobiť miestne kožné reakcie (napr. kontaktnú dermatitídu). Čistený podzemnicový olej môže obsahovať arašidové bielkoviny. PhEur monografia neobsahuje test na reziduálne bielkoviny. </w:t>
      </w:r>
    </w:p>
    <w:p w:rsidR="00543D60" w:rsidRDefault="00543D60" w:rsidP="00543D60">
      <w:pPr>
        <w:rPr>
          <w:szCs w:val="22"/>
          <w:lang w:val="pt-PT"/>
        </w:rPr>
      </w:pPr>
    </w:p>
    <w:p w:rsidR="00543D60" w:rsidRDefault="00543D60" w:rsidP="00543D60">
      <w:pPr>
        <w:rPr>
          <w:szCs w:val="22"/>
          <w:lang w:val="pt-PT"/>
        </w:rPr>
      </w:pPr>
      <w:r>
        <w:rPr>
          <w:szCs w:val="22"/>
          <w:lang w:val="pt-PT"/>
        </w:rPr>
        <w:t>V zriedkavých prípadoch môže podzemnicový (arašidový) olej spôsobiť závažné alergické reakcie (pozri časť 4.3).</w:t>
      </w:r>
    </w:p>
    <w:p w:rsidR="00543D60" w:rsidRDefault="00543D60" w:rsidP="00543D60">
      <w:pPr>
        <w:rPr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460"/>
        </w:tabs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Ak sa Linola Fett používa v análno-genitálnej oblasti a súbežne sa použije kondóm, zníži sa odolnosť kondómu voči pretrhnutiu a jeho bezpečnosť, pretože liek obsahuje vazelínu.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  <w:lang w:val="pt-PT"/>
        </w:rPr>
      </w:pPr>
      <w:r>
        <w:rPr>
          <w:b/>
          <w:bCs/>
          <w:szCs w:val="22"/>
          <w:lang w:val="pt-PT"/>
        </w:rPr>
        <w:t xml:space="preserve">4.5 </w:t>
      </w:r>
      <w:r>
        <w:rPr>
          <w:b/>
          <w:bCs/>
          <w:szCs w:val="22"/>
          <w:lang w:val="pt-PT"/>
        </w:rPr>
        <w:tab/>
        <w:t>Liekové a iné interakcie</w:t>
      </w:r>
      <w:r>
        <w:rPr>
          <w:szCs w:val="22"/>
          <w:lang w:val="pt-PT"/>
        </w:rPr>
        <w:t xml:space="preserve"> </w:t>
      </w:r>
      <w:r>
        <w:rPr>
          <w:szCs w:val="22"/>
          <w:lang w:val="pt-PT"/>
        </w:rPr>
        <w:tab/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Nie sú známe.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ind w:left="567" w:hanging="567"/>
        <w:rPr>
          <w:szCs w:val="22"/>
          <w:lang w:val="pt-PT"/>
        </w:rPr>
      </w:pPr>
      <w:r>
        <w:rPr>
          <w:b/>
          <w:bCs/>
          <w:szCs w:val="22"/>
          <w:lang w:val="pt-PT"/>
        </w:rPr>
        <w:t>4.6</w:t>
      </w:r>
      <w:r>
        <w:rPr>
          <w:b/>
          <w:bCs/>
          <w:szCs w:val="22"/>
          <w:lang w:val="pt-PT"/>
        </w:rPr>
        <w:tab/>
        <w:t>Fertilita, gravidita a laktácia</w:t>
      </w:r>
    </w:p>
    <w:p w:rsidR="00543D60" w:rsidRDefault="00543D60" w:rsidP="00543D60">
      <w:pPr>
        <w:ind w:left="567" w:hanging="567"/>
        <w:rPr>
          <w:b/>
          <w:bCs/>
          <w:szCs w:val="22"/>
          <w:lang w:val="pt-PT"/>
        </w:rPr>
      </w:pPr>
    </w:p>
    <w:p w:rsidR="00543D60" w:rsidRDefault="00543D60" w:rsidP="00543D60">
      <w:pPr>
        <w:ind w:left="567" w:hanging="567"/>
        <w:rPr>
          <w:szCs w:val="22"/>
          <w:u w:val="single"/>
          <w:lang w:val="pt-PT"/>
        </w:rPr>
      </w:pPr>
      <w:r>
        <w:rPr>
          <w:szCs w:val="22"/>
          <w:u w:val="single"/>
          <w:lang w:val="pt-PT"/>
        </w:rPr>
        <w:t>Gravidita</w:t>
      </w:r>
    </w:p>
    <w:p w:rsidR="00543D60" w:rsidRDefault="00543D60" w:rsidP="00543D60">
      <w:pPr>
        <w:ind w:left="567" w:hanging="567"/>
        <w:rPr>
          <w:szCs w:val="22"/>
          <w:u w:val="single"/>
          <w:lang w:val="pt-PT"/>
        </w:rPr>
      </w:pPr>
    </w:p>
    <w:p w:rsidR="00543D60" w:rsidRDefault="00543D60" w:rsidP="00543D60">
      <w:pPr>
        <w:ind w:left="567" w:hanging="567"/>
        <w:rPr>
          <w:szCs w:val="22"/>
          <w:lang w:val="pt-PT"/>
        </w:rPr>
      </w:pPr>
      <w:r>
        <w:rPr>
          <w:szCs w:val="22"/>
          <w:lang w:val="pt-PT"/>
        </w:rPr>
        <w:t>Pri použití tohto lieku počas gravidity nie sú žiadne osobitné obmedzenia.</w:t>
      </w:r>
    </w:p>
    <w:p w:rsidR="00543D60" w:rsidRDefault="00543D60" w:rsidP="00543D60">
      <w:pPr>
        <w:ind w:left="567" w:hanging="567"/>
        <w:rPr>
          <w:szCs w:val="22"/>
          <w:lang w:val="nl-NL"/>
        </w:rPr>
      </w:pPr>
    </w:p>
    <w:p w:rsidR="00543D60" w:rsidRDefault="00543D60" w:rsidP="00543D60">
      <w:pPr>
        <w:ind w:left="567" w:hanging="567"/>
        <w:rPr>
          <w:szCs w:val="22"/>
          <w:u w:val="single"/>
          <w:lang w:val="nl-NL"/>
        </w:rPr>
      </w:pPr>
      <w:r>
        <w:rPr>
          <w:szCs w:val="22"/>
          <w:u w:val="single"/>
          <w:lang w:val="nl-NL"/>
        </w:rPr>
        <w:t>Dojčenie</w:t>
      </w:r>
    </w:p>
    <w:p w:rsidR="00543D60" w:rsidRDefault="00543D60" w:rsidP="00543D60">
      <w:pPr>
        <w:ind w:left="567" w:hanging="567"/>
        <w:rPr>
          <w:szCs w:val="22"/>
          <w:u w:val="single"/>
          <w:lang w:val="nl-NL"/>
        </w:rPr>
      </w:pP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Počas dojčenia sa Linola Fett nesmie nanášať v oblasti prsníkov, aby dojča neprišlo do styku s liečivami krému.</w:t>
      </w:r>
    </w:p>
    <w:p w:rsidR="00543D60" w:rsidRDefault="00543D60" w:rsidP="00543D60">
      <w:pPr>
        <w:ind w:left="567" w:hanging="567"/>
        <w:rPr>
          <w:szCs w:val="22"/>
          <w:lang w:val="nl-NL"/>
        </w:rPr>
      </w:pPr>
    </w:p>
    <w:p w:rsidR="00543D60" w:rsidRDefault="00543D60" w:rsidP="00543D60">
      <w:pPr>
        <w:ind w:left="567" w:hanging="567"/>
        <w:rPr>
          <w:szCs w:val="22"/>
          <w:lang w:val="nl-NL"/>
        </w:rPr>
      </w:pPr>
      <w:r>
        <w:rPr>
          <w:b/>
          <w:bCs/>
          <w:szCs w:val="22"/>
          <w:lang w:val="nl-NL"/>
        </w:rPr>
        <w:t>4.7</w:t>
      </w:r>
      <w:r>
        <w:rPr>
          <w:b/>
          <w:bCs/>
          <w:szCs w:val="22"/>
          <w:lang w:val="nl-NL"/>
        </w:rPr>
        <w:tab/>
        <w:t>Ovplyvnenie schopnosti viesť vozidlá a obsluhovať stroje</w:t>
      </w:r>
    </w:p>
    <w:p w:rsidR="00543D60" w:rsidRDefault="00543D60" w:rsidP="00543D60">
      <w:pPr>
        <w:rPr>
          <w:szCs w:val="22"/>
          <w:lang w:val="nl-NL"/>
        </w:rPr>
      </w:pPr>
    </w:p>
    <w:p w:rsidR="00543D60" w:rsidRDefault="00543D60" w:rsidP="00543D60">
      <w:pPr>
        <w:rPr>
          <w:szCs w:val="22"/>
          <w:lang w:val="nl-NL"/>
        </w:rPr>
      </w:pPr>
      <w:r>
        <w:rPr>
          <w:szCs w:val="22"/>
          <w:lang w:val="nl-NL"/>
        </w:rPr>
        <w:t>Neaplikovateľné.</w:t>
      </w:r>
    </w:p>
    <w:p w:rsidR="00543D60" w:rsidRDefault="00543D60" w:rsidP="00543D60">
      <w:pPr>
        <w:widowControl w:val="0"/>
        <w:tabs>
          <w:tab w:val="left" w:pos="489"/>
        </w:tabs>
        <w:autoSpaceDE w:val="0"/>
        <w:autoSpaceDN w:val="0"/>
        <w:adjustRightInd w:val="0"/>
        <w:rPr>
          <w:szCs w:val="22"/>
          <w:lang w:val="nl-NL"/>
        </w:rPr>
      </w:pP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b/>
          <w:bCs/>
          <w:szCs w:val="22"/>
          <w:lang w:val="nl-NL"/>
        </w:rPr>
      </w:pPr>
      <w:r>
        <w:rPr>
          <w:b/>
          <w:bCs/>
          <w:szCs w:val="22"/>
          <w:lang w:val="nl-NL"/>
        </w:rPr>
        <w:t xml:space="preserve">4.8 </w:t>
      </w:r>
      <w:r>
        <w:rPr>
          <w:b/>
          <w:bCs/>
          <w:szCs w:val="22"/>
          <w:lang w:val="nl-NL"/>
        </w:rPr>
        <w:tab/>
      </w:r>
      <w:r>
        <w:rPr>
          <w:b/>
          <w:bCs/>
          <w:szCs w:val="22"/>
          <w:lang w:val="nl-NL"/>
        </w:rPr>
        <w:tab/>
        <w:t xml:space="preserve">Nežiaduce účinky 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b/>
          <w:bCs/>
          <w:szCs w:val="22"/>
          <w:lang w:val="nl-NL"/>
        </w:rPr>
      </w:pP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bCs/>
          <w:szCs w:val="22"/>
          <w:lang w:val="nl-NL"/>
        </w:rPr>
      </w:pPr>
      <w:r>
        <w:rPr>
          <w:bCs/>
          <w:szCs w:val="22"/>
          <w:lang w:val="nl-NL"/>
        </w:rPr>
        <w:t>Nežiaduce účinky sú uvedené podľa tried orgánových systémov a frekvencie výskytu. Frekvencie výskytu sú definované ako: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pl-PL"/>
        </w:rPr>
      </w:pPr>
      <w:r>
        <w:rPr>
          <w:szCs w:val="22"/>
          <w:lang w:val="pl-PL"/>
        </w:rPr>
        <w:t>veľmi časté (</w:t>
      </w:r>
      <w:r>
        <w:rPr>
          <w:szCs w:val="22"/>
          <w:lang w:val="pl-PL"/>
        </w:rPr>
        <w:sym w:font="Symbol" w:char="F0B3"/>
      </w:r>
      <w:r>
        <w:rPr>
          <w:szCs w:val="22"/>
          <w:lang w:val="pl-PL"/>
        </w:rPr>
        <w:t> 1/10),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pl-PL"/>
        </w:rPr>
      </w:pPr>
      <w:r>
        <w:rPr>
          <w:szCs w:val="22"/>
          <w:lang w:val="pl-PL"/>
        </w:rPr>
        <w:t>časté (</w:t>
      </w:r>
      <w:r>
        <w:rPr>
          <w:szCs w:val="22"/>
          <w:lang w:val="pl-PL"/>
        </w:rPr>
        <w:sym w:font="Symbol" w:char="F0B3"/>
      </w:r>
      <w:r>
        <w:rPr>
          <w:szCs w:val="22"/>
          <w:lang w:val="nl-NL"/>
        </w:rPr>
        <w:t> </w:t>
      </w:r>
      <w:r>
        <w:rPr>
          <w:szCs w:val="22"/>
          <w:lang w:val="pl-PL"/>
        </w:rPr>
        <w:t>1/100 až &lt; 1/10),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it-IT"/>
        </w:rPr>
      </w:pPr>
      <w:r>
        <w:rPr>
          <w:szCs w:val="22"/>
          <w:lang w:val="it-IT"/>
        </w:rPr>
        <w:t>menej časté (</w:t>
      </w:r>
      <w:r>
        <w:rPr>
          <w:szCs w:val="22"/>
          <w:lang w:val="pl-PL"/>
        </w:rPr>
        <w:sym w:font="Symbol" w:char="F0B3"/>
      </w:r>
      <w:r>
        <w:rPr>
          <w:szCs w:val="22"/>
          <w:lang w:val="pl-PL"/>
        </w:rPr>
        <w:t> </w:t>
      </w:r>
      <w:r>
        <w:rPr>
          <w:szCs w:val="22"/>
          <w:lang w:val="it-IT"/>
        </w:rPr>
        <w:t>1/1 000 až &lt; 1/100),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pl-PL"/>
        </w:rPr>
      </w:pPr>
      <w:r>
        <w:rPr>
          <w:szCs w:val="22"/>
          <w:lang w:val="it-IT"/>
        </w:rPr>
        <w:t>z</w:t>
      </w:r>
      <w:r>
        <w:rPr>
          <w:szCs w:val="22"/>
          <w:lang w:val="pl-PL"/>
        </w:rPr>
        <w:t>riedkavé (</w:t>
      </w:r>
      <w:r>
        <w:rPr>
          <w:szCs w:val="22"/>
          <w:lang w:val="pl-PL"/>
        </w:rPr>
        <w:sym w:font="Symbol" w:char="F0B3"/>
      </w:r>
      <w:r>
        <w:rPr>
          <w:szCs w:val="22"/>
          <w:lang w:val="pl-PL"/>
        </w:rPr>
        <w:t> 1/10 000 až &lt; 1/1 000),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pl-PL"/>
        </w:rPr>
      </w:pPr>
      <w:r>
        <w:rPr>
          <w:szCs w:val="22"/>
          <w:lang w:val="pl-PL"/>
        </w:rPr>
        <w:t>veľmi zriedkavé (&lt; 1/10 000),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bCs/>
          <w:szCs w:val="22"/>
          <w:lang w:val="it-IT"/>
        </w:rPr>
      </w:pPr>
      <w:r>
        <w:rPr>
          <w:szCs w:val="22"/>
          <w:lang w:val="pl-PL"/>
        </w:rPr>
        <w:t>neznáme (z dostupných údajov).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b/>
          <w:bCs/>
          <w:szCs w:val="22"/>
          <w:lang w:val="it-IT"/>
        </w:rPr>
      </w:pPr>
    </w:p>
    <w:p w:rsidR="00543D60" w:rsidRDefault="00543D60" w:rsidP="00543D60">
      <w:pPr>
        <w:rPr>
          <w:bCs/>
          <w:szCs w:val="22"/>
          <w:u w:val="single"/>
          <w:lang w:val="pl-PL"/>
        </w:rPr>
      </w:pPr>
      <w:r>
        <w:rPr>
          <w:bCs/>
          <w:szCs w:val="22"/>
          <w:u w:val="single"/>
          <w:lang w:val="pl-PL"/>
        </w:rPr>
        <w:t>Poruchy kože a podkožného tkaniva</w:t>
      </w:r>
    </w:p>
    <w:p w:rsidR="00543D60" w:rsidRDefault="00543D60" w:rsidP="00543D60">
      <w:pPr>
        <w:rPr>
          <w:szCs w:val="22"/>
          <w:u w:val="single"/>
          <w:lang w:val="it-IT"/>
        </w:rPr>
      </w:pPr>
    </w:p>
    <w:p w:rsidR="00543D60" w:rsidRDefault="00543D60" w:rsidP="00543D60">
      <w:pPr>
        <w:spacing w:after="120"/>
        <w:ind w:left="1418" w:hanging="1418"/>
        <w:rPr>
          <w:szCs w:val="22"/>
          <w:lang w:val="it-IT"/>
        </w:rPr>
      </w:pPr>
      <w:r>
        <w:rPr>
          <w:bCs/>
          <w:i/>
          <w:szCs w:val="22"/>
          <w:lang w:val="it-IT"/>
        </w:rPr>
        <w:t>Časté</w:t>
      </w:r>
      <w:r>
        <w:rPr>
          <w:szCs w:val="22"/>
          <w:lang w:val="it-IT"/>
        </w:rPr>
        <w:t>:</w:t>
      </w:r>
      <w:r>
        <w:rPr>
          <w:szCs w:val="22"/>
          <w:lang w:val="it-IT"/>
        </w:rPr>
        <w:tab/>
        <w:t>lokálne kožné reakcie (napr. kontaktná dermatitída) so sčervenením a bodavou bolesťou alebo svrbením kože.</w:t>
      </w:r>
    </w:p>
    <w:p w:rsidR="00543D60" w:rsidRDefault="00543D60" w:rsidP="00543D60">
      <w:pPr>
        <w:spacing w:after="120"/>
        <w:rPr>
          <w:szCs w:val="22"/>
          <w:lang w:val="it-IT"/>
        </w:rPr>
      </w:pPr>
      <w:r>
        <w:rPr>
          <w:bCs/>
          <w:i/>
          <w:szCs w:val="22"/>
          <w:lang w:val="it-IT"/>
        </w:rPr>
        <w:t>Zriedkavé</w:t>
      </w:r>
      <w:r>
        <w:rPr>
          <w:szCs w:val="22"/>
          <w:lang w:val="it-IT"/>
        </w:rPr>
        <w:t>:</w:t>
      </w:r>
      <w:r>
        <w:rPr>
          <w:szCs w:val="22"/>
          <w:lang w:val="it-IT"/>
        </w:rPr>
        <w:tab/>
        <w:t>závažné alergické reakcie na podzemnicový (arašidový) olej.</w:t>
      </w:r>
    </w:p>
    <w:p w:rsidR="00543D60" w:rsidRDefault="00543D60" w:rsidP="00543D60">
      <w:pPr>
        <w:rPr>
          <w:szCs w:val="22"/>
          <w:lang w:val="it-IT"/>
        </w:rPr>
      </w:pPr>
      <w:r>
        <w:rPr>
          <w:bCs/>
          <w:i/>
          <w:szCs w:val="22"/>
          <w:lang w:val="it-IT"/>
        </w:rPr>
        <w:t>Neznáme</w:t>
      </w:r>
      <w:r>
        <w:rPr>
          <w:szCs w:val="22"/>
          <w:lang w:val="it-IT"/>
        </w:rPr>
        <w:t>:</w:t>
      </w:r>
      <w:r>
        <w:rPr>
          <w:szCs w:val="22"/>
          <w:lang w:val="it-IT"/>
        </w:rPr>
        <w:tab/>
        <w:t>opuch kože.</w:t>
      </w:r>
    </w:p>
    <w:p w:rsidR="00543D60" w:rsidRDefault="00543D60" w:rsidP="00543D60">
      <w:pPr>
        <w:rPr>
          <w:szCs w:val="22"/>
          <w:lang w:val="it-IT"/>
        </w:rPr>
      </w:pPr>
    </w:p>
    <w:p w:rsidR="00543D60" w:rsidRDefault="00543D60" w:rsidP="00543D60">
      <w:pPr>
        <w:autoSpaceDE w:val="0"/>
        <w:autoSpaceDN w:val="0"/>
        <w:adjustRightInd w:val="0"/>
        <w:rPr>
          <w:noProof/>
          <w:szCs w:val="22"/>
          <w:u w:val="single"/>
          <w:lang w:val="it-IT"/>
        </w:rPr>
      </w:pPr>
      <w:r>
        <w:rPr>
          <w:noProof/>
          <w:szCs w:val="22"/>
          <w:u w:val="single"/>
          <w:lang w:val="it-IT"/>
        </w:rPr>
        <w:t>Hlásenie podozrení na nežiaduce reakcie</w:t>
      </w:r>
    </w:p>
    <w:p w:rsidR="00543D60" w:rsidRDefault="00543D60" w:rsidP="00543D60">
      <w:pPr>
        <w:autoSpaceDE w:val="0"/>
        <w:autoSpaceDN w:val="0"/>
        <w:adjustRightInd w:val="0"/>
        <w:rPr>
          <w:szCs w:val="22"/>
          <w:u w:val="single"/>
          <w:lang w:val="it-IT"/>
        </w:rPr>
      </w:pPr>
    </w:p>
    <w:p w:rsidR="00543D60" w:rsidRDefault="00543D60" w:rsidP="00543D60">
      <w:pPr>
        <w:autoSpaceDE w:val="0"/>
        <w:autoSpaceDN w:val="0"/>
        <w:adjustRightInd w:val="0"/>
        <w:rPr>
          <w:noProof/>
          <w:szCs w:val="22"/>
          <w:lang w:val="it-IT"/>
        </w:rPr>
      </w:pPr>
      <w:r>
        <w:rPr>
          <w:noProof/>
          <w:szCs w:val="22"/>
          <w:lang w:val="it-IT"/>
        </w:rPr>
        <w:t>Hlásenie podozrení na nežiaduce reakcie po registrácii lieku je dôležité.</w:t>
      </w:r>
      <w:r>
        <w:rPr>
          <w:szCs w:val="22"/>
          <w:lang w:val="it-IT"/>
        </w:rPr>
        <w:t xml:space="preserve"> </w:t>
      </w:r>
      <w:r>
        <w:rPr>
          <w:noProof/>
          <w:szCs w:val="22"/>
          <w:lang w:val="it-IT"/>
        </w:rPr>
        <w:t>Umožňuje priebežné monitorovanie pomeru prínosu</w:t>
      </w:r>
      <w:r>
        <w:rPr>
          <w:szCs w:val="22"/>
          <w:lang w:val="it-IT"/>
        </w:rPr>
        <w:t xml:space="preserve"> a</w:t>
      </w:r>
      <w:r>
        <w:rPr>
          <w:noProof/>
          <w:szCs w:val="22"/>
          <w:lang w:val="it-IT"/>
        </w:rPr>
        <w:t> rizika lieku.</w:t>
      </w:r>
      <w:r>
        <w:rPr>
          <w:szCs w:val="22"/>
          <w:lang w:val="it-IT"/>
        </w:rPr>
        <w:t xml:space="preserve"> Od </w:t>
      </w:r>
      <w:r>
        <w:rPr>
          <w:noProof/>
          <w:szCs w:val="22"/>
          <w:lang w:val="it-IT"/>
        </w:rPr>
        <w:t xml:space="preserve">zdravotníckych pracovníkov sa vyžaduje, aby hlásili akékoľvek podozrenia na nežiaduce reakcie na </w:t>
      </w:r>
      <w:r>
        <w:rPr>
          <w:noProof/>
          <w:szCs w:val="22"/>
          <w:highlight w:val="lightGray"/>
          <w:lang w:val="it-IT"/>
        </w:rPr>
        <w:t>národné centrum hlásenia uvedené v </w:t>
      </w:r>
      <w:hyperlink r:id="rId8" w:history="1">
        <w:r>
          <w:rPr>
            <w:rStyle w:val="Hypertextovprepojenie"/>
            <w:noProof/>
            <w:szCs w:val="22"/>
            <w:highlight w:val="lightGray"/>
            <w:lang w:val="it-IT"/>
          </w:rPr>
          <w:t>P</w:t>
        </w:r>
        <w:proofErr w:type="spellStart"/>
        <w:r w:rsidRPr="00F274FC">
          <w:rPr>
            <w:rStyle w:val="Hypertextovprepojenie"/>
            <w:szCs w:val="22"/>
            <w:highlight w:val="lightGray"/>
            <w:lang w:val="sk-SK"/>
          </w:rPr>
          <w:t>rílohe</w:t>
        </w:r>
        <w:proofErr w:type="spellEnd"/>
        <w:r w:rsidRPr="00F274FC">
          <w:rPr>
            <w:rStyle w:val="Hypertextovprepojenie"/>
            <w:szCs w:val="22"/>
            <w:highlight w:val="lightGray"/>
            <w:lang w:val="sk-SK"/>
          </w:rPr>
          <w:t xml:space="preserve"> </w:t>
        </w:r>
        <w:r>
          <w:rPr>
            <w:rStyle w:val="Hypertextovprepojenie"/>
            <w:noProof/>
            <w:szCs w:val="22"/>
            <w:highlight w:val="lightGray"/>
            <w:lang w:val="it-IT"/>
          </w:rPr>
          <w:t>V</w:t>
        </w:r>
      </w:hyperlink>
      <w:r>
        <w:rPr>
          <w:noProof/>
          <w:szCs w:val="22"/>
          <w:lang w:val="it-IT"/>
        </w:rPr>
        <w:t>.</w:t>
      </w:r>
    </w:p>
    <w:p w:rsidR="00543D60" w:rsidRDefault="00543D60" w:rsidP="00543D60">
      <w:pPr>
        <w:widowControl w:val="0"/>
        <w:tabs>
          <w:tab w:val="left" w:pos="470"/>
        </w:tabs>
        <w:autoSpaceDE w:val="0"/>
        <w:autoSpaceDN w:val="0"/>
        <w:adjustRightInd w:val="0"/>
        <w:rPr>
          <w:szCs w:val="22"/>
          <w:lang w:val="it-I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it-IT"/>
        </w:rPr>
      </w:pPr>
      <w:r>
        <w:rPr>
          <w:b/>
          <w:bCs/>
          <w:szCs w:val="22"/>
          <w:lang w:val="it-IT"/>
        </w:rPr>
        <w:t xml:space="preserve">4.9 </w:t>
      </w:r>
      <w:r>
        <w:rPr>
          <w:b/>
          <w:bCs/>
          <w:szCs w:val="22"/>
          <w:lang w:val="it-IT"/>
        </w:rPr>
        <w:tab/>
        <w:t>Predávkovanie</w:t>
      </w:r>
    </w:p>
    <w:p w:rsidR="00543D60" w:rsidRDefault="00543D60" w:rsidP="00543D60">
      <w:pPr>
        <w:widowControl w:val="0"/>
        <w:tabs>
          <w:tab w:val="left" w:pos="484"/>
        </w:tabs>
        <w:autoSpaceDE w:val="0"/>
        <w:autoSpaceDN w:val="0"/>
        <w:adjustRightInd w:val="0"/>
        <w:rPr>
          <w:szCs w:val="22"/>
          <w:lang w:val="it-I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i/>
          <w:iCs/>
          <w:szCs w:val="22"/>
          <w:lang w:val="it-IT"/>
        </w:rPr>
      </w:pPr>
      <w:r>
        <w:rPr>
          <w:szCs w:val="22"/>
          <w:lang w:val="it-IT"/>
        </w:rPr>
        <w:t>Ak si pacient nanesie viac krému než je predpísané množstvo, má pokračovať s predpísaným dávkovaním.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b/>
          <w:bCs/>
          <w:i/>
          <w:iCs/>
          <w:szCs w:val="22"/>
          <w:lang w:val="it-I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b/>
          <w:bCs/>
          <w:iCs/>
          <w:szCs w:val="22"/>
          <w:lang w:val="it-I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it-IT"/>
        </w:rPr>
      </w:pPr>
      <w:r>
        <w:rPr>
          <w:b/>
          <w:bCs/>
          <w:szCs w:val="22"/>
          <w:lang w:val="it-IT"/>
        </w:rPr>
        <w:t xml:space="preserve">5. </w:t>
      </w:r>
      <w:r>
        <w:rPr>
          <w:b/>
          <w:bCs/>
          <w:szCs w:val="22"/>
          <w:lang w:val="it-IT"/>
        </w:rPr>
        <w:tab/>
        <w:t>FARMAKOLOGICKÉ VLASTNOSTI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b/>
          <w:bCs/>
          <w:szCs w:val="22"/>
          <w:lang w:val="it-I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it-IT"/>
        </w:rPr>
      </w:pPr>
      <w:r>
        <w:rPr>
          <w:b/>
          <w:bCs/>
          <w:szCs w:val="22"/>
          <w:lang w:val="it-IT"/>
        </w:rPr>
        <w:t xml:space="preserve">5.1 </w:t>
      </w:r>
      <w:r>
        <w:rPr>
          <w:b/>
          <w:bCs/>
          <w:szCs w:val="22"/>
          <w:lang w:val="it-IT"/>
        </w:rPr>
        <w:tab/>
        <w:t>Farmakodynamické vlastnosti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it-I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it-IT"/>
        </w:rPr>
      </w:pPr>
      <w:r>
        <w:rPr>
          <w:szCs w:val="22"/>
          <w:lang w:val="it-IT"/>
        </w:rPr>
        <w:t>Farmakoterapeutická skupina: emolienciá a dermatoprotektíva, lieky s vazelínou a tukmi,</w:t>
      </w:r>
      <w:r>
        <w:rPr>
          <w:szCs w:val="22"/>
          <w:lang w:val="it-IT"/>
        </w:rPr>
        <w:br/>
        <w:t>ATC kód: D02AC.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it-IT"/>
        </w:rPr>
      </w:pPr>
    </w:p>
    <w:p w:rsidR="00543D60" w:rsidRDefault="00543D60" w:rsidP="00543D60">
      <w:pPr>
        <w:rPr>
          <w:noProof/>
          <w:szCs w:val="22"/>
          <w:lang w:val="it-IT"/>
        </w:rPr>
      </w:pPr>
      <w:r>
        <w:rPr>
          <w:szCs w:val="22"/>
          <w:lang w:val="it-IT"/>
        </w:rPr>
        <w:t>Mastné kyseliny C18:2 – liečivá lieku Linola Fett – patria do skupiny oktadekadiénových kyselín (nenasýtené mastné kyseliny s dvomi nenasýtenými väzbami, mastné kyseliny C18:2).</w:t>
      </w:r>
      <w:r>
        <w:rPr>
          <w:noProof/>
          <w:szCs w:val="22"/>
          <w:lang w:val="it-IT"/>
        </w:rPr>
        <w:t xml:space="preserve"> </w:t>
      </w:r>
    </w:p>
    <w:p w:rsidR="00543D60" w:rsidRDefault="00543D60" w:rsidP="00543D60">
      <w:pPr>
        <w:rPr>
          <w:szCs w:val="22"/>
          <w:lang w:val="it-IT"/>
        </w:rPr>
      </w:pPr>
      <w:r>
        <w:rPr>
          <w:szCs w:val="22"/>
          <w:lang w:val="it-IT"/>
        </w:rPr>
        <w:t>Pri lokálnej aplikácii majú mastné kyseliny C18:2 na farmakologických modeloch protizápalový účinok (trichlóretylénový inhibičný test, kontaktný ekzém indukovaný laurylsíranom sodným) a majú pozitívny účinok na udržiavanie a regeneráciu epidermálnej bariéry. Protizápalový účinok sa pravdepodobne zakladá na inhibícii syntézy prostaglandínov a leukotriénov, ktorá je sprostredkovaná týmito nenasýtenými mastnými kyselinami. Kyselina linolová (mastná kyselina C18:2) pôsobí na epidermálnu bariéru pravdepodobne prostredníctvom metabolitov (linoleyl acylceramid, kyselina 13-hydroxyokta-dekadiénová), ktoré z nej vznikajú v epiderme.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it-I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it-IT"/>
        </w:rPr>
      </w:pPr>
      <w:r>
        <w:rPr>
          <w:b/>
          <w:bCs/>
          <w:szCs w:val="22"/>
          <w:lang w:val="it-IT"/>
        </w:rPr>
        <w:t xml:space="preserve">5.2 </w:t>
      </w:r>
      <w:r>
        <w:rPr>
          <w:b/>
          <w:bCs/>
          <w:szCs w:val="22"/>
          <w:lang w:val="it-IT"/>
        </w:rPr>
        <w:tab/>
        <w:t>Farmakokinetické vlastnosti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it-I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it-IT"/>
        </w:rPr>
      </w:pPr>
      <w:r>
        <w:rPr>
          <w:szCs w:val="22"/>
          <w:lang w:val="it-IT"/>
        </w:rPr>
        <w:t>Mastné kyseliny C18:2 sú zlúčeniny s vysokou lipofíliou, preto dobre prechádzajú cez lipidové membrány. Po transkutánnej absorpcii podliehajú buď úplnému oxidačnému metabolizmu alebo premene na linoleylacylceramidy alebo depotné tuky.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it-I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it-IT"/>
        </w:rPr>
      </w:pPr>
      <w:r>
        <w:rPr>
          <w:b/>
          <w:bCs/>
          <w:szCs w:val="22"/>
          <w:lang w:val="it-IT"/>
        </w:rPr>
        <w:t xml:space="preserve">5.3 </w:t>
      </w:r>
      <w:r>
        <w:rPr>
          <w:b/>
          <w:bCs/>
          <w:szCs w:val="22"/>
          <w:lang w:val="it-IT"/>
        </w:rPr>
        <w:tab/>
        <w:t xml:space="preserve">Predklinické údaje o bezpečnosti 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it-IT"/>
        </w:rPr>
      </w:pPr>
    </w:p>
    <w:p w:rsidR="00543D60" w:rsidRDefault="00543D60" w:rsidP="00543D60">
      <w:pPr>
        <w:rPr>
          <w:bCs/>
          <w:szCs w:val="22"/>
          <w:u w:val="single"/>
          <w:lang w:val="it-IT"/>
        </w:rPr>
      </w:pPr>
      <w:r>
        <w:rPr>
          <w:bCs/>
          <w:szCs w:val="22"/>
          <w:u w:val="single"/>
          <w:lang w:val="it-IT"/>
        </w:rPr>
        <w:t>Toxicita</w:t>
      </w:r>
    </w:p>
    <w:p w:rsidR="00543D60" w:rsidRDefault="00543D60" w:rsidP="00543D60">
      <w:pPr>
        <w:rPr>
          <w:bCs/>
          <w:szCs w:val="22"/>
          <w:u w:val="single"/>
          <w:lang w:val="it-IT"/>
        </w:rPr>
      </w:pPr>
    </w:p>
    <w:p w:rsidR="00543D60" w:rsidRDefault="00543D60" w:rsidP="00543D60">
      <w:pPr>
        <w:rPr>
          <w:szCs w:val="22"/>
          <w:lang w:val="it-IT"/>
        </w:rPr>
      </w:pPr>
      <w:r>
        <w:rPr>
          <w:szCs w:val="22"/>
          <w:lang w:val="it-IT"/>
        </w:rPr>
        <w:t>Mastné kyseliny C18:2, ku ktorým patrí kyselina linolová a kyselina 9,11-oktadekadiénová, sú súčasťou bežných denných potravín (napr. v margaríne), a sú klasifikované ako netoxické. Odporúčaná denná dávka kyseliny linolovej pre dospelých je 6 až 7 g.</w:t>
      </w:r>
    </w:p>
    <w:p w:rsidR="00543D60" w:rsidRDefault="00543D60" w:rsidP="00543D60">
      <w:pPr>
        <w:rPr>
          <w:szCs w:val="22"/>
          <w:lang w:val="it-IT"/>
        </w:rPr>
      </w:pPr>
      <w:r>
        <w:rPr>
          <w:szCs w:val="22"/>
          <w:lang w:val="it-IT"/>
        </w:rPr>
        <w:t>Preto sa ani po rozsiahlej ani dlhodobej dermálnej aplikácii Linoly Fett neočakávajú žiadne prípady intoxikácie. Okrem toho je kyselina linolová klasifikovaná ako látka, ktorá nedráždi pokožku.</w:t>
      </w:r>
    </w:p>
    <w:p w:rsidR="00543D60" w:rsidRDefault="00543D60" w:rsidP="00543D60">
      <w:pPr>
        <w:rPr>
          <w:szCs w:val="22"/>
          <w:lang w:val="it-IT"/>
        </w:rPr>
      </w:pPr>
    </w:p>
    <w:p w:rsidR="00543D60" w:rsidRDefault="00543D60" w:rsidP="00543D60">
      <w:pPr>
        <w:rPr>
          <w:bCs/>
          <w:szCs w:val="22"/>
          <w:u w:val="single"/>
          <w:lang w:val="pt-PT"/>
        </w:rPr>
      </w:pPr>
      <w:r>
        <w:rPr>
          <w:bCs/>
          <w:szCs w:val="22"/>
          <w:u w:val="single"/>
          <w:lang w:val="pt-PT"/>
        </w:rPr>
        <w:t>Mutagenita</w:t>
      </w:r>
    </w:p>
    <w:p w:rsidR="00543D60" w:rsidRDefault="00543D60" w:rsidP="00543D60">
      <w:pPr>
        <w:rPr>
          <w:bCs/>
          <w:szCs w:val="22"/>
          <w:u w:val="single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 xml:space="preserve">Testy mutagenity vykonané pomocou Amesovho testu na </w:t>
      </w:r>
      <w:r>
        <w:rPr>
          <w:i/>
          <w:iCs/>
          <w:szCs w:val="22"/>
          <w:lang w:val="pt-PT"/>
        </w:rPr>
        <w:t xml:space="preserve">Salmonella typhimurium </w:t>
      </w:r>
      <w:r>
        <w:rPr>
          <w:szCs w:val="22"/>
          <w:lang w:val="pt-PT"/>
        </w:rPr>
        <w:t>boli negatívne.</w:t>
      </w:r>
    </w:p>
    <w:p w:rsidR="00543D60" w:rsidRDefault="00543D60" w:rsidP="00543D60">
      <w:pPr>
        <w:rPr>
          <w:szCs w:val="22"/>
          <w:lang w:val="pt-PT"/>
        </w:rPr>
      </w:pPr>
    </w:p>
    <w:p w:rsidR="00543D60" w:rsidRDefault="00543D60" w:rsidP="00543D60">
      <w:pPr>
        <w:rPr>
          <w:bCs/>
          <w:szCs w:val="22"/>
          <w:u w:val="single"/>
          <w:lang w:val="pt-PT"/>
        </w:rPr>
      </w:pPr>
      <w:r>
        <w:rPr>
          <w:bCs/>
          <w:szCs w:val="22"/>
          <w:u w:val="single"/>
          <w:lang w:val="pt-PT"/>
        </w:rPr>
        <w:t>Karcinogenita</w:t>
      </w:r>
    </w:p>
    <w:p w:rsidR="00543D60" w:rsidRDefault="00543D60" w:rsidP="00543D60">
      <w:pPr>
        <w:rPr>
          <w:bCs/>
          <w:szCs w:val="22"/>
          <w:u w:val="single"/>
          <w:lang w:val="nl-NL"/>
        </w:rPr>
      </w:pPr>
    </w:p>
    <w:p w:rsidR="00543D60" w:rsidRDefault="00543D60" w:rsidP="00543D60">
      <w:pPr>
        <w:rPr>
          <w:szCs w:val="22"/>
          <w:lang w:val="pt-PT"/>
        </w:rPr>
      </w:pPr>
      <w:r>
        <w:rPr>
          <w:szCs w:val="22"/>
          <w:lang w:val="pt-PT"/>
        </w:rPr>
        <w:t>Neexistujú žiadne dôkazy karcinogénnych účinkov u ľudí.</w:t>
      </w:r>
    </w:p>
    <w:p w:rsidR="00543D60" w:rsidRDefault="00543D60" w:rsidP="00543D60">
      <w:pPr>
        <w:rPr>
          <w:szCs w:val="22"/>
          <w:lang w:val="nl-NL"/>
        </w:rPr>
      </w:pPr>
    </w:p>
    <w:p w:rsidR="00543D60" w:rsidRDefault="00543D60" w:rsidP="00543D60">
      <w:pPr>
        <w:rPr>
          <w:bCs/>
          <w:szCs w:val="22"/>
          <w:u w:val="single"/>
          <w:lang w:val="nl-NL"/>
        </w:rPr>
      </w:pPr>
      <w:r>
        <w:rPr>
          <w:bCs/>
          <w:szCs w:val="22"/>
          <w:u w:val="single"/>
          <w:lang w:val="nl-NL"/>
        </w:rPr>
        <w:t>Reprodukčná toxicita</w:t>
      </w:r>
    </w:p>
    <w:p w:rsidR="00543D60" w:rsidRDefault="00543D60" w:rsidP="00543D60">
      <w:pPr>
        <w:rPr>
          <w:szCs w:val="22"/>
          <w:u w:val="single"/>
          <w:lang w:val="nl-NL"/>
        </w:rPr>
      </w:pPr>
    </w:p>
    <w:p w:rsidR="00543D60" w:rsidRDefault="00543D60" w:rsidP="00543D60">
      <w:pPr>
        <w:rPr>
          <w:szCs w:val="22"/>
          <w:lang w:val="nl-NL"/>
        </w:rPr>
      </w:pPr>
      <w:r>
        <w:rPr>
          <w:szCs w:val="22"/>
          <w:lang w:val="nl-NL"/>
        </w:rPr>
        <w:t>Neexistujú žiadne dôkazy o negatívnom vplyve na fertilitu, fetotoxických ani teratogénnych účinkov spôsobených mastnými kyselinami C18:2 (ako je kyselina linolová alebo kyselina 9,11-oktadekadiénová).</w:t>
      </w:r>
    </w:p>
    <w:p w:rsidR="00543D60" w:rsidRDefault="00543D60" w:rsidP="00543D60">
      <w:pPr>
        <w:widowControl w:val="0"/>
        <w:tabs>
          <w:tab w:val="left" w:pos="235"/>
        </w:tabs>
        <w:autoSpaceDE w:val="0"/>
        <w:autoSpaceDN w:val="0"/>
        <w:adjustRightInd w:val="0"/>
        <w:rPr>
          <w:szCs w:val="22"/>
          <w:lang w:val="nl-NL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nl-NL"/>
        </w:rPr>
      </w:pPr>
      <w:r>
        <w:rPr>
          <w:b/>
          <w:bCs/>
          <w:szCs w:val="22"/>
          <w:lang w:val="nl-NL"/>
        </w:rPr>
        <w:t xml:space="preserve">6. </w:t>
      </w:r>
      <w:r>
        <w:rPr>
          <w:b/>
          <w:bCs/>
          <w:szCs w:val="22"/>
          <w:lang w:val="nl-NL"/>
        </w:rPr>
        <w:tab/>
        <w:t>FARMACEUTICKÉ INFORMÁCIE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b/>
          <w:bCs/>
          <w:szCs w:val="22"/>
          <w:lang w:val="nl-NL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nl-NL"/>
        </w:rPr>
      </w:pPr>
      <w:r>
        <w:rPr>
          <w:b/>
          <w:bCs/>
          <w:szCs w:val="22"/>
          <w:lang w:val="nl-NL"/>
        </w:rPr>
        <w:t xml:space="preserve">6.1 </w:t>
      </w:r>
      <w:r>
        <w:rPr>
          <w:b/>
          <w:bCs/>
          <w:szCs w:val="22"/>
          <w:lang w:val="nl-NL"/>
        </w:rPr>
        <w:tab/>
        <w:t>Zoznam pomocných látok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mikrokryštalický vosk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decyloleát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biely vosk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tuhý tuk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čistená voda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vosk z ovčej vlny (lanolín)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tristearan hlinitý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sorbitánstearát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lastRenderedPageBreak/>
        <w:t>hydrogenovaný podzemnicový (arašidový) olej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podzemnicový (arašidový) olej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cetylalkohol a stearylalkohol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stearan horečnatý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tuhý parafín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tekutý parafín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biela vazelína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lanalkol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betakarotén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 xml:space="preserve">rafinovaný slnečnicový olej 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i/>
          <w:iCs/>
          <w:szCs w:val="22"/>
          <w:lang w:val="nl-NL"/>
        </w:rPr>
      </w:pPr>
    </w:p>
    <w:p w:rsidR="00543D60" w:rsidRDefault="00543D60" w:rsidP="00543D60">
      <w:pPr>
        <w:ind w:left="567" w:hanging="567"/>
        <w:rPr>
          <w:szCs w:val="22"/>
          <w:lang w:val="nl-NL"/>
        </w:rPr>
      </w:pPr>
      <w:r>
        <w:rPr>
          <w:b/>
          <w:bCs/>
          <w:szCs w:val="22"/>
          <w:lang w:val="nl-NL"/>
        </w:rPr>
        <w:t>6.2</w:t>
      </w:r>
      <w:r>
        <w:rPr>
          <w:b/>
          <w:bCs/>
          <w:szCs w:val="22"/>
          <w:lang w:val="nl-NL"/>
        </w:rPr>
        <w:tab/>
        <w:t>Inkompatibility</w:t>
      </w:r>
    </w:p>
    <w:p w:rsidR="00543D60" w:rsidRDefault="00543D60" w:rsidP="00543D60">
      <w:pPr>
        <w:rPr>
          <w:szCs w:val="22"/>
          <w:lang w:val="nl-NL"/>
        </w:rPr>
      </w:pPr>
    </w:p>
    <w:p w:rsidR="00543D60" w:rsidRDefault="00543D60" w:rsidP="00543D60">
      <w:pPr>
        <w:rPr>
          <w:szCs w:val="22"/>
          <w:lang w:val="nl-NL"/>
        </w:rPr>
      </w:pPr>
      <w:r>
        <w:rPr>
          <w:szCs w:val="22"/>
          <w:lang w:val="nl-NL"/>
        </w:rPr>
        <w:t>Nie sú známe.</w:t>
      </w:r>
    </w:p>
    <w:p w:rsidR="00543D60" w:rsidRDefault="00543D60" w:rsidP="00543D60">
      <w:pPr>
        <w:widowControl w:val="0"/>
        <w:tabs>
          <w:tab w:val="left" w:pos="475"/>
        </w:tabs>
        <w:autoSpaceDE w:val="0"/>
        <w:autoSpaceDN w:val="0"/>
        <w:adjustRightInd w:val="0"/>
        <w:rPr>
          <w:szCs w:val="22"/>
          <w:lang w:val="nl-NL"/>
        </w:rPr>
      </w:pPr>
    </w:p>
    <w:p w:rsidR="00543D60" w:rsidRDefault="00543D60" w:rsidP="00543D60">
      <w:pPr>
        <w:widowControl w:val="0"/>
        <w:tabs>
          <w:tab w:val="left" w:pos="499"/>
        </w:tabs>
        <w:autoSpaceDE w:val="0"/>
        <w:autoSpaceDN w:val="0"/>
        <w:adjustRightInd w:val="0"/>
        <w:rPr>
          <w:b/>
          <w:bCs/>
          <w:szCs w:val="22"/>
          <w:lang w:val="nl-NL"/>
        </w:rPr>
      </w:pPr>
      <w:r>
        <w:rPr>
          <w:b/>
          <w:bCs/>
          <w:szCs w:val="22"/>
          <w:lang w:val="nl-NL"/>
        </w:rPr>
        <w:t xml:space="preserve">6.3 </w:t>
      </w:r>
      <w:r>
        <w:rPr>
          <w:b/>
          <w:bCs/>
          <w:szCs w:val="22"/>
          <w:lang w:val="nl-NL"/>
        </w:rPr>
        <w:tab/>
        <w:t>Čas použiteľnosti</w:t>
      </w:r>
    </w:p>
    <w:p w:rsidR="00543D60" w:rsidRDefault="00543D60" w:rsidP="00543D60">
      <w:pPr>
        <w:widowControl w:val="0"/>
        <w:tabs>
          <w:tab w:val="left" w:pos="499"/>
        </w:tabs>
        <w:autoSpaceDE w:val="0"/>
        <w:autoSpaceDN w:val="0"/>
        <w:adjustRightInd w:val="0"/>
        <w:rPr>
          <w:szCs w:val="22"/>
          <w:lang w:val="nl-NL"/>
        </w:rPr>
      </w:pPr>
    </w:p>
    <w:p w:rsidR="00543D60" w:rsidRDefault="00543D60" w:rsidP="00543D60">
      <w:pPr>
        <w:widowControl w:val="0"/>
        <w:tabs>
          <w:tab w:val="left" w:pos="499"/>
        </w:tabs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3 roky.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nl-NL"/>
        </w:rPr>
      </w:pPr>
      <w:r>
        <w:rPr>
          <w:szCs w:val="22"/>
          <w:lang w:val="nl-NL"/>
        </w:rPr>
        <w:t>Po prvom otvorení: 1 rok.</w:t>
      </w:r>
    </w:p>
    <w:p w:rsidR="00543D60" w:rsidRDefault="00543D60" w:rsidP="00543D60">
      <w:pPr>
        <w:widowControl w:val="0"/>
        <w:tabs>
          <w:tab w:val="left" w:pos="499"/>
        </w:tabs>
        <w:autoSpaceDE w:val="0"/>
        <w:autoSpaceDN w:val="0"/>
        <w:adjustRightInd w:val="0"/>
        <w:rPr>
          <w:szCs w:val="22"/>
          <w:lang w:val="nl-NL"/>
        </w:rPr>
      </w:pPr>
    </w:p>
    <w:p w:rsidR="00543D60" w:rsidRDefault="00543D60" w:rsidP="00543D60">
      <w:pPr>
        <w:ind w:left="567" w:hanging="567"/>
        <w:rPr>
          <w:b/>
          <w:bCs/>
          <w:szCs w:val="22"/>
          <w:lang w:val="pt-PT"/>
        </w:rPr>
      </w:pPr>
      <w:r>
        <w:rPr>
          <w:b/>
          <w:bCs/>
          <w:szCs w:val="22"/>
          <w:lang w:val="pt-PT"/>
        </w:rPr>
        <w:t>6.4</w:t>
      </w:r>
      <w:r>
        <w:rPr>
          <w:b/>
          <w:bCs/>
          <w:szCs w:val="22"/>
          <w:lang w:val="pt-PT"/>
        </w:rPr>
        <w:tab/>
        <w:t>Špeciálne upozornenia na uchovávanie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Uchovávajte pri teplote do 30 °C.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Neuchovávajte v chladničke alebo mrazničke.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tabs>
          <w:tab w:val="left" w:pos="567"/>
        </w:tabs>
        <w:rPr>
          <w:b/>
          <w:bCs/>
          <w:szCs w:val="22"/>
          <w:lang w:val="pt-PT"/>
        </w:rPr>
      </w:pPr>
      <w:r>
        <w:rPr>
          <w:b/>
          <w:bCs/>
          <w:szCs w:val="22"/>
          <w:lang w:val="pt-PT"/>
        </w:rPr>
        <w:t>6.5</w:t>
      </w:r>
      <w:r>
        <w:rPr>
          <w:b/>
          <w:bCs/>
          <w:szCs w:val="22"/>
          <w:lang w:val="pt-PT"/>
        </w:rPr>
        <w:tab/>
        <w:t>Druh obalu a obsah balenia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Lakovaná hliníková tuba s polyetylénovým skrutkovacím uzáverom.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Obsah balenia: 50 g, 75 g, 100 g, 150 g, 250 g, 2 x 250 g.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noProof/>
          <w:szCs w:val="22"/>
          <w:lang w:val="pt-PT"/>
        </w:rPr>
      </w:pPr>
      <w:r>
        <w:rPr>
          <w:szCs w:val="22"/>
          <w:lang w:val="pt-PT"/>
        </w:rPr>
        <w:t>Na trh nemusia byť uvedené</w:t>
      </w:r>
      <w:r>
        <w:rPr>
          <w:noProof/>
          <w:szCs w:val="22"/>
          <w:lang w:val="pt-PT"/>
        </w:rPr>
        <w:t xml:space="preserve"> všetky veľkosti balenia.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Pr="00543D60" w:rsidRDefault="00543D60" w:rsidP="00543D60">
      <w:pPr>
        <w:ind w:left="567" w:hanging="567"/>
        <w:outlineLvl w:val="0"/>
        <w:rPr>
          <w:szCs w:val="22"/>
          <w:lang w:val="pt-PT"/>
        </w:rPr>
      </w:pPr>
      <w:r w:rsidRPr="00543D60">
        <w:rPr>
          <w:b/>
          <w:bCs/>
          <w:szCs w:val="22"/>
          <w:lang w:val="pt-PT"/>
        </w:rPr>
        <w:t>6.6</w:t>
      </w:r>
      <w:r w:rsidRPr="00543D60">
        <w:rPr>
          <w:b/>
          <w:bCs/>
          <w:szCs w:val="22"/>
          <w:lang w:val="pt-PT"/>
        </w:rPr>
        <w:tab/>
        <w:t>Špeciálne opatrenia na likvidáciu</w:t>
      </w:r>
    </w:p>
    <w:p w:rsidR="00543D60" w:rsidRPr="00543D60" w:rsidRDefault="00543D60" w:rsidP="00543D60">
      <w:pPr>
        <w:rPr>
          <w:szCs w:val="22"/>
          <w:lang w:val="pt-PT"/>
        </w:rPr>
      </w:pPr>
    </w:p>
    <w:p w:rsidR="00543D60" w:rsidRPr="00543D60" w:rsidRDefault="00543D60" w:rsidP="00543D60">
      <w:pPr>
        <w:rPr>
          <w:szCs w:val="22"/>
          <w:lang w:val="pt-PT"/>
        </w:rPr>
      </w:pPr>
      <w:r w:rsidRPr="00543D60">
        <w:rPr>
          <w:szCs w:val="22"/>
          <w:lang w:val="pt-PT"/>
        </w:rPr>
        <w:t>Žiadne zvláštne požiadavky.</w:t>
      </w:r>
    </w:p>
    <w:p w:rsidR="00543D60" w:rsidRPr="00543D60" w:rsidRDefault="00543D60" w:rsidP="00543D60">
      <w:pPr>
        <w:widowControl w:val="0"/>
        <w:tabs>
          <w:tab w:val="left" w:pos="475"/>
        </w:tabs>
        <w:autoSpaceDE w:val="0"/>
        <w:autoSpaceDN w:val="0"/>
        <w:adjustRightInd w:val="0"/>
        <w:rPr>
          <w:szCs w:val="22"/>
          <w:lang w:val="pt-PT"/>
        </w:rPr>
      </w:pPr>
    </w:p>
    <w:p w:rsidR="00543D60" w:rsidRP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P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caps/>
          <w:szCs w:val="22"/>
          <w:lang w:val="pt-PT"/>
        </w:rPr>
      </w:pPr>
      <w:r w:rsidRPr="00543D60">
        <w:rPr>
          <w:b/>
          <w:bCs/>
          <w:caps/>
          <w:szCs w:val="22"/>
          <w:lang w:val="pt-PT"/>
        </w:rPr>
        <w:t xml:space="preserve">7. </w:t>
      </w:r>
      <w:r w:rsidRPr="00543D60">
        <w:rPr>
          <w:b/>
          <w:bCs/>
          <w:caps/>
          <w:szCs w:val="22"/>
          <w:lang w:val="pt-PT"/>
        </w:rPr>
        <w:tab/>
        <w:t>Držiteľ ROZHODNUTIA O REGISTRÁCII</w:t>
      </w:r>
    </w:p>
    <w:p w:rsidR="00543D60" w:rsidRP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rPr>
          <w:szCs w:val="22"/>
          <w:lang w:val="nl-NL"/>
        </w:rPr>
      </w:pPr>
      <w:r w:rsidRPr="00543D60">
        <w:rPr>
          <w:szCs w:val="22"/>
          <w:lang w:val="pt-PT"/>
        </w:rPr>
        <w:t xml:space="preserve">Dr. August Wolff GmbH &amp; Co. </w:t>
      </w:r>
      <w:r>
        <w:rPr>
          <w:szCs w:val="22"/>
        </w:rPr>
        <w:t>KG Arzneimittel</w:t>
      </w:r>
    </w:p>
    <w:p w:rsidR="00543D60" w:rsidRDefault="00543D60" w:rsidP="00543D60">
      <w:pPr>
        <w:rPr>
          <w:szCs w:val="22"/>
        </w:rPr>
      </w:pPr>
      <w:proofErr w:type="spellStart"/>
      <w:r>
        <w:rPr>
          <w:szCs w:val="22"/>
        </w:rPr>
        <w:t>Sudbrackstrasse</w:t>
      </w:r>
      <w:proofErr w:type="spellEnd"/>
      <w:r>
        <w:rPr>
          <w:szCs w:val="22"/>
        </w:rPr>
        <w:t xml:space="preserve"> 56</w:t>
      </w:r>
    </w:p>
    <w:p w:rsidR="00543D60" w:rsidRDefault="00543D60" w:rsidP="00543D60">
      <w:pPr>
        <w:rPr>
          <w:szCs w:val="22"/>
        </w:rPr>
      </w:pPr>
      <w:r>
        <w:rPr>
          <w:szCs w:val="22"/>
        </w:rPr>
        <w:t>33611 Bielefeld</w:t>
      </w:r>
    </w:p>
    <w:p w:rsidR="00543D60" w:rsidRPr="00F96E69" w:rsidRDefault="00543D60" w:rsidP="00543D60">
      <w:pPr>
        <w:rPr>
          <w:caps/>
          <w:szCs w:val="22"/>
          <w:lang w:val="nl-NL"/>
        </w:rPr>
      </w:pPr>
      <w:r w:rsidRPr="00F96E69">
        <w:rPr>
          <w:caps/>
          <w:szCs w:val="22"/>
        </w:rPr>
        <w:t>Nemecko</w:t>
      </w:r>
    </w:p>
    <w:p w:rsidR="00543D60" w:rsidRDefault="00543D60" w:rsidP="00543D60">
      <w:pPr>
        <w:rPr>
          <w:szCs w:val="22"/>
        </w:rPr>
      </w:pPr>
      <w:r>
        <w:rPr>
          <w:szCs w:val="22"/>
        </w:rPr>
        <w:t xml:space="preserve">Tel.: </w:t>
      </w:r>
      <w:r>
        <w:rPr>
          <w:szCs w:val="22"/>
        </w:rPr>
        <w:tab/>
        <w:t>+49 521 8808-05</w:t>
      </w:r>
    </w:p>
    <w:p w:rsidR="00543D60" w:rsidRDefault="00543D60" w:rsidP="00543D60">
      <w:pPr>
        <w:rPr>
          <w:szCs w:val="22"/>
          <w:lang w:val="it-IT"/>
        </w:rPr>
      </w:pPr>
      <w:r>
        <w:rPr>
          <w:szCs w:val="22"/>
          <w:lang w:val="pt-PT"/>
        </w:rPr>
        <w:t>Fax:</w:t>
      </w:r>
      <w:r>
        <w:rPr>
          <w:szCs w:val="22"/>
          <w:lang w:val="it-IT"/>
        </w:rPr>
        <w:t xml:space="preserve"> </w:t>
      </w:r>
      <w:r>
        <w:rPr>
          <w:szCs w:val="22"/>
          <w:lang w:val="it-IT"/>
        </w:rPr>
        <w:tab/>
        <w:t>+49 521 8808-334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E-mail</w:t>
      </w:r>
      <w:r w:rsidRPr="00CB1ED1">
        <w:rPr>
          <w:szCs w:val="22"/>
          <w:lang w:val="pt-PT"/>
        </w:rPr>
        <w:t>:</w:t>
      </w:r>
      <w:r w:rsidRPr="00CB1ED1">
        <w:rPr>
          <w:szCs w:val="22"/>
          <w:lang w:val="it-IT"/>
        </w:rPr>
        <w:t xml:space="preserve"> </w:t>
      </w:r>
      <w:r w:rsidRPr="00CB1ED1">
        <w:rPr>
          <w:szCs w:val="22"/>
          <w:lang w:val="pt-PT"/>
        </w:rPr>
        <w:t>info@wolff-arzneimittel.de</w:t>
      </w:r>
      <w:r w:rsidR="00CB1ED1">
        <w:rPr>
          <w:szCs w:val="22"/>
          <w:lang w:val="pt-PT"/>
        </w:rPr>
        <w:t xml:space="preserve"> </w:t>
      </w:r>
      <w:r>
        <w:rPr>
          <w:szCs w:val="22"/>
          <w:lang w:val="pt-PT"/>
        </w:rPr>
        <w:t xml:space="preserve"> 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caps/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caps/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caps/>
          <w:szCs w:val="22"/>
          <w:lang w:val="pt-PT"/>
        </w:rPr>
      </w:pPr>
      <w:r>
        <w:rPr>
          <w:b/>
          <w:bCs/>
          <w:caps/>
          <w:szCs w:val="22"/>
          <w:lang w:val="pt-PT"/>
        </w:rPr>
        <w:t>8.</w:t>
      </w:r>
      <w:r>
        <w:rPr>
          <w:b/>
          <w:bCs/>
          <w:caps/>
          <w:szCs w:val="22"/>
          <w:lang w:val="pt-PT"/>
        </w:rPr>
        <w:tab/>
        <w:t>REGISTRAČNÉ číslo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46/0492/95-S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val="pt-PT"/>
        </w:rPr>
      </w:pPr>
      <w:r>
        <w:rPr>
          <w:b/>
          <w:bCs/>
          <w:szCs w:val="22"/>
          <w:lang w:val="pt-PT"/>
        </w:rPr>
        <w:t>9.</w:t>
      </w:r>
      <w:r>
        <w:rPr>
          <w:b/>
          <w:bCs/>
          <w:szCs w:val="22"/>
          <w:lang w:val="pt-PT"/>
        </w:rPr>
        <w:tab/>
        <w:t>DÁTUM PRVEJ REGISTRÁCIE</w:t>
      </w:r>
      <w:r>
        <w:rPr>
          <w:b/>
          <w:szCs w:val="22"/>
          <w:lang w:val="pt-PT"/>
        </w:rPr>
        <w:t>/</w:t>
      </w:r>
      <w:r>
        <w:rPr>
          <w:b/>
          <w:bCs/>
          <w:szCs w:val="22"/>
          <w:lang w:val="pt-PT"/>
        </w:rPr>
        <w:t xml:space="preserve">PREDĹŽENIA REGISTRÁCIE 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szCs w:val="22"/>
          <w:lang w:val="pt-PT"/>
        </w:rPr>
        <w:t>Dátum prvej registrácie: 7. septembra 1995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  <w:r>
        <w:rPr>
          <w:noProof/>
          <w:szCs w:val="22"/>
          <w:lang w:val="es-ES_tradnl"/>
        </w:rPr>
        <w:lastRenderedPageBreak/>
        <w:t>Dátum posledného predĺženia</w:t>
      </w:r>
      <w:r>
        <w:rPr>
          <w:szCs w:val="22"/>
          <w:lang w:val="pt-PT"/>
        </w:rPr>
        <w:t xml:space="preserve"> registrácie</w:t>
      </w:r>
      <w:r>
        <w:rPr>
          <w:noProof/>
          <w:szCs w:val="22"/>
          <w:lang w:val="es-ES_tradnl"/>
        </w:rPr>
        <w:t>: 29. marca 2007</w:t>
      </w: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autoSpaceDE w:val="0"/>
        <w:autoSpaceDN w:val="0"/>
        <w:adjustRightInd w:val="0"/>
        <w:rPr>
          <w:szCs w:val="22"/>
          <w:lang w:val="pt-PT"/>
        </w:rPr>
      </w:pPr>
    </w:p>
    <w:p w:rsidR="00543D60" w:rsidRDefault="00543D60" w:rsidP="00543D60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 xml:space="preserve">10. </w:t>
      </w:r>
      <w:r>
        <w:rPr>
          <w:b/>
          <w:bCs/>
          <w:caps/>
          <w:szCs w:val="22"/>
        </w:rPr>
        <w:tab/>
        <w:t xml:space="preserve">DÁTUM REVíZIE TEXTU </w:t>
      </w:r>
      <w:r>
        <w:rPr>
          <w:b/>
          <w:bCs/>
          <w:caps/>
          <w:szCs w:val="22"/>
        </w:rPr>
        <w:tab/>
      </w:r>
    </w:p>
    <w:p w:rsidR="00543D60" w:rsidRDefault="00543D60" w:rsidP="00543D60">
      <w:pPr>
        <w:widowControl w:val="0"/>
        <w:tabs>
          <w:tab w:val="left" w:pos="518"/>
        </w:tabs>
        <w:autoSpaceDE w:val="0"/>
        <w:autoSpaceDN w:val="0"/>
        <w:adjustRightInd w:val="0"/>
        <w:rPr>
          <w:szCs w:val="22"/>
        </w:rPr>
      </w:pPr>
    </w:p>
    <w:p w:rsidR="00543D60" w:rsidRDefault="0044131C" w:rsidP="00543D60">
      <w:pPr>
        <w:widowControl w:val="0"/>
        <w:tabs>
          <w:tab w:val="left" w:pos="518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06/2019</w:t>
      </w:r>
    </w:p>
    <w:p w:rsidR="00543D60" w:rsidRDefault="00543D60" w:rsidP="00543D60">
      <w:pPr>
        <w:ind w:right="-1"/>
        <w:rPr>
          <w:noProof/>
        </w:rPr>
      </w:pPr>
    </w:p>
    <w:p w:rsidR="00482315" w:rsidRPr="00BB528C" w:rsidRDefault="00482315" w:rsidP="00BB528C">
      <w:pPr>
        <w:ind w:right="-1"/>
        <w:rPr>
          <w:noProof/>
        </w:rPr>
      </w:pPr>
    </w:p>
    <w:sectPr w:rsidR="00482315" w:rsidRPr="00BB528C" w:rsidSect="002E7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4E" w:rsidRDefault="0062114E">
      <w:r>
        <w:separator/>
      </w:r>
    </w:p>
  </w:endnote>
  <w:endnote w:type="continuationSeparator" w:id="0">
    <w:p w:rsidR="0062114E" w:rsidRDefault="0062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11" w:rsidRDefault="00BC051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15" w:rsidRDefault="00482315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F96E69">
      <w:rPr>
        <w:rStyle w:val="slostrany"/>
        <w:rFonts w:ascii="Times New Roman" w:hAnsi="Times New Roman"/>
        <w:sz w:val="18"/>
        <w:szCs w:val="18"/>
      </w:rPr>
      <w:fldChar w:fldCharType="begin"/>
    </w:r>
    <w:r w:rsidRPr="00F96E6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96E69">
      <w:rPr>
        <w:rStyle w:val="slostrany"/>
        <w:rFonts w:ascii="Times New Roman" w:hAnsi="Times New Roman"/>
        <w:sz w:val="18"/>
        <w:szCs w:val="18"/>
      </w:rPr>
      <w:fldChar w:fldCharType="separate"/>
    </w:r>
    <w:r w:rsidR="00F96E69">
      <w:rPr>
        <w:rStyle w:val="slostrany"/>
        <w:rFonts w:ascii="Times New Roman" w:hAnsi="Times New Roman"/>
        <w:sz w:val="18"/>
        <w:szCs w:val="18"/>
      </w:rPr>
      <w:t>4</w:t>
    </w:r>
    <w:r w:rsidRPr="00F96E6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15" w:rsidRDefault="00482315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slostrany"/>
        <w:rFonts w:ascii="Times New Roman" w:hAnsi="Times New Roman"/>
      </w:rPr>
      <w:fldChar w:fldCharType="begin"/>
    </w:r>
    <w:r w:rsidRPr="00CF70DB">
      <w:rPr>
        <w:rStyle w:val="slostrany"/>
        <w:rFonts w:ascii="Times New Roman" w:hAnsi="Times New Roman"/>
      </w:rPr>
      <w:instrText xml:space="preserve">PAGE  </w:instrText>
    </w:r>
    <w:r w:rsidRPr="00CF70DB">
      <w:rPr>
        <w:rStyle w:val="slostrany"/>
        <w:rFonts w:ascii="Times New Roman" w:hAnsi="Times New Roman"/>
      </w:rPr>
      <w:fldChar w:fldCharType="separate"/>
    </w:r>
    <w:r w:rsidR="002E75BA">
      <w:rPr>
        <w:rStyle w:val="slostrany"/>
        <w:rFonts w:ascii="Times New Roman" w:hAnsi="Times New Roman"/>
        <w:noProof/>
      </w:rPr>
      <w:t>1</w:t>
    </w:r>
    <w:r w:rsidRPr="00CF70DB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4E" w:rsidRDefault="0062114E">
      <w:r>
        <w:separator/>
      </w:r>
    </w:p>
  </w:footnote>
  <w:footnote w:type="continuationSeparator" w:id="0">
    <w:p w:rsidR="0062114E" w:rsidRDefault="0062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11" w:rsidRDefault="00BC05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BA" w:rsidRPr="00F96E69" w:rsidRDefault="00F26DFF">
    <w:pPr>
      <w:pStyle w:val="Hlavika"/>
      <w:rPr>
        <w:sz w:val="18"/>
        <w:szCs w:val="18"/>
        <w:lang w:val="sk-SK"/>
      </w:rPr>
    </w:pPr>
    <w:r w:rsidRPr="00F96E69">
      <w:rPr>
        <w:rFonts w:eastAsia="Calibri"/>
        <w:kern w:val="22"/>
        <w:sz w:val="18"/>
        <w:szCs w:val="18"/>
        <w:lang w:val="sk-SK"/>
      </w:rPr>
      <w:t>Príloha č.</w:t>
    </w:r>
    <w:r w:rsidR="00BC0511">
      <w:rPr>
        <w:rFonts w:eastAsia="Calibri"/>
        <w:kern w:val="22"/>
        <w:sz w:val="18"/>
        <w:szCs w:val="18"/>
        <w:lang w:val="sk-SK"/>
      </w:rPr>
      <w:t xml:space="preserve"> </w:t>
    </w:r>
    <w:r w:rsidRPr="00F96E69">
      <w:rPr>
        <w:rFonts w:eastAsia="Calibri"/>
        <w:kern w:val="22"/>
        <w:sz w:val="18"/>
        <w:szCs w:val="18"/>
        <w:lang w:val="sk-SK"/>
      </w:rPr>
      <w:t xml:space="preserve">1 k notifikácii o zmene, ev. č.: </w:t>
    </w:r>
    <w:r w:rsidR="004D5478" w:rsidRPr="004D5478">
      <w:rPr>
        <w:sz w:val="18"/>
        <w:szCs w:val="18"/>
        <w:lang w:eastAsia="sk-SK"/>
      </w:rPr>
      <w:t>2019/01030-Z1A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BB528C" w:rsidRPr="002C06BF" w:rsidTr="003A1E8E">
      <w:trPr>
        <w:trHeight w:val="851"/>
      </w:trPr>
      <w:tc>
        <w:tcPr>
          <w:tcW w:w="1927" w:type="dxa"/>
          <w:shd w:val="clear" w:color="auto" w:fill="auto"/>
        </w:tcPr>
        <w:p w:rsidR="00BB528C" w:rsidRPr="008E676C" w:rsidRDefault="00020C41" w:rsidP="003A1E8E">
          <w:pPr>
            <w:pStyle w:val="Hlavika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sk-SK" w:eastAsia="sk-SK"/>
            </w:rPr>
            <w:drawing>
              <wp:anchor distT="0" distB="0" distL="114300" distR="114300" simplePos="0" relativeHeight="251657728" behindDoc="0" locked="0" layoutInCell="1" allowOverlap="1" wp14:anchorId="31F0E8BA" wp14:editId="021CF99F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:rsidR="00CF70DB" w:rsidRPr="00110332" w:rsidRDefault="00CF70DB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  <w:r w:rsidRPr="00110332">
            <w:rPr>
              <w:rFonts w:eastAsia="Calibri"/>
              <w:b/>
              <w:kern w:val="22"/>
              <w:szCs w:val="22"/>
            </w:rPr>
            <w:t>“Produktname”</w:t>
          </w:r>
        </w:p>
        <w:p w:rsidR="00CF70DB" w:rsidRPr="00110332" w:rsidRDefault="00CF70DB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</w:p>
        <w:p w:rsidR="00020C41" w:rsidRPr="00110332" w:rsidRDefault="0062114E" w:rsidP="00020C41">
          <w:pPr>
            <w:jc w:val="center"/>
            <w:rPr>
              <w:rFonts w:eastAsia="Calibri"/>
              <w:kern w:val="22"/>
              <w:szCs w:val="22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020C41" w:rsidRPr="00110332">
                <w:rPr>
                  <w:rFonts w:eastAsia="Calibri"/>
                  <w:kern w:val="22"/>
                  <w:szCs w:val="22"/>
                </w:rPr>
                <w:t>@Dokumentart (Ebene 4)@</w:t>
              </w:r>
            </w:sdtContent>
          </w:sdt>
          <w:r w:rsidR="00020C41" w:rsidRPr="00110332">
            <w:rPr>
              <w:rFonts w:eastAsia="Calibri"/>
              <w:kern w:val="22"/>
              <w:szCs w:val="22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:rsidR="00BB528C" w:rsidRPr="00110332" w:rsidRDefault="00020C41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@Dokumentartverfeinerung (Ebene 5)@</w:t>
              </w:r>
            </w:p>
          </w:sdtContent>
        </w:sdt>
      </w:tc>
      <w:tc>
        <w:tcPr>
          <w:tcW w:w="1928" w:type="dxa"/>
          <w:shd w:val="clear" w:color="auto" w:fill="auto"/>
        </w:tcPr>
        <w:p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slostrany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separate"/>
          </w:r>
          <w:r w:rsidR="002E75BA">
            <w:rPr>
              <w:rStyle w:val="slostrany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end"/>
          </w:r>
        </w:p>
        <w:p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noProof/>
              <w:kern w:val="22"/>
              <w:szCs w:val="22"/>
              <w:lang w:val="fr-CH"/>
            </w:rPr>
          </w:pPr>
        </w:p>
        <w:p w:rsidR="00BB528C" w:rsidRPr="008E676C" w:rsidRDefault="00BB528C" w:rsidP="003A1E8E">
          <w:pPr>
            <w:pStyle w:val="Hlavika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:rsidR="001F275D" w:rsidRDefault="001F275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4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pharm regpharm">
    <w15:presenceInfo w15:providerId="Windows Live" w15:userId="12cfec8eae7379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82315"/>
    <w:rsid w:val="00020C41"/>
    <w:rsid w:val="0003028E"/>
    <w:rsid w:val="00077695"/>
    <w:rsid w:val="00110332"/>
    <w:rsid w:val="00117159"/>
    <w:rsid w:val="00141B77"/>
    <w:rsid w:val="001425A7"/>
    <w:rsid w:val="0014271A"/>
    <w:rsid w:val="0016038C"/>
    <w:rsid w:val="00194A9C"/>
    <w:rsid w:val="001A3570"/>
    <w:rsid w:val="001B01E7"/>
    <w:rsid w:val="001F275D"/>
    <w:rsid w:val="00212AF3"/>
    <w:rsid w:val="0023359E"/>
    <w:rsid w:val="002752C0"/>
    <w:rsid w:val="002A48DC"/>
    <w:rsid w:val="002E75BA"/>
    <w:rsid w:val="00315D69"/>
    <w:rsid w:val="00336EFC"/>
    <w:rsid w:val="003746A1"/>
    <w:rsid w:val="003943D1"/>
    <w:rsid w:val="003A1E8E"/>
    <w:rsid w:val="00402910"/>
    <w:rsid w:val="004134D4"/>
    <w:rsid w:val="00427A92"/>
    <w:rsid w:val="0044131C"/>
    <w:rsid w:val="004819A0"/>
    <w:rsid w:val="00482315"/>
    <w:rsid w:val="004A72AD"/>
    <w:rsid w:val="004D5478"/>
    <w:rsid w:val="004E6E06"/>
    <w:rsid w:val="005412F2"/>
    <w:rsid w:val="00543D60"/>
    <w:rsid w:val="00556685"/>
    <w:rsid w:val="005C54DE"/>
    <w:rsid w:val="005F6799"/>
    <w:rsid w:val="0062114E"/>
    <w:rsid w:val="006338A8"/>
    <w:rsid w:val="006C13AE"/>
    <w:rsid w:val="006D7246"/>
    <w:rsid w:val="00746308"/>
    <w:rsid w:val="007648E6"/>
    <w:rsid w:val="00790A82"/>
    <w:rsid w:val="007B2B53"/>
    <w:rsid w:val="007D66A5"/>
    <w:rsid w:val="007E62BA"/>
    <w:rsid w:val="00842B2B"/>
    <w:rsid w:val="0085036B"/>
    <w:rsid w:val="00860674"/>
    <w:rsid w:val="0089197E"/>
    <w:rsid w:val="008D51EA"/>
    <w:rsid w:val="0090401A"/>
    <w:rsid w:val="00906956"/>
    <w:rsid w:val="009C6CB2"/>
    <w:rsid w:val="009C7FB5"/>
    <w:rsid w:val="00A02D71"/>
    <w:rsid w:val="00A14920"/>
    <w:rsid w:val="00A24558"/>
    <w:rsid w:val="00A82A56"/>
    <w:rsid w:val="00A82E53"/>
    <w:rsid w:val="00B06984"/>
    <w:rsid w:val="00B1285D"/>
    <w:rsid w:val="00B23B97"/>
    <w:rsid w:val="00B30B07"/>
    <w:rsid w:val="00B4646D"/>
    <w:rsid w:val="00B81350"/>
    <w:rsid w:val="00BB528C"/>
    <w:rsid w:val="00BC0511"/>
    <w:rsid w:val="00BC25E7"/>
    <w:rsid w:val="00C5404D"/>
    <w:rsid w:val="00C93419"/>
    <w:rsid w:val="00CA064B"/>
    <w:rsid w:val="00CB1ED1"/>
    <w:rsid w:val="00CD15B9"/>
    <w:rsid w:val="00CF70DB"/>
    <w:rsid w:val="00D05EA5"/>
    <w:rsid w:val="00D627C9"/>
    <w:rsid w:val="00D76CD1"/>
    <w:rsid w:val="00D92476"/>
    <w:rsid w:val="00DD09C3"/>
    <w:rsid w:val="00DE1CBE"/>
    <w:rsid w:val="00E041A3"/>
    <w:rsid w:val="00E26A7B"/>
    <w:rsid w:val="00E642FA"/>
    <w:rsid w:val="00EE6C54"/>
    <w:rsid w:val="00F26DFF"/>
    <w:rsid w:val="00F274FC"/>
    <w:rsid w:val="00F56380"/>
    <w:rsid w:val="00F739BE"/>
    <w:rsid w:val="00F96E69"/>
    <w:rsid w:val="00FB5125"/>
    <w:rsid w:val="00FD4878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Textzstupnhosymbolu">
    <w:name w:val="Placeholder Text"/>
    <w:basedOn w:val="Predvolenpsmoodseku"/>
    <w:uiPriority w:val="99"/>
    <w:semiHidden/>
    <w:rsid w:val="00110332"/>
    <w:rPr>
      <w:color w:val="808080"/>
    </w:rPr>
  </w:style>
  <w:style w:type="paragraph" w:styleId="Zkladntext">
    <w:name w:val="Body Text"/>
    <w:basedOn w:val="Normlny"/>
    <w:link w:val="ZkladntextChar"/>
    <w:rsid w:val="005F67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F6799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Textzstupnhosymbolu">
    <w:name w:val="Placeholder Text"/>
    <w:basedOn w:val="Predvolenpsmoodseku"/>
    <w:uiPriority w:val="99"/>
    <w:semiHidden/>
    <w:rsid w:val="00110332"/>
    <w:rPr>
      <w:color w:val="808080"/>
    </w:rPr>
  </w:style>
  <w:style w:type="paragraph" w:styleId="Zkladntext">
    <w:name w:val="Body Text"/>
    <w:basedOn w:val="Normlny"/>
    <w:link w:val="ZkladntextChar"/>
    <w:rsid w:val="005F67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5F67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Textzstupnhosymbolu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5"/>
    <w:rsid w:val="001C2EA5"/>
    <w:rsid w:val="00450785"/>
    <w:rsid w:val="00555957"/>
    <w:rsid w:val="00834D6F"/>
    <w:rsid w:val="00945485"/>
    <w:rsid w:val="00BB6EBD"/>
    <w:rsid w:val="00C44EB5"/>
    <w:rsid w:val="00D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6878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RA_1.3.1_00000086</dc:subject>
  <dc:creator>Offermann, Rita</dc:creator>
  <cp:lastModifiedBy>Ševčeková Lucia</cp:lastModifiedBy>
  <cp:revision>3</cp:revision>
  <cp:lastPrinted>2003-12-17T11:32:00Z</cp:lastPrinted>
  <dcterms:created xsi:type="dcterms:W3CDTF">2019-06-05T08:31:00Z</dcterms:created>
  <dcterms:modified xsi:type="dcterms:W3CDTF">2019-06-05T08:31:00Z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</Properties>
</file>