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07FDD" w14:textId="0886BBC7" w:rsidR="00954C84" w:rsidRDefault="00954C84" w:rsidP="00FE0B01">
      <w:pPr>
        <w:pStyle w:val="SPCaPILhlavika"/>
      </w:pPr>
      <w:r w:rsidRPr="00EE3F6B">
        <w:t>SÚHRN CHARAKTERISTICKÝCH VLASTNOSTÍ LIEKU</w:t>
      </w:r>
    </w:p>
    <w:p w14:paraId="76C71232" w14:textId="77777777" w:rsidR="00EE3F6B" w:rsidRDefault="00EE3F6B" w:rsidP="00FE0B01">
      <w:pPr>
        <w:pStyle w:val="SPCaPILhlavika"/>
      </w:pPr>
    </w:p>
    <w:p w14:paraId="4E11FE7A" w14:textId="77777777" w:rsidR="00EE3F6B" w:rsidRPr="00EE3F6B" w:rsidRDefault="00EE3F6B" w:rsidP="00FE0B01">
      <w:pPr>
        <w:pStyle w:val="SPCaPILhlavika"/>
      </w:pPr>
    </w:p>
    <w:p w14:paraId="72D4B3CC" w14:textId="3D80911E" w:rsidR="00954C84" w:rsidRPr="00EE3F6B" w:rsidRDefault="00954C84" w:rsidP="00FE0B01">
      <w:pPr>
        <w:pStyle w:val="Styl1"/>
        <w:spacing w:before="0" w:after="0"/>
        <w:rPr>
          <w:szCs w:val="22"/>
        </w:rPr>
      </w:pPr>
      <w:r w:rsidRPr="00EE3F6B">
        <w:rPr>
          <w:szCs w:val="22"/>
        </w:rPr>
        <w:t>NÁZOV LIEKU</w:t>
      </w:r>
    </w:p>
    <w:p w14:paraId="55FF756C" w14:textId="77777777" w:rsidR="00EE3F6B" w:rsidRDefault="00EE3F6B" w:rsidP="00FE0B01">
      <w:pPr>
        <w:pStyle w:val="Normlndobloku"/>
        <w:spacing w:after="0"/>
        <w:jc w:val="left"/>
        <w:rPr>
          <w:szCs w:val="22"/>
        </w:rPr>
      </w:pPr>
    </w:p>
    <w:p w14:paraId="65027B57" w14:textId="7FC1E687" w:rsidR="00954C84" w:rsidRPr="00EE3F6B" w:rsidRDefault="00954C84" w:rsidP="00FE0B01">
      <w:pPr>
        <w:pStyle w:val="Normlndobloku"/>
        <w:spacing w:after="0"/>
        <w:jc w:val="left"/>
        <w:rPr>
          <w:szCs w:val="22"/>
        </w:rPr>
      </w:pPr>
      <w:r w:rsidRPr="00EE3F6B">
        <w:rPr>
          <w:szCs w:val="22"/>
        </w:rPr>
        <w:t>ELIFY XR 75</w:t>
      </w:r>
      <w:r w:rsidR="005A5A9E" w:rsidRPr="00EE3F6B">
        <w:rPr>
          <w:szCs w:val="22"/>
        </w:rPr>
        <w:t xml:space="preserve"> mg </w:t>
      </w:r>
      <w:r w:rsidRPr="00EE3F6B">
        <w:rPr>
          <w:szCs w:val="22"/>
        </w:rPr>
        <w:t>tvrdé kapsuly</w:t>
      </w:r>
      <w:r w:rsidR="005A5A9E" w:rsidRPr="00EE3F6B">
        <w:rPr>
          <w:szCs w:val="22"/>
        </w:rPr>
        <w:t xml:space="preserve"> s </w:t>
      </w:r>
      <w:r w:rsidRPr="00EE3F6B">
        <w:rPr>
          <w:szCs w:val="22"/>
        </w:rPr>
        <w:t>predĺženým uvoľňovaním</w:t>
      </w:r>
    </w:p>
    <w:p w14:paraId="3AF9D2F3" w14:textId="76D931E7" w:rsidR="00954C84" w:rsidRDefault="00954C84" w:rsidP="00FE0B01">
      <w:pPr>
        <w:pStyle w:val="Normlndobloku"/>
        <w:spacing w:after="0"/>
        <w:jc w:val="left"/>
        <w:rPr>
          <w:szCs w:val="22"/>
        </w:rPr>
      </w:pPr>
      <w:r w:rsidRPr="009E286B">
        <w:rPr>
          <w:szCs w:val="22"/>
        </w:rPr>
        <w:t>ELIFY XR 150</w:t>
      </w:r>
      <w:r w:rsidR="005A5A9E" w:rsidRPr="009E286B">
        <w:rPr>
          <w:szCs w:val="22"/>
        </w:rPr>
        <w:t xml:space="preserve"> mg </w:t>
      </w:r>
      <w:r w:rsidRPr="009E286B">
        <w:rPr>
          <w:szCs w:val="22"/>
        </w:rPr>
        <w:t>tvrdé kapsuly</w:t>
      </w:r>
      <w:r w:rsidR="005A5A9E" w:rsidRPr="009E286B">
        <w:rPr>
          <w:szCs w:val="22"/>
        </w:rPr>
        <w:t xml:space="preserve"> s </w:t>
      </w:r>
      <w:r w:rsidRPr="009E286B">
        <w:rPr>
          <w:szCs w:val="22"/>
        </w:rPr>
        <w:t>predĺženým uvoľňovaním</w:t>
      </w:r>
    </w:p>
    <w:p w14:paraId="44488727" w14:textId="77777777" w:rsidR="00EE3F6B" w:rsidRDefault="00EE3F6B" w:rsidP="00FE0B01">
      <w:pPr>
        <w:pStyle w:val="Normlndobloku"/>
        <w:spacing w:after="0"/>
        <w:jc w:val="left"/>
        <w:rPr>
          <w:szCs w:val="22"/>
        </w:rPr>
      </w:pPr>
    </w:p>
    <w:p w14:paraId="2D75B19F" w14:textId="77777777" w:rsidR="00EE3F6B" w:rsidRPr="00EE3F6B" w:rsidRDefault="00EE3F6B" w:rsidP="00FE0B01">
      <w:pPr>
        <w:pStyle w:val="Normlndobloku"/>
        <w:spacing w:after="0"/>
        <w:jc w:val="left"/>
        <w:rPr>
          <w:szCs w:val="22"/>
        </w:rPr>
      </w:pPr>
    </w:p>
    <w:p w14:paraId="3492F0DC" w14:textId="496DF37F" w:rsidR="00954C84" w:rsidRPr="00EE3F6B" w:rsidRDefault="00954C84" w:rsidP="00FE0B01">
      <w:pPr>
        <w:pStyle w:val="Styl1"/>
        <w:spacing w:before="0" w:after="0"/>
        <w:rPr>
          <w:szCs w:val="22"/>
        </w:rPr>
      </w:pPr>
      <w:r w:rsidRPr="00EE3F6B">
        <w:rPr>
          <w:szCs w:val="22"/>
        </w:rPr>
        <w:t>KVALITATÍVNE</w:t>
      </w:r>
      <w:r w:rsidR="005A5A9E" w:rsidRPr="00EE3F6B">
        <w:rPr>
          <w:szCs w:val="22"/>
        </w:rPr>
        <w:t xml:space="preserve"> </w:t>
      </w:r>
      <w:r w:rsidR="009E286B">
        <w:rPr>
          <w:szCs w:val="22"/>
        </w:rPr>
        <w:t>A</w:t>
      </w:r>
      <w:r w:rsidR="005A5A9E" w:rsidRPr="00EE3F6B">
        <w:rPr>
          <w:szCs w:val="22"/>
        </w:rPr>
        <w:t> </w:t>
      </w:r>
      <w:r w:rsidRPr="00EE3F6B">
        <w:rPr>
          <w:szCs w:val="22"/>
        </w:rPr>
        <w:t>KVANTITATÍVNE ZLOŽENIE</w:t>
      </w:r>
    </w:p>
    <w:p w14:paraId="172BDB0F" w14:textId="77777777" w:rsidR="00EE3F6B" w:rsidRDefault="00EE3F6B" w:rsidP="00FE0B01">
      <w:pPr>
        <w:pStyle w:val="Styl3"/>
        <w:spacing w:after="0"/>
        <w:jc w:val="left"/>
        <w:rPr>
          <w:szCs w:val="22"/>
        </w:rPr>
      </w:pPr>
    </w:p>
    <w:p w14:paraId="042F0630" w14:textId="463B6DF0" w:rsidR="00954C84" w:rsidRPr="00EE3F6B" w:rsidRDefault="00954C84" w:rsidP="00FE0B01">
      <w:pPr>
        <w:pStyle w:val="Styl3"/>
        <w:spacing w:after="0"/>
        <w:jc w:val="left"/>
        <w:rPr>
          <w:szCs w:val="22"/>
        </w:rPr>
      </w:pPr>
      <w:r w:rsidRPr="00EE3F6B">
        <w:rPr>
          <w:szCs w:val="22"/>
        </w:rPr>
        <w:t>ELIFY XR 75</w:t>
      </w:r>
      <w:r w:rsidR="005A5A9E" w:rsidRPr="00EE3F6B">
        <w:rPr>
          <w:szCs w:val="22"/>
        </w:rPr>
        <w:t xml:space="preserve"> mg </w:t>
      </w:r>
      <w:r w:rsidRPr="00EE3F6B">
        <w:rPr>
          <w:szCs w:val="22"/>
        </w:rPr>
        <w:t>tvrdé kapsuly</w:t>
      </w:r>
      <w:r w:rsidR="005A5A9E" w:rsidRPr="00EE3F6B">
        <w:rPr>
          <w:szCs w:val="22"/>
        </w:rPr>
        <w:t xml:space="preserve"> s </w:t>
      </w:r>
      <w:r w:rsidRPr="00EE3F6B">
        <w:rPr>
          <w:szCs w:val="22"/>
        </w:rPr>
        <w:t>predĺženým uvoľňovaním</w:t>
      </w:r>
    </w:p>
    <w:p w14:paraId="1B0CFFE2" w14:textId="0F8D1BC4" w:rsidR="00954C84" w:rsidRPr="009E286B" w:rsidRDefault="00954C84" w:rsidP="00FE0B01">
      <w:pPr>
        <w:pStyle w:val="Normlndobloku"/>
        <w:spacing w:after="0"/>
        <w:jc w:val="left"/>
        <w:rPr>
          <w:szCs w:val="22"/>
        </w:rPr>
      </w:pPr>
      <w:r w:rsidRPr="009E286B">
        <w:rPr>
          <w:szCs w:val="22"/>
        </w:rPr>
        <w:t>Každá kapsula obsahuje 75</w:t>
      </w:r>
      <w:r w:rsidR="005A5A9E" w:rsidRPr="009E286B">
        <w:rPr>
          <w:szCs w:val="22"/>
        </w:rPr>
        <w:t xml:space="preserve"> mg </w:t>
      </w:r>
      <w:r w:rsidRPr="009E286B">
        <w:rPr>
          <w:szCs w:val="22"/>
        </w:rPr>
        <w:t>venlafaxínu (vo forme venlafaxíniumchloridu).</w:t>
      </w:r>
    </w:p>
    <w:p w14:paraId="2079DDD2" w14:textId="77777777" w:rsidR="00EE3F6B" w:rsidRDefault="00EE3F6B" w:rsidP="00FE0B01">
      <w:pPr>
        <w:pStyle w:val="Normlndobloku"/>
        <w:spacing w:after="0"/>
        <w:jc w:val="left"/>
        <w:rPr>
          <w:szCs w:val="22"/>
        </w:rPr>
      </w:pPr>
    </w:p>
    <w:p w14:paraId="5CC14D87" w14:textId="751D4C81" w:rsidR="00954C84" w:rsidRPr="00EE3F6B" w:rsidRDefault="00954C84" w:rsidP="00FE0B01">
      <w:pPr>
        <w:pStyle w:val="Normlndobloku"/>
        <w:spacing w:after="0"/>
        <w:jc w:val="left"/>
        <w:rPr>
          <w:szCs w:val="22"/>
        </w:rPr>
      </w:pPr>
      <w:r w:rsidRPr="00BC3C9C">
        <w:rPr>
          <w:szCs w:val="22"/>
          <w:u w:val="single"/>
        </w:rPr>
        <w:t>Pomocné látky</w:t>
      </w:r>
      <w:r w:rsidR="00930052" w:rsidRPr="00BC3C9C">
        <w:rPr>
          <w:szCs w:val="22"/>
          <w:u w:val="single"/>
        </w:rPr>
        <w:t xml:space="preserve"> so známym účinkom</w:t>
      </w:r>
      <w:r w:rsidRPr="00EE3F6B">
        <w:rPr>
          <w:szCs w:val="22"/>
        </w:rPr>
        <w:t>:</w:t>
      </w:r>
    </w:p>
    <w:p w14:paraId="7EC8185E" w14:textId="793F2C59" w:rsidR="00954C84" w:rsidRPr="009E286B" w:rsidRDefault="00954C84" w:rsidP="00FE0B01">
      <w:pPr>
        <w:pStyle w:val="Normlndoblokusodrkami"/>
        <w:spacing w:after="0"/>
        <w:jc w:val="left"/>
        <w:rPr>
          <w:szCs w:val="22"/>
        </w:rPr>
      </w:pPr>
      <w:r w:rsidRPr="009E286B">
        <w:rPr>
          <w:szCs w:val="22"/>
        </w:rPr>
        <w:t>sacharóza max. 92,69 mg</w:t>
      </w:r>
    </w:p>
    <w:p w14:paraId="2747362A" w14:textId="3FBBE970" w:rsidR="00954C84" w:rsidRPr="009E286B" w:rsidRDefault="00954C84" w:rsidP="00FE0B01">
      <w:pPr>
        <w:pStyle w:val="Normlndoblokusodrkami"/>
        <w:spacing w:after="0"/>
        <w:jc w:val="left"/>
        <w:rPr>
          <w:szCs w:val="22"/>
        </w:rPr>
      </w:pPr>
      <w:r w:rsidRPr="009E286B">
        <w:rPr>
          <w:szCs w:val="22"/>
        </w:rPr>
        <w:t>žlť oranžová FCF (E110) 0,0006 mg.</w:t>
      </w:r>
    </w:p>
    <w:p w14:paraId="087F8E11" w14:textId="77777777" w:rsidR="00EE3F6B" w:rsidRDefault="00EE3F6B" w:rsidP="00FE0B01">
      <w:pPr>
        <w:pStyle w:val="Styl3"/>
        <w:spacing w:after="0"/>
        <w:jc w:val="left"/>
        <w:rPr>
          <w:szCs w:val="22"/>
        </w:rPr>
      </w:pPr>
    </w:p>
    <w:p w14:paraId="71F5AD24" w14:textId="3F16EA6B" w:rsidR="00954C84" w:rsidRPr="00EE3F6B" w:rsidRDefault="00954C84" w:rsidP="00FE0B01">
      <w:pPr>
        <w:pStyle w:val="Styl3"/>
        <w:spacing w:after="0"/>
        <w:jc w:val="left"/>
        <w:rPr>
          <w:szCs w:val="22"/>
        </w:rPr>
      </w:pPr>
      <w:r w:rsidRPr="00EE3F6B">
        <w:rPr>
          <w:szCs w:val="22"/>
        </w:rPr>
        <w:t>ELIFY XR 150</w:t>
      </w:r>
      <w:r w:rsidR="005A5A9E" w:rsidRPr="00EE3F6B">
        <w:rPr>
          <w:szCs w:val="22"/>
        </w:rPr>
        <w:t xml:space="preserve"> mg </w:t>
      </w:r>
      <w:r w:rsidRPr="00EE3F6B">
        <w:rPr>
          <w:szCs w:val="22"/>
        </w:rPr>
        <w:t>tvrdé kapsuly</w:t>
      </w:r>
      <w:r w:rsidR="005A5A9E" w:rsidRPr="00EE3F6B">
        <w:rPr>
          <w:szCs w:val="22"/>
        </w:rPr>
        <w:t xml:space="preserve"> s </w:t>
      </w:r>
      <w:r w:rsidRPr="00EE3F6B">
        <w:rPr>
          <w:szCs w:val="22"/>
        </w:rPr>
        <w:t>predĺženým uvoľňovaním</w:t>
      </w:r>
    </w:p>
    <w:p w14:paraId="79002DA5" w14:textId="4864E69E" w:rsidR="00954C84" w:rsidRPr="009E286B" w:rsidRDefault="00954C84" w:rsidP="00FE0B01">
      <w:pPr>
        <w:pStyle w:val="Normlndobloku"/>
        <w:spacing w:after="0"/>
        <w:jc w:val="left"/>
        <w:rPr>
          <w:szCs w:val="22"/>
        </w:rPr>
      </w:pPr>
      <w:r w:rsidRPr="009E286B">
        <w:rPr>
          <w:szCs w:val="22"/>
        </w:rPr>
        <w:t>Každá kapsula obsahuje 150</w:t>
      </w:r>
      <w:r w:rsidR="005A5A9E" w:rsidRPr="009E286B">
        <w:rPr>
          <w:szCs w:val="22"/>
        </w:rPr>
        <w:t xml:space="preserve"> mg </w:t>
      </w:r>
      <w:r w:rsidRPr="009E286B">
        <w:rPr>
          <w:szCs w:val="22"/>
        </w:rPr>
        <w:t>venlafaxínu (vo forme venlafaxíniumchloridu).</w:t>
      </w:r>
    </w:p>
    <w:p w14:paraId="7E3F8B3D" w14:textId="77777777" w:rsidR="00EE3F6B" w:rsidRDefault="00EE3F6B" w:rsidP="00FE0B01">
      <w:pPr>
        <w:pStyle w:val="Normlndobloku"/>
        <w:spacing w:after="0"/>
        <w:jc w:val="left"/>
        <w:rPr>
          <w:szCs w:val="22"/>
        </w:rPr>
      </w:pPr>
    </w:p>
    <w:p w14:paraId="16E3FE9E" w14:textId="18F493E8" w:rsidR="00954C84" w:rsidRPr="00EE3F6B" w:rsidRDefault="00954C84" w:rsidP="00FE0B01">
      <w:pPr>
        <w:pStyle w:val="Normlndobloku"/>
        <w:spacing w:after="0"/>
        <w:jc w:val="left"/>
        <w:rPr>
          <w:szCs w:val="22"/>
        </w:rPr>
      </w:pPr>
      <w:r w:rsidRPr="00BC3C9C">
        <w:rPr>
          <w:szCs w:val="22"/>
          <w:u w:val="single"/>
        </w:rPr>
        <w:t>Pomocné látky</w:t>
      </w:r>
      <w:r w:rsidR="00930052" w:rsidRPr="00BC3C9C">
        <w:rPr>
          <w:szCs w:val="22"/>
          <w:u w:val="single"/>
        </w:rPr>
        <w:t xml:space="preserve"> so známym účinkom</w:t>
      </w:r>
      <w:r w:rsidRPr="00EE3F6B">
        <w:rPr>
          <w:szCs w:val="22"/>
        </w:rPr>
        <w:t>:</w:t>
      </w:r>
    </w:p>
    <w:p w14:paraId="43ABA7A0" w14:textId="5845399D" w:rsidR="00954C84" w:rsidRPr="009E286B" w:rsidRDefault="00954C84" w:rsidP="00FE0B01">
      <w:pPr>
        <w:pStyle w:val="Normlndoblokusodrkami"/>
        <w:spacing w:after="0"/>
        <w:jc w:val="left"/>
        <w:rPr>
          <w:szCs w:val="22"/>
        </w:rPr>
      </w:pPr>
      <w:r w:rsidRPr="009E286B">
        <w:rPr>
          <w:szCs w:val="22"/>
        </w:rPr>
        <w:t>sacharóza max. 185,38 mg</w:t>
      </w:r>
    </w:p>
    <w:p w14:paraId="61AE15A7" w14:textId="71FC61E9" w:rsidR="00954C84" w:rsidRPr="009E286B" w:rsidRDefault="00954C84" w:rsidP="00FE0B01">
      <w:pPr>
        <w:pStyle w:val="Normlndoblokusodrkami"/>
        <w:spacing w:after="0"/>
        <w:jc w:val="left"/>
        <w:rPr>
          <w:szCs w:val="22"/>
        </w:rPr>
      </w:pPr>
      <w:r w:rsidRPr="009E286B">
        <w:rPr>
          <w:szCs w:val="22"/>
        </w:rPr>
        <w:t>žlť oranžová FCF (E110) 0,0183 mg.</w:t>
      </w:r>
    </w:p>
    <w:p w14:paraId="33D7CE35" w14:textId="77777777" w:rsidR="00EE3F6B" w:rsidRDefault="00EE3F6B" w:rsidP="00FE0B01">
      <w:pPr>
        <w:pStyle w:val="Normlndobloku"/>
        <w:spacing w:after="0"/>
        <w:jc w:val="left"/>
        <w:rPr>
          <w:szCs w:val="22"/>
        </w:rPr>
      </w:pPr>
    </w:p>
    <w:p w14:paraId="32108F85" w14:textId="48CED052" w:rsidR="00954C84" w:rsidRDefault="00954C84" w:rsidP="00FE0B01">
      <w:pPr>
        <w:pStyle w:val="Normlndobloku"/>
        <w:spacing w:after="0"/>
        <w:jc w:val="left"/>
        <w:rPr>
          <w:szCs w:val="22"/>
        </w:rPr>
      </w:pPr>
      <w:r w:rsidRPr="00EE3F6B">
        <w:rPr>
          <w:szCs w:val="22"/>
        </w:rPr>
        <w:t>Úplný zoznam pomocných látok, pozri časť 6.1.</w:t>
      </w:r>
    </w:p>
    <w:p w14:paraId="790E9C85" w14:textId="77777777" w:rsidR="00EE3F6B" w:rsidRDefault="00EE3F6B" w:rsidP="00FE0B01">
      <w:pPr>
        <w:pStyle w:val="Normlndobloku"/>
        <w:spacing w:after="0"/>
        <w:jc w:val="left"/>
        <w:rPr>
          <w:szCs w:val="22"/>
        </w:rPr>
      </w:pPr>
    </w:p>
    <w:p w14:paraId="40978F48" w14:textId="77777777" w:rsidR="00EE3F6B" w:rsidRPr="00EE3F6B" w:rsidRDefault="00EE3F6B" w:rsidP="00FE0B01">
      <w:pPr>
        <w:pStyle w:val="Normlndobloku"/>
        <w:spacing w:after="0"/>
        <w:jc w:val="left"/>
        <w:rPr>
          <w:szCs w:val="22"/>
        </w:rPr>
      </w:pPr>
    </w:p>
    <w:p w14:paraId="0C6A08C7" w14:textId="3706AD6A" w:rsidR="00954C84" w:rsidRPr="00EE3F6B" w:rsidRDefault="00954C84" w:rsidP="00FE0B01">
      <w:pPr>
        <w:pStyle w:val="Styl1"/>
        <w:spacing w:before="0" w:after="0"/>
        <w:rPr>
          <w:szCs w:val="22"/>
        </w:rPr>
      </w:pPr>
      <w:r w:rsidRPr="00EE3F6B">
        <w:rPr>
          <w:szCs w:val="22"/>
        </w:rPr>
        <w:t>LIEKOVÁ FORMA</w:t>
      </w:r>
    </w:p>
    <w:p w14:paraId="11608577" w14:textId="77777777" w:rsidR="00EE3F6B" w:rsidRDefault="00EE3F6B" w:rsidP="00FE0B01">
      <w:pPr>
        <w:pStyle w:val="Normlndobloku"/>
        <w:spacing w:after="0"/>
        <w:jc w:val="left"/>
        <w:rPr>
          <w:szCs w:val="22"/>
        </w:rPr>
      </w:pPr>
    </w:p>
    <w:p w14:paraId="4826F460" w14:textId="0F566811" w:rsidR="00954C84" w:rsidRPr="00EE3F6B" w:rsidRDefault="00954C84" w:rsidP="00FE0B01">
      <w:pPr>
        <w:pStyle w:val="Normlndobloku"/>
        <w:spacing w:after="0"/>
        <w:jc w:val="left"/>
        <w:rPr>
          <w:szCs w:val="22"/>
        </w:rPr>
      </w:pPr>
      <w:r w:rsidRPr="00EE3F6B">
        <w:rPr>
          <w:szCs w:val="22"/>
        </w:rPr>
        <w:t>Tvrdé kapsuly</w:t>
      </w:r>
      <w:r w:rsidR="005A5A9E" w:rsidRPr="00EE3F6B">
        <w:rPr>
          <w:szCs w:val="22"/>
        </w:rPr>
        <w:t xml:space="preserve"> s </w:t>
      </w:r>
      <w:r w:rsidRPr="00EE3F6B">
        <w:rPr>
          <w:szCs w:val="22"/>
        </w:rPr>
        <w:t>predĺženým uvoľňovaním.</w:t>
      </w:r>
    </w:p>
    <w:p w14:paraId="3EECE492" w14:textId="77777777" w:rsidR="00EE3F6B" w:rsidRDefault="00EE3F6B" w:rsidP="00FE0B01">
      <w:pPr>
        <w:pStyle w:val="Styl3"/>
        <w:spacing w:after="0"/>
        <w:jc w:val="left"/>
        <w:rPr>
          <w:szCs w:val="22"/>
        </w:rPr>
      </w:pPr>
    </w:p>
    <w:p w14:paraId="1979F10D" w14:textId="50AB2B02" w:rsidR="00954C84" w:rsidRPr="00EE3F6B" w:rsidRDefault="00954C84" w:rsidP="00FE0B01">
      <w:pPr>
        <w:pStyle w:val="Styl3"/>
        <w:spacing w:after="0"/>
        <w:jc w:val="left"/>
        <w:rPr>
          <w:szCs w:val="22"/>
        </w:rPr>
      </w:pPr>
      <w:r w:rsidRPr="00EE3F6B">
        <w:rPr>
          <w:szCs w:val="22"/>
        </w:rPr>
        <w:t>ELIFY XR 75</w:t>
      </w:r>
      <w:r w:rsidR="005A5A9E" w:rsidRPr="00EE3F6B">
        <w:rPr>
          <w:szCs w:val="22"/>
        </w:rPr>
        <w:t xml:space="preserve"> mg </w:t>
      </w:r>
      <w:r w:rsidRPr="00EE3F6B">
        <w:rPr>
          <w:szCs w:val="22"/>
        </w:rPr>
        <w:t>tvrdé kapsuly</w:t>
      </w:r>
      <w:r w:rsidR="005A5A9E" w:rsidRPr="00EE3F6B">
        <w:rPr>
          <w:szCs w:val="22"/>
        </w:rPr>
        <w:t xml:space="preserve"> s </w:t>
      </w:r>
      <w:r w:rsidRPr="00EE3F6B">
        <w:rPr>
          <w:szCs w:val="22"/>
        </w:rPr>
        <w:t>predĺženým uvoľňovaním</w:t>
      </w:r>
    </w:p>
    <w:p w14:paraId="74EC43B8" w14:textId="2877FCEE" w:rsidR="00954C84" w:rsidRPr="009E286B" w:rsidRDefault="00954C84" w:rsidP="00FE0B01">
      <w:pPr>
        <w:pStyle w:val="Normlndobloku"/>
        <w:spacing w:after="0"/>
        <w:jc w:val="left"/>
        <w:rPr>
          <w:szCs w:val="22"/>
        </w:rPr>
      </w:pPr>
      <w:r w:rsidRPr="009E286B">
        <w:rPr>
          <w:szCs w:val="22"/>
        </w:rPr>
        <w:t>Biely až takmer biely granulát</w:t>
      </w:r>
      <w:r w:rsidR="005A5A9E" w:rsidRPr="009E286B">
        <w:rPr>
          <w:szCs w:val="22"/>
        </w:rPr>
        <w:t xml:space="preserve"> v </w:t>
      </w:r>
      <w:r w:rsidRPr="009E286B">
        <w:rPr>
          <w:szCs w:val="22"/>
        </w:rPr>
        <w:t>kapsule so žltou vrchnou časťou</w:t>
      </w:r>
      <w:r w:rsidR="005A5A9E" w:rsidRPr="009E286B">
        <w:rPr>
          <w:szCs w:val="22"/>
        </w:rPr>
        <w:t xml:space="preserve"> a </w:t>
      </w:r>
      <w:r w:rsidRPr="009E286B">
        <w:rPr>
          <w:szCs w:val="22"/>
        </w:rPr>
        <w:t>priehľadnou spodnou časťou.</w:t>
      </w:r>
    </w:p>
    <w:p w14:paraId="210993AD" w14:textId="77777777" w:rsidR="00EE3F6B" w:rsidRDefault="00EE3F6B" w:rsidP="00FE0B01">
      <w:pPr>
        <w:pStyle w:val="Styl3"/>
        <w:spacing w:after="0"/>
        <w:jc w:val="left"/>
        <w:rPr>
          <w:szCs w:val="22"/>
        </w:rPr>
      </w:pPr>
    </w:p>
    <w:p w14:paraId="26EEE374" w14:textId="2B3B6E29" w:rsidR="00954C84" w:rsidRPr="00EE3F6B" w:rsidRDefault="00954C84" w:rsidP="00FE0B01">
      <w:pPr>
        <w:pStyle w:val="Styl3"/>
        <w:spacing w:after="0"/>
        <w:jc w:val="left"/>
        <w:rPr>
          <w:szCs w:val="22"/>
        </w:rPr>
      </w:pPr>
      <w:r w:rsidRPr="00EE3F6B">
        <w:rPr>
          <w:szCs w:val="22"/>
        </w:rPr>
        <w:t>ELIFY XR 150</w:t>
      </w:r>
      <w:r w:rsidR="005A5A9E" w:rsidRPr="00EE3F6B">
        <w:rPr>
          <w:szCs w:val="22"/>
        </w:rPr>
        <w:t xml:space="preserve"> mg </w:t>
      </w:r>
      <w:r w:rsidRPr="00EE3F6B">
        <w:rPr>
          <w:szCs w:val="22"/>
        </w:rPr>
        <w:t>tvrdé kapsuly</w:t>
      </w:r>
      <w:r w:rsidR="005A5A9E" w:rsidRPr="00EE3F6B">
        <w:rPr>
          <w:szCs w:val="22"/>
        </w:rPr>
        <w:t xml:space="preserve"> s </w:t>
      </w:r>
      <w:r w:rsidRPr="00EE3F6B">
        <w:rPr>
          <w:szCs w:val="22"/>
        </w:rPr>
        <w:t>predĺženým uvoľňovaním</w:t>
      </w:r>
    </w:p>
    <w:p w14:paraId="03A005E3" w14:textId="26E755BF" w:rsidR="00954C84" w:rsidRDefault="00954C84" w:rsidP="00FE0B01">
      <w:pPr>
        <w:pStyle w:val="Normlndobloku"/>
        <w:spacing w:after="0"/>
        <w:jc w:val="left"/>
        <w:rPr>
          <w:szCs w:val="22"/>
        </w:rPr>
      </w:pPr>
      <w:r w:rsidRPr="009E286B">
        <w:rPr>
          <w:szCs w:val="22"/>
        </w:rPr>
        <w:t>Biely až takmer biely granulát</w:t>
      </w:r>
      <w:r w:rsidR="005A5A9E" w:rsidRPr="009E286B">
        <w:rPr>
          <w:szCs w:val="22"/>
        </w:rPr>
        <w:t xml:space="preserve"> v </w:t>
      </w:r>
      <w:r w:rsidRPr="009E286B">
        <w:rPr>
          <w:szCs w:val="22"/>
        </w:rPr>
        <w:t>kapsule</w:t>
      </w:r>
      <w:r w:rsidR="005A5A9E" w:rsidRPr="009E286B">
        <w:rPr>
          <w:szCs w:val="22"/>
        </w:rPr>
        <w:t xml:space="preserve"> s </w:t>
      </w:r>
      <w:r w:rsidRPr="009E286B">
        <w:rPr>
          <w:szCs w:val="22"/>
        </w:rPr>
        <w:t>okrovou vrchnou časťou</w:t>
      </w:r>
      <w:r w:rsidR="005A5A9E" w:rsidRPr="009E286B">
        <w:rPr>
          <w:szCs w:val="22"/>
        </w:rPr>
        <w:t xml:space="preserve"> a </w:t>
      </w:r>
      <w:r w:rsidRPr="009E286B">
        <w:rPr>
          <w:szCs w:val="22"/>
        </w:rPr>
        <w:t>priehľadnou spodnou časťou.</w:t>
      </w:r>
    </w:p>
    <w:p w14:paraId="07731723" w14:textId="77777777" w:rsidR="00EE3F6B" w:rsidRDefault="00EE3F6B" w:rsidP="00FE0B01">
      <w:pPr>
        <w:pStyle w:val="Normlndobloku"/>
        <w:spacing w:after="0"/>
        <w:jc w:val="left"/>
        <w:rPr>
          <w:szCs w:val="22"/>
        </w:rPr>
      </w:pPr>
    </w:p>
    <w:p w14:paraId="654B5189" w14:textId="77777777" w:rsidR="00EE3F6B" w:rsidRPr="00EE3F6B" w:rsidRDefault="00EE3F6B" w:rsidP="00FE0B01">
      <w:pPr>
        <w:pStyle w:val="Normlndobloku"/>
        <w:spacing w:after="0"/>
        <w:jc w:val="left"/>
        <w:rPr>
          <w:szCs w:val="22"/>
        </w:rPr>
      </w:pPr>
    </w:p>
    <w:p w14:paraId="200D49B8" w14:textId="50189F14" w:rsidR="00954C84" w:rsidRPr="00EE3F6B" w:rsidRDefault="00954C84" w:rsidP="00FE0B01">
      <w:pPr>
        <w:pStyle w:val="Styl1"/>
        <w:tabs>
          <w:tab w:val="clear" w:pos="360"/>
          <w:tab w:val="num" w:pos="567"/>
        </w:tabs>
        <w:spacing w:before="0" w:after="0"/>
        <w:ind w:left="567" w:hanging="567"/>
        <w:rPr>
          <w:szCs w:val="22"/>
        </w:rPr>
      </w:pPr>
      <w:r w:rsidRPr="00EE3F6B">
        <w:rPr>
          <w:szCs w:val="22"/>
        </w:rPr>
        <w:t>KLINICKÉ ÚDAJE</w:t>
      </w:r>
    </w:p>
    <w:p w14:paraId="6574634F" w14:textId="7A476EF5" w:rsidR="00954C84" w:rsidRPr="00EE3F6B" w:rsidRDefault="00954C84" w:rsidP="00FE0B01">
      <w:pPr>
        <w:pStyle w:val="Styl2"/>
      </w:pPr>
      <w:r w:rsidRPr="00EE3F6B">
        <w:t>Terapeutické indikácie</w:t>
      </w:r>
    </w:p>
    <w:p w14:paraId="0B35DB46" w14:textId="77777777" w:rsidR="00301FE5" w:rsidRDefault="00301FE5" w:rsidP="00FE0B01">
      <w:pPr>
        <w:pStyle w:val="Normlndoblokusodrkami"/>
        <w:tabs>
          <w:tab w:val="clear" w:pos="360"/>
          <w:tab w:val="left" w:pos="567"/>
        </w:tabs>
        <w:spacing w:after="0"/>
        <w:ind w:left="567" w:hanging="567"/>
        <w:jc w:val="left"/>
        <w:rPr>
          <w:szCs w:val="22"/>
        </w:rPr>
      </w:pPr>
    </w:p>
    <w:p w14:paraId="3D12C4B0" w14:textId="354510A1" w:rsidR="00954C84" w:rsidRPr="00EE3F6B" w:rsidRDefault="00954C84" w:rsidP="00FE0B01">
      <w:pPr>
        <w:pStyle w:val="Normlndoblokusodrkami"/>
        <w:tabs>
          <w:tab w:val="clear" w:pos="360"/>
          <w:tab w:val="left" w:pos="567"/>
        </w:tabs>
        <w:spacing w:after="0"/>
        <w:ind w:left="567" w:hanging="567"/>
        <w:jc w:val="left"/>
        <w:rPr>
          <w:szCs w:val="22"/>
        </w:rPr>
      </w:pPr>
      <w:r w:rsidRPr="00EE3F6B">
        <w:rPr>
          <w:szCs w:val="22"/>
        </w:rPr>
        <w:t>Liečba epizód veľkej depresie</w:t>
      </w:r>
    </w:p>
    <w:p w14:paraId="14105880" w14:textId="359BD38B" w:rsidR="00954C84" w:rsidRPr="009E286B" w:rsidRDefault="00954C84" w:rsidP="00FE0B01">
      <w:pPr>
        <w:pStyle w:val="Normlndoblokusodrkami"/>
        <w:tabs>
          <w:tab w:val="clear" w:pos="360"/>
          <w:tab w:val="left" w:pos="567"/>
        </w:tabs>
        <w:spacing w:after="0"/>
        <w:ind w:left="567" w:hanging="567"/>
        <w:jc w:val="left"/>
        <w:rPr>
          <w:szCs w:val="22"/>
        </w:rPr>
      </w:pPr>
      <w:r w:rsidRPr="009E286B">
        <w:rPr>
          <w:szCs w:val="22"/>
        </w:rPr>
        <w:t>Prevencia znovuobjavenia sa epizód veľkej depresie</w:t>
      </w:r>
    </w:p>
    <w:p w14:paraId="521FE1B1" w14:textId="360F5A48" w:rsidR="00954C84" w:rsidRPr="009E286B" w:rsidRDefault="00954C84" w:rsidP="00FE0B01">
      <w:pPr>
        <w:pStyle w:val="Normlndoblokusodrkami"/>
        <w:tabs>
          <w:tab w:val="clear" w:pos="360"/>
          <w:tab w:val="left" w:pos="567"/>
        </w:tabs>
        <w:spacing w:after="0"/>
        <w:ind w:left="567" w:hanging="567"/>
        <w:jc w:val="left"/>
        <w:rPr>
          <w:szCs w:val="22"/>
        </w:rPr>
      </w:pPr>
      <w:r w:rsidRPr="009E286B">
        <w:rPr>
          <w:szCs w:val="22"/>
        </w:rPr>
        <w:t>Liečba generalizovanej úzkostnej poruchy</w:t>
      </w:r>
    </w:p>
    <w:p w14:paraId="2C22302C" w14:textId="06074D62" w:rsidR="00954C84" w:rsidRPr="009E286B" w:rsidRDefault="00954C84" w:rsidP="00FE0B01">
      <w:pPr>
        <w:pStyle w:val="Normlndoblokusodrkami"/>
        <w:tabs>
          <w:tab w:val="clear" w:pos="360"/>
          <w:tab w:val="left" w:pos="567"/>
        </w:tabs>
        <w:spacing w:after="0"/>
        <w:ind w:left="567" w:hanging="567"/>
        <w:jc w:val="left"/>
        <w:rPr>
          <w:szCs w:val="22"/>
        </w:rPr>
      </w:pPr>
      <w:r w:rsidRPr="009E286B">
        <w:rPr>
          <w:szCs w:val="22"/>
        </w:rPr>
        <w:t>Liečba sociálnej anxióznej poruchy</w:t>
      </w:r>
    </w:p>
    <w:p w14:paraId="52F5C444" w14:textId="112706D0" w:rsidR="009E286B" w:rsidRDefault="00954C84" w:rsidP="00FE0B01">
      <w:pPr>
        <w:pStyle w:val="Normlndoblokusodrkami"/>
        <w:tabs>
          <w:tab w:val="clear" w:pos="360"/>
          <w:tab w:val="left" w:pos="567"/>
        </w:tabs>
        <w:spacing w:after="0"/>
        <w:ind w:left="567" w:hanging="567"/>
        <w:jc w:val="left"/>
        <w:rPr>
          <w:szCs w:val="22"/>
        </w:rPr>
      </w:pPr>
      <w:r w:rsidRPr="009E286B">
        <w:rPr>
          <w:szCs w:val="22"/>
        </w:rPr>
        <w:t>Liečba panickej poruchy</w:t>
      </w:r>
      <w:r w:rsidR="005A5A9E" w:rsidRPr="009E286B">
        <w:rPr>
          <w:szCs w:val="22"/>
        </w:rPr>
        <w:t xml:space="preserve"> s </w:t>
      </w:r>
      <w:r w:rsidRPr="00301FE5">
        <w:rPr>
          <w:szCs w:val="22"/>
        </w:rPr>
        <w:t>agorafóbiou alebo bez nej</w:t>
      </w:r>
    </w:p>
    <w:p w14:paraId="213D1103" w14:textId="77777777" w:rsidR="00301FE5" w:rsidRPr="00301FE5" w:rsidRDefault="00301FE5" w:rsidP="00FE0B01">
      <w:pPr>
        <w:pStyle w:val="Normlndobloku"/>
        <w:spacing w:after="0"/>
      </w:pPr>
    </w:p>
    <w:p w14:paraId="0BFD44D1" w14:textId="1C7AB90A" w:rsidR="00954C84" w:rsidRPr="00EE3F6B" w:rsidRDefault="00954C84" w:rsidP="00FE0B01">
      <w:pPr>
        <w:pStyle w:val="Styl2"/>
      </w:pPr>
      <w:r w:rsidRPr="00EE3F6B">
        <w:t>Dávkovanie</w:t>
      </w:r>
      <w:r w:rsidR="005A5A9E" w:rsidRPr="00EE3F6B">
        <w:t xml:space="preserve"> a </w:t>
      </w:r>
      <w:r w:rsidRPr="00EE3F6B">
        <w:t>spôsob podávania</w:t>
      </w:r>
    </w:p>
    <w:p w14:paraId="575B394E" w14:textId="77777777" w:rsidR="00EE3F6B" w:rsidRDefault="00EE3F6B" w:rsidP="00FE0B01">
      <w:pPr>
        <w:pStyle w:val="Styl3"/>
        <w:spacing w:after="0"/>
        <w:jc w:val="left"/>
        <w:rPr>
          <w:szCs w:val="22"/>
        </w:rPr>
      </w:pPr>
    </w:p>
    <w:p w14:paraId="1542FCC9" w14:textId="77777777" w:rsidR="00930052" w:rsidRPr="00EE3F6B" w:rsidRDefault="00930052" w:rsidP="00FE0B01">
      <w:pPr>
        <w:pStyle w:val="Styl3"/>
        <w:spacing w:after="0"/>
        <w:jc w:val="left"/>
        <w:rPr>
          <w:szCs w:val="22"/>
        </w:rPr>
      </w:pPr>
      <w:r w:rsidRPr="00EE3F6B">
        <w:rPr>
          <w:szCs w:val="22"/>
        </w:rPr>
        <w:t>Dávkovanie</w:t>
      </w:r>
    </w:p>
    <w:p w14:paraId="0E45C192" w14:textId="7F7DB984" w:rsidR="00954C84" w:rsidRPr="00EE3F6B" w:rsidRDefault="00954C84" w:rsidP="00FE0B01">
      <w:pPr>
        <w:pStyle w:val="Styl3"/>
        <w:spacing w:after="0"/>
        <w:jc w:val="left"/>
        <w:rPr>
          <w:szCs w:val="22"/>
        </w:rPr>
      </w:pPr>
      <w:r w:rsidRPr="00EE3F6B">
        <w:rPr>
          <w:szCs w:val="22"/>
        </w:rPr>
        <w:t>Epizódy veľkej depresie</w:t>
      </w:r>
    </w:p>
    <w:p w14:paraId="4F483FD4" w14:textId="57423A18" w:rsidR="00954C84" w:rsidRPr="00301FE5" w:rsidRDefault="00954C84" w:rsidP="00FE0B01">
      <w:pPr>
        <w:pStyle w:val="Normlndobloku"/>
        <w:spacing w:after="0"/>
        <w:jc w:val="left"/>
        <w:rPr>
          <w:szCs w:val="22"/>
        </w:rPr>
      </w:pPr>
      <w:r w:rsidRPr="009E286B">
        <w:rPr>
          <w:szCs w:val="22"/>
        </w:rPr>
        <w:t>Odporúčaná úvodná dávka venlafaxínu</w:t>
      </w:r>
      <w:r w:rsidR="005A5A9E" w:rsidRPr="009E286B">
        <w:rPr>
          <w:szCs w:val="22"/>
        </w:rPr>
        <w:t xml:space="preserve"> s </w:t>
      </w:r>
      <w:r w:rsidRPr="009E286B">
        <w:rPr>
          <w:szCs w:val="22"/>
        </w:rPr>
        <w:t>predĺženým uvoľňovaním je 75</w:t>
      </w:r>
      <w:r w:rsidR="005A5A9E" w:rsidRPr="009E286B">
        <w:rPr>
          <w:szCs w:val="22"/>
        </w:rPr>
        <w:t xml:space="preserve"> mg </w:t>
      </w:r>
      <w:r w:rsidRPr="009E286B">
        <w:rPr>
          <w:szCs w:val="22"/>
        </w:rPr>
        <w:t>jedenkrát denne. Pacientom, ktorí neodpovedajú na úvodných 75</w:t>
      </w:r>
      <w:r w:rsidR="005A5A9E" w:rsidRPr="009E286B">
        <w:rPr>
          <w:szCs w:val="22"/>
        </w:rPr>
        <w:t xml:space="preserve"> mg </w:t>
      </w:r>
      <w:r w:rsidRPr="009E286B">
        <w:rPr>
          <w:szCs w:val="22"/>
        </w:rPr>
        <w:t>denne, sa môže zvýšiť dávka až na maximálne 375</w:t>
      </w:r>
      <w:r w:rsidR="005A5A9E" w:rsidRPr="009E286B">
        <w:rPr>
          <w:szCs w:val="22"/>
        </w:rPr>
        <w:t xml:space="preserve"> mg </w:t>
      </w:r>
      <w:r w:rsidRPr="00301FE5">
        <w:rPr>
          <w:szCs w:val="22"/>
        </w:rPr>
        <w:t>denne. Zvýšenie dávky môže prebiehať</w:t>
      </w:r>
      <w:r w:rsidR="005A5A9E" w:rsidRPr="00301FE5">
        <w:rPr>
          <w:szCs w:val="22"/>
        </w:rPr>
        <w:t xml:space="preserve"> v </w:t>
      </w:r>
      <w:r w:rsidRPr="00301FE5">
        <w:rPr>
          <w:szCs w:val="22"/>
        </w:rPr>
        <w:t>2</w:t>
      </w:r>
      <w:r w:rsidR="005A5A9E" w:rsidRPr="00301FE5">
        <w:rPr>
          <w:szCs w:val="22"/>
        </w:rPr>
        <w:t xml:space="preserve"> a </w:t>
      </w:r>
      <w:r w:rsidRPr="00301FE5">
        <w:rPr>
          <w:szCs w:val="22"/>
        </w:rPr>
        <w:t>viac-týždňových intervaloch.</w:t>
      </w:r>
      <w:r w:rsidR="006F7FF0" w:rsidRPr="00301FE5">
        <w:rPr>
          <w:szCs w:val="22"/>
        </w:rPr>
        <w:t xml:space="preserve"> V</w:t>
      </w:r>
      <w:r w:rsidR="005A5A9E" w:rsidRPr="00301FE5">
        <w:rPr>
          <w:szCs w:val="22"/>
        </w:rPr>
        <w:t> </w:t>
      </w:r>
      <w:r w:rsidRPr="00301FE5">
        <w:rPr>
          <w:szCs w:val="22"/>
        </w:rPr>
        <w:t xml:space="preserve">klinicky </w:t>
      </w:r>
      <w:r w:rsidRPr="00301FE5">
        <w:rPr>
          <w:szCs w:val="22"/>
        </w:rPr>
        <w:lastRenderedPageBreak/>
        <w:t>odôvodnených prípadoch sa vzhľadom na závažnosť symptómov, môže dávkovanie zvyšovať</w:t>
      </w:r>
      <w:r w:rsidR="005A5A9E" w:rsidRPr="00301FE5">
        <w:rPr>
          <w:szCs w:val="22"/>
        </w:rPr>
        <w:t xml:space="preserve"> v </w:t>
      </w:r>
      <w:r w:rsidRPr="00301FE5">
        <w:rPr>
          <w:szCs w:val="22"/>
        </w:rPr>
        <w:t>častejších intervaloch, avšak nemajú byť kratšie ako 4 dni.</w:t>
      </w:r>
    </w:p>
    <w:p w14:paraId="21C578B7" w14:textId="17DBC62C" w:rsidR="00954C84" w:rsidRPr="00301FE5" w:rsidRDefault="00954C84" w:rsidP="00FE0B01">
      <w:pPr>
        <w:pStyle w:val="Normlndobloku"/>
        <w:spacing w:after="0"/>
        <w:jc w:val="left"/>
        <w:rPr>
          <w:szCs w:val="22"/>
        </w:rPr>
      </w:pPr>
      <w:r w:rsidRPr="00301FE5">
        <w:rPr>
          <w:szCs w:val="22"/>
        </w:rPr>
        <w:t>Kvôli riziku nežiaducich účinkov závislých na veľkosti dávky, sa má dávka zvyšovať až po klinickom zhodnotení (pozri časť 4.4). Je potrebné udržiavať liečbu</w:t>
      </w:r>
      <w:r w:rsidR="005A5A9E" w:rsidRPr="00301FE5">
        <w:rPr>
          <w:szCs w:val="22"/>
        </w:rPr>
        <w:t xml:space="preserve"> s </w:t>
      </w:r>
      <w:r w:rsidRPr="00301FE5">
        <w:rPr>
          <w:szCs w:val="22"/>
        </w:rPr>
        <w:t>najnižšou účinnou dávkou.</w:t>
      </w:r>
    </w:p>
    <w:p w14:paraId="2FB4D002" w14:textId="61E8C70A" w:rsidR="00954C84" w:rsidRPr="00BC3C9C" w:rsidRDefault="00954C84" w:rsidP="00FE0B01">
      <w:pPr>
        <w:pStyle w:val="Normlndobloku"/>
        <w:spacing w:after="0"/>
        <w:jc w:val="left"/>
        <w:rPr>
          <w:szCs w:val="22"/>
        </w:rPr>
      </w:pPr>
      <w:r w:rsidRPr="00301FE5">
        <w:rPr>
          <w:szCs w:val="22"/>
        </w:rPr>
        <w:t>Pacienti majú byť liečení dostatočne dlhý čas, obyčajne niekoľko mesia</w:t>
      </w:r>
      <w:r w:rsidRPr="00D638B3">
        <w:rPr>
          <w:szCs w:val="22"/>
        </w:rPr>
        <w:t>cov alebo dlhšie. Liečba sa má pravidelne</w:t>
      </w:r>
      <w:r w:rsidR="005A5A9E" w:rsidRPr="00454074">
        <w:rPr>
          <w:szCs w:val="22"/>
        </w:rPr>
        <w:t xml:space="preserve"> a </w:t>
      </w:r>
      <w:r w:rsidRPr="00BC3C9C">
        <w:rPr>
          <w:szCs w:val="22"/>
        </w:rPr>
        <w:t>individuálne prehodnocovať. Dlhodobá liečba môže byť tiež vhodná na prevenciu recidív epizód veľkej depresie. Vo väčšine prípadov je odporučená dávka na prevenciu recidívy epizódy veľkej depresie rovnaká ako dávka užívaná pri súčasnej epizóde.</w:t>
      </w:r>
    </w:p>
    <w:p w14:paraId="059EA425" w14:textId="7289A5C7" w:rsidR="00954C84" w:rsidRPr="00BC3C9C" w:rsidRDefault="00954C84" w:rsidP="00FE0B01">
      <w:pPr>
        <w:pStyle w:val="Normlndobloku"/>
        <w:spacing w:after="0"/>
        <w:jc w:val="left"/>
        <w:rPr>
          <w:szCs w:val="22"/>
        </w:rPr>
      </w:pPr>
      <w:r w:rsidRPr="00BC3C9C">
        <w:rPr>
          <w:szCs w:val="22"/>
        </w:rPr>
        <w:t>Antidepresívne lieky sa majú ďalej podávať počas najmenej 6 mesiacov po ústupe choroby.</w:t>
      </w:r>
    </w:p>
    <w:p w14:paraId="0F596593" w14:textId="77777777" w:rsidR="00EE3F6B" w:rsidRDefault="00EE3F6B" w:rsidP="00FE0B01">
      <w:pPr>
        <w:pStyle w:val="Styl3"/>
        <w:spacing w:after="0"/>
        <w:jc w:val="left"/>
        <w:rPr>
          <w:szCs w:val="22"/>
        </w:rPr>
      </w:pPr>
    </w:p>
    <w:p w14:paraId="320BCC79" w14:textId="77777777" w:rsidR="00954C84" w:rsidRPr="00EE3F6B" w:rsidRDefault="00954C84" w:rsidP="00FE0B01">
      <w:pPr>
        <w:pStyle w:val="Styl3"/>
        <w:spacing w:after="0"/>
        <w:jc w:val="left"/>
        <w:rPr>
          <w:szCs w:val="22"/>
        </w:rPr>
      </w:pPr>
      <w:r w:rsidRPr="00EE3F6B">
        <w:rPr>
          <w:szCs w:val="22"/>
        </w:rPr>
        <w:t>Generalizovaná úzkostná porucha</w:t>
      </w:r>
    </w:p>
    <w:p w14:paraId="09B01E2B" w14:textId="2F4630CD" w:rsidR="00954C84" w:rsidRPr="002D691C" w:rsidRDefault="00954C84" w:rsidP="00FE0B01">
      <w:pPr>
        <w:pStyle w:val="Normlndobloku"/>
        <w:spacing w:after="0"/>
        <w:jc w:val="left"/>
        <w:rPr>
          <w:szCs w:val="22"/>
        </w:rPr>
      </w:pPr>
      <w:r w:rsidRPr="009E286B">
        <w:rPr>
          <w:szCs w:val="22"/>
        </w:rPr>
        <w:t>Odporúčaná úvodná dávka je užívanie venlafaxínu</w:t>
      </w:r>
      <w:r w:rsidR="005A5A9E" w:rsidRPr="009E286B">
        <w:rPr>
          <w:szCs w:val="22"/>
        </w:rPr>
        <w:t xml:space="preserve"> s </w:t>
      </w:r>
      <w:r w:rsidRPr="009E286B">
        <w:rPr>
          <w:szCs w:val="22"/>
        </w:rPr>
        <w:t>predĺženým uvoľňovaním je 75</w:t>
      </w:r>
      <w:r w:rsidR="005A5A9E" w:rsidRPr="009E286B">
        <w:rPr>
          <w:szCs w:val="22"/>
        </w:rPr>
        <w:t xml:space="preserve"> mg </w:t>
      </w:r>
      <w:r w:rsidRPr="009E286B">
        <w:rPr>
          <w:szCs w:val="22"/>
        </w:rPr>
        <w:t>jedenkrát denne. Pacientom, ktorí neodpovedajú na úvodných 75</w:t>
      </w:r>
      <w:r w:rsidR="005A5A9E" w:rsidRPr="009E286B">
        <w:rPr>
          <w:szCs w:val="22"/>
        </w:rPr>
        <w:t xml:space="preserve"> mg </w:t>
      </w:r>
      <w:r w:rsidRPr="009E286B">
        <w:rPr>
          <w:szCs w:val="22"/>
        </w:rPr>
        <w:t>denne, sa môže zvýšiť dávka až na maximálne 225</w:t>
      </w:r>
      <w:r w:rsidR="005A5A9E" w:rsidRPr="002D691C">
        <w:rPr>
          <w:szCs w:val="22"/>
        </w:rPr>
        <w:t xml:space="preserve"> mg </w:t>
      </w:r>
      <w:r w:rsidRPr="002D691C">
        <w:rPr>
          <w:szCs w:val="22"/>
        </w:rPr>
        <w:t>denne. Zvýšenie dávky má prebiehať</w:t>
      </w:r>
      <w:r w:rsidR="005A5A9E" w:rsidRPr="002D691C">
        <w:rPr>
          <w:szCs w:val="22"/>
        </w:rPr>
        <w:t xml:space="preserve"> v </w:t>
      </w:r>
      <w:r w:rsidRPr="002D691C">
        <w:rPr>
          <w:szCs w:val="22"/>
        </w:rPr>
        <w:t>2</w:t>
      </w:r>
      <w:r w:rsidR="005A5A9E" w:rsidRPr="002D691C">
        <w:rPr>
          <w:szCs w:val="22"/>
        </w:rPr>
        <w:t xml:space="preserve"> a </w:t>
      </w:r>
      <w:r w:rsidRPr="002D691C">
        <w:rPr>
          <w:szCs w:val="22"/>
        </w:rPr>
        <w:t>viac-týždňových intervaloch.</w:t>
      </w:r>
    </w:p>
    <w:p w14:paraId="4D3E00C0" w14:textId="1AF7BD51" w:rsidR="00954C84" w:rsidRPr="002D691C" w:rsidRDefault="00954C84" w:rsidP="00FE0B01">
      <w:pPr>
        <w:pStyle w:val="Normlndobloku"/>
        <w:spacing w:after="0"/>
        <w:jc w:val="left"/>
        <w:rPr>
          <w:szCs w:val="22"/>
        </w:rPr>
      </w:pPr>
      <w:r w:rsidRPr="00301FE5">
        <w:rPr>
          <w:szCs w:val="22"/>
        </w:rPr>
        <w:t>V dôsledku rizika nežiaducich účinkov závislých na veľkosti dávky, sa zvyšovania dávky majú uskutočniť len po klinickom zhodnotení (pozri časť 4.4). Je potrebné udržiavať liečbu</w:t>
      </w:r>
      <w:r w:rsidR="005A5A9E" w:rsidRPr="00301FE5">
        <w:rPr>
          <w:szCs w:val="22"/>
        </w:rPr>
        <w:t xml:space="preserve"> s </w:t>
      </w:r>
      <w:r w:rsidRPr="00301FE5">
        <w:rPr>
          <w:szCs w:val="22"/>
        </w:rPr>
        <w:t>najnižšou účinnou dávkou. Pacienti majú byť liečení dostatočne dlhý čas, obyčajne niekoľko mesiacov alebo dlhšie.</w:t>
      </w:r>
      <w:r w:rsidR="005A5A9E" w:rsidRPr="00301FE5">
        <w:rPr>
          <w:szCs w:val="22"/>
        </w:rPr>
        <w:t xml:space="preserve"> </w:t>
      </w:r>
      <w:r w:rsidRPr="00301FE5">
        <w:rPr>
          <w:szCs w:val="22"/>
        </w:rPr>
        <w:t>Liečba sa má pravidelne</w:t>
      </w:r>
      <w:r w:rsidR="005A5A9E" w:rsidRPr="00301FE5">
        <w:rPr>
          <w:szCs w:val="22"/>
        </w:rPr>
        <w:t xml:space="preserve"> a </w:t>
      </w:r>
      <w:r w:rsidRPr="00301FE5">
        <w:rPr>
          <w:szCs w:val="22"/>
        </w:rPr>
        <w:t>individuálne prehodnocovať.</w:t>
      </w:r>
    </w:p>
    <w:p w14:paraId="739A64D5" w14:textId="77777777" w:rsidR="00EE3F6B" w:rsidRDefault="00EE3F6B" w:rsidP="00FE0B01">
      <w:pPr>
        <w:pStyle w:val="Styl3"/>
        <w:spacing w:after="0"/>
        <w:jc w:val="left"/>
        <w:rPr>
          <w:szCs w:val="22"/>
        </w:rPr>
      </w:pPr>
    </w:p>
    <w:p w14:paraId="5EAFB3D1" w14:textId="77777777" w:rsidR="00954C84" w:rsidRPr="00EE3F6B" w:rsidRDefault="00954C84" w:rsidP="00FE0B01">
      <w:pPr>
        <w:pStyle w:val="Styl3"/>
        <w:spacing w:after="0"/>
        <w:jc w:val="left"/>
        <w:rPr>
          <w:szCs w:val="22"/>
        </w:rPr>
      </w:pPr>
      <w:r w:rsidRPr="00EE3F6B">
        <w:rPr>
          <w:szCs w:val="22"/>
        </w:rPr>
        <w:t>Sociálna anxiózna porucha</w:t>
      </w:r>
    </w:p>
    <w:p w14:paraId="1592529D" w14:textId="2E308AC0" w:rsidR="00954C84" w:rsidRPr="009E286B" w:rsidRDefault="00954C84" w:rsidP="00FE0B01">
      <w:pPr>
        <w:pStyle w:val="Normlndobloku"/>
        <w:spacing w:after="0"/>
        <w:jc w:val="left"/>
        <w:rPr>
          <w:szCs w:val="22"/>
        </w:rPr>
      </w:pPr>
      <w:r w:rsidRPr="009E286B">
        <w:rPr>
          <w:szCs w:val="22"/>
        </w:rPr>
        <w:t>Odporúčaná úvodná dávka je užívanie venlafaxínu</w:t>
      </w:r>
      <w:r w:rsidR="005A5A9E" w:rsidRPr="009E286B">
        <w:rPr>
          <w:szCs w:val="22"/>
        </w:rPr>
        <w:t xml:space="preserve"> s </w:t>
      </w:r>
      <w:r w:rsidRPr="009E286B">
        <w:rPr>
          <w:szCs w:val="22"/>
        </w:rPr>
        <w:t>predĺženým uvoľňovaním je 75</w:t>
      </w:r>
      <w:r w:rsidR="005A5A9E" w:rsidRPr="009E286B">
        <w:rPr>
          <w:szCs w:val="22"/>
        </w:rPr>
        <w:t xml:space="preserve"> mg </w:t>
      </w:r>
      <w:r w:rsidRPr="009E286B">
        <w:rPr>
          <w:szCs w:val="22"/>
        </w:rPr>
        <w:t>jedenkrát denne. Neexistuje žiaden dôkaz o tom, že by vyššie dávky zvyšovali účinnosť liečby.</w:t>
      </w:r>
    </w:p>
    <w:p w14:paraId="297803EA" w14:textId="7A511CAC" w:rsidR="00954C84" w:rsidRPr="002D691C" w:rsidRDefault="00954C84" w:rsidP="00FE0B01">
      <w:pPr>
        <w:pStyle w:val="Normlndobloku"/>
        <w:spacing w:after="0"/>
        <w:jc w:val="left"/>
        <w:rPr>
          <w:szCs w:val="22"/>
        </w:rPr>
      </w:pPr>
      <w:r w:rsidRPr="009E286B">
        <w:rPr>
          <w:szCs w:val="22"/>
        </w:rPr>
        <w:t>U pacientov neodpovedajúcich na úvodnú dávku 75</w:t>
      </w:r>
      <w:r w:rsidR="005A5A9E" w:rsidRPr="009E286B">
        <w:rPr>
          <w:szCs w:val="22"/>
        </w:rPr>
        <w:t xml:space="preserve"> mg </w:t>
      </w:r>
      <w:r w:rsidRPr="009E286B">
        <w:rPr>
          <w:szCs w:val="22"/>
        </w:rPr>
        <w:t>denne sa však môže zvážiť zvýšenie maximálnej dávky až na 225</w:t>
      </w:r>
      <w:r w:rsidR="005A5A9E" w:rsidRPr="002D691C">
        <w:rPr>
          <w:szCs w:val="22"/>
        </w:rPr>
        <w:t xml:space="preserve"> mg </w:t>
      </w:r>
      <w:r w:rsidRPr="002D691C">
        <w:rPr>
          <w:szCs w:val="22"/>
        </w:rPr>
        <w:t>denne. Zvýšenie dávky má prebiehať</w:t>
      </w:r>
      <w:r w:rsidR="005A5A9E" w:rsidRPr="002D691C">
        <w:rPr>
          <w:szCs w:val="22"/>
        </w:rPr>
        <w:t xml:space="preserve"> v </w:t>
      </w:r>
      <w:r w:rsidRPr="002D691C">
        <w:rPr>
          <w:szCs w:val="22"/>
        </w:rPr>
        <w:t>2</w:t>
      </w:r>
      <w:r w:rsidR="005A5A9E" w:rsidRPr="002D691C">
        <w:rPr>
          <w:szCs w:val="22"/>
        </w:rPr>
        <w:t xml:space="preserve"> a </w:t>
      </w:r>
      <w:r w:rsidRPr="002D691C">
        <w:rPr>
          <w:szCs w:val="22"/>
        </w:rPr>
        <w:t>viac-týždňových intervaloch.</w:t>
      </w:r>
    </w:p>
    <w:p w14:paraId="7AEE7F9A" w14:textId="48C5F76F" w:rsidR="00954C84" w:rsidRPr="00301FE5" w:rsidRDefault="00954C84" w:rsidP="00FE0B01">
      <w:pPr>
        <w:pStyle w:val="Normlndobloku"/>
        <w:spacing w:after="0"/>
        <w:jc w:val="left"/>
        <w:rPr>
          <w:szCs w:val="22"/>
        </w:rPr>
      </w:pPr>
      <w:r w:rsidRPr="00301FE5">
        <w:rPr>
          <w:szCs w:val="22"/>
        </w:rPr>
        <w:t>V dôsledku rizika nežiaducich účinkov závislých na veľkosti dávky, sa zvyšovania dávky majú uskutočniť len po klinickom zhodnotení (pozri časť 4.4). Je potrebné udržiavať liečbu</w:t>
      </w:r>
      <w:r w:rsidR="005A5A9E" w:rsidRPr="00301FE5">
        <w:rPr>
          <w:szCs w:val="22"/>
        </w:rPr>
        <w:t xml:space="preserve"> s </w:t>
      </w:r>
      <w:r w:rsidRPr="00301FE5">
        <w:rPr>
          <w:szCs w:val="22"/>
        </w:rPr>
        <w:t>najnižšou účinnou dávkou. Pacienti majú byť liečení dostatočne dlhý čas, obyčajne niekoľko mesiacov alebo dlhšie. Liečba sa má pravidelne</w:t>
      </w:r>
      <w:r w:rsidR="005A5A9E" w:rsidRPr="00301FE5">
        <w:rPr>
          <w:szCs w:val="22"/>
        </w:rPr>
        <w:t xml:space="preserve"> a </w:t>
      </w:r>
      <w:r w:rsidRPr="00301FE5">
        <w:rPr>
          <w:szCs w:val="22"/>
        </w:rPr>
        <w:t>individuálne prehodnocovať.</w:t>
      </w:r>
    </w:p>
    <w:p w14:paraId="051B3492" w14:textId="77777777" w:rsidR="00EE3F6B" w:rsidRDefault="00EE3F6B" w:rsidP="00FE0B01">
      <w:pPr>
        <w:pStyle w:val="Styl3"/>
        <w:spacing w:after="0"/>
        <w:jc w:val="left"/>
        <w:rPr>
          <w:szCs w:val="22"/>
        </w:rPr>
      </w:pPr>
    </w:p>
    <w:p w14:paraId="2AA2289D" w14:textId="77777777" w:rsidR="00954C84" w:rsidRPr="00EE3F6B" w:rsidRDefault="00954C84" w:rsidP="00FE0B01">
      <w:pPr>
        <w:pStyle w:val="Styl3"/>
        <w:spacing w:after="0"/>
        <w:jc w:val="left"/>
        <w:rPr>
          <w:szCs w:val="22"/>
        </w:rPr>
      </w:pPr>
      <w:r w:rsidRPr="00EE3F6B">
        <w:rPr>
          <w:szCs w:val="22"/>
        </w:rPr>
        <w:t>Panická porucha</w:t>
      </w:r>
    </w:p>
    <w:p w14:paraId="29FCD7A4" w14:textId="05336759" w:rsidR="00954C84" w:rsidRPr="002D691C" w:rsidRDefault="00954C84" w:rsidP="00FE0B01">
      <w:pPr>
        <w:pStyle w:val="Normlndobloku"/>
        <w:spacing w:after="0"/>
        <w:jc w:val="left"/>
        <w:rPr>
          <w:szCs w:val="22"/>
        </w:rPr>
      </w:pPr>
      <w:r w:rsidRPr="009E286B">
        <w:rPr>
          <w:szCs w:val="22"/>
        </w:rPr>
        <w:t>Odporúčaná dávka venlafaxínu</w:t>
      </w:r>
      <w:r w:rsidR="005A5A9E" w:rsidRPr="009E286B">
        <w:rPr>
          <w:szCs w:val="22"/>
        </w:rPr>
        <w:t xml:space="preserve"> s </w:t>
      </w:r>
      <w:r w:rsidRPr="009E286B">
        <w:rPr>
          <w:szCs w:val="22"/>
        </w:rPr>
        <w:t>predĺženým uvoľňovaním je 37,5</w:t>
      </w:r>
      <w:r w:rsidR="005A5A9E" w:rsidRPr="009E286B">
        <w:rPr>
          <w:szCs w:val="22"/>
        </w:rPr>
        <w:t xml:space="preserve"> mg </w:t>
      </w:r>
      <w:r w:rsidRPr="009E286B">
        <w:rPr>
          <w:szCs w:val="22"/>
        </w:rPr>
        <w:t>jedenkrát denne počas 7 dní. Dávka môže byť potom zvýšená na 75 mg/deň. Pre pacientov neodpovedajúcich na dávku 75 mg/deň môže byť prospešné zvyšovanie dávky až do maximálnej dávky 225 mg/deň. Zvýšenie dávky má prebiehať</w:t>
      </w:r>
      <w:r w:rsidR="005A5A9E" w:rsidRPr="002D691C">
        <w:rPr>
          <w:szCs w:val="22"/>
        </w:rPr>
        <w:t xml:space="preserve"> v </w:t>
      </w:r>
      <w:r w:rsidRPr="002D691C">
        <w:rPr>
          <w:szCs w:val="22"/>
        </w:rPr>
        <w:t>2</w:t>
      </w:r>
      <w:r w:rsidR="005A5A9E" w:rsidRPr="002D691C">
        <w:rPr>
          <w:szCs w:val="22"/>
        </w:rPr>
        <w:t xml:space="preserve"> a </w:t>
      </w:r>
      <w:r w:rsidRPr="002D691C">
        <w:rPr>
          <w:szCs w:val="22"/>
        </w:rPr>
        <w:t>viac-týždňových intervaloch.</w:t>
      </w:r>
    </w:p>
    <w:p w14:paraId="1131A1E6" w14:textId="563D5A4B" w:rsidR="00954C84" w:rsidRPr="00301FE5" w:rsidRDefault="00954C84" w:rsidP="00FE0B01">
      <w:pPr>
        <w:pStyle w:val="Normlndobloku"/>
        <w:spacing w:after="0"/>
        <w:jc w:val="left"/>
        <w:rPr>
          <w:szCs w:val="22"/>
        </w:rPr>
      </w:pPr>
      <w:r w:rsidRPr="00301FE5">
        <w:rPr>
          <w:szCs w:val="22"/>
        </w:rPr>
        <w:t>V dôsledku rizika nežiaducich účinkov závislých na veľkosti dávky, sa zvyšovania dávky majú uskutočniť len po klinickom zhodnotení (pozri časť 4.4). Je potrebné udržiavať liečbu</w:t>
      </w:r>
      <w:r w:rsidR="005A5A9E" w:rsidRPr="00301FE5">
        <w:rPr>
          <w:szCs w:val="22"/>
        </w:rPr>
        <w:t xml:space="preserve"> s </w:t>
      </w:r>
      <w:r w:rsidRPr="00301FE5">
        <w:rPr>
          <w:szCs w:val="22"/>
        </w:rPr>
        <w:t>najnižšou účinnou dávkou. Pacienti majú byť liečení dostatočne dlhý čas, obyčajne niekoľko mesiacov alebo dlhšie. Liečba sa má pravidelne</w:t>
      </w:r>
      <w:r w:rsidR="005A5A9E" w:rsidRPr="00301FE5">
        <w:rPr>
          <w:szCs w:val="22"/>
        </w:rPr>
        <w:t xml:space="preserve"> a </w:t>
      </w:r>
      <w:r w:rsidRPr="00301FE5">
        <w:rPr>
          <w:szCs w:val="22"/>
        </w:rPr>
        <w:t>individuálne prehodnocovať.</w:t>
      </w:r>
    </w:p>
    <w:p w14:paraId="7FBC7BCF" w14:textId="77777777" w:rsidR="00EE3F6B" w:rsidRDefault="00EE3F6B" w:rsidP="00FE0B01">
      <w:pPr>
        <w:pStyle w:val="Styl3"/>
        <w:spacing w:after="0"/>
        <w:jc w:val="left"/>
        <w:rPr>
          <w:szCs w:val="22"/>
        </w:rPr>
      </w:pPr>
    </w:p>
    <w:p w14:paraId="381CB957" w14:textId="059F673C" w:rsidR="00954C84" w:rsidRPr="00EE3F6B" w:rsidRDefault="00954C84" w:rsidP="00FE0B01">
      <w:pPr>
        <w:pStyle w:val="Styl3"/>
        <w:spacing w:after="0"/>
        <w:jc w:val="left"/>
        <w:rPr>
          <w:szCs w:val="22"/>
        </w:rPr>
      </w:pPr>
      <w:r w:rsidRPr="00EE3F6B">
        <w:rPr>
          <w:szCs w:val="22"/>
        </w:rPr>
        <w:t>Použitie</w:t>
      </w:r>
      <w:r w:rsidR="005A5A9E" w:rsidRPr="00EE3F6B">
        <w:rPr>
          <w:szCs w:val="22"/>
        </w:rPr>
        <w:t xml:space="preserve"> u </w:t>
      </w:r>
      <w:r w:rsidRPr="00EE3F6B">
        <w:rPr>
          <w:szCs w:val="22"/>
        </w:rPr>
        <w:t>starších pacientov</w:t>
      </w:r>
    </w:p>
    <w:p w14:paraId="13E3EFE7" w14:textId="5073EC6E" w:rsidR="00954C84" w:rsidRPr="002D691C" w:rsidRDefault="00954C84" w:rsidP="00FE0B01">
      <w:pPr>
        <w:pStyle w:val="Normlndobloku"/>
        <w:spacing w:after="0"/>
        <w:jc w:val="left"/>
        <w:rPr>
          <w:szCs w:val="22"/>
        </w:rPr>
      </w:pPr>
      <w:r w:rsidRPr="009E286B">
        <w:rPr>
          <w:szCs w:val="22"/>
        </w:rPr>
        <w:t>Špecifické úpravy dávky venlafaxínu na základe samotného veku pacienta sa nepovažujú za nevyhnutné. Pri liečbe starších pacientov je však potrebná opatrnosť (napr. kvôli možnému poškodeniu obličiek, potenciálu pre zmeny</w:t>
      </w:r>
      <w:r w:rsidR="005A5A9E" w:rsidRPr="009E286B">
        <w:rPr>
          <w:szCs w:val="22"/>
        </w:rPr>
        <w:t xml:space="preserve"> v </w:t>
      </w:r>
      <w:r w:rsidRPr="009E286B">
        <w:rPr>
          <w:szCs w:val="22"/>
        </w:rPr>
        <w:t>neurotransmiterovej senzitivite</w:t>
      </w:r>
      <w:r w:rsidR="005A5A9E" w:rsidRPr="009E286B">
        <w:rPr>
          <w:szCs w:val="22"/>
        </w:rPr>
        <w:t xml:space="preserve"> a </w:t>
      </w:r>
      <w:r w:rsidRPr="009E286B">
        <w:rPr>
          <w:szCs w:val="22"/>
        </w:rPr>
        <w:t>afinite, ktorá sa objavuje so starnutím). Vždy má byť použitá najnižšia účinná dá</w:t>
      </w:r>
      <w:r w:rsidRPr="002D691C">
        <w:rPr>
          <w:szCs w:val="22"/>
        </w:rPr>
        <w:t>vka</w:t>
      </w:r>
      <w:r w:rsidR="005A5A9E" w:rsidRPr="002D691C">
        <w:rPr>
          <w:szCs w:val="22"/>
        </w:rPr>
        <w:t xml:space="preserve"> a </w:t>
      </w:r>
      <w:r w:rsidRPr="002D691C">
        <w:rPr>
          <w:szCs w:val="22"/>
        </w:rPr>
        <w:t>pacienti majú byť pozorne sledovaní, ak je potrebné zvýšenie dávky.</w:t>
      </w:r>
    </w:p>
    <w:p w14:paraId="7CE6ABEE" w14:textId="77777777" w:rsidR="00EE3F6B" w:rsidRDefault="00EE3F6B" w:rsidP="00FE0B01">
      <w:pPr>
        <w:pStyle w:val="Styl3"/>
        <w:spacing w:after="0"/>
        <w:jc w:val="left"/>
        <w:rPr>
          <w:szCs w:val="22"/>
        </w:rPr>
      </w:pPr>
    </w:p>
    <w:p w14:paraId="2A772299" w14:textId="1AC69E4F" w:rsidR="00954C84" w:rsidRPr="00EE3F6B" w:rsidRDefault="00954C84" w:rsidP="00FE0B01">
      <w:pPr>
        <w:pStyle w:val="Styl3"/>
        <w:spacing w:after="0"/>
        <w:jc w:val="left"/>
        <w:rPr>
          <w:szCs w:val="22"/>
        </w:rPr>
      </w:pPr>
      <w:r w:rsidRPr="00EE3F6B">
        <w:rPr>
          <w:szCs w:val="22"/>
        </w:rPr>
        <w:t>Použitie</w:t>
      </w:r>
      <w:r w:rsidR="005A5A9E" w:rsidRPr="00EE3F6B">
        <w:rPr>
          <w:szCs w:val="22"/>
        </w:rPr>
        <w:t xml:space="preserve"> u </w:t>
      </w:r>
      <w:r w:rsidRPr="00EE3F6B">
        <w:rPr>
          <w:szCs w:val="22"/>
        </w:rPr>
        <w:t>detí</w:t>
      </w:r>
      <w:r w:rsidR="005A5A9E" w:rsidRPr="00EE3F6B">
        <w:rPr>
          <w:szCs w:val="22"/>
        </w:rPr>
        <w:t xml:space="preserve"> a </w:t>
      </w:r>
      <w:r w:rsidRPr="00EE3F6B">
        <w:rPr>
          <w:szCs w:val="22"/>
        </w:rPr>
        <w:t>dospievajúcich mladších ako 18 rokov</w:t>
      </w:r>
    </w:p>
    <w:p w14:paraId="37770B78" w14:textId="249882EC" w:rsidR="00954C84" w:rsidRPr="009E286B" w:rsidRDefault="00954C84" w:rsidP="00FE0B01">
      <w:pPr>
        <w:pStyle w:val="Normlndobloku"/>
        <w:spacing w:after="0"/>
        <w:jc w:val="left"/>
        <w:rPr>
          <w:szCs w:val="22"/>
        </w:rPr>
      </w:pPr>
      <w:r w:rsidRPr="009E286B">
        <w:rPr>
          <w:szCs w:val="22"/>
        </w:rPr>
        <w:t>Používať venlafaxín</w:t>
      </w:r>
      <w:r w:rsidR="005A5A9E" w:rsidRPr="009E286B">
        <w:rPr>
          <w:szCs w:val="22"/>
        </w:rPr>
        <w:t xml:space="preserve"> u </w:t>
      </w:r>
      <w:r w:rsidRPr="009E286B">
        <w:rPr>
          <w:szCs w:val="22"/>
        </w:rPr>
        <w:t>detí</w:t>
      </w:r>
      <w:r w:rsidR="005A5A9E" w:rsidRPr="009E286B">
        <w:rPr>
          <w:szCs w:val="22"/>
        </w:rPr>
        <w:t xml:space="preserve"> a </w:t>
      </w:r>
      <w:r w:rsidRPr="009E286B">
        <w:rPr>
          <w:szCs w:val="22"/>
        </w:rPr>
        <w:t>dospievajúcich sa neodporúča.</w:t>
      </w:r>
    </w:p>
    <w:p w14:paraId="6CFFC3CC" w14:textId="316A398A" w:rsidR="00954C84" w:rsidRPr="00301FE5" w:rsidRDefault="00954C84" w:rsidP="00FE0B01">
      <w:pPr>
        <w:pStyle w:val="Normlndobloku"/>
        <w:spacing w:after="0"/>
        <w:jc w:val="left"/>
        <w:rPr>
          <w:szCs w:val="22"/>
        </w:rPr>
      </w:pPr>
      <w:r w:rsidRPr="009E286B">
        <w:rPr>
          <w:szCs w:val="22"/>
        </w:rPr>
        <w:t>Kontrolované klinické štúdie</w:t>
      </w:r>
      <w:r w:rsidR="005A5A9E" w:rsidRPr="009E286B">
        <w:rPr>
          <w:szCs w:val="22"/>
        </w:rPr>
        <w:t xml:space="preserve"> u </w:t>
      </w:r>
      <w:r w:rsidRPr="009E286B">
        <w:rPr>
          <w:szCs w:val="22"/>
        </w:rPr>
        <w:t>detí</w:t>
      </w:r>
      <w:r w:rsidR="005A5A9E" w:rsidRPr="009E286B">
        <w:rPr>
          <w:szCs w:val="22"/>
        </w:rPr>
        <w:t xml:space="preserve"> a </w:t>
      </w:r>
      <w:r w:rsidRPr="009E286B">
        <w:rPr>
          <w:szCs w:val="22"/>
        </w:rPr>
        <w:t>dospievajúcich</w:t>
      </w:r>
      <w:r w:rsidR="005A5A9E" w:rsidRPr="009E286B">
        <w:rPr>
          <w:szCs w:val="22"/>
        </w:rPr>
        <w:t xml:space="preserve"> s </w:t>
      </w:r>
      <w:r w:rsidRPr="009E286B">
        <w:rPr>
          <w:szCs w:val="22"/>
        </w:rPr>
        <w:t>epizódou veľkej depresie nepreukázali účinnosť</w:t>
      </w:r>
      <w:r w:rsidR="005A5A9E" w:rsidRPr="009E286B">
        <w:rPr>
          <w:szCs w:val="22"/>
        </w:rPr>
        <w:t xml:space="preserve"> a </w:t>
      </w:r>
      <w:r w:rsidRPr="009E286B">
        <w:rPr>
          <w:szCs w:val="22"/>
        </w:rPr>
        <w:t>nepodporujú tak použitie venlafaxínu</w:t>
      </w:r>
      <w:r w:rsidR="005A5A9E" w:rsidRPr="002D691C">
        <w:rPr>
          <w:szCs w:val="22"/>
        </w:rPr>
        <w:t xml:space="preserve"> u </w:t>
      </w:r>
      <w:r w:rsidRPr="00301FE5">
        <w:rPr>
          <w:szCs w:val="22"/>
        </w:rPr>
        <w:t>týchto pacientov (pozri časť 4.4</w:t>
      </w:r>
      <w:r w:rsidR="005A5A9E" w:rsidRPr="00301FE5">
        <w:rPr>
          <w:szCs w:val="22"/>
        </w:rPr>
        <w:t xml:space="preserve"> a </w:t>
      </w:r>
      <w:r w:rsidRPr="00301FE5">
        <w:rPr>
          <w:szCs w:val="22"/>
        </w:rPr>
        <w:t>4.8).</w:t>
      </w:r>
    </w:p>
    <w:p w14:paraId="5349774C" w14:textId="4417BFCC" w:rsidR="00954C84" w:rsidRPr="00301FE5" w:rsidRDefault="00954C84" w:rsidP="00FE0B01">
      <w:pPr>
        <w:pStyle w:val="Normlndobloku"/>
        <w:spacing w:after="0"/>
        <w:jc w:val="left"/>
        <w:rPr>
          <w:szCs w:val="22"/>
        </w:rPr>
      </w:pPr>
      <w:r w:rsidRPr="00301FE5">
        <w:rPr>
          <w:szCs w:val="22"/>
        </w:rPr>
        <w:t>Účinnosť</w:t>
      </w:r>
      <w:r w:rsidR="005A5A9E" w:rsidRPr="00301FE5">
        <w:rPr>
          <w:szCs w:val="22"/>
        </w:rPr>
        <w:t xml:space="preserve"> a </w:t>
      </w:r>
      <w:r w:rsidRPr="00301FE5">
        <w:rPr>
          <w:szCs w:val="22"/>
        </w:rPr>
        <w:t>bezpečnosť venlafaxínu pri iných indikáciách</w:t>
      </w:r>
      <w:r w:rsidR="005A5A9E" w:rsidRPr="00301FE5">
        <w:rPr>
          <w:szCs w:val="22"/>
        </w:rPr>
        <w:t xml:space="preserve"> u </w:t>
      </w:r>
      <w:r w:rsidRPr="00301FE5">
        <w:rPr>
          <w:szCs w:val="22"/>
        </w:rPr>
        <w:t>detí</w:t>
      </w:r>
      <w:r w:rsidR="005A5A9E" w:rsidRPr="00301FE5">
        <w:rPr>
          <w:szCs w:val="22"/>
        </w:rPr>
        <w:t xml:space="preserve"> a </w:t>
      </w:r>
      <w:r w:rsidRPr="00301FE5">
        <w:rPr>
          <w:szCs w:val="22"/>
        </w:rPr>
        <w:t>dospievajúcich mladších ako 18 rokov nebola stanovená.</w:t>
      </w:r>
    </w:p>
    <w:p w14:paraId="385ED3DB" w14:textId="77777777" w:rsidR="00EE3F6B" w:rsidRDefault="00EE3F6B" w:rsidP="00FE0B01">
      <w:pPr>
        <w:pStyle w:val="Styl3"/>
        <w:spacing w:after="0"/>
        <w:jc w:val="left"/>
        <w:rPr>
          <w:szCs w:val="22"/>
        </w:rPr>
      </w:pPr>
    </w:p>
    <w:p w14:paraId="44728CC1" w14:textId="2EE8F983" w:rsidR="00954C84" w:rsidRPr="00EE3F6B" w:rsidRDefault="00954C84" w:rsidP="00FE0B01">
      <w:pPr>
        <w:pStyle w:val="Styl3"/>
        <w:spacing w:after="0"/>
        <w:jc w:val="left"/>
        <w:rPr>
          <w:szCs w:val="22"/>
        </w:rPr>
      </w:pPr>
      <w:r w:rsidRPr="00EE3F6B">
        <w:rPr>
          <w:szCs w:val="22"/>
        </w:rPr>
        <w:t>Použitie</w:t>
      </w:r>
      <w:r w:rsidR="005A5A9E" w:rsidRPr="00EE3F6B">
        <w:rPr>
          <w:szCs w:val="22"/>
        </w:rPr>
        <w:t xml:space="preserve"> u </w:t>
      </w:r>
      <w:r w:rsidRPr="00EE3F6B">
        <w:rPr>
          <w:szCs w:val="22"/>
        </w:rPr>
        <w:t>pacientov</w:t>
      </w:r>
      <w:r w:rsidR="005A5A9E" w:rsidRPr="00EE3F6B">
        <w:rPr>
          <w:szCs w:val="22"/>
        </w:rPr>
        <w:t xml:space="preserve"> s </w:t>
      </w:r>
      <w:r w:rsidRPr="00EE3F6B">
        <w:rPr>
          <w:szCs w:val="22"/>
        </w:rPr>
        <w:t>poškodenou funkciou pečene</w:t>
      </w:r>
    </w:p>
    <w:p w14:paraId="798EA266" w14:textId="2A3430DC" w:rsidR="00954C84" w:rsidRPr="009E286B" w:rsidRDefault="00954C84" w:rsidP="00FE0B01">
      <w:pPr>
        <w:pStyle w:val="Normlndobloku"/>
        <w:keepNext/>
        <w:spacing w:after="0"/>
        <w:jc w:val="left"/>
        <w:rPr>
          <w:szCs w:val="22"/>
        </w:rPr>
      </w:pPr>
      <w:r w:rsidRPr="009E286B">
        <w:rPr>
          <w:szCs w:val="22"/>
        </w:rPr>
        <w:t>Celková denná dávka venlafaxínu má byť znížená na 50</w:t>
      </w:r>
      <w:r w:rsidR="006F7FF0" w:rsidRPr="009E286B">
        <w:rPr>
          <w:szCs w:val="22"/>
        </w:rPr>
        <w:t> %</w:t>
      </w:r>
      <w:r w:rsidR="005A5A9E" w:rsidRPr="009E286B">
        <w:rPr>
          <w:szCs w:val="22"/>
        </w:rPr>
        <w:t xml:space="preserve"> u </w:t>
      </w:r>
      <w:r w:rsidRPr="009E286B">
        <w:rPr>
          <w:szCs w:val="22"/>
        </w:rPr>
        <w:t>pacientov</w:t>
      </w:r>
      <w:r w:rsidR="005A5A9E" w:rsidRPr="009E286B">
        <w:rPr>
          <w:szCs w:val="22"/>
        </w:rPr>
        <w:t xml:space="preserve"> s </w:t>
      </w:r>
      <w:r w:rsidRPr="009E286B">
        <w:rPr>
          <w:szCs w:val="22"/>
        </w:rPr>
        <w:t>miernym až stredne závažným poškodením pečene.</w:t>
      </w:r>
      <w:r w:rsidR="005A5A9E" w:rsidRPr="009E286B">
        <w:rPr>
          <w:szCs w:val="22"/>
        </w:rPr>
        <w:t xml:space="preserve"> </w:t>
      </w:r>
      <w:r w:rsidR="006F7FF0" w:rsidRPr="009E286B">
        <w:rPr>
          <w:szCs w:val="22"/>
        </w:rPr>
        <w:t>V</w:t>
      </w:r>
      <w:r w:rsidR="005A5A9E" w:rsidRPr="009E286B">
        <w:rPr>
          <w:szCs w:val="22"/>
        </w:rPr>
        <w:t> </w:t>
      </w:r>
      <w:r w:rsidRPr="009E286B">
        <w:rPr>
          <w:szCs w:val="22"/>
        </w:rPr>
        <w:t>dôsledku interindividuálnej variability</w:t>
      </w:r>
      <w:r w:rsidR="005A5A9E" w:rsidRPr="009E286B">
        <w:rPr>
          <w:szCs w:val="22"/>
        </w:rPr>
        <w:t xml:space="preserve"> v </w:t>
      </w:r>
      <w:r w:rsidRPr="009E286B">
        <w:rPr>
          <w:szCs w:val="22"/>
        </w:rPr>
        <w:t>klírense môže však byť vhodné individuálne upraviť dávku.</w:t>
      </w:r>
    </w:p>
    <w:p w14:paraId="431554CC" w14:textId="40B1F95C" w:rsidR="00954C84" w:rsidRPr="00301FE5" w:rsidRDefault="00954C84" w:rsidP="00FE0B01">
      <w:pPr>
        <w:pStyle w:val="Normlndobloku"/>
        <w:spacing w:after="0"/>
        <w:jc w:val="left"/>
        <w:rPr>
          <w:szCs w:val="22"/>
        </w:rPr>
      </w:pPr>
      <w:r w:rsidRPr="002D691C">
        <w:rPr>
          <w:szCs w:val="22"/>
        </w:rPr>
        <w:t>Existu</w:t>
      </w:r>
      <w:r w:rsidRPr="00301FE5">
        <w:rPr>
          <w:szCs w:val="22"/>
        </w:rPr>
        <w:t>jú iba obmedzené údaje o pacientoch so závažným poškodením funkcie pečene. Odporúča sa opatrnosť</w:t>
      </w:r>
      <w:r w:rsidR="005A5A9E" w:rsidRPr="00301FE5">
        <w:rPr>
          <w:szCs w:val="22"/>
        </w:rPr>
        <w:t xml:space="preserve"> a </w:t>
      </w:r>
      <w:r w:rsidRPr="00301FE5">
        <w:rPr>
          <w:szCs w:val="22"/>
        </w:rPr>
        <w:t>má sa uvážiť zníženie dávky o viac ako 50</w:t>
      </w:r>
      <w:r w:rsidR="006F7FF0" w:rsidRPr="00301FE5">
        <w:rPr>
          <w:szCs w:val="22"/>
        </w:rPr>
        <w:t> %</w:t>
      </w:r>
      <w:r w:rsidRPr="00301FE5">
        <w:rPr>
          <w:szCs w:val="22"/>
        </w:rPr>
        <w:t>.</w:t>
      </w:r>
      <w:r w:rsidR="005A5A9E" w:rsidRPr="00301FE5">
        <w:rPr>
          <w:szCs w:val="22"/>
        </w:rPr>
        <w:t xml:space="preserve"> u </w:t>
      </w:r>
      <w:r w:rsidRPr="00301FE5">
        <w:rPr>
          <w:szCs w:val="22"/>
        </w:rPr>
        <w:t>pacientov</w:t>
      </w:r>
      <w:r w:rsidR="005A5A9E" w:rsidRPr="00301FE5">
        <w:rPr>
          <w:szCs w:val="22"/>
        </w:rPr>
        <w:t xml:space="preserve"> s </w:t>
      </w:r>
      <w:r w:rsidRPr="00301FE5">
        <w:rPr>
          <w:szCs w:val="22"/>
        </w:rPr>
        <w:t>ťažkým poškodením pečene má možný prínos liečby prevážiť jeho riziko.</w:t>
      </w:r>
    </w:p>
    <w:p w14:paraId="28F23EEB" w14:textId="77777777" w:rsidR="00EE3F6B" w:rsidRDefault="00EE3F6B" w:rsidP="00FE0B01">
      <w:pPr>
        <w:pStyle w:val="Styl3"/>
        <w:spacing w:after="0"/>
        <w:jc w:val="left"/>
        <w:rPr>
          <w:szCs w:val="22"/>
        </w:rPr>
      </w:pPr>
    </w:p>
    <w:p w14:paraId="2462E6A9" w14:textId="01A8939A" w:rsidR="00954C84" w:rsidRPr="00EE3F6B" w:rsidRDefault="00954C84" w:rsidP="00FE0B01">
      <w:pPr>
        <w:pStyle w:val="Styl3"/>
        <w:spacing w:after="0"/>
        <w:jc w:val="left"/>
        <w:rPr>
          <w:szCs w:val="22"/>
        </w:rPr>
      </w:pPr>
      <w:r w:rsidRPr="00EE3F6B">
        <w:rPr>
          <w:szCs w:val="22"/>
        </w:rPr>
        <w:t>Použitie</w:t>
      </w:r>
      <w:r w:rsidR="005A5A9E" w:rsidRPr="00EE3F6B">
        <w:rPr>
          <w:szCs w:val="22"/>
        </w:rPr>
        <w:t xml:space="preserve"> u </w:t>
      </w:r>
      <w:r w:rsidRPr="00EE3F6B">
        <w:rPr>
          <w:szCs w:val="22"/>
        </w:rPr>
        <w:t>pacientov</w:t>
      </w:r>
      <w:r w:rsidR="005A5A9E" w:rsidRPr="00EE3F6B">
        <w:rPr>
          <w:szCs w:val="22"/>
        </w:rPr>
        <w:t xml:space="preserve"> s </w:t>
      </w:r>
      <w:r w:rsidRPr="00EE3F6B">
        <w:rPr>
          <w:szCs w:val="22"/>
        </w:rPr>
        <w:t>obličkovým poškodením</w:t>
      </w:r>
    </w:p>
    <w:p w14:paraId="4DDB0F39" w14:textId="653A10DE" w:rsidR="00954C84" w:rsidRPr="00301FE5" w:rsidRDefault="00954C84" w:rsidP="00FE0B01">
      <w:pPr>
        <w:pStyle w:val="Normlndobloku"/>
        <w:spacing w:after="0"/>
        <w:jc w:val="left"/>
        <w:rPr>
          <w:szCs w:val="22"/>
        </w:rPr>
      </w:pPr>
      <w:r w:rsidRPr="009E286B">
        <w:rPr>
          <w:szCs w:val="22"/>
        </w:rPr>
        <w:t>Aj keď</w:t>
      </w:r>
      <w:r w:rsidR="005A5A9E" w:rsidRPr="009E286B">
        <w:rPr>
          <w:szCs w:val="22"/>
        </w:rPr>
        <w:t xml:space="preserve"> u </w:t>
      </w:r>
      <w:r w:rsidRPr="009E286B">
        <w:rPr>
          <w:szCs w:val="22"/>
        </w:rPr>
        <w:t>pacientov</w:t>
      </w:r>
      <w:r w:rsidR="005A5A9E" w:rsidRPr="009E286B">
        <w:rPr>
          <w:szCs w:val="22"/>
        </w:rPr>
        <w:t xml:space="preserve"> s </w:t>
      </w:r>
      <w:r w:rsidRPr="009E286B">
        <w:rPr>
          <w:szCs w:val="22"/>
        </w:rPr>
        <w:t>rýchlosťou glomerulárnej filtrácie (GFR) medzi 30</w:t>
      </w:r>
      <w:r w:rsidR="00931757" w:rsidRPr="009E286B">
        <w:rPr>
          <w:szCs w:val="22"/>
        </w:rPr>
        <w:t> </w:t>
      </w:r>
      <w:r w:rsidR="00931757" w:rsidRPr="009E286B">
        <w:rPr>
          <w:szCs w:val="22"/>
          <w:lang w:val="cs-CZ"/>
        </w:rPr>
        <w:t>–  </w:t>
      </w:r>
      <w:r w:rsidRPr="009E286B">
        <w:rPr>
          <w:szCs w:val="22"/>
        </w:rPr>
        <w:t>70 ml/min nie je potrebná zmena dávkovania, odporúča sa opatrnosť.</w:t>
      </w:r>
      <w:r w:rsidR="005A5A9E" w:rsidRPr="009E286B">
        <w:rPr>
          <w:szCs w:val="22"/>
        </w:rPr>
        <w:t xml:space="preserve"> </w:t>
      </w:r>
      <w:r w:rsidR="006F7FF0" w:rsidRPr="009E286B">
        <w:rPr>
          <w:szCs w:val="22"/>
        </w:rPr>
        <w:t>U</w:t>
      </w:r>
      <w:r w:rsidR="005A5A9E" w:rsidRPr="009E286B">
        <w:rPr>
          <w:szCs w:val="22"/>
        </w:rPr>
        <w:t> </w:t>
      </w:r>
      <w:r w:rsidRPr="009E286B">
        <w:rPr>
          <w:szCs w:val="22"/>
        </w:rPr>
        <w:t>pacientov vyžadujúcich hemodialýzu</w:t>
      </w:r>
      <w:r w:rsidR="005A5A9E" w:rsidRPr="009E286B">
        <w:rPr>
          <w:szCs w:val="22"/>
        </w:rPr>
        <w:t xml:space="preserve"> a u </w:t>
      </w:r>
      <w:r w:rsidRPr="009E286B">
        <w:rPr>
          <w:szCs w:val="22"/>
        </w:rPr>
        <w:t>pacientov</w:t>
      </w:r>
      <w:r w:rsidR="005A5A9E" w:rsidRPr="009E286B">
        <w:rPr>
          <w:szCs w:val="22"/>
        </w:rPr>
        <w:t xml:space="preserve"> s </w:t>
      </w:r>
      <w:r w:rsidRPr="009E286B">
        <w:rPr>
          <w:szCs w:val="22"/>
        </w:rPr>
        <w:t>ťažkým poškodením obličiek (GFR &lt; 30</w:t>
      </w:r>
      <w:r w:rsidR="006F7FF0" w:rsidRPr="002D691C">
        <w:rPr>
          <w:szCs w:val="22"/>
        </w:rPr>
        <w:t> </w:t>
      </w:r>
      <w:r w:rsidRPr="00301FE5">
        <w:rPr>
          <w:szCs w:val="22"/>
        </w:rPr>
        <w:t>ml/min), sa má dávka znížiť o</w:t>
      </w:r>
      <w:r w:rsidR="006F7FF0" w:rsidRPr="00301FE5">
        <w:rPr>
          <w:szCs w:val="22"/>
        </w:rPr>
        <w:t> </w:t>
      </w:r>
      <w:r w:rsidRPr="00301FE5">
        <w:rPr>
          <w:szCs w:val="22"/>
        </w:rPr>
        <w:t>50</w:t>
      </w:r>
      <w:r w:rsidR="00A4261C" w:rsidRPr="00301FE5">
        <w:rPr>
          <w:szCs w:val="22"/>
        </w:rPr>
        <w:t xml:space="preserve"> </w:t>
      </w:r>
      <w:r w:rsidR="006F7FF0" w:rsidRPr="00301FE5">
        <w:rPr>
          <w:szCs w:val="22"/>
        </w:rPr>
        <w:t>%</w:t>
      </w:r>
      <w:r w:rsidRPr="00301FE5">
        <w:rPr>
          <w:szCs w:val="22"/>
        </w:rPr>
        <w:t>.</w:t>
      </w:r>
      <w:r w:rsidR="005A5A9E" w:rsidRPr="00301FE5">
        <w:rPr>
          <w:szCs w:val="22"/>
        </w:rPr>
        <w:t xml:space="preserve"> </w:t>
      </w:r>
      <w:r w:rsidR="006F7FF0" w:rsidRPr="00301FE5">
        <w:rPr>
          <w:szCs w:val="22"/>
        </w:rPr>
        <w:t>V</w:t>
      </w:r>
      <w:r w:rsidR="005A5A9E" w:rsidRPr="00301FE5">
        <w:rPr>
          <w:szCs w:val="22"/>
        </w:rPr>
        <w:t> </w:t>
      </w:r>
      <w:r w:rsidRPr="00301FE5">
        <w:rPr>
          <w:szCs w:val="22"/>
        </w:rPr>
        <w:t>dôsledku interindividuálnej variability</w:t>
      </w:r>
      <w:r w:rsidR="005A5A9E" w:rsidRPr="00301FE5">
        <w:rPr>
          <w:szCs w:val="22"/>
        </w:rPr>
        <w:t xml:space="preserve"> v </w:t>
      </w:r>
      <w:r w:rsidRPr="00301FE5">
        <w:rPr>
          <w:szCs w:val="22"/>
        </w:rPr>
        <w:t xml:space="preserve">klírense môže však byť vhodné individuálne upraviť dávku. </w:t>
      </w:r>
    </w:p>
    <w:p w14:paraId="70648659" w14:textId="77777777" w:rsidR="00EE3F6B" w:rsidRDefault="00EE3F6B" w:rsidP="00FE0B01">
      <w:pPr>
        <w:pStyle w:val="Styl3"/>
        <w:spacing w:after="0"/>
        <w:jc w:val="left"/>
        <w:rPr>
          <w:szCs w:val="22"/>
        </w:rPr>
      </w:pPr>
    </w:p>
    <w:p w14:paraId="67E3EA34" w14:textId="77777777" w:rsidR="00954C84" w:rsidRPr="00EE3F6B" w:rsidRDefault="00954C84" w:rsidP="00FE0B01">
      <w:pPr>
        <w:pStyle w:val="Styl3"/>
        <w:spacing w:after="0"/>
        <w:jc w:val="left"/>
        <w:rPr>
          <w:szCs w:val="22"/>
        </w:rPr>
      </w:pPr>
      <w:r w:rsidRPr="00EE3F6B">
        <w:rPr>
          <w:szCs w:val="22"/>
        </w:rPr>
        <w:t>Abstinenčné príznaky po prerušení liečby venlafaxínom</w:t>
      </w:r>
    </w:p>
    <w:p w14:paraId="6F83F0C8" w14:textId="360DA15B" w:rsidR="00954C84" w:rsidRPr="00301FE5" w:rsidRDefault="00954C84" w:rsidP="00FE0B01">
      <w:pPr>
        <w:pStyle w:val="Normlndobloku"/>
        <w:spacing w:after="0"/>
        <w:jc w:val="left"/>
        <w:rPr>
          <w:szCs w:val="22"/>
        </w:rPr>
      </w:pPr>
      <w:r w:rsidRPr="009E286B">
        <w:rPr>
          <w:szCs w:val="22"/>
        </w:rPr>
        <w:t>Má sa vyhnúť náhlemu prerušeniu. Ak sa ukončuje liečba venlafaxínom, dávka má byť postupne redukovaná počas obdobia najmenej jedného alebo dvoch týždňov, aby sa znížilo riziko abstinenčných príznakov (pozri časť 4.4</w:t>
      </w:r>
      <w:r w:rsidR="005A5A9E" w:rsidRPr="009E286B">
        <w:rPr>
          <w:szCs w:val="22"/>
        </w:rPr>
        <w:t xml:space="preserve"> a </w:t>
      </w:r>
      <w:r w:rsidRPr="009E286B">
        <w:rPr>
          <w:szCs w:val="22"/>
        </w:rPr>
        <w:t>časť 4.8). Ak sa po znížení dávky alebo po prerušení liečby objavia netolerovateľné príznaky, potom sa má z</w:t>
      </w:r>
      <w:r w:rsidRPr="002D691C">
        <w:rPr>
          <w:szCs w:val="22"/>
        </w:rPr>
        <w:t>vážiť pokračovanie</w:t>
      </w:r>
      <w:r w:rsidR="005A5A9E" w:rsidRPr="00301FE5">
        <w:rPr>
          <w:szCs w:val="22"/>
        </w:rPr>
        <w:t xml:space="preserve"> v </w:t>
      </w:r>
      <w:r w:rsidRPr="00301FE5">
        <w:rPr>
          <w:szCs w:val="22"/>
        </w:rPr>
        <w:t>predošlej predpísanej dávke. Následne lekár môže pokračovať</w:t>
      </w:r>
      <w:r w:rsidR="005A5A9E" w:rsidRPr="00301FE5">
        <w:rPr>
          <w:szCs w:val="22"/>
        </w:rPr>
        <w:t xml:space="preserve"> v </w:t>
      </w:r>
      <w:r w:rsidRPr="00301FE5">
        <w:rPr>
          <w:szCs w:val="22"/>
        </w:rPr>
        <w:t>znižovaní dávky, ale</w:t>
      </w:r>
      <w:r w:rsidR="005A5A9E" w:rsidRPr="00301FE5">
        <w:rPr>
          <w:szCs w:val="22"/>
        </w:rPr>
        <w:t xml:space="preserve"> v </w:t>
      </w:r>
      <w:r w:rsidRPr="00301FE5">
        <w:rPr>
          <w:szCs w:val="22"/>
        </w:rPr>
        <w:t>pozvoľnejšom tempe..</w:t>
      </w:r>
    </w:p>
    <w:p w14:paraId="5B830163" w14:textId="77777777" w:rsidR="00EE3F6B" w:rsidRDefault="00EE3F6B" w:rsidP="00FE0B01">
      <w:pPr>
        <w:pStyle w:val="Styl3"/>
        <w:spacing w:after="0"/>
        <w:jc w:val="left"/>
        <w:rPr>
          <w:szCs w:val="22"/>
        </w:rPr>
      </w:pPr>
    </w:p>
    <w:p w14:paraId="39E38BA2" w14:textId="2C29C23B" w:rsidR="00930052" w:rsidRPr="00EE3F6B" w:rsidRDefault="00930052" w:rsidP="00FE0B01">
      <w:pPr>
        <w:pStyle w:val="Styl3"/>
        <w:spacing w:after="0"/>
        <w:jc w:val="left"/>
        <w:rPr>
          <w:szCs w:val="22"/>
        </w:rPr>
      </w:pPr>
      <w:r w:rsidRPr="00EE3F6B">
        <w:rPr>
          <w:szCs w:val="22"/>
        </w:rPr>
        <w:t>Spôsob pod</w:t>
      </w:r>
      <w:r w:rsidR="00301FE5">
        <w:rPr>
          <w:szCs w:val="22"/>
        </w:rPr>
        <w:t>áv</w:t>
      </w:r>
      <w:r w:rsidRPr="00EE3F6B">
        <w:rPr>
          <w:szCs w:val="22"/>
        </w:rPr>
        <w:t xml:space="preserve">ania </w:t>
      </w:r>
    </w:p>
    <w:p w14:paraId="45E7588E" w14:textId="1A233019" w:rsidR="003A43B8" w:rsidRPr="009E286B" w:rsidRDefault="00954C84" w:rsidP="00FE0B01">
      <w:pPr>
        <w:pStyle w:val="Normlndobloku"/>
        <w:spacing w:after="0"/>
        <w:jc w:val="left"/>
        <w:rPr>
          <w:szCs w:val="22"/>
        </w:rPr>
      </w:pPr>
      <w:r w:rsidRPr="009E286B">
        <w:rPr>
          <w:szCs w:val="22"/>
        </w:rPr>
        <w:t>Na vnútorné použitie</w:t>
      </w:r>
      <w:r w:rsidR="001C1039" w:rsidRPr="009E286B">
        <w:rPr>
          <w:szCs w:val="22"/>
        </w:rPr>
        <w:t>.</w:t>
      </w:r>
    </w:p>
    <w:p w14:paraId="4C5ADC84" w14:textId="65243E17" w:rsidR="00954C84" w:rsidRPr="009E286B" w:rsidRDefault="00954C84" w:rsidP="00FE0B01">
      <w:pPr>
        <w:pStyle w:val="Normlndobloku"/>
        <w:spacing w:after="0"/>
        <w:jc w:val="left"/>
        <w:rPr>
          <w:szCs w:val="22"/>
        </w:rPr>
      </w:pPr>
      <w:r w:rsidRPr="009E286B">
        <w:rPr>
          <w:szCs w:val="22"/>
        </w:rPr>
        <w:t>Kapsuly venlafaxínu</w:t>
      </w:r>
      <w:r w:rsidR="005A5A9E" w:rsidRPr="009E286B">
        <w:rPr>
          <w:szCs w:val="22"/>
        </w:rPr>
        <w:t xml:space="preserve"> s </w:t>
      </w:r>
      <w:r w:rsidRPr="009E286B">
        <w:rPr>
          <w:szCs w:val="22"/>
        </w:rPr>
        <w:t>predĺženým uvoľňovaním sa odporúča užívať spolu</w:t>
      </w:r>
      <w:r w:rsidR="005A5A9E" w:rsidRPr="009E286B">
        <w:rPr>
          <w:szCs w:val="22"/>
        </w:rPr>
        <w:t xml:space="preserve"> s </w:t>
      </w:r>
      <w:r w:rsidRPr="009E286B">
        <w:rPr>
          <w:szCs w:val="22"/>
        </w:rPr>
        <w:t>jedlom, každý deň približne</w:t>
      </w:r>
      <w:r w:rsidR="005A5A9E" w:rsidRPr="009E286B">
        <w:rPr>
          <w:szCs w:val="22"/>
        </w:rPr>
        <w:t xml:space="preserve"> v </w:t>
      </w:r>
      <w:r w:rsidRPr="009E286B">
        <w:rPr>
          <w:szCs w:val="22"/>
        </w:rPr>
        <w:t>rovnaký čas. Kapsuly sa musia prehltnúť celé</w:t>
      </w:r>
      <w:r w:rsidR="005A5A9E" w:rsidRPr="009E286B">
        <w:rPr>
          <w:szCs w:val="22"/>
        </w:rPr>
        <w:t xml:space="preserve"> s </w:t>
      </w:r>
      <w:r w:rsidRPr="009E286B">
        <w:rPr>
          <w:szCs w:val="22"/>
        </w:rPr>
        <w:t>tekutinou</w:t>
      </w:r>
      <w:r w:rsidR="005A5A9E" w:rsidRPr="009E286B">
        <w:rPr>
          <w:szCs w:val="22"/>
        </w:rPr>
        <w:t xml:space="preserve"> a </w:t>
      </w:r>
      <w:r w:rsidRPr="009E286B">
        <w:rPr>
          <w:szCs w:val="22"/>
        </w:rPr>
        <w:t>nesmú sa deliť, lámať, žuť ani rozpúšťať.</w:t>
      </w:r>
    </w:p>
    <w:p w14:paraId="7963B9C7" w14:textId="591A7D35" w:rsidR="00954C84" w:rsidRPr="00BC3C9C" w:rsidRDefault="00954C84" w:rsidP="00FE0B01">
      <w:pPr>
        <w:pStyle w:val="Normlndobloku"/>
        <w:spacing w:after="0"/>
        <w:jc w:val="left"/>
        <w:rPr>
          <w:szCs w:val="22"/>
        </w:rPr>
      </w:pPr>
      <w:r w:rsidRPr="002D691C">
        <w:rPr>
          <w:szCs w:val="22"/>
        </w:rPr>
        <w:t>Pacienti liečení venlafaxínom tabletami</w:t>
      </w:r>
      <w:r w:rsidR="005A5A9E" w:rsidRPr="00301FE5">
        <w:rPr>
          <w:szCs w:val="22"/>
        </w:rPr>
        <w:t xml:space="preserve"> s </w:t>
      </w:r>
      <w:r w:rsidRPr="00301FE5">
        <w:rPr>
          <w:szCs w:val="22"/>
        </w:rPr>
        <w:t>okamžitým uvoľňovaním môžu prejsť na venlafaxín kapsuly</w:t>
      </w:r>
      <w:r w:rsidR="005A5A9E" w:rsidRPr="00301FE5">
        <w:rPr>
          <w:szCs w:val="22"/>
        </w:rPr>
        <w:t xml:space="preserve"> s </w:t>
      </w:r>
      <w:r w:rsidRPr="00301FE5">
        <w:rPr>
          <w:szCs w:val="22"/>
        </w:rPr>
        <w:t>predĺženým uvoľňovaním</w:t>
      </w:r>
      <w:r w:rsidR="005A5A9E" w:rsidRPr="00301FE5">
        <w:rPr>
          <w:szCs w:val="22"/>
        </w:rPr>
        <w:t xml:space="preserve"> s </w:t>
      </w:r>
      <w:r w:rsidRPr="00301FE5">
        <w:rPr>
          <w:szCs w:val="22"/>
        </w:rPr>
        <w:t>najbližšou ekvivalentnou dennou dávkou. Napríklad 37,5</w:t>
      </w:r>
      <w:r w:rsidR="005A5A9E" w:rsidRPr="00301FE5">
        <w:rPr>
          <w:szCs w:val="22"/>
        </w:rPr>
        <w:t xml:space="preserve"> mg </w:t>
      </w:r>
      <w:r w:rsidRPr="00301FE5">
        <w:rPr>
          <w:szCs w:val="22"/>
        </w:rPr>
        <w:t>tablety venlafaxínu</w:t>
      </w:r>
      <w:r w:rsidR="005A5A9E" w:rsidRPr="00301FE5">
        <w:rPr>
          <w:szCs w:val="22"/>
        </w:rPr>
        <w:t xml:space="preserve"> s </w:t>
      </w:r>
      <w:r w:rsidRPr="00301FE5">
        <w:rPr>
          <w:szCs w:val="22"/>
        </w:rPr>
        <w:t>okamžitým uvoľňovaním podávané dvakrát denne môžu byť nahradené 75</w:t>
      </w:r>
      <w:r w:rsidR="005A5A9E" w:rsidRPr="00301FE5">
        <w:rPr>
          <w:szCs w:val="22"/>
        </w:rPr>
        <w:t xml:space="preserve"> mg </w:t>
      </w:r>
      <w:r w:rsidRPr="00301FE5">
        <w:rPr>
          <w:szCs w:val="22"/>
        </w:rPr>
        <w:t>kapsulami venlafaxínu</w:t>
      </w:r>
      <w:r w:rsidR="005A5A9E" w:rsidRPr="00EB4C45">
        <w:rPr>
          <w:szCs w:val="22"/>
        </w:rPr>
        <w:t xml:space="preserve"> s </w:t>
      </w:r>
      <w:r w:rsidRPr="00D638B3">
        <w:rPr>
          <w:szCs w:val="22"/>
        </w:rPr>
        <w:t>predĺženým uvoľňovaním</w:t>
      </w:r>
      <w:r w:rsidR="005A5A9E" w:rsidRPr="00D638B3">
        <w:rPr>
          <w:szCs w:val="22"/>
        </w:rPr>
        <w:t xml:space="preserve"> s </w:t>
      </w:r>
      <w:r w:rsidRPr="00454074">
        <w:rPr>
          <w:szCs w:val="22"/>
        </w:rPr>
        <w:t>dávkovaním jedenkrát denne. Môžu byť potrebné individuálne úpravy dávok</w:t>
      </w:r>
      <w:r w:rsidRPr="00BC3C9C">
        <w:rPr>
          <w:szCs w:val="22"/>
        </w:rPr>
        <w:t>.</w:t>
      </w:r>
    </w:p>
    <w:p w14:paraId="4979735E" w14:textId="3079D576" w:rsidR="00954C84" w:rsidRDefault="00954C84" w:rsidP="00FE0B01">
      <w:pPr>
        <w:pStyle w:val="Normlndobloku"/>
        <w:spacing w:after="0"/>
        <w:jc w:val="left"/>
        <w:rPr>
          <w:szCs w:val="22"/>
        </w:rPr>
      </w:pPr>
      <w:r w:rsidRPr="00BC3C9C">
        <w:rPr>
          <w:szCs w:val="22"/>
        </w:rPr>
        <w:t>Kapsuly venlafaxínu</w:t>
      </w:r>
      <w:r w:rsidR="005A5A9E" w:rsidRPr="00BC3C9C">
        <w:rPr>
          <w:szCs w:val="22"/>
        </w:rPr>
        <w:t xml:space="preserve"> s </w:t>
      </w:r>
      <w:r w:rsidRPr="00BC3C9C">
        <w:rPr>
          <w:szCs w:val="22"/>
        </w:rPr>
        <w:t>predĺženým uvoľňovaním obsahujú sféroidy</w:t>
      </w:r>
      <w:r w:rsidR="0028134F" w:rsidRPr="00BC3C9C">
        <w:rPr>
          <w:szCs w:val="22"/>
        </w:rPr>
        <w:t xml:space="preserve"> (malé guľôčky)</w:t>
      </w:r>
      <w:r w:rsidRPr="00BC3C9C">
        <w:rPr>
          <w:szCs w:val="22"/>
        </w:rPr>
        <w:t>, ktoré pomaly uvoľňujú účinnú látku do tráviaceho traktu. Nerozpustná časť týchto sféroidov sa vylúči</w:t>
      </w:r>
      <w:r w:rsidR="005A5A9E" w:rsidRPr="00BC3C9C">
        <w:rPr>
          <w:szCs w:val="22"/>
        </w:rPr>
        <w:t xml:space="preserve"> a </w:t>
      </w:r>
      <w:r w:rsidRPr="00BC3C9C">
        <w:rPr>
          <w:szCs w:val="22"/>
        </w:rPr>
        <w:t>môže byť viditeľná</w:t>
      </w:r>
      <w:r w:rsidR="005A5A9E" w:rsidRPr="00BC3C9C">
        <w:rPr>
          <w:szCs w:val="22"/>
        </w:rPr>
        <w:t xml:space="preserve"> v </w:t>
      </w:r>
      <w:r w:rsidRPr="00BC3C9C">
        <w:rPr>
          <w:szCs w:val="22"/>
        </w:rPr>
        <w:t>stolici.</w:t>
      </w:r>
    </w:p>
    <w:p w14:paraId="4BD912F3" w14:textId="77777777" w:rsidR="00EE3F6B" w:rsidRPr="00EE3F6B" w:rsidRDefault="00EE3F6B" w:rsidP="00FE0B01">
      <w:pPr>
        <w:pStyle w:val="Normlndobloku"/>
        <w:spacing w:after="0"/>
        <w:jc w:val="left"/>
        <w:rPr>
          <w:szCs w:val="22"/>
        </w:rPr>
      </w:pPr>
    </w:p>
    <w:p w14:paraId="1BE00344" w14:textId="0EED5AD3" w:rsidR="00954C84" w:rsidRPr="00EE3F6B" w:rsidRDefault="00954C84" w:rsidP="00FE0B01">
      <w:pPr>
        <w:pStyle w:val="Styl2"/>
      </w:pPr>
      <w:r w:rsidRPr="00EE3F6B">
        <w:t>Kontraindikácie</w:t>
      </w:r>
    </w:p>
    <w:p w14:paraId="1F6672F5" w14:textId="77777777" w:rsidR="00301FE5" w:rsidRDefault="00301FE5" w:rsidP="00FE0B01">
      <w:pPr>
        <w:pStyle w:val="Normlndobloku"/>
        <w:spacing w:after="0"/>
        <w:jc w:val="left"/>
        <w:rPr>
          <w:szCs w:val="22"/>
        </w:rPr>
      </w:pPr>
    </w:p>
    <w:p w14:paraId="5E49B7DC" w14:textId="697A7CCC" w:rsidR="00954C84" w:rsidRDefault="00954C84" w:rsidP="00FE0B01">
      <w:pPr>
        <w:pStyle w:val="Normlndobloku"/>
        <w:spacing w:after="0"/>
        <w:jc w:val="left"/>
        <w:rPr>
          <w:szCs w:val="22"/>
        </w:rPr>
      </w:pPr>
      <w:r w:rsidRPr="00EE3F6B">
        <w:rPr>
          <w:szCs w:val="22"/>
        </w:rPr>
        <w:t>Precitlivenosť na venlafaxín alebo na ktorúkoľvek</w:t>
      </w:r>
      <w:r w:rsidR="005A5A9E" w:rsidRPr="00EE3F6B">
        <w:rPr>
          <w:szCs w:val="22"/>
        </w:rPr>
        <w:t xml:space="preserve"> z </w:t>
      </w:r>
      <w:r w:rsidRPr="00EE3F6B">
        <w:rPr>
          <w:szCs w:val="22"/>
        </w:rPr>
        <w:t>pomocných látok uvedených</w:t>
      </w:r>
      <w:r w:rsidR="005A5A9E" w:rsidRPr="009E286B">
        <w:rPr>
          <w:szCs w:val="22"/>
        </w:rPr>
        <w:t xml:space="preserve"> v </w:t>
      </w:r>
      <w:r w:rsidRPr="009E286B">
        <w:rPr>
          <w:szCs w:val="22"/>
        </w:rPr>
        <w:t>časti 6.1.</w:t>
      </w:r>
    </w:p>
    <w:p w14:paraId="3854DBE6" w14:textId="77777777" w:rsidR="00301FE5" w:rsidRPr="009E286B" w:rsidRDefault="00301FE5" w:rsidP="00FE0B01">
      <w:pPr>
        <w:pStyle w:val="Normlndobloku"/>
        <w:spacing w:after="0"/>
        <w:jc w:val="left"/>
        <w:rPr>
          <w:szCs w:val="22"/>
        </w:rPr>
      </w:pPr>
    </w:p>
    <w:p w14:paraId="45D91A9D" w14:textId="33267491" w:rsidR="00954C84" w:rsidRPr="00301FE5" w:rsidRDefault="00954C84" w:rsidP="00FE0B01">
      <w:pPr>
        <w:pStyle w:val="Normlndobloku"/>
        <w:spacing w:after="0"/>
        <w:jc w:val="left"/>
        <w:rPr>
          <w:szCs w:val="22"/>
        </w:rPr>
      </w:pPr>
      <w:r w:rsidRPr="009E286B">
        <w:rPr>
          <w:szCs w:val="22"/>
        </w:rPr>
        <w:t>Súbežná liečba ireverzibilnými inhibítormi monoaminooxidázy (IMAO) je kontraindikovaná kvôli riziku sérotonínového syndrómu so symptómami ako nepokoj, tras</w:t>
      </w:r>
      <w:r w:rsidR="005A5A9E" w:rsidRPr="002D691C">
        <w:rPr>
          <w:szCs w:val="22"/>
        </w:rPr>
        <w:t xml:space="preserve"> a </w:t>
      </w:r>
      <w:r w:rsidRPr="00301FE5">
        <w:rPr>
          <w:szCs w:val="22"/>
        </w:rPr>
        <w:t>hypertermia. Venlafaxín sa nemôže podať pacientom, kde od prerušenia liečby</w:t>
      </w:r>
      <w:r w:rsidR="005A5A9E" w:rsidRPr="00301FE5">
        <w:rPr>
          <w:szCs w:val="22"/>
        </w:rPr>
        <w:t xml:space="preserve"> s </w:t>
      </w:r>
      <w:r w:rsidRPr="00301FE5">
        <w:rPr>
          <w:szCs w:val="22"/>
        </w:rPr>
        <w:t>ireverzibilným IMAO neprešlo aspoň 14 dní.</w:t>
      </w:r>
    </w:p>
    <w:p w14:paraId="63E7E610" w14:textId="2B0B9FE3" w:rsidR="00954C84" w:rsidRPr="00301FE5" w:rsidRDefault="00954C84" w:rsidP="00FE0B01">
      <w:pPr>
        <w:pStyle w:val="Styl2-2"/>
      </w:pPr>
      <w:r w:rsidRPr="00301FE5">
        <w:t>Venlafaxín musí byť vysadený aspoň 7 dní pred začatím užívania ireverzibilného IMAO (pozri časti 4.4</w:t>
      </w:r>
      <w:r w:rsidR="005A5A9E" w:rsidRPr="00301FE5">
        <w:t xml:space="preserve"> a </w:t>
      </w:r>
      <w:r w:rsidRPr="00301FE5">
        <w:t>4.5).</w:t>
      </w:r>
    </w:p>
    <w:p w14:paraId="61B8C1E7" w14:textId="77777777" w:rsidR="00EE3F6B" w:rsidRPr="00EE3F6B" w:rsidRDefault="00EE3F6B" w:rsidP="00FE0B01">
      <w:pPr>
        <w:spacing w:after="0" w:line="240" w:lineRule="auto"/>
      </w:pPr>
    </w:p>
    <w:p w14:paraId="73FF44EC" w14:textId="6D0133C5" w:rsidR="00954C84" w:rsidRPr="00EE3F6B" w:rsidRDefault="00954C84" w:rsidP="00FE0B01">
      <w:pPr>
        <w:pStyle w:val="Styl2"/>
      </w:pPr>
      <w:r w:rsidRPr="00EE3F6B">
        <w:t>Osobitné upozornenia</w:t>
      </w:r>
      <w:r w:rsidR="005A5A9E" w:rsidRPr="00EE3F6B">
        <w:t xml:space="preserve"> a </w:t>
      </w:r>
      <w:r w:rsidRPr="00EE3F6B">
        <w:t>opatrenia pri používaní</w:t>
      </w:r>
    </w:p>
    <w:p w14:paraId="07F39BA7" w14:textId="77777777" w:rsidR="00EE3F6B" w:rsidRDefault="00EE3F6B" w:rsidP="00FE0B01">
      <w:pPr>
        <w:pStyle w:val="Styl3"/>
        <w:spacing w:after="0"/>
        <w:jc w:val="left"/>
        <w:rPr>
          <w:szCs w:val="22"/>
        </w:rPr>
      </w:pPr>
    </w:p>
    <w:p w14:paraId="23040580" w14:textId="77777777" w:rsidR="00954C84" w:rsidRPr="00EE3F6B" w:rsidRDefault="00954C84" w:rsidP="00FE0B01">
      <w:pPr>
        <w:pStyle w:val="Styl3"/>
        <w:spacing w:after="0"/>
        <w:jc w:val="left"/>
        <w:rPr>
          <w:szCs w:val="22"/>
        </w:rPr>
      </w:pPr>
      <w:r w:rsidRPr="00EE3F6B">
        <w:rPr>
          <w:szCs w:val="22"/>
        </w:rPr>
        <w:t>Samovražda/samovražedné m</w:t>
      </w:r>
      <w:bookmarkStart w:id="0" w:name="_GoBack"/>
      <w:bookmarkEnd w:id="0"/>
      <w:r w:rsidRPr="00EE3F6B">
        <w:rPr>
          <w:szCs w:val="22"/>
        </w:rPr>
        <w:t>yšlienky alebo klinické zhoršenie</w:t>
      </w:r>
    </w:p>
    <w:p w14:paraId="65AF0854" w14:textId="5D9B5273" w:rsidR="00954C84" w:rsidRDefault="00954C84" w:rsidP="00FE0B01">
      <w:pPr>
        <w:pStyle w:val="Normlndobloku"/>
        <w:spacing w:after="0"/>
        <w:jc w:val="left"/>
        <w:rPr>
          <w:szCs w:val="22"/>
        </w:rPr>
      </w:pPr>
      <w:r w:rsidRPr="009E286B">
        <w:rPr>
          <w:szCs w:val="22"/>
        </w:rPr>
        <w:t>Depresia je spojená so zvýšeným rizikom samovražedných myšlienok, sebapoškodzovania</w:t>
      </w:r>
      <w:r w:rsidR="005A5A9E" w:rsidRPr="009E286B">
        <w:rPr>
          <w:szCs w:val="22"/>
        </w:rPr>
        <w:t xml:space="preserve"> a </w:t>
      </w:r>
      <w:r w:rsidRPr="009E286B">
        <w:rPr>
          <w:szCs w:val="22"/>
        </w:rPr>
        <w:t>samovrážd (udalosti súvisiace so samovraždou). Riziko pretrváva pokiaľ nenastane signifikantná remisia. Keďže zlepšenie sa nemusí ukázať počas prvých niekoľko týždňov liečby alebo viac týždňov liečby, pacienti sa majú pozorne sledovať až do zlepšenia stavu. Zo skúseností sa vie, že riziko pokusu o samovraždu sa môže zvýšiť</w:t>
      </w:r>
      <w:r w:rsidR="005A5A9E" w:rsidRPr="002D691C">
        <w:rPr>
          <w:szCs w:val="22"/>
        </w:rPr>
        <w:t xml:space="preserve"> v </w:t>
      </w:r>
      <w:r w:rsidRPr="00301FE5">
        <w:rPr>
          <w:szCs w:val="22"/>
        </w:rPr>
        <w:t>skorých štádiách rekonvalescencie.</w:t>
      </w:r>
    </w:p>
    <w:p w14:paraId="2A84D78E" w14:textId="77777777" w:rsidR="00301FE5" w:rsidRPr="00301FE5" w:rsidRDefault="00301FE5" w:rsidP="00FE0B01">
      <w:pPr>
        <w:pStyle w:val="Normlndobloku"/>
        <w:spacing w:after="0"/>
        <w:jc w:val="left"/>
        <w:rPr>
          <w:szCs w:val="22"/>
        </w:rPr>
      </w:pPr>
    </w:p>
    <w:p w14:paraId="46DF2C96" w14:textId="17A5070A" w:rsidR="00954C84" w:rsidRDefault="00954C84" w:rsidP="00FE0B01">
      <w:pPr>
        <w:pStyle w:val="Normlndobloku"/>
        <w:spacing w:after="0"/>
        <w:jc w:val="left"/>
        <w:rPr>
          <w:szCs w:val="22"/>
        </w:rPr>
      </w:pPr>
      <w:r w:rsidRPr="00301FE5">
        <w:rPr>
          <w:szCs w:val="22"/>
        </w:rPr>
        <w:lastRenderedPageBreak/>
        <w:t>Iné psychiatrické stavy, na ktoré sa venlafaxín predpisuje, sú tiež spojené so zvýšeným rizikom udalostí súvisiacich so samovraždou. Navyše, tieto stavy môžu byť pridružené</w:t>
      </w:r>
      <w:r w:rsidR="005A5A9E" w:rsidRPr="00301FE5">
        <w:rPr>
          <w:szCs w:val="22"/>
        </w:rPr>
        <w:t xml:space="preserve"> k </w:t>
      </w:r>
      <w:r w:rsidRPr="00301FE5">
        <w:rPr>
          <w:szCs w:val="22"/>
        </w:rPr>
        <w:t>epizódam veľkej depresie. Rovnaká opatrnosť, aká je</w:t>
      </w:r>
      <w:r w:rsidR="005A5A9E" w:rsidRPr="00301FE5">
        <w:rPr>
          <w:szCs w:val="22"/>
        </w:rPr>
        <w:t xml:space="preserve"> u </w:t>
      </w:r>
      <w:r w:rsidRPr="00301FE5">
        <w:rPr>
          <w:szCs w:val="22"/>
        </w:rPr>
        <w:t>ľudí liečených na epizódu veľkej depresie, sa teda odporúča aj</w:t>
      </w:r>
      <w:r w:rsidR="005A5A9E" w:rsidRPr="00301FE5">
        <w:rPr>
          <w:szCs w:val="22"/>
        </w:rPr>
        <w:t xml:space="preserve"> u </w:t>
      </w:r>
      <w:r w:rsidRPr="00301FE5">
        <w:rPr>
          <w:szCs w:val="22"/>
        </w:rPr>
        <w:t>pacientov liečených na iné psychiatrické ochorenia.</w:t>
      </w:r>
    </w:p>
    <w:p w14:paraId="454E23A0" w14:textId="77777777" w:rsidR="00301FE5" w:rsidRPr="00301FE5" w:rsidRDefault="00301FE5" w:rsidP="00FE0B01">
      <w:pPr>
        <w:pStyle w:val="Normlndobloku"/>
        <w:spacing w:after="0"/>
        <w:jc w:val="left"/>
        <w:rPr>
          <w:szCs w:val="22"/>
        </w:rPr>
      </w:pPr>
    </w:p>
    <w:p w14:paraId="706D71F2" w14:textId="2C2F76E6" w:rsidR="00954C84" w:rsidRDefault="00954C84" w:rsidP="00FE0B01">
      <w:pPr>
        <w:pStyle w:val="Normlndobloku"/>
        <w:spacing w:after="0"/>
        <w:jc w:val="left"/>
        <w:rPr>
          <w:szCs w:val="22"/>
        </w:rPr>
      </w:pPr>
      <w:r w:rsidRPr="00301FE5">
        <w:rPr>
          <w:szCs w:val="22"/>
        </w:rPr>
        <w:t>Pacienti</w:t>
      </w:r>
      <w:r w:rsidR="005A5A9E" w:rsidRPr="00301FE5">
        <w:rPr>
          <w:szCs w:val="22"/>
        </w:rPr>
        <w:t xml:space="preserve"> s </w:t>
      </w:r>
      <w:r w:rsidRPr="00301FE5">
        <w:rPr>
          <w:szCs w:val="22"/>
        </w:rPr>
        <w:t>anamnézou udalostí súvisiacich so samovraždou alebo pacienti,</w:t>
      </w:r>
      <w:r w:rsidR="005A5A9E" w:rsidRPr="00301FE5">
        <w:rPr>
          <w:szCs w:val="22"/>
        </w:rPr>
        <w:t xml:space="preserve"> u </w:t>
      </w:r>
      <w:r w:rsidRPr="00301FE5">
        <w:rPr>
          <w:szCs w:val="22"/>
        </w:rPr>
        <w:t>ktorých sa prejavuje vyššia miera samovražedných myšlienok pred začatím liečby, sú vo zvýšenej miere vystave</w:t>
      </w:r>
      <w:r w:rsidRPr="00D638B3">
        <w:rPr>
          <w:szCs w:val="22"/>
        </w:rPr>
        <w:t>ní samovražedným myšlienkam</w:t>
      </w:r>
      <w:r w:rsidR="005A5A9E" w:rsidRPr="00454074">
        <w:rPr>
          <w:szCs w:val="22"/>
        </w:rPr>
        <w:t xml:space="preserve"> a </w:t>
      </w:r>
      <w:r w:rsidRPr="00BC3C9C">
        <w:rPr>
          <w:szCs w:val="22"/>
        </w:rPr>
        <w:t>pokusom o samovraždu</w:t>
      </w:r>
      <w:r w:rsidR="005A5A9E" w:rsidRPr="00BC3C9C">
        <w:rPr>
          <w:szCs w:val="22"/>
        </w:rPr>
        <w:t xml:space="preserve"> a </w:t>
      </w:r>
      <w:r w:rsidRPr="00BC3C9C">
        <w:rPr>
          <w:szCs w:val="22"/>
        </w:rPr>
        <w:t>preto sa majú počas liečby pozorne sledovať. Metaanalýza placebom kontrolovaných klinických štúdií antidepresívnych liekov</w:t>
      </w:r>
      <w:r w:rsidR="005A5A9E" w:rsidRPr="00BC3C9C">
        <w:rPr>
          <w:szCs w:val="22"/>
        </w:rPr>
        <w:t xml:space="preserve"> u </w:t>
      </w:r>
      <w:r w:rsidRPr="00BC3C9C">
        <w:rPr>
          <w:szCs w:val="22"/>
        </w:rPr>
        <w:t>dospelých pacientov mladších ako 25 rokov so psychiatrickými poruchami ukázala zvýšené riziko suicidálneho správania pri antidepresívach</w:t>
      </w:r>
      <w:r w:rsidR="005A5A9E" w:rsidRPr="00BC3C9C">
        <w:rPr>
          <w:szCs w:val="22"/>
        </w:rPr>
        <w:t xml:space="preserve"> v </w:t>
      </w:r>
      <w:r w:rsidRPr="00BC3C9C">
        <w:rPr>
          <w:szCs w:val="22"/>
        </w:rPr>
        <w:t>porovnaní</w:t>
      </w:r>
      <w:r w:rsidR="005A5A9E" w:rsidRPr="00BC3C9C">
        <w:rPr>
          <w:szCs w:val="22"/>
        </w:rPr>
        <w:t xml:space="preserve"> s </w:t>
      </w:r>
      <w:r w:rsidRPr="00BC3C9C">
        <w:rPr>
          <w:szCs w:val="22"/>
        </w:rPr>
        <w:t>pacientmi, ktorí užívali placebo.</w:t>
      </w:r>
    </w:p>
    <w:p w14:paraId="61B97E13" w14:textId="77777777" w:rsidR="00301FE5" w:rsidRPr="00301FE5" w:rsidRDefault="00301FE5" w:rsidP="00FE0B01">
      <w:pPr>
        <w:pStyle w:val="Normlndobloku"/>
        <w:spacing w:after="0"/>
        <w:jc w:val="left"/>
        <w:rPr>
          <w:szCs w:val="22"/>
        </w:rPr>
      </w:pPr>
    </w:p>
    <w:p w14:paraId="2DFF36EC" w14:textId="43F986CA" w:rsidR="00954C84" w:rsidRPr="00BC3C9C" w:rsidRDefault="00954C84" w:rsidP="00FE0B01">
      <w:pPr>
        <w:pStyle w:val="Normlndobloku"/>
        <w:spacing w:after="0"/>
        <w:jc w:val="left"/>
        <w:rPr>
          <w:szCs w:val="22"/>
        </w:rPr>
      </w:pPr>
      <w:r w:rsidRPr="00D638B3">
        <w:rPr>
          <w:szCs w:val="22"/>
        </w:rPr>
        <w:t>Dôkladné sledovanie pacientov</w:t>
      </w:r>
      <w:r w:rsidR="005A5A9E" w:rsidRPr="00D638B3">
        <w:rPr>
          <w:szCs w:val="22"/>
        </w:rPr>
        <w:t xml:space="preserve"> a </w:t>
      </w:r>
      <w:r w:rsidRPr="00454074">
        <w:rPr>
          <w:szCs w:val="22"/>
        </w:rPr>
        <w:t>najmä tých vysoko rizikových, má byť spojené</w:t>
      </w:r>
      <w:r w:rsidR="005A5A9E" w:rsidRPr="00BC3C9C">
        <w:rPr>
          <w:szCs w:val="22"/>
        </w:rPr>
        <w:t xml:space="preserve"> s </w:t>
      </w:r>
      <w:r w:rsidRPr="00BC3C9C">
        <w:rPr>
          <w:szCs w:val="22"/>
        </w:rPr>
        <w:t>liekovou terapiou, najmä</w:t>
      </w:r>
      <w:r w:rsidR="005A5A9E" w:rsidRPr="00BC3C9C">
        <w:rPr>
          <w:szCs w:val="22"/>
        </w:rPr>
        <w:t xml:space="preserve"> v </w:t>
      </w:r>
      <w:r w:rsidRPr="00BC3C9C">
        <w:rPr>
          <w:szCs w:val="22"/>
        </w:rPr>
        <w:t>začiatočnej fáze liečby</w:t>
      </w:r>
      <w:r w:rsidR="005A5A9E" w:rsidRPr="00BC3C9C">
        <w:rPr>
          <w:szCs w:val="22"/>
        </w:rPr>
        <w:t xml:space="preserve"> a </w:t>
      </w:r>
      <w:r w:rsidRPr="00BC3C9C">
        <w:rPr>
          <w:szCs w:val="22"/>
        </w:rPr>
        <w:t>pri následných zmenách dávok. Pacienti (a opatrovatelia pacientov) majú byť upozornení na potrebu monitorovať akékoľvek klinické zhoršenie, samovražedné správanie alebo myšlienky</w:t>
      </w:r>
      <w:r w:rsidR="005A5A9E" w:rsidRPr="00BC3C9C">
        <w:rPr>
          <w:szCs w:val="22"/>
        </w:rPr>
        <w:t xml:space="preserve"> a </w:t>
      </w:r>
      <w:r w:rsidRPr="00BC3C9C">
        <w:rPr>
          <w:szCs w:val="22"/>
        </w:rPr>
        <w:t>neobvyklé zmeny</w:t>
      </w:r>
      <w:r w:rsidR="005A5A9E" w:rsidRPr="00BC3C9C">
        <w:rPr>
          <w:szCs w:val="22"/>
        </w:rPr>
        <w:t xml:space="preserve"> v </w:t>
      </w:r>
      <w:r w:rsidRPr="00BC3C9C">
        <w:rPr>
          <w:szCs w:val="22"/>
        </w:rPr>
        <w:t>správaní</w:t>
      </w:r>
      <w:r w:rsidR="005A5A9E" w:rsidRPr="00BC3C9C">
        <w:rPr>
          <w:szCs w:val="22"/>
        </w:rPr>
        <w:t xml:space="preserve"> a </w:t>
      </w:r>
      <w:r w:rsidRPr="00BC3C9C">
        <w:rPr>
          <w:szCs w:val="22"/>
        </w:rPr>
        <w:t>okamžite vyhľadať lekársku radu, ak sa tieto symptómy objavia.</w:t>
      </w:r>
    </w:p>
    <w:p w14:paraId="27A71C41" w14:textId="77777777" w:rsidR="00EE3F6B" w:rsidRDefault="00EE3F6B" w:rsidP="00FE0B01">
      <w:pPr>
        <w:pStyle w:val="Styl3"/>
        <w:spacing w:after="0"/>
        <w:jc w:val="left"/>
        <w:rPr>
          <w:szCs w:val="22"/>
        </w:rPr>
      </w:pPr>
    </w:p>
    <w:p w14:paraId="32EAC59D" w14:textId="40C49F70" w:rsidR="00954C84" w:rsidRPr="00EE3F6B" w:rsidRDefault="00954C84" w:rsidP="00FE0B01">
      <w:pPr>
        <w:pStyle w:val="Styl3"/>
        <w:spacing w:after="0"/>
        <w:jc w:val="left"/>
        <w:rPr>
          <w:szCs w:val="22"/>
        </w:rPr>
      </w:pPr>
      <w:r w:rsidRPr="00EE3F6B">
        <w:rPr>
          <w:szCs w:val="22"/>
        </w:rPr>
        <w:t>Použitie</w:t>
      </w:r>
      <w:r w:rsidR="005A5A9E" w:rsidRPr="00EE3F6B">
        <w:rPr>
          <w:szCs w:val="22"/>
        </w:rPr>
        <w:t xml:space="preserve"> u </w:t>
      </w:r>
      <w:r w:rsidRPr="00EE3F6B">
        <w:rPr>
          <w:szCs w:val="22"/>
        </w:rPr>
        <w:t>detí</w:t>
      </w:r>
      <w:r w:rsidR="005A5A9E" w:rsidRPr="00EE3F6B">
        <w:rPr>
          <w:szCs w:val="22"/>
        </w:rPr>
        <w:t xml:space="preserve"> a </w:t>
      </w:r>
      <w:r w:rsidRPr="00EE3F6B">
        <w:rPr>
          <w:szCs w:val="22"/>
        </w:rPr>
        <w:t>dospievajúcich mladších ako 18 rokov</w:t>
      </w:r>
    </w:p>
    <w:p w14:paraId="26FAA995" w14:textId="71B8EF4C" w:rsidR="00954C84" w:rsidRPr="00BC3C9C" w:rsidRDefault="00954C84" w:rsidP="00FE0B01">
      <w:pPr>
        <w:pStyle w:val="Normlndobloku"/>
        <w:spacing w:after="0"/>
        <w:jc w:val="left"/>
        <w:rPr>
          <w:szCs w:val="22"/>
        </w:rPr>
      </w:pPr>
      <w:r w:rsidRPr="009E286B">
        <w:rPr>
          <w:szCs w:val="22"/>
        </w:rPr>
        <w:t>ELIFY XR sa nemá používať</w:t>
      </w:r>
      <w:r w:rsidR="005A5A9E" w:rsidRPr="009E286B">
        <w:rPr>
          <w:szCs w:val="22"/>
        </w:rPr>
        <w:t xml:space="preserve"> v </w:t>
      </w:r>
      <w:r w:rsidRPr="009E286B">
        <w:rPr>
          <w:szCs w:val="22"/>
        </w:rPr>
        <w:t>liečbe detí</w:t>
      </w:r>
      <w:r w:rsidR="005A5A9E" w:rsidRPr="009E286B">
        <w:rPr>
          <w:szCs w:val="22"/>
        </w:rPr>
        <w:t xml:space="preserve"> a </w:t>
      </w:r>
      <w:r w:rsidRPr="009E286B">
        <w:rPr>
          <w:szCs w:val="22"/>
        </w:rPr>
        <w:t>dospievajúcich mladších ako 18 rokov. So samovraždou spojené správanie (pokus o samovraždu</w:t>
      </w:r>
      <w:r w:rsidR="005A5A9E" w:rsidRPr="009E286B">
        <w:rPr>
          <w:szCs w:val="22"/>
        </w:rPr>
        <w:t xml:space="preserve"> a </w:t>
      </w:r>
      <w:r w:rsidRPr="009E286B">
        <w:rPr>
          <w:szCs w:val="22"/>
        </w:rPr>
        <w:t>samovražedné myšlienky)</w:t>
      </w:r>
      <w:r w:rsidR="005A5A9E" w:rsidRPr="009E286B">
        <w:rPr>
          <w:szCs w:val="22"/>
        </w:rPr>
        <w:t xml:space="preserve"> a </w:t>
      </w:r>
      <w:r w:rsidRPr="009E286B">
        <w:rPr>
          <w:szCs w:val="22"/>
        </w:rPr>
        <w:t>nepriateľské správanie (najmä agresivit</w:t>
      </w:r>
      <w:r w:rsidRPr="002D691C">
        <w:rPr>
          <w:szCs w:val="22"/>
        </w:rPr>
        <w:t>a, protichodné správanie</w:t>
      </w:r>
      <w:r w:rsidR="005A5A9E" w:rsidRPr="00301FE5">
        <w:rPr>
          <w:szCs w:val="22"/>
        </w:rPr>
        <w:t xml:space="preserve"> a </w:t>
      </w:r>
      <w:r w:rsidRPr="00301FE5">
        <w:rPr>
          <w:szCs w:val="22"/>
        </w:rPr>
        <w:t>hnev) boli častejšie pozorované</w:t>
      </w:r>
      <w:r w:rsidR="005A5A9E" w:rsidRPr="00301FE5">
        <w:rPr>
          <w:szCs w:val="22"/>
        </w:rPr>
        <w:t xml:space="preserve"> u </w:t>
      </w:r>
      <w:r w:rsidRPr="00301FE5">
        <w:rPr>
          <w:szCs w:val="22"/>
        </w:rPr>
        <w:t>detí</w:t>
      </w:r>
      <w:r w:rsidR="005A5A9E" w:rsidRPr="00301FE5">
        <w:rPr>
          <w:szCs w:val="22"/>
        </w:rPr>
        <w:t xml:space="preserve"> a </w:t>
      </w:r>
      <w:r w:rsidRPr="00301FE5">
        <w:rPr>
          <w:szCs w:val="22"/>
        </w:rPr>
        <w:t>adolescentov liečených antidepresívami</w:t>
      </w:r>
      <w:r w:rsidR="005A5A9E" w:rsidRPr="00301FE5">
        <w:rPr>
          <w:szCs w:val="22"/>
        </w:rPr>
        <w:t xml:space="preserve"> v </w:t>
      </w:r>
      <w:r w:rsidRPr="00301FE5">
        <w:rPr>
          <w:szCs w:val="22"/>
        </w:rPr>
        <w:t>porovnaní</w:t>
      </w:r>
      <w:r w:rsidR="005A5A9E" w:rsidRPr="00301FE5">
        <w:rPr>
          <w:szCs w:val="22"/>
        </w:rPr>
        <w:t xml:space="preserve"> s </w:t>
      </w:r>
      <w:r w:rsidRPr="00301FE5">
        <w:rPr>
          <w:szCs w:val="22"/>
        </w:rPr>
        <w:t>placebo skupinou. Ak sa napriek tomu vzhľadom na klinický stav rozhodne, že liek treba užívať, pacient by mal byť veľmi pozorne sledovaný kvôli výskytu samovražedných symptómov. Naviac chýbajú údaje o dlhodobej bezpečnosti</w:t>
      </w:r>
      <w:r w:rsidR="005A5A9E" w:rsidRPr="00D638B3">
        <w:rPr>
          <w:szCs w:val="22"/>
        </w:rPr>
        <w:t xml:space="preserve"> u </w:t>
      </w:r>
      <w:r w:rsidRPr="00D638B3">
        <w:rPr>
          <w:szCs w:val="22"/>
        </w:rPr>
        <w:t>detí</w:t>
      </w:r>
      <w:r w:rsidR="005A5A9E" w:rsidRPr="00454074">
        <w:rPr>
          <w:szCs w:val="22"/>
        </w:rPr>
        <w:t xml:space="preserve"> a </w:t>
      </w:r>
      <w:r w:rsidRPr="00BC3C9C">
        <w:rPr>
          <w:szCs w:val="22"/>
        </w:rPr>
        <w:t>mladistvých zahŕňajúce rast, dospievanie</w:t>
      </w:r>
      <w:r w:rsidR="005A5A9E" w:rsidRPr="00BC3C9C">
        <w:rPr>
          <w:szCs w:val="22"/>
        </w:rPr>
        <w:t xml:space="preserve"> a </w:t>
      </w:r>
      <w:r w:rsidRPr="00BC3C9C">
        <w:rPr>
          <w:szCs w:val="22"/>
        </w:rPr>
        <w:t>kognitívny</w:t>
      </w:r>
      <w:r w:rsidR="005A5A9E" w:rsidRPr="00BC3C9C">
        <w:rPr>
          <w:szCs w:val="22"/>
        </w:rPr>
        <w:t xml:space="preserve"> a </w:t>
      </w:r>
      <w:r w:rsidRPr="00BC3C9C">
        <w:rPr>
          <w:szCs w:val="22"/>
        </w:rPr>
        <w:t>behaviorálny vývoj.</w:t>
      </w:r>
    </w:p>
    <w:p w14:paraId="50F3A122" w14:textId="77777777" w:rsidR="00EE3F6B" w:rsidRDefault="00EE3F6B" w:rsidP="00FE0B01">
      <w:pPr>
        <w:pStyle w:val="Styl3"/>
        <w:spacing w:after="0"/>
        <w:jc w:val="left"/>
        <w:rPr>
          <w:szCs w:val="22"/>
        </w:rPr>
      </w:pPr>
    </w:p>
    <w:p w14:paraId="79488447" w14:textId="77777777" w:rsidR="00954C84" w:rsidRPr="00EE3F6B" w:rsidRDefault="00954C84" w:rsidP="00FE0B01">
      <w:pPr>
        <w:pStyle w:val="Styl3"/>
        <w:spacing w:after="0"/>
        <w:jc w:val="left"/>
        <w:rPr>
          <w:szCs w:val="22"/>
        </w:rPr>
      </w:pPr>
      <w:r w:rsidRPr="00EE3F6B">
        <w:rPr>
          <w:szCs w:val="22"/>
        </w:rPr>
        <w:t>Sérotonínový syndróm</w:t>
      </w:r>
    </w:p>
    <w:p w14:paraId="356FF72C" w14:textId="175923DB" w:rsidR="00954C84" w:rsidRDefault="00954C84" w:rsidP="00FE0B01">
      <w:pPr>
        <w:pStyle w:val="Normlndobloku"/>
        <w:spacing w:after="0"/>
        <w:jc w:val="left"/>
        <w:rPr>
          <w:szCs w:val="22"/>
        </w:rPr>
      </w:pPr>
      <w:r w:rsidRPr="009E286B">
        <w:rPr>
          <w:szCs w:val="22"/>
        </w:rPr>
        <w:t>Ako aj</w:t>
      </w:r>
      <w:r w:rsidR="005A5A9E" w:rsidRPr="009E286B">
        <w:rPr>
          <w:szCs w:val="22"/>
        </w:rPr>
        <w:t xml:space="preserve"> u </w:t>
      </w:r>
      <w:r w:rsidRPr="00BC3C9C">
        <w:rPr>
          <w:szCs w:val="22"/>
        </w:rPr>
        <w:t xml:space="preserve">ostatných </w:t>
      </w:r>
      <w:proofErr w:type="spellStart"/>
      <w:r w:rsidRPr="00FE0B01">
        <w:rPr>
          <w:szCs w:val="22"/>
        </w:rPr>
        <w:t>sérotoninergných</w:t>
      </w:r>
      <w:proofErr w:type="spellEnd"/>
      <w:r w:rsidRPr="00BC3C9C">
        <w:rPr>
          <w:szCs w:val="22"/>
        </w:rPr>
        <w:t xml:space="preserve"> látok</w:t>
      </w:r>
      <w:r w:rsidR="00301FE5" w:rsidRPr="00BC3C9C">
        <w:rPr>
          <w:szCs w:val="22"/>
        </w:rPr>
        <w:t xml:space="preserve">, </w:t>
      </w:r>
      <w:r w:rsidRPr="00BC3C9C">
        <w:rPr>
          <w:szCs w:val="22"/>
        </w:rPr>
        <w:t xml:space="preserve"> </w:t>
      </w:r>
      <w:r w:rsidR="001C1039" w:rsidRPr="00BC3C9C">
        <w:rPr>
          <w:szCs w:val="22"/>
        </w:rPr>
        <w:t>môže</w:t>
      </w:r>
      <w:r w:rsidR="005A5A9E" w:rsidRPr="00BC3C9C">
        <w:rPr>
          <w:szCs w:val="22"/>
        </w:rPr>
        <w:t xml:space="preserve"> v </w:t>
      </w:r>
      <w:r w:rsidRPr="00BC3C9C">
        <w:rPr>
          <w:szCs w:val="22"/>
        </w:rPr>
        <w:t>priebehu liečby</w:t>
      </w:r>
      <w:r w:rsidR="005A5A9E" w:rsidRPr="00BC3C9C">
        <w:rPr>
          <w:szCs w:val="22"/>
        </w:rPr>
        <w:t xml:space="preserve"> </w:t>
      </w:r>
      <w:proofErr w:type="spellStart"/>
      <w:r w:rsidRPr="00BC3C9C">
        <w:rPr>
          <w:szCs w:val="22"/>
        </w:rPr>
        <w:t>venlafaxínom</w:t>
      </w:r>
      <w:proofErr w:type="spellEnd"/>
      <w:r w:rsidRPr="00BC3C9C">
        <w:rPr>
          <w:szCs w:val="22"/>
        </w:rPr>
        <w:t xml:space="preserve"> </w:t>
      </w:r>
      <w:r w:rsidR="002F3E3C" w:rsidRPr="00BC3C9C">
        <w:rPr>
          <w:szCs w:val="22"/>
        </w:rPr>
        <w:t xml:space="preserve">dôjsť k rozvoju </w:t>
      </w:r>
      <w:r w:rsidRPr="00BC3C9C">
        <w:rPr>
          <w:szCs w:val="22"/>
        </w:rPr>
        <w:t>potenciálne život ohrozujúc</w:t>
      </w:r>
      <w:r w:rsidR="00301FE5" w:rsidRPr="00BC3C9C">
        <w:rPr>
          <w:szCs w:val="22"/>
        </w:rPr>
        <w:t>eho</w:t>
      </w:r>
      <w:r w:rsidRPr="00BC3C9C">
        <w:rPr>
          <w:szCs w:val="22"/>
        </w:rPr>
        <w:t xml:space="preserve"> </w:t>
      </w:r>
      <w:proofErr w:type="spellStart"/>
      <w:r w:rsidRPr="00BC3C9C">
        <w:rPr>
          <w:szCs w:val="22"/>
        </w:rPr>
        <w:t>sérotonínov</w:t>
      </w:r>
      <w:r w:rsidR="002F3E3C" w:rsidRPr="00BC3C9C">
        <w:rPr>
          <w:szCs w:val="22"/>
        </w:rPr>
        <w:t>ému</w:t>
      </w:r>
      <w:proofErr w:type="spellEnd"/>
      <w:r w:rsidRPr="00BC3C9C">
        <w:rPr>
          <w:szCs w:val="22"/>
        </w:rPr>
        <w:t xml:space="preserve"> syndróm</w:t>
      </w:r>
      <w:r w:rsidR="002F3E3C" w:rsidRPr="00BC3C9C">
        <w:rPr>
          <w:szCs w:val="22"/>
        </w:rPr>
        <w:t>u</w:t>
      </w:r>
      <w:r w:rsidRPr="00BC3C9C">
        <w:rPr>
          <w:szCs w:val="22"/>
        </w:rPr>
        <w:t xml:space="preserve"> alebo </w:t>
      </w:r>
      <w:proofErr w:type="spellStart"/>
      <w:r w:rsidRPr="00BC3C9C">
        <w:rPr>
          <w:szCs w:val="22"/>
        </w:rPr>
        <w:t>neuroleptick</w:t>
      </w:r>
      <w:r w:rsidR="001C1039" w:rsidRPr="00BC3C9C">
        <w:rPr>
          <w:szCs w:val="22"/>
        </w:rPr>
        <w:t>é</w:t>
      </w:r>
      <w:r w:rsidR="00301FE5" w:rsidRPr="00BC3C9C">
        <w:rPr>
          <w:szCs w:val="22"/>
        </w:rPr>
        <w:t>ho</w:t>
      </w:r>
      <w:proofErr w:type="spellEnd"/>
      <w:r w:rsidRPr="00BC3C9C">
        <w:rPr>
          <w:szCs w:val="22"/>
        </w:rPr>
        <w:t xml:space="preserve"> </w:t>
      </w:r>
      <w:proofErr w:type="spellStart"/>
      <w:r w:rsidRPr="00BC3C9C">
        <w:rPr>
          <w:szCs w:val="22"/>
        </w:rPr>
        <w:t>malígn</w:t>
      </w:r>
      <w:r w:rsidR="002F3E3C" w:rsidRPr="00BC3C9C">
        <w:rPr>
          <w:szCs w:val="22"/>
        </w:rPr>
        <w:t>é</w:t>
      </w:r>
      <w:r w:rsidR="00301FE5" w:rsidRPr="00BC3C9C">
        <w:rPr>
          <w:szCs w:val="22"/>
        </w:rPr>
        <w:t>ho</w:t>
      </w:r>
      <w:proofErr w:type="spellEnd"/>
      <w:r w:rsidRPr="00BC3C9C">
        <w:rPr>
          <w:szCs w:val="22"/>
        </w:rPr>
        <w:t xml:space="preserve"> syndróm</w:t>
      </w:r>
      <w:r w:rsidR="002F3E3C" w:rsidRPr="00BC3C9C">
        <w:rPr>
          <w:szCs w:val="22"/>
        </w:rPr>
        <w:t>u</w:t>
      </w:r>
      <w:r w:rsidRPr="00BC3C9C">
        <w:rPr>
          <w:szCs w:val="22"/>
        </w:rPr>
        <w:t xml:space="preserve"> (</w:t>
      </w:r>
      <w:proofErr w:type="spellStart"/>
      <w:r w:rsidRPr="00BC3C9C">
        <w:rPr>
          <w:szCs w:val="22"/>
        </w:rPr>
        <w:t>NMS</w:t>
      </w:r>
      <w:proofErr w:type="spellEnd"/>
      <w:r w:rsidRPr="00BC3C9C">
        <w:rPr>
          <w:szCs w:val="22"/>
        </w:rPr>
        <w:t>), obzvlášť pri sú</w:t>
      </w:r>
      <w:r w:rsidR="00301FE5" w:rsidRPr="00BC3C9C">
        <w:rPr>
          <w:szCs w:val="22"/>
        </w:rPr>
        <w:t>bež</w:t>
      </w:r>
      <w:r w:rsidRPr="00BC3C9C">
        <w:rPr>
          <w:szCs w:val="22"/>
        </w:rPr>
        <w:t>nej liečbe</w:t>
      </w:r>
      <w:r w:rsidR="005A5A9E" w:rsidRPr="00BC3C9C">
        <w:rPr>
          <w:szCs w:val="22"/>
        </w:rPr>
        <w:t xml:space="preserve"> s </w:t>
      </w:r>
      <w:r w:rsidRPr="00BC3C9C">
        <w:rPr>
          <w:szCs w:val="22"/>
        </w:rPr>
        <w:t xml:space="preserve">inými </w:t>
      </w:r>
      <w:proofErr w:type="spellStart"/>
      <w:r w:rsidRPr="00FE0B01">
        <w:rPr>
          <w:szCs w:val="22"/>
        </w:rPr>
        <w:t>sérotogénnymi</w:t>
      </w:r>
      <w:proofErr w:type="spellEnd"/>
      <w:r w:rsidRPr="00FE0B01">
        <w:rPr>
          <w:szCs w:val="22"/>
        </w:rPr>
        <w:t xml:space="preserve"> látkami</w:t>
      </w:r>
      <w:r w:rsidRPr="00EB4C45">
        <w:rPr>
          <w:szCs w:val="22"/>
        </w:rPr>
        <w:t xml:space="preserve"> (zahrňujúce SSRI, SNRI</w:t>
      </w:r>
      <w:r w:rsidR="005A5A9E" w:rsidRPr="00EB4C45">
        <w:rPr>
          <w:szCs w:val="22"/>
        </w:rPr>
        <w:t xml:space="preserve"> a </w:t>
      </w:r>
      <w:r w:rsidRPr="00EB4C45">
        <w:rPr>
          <w:szCs w:val="22"/>
        </w:rPr>
        <w:t>triptány),</w:t>
      </w:r>
      <w:r w:rsidR="005A5A9E" w:rsidRPr="00EB4C45">
        <w:rPr>
          <w:szCs w:val="22"/>
        </w:rPr>
        <w:t xml:space="preserve"> s </w:t>
      </w:r>
      <w:r w:rsidRPr="00EB4C45">
        <w:rPr>
          <w:szCs w:val="22"/>
        </w:rPr>
        <w:t>látkami, ktoré narušujú metabolizmus sérotonínu, ako MAO inhibítory</w:t>
      </w:r>
      <w:r w:rsidR="002F3E3C" w:rsidRPr="00D638B3">
        <w:rPr>
          <w:szCs w:val="22"/>
        </w:rPr>
        <w:t xml:space="preserve"> (napr. metylénová modrá)</w:t>
      </w:r>
      <w:r w:rsidRPr="00454074">
        <w:rPr>
          <w:szCs w:val="22"/>
        </w:rPr>
        <w:t xml:space="preserve"> alebo</w:t>
      </w:r>
      <w:r w:rsidR="005A5A9E" w:rsidRPr="00BC3C9C">
        <w:rPr>
          <w:szCs w:val="22"/>
        </w:rPr>
        <w:t xml:space="preserve"> s </w:t>
      </w:r>
      <w:r w:rsidRPr="00BC3C9C">
        <w:rPr>
          <w:szCs w:val="22"/>
        </w:rPr>
        <w:t>antipsychotikami alebo inými antagonistami dopamínu (pozri časti 4.3</w:t>
      </w:r>
      <w:r w:rsidR="005A5A9E" w:rsidRPr="00BC3C9C">
        <w:rPr>
          <w:szCs w:val="22"/>
        </w:rPr>
        <w:t xml:space="preserve"> a </w:t>
      </w:r>
      <w:r w:rsidRPr="00BC3C9C">
        <w:rPr>
          <w:szCs w:val="22"/>
        </w:rPr>
        <w:t>4.5).</w:t>
      </w:r>
    </w:p>
    <w:p w14:paraId="07153885" w14:textId="77777777" w:rsidR="00EB4C45" w:rsidRPr="00EB4C45" w:rsidRDefault="00EB4C45" w:rsidP="00FE0B01">
      <w:pPr>
        <w:pStyle w:val="Normlndobloku"/>
        <w:spacing w:after="0"/>
        <w:jc w:val="left"/>
        <w:rPr>
          <w:szCs w:val="22"/>
        </w:rPr>
      </w:pPr>
    </w:p>
    <w:p w14:paraId="3C20E27F" w14:textId="5A66B7FA" w:rsidR="00954C84" w:rsidRDefault="00954C84" w:rsidP="00FE0B01">
      <w:pPr>
        <w:pStyle w:val="Normlndobloku"/>
        <w:spacing w:after="0"/>
        <w:jc w:val="left"/>
        <w:rPr>
          <w:szCs w:val="22"/>
        </w:rPr>
      </w:pPr>
      <w:r w:rsidRPr="00D638B3">
        <w:rPr>
          <w:szCs w:val="22"/>
        </w:rPr>
        <w:t>Príznaky sérotonínového syndrómu môžu zahŕňať mentálne zmeny (agitácia, halucinácie, kóma) autonómnu nestabilitu (napr. tachykardia, labilný krvný tlak, hypertermia), neuromuskul</w:t>
      </w:r>
      <w:r w:rsidRPr="00454074">
        <w:rPr>
          <w:szCs w:val="22"/>
        </w:rPr>
        <w:t>árne zmeny (napr. hyperreflexia, nekoordinovanosť) a/alebo gastrointestinálne príznaky (napr. nutkanie na vracanie, vracanie, hnač</w:t>
      </w:r>
      <w:r w:rsidRPr="00BC3C9C">
        <w:rPr>
          <w:szCs w:val="22"/>
        </w:rPr>
        <w:t>ka). Sérotonínový syndróm vo svojej najťažšej forme, sa môže podobať na NMS, ktorý zahŕňa hypertermiu, svalovú rigiditu, autonomnú nestabilitu</w:t>
      </w:r>
      <w:r w:rsidR="005A5A9E" w:rsidRPr="00BC3C9C">
        <w:rPr>
          <w:szCs w:val="22"/>
        </w:rPr>
        <w:t xml:space="preserve"> s </w:t>
      </w:r>
      <w:r w:rsidRPr="00BC3C9C">
        <w:rPr>
          <w:szCs w:val="22"/>
        </w:rPr>
        <w:t>možnými rýchlymi výkyvmi vitálnych</w:t>
      </w:r>
      <w:r w:rsidR="005A5A9E" w:rsidRPr="00BC3C9C">
        <w:rPr>
          <w:szCs w:val="22"/>
        </w:rPr>
        <w:t xml:space="preserve"> </w:t>
      </w:r>
      <w:r w:rsidRPr="00BC3C9C">
        <w:rPr>
          <w:szCs w:val="22"/>
        </w:rPr>
        <w:t>funkcií</w:t>
      </w:r>
      <w:r w:rsidR="005A5A9E" w:rsidRPr="00BC3C9C">
        <w:rPr>
          <w:szCs w:val="22"/>
        </w:rPr>
        <w:t xml:space="preserve"> a </w:t>
      </w:r>
      <w:r w:rsidRPr="00BC3C9C">
        <w:rPr>
          <w:szCs w:val="22"/>
        </w:rPr>
        <w:t>zmenami duševného stavu.</w:t>
      </w:r>
    </w:p>
    <w:p w14:paraId="5425EE07" w14:textId="77777777" w:rsidR="00EB4C45" w:rsidRPr="00EB4C45" w:rsidRDefault="00EB4C45" w:rsidP="00FE0B01">
      <w:pPr>
        <w:pStyle w:val="Normlndobloku"/>
        <w:spacing w:after="0"/>
        <w:jc w:val="left"/>
        <w:rPr>
          <w:szCs w:val="22"/>
        </w:rPr>
      </w:pPr>
    </w:p>
    <w:p w14:paraId="4AD5C322" w14:textId="7F1A4091" w:rsidR="00954C84" w:rsidRPr="00EB4C45" w:rsidRDefault="00954C84" w:rsidP="00FE0B01">
      <w:pPr>
        <w:pStyle w:val="Normlndobloku"/>
        <w:spacing w:after="0"/>
        <w:jc w:val="left"/>
        <w:rPr>
          <w:szCs w:val="22"/>
        </w:rPr>
      </w:pPr>
      <w:r w:rsidRPr="00EB4C45">
        <w:rPr>
          <w:szCs w:val="22"/>
        </w:rPr>
        <w:t>Ak je sú</w:t>
      </w:r>
      <w:r w:rsidR="00EB4C45">
        <w:rPr>
          <w:szCs w:val="22"/>
        </w:rPr>
        <w:t>bež</w:t>
      </w:r>
      <w:r w:rsidRPr="00EB4C45">
        <w:rPr>
          <w:szCs w:val="22"/>
        </w:rPr>
        <w:t xml:space="preserve">ná liečba </w:t>
      </w:r>
      <w:proofErr w:type="spellStart"/>
      <w:r w:rsidRPr="00EB4C45">
        <w:rPr>
          <w:szCs w:val="22"/>
        </w:rPr>
        <w:t>venlafaxínom</w:t>
      </w:r>
      <w:proofErr w:type="spellEnd"/>
      <w:r w:rsidR="005A5A9E" w:rsidRPr="00EB4C45">
        <w:rPr>
          <w:szCs w:val="22"/>
        </w:rPr>
        <w:t xml:space="preserve"> a</w:t>
      </w:r>
      <w:r w:rsidR="00A4261C" w:rsidRPr="00EB4C45">
        <w:rPr>
          <w:szCs w:val="22"/>
        </w:rPr>
        <w:t xml:space="preserve"> </w:t>
      </w:r>
      <w:r w:rsidRPr="00EB4C45">
        <w:rPr>
          <w:szCs w:val="22"/>
        </w:rPr>
        <w:t>ďalšími</w:t>
      </w:r>
      <w:r w:rsidR="00F91B16" w:rsidRPr="00EB4C45">
        <w:rPr>
          <w:szCs w:val="22"/>
        </w:rPr>
        <w:t xml:space="preserve"> </w:t>
      </w:r>
      <w:r w:rsidRPr="00EB4C45">
        <w:rPr>
          <w:szCs w:val="22"/>
        </w:rPr>
        <w:t xml:space="preserve">látkami, ktoré môžu ovplyvňovať sérotonergný a/alebo dopamínergný </w:t>
      </w:r>
      <w:proofErr w:type="spellStart"/>
      <w:r w:rsidRPr="00EB4C45">
        <w:rPr>
          <w:szCs w:val="22"/>
        </w:rPr>
        <w:t>neurotransmiterový</w:t>
      </w:r>
      <w:proofErr w:type="spellEnd"/>
      <w:r w:rsidRPr="00EB4C45">
        <w:rPr>
          <w:szCs w:val="22"/>
        </w:rPr>
        <w:t xml:space="preserve"> systém klinicky </w:t>
      </w:r>
      <w:r w:rsidR="00EB4C45" w:rsidRPr="00EB4C45">
        <w:rPr>
          <w:szCs w:val="22"/>
        </w:rPr>
        <w:t>op</w:t>
      </w:r>
      <w:r w:rsidR="00EB4C45">
        <w:rPr>
          <w:szCs w:val="22"/>
        </w:rPr>
        <w:t>odstatnená</w:t>
      </w:r>
      <w:r w:rsidRPr="00EB4C45">
        <w:rPr>
          <w:szCs w:val="22"/>
        </w:rPr>
        <w:t>, je potrebné pacienta starostlivo sledovať, najmä na začiatku liečby</w:t>
      </w:r>
      <w:r w:rsidR="005A5A9E" w:rsidRPr="00EB4C45">
        <w:rPr>
          <w:szCs w:val="22"/>
        </w:rPr>
        <w:t xml:space="preserve"> a </w:t>
      </w:r>
      <w:r w:rsidRPr="00EB4C45">
        <w:rPr>
          <w:szCs w:val="22"/>
        </w:rPr>
        <w:t>pri zvyšovaní dávky.</w:t>
      </w:r>
    </w:p>
    <w:p w14:paraId="770205EA" w14:textId="7BF98F8F" w:rsidR="002F3E3C" w:rsidRPr="00BC3C9C" w:rsidRDefault="002F3E3C" w:rsidP="00FE0B01">
      <w:pPr>
        <w:pStyle w:val="Normlndobloku"/>
        <w:spacing w:after="0"/>
        <w:jc w:val="left"/>
        <w:rPr>
          <w:szCs w:val="22"/>
        </w:rPr>
      </w:pPr>
      <w:r w:rsidRPr="00D638B3">
        <w:rPr>
          <w:szCs w:val="22"/>
        </w:rPr>
        <w:t xml:space="preserve">Užívanie venlafaxínu súbežne s prekurzormi </w:t>
      </w:r>
      <w:r w:rsidR="00F91B16" w:rsidRPr="00D638B3">
        <w:rPr>
          <w:szCs w:val="22"/>
        </w:rPr>
        <w:t>sérotonínu</w:t>
      </w:r>
      <w:r w:rsidRPr="00454074">
        <w:rPr>
          <w:szCs w:val="22"/>
        </w:rPr>
        <w:t xml:space="preserve"> (ako napríklad </w:t>
      </w:r>
      <w:r w:rsidR="001C1039" w:rsidRPr="00BC3C9C">
        <w:rPr>
          <w:szCs w:val="22"/>
        </w:rPr>
        <w:t>výživové</w:t>
      </w:r>
      <w:r w:rsidRPr="00BC3C9C">
        <w:rPr>
          <w:szCs w:val="22"/>
        </w:rPr>
        <w:t xml:space="preserve"> doplnky s</w:t>
      </w:r>
      <w:r w:rsidR="00F91B16" w:rsidRPr="00BC3C9C">
        <w:rPr>
          <w:szCs w:val="22"/>
        </w:rPr>
        <w:t> </w:t>
      </w:r>
      <w:r w:rsidRPr="00BC3C9C">
        <w:rPr>
          <w:szCs w:val="22"/>
        </w:rPr>
        <w:t>obsahom tryptofánu) sa neodporúča.</w:t>
      </w:r>
    </w:p>
    <w:p w14:paraId="2D79860C" w14:textId="77777777" w:rsidR="00EE3F6B" w:rsidRDefault="00EE3F6B" w:rsidP="00FE0B01">
      <w:pPr>
        <w:pStyle w:val="Styl3"/>
        <w:spacing w:after="0"/>
        <w:jc w:val="left"/>
        <w:rPr>
          <w:szCs w:val="22"/>
        </w:rPr>
      </w:pPr>
    </w:p>
    <w:p w14:paraId="05ABBC02" w14:textId="77777777" w:rsidR="00954C84" w:rsidRPr="00EE3F6B" w:rsidRDefault="00954C84" w:rsidP="00FE0B01">
      <w:pPr>
        <w:pStyle w:val="Styl3"/>
        <w:spacing w:after="0"/>
        <w:jc w:val="left"/>
        <w:rPr>
          <w:szCs w:val="22"/>
        </w:rPr>
      </w:pPr>
      <w:r w:rsidRPr="00EE3F6B">
        <w:rPr>
          <w:szCs w:val="22"/>
        </w:rPr>
        <w:t>Glaukóm so zatvoreným uhlom</w:t>
      </w:r>
    </w:p>
    <w:p w14:paraId="5D64E497" w14:textId="62BA1868" w:rsidR="00954C84" w:rsidRPr="009E286B" w:rsidRDefault="00954C84" w:rsidP="00FE0B01">
      <w:pPr>
        <w:pStyle w:val="Normlndobloku"/>
        <w:spacing w:after="0"/>
        <w:jc w:val="left"/>
        <w:rPr>
          <w:szCs w:val="22"/>
        </w:rPr>
      </w:pPr>
      <w:r w:rsidRPr="009E286B">
        <w:rPr>
          <w:szCs w:val="22"/>
        </w:rPr>
        <w:t>Mydriáza sa môže vyskytnúť ako príznak užívania venlafaxínu. Odporúča sa, aby pacienti so zvýšeným vnútroočným tlakom alebo pacienti</w:t>
      </w:r>
      <w:r w:rsidR="005A5A9E" w:rsidRPr="009E286B">
        <w:rPr>
          <w:szCs w:val="22"/>
        </w:rPr>
        <w:t xml:space="preserve"> s </w:t>
      </w:r>
      <w:r w:rsidRPr="009E286B">
        <w:rPr>
          <w:szCs w:val="22"/>
        </w:rPr>
        <w:t>rizikom akútneho glaukómu so zatvoreným uhlom boli pozorne sledovaní.</w:t>
      </w:r>
    </w:p>
    <w:p w14:paraId="2A183508" w14:textId="77777777" w:rsidR="00EE3F6B" w:rsidRDefault="00EE3F6B" w:rsidP="00FE0B01">
      <w:pPr>
        <w:pStyle w:val="Styl3"/>
        <w:spacing w:after="0"/>
        <w:jc w:val="left"/>
        <w:rPr>
          <w:szCs w:val="22"/>
        </w:rPr>
      </w:pPr>
    </w:p>
    <w:p w14:paraId="02A24DE0" w14:textId="77777777" w:rsidR="00954C84" w:rsidRPr="00EE3F6B" w:rsidRDefault="00954C84" w:rsidP="00FE0B01">
      <w:pPr>
        <w:pStyle w:val="Styl3"/>
        <w:spacing w:after="0"/>
        <w:jc w:val="left"/>
        <w:rPr>
          <w:szCs w:val="22"/>
        </w:rPr>
      </w:pPr>
      <w:r w:rsidRPr="00EE3F6B">
        <w:rPr>
          <w:szCs w:val="22"/>
        </w:rPr>
        <w:t>Krvný tlak</w:t>
      </w:r>
    </w:p>
    <w:p w14:paraId="2F2533D7" w14:textId="42BD7989" w:rsidR="00954C84" w:rsidRPr="00301FE5" w:rsidRDefault="0028134F" w:rsidP="00FE0B01">
      <w:pPr>
        <w:spacing w:after="0" w:line="240" w:lineRule="auto"/>
        <w:rPr>
          <w:rFonts w:ascii="Times New Roman" w:eastAsia="Calibri" w:hAnsi="Times New Roman" w:cs="Times New Roman"/>
        </w:rPr>
      </w:pPr>
      <w:r w:rsidRPr="00EE3F6B">
        <w:rPr>
          <w:rFonts w:ascii="Times New Roman" w:eastAsia="Calibri" w:hAnsi="Times New Roman" w:cs="Times New Roman"/>
        </w:rPr>
        <w:t xml:space="preserve">Často bolo u venlafaxínu hlásené od dávky závislé zvýšenie krvného tlaku. </w:t>
      </w:r>
      <w:r w:rsidR="00954C84" w:rsidRPr="00EE3F6B">
        <w:rPr>
          <w:rFonts w:ascii="Times New Roman" w:eastAsia="Calibri" w:hAnsi="Times New Roman" w:cs="Times New Roman"/>
        </w:rPr>
        <w:t>Prípady závažne zvýšeného krvného tlaku vyžadujúce okamžitú liečbu bo</w:t>
      </w:r>
      <w:r w:rsidR="00954C84" w:rsidRPr="009E286B">
        <w:rPr>
          <w:rFonts w:ascii="Times New Roman" w:eastAsia="Calibri" w:hAnsi="Times New Roman" w:cs="Times New Roman"/>
        </w:rPr>
        <w:t>li tiež hlásené</w:t>
      </w:r>
      <w:r w:rsidR="005A5A9E" w:rsidRPr="009E286B">
        <w:rPr>
          <w:rFonts w:ascii="Times New Roman" w:eastAsia="Calibri" w:hAnsi="Times New Roman" w:cs="Times New Roman"/>
        </w:rPr>
        <w:t xml:space="preserve"> u </w:t>
      </w:r>
      <w:r w:rsidR="00954C84" w:rsidRPr="009E286B">
        <w:rPr>
          <w:rFonts w:ascii="Times New Roman" w:eastAsia="Calibri" w:hAnsi="Times New Roman" w:cs="Times New Roman"/>
        </w:rPr>
        <w:t>niektorých pacientov</w:t>
      </w:r>
      <w:r w:rsidR="005A5A9E" w:rsidRPr="009E286B">
        <w:rPr>
          <w:rFonts w:ascii="Times New Roman" w:eastAsia="Calibri" w:hAnsi="Times New Roman" w:cs="Times New Roman"/>
        </w:rPr>
        <w:t xml:space="preserve"> v </w:t>
      </w:r>
      <w:r w:rsidR="00954C84" w:rsidRPr="009E286B">
        <w:rPr>
          <w:rFonts w:ascii="Times New Roman" w:eastAsia="Calibri" w:hAnsi="Times New Roman" w:cs="Times New Roman"/>
        </w:rPr>
        <w:t>post marketingovom sledovaní. Všetci pacienti majú byť starostlivo vyšetrení na vysoký krvný tlak</w:t>
      </w:r>
      <w:r w:rsidR="005A5A9E" w:rsidRPr="009E286B">
        <w:rPr>
          <w:rFonts w:ascii="Times New Roman" w:eastAsia="Calibri" w:hAnsi="Times New Roman" w:cs="Times New Roman"/>
        </w:rPr>
        <w:t xml:space="preserve"> a </w:t>
      </w:r>
      <w:r w:rsidR="00954C84" w:rsidRPr="009E286B">
        <w:rPr>
          <w:rFonts w:ascii="Times New Roman" w:eastAsia="Calibri" w:hAnsi="Times New Roman" w:cs="Times New Roman"/>
        </w:rPr>
        <w:t>preexistujúca hypertenzia má byť upravená pred zahájením podávania venlafaxínu. Krvný tlak má byť pravidelne kontrolovaný po začatí liečby</w:t>
      </w:r>
      <w:r w:rsidR="005A5A9E" w:rsidRPr="009E286B">
        <w:rPr>
          <w:rFonts w:ascii="Times New Roman" w:eastAsia="Calibri" w:hAnsi="Times New Roman" w:cs="Times New Roman"/>
        </w:rPr>
        <w:t xml:space="preserve"> a </w:t>
      </w:r>
      <w:r w:rsidR="00954C84" w:rsidRPr="009E286B">
        <w:rPr>
          <w:rFonts w:ascii="Times New Roman" w:eastAsia="Calibri" w:hAnsi="Times New Roman" w:cs="Times New Roman"/>
        </w:rPr>
        <w:t>po zvýšení dávky. Opatrnosť je potrebná pri pacientoch, kde základné ochorenie môže byť zhoršené</w:t>
      </w:r>
      <w:r w:rsidR="005A5A9E" w:rsidRPr="002D691C">
        <w:rPr>
          <w:rFonts w:ascii="Times New Roman" w:eastAsia="Calibri" w:hAnsi="Times New Roman" w:cs="Times New Roman"/>
        </w:rPr>
        <w:t xml:space="preserve"> v </w:t>
      </w:r>
      <w:r w:rsidR="00954C84" w:rsidRPr="00301FE5">
        <w:rPr>
          <w:rFonts w:ascii="Times New Roman" w:eastAsia="Calibri" w:hAnsi="Times New Roman" w:cs="Times New Roman"/>
        </w:rPr>
        <w:t>dôsledku zvýšenia krvného tlaku, napr. pacienti</w:t>
      </w:r>
      <w:r w:rsidR="005A5A9E" w:rsidRPr="00301FE5">
        <w:rPr>
          <w:rFonts w:ascii="Times New Roman" w:eastAsia="Calibri" w:hAnsi="Times New Roman" w:cs="Times New Roman"/>
        </w:rPr>
        <w:t xml:space="preserve"> s </w:t>
      </w:r>
      <w:r w:rsidR="00954C84" w:rsidRPr="00301FE5">
        <w:rPr>
          <w:rFonts w:ascii="Times New Roman" w:eastAsia="Calibri" w:hAnsi="Times New Roman" w:cs="Times New Roman"/>
        </w:rPr>
        <w:t>porušenou funkciou srdca.</w:t>
      </w:r>
    </w:p>
    <w:p w14:paraId="7DB72FFF" w14:textId="77777777" w:rsidR="00EE3F6B" w:rsidRDefault="00EE3F6B" w:rsidP="00FE0B01">
      <w:pPr>
        <w:pStyle w:val="Styl3"/>
        <w:spacing w:after="0"/>
        <w:jc w:val="left"/>
        <w:rPr>
          <w:szCs w:val="22"/>
        </w:rPr>
      </w:pPr>
    </w:p>
    <w:p w14:paraId="414279D9" w14:textId="77777777" w:rsidR="00954C84" w:rsidRPr="00EE3F6B" w:rsidRDefault="00954C84" w:rsidP="00FE0B01">
      <w:pPr>
        <w:pStyle w:val="Styl3"/>
        <w:spacing w:after="0"/>
        <w:jc w:val="left"/>
        <w:rPr>
          <w:szCs w:val="22"/>
        </w:rPr>
      </w:pPr>
      <w:r w:rsidRPr="00EE3F6B">
        <w:rPr>
          <w:szCs w:val="22"/>
        </w:rPr>
        <w:t>Frekvencia srdca</w:t>
      </w:r>
    </w:p>
    <w:p w14:paraId="5071A441" w14:textId="2B7A7EFB" w:rsidR="00954C84" w:rsidRPr="009E286B" w:rsidRDefault="00954C84" w:rsidP="00FE0B01">
      <w:pPr>
        <w:pStyle w:val="Normlndobloku"/>
        <w:spacing w:after="0"/>
        <w:jc w:val="left"/>
        <w:rPr>
          <w:szCs w:val="22"/>
        </w:rPr>
      </w:pPr>
      <w:r w:rsidRPr="009E286B">
        <w:rPr>
          <w:szCs w:val="22"/>
        </w:rPr>
        <w:t>Môže dôjsť</w:t>
      </w:r>
      <w:r w:rsidR="005A5A9E" w:rsidRPr="009E286B">
        <w:rPr>
          <w:szCs w:val="22"/>
        </w:rPr>
        <w:t xml:space="preserve"> k </w:t>
      </w:r>
      <w:r w:rsidRPr="009E286B">
        <w:rPr>
          <w:szCs w:val="22"/>
        </w:rPr>
        <w:t>zvýšeniu frekvencie srdca, najmä pri vyšších dávkach. Opatrnosť treba pri pacientoch, kde základné ochorenie môže byť zhoršené</w:t>
      </w:r>
      <w:r w:rsidR="005A5A9E" w:rsidRPr="009E286B">
        <w:rPr>
          <w:szCs w:val="22"/>
        </w:rPr>
        <w:t xml:space="preserve"> v </w:t>
      </w:r>
      <w:r w:rsidRPr="009E286B">
        <w:rPr>
          <w:szCs w:val="22"/>
        </w:rPr>
        <w:t>dôsledku zvýšenia frekvencie srdca.</w:t>
      </w:r>
    </w:p>
    <w:p w14:paraId="77B93D66" w14:textId="77777777" w:rsidR="00EE3F6B" w:rsidRDefault="00EE3F6B" w:rsidP="00FE0B01">
      <w:pPr>
        <w:pStyle w:val="Styl3"/>
        <w:spacing w:after="0"/>
        <w:jc w:val="left"/>
        <w:rPr>
          <w:szCs w:val="22"/>
        </w:rPr>
      </w:pPr>
    </w:p>
    <w:p w14:paraId="32B7442E" w14:textId="791DB177" w:rsidR="00954C84" w:rsidRPr="00EE3F6B" w:rsidRDefault="00954C84" w:rsidP="00FE0B01">
      <w:pPr>
        <w:pStyle w:val="Styl3"/>
        <w:spacing w:after="0"/>
        <w:jc w:val="left"/>
        <w:rPr>
          <w:szCs w:val="22"/>
        </w:rPr>
      </w:pPr>
      <w:r w:rsidRPr="00EE3F6B">
        <w:rPr>
          <w:szCs w:val="22"/>
        </w:rPr>
        <w:t>Ochorenie srdca</w:t>
      </w:r>
      <w:r w:rsidR="005A5A9E" w:rsidRPr="00EE3F6B">
        <w:rPr>
          <w:szCs w:val="22"/>
        </w:rPr>
        <w:t xml:space="preserve"> a </w:t>
      </w:r>
      <w:r w:rsidRPr="00EE3F6B">
        <w:rPr>
          <w:szCs w:val="22"/>
        </w:rPr>
        <w:t>riziko arytmie</w:t>
      </w:r>
    </w:p>
    <w:p w14:paraId="3BBF6823" w14:textId="1B9EF3BE" w:rsidR="00954C84" w:rsidRPr="009E286B" w:rsidRDefault="00954C84" w:rsidP="00FE0B01">
      <w:pPr>
        <w:pStyle w:val="Normlndobloku"/>
        <w:spacing w:after="0"/>
        <w:jc w:val="left"/>
        <w:rPr>
          <w:szCs w:val="22"/>
        </w:rPr>
      </w:pPr>
      <w:r w:rsidRPr="009E286B">
        <w:rPr>
          <w:szCs w:val="22"/>
        </w:rPr>
        <w:t>Venlafaxín sa nehodnotil</w:t>
      </w:r>
      <w:r w:rsidR="005A5A9E" w:rsidRPr="009E286B">
        <w:rPr>
          <w:szCs w:val="22"/>
        </w:rPr>
        <w:t xml:space="preserve"> u </w:t>
      </w:r>
      <w:r w:rsidRPr="009E286B">
        <w:rPr>
          <w:szCs w:val="22"/>
        </w:rPr>
        <w:t>pacientov</w:t>
      </w:r>
      <w:r w:rsidR="005A5A9E" w:rsidRPr="009E286B">
        <w:rPr>
          <w:szCs w:val="22"/>
        </w:rPr>
        <w:t xml:space="preserve"> s </w:t>
      </w:r>
      <w:r w:rsidRPr="009E286B">
        <w:rPr>
          <w:szCs w:val="22"/>
        </w:rPr>
        <w:t>anamnézou nedávno prekonaného infarktu myokardu alebo nestabilnej angíny pectoris. Preto sa</w:t>
      </w:r>
      <w:r w:rsidR="005A5A9E" w:rsidRPr="009E286B">
        <w:rPr>
          <w:szCs w:val="22"/>
        </w:rPr>
        <w:t xml:space="preserve"> u </w:t>
      </w:r>
      <w:r w:rsidRPr="009E286B">
        <w:rPr>
          <w:szCs w:val="22"/>
        </w:rPr>
        <w:t>týchto pacientov má používať</w:t>
      </w:r>
      <w:r w:rsidR="005A5A9E" w:rsidRPr="009E286B">
        <w:rPr>
          <w:szCs w:val="22"/>
        </w:rPr>
        <w:t xml:space="preserve"> s </w:t>
      </w:r>
      <w:r w:rsidRPr="009E286B">
        <w:rPr>
          <w:szCs w:val="22"/>
        </w:rPr>
        <w:t>opatrnosťou.</w:t>
      </w:r>
    </w:p>
    <w:p w14:paraId="6EAF17C7" w14:textId="0E0C232F" w:rsidR="00954C84" w:rsidRPr="00301FE5" w:rsidRDefault="00954C84" w:rsidP="00FE0B01">
      <w:pPr>
        <w:pStyle w:val="Normlndobloku"/>
        <w:spacing w:after="0"/>
        <w:jc w:val="left"/>
        <w:rPr>
          <w:szCs w:val="22"/>
        </w:rPr>
      </w:pPr>
      <w:r w:rsidRPr="002D691C">
        <w:rPr>
          <w:szCs w:val="22"/>
        </w:rPr>
        <w:t>Počas postmarketingového sledovania používania venlafaxínu boli hlásené fatálne prípady srdcovej arytmie, najmä pri predávkovaní. Pred predpísaním venlafaxínu pacientom</w:t>
      </w:r>
      <w:r w:rsidR="005A5A9E" w:rsidRPr="00301FE5">
        <w:rPr>
          <w:szCs w:val="22"/>
        </w:rPr>
        <w:t xml:space="preserve"> s </w:t>
      </w:r>
      <w:r w:rsidRPr="00301FE5">
        <w:rPr>
          <w:szCs w:val="22"/>
        </w:rPr>
        <w:t>vysokým rizikom vážnej srdcovej arytmie sa má dôkladne zhodnotiť pomer rizika</w:t>
      </w:r>
      <w:r w:rsidR="005A5A9E" w:rsidRPr="00301FE5">
        <w:rPr>
          <w:szCs w:val="22"/>
        </w:rPr>
        <w:t xml:space="preserve"> k </w:t>
      </w:r>
      <w:r w:rsidRPr="00301FE5">
        <w:rPr>
          <w:szCs w:val="22"/>
        </w:rPr>
        <w:t>prospechu.</w:t>
      </w:r>
    </w:p>
    <w:p w14:paraId="18756453" w14:textId="77777777" w:rsidR="00EE3F6B" w:rsidRDefault="00EE3F6B" w:rsidP="00FE0B01">
      <w:pPr>
        <w:pStyle w:val="Styl3"/>
        <w:spacing w:after="0"/>
        <w:jc w:val="left"/>
        <w:rPr>
          <w:szCs w:val="22"/>
        </w:rPr>
      </w:pPr>
    </w:p>
    <w:p w14:paraId="4E30142B" w14:textId="77777777" w:rsidR="00954C84" w:rsidRPr="00EE3F6B" w:rsidRDefault="00954C84" w:rsidP="00FE0B01">
      <w:pPr>
        <w:pStyle w:val="Styl3"/>
        <w:spacing w:after="0"/>
        <w:jc w:val="left"/>
        <w:rPr>
          <w:szCs w:val="22"/>
        </w:rPr>
      </w:pPr>
      <w:r w:rsidRPr="00EE3F6B">
        <w:rPr>
          <w:szCs w:val="22"/>
        </w:rPr>
        <w:t>Kŕče</w:t>
      </w:r>
    </w:p>
    <w:p w14:paraId="1F0B196B" w14:textId="4F86479D" w:rsidR="00954C84" w:rsidRPr="00301FE5" w:rsidRDefault="00954C84" w:rsidP="00FE0B01">
      <w:pPr>
        <w:pStyle w:val="Normlndobloku"/>
        <w:spacing w:after="0"/>
        <w:jc w:val="left"/>
        <w:rPr>
          <w:szCs w:val="22"/>
        </w:rPr>
      </w:pPr>
      <w:r w:rsidRPr="009E286B">
        <w:rPr>
          <w:szCs w:val="22"/>
        </w:rPr>
        <w:t>Kŕče sa môžu vyskytnúť</w:t>
      </w:r>
      <w:r w:rsidR="005A5A9E" w:rsidRPr="009E286B">
        <w:rPr>
          <w:szCs w:val="22"/>
        </w:rPr>
        <w:t xml:space="preserve"> u </w:t>
      </w:r>
      <w:r w:rsidRPr="009E286B">
        <w:rPr>
          <w:szCs w:val="22"/>
        </w:rPr>
        <w:t>pacientov liečených venlafaxínom. Ako</w:t>
      </w:r>
      <w:r w:rsidR="005A5A9E" w:rsidRPr="009E286B">
        <w:rPr>
          <w:szCs w:val="22"/>
        </w:rPr>
        <w:t xml:space="preserve"> u </w:t>
      </w:r>
      <w:r w:rsidRPr="009E286B">
        <w:rPr>
          <w:szCs w:val="22"/>
        </w:rPr>
        <w:t>všetkých antidepresív, venlafaxín</w:t>
      </w:r>
      <w:r w:rsidR="005A5A9E" w:rsidRPr="009E286B">
        <w:rPr>
          <w:szCs w:val="22"/>
        </w:rPr>
        <w:t xml:space="preserve"> </w:t>
      </w:r>
      <w:r w:rsidRPr="009E286B">
        <w:rPr>
          <w:szCs w:val="22"/>
        </w:rPr>
        <w:t>sa má používať so zvýšenou opatrnosťou</w:t>
      </w:r>
      <w:r w:rsidR="005A5A9E" w:rsidRPr="009E286B">
        <w:rPr>
          <w:szCs w:val="22"/>
        </w:rPr>
        <w:t xml:space="preserve"> u </w:t>
      </w:r>
      <w:r w:rsidRPr="009E286B">
        <w:rPr>
          <w:szCs w:val="22"/>
        </w:rPr>
        <w:t>pacientov</w:t>
      </w:r>
      <w:r w:rsidR="005A5A9E" w:rsidRPr="009E286B">
        <w:rPr>
          <w:szCs w:val="22"/>
        </w:rPr>
        <w:t xml:space="preserve"> s </w:t>
      </w:r>
      <w:r w:rsidRPr="009E286B">
        <w:rPr>
          <w:szCs w:val="22"/>
        </w:rPr>
        <w:t>anamnézou kŕčov</w:t>
      </w:r>
      <w:r w:rsidR="005A5A9E" w:rsidRPr="009E286B">
        <w:rPr>
          <w:szCs w:val="22"/>
        </w:rPr>
        <w:t xml:space="preserve"> a </w:t>
      </w:r>
      <w:r w:rsidRPr="009E286B">
        <w:rPr>
          <w:szCs w:val="22"/>
        </w:rPr>
        <w:t>títo pacienti majú byť starostlivo sledovaní. Lie</w:t>
      </w:r>
      <w:r w:rsidRPr="002D691C">
        <w:rPr>
          <w:szCs w:val="22"/>
        </w:rPr>
        <w:t>čba má byť prerušená, ak sa</w:t>
      </w:r>
      <w:r w:rsidR="005A5A9E" w:rsidRPr="00301FE5">
        <w:rPr>
          <w:szCs w:val="22"/>
        </w:rPr>
        <w:t xml:space="preserve"> u </w:t>
      </w:r>
      <w:r w:rsidRPr="00301FE5">
        <w:rPr>
          <w:szCs w:val="22"/>
        </w:rPr>
        <w:t>pacienta vyskytnú záchvaty.</w:t>
      </w:r>
    </w:p>
    <w:p w14:paraId="6A9677C7" w14:textId="77777777" w:rsidR="00EE3F6B" w:rsidRDefault="00EE3F6B" w:rsidP="00FE0B01">
      <w:pPr>
        <w:pStyle w:val="Styl3"/>
        <w:spacing w:after="0"/>
        <w:jc w:val="left"/>
        <w:rPr>
          <w:szCs w:val="22"/>
        </w:rPr>
      </w:pPr>
    </w:p>
    <w:p w14:paraId="07DADC71" w14:textId="77777777" w:rsidR="00954C84" w:rsidRPr="00EE3F6B" w:rsidRDefault="00954C84" w:rsidP="00FE0B01">
      <w:pPr>
        <w:pStyle w:val="Styl3"/>
        <w:spacing w:after="0"/>
        <w:jc w:val="left"/>
        <w:rPr>
          <w:szCs w:val="22"/>
        </w:rPr>
      </w:pPr>
      <w:r w:rsidRPr="00EE3F6B">
        <w:rPr>
          <w:szCs w:val="22"/>
        </w:rPr>
        <w:t>Hyponatriémia</w:t>
      </w:r>
    </w:p>
    <w:p w14:paraId="3C4DD892" w14:textId="3D2851A1" w:rsidR="00954C84" w:rsidRPr="009E286B" w:rsidRDefault="00954C84" w:rsidP="00FE0B01">
      <w:pPr>
        <w:pStyle w:val="Normlndobloku"/>
        <w:spacing w:after="0"/>
        <w:jc w:val="left"/>
        <w:rPr>
          <w:szCs w:val="22"/>
        </w:rPr>
      </w:pPr>
      <w:r w:rsidRPr="009E286B">
        <w:rPr>
          <w:szCs w:val="22"/>
        </w:rPr>
        <w:t>Prípady hyponatriémie a/alebo syndróm neadekvátnej sekrécie antidiuretického hormónu sa môže vyskytnúť pri užívaní venlafaxínu, obyčajne</w:t>
      </w:r>
      <w:r w:rsidR="005A5A9E" w:rsidRPr="009E286B">
        <w:rPr>
          <w:szCs w:val="22"/>
        </w:rPr>
        <w:t xml:space="preserve"> u </w:t>
      </w:r>
      <w:r w:rsidRPr="009E286B">
        <w:rPr>
          <w:szCs w:val="22"/>
        </w:rPr>
        <w:t>hypovolemických alebo dehydratovaných pacientov. Starší pacienti, pacienti užívajúci diuretiká</w:t>
      </w:r>
      <w:r w:rsidR="005A5A9E" w:rsidRPr="009E286B">
        <w:rPr>
          <w:szCs w:val="22"/>
        </w:rPr>
        <w:t xml:space="preserve"> a </w:t>
      </w:r>
      <w:r w:rsidRPr="009E286B">
        <w:rPr>
          <w:szCs w:val="22"/>
        </w:rPr>
        <w:t>iní hypovolemickí pacienti sú vystavení zvýšenému riziku tejto príhody.</w:t>
      </w:r>
    </w:p>
    <w:p w14:paraId="297DECE7" w14:textId="77777777" w:rsidR="00EE3F6B" w:rsidRDefault="00EE3F6B" w:rsidP="00FE0B01">
      <w:pPr>
        <w:pStyle w:val="Styl3"/>
        <w:spacing w:after="0"/>
        <w:jc w:val="left"/>
        <w:rPr>
          <w:szCs w:val="22"/>
        </w:rPr>
      </w:pPr>
    </w:p>
    <w:p w14:paraId="117A386D" w14:textId="77777777" w:rsidR="00954C84" w:rsidRPr="00EE3F6B" w:rsidRDefault="00954C84" w:rsidP="00FE0B01">
      <w:pPr>
        <w:pStyle w:val="Styl3"/>
        <w:spacing w:after="0"/>
        <w:jc w:val="left"/>
        <w:rPr>
          <w:szCs w:val="22"/>
        </w:rPr>
      </w:pPr>
      <w:r w:rsidRPr="00EE3F6B">
        <w:rPr>
          <w:szCs w:val="22"/>
        </w:rPr>
        <w:t>Abnormálne krvácanie</w:t>
      </w:r>
    </w:p>
    <w:p w14:paraId="01903872" w14:textId="796D7910" w:rsidR="00954C84" w:rsidRPr="00301FE5" w:rsidRDefault="00954C84" w:rsidP="00FE0B01">
      <w:pPr>
        <w:pStyle w:val="Normlndobloku"/>
        <w:spacing w:after="0"/>
        <w:jc w:val="left"/>
        <w:rPr>
          <w:szCs w:val="22"/>
        </w:rPr>
      </w:pPr>
      <w:r w:rsidRPr="009E286B">
        <w:rPr>
          <w:szCs w:val="22"/>
        </w:rPr>
        <w:t>Lieky, ktoré inhibujú vychytávanie sérotonínu môžu viesť</w:t>
      </w:r>
      <w:r w:rsidR="005A5A9E" w:rsidRPr="009E286B">
        <w:rPr>
          <w:szCs w:val="22"/>
        </w:rPr>
        <w:t xml:space="preserve"> k </w:t>
      </w:r>
      <w:r w:rsidRPr="009E286B">
        <w:rPr>
          <w:szCs w:val="22"/>
        </w:rPr>
        <w:t>zníženej funkcii krvných doštičiek. Riziko krvácania do kože</w:t>
      </w:r>
      <w:r w:rsidR="005A5A9E" w:rsidRPr="009E286B">
        <w:rPr>
          <w:szCs w:val="22"/>
        </w:rPr>
        <w:t xml:space="preserve"> a </w:t>
      </w:r>
      <w:r w:rsidRPr="009E286B">
        <w:rPr>
          <w:szCs w:val="22"/>
        </w:rPr>
        <w:t>slizničných membrán, vrátane gastrointestinálneho krvácania, môže byť zvýšené</w:t>
      </w:r>
      <w:r w:rsidR="005A5A9E" w:rsidRPr="002D691C">
        <w:rPr>
          <w:szCs w:val="22"/>
        </w:rPr>
        <w:t xml:space="preserve"> u </w:t>
      </w:r>
      <w:r w:rsidRPr="00301FE5">
        <w:rPr>
          <w:szCs w:val="22"/>
        </w:rPr>
        <w:t>pacientov užívajúcich venlafaxín. Ako aj</w:t>
      </w:r>
      <w:r w:rsidR="005A5A9E" w:rsidRPr="00301FE5">
        <w:rPr>
          <w:szCs w:val="22"/>
        </w:rPr>
        <w:t xml:space="preserve"> u </w:t>
      </w:r>
      <w:r w:rsidRPr="00301FE5">
        <w:rPr>
          <w:szCs w:val="22"/>
        </w:rPr>
        <w:t>ostatných inhibítorov spätného vychytávania sérotonínu, aj</w:t>
      </w:r>
      <w:r w:rsidR="005A5A9E" w:rsidRPr="00301FE5">
        <w:rPr>
          <w:szCs w:val="22"/>
        </w:rPr>
        <w:t xml:space="preserve"> u </w:t>
      </w:r>
      <w:r w:rsidRPr="00301FE5">
        <w:rPr>
          <w:szCs w:val="22"/>
        </w:rPr>
        <w:t>venlafaxínu sa má dodržať opatrnosť, ak sa predpisuje pacientom</w:t>
      </w:r>
      <w:r w:rsidR="005A5A9E" w:rsidRPr="00301FE5">
        <w:rPr>
          <w:szCs w:val="22"/>
        </w:rPr>
        <w:t xml:space="preserve"> s </w:t>
      </w:r>
      <w:r w:rsidRPr="00301FE5">
        <w:rPr>
          <w:szCs w:val="22"/>
        </w:rPr>
        <w:t>predispozíciou ku krvácaniu, vrátane pacientov na antikoagulanciách</w:t>
      </w:r>
      <w:r w:rsidR="005A5A9E" w:rsidRPr="00301FE5">
        <w:rPr>
          <w:szCs w:val="22"/>
        </w:rPr>
        <w:t xml:space="preserve"> a </w:t>
      </w:r>
      <w:r w:rsidRPr="00301FE5">
        <w:rPr>
          <w:szCs w:val="22"/>
        </w:rPr>
        <w:t>inhibítoroch krvných doštičiek.</w:t>
      </w:r>
    </w:p>
    <w:p w14:paraId="5EF62B10" w14:textId="77777777" w:rsidR="00EE3F6B" w:rsidRDefault="00EE3F6B" w:rsidP="00FE0B01">
      <w:pPr>
        <w:pStyle w:val="Styl3"/>
        <w:spacing w:after="0"/>
        <w:jc w:val="left"/>
        <w:rPr>
          <w:szCs w:val="22"/>
        </w:rPr>
      </w:pPr>
    </w:p>
    <w:p w14:paraId="14D23101" w14:textId="77777777" w:rsidR="00954C84" w:rsidRPr="00EE3F6B" w:rsidRDefault="00954C84" w:rsidP="00FE0B01">
      <w:pPr>
        <w:pStyle w:val="Styl3"/>
        <w:spacing w:after="0"/>
        <w:jc w:val="left"/>
        <w:rPr>
          <w:szCs w:val="22"/>
        </w:rPr>
      </w:pPr>
      <w:r w:rsidRPr="00EE3F6B">
        <w:rPr>
          <w:szCs w:val="22"/>
        </w:rPr>
        <w:t>Sérový cholesterol</w:t>
      </w:r>
    </w:p>
    <w:p w14:paraId="6C57ADE2" w14:textId="7E8FBF20" w:rsidR="00954C84" w:rsidRPr="00301FE5" w:rsidRDefault="00954C84" w:rsidP="00FE0B01">
      <w:pPr>
        <w:pStyle w:val="Normlndobloku"/>
        <w:spacing w:after="0"/>
        <w:jc w:val="left"/>
        <w:rPr>
          <w:szCs w:val="22"/>
        </w:rPr>
      </w:pPr>
      <w:r w:rsidRPr="009E286B">
        <w:rPr>
          <w:szCs w:val="22"/>
        </w:rPr>
        <w:t>V placebom kontrolovaných klinických štúdiách</w:t>
      </w:r>
      <w:r w:rsidR="005A5A9E" w:rsidRPr="009E286B">
        <w:rPr>
          <w:szCs w:val="22"/>
        </w:rPr>
        <w:t xml:space="preserve"> v </w:t>
      </w:r>
      <w:r w:rsidRPr="009E286B">
        <w:rPr>
          <w:szCs w:val="22"/>
        </w:rPr>
        <w:t>trvaní aspoň 3 mesiace bolo</w:t>
      </w:r>
      <w:r w:rsidR="005A5A9E" w:rsidRPr="009E286B">
        <w:rPr>
          <w:szCs w:val="22"/>
        </w:rPr>
        <w:t xml:space="preserve"> u </w:t>
      </w:r>
      <w:r w:rsidRPr="009E286B">
        <w:rPr>
          <w:szCs w:val="22"/>
        </w:rPr>
        <w:t>5,3</w:t>
      </w:r>
      <w:r w:rsidR="00A4261C" w:rsidRPr="009E286B">
        <w:rPr>
          <w:szCs w:val="22"/>
        </w:rPr>
        <w:t xml:space="preserve"> </w:t>
      </w:r>
      <w:r w:rsidR="006F7FF0" w:rsidRPr="009E286B">
        <w:rPr>
          <w:szCs w:val="22"/>
        </w:rPr>
        <w:t>%</w:t>
      </w:r>
      <w:r w:rsidR="005A5A9E" w:rsidRPr="009E286B">
        <w:rPr>
          <w:szCs w:val="22"/>
        </w:rPr>
        <w:t xml:space="preserve"> </w:t>
      </w:r>
      <w:r w:rsidRPr="009E286B">
        <w:rPr>
          <w:szCs w:val="22"/>
        </w:rPr>
        <w:t>pacientov liečených venlafaxínom zaznamenané klinicky významné zvýšenie hladín sérového cholesterolu, kým</w:t>
      </w:r>
      <w:r w:rsidR="005A5A9E" w:rsidRPr="009E286B">
        <w:rPr>
          <w:szCs w:val="22"/>
        </w:rPr>
        <w:t xml:space="preserve"> u </w:t>
      </w:r>
      <w:r w:rsidRPr="002D691C">
        <w:rPr>
          <w:szCs w:val="22"/>
        </w:rPr>
        <w:t>pacientov liečených placebom bolo zvýšenie zaznamenané</w:t>
      </w:r>
      <w:r w:rsidR="005A5A9E" w:rsidRPr="00301FE5">
        <w:rPr>
          <w:szCs w:val="22"/>
        </w:rPr>
        <w:t xml:space="preserve"> u </w:t>
      </w:r>
      <w:r w:rsidRPr="00301FE5">
        <w:rPr>
          <w:szCs w:val="22"/>
        </w:rPr>
        <w:t>0,0</w:t>
      </w:r>
      <w:r w:rsidR="00A4261C" w:rsidRPr="00301FE5">
        <w:rPr>
          <w:szCs w:val="22"/>
        </w:rPr>
        <w:t xml:space="preserve"> </w:t>
      </w:r>
      <w:r w:rsidR="006F7FF0" w:rsidRPr="00301FE5">
        <w:rPr>
          <w:szCs w:val="22"/>
        </w:rPr>
        <w:t>%</w:t>
      </w:r>
      <w:r w:rsidR="005A5A9E" w:rsidRPr="00301FE5">
        <w:rPr>
          <w:szCs w:val="22"/>
        </w:rPr>
        <w:t xml:space="preserve"> </w:t>
      </w:r>
      <w:r w:rsidRPr="00301FE5">
        <w:rPr>
          <w:szCs w:val="22"/>
        </w:rPr>
        <w:t>pacientov. Treba preto zvážiť pravidelné meranie hladín sérového cholesterolu počas dlhodobej liečby.</w:t>
      </w:r>
    </w:p>
    <w:p w14:paraId="24DEFA27" w14:textId="77777777" w:rsidR="00EE3F6B" w:rsidRDefault="00EE3F6B" w:rsidP="00FE0B01">
      <w:pPr>
        <w:pStyle w:val="Styl3"/>
        <w:spacing w:after="0"/>
        <w:jc w:val="left"/>
        <w:rPr>
          <w:szCs w:val="22"/>
        </w:rPr>
      </w:pPr>
    </w:p>
    <w:p w14:paraId="7AB697C1" w14:textId="6F6E7EE8" w:rsidR="00954C84" w:rsidRPr="00EE3F6B" w:rsidRDefault="00954C84" w:rsidP="00FE0B01">
      <w:pPr>
        <w:pStyle w:val="Styl3"/>
        <w:spacing w:after="0"/>
        <w:jc w:val="left"/>
        <w:rPr>
          <w:szCs w:val="22"/>
        </w:rPr>
      </w:pPr>
      <w:r w:rsidRPr="00EE3F6B">
        <w:rPr>
          <w:szCs w:val="22"/>
        </w:rPr>
        <w:t>Súbežné podávanie</w:t>
      </w:r>
      <w:r w:rsidR="005A5A9E" w:rsidRPr="00EE3F6B">
        <w:rPr>
          <w:szCs w:val="22"/>
        </w:rPr>
        <w:t xml:space="preserve"> s </w:t>
      </w:r>
      <w:r w:rsidRPr="00EE3F6B">
        <w:rPr>
          <w:szCs w:val="22"/>
        </w:rPr>
        <w:t>látkami znižujúcimi telesnú hmotnosť</w:t>
      </w:r>
    </w:p>
    <w:p w14:paraId="040AAAF8" w14:textId="7D39C22F" w:rsidR="00954C84" w:rsidRPr="009E286B" w:rsidRDefault="00954C84" w:rsidP="00FE0B01">
      <w:pPr>
        <w:pStyle w:val="Normlndobloku"/>
        <w:spacing w:after="0"/>
        <w:jc w:val="left"/>
        <w:rPr>
          <w:szCs w:val="22"/>
        </w:rPr>
      </w:pPr>
      <w:r w:rsidRPr="009E286B">
        <w:rPr>
          <w:szCs w:val="22"/>
        </w:rPr>
        <w:t>Bezpečnosť</w:t>
      </w:r>
      <w:r w:rsidR="005A5A9E" w:rsidRPr="009E286B">
        <w:rPr>
          <w:szCs w:val="22"/>
        </w:rPr>
        <w:t xml:space="preserve"> a </w:t>
      </w:r>
      <w:r w:rsidRPr="009E286B">
        <w:rPr>
          <w:szCs w:val="22"/>
        </w:rPr>
        <w:t>účinnosť venlafaxínu</w:t>
      </w:r>
      <w:r w:rsidR="005A5A9E" w:rsidRPr="009E286B">
        <w:rPr>
          <w:szCs w:val="22"/>
        </w:rPr>
        <w:t xml:space="preserve"> v </w:t>
      </w:r>
      <w:r w:rsidRPr="009E286B">
        <w:rPr>
          <w:szCs w:val="22"/>
        </w:rPr>
        <w:t>kombinácii</w:t>
      </w:r>
      <w:r w:rsidR="005A5A9E" w:rsidRPr="009E286B">
        <w:rPr>
          <w:szCs w:val="22"/>
        </w:rPr>
        <w:t xml:space="preserve"> s </w:t>
      </w:r>
      <w:r w:rsidRPr="009E286B">
        <w:rPr>
          <w:szCs w:val="22"/>
        </w:rPr>
        <w:t>látkami znižujúcimi telesnú hmotnosť, vrátane fentermínu zatiaľ nebola stanovená. Súbežné podávanie venlafaxínu</w:t>
      </w:r>
      <w:r w:rsidR="005A5A9E" w:rsidRPr="009E286B">
        <w:rPr>
          <w:szCs w:val="22"/>
        </w:rPr>
        <w:t xml:space="preserve"> s </w:t>
      </w:r>
      <w:r w:rsidRPr="009E286B">
        <w:rPr>
          <w:szCs w:val="22"/>
        </w:rPr>
        <w:t>takýmito látkami sa neodporúča. Venlafaxín nie je indikovaný na znižovanie telesnej hmotnosti či už samostatne alebo</w:t>
      </w:r>
      <w:r w:rsidR="005A5A9E" w:rsidRPr="009E286B">
        <w:rPr>
          <w:szCs w:val="22"/>
        </w:rPr>
        <w:t xml:space="preserve"> v </w:t>
      </w:r>
      <w:r w:rsidRPr="009E286B">
        <w:rPr>
          <w:szCs w:val="22"/>
        </w:rPr>
        <w:t>kombinácii.</w:t>
      </w:r>
    </w:p>
    <w:p w14:paraId="192F6EE1" w14:textId="77777777" w:rsidR="00EE3F6B" w:rsidRDefault="00EE3F6B" w:rsidP="00FE0B01">
      <w:pPr>
        <w:pStyle w:val="Styl3"/>
        <w:spacing w:after="0"/>
        <w:jc w:val="left"/>
        <w:rPr>
          <w:szCs w:val="22"/>
        </w:rPr>
      </w:pPr>
    </w:p>
    <w:p w14:paraId="284D8E6A" w14:textId="77777777" w:rsidR="00954C84" w:rsidRPr="00EE3F6B" w:rsidRDefault="00954C84" w:rsidP="00FE0B01">
      <w:pPr>
        <w:pStyle w:val="Styl3"/>
        <w:spacing w:after="0"/>
        <w:jc w:val="left"/>
        <w:rPr>
          <w:szCs w:val="22"/>
        </w:rPr>
      </w:pPr>
      <w:r w:rsidRPr="00EE3F6B">
        <w:rPr>
          <w:szCs w:val="22"/>
        </w:rPr>
        <w:t>Mánia/hypománia</w:t>
      </w:r>
    </w:p>
    <w:p w14:paraId="0C86E78C" w14:textId="10986BC0" w:rsidR="00954C84" w:rsidRPr="00301FE5" w:rsidRDefault="00954C84" w:rsidP="00FE0B01">
      <w:pPr>
        <w:pStyle w:val="Normlndobloku"/>
        <w:spacing w:after="0"/>
        <w:jc w:val="left"/>
        <w:rPr>
          <w:szCs w:val="22"/>
        </w:rPr>
      </w:pPr>
      <w:r w:rsidRPr="009E286B">
        <w:rPr>
          <w:szCs w:val="22"/>
        </w:rPr>
        <w:t>Mánia/hypománia sa môže vyskytnúť</w:t>
      </w:r>
      <w:r w:rsidR="005A5A9E" w:rsidRPr="009E286B">
        <w:rPr>
          <w:szCs w:val="22"/>
        </w:rPr>
        <w:t xml:space="preserve"> u </w:t>
      </w:r>
      <w:r w:rsidRPr="009E286B">
        <w:rPr>
          <w:szCs w:val="22"/>
        </w:rPr>
        <w:t>malej časti pacientov</w:t>
      </w:r>
      <w:r w:rsidR="005A5A9E" w:rsidRPr="009E286B">
        <w:rPr>
          <w:szCs w:val="22"/>
        </w:rPr>
        <w:t xml:space="preserve"> s </w:t>
      </w:r>
      <w:r w:rsidRPr="009E286B">
        <w:rPr>
          <w:szCs w:val="22"/>
        </w:rPr>
        <w:t>poruchami nálady, ktorí užívajú antidepresíva vrátane venlafaxínu. Ako aj</w:t>
      </w:r>
      <w:r w:rsidR="005A5A9E" w:rsidRPr="009E286B">
        <w:rPr>
          <w:szCs w:val="22"/>
        </w:rPr>
        <w:t xml:space="preserve"> u </w:t>
      </w:r>
      <w:r w:rsidRPr="009E286B">
        <w:rPr>
          <w:szCs w:val="22"/>
        </w:rPr>
        <w:t>iných antidepresív, venlafaxín sa má používať so zvýšenou opatrnosťou</w:t>
      </w:r>
      <w:r w:rsidR="005A5A9E" w:rsidRPr="002D691C">
        <w:rPr>
          <w:szCs w:val="22"/>
        </w:rPr>
        <w:t xml:space="preserve"> u </w:t>
      </w:r>
      <w:r w:rsidRPr="00301FE5">
        <w:rPr>
          <w:szCs w:val="22"/>
        </w:rPr>
        <w:t>pacientov</w:t>
      </w:r>
      <w:r w:rsidR="005A5A9E" w:rsidRPr="00301FE5">
        <w:rPr>
          <w:szCs w:val="22"/>
        </w:rPr>
        <w:t xml:space="preserve"> s </w:t>
      </w:r>
      <w:r w:rsidRPr="00301FE5">
        <w:rPr>
          <w:szCs w:val="22"/>
        </w:rPr>
        <w:t>anamnézou alebo rodinnou anamnézou bipolárnej poruchy.</w:t>
      </w:r>
    </w:p>
    <w:p w14:paraId="4BBD76DE" w14:textId="77777777" w:rsidR="00EE3F6B" w:rsidRDefault="00EE3F6B" w:rsidP="00FE0B01">
      <w:pPr>
        <w:pStyle w:val="Styl3"/>
        <w:spacing w:after="0"/>
        <w:jc w:val="left"/>
        <w:rPr>
          <w:szCs w:val="22"/>
        </w:rPr>
      </w:pPr>
    </w:p>
    <w:p w14:paraId="2E6DAB05" w14:textId="77777777" w:rsidR="00954C84" w:rsidRPr="00EE3F6B" w:rsidRDefault="00954C84" w:rsidP="00FE0B01">
      <w:pPr>
        <w:pStyle w:val="Styl3"/>
        <w:spacing w:after="0"/>
        <w:jc w:val="left"/>
        <w:rPr>
          <w:szCs w:val="22"/>
        </w:rPr>
      </w:pPr>
      <w:r w:rsidRPr="00EE3F6B">
        <w:rPr>
          <w:szCs w:val="22"/>
        </w:rPr>
        <w:t>Agresivita</w:t>
      </w:r>
    </w:p>
    <w:p w14:paraId="4046AB65" w14:textId="50B10B15" w:rsidR="00954C84" w:rsidRPr="009E286B" w:rsidRDefault="00954C84" w:rsidP="00FE0B01">
      <w:pPr>
        <w:pStyle w:val="Normlndobloku"/>
        <w:spacing w:after="0"/>
        <w:jc w:val="left"/>
        <w:rPr>
          <w:szCs w:val="22"/>
        </w:rPr>
      </w:pPr>
      <w:r w:rsidRPr="009E286B">
        <w:rPr>
          <w:szCs w:val="22"/>
        </w:rPr>
        <w:t>Agresivita sa môže vyskytnúť</w:t>
      </w:r>
      <w:r w:rsidR="005A5A9E" w:rsidRPr="009E286B">
        <w:rPr>
          <w:szCs w:val="22"/>
        </w:rPr>
        <w:t xml:space="preserve"> u </w:t>
      </w:r>
      <w:r w:rsidRPr="009E286B">
        <w:rPr>
          <w:szCs w:val="22"/>
        </w:rPr>
        <w:t>malého počtu pacientov, ktorí užívajú antidepresíva, vrátane venlafaxínu. Toto bolo hlásené po zahájení, po zmenách dávky</w:t>
      </w:r>
      <w:r w:rsidR="005A5A9E" w:rsidRPr="009E286B">
        <w:rPr>
          <w:szCs w:val="22"/>
        </w:rPr>
        <w:t xml:space="preserve"> a </w:t>
      </w:r>
      <w:r w:rsidRPr="009E286B">
        <w:rPr>
          <w:szCs w:val="22"/>
        </w:rPr>
        <w:t>po prerušení liečby.</w:t>
      </w:r>
    </w:p>
    <w:p w14:paraId="52585A22" w14:textId="2D2BE407" w:rsidR="00954C84" w:rsidRPr="00301FE5" w:rsidRDefault="00954C84" w:rsidP="00FE0B01">
      <w:pPr>
        <w:pStyle w:val="Normlndobloku"/>
        <w:spacing w:after="0"/>
        <w:jc w:val="left"/>
        <w:rPr>
          <w:szCs w:val="22"/>
        </w:rPr>
      </w:pPr>
      <w:r w:rsidRPr="009E286B">
        <w:rPr>
          <w:szCs w:val="22"/>
        </w:rPr>
        <w:t>Ako aj</w:t>
      </w:r>
      <w:r w:rsidR="005A5A9E" w:rsidRPr="009E286B">
        <w:rPr>
          <w:szCs w:val="22"/>
        </w:rPr>
        <w:t xml:space="preserve"> u </w:t>
      </w:r>
      <w:r w:rsidRPr="002D691C">
        <w:rPr>
          <w:szCs w:val="22"/>
        </w:rPr>
        <w:t>iných antidepresív, venlafaxín sa má používať so zvýšenou opatrnosťou</w:t>
      </w:r>
      <w:r w:rsidR="005A5A9E" w:rsidRPr="00301FE5">
        <w:rPr>
          <w:szCs w:val="22"/>
        </w:rPr>
        <w:t xml:space="preserve"> u </w:t>
      </w:r>
      <w:r w:rsidRPr="00301FE5">
        <w:rPr>
          <w:szCs w:val="22"/>
        </w:rPr>
        <w:t>pacientov</w:t>
      </w:r>
      <w:r w:rsidR="005A5A9E" w:rsidRPr="00301FE5">
        <w:rPr>
          <w:szCs w:val="22"/>
        </w:rPr>
        <w:t xml:space="preserve"> s </w:t>
      </w:r>
      <w:r w:rsidRPr="00301FE5">
        <w:rPr>
          <w:szCs w:val="22"/>
        </w:rPr>
        <w:t>anamnézou agresivity.</w:t>
      </w:r>
    </w:p>
    <w:p w14:paraId="2286A2FE" w14:textId="77777777" w:rsidR="00954C84" w:rsidRPr="00301FE5" w:rsidRDefault="00954C84" w:rsidP="00FE0B01">
      <w:pPr>
        <w:pStyle w:val="Styl3"/>
        <w:spacing w:after="0"/>
        <w:jc w:val="left"/>
        <w:rPr>
          <w:szCs w:val="22"/>
        </w:rPr>
      </w:pPr>
      <w:r w:rsidRPr="00301FE5">
        <w:rPr>
          <w:szCs w:val="22"/>
        </w:rPr>
        <w:t>Prerušenie liečby</w:t>
      </w:r>
    </w:p>
    <w:p w14:paraId="2227BF8B" w14:textId="7A1E47D3" w:rsidR="00954C84" w:rsidRPr="00BC3C9C" w:rsidRDefault="00954C84" w:rsidP="00FE0B01">
      <w:pPr>
        <w:pStyle w:val="Normlndobloku"/>
        <w:spacing w:after="0"/>
        <w:jc w:val="left"/>
        <w:rPr>
          <w:szCs w:val="22"/>
        </w:rPr>
      </w:pPr>
      <w:r w:rsidRPr="00301FE5">
        <w:rPr>
          <w:szCs w:val="22"/>
        </w:rPr>
        <w:t>Abstinenčné príznaky po prerušení liečby sú časté, najmä ak je prerušenie náhle (poz</w:t>
      </w:r>
      <w:r w:rsidRPr="00EB4C45">
        <w:rPr>
          <w:szCs w:val="22"/>
        </w:rPr>
        <w:t>ri časť 4.8).</w:t>
      </w:r>
      <w:r w:rsidR="005A5A9E" w:rsidRPr="00EB4C45">
        <w:rPr>
          <w:szCs w:val="22"/>
        </w:rPr>
        <w:t xml:space="preserve"> </w:t>
      </w:r>
      <w:r w:rsidR="006F7FF0" w:rsidRPr="00D638B3">
        <w:rPr>
          <w:szCs w:val="22"/>
        </w:rPr>
        <w:t>V</w:t>
      </w:r>
      <w:r w:rsidR="005A5A9E" w:rsidRPr="00D638B3">
        <w:rPr>
          <w:szCs w:val="22"/>
        </w:rPr>
        <w:t> </w:t>
      </w:r>
      <w:r w:rsidRPr="00454074">
        <w:rPr>
          <w:szCs w:val="22"/>
        </w:rPr>
        <w:t>klinických skúšaniach sa nežiaduce udalosti pozorované pri prerušení (znižované</w:t>
      </w:r>
      <w:r w:rsidR="005A5A9E" w:rsidRPr="00BC3C9C">
        <w:rPr>
          <w:szCs w:val="22"/>
        </w:rPr>
        <w:t xml:space="preserve"> a </w:t>
      </w:r>
      <w:r w:rsidRPr="00BC3C9C">
        <w:rPr>
          <w:szCs w:val="22"/>
        </w:rPr>
        <w:t>po znižovaní) vyskytli</w:t>
      </w:r>
      <w:r w:rsidR="005A5A9E" w:rsidRPr="00BC3C9C">
        <w:rPr>
          <w:szCs w:val="22"/>
        </w:rPr>
        <w:t xml:space="preserve"> u </w:t>
      </w:r>
      <w:r w:rsidRPr="00BC3C9C">
        <w:rPr>
          <w:szCs w:val="22"/>
        </w:rPr>
        <w:t>približne 31</w:t>
      </w:r>
      <w:r w:rsidR="006F7FF0" w:rsidRPr="00BC3C9C">
        <w:rPr>
          <w:szCs w:val="22"/>
        </w:rPr>
        <w:t> %</w:t>
      </w:r>
      <w:r w:rsidRPr="00BC3C9C">
        <w:rPr>
          <w:szCs w:val="22"/>
        </w:rPr>
        <w:t xml:space="preserve"> pacientov liečených venlafaxínom</w:t>
      </w:r>
      <w:r w:rsidR="005A5A9E" w:rsidRPr="00BC3C9C">
        <w:rPr>
          <w:szCs w:val="22"/>
        </w:rPr>
        <w:t xml:space="preserve"> a </w:t>
      </w:r>
      <w:r w:rsidRPr="00BC3C9C">
        <w:rPr>
          <w:szCs w:val="22"/>
        </w:rPr>
        <w:t>17</w:t>
      </w:r>
      <w:r w:rsidR="006F7FF0" w:rsidRPr="00BC3C9C">
        <w:rPr>
          <w:szCs w:val="22"/>
        </w:rPr>
        <w:t> %</w:t>
      </w:r>
      <w:r w:rsidRPr="00BC3C9C">
        <w:rPr>
          <w:szCs w:val="22"/>
        </w:rPr>
        <w:t xml:space="preserve"> pacientov užívajúcich placebo.</w:t>
      </w:r>
    </w:p>
    <w:p w14:paraId="1EB2B551" w14:textId="2D2238CD" w:rsidR="00954C84" w:rsidRPr="00BC3C9C" w:rsidRDefault="00954C84" w:rsidP="00FE0B01">
      <w:pPr>
        <w:pStyle w:val="Normlndobloku"/>
        <w:spacing w:after="0"/>
        <w:jc w:val="left"/>
        <w:rPr>
          <w:szCs w:val="22"/>
        </w:rPr>
      </w:pPr>
      <w:r w:rsidRPr="00BC3C9C">
        <w:rPr>
          <w:szCs w:val="22"/>
        </w:rPr>
        <w:t>Riziko abstinenčných príznakov môže byť závislé od viacerých faktorov, vrátanie trvania liečby</w:t>
      </w:r>
      <w:r w:rsidR="005A5A9E" w:rsidRPr="00BC3C9C">
        <w:rPr>
          <w:szCs w:val="22"/>
        </w:rPr>
        <w:t xml:space="preserve"> a </w:t>
      </w:r>
      <w:r w:rsidRPr="00BC3C9C">
        <w:rPr>
          <w:szCs w:val="22"/>
        </w:rPr>
        <w:t>dávky</w:t>
      </w:r>
      <w:r w:rsidR="005A5A9E" w:rsidRPr="00BC3C9C">
        <w:rPr>
          <w:szCs w:val="22"/>
        </w:rPr>
        <w:t xml:space="preserve"> a </w:t>
      </w:r>
      <w:r w:rsidRPr="00BC3C9C">
        <w:rPr>
          <w:szCs w:val="22"/>
        </w:rPr>
        <w:t>od rýchlosti znižovania dávky. Závrat, poruchy vnímania (vrátane parestézie), poruchy spánku (vrátane insomnie</w:t>
      </w:r>
      <w:r w:rsidR="005A5A9E" w:rsidRPr="00BC3C9C">
        <w:rPr>
          <w:szCs w:val="22"/>
        </w:rPr>
        <w:t xml:space="preserve"> a </w:t>
      </w:r>
      <w:r w:rsidRPr="00BC3C9C">
        <w:rPr>
          <w:szCs w:val="22"/>
        </w:rPr>
        <w:t>intenzívnych snov), agitácia alebo úzkosť, nauzea a/alebo vracanie, tras</w:t>
      </w:r>
      <w:r w:rsidR="005A5A9E" w:rsidRPr="00BC3C9C">
        <w:rPr>
          <w:szCs w:val="22"/>
        </w:rPr>
        <w:t xml:space="preserve"> a </w:t>
      </w:r>
      <w:r w:rsidRPr="00BC3C9C">
        <w:rPr>
          <w:szCs w:val="22"/>
        </w:rPr>
        <w:t>bolesť hlavy, sú najčastejšie hlásené reakcie. Všeobecne sú tieto príznaky slabé až mierne; avšak</w:t>
      </w:r>
      <w:r w:rsidR="005A5A9E" w:rsidRPr="00BC3C9C">
        <w:rPr>
          <w:szCs w:val="22"/>
        </w:rPr>
        <w:t xml:space="preserve"> u </w:t>
      </w:r>
      <w:r w:rsidRPr="00BC3C9C">
        <w:rPr>
          <w:szCs w:val="22"/>
        </w:rPr>
        <w:t>niektorých pacientov môžu mať závažnú intenzitu. Zvyčajne sa objavia počas niekoľkých dní po prerušení liečby, ale bolo zaznamenaných len veľmi málo hlásení takýchto príznakov</w:t>
      </w:r>
      <w:r w:rsidR="005A5A9E" w:rsidRPr="00BC3C9C">
        <w:rPr>
          <w:szCs w:val="22"/>
        </w:rPr>
        <w:t xml:space="preserve"> u </w:t>
      </w:r>
      <w:r w:rsidRPr="00BC3C9C">
        <w:rPr>
          <w:szCs w:val="22"/>
        </w:rPr>
        <w:t>pacientov, ktorí neúmyselné vynechali dávku. Všeobecne, tieto symptómy sú prechodné</w:t>
      </w:r>
      <w:r w:rsidR="005A5A9E" w:rsidRPr="00BC3C9C">
        <w:rPr>
          <w:szCs w:val="22"/>
        </w:rPr>
        <w:t xml:space="preserve"> a </w:t>
      </w:r>
      <w:r w:rsidRPr="00BC3C9C">
        <w:rPr>
          <w:szCs w:val="22"/>
        </w:rPr>
        <w:t>zvyčajne sa vyriešia</w:t>
      </w:r>
      <w:r w:rsidR="005A5A9E" w:rsidRPr="00BC3C9C">
        <w:rPr>
          <w:szCs w:val="22"/>
        </w:rPr>
        <w:t xml:space="preserve"> v </w:t>
      </w:r>
      <w:r w:rsidRPr="00BC3C9C">
        <w:rPr>
          <w:szCs w:val="22"/>
        </w:rPr>
        <w:t>rámci 2 týždňov, hoci</w:t>
      </w:r>
      <w:r w:rsidR="005A5A9E" w:rsidRPr="00BC3C9C">
        <w:rPr>
          <w:szCs w:val="22"/>
        </w:rPr>
        <w:t xml:space="preserve"> u </w:t>
      </w:r>
      <w:r w:rsidRPr="00BC3C9C">
        <w:rPr>
          <w:szCs w:val="22"/>
        </w:rPr>
        <w:t>niektorých jednotlivcov sa môžu trvať dlhšie (2-3 mesiace alebo viac). Preto sa odporúča, postupné znižovanie dávky venlafaxínu počas niekoľkých týždňov alebo mesiacov, podľa potrieb pacienta (pozri časť 4.2).</w:t>
      </w:r>
    </w:p>
    <w:p w14:paraId="3E860747" w14:textId="77777777" w:rsidR="00EE3F6B" w:rsidRDefault="00EE3F6B" w:rsidP="00FE0B01">
      <w:pPr>
        <w:pStyle w:val="Styl3"/>
        <w:spacing w:after="0"/>
        <w:jc w:val="left"/>
        <w:rPr>
          <w:szCs w:val="22"/>
        </w:rPr>
      </w:pPr>
    </w:p>
    <w:p w14:paraId="48E29BCC" w14:textId="77777777" w:rsidR="00954C84" w:rsidRPr="00EE3F6B" w:rsidRDefault="00954C84" w:rsidP="00FE0B01">
      <w:pPr>
        <w:pStyle w:val="Styl3"/>
        <w:spacing w:after="0"/>
        <w:jc w:val="left"/>
        <w:rPr>
          <w:szCs w:val="22"/>
        </w:rPr>
      </w:pPr>
      <w:r w:rsidRPr="00EE3F6B">
        <w:rPr>
          <w:szCs w:val="22"/>
        </w:rPr>
        <w:t>Akatízia/psychomotorický nepokoj</w:t>
      </w:r>
    </w:p>
    <w:p w14:paraId="1889DE90" w14:textId="33902D6F" w:rsidR="00954C84" w:rsidRPr="00301FE5" w:rsidRDefault="00954C84" w:rsidP="00FE0B01">
      <w:pPr>
        <w:pStyle w:val="Normlndobloku"/>
        <w:spacing w:after="0"/>
        <w:jc w:val="left"/>
        <w:rPr>
          <w:szCs w:val="22"/>
        </w:rPr>
      </w:pPr>
      <w:r w:rsidRPr="009E286B">
        <w:rPr>
          <w:szCs w:val="22"/>
        </w:rPr>
        <w:t>Použitie venlafaxínu bolo spojené</w:t>
      </w:r>
      <w:r w:rsidR="005A5A9E" w:rsidRPr="009E286B">
        <w:rPr>
          <w:szCs w:val="22"/>
        </w:rPr>
        <w:t xml:space="preserve"> s </w:t>
      </w:r>
      <w:r w:rsidRPr="009E286B">
        <w:rPr>
          <w:szCs w:val="22"/>
        </w:rPr>
        <w:t>rozvojom akatízie, charakterizované subjektívne nepríjemným alebo rušivým nepokojom</w:t>
      </w:r>
      <w:r w:rsidR="005A5A9E" w:rsidRPr="009E286B">
        <w:rPr>
          <w:szCs w:val="22"/>
        </w:rPr>
        <w:t xml:space="preserve"> a </w:t>
      </w:r>
      <w:r w:rsidRPr="009E286B">
        <w:rPr>
          <w:szCs w:val="22"/>
        </w:rPr>
        <w:t>potrebou pohybu často sprevádzanou neschopnosťou sedieť alebo stáť pokojne. Je pravdepodobné, že sa toto vyskytne</w:t>
      </w:r>
      <w:r w:rsidR="005A5A9E" w:rsidRPr="002D691C">
        <w:rPr>
          <w:szCs w:val="22"/>
        </w:rPr>
        <w:t xml:space="preserve"> v </w:t>
      </w:r>
      <w:r w:rsidRPr="00301FE5">
        <w:rPr>
          <w:szCs w:val="22"/>
        </w:rPr>
        <w:t>rámci prvých týždňov liečby.</w:t>
      </w:r>
      <w:r w:rsidR="005A5A9E" w:rsidRPr="00301FE5">
        <w:rPr>
          <w:szCs w:val="22"/>
        </w:rPr>
        <w:t xml:space="preserve"> </w:t>
      </w:r>
      <w:r w:rsidR="006F7FF0" w:rsidRPr="00301FE5">
        <w:rPr>
          <w:szCs w:val="22"/>
        </w:rPr>
        <w:t>U</w:t>
      </w:r>
      <w:r w:rsidR="005A5A9E" w:rsidRPr="00301FE5">
        <w:rPr>
          <w:szCs w:val="22"/>
        </w:rPr>
        <w:t> </w:t>
      </w:r>
      <w:r w:rsidRPr="00301FE5">
        <w:rPr>
          <w:szCs w:val="22"/>
        </w:rPr>
        <w:t>pacientov,</w:t>
      </w:r>
      <w:r w:rsidR="005A5A9E" w:rsidRPr="00301FE5">
        <w:rPr>
          <w:szCs w:val="22"/>
        </w:rPr>
        <w:t xml:space="preserve"> u </w:t>
      </w:r>
      <w:r w:rsidRPr="00301FE5">
        <w:rPr>
          <w:szCs w:val="22"/>
        </w:rPr>
        <w:t>ktorých sa rozvinuli tieto príznaky, môže byť zvyšovanie dávky škodlivé.</w:t>
      </w:r>
    </w:p>
    <w:p w14:paraId="36D20676" w14:textId="77777777" w:rsidR="00EE3F6B" w:rsidRDefault="00EE3F6B" w:rsidP="00FE0B01">
      <w:pPr>
        <w:pStyle w:val="Styl3"/>
        <w:spacing w:after="0"/>
        <w:jc w:val="left"/>
        <w:rPr>
          <w:szCs w:val="22"/>
        </w:rPr>
      </w:pPr>
    </w:p>
    <w:p w14:paraId="7C2BF5A7" w14:textId="3F2E4D3D" w:rsidR="00954C84" w:rsidRPr="00EE3F6B" w:rsidRDefault="00954C84" w:rsidP="00FE0B01">
      <w:pPr>
        <w:pStyle w:val="Styl3"/>
        <w:spacing w:after="0"/>
        <w:jc w:val="left"/>
        <w:rPr>
          <w:szCs w:val="22"/>
        </w:rPr>
      </w:pPr>
      <w:r w:rsidRPr="00EE3F6B">
        <w:rPr>
          <w:szCs w:val="22"/>
        </w:rPr>
        <w:t>Suchosť</w:t>
      </w:r>
      <w:r w:rsidR="005A5A9E" w:rsidRPr="00EE3F6B">
        <w:rPr>
          <w:szCs w:val="22"/>
        </w:rPr>
        <w:t xml:space="preserve"> v </w:t>
      </w:r>
      <w:r w:rsidRPr="00EE3F6B">
        <w:rPr>
          <w:szCs w:val="22"/>
        </w:rPr>
        <w:t>ústach</w:t>
      </w:r>
    </w:p>
    <w:p w14:paraId="5977D112" w14:textId="24145DCE" w:rsidR="00954C84" w:rsidRPr="009E286B" w:rsidRDefault="00954C84" w:rsidP="00FE0B01">
      <w:pPr>
        <w:pStyle w:val="Normlndobloku"/>
        <w:spacing w:after="0"/>
        <w:jc w:val="left"/>
        <w:rPr>
          <w:szCs w:val="22"/>
        </w:rPr>
      </w:pPr>
      <w:r w:rsidRPr="009E286B">
        <w:rPr>
          <w:szCs w:val="22"/>
        </w:rPr>
        <w:t>U 10</w:t>
      </w:r>
      <w:r w:rsidR="006F7FF0" w:rsidRPr="009E286B">
        <w:rPr>
          <w:szCs w:val="22"/>
        </w:rPr>
        <w:t> %</w:t>
      </w:r>
      <w:r w:rsidRPr="009E286B">
        <w:rPr>
          <w:szCs w:val="22"/>
        </w:rPr>
        <w:t xml:space="preserve"> pacientov bolo hlásené sucho</w:t>
      </w:r>
      <w:r w:rsidR="005A5A9E" w:rsidRPr="009E286B">
        <w:rPr>
          <w:szCs w:val="22"/>
        </w:rPr>
        <w:t xml:space="preserve"> v </w:t>
      </w:r>
      <w:r w:rsidRPr="009E286B">
        <w:rPr>
          <w:szCs w:val="22"/>
        </w:rPr>
        <w:t>ústach. Toto môže zvýšiť riziko vzniku zubného kazu</w:t>
      </w:r>
      <w:r w:rsidR="005A5A9E" w:rsidRPr="009E286B">
        <w:rPr>
          <w:szCs w:val="22"/>
        </w:rPr>
        <w:t xml:space="preserve"> a </w:t>
      </w:r>
      <w:r w:rsidRPr="009E286B">
        <w:rPr>
          <w:szCs w:val="22"/>
        </w:rPr>
        <w:t>preto by mali byť pacienti poučení o význame dentálnej hygieny.</w:t>
      </w:r>
    </w:p>
    <w:p w14:paraId="324EA446" w14:textId="77777777" w:rsidR="00EE3F6B" w:rsidRDefault="00EE3F6B" w:rsidP="00FE0B01">
      <w:pPr>
        <w:pStyle w:val="Styl3"/>
        <w:spacing w:after="0"/>
        <w:jc w:val="left"/>
        <w:rPr>
          <w:szCs w:val="22"/>
        </w:rPr>
      </w:pPr>
    </w:p>
    <w:p w14:paraId="3C5F7949" w14:textId="62897D6D" w:rsidR="002F3E3C" w:rsidRPr="00EE3F6B" w:rsidRDefault="002F3E3C" w:rsidP="00FE0B01">
      <w:pPr>
        <w:pStyle w:val="Styl3"/>
        <w:spacing w:after="0"/>
        <w:jc w:val="left"/>
        <w:rPr>
          <w:szCs w:val="22"/>
        </w:rPr>
      </w:pPr>
      <w:r w:rsidRPr="00EE3F6B">
        <w:rPr>
          <w:szCs w:val="22"/>
        </w:rPr>
        <w:t>Diabetes</w:t>
      </w:r>
    </w:p>
    <w:p w14:paraId="4F9D9D88" w14:textId="19CBFEA5" w:rsidR="002F3E3C" w:rsidRPr="009E286B" w:rsidRDefault="002F3E3C" w:rsidP="00FE0B01">
      <w:pPr>
        <w:pStyle w:val="Normlndobloku"/>
        <w:spacing w:after="0"/>
        <w:jc w:val="left"/>
        <w:rPr>
          <w:szCs w:val="22"/>
        </w:rPr>
      </w:pPr>
      <w:r w:rsidRPr="009E286B">
        <w:rPr>
          <w:szCs w:val="22"/>
        </w:rPr>
        <w:t>U pacientov s diabetom môže liečba SSRI alebo venlafaxínom ovplyvniť glyk</w:t>
      </w:r>
      <w:r w:rsidR="003A43B8" w:rsidRPr="009E286B">
        <w:rPr>
          <w:szCs w:val="22"/>
        </w:rPr>
        <w:t>emickú kontrolu</w:t>
      </w:r>
      <w:r w:rsidRPr="009E286B">
        <w:rPr>
          <w:szCs w:val="22"/>
        </w:rPr>
        <w:t>. Je možné, že bude potrebné upraviť dávku inzulínu a / alebo perorálnych antidiabetík.</w:t>
      </w:r>
    </w:p>
    <w:p w14:paraId="0E00EF3E" w14:textId="77777777" w:rsidR="00EE3F6B" w:rsidRDefault="00EE3F6B" w:rsidP="00FE0B01">
      <w:pPr>
        <w:pStyle w:val="Styl3"/>
        <w:spacing w:after="0"/>
        <w:jc w:val="left"/>
        <w:rPr>
          <w:szCs w:val="22"/>
        </w:rPr>
      </w:pPr>
    </w:p>
    <w:p w14:paraId="649C75B4" w14:textId="77777777" w:rsidR="00954C84" w:rsidRPr="00EE3F6B" w:rsidRDefault="00954C84" w:rsidP="00FE0B01">
      <w:pPr>
        <w:pStyle w:val="Styl3"/>
        <w:spacing w:after="0"/>
        <w:jc w:val="left"/>
        <w:rPr>
          <w:szCs w:val="22"/>
        </w:rPr>
      </w:pPr>
      <w:r w:rsidRPr="00EE3F6B">
        <w:rPr>
          <w:szCs w:val="22"/>
        </w:rPr>
        <w:t>Pomocné látky</w:t>
      </w:r>
    </w:p>
    <w:p w14:paraId="33313265" w14:textId="1E271CB9" w:rsidR="00954C84" w:rsidRPr="009E286B" w:rsidRDefault="00954C84" w:rsidP="00FE0B01">
      <w:pPr>
        <w:pStyle w:val="Normlndobloku"/>
        <w:spacing w:after="0"/>
        <w:jc w:val="left"/>
        <w:rPr>
          <w:szCs w:val="22"/>
        </w:rPr>
      </w:pPr>
      <w:r w:rsidRPr="009E286B">
        <w:rPr>
          <w:szCs w:val="22"/>
        </w:rPr>
        <w:t>Pomocná látka oranžová žltá FCF (E110) obsiahnutá</w:t>
      </w:r>
      <w:r w:rsidR="005A5A9E" w:rsidRPr="009E286B">
        <w:rPr>
          <w:szCs w:val="22"/>
        </w:rPr>
        <w:t xml:space="preserve"> v </w:t>
      </w:r>
      <w:r w:rsidRPr="009E286B">
        <w:rPr>
          <w:szCs w:val="22"/>
        </w:rPr>
        <w:t>materiáli kapsuly môže spôsobiť alergické reakcie.</w:t>
      </w:r>
    </w:p>
    <w:p w14:paraId="1613F0B8" w14:textId="38C4B054" w:rsidR="00EB4C45" w:rsidRDefault="002F3E3C" w:rsidP="00FE0B01">
      <w:pPr>
        <w:pStyle w:val="Normlndobloku"/>
        <w:spacing w:after="0"/>
        <w:jc w:val="left"/>
        <w:rPr>
          <w:szCs w:val="22"/>
        </w:rPr>
      </w:pPr>
      <w:r w:rsidRPr="002D691C">
        <w:rPr>
          <w:szCs w:val="22"/>
        </w:rPr>
        <w:t xml:space="preserve">Pacienti so zriedkavými dedičnými problémami </w:t>
      </w:r>
      <w:r w:rsidRPr="00301FE5">
        <w:rPr>
          <w:szCs w:val="22"/>
        </w:rPr>
        <w:t>s</w:t>
      </w:r>
      <w:r w:rsidR="001C1039" w:rsidRPr="00301FE5">
        <w:rPr>
          <w:szCs w:val="22"/>
        </w:rPr>
        <w:t> </w:t>
      </w:r>
      <w:r w:rsidRPr="00301FE5">
        <w:rPr>
          <w:szCs w:val="22"/>
        </w:rPr>
        <w:t>intoleranciou fruktózy, malabsorpciou glukózy a galaktózy alebo s</w:t>
      </w:r>
      <w:r w:rsidRPr="00EB4C45">
        <w:rPr>
          <w:szCs w:val="22"/>
        </w:rPr>
        <w:t>o sacharózo-izomaltázovou deficienciou nemajú užívať tento liek.</w:t>
      </w:r>
    </w:p>
    <w:p w14:paraId="7AFD26ED" w14:textId="77777777" w:rsidR="00F91B16" w:rsidRPr="00EB4C45" w:rsidRDefault="00F91B16" w:rsidP="00FE0B01">
      <w:pPr>
        <w:pStyle w:val="Normlndobloku"/>
        <w:spacing w:after="0"/>
        <w:jc w:val="left"/>
        <w:rPr>
          <w:szCs w:val="22"/>
        </w:rPr>
      </w:pPr>
    </w:p>
    <w:p w14:paraId="6E25F69D" w14:textId="454D8498" w:rsidR="00954C84" w:rsidRPr="00EE3F6B" w:rsidRDefault="00954C84" w:rsidP="00FE0B01">
      <w:pPr>
        <w:pStyle w:val="Styl2"/>
      </w:pPr>
      <w:r w:rsidRPr="00EE3F6B">
        <w:t>Liekové</w:t>
      </w:r>
      <w:r w:rsidR="005A5A9E" w:rsidRPr="00EE3F6B">
        <w:t xml:space="preserve"> a </w:t>
      </w:r>
      <w:r w:rsidRPr="00EE3F6B">
        <w:t>iné interakcie</w:t>
      </w:r>
    </w:p>
    <w:p w14:paraId="35D1D8C1" w14:textId="77777777" w:rsidR="00EB4C45" w:rsidRDefault="00EB4C45" w:rsidP="00FE0B01">
      <w:pPr>
        <w:pStyle w:val="Styl2-2"/>
      </w:pPr>
    </w:p>
    <w:p w14:paraId="6AE33F9B" w14:textId="37665B60" w:rsidR="00954C84" w:rsidRPr="004643E5" w:rsidRDefault="00954C84" w:rsidP="00FE0B01">
      <w:pPr>
        <w:pStyle w:val="Styl2-2"/>
      </w:pPr>
      <w:r w:rsidRPr="004643E5">
        <w:t>Inhibítory monoaminooxidázy (IMAO)</w:t>
      </w:r>
    </w:p>
    <w:p w14:paraId="384E2341" w14:textId="77777777" w:rsidR="00EE3F6B" w:rsidRDefault="00EE3F6B" w:rsidP="00FE0B01">
      <w:pPr>
        <w:pStyle w:val="Styl3"/>
        <w:spacing w:after="0"/>
        <w:jc w:val="left"/>
        <w:rPr>
          <w:szCs w:val="22"/>
        </w:rPr>
      </w:pPr>
    </w:p>
    <w:p w14:paraId="2B0BFCC5" w14:textId="77777777" w:rsidR="00954C84" w:rsidRPr="00BC3C9C" w:rsidRDefault="00954C84" w:rsidP="00FE0B01">
      <w:pPr>
        <w:pStyle w:val="Styl3"/>
        <w:spacing w:after="0"/>
        <w:jc w:val="left"/>
        <w:rPr>
          <w:i/>
          <w:szCs w:val="22"/>
          <w:u w:val="none"/>
        </w:rPr>
      </w:pPr>
      <w:r w:rsidRPr="00BC3C9C">
        <w:rPr>
          <w:i/>
          <w:szCs w:val="22"/>
          <w:u w:val="none"/>
        </w:rPr>
        <w:t>Ireverzibilné neselektívne inhibítory IMAO</w:t>
      </w:r>
    </w:p>
    <w:p w14:paraId="69B16D40" w14:textId="1227E5B7" w:rsidR="00954C84" w:rsidRPr="009E286B" w:rsidRDefault="00954C84" w:rsidP="00FE0B01">
      <w:pPr>
        <w:pStyle w:val="Normlndobloku"/>
        <w:spacing w:after="0"/>
        <w:jc w:val="left"/>
        <w:rPr>
          <w:szCs w:val="22"/>
        </w:rPr>
      </w:pPr>
      <w:r w:rsidRPr="009E286B">
        <w:rPr>
          <w:szCs w:val="22"/>
        </w:rPr>
        <w:t>Venlafaxín nesmie byť použitý</w:t>
      </w:r>
      <w:r w:rsidR="005A5A9E" w:rsidRPr="009E286B">
        <w:rPr>
          <w:szCs w:val="22"/>
        </w:rPr>
        <w:t xml:space="preserve"> v </w:t>
      </w:r>
      <w:r w:rsidRPr="009E286B">
        <w:rPr>
          <w:szCs w:val="22"/>
        </w:rPr>
        <w:t>kombinácii</w:t>
      </w:r>
      <w:r w:rsidR="005A5A9E" w:rsidRPr="009E286B">
        <w:rPr>
          <w:szCs w:val="22"/>
        </w:rPr>
        <w:t xml:space="preserve"> s </w:t>
      </w:r>
      <w:r w:rsidRPr="009E286B">
        <w:rPr>
          <w:szCs w:val="22"/>
        </w:rPr>
        <w:t>neselektívnymi, ireverzibilnými IMAO. Venlafaxín sa nesmie začať užívať po dobu najmenej 14 dní po prerušení liečby ireverzibilnými neselektívnymi IMAO. Podávanie venlafaxínu musí byť prerušené najmenej 7 dní pred začatím liečby ireverzibilnými neselektívnymi IMAO (pozri časti 4.3</w:t>
      </w:r>
      <w:r w:rsidR="005A5A9E" w:rsidRPr="009E286B">
        <w:rPr>
          <w:szCs w:val="22"/>
        </w:rPr>
        <w:t xml:space="preserve"> a </w:t>
      </w:r>
      <w:r w:rsidRPr="009E286B">
        <w:rPr>
          <w:szCs w:val="22"/>
        </w:rPr>
        <w:t>4.4).</w:t>
      </w:r>
    </w:p>
    <w:p w14:paraId="28AB56B2" w14:textId="77777777" w:rsidR="00EE3F6B" w:rsidRDefault="00EE3F6B" w:rsidP="00FE0B01">
      <w:pPr>
        <w:pStyle w:val="Styl3"/>
        <w:spacing w:after="0"/>
        <w:jc w:val="left"/>
        <w:rPr>
          <w:szCs w:val="22"/>
        </w:rPr>
      </w:pPr>
    </w:p>
    <w:p w14:paraId="56B91254" w14:textId="77777777" w:rsidR="00954C84" w:rsidRPr="00BC3C9C" w:rsidRDefault="00954C84" w:rsidP="00FE0B01">
      <w:pPr>
        <w:pStyle w:val="Styl3"/>
        <w:spacing w:after="0"/>
        <w:jc w:val="left"/>
        <w:rPr>
          <w:i/>
          <w:szCs w:val="22"/>
          <w:u w:val="none"/>
        </w:rPr>
      </w:pPr>
      <w:r w:rsidRPr="00BC3C9C">
        <w:rPr>
          <w:i/>
          <w:szCs w:val="22"/>
          <w:u w:val="none"/>
        </w:rPr>
        <w:t>Reverzibilný, selektívny MAO-A inhibítor (moklobemid)</w:t>
      </w:r>
    </w:p>
    <w:p w14:paraId="65FAF3E7" w14:textId="7D9D3A5B" w:rsidR="00954C84" w:rsidRPr="009E286B" w:rsidRDefault="00954C84" w:rsidP="00FE0B01">
      <w:pPr>
        <w:pStyle w:val="Normlndobloku"/>
        <w:spacing w:after="0"/>
        <w:jc w:val="left"/>
        <w:rPr>
          <w:szCs w:val="22"/>
        </w:rPr>
      </w:pPr>
      <w:r w:rsidRPr="009E286B">
        <w:rPr>
          <w:szCs w:val="22"/>
        </w:rPr>
        <w:t>Kvôli riziku sérotonínového syndrómu, nie je kombinácia venlafaxínu</w:t>
      </w:r>
      <w:r w:rsidR="005A5A9E" w:rsidRPr="009E286B">
        <w:rPr>
          <w:szCs w:val="22"/>
        </w:rPr>
        <w:t xml:space="preserve"> s </w:t>
      </w:r>
      <w:r w:rsidRPr="009E286B">
        <w:rPr>
          <w:szCs w:val="22"/>
        </w:rPr>
        <w:t>reverzibilnými</w:t>
      </w:r>
      <w:r w:rsidR="005A5A9E" w:rsidRPr="009E286B">
        <w:rPr>
          <w:szCs w:val="22"/>
        </w:rPr>
        <w:t xml:space="preserve"> a </w:t>
      </w:r>
      <w:r w:rsidRPr="009E286B">
        <w:rPr>
          <w:szCs w:val="22"/>
        </w:rPr>
        <w:t>selektívnymi MAOI (ako je moklobemid) odporúčaná. Po liečbe reverzibilným inhibítorom MAO sa môže uplatniť kratší interval ako 14 dní na začatie liečby venlafaxínom. Je odporúčané vysadenie venlafaxínu najmenej 7 dní pred začatím liečby reverzibilným IMAO (pozri časť 4.4).</w:t>
      </w:r>
    </w:p>
    <w:p w14:paraId="5029BB96" w14:textId="77777777" w:rsidR="00EE3F6B" w:rsidRDefault="00EE3F6B" w:rsidP="00FE0B01">
      <w:pPr>
        <w:pStyle w:val="Styl3"/>
        <w:spacing w:after="0"/>
        <w:jc w:val="left"/>
        <w:rPr>
          <w:szCs w:val="22"/>
        </w:rPr>
      </w:pPr>
    </w:p>
    <w:p w14:paraId="676BDC5A" w14:textId="77777777" w:rsidR="00954C84" w:rsidRPr="00BC3C9C" w:rsidRDefault="00954C84" w:rsidP="00FE0B01">
      <w:pPr>
        <w:pStyle w:val="Styl3"/>
        <w:spacing w:after="0"/>
        <w:jc w:val="left"/>
        <w:rPr>
          <w:i/>
          <w:szCs w:val="22"/>
          <w:u w:val="none"/>
        </w:rPr>
      </w:pPr>
      <w:r w:rsidRPr="00BC3C9C">
        <w:rPr>
          <w:i/>
          <w:szCs w:val="22"/>
          <w:u w:val="none"/>
        </w:rPr>
        <w:t>Reverzibilný, neselektívny IMAO inhibítor (linezolid)</w:t>
      </w:r>
    </w:p>
    <w:p w14:paraId="2FF15711" w14:textId="5352834D" w:rsidR="00954C84" w:rsidRPr="009E286B" w:rsidRDefault="00954C84" w:rsidP="00FE0B01">
      <w:pPr>
        <w:pStyle w:val="Normlndobloku"/>
        <w:spacing w:after="0"/>
        <w:jc w:val="left"/>
        <w:rPr>
          <w:szCs w:val="22"/>
        </w:rPr>
      </w:pPr>
      <w:r w:rsidRPr="009E286B">
        <w:rPr>
          <w:szCs w:val="22"/>
        </w:rPr>
        <w:t>Antibiotikum linezolid je slabý, reverzibilný</w:t>
      </w:r>
      <w:r w:rsidR="005A5A9E" w:rsidRPr="009E286B">
        <w:rPr>
          <w:szCs w:val="22"/>
        </w:rPr>
        <w:t xml:space="preserve"> a </w:t>
      </w:r>
      <w:r w:rsidRPr="009E286B">
        <w:rPr>
          <w:szCs w:val="22"/>
        </w:rPr>
        <w:t>neselektívny IMAO</w:t>
      </w:r>
      <w:r w:rsidR="005A5A9E" w:rsidRPr="009E286B">
        <w:rPr>
          <w:szCs w:val="22"/>
        </w:rPr>
        <w:t xml:space="preserve"> a </w:t>
      </w:r>
      <w:r w:rsidRPr="009E286B">
        <w:rPr>
          <w:szCs w:val="22"/>
        </w:rPr>
        <w:t>nemá sa podávať pacientom liečeným venlafaxínom (pozri časť 4.4).</w:t>
      </w:r>
    </w:p>
    <w:p w14:paraId="70F5457B" w14:textId="62436E09" w:rsidR="00954C84" w:rsidRPr="00301FE5" w:rsidRDefault="00954C84" w:rsidP="00FE0B01">
      <w:pPr>
        <w:pStyle w:val="Normlndobloku"/>
        <w:spacing w:after="0"/>
        <w:jc w:val="left"/>
        <w:rPr>
          <w:szCs w:val="22"/>
        </w:rPr>
      </w:pPr>
      <w:r w:rsidRPr="009E286B">
        <w:rPr>
          <w:szCs w:val="22"/>
        </w:rPr>
        <w:t>Závažné nežiaduce účinky boli hlásené</w:t>
      </w:r>
      <w:r w:rsidR="005A5A9E" w:rsidRPr="009E286B">
        <w:rPr>
          <w:szCs w:val="22"/>
        </w:rPr>
        <w:t xml:space="preserve"> u </w:t>
      </w:r>
      <w:r w:rsidRPr="009E286B">
        <w:rPr>
          <w:szCs w:val="22"/>
        </w:rPr>
        <w:t>pacientov, ktorí práve skončili liečbu</w:t>
      </w:r>
      <w:r w:rsidR="005A5A9E" w:rsidRPr="009E286B">
        <w:rPr>
          <w:szCs w:val="22"/>
        </w:rPr>
        <w:t xml:space="preserve"> s </w:t>
      </w:r>
      <w:r w:rsidRPr="009E286B">
        <w:rPr>
          <w:szCs w:val="22"/>
        </w:rPr>
        <w:t>IMAO</w:t>
      </w:r>
      <w:r w:rsidR="005A5A9E" w:rsidRPr="009E286B">
        <w:rPr>
          <w:szCs w:val="22"/>
        </w:rPr>
        <w:t xml:space="preserve"> a </w:t>
      </w:r>
      <w:r w:rsidRPr="009E286B">
        <w:rPr>
          <w:szCs w:val="22"/>
        </w:rPr>
        <w:t>začali užívať venlafaxín, alebo užívali venlafaxín, ktorý prestali užívať tesn</w:t>
      </w:r>
      <w:r w:rsidRPr="002D691C">
        <w:rPr>
          <w:szCs w:val="22"/>
        </w:rPr>
        <w:t>e pred začatím liečby IMAO. Tieto účinky zahŕňajú triašku, myoklonus, diaforézu, nauzeu, vracanie, pocity návalov tepla, malátnosť</w:t>
      </w:r>
      <w:r w:rsidR="005A5A9E" w:rsidRPr="00301FE5">
        <w:rPr>
          <w:szCs w:val="22"/>
        </w:rPr>
        <w:t xml:space="preserve"> a </w:t>
      </w:r>
      <w:r w:rsidRPr="00301FE5">
        <w:rPr>
          <w:szCs w:val="22"/>
        </w:rPr>
        <w:t>hypertermiu</w:t>
      </w:r>
      <w:r w:rsidR="005A5A9E" w:rsidRPr="00301FE5">
        <w:rPr>
          <w:szCs w:val="22"/>
        </w:rPr>
        <w:t xml:space="preserve"> s </w:t>
      </w:r>
      <w:r w:rsidRPr="00301FE5">
        <w:rPr>
          <w:szCs w:val="22"/>
        </w:rPr>
        <w:t>charakteristickými znakmi pripomínajúcimi neuroleptický malígny syndróm, záchvaty</w:t>
      </w:r>
      <w:r w:rsidR="005A5A9E" w:rsidRPr="00301FE5">
        <w:rPr>
          <w:szCs w:val="22"/>
        </w:rPr>
        <w:t xml:space="preserve"> a </w:t>
      </w:r>
      <w:r w:rsidRPr="00301FE5">
        <w:rPr>
          <w:szCs w:val="22"/>
        </w:rPr>
        <w:t>smrť.</w:t>
      </w:r>
    </w:p>
    <w:p w14:paraId="6C0E49EC" w14:textId="77777777" w:rsidR="00EE3F6B" w:rsidRDefault="00EE3F6B" w:rsidP="00FE0B01">
      <w:pPr>
        <w:pStyle w:val="Styl3"/>
        <w:spacing w:after="0"/>
        <w:jc w:val="left"/>
        <w:rPr>
          <w:szCs w:val="22"/>
        </w:rPr>
      </w:pPr>
    </w:p>
    <w:p w14:paraId="0C7767D6" w14:textId="77777777" w:rsidR="00954C84" w:rsidRPr="00EE3F6B" w:rsidRDefault="00954C84" w:rsidP="00FE0B01">
      <w:pPr>
        <w:pStyle w:val="Styl3"/>
        <w:spacing w:after="0"/>
        <w:jc w:val="left"/>
        <w:rPr>
          <w:szCs w:val="22"/>
        </w:rPr>
      </w:pPr>
      <w:r w:rsidRPr="00EE3F6B">
        <w:rPr>
          <w:szCs w:val="22"/>
        </w:rPr>
        <w:t>Sérotonínový syndróm</w:t>
      </w:r>
    </w:p>
    <w:p w14:paraId="5BD742CC" w14:textId="4F3458D0" w:rsidR="00954C84" w:rsidRDefault="00954C84" w:rsidP="00FE0B01">
      <w:pPr>
        <w:pStyle w:val="Normlndobloku"/>
        <w:spacing w:after="0"/>
        <w:jc w:val="left"/>
        <w:rPr>
          <w:szCs w:val="22"/>
        </w:rPr>
      </w:pPr>
      <w:r w:rsidRPr="009E286B">
        <w:rPr>
          <w:szCs w:val="22"/>
        </w:rPr>
        <w:t>Ako aj</w:t>
      </w:r>
      <w:r w:rsidR="005A5A9E" w:rsidRPr="009E286B">
        <w:rPr>
          <w:szCs w:val="22"/>
        </w:rPr>
        <w:t xml:space="preserve"> u </w:t>
      </w:r>
      <w:r w:rsidRPr="00BC3C9C">
        <w:rPr>
          <w:szCs w:val="22"/>
        </w:rPr>
        <w:t xml:space="preserve">iných </w:t>
      </w:r>
      <w:r w:rsidRPr="00FE0B01">
        <w:rPr>
          <w:szCs w:val="22"/>
        </w:rPr>
        <w:t>sérotoninergných látok</w:t>
      </w:r>
      <w:r w:rsidRPr="00BC3C9C">
        <w:rPr>
          <w:szCs w:val="22"/>
        </w:rPr>
        <w:t>, sa</w:t>
      </w:r>
      <w:r w:rsidRPr="009E286B">
        <w:rPr>
          <w:szCs w:val="22"/>
        </w:rPr>
        <w:t xml:space="preserve"> môže</w:t>
      </w:r>
      <w:r w:rsidR="005A5A9E" w:rsidRPr="009E286B">
        <w:rPr>
          <w:szCs w:val="22"/>
        </w:rPr>
        <w:t xml:space="preserve"> v </w:t>
      </w:r>
      <w:r w:rsidRPr="009E286B">
        <w:rPr>
          <w:szCs w:val="22"/>
        </w:rPr>
        <w:t>priebehu liečby venlafaxínom vyskytnúť potenciálne život ohrozujúci stav</w:t>
      </w:r>
      <w:r w:rsidR="00931757" w:rsidRPr="009E286B">
        <w:rPr>
          <w:szCs w:val="22"/>
        </w:rPr>
        <w:t> </w:t>
      </w:r>
      <w:r w:rsidR="00931757" w:rsidRPr="009E286B">
        <w:rPr>
          <w:szCs w:val="22"/>
          <w:lang w:val="cs-CZ"/>
        </w:rPr>
        <w:t>– </w:t>
      </w:r>
      <w:r w:rsidRPr="009E286B">
        <w:rPr>
          <w:szCs w:val="22"/>
        </w:rPr>
        <w:t>sérotonínový syndróm</w:t>
      </w:r>
      <w:r w:rsidR="00931757" w:rsidRPr="009E286B">
        <w:rPr>
          <w:szCs w:val="22"/>
        </w:rPr>
        <w:t> </w:t>
      </w:r>
      <w:r w:rsidR="00931757" w:rsidRPr="009E286B">
        <w:rPr>
          <w:szCs w:val="22"/>
          <w:lang w:val="cs-CZ"/>
        </w:rPr>
        <w:t>– </w:t>
      </w:r>
      <w:r w:rsidR="005A5A9E" w:rsidRPr="009E286B">
        <w:rPr>
          <w:szCs w:val="22"/>
        </w:rPr>
        <w:t>a </w:t>
      </w:r>
      <w:r w:rsidRPr="009E286B">
        <w:rPr>
          <w:szCs w:val="22"/>
        </w:rPr>
        <w:t>to obzvlášť, ak sa sú</w:t>
      </w:r>
      <w:r w:rsidR="004643E5">
        <w:rPr>
          <w:szCs w:val="22"/>
        </w:rPr>
        <w:t>bež</w:t>
      </w:r>
      <w:r w:rsidRPr="009E286B">
        <w:rPr>
          <w:szCs w:val="22"/>
        </w:rPr>
        <w:t>ne užíva iná látka, ktorá ovplyvňuje sérotonínergný neurotransmiterový systém (v</w:t>
      </w:r>
      <w:r w:rsidRPr="002D691C">
        <w:rPr>
          <w:szCs w:val="22"/>
        </w:rPr>
        <w:t>rátane triptánov, SSRI, SNRI, lítium, sibutramín, tramadol, alebo ľubovník bodkovaný [</w:t>
      </w:r>
      <w:r w:rsidRPr="00301FE5">
        <w:rPr>
          <w:rStyle w:val="Bacil"/>
          <w:szCs w:val="22"/>
        </w:rPr>
        <w:t>Hypericum perforatum</w:t>
      </w:r>
      <w:r w:rsidRPr="00301FE5">
        <w:rPr>
          <w:szCs w:val="22"/>
        </w:rPr>
        <w:t>]), liečivá, ktoré zhoršujú metabolizmus sérotonínu (vrátane IMAO</w:t>
      </w:r>
      <w:r w:rsidR="0028134F" w:rsidRPr="00301FE5">
        <w:rPr>
          <w:szCs w:val="22"/>
        </w:rPr>
        <w:t xml:space="preserve">, </w:t>
      </w:r>
      <w:r w:rsidR="005058E7" w:rsidRPr="00301FE5">
        <w:rPr>
          <w:szCs w:val="22"/>
        </w:rPr>
        <w:t xml:space="preserve">napr. </w:t>
      </w:r>
      <w:r w:rsidR="0028134F" w:rsidRPr="00301FE5">
        <w:rPr>
          <w:szCs w:val="22"/>
        </w:rPr>
        <w:t>metylénová modrá</w:t>
      </w:r>
      <w:r w:rsidRPr="00301FE5">
        <w:rPr>
          <w:szCs w:val="22"/>
        </w:rPr>
        <w:t>), alebo sérotonínové prekurzory (ako napr. tryptofánové výživové doplnky).</w:t>
      </w:r>
    </w:p>
    <w:p w14:paraId="44580E2D" w14:textId="77777777" w:rsidR="004643E5" w:rsidRPr="00301FE5" w:rsidRDefault="004643E5" w:rsidP="00FE0B01">
      <w:pPr>
        <w:pStyle w:val="Normlndobloku"/>
        <w:spacing w:after="0"/>
        <w:jc w:val="left"/>
        <w:rPr>
          <w:szCs w:val="22"/>
        </w:rPr>
      </w:pPr>
    </w:p>
    <w:p w14:paraId="366155BA" w14:textId="263FFBE8" w:rsidR="00954C84" w:rsidRPr="00BC3C9C" w:rsidRDefault="00954C84" w:rsidP="00FE0B01">
      <w:pPr>
        <w:pStyle w:val="Normlndobloku"/>
        <w:spacing w:after="0"/>
        <w:jc w:val="left"/>
        <w:rPr>
          <w:szCs w:val="22"/>
        </w:rPr>
      </w:pPr>
      <w:r w:rsidRPr="00301FE5">
        <w:rPr>
          <w:szCs w:val="22"/>
        </w:rPr>
        <w:t>Ak sa vyžaduje sú</w:t>
      </w:r>
      <w:r w:rsidR="004643E5">
        <w:rPr>
          <w:szCs w:val="22"/>
        </w:rPr>
        <w:t>bež</w:t>
      </w:r>
      <w:r w:rsidRPr="00301FE5">
        <w:rPr>
          <w:szCs w:val="22"/>
        </w:rPr>
        <w:t xml:space="preserve">ná liečba </w:t>
      </w:r>
      <w:proofErr w:type="spellStart"/>
      <w:r w:rsidRPr="00301FE5">
        <w:rPr>
          <w:szCs w:val="22"/>
        </w:rPr>
        <w:t>venlafaxínom</w:t>
      </w:r>
      <w:proofErr w:type="spellEnd"/>
      <w:r w:rsidR="005A5A9E" w:rsidRPr="00EB4C45">
        <w:rPr>
          <w:szCs w:val="22"/>
        </w:rPr>
        <w:t xml:space="preserve"> a </w:t>
      </w:r>
      <w:r w:rsidRPr="00EB4C45">
        <w:rPr>
          <w:szCs w:val="22"/>
        </w:rPr>
        <w:t>SSRI, SNRI alebo agonistami sérotonínových receptorov (triptán), treba takúto liečbu viesť veľmi opatrne,</w:t>
      </w:r>
      <w:r w:rsidR="005A5A9E" w:rsidRPr="00D638B3">
        <w:rPr>
          <w:szCs w:val="22"/>
        </w:rPr>
        <w:t xml:space="preserve"> a </w:t>
      </w:r>
      <w:r w:rsidRPr="00D638B3">
        <w:rPr>
          <w:szCs w:val="22"/>
        </w:rPr>
        <w:t>odporúča sa pozorne sledovať pacienta najmä na začiatku liečby</w:t>
      </w:r>
      <w:r w:rsidR="005A5A9E" w:rsidRPr="00454074">
        <w:rPr>
          <w:szCs w:val="22"/>
        </w:rPr>
        <w:t xml:space="preserve"> a </w:t>
      </w:r>
      <w:r w:rsidRPr="00BC3C9C">
        <w:rPr>
          <w:szCs w:val="22"/>
        </w:rPr>
        <w:t>pri zvýšení dávok. Súčasné užívanie venlafaxínu so sérotonínovými prekurzormi (ako napr. tryptofánové výživové doplnky) sa neodporúča (pozri časť 4.4).</w:t>
      </w:r>
    </w:p>
    <w:p w14:paraId="7B36DA2B" w14:textId="77777777" w:rsidR="00EE3F6B" w:rsidRDefault="00EE3F6B" w:rsidP="00FE0B01">
      <w:pPr>
        <w:pStyle w:val="Styl3"/>
        <w:spacing w:after="0"/>
        <w:jc w:val="left"/>
        <w:rPr>
          <w:szCs w:val="22"/>
        </w:rPr>
      </w:pPr>
    </w:p>
    <w:p w14:paraId="4F229F0E" w14:textId="77777777" w:rsidR="00954C84" w:rsidRPr="00EE3F6B" w:rsidRDefault="00954C84" w:rsidP="00FE0B01">
      <w:pPr>
        <w:pStyle w:val="Styl3"/>
        <w:spacing w:after="0"/>
        <w:jc w:val="left"/>
        <w:rPr>
          <w:szCs w:val="22"/>
        </w:rPr>
      </w:pPr>
      <w:r w:rsidRPr="00EE3F6B">
        <w:rPr>
          <w:szCs w:val="22"/>
        </w:rPr>
        <w:t>Lieky, ktoré ovplyvňujú centrálny nervový systém</w:t>
      </w:r>
    </w:p>
    <w:p w14:paraId="7A63F388" w14:textId="1E88F220" w:rsidR="00954C84" w:rsidRPr="009E286B" w:rsidRDefault="00954C84" w:rsidP="00FE0B01">
      <w:pPr>
        <w:pStyle w:val="Normlndobloku"/>
        <w:spacing w:after="0"/>
        <w:jc w:val="left"/>
        <w:rPr>
          <w:szCs w:val="22"/>
        </w:rPr>
      </w:pPr>
      <w:r w:rsidRPr="009E286B">
        <w:rPr>
          <w:szCs w:val="22"/>
        </w:rPr>
        <w:t>Riziko užívania venlafaxínu</w:t>
      </w:r>
      <w:r w:rsidR="005A5A9E" w:rsidRPr="009E286B">
        <w:rPr>
          <w:szCs w:val="22"/>
        </w:rPr>
        <w:t xml:space="preserve"> v </w:t>
      </w:r>
      <w:r w:rsidRPr="009E286B">
        <w:rPr>
          <w:szCs w:val="22"/>
        </w:rPr>
        <w:t>kombinácii</w:t>
      </w:r>
      <w:r w:rsidR="005A5A9E" w:rsidRPr="009E286B">
        <w:rPr>
          <w:szCs w:val="22"/>
        </w:rPr>
        <w:t xml:space="preserve"> s </w:t>
      </w:r>
      <w:r w:rsidRPr="009E286B">
        <w:rPr>
          <w:szCs w:val="22"/>
        </w:rPr>
        <w:t>inými látkami ovplyvňujúcimi CNS sa systematicky nehodnotilo. Preto sa odporúča zvýšená opatrnosť pri predpisovaní venlafaxínu, ak sa má užívať</w:t>
      </w:r>
      <w:r w:rsidR="005A5A9E" w:rsidRPr="009E286B">
        <w:rPr>
          <w:szCs w:val="22"/>
        </w:rPr>
        <w:t xml:space="preserve"> s </w:t>
      </w:r>
      <w:r w:rsidRPr="009E286B">
        <w:rPr>
          <w:szCs w:val="22"/>
        </w:rPr>
        <w:t>inými liekmi, ktoré ovplyvňujú CNS.</w:t>
      </w:r>
    </w:p>
    <w:p w14:paraId="025C9225" w14:textId="77777777" w:rsidR="00EE3F6B" w:rsidRDefault="00EE3F6B" w:rsidP="00FE0B01">
      <w:pPr>
        <w:pStyle w:val="Styl3"/>
        <w:spacing w:after="0"/>
        <w:jc w:val="left"/>
        <w:rPr>
          <w:szCs w:val="22"/>
        </w:rPr>
      </w:pPr>
    </w:p>
    <w:p w14:paraId="6782B44C" w14:textId="77777777" w:rsidR="00954C84" w:rsidRPr="00EE3F6B" w:rsidRDefault="00954C84" w:rsidP="00FE0B01">
      <w:pPr>
        <w:pStyle w:val="Styl3"/>
        <w:spacing w:after="0"/>
        <w:jc w:val="left"/>
        <w:rPr>
          <w:szCs w:val="22"/>
        </w:rPr>
      </w:pPr>
      <w:r w:rsidRPr="00EE3F6B">
        <w:rPr>
          <w:szCs w:val="22"/>
        </w:rPr>
        <w:t>Etanol</w:t>
      </w:r>
    </w:p>
    <w:p w14:paraId="1D35822D" w14:textId="35358F3C" w:rsidR="00954C84" w:rsidRDefault="00954C84" w:rsidP="00FE0B01">
      <w:pPr>
        <w:pStyle w:val="Normlndobloku"/>
        <w:spacing w:after="0"/>
        <w:jc w:val="left"/>
        <w:rPr>
          <w:szCs w:val="22"/>
        </w:rPr>
      </w:pPr>
      <w:r w:rsidRPr="009E286B">
        <w:rPr>
          <w:szCs w:val="22"/>
        </w:rPr>
        <w:t>Venlafaxín nezvyšuje poškodenie mentálnych</w:t>
      </w:r>
      <w:r w:rsidR="005A5A9E" w:rsidRPr="009E286B">
        <w:rPr>
          <w:szCs w:val="22"/>
        </w:rPr>
        <w:t xml:space="preserve"> a </w:t>
      </w:r>
      <w:r w:rsidRPr="009E286B">
        <w:rPr>
          <w:szCs w:val="22"/>
        </w:rPr>
        <w:t>motorických schopností spôsobené etanolom. Ale ako pri všetkých látkach, ktoré ovplyvňujú CNS, pacienti majú byť upozornení, aby počas liečby venlafaxínom nepili alkohol.</w:t>
      </w:r>
    </w:p>
    <w:p w14:paraId="420A4B28" w14:textId="77777777" w:rsidR="004643E5" w:rsidRPr="009E286B" w:rsidRDefault="004643E5" w:rsidP="00FE0B01">
      <w:pPr>
        <w:pStyle w:val="Normlndobloku"/>
        <w:spacing w:after="0"/>
        <w:jc w:val="left"/>
        <w:rPr>
          <w:szCs w:val="22"/>
        </w:rPr>
      </w:pPr>
    </w:p>
    <w:p w14:paraId="391F3969" w14:textId="77777777" w:rsidR="002F3E3C" w:rsidRPr="002D691C" w:rsidRDefault="002F3E3C" w:rsidP="00FE0B01">
      <w:pPr>
        <w:pStyle w:val="Styl3"/>
        <w:spacing w:after="0"/>
        <w:jc w:val="left"/>
        <w:rPr>
          <w:szCs w:val="22"/>
        </w:rPr>
      </w:pPr>
      <w:r w:rsidRPr="002D691C">
        <w:rPr>
          <w:szCs w:val="22"/>
        </w:rPr>
        <w:t>Účinok venlafaxínu na iné lieky metabolizované izoenzýmami cytochrómu P450</w:t>
      </w:r>
    </w:p>
    <w:p w14:paraId="62C4D0C7" w14:textId="0626CFEC" w:rsidR="002F3E3C" w:rsidRPr="00301FE5" w:rsidRDefault="002F3E3C" w:rsidP="00FE0B01">
      <w:pPr>
        <w:pStyle w:val="Normlndobloku"/>
        <w:spacing w:after="0"/>
        <w:jc w:val="left"/>
        <w:rPr>
          <w:szCs w:val="22"/>
        </w:rPr>
      </w:pPr>
      <w:r w:rsidRPr="00301FE5">
        <w:rPr>
          <w:rStyle w:val="Bacil"/>
          <w:szCs w:val="22"/>
        </w:rPr>
        <w:t>In</w:t>
      </w:r>
      <w:r w:rsidR="004643E5">
        <w:rPr>
          <w:rStyle w:val="Bacil"/>
          <w:szCs w:val="22"/>
        </w:rPr>
        <w:t> </w:t>
      </w:r>
      <w:proofErr w:type="spellStart"/>
      <w:r w:rsidRPr="00301FE5">
        <w:rPr>
          <w:rStyle w:val="Bacil"/>
          <w:szCs w:val="22"/>
        </w:rPr>
        <w:t>vivo</w:t>
      </w:r>
      <w:proofErr w:type="spellEnd"/>
      <w:r w:rsidRPr="00301FE5">
        <w:rPr>
          <w:szCs w:val="22"/>
        </w:rPr>
        <w:t xml:space="preserve"> štúdie naznačujú, že venlafaxín je relatívne slabý inhibítor CYP2D6. </w:t>
      </w:r>
      <w:proofErr w:type="spellStart"/>
      <w:r w:rsidRPr="00301FE5">
        <w:rPr>
          <w:szCs w:val="22"/>
        </w:rPr>
        <w:t>Venlafaxín</w:t>
      </w:r>
      <w:proofErr w:type="spellEnd"/>
      <w:r w:rsidRPr="00301FE5">
        <w:rPr>
          <w:szCs w:val="22"/>
        </w:rPr>
        <w:t xml:space="preserve"> </w:t>
      </w:r>
      <w:r w:rsidRPr="00301FE5">
        <w:rPr>
          <w:rStyle w:val="Bacil"/>
          <w:szCs w:val="22"/>
        </w:rPr>
        <w:t>in</w:t>
      </w:r>
      <w:r w:rsidR="004643E5">
        <w:rPr>
          <w:rStyle w:val="Bacil"/>
          <w:szCs w:val="22"/>
        </w:rPr>
        <w:t> </w:t>
      </w:r>
      <w:proofErr w:type="spellStart"/>
      <w:r w:rsidR="004643E5">
        <w:rPr>
          <w:rStyle w:val="Bacil"/>
          <w:szCs w:val="22"/>
        </w:rPr>
        <w:t>vivo</w:t>
      </w:r>
      <w:proofErr w:type="spellEnd"/>
      <w:r w:rsidR="004643E5">
        <w:rPr>
          <w:rStyle w:val="Bacil"/>
          <w:szCs w:val="22"/>
        </w:rPr>
        <w:t xml:space="preserve"> </w:t>
      </w:r>
      <w:proofErr w:type="spellStart"/>
      <w:r w:rsidRPr="00301FE5">
        <w:rPr>
          <w:szCs w:val="22"/>
        </w:rPr>
        <w:t>neinhiboval</w:t>
      </w:r>
      <w:proofErr w:type="spellEnd"/>
      <w:r w:rsidRPr="00301FE5">
        <w:rPr>
          <w:szCs w:val="22"/>
        </w:rPr>
        <w:t xml:space="preserve"> </w:t>
      </w:r>
      <w:proofErr w:type="spellStart"/>
      <w:r w:rsidRPr="00301FE5">
        <w:rPr>
          <w:szCs w:val="22"/>
        </w:rPr>
        <w:t>CYP3A4</w:t>
      </w:r>
      <w:proofErr w:type="spellEnd"/>
      <w:r w:rsidRPr="00301FE5">
        <w:rPr>
          <w:szCs w:val="22"/>
        </w:rPr>
        <w:t xml:space="preserve"> (</w:t>
      </w:r>
      <w:proofErr w:type="spellStart"/>
      <w:r w:rsidRPr="00301FE5">
        <w:rPr>
          <w:szCs w:val="22"/>
        </w:rPr>
        <w:t>alprazolam</w:t>
      </w:r>
      <w:proofErr w:type="spellEnd"/>
      <w:r w:rsidRPr="00301FE5">
        <w:rPr>
          <w:szCs w:val="22"/>
        </w:rPr>
        <w:t xml:space="preserve"> a karbamazepín), CYP1A2 (kofeín) ani CYP2C9 (tolbutamid) alebo CYP2C19 (diazepam).</w:t>
      </w:r>
    </w:p>
    <w:p w14:paraId="345F45EC" w14:textId="77777777" w:rsidR="00EE3F6B" w:rsidRDefault="00EE3F6B" w:rsidP="00FE0B01">
      <w:pPr>
        <w:pStyle w:val="Styl3"/>
        <w:spacing w:after="0"/>
        <w:jc w:val="left"/>
        <w:rPr>
          <w:szCs w:val="22"/>
        </w:rPr>
      </w:pPr>
    </w:p>
    <w:p w14:paraId="42A647D3" w14:textId="2FEC3F11" w:rsidR="00954C84" w:rsidRPr="00EE3F6B" w:rsidRDefault="00954C84" w:rsidP="00FE0B01">
      <w:pPr>
        <w:pStyle w:val="Styl3"/>
        <w:spacing w:after="0"/>
        <w:jc w:val="left"/>
        <w:rPr>
          <w:szCs w:val="22"/>
        </w:rPr>
      </w:pPr>
      <w:r w:rsidRPr="00EE3F6B">
        <w:rPr>
          <w:szCs w:val="22"/>
        </w:rPr>
        <w:t>Účinok iných liekov na venlafaxín</w:t>
      </w:r>
    </w:p>
    <w:p w14:paraId="460A3638" w14:textId="77777777" w:rsidR="00EE3F6B" w:rsidRDefault="00EE3F6B" w:rsidP="00FE0B01">
      <w:pPr>
        <w:pStyle w:val="Styl3"/>
        <w:spacing w:after="0"/>
        <w:jc w:val="left"/>
        <w:rPr>
          <w:szCs w:val="22"/>
        </w:rPr>
      </w:pPr>
    </w:p>
    <w:p w14:paraId="001E3A34" w14:textId="77777777" w:rsidR="00954C84" w:rsidRPr="00BC3C9C" w:rsidRDefault="00954C84" w:rsidP="00FE0B01">
      <w:pPr>
        <w:pStyle w:val="Styl3"/>
        <w:spacing w:after="0"/>
        <w:jc w:val="left"/>
        <w:rPr>
          <w:i/>
          <w:szCs w:val="22"/>
          <w:u w:val="none"/>
        </w:rPr>
      </w:pPr>
      <w:r w:rsidRPr="00BC3C9C">
        <w:rPr>
          <w:i/>
          <w:szCs w:val="22"/>
          <w:u w:val="none"/>
        </w:rPr>
        <w:t>Ketokonazol (inhibítor CYP3A4)</w:t>
      </w:r>
    </w:p>
    <w:p w14:paraId="2C52465D" w14:textId="74572C58" w:rsidR="00954C84" w:rsidRPr="00BC3C9C" w:rsidRDefault="00954C84" w:rsidP="00FE0B01">
      <w:pPr>
        <w:pStyle w:val="Normlndobloku"/>
        <w:spacing w:after="0"/>
        <w:jc w:val="left"/>
        <w:rPr>
          <w:szCs w:val="22"/>
        </w:rPr>
      </w:pPr>
      <w:r w:rsidRPr="009E286B">
        <w:rPr>
          <w:szCs w:val="22"/>
        </w:rPr>
        <w:t>Farmakokinetická štúdia</w:t>
      </w:r>
      <w:r w:rsidR="005A5A9E" w:rsidRPr="009E286B">
        <w:rPr>
          <w:szCs w:val="22"/>
        </w:rPr>
        <w:t xml:space="preserve"> s </w:t>
      </w:r>
      <w:r w:rsidRPr="009E286B">
        <w:rPr>
          <w:szCs w:val="22"/>
        </w:rPr>
        <w:t>ketokonazolom</w:t>
      </w:r>
      <w:r w:rsidR="005A5A9E" w:rsidRPr="009E286B">
        <w:rPr>
          <w:szCs w:val="22"/>
        </w:rPr>
        <w:t xml:space="preserve"> u </w:t>
      </w:r>
      <w:r w:rsidRPr="009E286B">
        <w:rPr>
          <w:szCs w:val="22"/>
        </w:rPr>
        <w:t>CYP2D6 rýchlych</w:t>
      </w:r>
      <w:r w:rsidR="005A5A9E" w:rsidRPr="009E286B">
        <w:rPr>
          <w:szCs w:val="22"/>
        </w:rPr>
        <w:t xml:space="preserve"> a </w:t>
      </w:r>
      <w:r w:rsidRPr="009E286B">
        <w:rPr>
          <w:szCs w:val="22"/>
        </w:rPr>
        <w:t>pomalých metabolizérov ukázala vyššie AUC venlafaxínu (70</w:t>
      </w:r>
      <w:r w:rsidR="006F7FF0" w:rsidRPr="009E286B">
        <w:rPr>
          <w:szCs w:val="22"/>
        </w:rPr>
        <w:t> %</w:t>
      </w:r>
      <w:r w:rsidR="005A5A9E" w:rsidRPr="009E286B">
        <w:rPr>
          <w:szCs w:val="22"/>
        </w:rPr>
        <w:t xml:space="preserve"> a </w:t>
      </w:r>
      <w:r w:rsidRPr="009E286B">
        <w:rPr>
          <w:szCs w:val="22"/>
        </w:rPr>
        <w:t>21</w:t>
      </w:r>
      <w:r w:rsidR="006F7FF0" w:rsidRPr="009E286B">
        <w:rPr>
          <w:szCs w:val="22"/>
        </w:rPr>
        <w:t> %</w:t>
      </w:r>
      <w:r w:rsidR="005A5A9E" w:rsidRPr="009E286B">
        <w:rPr>
          <w:szCs w:val="22"/>
        </w:rPr>
        <w:t xml:space="preserve"> u </w:t>
      </w:r>
      <w:r w:rsidRPr="009E286B">
        <w:rPr>
          <w:szCs w:val="22"/>
        </w:rPr>
        <w:t>CYP2D6 rýchlych</w:t>
      </w:r>
      <w:r w:rsidR="005A5A9E" w:rsidRPr="009E286B">
        <w:rPr>
          <w:szCs w:val="22"/>
        </w:rPr>
        <w:t xml:space="preserve"> a </w:t>
      </w:r>
      <w:r w:rsidRPr="009E286B">
        <w:rPr>
          <w:szCs w:val="22"/>
        </w:rPr>
        <w:t>pomalých metabolizérov,</w:t>
      </w:r>
      <w:r w:rsidR="005A5A9E" w:rsidRPr="009E286B">
        <w:rPr>
          <w:szCs w:val="22"/>
        </w:rPr>
        <w:t xml:space="preserve"> v </w:t>
      </w:r>
      <w:r w:rsidRPr="009E286B">
        <w:rPr>
          <w:szCs w:val="22"/>
        </w:rPr>
        <w:t>uvedenom poradí)</w:t>
      </w:r>
      <w:r w:rsidR="005A5A9E" w:rsidRPr="002D691C">
        <w:rPr>
          <w:szCs w:val="22"/>
        </w:rPr>
        <w:t xml:space="preserve"> a </w:t>
      </w:r>
      <w:r w:rsidRPr="00301FE5">
        <w:rPr>
          <w:szCs w:val="22"/>
        </w:rPr>
        <w:t>O-desmetylvenlafaxínu (33</w:t>
      </w:r>
      <w:r w:rsidR="006F7FF0" w:rsidRPr="00301FE5">
        <w:rPr>
          <w:szCs w:val="22"/>
        </w:rPr>
        <w:t> %</w:t>
      </w:r>
      <w:r w:rsidR="005A5A9E" w:rsidRPr="00301FE5">
        <w:rPr>
          <w:szCs w:val="22"/>
        </w:rPr>
        <w:t xml:space="preserve"> a </w:t>
      </w:r>
      <w:r w:rsidRPr="00301FE5">
        <w:rPr>
          <w:szCs w:val="22"/>
        </w:rPr>
        <w:t>23</w:t>
      </w:r>
      <w:r w:rsidR="006F7FF0" w:rsidRPr="00301FE5">
        <w:rPr>
          <w:szCs w:val="22"/>
        </w:rPr>
        <w:t> %</w:t>
      </w:r>
      <w:r w:rsidR="005A5A9E" w:rsidRPr="00301FE5">
        <w:rPr>
          <w:szCs w:val="22"/>
        </w:rPr>
        <w:t xml:space="preserve"> u </w:t>
      </w:r>
      <w:r w:rsidRPr="00301FE5">
        <w:rPr>
          <w:szCs w:val="22"/>
        </w:rPr>
        <w:t>CYP2D6 rýchlych</w:t>
      </w:r>
      <w:r w:rsidR="005A5A9E" w:rsidRPr="00301FE5">
        <w:rPr>
          <w:szCs w:val="22"/>
        </w:rPr>
        <w:t xml:space="preserve"> a </w:t>
      </w:r>
      <w:r w:rsidRPr="00301FE5">
        <w:rPr>
          <w:szCs w:val="22"/>
        </w:rPr>
        <w:t>pomalých metabolizérov,</w:t>
      </w:r>
      <w:r w:rsidR="005A5A9E" w:rsidRPr="00D638B3">
        <w:rPr>
          <w:szCs w:val="22"/>
        </w:rPr>
        <w:t xml:space="preserve"> v </w:t>
      </w:r>
      <w:r w:rsidRPr="00D638B3">
        <w:rPr>
          <w:szCs w:val="22"/>
        </w:rPr>
        <w:t xml:space="preserve">uvedenom poradí) po </w:t>
      </w:r>
      <w:r w:rsidRPr="00454074">
        <w:rPr>
          <w:szCs w:val="22"/>
        </w:rPr>
        <w:t>podaní ketokonazolu. Súčasné užívanie inhibítorov CYP3A4 (napr. atanazavir, klaritromycin, indinavir, itrakonazol, vorikonazol, pozakonazol, ketokonazol, nelfinavir, ritonavir, sakvinavir, telitromycin)</w:t>
      </w:r>
      <w:r w:rsidR="005A5A9E" w:rsidRPr="00BC3C9C">
        <w:rPr>
          <w:szCs w:val="22"/>
        </w:rPr>
        <w:t xml:space="preserve"> a </w:t>
      </w:r>
      <w:r w:rsidRPr="00BC3C9C">
        <w:rPr>
          <w:szCs w:val="22"/>
        </w:rPr>
        <w:t>venlafaxínu môže zvýšiť hladiny venlafaxínu</w:t>
      </w:r>
      <w:r w:rsidR="005A5A9E" w:rsidRPr="00BC3C9C">
        <w:rPr>
          <w:szCs w:val="22"/>
        </w:rPr>
        <w:t xml:space="preserve"> a </w:t>
      </w:r>
      <w:r w:rsidRPr="00BC3C9C">
        <w:rPr>
          <w:szCs w:val="22"/>
        </w:rPr>
        <w:t>O-desmetylvenlafaxínu. Preto sa odporúča opatrnosť pri súčasnej liečbe</w:t>
      </w:r>
      <w:r w:rsidR="005A5A9E" w:rsidRPr="00BC3C9C">
        <w:rPr>
          <w:szCs w:val="22"/>
        </w:rPr>
        <w:t xml:space="preserve"> s </w:t>
      </w:r>
      <w:r w:rsidRPr="00BC3C9C">
        <w:rPr>
          <w:szCs w:val="22"/>
        </w:rPr>
        <w:t>inhibítormi CYP3A4</w:t>
      </w:r>
      <w:r w:rsidR="005A5A9E" w:rsidRPr="00BC3C9C">
        <w:rPr>
          <w:szCs w:val="22"/>
        </w:rPr>
        <w:t xml:space="preserve"> a </w:t>
      </w:r>
      <w:r w:rsidRPr="00BC3C9C">
        <w:rPr>
          <w:szCs w:val="22"/>
        </w:rPr>
        <w:t>venlafaxínom.</w:t>
      </w:r>
    </w:p>
    <w:p w14:paraId="10CED7C4" w14:textId="77777777" w:rsidR="00EE3F6B" w:rsidRDefault="00EE3F6B" w:rsidP="00FE0B01">
      <w:pPr>
        <w:pStyle w:val="Styl3"/>
        <w:spacing w:after="0"/>
        <w:jc w:val="left"/>
        <w:rPr>
          <w:szCs w:val="22"/>
        </w:rPr>
      </w:pPr>
    </w:p>
    <w:p w14:paraId="3130AFFB" w14:textId="403AE4A2" w:rsidR="00954C84" w:rsidRPr="00EE3F6B" w:rsidRDefault="00954C84" w:rsidP="00FE0B01">
      <w:pPr>
        <w:pStyle w:val="Styl3"/>
        <w:spacing w:after="0"/>
        <w:jc w:val="left"/>
        <w:rPr>
          <w:szCs w:val="22"/>
        </w:rPr>
      </w:pPr>
      <w:r w:rsidRPr="00EE3F6B">
        <w:rPr>
          <w:szCs w:val="22"/>
        </w:rPr>
        <w:t>Účinok venlafaxínu na iné lieky</w:t>
      </w:r>
    </w:p>
    <w:p w14:paraId="6A383060" w14:textId="77777777" w:rsidR="00EE3F6B" w:rsidRDefault="00EE3F6B" w:rsidP="00FE0B01">
      <w:pPr>
        <w:pStyle w:val="Styl3"/>
        <w:spacing w:after="0"/>
        <w:jc w:val="left"/>
        <w:rPr>
          <w:szCs w:val="22"/>
        </w:rPr>
      </w:pPr>
    </w:p>
    <w:p w14:paraId="33DBFB56" w14:textId="77777777" w:rsidR="00954C84" w:rsidRPr="00BC3C9C" w:rsidRDefault="00954C84" w:rsidP="00FE0B01">
      <w:pPr>
        <w:pStyle w:val="Styl3"/>
        <w:spacing w:after="0"/>
        <w:jc w:val="left"/>
        <w:rPr>
          <w:i/>
          <w:szCs w:val="22"/>
          <w:u w:val="none"/>
        </w:rPr>
      </w:pPr>
      <w:r w:rsidRPr="00BC3C9C">
        <w:rPr>
          <w:i/>
          <w:szCs w:val="22"/>
          <w:u w:val="none"/>
        </w:rPr>
        <w:t>Lítium</w:t>
      </w:r>
    </w:p>
    <w:p w14:paraId="2B8FC704" w14:textId="21E44C84" w:rsidR="00954C84" w:rsidRPr="009E286B" w:rsidRDefault="00954C84" w:rsidP="00FE0B01">
      <w:pPr>
        <w:pStyle w:val="Normlndobloku"/>
        <w:spacing w:after="0"/>
        <w:jc w:val="left"/>
        <w:rPr>
          <w:szCs w:val="22"/>
        </w:rPr>
      </w:pPr>
      <w:r w:rsidRPr="009E286B">
        <w:rPr>
          <w:szCs w:val="22"/>
        </w:rPr>
        <w:t>Sérotonínový syndróm sa môže vyskytnúť pri súčasnej liečbe venlafaxínom</w:t>
      </w:r>
      <w:r w:rsidR="005A5A9E" w:rsidRPr="009E286B">
        <w:rPr>
          <w:szCs w:val="22"/>
        </w:rPr>
        <w:t xml:space="preserve"> a </w:t>
      </w:r>
      <w:r w:rsidRPr="009E286B">
        <w:rPr>
          <w:szCs w:val="22"/>
        </w:rPr>
        <w:t>lítiom (pozri Sérotonínový syndróm).</w:t>
      </w:r>
    </w:p>
    <w:p w14:paraId="08A4B93B" w14:textId="77777777" w:rsidR="00EE3F6B" w:rsidRDefault="00EE3F6B" w:rsidP="00FE0B01">
      <w:pPr>
        <w:pStyle w:val="Styl3"/>
        <w:spacing w:after="0"/>
        <w:jc w:val="left"/>
        <w:rPr>
          <w:szCs w:val="22"/>
        </w:rPr>
      </w:pPr>
    </w:p>
    <w:p w14:paraId="45D2B5FA" w14:textId="77777777" w:rsidR="00954C84" w:rsidRPr="00BC3C9C" w:rsidRDefault="00954C84" w:rsidP="00FE0B01">
      <w:pPr>
        <w:pStyle w:val="Styl3"/>
        <w:spacing w:after="0"/>
        <w:jc w:val="left"/>
        <w:rPr>
          <w:i/>
          <w:szCs w:val="22"/>
          <w:u w:val="none"/>
        </w:rPr>
      </w:pPr>
      <w:r w:rsidRPr="00BC3C9C">
        <w:rPr>
          <w:i/>
          <w:szCs w:val="22"/>
          <w:u w:val="none"/>
        </w:rPr>
        <w:t>Diazepam</w:t>
      </w:r>
    </w:p>
    <w:p w14:paraId="5F366AE5" w14:textId="10EF78F1" w:rsidR="00954C84" w:rsidRPr="00301FE5" w:rsidRDefault="00954C84" w:rsidP="00FE0B01">
      <w:pPr>
        <w:pStyle w:val="Normlndobloku"/>
        <w:spacing w:after="0"/>
        <w:jc w:val="left"/>
        <w:rPr>
          <w:szCs w:val="22"/>
        </w:rPr>
      </w:pPr>
      <w:r w:rsidRPr="009E286B">
        <w:rPr>
          <w:szCs w:val="22"/>
        </w:rPr>
        <w:t>Venlafaxín nemá žiadny účinok na farmakokinetiku</w:t>
      </w:r>
      <w:r w:rsidR="005A5A9E" w:rsidRPr="009E286B">
        <w:rPr>
          <w:szCs w:val="22"/>
        </w:rPr>
        <w:t xml:space="preserve"> a </w:t>
      </w:r>
      <w:r w:rsidRPr="009E286B">
        <w:rPr>
          <w:szCs w:val="22"/>
        </w:rPr>
        <w:t>farmakodynamiku diazepamu</w:t>
      </w:r>
      <w:r w:rsidR="005A5A9E" w:rsidRPr="009E286B">
        <w:rPr>
          <w:szCs w:val="22"/>
        </w:rPr>
        <w:t xml:space="preserve"> a </w:t>
      </w:r>
      <w:r w:rsidRPr="009E286B">
        <w:rPr>
          <w:szCs w:val="22"/>
        </w:rPr>
        <w:t>jeho aktívneho metabolitu desmetyldiazepamu. Diazepam neovplyvňuje farmakokinetiku venlafaxínu alebo O-desmetylvenlafaxínu. Nie je známe, či existuje farmakokinetická a/alebo farmakodynamická interakcia</w:t>
      </w:r>
      <w:r w:rsidR="005A5A9E" w:rsidRPr="002D691C">
        <w:rPr>
          <w:szCs w:val="22"/>
        </w:rPr>
        <w:t xml:space="preserve"> s </w:t>
      </w:r>
      <w:r w:rsidRPr="00301FE5">
        <w:rPr>
          <w:szCs w:val="22"/>
        </w:rPr>
        <w:t>inými benzodiazepínmi.</w:t>
      </w:r>
    </w:p>
    <w:p w14:paraId="3262C48E" w14:textId="77777777" w:rsidR="00EE3F6B" w:rsidRDefault="00EE3F6B" w:rsidP="00FE0B01">
      <w:pPr>
        <w:pStyle w:val="Styl3"/>
        <w:spacing w:after="0"/>
        <w:jc w:val="left"/>
        <w:rPr>
          <w:szCs w:val="22"/>
        </w:rPr>
      </w:pPr>
    </w:p>
    <w:p w14:paraId="45AFC48F" w14:textId="77777777" w:rsidR="00954C84" w:rsidRPr="00BC3C9C" w:rsidRDefault="00954C84" w:rsidP="00FE0B01">
      <w:pPr>
        <w:pStyle w:val="Styl3"/>
        <w:spacing w:after="0"/>
        <w:jc w:val="left"/>
        <w:rPr>
          <w:i/>
          <w:szCs w:val="22"/>
          <w:u w:val="none"/>
        </w:rPr>
      </w:pPr>
      <w:r w:rsidRPr="00BC3C9C">
        <w:rPr>
          <w:i/>
          <w:szCs w:val="22"/>
          <w:u w:val="none"/>
        </w:rPr>
        <w:t>Imipramín</w:t>
      </w:r>
    </w:p>
    <w:p w14:paraId="42D831D3" w14:textId="78CFF3FE" w:rsidR="00954C84" w:rsidRPr="00301FE5" w:rsidRDefault="00954C84" w:rsidP="00FE0B01">
      <w:pPr>
        <w:pStyle w:val="Normlndobloku"/>
        <w:spacing w:after="0"/>
        <w:jc w:val="left"/>
        <w:rPr>
          <w:szCs w:val="22"/>
        </w:rPr>
      </w:pPr>
      <w:r w:rsidRPr="009E286B">
        <w:rPr>
          <w:szCs w:val="22"/>
        </w:rPr>
        <w:t>Venlafaxín neovplyvňoval farmakokinetiku imipramínu</w:t>
      </w:r>
      <w:r w:rsidR="005A5A9E" w:rsidRPr="009E286B">
        <w:rPr>
          <w:szCs w:val="22"/>
        </w:rPr>
        <w:t xml:space="preserve"> a </w:t>
      </w:r>
      <w:r w:rsidRPr="009E286B">
        <w:rPr>
          <w:szCs w:val="22"/>
        </w:rPr>
        <w:t>2-OH-imipramínu. Bolo pozorované na dávke závislé zvýšenie AUC 2-OH-desipramínu 2,5 až 4,5 násobne, keď bolo podaných denne 75</w:t>
      </w:r>
      <w:r w:rsidR="005A5A9E" w:rsidRPr="009E286B">
        <w:rPr>
          <w:szCs w:val="22"/>
        </w:rPr>
        <w:t xml:space="preserve"> mg </w:t>
      </w:r>
      <w:r w:rsidRPr="002D691C">
        <w:rPr>
          <w:szCs w:val="22"/>
        </w:rPr>
        <w:t>až 150</w:t>
      </w:r>
      <w:r w:rsidR="005A5A9E" w:rsidRPr="00301FE5">
        <w:rPr>
          <w:szCs w:val="22"/>
        </w:rPr>
        <w:t xml:space="preserve"> mg </w:t>
      </w:r>
      <w:r w:rsidRPr="00301FE5">
        <w:rPr>
          <w:szCs w:val="22"/>
        </w:rPr>
        <w:t>venlafaxínu. Imipramín neovplyvňoval farmakokinetiku venlafaxínu</w:t>
      </w:r>
      <w:r w:rsidR="005A5A9E" w:rsidRPr="00301FE5">
        <w:rPr>
          <w:szCs w:val="22"/>
        </w:rPr>
        <w:t xml:space="preserve"> a </w:t>
      </w:r>
      <w:r w:rsidRPr="00301FE5">
        <w:rPr>
          <w:szCs w:val="22"/>
        </w:rPr>
        <w:t>O-desmetylvenlafaxínu. Klinický význam tejto interakcie nie je známy. Pri súčasnom užívaní imipramínu</w:t>
      </w:r>
      <w:r w:rsidR="005A5A9E" w:rsidRPr="00301FE5">
        <w:rPr>
          <w:szCs w:val="22"/>
        </w:rPr>
        <w:t xml:space="preserve"> a </w:t>
      </w:r>
      <w:r w:rsidRPr="00301FE5">
        <w:rPr>
          <w:szCs w:val="22"/>
        </w:rPr>
        <w:t>venlafaxínu je potrebná opatrnosť.</w:t>
      </w:r>
    </w:p>
    <w:p w14:paraId="121B574D" w14:textId="77777777" w:rsidR="00EE3F6B" w:rsidRDefault="00EE3F6B" w:rsidP="00FE0B01">
      <w:pPr>
        <w:pStyle w:val="Styl3"/>
        <w:spacing w:after="0"/>
        <w:jc w:val="left"/>
        <w:rPr>
          <w:szCs w:val="22"/>
        </w:rPr>
      </w:pPr>
    </w:p>
    <w:p w14:paraId="7AFC3C6D" w14:textId="77777777" w:rsidR="00954C84" w:rsidRPr="00BC3C9C" w:rsidRDefault="00954C84" w:rsidP="00FE0B01">
      <w:pPr>
        <w:pStyle w:val="Styl3"/>
        <w:spacing w:after="0"/>
        <w:jc w:val="left"/>
        <w:rPr>
          <w:i/>
          <w:szCs w:val="22"/>
          <w:u w:val="none"/>
        </w:rPr>
      </w:pPr>
      <w:r w:rsidRPr="00BC3C9C">
        <w:rPr>
          <w:i/>
          <w:szCs w:val="22"/>
          <w:u w:val="none"/>
        </w:rPr>
        <w:t>Haloperidol</w:t>
      </w:r>
    </w:p>
    <w:p w14:paraId="58618E54" w14:textId="5CCC8CD9" w:rsidR="00954C84" w:rsidRPr="00301FE5" w:rsidRDefault="00954C84" w:rsidP="00FE0B01">
      <w:pPr>
        <w:pStyle w:val="Normlndobloku"/>
        <w:spacing w:after="0"/>
        <w:jc w:val="left"/>
        <w:rPr>
          <w:szCs w:val="22"/>
        </w:rPr>
      </w:pPr>
      <w:r w:rsidRPr="009E286B">
        <w:rPr>
          <w:szCs w:val="22"/>
        </w:rPr>
        <w:t>Farmakokinetická štúdia</w:t>
      </w:r>
      <w:r w:rsidR="005A5A9E" w:rsidRPr="009E286B">
        <w:rPr>
          <w:szCs w:val="22"/>
        </w:rPr>
        <w:t xml:space="preserve"> s </w:t>
      </w:r>
      <w:r w:rsidRPr="009E286B">
        <w:rPr>
          <w:szCs w:val="22"/>
        </w:rPr>
        <w:t>haloperidolom ukázala 42</w:t>
      </w:r>
      <w:r w:rsidR="006F7FF0" w:rsidRPr="009E286B">
        <w:rPr>
          <w:szCs w:val="22"/>
        </w:rPr>
        <w:t> %</w:t>
      </w:r>
      <w:r w:rsidRPr="009E286B">
        <w:rPr>
          <w:szCs w:val="22"/>
        </w:rPr>
        <w:t xml:space="preserve"> pokles</w:t>
      </w:r>
      <w:r w:rsidR="005A5A9E" w:rsidRPr="009E286B">
        <w:rPr>
          <w:szCs w:val="22"/>
        </w:rPr>
        <w:t xml:space="preserve"> v </w:t>
      </w:r>
      <w:r w:rsidRPr="009E286B">
        <w:rPr>
          <w:szCs w:val="22"/>
        </w:rPr>
        <w:t>celkovom perorálnom klírense, 70</w:t>
      </w:r>
      <w:r w:rsidR="006F7FF0" w:rsidRPr="009E286B">
        <w:rPr>
          <w:szCs w:val="22"/>
        </w:rPr>
        <w:t> %</w:t>
      </w:r>
      <w:r w:rsidRPr="009E286B">
        <w:rPr>
          <w:szCs w:val="22"/>
        </w:rPr>
        <w:t xml:space="preserve"> zvýšenie AUC</w:t>
      </w:r>
      <w:r w:rsidR="005A5A9E" w:rsidRPr="009E286B">
        <w:rPr>
          <w:szCs w:val="22"/>
        </w:rPr>
        <w:t xml:space="preserve"> a </w:t>
      </w:r>
      <w:r w:rsidRPr="009E286B">
        <w:rPr>
          <w:szCs w:val="22"/>
        </w:rPr>
        <w:t>88</w:t>
      </w:r>
      <w:r w:rsidR="006F7FF0" w:rsidRPr="009E286B">
        <w:rPr>
          <w:szCs w:val="22"/>
        </w:rPr>
        <w:t> %</w:t>
      </w:r>
      <w:r w:rsidRPr="009E286B">
        <w:rPr>
          <w:szCs w:val="22"/>
        </w:rPr>
        <w:t xml:space="preserve"> zvýšenie Cmax, ale bez zmeny polčasu pre haloperidol. Pri súčasnom užívaní haloperidolu</w:t>
      </w:r>
      <w:r w:rsidR="005A5A9E" w:rsidRPr="002D691C">
        <w:rPr>
          <w:szCs w:val="22"/>
        </w:rPr>
        <w:t xml:space="preserve"> a </w:t>
      </w:r>
      <w:r w:rsidRPr="00301FE5">
        <w:rPr>
          <w:szCs w:val="22"/>
        </w:rPr>
        <w:t>venlafaxínu treba preto na tieto zmeny myslieť. Klinická významnosť tejto interakcie nie je známa.</w:t>
      </w:r>
    </w:p>
    <w:p w14:paraId="3DF0E509" w14:textId="77777777" w:rsidR="00EE3F6B" w:rsidRDefault="00EE3F6B" w:rsidP="00FE0B01">
      <w:pPr>
        <w:pStyle w:val="Styl3"/>
        <w:spacing w:after="0"/>
        <w:jc w:val="left"/>
        <w:rPr>
          <w:szCs w:val="22"/>
        </w:rPr>
      </w:pPr>
    </w:p>
    <w:p w14:paraId="319E1AF6" w14:textId="77777777" w:rsidR="00954C84" w:rsidRPr="00BC3C9C" w:rsidRDefault="00954C84" w:rsidP="00FE0B01">
      <w:pPr>
        <w:pStyle w:val="Styl3"/>
        <w:spacing w:after="0"/>
        <w:jc w:val="left"/>
        <w:rPr>
          <w:i/>
          <w:szCs w:val="22"/>
          <w:u w:val="none"/>
        </w:rPr>
      </w:pPr>
      <w:r w:rsidRPr="00BC3C9C">
        <w:rPr>
          <w:i/>
          <w:szCs w:val="22"/>
          <w:u w:val="none"/>
        </w:rPr>
        <w:t>Risperidón</w:t>
      </w:r>
    </w:p>
    <w:p w14:paraId="70217941" w14:textId="0E881C40" w:rsidR="00954C84" w:rsidRPr="009E286B" w:rsidRDefault="00954C84" w:rsidP="00FE0B01">
      <w:pPr>
        <w:pStyle w:val="Normlndobloku"/>
        <w:spacing w:after="0"/>
        <w:jc w:val="left"/>
        <w:rPr>
          <w:szCs w:val="22"/>
        </w:rPr>
      </w:pPr>
      <w:r w:rsidRPr="009E286B">
        <w:rPr>
          <w:szCs w:val="22"/>
        </w:rPr>
        <w:t>Venlafaxín zvýšil AUC risperidónu o 50</w:t>
      </w:r>
      <w:r w:rsidR="006F7FF0" w:rsidRPr="009E286B">
        <w:rPr>
          <w:szCs w:val="22"/>
        </w:rPr>
        <w:t> %</w:t>
      </w:r>
      <w:r w:rsidRPr="009E286B">
        <w:rPr>
          <w:szCs w:val="22"/>
        </w:rPr>
        <w:t>, ale nemenil významne farmakokinetický profil aktívnej zložky (risperidón</w:t>
      </w:r>
      <w:r w:rsidR="005A5A9E" w:rsidRPr="009E286B">
        <w:rPr>
          <w:szCs w:val="22"/>
        </w:rPr>
        <w:t xml:space="preserve"> a </w:t>
      </w:r>
      <w:r w:rsidRPr="009E286B">
        <w:rPr>
          <w:szCs w:val="22"/>
        </w:rPr>
        <w:t>9-hydroxyrisperidón). Klinický význam tejto interakcie ostáva neznámy.</w:t>
      </w:r>
    </w:p>
    <w:p w14:paraId="5D8F6FB9" w14:textId="77777777" w:rsidR="00EE3F6B" w:rsidRDefault="00EE3F6B" w:rsidP="00FE0B01">
      <w:pPr>
        <w:pStyle w:val="Styl3"/>
        <w:spacing w:after="0"/>
        <w:jc w:val="left"/>
        <w:rPr>
          <w:szCs w:val="22"/>
        </w:rPr>
      </w:pPr>
    </w:p>
    <w:p w14:paraId="4F359B23" w14:textId="77777777" w:rsidR="00954C84" w:rsidRPr="00BC3C9C" w:rsidRDefault="00954C84" w:rsidP="00FE0B01">
      <w:pPr>
        <w:pStyle w:val="Styl3"/>
        <w:spacing w:after="0"/>
        <w:jc w:val="left"/>
        <w:rPr>
          <w:i/>
          <w:szCs w:val="22"/>
          <w:u w:val="none"/>
        </w:rPr>
      </w:pPr>
      <w:r w:rsidRPr="00BC3C9C">
        <w:rPr>
          <w:i/>
          <w:szCs w:val="22"/>
          <w:u w:val="none"/>
        </w:rPr>
        <w:t>Metoprolol</w:t>
      </w:r>
    </w:p>
    <w:p w14:paraId="0C096A65" w14:textId="05446420" w:rsidR="00954C84" w:rsidRPr="00301FE5" w:rsidRDefault="00954C84" w:rsidP="00FE0B01">
      <w:pPr>
        <w:pStyle w:val="Normlndobloku"/>
        <w:spacing w:after="0"/>
        <w:jc w:val="left"/>
        <w:rPr>
          <w:szCs w:val="22"/>
        </w:rPr>
      </w:pPr>
      <w:r w:rsidRPr="009E286B">
        <w:rPr>
          <w:szCs w:val="22"/>
        </w:rPr>
        <w:t>Súčasné užívanie venlafaxínu</w:t>
      </w:r>
      <w:r w:rsidR="005A5A9E" w:rsidRPr="009E286B">
        <w:rPr>
          <w:szCs w:val="22"/>
        </w:rPr>
        <w:t xml:space="preserve"> a </w:t>
      </w:r>
      <w:r w:rsidRPr="009E286B">
        <w:rPr>
          <w:szCs w:val="22"/>
        </w:rPr>
        <w:t>metoprololu</w:t>
      </w:r>
      <w:r w:rsidR="005A5A9E" w:rsidRPr="009E286B">
        <w:rPr>
          <w:szCs w:val="22"/>
        </w:rPr>
        <w:t xml:space="preserve"> u </w:t>
      </w:r>
      <w:r w:rsidRPr="009E286B">
        <w:rPr>
          <w:szCs w:val="22"/>
        </w:rPr>
        <w:t>zdravých dobrovoľníkov vo farmakokinetickej štúdii pre obidva lieky malo za následok zvýšenie plazmatických koncentrácií metoprololu o zhruba 30</w:t>
      </w:r>
      <w:r w:rsidR="00931757" w:rsidRPr="009E286B">
        <w:rPr>
          <w:szCs w:val="22"/>
        </w:rPr>
        <w:t> </w:t>
      </w:r>
      <w:r w:rsidR="00931757" w:rsidRPr="009E286B">
        <w:rPr>
          <w:szCs w:val="22"/>
          <w:lang w:val="cs-CZ"/>
        </w:rPr>
        <w:t>– </w:t>
      </w:r>
      <w:r w:rsidRPr="009E286B">
        <w:rPr>
          <w:szCs w:val="22"/>
        </w:rPr>
        <w:t>40</w:t>
      </w:r>
      <w:r w:rsidR="006F7FF0" w:rsidRPr="009E286B">
        <w:rPr>
          <w:szCs w:val="22"/>
        </w:rPr>
        <w:t> %</w:t>
      </w:r>
      <w:r w:rsidRPr="002D691C">
        <w:rPr>
          <w:szCs w:val="22"/>
        </w:rPr>
        <w:t xml:space="preserve"> bez zmien plaz</w:t>
      </w:r>
      <w:r w:rsidRPr="00301FE5">
        <w:rPr>
          <w:szCs w:val="22"/>
        </w:rPr>
        <w:t>matických koncentrácií jeho aktívneho metabolitu α-hydroxymetoprololu. Klinický význam tohto zistenia</w:t>
      </w:r>
      <w:r w:rsidR="005A5A9E" w:rsidRPr="00301FE5">
        <w:rPr>
          <w:szCs w:val="22"/>
        </w:rPr>
        <w:t xml:space="preserve"> u </w:t>
      </w:r>
      <w:r w:rsidRPr="00301FE5">
        <w:rPr>
          <w:szCs w:val="22"/>
        </w:rPr>
        <w:t>hypertenzných pacientov je nejasný. Metoprolol nemenil farmakokinetický profil venlafaxínu alebo jeho aktívneho metabolitu O-desmetylvenlafaxínu. Pri súbežnom podávaní venlafaxínu</w:t>
      </w:r>
      <w:r w:rsidR="005A5A9E" w:rsidRPr="00301FE5">
        <w:rPr>
          <w:szCs w:val="22"/>
        </w:rPr>
        <w:t xml:space="preserve"> a </w:t>
      </w:r>
      <w:r w:rsidRPr="00301FE5">
        <w:rPr>
          <w:szCs w:val="22"/>
        </w:rPr>
        <w:t>metoprololu je potrebná opatrnosť.</w:t>
      </w:r>
    </w:p>
    <w:p w14:paraId="62BDE3CC" w14:textId="77777777" w:rsidR="00EE3F6B" w:rsidRDefault="00EE3F6B" w:rsidP="00FE0B01">
      <w:pPr>
        <w:pStyle w:val="Styl3"/>
        <w:spacing w:after="0"/>
        <w:jc w:val="left"/>
        <w:rPr>
          <w:szCs w:val="22"/>
        </w:rPr>
      </w:pPr>
    </w:p>
    <w:p w14:paraId="60436B7F" w14:textId="77777777" w:rsidR="00954C84" w:rsidRPr="00BC3C9C" w:rsidRDefault="00954C84" w:rsidP="00FE0B01">
      <w:pPr>
        <w:pStyle w:val="Styl3"/>
        <w:spacing w:after="0"/>
        <w:jc w:val="left"/>
        <w:rPr>
          <w:i/>
          <w:szCs w:val="22"/>
          <w:u w:val="none"/>
        </w:rPr>
      </w:pPr>
      <w:r w:rsidRPr="00BC3C9C">
        <w:rPr>
          <w:i/>
          <w:szCs w:val="22"/>
          <w:u w:val="none"/>
        </w:rPr>
        <w:t>Indinavír</w:t>
      </w:r>
    </w:p>
    <w:p w14:paraId="64D83D6D" w14:textId="06DD05FF" w:rsidR="00954C84" w:rsidRPr="002D691C" w:rsidRDefault="00954C84" w:rsidP="00FE0B01">
      <w:pPr>
        <w:pStyle w:val="Normlndobloku"/>
        <w:spacing w:after="0"/>
        <w:jc w:val="left"/>
        <w:rPr>
          <w:szCs w:val="22"/>
        </w:rPr>
      </w:pPr>
      <w:r w:rsidRPr="009E286B">
        <w:rPr>
          <w:szCs w:val="22"/>
        </w:rPr>
        <w:t>Farmakokinetická štúdia</w:t>
      </w:r>
      <w:r w:rsidR="005A5A9E" w:rsidRPr="009E286B">
        <w:rPr>
          <w:szCs w:val="22"/>
        </w:rPr>
        <w:t xml:space="preserve"> s </w:t>
      </w:r>
      <w:r w:rsidRPr="009E286B">
        <w:rPr>
          <w:szCs w:val="22"/>
        </w:rPr>
        <w:t>indinavirom ukázala 28</w:t>
      </w:r>
      <w:r w:rsidR="006F7FF0" w:rsidRPr="009E286B">
        <w:rPr>
          <w:szCs w:val="22"/>
        </w:rPr>
        <w:t> %</w:t>
      </w:r>
      <w:r w:rsidRPr="009E286B">
        <w:rPr>
          <w:szCs w:val="22"/>
        </w:rPr>
        <w:t xml:space="preserve"> zníženie AUC</w:t>
      </w:r>
      <w:r w:rsidR="005A5A9E" w:rsidRPr="009E286B">
        <w:rPr>
          <w:szCs w:val="22"/>
        </w:rPr>
        <w:t xml:space="preserve"> a </w:t>
      </w:r>
      <w:r w:rsidRPr="009E286B">
        <w:rPr>
          <w:szCs w:val="22"/>
        </w:rPr>
        <w:t>36</w:t>
      </w:r>
      <w:r w:rsidR="006F7FF0" w:rsidRPr="009E286B">
        <w:rPr>
          <w:szCs w:val="22"/>
        </w:rPr>
        <w:t> %</w:t>
      </w:r>
      <w:r w:rsidRPr="009E286B">
        <w:rPr>
          <w:szCs w:val="22"/>
        </w:rPr>
        <w:t xml:space="preserve"> zníženie Cmax pre indinavir. Indinavir nemal vplyv na farmakokinetiku venlafaxínu</w:t>
      </w:r>
      <w:r w:rsidR="005A5A9E" w:rsidRPr="009E286B">
        <w:rPr>
          <w:szCs w:val="22"/>
        </w:rPr>
        <w:t xml:space="preserve"> a </w:t>
      </w:r>
      <w:r w:rsidRPr="009E286B">
        <w:rPr>
          <w:szCs w:val="22"/>
        </w:rPr>
        <w:t>O-desmetylvenlafaxínu. Klinický význam tejto interakcie nie je známy.</w:t>
      </w:r>
    </w:p>
    <w:p w14:paraId="29D8EFEA" w14:textId="77777777" w:rsidR="00EE3F6B" w:rsidRDefault="00EE3F6B" w:rsidP="00FE0B01">
      <w:pPr>
        <w:pStyle w:val="Normlndobloku"/>
        <w:spacing w:after="0"/>
        <w:jc w:val="left"/>
        <w:rPr>
          <w:szCs w:val="22"/>
        </w:rPr>
      </w:pPr>
    </w:p>
    <w:p w14:paraId="40CA155E" w14:textId="77777777" w:rsidR="002F3E3C" w:rsidRPr="00BC3C9C" w:rsidRDefault="002F3E3C" w:rsidP="00FE0B01">
      <w:pPr>
        <w:pStyle w:val="Normlndobloku"/>
        <w:spacing w:after="0"/>
        <w:jc w:val="left"/>
        <w:rPr>
          <w:i/>
          <w:szCs w:val="22"/>
        </w:rPr>
      </w:pPr>
      <w:r w:rsidRPr="00BC3C9C">
        <w:rPr>
          <w:i/>
          <w:szCs w:val="22"/>
        </w:rPr>
        <w:t>Perorálne kontraceptíva</w:t>
      </w:r>
    </w:p>
    <w:p w14:paraId="683BB365" w14:textId="04438A53" w:rsidR="002F3E3C" w:rsidRDefault="002F3E3C" w:rsidP="00FE0B01">
      <w:pPr>
        <w:pStyle w:val="Normlndobloku"/>
        <w:spacing w:after="0"/>
        <w:jc w:val="left"/>
        <w:rPr>
          <w:szCs w:val="22"/>
        </w:rPr>
      </w:pPr>
      <w:r w:rsidRPr="009E286B">
        <w:rPr>
          <w:szCs w:val="22"/>
        </w:rPr>
        <w:t>V sledovaní po uvedení lieku na trh boli nahlásené nechcené tehotenstvá u pacientok liečených venlafaxínom a zároveň užívajúcich perorálne kontraceptíva. Neexistuje priamy dôkaz, že tieto tehotenstva sú výsledkom liekov</w:t>
      </w:r>
      <w:r w:rsidRPr="002D691C">
        <w:rPr>
          <w:szCs w:val="22"/>
        </w:rPr>
        <w:t>ej</w:t>
      </w:r>
      <w:r w:rsidRPr="00301FE5">
        <w:rPr>
          <w:szCs w:val="22"/>
        </w:rPr>
        <w:t xml:space="preserve"> interakcie s venlafaxínom. Neboli vykonané žiadne interakčné štúdie s</w:t>
      </w:r>
      <w:r w:rsidRPr="00D638B3">
        <w:rPr>
          <w:szCs w:val="22"/>
        </w:rPr>
        <w:t> hormonálnymi kontraceptívami.</w:t>
      </w:r>
    </w:p>
    <w:p w14:paraId="5CD41EA4" w14:textId="77777777" w:rsidR="004643E5" w:rsidRPr="00D638B3" w:rsidRDefault="004643E5" w:rsidP="00FE0B01">
      <w:pPr>
        <w:pStyle w:val="Normlndobloku"/>
        <w:spacing w:after="0"/>
        <w:jc w:val="left"/>
        <w:rPr>
          <w:szCs w:val="22"/>
        </w:rPr>
      </w:pPr>
    </w:p>
    <w:p w14:paraId="20C1A402" w14:textId="272F966B" w:rsidR="00954C84" w:rsidRPr="00EE3F6B" w:rsidRDefault="00954C84" w:rsidP="00FE0B01">
      <w:pPr>
        <w:pStyle w:val="Styl2"/>
      </w:pPr>
      <w:r w:rsidRPr="00EE3F6B">
        <w:t>Fertilita, gravidita</w:t>
      </w:r>
      <w:r w:rsidR="005A5A9E" w:rsidRPr="00EE3F6B">
        <w:t xml:space="preserve"> a </w:t>
      </w:r>
      <w:r w:rsidRPr="00EE3F6B">
        <w:t>laktácia</w:t>
      </w:r>
    </w:p>
    <w:p w14:paraId="7C13188D" w14:textId="77777777" w:rsidR="00EE3F6B" w:rsidRDefault="00EE3F6B" w:rsidP="00FE0B01">
      <w:pPr>
        <w:pStyle w:val="Styl3"/>
        <w:spacing w:after="0"/>
        <w:jc w:val="left"/>
        <w:rPr>
          <w:szCs w:val="22"/>
        </w:rPr>
      </w:pPr>
    </w:p>
    <w:p w14:paraId="3FBD96AD" w14:textId="77777777" w:rsidR="00954C84" w:rsidRPr="00EE3F6B" w:rsidRDefault="00954C84" w:rsidP="00FE0B01">
      <w:pPr>
        <w:pStyle w:val="Styl3"/>
        <w:spacing w:after="0"/>
        <w:jc w:val="left"/>
        <w:rPr>
          <w:szCs w:val="22"/>
        </w:rPr>
      </w:pPr>
      <w:r w:rsidRPr="00EE3F6B">
        <w:rPr>
          <w:szCs w:val="22"/>
        </w:rPr>
        <w:t>Gravidita</w:t>
      </w:r>
    </w:p>
    <w:p w14:paraId="674A3C4B" w14:textId="50660312" w:rsidR="00954C84" w:rsidRDefault="00954C84" w:rsidP="00FE0B01">
      <w:pPr>
        <w:pStyle w:val="Normlndobloku"/>
        <w:spacing w:after="0"/>
        <w:jc w:val="left"/>
        <w:rPr>
          <w:szCs w:val="22"/>
        </w:rPr>
      </w:pPr>
      <w:r w:rsidRPr="009E286B">
        <w:rPr>
          <w:szCs w:val="22"/>
        </w:rPr>
        <w:t>O použití venlafaxínu</w:t>
      </w:r>
      <w:r w:rsidR="005A5A9E" w:rsidRPr="009E286B">
        <w:rPr>
          <w:szCs w:val="22"/>
        </w:rPr>
        <w:t xml:space="preserve"> u </w:t>
      </w:r>
      <w:r w:rsidRPr="009E286B">
        <w:rPr>
          <w:szCs w:val="22"/>
        </w:rPr>
        <w:t>tehotných žien nie sú dostatočné údaje.</w:t>
      </w:r>
    </w:p>
    <w:p w14:paraId="50A852AB" w14:textId="77777777" w:rsidR="004643E5" w:rsidRPr="009E286B" w:rsidRDefault="004643E5" w:rsidP="00FE0B01">
      <w:pPr>
        <w:pStyle w:val="Normlndobloku"/>
        <w:spacing w:after="0"/>
        <w:jc w:val="left"/>
        <w:rPr>
          <w:szCs w:val="22"/>
        </w:rPr>
      </w:pPr>
    </w:p>
    <w:p w14:paraId="25F7F419" w14:textId="77777777" w:rsidR="00954C84" w:rsidRPr="009E286B" w:rsidRDefault="00954C84" w:rsidP="00FE0B01">
      <w:pPr>
        <w:pStyle w:val="Normlndobloku"/>
        <w:spacing w:after="0"/>
        <w:jc w:val="left"/>
        <w:rPr>
          <w:szCs w:val="22"/>
        </w:rPr>
      </w:pPr>
      <w:r w:rsidRPr="009E286B">
        <w:rPr>
          <w:szCs w:val="22"/>
        </w:rPr>
        <w:t>Štúdie na zvieratách ukázali reprodukčnú toxicitu (pozri časť 5.3). Potenciálne riziko pre ľudí je neznáme. Venlafaxín môže byť podaný tehotným ženám iba ak očakávaný účinok prevýši možné riziko.</w:t>
      </w:r>
    </w:p>
    <w:p w14:paraId="345C174F" w14:textId="31FD2F82" w:rsidR="00954C84" w:rsidRDefault="00954C84" w:rsidP="00FE0B01">
      <w:pPr>
        <w:pStyle w:val="Normlndobloku"/>
        <w:spacing w:after="0"/>
        <w:jc w:val="left"/>
        <w:rPr>
          <w:szCs w:val="22"/>
        </w:rPr>
      </w:pPr>
      <w:r w:rsidRPr="002D691C">
        <w:rPr>
          <w:szCs w:val="22"/>
        </w:rPr>
        <w:t>Ako aj</w:t>
      </w:r>
      <w:r w:rsidR="005A5A9E" w:rsidRPr="00301FE5">
        <w:rPr>
          <w:szCs w:val="22"/>
        </w:rPr>
        <w:t xml:space="preserve"> u </w:t>
      </w:r>
      <w:r w:rsidRPr="00301FE5">
        <w:rPr>
          <w:szCs w:val="22"/>
        </w:rPr>
        <w:t>iných inhibítorov spätného vychytávania sérotonínu (SSRI/SNRI), ak sa venlafaxín užíva do alebo tesne pred pôrodom, môžu sa</w:t>
      </w:r>
      <w:r w:rsidR="005A5A9E" w:rsidRPr="00301FE5">
        <w:rPr>
          <w:szCs w:val="22"/>
        </w:rPr>
        <w:t xml:space="preserve"> u </w:t>
      </w:r>
      <w:r w:rsidRPr="00301FE5">
        <w:rPr>
          <w:szCs w:val="22"/>
        </w:rPr>
        <w:t>novorodenca vyskytnúť príznaky</w:t>
      </w:r>
      <w:r w:rsidR="005A5A9E" w:rsidRPr="00301FE5">
        <w:rPr>
          <w:szCs w:val="22"/>
        </w:rPr>
        <w:t xml:space="preserve"> z </w:t>
      </w:r>
      <w:r w:rsidRPr="00301FE5">
        <w:rPr>
          <w:szCs w:val="22"/>
        </w:rPr>
        <w:t>vysadenia. Niektorí novorodenci, ktorí boli vystavení venlafaxínu</w:t>
      </w:r>
      <w:r w:rsidR="005A5A9E" w:rsidRPr="00301FE5">
        <w:rPr>
          <w:szCs w:val="22"/>
        </w:rPr>
        <w:t xml:space="preserve"> v </w:t>
      </w:r>
      <w:r w:rsidRPr="00301FE5">
        <w:rPr>
          <w:szCs w:val="22"/>
        </w:rPr>
        <w:t>neskoršom štádiu tretieho trimestra vyžadovali výživu gastrickou sondou, podporu dýchania</w:t>
      </w:r>
      <w:r w:rsidR="005A5A9E" w:rsidRPr="00D638B3">
        <w:rPr>
          <w:szCs w:val="22"/>
        </w:rPr>
        <w:t xml:space="preserve"> a </w:t>
      </w:r>
      <w:r w:rsidRPr="00D638B3">
        <w:rPr>
          <w:szCs w:val="22"/>
        </w:rPr>
        <w:t>dlhší čas strávený</w:t>
      </w:r>
      <w:r w:rsidR="005A5A9E" w:rsidRPr="00454074">
        <w:rPr>
          <w:szCs w:val="22"/>
        </w:rPr>
        <w:t xml:space="preserve"> v </w:t>
      </w:r>
      <w:r w:rsidRPr="00BC3C9C">
        <w:rPr>
          <w:szCs w:val="22"/>
        </w:rPr>
        <w:t>nemocnici. Tieto komplikácie sa môžu objaviť tesne po pôrode.</w:t>
      </w:r>
    </w:p>
    <w:p w14:paraId="647859D6" w14:textId="77777777" w:rsidR="004643E5" w:rsidRPr="00D638B3" w:rsidRDefault="004643E5" w:rsidP="00FE0B01">
      <w:pPr>
        <w:pStyle w:val="Normlndobloku"/>
        <w:spacing w:after="0"/>
        <w:jc w:val="left"/>
        <w:rPr>
          <w:szCs w:val="22"/>
        </w:rPr>
      </w:pPr>
    </w:p>
    <w:p w14:paraId="60F0029F" w14:textId="77777777" w:rsidR="003A43B8" w:rsidRDefault="003A43B8" w:rsidP="00FE0B01">
      <w:pPr>
        <w:pStyle w:val="Normlndobloku"/>
        <w:spacing w:after="0"/>
        <w:jc w:val="left"/>
        <w:rPr>
          <w:szCs w:val="22"/>
        </w:rPr>
      </w:pPr>
      <w:r w:rsidRPr="00D638B3">
        <w:rPr>
          <w:szCs w:val="22"/>
        </w:rPr>
        <w:t xml:space="preserve">Epidemiologické štúdie naznačujú, že použitie SSRI počas tehotenstva, najmä počas pokročilého tehotenstva, môže zvýšiť riziko vzniku perzistujúcej pľúcnej hypertenzie novorodencov (PPHN). Aj keď sa v žiadnych štúdiách neskúmal </w:t>
      </w:r>
      <w:r w:rsidRPr="00454074">
        <w:rPr>
          <w:szCs w:val="22"/>
        </w:rPr>
        <w:t>vzťah medzi</w:t>
      </w:r>
      <w:r w:rsidRPr="00BC3C9C">
        <w:rPr>
          <w:szCs w:val="22"/>
        </w:rPr>
        <w:t xml:space="preserve"> PPHN a užívaním blokátorov spätného vychytávania sérotonínu a noradrenalínu, potenciálne riziko vzniku PPHN pri používaní venlafaxínu nemôže byť vylúčené vzhľadom na mechanizmus účinku podobný so SSRI (inhibícia spätného vychytávania sérotonínu).</w:t>
      </w:r>
    </w:p>
    <w:p w14:paraId="781B6046" w14:textId="77777777" w:rsidR="004643E5" w:rsidRPr="00D638B3" w:rsidRDefault="004643E5" w:rsidP="00FE0B01">
      <w:pPr>
        <w:pStyle w:val="Normlndobloku"/>
        <w:spacing w:after="0"/>
        <w:jc w:val="left"/>
        <w:rPr>
          <w:szCs w:val="22"/>
        </w:rPr>
      </w:pPr>
    </w:p>
    <w:p w14:paraId="4BF6FC54" w14:textId="7A73F930" w:rsidR="00954C84" w:rsidRPr="00BC3C9C" w:rsidRDefault="00954C84" w:rsidP="00FE0B01">
      <w:pPr>
        <w:pStyle w:val="Normlndobloku"/>
        <w:spacing w:after="0"/>
        <w:jc w:val="left"/>
        <w:rPr>
          <w:szCs w:val="22"/>
        </w:rPr>
      </w:pPr>
      <w:r w:rsidRPr="00454074">
        <w:rPr>
          <w:szCs w:val="22"/>
        </w:rPr>
        <w:t>Ak matk</w:t>
      </w:r>
      <w:r w:rsidRPr="00BC3C9C">
        <w:rPr>
          <w:szCs w:val="22"/>
        </w:rPr>
        <w:t>a používala SSRI/SNRI do neskorého tehotenstva,</w:t>
      </w:r>
      <w:r w:rsidR="005A5A9E" w:rsidRPr="00BC3C9C">
        <w:rPr>
          <w:szCs w:val="22"/>
        </w:rPr>
        <w:t xml:space="preserve"> u </w:t>
      </w:r>
      <w:r w:rsidRPr="00BC3C9C">
        <w:rPr>
          <w:szCs w:val="22"/>
        </w:rPr>
        <w:t>novorodencov sa môžu vyskytnúť tieto príznaky: podráždenosť, tras, hypotónia, vytrvalý plač, problémy pri dojčení alebo pri spaní. Tieto príznaky môžu byť spôsobené sérotonínergnými účinkami alebo symptómami</w:t>
      </w:r>
      <w:r w:rsidR="005A5A9E" w:rsidRPr="00BC3C9C">
        <w:rPr>
          <w:szCs w:val="22"/>
        </w:rPr>
        <w:t xml:space="preserve"> z </w:t>
      </w:r>
      <w:r w:rsidRPr="00BC3C9C">
        <w:rPr>
          <w:szCs w:val="22"/>
        </w:rPr>
        <w:t>expozície. Vo väčšine prípadov sú tieto komplikácie pozorované ihneď alebo do 24 hodín po pôrode.</w:t>
      </w:r>
    </w:p>
    <w:p w14:paraId="03A1D7DB" w14:textId="77777777" w:rsidR="00EE3F6B" w:rsidRDefault="00EE3F6B" w:rsidP="00FE0B01">
      <w:pPr>
        <w:pStyle w:val="Styl3"/>
        <w:spacing w:after="0"/>
        <w:jc w:val="left"/>
        <w:rPr>
          <w:szCs w:val="22"/>
        </w:rPr>
      </w:pPr>
    </w:p>
    <w:p w14:paraId="303EAC23" w14:textId="1A0350F3" w:rsidR="00954C84" w:rsidRPr="00EE3F6B" w:rsidRDefault="004643E5" w:rsidP="00FE0B01">
      <w:pPr>
        <w:pStyle w:val="Styl3"/>
        <w:spacing w:after="0"/>
        <w:jc w:val="left"/>
        <w:rPr>
          <w:szCs w:val="22"/>
        </w:rPr>
      </w:pPr>
      <w:r>
        <w:rPr>
          <w:szCs w:val="22"/>
        </w:rPr>
        <w:t>Dojčenie</w:t>
      </w:r>
    </w:p>
    <w:p w14:paraId="163FEDC2" w14:textId="76B65698" w:rsidR="00954C84" w:rsidRDefault="00954C84" w:rsidP="00FE0B01">
      <w:pPr>
        <w:pStyle w:val="Normlndobloku"/>
        <w:spacing w:after="0"/>
        <w:jc w:val="left"/>
        <w:rPr>
          <w:szCs w:val="22"/>
        </w:rPr>
      </w:pPr>
      <w:r w:rsidRPr="009E286B">
        <w:rPr>
          <w:szCs w:val="22"/>
        </w:rPr>
        <w:t>Venlafaxín</w:t>
      </w:r>
      <w:r w:rsidR="005A5A9E" w:rsidRPr="009E286B">
        <w:rPr>
          <w:szCs w:val="22"/>
        </w:rPr>
        <w:t xml:space="preserve"> a </w:t>
      </w:r>
      <w:r w:rsidRPr="009E286B">
        <w:rPr>
          <w:szCs w:val="22"/>
        </w:rPr>
        <w:t>jeho aktívny metabolit, O-desmetylvenlafaxín sa vylučujú do materského mlieka. Po uvedení na trh boli</w:t>
      </w:r>
      <w:r w:rsidR="005A5A9E" w:rsidRPr="009E286B">
        <w:rPr>
          <w:szCs w:val="22"/>
        </w:rPr>
        <w:t xml:space="preserve"> u </w:t>
      </w:r>
      <w:r w:rsidRPr="009E286B">
        <w:rPr>
          <w:szCs w:val="22"/>
        </w:rPr>
        <w:t>dojčiat hlásené prípady plačlivosti, podráždenosti</w:t>
      </w:r>
      <w:r w:rsidR="005A5A9E" w:rsidRPr="009E286B">
        <w:rPr>
          <w:szCs w:val="22"/>
        </w:rPr>
        <w:t xml:space="preserve"> a </w:t>
      </w:r>
      <w:r w:rsidRPr="009E286B">
        <w:rPr>
          <w:szCs w:val="22"/>
        </w:rPr>
        <w:t>porúch spánku. Po ukončení dojčenia boli hlásené tie isté symptómy ako po ukončení podávania venlafaxínu. Riziko požitia dieťaťom pri kojení nemôže byť vylúčené. Preto by sa malo urobiť rozhodn</w:t>
      </w:r>
      <w:r w:rsidRPr="002D691C">
        <w:rPr>
          <w:szCs w:val="22"/>
        </w:rPr>
        <w:t>utie o pokračovaní/prerušení kojenia alebo pokračovaní/prerušení liečby</w:t>
      </w:r>
      <w:r w:rsidR="005A5A9E" w:rsidRPr="00301FE5">
        <w:rPr>
          <w:szCs w:val="22"/>
        </w:rPr>
        <w:t xml:space="preserve"> s </w:t>
      </w:r>
      <w:r w:rsidRPr="00301FE5">
        <w:rPr>
          <w:szCs w:val="22"/>
        </w:rPr>
        <w:t>ELIFY XR, pričom sa majú brať do úvahy výhody kojenia pre dieťa</w:t>
      </w:r>
      <w:r w:rsidR="005A5A9E" w:rsidRPr="00301FE5">
        <w:rPr>
          <w:szCs w:val="22"/>
        </w:rPr>
        <w:t xml:space="preserve"> a </w:t>
      </w:r>
      <w:r w:rsidRPr="00301FE5">
        <w:rPr>
          <w:szCs w:val="22"/>
        </w:rPr>
        <w:t>výhody liečby</w:t>
      </w:r>
      <w:r w:rsidR="005A5A9E" w:rsidRPr="00301FE5">
        <w:rPr>
          <w:szCs w:val="22"/>
        </w:rPr>
        <w:t xml:space="preserve"> s </w:t>
      </w:r>
      <w:r w:rsidRPr="00301FE5">
        <w:rPr>
          <w:szCs w:val="22"/>
        </w:rPr>
        <w:t>ELIFY XR pre ženu.</w:t>
      </w:r>
    </w:p>
    <w:p w14:paraId="72E29F22" w14:textId="77777777" w:rsidR="00EE3F6B" w:rsidRPr="00EE3F6B" w:rsidRDefault="00EE3F6B" w:rsidP="00FE0B01">
      <w:pPr>
        <w:pStyle w:val="Normlndobloku"/>
        <w:spacing w:after="0"/>
        <w:jc w:val="left"/>
        <w:rPr>
          <w:szCs w:val="22"/>
        </w:rPr>
      </w:pPr>
    </w:p>
    <w:p w14:paraId="2B587635" w14:textId="526339D5" w:rsidR="00954C84" w:rsidRPr="00D638B3" w:rsidRDefault="00954C84" w:rsidP="00FE0B01">
      <w:pPr>
        <w:pStyle w:val="Styl2"/>
      </w:pPr>
      <w:r w:rsidRPr="00D638B3">
        <w:t>Ovplyvnenie schopnosti viesť motorové vozidlá</w:t>
      </w:r>
      <w:r w:rsidR="005A5A9E" w:rsidRPr="00D638B3">
        <w:t xml:space="preserve"> a </w:t>
      </w:r>
      <w:r w:rsidRPr="00D638B3">
        <w:t>obsluhovať stroje</w:t>
      </w:r>
    </w:p>
    <w:p w14:paraId="5AC491EE" w14:textId="77777777" w:rsidR="00D638B3" w:rsidRPr="00D638B3" w:rsidRDefault="00D638B3" w:rsidP="00FE0B01">
      <w:pPr>
        <w:pStyle w:val="Normlndobloku"/>
        <w:spacing w:after="0"/>
        <w:jc w:val="left"/>
        <w:rPr>
          <w:szCs w:val="22"/>
        </w:rPr>
      </w:pPr>
    </w:p>
    <w:p w14:paraId="690812C0" w14:textId="172EEC8B" w:rsidR="00954C84" w:rsidRDefault="00954C84" w:rsidP="00FE0B01">
      <w:pPr>
        <w:pStyle w:val="Normlndobloku"/>
        <w:spacing w:after="0"/>
        <w:jc w:val="left"/>
        <w:rPr>
          <w:szCs w:val="22"/>
        </w:rPr>
      </w:pPr>
      <w:r w:rsidRPr="00454074">
        <w:rPr>
          <w:szCs w:val="22"/>
        </w:rPr>
        <w:t>Akýkoľvek</w:t>
      </w:r>
      <w:r w:rsidRPr="009E286B">
        <w:rPr>
          <w:szCs w:val="22"/>
        </w:rPr>
        <w:t xml:space="preserve"> psychoaktívny liek môže narušiť úsudok, myslenie</w:t>
      </w:r>
      <w:r w:rsidR="005A5A9E" w:rsidRPr="009E286B">
        <w:rPr>
          <w:szCs w:val="22"/>
        </w:rPr>
        <w:t xml:space="preserve"> a </w:t>
      </w:r>
      <w:r w:rsidRPr="009E286B">
        <w:rPr>
          <w:szCs w:val="22"/>
        </w:rPr>
        <w:t>motorické schopnosti. Preto, každý pacient, ktorý užíva venlafaxín má byť upozornený na zmenu jeho schopnosti viesť motorové vozidlá alebo obsluhovať nebezpečné stroje.</w:t>
      </w:r>
    </w:p>
    <w:p w14:paraId="7AFFCC7D" w14:textId="77777777" w:rsidR="00EE3F6B" w:rsidRPr="00EE3F6B" w:rsidRDefault="00EE3F6B" w:rsidP="00FE0B01">
      <w:pPr>
        <w:pStyle w:val="Normlndobloku"/>
        <w:spacing w:after="0"/>
        <w:jc w:val="left"/>
        <w:rPr>
          <w:szCs w:val="22"/>
        </w:rPr>
      </w:pPr>
    </w:p>
    <w:p w14:paraId="05FA23CD" w14:textId="4FD68715" w:rsidR="00954C84" w:rsidRPr="00EE3F6B" w:rsidRDefault="00954C84" w:rsidP="00FE0B01">
      <w:pPr>
        <w:pStyle w:val="Styl2"/>
      </w:pPr>
      <w:r w:rsidRPr="00EE3F6B">
        <w:t>Nežiaduce účinky</w:t>
      </w:r>
    </w:p>
    <w:p w14:paraId="1BAE1881" w14:textId="77777777" w:rsidR="00D638B3" w:rsidRDefault="00D638B3" w:rsidP="00FE0B01">
      <w:pPr>
        <w:pStyle w:val="Normlndobloku"/>
        <w:spacing w:after="0"/>
        <w:jc w:val="left"/>
        <w:rPr>
          <w:szCs w:val="22"/>
        </w:rPr>
      </w:pPr>
    </w:p>
    <w:p w14:paraId="66381465" w14:textId="28EB66FA" w:rsidR="00954C84" w:rsidRPr="009E286B" w:rsidRDefault="00954C84" w:rsidP="00FE0B01">
      <w:pPr>
        <w:pStyle w:val="Normlndobloku"/>
        <w:spacing w:after="0"/>
        <w:jc w:val="left"/>
        <w:rPr>
          <w:szCs w:val="22"/>
        </w:rPr>
      </w:pPr>
      <w:r w:rsidRPr="009E286B">
        <w:rPr>
          <w:szCs w:val="22"/>
        </w:rPr>
        <w:t>Najčastejšie (&gt;1/10) hlásené nežiaduce účinky</w:t>
      </w:r>
      <w:r w:rsidR="005A5A9E" w:rsidRPr="009E286B">
        <w:rPr>
          <w:szCs w:val="22"/>
        </w:rPr>
        <w:t xml:space="preserve"> v </w:t>
      </w:r>
      <w:r w:rsidRPr="009E286B">
        <w:rPr>
          <w:szCs w:val="22"/>
        </w:rPr>
        <w:t>klinických štúdiách boli nevoľnosť, suchosť</w:t>
      </w:r>
      <w:r w:rsidR="005A5A9E" w:rsidRPr="009E286B">
        <w:rPr>
          <w:szCs w:val="22"/>
        </w:rPr>
        <w:t xml:space="preserve"> v </w:t>
      </w:r>
      <w:r w:rsidRPr="009E286B">
        <w:rPr>
          <w:szCs w:val="22"/>
        </w:rPr>
        <w:t>ústach, bolesť hlavy</w:t>
      </w:r>
      <w:r w:rsidR="005A5A9E" w:rsidRPr="009E286B">
        <w:rPr>
          <w:szCs w:val="22"/>
        </w:rPr>
        <w:t xml:space="preserve"> a </w:t>
      </w:r>
      <w:r w:rsidRPr="009E286B">
        <w:rPr>
          <w:szCs w:val="22"/>
        </w:rPr>
        <w:t>potenie (vrátane nočného potenia).</w:t>
      </w:r>
    </w:p>
    <w:p w14:paraId="10735B5C" w14:textId="0BBBF4FF" w:rsidR="00954C84" w:rsidRPr="00301FE5" w:rsidRDefault="00954C84" w:rsidP="00FE0B01">
      <w:pPr>
        <w:pStyle w:val="Normlndobloku"/>
        <w:spacing w:after="0"/>
        <w:jc w:val="left"/>
        <w:rPr>
          <w:szCs w:val="22"/>
        </w:rPr>
      </w:pPr>
      <w:r w:rsidRPr="002D691C">
        <w:rPr>
          <w:szCs w:val="22"/>
        </w:rPr>
        <w:t>Nežiaduce účinky sú zoradené nižšie podľa triedy orgánových systémov</w:t>
      </w:r>
      <w:r w:rsidR="005A5A9E" w:rsidRPr="00301FE5">
        <w:rPr>
          <w:szCs w:val="22"/>
        </w:rPr>
        <w:t xml:space="preserve"> a </w:t>
      </w:r>
      <w:r w:rsidRPr="00301FE5">
        <w:rPr>
          <w:szCs w:val="22"/>
        </w:rPr>
        <w:t>frekvencie.</w:t>
      </w:r>
    </w:p>
    <w:p w14:paraId="5AE6B483" w14:textId="25A10AC3" w:rsidR="00954C84" w:rsidRPr="00301FE5" w:rsidRDefault="00954C84" w:rsidP="00FE0B01">
      <w:pPr>
        <w:pStyle w:val="Normlndobloku"/>
        <w:spacing w:after="0"/>
        <w:jc w:val="left"/>
        <w:rPr>
          <w:szCs w:val="22"/>
        </w:rPr>
      </w:pPr>
      <w:r w:rsidRPr="00301FE5">
        <w:rPr>
          <w:szCs w:val="22"/>
        </w:rPr>
        <w:t>Frekvencie sú definované ako: veľmi časté (≥1/10), časté (≥1/100 až &lt;1/10), menej časté (≥1/1000 až &lt;1/100), zriedkavé (≥1/10000 až &lt;1/1000), veľmi zriedkavé (&lt;1/10000), neznáme (z dostupných údajov).</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558"/>
        <w:gridCol w:w="1703"/>
        <w:gridCol w:w="1559"/>
        <w:gridCol w:w="1417"/>
        <w:gridCol w:w="1560"/>
      </w:tblGrid>
      <w:tr w:rsidR="007E630E" w:rsidRPr="00EE3F6B" w14:paraId="3BE51DBE" w14:textId="739E71B9" w:rsidTr="00A4261C">
        <w:trPr>
          <w:tblHeader/>
          <w:jc w:val="center"/>
        </w:trPr>
        <w:tc>
          <w:tcPr>
            <w:tcW w:w="1696" w:type="dxa"/>
          </w:tcPr>
          <w:p w14:paraId="4C97A79E" w14:textId="77777777" w:rsidR="00762A0A" w:rsidRPr="00301FE5" w:rsidRDefault="00762A0A" w:rsidP="00FE0B01">
            <w:pPr>
              <w:pStyle w:val="Jinnadpis"/>
            </w:pPr>
            <w:r w:rsidRPr="00301FE5">
              <w:t>Orgánový systém</w:t>
            </w:r>
          </w:p>
        </w:tc>
        <w:tc>
          <w:tcPr>
            <w:tcW w:w="1558" w:type="dxa"/>
          </w:tcPr>
          <w:p w14:paraId="710636EB" w14:textId="77777777" w:rsidR="00762A0A" w:rsidRPr="00301FE5" w:rsidRDefault="00762A0A" w:rsidP="00FE0B01">
            <w:pPr>
              <w:pStyle w:val="Jinnadpis"/>
            </w:pPr>
            <w:r w:rsidRPr="00301FE5">
              <w:t>Veľmi časté</w:t>
            </w:r>
          </w:p>
        </w:tc>
        <w:tc>
          <w:tcPr>
            <w:tcW w:w="1703" w:type="dxa"/>
          </w:tcPr>
          <w:p w14:paraId="1675C7B7" w14:textId="77777777" w:rsidR="00762A0A" w:rsidRPr="00301FE5" w:rsidRDefault="00762A0A" w:rsidP="00FE0B01">
            <w:pPr>
              <w:pStyle w:val="Jinnadpis"/>
            </w:pPr>
            <w:r w:rsidRPr="00301FE5">
              <w:t>Časté</w:t>
            </w:r>
          </w:p>
        </w:tc>
        <w:tc>
          <w:tcPr>
            <w:tcW w:w="1559" w:type="dxa"/>
          </w:tcPr>
          <w:p w14:paraId="3F7B7226" w14:textId="77777777" w:rsidR="00762A0A" w:rsidRPr="00301FE5" w:rsidRDefault="00762A0A" w:rsidP="00FE0B01">
            <w:pPr>
              <w:pStyle w:val="Jinnadpis"/>
            </w:pPr>
            <w:r w:rsidRPr="00301FE5">
              <w:t>Menej časté</w:t>
            </w:r>
          </w:p>
        </w:tc>
        <w:tc>
          <w:tcPr>
            <w:tcW w:w="1417" w:type="dxa"/>
          </w:tcPr>
          <w:p w14:paraId="7DD6FE42" w14:textId="0C45474F" w:rsidR="00762A0A" w:rsidRPr="00EE3F6B" w:rsidRDefault="00D638B3" w:rsidP="00FE0B01">
            <w:pPr>
              <w:pStyle w:val="Jinnadpis"/>
            </w:pPr>
            <w:r>
              <w:t>Zriedkavé</w:t>
            </w:r>
          </w:p>
        </w:tc>
        <w:tc>
          <w:tcPr>
            <w:tcW w:w="1560" w:type="dxa"/>
          </w:tcPr>
          <w:p w14:paraId="207DAD16" w14:textId="45FFBD83" w:rsidR="00762A0A" w:rsidRPr="00EE3F6B" w:rsidRDefault="00D638B3" w:rsidP="00FE0B01">
            <w:pPr>
              <w:pStyle w:val="Jinnadpis"/>
            </w:pPr>
            <w:r>
              <w:t>N</w:t>
            </w:r>
            <w:r w:rsidR="007E630E" w:rsidRPr="00EE3F6B">
              <w:t>eznám</w:t>
            </w:r>
            <w:r>
              <w:t>e</w:t>
            </w:r>
            <w:r w:rsidR="007E630E" w:rsidRPr="00EE3F6B">
              <w:t xml:space="preserve"> </w:t>
            </w:r>
          </w:p>
        </w:tc>
      </w:tr>
      <w:tr w:rsidR="007E630E" w:rsidRPr="00EE3F6B" w14:paraId="42513001" w14:textId="1065E79B" w:rsidTr="00A4261C">
        <w:trPr>
          <w:jc w:val="center"/>
        </w:trPr>
        <w:tc>
          <w:tcPr>
            <w:tcW w:w="1696" w:type="dxa"/>
          </w:tcPr>
          <w:p w14:paraId="5FB2CDED" w14:textId="131F27E6" w:rsidR="00762A0A" w:rsidRPr="00EE3F6B" w:rsidRDefault="00762A0A"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Poruchy krvi a lymfatického systému</w:t>
            </w:r>
          </w:p>
        </w:tc>
        <w:tc>
          <w:tcPr>
            <w:tcW w:w="1558" w:type="dxa"/>
          </w:tcPr>
          <w:p w14:paraId="6992D702" w14:textId="77777777" w:rsidR="00762A0A" w:rsidRPr="00EE3F6B" w:rsidRDefault="00762A0A" w:rsidP="00FE0B01">
            <w:pPr>
              <w:autoSpaceDE w:val="0"/>
              <w:autoSpaceDN w:val="0"/>
              <w:adjustRightInd w:val="0"/>
              <w:spacing w:after="0" w:line="240" w:lineRule="auto"/>
              <w:rPr>
                <w:rFonts w:ascii="Times New Roman" w:hAnsi="Times New Roman" w:cs="Times New Roman"/>
              </w:rPr>
            </w:pPr>
          </w:p>
        </w:tc>
        <w:tc>
          <w:tcPr>
            <w:tcW w:w="1703" w:type="dxa"/>
          </w:tcPr>
          <w:p w14:paraId="414F66BB" w14:textId="77777777" w:rsidR="00762A0A" w:rsidRPr="00EE3F6B" w:rsidRDefault="00762A0A" w:rsidP="00FE0B01">
            <w:pPr>
              <w:autoSpaceDE w:val="0"/>
              <w:autoSpaceDN w:val="0"/>
              <w:adjustRightInd w:val="0"/>
              <w:spacing w:after="0" w:line="240" w:lineRule="auto"/>
              <w:rPr>
                <w:rFonts w:ascii="Times New Roman" w:hAnsi="Times New Roman" w:cs="Times New Roman"/>
              </w:rPr>
            </w:pPr>
          </w:p>
        </w:tc>
        <w:tc>
          <w:tcPr>
            <w:tcW w:w="1559" w:type="dxa"/>
          </w:tcPr>
          <w:p w14:paraId="1E24E934" w14:textId="7F163117" w:rsidR="00762A0A" w:rsidRPr="009E286B" w:rsidRDefault="00762A0A" w:rsidP="00FE0B01">
            <w:pPr>
              <w:autoSpaceDE w:val="0"/>
              <w:autoSpaceDN w:val="0"/>
              <w:adjustRightInd w:val="0"/>
              <w:spacing w:after="0" w:line="240" w:lineRule="auto"/>
              <w:rPr>
                <w:rFonts w:ascii="Times New Roman" w:hAnsi="Times New Roman" w:cs="Times New Roman"/>
              </w:rPr>
            </w:pPr>
          </w:p>
        </w:tc>
        <w:tc>
          <w:tcPr>
            <w:tcW w:w="1417" w:type="dxa"/>
          </w:tcPr>
          <w:p w14:paraId="09133E7E" w14:textId="77777777" w:rsidR="00762A0A" w:rsidRPr="009E286B" w:rsidRDefault="00762A0A" w:rsidP="00FE0B01">
            <w:pPr>
              <w:autoSpaceDE w:val="0"/>
              <w:autoSpaceDN w:val="0"/>
              <w:adjustRightInd w:val="0"/>
              <w:spacing w:after="0" w:line="240" w:lineRule="auto"/>
              <w:rPr>
                <w:rFonts w:ascii="Times New Roman" w:hAnsi="Times New Roman" w:cs="Times New Roman"/>
              </w:rPr>
            </w:pPr>
          </w:p>
        </w:tc>
        <w:tc>
          <w:tcPr>
            <w:tcW w:w="1560" w:type="dxa"/>
          </w:tcPr>
          <w:p w14:paraId="3072EB25" w14:textId="14A0A8B3" w:rsidR="00762A0A" w:rsidRPr="00EE3F6B" w:rsidRDefault="007E630E" w:rsidP="00FE0B01">
            <w:pPr>
              <w:autoSpaceDE w:val="0"/>
              <w:autoSpaceDN w:val="0"/>
              <w:adjustRightInd w:val="0"/>
              <w:spacing w:after="0" w:line="240" w:lineRule="auto"/>
              <w:rPr>
                <w:rFonts w:ascii="Times New Roman" w:hAnsi="Times New Roman" w:cs="Times New Roman"/>
              </w:rPr>
            </w:pPr>
            <w:r w:rsidRPr="002D691C">
              <w:rPr>
                <w:rFonts w:ascii="Times New Roman" w:hAnsi="Times New Roman" w:cs="Times New Roman"/>
              </w:rPr>
              <w:t>Trombocyto</w:t>
            </w:r>
            <w:r w:rsidRPr="00301FE5">
              <w:rPr>
                <w:rFonts w:ascii="Times New Roman" w:hAnsi="Times New Roman" w:cs="Times New Roman"/>
              </w:rPr>
              <w:t>-pénia, poruchy krvi (vrátane agranulocy-tózy, aplas</w:t>
            </w:r>
            <w:r w:rsidR="00ED75F8" w:rsidRPr="00301FE5">
              <w:rPr>
                <w:rFonts w:ascii="Times New Roman" w:hAnsi="Times New Roman" w:cs="Times New Roman"/>
              </w:rPr>
              <w:t>-</w:t>
            </w:r>
            <w:r w:rsidRPr="00301FE5">
              <w:rPr>
                <w:rFonts w:ascii="Times New Roman" w:hAnsi="Times New Roman" w:cs="Times New Roman"/>
              </w:rPr>
              <w:t>tickej anémie, neutropénie, pancytopéni</w:t>
            </w:r>
            <w:r w:rsidRPr="00EE3F6B">
              <w:rPr>
                <w:rFonts w:ascii="Times New Roman" w:hAnsi="Times New Roman" w:cs="Times New Roman"/>
              </w:rPr>
              <w:t>e)</w:t>
            </w:r>
          </w:p>
        </w:tc>
      </w:tr>
      <w:tr w:rsidR="007E630E" w:rsidRPr="00EE3F6B" w14:paraId="61969C47" w14:textId="43B3A902" w:rsidTr="00A4261C">
        <w:trPr>
          <w:jc w:val="center"/>
        </w:trPr>
        <w:tc>
          <w:tcPr>
            <w:tcW w:w="1696" w:type="dxa"/>
          </w:tcPr>
          <w:p w14:paraId="3FAB7419" w14:textId="77777777" w:rsidR="00762A0A" w:rsidRPr="00EE3F6B" w:rsidRDefault="00762A0A"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Poruchy imunitného systému</w:t>
            </w:r>
          </w:p>
        </w:tc>
        <w:tc>
          <w:tcPr>
            <w:tcW w:w="1558" w:type="dxa"/>
          </w:tcPr>
          <w:p w14:paraId="2F91C5D7" w14:textId="77777777" w:rsidR="00762A0A" w:rsidRPr="00EE3F6B" w:rsidRDefault="00762A0A" w:rsidP="00FE0B01">
            <w:pPr>
              <w:autoSpaceDE w:val="0"/>
              <w:autoSpaceDN w:val="0"/>
              <w:adjustRightInd w:val="0"/>
              <w:spacing w:after="0" w:line="240" w:lineRule="auto"/>
              <w:rPr>
                <w:rFonts w:ascii="Times New Roman" w:hAnsi="Times New Roman" w:cs="Times New Roman"/>
              </w:rPr>
            </w:pPr>
          </w:p>
        </w:tc>
        <w:tc>
          <w:tcPr>
            <w:tcW w:w="1703" w:type="dxa"/>
          </w:tcPr>
          <w:p w14:paraId="065F8C05" w14:textId="77777777" w:rsidR="00762A0A" w:rsidRPr="00EE3F6B" w:rsidRDefault="00762A0A" w:rsidP="00FE0B01">
            <w:pPr>
              <w:autoSpaceDE w:val="0"/>
              <w:autoSpaceDN w:val="0"/>
              <w:adjustRightInd w:val="0"/>
              <w:spacing w:after="0" w:line="240" w:lineRule="auto"/>
              <w:rPr>
                <w:rFonts w:ascii="Times New Roman" w:hAnsi="Times New Roman" w:cs="Times New Roman"/>
              </w:rPr>
            </w:pPr>
          </w:p>
        </w:tc>
        <w:tc>
          <w:tcPr>
            <w:tcW w:w="1559" w:type="dxa"/>
          </w:tcPr>
          <w:p w14:paraId="1A8B572A" w14:textId="77777777" w:rsidR="00762A0A" w:rsidRPr="00EE3F6B" w:rsidRDefault="00762A0A" w:rsidP="00FE0B01">
            <w:pPr>
              <w:autoSpaceDE w:val="0"/>
              <w:autoSpaceDN w:val="0"/>
              <w:adjustRightInd w:val="0"/>
              <w:spacing w:after="0" w:line="240" w:lineRule="auto"/>
              <w:rPr>
                <w:rFonts w:ascii="Times New Roman" w:hAnsi="Times New Roman" w:cs="Times New Roman"/>
              </w:rPr>
            </w:pPr>
          </w:p>
        </w:tc>
        <w:tc>
          <w:tcPr>
            <w:tcW w:w="1417" w:type="dxa"/>
          </w:tcPr>
          <w:p w14:paraId="6E9B9456" w14:textId="77777777" w:rsidR="00762A0A" w:rsidRPr="00EE3F6B" w:rsidRDefault="00762A0A" w:rsidP="00FE0B01">
            <w:pPr>
              <w:autoSpaceDE w:val="0"/>
              <w:autoSpaceDN w:val="0"/>
              <w:adjustRightInd w:val="0"/>
              <w:spacing w:after="0" w:line="240" w:lineRule="auto"/>
              <w:rPr>
                <w:rFonts w:ascii="Times New Roman" w:hAnsi="Times New Roman" w:cs="Times New Roman"/>
              </w:rPr>
            </w:pPr>
          </w:p>
        </w:tc>
        <w:tc>
          <w:tcPr>
            <w:tcW w:w="1560" w:type="dxa"/>
          </w:tcPr>
          <w:p w14:paraId="5E677EE7" w14:textId="0D3C6A38" w:rsidR="00762A0A" w:rsidRPr="009E286B" w:rsidRDefault="007E630E" w:rsidP="00FE0B01">
            <w:pPr>
              <w:autoSpaceDE w:val="0"/>
              <w:autoSpaceDN w:val="0"/>
              <w:adjustRightInd w:val="0"/>
              <w:spacing w:after="0" w:line="240" w:lineRule="auto"/>
              <w:rPr>
                <w:rFonts w:ascii="Times New Roman" w:hAnsi="Times New Roman" w:cs="Times New Roman"/>
              </w:rPr>
            </w:pPr>
            <w:r w:rsidRPr="009E286B">
              <w:rPr>
                <w:rFonts w:ascii="Times New Roman" w:hAnsi="Times New Roman" w:cs="Times New Roman"/>
              </w:rPr>
              <w:t>Anafylaktická reakcia</w:t>
            </w:r>
          </w:p>
        </w:tc>
      </w:tr>
      <w:tr w:rsidR="007E630E" w:rsidRPr="00EE3F6B" w14:paraId="5C1C9FBB" w14:textId="77777777" w:rsidTr="00A4261C">
        <w:trPr>
          <w:jc w:val="center"/>
        </w:trPr>
        <w:tc>
          <w:tcPr>
            <w:tcW w:w="1696" w:type="dxa"/>
          </w:tcPr>
          <w:p w14:paraId="598A1E68" w14:textId="48881095" w:rsidR="007E630E" w:rsidRPr="00EE3F6B" w:rsidRDefault="007E630E"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Poruchy endokrinného systému</w:t>
            </w:r>
          </w:p>
        </w:tc>
        <w:tc>
          <w:tcPr>
            <w:tcW w:w="1558" w:type="dxa"/>
          </w:tcPr>
          <w:p w14:paraId="22BD6069" w14:textId="77777777" w:rsidR="007E630E" w:rsidRPr="00EE3F6B" w:rsidRDefault="007E630E" w:rsidP="00FE0B01">
            <w:pPr>
              <w:autoSpaceDE w:val="0"/>
              <w:autoSpaceDN w:val="0"/>
              <w:adjustRightInd w:val="0"/>
              <w:spacing w:after="0" w:line="240" w:lineRule="auto"/>
              <w:rPr>
                <w:rFonts w:ascii="Times New Roman" w:hAnsi="Times New Roman" w:cs="Times New Roman"/>
              </w:rPr>
            </w:pPr>
          </w:p>
        </w:tc>
        <w:tc>
          <w:tcPr>
            <w:tcW w:w="1703" w:type="dxa"/>
          </w:tcPr>
          <w:p w14:paraId="562873CF" w14:textId="77777777" w:rsidR="007E630E" w:rsidRPr="009E286B" w:rsidRDefault="007E630E" w:rsidP="00FE0B01">
            <w:pPr>
              <w:autoSpaceDE w:val="0"/>
              <w:autoSpaceDN w:val="0"/>
              <w:adjustRightInd w:val="0"/>
              <w:spacing w:after="0" w:line="240" w:lineRule="auto"/>
              <w:rPr>
                <w:rFonts w:ascii="Times New Roman" w:hAnsi="Times New Roman" w:cs="Times New Roman"/>
              </w:rPr>
            </w:pPr>
          </w:p>
        </w:tc>
        <w:tc>
          <w:tcPr>
            <w:tcW w:w="1559" w:type="dxa"/>
          </w:tcPr>
          <w:p w14:paraId="68EFB9F8" w14:textId="77777777" w:rsidR="007E630E" w:rsidRPr="009E286B" w:rsidRDefault="007E630E" w:rsidP="00FE0B01">
            <w:pPr>
              <w:autoSpaceDE w:val="0"/>
              <w:autoSpaceDN w:val="0"/>
              <w:adjustRightInd w:val="0"/>
              <w:spacing w:after="0" w:line="240" w:lineRule="auto"/>
              <w:rPr>
                <w:rFonts w:ascii="Times New Roman" w:hAnsi="Times New Roman" w:cs="Times New Roman"/>
              </w:rPr>
            </w:pPr>
          </w:p>
        </w:tc>
        <w:tc>
          <w:tcPr>
            <w:tcW w:w="1417" w:type="dxa"/>
          </w:tcPr>
          <w:p w14:paraId="4FBE3CE7" w14:textId="77777777" w:rsidR="007E630E" w:rsidRPr="009E286B" w:rsidRDefault="007E630E" w:rsidP="00FE0B01">
            <w:pPr>
              <w:autoSpaceDE w:val="0"/>
              <w:autoSpaceDN w:val="0"/>
              <w:adjustRightInd w:val="0"/>
              <w:spacing w:after="0" w:line="240" w:lineRule="auto"/>
              <w:rPr>
                <w:rFonts w:ascii="Times New Roman" w:hAnsi="Times New Roman" w:cs="Times New Roman"/>
              </w:rPr>
            </w:pPr>
          </w:p>
        </w:tc>
        <w:tc>
          <w:tcPr>
            <w:tcW w:w="1560" w:type="dxa"/>
          </w:tcPr>
          <w:p w14:paraId="503353A4" w14:textId="1D590EFF" w:rsidR="007E630E" w:rsidRPr="00301FE5" w:rsidRDefault="007E630E" w:rsidP="00FE0B01">
            <w:pPr>
              <w:autoSpaceDE w:val="0"/>
              <w:autoSpaceDN w:val="0"/>
              <w:adjustRightInd w:val="0"/>
              <w:spacing w:after="0" w:line="240" w:lineRule="auto"/>
              <w:rPr>
                <w:rFonts w:ascii="Times New Roman" w:hAnsi="Times New Roman" w:cs="Times New Roman"/>
              </w:rPr>
            </w:pPr>
            <w:r w:rsidRPr="002D691C">
              <w:rPr>
                <w:rFonts w:ascii="Times New Roman" w:hAnsi="Times New Roman" w:cs="Times New Roman"/>
              </w:rPr>
              <w:t>Syndró</w:t>
            </w:r>
            <w:r w:rsidRPr="00301FE5">
              <w:rPr>
                <w:rFonts w:ascii="Times New Roman" w:hAnsi="Times New Roman" w:cs="Times New Roman"/>
              </w:rPr>
              <w:t>m neprimeranej sekrécie anti</w:t>
            </w:r>
            <w:r w:rsidR="00ED75F8" w:rsidRPr="00301FE5">
              <w:rPr>
                <w:rFonts w:ascii="Times New Roman" w:hAnsi="Times New Roman" w:cs="Times New Roman"/>
              </w:rPr>
              <w:t>-</w:t>
            </w:r>
            <w:r w:rsidRPr="00301FE5">
              <w:rPr>
                <w:rFonts w:ascii="Times New Roman" w:hAnsi="Times New Roman" w:cs="Times New Roman"/>
              </w:rPr>
              <w:t>diuretického hormónu (</w:t>
            </w:r>
            <w:r w:rsidR="00D638B3" w:rsidRPr="005172AB">
              <w:rPr>
                <w:rFonts w:ascii="Times New Roman" w:hAnsi="Times New Roman"/>
                <w:lang w:val="en-GB" w:eastAsia="en-GB"/>
              </w:rPr>
              <w:t>Syndrome of Inappropriate antidiuretic hormone secretion</w:t>
            </w:r>
            <w:r w:rsidR="00D638B3">
              <w:rPr>
                <w:rFonts w:ascii="Times New Roman" w:hAnsi="Times New Roman" w:cs="Times New Roman"/>
              </w:rPr>
              <w:t xml:space="preserve">, </w:t>
            </w:r>
            <w:r w:rsidRPr="00301FE5">
              <w:rPr>
                <w:rFonts w:ascii="Times New Roman" w:hAnsi="Times New Roman" w:cs="Times New Roman"/>
              </w:rPr>
              <w:t>SIADH)</w:t>
            </w:r>
          </w:p>
        </w:tc>
      </w:tr>
      <w:tr w:rsidR="007E630E" w:rsidRPr="00EE3F6B" w14:paraId="5F88B140" w14:textId="437C4134" w:rsidTr="00A4261C">
        <w:trPr>
          <w:jc w:val="center"/>
        </w:trPr>
        <w:tc>
          <w:tcPr>
            <w:tcW w:w="1696" w:type="dxa"/>
          </w:tcPr>
          <w:p w14:paraId="69F64581" w14:textId="16A2904A" w:rsidR="00762A0A" w:rsidRPr="00EE3F6B" w:rsidRDefault="00762A0A"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Poruchy metabolizmu a výživy</w:t>
            </w:r>
          </w:p>
        </w:tc>
        <w:tc>
          <w:tcPr>
            <w:tcW w:w="1558" w:type="dxa"/>
          </w:tcPr>
          <w:p w14:paraId="27D54D6A" w14:textId="77777777" w:rsidR="00762A0A" w:rsidRPr="00EE3F6B" w:rsidRDefault="00762A0A" w:rsidP="00FE0B01">
            <w:pPr>
              <w:autoSpaceDE w:val="0"/>
              <w:autoSpaceDN w:val="0"/>
              <w:adjustRightInd w:val="0"/>
              <w:spacing w:after="0" w:line="240" w:lineRule="auto"/>
              <w:rPr>
                <w:rFonts w:ascii="Times New Roman" w:hAnsi="Times New Roman" w:cs="Times New Roman"/>
              </w:rPr>
            </w:pPr>
          </w:p>
        </w:tc>
        <w:tc>
          <w:tcPr>
            <w:tcW w:w="1703" w:type="dxa"/>
          </w:tcPr>
          <w:p w14:paraId="3D07B665" w14:textId="11662BC8" w:rsidR="00762A0A" w:rsidRPr="009E286B" w:rsidRDefault="007E630E"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Znížená chuť do jedla</w:t>
            </w:r>
          </w:p>
        </w:tc>
        <w:tc>
          <w:tcPr>
            <w:tcW w:w="1559" w:type="dxa"/>
          </w:tcPr>
          <w:p w14:paraId="6BED2731" w14:textId="17AA44D7" w:rsidR="00762A0A" w:rsidRPr="002D691C" w:rsidRDefault="00762A0A" w:rsidP="00FE0B01">
            <w:pPr>
              <w:autoSpaceDE w:val="0"/>
              <w:autoSpaceDN w:val="0"/>
              <w:adjustRightInd w:val="0"/>
              <w:spacing w:after="0" w:line="240" w:lineRule="auto"/>
              <w:rPr>
                <w:rFonts w:ascii="Times New Roman" w:hAnsi="Times New Roman" w:cs="Times New Roman"/>
              </w:rPr>
            </w:pPr>
          </w:p>
        </w:tc>
        <w:tc>
          <w:tcPr>
            <w:tcW w:w="1417" w:type="dxa"/>
          </w:tcPr>
          <w:p w14:paraId="04056F3A" w14:textId="77777777" w:rsidR="00762A0A" w:rsidRPr="00301FE5" w:rsidRDefault="00762A0A" w:rsidP="00FE0B01">
            <w:pPr>
              <w:autoSpaceDE w:val="0"/>
              <w:autoSpaceDN w:val="0"/>
              <w:adjustRightInd w:val="0"/>
              <w:spacing w:after="0" w:line="240" w:lineRule="auto"/>
              <w:rPr>
                <w:rFonts w:ascii="Times New Roman" w:hAnsi="Times New Roman" w:cs="Times New Roman"/>
              </w:rPr>
            </w:pPr>
          </w:p>
        </w:tc>
        <w:tc>
          <w:tcPr>
            <w:tcW w:w="1560" w:type="dxa"/>
          </w:tcPr>
          <w:p w14:paraId="10DE4734" w14:textId="07CA832F" w:rsidR="00762A0A" w:rsidRPr="00301FE5" w:rsidRDefault="007E630E" w:rsidP="00FE0B01">
            <w:pPr>
              <w:autoSpaceDE w:val="0"/>
              <w:autoSpaceDN w:val="0"/>
              <w:adjustRightInd w:val="0"/>
              <w:spacing w:after="0" w:line="240" w:lineRule="auto"/>
              <w:rPr>
                <w:rFonts w:ascii="Times New Roman" w:hAnsi="Times New Roman" w:cs="Times New Roman"/>
              </w:rPr>
            </w:pPr>
            <w:r w:rsidRPr="00301FE5">
              <w:rPr>
                <w:rFonts w:ascii="Times New Roman" w:hAnsi="Times New Roman" w:cs="Times New Roman"/>
              </w:rPr>
              <w:t>Hyponatriémia</w:t>
            </w:r>
          </w:p>
        </w:tc>
      </w:tr>
      <w:tr w:rsidR="0092609F" w:rsidRPr="00EE3F6B" w14:paraId="71A6B259" w14:textId="3A5E4B2A" w:rsidTr="00A4261C">
        <w:trPr>
          <w:jc w:val="center"/>
        </w:trPr>
        <w:tc>
          <w:tcPr>
            <w:tcW w:w="1696" w:type="dxa"/>
          </w:tcPr>
          <w:p w14:paraId="1A04D266" w14:textId="77777777" w:rsidR="0092609F" w:rsidRPr="00EE3F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Poruchy nervového systému</w:t>
            </w:r>
          </w:p>
          <w:p w14:paraId="460846FB" w14:textId="77777777" w:rsidR="0092609F" w:rsidRPr="00EE3F6B" w:rsidRDefault="0092609F" w:rsidP="00FE0B01">
            <w:pPr>
              <w:autoSpaceDE w:val="0"/>
              <w:autoSpaceDN w:val="0"/>
              <w:adjustRightInd w:val="0"/>
              <w:spacing w:after="0" w:line="240" w:lineRule="auto"/>
              <w:rPr>
                <w:rFonts w:ascii="Times New Roman" w:hAnsi="Times New Roman" w:cs="Times New Roman"/>
              </w:rPr>
            </w:pPr>
          </w:p>
        </w:tc>
        <w:tc>
          <w:tcPr>
            <w:tcW w:w="1558" w:type="dxa"/>
          </w:tcPr>
          <w:p w14:paraId="4697E04D" w14:textId="7A1FB3E2" w:rsidR="0092609F" w:rsidRPr="009E28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 xml:space="preserve">Závraty, bolesť hlavy </w:t>
            </w:r>
          </w:p>
        </w:tc>
        <w:tc>
          <w:tcPr>
            <w:tcW w:w="1703" w:type="dxa"/>
          </w:tcPr>
          <w:p w14:paraId="4B84D100" w14:textId="19A741DF" w:rsidR="0092609F" w:rsidRPr="00301FE5" w:rsidRDefault="0092609F" w:rsidP="00FE0B01">
            <w:pPr>
              <w:autoSpaceDE w:val="0"/>
              <w:autoSpaceDN w:val="0"/>
              <w:adjustRightInd w:val="0"/>
              <w:spacing w:after="0" w:line="240" w:lineRule="auto"/>
              <w:rPr>
                <w:rFonts w:ascii="Times New Roman" w:hAnsi="Times New Roman" w:cs="Times New Roman"/>
              </w:rPr>
            </w:pPr>
            <w:proofErr w:type="spellStart"/>
            <w:r w:rsidRPr="002D691C">
              <w:rPr>
                <w:rFonts w:ascii="Times New Roman" w:hAnsi="Times New Roman" w:cs="Times New Roman"/>
              </w:rPr>
              <w:t>Somnolencia</w:t>
            </w:r>
            <w:proofErr w:type="spellEnd"/>
            <w:r w:rsidRPr="002D691C">
              <w:rPr>
                <w:rFonts w:ascii="Times New Roman" w:hAnsi="Times New Roman" w:cs="Times New Roman"/>
              </w:rPr>
              <w:t xml:space="preserve">, </w:t>
            </w:r>
            <w:proofErr w:type="spellStart"/>
            <w:r w:rsidRPr="002D691C">
              <w:rPr>
                <w:rFonts w:ascii="Times New Roman" w:hAnsi="Times New Roman" w:cs="Times New Roman"/>
              </w:rPr>
              <w:t>tremor</w:t>
            </w:r>
            <w:proofErr w:type="spellEnd"/>
            <w:r w:rsidRPr="002D691C">
              <w:rPr>
                <w:rFonts w:ascii="Times New Roman" w:hAnsi="Times New Roman" w:cs="Times New Roman"/>
              </w:rPr>
              <w:t>, parestézia, hypert</w:t>
            </w:r>
            <w:r w:rsidR="00D638B3">
              <w:rPr>
                <w:rFonts w:ascii="Times New Roman" w:hAnsi="Times New Roman" w:cs="Times New Roman"/>
              </w:rPr>
              <w:t>ónia</w:t>
            </w:r>
          </w:p>
        </w:tc>
        <w:tc>
          <w:tcPr>
            <w:tcW w:w="1559" w:type="dxa"/>
          </w:tcPr>
          <w:p w14:paraId="4152BD79" w14:textId="4096CEE5" w:rsidR="0092609F" w:rsidRPr="002D691C" w:rsidRDefault="0092609F" w:rsidP="00FE0B01">
            <w:pPr>
              <w:autoSpaceDE w:val="0"/>
              <w:autoSpaceDN w:val="0"/>
              <w:adjustRightInd w:val="0"/>
              <w:spacing w:after="0" w:line="240" w:lineRule="auto"/>
              <w:rPr>
                <w:rFonts w:ascii="Times New Roman" w:hAnsi="Times New Roman" w:cs="Times New Roman"/>
              </w:rPr>
            </w:pPr>
            <w:r w:rsidRPr="00301FE5">
              <w:rPr>
                <w:rFonts w:ascii="Times New Roman" w:hAnsi="Times New Roman" w:cs="Times New Roman"/>
              </w:rPr>
              <w:t>Akatízia/</w:t>
            </w:r>
            <w:r w:rsidRPr="00BC3C9C">
              <w:rPr>
                <w:rFonts w:ascii="Times New Roman" w:hAnsi="Times New Roman" w:cs="Times New Roman"/>
              </w:rPr>
              <w:t xml:space="preserve"> </w:t>
            </w:r>
            <w:r w:rsidRPr="00EE3F6B">
              <w:rPr>
                <w:rFonts w:ascii="Times New Roman" w:hAnsi="Times New Roman" w:cs="Times New Roman"/>
              </w:rPr>
              <w:t>psychomotor-ický nepokoj, synkopa, myoklonus, porucha koor</w:t>
            </w:r>
            <w:r w:rsidR="00ED75F8" w:rsidRPr="00EE3F6B">
              <w:rPr>
                <w:rFonts w:ascii="Times New Roman" w:hAnsi="Times New Roman" w:cs="Times New Roman"/>
              </w:rPr>
              <w:t>-</w:t>
            </w:r>
            <w:r w:rsidRPr="00EE3F6B">
              <w:rPr>
                <w:rFonts w:ascii="Times New Roman" w:hAnsi="Times New Roman" w:cs="Times New Roman"/>
              </w:rPr>
              <w:t>dinácie a</w:t>
            </w:r>
            <w:r w:rsidR="00ED75F8" w:rsidRPr="00EE3F6B">
              <w:rPr>
                <w:rFonts w:ascii="Times New Roman" w:hAnsi="Times New Roman" w:cs="Times New Roman"/>
              </w:rPr>
              <w:t> </w:t>
            </w:r>
            <w:r w:rsidRPr="00EE3F6B">
              <w:rPr>
                <w:rFonts w:ascii="Times New Roman" w:hAnsi="Times New Roman" w:cs="Times New Roman"/>
              </w:rPr>
              <w:t>rov</w:t>
            </w:r>
            <w:r w:rsidR="00ED75F8" w:rsidRPr="00EE3F6B">
              <w:rPr>
                <w:rFonts w:ascii="Times New Roman" w:hAnsi="Times New Roman" w:cs="Times New Roman"/>
              </w:rPr>
              <w:t>-</w:t>
            </w:r>
            <w:r w:rsidRPr="009E286B">
              <w:rPr>
                <w:rFonts w:ascii="Times New Roman" w:hAnsi="Times New Roman" w:cs="Times New Roman"/>
              </w:rPr>
              <w:t xml:space="preserve">nováhy, dysgeúzia </w:t>
            </w:r>
          </w:p>
        </w:tc>
        <w:tc>
          <w:tcPr>
            <w:tcW w:w="1417" w:type="dxa"/>
          </w:tcPr>
          <w:p w14:paraId="1E3BA7F2" w14:textId="748BFA95" w:rsidR="0092609F" w:rsidRPr="00301FE5" w:rsidRDefault="0092609F" w:rsidP="00FE0B01">
            <w:pPr>
              <w:autoSpaceDE w:val="0"/>
              <w:autoSpaceDN w:val="0"/>
              <w:adjustRightInd w:val="0"/>
              <w:spacing w:after="0" w:line="240" w:lineRule="auto"/>
              <w:rPr>
                <w:rFonts w:ascii="Times New Roman" w:hAnsi="Times New Roman" w:cs="Times New Roman"/>
              </w:rPr>
            </w:pPr>
            <w:r w:rsidRPr="00301FE5">
              <w:rPr>
                <w:rFonts w:ascii="Times New Roman" w:hAnsi="Times New Roman" w:cs="Times New Roman"/>
              </w:rPr>
              <w:t xml:space="preserve">Kŕče </w:t>
            </w:r>
          </w:p>
        </w:tc>
        <w:tc>
          <w:tcPr>
            <w:tcW w:w="1560" w:type="dxa"/>
          </w:tcPr>
          <w:p w14:paraId="4E7669B7" w14:textId="7F8BD7B6" w:rsidR="0092609F" w:rsidRPr="00EE3F6B" w:rsidRDefault="0092609F" w:rsidP="00FE0B01">
            <w:pPr>
              <w:autoSpaceDE w:val="0"/>
              <w:autoSpaceDN w:val="0"/>
              <w:adjustRightInd w:val="0"/>
              <w:spacing w:after="0" w:line="240" w:lineRule="auto"/>
              <w:rPr>
                <w:rFonts w:ascii="Times New Roman" w:hAnsi="Times New Roman" w:cs="Times New Roman"/>
              </w:rPr>
            </w:pPr>
            <w:r w:rsidRPr="00301FE5">
              <w:rPr>
                <w:rFonts w:ascii="Times New Roman" w:hAnsi="Times New Roman" w:cs="Times New Roman"/>
              </w:rPr>
              <w:t xml:space="preserve">Neuroleptický malígny </w:t>
            </w:r>
            <w:proofErr w:type="spellStart"/>
            <w:r w:rsidRPr="00301FE5">
              <w:rPr>
                <w:rFonts w:ascii="Times New Roman" w:hAnsi="Times New Roman" w:cs="Times New Roman"/>
              </w:rPr>
              <w:t>syn-dróm</w:t>
            </w:r>
            <w:proofErr w:type="spellEnd"/>
            <w:r w:rsidRPr="00301FE5">
              <w:rPr>
                <w:rFonts w:ascii="Times New Roman" w:hAnsi="Times New Roman" w:cs="Times New Roman"/>
              </w:rPr>
              <w:t xml:space="preserve"> (</w:t>
            </w:r>
            <w:proofErr w:type="spellStart"/>
            <w:r w:rsidRPr="00301FE5">
              <w:rPr>
                <w:rFonts w:ascii="Times New Roman" w:hAnsi="Times New Roman" w:cs="Times New Roman"/>
              </w:rPr>
              <w:t>NMS</w:t>
            </w:r>
            <w:proofErr w:type="spellEnd"/>
            <w:r w:rsidRPr="00301FE5">
              <w:rPr>
                <w:rFonts w:ascii="Times New Roman" w:hAnsi="Times New Roman" w:cs="Times New Roman"/>
              </w:rPr>
              <w:t xml:space="preserve">), </w:t>
            </w:r>
            <w:proofErr w:type="spellStart"/>
            <w:r w:rsidR="00454074">
              <w:rPr>
                <w:rFonts w:ascii="Times New Roman" w:hAnsi="Times New Roman" w:cs="Times New Roman"/>
              </w:rPr>
              <w:t>s</w:t>
            </w:r>
            <w:r w:rsidR="00BC3C9C">
              <w:rPr>
                <w:rFonts w:ascii="Times New Roman" w:hAnsi="Times New Roman" w:cs="Times New Roman"/>
              </w:rPr>
              <w:t>é</w:t>
            </w:r>
            <w:r w:rsidR="00454074">
              <w:rPr>
                <w:rFonts w:ascii="Times New Roman" w:hAnsi="Times New Roman" w:cs="Times New Roman"/>
              </w:rPr>
              <w:t>rotonínový</w:t>
            </w:r>
            <w:proofErr w:type="spellEnd"/>
            <w:r w:rsidRPr="00EE3F6B">
              <w:rPr>
                <w:rFonts w:ascii="Times New Roman" w:hAnsi="Times New Roman" w:cs="Times New Roman"/>
              </w:rPr>
              <w:t xml:space="preserve"> syndróm, </w:t>
            </w:r>
            <w:proofErr w:type="spellStart"/>
            <w:r w:rsidRPr="00EE3F6B">
              <w:rPr>
                <w:rFonts w:ascii="Times New Roman" w:hAnsi="Times New Roman" w:cs="Times New Roman"/>
              </w:rPr>
              <w:t>extrapyramíd-ové</w:t>
            </w:r>
            <w:proofErr w:type="spellEnd"/>
            <w:r w:rsidRPr="00EE3F6B">
              <w:rPr>
                <w:rFonts w:ascii="Times New Roman" w:hAnsi="Times New Roman" w:cs="Times New Roman"/>
              </w:rPr>
              <w:t xml:space="preserve"> poruchy (vrátane </w:t>
            </w:r>
            <w:proofErr w:type="spellStart"/>
            <w:r w:rsidRPr="00EE3F6B">
              <w:rPr>
                <w:rFonts w:ascii="Times New Roman" w:hAnsi="Times New Roman" w:cs="Times New Roman"/>
              </w:rPr>
              <w:t>dys-tónie</w:t>
            </w:r>
            <w:proofErr w:type="spellEnd"/>
            <w:r w:rsidRPr="00EE3F6B">
              <w:rPr>
                <w:rFonts w:ascii="Times New Roman" w:hAnsi="Times New Roman" w:cs="Times New Roman"/>
              </w:rPr>
              <w:t xml:space="preserve"> a </w:t>
            </w:r>
            <w:proofErr w:type="spellStart"/>
            <w:r w:rsidRPr="00EE3F6B">
              <w:rPr>
                <w:rFonts w:ascii="Times New Roman" w:hAnsi="Times New Roman" w:cs="Times New Roman"/>
              </w:rPr>
              <w:t>dys-kinézy</w:t>
            </w:r>
            <w:proofErr w:type="spellEnd"/>
            <w:r w:rsidRPr="00EE3F6B">
              <w:rPr>
                <w:rFonts w:ascii="Times New Roman" w:hAnsi="Times New Roman" w:cs="Times New Roman"/>
              </w:rPr>
              <w:t xml:space="preserve">), </w:t>
            </w:r>
            <w:proofErr w:type="spellStart"/>
            <w:r w:rsidR="00454074">
              <w:rPr>
                <w:rFonts w:ascii="Times New Roman" w:hAnsi="Times New Roman" w:cs="Times New Roman"/>
              </w:rPr>
              <w:t>tardívna</w:t>
            </w:r>
            <w:proofErr w:type="spellEnd"/>
            <w:r w:rsidRPr="00EE3F6B">
              <w:rPr>
                <w:rFonts w:ascii="Times New Roman" w:hAnsi="Times New Roman" w:cs="Times New Roman"/>
              </w:rPr>
              <w:t xml:space="preserve"> </w:t>
            </w:r>
            <w:proofErr w:type="spellStart"/>
            <w:r w:rsidRPr="00EE3F6B">
              <w:rPr>
                <w:rFonts w:ascii="Times New Roman" w:hAnsi="Times New Roman" w:cs="Times New Roman"/>
              </w:rPr>
              <w:t>dys-kinéza</w:t>
            </w:r>
            <w:proofErr w:type="spellEnd"/>
          </w:p>
        </w:tc>
      </w:tr>
      <w:tr w:rsidR="0092609F" w:rsidRPr="00EE3F6B" w14:paraId="026FB011" w14:textId="2FC27B0E" w:rsidTr="00A4261C">
        <w:trPr>
          <w:jc w:val="center"/>
        </w:trPr>
        <w:tc>
          <w:tcPr>
            <w:tcW w:w="1696" w:type="dxa"/>
          </w:tcPr>
          <w:p w14:paraId="2314EC75" w14:textId="77777777" w:rsidR="0092609F" w:rsidRPr="00EE3F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Psychické poruchy</w:t>
            </w:r>
          </w:p>
        </w:tc>
        <w:tc>
          <w:tcPr>
            <w:tcW w:w="1558" w:type="dxa"/>
          </w:tcPr>
          <w:p w14:paraId="74BFFC2C" w14:textId="77777777" w:rsidR="0092609F" w:rsidRPr="00EE3F6B" w:rsidRDefault="0092609F" w:rsidP="00FE0B01">
            <w:pPr>
              <w:autoSpaceDE w:val="0"/>
              <w:autoSpaceDN w:val="0"/>
              <w:adjustRightInd w:val="0"/>
              <w:spacing w:after="0" w:line="240" w:lineRule="auto"/>
              <w:rPr>
                <w:rFonts w:ascii="Times New Roman" w:hAnsi="Times New Roman" w:cs="Times New Roman"/>
              </w:rPr>
            </w:pPr>
          </w:p>
        </w:tc>
        <w:tc>
          <w:tcPr>
            <w:tcW w:w="1703" w:type="dxa"/>
          </w:tcPr>
          <w:p w14:paraId="043A229E" w14:textId="32DF4E97" w:rsidR="0092609F" w:rsidRPr="00EE3F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Zmätenosť, depersonalizáciaanorgazmia, zníženie libida, nervozita, nespavosť, abnormálne sny</w:t>
            </w:r>
          </w:p>
        </w:tc>
        <w:tc>
          <w:tcPr>
            <w:tcW w:w="1559" w:type="dxa"/>
          </w:tcPr>
          <w:p w14:paraId="454EB9FA" w14:textId="3BD6B8DE" w:rsidR="0092609F" w:rsidRPr="009E286B" w:rsidRDefault="0092609F" w:rsidP="00FE0B01">
            <w:pPr>
              <w:autoSpaceDE w:val="0"/>
              <w:autoSpaceDN w:val="0"/>
              <w:adjustRightInd w:val="0"/>
              <w:spacing w:after="0" w:line="240" w:lineRule="auto"/>
              <w:rPr>
                <w:rFonts w:ascii="Times New Roman" w:hAnsi="Times New Roman" w:cs="Times New Roman"/>
              </w:rPr>
            </w:pPr>
            <w:r w:rsidRPr="009E286B">
              <w:rPr>
                <w:rFonts w:ascii="Times New Roman" w:hAnsi="Times New Roman" w:cs="Times New Roman"/>
              </w:rPr>
              <w:t xml:space="preserve">Halucinácie, derealizácia, agitácia, abnormálny orgazmus (ženský), </w:t>
            </w:r>
            <w:r w:rsidR="00D638B3">
              <w:rPr>
                <w:rFonts w:ascii="Times New Roman" w:hAnsi="Times New Roman" w:cs="Times New Roman"/>
              </w:rPr>
              <w:t xml:space="preserve">apatia, </w:t>
            </w:r>
            <w:proofErr w:type="spellStart"/>
            <w:r w:rsidRPr="009E286B">
              <w:rPr>
                <w:rFonts w:ascii="Times New Roman" w:hAnsi="Times New Roman" w:cs="Times New Roman"/>
              </w:rPr>
              <w:t>hypománia</w:t>
            </w:r>
            <w:proofErr w:type="spellEnd"/>
            <w:r w:rsidRPr="009E286B">
              <w:rPr>
                <w:rFonts w:ascii="Times New Roman" w:hAnsi="Times New Roman" w:cs="Times New Roman"/>
              </w:rPr>
              <w:t xml:space="preserve">, </w:t>
            </w:r>
            <w:proofErr w:type="spellStart"/>
            <w:r w:rsidRPr="009E286B">
              <w:rPr>
                <w:rFonts w:ascii="Times New Roman" w:hAnsi="Times New Roman" w:cs="Times New Roman"/>
              </w:rPr>
              <w:t>bruxizmus</w:t>
            </w:r>
            <w:proofErr w:type="spellEnd"/>
          </w:p>
        </w:tc>
        <w:tc>
          <w:tcPr>
            <w:tcW w:w="1417" w:type="dxa"/>
          </w:tcPr>
          <w:p w14:paraId="78417698" w14:textId="377EF776" w:rsidR="0092609F" w:rsidRPr="00301FE5" w:rsidRDefault="0092609F" w:rsidP="00FE0B01">
            <w:pPr>
              <w:autoSpaceDE w:val="0"/>
              <w:autoSpaceDN w:val="0"/>
              <w:adjustRightInd w:val="0"/>
              <w:spacing w:after="0" w:line="240" w:lineRule="auto"/>
              <w:rPr>
                <w:rFonts w:ascii="Times New Roman" w:hAnsi="Times New Roman" w:cs="Times New Roman"/>
              </w:rPr>
            </w:pPr>
            <w:r w:rsidRPr="002D691C">
              <w:rPr>
                <w:rFonts w:ascii="Times New Roman" w:hAnsi="Times New Roman" w:cs="Times New Roman"/>
              </w:rPr>
              <w:t>Mánia</w:t>
            </w:r>
          </w:p>
        </w:tc>
        <w:tc>
          <w:tcPr>
            <w:tcW w:w="1560" w:type="dxa"/>
          </w:tcPr>
          <w:p w14:paraId="52F79F4D" w14:textId="4713716F" w:rsidR="0092609F" w:rsidRPr="00301FE5" w:rsidRDefault="0092609F" w:rsidP="00FE0B01">
            <w:pPr>
              <w:autoSpaceDE w:val="0"/>
              <w:autoSpaceDN w:val="0"/>
              <w:adjustRightInd w:val="0"/>
              <w:spacing w:after="0" w:line="240" w:lineRule="auto"/>
              <w:rPr>
                <w:rFonts w:ascii="Times New Roman" w:hAnsi="Times New Roman" w:cs="Times New Roman"/>
              </w:rPr>
            </w:pPr>
            <w:r w:rsidRPr="00301FE5">
              <w:rPr>
                <w:rFonts w:ascii="Times New Roman" w:hAnsi="Times New Roman" w:cs="Times New Roman"/>
              </w:rPr>
              <w:t>Samovražedné myšlienky a správanie *, delírium, agresia*</w:t>
            </w:r>
          </w:p>
        </w:tc>
      </w:tr>
      <w:tr w:rsidR="007E630E" w:rsidRPr="00EE3F6B" w14:paraId="22AAF6E2" w14:textId="00A7374D" w:rsidTr="00A4261C">
        <w:trPr>
          <w:jc w:val="center"/>
        </w:trPr>
        <w:tc>
          <w:tcPr>
            <w:tcW w:w="1696" w:type="dxa"/>
          </w:tcPr>
          <w:p w14:paraId="11C21F9F" w14:textId="77777777" w:rsidR="00762A0A" w:rsidRPr="00EE3F6B" w:rsidRDefault="00762A0A"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Poruchy oka</w:t>
            </w:r>
          </w:p>
        </w:tc>
        <w:tc>
          <w:tcPr>
            <w:tcW w:w="1558" w:type="dxa"/>
          </w:tcPr>
          <w:p w14:paraId="5F43C704" w14:textId="77777777" w:rsidR="00762A0A" w:rsidRPr="00EE3F6B" w:rsidRDefault="00762A0A" w:rsidP="00FE0B01">
            <w:pPr>
              <w:autoSpaceDE w:val="0"/>
              <w:autoSpaceDN w:val="0"/>
              <w:adjustRightInd w:val="0"/>
              <w:spacing w:after="0" w:line="240" w:lineRule="auto"/>
              <w:rPr>
                <w:rFonts w:ascii="Times New Roman" w:hAnsi="Times New Roman" w:cs="Times New Roman"/>
              </w:rPr>
            </w:pPr>
          </w:p>
        </w:tc>
        <w:tc>
          <w:tcPr>
            <w:tcW w:w="1703" w:type="dxa"/>
          </w:tcPr>
          <w:p w14:paraId="4636D465" w14:textId="1CE84967" w:rsidR="00762A0A" w:rsidRPr="009E28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 xml:space="preserve">Poruchy videnia vrátane rozma-zaného videnia, </w:t>
            </w:r>
            <w:proofErr w:type="spellStart"/>
            <w:r w:rsidRPr="00EE3F6B">
              <w:rPr>
                <w:rFonts w:ascii="Times New Roman" w:hAnsi="Times New Roman" w:cs="Times New Roman"/>
              </w:rPr>
              <w:t>mydriáza</w:t>
            </w:r>
            <w:proofErr w:type="spellEnd"/>
            <w:r w:rsidRPr="00EE3F6B">
              <w:rPr>
                <w:rFonts w:ascii="Times New Roman" w:hAnsi="Times New Roman" w:cs="Times New Roman"/>
              </w:rPr>
              <w:t>, poruchy akomodácie</w:t>
            </w:r>
          </w:p>
        </w:tc>
        <w:tc>
          <w:tcPr>
            <w:tcW w:w="1559" w:type="dxa"/>
          </w:tcPr>
          <w:p w14:paraId="407F0EC4" w14:textId="77777777" w:rsidR="00762A0A" w:rsidRPr="009E286B" w:rsidRDefault="00762A0A" w:rsidP="00FE0B01">
            <w:pPr>
              <w:autoSpaceDE w:val="0"/>
              <w:autoSpaceDN w:val="0"/>
              <w:adjustRightInd w:val="0"/>
              <w:spacing w:after="0" w:line="240" w:lineRule="auto"/>
              <w:rPr>
                <w:rFonts w:ascii="Times New Roman" w:hAnsi="Times New Roman" w:cs="Times New Roman"/>
              </w:rPr>
            </w:pPr>
          </w:p>
        </w:tc>
        <w:tc>
          <w:tcPr>
            <w:tcW w:w="1417" w:type="dxa"/>
          </w:tcPr>
          <w:p w14:paraId="65665A81" w14:textId="77777777" w:rsidR="00762A0A" w:rsidRPr="002D691C" w:rsidRDefault="00762A0A" w:rsidP="00FE0B01">
            <w:pPr>
              <w:autoSpaceDE w:val="0"/>
              <w:autoSpaceDN w:val="0"/>
              <w:adjustRightInd w:val="0"/>
              <w:spacing w:after="0" w:line="240" w:lineRule="auto"/>
              <w:rPr>
                <w:rFonts w:ascii="Times New Roman" w:hAnsi="Times New Roman" w:cs="Times New Roman"/>
              </w:rPr>
            </w:pPr>
          </w:p>
        </w:tc>
        <w:tc>
          <w:tcPr>
            <w:tcW w:w="1560" w:type="dxa"/>
          </w:tcPr>
          <w:p w14:paraId="2A012EC9" w14:textId="3D89FE5E" w:rsidR="00762A0A" w:rsidRPr="00301FE5" w:rsidRDefault="0092609F" w:rsidP="00FE0B01">
            <w:pPr>
              <w:autoSpaceDE w:val="0"/>
              <w:autoSpaceDN w:val="0"/>
              <w:adjustRightInd w:val="0"/>
              <w:spacing w:after="0" w:line="240" w:lineRule="auto"/>
              <w:rPr>
                <w:rFonts w:ascii="Times New Roman" w:hAnsi="Times New Roman" w:cs="Times New Roman"/>
              </w:rPr>
            </w:pPr>
            <w:r w:rsidRPr="00301FE5">
              <w:rPr>
                <w:rFonts w:ascii="Times New Roman" w:hAnsi="Times New Roman" w:cs="Times New Roman"/>
              </w:rPr>
              <w:t xml:space="preserve">Glaukóm </w:t>
            </w:r>
            <w:r w:rsidR="005625AD" w:rsidRPr="00301FE5">
              <w:rPr>
                <w:rFonts w:ascii="Times New Roman" w:hAnsi="Times New Roman" w:cs="Times New Roman"/>
              </w:rPr>
              <w:t xml:space="preserve">so zatvoreným uhlom </w:t>
            </w:r>
          </w:p>
        </w:tc>
      </w:tr>
      <w:tr w:rsidR="0092609F" w:rsidRPr="00EE3F6B" w14:paraId="629A4769" w14:textId="0A6C9623" w:rsidTr="00A4261C">
        <w:trPr>
          <w:jc w:val="center"/>
        </w:trPr>
        <w:tc>
          <w:tcPr>
            <w:tcW w:w="1696" w:type="dxa"/>
          </w:tcPr>
          <w:p w14:paraId="13CE04C9" w14:textId="69798611" w:rsidR="0092609F" w:rsidRPr="00EE3F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Poruchy ucha a labyrintu</w:t>
            </w:r>
          </w:p>
        </w:tc>
        <w:tc>
          <w:tcPr>
            <w:tcW w:w="1558" w:type="dxa"/>
          </w:tcPr>
          <w:p w14:paraId="619A4DD6" w14:textId="77777777" w:rsidR="0092609F" w:rsidRPr="00EE3F6B" w:rsidRDefault="0092609F" w:rsidP="00FE0B01">
            <w:pPr>
              <w:autoSpaceDE w:val="0"/>
              <w:autoSpaceDN w:val="0"/>
              <w:adjustRightInd w:val="0"/>
              <w:spacing w:after="0" w:line="240" w:lineRule="auto"/>
              <w:rPr>
                <w:rFonts w:ascii="Times New Roman" w:hAnsi="Times New Roman" w:cs="Times New Roman"/>
              </w:rPr>
            </w:pPr>
          </w:p>
        </w:tc>
        <w:tc>
          <w:tcPr>
            <w:tcW w:w="1703" w:type="dxa"/>
          </w:tcPr>
          <w:p w14:paraId="77A8FB22" w14:textId="1D41FE4F" w:rsidR="0092609F" w:rsidRPr="00EE3F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Tinitus</w:t>
            </w:r>
          </w:p>
        </w:tc>
        <w:tc>
          <w:tcPr>
            <w:tcW w:w="1559" w:type="dxa"/>
          </w:tcPr>
          <w:p w14:paraId="28B732E0" w14:textId="1654BE9A" w:rsidR="0092609F" w:rsidRPr="009E286B" w:rsidRDefault="0092609F" w:rsidP="00FE0B01">
            <w:pPr>
              <w:autoSpaceDE w:val="0"/>
              <w:autoSpaceDN w:val="0"/>
              <w:adjustRightInd w:val="0"/>
              <w:spacing w:after="0" w:line="240" w:lineRule="auto"/>
              <w:rPr>
                <w:rFonts w:ascii="Times New Roman" w:hAnsi="Times New Roman" w:cs="Times New Roman"/>
              </w:rPr>
            </w:pPr>
          </w:p>
        </w:tc>
        <w:tc>
          <w:tcPr>
            <w:tcW w:w="1417" w:type="dxa"/>
          </w:tcPr>
          <w:p w14:paraId="17278808" w14:textId="77777777" w:rsidR="0092609F" w:rsidRPr="009E286B" w:rsidRDefault="0092609F" w:rsidP="00FE0B01">
            <w:pPr>
              <w:autoSpaceDE w:val="0"/>
              <w:autoSpaceDN w:val="0"/>
              <w:adjustRightInd w:val="0"/>
              <w:spacing w:after="0" w:line="240" w:lineRule="auto"/>
              <w:rPr>
                <w:rFonts w:ascii="Times New Roman" w:hAnsi="Times New Roman" w:cs="Times New Roman"/>
              </w:rPr>
            </w:pPr>
          </w:p>
        </w:tc>
        <w:tc>
          <w:tcPr>
            <w:tcW w:w="1560" w:type="dxa"/>
          </w:tcPr>
          <w:p w14:paraId="02C875C7" w14:textId="3F330C26" w:rsidR="0092609F" w:rsidRPr="00301FE5" w:rsidRDefault="0092609F" w:rsidP="00FE0B01">
            <w:pPr>
              <w:autoSpaceDE w:val="0"/>
              <w:autoSpaceDN w:val="0"/>
              <w:adjustRightInd w:val="0"/>
              <w:spacing w:after="0" w:line="240" w:lineRule="auto"/>
              <w:rPr>
                <w:rFonts w:ascii="Times New Roman" w:hAnsi="Times New Roman" w:cs="Times New Roman"/>
              </w:rPr>
            </w:pPr>
            <w:r w:rsidRPr="002D691C">
              <w:rPr>
                <w:rFonts w:ascii="Times New Roman" w:hAnsi="Times New Roman" w:cs="Times New Roman"/>
              </w:rPr>
              <w:t>Vertigo</w:t>
            </w:r>
          </w:p>
        </w:tc>
      </w:tr>
      <w:tr w:rsidR="0092609F" w:rsidRPr="00EE3F6B" w14:paraId="4A66F9BF" w14:textId="5F5AFFD6" w:rsidTr="00A4261C">
        <w:trPr>
          <w:jc w:val="center"/>
        </w:trPr>
        <w:tc>
          <w:tcPr>
            <w:tcW w:w="1696" w:type="dxa"/>
          </w:tcPr>
          <w:p w14:paraId="53B2834D" w14:textId="3FB0BA9E" w:rsidR="0092609F" w:rsidRPr="00EE3F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Poruchy srdca a srdcovej činnosti</w:t>
            </w:r>
          </w:p>
        </w:tc>
        <w:tc>
          <w:tcPr>
            <w:tcW w:w="1558" w:type="dxa"/>
          </w:tcPr>
          <w:p w14:paraId="0263F9FE" w14:textId="77777777" w:rsidR="0092609F" w:rsidRPr="00EE3F6B" w:rsidRDefault="0092609F" w:rsidP="00FE0B01">
            <w:pPr>
              <w:autoSpaceDE w:val="0"/>
              <w:autoSpaceDN w:val="0"/>
              <w:adjustRightInd w:val="0"/>
              <w:spacing w:after="0" w:line="240" w:lineRule="auto"/>
              <w:rPr>
                <w:rFonts w:ascii="Times New Roman" w:hAnsi="Times New Roman" w:cs="Times New Roman"/>
              </w:rPr>
            </w:pPr>
          </w:p>
        </w:tc>
        <w:tc>
          <w:tcPr>
            <w:tcW w:w="1703" w:type="dxa"/>
          </w:tcPr>
          <w:p w14:paraId="507A30A8" w14:textId="4C20C6AD" w:rsidR="0092609F" w:rsidRPr="00EE3F6B" w:rsidRDefault="0092609F" w:rsidP="00FE0B01">
            <w:pPr>
              <w:autoSpaceDE w:val="0"/>
              <w:autoSpaceDN w:val="0"/>
              <w:adjustRightInd w:val="0"/>
              <w:spacing w:after="0" w:line="240" w:lineRule="auto"/>
              <w:rPr>
                <w:rFonts w:ascii="Times New Roman" w:hAnsi="Times New Roman" w:cs="Times New Roman"/>
              </w:rPr>
            </w:pPr>
            <w:proofErr w:type="spellStart"/>
            <w:r w:rsidRPr="00EE3F6B">
              <w:rPr>
                <w:rFonts w:ascii="Times New Roman" w:hAnsi="Times New Roman" w:cs="Times New Roman"/>
              </w:rPr>
              <w:t>Palpitáci</w:t>
            </w:r>
            <w:r w:rsidR="00454074">
              <w:rPr>
                <w:rFonts w:ascii="Times New Roman" w:hAnsi="Times New Roman" w:cs="Times New Roman"/>
              </w:rPr>
              <w:t>e</w:t>
            </w:r>
            <w:proofErr w:type="spellEnd"/>
          </w:p>
        </w:tc>
        <w:tc>
          <w:tcPr>
            <w:tcW w:w="1559" w:type="dxa"/>
          </w:tcPr>
          <w:p w14:paraId="7AA97D63" w14:textId="6E115882" w:rsidR="0092609F" w:rsidRPr="009E286B" w:rsidRDefault="0092609F" w:rsidP="00FE0B01">
            <w:pPr>
              <w:autoSpaceDE w:val="0"/>
              <w:autoSpaceDN w:val="0"/>
              <w:adjustRightInd w:val="0"/>
              <w:spacing w:after="0" w:line="240" w:lineRule="auto"/>
              <w:rPr>
                <w:rFonts w:ascii="Times New Roman" w:hAnsi="Times New Roman" w:cs="Times New Roman"/>
              </w:rPr>
            </w:pPr>
            <w:proofErr w:type="spellStart"/>
            <w:r w:rsidRPr="009E286B">
              <w:rPr>
                <w:rFonts w:ascii="Times New Roman" w:hAnsi="Times New Roman" w:cs="Times New Roman"/>
              </w:rPr>
              <w:t>Tachykardia</w:t>
            </w:r>
            <w:proofErr w:type="spellEnd"/>
          </w:p>
        </w:tc>
        <w:tc>
          <w:tcPr>
            <w:tcW w:w="1417" w:type="dxa"/>
          </w:tcPr>
          <w:p w14:paraId="533C466F" w14:textId="77777777" w:rsidR="0092609F" w:rsidRPr="009E286B" w:rsidRDefault="0092609F" w:rsidP="00FE0B01">
            <w:pPr>
              <w:autoSpaceDE w:val="0"/>
              <w:autoSpaceDN w:val="0"/>
              <w:adjustRightInd w:val="0"/>
              <w:spacing w:after="0" w:line="240" w:lineRule="auto"/>
              <w:rPr>
                <w:rFonts w:ascii="Times New Roman" w:hAnsi="Times New Roman" w:cs="Times New Roman"/>
              </w:rPr>
            </w:pPr>
          </w:p>
        </w:tc>
        <w:tc>
          <w:tcPr>
            <w:tcW w:w="1560" w:type="dxa"/>
          </w:tcPr>
          <w:p w14:paraId="4115A134" w14:textId="63057414" w:rsidR="0092609F" w:rsidRPr="00301FE5" w:rsidRDefault="0092609F" w:rsidP="00FE0B01">
            <w:pPr>
              <w:autoSpaceDE w:val="0"/>
              <w:autoSpaceDN w:val="0"/>
              <w:adjustRightInd w:val="0"/>
              <w:spacing w:after="0" w:line="240" w:lineRule="auto"/>
              <w:rPr>
                <w:rFonts w:ascii="Times New Roman" w:hAnsi="Times New Roman" w:cs="Times New Roman"/>
              </w:rPr>
            </w:pPr>
            <w:r w:rsidRPr="002D691C">
              <w:rPr>
                <w:rFonts w:ascii="Times New Roman" w:hAnsi="Times New Roman" w:cs="Times New Roman"/>
              </w:rPr>
              <w:t>Ventrikulárna fibrilácia, ven</w:t>
            </w:r>
            <w:r w:rsidR="00D85EC5" w:rsidRPr="00301FE5">
              <w:rPr>
                <w:rFonts w:ascii="Times New Roman" w:hAnsi="Times New Roman" w:cs="Times New Roman"/>
              </w:rPr>
              <w:t>-</w:t>
            </w:r>
            <w:r w:rsidRPr="00301FE5">
              <w:rPr>
                <w:rFonts w:ascii="Times New Roman" w:hAnsi="Times New Roman" w:cs="Times New Roman"/>
              </w:rPr>
              <w:t xml:space="preserve">trikulárna tachykardia (vrátane </w:t>
            </w:r>
            <w:r w:rsidRPr="00BC3C9C">
              <w:rPr>
                <w:rFonts w:ascii="Times New Roman" w:hAnsi="Times New Roman" w:cs="Times New Roman"/>
                <w:i/>
              </w:rPr>
              <w:t>torsade de pointes</w:t>
            </w:r>
            <w:r w:rsidRPr="00301FE5">
              <w:rPr>
                <w:rFonts w:ascii="Times New Roman" w:hAnsi="Times New Roman" w:cs="Times New Roman"/>
              </w:rPr>
              <w:t>)</w:t>
            </w:r>
          </w:p>
        </w:tc>
      </w:tr>
      <w:tr w:rsidR="0092609F" w:rsidRPr="00EE3F6B" w14:paraId="321C76C1" w14:textId="75D622A0" w:rsidTr="00A4261C">
        <w:trPr>
          <w:jc w:val="center"/>
        </w:trPr>
        <w:tc>
          <w:tcPr>
            <w:tcW w:w="1696" w:type="dxa"/>
          </w:tcPr>
          <w:p w14:paraId="6B880407" w14:textId="77777777" w:rsidR="0092609F" w:rsidRPr="00EE3F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Poruchy ciev</w:t>
            </w:r>
          </w:p>
        </w:tc>
        <w:tc>
          <w:tcPr>
            <w:tcW w:w="1558" w:type="dxa"/>
          </w:tcPr>
          <w:p w14:paraId="5C0F731B" w14:textId="77777777" w:rsidR="0092609F" w:rsidRPr="00EE3F6B" w:rsidRDefault="0092609F" w:rsidP="00FE0B01">
            <w:pPr>
              <w:autoSpaceDE w:val="0"/>
              <w:autoSpaceDN w:val="0"/>
              <w:adjustRightInd w:val="0"/>
              <w:spacing w:after="0" w:line="240" w:lineRule="auto"/>
              <w:rPr>
                <w:rFonts w:ascii="Times New Roman" w:hAnsi="Times New Roman" w:cs="Times New Roman"/>
              </w:rPr>
            </w:pPr>
          </w:p>
        </w:tc>
        <w:tc>
          <w:tcPr>
            <w:tcW w:w="1703" w:type="dxa"/>
          </w:tcPr>
          <w:p w14:paraId="57BFC8AB" w14:textId="2A7D6C76" w:rsidR="0092609F" w:rsidRPr="00EE3F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Hypertenzia, vazodilatácia (najčastejšie pocit návalov tepla)</w:t>
            </w:r>
          </w:p>
        </w:tc>
        <w:tc>
          <w:tcPr>
            <w:tcW w:w="1559" w:type="dxa"/>
          </w:tcPr>
          <w:p w14:paraId="73823D9B" w14:textId="28B6C0D0" w:rsidR="0092609F" w:rsidRPr="009E286B" w:rsidRDefault="00D85EC5" w:rsidP="00FE0B01">
            <w:pPr>
              <w:autoSpaceDE w:val="0"/>
              <w:autoSpaceDN w:val="0"/>
              <w:adjustRightInd w:val="0"/>
              <w:spacing w:after="0" w:line="240" w:lineRule="auto"/>
              <w:rPr>
                <w:rFonts w:ascii="Times New Roman" w:hAnsi="Times New Roman" w:cs="Times New Roman"/>
              </w:rPr>
            </w:pPr>
            <w:proofErr w:type="spellStart"/>
            <w:r w:rsidRPr="009E286B">
              <w:rPr>
                <w:rFonts w:ascii="Times New Roman" w:hAnsi="Times New Roman" w:cs="Times New Roman"/>
              </w:rPr>
              <w:t>Ortostatická</w:t>
            </w:r>
            <w:proofErr w:type="spellEnd"/>
            <w:r w:rsidRPr="009E286B">
              <w:rPr>
                <w:rFonts w:ascii="Times New Roman" w:hAnsi="Times New Roman" w:cs="Times New Roman"/>
              </w:rPr>
              <w:t xml:space="preserve"> hypotenzia</w:t>
            </w:r>
          </w:p>
        </w:tc>
        <w:tc>
          <w:tcPr>
            <w:tcW w:w="1417" w:type="dxa"/>
          </w:tcPr>
          <w:p w14:paraId="66825C51" w14:textId="77777777" w:rsidR="0092609F" w:rsidRPr="002D691C" w:rsidRDefault="0092609F" w:rsidP="00FE0B01">
            <w:pPr>
              <w:autoSpaceDE w:val="0"/>
              <w:autoSpaceDN w:val="0"/>
              <w:adjustRightInd w:val="0"/>
              <w:spacing w:after="0" w:line="240" w:lineRule="auto"/>
              <w:rPr>
                <w:rFonts w:ascii="Times New Roman" w:hAnsi="Times New Roman" w:cs="Times New Roman"/>
              </w:rPr>
            </w:pPr>
          </w:p>
        </w:tc>
        <w:tc>
          <w:tcPr>
            <w:tcW w:w="1560" w:type="dxa"/>
          </w:tcPr>
          <w:p w14:paraId="32FB530E" w14:textId="0410DB45" w:rsidR="0092609F" w:rsidRPr="00301FE5" w:rsidRDefault="00D85EC5" w:rsidP="00FE0B01">
            <w:pPr>
              <w:autoSpaceDE w:val="0"/>
              <w:autoSpaceDN w:val="0"/>
              <w:adjustRightInd w:val="0"/>
              <w:spacing w:after="0" w:line="240" w:lineRule="auto"/>
              <w:rPr>
                <w:rFonts w:ascii="Times New Roman" w:hAnsi="Times New Roman" w:cs="Times New Roman"/>
              </w:rPr>
            </w:pPr>
            <w:r w:rsidRPr="00301FE5">
              <w:rPr>
                <w:rFonts w:ascii="Times New Roman" w:hAnsi="Times New Roman" w:cs="Times New Roman"/>
              </w:rPr>
              <w:t>Hypotenzia, krvácanie (krvácanie slizníc)</w:t>
            </w:r>
          </w:p>
        </w:tc>
      </w:tr>
      <w:tr w:rsidR="0092609F" w:rsidRPr="00EE3F6B" w14:paraId="110BABB1" w14:textId="6EAE0E89" w:rsidTr="00A4261C">
        <w:trPr>
          <w:jc w:val="center"/>
        </w:trPr>
        <w:tc>
          <w:tcPr>
            <w:tcW w:w="1696" w:type="dxa"/>
          </w:tcPr>
          <w:p w14:paraId="0904901A" w14:textId="1E96218E" w:rsidR="0092609F" w:rsidRPr="00EE3F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Poruchy dýchacej sús</w:t>
            </w:r>
            <w:r w:rsidR="003A43B8" w:rsidRPr="00EE3F6B">
              <w:rPr>
                <w:rFonts w:ascii="Times New Roman" w:hAnsi="Times New Roman" w:cs="Times New Roman"/>
              </w:rPr>
              <w:t>-</w:t>
            </w:r>
            <w:r w:rsidRPr="00EE3F6B">
              <w:rPr>
                <w:rFonts w:ascii="Times New Roman" w:hAnsi="Times New Roman" w:cs="Times New Roman"/>
              </w:rPr>
              <w:t>tavy, hrudníka a mediastína</w:t>
            </w:r>
          </w:p>
        </w:tc>
        <w:tc>
          <w:tcPr>
            <w:tcW w:w="1558" w:type="dxa"/>
          </w:tcPr>
          <w:p w14:paraId="0F18DB96" w14:textId="77777777" w:rsidR="0092609F" w:rsidRPr="00EE3F6B" w:rsidRDefault="0092609F" w:rsidP="00FE0B01">
            <w:pPr>
              <w:autoSpaceDE w:val="0"/>
              <w:autoSpaceDN w:val="0"/>
              <w:adjustRightInd w:val="0"/>
              <w:spacing w:after="0" w:line="240" w:lineRule="auto"/>
              <w:rPr>
                <w:rFonts w:ascii="Times New Roman" w:hAnsi="Times New Roman" w:cs="Times New Roman"/>
              </w:rPr>
            </w:pPr>
          </w:p>
        </w:tc>
        <w:tc>
          <w:tcPr>
            <w:tcW w:w="1703" w:type="dxa"/>
          </w:tcPr>
          <w:p w14:paraId="47ACCE6D" w14:textId="77777777" w:rsidR="0092609F" w:rsidRPr="009E286B" w:rsidRDefault="0092609F" w:rsidP="00FE0B01">
            <w:pPr>
              <w:autoSpaceDE w:val="0"/>
              <w:autoSpaceDN w:val="0"/>
              <w:adjustRightInd w:val="0"/>
              <w:spacing w:after="0" w:line="240" w:lineRule="auto"/>
              <w:rPr>
                <w:rFonts w:ascii="Times New Roman" w:hAnsi="Times New Roman" w:cs="Times New Roman"/>
              </w:rPr>
            </w:pPr>
            <w:r w:rsidRPr="009E286B">
              <w:rPr>
                <w:rFonts w:ascii="Times New Roman" w:hAnsi="Times New Roman" w:cs="Times New Roman"/>
              </w:rPr>
              <w:t>Zívanie</w:t>
            </w:r>
          </w:p>
        </w:tc>
        <w:tc>
          <w:tcPr>
            <w:tcW w:w="1559" w:type="dxa"/>
          </w:tcPr>
          <w:p w14:paraId="4B7809A2" w14:textId="77777777" w:rsidR="0092609F" w:rsidRPr="009E286B" w:rsidRDefault="0092609F" w:rsidP="00FE0B01">
            <w:pPr>
              <w:autoSpaceDE w:val="0"/>
              <w:autoSpaceDN w:val="0"/>
              <w:adjustRightInd w:val="0"/>
              <w:spacing w:after="0" w:line="240" w:lineRule="auto"/>
              <w:rPr>
                <w:rFonts w:ascii="Times New Roman" w:hAnsi="Times New Roman" w:cs="Times New Roman"/>
              </w:rPr>
            </w:pPr>
          </w:p>
        </w:tc>
        <w:tc>
          <w:tcPr>
            <w:tcW w:w="1417" w:type="dxa"/>
          </w:tcPr>
          <w:p w14:paraId="5716641E" w14:textId="77777777" w:rsidR="0092609F" w:rsidRPr="009E286B" w:rsidRDefault="0092609F" w:rsidP="00FE0B01">
            <w:pPr>
              <w:autoSpaceDE w:val="0"/>
              <w:autoSpaceDN w:val="0"/>
              <w:adjustRightInd w:val="0"/>
              <w:spacing w:after="0" w:line="240" w:lineRule="auto"/>
              <w:rPr>
                <w:rFonts w:ascii="Times New Roman" w:hAnsi="Times New Roman" w:cs="Times New Roman"/>
              </w:rPr>
            </w:pPr>
          </w:p>
        </w:tc>
        <w:tc>
          <w:tcPr>
            <w:tcW w:w="1560" w:type="dxa"/>
          </w:tcPr>
          <w:p w14:paraId="26707E6E" w14:textId="6F2E9FCB" w:rsidR="0092609F" w:rsidRPr="00301FE5" w:rsidRDefault="00D85EC5" w:rsidP="00FE0B01">
            <w:pPr>
              <w:autoSpaceDE w:val="0"/>
              <w:autoSpaceDN w:val="0"/>
              <w:adjustRightInd w:val="0"/>
              <w:spacing w:after="0" w:line="240" w:lineRule="auto"/>
              <w:rPr>
                <w:rFonts w:ascii="Times New Roman" w:hAnsi="Times New Roman" w:cs="Times New Roman"/>
              </w:rPr>
            </w:pPr>
            <w:r w:rsidRPr="002D691C">
              <w:rPr>
                <w:rFonts w:ascii="Times New Roman" w:hAnsi="Times New Roman" w:cs="Times New Roman"/>
              </w:rPr>
              <w:t>Pľúcna eozinofília</w:t>
            </w:r>
          </w:p>
        </w:tc>
      </w:tr>
      <w:tr w:rsidR="0092609F" w:rsidRPr="00EE3F6B" w14:paraId="715EF48A" w14:textId="44AF01BA" w:rsidTr="00A4261C">
        <w:trPr>
          <w:jc w:val="center"/>
        </w:trPr>
        <w:tc>
          <w:tcPr>
            <w:tcW w:w="1696" w:type="dxa"/>
          </w:tcPr>
          <w:p w14:paraId="07C66225" w14:textId="77777777" w:rsidR="0092609F" w:rsidRPr="00EE3F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Poruchy gastrointestinálneho traktu</w:t>
            </w:r>
          </w:p>
        </w:tc>
        <w:tc>
          <w:tcPr>
            <w:tcW w:w="1558" w:type="dxa"/>
          </w:tcPr>
          <w:p w14:paraId="60AFEBCC" w14:textId="224C1DAD" w:rsidR="0092609F" w:rsidRPr="009E28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Nauzea , sucho</w:t>
            </w:r>
            <w:r w:rsidRPr="009E286B">
              <w:rPr>
                <w:rFonts w:ascii="Times New Roman" w:hAnsi="Times New Roman" w:cs="Times New Roman"/>
              </w:rPr>
              <w:t xml:space="preserve"> v ústach </w:t>
            </w:r>
          </w:p>
        </w:tc>
        <w:tc>
          <w:tcPr>
            <w:tcW w:w="1703" w:type="dxa"/>
          </w:tcPr>
          <w:p w14:paraId="57F5E074" w14:textId="7723FA47" w:rsidR="0092609F" w:rsidRPr="00301FE5" w:rsidRDefault="00D85EC5" w:rsidP="00FE0B01">
            <w:pPr>
              <w:autoSpaceDE w:val="0"/>
              <w:autoSpaceDN w:val="0"/>
              <w:adjustRightInd w:val="0"/>
              <w:spacing w:after="0" w:line="240" w:lineRule="auto"/>
              <w:rPr>
                <w:rFonts w:ascii="Times New Roman" w:hAnsi="Times New Roman" w:cs="Times New Roman"/>
              </w:rPr>
            </w:pPr>
            <w:r w:rsidRPr="002D691C">
              <w:rPr>
                <w:rFonts w:ascii="Times New Roman" w:hAnsi="Times New Roman" w:cs="Times New Roman"/>
              </w:rPr>
              <w:t>Z</w:t>
            </w:r>
            <w:r w:rsidR="0092609F" w:rsidRPr="00301FE5">
              <w:rPr>
                <w:rFonts w:ascii="Times New Roman" w:hAnsi="Times New Roman" w:cs="Times New Roman"/>
              </w:rPr>
              <w:t xml:space="preserve">ápcha, </w:t>
            </w:r>
            <w:proofErr w:type="spellStart"/>
            <w:r w:rsidR="0092609F" w:rsidRPr="00301FE5">
              <w:rPr>
                <w:rFonts w:ascii="Times New Roman" w:hAnsi="Times New Roman" w:cs="Times New Roman"/>
              </w:rPr>
              <w:t>vra</w:t>
            </w:r>
            <w:r w:rsidRPr="00301FE5">
              <w:rPr>
                <w:rFonts w:ascii="Times New Roman" w:hAnsi="Times New Roman" w:cs="Times New Roman"/>
              </w:rPr>
              <w:t>-</w:t>
            </w:r>
            <w:r w:rsidR="0092609F" w:rsidRPr="00301FE5">
              <w:rPr>
                <w:rFonts w:ascii="Times New Roman" w:hAnsi="Times New Roman" w:cs="Times New Roman"/>
              </w:rPr>
              <w:t>canie</w:t>
            </w:r>
            <w:proofErr w:type="spellEnd"/>
            <w:r w:rsidRPr="00301FE5">
              <w:rPr>
                <w:rFonts w:ascii="Times New Roman" w:hAnsi="Times New Roman" w:cs="Times New Roman"/>
              </w:rPr>
              <w:t>, hnačka</w:t>
            </w:r>
          </w:p>
        </w:tc>
        <w:tc>
          <w:tcPr>
            <w:tcW w:w="1559" w:type="dxa"/>
          </w:tcPr>
          <w:p w14:paraId="0EB098D6" w14:textId="3A456570" w:rsidR="0092609F" w:rsidRPr="00EE3F6B" w:rsidRDefault="005625AD" w:rsidP="00FE0B01">
            <w:pPr>
              <w:autoSpaceDE w:val="0"/>
              <w:autoSpaceDN w:val="0"/>
              <w:adjustRightInd w:val="0"/>
              <w:spacing w:after="0" w:line="240" w:lineRule="auto"/>
              <w:rPr>
                <w:rFonts w:ascii="Times New Roman" w:hAnsi="Times New Roman" w:cs="Times New Roman"/>
              </w:rPr>
            </w:pPr>
            <w:r w:rsidRPr="00301FE5">
              <w:rPr>
                <w:rFonts w:ascii="Times New Roman" w:hAnsi="Times New Roman" w:cs="Times New Roman"/>
              </w:rPr>
              <w:t>Gastrointes-tinálne krvácanie</w:t>
            </w:r>
            <w:r w:rsidRPr="00301FE5" w:rsidDel="005625AD">
              <w:rPr>
                <w:rFonts w:ascii="Times New Roman" w:hAnsi="Times New Roman" w:cs="Times New Roman"/>
              </w:rPr>
              <w:t xml:space="preserve"> </w:t>
            </w:r>
          </w:p>
        </w:tc>
        <w:tc>
          <w:tcPr>
            <w:tcW w:w="1417" w:type="dxa"/>
          </w:tcPr>
          <w:p w14:paraId="27E4034A" w14:textId="7D489CC1" w:rsidR="0092609F" w:rsidRPr="00EE3F6B" w:rsidRDefault="0092609F" w:rsidP="00FE0B01">
            <w:pPr>
              <w:autoSpaceDE w:val="0"/>
              <w:autoSpaceDN w:val="0"/>
              <w:adjustRightInd w:val="0"/>
              <w:spacing w:after="0" w:line="240" w:lineRule="auto"/>
              <w:rPr>
                <w:rFonts w:ascii="Times New Roman" w:hAnsi="Times New Roman" w:cs="Times New Roman"/>
              </w:rPr>
            </w:pPr>
          </w:p>
        </w:tc>
        <w:tc>
          <w:tcPr>
            <w:tcW w:w="1560" w:type="dxa"/>
          </w:tcPr>
          <w:p w14:paraId="08E20627" w14:textId="5E3BD1C2" w:rsidR="0092609F" w:rsidRPr="00EE3F6B" w:rsidRDefault="006D758E"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Zápal pankreasu</w:t>
            </w:r>
          </w:p>
        </w:tc>
      </w:tr>
      <w:tr w:rsidR="0092609F" w:rsidRPr="00EE3F6B" w14:paraId="5BFFA082" w14:textId="6212C7E1" w:rsidTr="00A4261C">
        <w:trPr>
          <w:jc w:val="center"/>
        </w:trPr>
        <w:tc>
          <w:tcPr>
            <w:tcW w:w="1696" w:type="dxa"/>
          </w:tcPr>
          <w:p w14:paraId="62D836FC" w14:textId="0E324878" w:rsidR="0092609F" w:rsidRPr="00EE3F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Poruchy pečene a žlčových ciest</w:t>
            </w:r>
          </w:p>
        </w:tc>
        <w:tc>
          <w:tcPr>
            <w:tcW w:w="1558" w:type="dxa"/>
          </w:tcPr>
          <w:p w14:paraId="1BC24E45" w14:textId="77777777" w:rsidR="0092609F" w:rsidRPr="00EE3F6B" w:rsidRDefault="0092609F" w:rsidP="00FE0B01">
            <w:pPr>
              <w:autoSpaceDE w:val="0"/>
              <w:autoSpaceDN w:val="0"/>
              <w:adjustRightInd w:val="0"/>
              <w:spacing w:after="0" w:line="240" w:lineRule="auto"/>
              <w:rPr>
                <w:rFonts w:ascii="Times New Roman" w:hAnsi="Times New Roman" w:cs="Times New Roman"/>
              </w:rPr>
            </w:pPr>
          </w:p>
        </w:tc>
        <w:tc>
          <w:tcPr>
            <w:tcW w:w="1703" w:type="dxa"/>
          </w:tcPr>
          <w:p w14:paraId="0841760D" w14:textId="77777777" w:rsidR="0092609F" w:rsidRPr="00EE3F6B" w:rsidRDefault="0092609F" w:rsidP="00FE0B01">
            <w:pPr>
              <w:autoSpaceDE w:val="0"/>
              <w:autoSpaceDN w:val="0"/>
              <w:adjustRightInd w:val="0"/>
              <w:spacing w:after="0" w:line="240" w:lineRule="auto"/>
              <w:rPr>
                <w:rFonts w:ascii="Times New Roman" w:hAnsi="Times New Roman" w:cs="Times New Roman"/>
              </w:rPr>
            </w:pPr>
          </w:p>
        </w:tc>
        <w:tc>
          <w:tcPr>
            <w:tcW w:w="1559" w:type="dxa"/>
          </w:tcPr>
          <w:p w14:paraId="525A810D" w14:textId="77777777" w:rsidR="0092609F" w:rsidRPr="009E286B" w:rsidRDefault="0092609F" w:rsidP="00FE0B01">
            <w:pPr>
              <w:autoSpaceDE w:val="0"/>
              <w:autoSpaceDN w:val="0"/>
              <w:adjustRightInd w:val="0"/>
              <w:spacing w:after="0" w:line="240" w:lineRule="auto"/>
              <w:rPr>
                <w:rFonts w:ascii="Times New Roman" w:hAnsi="Times New Roman" w:cs="Times New Roman"/>
              </w:rPr>
            </w:pPr>
          </w:p>
        </w:tc>
        <w:tc>
          <w:tcPr>
            <w:tcW w:w="1417" w:type="dxa"/>
          </w:tcPr>
          <w:p w14:paraId="7515AFA1" w14:textId="77777777" w:rsidR="0092609F" w:rsidRPr="009E286B" w:rsidRDefault="0092609F" w:rsidP="00FE0B01">
            <w:pPr>
              <w:autoSpaceDE w:val="0"/>
              <w:autoSpaceDN w:val="0"/>
              <w:adjustRightInd w:val="0"/>
              <w:spacing w:after="0" w:line="240" w:lineRule="auto"/>
              <w:rPr>
                <w:rFonts w:ascii="Times New Roman" w:hAnsi="Times New Roman" w:cs="Times New Roman"/>
              </w:rPr>
            </w:pPr>
          </w:p>
        </w:tc>
        <w:tc>
          <w:tcPr>
            <w:tcW w:w="1560" w:type="dxa"/>
          </w:tcPr>
          <w:p w14:paraId="058AE80C" w14:textId="1CC4B0AD" w:rsidR="0092609F" w:rsidRPr="002D691C" w:rsidRDefault="006D758E" w:rsidP="00FE0B01">
            <w:pPr>
              <w:autoSpaceDE w:val="0"/>
              <w:autoSpaceDN w:val="0"/>
              <w:adjustRightInd w:val="0"/>
              <w:spacing w:after="0" w:line="240" w:lineRule="auto"/>
              <w:rPr>
                <w:rFonts w:ascii="Times New Roman" w:hAnsi="Times New Roman" w:cs="Times New Roman"/>
              </w:rPr>
            </w:pPr>
            <w:r w:rsidRPr="009E286B">
              <w:rPr>
                <w:rFonts w:ascii="Times New Roman" w:hAnsi="Times New Roman" w:cs="Times New Roman"/>
              </w:rPr>
              <w:t>Hepatitída, abnormálne pečeňové testy</w:t>
            </w:r>
          </w:p>
        </w:tc>
      </w:tr>
      <w:tr w:rsidR="0092609F" w:rsidRPr="00EE3F6B" w14:paraId="0B04E00C" w14:textId="3CF4B7A7" w:rsidTr="00A4261C">
        <w:trPr>
          <w:jc w:val="center"/>
        </w:trPr>
        <w:tc>
          <w:tcPr>
            <w:tcW w:w="1696" w:type="dxa"/>
          </w:tcPr>
          <w:p w14:paraId="78BD8027" w14:textId="7EA0ECEA" w:rsidR="0092609F" w:rsidRPr="00EE3F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Poruchy kože a podkožného tkaniva</w:t>
            </w:r>
          </w:p>
        </w:tc>
        <w:tc>
          <w:tcPr>
            <w:tcW w:w="1558" w:type="dxa"/>
          </w:tcPr>
          <w:p w14:paraId="18EA4BB6" w14:textId="1351460B" w:rsidR="0092609F" w:rsidRPr="00EE3F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 xml:space="preserve">Potenie sa (vrátane nočného) </w:t>
            </w:r>
          </w:p>
        </w:tc>
        <w:tc>
          <w:tcPr>
            <w:tcW w:w="1703" w:type="dxa"/>
          </w:tcPr>
          <w:p w14:paraId="6F673C30" w14:textId="77777777" w:rsidR="0092609F" w:rsidRPr="009E286B" w:rsidRDefault="0092609F" w:rsidP="00FE0B01">
            <w:pPr>
              <w:autoSpaceDE w:val="0"/>
              <w:autoSpaceDN w:val="0"/>
              <w:adjustRightInd w:val="0"/>
              <w:spacing w:after="0" w:line="240" w:lineRule="auto"/>
              <w:rPr>
                <w:rFonts w:ascii="Times New Roman" w:hAnsi="Times New Roman" w:cs="Times New Roman"/>
              </w:rPr>
            </w:pPr>
          </w:p>
        </w:tc>
        <w:tc>
          <w:tcPr>
            <w:tcW w:w="1559" w:type="dxa"/>
          </w:tcPr>
          <w:p w14:paraId="667CEAAE" w14:textId="7CBE36A1" w:rsidR="0092609F" w:rsidRPr="002D691C" w:rsidRDefault="0092609F" w:rsidP="00FE0B01">
            <w:pPr>
              <w:autoSpaceDE w:val="0"/>
              <w:autoSpaceDN w:val="0"/>
              <w:adjustRightInd w:val="0"/>
              <w:spacing w:after="0" w:line="240" w:lineRule="auto"/>
              <w:rPr>
                <w:rFonts w:ascii="Times New Roman" w:hAnsi="Times New Roman" w:cs="Times New Roman"/>
              </w:rPr>
            </w:pPr>
            <w:r w:rsidRPr="009E286B">
              <w:rPr>
                <w:rFonts w:ascii="Times New Roman" w:hAnsi="Times New Roman" w:cs="Times New Roman"/>
              </w:rPr>
              <w:t>Vyrážky, alopécia, fotosenzitívna reakcia, angioedém</w:t>
            </w:r>
            <w:r w:rsidR="006D758E" w:rsidRPr="009E286B">
              <w:rPr>
                <w:rFonts w:ascii="Times New Roman" w:hAnsi="Times New Roman" w:cs="Times New Roman"/>
              </w:rPr>
              <w:t>, ekchymóza</w:t>
            </w:r>
          </w:p>
        </w:tc>
        <w:tc>
          <w:tcPr>
            <w:tcW w:w="1417" w:type="dxa"/>
          </w:tcPr>
          <w:p w14:paraId="61440F1E" w14:textId="77777777" w:rsidR="0092609F" w:rsidRPr="00301FE5" w:rsidRDefault="0092609F" w:rsidP="00FE0B01">
            <w:pPr>
              <w:autoSpaceDE w:val="0"/>
              <w:autoSpaceDN w:val="0"/>
              <w:adjustRightInd w:val="0"/>
              <w:spacing w:after="0" w:line="240" w:lineRule="auto"/>
              <w:rPr>
                <w:rFonts w:ascii="Times New Roman" w:hAnsi="Times New Roman" w:cs="Times New Roman"/>
              </w:rPr>
            </w:pPr>
          </w:p>
        </w:tc>
        <w:tc>
          <w:tcPr>
            <w:tcW w:w="1560" w:type="dxa"/>
          </w:tcPr>
          <w:p w14:paraId="13364A5A" w14:textId="42DE5480" w:rsidR="0092609F" w:rsidRPr="00301FE5" w:rsidRDefault="006D758E" w:rsidP="00FE0B01">
            <w:pPr>
              <w:autoSpaceDE w:val="0"/>
              <w:autoSpaceDN w:val="0"/>
              <w:adjustRightInd w:val="0"/>
              <w:spacing w:after="0" w:line="240" w:lineRule="auto"/>
              <w:rPr>
                <w:rFonts w:ascii="Times New Roman" w:hAnsi="Times New Roman" w:cs="Times New Roman"/>
              </w:rPr>
            </w:pPr>
            <w:r w:rsidRPr="00301FE5">
              <w:rPr>
                <w:rFonts w:ascii="Times New Roman" w:hAnsi="Times New Roman" w:cs="Times New Roman"/>
              </w:rPr>
              <w:t>Stevensov-Johnsonov syndróm, multiformný erytém, tox-ická epiderm</w:t>
            </w:r>
            <w:r w:rsidR="00ED75F8" w:rsidRPr="00301FE5">
              <w:rPr>
                <w:rFonts w:ascii="Times New Roman" w:hAnsi="Times New Roman" w:cs="Times New Roman"/>
              </w:rPr>
              <w:t>-</w:t>
            </w:r>
            <w:r w:rsidRPr="00301FE5">
              <w:rPr>
                <w:rFonts w:ascii="Times New Roman" w:hAnsi="Times New Roman" w:cs="Times New Roman"/>
              </w:rPr>
              <w:t>álna nekrolý</w:t>
            </w:r>
            <w:r w:rsidR="00ED75F8" w:rsidRPr="00301FE5">
              <w:rPr>
                <w:rFonts w:ascii="Times New Roman" w:hAnsi="Times New Roman" w:cs="Times New Roman"/>
              </w:rPr>
              <w:t>-</w:t>
            </w:r>
            <w:r w:rsidRPr="00301FE5">
              <w:rPr>
                <w:rFonts w:ascii="Times New Roman" w:hAnsi="Times New Roman" w:cs="Times New Roman"/>
              </w:rPr>
              <w:t>za, pruritus, žihľavka</w:t>
            </w:r>
          </w:p>
        </w:tc>
      </w:tr>
      <w:tr w:rsidR="0092609F" w:rsidRPr="00EE3F6B" w14:paraId="53435173" w14:textId="24CF1984" w:rsidTr="00A4261C">
        <w:trPr>
          <w:jc w:val="center"/>
        </w:trPr>
        <w:tc>
          <w:tcPr>
            <w:tcW w:w="1696" w:type="dxa"/>
          </w:tcPr>
          <w:p w14:paraId="5513E049" w14:textId="11DC6CD7" w:rsidR="0092609F" w:rsidRPr="009E28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Poruchy kostrovej a</w:t>
            </w:r>
            <w:r w:rsidR="00A4261C" w:rsidRPr="00EE3F6B">
              <w:rPr>
                <w:rFonts w:ascii="Times New Roman" w:hAnsi="Times New Roman" w:cs="Times New Roman"/>
              </w:rPr>
              <w:t xml:space="preserve"> </w:t>
            </w:r>
            <w:r w:rsidRPr="00EE3F6B">
              <w:rPr>
                <w:rFonts w:ascii="Times New Roman" w:hAnsi="Times New Roman" w:cs="Times New Roman"/>
              </w:rPr>
              <w:t>sva</w:t>
            </w:r>
            <w:r w:rsidR="003A43B8" w:rsidRPr="00EE3F6B">
              <w:rPr>
                <w:rFonts w:ascii="Times New Roman" w:hAnsi="Times New Roman" w:cs="Times New Roman"/>
              </w:rPr>
              <w:t>-</w:t>
            </w:r>
            <w:r w:rsidRPr="00EE3F6B">
              <w:rPr>
                <w:rFonts w:ascii="Times New Roman" w:hAnsi="Times New Roman" w:cs="Times New Roman"/>
              </w:rPr>
              <w:t>lovej sústavy a spojivového tkaniva</w:t>
            </w:r>
          </w:p>
        </w:tc>
        <w:tc>
          <w:tcPr>
            <w:tcW w:w="1558" w:type="dxa"/>
          </w:tcPr>
          <w:p w14:paraId="769025A3" w14:textId="77777777" w:rsidR="0092609F" w:rsidRPr="009E286B" w:rsidRDefault="0092609F" w:rsidP="00FE0B01">
            <w:pPr>
              <w:autoSpaceDE w:val="0"/>
              <w:autoSpaceDN w:val="0"/>
              <w:adjustRightInd w:val="0"/>
              <w:spacing w:after="0" w:line="240" w:lineRule="auto"/>
              <w:rPr>
                <w:rFonts w:ascii="Times New Roman" w:hAnsi="Times New Roman" w:cs="Times New Roman"/>
              </w:rPr>
            </w:pPr>
          </w:p>
        </w:tc>
        <w:tc>
          <w:tcPr>
            <w:tcW w:w="1703" w:type="dxa"/>
          </w:tcPr>
          <w:p w14:paraId="1300C53F" w14:textId="77777777" w:rsidR="0092609F" w:rsidRPr="009E286B" w:rsidRDefault="0092609F" w:rsidP="00FE0B01">
            <w:pPr>
              <w:autoSpaceDE w:val="0"/>
              <w:autoSpaceDN w:val="0"/>
              <w:adjustRightInd w:val="0"/>
              <w:spacing w:after="0" w:line="240" w:lineRule="auto"/>
              <w:rPr>
                <w:rFonts w:ascii="Times New Roman" w:hAnsi="Times New Roman" w:cs="Times New Roman"/>
              </w:rPr>
            </w:pPr>
          </w:p>
        </w:tc>
        <w:tc>
          <w:tcPr>
            <w:tcW w:w="1559" w:type="dxa"/>
          </w:tcPr>
          <w:p w14:paraId="1F9BAC13" w14:textId="77777777" w:rsidR="0092609F" w:rsidRPr="002D691C" w:rsidRDefault="0092609F" w:rsidP="00FE0B01">
            <w:pPr>
              <w:autoSpaceDE w:val="0"/>
              <w:autoSpaceDN w:val="0"/>
              <w:adjustRightInd w:val="0"/>
              <w:spacing w:after="0" w:line="240" w:lineRule="auto"/>
              <w:rPr>
                <w:rFonts w:ascii="Times New Roman" w:hAnsi="Times New Roman" w:cs="Times New Roman"/>
              </w:rPr>
            </w:pPr>
          </w:p>
        </w:tc>
        <w:tc>
          <w:tcPr>
            <w:tcW w:w="1417" w:type="dxa"/>
          </w:tcPr>
          <w:p w14:paraId="3225127F" w14:textId="77777777" w:rsidR="0092609F" w:rsidRPr="00301FE5" w:rsidRDefault="0092609F" w:rsidP="00FE0B01">
            <w:pPr>
              <w:autoSpaceDE w:val="0"/>
              <w:autoSpaceDN w:val="0"/>
              <w:adjustRightInd w:val="0"/>
              <w:spacing w:after="0" w:line="240" w:lineRule="auto"/>
              <w:rPr>
                <w:rFonts w:ascii="Times New Roman" w:hAnsi="Times New Roman" w:cs="Times New Roman"/>
              </w:rPr>
            </w:pPr>
          </w:p>
        </w:tc>
        <w:tc>
          <w:tcPr>
            <w:tcW w:w="1560" w:type="dxa"/>
          </w:tcPr>
          <w:p w14:paraId="3812A6FC" w14:textId="08990A74" w:rsidR="0092609F" w:rsidRPr="00301FE5" w:rsidRDefault="006D758E" w:rsidP="00FE0B01">
            <w:pPr>
              <w:autoSpaceDE w:val="0"/>
              <w:autoSpaceDN w:val="0"/>
              <w:adjustRightInd w:val="0"/>
              <w:spacing w:after="0" w:line="240" w:lineRule="auto"/>
              <w:rPr>
                <w:rFonts w:ascii="Times New Roman" w:hAnsi="Times New Roman" w:cs="Times New Roman"/>
              </w:rPr>
            </w:pPr>
            <w:r w:rsidRPr="00301FE5">
              <w:rPr>
                <w:rFonts w:ascii="Times New Roman" w:hAnsi="Times New Roman" w:cs="Times New Roman"/>
              </w:rPr>
              <w:t>Rabdomyo-lýza</w:t>
            </w:r>
          </w:p>
        </w:tc>
      </w:tr>
      <w:tr w:rsidR="0092609F" w:rsidRPr="00EE3F6B" w14:paraId="0FE0D0EB" w14:textId="3E9CD6B5" w:rsidTr="00A4261C">
        <w:trPr>
          <w:jc w:val="center"/>
        </w:trPr>
        <w:tc>
          <w:tcPr>
            <w:tcW w:w="1696" w:type="dxa"/>
          </w:tcPr>
          <w:p w14:paraId="58989546" w14:textId="3C93375E" w:rsidR="0092609F" w:rsidRPr="00EE3F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Poruchy obličiek a močových ciest</w:t>
            </w:r>
          </w:p>
        </w:tc>
        <w:tc>
          <w:tcPr>
            <w:tcW w:w="1558" w:type="dxa"/>
          </w:tcPr>
          <w:p w14:paraId="70A378DE" w14:textId="77777777" w:rsidR="0092609F" w:rsidRPr="00EE3F6B" w:rsidRDefault="0092609F" w:rsidP="00FE0B01">
            <w:pPr>
              <w:autoSpaceDE w:val="0"/>
              <w:autoSpaceDN w:val="0"/>
              <w:adjustRightInd w:val="0"/>
              <w:spacing w:after="0" w:line="240" w:lineRule="auto"/>
              <w:rPr>
                <w:rFonts w:ascii="Times New Roman" w:hAnsi="Times New Roman" w:cs="Times New Roman"/>
              </w:rPr>
            </w:pPr>
          </w:p>
        </w:tc>
        <w:tc>
          <w:tcPr>
            <w:tcW w:w="1703" w:type="dxa"/>
          </w:tcPr>
          <w:p w14:paraId="4A60BFB4" w14:textId="77777777" w:rsidR="0092609F" w:rsidRPr="009E28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Poruchy močenia (najčastejšie zadržiavanie), polakizúria</w:t>
            </w:r>
          </w:p>
        </w:tc>
        <w:tc>
          <w:tcPr>
            <w:tcW w:w="1559" w:type="dxa"/>
          </w:tcPr>
          <w:p w14:paraId="7CA73B52" w14:textId="789CEC7B" w:rsidR="0092609F" w:rsidRPr="009E286B" w:rsidRDefault="0092609F" w:rsidP="00FE0B01">
            <w:pPr>
              <w:autoSpaceDE w:val="0"/>
              <w:autoSpaceDN w:val="0"/>
              <w:adjustRightInd w:val="0"/>
              <w:spacing w:after="0" w:line="240" w:lineRule="auto"/>
              <w:rPr>
                <w:rFonts w:ascii="Times New Roman" w:hAnsi="Times New Roman" w:cs="Times New Roman"/>
              </w:rPr>
            </w:pPr>
            <w:r w:rsidRPr="009E286B">
              <w:rPr>
                <w:rFonts w:ascii="Times New Roman" w:hAnsi="Times New Roman" w:cs="Times New Roman"/>
              </w:rPr>
              <w:t>Retencia moč</w:t>
            </w:r>
            <w:r w:rsidR="006B7EDB" w:rsidRPr="009E286B">
              <w:rPr>
                <w:rFonts w:ascii="Times New Roman" w:hAnsi="Times New Roman" w:cs="Times New Roman"/>
              </w:rPr>
              <w:t>u</w:t>
            </w:r>
          </w:p>
        </w:tc>
        <w:tc>
          <w:tcPr>
            <w:tcW w:w="1417" w:type="dxa"/>
          </w:tcPr>
          <w:p w14:paraId="369BBE50" w14:textId="77777777" w:rsidR="0092609F" w:rsidRPr="009E286B" w:rsidRDefault="0092609F" w:rsidP="00FE0B01">
            <w:pPr>
              <w:autoSpaceDE w:val="0"/>
              <w:autoSpaceDN w:val="0"/>
              <w:adjustRightInd w:val="0"/>
              <w:spacing w:after="0" w:line="240" w:lineRule="auto"/>
              <w:rPr>
                <w:rFonts w:ascii="Times New Roman" w:hAnsi="Times New Roman" w:cs="Times New Roman"/>
              </w:rPr>
            </w:pPr>
            <w:r w:rsidRPr="009E286B">
              <w:rPr>
                <w:rFonts w:ascii="Times New Roman" w:hAnsi="Times New Roman" w:cs="Times New Roman"/>
              </w:rPr>
              <w:t>Inkontinencia moču</w:t>
            </w:r>
          </w:p>
        </w:tc>
        <w:tc>
          <w:tcPr>
            <w:tcW w:w="1560" w:type="dxa"/>
          </w:tcPr>
          <w:p w14:paraId="21E5AA55" w14:textId="77777777" w:rsidR="0092609F" w:rsidRPr="002D691C" w:rsidRDefault="0092609F" w:rsidP="00FE0B01">
            <w:pPr>
              <w:autoSpaceDE w:val="0"/>
              <w:autoSpaceDN w:val="0"/>
              <w:adjustRightInd w:val="0"/>
              <w:spacing w:after="0" w:line="240" w:lineRule="auto"/>
              <w:rPr>
                <w:rFonts w:ascii="Times New Roman" w:hAnsi="Times New Roman" w:cs="Times New Roman"/>
              </w:rPr>
            </w:pPr>
          </w:p>
        </w:tc>
      </w:tr>
      <w:tr w:rsidR="0092609F" w:rsidRPr="00EE3F6B" w14:paraId="574F3217" w14:textId="02C44AC9" w:rsidTr="00A4261C">
        <w:trPr>
          <w:jc w:val="center"/>
        </w:trPr>
        <w:tc>
          <w:tcPr>
            <w:tcW w:w="1696" w:type="dxa"/>
          </w:tcPr>
          <w:p w14:paraId="3EBB7048" w14:textId="3AAF88B4" w:rsidR="0092609F" w:rsidRPr="00EE3F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Poruchy reprodukčného systému a prsníkov</w:t>
            </w:r>
          </w:p>
        </w:tc>
        <w:tc>
          <w:tcPr>
            <w:tcW w:w="1558" w:type="dxa"/>
          </w:tcPr>
          <w:p w14:paraId="37CF5ABD" w14:textId="77777777" w:rsidR="0092609F" w:rsidRPr="00EE3F6B" w:rsidRDefault="0092609F" w:rsidP="00FE0B01">
            <w:pPr>
              <w:autoSpaceDE w:val="0"/>
              <w:autoSpaceDN w:val="0"/>
              <w:adjustRightInd w:val="0"/>
              <w:spacing w:after="0" w:line="240" w:lineRule="auto"/>
              <w:rPr>
                <w:rFonts w:ascii="Times New Roman" w:hAnsi="Times New Roman" w:cs="Times New Roman"/>
              </w:rPr>
            </w:pPr>
          </w:p>
        </w:tc>
        <w:tc>
          <w:tcPr>
            <w:tcW w:w="1703" w:type="dxa"/>
          </w:tcPr>
          <w:p w14:paraId="28D8E3AC" w14:textId="1AA1F0BE" w:rsidR="0092609F" w:rsidRPr="00301FE5" w:rsidRDefault="006D758E" w:rsidP="00FE0B01">
            <w:pPr>
              <w:autoSpaceDE w:val="0"/>
              <w:autoSpaceDN w:val="0"/>
              <w:adjustRightInd w:val="0"/>
              <w:spacing w:after="0" w:line="240" w:lineRule="auto"/>
              <w:rPr>
                <w:rFonts w:ascii="Times New Roman" w:hAnsi="Times New Roman" w:cs="Times New Roman"/>
              </w:rPr>
            </w:pPr>
            <w:r w:rsidRPr="009E286B">
              <w:rPr>
                <w:rFonts w:ascii="Times New Roman" w:hAnsi="Times New Roman" w:cs="Times New Roman"/>
              </w:rPr>
              <w:t xml:space="preserve">Porucha </w:t>
            </w:r>
            <w:r w:rsidR="0092609F" w:rsidRPr="009E286B">
              <w:rPr>
                <w:rFonts w:ascii="Times New Roman" w:hAnsi="Times New Roman" w:cs="Times New Roman"/>
              </w:rPr>
              <w:t>ejakuláci</w:t>
            </w:r>
            <w:r w:rsidRPr="009E286B">
              <w:rPr>
                <w:rFonts w:ascii="Times New Roman" w:hAnsi="Times New Roman" w:cs="Times New Roman"/>
              </w:rPr>
              <w:t>e</w:t>
            </w:r>
            <w:r w:rsidR="0092609F" w:rsidRPr="002D691C">
              <w:rPr>
                <w:rFonts w:ascii="Times New Roman" w:hAnsi="Times New Roman" w:cs="Times New Roman"/>
              </w:rPr>
              <w:t>,</w:t>
            </w:r>
            <w:r w:rsidRPr="00301FE5">
              <w:rPr>
                <w:rFonts w:ascii="Times New Roman" w:hAnsi="Times New Roman" w:cs="Times New Roman"/>
              </w:rPr>
              <w:t xml:space="preserve"> </w:t>
            </w:r>
            <w:proofErr w:type="spellStart"/>
            <w:r w:rsidRPr="00301FE5">
              <w:rPr>
                <w:rFonts w:ascii="Times New Roman" w:hAnsi="Times New Roman" w:cs="Times New Roman"/>
              </w:rPr>
              <w:t>erek-tilná</w:t>
            </w:r>
            <w:proofErr w:type="spellEnd"/>
            <w:r w:rsidRPr="00301FE5">
              <w:rPr>
                <w:rFonts w:ascii="Times New Roman" w:hAnsi="Times New Roman" w:cs="Times New Roman"/>
              </w:rPr>
              <w:t xml:space="preserve"> dysfunkcia,</w:t>
            </w:r>
            <w:r w:rsidR="0092609F" w:rsidRPr="00301FE5">
              <w:rPr>
                <w:rFonts w:ascii="Times New Roman" w:hAnsi="Times New Roman" w:cs="Times New Roman"/>
              </w:rPr>
              <w:t xml:space="preserve"> menštruačné poruchy spojené so zvýšeným krvácaním alebo zvýšeným nepravidelným krvácaním (napr. menorágia, metrorágia), </w:t>
            </w:r>
          </w:p>
        </w:tc>
        <w:tc>
          <w:tcPr>
            <w:tcW w:w="1559" w:type="dxa"/>
          </w:tcPr>
          <w:p w14:paraId="23A2FD40" w14:textId="519D627E" w:rsidR="0092609F" w:rsidRPr="00301FE5" w:rsidRDefault="0092609F" w:rsidP="00FE0B01">
            <w:pPr>
              <w:autoSpaceDE w:val="0"/>
              <w:autoSpaceDN w:val="0"/>
              <w:adjustRightInd w:val="0"/>
              <w:spacing w:after="0" w:line="240" w:lineRule="auto"/>
              <w:rPr>
                <w:rFonts w:ascii="Times New Roman" w:hAnsi="Times New Roman" w:cs="Times New Roman"/>
              </w:rPr>
            </w:pPr>
          </w:p>
        </w:tc>
        <w:tc>
          <w:tcPr>
            <w:tcW w:w="1417" w:type="dxa"/>
          </w:tcPr>
          <w:p w14:paraId="3EDA49D4" w14:textId="77777777" w:rsidR="0092609F" w:rsidRPr="00301FE5" w:rsidRDefault="0092609F" w:rsidP="00FE0B01">
            <w:pPr>
              <w:autoSpaceDE w:val="0"/>
              <w:autoSpaceDN w:val="0"/>
              <w:adjustRightInd w:val="0"/>
              <w:spacing w:after="0" w:line="240" w:lineRule="auto"/>
              <w:rPr>
                <w:rFonts w:ascii="Times New Roman" w:hAnsi="Times New Roman" w:cs="Times New Roman"/>
              </w:rPr>
            </w:pPr>
          </w:p>
        </w:tc>
        <w:tc>
          <w:tcPr>
            <w:tcW w:w="1560" w:type="dxa"/>
          </w:tcPr>
          <w:p w14:paraId="3F75B492" w14:textId="77777777" w:rsidR="0092609F" w:rsidRPr="00EE3F6B" w:rsidRDefault="0092609F" w:rsidP="00FE0B01">
            <w:pPr>
              <w:autoSpaceDE w:val="0"/>
              <w:autoSpaceDN w:val="0"/>
              <w:adjustRightInd w:val="0"/>
              <w:spacing w:after="0" w:line="240" w:lineRule="auto"/>
              <w:rPr>
                <w:rFonts w:ascii="Times New Roman" w:hAnsi="Times New Roman" w:cs="Times New Roman"/>
              </w:rPr>
            </w:pPr>
          </w:p>
        </w:tc>
      </w:tr>
      <w:tr w:rsidR="0092609F" w:rsidRPr="00EE3F6B" w14:paraId="7DDD15FA" w14:textId="219D1DAF" w:rsidTr="00A4261C">
        <w:trPr>
          <w:jc w:val="center"/>
        </w:trPr>
        <w:tc>
          <w:tcPr>
            <w:tcW w:w="1696" w:type="dxa"/>
          </w:tcPr>
          <w:p w14:paraId="144181A9" w14:textId="7A0F5D36" w:rsidR="0092609F" w:rsidRPr="009E286B" w:rsidRDefault="0092609F"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Celkové poruchy a</w:t>
            </w:r>
            <w:r w:rsidR="00A4261C" w:rsidRPr="00EE3F6B">
              <w:rPr>
                <w:rFonts w:ascii="Times New Roman" w:hAnsi="Times New Roman" w:cs="Times New Roman"/>
              </w:rPr>
              <w:t xml:space="preserve"> </w:t>
            </w:r>
            <w:r w:rsidRPr="00EE3F6B">
              <w:rPr>
                <w:rFonts w:ascii="Times New Roman" w:hAnsi="Times New Roman" w:cs="Times New Roman"/>
              </w:rPr>
              <w:t>re</w:t>
            </w:r>
            <w:r w:rsidR="003A43B8" w:rsidRPr="00EE3F6B">
              <w:rPr>
                <w:rFonts w:ascii="Times New Roman" w:hAnsi="Times New Roman" w:cs="Times New Roman"/>
              </w:rPr>
              <w:t>-</w:t>
            </w:r>
            <w:r w:rsidRPr="00EE3F6B">
              <w:rPr>
                <w:rFonts w:ascii="Times New Roman" w:hAnsi="Times New Roman" w:cs="Times New Roman"/>
              </w:rPr>
              <w:t>akcie v mieste podania</w:t>
            </w:r>
          </w:p>
        </w:tc>
        <w:tc>
          <w:tcPr>
            <w:tcW w:w="1558" w:type="dxa"/>
          </w:tcPr>
          <w:p w14:paraId="3017FA0D" w14:textId="77777777" w:rsidR="0092609F" w:rsidRPr="009E286B" w:rsidRDefault="0092609F" w:rsidP="00FE0B01">
            <w:pPr>
              <w:autoSpaceDE w:val="0"/>
              <w:autoSpaceDN w:val="0"/>
              <w:adjustRightInd w:val="0"/>
              <w:spacing w:after="0" w:line="240" w:lineRule="auto"/>
              <w:rPr>
                <w:rFonts w:ascii="Times New Roman" w:hAnsi="Times New Roman" w:cs="Times New Roman"/>
              </w:rPr>
            </w:pPr>
          </w:p>
        </w:tc>
        <w:tc>
          <w:tcPr>
            <w:tcW w:w="1703" w:type="dxa"/>
          </w:tcPr>
          <w:p w14:paraId="22E08D68" w14:textId="77777777" w:rsidR="0092609F" w:rsidRPr="009E286B" w:rsidRDefault="0092609F" w:rsidP="00FE0B01">
            <w:pPr>
              <w:autoSpaceDE w:val="0"/>
              <w:autoSpaceDN w:val="0"/>
              <w:adjustRightInd w:val="0"/>
              <w:spacing w:after="0" w:line="240" w:lineRule="auto"/>
              <w:rPr>
                <w:rFonts w:ascii="Times New Roman" w:hAnsi="Times New Roman" w:cs="Times New Roman"/>
              </w:rPr>
            </w:pPr>
            <w:r w:rsidRPr="009E286B">
              <w:rPr>
                <w:rFonts w:ascii="Times New Roman" w:hAnsi="Times New Roman" w:cs="Times New Roman"/>
              </w:rPr>
              <w:t>Asténia (únava), triaška</w:t>
            </w:r>
          </w:p>
        </w:tc>
        <w:tc>
          <w:tcPr>
            <w:tcW w:w="1559" w:type="dxa"/>
          </w:tcPr>
          <w:p w14:paraId="1B9D899A" w14:textId="77777777" w:rsidR="0092609F" w:rsidRPr="002D691C" w:rsidRDefault="0092609F" w:rsidP="00FE0B01">
            <w:pPr>
              <w:autoSpaceDE w:val="0"/>
              <w:autoSpaceDN w:val="0"/>
              <w:adjustRightInd w:val="0"/>
              <w:spacing w:after="0" w:line="240" w:lineRule="auto"/>
              <w:rPr>
                <w:rFonts w:ascii="Times New Roman" w:hAnsi="Times New Roman" w:cs="Times New Roman"/>
              </w:rPr>
            </w:pPr>
          </w:p>
        </w:tc>
        <w:tc>
          <w:tcPr>
            <w:tcW w:w="1417" w:type="dxa"/>
          </w:tcPr>
          <w:p w14:paraId="05B4A2FA" w14:textId="77777777" w:rsidR="0092609F" w:rsidRPr="00301FE5" w:rsidRDefault="0092609F" w:rsidP="00FE0B01">
            <w:pPr>
              <w:autoSpaceDE w:val="0"/>
              <w:autoSpaceDN w:val="0"/>
              <w:adjustRightInd w:val="0"/>
              <w:spacing w:after="0" w:line="240" w:lineRule="auto"/>
              <w:rPr>
                <w:rFonts w:ascii="Times New Roman" w:hAnsi="Times New Roman" w:cs="Times New Roman"/>
              </w:rPr>
            </w:pPr>
          </w:p>
        </w:tc>
        <w:tc>
          <w:tcPr>
            <w:tcW w:w="1560" w:type="dxa"/>
          </w:tcPr>
          <w:p w14:paraId="2388887C" w14:textId="77777777" w:rsidR="0092609F" w:rsidRPr="00301FE5" w:rsidRDefault="0092609F" w:rsidP="00FE0B01">
            <w:pPr>
              <w:autoSpaceDE w:val="0"/>
              <w:autoSpaceDN w:val="0"/>
              <w:adjustRightInd w:val="0"/>
              <w:spacing w:after="0" w:line="240" w:lineRule="auto"/>
              <w:rPr>
                <w:rFonts w:ascii="Times New Roman" w:hAnsi="Times New Roman" w:cs="Times New Roman"/>
              </w:rPr>
            </w:pPr>
          </w:p>
        </w:tc>
      </w:tr>
      <w:tr w:rsidR="006D758E" w:rsidRPr="00EE3F6B" w14:paraId="6B3FB086" w14:textId="77777777" w:rsidTr="00A4261C">
        <w:trPr>
          <w:jc w:val="center"/>
        </w:trPr>
        <w:tc>
          <w:tcPr>
            <w:tcW w:w="1696" w:type="dxa"/>
          </w:tcPr>
          <w:p w14:paraId="59452040" w14:textId="78586A7C" w:rsidR="006D758E" w:rsidRPr="00EE3F6B" w:rsidRDefault="006D758E"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 xml:space="preserve">Vyšetrenie </w:t>
            </w:r>
          </w:p>
        </w:tc>
        <w:tc>
          <w:tcPr>
            <w:tcW w:w="1558" w:type="dxa"/>
          </w:tcPr>
          <w:p w14:paraId="4BF321B9" w14:textId="77777777" w:rsidR="006D758E" w:rsidRPr="00EE3F6B" w:rsidRDefault="006D758E" w:rsidP="00FE0B01">
            <w:pPr>
              <w:autoSpaceDE w:val="0"/>
              <w:autoSpaceDN w:val="0"/>
              <w:adjustRightInd w:val="0"/>
              <w:spacing w:after="0" w:line="240" w:lineRule="auto"/>
              <w:rPr>
                <w:rFonts w:ascii="Times New Roman" w:hAnsi="Times New Roman" w:cs="Times New Roman"/>
              </w:rPr>
            </w:pPr>
          </w:p>
        </w:tc>
        <w:tc>
          <w:tcPr>
            <w:tcW w:w="1703" w:type="dxa"/>
          </w:tcPr>
          <w:p w14:paraId="49619451" w14:textId="2F344FE0" w:rsidR="006D758E" w:rsidRPr="00EE3F6B" w:rsidRDefault="006D758E"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Zvýšená hladina cholesterolu</w:t>
            </w:r>
          </w:p>
        </w:tc>
        <w:tc>
          <w:tcPr>
            <w:tcW w:w="1559" w:type="dxa"/>
          </w:tcPr>
          <w:p w14:paraId="3F83C6A9" w14:textId="14B8D705" w:rsidR="006D758E" w:rsidRPr="009E286B" w:rsidRDefault="006D758E" w:rsidP="00FE0B01">
            <w:pPr>
              <w:autoSpaceDE w:val="0"/>
              <w:autoSpaceDN w:val="0"/>
              <w:adjustRightInd w:val="0"/>
              <w:spacing w:after="0" w:line="240" w:lineRule="auto"/>
              <w:rPr>
                <w:rFonts w:ascii="Times New Roman" w:hAnsi="Times New Roman" w:cs="Times New Roman"/>
              </w:rPr>
            </w:pPr>
            <w:r w:rsidRPr="00EE3F6B">
              <w:rPr>
                <w:rFonts w:ascii="Times New Roman" w:hAnsi="Times New Roman" w:cs="Times New Roman"/>
              </w:rPr>
              <w:t>Zníženie teles-</w:t>
            </w:r>
            <w:r w:rsidRPr="009E286B">
              <w:rPr>
                <w:rFonts w:ascii="Times New Roman" w:hAnsi="Times New Roman" w:cs="Times New Roman"/>
              </w:rPr>
              <w:t>nej hmotnosti, zvýšenie teles-nej hmotnosti</w:t>
            </w:r>
          </w:p>
        </w:tc>
        <w:tc>
          <w:tcPr>
            <w:tcW w:w="1417" w:type="dxa"/>
          </w:tcPr>
          <w:p w14:paraId="3D691610" w14:textId="77777777" w:rsidR="006D758E" w:rsidRPr="009E286B" w:rsidRDefault="006D758E" w:rsidP="00FE0B01">
            <w:pPr>
              <w:autoSpaceDE w:val="0"/>
              <w:autoSpaceDN w:val="0"/>
              <w:adjustRightInd w:val="0"/>
              <w:spacing w:after="0" w:line="240" w:lineRule="auto"/>
              <w:rPr>
                <w:rFonts w:ascii="Times New Roman" w:hAnsi="Times New Roman" w:cs="Times New Roman"/>
              </w:rPr>
            </w:pPr>
          </w:p>
        </w:tc>
        <w:tc>
          <w:tcPr>
            <w:tcW w:w="1560" w:type="dxa"/>
          </w:tcPr>
          <w:p w14:paraId="03804765" w14:textId="7D3D3A84" w:rsidR="006D758E" w:rsidRPr="00301FE5" w:rsidRDefault="006D758E" w:rsidP="00FE0B01">
            <w:pPr>
              <w:autoSpaceDE w:val="0"/>
              <w:autoSpaceDN w:val="0"/>
              <w:adjustRightInd w:val="0"/>
              <w:spacing w:after="0" w:line="240" w:lineRule="auto"/>
              <w:rPr>
                <w:rFonts w:ascii="Times New Roman" w:hAnsi="Times New Roman" w:cs="Times New Roman"/>
              </w:rPr>
            </w:pPr>
            <w:r w:rsidRPr="002D691C">
              <w:rPr>
                <w:rFonts w:ascii="Times New Roman" w:hAnsi="Times New Roman" w:cs="Times New Roman"/>
              </w:rPr>
              <w:t>Predĺžený QT interval EKG, predĺžený čas krvácania, zvýšená hla</w:t>
            </w:r>
            <w:r w:rsidR="00ED75F8" w:rsidRPr="00301FE5">
              <w:rPr>
                <w:rFonts w:ascii="Times New Roman" w:hAnsi="Times New Roman" w:cs="Times New Roman"/>
              </w:rPr>
              <w:t>-</w:t>
            </w:r>
            <w:r w:rsidRPr="00301FE5">
              <w:rPr>
                <w:rFonts w:ascii="Times New Roman" w:hAnsi="Times New Roman" w:cs="Times New Roman"/>
              </w:rPr>
              <w:t>dina prolaktí</w:t>
            </w:r>
            <w:r w:rsidR="00ED75F8" w:rsidRPr="00301FE5">
              <w:rPr>
                <w:rFonts w:ascii="Times New Roman" w:hAnsi="Times New Roman" w:cs="Times New Roman"/>
              </w:rPr>
              <w:t>-</w:t>
            </w:r>
            <w:r w:rsidRPr="00301FE5">
              <w:rPr>
                <w:rFonts w:ascii="Times New Roman" w:hAnsi="Times New Roman" w:cs="Times New Roman"/>
              </w:rPr>
              <w:t>nu v</w:t>
            </w:r>
            <w:r w:rsidR="00ED75F8" w:rsidRPr="00301FE5">
              <w:rPr>
                <w:rFonts w:ascii="Times New Roman" w:hAnsi="Times New Roman" w:cs="Times New Roman"/>
              </w:rPr>
              <w:t> </w:t>
            </w:r>
            <w:r w:rsidRPr="00301FE5">
              <w:rPr>
                <w:rFonts w:ascii="Times New Roman" w:hAnsi="Times New Roman" w:cs="Times New Roman"/>
              </w:rPr>
              <w:t>krvi</w:t>
            </w:r>
          </w:p>
        </w:tc>
      </w:tr>
    </w:tbl>
    <w:p w14:paraId="4DB0C153" w14:textId="1DD861D4" w:rsidR="00954C84" w:rsidRPr="009E286B" w:rsidRDefault="00954C84" w:rsidP="00FE0B01">
      <w:pPr>
        <w:pStyle w:val="Normlndobloku"/>
        <w:spacing w:after="0"/>
        <w:jc w:val="left"/>
        <w:rPr>
          <w:szCs w:val="22"/>
        </w:rPr>
      </w:pPr>
      <w:r w:rsidRPr="00EE3F6B">
        <w:rPr>
          <w:szCs w:val="22"/>
        </w:rPr>
        <w:t>*</w:t>
      </w:r>
      <w:r w:rsidR="00ED75F8" w:rsidRPr="009E286B">
        <w:rPr>
          <w:szCs w:val="22"/>
        </w:rPr>
        <w:t xml:space="preserve"> </w:t>
      </w:r>
      <w:r w:rsidRPr="009E286B">
        <w:rPr>
          <w:szCs w:val="22"/>
        </w:rPr>
        <w:t>Prípady samovražedných myšlienok</w:t>
      </w:r>
      <w:r w:rsidR="005A5A9E" w:rsidRPr="009E286B">
        <w:rPr>
          <w:szCs w:val="22"/>
        </w:rPr>
        <w:t xml:space="preserve"> a </w:t>
      </w:r>
      <w:r w:rsidRPr="009E286B">
        <w:rPr>
          <w:szCs w:val="22"/>
        </w:rPr>
        <w:t>správania boli hlásené počas terapie venlafaxínom alebo včasne po prerušení liečby (pozri časť 4.4)</w:t>
      </w:r>
    </w:p>
    <w:p w14:paraId="794CB71F" w14:textId="23DD1A53" w:rsidR="00ED75F8" w:rsidRPr="009E286B" w:rsidRDefault="00954C84" w:rsidP="00FE0B01">
      <w:pPr>
        <w:pStyle w:val="Normlndobloku"/>
        <w:spacing w:after="0"/>
        <w:jc w:val="left"/>
        <w:rPr>
          <w:szCs w:val="22"/>
        </w:rPr>
      </w:pPr>
      <w:r w:rsidRPr="009E286B">
        <w:rPr>
          <w:szCs w:val="22"/>
        </w:rPr>
        <w:t>**</w:t>
      </w:r>
      <w:r w:rsidR="00ED75F8" w:rsidRPr="009E286B">
        <w:rPr>
          <w:szCs w:val="22"/>
        </w:rPr>
        <w:t xml:space="preserve"> P</w:t>
      </w:r>
      <w:r w:rsidRPr="009E286B">
        <w:rPr>
          <w:szCs w:val="22"/>
        </w:rPr>
        <w:t>ozri bod 4.4</w:t>
      </w:r>
    </w:p>
    <w:p w14:paraId="3112A032" w14:textId="04551D42" w:rsidR="00954C84" w:rsidRPr="00D638B3" w:rsidRDefault="00ED75F8" w:rsidP="00FE0B01">
      <w:pPr>
        <w:pStyle w:val="Normlndobloku"/>
        <w:spacing w:after="0"/>
        <w:jc w:val="left"/>
        <w:rPr>
          <w:szCs w:val="22"/>
        </w:rPr>
      </w:pPr>
      <w:r w:rsidRPr="009E286B">
        <w:rPr>
          <w:szCs w:val="22"/>
        </w:rPr>
        <w:t xml:space="preserve">* V združených </w:t>
      </w:r>
      <w:r w:rsidRPr="002D691C">
        <w:rPr>
          <w:szCs w:val="22"/>
        </w:rPr>
        <w:t xml:space="preserve"> klinických štúdiách bol výskyt bolesti hlavy </w:t>
      </w:r>
      <w:r w:rsidRPr="00301FE5">
        <w:rPr>
          <w:szCs w:val="22"/>
        </w:rPr>
        <w:t>u </w:t>
      </w:r>
      <w:proofErr w:type="spellStart"/>
      <w:r w:rsidRPr="00301FE5">
        <w:rPr>
          <w:szCs w:val="22"/>
        </w:rPr>
        <w:t>venlafaxínu</w:t>
      </w:r>
      <w:proofErr w:type="spellEnd"/>
      <w:r w:rsidRPr="00301FE5">
        <w:rPr>
          <w:szCs w:val="22"/>
        </w:rPr>
        <w:t xml:space="preserve"> a u</w:t>
      </w:r>
      <w:r w:rsidR="00A4261C" w:rsidRPr="00301FE5">
        <w:rPr>
          <w:szCs w:val="22"/>
        </w:rPr>
        <w:t xml:space="preserve"> </w:t>
      </w:r>
      <w:proofErr w:type="spellStart"/>
      <w:r w:rsidRPr="00301FE5">
        <w:rPr>
          <w:szCs w:val="22"/>
        </w:rPr>
        <w:t>placeba</w:t>
      </w:r>
      <w:proofErr w:type="spellEnd"/>
      <w:r w:rsidRPr="00301FE5">
        <w:rPr>
          <w:szCs w:val="22"/>
        </w:rPr>
        <w:t xml:space="preserve"> podobný.</w:t>
      </w:r>
    </w:p>
    <w:p w14:paraId="2AE5FE30" w14:textId="77777777" w:rsidR="00454074" w:rsidRDefault="00454074" w:rsidP="00FE0B01">
      <w:pPr>
        <w:pStyle w:val="Normlndobloku"/>
        <w:spacing w:after="0"/>
        <w:jc w:val="left"/>
        <w:rPr>
          <w:szCs w:val="22"/>
        </w:rPr>
      </w:pPr>
    </w:p>
    <w:p w14:paraId="1CD66055" w14:textId="3CD69CDA" w:rsidR="00954C84" w:rsidRPr="00BC3C9C" w:rsidRDefault="00954C84" w:rsidP="00FE0B01">
      <w:pPr>
        <w:pStyle w:val="Normlndobloku"/>
        <w:spacing w:after="0"/>
        <w:jc w:val="left"/>
        <w:rPr>
          <w:szCs w:val="22"/>
        </w:rPr>
      </w:pPr>
      <w:r w:rsidRPr="00454074">
        <w:rPr>
          <w:szCs w:val="22"/>
        </w:rPr>
        <w:t>Prerušenie liečby venlafaxínom (najmä ak prerušená náhle) vedie</w:t>
      </w:r>
      <w:r w:rsidR="005A5A9E" w:rsidRPr="00454074">
        <w:rPr>
          <w:szCs w:val="22"/>
        </w:rPr>
        <w:t xml:space="preserve"> k </w:t>
      </w:r>
      <w:r w:rsidRPr="00454074">
        <w:rPr>
          <w:szCs w:val="22"/>
        </w:rPr>
        <w:t>abstinenčnému syndrómu. Závrat, poruchy vnímania</w:t>
      </w:r>
      <w:r w:rsidRPr="00BC3C9C">
        <w:rPr>
          <w:szCs w:val="22"/>
        </w:rPr>
        <w:t xml:space="preserve"> (vrátane parestézie), poruchy spánku (vrátane insomnie</w:t>
      </w:r>
      <w:r w:rsidR="005A5A9E" w:rsidRPr="00BC3C9C">
        <w:rPr>
          <w:szCs w:val="22"/>
        </w:rPr>
        <w:t xml:space="preserve"> a </w:t>
      </w:r>
      <w:r w:rsidRPr="00BC3C9C">
        <w:rPr>
          <w:szCs w:val="22"/>
        </w:rPr>
        <w:t>abnormálnych snov), agitácia alebo úzkosť, nauzea a/alebo zvracanie, tras, bolesť hlavy</w:t>
      </w:r>
      <w:r w:rsidR="0028134F" w:rsidRPr="00BC3C9C">
        <w:rPr>
          <w:szCs w:val="22"/>
        </w:rPr>
        <w:t>, vertigo</w:t>
      </w:r>
      <w:r w:rsidR="005A5A9E" w:rsidRPr="00BC3C9C">
        <w:rPr>
          <w:szCs w:val="22"/>
        </w:rPr>
        <w:t xml:space="preserve"> a </w:t>
      </w:r>
      <w:r w:rsidRPr="00BC3C9C">
        <w:rPr>
          <w:szCs w:val="22"/>
        </w:rPr>
        <w:t>chrípkový syndróm sú najčastejšie hlásené reakcie. Všeobecne, tieto symptómy sú slabé až mierne</w:t>
      </w:r>
      <w:r w:rsidR="005A5A9E" w:rsidRPr="00BC3C9C">
        <w:rPr>
          <w:szCs w:val="22"/>
        </w:rPr>
        <w:t xml:space="preserve"> a </w:t>
      </w:r>
      <w:r w:rsidRPr="00BC3C9C">
        <w:rPr>
          <w:szCs w:val="22"/>
        </w:rPr>
        <w:t>prechodné; avšak</w:t>
      </w:r>
      <w:r w:rsidR="005A5A9E" w:rsidRPr="00BC3C9C">
        <w:rPr>
          <w:szCs w:val="22"/>
        </w:rPr>
        <w:t xml:space="preserve"> u </w:t>
      </w:r>
      <w:r w:rsidRPr="00BC3C9C">
        <w:rPr>
          <w:szCs w:val="22"/>
        </w:rPr>
        <w:t>niektorých pacientov môžu mať vysokú intenzitu a/alebo sa môžu predĺžiť. Preto sa odporúča, ak už liečba venlafaxínom nie je potrebná, postupné vysadenie znižovaním dávky (pozri časti 4.2</w:t>
      </w:r>
      <w:r w:rsidR="005A5A9E" w:rsidRPr="00BC3C9C">
        <w:rPr>
          <w:szCs w:val="22"/>
        </w:rPr>
        <w:t xml:space="preserve"> a </w:t>
      </w:r>
      <w:r w:rsidRPr="00BC3C9C">
        <w:rPr>
          <w:szCs w:val="22"/>
        </w:rPr>
        <w:t>4.4).</w:t>
      </w:r>
    </w:p>
    <w:p w14:paraId="4254E267" w14:textId="77777777" w:rsidR="00EE3F6B" w:rsidRDefault="00EE3F6B" w:rsidP="00FE0B01">
      <w:pPr>
        <w:pStyle w:val="Styl3"/>
        <w:spacing w:after="0"/>
        <w:jc w:val="left"/>
        <w:rPr>
          <w:szCs w:val="22"/>
        </w:rPr>
      </w:pPr>
    </w:p>
    <w:p w14:paraId="673A646F" w14:textId="77777777" w:rsidR="00954C84" w:rsidRPr="00EE3F6B" w:rsidRDefault="00954C84" w:rsidP="00FE0B01">
      <w:pPr>
        <w:pStyle w:val="Styl3"/>
        <w:spacing w:after="0"/>
        <w:jc w:val="left"/>
        <w:rPr>
          <w:szCs w:val="22"/>
        </w:rPr>
      </w:pPr>
      <w:r w:rsidRPr="00EE3F6B">
        <w:rPr>
          <w:szCs w:val="22"/>
        </w:rPr>
        <w:t>Pediatrickí pacienti</w:t>
      </w:r>
    </w:p>
    <w:p w14:paraId="1C8CAE06" w14:textId="58C7387D" w:rsidR="00954C84" w:rsidRPr="00301FE5" w:rsidRDefault="00954C84" w:rsidP="00FE0B01">
      <w:pPr>
        <w:pStyle w:val="Normlndobloku"/>
        <w:spacing w:after="0"/>
        <w:jc w:val="left"/>
        <w:rPr>
          <w:szCs w:val="22"/>
        </w:rPr>
      </w:pPr>
      <w:r w:rsidRPr="009E286B">
        <w:rPr>
          <w:szCs w:val="22"/>
        </w:rPr>
        <w:t>Profil nežiaducich účinkov venlafaxínu (v placebom kontrolovaných klinických štúdiách)</w:t>
      </w:r>
      <w:r w:rsidR="005A5A9E" w:rsidRPr="009E286B">
        <w:rPr>
          <w:szCs w:val="22"/>
        </w:rPr>
        <w:t xml:space="preserve"> u </w:t>
      </w:r>
      <w:r w:rsidRPr="009E286B">
        <w:rPr>
          <w:szCs w:val="22"/>
        </w:rPr>
        <w:t>detí</w:t>
      </w:r>
      <w:r w:rsidR="005A5A9E" w:rsidRPr="009E286B">
        <w:rPr>
          <w:szCs w:val="22"/>
        </w:rPr>
        <w:t xml:space="preserve"> a </w:t>
      </w:r>
      <w:r w:rsidRPr="009E286B">
        <w:rPr>
          <w:szCs w:val="22"/>
        </w:rPr>
        <w:t>mladistvých (vek 6 až 17 rokov) bol spravidla podobný ako</w:t>
      </w:r>
      <w:r w:rsidR="005A5A9E" w:rsidRPr="009E286B">
        <w:rPr>
          <w:szCs w:val="22"/>
        </w:rPr>
        <w:t xml:space="preserve"> u </w:t>
      </w:r>
      <w:r w:rsidRPr="009E286B">
        <w:rPr>
          <w:szCs w:val="22"/>
        </w:rPr>
        <w:t>dospelých. Ako</w:t>
      </w:r>
      <w:r w:rsidR="005A5A9E" w:rsidRPr="009E286B">
        <w:rPr>
          <w:szCs w:val="22"/>
        </w:rPr>
        <w:t xml:space="preserve"> u </w:t>
      </w:r>
      <w:r w:rsidRPr="009E286B">
        <w:rPr>
          <w:szCs w:val="22"/>
        </w:rPr>
        <w:t>dospelých, aj tu bola pozorovaná znížená chuť do jedla, úbytok hmotnosti, zvýšený krvný tlak</w:t>
      </w:r>
      <w:r w:rsidR="005A5A9E" w:rsidRPr="009E286B">
        <w:rPr>
          <w:szCs w:val="22"/>
        </w:rPr>
        <w:t xml:space="preserve"> a </w:t>
      </w:r>
      <w:r w:rsidRPr="009E286B">
        <w:rPr>
          <w:szCs w:val="22"/>
        </w:rPr>
        <w:t>zvýšená hladina cholesterolu</w:t>
      </w:r>
      <w:r w:rsidR="005A5A9E" w:rsidRPr="002D691C">
        <w:rPr>
          <w:szCs w:val="22"/>
        </w:rPr>
        <w:t xml:space="preserve"> v </w:t>
      </w:r>
      <w:r w:rsidRPr="00301FE5">
        <w:rPr>
          <w:szCs w:val="22"/>
        </w:rPr>
        <w:t>krvi (pozri časť 4.4).</w:t>
      </w:r>
    </w:p>
    <w:p w14:paraId="5BFCDBB8" w14:textId="38A6D3E9" w:rsidR="00954C84" w:rsidRPr="00301FE5" w:rsidRDefault="00954C84" w:rsidP="00FE0B01">
      <w:pPr>
        <w:pStyle w:val="Normlndobloku"/>
        <w:spacing w:after="0"/>
        <w:jc w:val="left"/>
        <w:rPr>
          <w:szCs w:val="22"/>
        </w:rPr>
      </w:pPr>
      <w:r w:rsidRPr="00301FE5">
        <w:rPr>
          <w:szCs w:val="22"/>
        </w:rPr>
        <w:t>V pediatrických klinických štúdiách bola hlásená vyššia miera nepriateľského správania sa</w:t>
      </w:r>
      <w:r w:rsidR="005A5A9E" w:rsidRPr="00301FE5">
        <w:rPr>
          <w:szCs w:val="22"/>
        </w:rPr>
        <w:t xml:space="preserve"> a </w:t>
      </w:r>
      <w:r w:rsidRPr="00301FE5">
        <w:rPr>
          <w:szCs w:val="22"/>
        </w:rPr>
        <w:t>najmä</w:t>
      </w:r>
      <w:r w:rsidR="005A5A9E" w:rsidRPr="00301FE5">
        <w:rPr>
          <w:szCs w:val="22"/>
        </w:rPr>
        <w:t xml:space="preserve"> u </w:t>
      </w:r>
      <w:r w:rsidRPr="00301FE5">
        <w:rPr>
          <w:szCs w:val="22"/>
        </w:rPr>
        <w:t>epizód veľkej depresie boli hlásené nežiaduce účinky, týkajúce sa samovražedných sklonov ako samovražedné myšlienky</w:t>
      </w:r>
      <w:r w:rsidR="005A5A9E" w:rsidRPr="00301FE5">
        <w:rPr>
          <w:szCs w:val="22"/>
        </w:rPr>
        <w:t xml:space="preserve"> a </w:t>
      </w:r>
      <w:r w:rsidRPr="00301FE5">
        <w:rPr>
          <w:szCs w:val="22"/>
        </w:rPr>
        <w:t>sebapoškodzovanie.</w:t>
      </w:r>
    </w:p>
    <w:p w14:paraId="4543382D" w14:textId="798B2B6E" w:rsidR="00954C84" w:rsidRPr="00454074" w:rsidRDefault="00954C84" w:rsidP="00FE0B01">
      <w:pPr>
        <w:pStyle w:val="Normlndobloku"/>
        <w:spacing w:after="0"/>
        <w:jc w:val="left"/>
        <w:rPr>
          <w:szCs w:val="22"/>
        </w:rPr>
      </w:pPr>
      <w:r w:rsidRPr="00D638B3">
        <w:rPr>
          <w:szCs w:val="22"/>
        </w:rPr>
        <w:t>U pediatrických pacientov boli pozorované najmä nasledovné nežiaduce účinky: bolesť brucha, agitácia, dyspepsia, ekchymóza, krvácanie</w:t>
      </w:r>
      <w:r w:rsidR="005A5A9E" w:rsidRPr="00454074">
        <w:rPr>
          <w:szCs w:val="22"/>
        </w:rPr>
        <w:t xml:space="preserve"> z </w:t>
      </w:r>
      <w:r w:rsidRPr="00454074">
        <w:rPr>
          <w:szCs w:val="22"/>
        </w:rPr>
        <w:t>nosa, bolesti svalov.</w:t>
      </w:r>
    </w:p>
    <w:p w14:paraId="4D7E6129" w14:textId="77777777" w:rsidR="00EE3F6B" w:rsidRDefault="00EE3F6B" w:rsidP="00FE0B01">
      <w:pPr>
        <w:pStyle w:val="Styl2-2"/>
      </w:pPr>
    </w:p>
    <w:p w14:paraId="3ECEFA87" w14:textId="77777777" w:rsidR="00954C84" w:rsidRPr="00EE3F6B" w:rsidRDefault="00954C84" w:rsidP="00FE0B01">
      <w:pPr>
        <w:pStyle w:val="Styl2-2"/>
      </w:pPr>
      <w:r w:rsidRPr="00EE3F6B">
        <w:t>Hlásenie podozrení na nežiaduce reakcie</w:t>
      </w:r>
    </w:p>
    <w:p w14:paraId="256DE144" w14:textId="77777777" w:rsidR="00954C84" w:rsidRPr="00EE3F6B" w:rsidRDefault="00954C84" w:rsidP="00FE0B01">
      <w:pPr>
        <w:pStyle w:val="Normlndobloku"/>
        <w:spacing w:after="0"/>
        <w:jc w:val="left"/>
        <w:rPr>
          <w:szCs w:val="22"/>
        </w:rPr>
      </w:pPr>
      <w:r w:rsidRPr="00EE3F6B">
        <w:rPr>
          <w:szCs w:val="22"/>
        </w:rPr>
        <w:t xml:space="preserve">Hlásenie podozrení na nežiaduce reakcie po registrácii lieku je dôležité. Umožňuje priebežné </w:t>
      </w:r>
    </w:p>
    <w:p w14:paraId="0367A77A" w14:textId="4A1A394A" w:rsidR="00954C84" w:rsidRPr="009E286B" w:rsidRDefault="00954C84" w:rsidP="00FE0B01">
      <w:pPr>
        <w:pStyle w:val="Normlndobloku"/>
        <w:spacing w:after="0"/>
        <w:jc w:val="left"/>
        <w:rPr>
          <w:szCs w:val="22"/>
        </w:rPr>
      </w:pPr>
      <w:r w:rsidRPr="009E286B">
        <w:rPr>
          <w:szCs w:val="22"/>
        </w:rPr>
        <w:t>monitorovanie pomeru prínosu</w:t>
      </w:r>
      <w:r w:rsidR="005A5A9E" w:rsidRPr="009E286B">
        <w:rPr>
          <w:szCs w:val="22"/>
        </w:rPr>
        <w:t xml:space="preserve"> a </w:t>
      </w:r>
      <w:r w:rsidRPr="009E286B">
        <w:rPr>
          <w:szCs w:val="22"/>
        </w:rPr>
        <w:t xml:space="preserve">rizika lieku. Od zdravotníckych pracovníkov sa vyžaduje, aby hlásili </w:t>
      </w:r>
    </w:p>
    <w:p w14:paraId="7313A287" w14:textId="41DE2C85" w:rsidR="00954C84" w:rsidRDefault="00954C84" w:rsidP="00FE0B01">
      <w:pPr>
        <w:pStyle w:val="Normlndobloku"/>
        <w:spacing w:after="0"/>
        <w:jc w:val="left"/>
        <w:rPr>
          <w:szCs w:val="22"/>
        </w:rPr>
      </w:pPr>
      <w:r w:rsidRPr="009E286B">
        <w:rPr>
          <w:szCs w:val="22"/>
        </w:rPr>
        <w:t xml:space="preserve">akékoľvek podozrenia na nežiaduce reakcie </w:t>
      </w:r>
      <w:r w:rsidR="00ED75F8" w:rsidRPr="009E286B">
        <w:rPr>
          <w:szCs w:val="22"/>
        </w:rPr>
        <w:t>na</w:t>
      </w:r>
      <w:r w:rsidRPr="009E286B">
        <w:rPr>
          <w:szCs w:val="22"/>
        </w:rPr>
        <w:t xml:space="preserve"> </w:t>
      </w:r>
      <w:r w:rsidRPr="00BC3C9C">
        <w:rPr>
          <w:highlight w:val="lightGray"/>
        </w:rPr>
        <w:t>národn</w:t>
      </w:r>
      <w:r w:rsidR="00ED75F8" w:rsidRPr="00BC3C9C">
        <w:rPr>
          <w:highlight w:val="lightGray"/>
        </w:rPr>
        <w:t>é</w:t>
      </w:r>
      <w:r w:rsidRPr="00BC3C9C">
        <w:rPr>
          <w:highlight w:val="lightGray"/>
        </w:rPr>
        <w:t xml:space="preserve"> </w:t>
      </w:r>
      <w:r w:rsidR="00ED75F8" w:rsidRPr="00BC3C9C">
        <w:rPr>
          <w:highlight w:val="lightGray"/>
        </w:rPr>
        <w:t>centrum</w:t>
      </w:r>
      <w:r w:rsidRPr="00BC3C9C">
        <w:rPr>
          <w:highlight w:val="lightGray"/>
        </w:rPr>
        <w:t xml:space="preserve"> hlásenia uvedené </w:t>
      </w:r>
      <w:r w:rsidRPr="00BC3C9C">
        <w:rPr>
          <w:szCs w:val="22"/>
          <w:highlight w:val="lightGray"/>
        </w:rPr>
        <w:t>v</w:t>
      </w:r>
      <w:r w:rsidR="00ED75F8" w:rsidRPr="00BC3C9C">
        <w:rPr>
          <w:szCs w:val="22"/>
          <w:highlight w:val="lightGray"/>
        </w:rPr>
        <w:t> </w:t>
      </w:r>
      <w:hyperlink r:id="rId8" w:history="1">
        <w:r w:rsidRPr="00BC3C9C">
          <w:rPr>
            <w:rStyle w:val="Hypertextovprepojenie"/>
            <w:szCs w:val="22"/>
            <w:highlight w:val="lightGray"/>
          </w:rPr>
          <w:t>Prílohe V</w:t>
        </w:r>
      </w:hyperlink>
      <w:r w:rsidRPr="00EE3F6B">
        <w:rPr>
          <w:szCs w:val="22"/>
        </w:rPr>
        <w:t>.</w:t>
      </w:r>
    </w:p>
    <w:p w14:paraId="04623046" w14:textId="77777777" w:rsidR="00EE3F6B" w:rsidRPr="00EE3F6B" w:rsidRDefault="00EE3F6B" w:rsidP="00FE0B01">
      <w:pPr>
        <w:pStyle w:val="Normlndobloku"/>
        <w:spacing w:after="0"/>
        <w:jc w:val="left"/>
        <w:rPr>
          <w:szCs w:val="22"/>
        </w:rPr>
      </w:pPr>
    </w:p>
    <w:p w14:paraId="1B7BE8CF" w14:textId="102895A0" w:rsidR="00954C84" w:rsidRPr="00EE3F6B" w:rsidRDefault="00954C84" w:rsidP="00FE0B01">
      <w:pPr>
        <w:pStyle w:val="Styl2"/>
      </w:pPr>
      <w:r w:rsidRPr="00EE3F6B">
        <w:t>Predávkovanie</w:t>
      </w:r>
    </w:p>
    <w:p w14:paraId="7376C49A" w14:textId="77777777" w:rsidR="00454074" w:rsidRDefault="00454074" w:rsidP="00FE0B01">
      <w:pPr>
        <w:pStyle w:val="Normlndobloku"/>
        <w:spacing w:after="0"/>
        <w:jc w:val="left"/>
        <w:rPr>
          <w:szCs w:val="22"/>
        </w:rPr>
      </w:pPr>
    </w:p>
    <w:p w14:paraId="2098BF9D" w14:textId="6CAA8BDA" w:rsidR="00954C84" w:rsidRDefault="00954C84" w:rsidP="00FE0B01">
      <w:pPr>
        <w:pStyle w:val="Normlndobloku"/>
        <w:spacing w:after="0"/>
        <w:jc w:val="left"/>
        <w:rPr>
          <w:szCs w:val="22"/>
        </w:rPr>
      </w:pPr>
      <w:r w:rsidRPr="00EE3F6B">
        <w:rPr>
          <w:szCs w:val="22"/>
        </w:rPr>
        <w:t>V postmarketingových hláseniach bolo predávkovanie venlafaxínom hlásené najmä</w:t>
      </w:r>
      <w:r w:rsidR="005A5A9E" w:rsidRPr="00EE3F6B">
        <w:rPr>
          <w:szCs w:val="22"/>
        </w:rPr>
        <w:t xml:space="preserve"> v </w:t>
      </w:r>
      <w:r w:rsidRPr="00EE3F6B">
        <w:rPr>
          <w:szCs w:val="22"/>
        </w:rPr>
        <w:t>súvislosti</w:t>
      </w:r>
      <w:r w:rsidR="005A5A9E" w:rsidRPr="00EE3F6B">
        <w:rPr>
          <w:szCs w:val="22"/>
        </w:rPr>
        <w:t xml:space="preserve"> s </w:t>
      </w:r>
      <w:r w:rsidRPr="00EE3F6B">
        <w:rPr>
          <w:szCs w:val="22"/>
        </w:rPr>
        <w:t xml:space="preserve">požívaním </w:t>
      </w:r>
      <w:r w:rsidRPr="009E286B">
        <w:rPr>
          <w:szCs w:val="22"/>
        </w:rPr>
        <w:t>alkoholu a/alebo iných liekov. Najčastejšie účinky hlásené pri predávkovaní bola tachykardia, zmeny vedomia (somnolencia až kóma), mydriáza, kŕče</w:t>
      </w:r>
      <w:r w:rsidR="005A5A9E" w:rsidRPr="009E286B">
        <w:rPr>
          <w:szCs w:val="22"/>
        </w:rPr>
        <w:t xml:space="preserve"> a </w:t>
      </w:r>
      <w:r w:rsidRPr="009E286B">
        <w:rPr>
          <w:szCs w:val="22"/>
        </w:rPr>
        <w:t>vracanie. Ďalšie hlásené účinky boli zmeny</w:t>
      </w:r>
      <w:r w:rsidR="005A5A9E" w:rsidRPr="002D691C">
        <w:rPr>
          <w:szCs w:val="22"/>
        </w:rPr>
        <w:t xml:space="preserve"> v </w:t>
      </w:r>
      <w:r w:rsidRPr="00301FE5">
        <w:rPr>
          <w:szCs w:val="22"/>
        </w:rPr>
        <w:t>elektrokardiograme (napr. predĺženie QT intervalu, ramienková blokáda, predĺženie QRS), komorová tachykardia, bradykardia, hypotenzia, vertigo</w:t>
      </w:r>
      <w:r w:rsidR="005A5A9E" w:rsidRPr="00301FE5">
        <w:rPr>
          <w:szCs w:val="22"/>
        </w:rPr>
        <w:t xml:space="preserve"> a </w:t>
      </w:r>
      <w:r w:rsidRPr="00301FE5">
        <w:rPr>
          <w:szCs w:val="22"/>
        </w:rPr>
        <w:t>úmrtie.</w:t>
      </w:r>
    </w:p>
    <w:p w14:paraId="5D558E5D" w14:textId="77777777" w:rsidR="00DF2A67" w:rsidRPr="00301FE5" w:rsidRDefault="00DF2A67" w:rsidP="00FE0B01">
      <w:pPr>
        <w:pStyle w:val="Normlndobloku"/>
        <w:spacing w:after="0"/>
        <w:jc w:val="left"/>
        <w:rPr>
          <w:szCs w:val="22"/>
        </w:rPr>
      </w:pPr>
    </w:p>
    <w:p w14:paraId="37A82750" w14:textId="1290C016" w:rsidR="00954C84" w:rsidRPr="00BC3C9C" w:rsidRDefault="00954C84" w:rsidP="00FE0B01">
      <w:pPr>
        <w:pStyle w:val="Normlndobloku"/>
        <w:spacing w:after="0"/>
        <w:jc w:val="left"/>
        <w:rPr>
          <w:szCs w:val="22"/>
        </w:rPr>
      </w:pPr>
      <w:r w:rsidRPr="00301FE5">
        <w:rPr>
          <w:szCs w:val="22"/>
        </w:rPr>
        <w:t>Publikované retrospektívne štúdie poukázali na to, že predávkovanie venlafaxínom môže byť spojené so zvýšeným rizikom fatálnych výsledkov porovnateľných</w:t>
      </w:r>
      <w:r w:rsidR="005A5A9E" w:rsidRPr="00301FE5">
        <w:rPr>
          <w:szCs w:val="22"/>
        </w:rPr>
        <w:t xml:space="preserve"> s </w:t>
      </w:r>
      <w:r w:rsidRPr="00301FE5">
        <w:rPr>
          <w:szCs w:val="22"/>
        </w:rPr>
        <w:t>tými, ktoré boli pozorované</w:t>
      </w:r>
      <w:r w:rsidR="005A5A9E" w:rsidRPr="00301FE5">
        <w:rPr>
          <w:szCs w:val="22"/>
        </w:rPr>
        <w:t xml:space="preserve"> u </w:t>
      </w:r>
      <w:r w:rsidRPr="00D638B3">
        <w:rPr>
          <w:szCs w:val="22"/>
        </w:rPr>
        <w:t>SSRI antidepresív, ale nižším ako</w:t>
      </w:r>
      <w:r w:rsidR="005A5A9E" w:rsidRPr="00454074">
        <w:rPr>
          <w:szCs w:val="22"/>
        </w:rPr>
        <w:t xml:space="preserve"> u </w:t>
      </w:r>
      <w:r w:rsidRPr="00454074">
        <w:rPr>
          <w:szCs w:val="22"/>
        </w:rPr>
        <w:t>tricyklických antidepresív. Epidemiologické štúdie ukázali, že venlafaxínom liečení pacienti majú vyššiu záťaž samovražedných rizikových faktorov</w:t>
      </w:r>
      <w:r w:rsidR="005A5A9E" w:rsidRPr="00BC3C9C">
        <w:rPr>
          <w:szCs w:val="22"/>
        </w:rPr>
        <w:t xml:space="preserve"> v </w:t>
      </w:r>
      <w:r w:rsidRPr="00BC3C9C">
        <w:rPr>
          <w:szCs w:val="22"/>
        </w:rPr>
        <w:t>porovnaní</w:t>
      </w:r>
      <w:r w:rsidR="005A5A9E" w:rsidRPr="00BC3C9C">
        <w:rPr>
          <w:szCs w:val="22"/>
        </w:rPr>
        <w:t xml:space="preserve"> s </w:t>
      </w:r>
      <w:r w:rsidRPr="00BC3C9C">
        <w:rPr>
          <w:szCs w:val="22"/>
        </w:rPr>
        <w:t>pacientmi so SSRI. Miera do akej nález zvýšeného rizika fatálnych výsledkov predávkovania môže byť pripísaný toxicite venlafaxínu pri predávkovaní, alebo niektorým charakteristikám pacientov liečených venlafaxínom, nie je známa. Na predchádzanie predávkovania by sa predpis venlafaxínu mal napísať na čo najmenšie množstvo lieku potrebné pre dobrý manažment pacienta.</w:t>
      </w:r>
    </w:p>
    <w:p w14:paraId="45E2A0C1" w14:textId="77777777" w:rsidR="00EE3F6B" w:rsidRDefault="00EE3F6B" w:rsidP="00FE0B01">
      <w:pPr>
        <w:pStyle w:val="Styl3"/>
        <w:spacing w:after="0"/>
        <w:jc w:val="left"/>
        <w:rPr>
          <w:szCs w:val="22"/>
        </w:rPr>
      </w:pPr>
    </w:p>
    <w:p w14:paraId="48F8F204" w14:textId="77777777" w:rsidR="00954C84" w:rsidRPr="00EE3F6B" w:rsidRDefault="00954C84" w:rsidP="00FE0B01">
      <w:pPr>
        <w:pStyle w:val="Styl3"/>
        <w:spacing w:after="0"/>
        <w:jc w:val="left"/>
        <w:rPr>
          <w:szCs w:val="22"/>
        </w:rPr>
      </w:pPr>
      <w:r w:rsidRPr="00EE3F6B">
        <w:rPr>
          <w:szCs w:val="22"/>
        </w:rPr>
        <w:t>Odporúčaná liečba</w:t>
      </w:r>
    </w:p>
    <w:p w14:paraId="76B9521F" w14:textId="702FED8B" w:rsidR="00954C84" w:rsidRDefault="00954C84" w:rsidP="00FE0B01">
      <w:pPr>
        <w:pStyle w:val="Normlndobloku"/>
        <w:spacing w:after="0"/>
        <w:jc w:val="left"/>
        <w:rPr>
          <w:szCs w:val="22"/>
        </w:rPr>
      </w:pPr>
      <w:r w:rsidRPr="009E286B">
        <w:rPr>
          <w:szCs w:val="22"/>
        </w:rPr>
        <w:t>Pri predávkovaní sa odporúča podporná</w:t>
      </w:r>
      <w:r w:rsidR="005A5A9E" w:rsidRPr="009E286B">
        <w:rPr>
          <w:szCs w:val="22"/>
        </w:rPr>
        <w:t xml:space="preserve"> a </w:t>
      </w:r>
      <w:r w:rsidRPr="009E286B">
        <w:rPr>
          <w:szCs w:val="22"/>
        </w:rPr>
        <w:t>symptomatická liečba; mala by byť monitorovaná frekvencia srdca</w:t>
      </w:r>
      <w:r w:rsidR="005A5A9E" w:rsidRPr="009E286B">
        <w:rPr>
          <w:szCs w:val="22"/>
        </w:rPr>
        <w:t xml:space="preserve"> a </w:t>
      </w:r>
      <w:r w:rsidRPr="009E286B">
        <w:rPr>
          <w:szCs w:val="22"/>
        </w:rPr>
        <w:t>ostatné vitálne funkcie. Ak je riziko aspirácie, vyvolanie vracania sa neodporúča. Výplach žalúdka sa môže indikovať, ak sa vykon</w:t>
      </w:r>
      <w:r w:rsidRPr="002D691C">
        <w:rPr>
          <w:szCs w:val="22"/>
        </w:rPr>
        <w:t>á krátko po ingescii alebo</w:t>
      </w:r>
      <w:r w:rsidR="005A5A9E" w:rsidRPr="00301FE5">
        <w:rPr>
          <w:szCs w:val="22"/>
        </w:rPr>
        <w:t xml:space="preserve"> u </w:t>
      </w:r>
      <w:r w:rsidRPr="00301FE5">
        <w:rPr>
          <w:szCs w:val="22"/>
        </w:rPr>
        <w:t>symptomatických pacientov. Podanie aktívneho uhlia tiež môže napomôcť spomaleniu vstrebávania účinnej látky. Nie je pravdepodobné, že by forsírovaná diuréza, dialýza, hemoperfúzia</w:t>
      </w:r>
      <w:r w:rsidR="005A5A9E" w:rsidRPr="00301FE5">
        <w:rPr>
          <w:szCs w:val="22"/>
        </w:rPr>
        <w:t xml:space="preserve"> a </w:t>
      </w:r>
      <w:r w:rsidRPr="00301FE5">
        <w:rPr>
          <w:szCs w:val="22"/>
        </w:rPr>
        <w:t>výmenná transfúzia boli nápomocné Nie sú známe ani špecifické antidotá pre venlafaxín.</w:t>
      </w:r>
    </w:p>
    <w:p w14:paraId="36436804" w14:textId="77777777" w:rsidR="00DF2A67" w:rsidRDefault="00DF2A67" w:rsidP="00FE0B01">
      <w:pPr>
        <w:pStyle w:val="Normlndobloku"/>
        <w:spacing w:after="0"/>
        <w:jc w:val="left"/>
        <w:rPr>
          <w:szCs w:val="22"/>
        </w:rPr>
      </w:pPr>
    </w:p>
    <w:p w14:paraId="223DF637" w14:textId="77777777" w:rsidR="00EE3F6B" w:rsidRPr="00EE3F6B" w:rsidRDefault="00EE3F6B" w:rsidP="00FE0B01">
      <w:pPr>
        <w:pStyle w:val="Normlndobloku"/>
        <w:spacing w:after="0"/>
        <w:jc w:val="left"/>
        <w:rPr>
          <w:szCs w:val="22"/>
        </w:rPr>
      </w:pPr>
    </w:p>
    <w:p w14:paraId="469AF3C5" w14:textId="51B56D18" w:rsidR="00954C84" w:rsidRPr="00EE3F6B" w:rsidRDefault="00954C84" w:rsidP="00FE0B01">
      <w:pPr>
        <w:pStyle w:val="Styl1"/>
        <w:spacing w:before="0" w:after="0"/>
        <w:rPr>
          <w:szCs w:val="22"/>
        </w:rPr>
      </w:pPr>
      <w:r w:rsidRPr="00EE3F6B">
        <w:rPr>
          <w:szCs w:val="22"/>
        </w:rPr>
        <w:t>FARMAKOLOGICKÉ VLASTNOSTI</w:t>
      </w:r>
    </w:p>
    <w:p w14:paraId="65BED48C" w14:textId="0CDC2794" w:rsidR="00954C84" w:rsidRPr="009E286B" w:rsidRDefault="00954C84" w:rsidP="00FE0B01">
      <w:pPr>
        <w:pStyle w:val="Styl2"/>
      </w:pPr>
      <w:r w:rsidRPr="009E286B">
        <w:t>Farmakodynamické vlastnosti</w:t>
      </w:r>
    </w:p>
    <w:p w14:paraId="332CF9A7" w14:textId="77777777" w:rsidR="00DF2A67" w:rsidRDefault="00DF2A67" w:rsidP="00FE0B01">
      <w:pPr>
        <w:pStyle w:val="Normlndobloku"/>
        <w:spacing w:after="0"/>
        <w:jc w:val="left"/>
        <w:rPr>
          <w:szCs w:val="22"/>
        </w:rPr>
      </w:pPr>
    </w:p>
    <w:p w14:paraId="64ECE1C3" w14:textId="729CB226" w:rsidR="00954C84" w:rsidRPr="009E286B" w:rsidRDefault="00954C84" w:rsidP="00FE0B01">
      <w:pPr>
        <w:pStyle w:val="Normlndobloku"/>
        <w:spacing w:after="0"/>
        <w:jc w:val="left"/>
        <w:rPr>
          <w:szCs w:val="22"/>
        </w:rPr>
      </w:pPr>
      <w:r w:rsidRPr="009E286B">
        <w:rPr>
          <w:szCs w:val="22"/>
        </w:rPr>
        <w:t>Farmakoterapeutická skupina: Psychoanaleptiká, iné antidepresíva</w:t>
      </w:r>
      <w:r w:rsidR="00931757" w:rsidRPr="009E286B">
        <w:rPr>
          <w:szCs w:val="22"/>
        </w:rPr>
        <w:t> </w:t>
      </w:r>
      <w:r w:rsidR="00931757" w:rsidRPr="009E286B">
        <w:rPr>
          <w:szCs w:val="22"/>
          <w:lang w:val="cs-CZ"/>
        </w:rPr>
        <w:t>– </w:t>
      </w:r>
      <w:r w:rsidRPr="009E286B">
        <w:rPr>
          <w:szCs w:val="22"/>
        </w:rPr>
        <w:t>ATC kód: N06AX16</w:t>
      </w:r>
    </w:p>
    <w:p w14:paraId="6E9DED0C" w14:textId="77777777" w:rsidR="00954C84" w:rsidRPr="009E286B" w:rsidRDefault="00954C84" w:rsidP="00FE0B01">
      <w:pPr>
        <w:pStyle w:val="Normlndobloku"/>
        <w:spacing w:after="0"/>
        <w:jc w:val="left"/>
        <w:rPr>
          <w:szCs w:val="22"/>
        </w:rPr>
      </w:pPr>
    </w:p>
    <w:p w14:paraId="66B437C7" w14:textId="007458AD" w:rsidR="00954C84" w:rsidRPr="00BC3C9C" w:rsidRDefault="00954C84" w:rsidP="00FE0B01">
      <w:pPr>
        <w:pStyle w:val="Normlndobloku"/>
        <w:spacing w:after="0"/>
        <w:jc w:val="left"/>
        <w:rPr>
          <w:szCs w:val="22"/>
        </w:rPr>
      </w:pPr>
      <w:r w:rsidRPr="002D691C">
        <w:rPr>
          <w:szCs w:val="22"/>
        </w:rPr>
        <w:t>Mechanizmus pôsobenia venlafaxínového antidepresíva</w:t>
      </w:r>
      <w:r w:rsidR="005A5A9E" w:rsidRPr="00301FE5">
        <w:rPr>
          <w:szCs w:val="22"/>
        </w:rPr>
        <w:t xml:space="preserve"> u </w:t>
      </w:r>
      <w:r w:rsidRPr="00301FE5">
        <w:rPr>
          <w:szCs w:val="22"/>
        </w:rPr>
        <w:t>ľudí je spojený</w:t>
      </w:r>
      <w:r w:rsidR="005A5A9E" w:rsidRPr="00301FE5">
        <w:rPr>
          <w:szCs w:val="22"/>
        </w:rPr>
        <w:t xml:space="preserve"> s </w:t>
      </w:r>
      <w:r w:rsidRPr="00301FE5">
        <w:rPr>
          <w:szCs w:val="22"/>
        </w:rPr>
        <w:t>jeho znásobením neurotransmiterovej aktivity</w:t>
      </w:r>
      <w:r w:rsidR="005A5A9E" w:rsidRPr="00301FE5">
        <w:rPr>
          <w:szCs w:val="22"/>
        </w:rPr>
        <w:t xml:space="preserve"> v </w:t>
      </w:r>
      <w:r w:rsidRPr="00301FE5">
        <w:rPr>
          <w:szCs w:val="22"/>
        </w:rPr>
        <w:t>centrálnom nervovom systéme. Predklinické štúdie ukázali, že venlafaxín</w:t>
      </w:r>
      <w:r w:rsidR="005A5A9E" w:rsidRPr="00301FE5">
        <w:rPr>
          <w:szCs w:val="22"/>
        </w:rPr>
        <w:t xml:space="preserve"> a </w:t>
      </w:r>
      <w:r w:rsidRPr="00D638B3">
        <w:rPr>
          <w:szCs w:val="22"/>
        </w:rPr>
        <w:t>jeho hlavný metabolit O-desmetylvenlafaxín (ODV), sú inhibítory spätného vychytávania sérotonínu</w:t>
      </w:r>
      <w:r w:rsidR="005A5A9E" w:rsidRPr="00454074">
        <w:rPr>
          <w:szCs w:val="22"/>
        </w:rPr>
        <w:t xml:space="preserve"> a </w:t>
      </w:r>
      <w:r w:rsidRPr="00454074">
        <w:rPr>
          <w:szCs w:val="22"/>
        </w:rPr>
        <w:t>noradrenalínu. Venlafaxín tiež slabo inhibuje vychytávanie dopamínu. Venlafaxín</w:t>
      </w:r>
      <w:r w:rsidR="005A5A9E" w:rsidRPr="00454074">
        <w:rPr>
          <w:szCs w:val="22"/>
        </w:rPr>
        <w:t xml:space="preserve"> a </w:t>
      </w:r>
      <w:r w:rsidRPr="00454074">
        <w:rPr>
          <w:szCs w:val="22"/>
        </w:rPr>
        <w:t>jeho aktívny metabolit redukuje β-adrenergickú schopnosť reakcie po akútnom (jednorazovom) aj chronickom podaní. Venlafaxín</w:t>
      </w:r>
      <w:r w:rsidR="005A5A9E" w:rsidRPr="00BC3C9C">
        <w:rPr>
          <w:szCs w:val="22"/>
        </w:rPr>
        <w:t xml:space="preserve"> a </w:t>
      </w:r>
      <w:r w:rsidRPr="00BC3C9C">
        <w:rPr>
          <w:szCs w:val="22"/>
        </w:rPr>
        <w:t>ODV sú veľmi podobné vzhľadom na ich celkový účinok na neurotransmiterové vychytávanie</w:t>
      </w:r>
      <w:r w:rsidR="005A5A9E" w:rsidRPr="00BC3C9C">
        <w:rPr>
          <w:szCs w:val="22"/>
        </w:rPr>
        <w:t xml:space="preserve"> a </w:t>
      </w:r>
      <w:r w:rsidRPr="00BC3C9C">
        <w:rPr>
          <w:szCs w:val="22"/>
        </w:rPr>
        <w:t>receptorové viazanie.</w:t>
      </w:r>
    </w:p>
    <w:p w14:paraId="0D507A2F" w14:textId="1C075BC5" w:rsidR="00954C84" w:rsidRPr="00BC3C9C" w:rsidRDefault="00954C84" w:rsidP="00FE0B01">
      <w:pPr>
        <w:pStyle w:val="Normlndobloku"/>
        <w:spacing w:after="0"/>
        <w:jc w:val="left"/>
        <w:rPr>
          <w:szCs w:val="22"/>
        </w:rPr>
      </w:pPr>
      <w:r w:rsidRPr="00BC3C9C">
        <w:rPr>
          <w:szCs w:val="22"/>
        </w:rPr>
        <w:t>Venlafaxín nemá prakticky žiadnu afinitu in vitro pre muskarínové, cholinergné, H1-histamínové alebo α1- adrenergné receptory</w:t>
      </w:r>
      <w:r w:rsidR="005A5A9E" w:rsidRPr="00BC3C9C">
        <w:rPr>
          <w:szCs w:val="22"/>
        </w:rPr>
        <w:t xml:space="preserve"> v </w:t>
      </w:r>
      <w:r w:rsidRPr="00BC3C9C">
        <w:rPr>
          <w:szCs w:val="22"/>
        </w:rPr>
        <w:t>mozgu potkanov. Farmakologická aktivita týchto receptorov môže súvisieť</w:t>
      </w:r>
      <w:r w:rsidR="005A5A9E" w:rsidRPr="00BC3C9C">
        <w:rPr>
          <w:szCs w:val="22"/>
        </w:rPr>
        <w:t xml:space="preserve"> s </w:t>
      </w:r>
      <w:r w:rsidRPr="00BC3C9C">
        <w:rPr>
          <w:szCs w:val="22"/>
        </w:rPr>
        <w:t>rôznymi vedľajšími účinkami ako anticholinergické, sedatívne</w:t>
      </w:r>
      <w:r w:rsidR="005A5A9E" w:rsidRPr="00BC3C9C">
        <w:rPr>
          <w:szCs w:val="22"/>
        </w:rPr>
        <w:t xml:space="preserve"> a </w:t>
      </w:r>
      <w:r w:rsidRPr="00BC3C9C">
        <w:rPr>
          <w:szCs w:val="22"/>
        </w:rPr>
        <w:t>kardiovaskulárne účinky, pozorované</w:t>
      </w:r>
      <w:r w:rsidR="005A5A9E" w:rsidRPr="00BC3C9C">
        <w:rPr>
          <w:szCs w:val="22"/>
        </w:rPr>
        <w:t xml:space="preserve"> u </w:t>
      </w:r>
      <w:r w:rsidRPr="00BC3C9C">
        <w:rPr>
          <w:szCs w:val="22"/>
        </w:rPr>
        <w:t>iných antidepresív.</w:t>
      </w:r>
    </w:p>
    <w:p w14:paraId="44679B86" w14:textId="2CD6FDA5" w:rsidR="00954C84" w:rsidRPr="00BC3C9C" w:rsidRDefault="00954C84" w:rsidP="00FE0B01">
      <w:pPr>
        <w:pStyle w:val="Normlndobloku"/>
        <w:spacing w:after="0"/>
        <w:jc w:val="left"/>
        <w:rPr>
          <w:szCs w:val="22"/>
        </w:rPr>
      </w:pPr>
      <w:r w:rsidRPr="00BC3C9C">
        <w:rPr>
          <w:szCs w:val="22"/>
        </w:rPr>
        <w:t>Venlafaxín nevykazuje aktivitu ako inhibítor monoaminoxidázy (MAO).</w:t>
      </w:r>
    </w:p>
    <w:p w14:paraId="306C91EA" w14:textId="1881BC97" w:rsidR="00954C84" w:rsidRPr="00BC3C9C" w:rsidRDefault="00954C84" w:rsidP="00FE0B01">
      <w:pPr>
        <w:pStyle w:val="Normlndobloku"/>
        <w:spacing w:after="0"/>
        <w:jc w:val="left"/>
        <w:rPr>
          <w:szCs w:val="22"/>
        </w:rPr>
      </w:pPr>
      <w:r w:rsidRPr="00BC3C9C">
        <w:rPr>
          <w:szCs w:val="22"/>
        </w:rPr>
        <w:t xml:space="preserve">Štúdie </w:t>
      </w:r>
      <w:r w:rsidRPr="00BC3C9C">
        <w:rPr>
          <w:rStyle w:val="Bacil"/>
          <w:szCs w:val="22"/>
        </w:rPr>
        <w:t>in vitro</w:t>
      </w:r>
      <w:r w:rsidRPr="00BC3C9C">
        <w:rPr>
          <w:szCs w:val="22"/>
        </w:rPr>
        <w:t xml:space="preserve"> ukázali, že venlafaxín nemá prakticky žiadnu afinitu</w:t>
      </w:r>
      <w:r w:rsidR="005A5A9E" w:rsidRPr="00BC3C9C">
        <w:rPr>
          <w:szCs w:val="22"/>
        </w:rPr>
        <w:t xml:space="preserve"> k </w:t>
      </w:r>
      <w:r w:rsidRPr="00BC3C9C">
        <w:rPr>
          <w:szCs w:val="22"/>
        </w:rPr>
        <w:t>receptorom citlivým na opiáty alebo benzodiazepíny.</w:t>
      </w:r>
    </w:p>
    <w:p w14:paraId="3E1B5740" w14:textId="77777777" w:rsidR="00EE3F6B" w:rsidRDefault="00EE3F6B" w:rsidP="00FE0B01">
      <w:pPr>
        <w:pStyle w:val="Styl3"/>
        <w:spacing w:after="0"/>
        <w:jc w:val="left"/>
        <w:rPr>
          <w:szCs w:val="22"/>
        </w:rPr>
      </w:pPr>
    </w:p>
    <w:p w14:paraId="502680D8" w14:textId="77777777" w:rsidR="00954C84" w:rsidRPr="00EE3F6B" w:rsidRDefault="00954C84" w:rsidP="00FE0B01">
      <w:pPr>
        <w:pStyle w:val="Styl3"/>
        <w:spacing w:after="0"/>
        <w:jc w:val="left"/>
        <w:rPr>
          <w:szCs w:val="22"/>
        </w:rPr>
      </w:pPr>
      <w:r w:rsidRPr="00EE3F6B">
        <w:rPr>
          <w:szCs w:val="22"/>
        </w:rPr>
        <w:t>Epizódy veľkej depresie</w:t>
      </w:r>
    </w:p>
    <w:p w14:paraId="0BB2FED3" w14:textId="448C6D9C" w:rsidR="00954C84" w:rsidRPr="00D638B3" w:rsidRDefault="00954C84" w:rsidP="00FE0B01">
      <w:pPr>
        <w:pStyle w:val="Normlndobloku"/>
        <w:spacing w:after="0"/>
        <w:jc w:val="left"/>
        <w:rPr>
          <w:szCs w:val="22"/>
        </w:rPr>
      </w:pPr>
      <w:r w:rsidRPr="009E286B">
        <w:rPr>
          <w:szCs w:val="22"/>
        </w:rPr>
        <w:t>Účinnosť venlafaxínu</w:t>
      </w:r>
      <w:r w:rsidR="005A5A9E" w:rsidRPr="009E286B">
        <w:rPr>
          <w:szCs w:val="22"/>
        </w:rPr>
        <w:t xml:space="preserve"> s </w:t>
      </w:r>
      <w:r w:rsidRPr="009E286B">
        <w:rPr>
          <w:szCs w:val="22"/>
        </w:rPr>
        <w:t>okamžitým uvoľňovaním na liečbu epizód veľkej depresie bola demonštrovaná</w:t>
      </w:r>
      <w:r w:rsidR="005A5A9E" w:rsidRPr="009E286B">
        <w:rPr>
          <w:szCs w:val="22"/>
        </w:rPr>
        <w:t xml:space="preserve"> v </w:t>
      </w:r>
      <w:r w:rsidRPr="009E286B">
        <w:rPr>
          <w:szCs w:val="22"/>
        </w:rPr>
        <w:t>5 randomizovaných, dvojito-slepých, placebom kontrolovaných, krátkodobých klinických štúdiách</w:t>
      </w:r>
      <w:r w:rsidR="005A5A9E" w:rsidRPr="009E286B">
        <w:rPr>
          <w:szCs w:val="22"/>
        </w:rPr>
        <w:t xml:space="preserve"> v </w:t>
      </w:r>
      <w:r w:rsidRPr="009E286B">
        <w:rPr>
          <w:szCs w:val="22"/>
        </w:rPr>
        <w:t>rozsahu od 4 do 6 týždňoch trvania, pri dávkach do 375 mg/deň. Účinnosť venlafaxínu</w:t>
      </w:r>
      <w:r w:rsidR="005A5A9E" w:rsidRPr="002D691C">
        <w:rPr>
          <w:szCs w:val="22"/>
        </w:rPr>
        <w:t xml:space="preserve"> s </w:t>
      </w:r>
      <w:r w:rsidRPr="00301FE5">
        <w:rPr>
          <w:szCs w:val="22"/>
        </w:rPr>
        <w:t>predĺženým uvoľňovaním ako liečby epizód veľkej depresie bola stanovená</w:t>
      </w:r>
      <w:r w:rsidR="005A5A9E" w:rsidRPr="00301FE5">
        <w:rPr>
          <w:szCs w:val="22"/>
        </w:rPr>
        <w:t xml:space="preserve"> v </w:t>
      </w:r>
      <w:r w:rsidRPr="00301FE5">
        <w:rPr>
          <w:szCs w:val="22"/>
        </w:rPr>
        <w:t>dvoch placebom kontrolovaných, krátkodobých štúdiách</w:t>
      </w:r>
      <w:r w:rsidR="005A5A9E" w:rsidRPr="00301FE5">
        <w:rPr>
          <w:szCs w:val="22"/>
        </w:rPr>
        <w:t xml:space="preserve"> s </w:t>
      </w:r>
      <w:r w:rsidRPr="00301FE5">
        <w:rPr>
          <w:szCs w:val="22"/>
        </w:rPr>
        <w:t>trvaním 8</w:t>
      </w:r>
      <w:r w:rsidR="005A5A9E" w:rsidRPr="00301FE5">
        <w:rPr>
          <w:szCs w:val="22"/>
        </w:rPr>
        <w:t xml:space="preserve"> a </w:t>
      </w:r>
      <w:r w:rsidRPr="00301FE5">
        <w:rPr>
          <w:szCs w:val="22"/>
        </w:rPr>
        <w:t>12 týždňov, ktoré zahŕňali dávky</w:t>
      </w:r>
      <w:r w:rsidR="005A5A9E" w:rsidRPr="00301FE5">
        <w:rPr>
          <w:szCs w:val="22"/>
        </w:rPr>
        <w:t xml:space="preserve"> v </w:t>
      </w:r>
      <w:r w:rsidRPr="00301FE5">
        <w:rPr>
          <w:szCs w:val="22"/>
        </w:rPr>
        <w:t>roz</w:t>
      </w:r>
      <w:r w:rsidRPr="00D638B3">
        <w:rPr>
          <w:szCs w:val="22"/>
        </w:rPr>
        <w:t>pätí 75 až 225 mg/deň.</w:t>
      </w:r>
    </w:p>
    <w:p w14:paraId="6CE68CBD" w14:textId="64EE95FE" w:rsidR="00954C84" w:rsidRPr="00BC3C9C" w:rsidRDefault="00954C84" w:rsidP="00FE0B01">
      <w:pPr>
        <w:pStyle w:val="Normlndobloku"/>
        <w:spacing w:after="0"/>
        <w:jc w:val="left"/>
        <w:rPr>
          <w:szCs w:val="22"/>
        </w:rPr>
      </w:pPr>
      <w:r w:rsidRPr="00D638B3">
        <w:rPr>
          <w:szCs w:val="22"/>
        </w:rPr>
        <w:t>V jednej dlhodobej štúdii sa sledoval vznik recidívy počas obdobia do 26 týždňov na ambulantných dospelých pacientoch, ktorí odpovedali na 8–týždňovú otvorenú štúdiu</w:t>
      </w:r>
      <w:r w:rsidR="005A5A9E" w:rsidRPr="00454074">
        <w:rPr>
          <w:szCs w:val="22"/>
        </w:rPr>
        <w:t xml:space="preserve"> s </w:t>
      </w:r>
      <w:r w:rsidRPr="00454074">
        <w:rPr>
          <w:szCs w:val="22"/>
        </w:rPr>
        <w:t>venlafaxínom</w:t>
      </w:r>
      <w:r w:rsidR="005A5A9E" w:rsidRPr="00454074">
        <w:rPr>
          <w:szCs w:val="22"/>
        </w:rPr>
        <w:t xml:space="preserve"> s </w:t>
      </w:r>
      <w:r w:rsidRPr="00454074">
        <w:rPr>
          <w:szCs w:val="22"/>
        </w:rPr>
        <w:t>predĺženým uvoľňovaním (75, 150, alebo 225 mg), ktorí boli randomizovane rozdelení na pokračovanie</w:t>
      </w:r>
      <w:r w:rsidR="005A5A9E" w:rsidRPr="00454074">
        <w:rPr>
          <w:szCs w:val="22"/>
        </w:rPr>
        <w:t xml:space="preserve"> s </w:t>
      </w:r>
      <w:r w:rsidRPr="00454074">
        <w:rPr>
          <w:szCs w:val="22"/>
        </w:rPr>
        <w:t>tými istými dávkami venlafaxínu</w:t>
      </w:r>
      <w:r w:rsidR="005A5A9E" w:rsidRPr="00BC3C9C">
        <w:rPr>
          <w:szCs w:val="22"/>
        </w:rPr>
        <w:t xml:space="preserve"> s </w:t>
      </w:r>
      <w:r w:rsidRPr="00BC3C9C">
        <w:rPr>
          <w:szCs w:val="22"/>
        </w:rPr>
        <w:t>predĺženým uvoľňovaním alebo placebom.</w:t>
      </w:r>
    </w:p>
    <w:p w14:paraId="41027C8E" w14:textId="4F68600D" w:rsidR="00954C84" w:rsidRPr="00BC3C9C" w:rsidRDefault="00954C84" w:rsidP="00FE0B01">
      <w:pPr>
        <w:pStyle w:val="Normlndobloku"/>
        <w:spacing w:after="0"/>
        <w:jc w:val="left"/>
        <w:rPr>
          <w:szCs w:val="22"/>
        </w:rPr>
      </w:pPr>
      <w:r w:rsidRPr="00BC3C9C">
        <w:rPr>
          <w:szCs w:val="22"/>
        </w:rPr>
        <w:t>V druhej dlhodobej štúdii účinnosť venlafaxínu pri prevencii rekurentných depresívnych epizód počas obdobia 12 mesiacov bola hodnotená</w:t>
      </w:r>
      <w:r w:rsidR="005A5A9E" w:rsidRPr="00BC3C9C">
        <w:rPr>
          <w:szCs w:val="22"/>
        </w:rPr>
        <w:t xml:space="preserve"> v </w:t>
      </w:r>
      <w:r w:rsidRPr="00BC3C9C">
        <w:rPr>
          <w:szCs w:val="22"/>
        </w:rPr>
        <w:t>placebom kontrolovanej dvojito-slepej klinickej štúdii dospelých ambulantných pacientov</w:t>
      </w:r>
      <w:r w:rsidR="005A5A9E" w:rsidRPr="00BC3C9C">
        <w:rPr>
          <w:szCs w:val="22"/>
        </w:rPr>
        <w:t xml:space="preserve"> s </w:t>
      </w:r>
      <w:r w:rsidRPr="00BC3C9C">
        <w:rPr>
          <w:szCs w:val="22"/>
        </w:rPr>
        <w:t>opakujúcimi sa epizódami veľkej depresie, ktorí odpovedali na venlafaxín</w:t>
      </w:r>
      <w:r w:rsidR="005A5A9E" w:rsidRPr="00BC3C9C">
        <w:rPr>
          <w:szCs w:val="22"/>
        </w:rPr>
        <w:t xml:space="preserve"> s </w:t>
      </w:r>
      <w:r w:rsidRPr="00BC3C9C">
        <w:rPr>
          <w:szCs w:val="22"/>
        </w:rPr>
        <w:t>okamžitým uvoľňovaním (100 až 200 mg/deň) pri poslednej epizóde depresie.</w:t>
      </w:r>
    </w:p>
    <w:p w14:paraId="39EEFFBA" w14:textId="77777777" w:rsidR="00EE3F6B" w:rsidRDefault="00EE3F6B" w:rsidP="00FE0B01">
      <w:pPr>
        <w:pStyle w:val="Styl3"/>
        <w:spacing w:after="0"/>
        <w:jc w:val="left"/>
        <w:rPr>
          <w:szCs w:val="22"/>
        </w:rPr>
      </w:pPr>
    </w:p>
    <w:p w14:paraId="17711D2B" w14:textId="77777777" w:rsidR="00954C84" w:rsidRPr="00EE3F6B" w:rsidRDefault="00954C84" w:rsidP="00FE0B01">
      <w:pPr>
        <w:pStyle w:val="Styl3"/>
        <w:spacing w:after="0"/>
        <w:jc w:val="left"/>
        <w:rPr>
          <w:szCs w:val="22"/>
        </w:rPr>
      </w:pPr>
      <w:r w:rsidRPr="00EE3F6B">
        <w:rPr>
          <w:szCs w:val="22"/>
        </w:rPr>
        <w:t>Generalizovaná úzkostná porucha</w:t>
      </w:r>
    </w:p>
    <w:p w14:paraId="6978BC55" w14:textId="53E48020" w:rsidR="00954C84" w:rsidRPr="00D638B3" w:rsidRDefault="00954C84" w:rsidP="00FE0B01">
      <w:pPr>
        <w:pStyle w:val="Normlndobloku"/>
        <w:spacing w:after="0"/>
        <w:jc w:val="left"/>
        <w:rPr>
          <w:szCs w:val="22"/>
        </w:rPr>
      </w:pPr>
      <w:r w:rsidRPr="009E286B">
        <w:rPr>
          <w:szCs w:val="22"/>
        </w:rPr>
        <w:t>Účinnosť kapsúl venlafaxínu</w:t>
      </w:r>
      <w:r w:rsidR="005A5A9E" w:rsidRPr="009E286B">
        <w:rPr>
          <w:szCs w:val="22"/>
        </w:rPr>
        <w:t xml:space="preserve"> s </w:t>
      </w:r>
      <w:r w:rsidRPr="009E286B">
        <w:rPr>
          <w:szCs w:val="22"/>
        </w:rPr>
        <w:t>predĺženým uvoľňovaním ako liečby generalizovanej úzkostnej poruchy (GAD) bola stanovená</w:t>
      </w:r>
      <w:r w:rsidR="005A5A9E" w:rsidRPr="009E286B">
        <w:rPr>
          <w:szCs w:val="22"/>
        </w:rPr>
        <w:t xml:space="preserve"> v </w:t>
      </w:r>
      <w:r w:rsidRPr="009E286B">
        <w:rPr>
          <w:szCs w:val="22"/>
        </w:rPr>
        <w:t>dvoch 8-týždňových, placebom kontrolovaných štúdiách</w:t>
      </w:r>
      <w:r w:rsidR="005A5A9E" w:rsidRPr="009E286B">
        <w:rPr>
          <w:szCs w:val="22"/>
        </w:rPr>
        <w:t xml:space="preserve"> s </w:t>
      </w:r>
      <w:r w:rsidRPr="009E286B">
        <w:rPr>
          <w:szCs w:val="22"/>
        </w:rPr>
        <w:t>pevne stanovenou dávkou (75 až 225 mg/deň),</w:t>
      </w:r>
      <w:r w:rsidR="005A5A9E" w:rsidRPr="002D691C">
        <w:rPr>
          <w:szCs w:val="22"/>
        </w:rPr>
        <w:t xml:space="preserve"> v </w:t>
      </w:r>
      <w:r w:rsidRPr="00301FE5">
        <w:rPr>
          <w:szCs w:val="22"/>
        </w:rPr>
        <w:t>jednej 6-mesačnej, placebom kontrolovanej štúdii</w:t>
      </w:r>
      <w:r w:rsidR="005A5A9E" w:rsidRPr="00301FE5">
        <w:rPr>
          <w:szCs w:val="22"/>
        </w:rPr>
        <w:t xml:space="preserve"> s </w:t>
      </w:r>
      <w:r w:rsidRPr="00301FE5">
        <w:rPr>
          <w:szCs w:val="22"/>
        </w:rPr>
        <w:t>pevne stanovenou dávkou (75 až 225 mg/deň)</w:t>
      </w:r>
      <w:r w:rsidR="005A5A9E" w:rsidRPr="00301FE5">
        <w:rPr>
          <w:szCs w:val="22"/>
        </w:rPr>
        <w:t xml:space="preserve"> a </w:t>
      </w:r>
      <w:r w:rsidRPr="00301FE5">
        <w:rPr>
          <w:szCs w:val="22"/>
        </w:rPr>
        <w:t>jednej 6-mesačnej, placebom kontrolovanej štúdii</w:t>
      </w:r>
      <w:r w:rsidR="005A5A9E" w:rsidRPr="00301FE5">
        <w:rPr>
          <w:szCs w:val="22"/>
        </w:rPr>
        <w:t xml:space="preserve"> s </w:t>
      </w:r>
      <w:r w:rsidRPr="00301FE5">
        <w:rPr>
          <w:szCs w:val="22"/>
        </w:rPr>
        <w:t>flexibilnou dávkou (37,5, 75</w:t>
      </w:r>
      <w:r w:rsidR="005A5A9E" w:rsidRPr="00301FE5">
        <w:rPr>
          <w:szCs w:val="22"/>
        </w:rPr>
        <w:t xml:space="preserve"> a </w:t>
      </w:r>
      <w:r w:rsidRPr="00D638B3">
        <w:rPr>
          <w:szCs w:val="22"/>
        </w:rPr>
        <w:t>150 mg/deň)</w:t>
      </w:r>
      <w:r w:rsidR="005A5A9E" w:rsidRPr="00D638B3">
        <w:rPr>
          <w:szCs w:val="22"/>
        </w:rPr>
        <w:t xml:space="preserve"> u </w:t>
      </w:r>
      <w:r w:rsidRPr="00D638B3">
        <w:rPr>
          <w:szCs w:val="22"/>
        </w:rPr>
        <w:t>dospelých ambulantných pacientov.</w:t>
      </w:r>
    </w:p>
    <w:p w14:paraId="78074ABA" w14:textId="5519FB3B" w:rsidR="00954C84" w:rsidRPr="00454074" w:rsidRDefault="00954C84" w:rsidP="00FE0B01">
      <w:pPr>
        <w:pStyle w:val="Normlndobloku"/>
        <w:spacing w:after="0"/>
        <w:jc w:val="left"/>
        <w:rPr>
          <w:szCs w:val="22"/>
        </w:rPr>
      </w:pPr>
      <w:r w:rsidRPr="00454074">
        <w:rPr>
          <w:szCs w:val="22"/>
        </w:rPr>
        <w:t>Aj keď existoval taktiež dôkaz o nadradenosti dávky 37,5 mg/deň nad placebom, táto dávka nebola tak konzistentne účinná ako vyššie dávky.</w:t>
      </w:r>
    </w:p>
    <w:p w14:paraId="20D5555E" w14:textId="77777777" w:rsidR="00EE3F6B" w:rsidRDefault="00EE3F6B" w:rsidP="00FE0B01">
      <w:pPr>
        <w:pStyle w:val="Styl3"/>
        <w:spacing w:after="0"/>
        <w:jc w:val="left"/>
        <w:rPr>
          <w:szCs w:val="22"/>
        </w:rPr>
      </w:pPr>
    </w:p>
    <w:p w14:paraId="4ACAB09D" w14:textId="77777777" w:rsidR="00954C84" w:rsidRPr="00EE3F6B" w:rsidRDefault="00954C84" w:rsidP="00FE0B01">
      <w:pPr>
        <w:pStyle w:val="Styl3"/>
        <w:spacing w:after="0"/>
        <w:jc w:val="left"/>
        <w:rPr>
          <w:szCs w:val="22"/>
        </w:rPr>
      </w:pPr>
      <w:r w:rsidRPr="00EE3F6B">
        <w:rPr>
          <w:szCs w:val="22"/>
        </w:rPr>
        <w:t>Sociálna anxiózna porucha</w:t>
      </w:r>
    </w:p>
    <w:p w14:paraId="0BD8E61E" w14:textId="7F72F4D7" w:rsidR="00954C84" w:rsidRPr="00BC3C9C" w:rsidRDefault="00954C84" w:rsidP="00FE0B01">
      <w:pPr>
        <w:pStyle w:val="Normlndobloku"/>
        <w:spacing w:after="0"/>
        <w:jc w:val="left"/>
        <w:rPr>
          <w:szCs w:val="22"/>
        </w:rPr>
      </w:pPr>
      <w:r w:rsidRPr="009E286B">
        <w:rPr>
          <w:szCs w:val="22"/>
        </w:rPr>
        <w:t>Účinnosť kapsúl venlafaxínu</w:t>
      </w:r>
      <w:r w:rsidR="005A5A9E" w:rsidRPr="009E286B">
        <w:rPr>
          <w:szCs w:val="22"/>
        </w:rPr>
        <w:t xml:space="preserve"> s </w:t>
      </w:r>
      <w:r w:rsidRPr="009E286B">
        <w:rPr>
          <w:szCs w:val="22"/>
        </w:rPr>
        <w:t>predĺženým uvoľňovaním ako liečby sociálnej anxióznej poruchy (SAD) bola stanovená</w:t>
      </w:r>
      <w:r w:rsidR="005A5A9E" w:rsidRPr="009E286B">
        <w:rPr>
          <w:szCs w:val="22"/>
        </w:rPr>
        <w:t xml:space="preserve"> v </w:t>
      </w:r>
      <w:r w:rsidRPr="009E286B">
        <w:rPr>
          <w:szCs w:val="22"/>
        </w:rPr>
        <w:t>štyroch dvojito slepých, paralelne-skupinových, 12-týždňových, multicentrických, placebom kontrolovaných štúdiách</w:t>
      </w:r>
      <w:r w:rsidR="005A5A9E" w:rsidRPr="002D691C">
        <w:rPr>
          <w:szCs w:val="22"/>
        </w:rPr>
        <w:t xml:space="preserve"> s </w:t>
      </w:r>
      <w:r w:rsidRPr="00301FE5">
        <w:rPr>
          <w:szCs w:val="22"/>
        </w:rPr>
        <w:t>flexibilnou dávkou</w:t>
      </w:r>
      <w:r w:rsidR="005A5A9E" w:rsidRPr="00301FE5">
        <w:rPr>
          <w:szCs w:val="22"/>
        </w:rPr>
        <w:t xml:space="preserve"> a v </w:t>
      </w:r>
      <w:r w:rsidRPr="00301FE5">
        <w:rPr>
          <w:szCs w:val="22"/>
        </w:rPr>
        <w:t>jednej dvojito-slepej, paralelne skupinovej, 6-mesačnej, placebom kontrolovanej,</w:t>
      </w:r>
      <w:r w:rsidR="005A5A9E" w:rsidRPr="00301FE5">
        <w:rPr>
          <w:szCs w:val="22"/>
        </w:rPr>
        <w:t xml:space="preserve"> s </w:t>
      </w:r>
      <w:r w:rsidRPr="00301FE5">
        <w:rPr>
          <w:szCs w:val="22"/>
        </w:rPr>
        <w:t>pevne stanovenou/flexibilnou dávkou</w:t>
      </w:r>
      <w:r w:rsidR="005A5A9E" w:rsidRPr="00301FE5">
        <w:rPr>
          <w:szCs w:val="22"/>
        </w:rPr>
        <w:t xml:space="preserve"> u </w:t>
      </w:r>
      <w:r w:rsidRPr="00301FE5">
        <w:rPr>
          <w:szCs w:val="22"/>
        </w:rPr>
        <w:t>dospelých ambulantných pacientov. Pacienti dostávali dávku</w:t>
      </w:r>
      <w:r w:rsidR="005A5A9E" w:rsidRPr="00301FE5">
        <w:rPr>
          <w:szCs w:val="22"/>
        </w:rPr>
        <w:t xml:space="preserve"> v </w:t>
      </w:r>
      <w:r w:rsidRPr="00D638B3">
        <w:rPr>
          <w:szCs w:val="22"/>
        </w:rPr>
        <w:t>rozpätí od 75 do 225 mg/deň.</w:t>
      </w:r>
      <w:r w:rsidR="005A5A9E" w:rsidRPr="00D638B3">
        <w:rPr>
          <w:szCs w:val="22"/>
        </w:rPr>
        <w:t xml:space="preserve"> </w:t>
      </w:r>
      <w:r w:rsidR="006F7FF0" w:rsidRPr="00D638B3">
        <w:rPr>
          <w:szCs w:val="22"/>
        </w:rPr>
        <w:t>V</w:t>
      </w:r>
      <w:r w:rsidR="005A5A9E" w:rsidRPr="00D638B3">
        <w:rPr>
          <w:szCs w:val="22"/>
        </w:rPr>
        <w:t> </w:t>
      </w:r>
      <w:r w:rsidRPr="00454074">
        <w:rPr>
          <w:szCs w:val="22"/>
        </w:rPr>
        <w:t>6-mesačnej štúdii sa neukázala žiadna väčšia účinnosť</w:t>
      </w:r>
      <w:r w:rsidR="005A5A9E" w:rsidRPr="00BC3C9C">
        <w:rPr>
          <w:szCs w:val="22"/>
        </w:rPr>
        <w:t xml:space="preserve"> u </w:t>
      </w:r>
      <w:r w:rsidRPr="00BC3C9C">
        <w:rPr>
          <w:szCs w:val="22"/>
        </w:rPr>
        <w:t>skupiny, ktorá užívala dávku od 150 do 225 mg/deň</w:t>
      </w:r>
      <w:r w:rsidR="005A5A9E" w:rsidRPr="00BC3C9C">
        <w:rPr>
          <w:szCs w:val="22"/>
        </w:rPr>
        <w:t xml:space="preserve"> v </w:t>
      </w:r>
      <w:r w:rsidRPr="00BC3C9C">
        <w:rPr>
          <w:szCs w:val="22"/>
        </w:rPr>
        <w:t>porovnaní so skupinou, ktorá užívala 75 mg/deň.</w:t>
      </w:r>
    </w:p>
    <w:p w14:paraId="3338C5F9" w14:textId="77777777" w:rsidR="00EE3F6B" w:rsidRDefault="00EE3F6B" w:rsidP="00FE0B01">
      <w:pPr>
        <w:pStyle w:val="Styl3"/>
        <w:spacing w:after="0"/>
        <w:jc w:val="left"/>
        <w:rPr>
          <w:szCs w:val="22"/>
        </w:rPr>
      </w:pPr>
    </w:p>
    <w:p w14:paraId="1B00C9D1" w14:textId="77777777" w:rsidR="00954C84" w:rsidRPr="00EE3F6B" w:rsidRDefault="00954C84" w:rsidP="00FE0B01">
      <w:pPr>
        <w:pStyle w:val="Styl3"/>
        <w:spacing w:after="0"/>
        <w:jc w:val="left"/>
        <w:rPr>
          <w:szCs w:val="22"/>
        </w:rPr>
      </w:pPr>
      <w:r w:rsidRPr="00EE3F6B">
        <w:rPr>
          <w:szCs w:val="22"/>
        </w:rPr>
        <w:t>Panická porucha</w:t>
      </w:r>
    </w:p>
    <w:p w14:paraId="45BA9679" w14:textId="00F76E04" w:rsidR="00954C84" w:rsidRPr="00454074" w:rsidRDefault="00954C84" w:rsidP="00FE0B01">
      <w:pPr>
        <w:pStyle w:val="Normlndobloku"/>
        <w:spacing w:after="0"/>
        <w:jc w:val="left"/>
        <w:rPr>
          <w:szCs w:val="22"/>
        </w:rPr>
      </w:pPr>
      <w:r w:rsidRPr="009E286B">
        <w:rPr>
          <w:szCs w:val="22"/>
        </w:rPr>
        <w:t>Účinnosť kapsúl venlafaxínu</w:t>
      </w:r>
      <w:r w:rsidR="005A5A9E" w:rsidRPr="009E286B">
        <w:rPr>
          <w:szCs w:val="22"/>
        </w:rPr>
        <w:t xml:space="preserve"> s </w:t>
      </w:r>
      <w:r w:rsidRPr="009E286B">
        <w:rPr>
          <w:szCs w:val="22"/>
        </w:rPr>
        <w:t>predĺženým uvoľňovaním ako liečby panickej poruchy bola stanovená</w:t>
      </w:r>
      <w:r w:rsidR="005A5A9E" w:rsidRPr="009E286B">
        <w:rPr>
          <w:szCs w:val="22"/>
        </w:rPr>
        <w:t xml:space="preserve"> v </w:t>
      </w:r>
      <w:r w:rsidRPr="009E286B">
        <w:rPr>
          <w:szCs w:val="22"/>
        </w:rPr>
        <w:t>dvoch dvojito slepých, 12-týždňových, multicentrických, placebom kontrolovaných štúdiách</w:t>
      </w:r>
      <w:r w:rsidR="005A5A9E" w:rsidRPr="009E286B">
        <w:rPr>
          <w:szCs w:val="22"/>
        </w:rPr>
        <w:t xml:space="preserve"> u </w:t>
      </w:r>
      <w:r w:rsidRPr="009E286B">
        <w:rPr>
          <w:szCs w:val="22"/>
        </w:rPr>
        <w:t>dospelých ambulantných pacientov</w:t>
      </w:r>
      <w:r w:rsidR="005A5A9E" w:rsidRPr="002D691C">
        <w:rPr>
          <w:szCs w:val="22"/>
        </w:rPr>
        <w:t xml:space="preserve"> s </w:t>
      </w:r>
      <w:r w:rsidRPr="00301FE5">
        <w:rPr>
          <w:szCs w:val="22"/>
        </w:rPr>
        <w:t>panickou poruchou,</w:t>
      </w:r>
      <w:r w:rsidR="005A5A9E" w:rsidRPr="00301FE5">
        <w:rPr>
          <w:szCs w:val="22"/>
        </w:rPr>
        <w:t xml:space="preserve"> s </w:t>
      </w:r>
      <w:r w:rsidRPr="00301FE5">
        <w:rPr>
          <w:szCs w:val="22"/>
        </w:rPr>
        <w:t>alebo bez agorafóbie. Začiatočná dávka</w:t>
      </w:r>
      <w:r w:rsidR="005A5A9E" w:rsidRPr="00301FE5">
        <w:rPr>
          <w:szCs w:val="22"/>
        </w:rPr>
        <w:t xml:space="preserve"> v </w:t>
      </w:r>
      <w:r w:rsidRPr="00301FE5">
        <w:rPr>
          <w:szCs w:val="22"/>
        </w:rPr>
        <w:t>štúdiách</w:t>
      </w:r>
      <w:r w:rsidR="005A5A9E" w:rsidRPr="00301FE5">
        <w:rPr>
          <w:szCs w:val="22"/>
        </w:rPr>
        <w:t xml:space="preserve"> s </w:t>
      </w:r>
      <w:r w:rsidRPr="00301FE5">
        <w:rPr>
          <w:szCs w:val="22"/>
        </w:rPr>
        <w:t>panickou poruchou bola 37,5 mg/deň počas 7 dní. Pacienti potom dostali pevne stanovenú dávku 75 alebo 150 mg/deň</w:t>
      </w:r>
      <w:r w:rsidR="005A5A9E" w:rsidRPr="00D638B3">
        <w:rPr>
          <w:szCs w:val="22"/>
        </w:rPr>
        <w:t xml:space="preserve"> v </w:t>
      </w:r>
      <w:r w:rsidRPr="00D638B3">
        <w:rPr>
          <w:szCs w:val="22"/>
        </w:rPr>
        <w:t>jednej štúdii</w:t>
      </w:r>
      <w:r w:rsidR="005A5A9E" w:rsidRPr="00D638B3">
        <w:rPr>
          <w:szCs w:val="22"/>
        </w:rPr>
        <w:t xml:space="preserve"> a </w:t>
      </w:r>
      <w:r w:rsidRPr="00D638B3">
        <w:rPr>
          <w:szCs w:val="22"/>
        </w:rPr>
        <w:t>75 alebo 225 mg/deň</w:t>
      </w:r>
      <w:r w:rsidR="005A5A9E" w:rsidRPr="00454074">
        <w:rPr>
          <w:szCs w:val="22"/>
        </w:rPr>
        <w:t xml:space="preserve"> v </w:t>
      </w:r>
      <w:r w:rsidRPr="00454074">
        <w:rPr>
          <w:szCs w:val="22"/>
        </w:rPr>
        <w:t>druhej štúdii.</w:t>
      </w:r>
    </w:p>
    <w:p w14:paraId="7881FD90" w14:textId="6A0A67A6" w:rsidR="00954C84" w:rsidRDefault="00954C84" w:rsidP="00FE0B01">
      <w:pPr>
        <w:pStyle w:val="Normlndobloku"/>
        <w:spacing w:after="0"/>
        <w:jc w:val="left"/>
        <w:rPr>
          <w:szCs w:val="22"/>
        </w:rPr>
      </w:pPr>
      <w:r w:rsidRPr="00BC3C9C">
        <w:rPr>
          <w:szCs w:val="22"/>
        </w:rPr>
        <w:t>Účinnosť bola tiež stanovená</w:t>
      </w:r>
      <w:r w:rsidR="005A5A9E" w:rsidRPr="00BC3C9C">
        <w:rPr>
          <w:szCs w:val="22"/>
        </w:rPr>
        <w:t xml:space="preserve"> v </w:t>
      </w:r>
      <w:r w:rsidRPr="00BC3C9C">
        <w:rPr>
          <w:szCs w:val="22"/>
        </w:rPr>
        <w:t>jednej dlhotrvajúcej dvojito-slepej, placebom kontrolovanej, paralelnej štúdii bezpečnosti dlhodobého používania, účinnosti, bezpečnosti</w:t>
      </w:r>
      <w:r w:rsidR="005A5A9E" w:rsidRPr="00BC3C9C">
        <w:rPr>
          <w:szCs w:val="22"/>
        </w:rPr>
        <w:t xml:space="preserve"> a </w:t>
      </w:r>
      <w:r w:rsidRPr="00BC3C9C">
        <w:rPr>
          <w:szCs w:val="22"/>
        </w:rPr>
        <w:t>prevencie relapsu</w:t>
      </w:r>
      <w:r w:rsidR="005A5A9E" w:rsidRPr="00BC3C9C">
        <w:rPr>
          <w:szCs w:val="22"/>
        </w:rPr>
        <w:t xml:space="preserve"> u </w:t>
      </w:r>
      <w:r w:rsidRPr="00BC3C9C">
        <w:rPr>
          <w:szCs w:val="22"/>
        </w:rPr>
        <w:t>dospelých pacientov, ktorí odpovedali na otvorenú liečbu. Pacienti pokračovali</w:t>
      </w:r>
      <w:r w:rsidR="005A5A9E" w:rsidRPr="00BC3C9C">
        <w:rPr>
          <w:szCs w:val="22"/>
        </w:rPr>
        <w:t xml:space="preserve"> v </w:t>
      </w:r>
      <w:r w:rsidRPr="00BC3C9C">
        <w:rPr>
          <w:szCs w:val="22"/>
        </w:rPr>
        <w:t>používaní rovnakej dávky venlafaxínu</w:t>
      </w:r>
      <w:r w:rsidR="005A5A9E" w:rsidRPr="00BC3C9C">
        <w:rPr>
          <w:szCs w:val="22"/>
        </w:rPr>
        <w:t xml:space="preserve"> s </w:t>
      </w:r>
      <w:r w:rsidRPr="00BC3C9C">
        <w:rPr>
          <w:szCs w:val="22"/>
        </w:rPr>
        <w:t>predĺženým uvoľňovaním, ktorú užívali na konci otvorenej fázy štúdie (75, 150 alebo 225 mg).</w:t>
      </w:r>
    </w:p>
    <w:p w14:paraId="240FBE98" w14:textId="77777777" w:rsidR="00EE3F6B" w:rsidRPr="00EE3F6B" w:rsidRDefault="00EE3F6B" w:rsidP="00FE0B01">
      <w:pPr>
        <w:pStyle w:val="Normlndobloku"/>
        <w:spacing w:after="0"/>
        <w:jc w:val="left"/>
        <w:rPr>
          <w:szCs w:val="22"/>
        </w:rPr>
      </w:pPr>
    </w:p>
    <w:p w14:paraId="714A6514" w14:textId="75E12DB0" w:rsidR="00954C84" w:rsidRPr="00EE3F6B" w:rsidRDefault="00954C84" w:rsidP="00FE0B01">
      <w:pPr>
        <w:pStyle w:val="Styl2"/>
      </w:pPr>
      <w:r w:rsidRPr="00EE3F6B">
        <w:t>Farmakokinetické vlastnosti</w:t>
      </w:r>
    </w:p>
    <w:p w14:paraId="5F7241A6" w14:textId="77777777" w:rsidR="00DF2A67" w:rsidRDefault="00DF2A67" w:rsidP="00FE0B01">
      <w:pPr>
        <w:pStyle w:val="Normlndobloku"/>
        <w:spacing w:after="0"/>
        <w:jc w:val="left"/>
        <w:rPr>
          <w:szCs w:val="22"/>
        </w:rPr>
      </w:pPr>
    </w:p>
    <w:p w14:paraId="0AEDDB7B" w14:textId="4F81F865" w:rsidR="00954C84" w:rsidRPr="002D691C" w:rsidRDefault="00954C84" w:rsidP="00FE0B01">
      <w:pPr>
        <w:pStyle w:val="Normlndobloku"/>
        <w:spacing w:after="0"/>
        <w:jc w:val="left"/>
        <w:rPr>
          <w:szCs w:val="22"/>
        </w:rPr>
      </w:pPr>
      <w:r w:rsidRPr="00EE3F6B">
        <w:rPr>
          <w:szCs w:val="22"/>
        </w:rPr>
        <w:t>Venlafaxín je veľmi rýchlo metabolizovaný primárne na aktívny m</w:t>
      </w:r>
      <w:r w:rsidRPr="009E286B">
        <w:rPr>
          <w:szCs w:val="22"/>
        </w:rPr>
        <w:t>etabolit O-desmetylvenlafaxín (ODV). Priemerné ± SD biologické polčasy venlafaxínu</w:t>
      </w:r>
      <w:r w:rsidR="005A5A9E" w:rsidRPr="009E286B">
        <w:rPr>
          <w:szCs w:val="22"/>
        </w:rPr>
        <w:t xml:space="preserve"> a </w:t>
      </w:r>
      <w:r w:rsidRPr="009E286B">
        <w:rPr>
          <w:szCs w:val="22"/>
        </w:rPr>
        <w:t>ODV</w:t>
      </w:r>
      <w:r w:rsidR="005A5A9E" w:rsidRPr="009E286B">
        <w:rPr>
          <w:szCs w:val="22"/>
        </w:rPr>
        <w:t xml:space="preserve"> v </w:t>
      </w:r>
      <w:r w:rsidRPr="009E286B">
        <w:rPr>
          <w:szCs w:val="22"/>
        </w:rPr>
        <w:t>plazme sú 5±2 hodiny</w:t>
      </w:r>
      <w:r w:rsidR="005A5A9E" w:rsidRPr="009E286B">
        <w:rPr>
          <w:szCs w:val="22"/>
        </w:rPr>
        <w:t xml:space="preserve"> a </w:t>
      </w:r>
      <w:r w:rsidRPr="009E286B">
        <w:rPr>
          <w:szCs w:val="22"/>
        </w:rPr>
        <w:t>11±2 hodiny. Rovnovážne hladiny venlafaxínu</w:t>
      </w:r>
      <w:r w:rsidR="005A5A9E" w:rsidRPr="009E286B">
        <w:rPr>
          <w:szCs w:val="22"/>
        </w:rPr>
        <w:t xml:space="preserve"> a </w:t>
      </w:r>
      <w:r w:rsidRPr="009E286B">
        <w:rPr>
          <w:szCs w:val="22"/>
        </w:rPr>
        <w:t>ODV sa dosahujú počas 3 dní pri perorálnej viacnásobne dávkovanej liečbe. Venlafaxín</w:t>
      </w:r>
      <w:r w:rsidR="005A5A9E" w:rsidRPr="009E286B">
        <w:rPr>
          <w:szCs w:val="22"/>
        </w:rPr>
        <w:t xml:space="preserve"> a </w:t>
      </w:r>
      <w:r w:rsidRPr="009E286B">
        <w:rPr>
          <w:szCs w:val="22"/>
        </w:rPr>
        <w:t>ODV vykazujú lineárnu kinetiku</w:t>
      </w:r>
      <w:r w:rsidR="005A5A9E" w:rsidRPr="009E286B">
        <w:rPr>
          <w:szCs w:val="22"/>
        </w:rPr>
        <w:t xml:space="preserve"> v </w:t>
      </w:r>
      <w:r w:rsidRPr="009E286B">
        <w:rPr>
          <w:szCs w:val="22"/>
        </w:rPr>
        <w:t>dávkach medzi 75</w:t>
      </w:r>
      <w:r w:rsidR="005A5A9E" w:rsidRPr="009E286B">
        <w:rPr>
          <w:szCs w:val="22"/>
        </w:rPr>
        <w:t xml:space="preserve"> mg </w:t>
      </w:r>
      <w:r w:rsidRPr="009E286B">
        <w:rPr>
          <w:szCs w:val="22"/>
        </w:rPr>
        <w:t>až 450</w:t>
      </w:r>
      <w:r w:rsidR="005A5A9E" w:rsidRPr="009E286B">
        <w:rPr>
          <w:szCs w:val="22"/>
        </w:rPr>
        <w:t xml:space="preserve"> mg </w:t>
      </w:r>
      <w:r w:rsidRPr="002D691C">
        <w:rPr>
          <w:szCs w:val="22"/>
        </w:rPr>
        <w:t>za deň.</w:t>
      </w:r>
    </w:p>
    <w:p w14:paraId="0B0F9E98" w14:textId="77777777" w:rsidR="00EE3F6B" w:rsidRDefault="00EE3F6B" w:rsidP="00FE0B01">
      <w:pPr>
        <w:pStyle w:val="Styl3"/>
        <w:spacing w:after="0"/>
        <w:jc w:val="left"/>
        <w:rPr>
          <w:szCs w:val="22"/>
        </w:rPr>
      </w:pPr>
    </w:p>
    <w:p w14:paraId="6209A731" w14:textId="77777777" w:rsidR="00954C84" w:rsidRPr="00EE3F6B" w:rsidRDefault="00954C84" w:rsidP="00FE0B01">
      <w:pPr>
        <w:pStyle w:val="Styl3"/>
        <w:spacing w:after="0"/>
        <w:jc w:val="left"/>
        <w:rPr>
          <w:szCs w:val="22"/>
        </w:rPr>
      </w:pPr>
      <w:r w:rsidRPr="00EE3F6B">
        <w:rPr>
          <w:szCs w:val="22"/>
        </w:rPr>
        <w:t>Absorpcia</w:t>
      </w:r>
    </w:p>
    <w:p w14:paraId="273DE79C" w14:textId="0F3BE9C3" w:rsidR="00954C84" w:rsidRPr="00BC3C9C" w:rsidRDefault="00954C84" w:rsidP="00FE0B01">
      <w:pPr>
        <w:pStyle w:val="Normlndobloku"/>
        <w:spacing w:after="0"/>
        <w:jc w:val="left"/>
        <w:rPr>
          <w:szCs w:val="22"/>
        </w:rPr>
      </w:pPr>
      <w:r w:rsidRPr="009E286B">
        <w:rPr>
          <w:szCs w:val="22"/>
        </w:rPr>
        <w:t>Najmenej 92</w:t>
      </w:r>
      <w:r w:rsidR="006F7FF0" w:rsidRPr="009E286B">
        <w:rPr>
          <w:szCs w:val="22"/>
        </w:rPr>
        <w:t> %</w:t>
      </w:r>
      <w:r w:rsidRPr="009E286B">
        <w:rPr>
          <w:szCs w:val="22"/>
        </w:rPr>
        <w:t xml:space="preserve"> venlafaxínu je absorbovaných po jednorazovom perorálnom užití tablety</w:t>
      </w:r>
      <w:r w:rsidR="005A5A9E" w:rsidRPr="009E286B">
        <w:rPr>
          <w:szCs w:val="22"/>
        </w:rPr>
        <w:t xml:space="preserve"> s </w:t>
      </w:r>
      <w:r w:rsidRPr="009E286B">
        <w:rPr>
          <w:szCs w:val="22"/>
        </w:rPr>
        <w:t>okamžitým uvoľňovaním venlafaxínu. Absolútna biologická dostupnosť je 40</w:t>
      </w:r>
      <w:r w:rsidR="00931757" w:rsidRPr="009E286B">
        <w:rPr>
          <w:szCs w:val="22"/>
        </w:rPr>
        <w:t> </w:t>
      </w:r>
      <w:r w:rsidR="00931757" w:rsidRPr="009E286B">
        <w:rPr>
          <w:szCs w:val="22"/>
          <w:lang w:val="cs-CZ"/>
        </w:rPr>
        <w:t>– </w:t>
      </w:r>
      <w:r w:rsidRPr="009E286B">
        <w:rPr>
          <w:szCs w:val="22"/>
        </w:rPr>
        <w:t>45</w:t>
      </w:r>
      <w:r w:rsidR="006F7FF0" w:rsidRPr="009E286B">
        <w:rPr>
          <w:szCs w:val="22"/>
        </w:rPr>
        <w:t> %</w:t>
      </w:r>
      <w:r w:rsidRPr="009E286B">
        <w:rPr>
          <w:szCs w:val="22"/>
        </w:rPr>
        <w:t xml:space="preserve"> vzhľadom na nesystémový metabolizmus. Po podaní venlafaxínu</w:t>
      </w:r>
      <w:r w:rsidR="005A5A9E" w:rsidRPr="002D691C">
        <w:rPr>
          <w:szCs w:val="22"/>
        </w:rPr>
        <w:t xml:space="preserve"> s </w:t>
      </w:r>
      <w:r w:rsidRPr="00301FE5">
        <w:rPr>
          <w:szCs w:val="22"/>
        </w:rPr>
        <w:t>okamžitým uvoľňovaním, sa maximálne plazmatické koncentrácie dosahujú za 2 hodiny pre venlafaxín</w:t>
      </w:r>
      <w:r w:rsidR="005A5A9E" w:rsidRPr="00301FE5">
        <w:rPr>
          <w:szCs w:val="22"/>
        </w:rPr>
        <w:t xml:space="preserve"> a </w:t>
      </w:r>
      <w:r w:rsidRPr="00301FE5">
        <w:rPr>
          <w:szCs w:val="22"/>
        </w:rPr>
        <w:t>3 hodiny pre ODV. Po podaní venlafaxínu</w:t>
      </w:r>
      <w:r w:rsidR="005A5A9E" w:rsidRPr="00301FE5">
        <w:rPr>
          <w:szCs w:val="22"/>
        </w:rPr>
        <w:t xml:space="preserve"> s </w:t>
      </w:r>
      <w:r w:rsidRPr="00301FE5">
        <w:rPr>
          <w:szCs w:val="22"/>
        </w:rPr>
        <w:t>kapsulami</w:t>
      </w:r>
      <w:r w:rsidR="005A5A9E" w:rsidRPr="00301FE5">
        <w:rPr>
          <w:szCs w:val="22"/>
        </w:rPr>
        <w:t xml:space="preserve"> s </w:t>
      </w:r>
      <w:r w:rsidRPr="00301FE5">
        <w:rPr>
          <w:szCs w:val="22"/>
        </w:rPr>
        <w:t>predĺženým uvoľňovaním sa maximálne plazmatické koncentrácie dosahujú za 5,5 hodiny pre venlafaxín</w:t>
      </w:r>
      <w:r w:rsidR="005A5A9E" w:rsidRPr="00301FE5">
        <w:rPr>
          <w:szCs w:val="22"/>
        </w:rPr>
        <w:t xml:space="preserve"> a </w:t>
      </w:r>
      <w:r w:rsidRPr="00D638B3">
        <w:rPr>
          <w:szCs w:val="22"/>
        </w:rPr>
        <w:t>9 hodín pre ODV. Pri podaní rovnakých denných dávok venlafaxínu či už</w:t>
      </w:r>
      <w:r w:rsidR="005A5A9E" w:rsidRPr="00D638B3">
        <w:rPr>
          <w:szCs w:val="22"/>
        </w:rPr>
        <w:t xml:space="preserve"> s </w:t>
      </w:r>
      <w:r w:rsidRPr="00D638B3">
        <w:rPr>
          <w:szCs w:val="22"/>
        </w:rPr>
        <w:t>rýchlym alebo predĺženým uvoľňovaním, kapsula</w:t>
      </w:r>
      <w:r w:rsidR="005A5A9E" w:rsidRPr="00454074">
        <w:rPr>
          <w:szCs w:val="22"/>
        </w:rPr>
        <w:t xml:space="preserve"> s </w:t>
      </w:r>
      <w:r w:rsidRPr="00454074">
        <w:rPr>
          <w:szCs w:val="22"/>
        </w:rPr>
        <w:t>predĺženým uvoľňovaním sa pomalšie vstrebáva, ale vstrebáva sa rovnaké množstvo ako pri tablete</w:t>
      </w:r>
      <w:r w:rsidR="005A5A9E" w:rsidRPr="00454074">
        <w:rPr>
          <w:szCs w:val="22"/>
        </w:rPr>
        <w:t xml:space="preserve"> s </w:t>
      </w:r>
      <w:r w:rsidRPr="00454074">
        <w:rPr>
          <w:szCs w:val="22"/>
        </w:rPr>
        <w:t>okamžitým uvoľňovaním. Jedlo neovplyv</w:t>
      </w:r>
      <w:r w:rsidRPr="00DF2A67">
        <w:rPr>
          <w:szCs w:val="22"/>
        </w:rPr>
        <w:t>ňuje biodostupnosť venlafaxínu</w:t>
      </w:r>
      <w:r w:rsidR="005A5A9E" w:rsidRPr="00BC3C9C">
        <w:rPr>
          <w:szCs w:val="22"/>
        </w:rPr>
        <w:t xml:space="preserve"> a </w:t>
      </w:r>
      <w:r w:rsidRPr="00BC3C9C">
        <w:rPr>
          <w:szCs w:val="22"/>
        </w:rPr>
        <w:t>ODV</w:t>
      </w:r>
    </w:p>
    <w:p w14:paraId="7143EABB" w14:textId="77777777" w:rsidR="00EE3F6B" w:rsidRDefault="00EE3F6B" w:rsidP="00FE0B01">
      <w:pPr>
        <w:pStyle w:val="Styl3"/>
        <w:spacing w:after="0"/>
        <w:jc w:val="left"/>
        <w:rPr>
          <w:szCs w:val="22"/>
        </w:rPr>
      </w:pPr>
    </w:p>
    <w:p w14:paraId="0CEB0E70" w14:textId="77777777" w:rsidR="00954C84" w:rsidRPr="00EE3F6B" w:rsidRDefault="00954C84" w:rsidP="00FE0B01">
      <w:pPr>
        <w:pStyle w:val="Styl3"/>
        <w:spacing w:after="0"/>
        <w:jc w:val="left"/>
        <w:rPr>
          <w:szCs w:val="22"/>
        </w:rPr>
      </w:pPr>
      <w:r w:rsidRPr="00EE3F6B">
        <w:rPr>
          <w:szCs w:val="22"/>
        </w:rPr>
        <w:t>Distribúcia</w:t>
      </w:r>
    </w:p>
    <w:p w14:paraId="742C5167" w14:textId="54F58326" w:rsidR="00954C84" w:rsidRPr="00301FE5" w:rsidRDefault="00954C84" w:rsidP="00FE0B01">
      <w:pPr>
        <w:pStyle w:val="Normlndobloku"/>
        <w:spacing w:after="0"/>
        <w:jc w:val="left"/>
        <w:rPr>
          <w:szCs w:val="22"/>
        </w:rPr>
      </w:pPr>
      <w:r w:rsidRPr="009E286B">
        <w:rPr>
          <w:szCs w:val="22"/>
        </w:rPr>
        <w:t>Venlafaxín</w:t>
      </w:r>
      <w:r w:rsidR="005A5A9E" w:rsidRPr="009E286B">
        <w:rPr>
          <w:szCs w:val="22"/>
        </w:rPr>
        <w:t xml:space="preserve"> a </w:t>
      </w:r>
      <w:r w:rsidRPr="009E286B">
        <w:rPr>
          <w:szCs w:val="22"/>
        </w:rPr>
        <w:t>ODV sa viažu na ľudské plazmatické proteíny iba</w:t>
      </w:r>
      <w:r w:rsidR="005A5A9E" w:rsidRPr="009E286B">
        <w:rPr>
          <w:szCs w:val="22"/>
        </w:rPr>
        <w:t xml:space="preserve"> v </w:t>
      </w:r>
      <w:r w:rsidRPr="009E286B">
        <w:rPr>
          <w:szCs w:val="22"/>
        </w:rPr>
        <w:t>minimálnej miere, (27</w:t>
      </w:r>
      <w:r w:rsidR="00A4261C" w:rsidRPr="009E286B">
        <w:rPr>
          <w:szCs w:val="22"/>
        </w:rPr>
        <w:t xml:space="preserve"> </w:t>
      </w:r>
      <w:r w:rsidR="006F7FF0" w:rsidRPr="009E286B">
        <w:rPr>
          <w:szCs w:val="22"/>
        </w:rPr>
        <w:t>%</w:t>
      </w:r>
      <w:r w:rsidR="005A5A9E" w:rsidRPr="009E286B">
        <w:rPr>
          <w:szCs w:val="22"/>
        </w:rPr>
        <w:t xml:space="preserve"> </w:t>
      </w:r>
      <w:r w:rsidRPr="009E286B">
        <w:rPr>
          <w:szCs w:val="22"/>
        </w:rPr>
        <w:t>venlafaxín, 30</w:t>
      </w:r>
      <w:r w:rsidR="00A4261C" w:rsidRPr="009E286B">
        <w:rPr>
          <w:szCs w:val="22"/>
        </w:rPr>
        <w:t xml:space="preserve"> </w:t>
      </w:r>
      <w:r w:rsidR="006F7FF0" w:rsidRPr="009E286B">
        <w:rPr>
          <w:szCs w:val="22"/>
        </w:rPr>
        <w:t>%</w:t>
      </w:r>
      <w:r w:rsidR="005A5A9E" w:rsidRPr="002D691C">
        <w:rPr>
          <w:szCs w:val="22"/>
        </w:rPr>
        <w:t xml:space="preserve"> </w:t>
      </w:r>
      <w:r w:rsidRPr="00301FE5">
        <w:rPr>
          <w:szCs w:val="22"/>
        </w:rPr>
        <w:t>ODV). Distribučný objem pre venlafaxín pri stabilných koncentráciách je 4,4±1,9 l/kg po intravenóznom podaní.</w:t>
      </w:r>
    </w:p>
    <w:p w14:paraId="55910D01" w14:textId="77777777" w:rsidR="00EE3F6B" w:rsidRDefault="00EE3F6B" w:rsidP="00FE0B01">
      <w:pPr>
        <w:pStyle w:val="Styl3"/>
        <w:spacing w:after="0"/>
        <w:jc w:val="left"/>
        <w:rPr>
          <w:szCs w:val="22"/>
        </w:rPr>
      </w:pPr>
    </w:p>
    <w:p w14:paraId="633BD0B4" w14:textId="77777777" w:rsidR="00954C84" w:rsidRPr="00EE3F6B" w:rsidRDefault="00954C84" w:rsidP="00FE0B01">
      <w:pPr>
        <w:pStyle w:val="Styl3"/>
        <w:spacing w:after="0"/>
        <w:jc w:val="left"/>
        <w:rPr>
          <w:szCs w:val="22"/>
        </w:rPr>
      </w:pPr>
      <w:r w:rsidRPr="00EE3F6B">
        <w:rPr>
          <w:szCs w:val="22"/>
        </w:rPr>
        <w:t>Biotransformácia</w:t>
      </w:r>
    </w:p>
    <w:p w14:paraId="299B641A" w14:textId="4A98EAF2" w:rsidR="00954C84" w:rsidRPr="00301FE5" w:rsidRDefault="00954C84" w:rsidP="00FE0B01">
      <w:pPr>
        <w:pStyle w:val="Normlndobloku"/>
        <w:spacing w:after="0"/>
        <w:jc w:val="left"/>
        <w:rPr>
          <w:szCs w:val="22"/>
        </w:rPr>
      </w:pPr>
      <w:r w:rsidRPr="009E286B">
        <w:rPr>
          <w:szCs w:val="22"/>
        </w:rPr>
        <w:t>Venlafaxín je metabolizovaný</w:t>
      </w:r>
      <w:r w:rsidR="005A5A9E" w:rsidRPr="009E286B">
        <w:rPr>
          <w:szCs w:val="22"/>
        </w:rPr>
        <w:t xml:space="preserve"> v </w:t>
      </w:r>
      <w:r w:rsidRPr="009E286B">
        <w:rPr>
          <w:szCs w:val="22"/>
        </w:rPr>
        <w:t>pečeni. In vitro</w:t>
      </w:r>
      <w:r w:rsidR="005A5A9E" w:rsidRPr="009E286B">
        <w:rPr>
          <w:szCs w:val="22"/>
        </w:rPr>
        <w:t xml:space="preserve"> a </w:t>
      </w:r>
      <w:r w:rsidRPr="009E286B">
        <w:rPr>
          <w:szCs w:val="22"/>
        </w:rPr>
        <w:t>in vivo štúdie naznačujú, že venlafaxín je biotransformovaný na aktívny metabolit</w:t>
      </w:r>
      <w:r w:rsidR="00931757" w:rsidRPr="009E286B">
        <w:rPr>
          <w:szCs w:val="22"/>
        </w:rPr>
        <w:t> </w:t>
      </w:r>
      <w:r w:rsidR="00931757" w:rsidRPr="009E286B">
        <w:rPr>
          <w:szCs w:val="22"/>
          <w:lang w:val="cs-CZ"/>
        </w:rPr>
        <w:t>– </w:t>
      </w:r>
      <w:r w:rsidRPr="009E286B">
        <w:rPr>
          <w:szCs w:val="22"/>
        </w:rPr>
        <w:t>ODV pomocou CYP2D6. In vitro</w:t>
      </w:r>
      <w:r w:rsidR="005A5A9E" w:rsidRPr="009E286B">
        <w:rPr>
          <w:szCs w:val="22"/>
        </w:rPr>
        <w:t xml:space="preserve"> a </w:t>
      </w:r>
      <w:r w:rsidRPr="009E286B">
        <w:rPr>
          <w:szCs w:val="22"/>
        </w:rPr>
        <w:t>in vivo štúdie ukazujú, že venlafaxín je tiež metabolizovaný na minoritný, menej aktívny meta</w:t>
      </w:r>
      <w:r w:rsidRPr="002D691C">
        <w:rPr>
          <w:szCs w:val="22"/>
        </w:rPr>
        <w:t>bolit N-desmetylvenlafaxín pomocou CYP3A4. In vitro</w:t>
      </w:r>
      <w:r w:rsidR="005A5A9E" w:rsidRPr="00301FE5">
        <w:rPr>
          <w:szCs w:val="22"/>
        </w:rPr>
        <w:t xml:space="preserve"> a </w:t>
      </w:r>
      <w:r w:rsidRPr="00301FE5">
        <w:rPr>
          <w:szCs w:val="22"/>
        </w:rPr>
        <w:t>in vivo štúdie ukazujú, že venlafaxín je slabý inhibítor CYP2D6. Venlafaxín neinhibuje CYP1A2, CYP2C9, alebo CYP3A4.</w:t>
      </w:r>
    </w:p>
    <w:p w14:paraId="38ACCFFB" w14:textId="77777777" w:rsidR="00EE3F6B" w:rsidRDefault="00EE3F6B" w:rsidP="00FE0B01">
      <w:pPr>
        <w:pStyle w:val="Styl3"/>
        <w:spacing w:after="0"/>
        <w:jc w:val="left"/>
        <w:rPr>
          <w:szCs w:val="22"/>
        </w:rPr>
      </w:pPr>
    </w:p>
    <w:p w14:paraId="495BF277" w14:textId="77777777" w:rsidR="00954C84" w:rsidRPr="00EE3F6B" w:rsidRDefault="00954C84" w:rsidP="00FE0B01">
      <w:pPr>
        <w:pStyle w:val="Styl3"/>
        <w:spacing w:after="0"/>
        <w:jc w:val="left"/>
        <w:rPr>
          <w:szCs w:val="22"/>
        </w:rPr>
      </w:pPr>
      <w:r w:rsidRPr="00EE3F6B">
        <w:rPr>
          <w:szCs w:val="22"/>
        </w:rPr>
        <w:t>Eliminácia</w:t>
      </w:r>
    </w:p>
    <w:p w14:paraId="0D5A6A15" w14:textId="0703D4AB" w:rsidR="00954C84" w:rsidRPr="00301FE5" w:rsidRDefault="00954C84" w:rsidP="00FE0B01">
      <w:pPr>
        <w:pStyle w:val="Normlndobloku"/>
        <w:spacing w:after="0"/>
        <w:jc w:val="left"/>
        <w:rPr>
          <w:szCs w:val="22"/>
        </w:rPr>
      </w:pPr>
      <w:r w:rsidRPr="009E286B">
        <w:rPr>
          <w:szCs w:val="22"/>
        </w:rPr>
        <w:t>Venlafaxín</w:t>
      </w:r>
      <w:r w:rsidR="005A5A9E" w:rsidRPr="009E286B">
        <w:rPr>
          <w:szCs w:val="22"/>
        </w:rPr>
        <w:t xml:space="preserve"> a </w:t>
      </w:r>
      <w:r w:rsidRPr="009E286B">
        <w:rPr>
          <w:szCs w:val="22"/>
        </w:rPr>
        <w:t>jeho metabolity sú primárne vylučované obličkami. Približne 87</w:t>
      </w:r>
      <w:r w:rsidR="006F7FF0" w:rsidRPr="009E286B">
        <w:rPr>
          <w:szCs w:val="22"/>
        </w:rPr>
        <w:t> %</w:t>
      </w:r>
      <w:r w:rsidRPr="009E286B">
        <w:rPr>
          <w:szCs w:val="22"/>
        </w:rPr>
        <w:t xml:space="preserve"> dávky venlafaxínu sa objaví</w:t>
      </w:r>
      <w:r w:rsidR="005A5A9E" w:rsidRPr="009E286B">
        <w:rPr>
          <w:szCs w:val="22"/>
        </w:rPr>
        <w:t xml:space="preserve"> v </w:t>
      </w:r>
      <w:r w:rsidRPr="009E286B">
        <w:rPr>
          <w:szCs w:val="22"/>
        </w:rPr>
        <w:t>moči za 48 hodín buď ako nezmenený venlafaxín (5</w:t>
      </w:r>
      <w:r w:rsidR="006F7FF0" w:rsidRPr="009E286B">
        <w:rPr>
          <w:szCs w:val="22"/>
        </w:rPr>
        <w:t> %</w:t>
      </w:r>
      <w:r w:rsidRPr="009E286B">
        <w:rPr>
          <w:szCs w:val="22"/>
        </w:rPr>
        <w:t>), nekonjugovaný ODV (29</w:t>
      </w:r>
      <w:r w:rsidR="006F7FF0" w:rsidRPr="009E286B">
        <w:rPr>
          <w:szCs w:val="22"/>
        </w:rPr>
        <w:t> %</w:t>
      </w:r>
      <w:r w:rsidRPr="009E286B">
        <w:rPr>
          <w:szCs w:val="22"/>
        </w:rPr>
        <w:t>), konjugovaný ODV (26</w:t>
      </w:r>
      <w:r w:rsidR="006F7FF0" w:rsidRPr="002D691C">
        <w:rPr>
          <w:szCs w:val="22"/>
        </w:rPr>
        <w:t> %</w:t>
      </w:r>
      <w:r w:rsidRPr="00301FE5">
        <w:rPr>
          <w:szCs w:val="22"/>
        </w:rPr>
        <w:t>), alebo ako iný minoritný inaktívny metabolit (27</w:t>
      </w:r>
      <w:r w:rsidR="006F7FF0" w:rsidRPr="00301FE5">
        <w:rPr>
          <w:szCs w:val="22"/>
        </w:rPr>
        <w:t> %</w:t>
      </w:r>
      <w:r w:rsidRPr="00301FE5">
        <w:rPr>
          <w:szCs w:val="22"/>
        </w:rPr>
        <w:t>). Priemerné ± SD rovnovážne klírensy plazmatického venlafaxínu</w:t>
      </w:r>
      <w:r w:rsidR="005A5A9E" w:rsidRPr="00301FE5">
        <w:rPr>
          <w:szCs w:val="22"/>
        </w:rPr>
        <w:t xml:space="preserve"> a </w:t>
      </w:r>
      <w:r w:rsidRPr="00301FE5">
        <w:rPr>
          <w:szCs w:val="22"/>
        </w:rPr>
        <w:t>ODV sú 1,3±0,6 l/h/kg</w:t>
      </w:r>
      <w:r w:rsidR="005A5A9E" w:rsidRPr="00301FE5">
        <w:rPr>
          <w:szCs w:val="22"/>
        </w:rPr>
        <w:t xml:space="preserve"> a </w:t>
      </w:r>
      <w:r w:rsidRPr="00301FE5">
        <w:rPr>
          <w:szCs w:val="22"/>
        </w:rPr>
        <w:t>0,4±0,2 l/h/kg.</w:t>
      </w:r>
    </w:p>
    <w:p w14:paraId="58B3AA3F" w14:textId="77777777" w:rsidR="00EE3F6B" w:rsidRDefault="00EE3F6B" w:rsidP="00FE0B01">
      <w:pPr>
        <w:pStyle w:val="Styl3"/>
        <w:spacing w:after="0"/>
        <w:jc w:val="left"/>
        <w:rPr>
          <w:szCs w:val="22"/>
        </w:rPr>
      </w:pPr>
    </w:p>
    <w:p w14:paraId="1EB1F0AD" w14:textId="1D643A62" w:rsidR="00954C84" w:rsidRPr="00EE3F6B" w:rsidRDefault="00954C84" w:rsidP="00FE0B01">
      <w:pPr>
        <w:pStyle w:val="Styl3"/>
        <w:spacing w:after="0"/>
        <w:jc w:val="left"/>
        <w:rPr>
          <w:szCs w:val="22"/>
        </w:rPr>
      </w:pPr>
      <w:r w:rsidRPr="00EE3F6B">
        <w:rPr>
          <w:szCs w:val="22"/>
        </w:rPr>
        <w:t>Špeciálne skupiny pacientov</w:t>
      </w:r>
    </w:p>
    <w:p w14:paraId="2B6AF291" w14:textId="068A70D3" w:rsidR="00954C84" w:rsidRPr="009E286B" w:rsidRDefault="00954C84" w:rsidP="00FE0B01">
      <w:pPr>
        <w:pStyle w:val="Styl3"/>
        <w:spacing w:after="0"/>
        <w:jc w:val="left"/>
        <w:rPr>
          <w:rStyle w:val="Bacil"/>
          <w:szCs w:val="22"/>
          <w:u w:val="none"/>
        </w:rPr>
      </w:pPr>
      <w:r w:rsidRPr="009E286B">
        <w:rPr>
          <w:rStyle w:val="Bacil"/>
          <w:szCs w:val="22"/>
          <w:u w:val="none"/>
        </w:rPr>
        <w:t>Vek</w:t>
      </w:r>
      <w:r w:rsidR="005A5A9E" w:rsidRPr="009E286B">
        <w:rPr>
          <w:rStyle w:val="Bacil"/>
          <w:szCs w:val="22"/>
          <w:u w:val="none"/>
        </w:rPr>
        <w:t xml:space="preserve"> a </w:t>
      </w:r>
      <w:r w:rsidRPr="009E286B">
        <w:rPr>
          <w:rStyle w:val="Bacil"/>
          <w:szCs w:val="22"/>
          <w:u w:val="none"/>
        </w:rPr>
        <w:t>pohlavie</w:t>
      </w:r>
    </w:p>
    <w:p w14:paraId="311F6D13" w14:textId="4BEA7610" w:rsidR="00954C84" w:rsidRPr="009E286B" w:rsidRDefault="00954C84" w:rsidP="00FE0B01">
      <w:pPr>
        <w:pStyle w:val="Normlndobloku"/>
        <w:spacing w:after="0"/>
        <w:jc w:val="left"/>
        <w:rPr>
          <w:szCs w:val="22"/>
        </w:rPr>
      </w:pPr>
      <w:r w:rsidRPr="009E286B">
        <w:rPr>
          <w:szCs w:val="22"/>
        </w:rPr>
        <w:t>Vek</w:t>
      </w:r>
      <w:r w:rsidR="005A5A9E" w:rsidRPr="009E286B">
        <w:rPr>
          <w:szCs w:val="22"/>
        </w:rPr>
        <w:t xml:space="preserve"> a </w:t>
      </w:r>
      <w:r w:rsidRPr="009E286B">
        <w:rPr>
          <w:szCs w:val="22"/>
        </w:rPr>
        <w:t>pohlavie jedinca neovplyvňujú významne farmakokinetiku venlafaxínu</w:t>
      </w:r>
      <w:r w:rsidR="005A5A9E" w:rsidRPr="009E286B">
        <w:rPr>
          <w:szCs w:val="22"/>
        </w:rPr>
        <w:t xml:space="preserve"> a </w:t>
      </w:r>
      <w:r w:rsidRPr="009E286B">
        <w:rPr>
          <w:szCs w:val="22"/>
        </w:rPr>
        <w:t>ODV.</w:t>
      </w:r>
    </w:p>
    <w:p w14:paraId="3D4D702C" w14:textId="77777777" w:rsidR="00DF2A67" w:rsidRDefault="00DF2A67" w:rsidP="00FE0B01">
      <w:pPr>
        <w:pStyle w:val="Styl3"/>
        <w:spacing w:after="0"/>
        <w:jc w:val="left"/>
        <w:rPr>
          <w:rStyle w:val="Bacil"/>
          <w:szCs w:val="22"/>
          <w:u w:val="none"/>
        </w:rPr>
      </w:pPr>
    </w:p>
    <w:p w14:paraId="1DA851E3" w14:textId="77777777" w:rsidR="00954C84" w:rsidRPr="002D691C" w:rsidRDefault="00954C84" w:rsidP="00FE0B01">
      <w:pPr>
        <w:pStyle w:val="Styl3"/>
        <w:spacing w:after="0"/>
        <w:jc w:val="left"/>
        <w:rPr>
          <w:rStyle w:val="Bacil"/>
          <w:szCs w:val="22"/>
          <w:u w:val="none"/>
        </w:rPr>
      </w:pPr>
      <w:r w:rsidRPr="002D691C">
        <w:rPr>
          <w:rStyle w:val="Bacil"/>
          <w:szCs w:val="22"/>
          <w:u w:val="none"/>
        </w:rPr>
        <w:t>CYP2D6 rýchli/pomalí metabolizéri</w:t>
      </w:r>
    </w:p>
    <w:p w14:paraId="6A333616" w14:textId="035ED432" w:rsidR="00954C84" w:rsidRPr="00454074" w:rsidRDefault="00954C84" w:rsidP="00FE0B01">
      <w:pPr>
        <w:pStyle w:val="Normlndobloku"/>
        <w:spacing w:after="0"/>
        <w:jc w:val="left"/>
        <w:rPr>
          <w:szCs w:val="22"/>
        </w:rPr>
      </w:pPr>
      <w:r w:rsidRPr="00301FE5">
        <w:rPr>
          <w:szCs w:val="22"/>
        </w:rPr>
        <w:t>Plazmatické koncentrácie venlafaxínu sú vyššie</w:t>
      </w:r>
      <w:r w:rsidR="005A5A9E" w:rsidRPr="00301FE5">
        <w:rPr>
          <w:szCs w:val="22"/>
        </w:rPr>
        <w:t xml:space="preserve"> u </w:t>
      </w:r>
      <w:r w:rsidRPr="00301FE5">
        <w:rPr>
          <w:szCs w:val="22"/>
        </w:rPr>
        <w:t>CYP2D6 slabých metabolizérov ako</w:t>
      </w:r>
      <w:r w:rsidR="005A5A9E" w:rsidRPr="00301FE5">
        <w:rPr>
          <w:szCs w:val="22"/>
        </w:rPr>
        <w:t xml:space="preserve"> u </w:t>
      </w:r>
      <w:r w:rsidRPr="00301FE5">
        <w:rPr>
          <w:szCs w:val="22"/>
        </w:rPr>
        <w:t>extenzívnych metabolizérov. Pretože celková expozícia (AUC) venlafaxínu</w:t>
      </w:r>
      <w:r w:rsidR="005A5A9E" w:rsidRPr="00301FE5">
        <w:rPr>
          <w:szCs w:val="22"/>
        </w:rPr>
        <w:t xml:space="preserve"> a </w:t>
      </w:r>
      <w:r w:rsidRPr="00301FE5">
        <w:rPr>
          <w:szCs w:val="22"/>
        </w:rPr>
        <w:t>ODV je podobná</w:t>
      </w:r>
      <w:r w:rsidR="005A5A9E" w:rsidRPr="00D638B3">
        <w:rPr>
          <w:szCs w:val="22"/>
        </w:rPr>
        <w:t xml:space="preserve"> u </w:t>
      </w:r>
      <w:r w:rsidRPr="00D638B3">
        <w:rPr>
          <w:szCs w:val="22"/>
        </w:rPr>
        <w:t>slabých aj extenzívnych metabolizérov, nie je potrebné odlišovať dávkovacie schémy venlafaxínu pre tieto dve skupiny.</w:t>
      </w:r>
    </w:p>
    <w:p w14:paraId="5ED50CEB" w14:textId="77777777" w:rsidR="00DF2A67" w:rsidRDefault="00DF2A67" w:rsidP="00FE0B01">
      <w:pPr>
        <w:pStyle w:val="Styl3"/>
        <w:spacing w:after="0"/>
        <w:jc w:val="left"/>
        <w:rPr>
          <w:rStyle w:val="Bacil"/>
          <w:szCs w:val="22"/>
          <w:u w:val="none"/>
        </w:rPr>
      </w:pPr>
    </w:p>
    <w:p w14:paraId="49AED6F0" w14:textId="31E78C93" w:rsidR="00954C84" w:rsidRPr="00DF2A67" w:rsidRDefault="00954C84" w:rsidP="00FE0B01">
      <w:pPr>
        <w:pStyle w:val="Styl3"/>
        <w:spacing w:after="0"/>
        <w:jc w:val="left"/>
        <w:rPr>
          <w:rStyle w:val="Bacil"/>
          <w:szCs w:val="22"/>
          <w:u w:val="none"/>
        </w:rPr>
      </w:pPr>
      <w:r w:rsidRPr="00DF2A67">
        <w:rPr>
          <w:rStyle w:val="Bacil"/>
          <w:szCs w:val="22"/>
          <w:u w:val="none"/>
        </w:rPr>
        <w:t>Pacienti</w:t>
      </w:r>
      <w:r w:rsidR="005A5A9E" w:rsidRPr="00DF2A67">
        <w:rPr>
          <w:rStyle w:val="Bacil"/>
          <w:szCs w:val="22"/>
          <w:u w:val="none"/>
        </w:rPr>
        <w:t xml:space="preserve"> s </w:t>
      </w:r>
      <w:r w:rsidRPr="00DF2A67">
        <w:rPr>
          <w:rStyle w:val="Bacil"/>
          <w:szCs w:val="22"/>
          <w:u w:val="none"/>
        </w:rPr>
        <w:t>poškodením pečeňových funkcií</w:t>
      </w:r>
    </w:p>
    <w:p w14:paraId="53AF0A3B" w14:textId="0785C57C" w:rsidR="00954C84" w:rsidRPr="00BC3C9C" w:rsidRDefault="00954C84" w:rsidP="00FE0B01">
      <w:pPr>
        <w:pStyle w:val="Normlndobloku"/>
        <w:spacing w:after="0"/>
        <w:jc w:val="left"/>
        <w:rPr>
          <w:szCs w:val="22"/>
        </w:rPr>
      </w:pPr>
      <w:r w:rsidRPr="00BC3C9C">
        <w:rPr>
          <w:szCs w:val="22"/>
        </w:rPr>
        <w:t>U osôb</w:t>
      </w:r>
      <w:r w:rsidR="005A5A9E" w:rsidRPr="00BC3C9C">
        <w:rPr>
          <w:szCs w:val="22"/>
        </w:rPr>
        <w:t xml:space="preserve"> s </w:t>
      </w:r>
      <w:r w:rsidRPr="00BC3C9C">
        <w:rPr>
          <w:szCs w:val="22"/>
        </w:rPr>
        <w:t>Child-Pugh</w:t>
      </w:r>
      <w:r w:rsidR="005A5A9E" w:rsidRPr="00BC3C9C">
        <w:rPr>
          <w:szCs w:val="22"/>
        </w:rPr>
        <w:t xml:space="preserve"> a </w:t>
      </w:r>
      <w:r w:rsidRPr="00BC3C9C">
        <w:rPr>
          <w:szCs w:val="22"/>
        </w:rPr>
        <w:t>(s ľahším poškodením pečene)</w:t>
      </w:r>
      <w:r w:rsidR="005A5A9E" w:rsidRPr="00BC3C9C">
        <w:rPr>
          <w:szCs w:val="22"/>
        </w:rPr>
        <w:t xml:space="preserve"> a </w:t>
      </w:r>
      <w:r w:rsidRPr="00BC3C9C">
        <w:rPr>
          <w:szCs w:val="22"/>
        </w:rPr>
        <w:t>Child-Pugh B (so stredným poškodením pečene) boli polčasy venlafaxínu</w:t>
      </w:r>
      <w:r w:rsidR="005A5A9E" w:rsidRPr="00BC3C9C">
        <w:rPr>
          <w:szCs w:val="22"/>
        </w:rPr>
        <w:t xml:space="preserve"> a </w:t>
      </w:r>
      <w:r w:rsidRPr="00BC3C9C">
        <w:rPr>
          <w:szCs w:val="22"/>
        </w:rPr>
        <w:t>ODV predĺžené</w:t>
      </w:r>
      <w:r w:rsidR="005A5A9E" w:rsidRPr="00BC3C9C">
        <w:rPr>
          <w:szCs w:val="22"/>
        </w:rPr>
        <w:t xml:space="preserve"> v </w:t>
      </w:r>
      <w:r w:rsidRPr="00BC3C9C">
        <w:rPr>
          <w:szCs w:val="22"/>
        </w:rPr>
        <w:t>porovnaní so zdravými osobami. Klírens perorálne podaného venlafaxínu</w:t>
      </w:r>
      <w:r w:rsidR="005A5A9E" w:rsidRPr="00BC3C9C">
        <w:rPr>
          <w:szCs w:val="22"/>
        </w:rPr>
        <w:t xml:space="preserve"> a </w:t>
      </w:r>
      <w:r w:rsidRPr="00BC3C9C">
        <w:rPr>
          <w:szCs w:val="22"/>
        </w:rPr>
        <w:t>klírens ODV bol znížený. Bol zaznamenaný vysoký stupeň interindividuálnej variability. Dostupné sú len limitované údaje</w:t>
      </w:r>
      <w:r w:rsidR="005A5A9E" w:rsidRPr="00BC3C9C">
        <w:rPr>
          <w:szCs w:val="22"/>
        </w:rPr>
        <w:t xml:space="preserve"> u </w:t>
      </w:r>
      <w:r w:rsidRPr="00BC3C9C">
        <w:rPr>
          <w:szCs w:val="22"/>
        </w:rPr>
        <w:t>pacientov</w:t>
      </w:r>
      <w:r w:rsidR="005A5A9E" w:rsidRPr="00BC3C9C">
        <w:rPr>
          <w:szCs w:val="22"/>
        </w:rPr>
        <w:t xml:space="preserve"> s </w:t>
      </w:r>
      <w:r w:rsidRPr="00BC3C9C">
        <w:rPr>
          <w:szCs w:val="22"/>
        </w:rPr>
        <w:t>ťažkým poškodením pečene (pozri časť 4.2).</w:t>
      </w:r>
    </w:p>
    <w:p w14:paraId="7F971976" w14:textId="77777777" w:rsidR="00EE3F6B" w:rsidRDefault="00EE3F6B" w:rsidP="00FE0B01">
      <w:pPr>
        <w:pStyle w:val="Styl3"/>
        <w:spacing w:after="0"/>
        <w:jc w:val="left"/>
        <w:rPr>
          <w:rStyle w:val="Bacil"/>
          <w:szCs w:val="22"/>
          <w:u w:val="none"/>
        </w:rPr>
      </w:pPr>
    </w:p>
    <w:p w14:paraId="7D285A76" w14:textId="3DA152A1" w:rsidR="00954C84" w:rsidRPr="009E286B" w:rsidRDefault="00954C84" w:rsidP="00FE0B01">
      <w:pPr>
        <w:pStyle w:val="Styl3"/>
        <w:spacing w:after="0"/>
        <w:jc w:val="left"/>
        <w:rPr>
          <w:rStyle w:val="Bacil"/>
          <w:szCs w:val="22"/>
          <w:u w:val="none"/>
        </w:rPr>
      </w:pPr>
      <w:r w:rsidRPr="00EE3F6B">
        <w:rPr>
          <w:rStyle w:val="Bacil"/>
          <w:szCs w:val="22"/>
          <w:u w:val="none"/>
        </w:rPr>
        <w:t>Pacienti</w:t>
      </w:r>
      <w:r w:rsidR="005A5A9E" w:rsidRPr="00EE3F6B">
        <w:rPr>
          <w:rStyle w:val="Bacil"/>
          <w:szCs w:val="22"/>
          <w:u w:val="none"/>
        </w:rPr>
        <w:t xml:space="preserve"> s </w:t>
      </w:r>
      <w:r w:rsidRPr="00EE3F6B">
        <w:rPr>
          <w:rStyle w:val="Bacil"/>
          <w:szCs w:val="22"/>
          <w:u w:val="none"/>
        </w:rPr>
        <w:t>poškodením obličkových funkcií</w:t>
      </w:r>
    </w:p>
    <w:p w14:paraId="399A527D" w14:textId="1E31A980" w:rsidR="00954C84" w:rsidRDefault="00954C84" w:rsidP="00FE0B01">
      <w:pPr>
        <w:pStyle w:val="Normlndobloku"/>
        <w:spacing w:after="0"/>
        <w:jc w:val="left"/>
        <w:rPr>
          <w:szCs w:val="22"/>
        </w:rPr>
      </w:pPr>
      <w:r w:rsidRPr="009E286B">
        <w:rPr>
          <w:szCs w:val="22"/>
        </w:rPr>
        <w:t>U dialyzovaných pacientov bol eliminačný polčas venlafaxínu predĺžený približne do 180</w:t>
      </w:r>
      <w:r w:rsidR="006F7FF0" w:rsidRPr="009E286B">
        <w:rPr>
          <w:szCs w:val="22"/>
        </w:rPr>
        <w:t> %</w:t>
      </w:r>
      <w:r w:rsidR="005A5A9E" w:rsidRPr="009E286B">
        <w:rPr>
          <w:szCs w:val="22"/>
        </w:rPr>
        <w:t xml:space="preserve"> a </w:t>
      </w:r>
      <w:r w:rsidRPr="009E286B">
        <w:rPr>
          <w:szCs w:val="22"/>
        </w:rPr>
        <w:t>klírens redukovaný</w:t>
      </w:r>
      <w:r w:rsidR="005A5A9E" w:rsidRPr="009E286B">
        <w:rPr>
          <w:szCs w:val="22"/>
        </w:rPr>
        <w:t xml:space="preserve"> </w:t>
      </w:r>
      <w:r w:rsidRPr="009E286B">
        <w:rPr>
          <w:szCs w:val="22"/>
        </w:rPr>
        <w:t>približne na 57</w:t>
      </w:r>
      <w:r w:rsidR="006F7FF0" w:rsidRPr="009E286B">
        <w:rPr>
          <w:szCs w:val="22"/>
        </w:rPr>
        <w:t> %</w:t>
      </w:r>
      <w:r w:rsidR="005A5A9E" w:rsidRPr="009E286B">
        <w:rPr>
          <w:szCs w:val="22"/>
        </w:rPr>
        <w:t xml:space="preserve"> v </w:t>
      </w:r>
      <w:r w:rsidRPr="009E286B">
        <w:rPr>
          <w:szCs w:val="22"/>
        </w:rPr>
        <w:t>porovnaní so zdravými osobami, pričom eliminačný polčas ODV bol predĺžený približne do 142</w:t>
      </w:r>
      <w:r w:rsidR="006F7FF0" w:rsidRPr="002D691C">
        <w:rPr>
          <w:szCs w:val="22"/>
        </w:rPr>
        <w:t> %</w:t>
      </w:r>
      <w:r w:rsidR="005A5A9E" w:rsidRPr="00301FE5">
        <w:rPr>
          <w:szCs w:val="22"/>
        </w:rPr>
        <w:t xml:space="preserve"> a </w:t>
      </w:r>
      <w:r w:rsidRPr="00301FE5">
        <w:rPr>
          <w:szCs w:val="22"/>
        </w:rPr>
        <w:t>klírens redukovaný približne na 56</w:t>
      </w:r>
      <w:r w:rsidR="006F7FF0" w:rsidRPr="00301FE5">
        <w:rPr>
          <w:szCs w:val="22"/>
        </w:rPr>
        <w:t> %</w:t>
      </w:r>
      <w:r w:rsidRPr="00301FE5">
        <w:rPr>
          <w:szCs w:val="22"/>
        </w:rPr>
        <w:t>.</w:t>
      </w:r>
      <w:r w:rsidR="005A5A9E" w:rsidRPr="00301FE5">
        <w:rPr>
          <w:szCs w:val="22"/>
        </w:rPr>
        <w:t xml:space="preserve"> </w:t>
      </w:r>
      <w:r w:rsidR="006F7FF0" w:rsidRPr="00301FE5">
        <w:rPr>
          <w:szCs w:val="22"/>
        </w:rPr>
        <w:t>U</w:t>
      </w:r>
      <w:r w:rsidR="005A5A9E" w:rsidRPr="00301FE5">
        <w:rPr>
          <w:szCs w:val="22"/>
        </w:rPr>
        <w:t> </w:t>
      </w:r>
      <w:r w:rsidRPr="00301FE5">
        <w:rPr>
          <w:szCs w:val="22"/>
        </w:rPr>
        <w:t>pacientov</w:t>
      </w:r>
      <w:r w:rsidR="005A5A9E" w:rsidRPr="00301FE5">
        <w:rPr>
          <w:szCs w:val="22"/>
        </w:rPr>
        <w:t xml:space="preserve"> s </w:t>
      </w:r>
      <w:r w:rsidRPr="00D638B3">
        <w:rPr>
          <w:szCs w:val="22"/>
        </w:rPr>
        <w:t>ťažkým poškodením o</w:t>
      </w:r>
      <w:r w:rsidRPr="00454074">
        <w:rPr>
          <w:szCs w:val="22"/>
        </w:rPr>
        <w:t>bličiek</w:t>
      </w:r>
      <w:r w:rsidR="005A5A9E" w:rsidRPr="00454074">
        <w:rPr>
          <w:szCs w:val="22"/>
        </w:rPr>
        <w:t xml:space="preserve"> a u </w:t>
      </w:r>
      <w:r w:rsidRPr="00454074">
        <w:rPr>
          <w:szCs w:val="22"/>
        </w:rPr>
        <w:t>pacientov vyžadujúcich hemodialýzu je potrebná úprava dávkovania (pozri časť 4.2).</w:t>
      </w:r>
    </w:p>
    <w:p w14:paraId="62B8B741" w14:textId="77777777" w:rsidR="00EE3F6B" w:rsidRPr="00EE3F6B" w:rsidRDefault="00EE3F6B" w:rsidP="00FE0B01">
      <w:pPr>
        <w:pStyle w:val="Normlndobloku"/>
        <w:spacing w:after="0"/>
        <w:jc w:val="left"/>
        <w:rPr>
          <w:szCs w:val="22"/>
        </w:rPr>
      </w:pPr>
    </w:p>
    <w:p w14:paraId="7C5F0C0C" w14:textId="0A78D8BE" w:rsidR="00954C84" w:rsidRPr="00EE3F6B" w:rsidRDefault="00954C84" w:rsidP="00FE0B01">
      <w:pPr>
        <w:pStyle w:val="Styl2"/>
      </w:pPr>
      <w:r w:rsidRPr="00EE3F6B">
        <w:t>Predklinické údaje o bezpečnosti</w:t>
      </w:r>
    </w:p>
    <w:p w14:paraId="2E5D7168" w14:textId="77777777" w:rsidR="00DF2A67" w:rsidRDefault="00DF2A67" w:rsidP="00FE0B01">
      <w:pPr>
        <w:pStyle w:val="Normlndobloku"/>
        <w:keepNext/>
        <w:spacing w:after="0"/>
        <w:jc w:val="left"/>
        <w:rPr>
          <w:szCs w:val="22"/>
        </w:rPr>
      </w:pPr>
    </w:p>
    <w:p w14:paraId="655E2C4E" w14:textId="20E1B2E7" w:rsidR="00954C84" w:rsidRPr="009E286B" w:rsidRDefault="00954C84" w:rsidP="00FE0B01">
      <w:pPr>
        <w:pStyle w:val="Normlndobloku"/>
        <w:keepNext/>
        <w:spacing w:after="0"/>
        <w:jc w:val="left"/>
        <w:rPr>
          <w:szCs w:val="22"/>
        </w:rPr>
      </w:pPr>
      <w:r w:rsidRPr="00EE3F6B">
        <w:rPr>
          <w:szCs w:val="22"/>
        </w:rPr>
        <w:t>Štúdie</w:t>
      </w:r>
      <w:r w:rsidR="005A5A9E" w:rsidRPr="00EE3F6B">
        <w:rPr>
          <w:szCs w:val="22"/>
        </w:rPr>
        <w:t xml:space="preserve"> s </w:t>
      </w:r>
      <w:r w:rsidRPr="00EE3F6B">
        <w:rPr>
          <w:szCs w:val="22"/>
        </w:rPr>
        <w:t>venlafaxínom na potkanoch</w:t>
      </w:r>
      <w:r w:rsidR="005A5A9E" w:rsidRPr="00EE3F6B">
        <w:rPr>
          <w:szCs w:val="22"/>
        </w:rPr>
        <w:t xml:space="preserve"> a </w:t>
      </w:r>
      <w:r w:rsidRPr="00EE3F6B">
        <w:rPr>
          <w:szCs w:val="22"/>
        </w:rPr>
        <w:t>myšiach nepreukázali karcinogénny účin</w:t>
      </w:r>
      <w:r w:rsidRPr="009E286B">
        <w:rPr>
          <w:szCs w:val="22"/>
        </w:rPr>
        <w:t>ok. Venlafaxín nebol mutagénny</w:t>
      </w:r>
      <w:r w:rsidR="005A5A9E" w:rsidRPr="009E286B">
        <w:rPr>
          <w:szCs w:val="22"/>
        </w:rPr>
        <w:t xml:space="preserve"> v </w:t>
      </w:r>
      <w:r w:rsidRPr="009E286B">
        <w:rPr>
          <w:szCs w:val="22"/>
        </w:rPr>
        <w:t>širokom spektre in vitro</w:t>
      </w:r>
      <w:r w:rsidR="005A5A9E" w:rsidRPr="009E286B">
        <w:rPr>
          <w:szCs w:val="22"/>
        </w:rPr>
        <w:t xml:space="preserve"> a </w:t>
      </w:r>
      <w:r w:rsidRPr="009E286B">
        <w:rPr>
          <w:szCs w:val="22"/>
        </w:rPr>
        <w:t>in vivo testov.</w:t>
      </w:r>
    </w:p>
    <w:p w14:paraId="68D6A797" w14:textId="064A4666" w:rsidR="00954C84" w:rsidRPr="00301FE5" w:rsidRDefault="00954C84" w:rsidP="00FE0B01">
      <w:pPr>
        <w:pStyle w:val="Normlndobloku"/>
        <w:spacing w:after="0"/>
        <w:jc w:val="left"/>
        <w:rPr>
          <w:szCs w:val="22"/>
        </w:rPr>
      </w:pPr>
      <w:r w:rsidRPr="009E286B">
        <w:rPr>
          <w:szCs w:val="22"/>
        </w:rPr>
        <w:t>Štúdie na zvieratách zaoberajúce sa reprodukčnou toxicitou zistili</w:t>
      </w:r>
      <w:r w:rsidR="005A5A9E" w:rsidRPr="009E286B">
        <w:rPr>
          <w:szCs w:val="22"/>
        </w:rPr>
        <w:t xml:space="preserve"> u </w:t>
      </w:r>
      <w:r w:rsidRPr="009E286B">
        <w:rPr>
          <w:szCs w:val="22"/>
        </w:rPr>
        <w:t>potkanov nižšiu pôrodnú hmotnosť mláďat, vyšší výskyt mŕtvonarodených</w:t>
      </w:r>
      <w:r w:rsidR="005A5A9E" w:rsidRPr="002D691C">
        <w:rPr>
          <w:szCs w:val="22"/>
        </w:rPr>
        <w:t xml:space="preserve"> a </w:t>
      </w:r>
      <w:r w:rsidRPr="00301FE5">
        <w:rPr>
          <w:szCs w:val="22"/>
        </w:rPr>
        <w:t>zvýšenú mieru úmrtí počas prvých 5 dní laktácie. Príčina týchto úmrtí nie je známa. Tieto účinky sa objavili pri dávke 30 mg/kg/deň, 4-násobku dennej dávky pre človeka 375</w:t>
      </w:r>
      <w:r w:rsidR="005A5A9E" w:rsidRPr="00301FE5">
        <w:rPr>
          <w:szCs w:val="22"/>
        </w:rPr>
        <w:t xml:space="preserve"> mg </w:t>
      </w:r>
      <w:r w:rsidRPr="00301FE5">
        <w:rPr>
          <w:szCs w:val="22"/>
        </w:rPr>
        <w:t>venlafaxínu (v mg/kg). Dávka so žiadnym účinkom na úmrtnosť krysích mláďat bola 1,3-násobkom ľudskej dávky. Potenciálne riziko pre ľudí nie je známe.</w:t>
      </w:r>
    </w:p>
    <w:p w14:paraId="6D3BBCE9" w14:textId="1C734C6A" w:rsidR="00954C84" w:rsidRDefault="00954C84" w:rsidP="00FE0B01">
      <w:pPr>
        <w:pStyle w:val="Normlndobloku"/>
        <w:spacing w:after="0"/>
        <w:jc w:val="left"/>
        <w:rPr>
          <w:szCs w:val="22"/>
        </w:rPr>
      </w:pPr>
      <w:r w:rsidRPr="00301FE5">
        <w:rPr>
          <w:szCs w:val="22"/>
        </w:rPr>
        <w:t>Znížená fertilita bola pozorovaná</w:t>
      </w:r>
      <w:r w:rsidR="005A5A9E" w:rsidRPr="00301FE5">
        <w:rPr>
          <w:szCs w:val="22"/>
        </w:rPr>
        <w:t xml:space="preserve"> v </w:t>
      </w:r>
      <w:r w:rsidRPr="00301FE5">
        <w:rPr>
          <w:szCs w:val="22"/>
        </w:rPr>
        <w:t>štúdii,</w:t>
      </w:r>
      <w:r w:rsidR="005A5A9E" w:rsidRPr="00301FE5">
        <w:rPr>
          <w:szCs w:val="22"/>
        </w:rPr>
        <w:t xml:space="preserve"> v </w:t>
      </w:r>
      <w:r w:rsidRPr="00301FE5">
        <w:rPr>
          <w:szCs w:val="22"/>
        </w:rPr>
        <w:t>ktorej samce aj samice potkanov boli vystavené ODV. Táto dávka bola asi 1 až 2 násobne vyššia ako dávka po podaní 375</w:t>
      </w:r>
      <w:r w:rsidR="005A5A9E" w:rsidRPr="00D638B3">
        <w:rPr>
          <w:szCs w:val="22"/>
        </w:rPr>
        <w:t xml:space="preserve"> mg </w:t>
      </w:r>
      <w:r w:rsidRPr="00D638B3">
        <w:rPr>
          <w:szCs w:val="22"/>
        </w:rPr>
        <w:t>venlafaxínu ľuďom. Relevancia tohto zistenia pre ľudí ostáva nejasná.</w:t>
      </w:r>
    </w:p>
    <w:p w14:paraId="635B2E53" w14:textId="77777777" w:rsidR="00EE3F6B" w:rsidRDefault="00EE3F6B" w:rsidP="00FE0B01">
      <w:pPr>
        <w:pStyle w:val="Normlndobloku"/>
        <w:spacing w:after="0"/>
        <w:jc w:val="left"/>
        <w:rPr>
          <w:szCs w:val="22"/>
        </w:rPr>
      </w:pPr>
    </w:p>
    <w:p w14:paraId="3C0D0DB4" w14:textId="77777777" w:rsidR="00EE3F6B" w:rsidRPr="00EE3F6B" w:rsidRDefault="00EE3F6B" w:rsidP="00FE0B01">
      <w:pPr>
        <w:pStyle w:val="Normlndobloku"/>
        <w:spacing w:after="0"/>
        <w:jc w:val="left"/>
        <w:rPr>
          <w:szCs w:val="22"/>
        </w:rPr>
      </w:pPr>
    </w:p>
    <w:p w14:paraId="27CB2B03" w14:textId="2FC83F39" w:rsidR="00954C84" w:rsidRPr="00EE3F6B" w:rsidRDefault="00954C84" w:rsidP="00FE0B01">
      <w:pPr>
        <w:pStyle w:val="Styl1"/>
        <w:spacing w:before="0" w:after="0"/>
        <w:rPr>
          <w:szCs w:val="22"/>
        </w:rPr>
      </w:pPr>
      <w:r w:rsidRPr="00EE3F6B">
        <w:rPr>
          <w:szCs w:val="22"/>
        </w:rPr>
        <w:t>FARMACEUTICKÉ INFORMÁCIE</w:t>
      </w:r>
    </w:p>
    <w:p w14:paraId="2606BFB2" w14:textId="4C52F473" w:rsidR="00954C84" w:rsidRPr="009E286B" w:rsidRDefault="00954C84" w:rsidP="00FE0B01">
      <w:pPr>
        <w:pStyle w:val="Styl2"/>
      </w:pPr>
      <w:r w:rsidRPr="009E286B">
        <w:t>Zoznam pomocných látok</w:t>
      </w:r>
    </w:p>
    <w:p w14:paraId="5BD38D47" w14:textId="77777777" w:rsidR="00EE3F6B" w:rsidRDefault="00EE3F6B" w:rsidP="00FE0B01">
      <w:pPr>
        <w:pStyle w:val="Styl3"/>
        <w:spacing w:after="0"/>
        <w:jc w:val="left"/>
        <w:rPr>
          <w:szCs w:val="22"/>
        </w:rPr>
      </w:pPr>
    </w:p>
    <w:p w14:paraId="28C6A40D" w14:textId="60E18DD7" w:rsidR="00954C84" w:rsidRPr="009E286B" w:rsidRDefault="00954C84" w:rsidP="00FE0B01">
      <w:pPr>
        <w:pStyle w:val="Styl3"/>
        <w:spacing w:after="0"/>
        <w:jc w:val="left"/>
        <w:rPr>
          <w:szCs w:val="22"/>
        </w:rPr>
      </w:pPr>
      <w:r w:rsidRPr="00EE3F6B">
        <w:rPr>
          <w:szCs w:val="22"/>
        </w:rPr>
        <w:t>ELIFY XR 75</w:t>
      </w:r>
      <w:r w:rsidR="005A5A9E" w:rsidRPr="00EE3F6B">
        <w:rPr>
          <w:szCs w:val="22"/>
        </w:rPr>
        <w:t xml:space="preserve"> mg </w:t>
      </w:r>
      <w:r w:rsidRPr="00EE3F6B">
        <w:rPr>
          <w:szCs w:val="22"/>
        </w:rPr>
        <w:t>tvrdé kapsuly</w:t>
      </w:r>
      <w:r w:rsidR="005A5A9E" w:rsidRPr="00EE3F6B">
        <w:rPr>
          <w:szCs w:val="22"/>
        </w:rPr>
        <w:t xml:space="preserve"> s </w:t>
      </w:r>
      <w:r w:rsidRPr="00EE3F6B">
        <w:rPr>
          <w:szCs w:val="22"/>
        </w:rPr>
        <w:t>predĺženým uvoľňovaním</w:t>
      </w:r>
    </w:p>
    <w:p w14:paraId="67905E03" w14:textId="77777777" w:rsidR="00954C84" w:rsidRPr="009E286B" w:rsidRDefault="00954C84" w:rsidP="00FE0B01">
      <w:pPr>
        <w:pStyle w:val="Styl3"/>
        <w:spacing w:after="0"/>
        <w:jc w:val="left"/>
        <w:rPr>
          <w:szCs w:val="22"/>
        </w:rPr>
      </w:pPr>
      <w:r w:rsidRPr="009E286B">
        <w:rPr>
          <w:szCs w:val="22"/>
        </w:rPr>
        <w:t>Obsah kapsúl</w:t>
      </w:r>
    </w:p>
    <w:p w14:paraId="28738A62" w14:textId="77D3563F" w:rsidR="00954C84" w:rsidRPr="009E286B" w:rsidRDefault="00954C84" w:rsidP="00FE0B01">
      <w:pPr>
        <w:pStyle w:val="Normlndoblokusodrkami"/>
        <w:spacing w:after="0"/>
        <w:jc w:val="left"/>
        <w:rPr>
          <w:szCs w:val="22"/>
        </w:rPr>
      </w:pPr>
      <w:r w:rsidRPr="009E286B">
        <w:rPr>
          <w:szCs w:val="22"/>
        </w:rPr>
        <w:t>mikrogranule cukru (obsahuje sacharózu)</w:t>
      </w:r>
    </w:p>
    <w:p w14:paraId="73909DA7" w14:textId="01A0A008" w:rsidR="00954C84" w:rsidRPr="002D691C" w:rsidRDefault="00954C84" w:rsidP="00FE0B01">
      <w:pPr>
        <w:pStyle w:val="Normlndoblokusodrkami"/>
        <w:spacing w:after="0"/>
        <w:jc w:val="left"/>
        <w:rPr>
          <w:szCs w:val="22"/>
        </w:rPr>
      </w:pPr>
      <w:r w:rsidRPr="002D691C">
        <w:rPr>
          <w:szCs w:val="22"/>
        </w:rPr>
        <w:t>etylcelulóza (E462)</w:t>
      </w:r>
    </w:p>
    <w:p w14:paraId="0DFCF786" w14:textId="0A28112D" w:rsidR="00954C84" w:rsidRPr="00301FE5" w:rsidRDefault="00954C84" w:rsidP="00FE0B01">
      <w:pPr>
        <w:pStyle w:val="Normlndoblokusodrkami"/>
        <w:spacing w:after="0"/>
        <w:jc w:val="left"/>
        <w:rPr>
          <w:szCs w:val="22"/>
        </w:rPr>
      </w:pPr>
      <w:r w:rsidRPr="00301FE5">
        <w:rPr>
          <w:szCs w:val="22"/>
        </w:rPr>
        <w:t>hyprolóza</w:t>
      </w:r>
    </w:p>
    <w:p w14:paraId="3CB079DD" w14:textId="3E279CA7" w:rsidR="00954C84" w:rsidRPr="00301FE5" w:rsidRDefault="00954C84" w:rsidP="00FE0B01">
      <w:pPr>
        <w:pStyle w:val="Normlndoblokusodrkami"/>
        <w:spacing w:after="0"/>
        <w:jc w:val="left"/>
        <w:rPr>
          <w:szCs w:val="22"/>
        </w:rPr>
      </w:pPr>
      <w:r w:rsidRPr="00301FE5">
        <w:rPr>
          <w:szCs w:val="22"/>
        </w:rPr>
        <w:t>hypromelóza (E464)</w:t>
      </w:r>
    </w:p>
    <w:p w14:paraId="593FF73D" w14:textId="10B18594" w:rsidR="00954C84" w:rsidRPr="00301FE5" w:rsidRDefault="00954C84" w:rsidP="00FE0B01">
      <w:pPr>
        <w:pStyle w:val="Normlndoblokusodrkami"/>
        <w:spacing w:after="0"/>
        <w:jc w:val="left"/>
        <w:rPr>
          <w:szCs w:val="22"/>
        </w:rPr>
      </w:pPr>
      <w:r w:rsidRPr="00301FE5">
        <w:rPr>
          <w:szCs w:val="22"/>
        </w:rPr>
        <w:t>mastenec (E553b)</w:t>
      </w:r>
    </w:p>
    <w:p w14:paraId="05FCC4D7" w14:textId="055E44E7" w:rsidR="00954C84" w:rsidRPr="00301FE5" w:rsidRDefault="00954C84" w:rsidP="00FE0B01">
      <w:pPr>
        <w:pStyle w:val="Normlndoblokusodrkami"/>
        <w:spacing w:after="0"/>
        <w:jc w:val="left"/>
        <w:rPr>
          <w:szCs w:val="22"/>
        </w:rPr>
      </w:pPr>
      <w:r w:rsidRPr="00301FE5">
        <w:rPr>
          <w:szCs w:val="22"/>
        </w:rPr>
        <w:t>dibutylsebakát</w:t>
      </w:r>
    </w:p>
    <w:p w14:paraId="4D18323D" w14:textId="0C8605FF" w:rsidR="00954C84" w:rsidRPr="00301FE5" w:rsidRDefault="00954C84" w:rsidP="00FE0B01">
      <w:pPr>
        <w:pStyle w:val="Normlndoblokusodrkami"/>
        <w:spacing w:after="0"/>
        <w:jc w:val="left"/>
        <w:rPr>
          <w:szCs w:val="22"/>
        </w:rPr>
      </w:pPr>
      <w:r w:rsidRPr="00301FE5">
        <w:rPr>
          <w:szCs w:val="22"/>
        </w:rPr>
        <w:t>kyselina olejová</w:t>
      </w:r>
    </w:p>
    <w:p w14:paraId="68BE58A3" w14:textId="6BB4F50F" w:rsidR="00954C84" w:rsidRPr="00301FE5" w:rsidRDefault="00954C84" w:rsidP="00FE0B01">
      <w:pPr>
        <w:pStyle w:val="Normlndoblokusodrkami"/>
        <w:spacing w:after="0"/>
        <w:jc w:val="left"/>
        <w:rPr>
          <w:szCs w:val="22"/>
        </w:rPr>
      </w:pPr>
      <w:r w:rsidRPr="00301FE5">
        <w:rPr>
          <w:szCs w:val="22"/>
        </w:rPr>
        <w:t>koloidný bezvodý oxid kremičitý</w:t>
      </w:r>
    </w:p>
    <w:p w14:paraId="695B43FF" w14:textId="77777777" w:rsidR="00954C84" w:rsidRPr="00301FE5" w:rsidRDefault="00954C84" w:rsidP="00FE0B01">
      <w:pPr>
        <w:pStyle w:val="Styl3"/>
        <w:spacing w:after="0"/>
        <w:jc w:val="left"/>
        <w:rPr>
          <w:szCs w:val="22"/>
        </w:rPr>
      </w:pPr>
      <w:r w:rsidRPr="00301FE5">
        <w:rPr>
          <w:szCs w:val="22"/>
        </w:rPr>
        <w:t>Kapsula</w:t>
      </w:r>
    </w:p>
    <w:p w14:paraId="6D4C8538" w14:textId="435115B0" w:rsidR="00954C84" w:rsidRPr="00D638B3" w:rsidRDefault="00954C84" w:rsidP="00FE0B01">
      <w:pPr>
        <w:pStyle w:val="Normlndoblokusodrkami"/>
        <w:spacing w:after="0"/>
        <w:jc w:val="left"/>
        <w:rPr>
          <w:szCs w:val="22"/>
        </w:rPr>
      </w:pPr>
      <w:r w:rsidRPr="00D638B3">
        <w:rPr>
          <w:szCs w:val="22"/>
        </w:rPr>
        <w:t>želatína</w:t>
      </w:r>
    </w:p>
    <w:p w14:paraId="286F1455" w14:textId="0731A844" w:rsidR="00954C84" w:rsidRPr="00454074" w:rsidRDefault="00954C84" w:rsidP="00FE0B01">
      <w:pPr>
        <w:pStyle w:val="Normlndoblokusodrkami"/>
        <w:spacing w:after="0"/>
        <w:jc w:val="left"/>
        <w:rPr>
          <w:szCs w:val="22"/>
        </w:rPr>
      </w:pPr>
      <w:r w:rsidRPr="00454074">
        <w:rPr>
          <w:szCs w:val="22"/>
        </w:rPr>
        <w:t>laurylsíran sodný</w:t>
      </w:r>
    </w:p>
    <w:p w14:paraId="486BD15A" w14:textId="77777777" w:rsidR="00954C84" w:rsidRPr="00BC3C9C" w:rsidRDefault="00954C84" w:rsidP="00FE0B01">
      <w:pPr>
        <w:pStyle w:val="Styl3"/>
        <w:spacing w:after="0"/>
        <w:jc w:val="left"/>
        <w:rPr>
          <w:szCs w:val="22"/>
        </w:rPr>
      </w:pPr>
      <w:r w:rsidRPr="00BC3C9C">
        <w:rPr>
          <w:szCs w:val="22"/>
        </w:rPr>
        <w:t>Farbivá:</w:t>
      </w:r>
    </w:p>
    <w:p w14:paraId="6B4B46AE" w14:textId="348B5BC4" w:rsidR="00954C84" w:rsidRPr="00BC3C9C" w:rsidRDefault="00954C84" w:rsidP="00FE0B01">
      <w:pPr>
        <w:pStyle w:val="Normlndoblokusodrkami"/>
        <w:spacing w:after="0"/>
        <w:jc w:val="left"/>
        <w:rPr>
          <w:szCs w:val="22"/>
        </w:rPr>
      </w:pPr>
      <w:r w:rsidRPr="00BC3C9C">
        <w:rPr>
          <w:szCs w:val="22"/>
        </w:rPr>
        <w:t>žlť oranžová FCF (E110)</w:t>
      </w:r>
    </w:p>
    <w:p w14:paraId="41E36B03" w14:textId="614C420C" w:rsidR="00954C84" w:rsidRPr="00BC3C9C" w:rsidRDefault="00954C84" w:rsidP="00FE0B01">
      <w:pPr>
        <w:pStyle w:val="Normlndoblokusodrkami"/>
        <w:spacing w:after="0"/>
        <w:jc w:val="left"/>
        <w:rPr>
          <w:szCs w:val="22"/>
        </w:rPr>
      </w:pPr>
      <w:r w:rsidRPr="00BC3C9C">
        <w:rPr>
          <w:szCs w:val="22"/>
        </w:rPr>
        <w:t>chinolínová žltá (E104)</w:t>
      </w:r>
    </w:p>
    <w:p w14:paraId="5BD8BDCA" w14:textId="3CFF8074" w:rsidR="00954C84" w:rsidRPr="00BC3C9C" w:rsidRDefault="00954C84" w:rsidP="00FE0B01">
      <w:pPr>
        <w:pStyle w:val="Normlndoblokusodrkami"/>
        <w:spacing w:after="0"/>
        <w:jc w:val="left"/>
        <w:rPr>
          <w:szCs w:val="22"/>
        </w:rPr>
      </w:pPr>
      <w:r w:rsidRPr="00BC3C9C">
        <w:rPr>
          <w:szCs w:val="22"/>
        </w:rPr>
        <w:t>oxid titaničitý (E171)</w:t>
      </w:r>
    </w:p>
    <w:p w14:paraId="5DDFC34B" w14:textId="77777777" w:rsidR="00EE3F6B" w:rsidRDefault="00EE3F6B" w:rsidP="00FE0B01">
      <w:pPr>
        <w:pStyle w:val="Styl3"/>
        <w:spacing w:after="0"/>
        <w:jc w:val="left"/>
        <w:rPr>
          <w:szCs w:val="22"/>
        </w:rPr>
      </w:pPr>
    </w:p>
    <w:p w14:paraId="088710E9" w14:textId="770CF7A4" w:rsidR="00954C84" w:rsidRPr="009E286B" w:rsidRDefault="00954C84" w:rsidP="00FE0B01">
      <w:pPr>
        <w:pStyle w:val="Styl3"/>
        <w:spacing w:after="0"/>
        <w:jc w:val="left"/>
        <w:rPr>
          <w:szCs w:val="22"/>
        </w:rPr>
      </w:pPr>
      <w:r w:rsidRPr="00EE3F6B">
        <w:rPr>
          <w:szCs w:val="22"/>
        </w:rPr>
        <w:t>ELIFY XR 150</w:t>
      </w:r>
      <w:r w:rsidR="005A5A9E" w:rsidRPr="00EE3F6B">
        <w:rPr>
          <w:szCs w:val="22"/>
        </w:rPr>
        <w:t xml:space="preserve"> mg </w:t>
      </w:r>
      <w:r w:rsidRPr="00EE3F6B">
        <w:rPr>
          <w:szCs w:val="22"/>
        </w:rPr>
        <w:t>tvrdé kapsuly</w:t>
      </w:r>
      <w:r w:rsidR="005A5A9E" w:rsidRPr="00EE3F6B">
        <w:rPr>
          <w:szCs w:val="22"/>
        </w:rPr>
        <w:t xml:space="preserve"> s </w:t>
      </w:r>
      <w:r w:rsidRPr="009E286B">
        <w:rPr>
          <w:szCs w:val="22"/>
        </w:rPr>
        <w:t>predĺženým uvoľňovaním</w:t>
      </w:r>
    </w:p>
    <w:p w14:paraId="40A0771D" w14:textId="77777777" w:rsidR="00954C84" w:rsidRPr="009E286B" w:rsidRDefault="00954C84" w:rsidP="00FE0B01">
      <w:pPr>
        <w:pStyle w:val="Styl3"/>
        <w:spacing w:after="0"/>
        <w:jc w:val="left"/>
        <w:rPr>
          <w:szCs w:val="22"/>
        </w:rPr>
      </w:pPr>
      <w:r w:rsidRPr="009E286B">
        <w:rPr>
          <w:szCs w:val="22"/>
        </w:rPr>
        <w:t>Obsah kapsúl</w:t>
      </w:r>
    </w:p>
    <w:p w14:paraId="67065D6A" w14:textId="0AEF0BCE" w:rsidR="00954C84" w:rsidRPr="009E286B" w:rsidRDefault="00954C84" w:rsidP="00FE0B01">
      <w:pPr>
        <w:pStyle w:val="Normlndoblokusodrkami"/>
        <w:spacing w:after="0"/>
        <w:jc w:val="left"/>
        <w:rPr>
          <w:szCs w:val="22"/>
        </w:rPr>
      </w:pPr>
      <w:r w:rsidRPr="009E286B">
        <w:rPr>
          <w:szCs w:val="22"/>
        </w:rPr>
        <w:t>mikrogranule cukru (obsahuje sacharózu)</w:t>
      </w:r>
    </w:p>
    <w:p w14:paraId="7A3A8917" w14:textId="19F8AE85" w:rsidR="00954C84" w:rsidRPr="002D691C" w:rsidRDefault="00954C84" w:rsidP="00FE0B01">
      <w:pPr>
        <w:pStyle w:val="Normlndoblokusodrkami"/>
        <w:spacing w:after="0"/>
        <w:jc w:val="left"/>
        <w:rPr>
          <w:szCs w:val="22"/>
        </w:rPr>
      </w:pPr>
      <w:r w:rsidRPr="002D691C">
        <w:rPr>
          <w:szCs w:val="22"/>
        </w:rPr>
        <w:t>etylcelulóza (E462)</w:t>
      </w:r>
    </w:p>
    <w:p w14:paraId="32AA328A" w14:textId="744BDDB5" w:rsidR="00954C84" w:rsidRPr="00301FE5" w:rsidRDefault="00954C84" w:rsidP="00FE0B01">
      <w:pPr>
        <w:pStyle w:val="Normlndoblokusodrkami"/>
        <w:spacing w:after="0"/>
        <w:jc w:val="left"/>
        <w:rPr>
          <w:szCs w:val="22"/>
        </w:rPr>
      </w:pPr>
      <w:r w:rsidRPr="00301FE5">
        <w:rPr>
          <w:szCs w:val="22"/>
        </w:rPr>
        <w:t>hyprolóza</w:t>
      </w:r>
    </w:p>
    <w:p w14:paraId="4661A349" w14:textId="1D856E34" w:rsidR="00954C84" w:rsidRPr="00301FE5" w:rsidRDefault="00954C84" w:rsidP="00FE0B01">
      <w:pPr>
        <w:pStyle w:val="Normlndoblokusodrkami"/>
        <w:spacing w:after="0"/>
        <w:jc w:val="left"/>
        <w:rPr>
          <w:szCs w:val="22"/>
        </w:rPr>
      </w:pPr>
      <w:r w:rsidRPr="00301FE5">
        <w:rPr>
          <w:szCs w:val="22"/>
        </w:rPr>
        <w:t>hypromelóza (E464)</w:t>
      </w:r>
    </w:p>
    <w:p w14:paraId="2AC2087A" w14:textId="22E187B3" w:rsidR="00954C84" w:rsidRPr="00301FE5" w:rsidRDefault="00954C84" w:rsidP="00FE0B01">
      <w:pPr>
        <w:pStyle w:val="Normlndoblokusodrkami"/>
        <w:spacing w:after="0"/>
        <w:jc w:val="left"/>
        <w:rPr>
          <w:szCs w:val="22"/>
        </w:rPr>
      </w:pPr>
      <w:r w:rsidRPr="00301FE5">
        <w:rPr>
          <w:szCs w:val="22"/>
        </w:rPr>
        <w:t>mastenec (E553b)</w:t>
      </w:r>
    </w:p>
    <w:p w14:paraId="70CC0BCE" w14:textId="411FAA74" w:rsidR="00954C84" w:rsidRPr="00301FE5" w:rsidRDefault="00954C84" w:rsidP="00FE0B01">
      <w:pPr>
        <w:pStyle w:val="Normlndoblokusodrkami"/>
        <w:spacing w:after="0"/>
        <w:jc w:val="left"/>
        <w:rPr>
          <w:szCs w:val="22"/>
        </w:rPr>
      </w:pPr>
      <w:r w:rsidRPr="00301FE5">
        <w:rPr>
          <w:szCs w:val="22"/>
        </w:rPr>
        <w:t>dibutylsebakát</w:t>
      </w:r>
    </w:p>
    <w:p w14:paraId="5EEDD5B8" w14:textId="76DB0877" w:rsidR="00954C84" w:rsidRPr="00301FE5" w:rsidRDefault="00954C84" w:rsidP="00FE0B01">
      <w:pPr>
        <w:pStyle w:val="Normlndoblokusodrkami"/>
        <w:spacing w:after="0"/>
        <w:jc w:val="left"/>
        <w:rPr>
          <w:szCs w:val="22"/>
        </w:rPr>
      </w:pPr>
      <w:r w:rsidRPr="00301FE5">
        <w:rPr>
          <w:szCs w:val="22"/>
        </w:rPr>
        <w:t>kyselina olejová</w:t>
      </w:r>
    </w:p>
    <w:p w14:paraId="06735ADE" w14:textId="57CDD4C2" w:rsidR="00954C84" w:rsidRPr="00301FE5" w:rsidRDefault="00954C84" w:rsidP="00FE0B01">
      <w:pPr>
        <w:pStyle w:val="Normlndoblokusodrkami"/>
        <w:spacing w:after="0"/>
        <w:jc w:val="left"/>
        <w:rPr>
          <w:szCs w:val="22"/>
        </w:rPr>
      </w:pPr>
      <w:r w:rsidRPr="00301FE5">
        <w:rPr>
          <w:szCs w:val="22"/>
        </w:rPr>
        <w:t>koloidný bezvodý oxid kremičitý</w:t>
      </w:r>
    </w:p>
    <w:p w14:paraId="12719B4B" w14:textId="77777777" w:rsidR="00954C84" w:rsidRPr="00D638B3" w:rsidRDefault="00954C84" w:rsidP="00FE0B01">
      <w:pPr>
        <w:pStyle w:val="Styl3"/>
        <w:spacing w:after="0"/>
        <w:jc w:val="left"/>
        <w:rPr>
          <w:szCs w:val="22"/>
        </w:rPr>
      </w:pPr>
      <w:r w:rsidRPr="00D638B3">
        <w:rPr>
          <w:szCs w:val="22"/>
        </w:rPr>
        <w:t>Kapsula</w:t>
      </w:r>
    </w:p>
    <w:p w14:paraId="2B5F38E8" w14:textId="4A795CE0" w:rsidR="00954C84" w:rsidRPr="00454074" w:rsidRDefault="00954C84" w:rsidP="00FE0B01">
      <w:pPr>
        <w:pStyle w:val="Normlndoblokusodrkami"/>
        <w:spacing w:after="0"/>
        <w:jc w:val="left"/>
        <w:rPr>
          <w:szCs w:val="22"/>
        </w:rPr>
      </w:pPr>
      <w:r w:rsidRPr="00454074">
        <w:rPr>
          <w:szCs w:val="22"/>
        </w:rPr>
        <w:t>želatína</w:t>
      </w:r>
    </w:p>
    <w:p w14:paraId="2AA88614" w14:textId="5D885CC5" w:rsidR="00954C84" w:rsidRPr="00BC3C9C" w:rsidRDefault="00954C84" w:rsidP="00FE0B01">
      <w:pPr>
        <w:pStyle w:val="Normlndoblokusodrkami"/>
        <w:spacing w:after="0"/>
        <w:jc w:val="left"/>
        <w:rPr>
          <w:szCs w:val="22"/>
        </w:rPr>
      </w:pPr>
      <w:r w:rsidRPr="00BC3C9C">
        <w:rPr>
          <w:szCs w:val="22"/>
        </w:rPr>
        <w:t>laurylsíran sodný</w:t>
      </w:r>
    </w:p>
    <w:p w14:paraId="1E2C7FEA" w14:textId="77777777" w:rsidR="00954C84" w:rsidRPr="00BC3C9C" w:rsidRDefault="00954C84" w:rsidP="00FE0B01">
      <w:pPr>
        <w:pStyle w:val="Styl3"/>
        <w:spacing w:after="0"/>
        <w:jc w:val="left"/>
        <w:rPr>
          <w:szCs w:val="22"/>
        </w:rPr>
      </w:pPr>
      <w:r w:rsidRPr="00BC3C9C">
        <w:rPr>
          <w:szCs w:val="22"/>
        </w:rPr>
        <w:t>Farbivá:</w:t>
      </w:r>
    </w:p>
    <w:p w14:paraId="2C33F4E6" w14:textId="1F7244DD" w:rsidR="00954C84" w:rsidRPr="00BC3C9C" w:rsidRDefault="00954C84" w:rsidP="00FE0B01">
      <w:pPr>
        <w:pStyle w:val="Normlndoblokusodrkami"/>
        <w:spacing w:after="0"/>
        <w:jc w:val="left"/>
        <w:rPr>
          <w:szCs w:val="22"/>
        </w:rPr>
      </w:pPr>
      <w:r w:rsidRPr="00BC3C9C">
        <w:rPr>
          <w:szCs w:val="22"/>
        </w:rPr>
        <w:t>žlť oranžová FCF (E110)</w:t>
      </w:r>
    </w:p>
    <w:p w14:paraId="6046DA91" w14:textId="7DC890FF" w:rsidR="00954C84" w:rsidRPr="00BC3C9C" w:rsidRDefault="00954C84" w:rsidP="00FE0B01">
      <w:pPr>
        <w:pStyle w:val="Normlndoblokusodrkami"/>
        <w:spacing w:after="0"/>
        <w:jc w:val="left"/>
        <w:rPr>
          <w:szCs w:val="22"/>
        </w:rPr>
      </w:pPr>
      <w:r w:rsidRPr="00BC3C9C">
        <w:rPr>
          <w:szCs w:val="22"/>
        </w:rPr>
        <w:t>chinolínová žltá (E104)</w:t>
      </w:r>
    </w:p>
    <w:p w14:paraId="193BE3AA" w14:textId="7044B3FE" w:rsidR="00954C84" w:rsidRPr="00BC3C9C" w:rsidRDefault="00954C84" w:rsidP="00FE0B01">
      <w:pPr>
        <w:pStyle w:val="Normlndoblokusodrkami"/>
        <w:spacing w:after="0"/>
        <w:jc w:val="left"/>
        <w:rPr>
          <w:szCs w:val="22"/>
        </w:rPr>
      </w:pPr>
      <w:r w:rsidRPr="00BC3C9C">
        <w:rPr>
          <w:szCs w:val="22"/>
        </w:rPr>
        <w:t>patentná modrá</w:t>
      </w:r>
      <w:r w:rsidR="005A5A9E" w:rsidRPr="00BC3C9C">
        <w:rPr>
          <w:szCs w:val="22"/>
        </w:rPr>
        <w:t xml:space="preserve"> </w:t>
      </w:r>
      <w:r w:rsidR="006F7FF0" w:rsidRPr="00BC3C9C">
        <w:rPr>
          <w:szCs w:val="22"/>
        </w:rPr>
        <w:t xml:space="preserve">V </w:t>
      </w:r>
      <w:r w:rsidRPr="00BC3C9C">
        <w:rPr>
          <w:szCs w:val="22"/>
        </w:rPr>
        <w:t>(E131)</w:t>
      </w:r>
    </w:p>
    <w:p w14:paraId="08CDC5FC" w14:textId="1C9DCE4E" w:rsidR="00954C84" w:rsidRDefault="00954C84" w:rsidP="00FE0B01">
      <w:pPr>
        <w:pStyle w:val="Normlndoblokusodrkami"/>
        <w:spacing w:after="0"/>
        <w:jc w:val="left"/>
        <w:rPr>
          <w:szCs w:val="22"/>
        </w:rPr>
      </w:pPr>
      <w:r w:rsidRPr="00BC3C9C">
        <w:rPr>
          <w:szCs w:val="22"/>
        </w:rPr>
        <w:t>oxid titaničitý (E171)</w:t>
      </w:r>
    </w:p>
    <w:p w14:paraId="6C5400AA" w14:textId="77777777" w:rsidR="00EE3F6B" w:rsidRPr="00EE3F6B" w:rsidRDefault="00EE3F6B" w:rsidP="00FE0B01">
      <w:pPr>
        <w:pStyle w:val="Normlndobloku"/>
        <w:spacing w:after="0"/>
      </w:pPr>
    </w:p>
    <w:p w14:paraId="4BE7BF01" w14:textId="375B35A2" w:rsidR="00954C84" w:rsidRPr="00EE3F6B" w:rsidRDefault="00954C84" w:rsidP="00FE0B01">
      <w:pPr>
        <w:pStyle w:val="Styl2"/>
      </w:pPr>
      <w:r w:rsidRPr="00EE3F6B">
        <w:t>Inkompatibility</w:t>
      </w:r>
    </w:p>
    <w:p w14:paraId="2D205AD5" w14:textId="77777777" w:rsidR="00DF2A67" w:rsidRDefault="00DF2A67" w:rsidP="00FE0B01">
      <w:pPr>
        <w:pStyle w:val="Normlndobloku"/>
        <w:spacing w:after="0"/>
        <w:jc w:val="left"/>
        <w:rPr>
          <w:szCs w:val="22"/>
        </w:rPr>
      </w:pPr>
    </w:p>
    <w:p w14:paraId="0D10A739" w14:textId="5335888E" w:rsidR="00954C84" w:rsidRDefault="00954C84" w:rsidP="00FE0B01">
      <w:pPr>
        <w:pStyle w:val="Normlndobloku"/>
        <w:spacing w:after="0"/>
        <w:jc w:val="left"/>
        <w:rPr>
          <w:szCs w:val="22"/>
        </w:rPr>
      </w:pPr>
      <w:r w:rsidRPr="00EE3F6B">
        <w:rPr>
          <w:szCs w:val="22"/>
        </w:rPr>
        <w:t>Neaplikovateľné</w:t>
      </w:r>
    </w:p>
    <w:p w14:paraId="6DAA7397" w14:textId="77777777" w:rsidR="00EE3F6B" w:rsidRPr="00EE3F6B" w:rsidRDefault="00EE3F6B" w:rsidP="00FE0B01">
      <w:pPr>
        <w:pStyle w:val="Normlndobloku"/>
        <w:spacing w:after="0"/>
        <w:jc w:val="left"/>
        <w:rPr>
          <w:szCs w:val="22"/>
        </w:rPr>
      </w:pPr>
    </w:p>
    <w:p w14:paraId="412F2CCC" w14:textId="128D684A" w:rsidR="00954C84" w:rsidRPr="00EE3F6B" w:rsidRDefault="00954C84" w:rsidP="00FE0B01">
      <w:pPr>
        <w:pStyle w:val="Styl2"/>
      </w:pPr>
      <w:r w:rsidRPr="00EE3F6B">
        <w:t>Čas použiteľnosti</w:t>
      </w:r>
    </w:p>
    <w:p w14:paraId="4D497B0A" w14:textId="77777777" w:rsidR="00DF2A67" w:rsidRDefault="00DF2A67" w:rsidP="00FE0B01">
      <w:pPr>
        <w:pStyle w:val="Normlndobloku"/>
        <w:spacing w:after="0"/>
        <w:jc w:val="left"/>
        <w:rPr>
          <w:szCs w:val="22"/>
        </w:rPr>
      </w:pPr>
    </w:p>
    <w:p w14:paraId="3EFD425E" w14:textId="55E68D1D" w:rsidR="00954C84" w:rsidRDefault="00954C84" w:rsidP="00FE0B01">
      <w:pPr>
        <w:pStyle w:val="Normlndobloku"/>
        <w:spacing w:after="0"/>
        <w:jc w:val="left"/>
        <w:rPr>
          <w:szCs w:val="22"/>
        </w:rPr>
      </w:pPr>
      <w:r w:rsidRPr="00EE3F6B">
        <w:rPr>
          <w:szCs w:val="22"/>
        </w:rPr>
        <w:t>3 roky</w:t>
      </w:r>
    </w:p>
    <w:p w14:paraId="3F214F2F" w14:textId="77777777" w:rsidR="00EE3F6B" w:rsidRPr="00EE3F6B" w:rsidRDefault="00EE3F6B" w:rsidP="00FE0B01">
      <w:pPr>
        <w:pStyle w:val="Normlndobloku"/>
        <w:spacing w:after="0"/>
        <w:jc w:val="left"/>
        <w:rPr>
          <w:szCs w:val="22"/>
        </w:rPr>
      </w:pPr>
    </w:p>
    <w:p w14:paraId="1EA9B05D" w14:textId="18DD6137" w:rsidR="00954C84" w:rsidRPr="00EE3F6B" w:rsidRDefault="00954C84" w:rsidP="00FE0B01">
      <w:pPr>
        <w:pStyle w:val="Styl2"/>
      </w:pPr>
      <w:r w:rsidRPr="00EE3F6B">
        <w:t>Špeciálne upozornenia na uchovávanie</w:t>
      </w:r>
    </w:p>
    <w:p w14:paraId="17020A6C" w14:textId="77777777" w:rsidR="00DF2A67" w:rsidRDefault="00DF2A67" w:rsidP="00FE0B01">
      <w:pPr>
        <w:pStyle w:val="Normlndobloku"/>
        <w:spacing w:after="0"/>
        <w:jc w:val="left"/>
        <w:rPr>
          <w:szCs w:val="22"/>
        </w:rPr>
      </w:pPr>
    </w:p>
    <w:p w14:paraId="6EDF96DB" w14:textId="77777777" w:rsidR="00954C84" w:rsidRDefault="00954C84" w:rsidP="00FE0B01">
      <w:pPr>
        <w:pStyle w:val="Normlndobloku"/>
        <w:spacing w:after="0"/>
        <w:jc w:val="left"/>
        <w:rPr>
          <w:szCs w:val="22"/>
        </w:rPr>
      </w:pPr>
      <w:r w:rsidRPr="00EE3F6B">
        <w:rPr>
          <w:szCs w:val="22"/>
        </w:rPr>
        <w:t>Tento liek nevyžaduje žiadne zvláštne podmienky na uchovávanie.</w:t>
      </w:r>
    </w:p>
    <w:p w14:paraId="7BE78421" w14:textId="77777777" w:rsidR="00EE3F6B" w:rsidRPr="00EE3F6B" w:rsidRDefault="00EE3F6B" w:rsidP="00FE0B01">
      <w:pPr>
        <w:pStyle w:val="Normlndobloku"/>
        <w:spacing w:after="0"/>
        <w:jc w:val="left"/>
        <w:rPr>
          <w:szCs w:val="22"/>
        </w:rPr>
      </w:pPr>
    </w:p>
    <w:p w14:paraId="4E253D62" w14:textId="1225925B" w:rsidR="00954C84" w:rsidRPr="00EE3F6B" w:rsidRDefault="00954C84" w:rsidP="00FE0B01">
      <w:pPr>
        <w:pStyle w:val="Styl2"/>
      </w:pPr>
      <w:r w:rsidRPr="00EE3F6B">
        <w:t>Druh obalu</w:t>
      </w:r>
      <w:r w:rsidR="005A5A9E" w:rsidRPr="00EE3F6B">
        <w:t xml:space="preserve"> a </w:t>
      </w:r>
      <w:r w:rsidRPr="00EE3F6B">
        <w:t>obsah balenia</w:t>
      </w:r>
    </w:p>
    <w:p w14:paraId="44569844" w14:textId="77777777" w:rsidR="00DF2A67" w:rsidRDefault="00DF2A67" w:rsidP="00FE0B01">
      <w:pPr>
        <w:pStyle w:val="Normlndobloku"/>
        <w:spacing w:after="0"/>
        <w:jc w:val="left"/>
        <w:rPr>
          <w:szCs w:val="22"/>
        </w:rPr>
      </w:pPr>
    </w:p>
    <w:p w14:paraId="05B0B2E5" w14:textId="60FF77FA" w:rsidR="00954C84" w:rsidRPr="009E286B" w:rsidRDefault="00954C84" w:rsidP="00FE0B01">
      <w:pPr>
        <w:pStyle w:val="Normlndobloku"/>
        <w:spacing w:after="0"/>
        <w:jc w:val="left"/>
        <w:rPr>
          <w:szCs w:val="22"/>
        </w:rPr>
      </w:pPr>
      <w:r w:rsidRPr="00EE3F6B">
        <w:rPr>
          <w:szCs w:val="22"/>
        </w:rPr>
        <w:t>20, 28, 30, 50, 98</w:t>
      </w:r>
      <w:r w:rsidR="005A5A9E" w:rsidRPr="00EE3F6B">
        <w:rPr>
          <w:szCs w:val="22"/>
        </w:rPr>
        <w:t xml:space="preserve"> a </w:t>
      </w:r>
      <w:r w:rsidRPr="00EE3F6B">
        <w:rPr>
          <w:szCs w:val="22"/>
        </w:rPr>
        <w:t>100 kapsúl</w:t>
      </w:r>
      <w:r w:rsidR="005A5A9E" w:rsidRPr="00EE3F6B">
        <w:rPr>
          <w:szCs w:val="22"/>
        </w:rPr>
        <w:t xml:space="preserve"> v </w:t>
      </w:r>
      <w:r w:rsidRPr="00EE3F6B">
        <w:rPr>
          <w:szCs w:val="22"/>
        </w:rPr>
        <w:t>blistrovom ba</w:t>
      </w:r>
      <w:r w:rsidRPr="009E286B">
        <w:rPr>
          <w:szCs w:val="22"/>
        </w:rPr>
        <w:t>lení (PVC/Al).</w:t>
      </w:r>
    </w:p>
    <w:p w14:paraId="2E438FF1" w14:textId="70F1B41C" w:rsidR="00954C84" w:rsidRPr="009E286B" w:rsidRDefault="00954C84" w:rsidP="00FE0B01">
      <w:pPr>
        <w:pStyle w:val="Normlndobloku"/>
        <w:spacing w:after="0"/>
        <w:jc w:val="left"/>
        <w:rPr>
          <w:szCs w:val="22"/>
        </w:rPr>
      </w:pPr>
      <w:r w:rsidRPr="009E286B">
        <w:rPr>
          <w:szCs w:val="22"/>
        </w:rPr>
        <w:t>50</w:t>
      </w:r>
      <w:r w:rsidR="005A5A9E" w:rsidRPr="009E286B">
        <w:rPr>
          <w:szCs w:val="22"/>
        </w:rPr>
        <w:t xml:space="preserve"> a </w:t>
      </w:r>
      <w:r w:rsidRPr="009E286B">
        <w:rPr>
          <w:szCs w:val="22"/>
        </w:rPr>
        <w:t>100 kapsúl</w:t>
      </w:r>
      <w:r w:rsidR="005A5A9E" w:rsidRPr="009E286B">
        <w:rPr>
          <w:szCs w:val="22"/>
        </w:rPr>
        <w:t xml:space="preserve"> v </w:t>
      </w:r>
      <w:r w:rsidRPr="009E286B">
        <w:rPr>
          <w:szCs w:val="22"/>
        </w:rPr>
        <w:t>HDPE fľaši</w:t>
      </w:r>
      <w:r w:rsidR="005A5A9E" w:rsidRPr="009E286B">
        <w:rPr>
          <w:szCs w:val="22"/>
        </w:rPr>
        <w:t xml:space="preserve"> s </w:t>
      </w:r>
      <w:r w:rsidRPr="009E286B">
        <w:rPr>
          <w:szCs w:val="22"/>
        </w:rPr>
        <w:t>HDPE skrutkovacím uzáverom</w:t>
      </w:r>
      <w:r w:rsidR="005A5A9E" w:rsidRPr="009E286B">
        <w:rPr>
          <w:szCs w:val="22"/>
        </w:rPr>
        <w:t xml:space="preserve"> a </w:t>
      </w:r>
      <w:r w:rsidRPr="009E286B">
        <w:rPr>
          <w:szCs w:val="22"/>
        </w:rPr>
        <w:t>vrecko so silikagélom (vysušovadlo).</w:t>
      </w:r>
    </w:p>
    <w:p w14:paraId="491C4A09" w14:textId="77777777" w:rsidR="00DF2A67" w:rsidRDefault="00DF2A67" w:rsidP="00FE0B01">
      <w:pPr>
        <w:pStyle w:val="Normlndobloku"/>
        <w:spacing w:after="0"/>
        <w:jc w:val="left"/>
        <w:rPr>
          <w:szCs w:val="22"/>
        </w:rPr>
      </w:pPr>
    </w:p>
    <w:p w14:paraId="70F5E105" w14:textId="77777777" w:rsidR="00954C84" w:rsidRDefault="00954C84" w:rsidP="00FE0B01">
      <w:pPr>
        <w:pStyle w:val="Normlndobloku"/>
        <w:spacing w:after="0"/>
        <w:jc w:val="left"/>
        <w:rPr>
          <w:szCs w:val="22"/>
        </w:rPr>
      </w:pPr>
      <w:r w:rsidRPr="002D691C">
        <w:rPr>
          <w:szCs w:val="22"/>
        </w:rPr>
        <w:t>Na trh nemusia byť uvedené všetky veľkosti balenia.</w:t>
      </w:r>
    </w:p>
    <w:p w14:paraId="7BC4DFD2" w14:textId="77777777" w:rsidR="00EE3F6B" w:rsidRPr="00EE3F6B" w:rsidRDefault="00EE3F6B" w:rsidP="00FE0B01">
      <w:pPr>
        <w:pStyle w:val="Normlndobloku"/>
        <w:spacing w:after="0"/>
        <w:jc w:val="left"/>
        <w:rPr>
          <w:szCs w:val="22"/>
        </w:rPr>
      </w:pPr>
    </w:p>
    <w:p w14:paraId="6E44A613" w14:textId="34A20C4B" w:rsidR="00954C84" w:rsidRPr="00EE3F6B" w:rsidRDefault="00954C84" w:rsidP="00FE0B01">
      <w:pPr>
        <w:pStyle w:val="Styl2"/>
      </w:pPr>
      <w:r w:rsidRPr="00EE3F6B">
        <w:t>Špeciálne opatrenia na likvidáciu</w:t>
      </w:r>
    </w:p>
    <w:p w14:paraId="5D51133C" w14:textId="77777777" w:rsidR="00DF2A67" w:rsidRDefault="00DF2A67" w:rsidP="00FE0B01">
      <w:pPr>
        <w:pStyle w:val="Normlndobloku"/>
        <w:spacing w:after="0"/>
        <w:jc w:val="left"/>
        <w:rPr>
          <w:szCs w:val="22"/>
        </w:rPr>
      </w:pPr>
    </w:p>
    <w:p w14:paraId="65BE0FF1" w14:textId="47BE59E9" w:rsidR="00954C84" w:rsidRDefault="00954C84" w:rsidP="00FE0B01">
      <w:pPr>
        <w:pStyle w:val="Normlndobloku"/>
        <w:spacing w:after="0"/>
        <w:jc w:val="left"/>
        <w:rPr>
          <w:szCs w:val="22"/>
        </w:rPr>
      </w:pPr>
      <w:r w:rsidRPr="00EE3F6B">
        <w:rPr>
          <w:szCs w:val="22"/>
        </w:rPr>
        <w:t>Žiadne zvláštne požiadavky.</w:t>
      </w:r>
    </w:p>
    <w:p w14:paraId="4ACB629D" w14:textId="77777777" w:rsidR="00EE3F6B" w:rsidRDefault="00EE3F6B" w:rsidP="00FE0B01">
      <w:pPr>
        <w:pStyle w:val="Normlndobloku"/>
        <w:spacing w:after="0"/>
        <w:jc w:val="left"/>
        <w:rPr>
          <w:szCs w:val="22"/>
        </w:rPr>
      </w:pPr>
    </w:p>
    <w:p w14:paraId="77930D74" w14:textId="77777777" w:rsidR="00EE3F6B" w:rsidRPr="00EE3F6B" w:rsidRDefault="00EE3F6B" w:rsidP="00FE0B01">
      <w:pPr>
        <w:pStyle w:val="Normlndobloku"/>
        <w:spacing w:after="0"/>
        <w:jc w:val="left"/>
        <w:rPr>
          <w:szCs w:val="22"/>
        </w:rPr>
      </w:pPr>
    </w:p>
    <w:p w14:paraId="284068F2" w14:textId="1521496B" w:rsidR="00954C84" w:rsidRPr="00EE3F6B" w:rsidRDefault="00954C84" w:rsidP="00FE0B01">
      <w:pPr>
        <w:pStyle w:val="Styl1"/>
        <w:spacing w:before="0" w:after="0"/>
        <w:rPr>
          <w:szCs w:val="22"/>
        </w:rPr>
      </w:pPr>
      <w:r w:rsidRPr="00EE3F6B">
        <w:rPr>
          <w:szCs w:val="22"/>
        </w:rPr>
        <w:t>DRŽITEĽ ROZHODNUTIA O REGISTRÁCII</w:t>
      </w:r>
    </w:p>
    <w:p w14:paraId="0A5BC815" w14:textId="77777777" w:rsidR="00DF2A67" w:rsidRDefault="00DF2A67" w:rsidP="00FE0B01">
      <w:pPr>
        <w:pStyle w:val="Normlndobloku"/>
        <w:spacing w:after="0"/>
        <w:jc w:val="left"/>
        <w:rPr>
          <w:szCs w:val="22"/>
        </w:rPr>
      </w:pPr>
    </w:p>
    <w:p w14:paraId="4A06D45F" w14:textId="77777777" w:rsidR="00954C84" w:rsidRDefault="00954C84" w:rsidP="00FE0B01">
      <w:pPr>
        <w:pStyle w:val="Normlndobloku"/>
        <w:spacing w:after="0"/>
        <w:jc w:val="left"/>
        <w:rPr>
          <w:szCs w:val="22"/>
        </w:rPr>
      </w:pPr>
      <w:r w:rsidRPr="00EE3F6B">
        <w:rPr>
          <w:szCs w:val="22"/>
        </w:rPr>
        <w:t>MEDOCHEMIE Ltd., 1-10 Constantinoupoleos street, 3011 Limassol, Cyprus</w:t>
      </w:r>
    </w:p>
    <w:p w14:paraId="5F7814F9" w14:textId="77777777" w:rsidR="00EE3F6B" w:rsidRDefault="00EE3F6B" w:rsidP="00FE0B01">
      <w:pPr>
        <w:pStyle w:val="Normlndobloku"/>
        <w:spacing w:after="0"/>
        <w:jc w:val="left"/>
        <w:rPr>
          <w:szCs w:val="22"/>
        </w:rPr>
      </w:pPr>
    </w:p>
    <w:p w14:paraId="1CC97BC9" w14:textId="77777777" w:rsidR="00EE3F6B" w:rsidRPr="00EE3F6B" w:rsidRDefault="00EE3F6B" w:rsidP="00FE0B01">
      <w:pPr>
        <w:pStyle w:val="Normlndobloku"/>
        <w:spacing w:after="0"/>
        <w:jc w:val="left"/>
        <w:rPr>
          <w:szCs w:val="22"/>
        </w:rPr>
      </w:pPr>
    </w:p>
    <w:p w14:paraId="054371AA" w14:textId="67FF2886" w:rsidR="00954C84" w:rsidRPr="009E286B" w:rsidRDefault="00954C84" w:rsidP="00FE0B01">
      <w:pPr>
        <w:pStyle w:val="Styl1"/>
        <w:spacing w:before="0" w:after="0"/>
        <w:rPr>
          <w:szCs w:val="22"/>
        </w:rPr>
      </w:pPr>
      <w:r w:rsidRPr="00EE3F6B">
        <w:rPr>
          <w:szCs w:val="22"/>
        </w:rPr>
        <w:t>REGISTRAČNÉ ČÍSLO</w:t>
      </w:r>
    </w:p>
    <w:p w14:paraId="67D956C3" w14:textId="77777777" w:rsidR="00C168AC" w:rsidRDefault="00C168AC" w:rsidP="00FE0B01">
      <w:pPr>
        <w:pStyle w:val="Normlndobloku"/>
        <w:spacing w:after="0"/>
        <w:jc w:val="left"/>
        <w:rPr>
          <w:szCs w:val="22"/>
        </w:rPr>
      </w:pPr>
    </w:p>
    <w:p w14:paraId="076C3AB0" w14:textId="5D0A2469" w:rsidR="00954C84" w:rsidRPr="009E286B" w:rsidRDefault="00954C84" w:rsidP="00FE0B01">
      <w:pPr>
        <w:pStyle w:val="Normlndobloku"/>
        <w:spacing w:after="0"/>
        <w:jc w:val="left"/>
        <w:rPr>
          <w:szCs w:val="22"/>
        </w:rPr>
      </w:pPr>
      <w:r w:rsidRPr="009E286B">
        <w:rPr>
          <w:szCs w:val="22"/>
        </w:rPr>
        <w:t>ELIFY XR 75</w:t>
      </w:r>
      <w:r w:rsidR="005A5A9E" w:rsidRPr="009E286B">
        <w:rPr>
          <w:szCs w:val="22"/>
        </w:rPr>
        <w:t xml:space="preserve"> mg </w:t>
      </w:r>
      <w:r w:rsidRPr="009E286B">
        <w:rPr>
          <w:szCs w:val="22"/>
        </w:rPr>
        <w:t>tvrdé kapsuly</w:t>
      </w:r>
      <w:r w:rsidR="005A5A9E" w:rsidRPr="009E286B">
        <w:rPr>
          <w:szCs w:val="22"/>
        </w:rPr>
        <w:t xml:space="preserve"> s </w:t>
      </w:r>
      <w:r w:rsidRPr="009E286B">
        <w:rPr>
          <w:szCs w:val="22"/>
        </w:rPr>
        <w:t>predĺženým uvoľňovaním: 30/0069/07-S</w:t>
      </w:r>
    </w:p>
    <w:p w14:paraId="6C071FFC" w14:textId="18009CF0" w:rsidR="00954C84" w:rsidRDefault="00954C84" w:rsidP="00FE0B01">
      <w:pPr>
        <w:pStyle w:val="Normlndobloku"/>
        <w:spacing w:after="0"/>
        <w:jc w:val="left"/>
        <w:rPr>
          <w:szCs w:val="22"/>
        </w:rPr>
      </w:pPr>
      <w:r w:rsidRPr="009E286B">
        <w:rPr>
          <w:szCs w:val="22"/>
        </w:rPr>
        <w:t>ELIFY XR 150</w:t>
      </w:r>
      <w:r w:rsidR="005A5A9E" w:rsidRPr="009E286B">
        <w:rPr>
          <w:szCs w:val="22"/>
        </w:rPr>
        <w:t xml:space="preserve"> mg </w:t>
      </w:r>
      <w:r w:rsidRPr="009E286B">
        <w:rPr>
          <w:szCs w:val="22"/>
        </w:rPr>
        <w:t>tvrdé kapsuly</w:t>
      </w:r>
      <w:r w:rsidR="005A5A9E" w:rsidRPr="009E286B">
        <w:rPr>
          <w:szCs w:val="22"/>
        </w:rPr>
        <w:t xml:space="preserve"> s </w:t>
      </w:r>
      <w:r w:rsidRPr="009E286B">
        <w:rPr>
          <w:szCs w:val="22"/>
        </w:rPr>
        <w:t>predĺženým uvoľňovaním: 30/0070/07-S</w:t>
      </w:r>
    </w:p>
    <w:p w14:paraId="789E9400" w14:textId="77777777" w:rsidR="00EE3F6B" w:rsidRDefault="00EE3F6B" w:rsidP="00FE0B01">
      <w:pPr>
        <w:pStyle w:val="Normlndobloku"/>
        <w:spacing w:after="0"/>
        <w:jc w:val="left"/>
        <w:rPr>
          <w:szCs w:val="22"/>
        </w:rPr>
      </w:pPr>
    </w:p>
    <w:p w14:paraId="76A0B6DD" w14:textId="77777777" w:rsidR="00EE3F6B" w:rsidRPr="00EE3F6B" w:rsidRDefault="00EE3F6B" w:rsidP="00FE0B01">
      <w:pPr>
        <w:pStyle w:val="Normlndobloku"/>
        <w:spacing w:after="0"/>
        <w:jc w:val="left"/>
        <w:rPr>
          <w:szCs w:val="22"/>
        </w:rPr>
      </w:pPr>
    </w:p>
    <w:p w14:paraId="3A7F8011" w14:textId="73BF4297" w:rsidR="00954C84" w:rsidRPr="00EE3F6B" w:rsidRDefault="00954C84" w:rsidP="00FE0B01">
      <w:pPr>
        <w:pStyle w:val="Styl1"/>
        <w:spacing w:before="0" w:after="0"/>
        <w:rPr>
          <w:szCs w:val="22"/>
        </w:rPr>
      </w:pPr>
      <w:r w:rsidRPr="00EE3F6B">
        <w:rPr>
          <w:szCs w:val="22"/>
        </w:rPr>
        <w:t>DÁTUM PRVEJ REGISTRÁCIE/ PREDĹŽENIA REGISTRÁCIE</w:t>
      </w:r>
    </w:p>
    <w:p w14:paraId="17E27360" w14:textId="77777777" w:rsidR="00C168AC" w:rsidRDefault="00C168AC" w:rsidP="00FE0B01">
      <w:pPr>
        <w:pStyle w:val="Normlndobloku"/>
        <w:spacing w:after="0"/>
        <w:jc w:val="left"/>
        <w:rPr>
          <w:szCs w:val="22"/>
        </w:rPr>
      </w:pPr>
    </w:p>
    <w:p w14:paraId="0293B727" w14:textId="42C29CE2" w:rsidR="00954C84" w:rsidRPr="009E286B" w:rsidRDefault="00954C84" w:rsidP="00FE0B01">
      <w:pPr>
        <w:pStyle w:val="Normlndobloku"/>
        <w:spacing w:after="0"/>
        <w:jc w:val="left"/>
        <w:rPr>
          <w:szCs w:val="22"/>
        </w:rPr>
      </w:pPr>
      <w:r w:rsidRPr="009E286B">
        <w:rPr>
          <w:szCs w:val="22"/>
        </w:rPr>
        <w:t>Dátum prvej registrácie: 06.</w:t>
      </w:r>
      <w:r w:rsidR="00C168AC">
        <w:rPr>
          <w:szCs w:val="22"/>
        </w:rPr>
        <w:t xml:space="preserve"> marca </w:t>
      </w:r>
      <w:r w:rsidRPr="009E286B">
        <w:rPr>
          <w:szCs w:val="22"/>
        </w:rPr>
        <w:t>2007</w:t>
      </w:r>
    </w:p>
    <w:p w14:paraId="66A5B57A" w14:textId="65129451" w:rsidR="00F91B16" w:rsidRDefault="00F91B16" w:rsidP="00FE0B01">
      <w:pPr>
        <w:pStyle w:val="Normlndobloku"/>
        <w:spacing w:after="0"/>
        <w:jc w:val="left"/>
        <w:rPr>
          <w:szCs w:val="22"/>
        </w:rPr>
      </w:pPr>
      <w:r w:rsidRPr="009E286B">
        <w:rPr>
          <w:szCs w:val="22"/>
        </w:rPr>
        <w:t>Dátum posledného predĺženia registrácie: 0</w:t>
      </w:r>
      <w:r w:rsidR="00C168AC">
        <w:rPr>
          <w:szCs w:val="22"/>
        </w:rPr>
        <w:t>2</w:t>
      </w:r>
      <w:r w:rsidRPr="009E286B">
        <w:rPr>
          <w:szCs w:val="22"/>
        </w:rPr>
        <w:t>.</w:t>
      </w:r>
      <w:r w:rsidR="00C168AC">
        <w:rPr>
          <w:szCs w:val="22"/>
        </w:rPr>
        <w:t xml:space="preserve"> januára </w:t>
      </w:r>
      <w:r w:rsidRPr="009E286B">
        <w:rPr>
          <w:szCs w:val="22"/>
        </w:rPr>
        <w:t>2014</w:t>
      </w:r>
    </w:p>
    <w:p w14:paraId="0E9427A9" w14:textId="77777777" w:rsidR="00EE3F6B" w:rsidRDefault="00EE3F6B" w:rsidP="00FE0B01">
      <w:pPr>
        <w:pStyle w:val="Normlndobloku"/>
        <w:spacing w:after="0"/>
        <w:jc w:val="left"/>
        <w:rPr>
          <w:szCs w:val="22"/>
        </w:rPr>
      </w:pPr>
    </w:p>
    <w:p w14:paraId="64C23D1C" w14:textId="77777777" w:rsidR="00EE3F6B" w:rsidRPr="00EE3F6B" w:rsidRDefault="00EE3F6B" w:rsidP="00FE0B01">
      <w:pPr>
        <w:pStyle w:val="Normlndobloku"/>
        <w:spacing w:after="0"/>
        <w:jc w:val="left"/>
        <w:rPr>
          <w:szCs w:val="22"/>
        </w:rPr>
      </w:pPr>
    </w:p>
    <w:p w14:paraId="4E887A64" w14:textId="791769B3" w:rsidR="00954C84" w:rsidRPr="009E286B" w:rsidRDefault="00954C84" w:rsidP="00FE0B01">
      <w:pPr>
        <w:pStyle w:val="Styl1"/>
        <w:spacing w:before="0" w:after="0"/>
        <w:rPr>
          <w:szCs w:val="22"/>
        </w:rPr>
      </w:pPr>
      <w:r w:rsidRPr="00EE3F6B">
        <w:rPr>
          <w:szCs w:val="22"/>
        </w:rPr>
        <w:t>DÁTUM REVÍZIE TEXTU</w:t>
      </w:r>
    </w:p>
    <w:p w14:paraId="1CC03D14" w14:textId="77777777" w:rsidR="00C168AC" w:rsidRDefault="00C168AC" w:rsidP="00FE0B01">
      <w:pPr>
        <w:pStyle w:val="Normlndobloku"/>
        <w:spacing w:after="0"/>
        <w:jc w:val="left"/>
        <w:rPr>
          <w:szCs w:val="22"/>
        </w:rPr>
      </w:pPr>
    </w:p>
    <w:p w14:paraId="464660E1" w14:textId="14D0DC04" w:rsidR="00A20EA4" w:rsidRPr="009E286B" w:rsidRDefault="00C168AC" w:rsidP="00FE0B01">
      <w:pPr>
        <w:pStyle w:val="Normlndobloku"/>
        <w:spacing w:after="0"/>
        <w:jc w:val="left"/>
        <w:rPr>
          <w:szCs w:val="22"/>
        </w:rPr>
      </w:pPr>
      <w:r>
        <w:rPr>
          <w:szCs w:val="22"/>
        </w:rPr>
        <w:t>06/2019</w:t>
      </w:r>
    </w:p>
    <w:sectPr w:rsidR="00A20EA4" w:rsidRPr="009E286B" w:rsidSect="00BC3C9C">
      <w:headerReference w:type="default"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B7EF4" w14:textId="77777777" w:rsidR="001A45E2" w:rsidRDefault="001A45E2" w:rsidP="002B5AF8">
      <w:pPr>
        <w:spacing w:after="0" w:line="240" w:lineRule="auto"/>
      </w:pPr>
      <w:r>
        <w:separator/>
      </w:r>
    </w:p>
  </w:endnote>
  <w:endnote w:type="continuationSeparator" w:id="0">
    <w:p w14:paraId="356C3C33" w14:textId="77777777" w:rsidR="001A45E2" w:rsidRDefault="001A45E2" w:rsidP="002B5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969155"/>
      <w:docPartObj>
        <w:docPartGallery w:val="Page Numbers (Bottom of Page)"/>
        <w:docPartUnique/>
      </w:docPartObj>
    </w:sdtPr>
    <w:sdtEndPr>
      <w:rPr>
        <w:rFonts w:ascii="Times New Roman" w:hAnsi="Times New Roman" w:cs="Times New Roman"/>
        <w:sz w:val="18"/>
        <w:szCs w:val="18"/>
      </w:rPr>
    </w:sdtEndPr>
    <w:sdtContent>
      <w:p w14:paraId="6949BE6B" w14:textId="30905278" w:rsidR="00D638B3" w:rsidRPr="00FE0B01" w:rsidRDefault="00D638B3" w:rsidP="009E286B">
        <w:pPr>
          <w:pStyle w:val="Pta"/>
          <w:jc w:val="center"/>
          <w:rPr>
            <w:rFonts w:ascii="Times New Roman" w:hAnsi="Times New Roman" w:cs="Times New Roman"/>
            <w:sz w:val="18"/>
            <w:szCs w:val="18"/>
          </w:rPr>
        </w:pPr>
        <w:r w:rsidRPr="00BC3C9C">
          <w:rPr>
            <w:rFonts w:ascii="Times New Roman" w:hAnsi="Times New Roman" w:cs="Times New Roman"/>
            <w:sz w:val="18"/>
            <w:szCs w:val="18"/>
          </w:rPr>
          <w:fldChar w:fldCharType="begin"/>
        </w:r>
        <w:r w:rsidRPr="00BC3C9C">
          <w:rPr>
            <w:rFonts w:ascii="Times New Roman" w:hAnsi="Times New Roman" w:cs="Times New Roman"/>
            <w:sz w:val="18"/>
            <w:szCs w:val="18"/>
          </w:rPr>
          <w:instrText>PAGE   \* MERGEFORMAT</w:instrText>
        </w:r>
        <w:r w:rsidRPr="00BC3C9C">
          <w:rPr>
            <w:rFonts w:ascii="Times New Roman" w:hAnsi="Times New Roman" w:cs="Times New Roman"/>
            <w:sz w:val="18"/>
            <w:szCs w:val="18"/>
          </w:rPr>
          <w:fldChar w:fldCharType="separate"/>
        </w:r>
        <w:r w:rsidR="00FE0B01">
          <w:rPr>
            <w:rFonts w:ascii="Times New Roman" w:hAnsi="Times New Roman" w:cs="Times New Roman"/>
            <w:noProof/>
            <w:sz w:val="18"/>
            <w:szCs w:val="18"/>
          </w:rPr>
          <w:t>16</w:t>
        </w:r>
        <w:r w:rsidRPr="00BC3C9C">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9CE05" w14:textId="77777777" w:rsidR="001A45E2" w:rsidRDefault="001A45E2" w:rsidP="002B5AF8">
      <w:pPr>
        <w:spacing w:after="0" w:line="240" w:lineRule="auto"/>
      </w:pPr>
      <w:r>
        <w:separator/>
      </w:r>
    </w:p>
  </w:footnote>
  <w:footnote w:type="continuationSeparator" w:id="0">
    <w:p w14:paraId="07FD2E79" w14:textId="77777777" w:rsidR="001A45E2" w:rsidRDefault="001A45E2" w:rsidP="002B5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2DED9" w14:textId="313D389A" w:rsidR="00D638B3" w:rsidRPr="00930052" w:rsidRDefault="00D638B3" w:rsidP="00930052">
    <w:pPr>
      <w:pStyle w:val="Hlavika"/>
      <w:rPr>
        <w:rFonts w:ascii="Times New Roman" w:hAnsi="Times New Roman" w:cs="Times New Roman"/>
      </w:rPr>
    </w:pPr>
    <w:r w:rsidRPr="00930052">
      <w:rPr>
        <w:rFonts w:ascii="Times New Roman" w:hAnsi="Times New Roman" w:cs="Times New Roman"/>
        <w:sz w:val="18"/>
        <w:szCs w:val="18"/>
        <w:lang w:val="pt-BR"/>
      </w:rPr>
      <w:t xml:space="preserve">Príloha č. </w:t>
    </w:r>
    <w:r w:rsidRPr="00930052">
      <w:rPr>
        <w:rFonts w:ascii="Times New Roman" w:hAnsi="Times New Roman" w:cs="Times New Roman"/>
        <w:sz w:val="18"/>
        <w:szCs w:val="18"/>
        <w:lang w:val="pt-BR"/>
      </w:rPr>
      <w:t xml:space="preserve">1 k notifikácii o zmene, </w:t>
    </w:r>
    <w:r w:rsidRPr="00930052">
      <w:rPr>
        <w:rFonts w:ascii="Times New Roman" w:hAnsi="Times New Roman" w:cs="Times New Roman"/>
        <w:sz w:val="18"/>
        <w:szCs w:val="18"/>
        <w:lang w:val="pt-BR"/>
      </w:rPr>
      <w:t>ev.č.:</w:t>
    </w:r>
    <w:r>
      <w:rPr>
        <w:rFonts w:ascii="Times New Roman" w:hAnsi="Times New Roman" w:cs="Times New Roman"/>
        <w:sz w:val="18"/>
        <w:szCs w:val="18"/>
        <w:lang w:val="pt-BR"/>
      </w:rPr>
      <w:t xml:space="preserve"> </w:t>
    </w:r>
    <w:r w:rsidRPr="00A3641C">
      <w:rPr>
        <w:rFonts w:ascii="Times New Roman" w:hAnsi="Times New Roman" w:cs="Times New Roman"/>
        <w:sz w:val="18"/>
        <w:szCs w:val="18"/>
        <w:lang w:val="pt-BR"/>
      </w:rPr>
      <w:t>2018/07158</w:t>
    </w:r>
    <w:r>
      <w:rPr>
        <w:rFonts w:ascii="Times New Roman" w:hAnsi="Times New Roman" w:cs="Times New Roman"/>
        <w:sz w:val="18"/>
        <w:szCs w:val="18"/>
        <w:lang w:val="pt-BR"/>
      </w:rPr>
      <w:t>-ZIB</w:t>
    </w:r>
  </w:p>
  <w:p w14:paraId="5A9ECDB7" w14:textId="77777777" w:rsidR="00D638B3" w:rsidRDefault="00D638B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6CB"/>
    <w:multiLevelType w:val="hybridMultilevel"/>
    <w:tmpl w:val="4BA4632A"/>
    <w:lvl w:ilvl="0" w:tplc="D05E597C">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90F2682"/>
    <w:multiLevelType w:val="hybridMultilevel"/>
    <w:tmpl w:val="0D606578"/>
    <w:lvl w:ilvl="0" w:tplc="F92A5558">
      <w:numFmt w:val="bullet"/>
      <w:lvlText w:val="•"/>
      <w:lvlJc w:val="left"/>
      <w:pPr>
        <w:ind w:left="4860" w:hanging="414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nsid w:val="09151353"/>
    <w:multiLevelType w:val="hybridMultilevel"/>
    <w:tmpl w:val="1520D1EC"/>
    <w:lvl w:ilvl="0" w:tplc="5F629D9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A190DDD"/>
    <w:multiLevelType w:val="hybridMultilevel"/>
    <w:tmpl w:val="27CE7E10"/>
    <w:lvl w:ilvl="0" w:tplc="61149C66">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B625FEB"/>
    <w:multiLevelType w:val="hybridMultilevel"/>
    <w:tmpl w:val="F89883D2"/>
    <w:lvl w:ilvl="0" w:tplc="D05E597C">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E674463"/>
    <w:multiLevelType w:val="hybridMultilevel"/>
    <w:tmpl w:val="A22E2CA8"/>
    <w:lvl w:ilvl="0" w:tplc="F92A5558">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FA435E8"/>
    <w:multiLevelType w:val="hybridMultilevel"/>
    <w:tmpl w:val="6B7AC84A"/>
    <w:lvl w:ilvl="0" w:tplc="F92A5558">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0343E25"/>
    <w:multiLevelType w:val="hybridMultilevel"/>
    <w:tmpl w:val="9DE007F0"/>
    <w:lvl w:ilvl="0" w:tplc="174E6B00">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73D28B1"/>
    <w:multiLevelType w:val="hybridMultilevel"/>
    <w:tmpl w:val="736C692E"/>
    <w:lvl w:ilvl="0" w:tplc="8F42786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74C7DB5"/>
    <w:multiLevelType w:val="hybridMultilevel"/>
    <w:tmpl w:val="8C0E85F0"/>
    <w:lvl w:ilvl="0" w:tplc="C694CD20">
      <w:start w:val="1"/>
      <w:numFmt w:val="bullet"/>
      <w:pStyle w:val="Normlndoblokusodrkami"/>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54D0383E">
      <w:numFmt w:val="bullet"/>
      <w:lvlText w:val="•"/>
      <w:lvlJc w:val="left"/>
      <w:pPr>
        <w:ind w:left="6005" w:hanging="4140"/>
      </w:pPr>
      <w:rPr>
        <w:rFonts w:ascii="Times New Roman" w:eastAsia="Calibri" w:hAnsi="Times New Roman" w:cs="Times New Roman"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0">
    <w:nsid w:val="188B3A75"/>
    <w:multiLevelType w:val="hybridMultilevel"/>
    <w:tmpl w:val="B532C41E"/>
    <w:lvl w:ilvl="0" w:tplc="E62CB644">
      <w:numFmt w:val="bullet"/>
      <w:lvlText w:val="•"/>
      <w:lvlJc w:val="left"/>
      <w:pPr>
        <w:ind w:left="4860" w:hanging="414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19EA610A"/>
    <w:multiLevelType w:val="hybridMultilevel"/>
    <w:tmpl w:val="030E7048"/>
    <w:lvl w:ilvl="0" w:tplc="E62CB644">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B8A35B1"/>
    <w:multiLevelType w:val="hybridMultilevel"/>
    <w:tmpl w:val="F7B47456"/>
    <w:lvl w:ilvl="0" w:tplc="D05E597C">
      <w:numFmt w:val="bullet"/>
      <w:lvlText w:val="•"/>
      <w:lvlJc w:val="left"/>
      <w:pPr>
        <w:ind w:left="4860" w:hanging="414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nsid w:val="1FC33CB3"/>
    <w:multiLevelType w:val="hybridMultilevel"/>
    <w:tmpl w:val="046615F4"/>
    <w:lvl w:ilvl="0" w:tplc="E62CB644">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37C071A"/>
    <w:multiLevelType w:val="hybridMultilevel"/>
    <w:tmpl w:val="7C4853D6"/>
    <w:lvl w:ilvl="0" w:tplc="61149C66">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4A15EFC"/>
    <w:multiLevelType w:val="hybridMultilevel"/>
    <w:tmpl w:val="A1909146"/>
    <w:lvl w:ilvl="0" w:tplc="014AE812">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60423E1"/>
    <w:multiLevelType w:val="hybridMultilevel"/>
    <w:tmpl w:val="C8807340"/>
    <w:lvl w:ilvl="0" w:tplc="174E6B00">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6960090"/>
    <w:multiLevelType w:val="hybridMultilevel"/>
    <w:tmpl w:val="8CBA6566"/>
    <w:lvl w:ilvl="0" w:tplc="EECA4E36">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74C5134"/>
    <w:multiLevelType w:val="hybridMultilevel"/>
    <w:tmpl w:val="51BAAF14"/>
    <w:lvl w:ilvl="0" w:tplc="174E6B00">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7F64CE3"/>
    <w:multiLevelType w:val="hybridMultilevel"/>
    <w:tmpl w:val="E3D60B7A"/>
    <w:lvl w:ilvl="0" w:tplc="174E6B00">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BEC28D7"/>
    <w:multiLevelType w:val="hybridMultilevel"/>
    <w:tmpl w:val="E70C4936"/>
    <w:lvl w:ilvl="0" w:tplc="D05E597C">
      <w:numFmt w:val="bullet"/>
      <w:lvlText w:val="•"/>
      <w:lvlJc w:val="left"/>
      <w:pPr>
        <w:ind w:left="4860" w:hanging="414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nsid w:val="2C9467BF"/>
    <w:multiLevelType w:val="hybridMultilevel"/>
    <w:tmpl w:val="B8426FAC"/>
    <w:lvl w:ilvl="0" w:tplc="49CEC49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1AA7B16"/>
    <w:multiLevelType w:val="hybridMultilevel"/>
    <w:tmpl w:val="27A8DB4A"/>
    <w:lvl w:ilvl="0" w:tplc="174E6B00">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A7B5348"/>
    <w:multiLevelType w:val="hybridMultilevel"/>
    <w:tmpl w:val="4F1086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BF61402"/>
    <w:multiLevelType w:val="hybridMultilevel"/>
    <w:tmpl w:val="74ECFF9E"/>
    <w:lvl w:ilvl="0" w:tplc="5F629D9A">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41A23581"/>
    <w:multiLevelType w:val="hybridMultilevel"/>
    <w:tmpl w:val="82D0CE28"/>
    <w:lvl w:ilvl="0" w:tplc="174E6B00">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53C15587"/>
    <w:multiLevelType w:val="hybridMultilevel"/>
    <w:tmpl w:val="DED08466"/>
    <w:lvl w:ilvl="0" w:tplc="174E6B00">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5FD82EC8"/>
    <w:multiLevelType w:val="hybridMultilevel"/>
    <w:tmpl w:val="AFFE36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61CE5EF6"/>
    <w:multiLevelType w:val="multilevel"/>
    <w:tmpl w:val="5AB0A8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5400"/>
        </w:tabs>
        <w:ind w:left="5400" w:hanging="2160"/>
      </w:pPr>
      <w:rPr>
        <w:rFonts w:hint="default"/>
      </w:rPr>
    </w:lvl>
  </w:abstractNum>
  <w:abstractNum w:abstractNumId="29">
    <w:nsid w:val="62906917"/>
    <w:multiLevelType w:val="hybridMultilevel"/>
    <w:tmpl w:val="B5DE7928"/>
    <w:lvl w:ilvl="0" w:tplc="5F629D9A">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647241D9"/>
    <w:multiLevelType w:val="hybridMultilevel"/>
    <w:tmpl w:val="AA7CE1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6A4A6823"/>
    <w:multiLevelType w:val="hybridMultilevel"/>
    <w:tmpl w:val="CAC6904A"/>
    <w:lvl w:ilvl="0" w:tplc="5F629D9A">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AAD4AA7"/>
    <w:multiLevelType w:val="multilevel"/>
    <w:tmpl w:val="C5BA1CFC"/>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5889"/>
        </w:tabs>
        <w:ind w:left="5889"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1FA4B78"/>
    <w:multiLevelType w:val="hybridMultilevel"/>
    <w:tmpl w:val="E80A4548"/>
    <w:lvl w:ilvl="0" w:tplc="D05E597C">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72BF526B"/>
    <w:multiLevelType w:val="hybridMultilevel"/>
    <w:tmpl w:val="6EBCBAC6"/>
    <w:lvl w:ilvl="0" w:tplc="D05E597C">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77780713"/>
    <w:multiLevelType w:val="hybridMultilevel"/>
    <w:tmpl w:val="3F46E1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C952423"/>
    <w:multiLevelType w:val="hybridMultilevel"/>
    <w:tmpl w:val="F244E3BE"/>
    <w:lvl w:ilvl="0" w:tplc="174E6B00">
      <w:numFmt w:val="bullet"/>
      <w:lvlText w:val="•"/>
      <w:lvlJc w:val="left"/>
      <w:pPr>
        <w:ind w:left="4500" w:hanging="41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32"/>
  </w:num>
  <w:num w:numId="4">
    <w:abstractNumId w:val="32"/>
  </w:num>
  <w:num w:numId="5">
    <w:abstractNumId w:val="32"/>
  </w:num>
  <w:num w:numId="6">
    <w:abstractNumId w:val="32"/>
  </w:num>
  <w:num w:numId="7">
    <w:abstractNumId w:val="17"/>
  </w:num>
  <w:num w:numId="8">
    <w:abstractNumId w:val="9"/>
  </w:num>
  <w:num w:numId="9">
    <w:abstractNumId w:val="9"/>
  </w:num>
  <w:num w:numId="10">
    <w:abstractNumId w:val="32"/>
  </w:num>
  <w:num w:numId="11">
    <w:abstractNumId w:val="32"/>
  </w:num>
  <w:num w:numId="12">
    <w:abstractNumId w:val="32"/>
  </w:num>
  <w:num w:numId="13">
    <w:abstractNumId w:val="27"/>
  </w:num>
  <w:num w:numId="14">
    <w:abstractNumId w:val="29"/>
  </w:num>
  <w:num w:numId="15">
    <w:abstractNumId w:val="31"/>
  </w:num>
  <w:num w:numId="16">
    <w:abstractNumId w:val="24"/>
  </w:num>
  <w:num w:numId="17">
    <w:abstractNumId w:val="2"/>
  </w:num>
  <w:num w:numId="18">
    <w:abstractNumId w:val="15"/>
  </w:num>
  <w:num w:numId="19">
    <w:abstractNumId w:val="35"/>
  </w:num>
  <w:num w:numId="20">
    <w:abstractNumId w:val="18"/>
  </w:num>
  <w:num w:numId="21">
    <w:abstractNumId w:val="25"/>
  </w:num>
  <w:num w:numId="22">
    <w:abstractNumId w:val="26"/>
  </w:num>
  <w:num w:numId="23">
    <w:abstractNumId w:val="7"/>
  </w:num>
  <w:num w:numId="24">
    <w:abstractNumId w:val="16"/>
  </w:num>
  <w:num w:numId="25">
    <w:abstractNumId w:val="36"/>
  </w:num>
  <w:num w:numId="26">
    <w:abstractNumId w:val="22"/>
  </w:num>
  <w:num w:numId="27">
    <w:abstractNumId w:val="19"/>
  </w:num>
  <w:num w:numId="28">
    <w:abstractNumId w:val="14"/>
  </w:num>
  <w:num w:numId="29">
    <w:abstractNumId w:val="3"/>
  </w:num>
  <w:num w:numId="30">
    <w:abstractNumId w:val="13"/>
  </w:num>
  <w:num w:numId="31">
    <w:abstractNumId w:val="10"/>
  </w:num>
  <w:num w:numId="32">
    <w:abstractNumId w:val="11"/>
  </w:num>
  <w:num w:numId="33">
    <w:abstractNumId w:val="28"/>
  </w:num>
  <w:num w:numId="34">
    <w:abstractNumId w:val="23"/>
  </w:num>
  <w:num w:numId="35">
    <w:abstractNumId w:val="30"/>
  </w:num>
  <w:num w:numId="36">
    <w:abstractNumId w:val="0"/>
  </w:num>
  <w:num w:numId="37">
    <w:abstractNumId w:val="20"/>
  </w:num>
  <w:num w:numId="38">
    <w:abstractNumId w:val="4"/>
  </w:num>
  <w:num w:numId="39">
    <w:abstractNumId w:val="34"/>
  </w:num>
  <w:num w:numId="40">
    <w:abstractNumId w:val="12"/>
  </w:num>
  <w:num w:numId="41">
    <w:abstractNumId w:val="33"/>
  </w:num>
  <w:num w:numId="42">
    <w:abstractNumId w:val="6"/>
  </w:num>
  <w:num w:numId="43">
    <w:abstractNumId w:val="1"/>
  </w:num>
  <w:num w:numId="4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43C"/>
    <w:rsid w:val="00092151"/>
    <w:rsid w:val="00114F30"/>
    <w:rsid w:val="00124584"/>
    <w:rsid w:val="00132EBA"/>
    <w:rsid w:val="001815AF"/>
    <w:rsid w:val="001A45E2"/>
    <w:rsid w:val="001C1039"/>
    <w:rsid w:val="001F3E27"/>
    <w:rsid w:val="00235686"/>
    <w:rsid w:val="0027074D"/>
    <w:rsid w:val="00271398"/>
    <w:rsid w:val="0028134F"/>
    <w:rsid w:val="002B5AF8"/>
    <w:rsid w:val="002C2A93"/>
    <w:rsid w:val="002D691C"/>
    <w:rsid w:val="002F3E3C"/>
    <w:rsid w:val="0030162C"/>
    <w:rsid w:val="00301FE5"/>
    <w:rsid w:val="00352504"/>
    <w:rsid w:val="003A43B8"/>
    <w:rsid w:val="00454074"/>
    <w:rsid w:val="004643E5"/>
    <w:rsid w:val="005058E7"/>
    <w:rsid w:val="0053343A"/>
    <w:rsid w:val="005625AD"/>
    <w:rsid w:val="005A5A9E"/>
    <w:rsid w:val="00657084"/>
    <w:rsid w:val="006628E0"/>
    <w:rsid w:val="00681336"/>
    <w:rsid w:val="006B7624"/>
    <w:rsid w:val="006B7EDB"/>
    <w:rsid w:val="006D758E"/>
    <w:rsid w:val="006F07C1"/>
    <w:rsid w:val="006F7FF0"/>
    <w:rsid w:val="00710AE6"/>
    <w:rsid w:val="00725F67"/>
    <w:rsid w:val="00762A0A"/>
    <w:rsid w:val="0078444C"/>
    <w:rsid w:val="007E630E"/>
    <w:rsid w:val="008D4683"/>
    <w:rsid w:val="0092609F"/>
    <w:rsid w:val="00930052"/>
    <w:rsid w:val="00931757"/>
    <w:rsid w:val="00954C84"/>
    <w:rsid w:val="009C449C"/>
    <w:rsid w:val="009E286B"/>
    <w:rsid w:val="00A20EA4"/>
    <w:rsid w:val="00A318E1"/>
    <w:rsid w:val="00A3641C"/>
    <w:rsid w:val="00A4230C"/>
    <w:rsid w:val="00A4261C"/>
    <w:rsid w:val="00A860D5"/>
    <w:rsid w:val="00AF498A"/>
    <w:rsid w:val="00B77141"/>
    <w:rsid w:val="00BA039E"/>
    <w:rsid w:val="00BC3C9C"/>
    <w:rsid w:val="00C168AC"/>
    <w:rsid w:val="00C22317"/>
    <w:rsid w:val="00D638B3"/>
    <w:rsid w:val="00D85EC5"/>
    <w:rsid w:val="00DD01D1"/>
    <w:rsid w:val="00DF2A67"/>
    <w:rsid w:val="00E73C38"/>
    <w:rsid w:val="00EB4C45"/>
    <w:rsid w:val="00ED75F8"/>
    <w:rsid w:val="00EE3F6B"/>
    <w:rsid w:val="00F91399"/>
    <w:rsid w:val="00F91B16"/>
    <w:rsid w:val="00FC2DDE"/>
    <w:rsid w:val="00FE0B01"/>
    <w:rsid w:val="00FF24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1C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25F6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2">
    <w:name w:val="Styl2"/>
    <w:basedOn w:val="Normlny"/>
    <w:link w:val="Styl2Char"/>
    <w:autoRedefine/>
    <w:rsid w:val="00301FE5"/>
    <w:pPr>
      <w:keepNext/>
      <w:numPr>
        <w:ilvl w:val="1"/>
        <w:numId w:val="12"/>
      </w:numPr>
      <w:tabs>
        <w:tab w:val="clear" w:pos="5889"/>
        <w:tab w:val="num" w:pos="567"/>
      </w:tabs>
      <w:spacing w:after="0" w:line="240" w:lineRule="auto"/>
      <w:ind w:left="567" w:hanging="567"/>
    </w:pPr>
    <w:rPr>
      <w:rFonts w:ascii="Times New Roman" w:eastAsia="Times New Roman" w:hAnsi="Times New Roman" w:cs="Times New Roman"/>
      <w:b/>
      <w:bCs/>
    </w:rPr>
  </w:style>
  <w:style w:type="character" w:customStyle="1" w:styleId="Styl2Char">
    <w:name w:val="Styl2 Char"/>
    <w:link w:val="Styl2"/>
    <w:locked/>
    <w:rsid w:val="00301FE5"/>
    <w:rPr>
      <w:rFonts w:ascii="Times New Roman" w:eastAsia="Times New Roman" w:hAnsi="Times New Roman" w:cs="Times New Roman"/>
      <w:b/>
      <w:bCs/>
    </w:rPr>
  </w:style>
  <w:style w:type="character" w:customStyle="1" w:styleId="Bacil">
    <w:name w:val="Bacil"/>
    <w:qFormat/>
    <w:rsid w:val="009C449C"/>
    <w:rPr>
      <w:i/>
    </w:rPr>
  </w:style>
  <w:style w:type="paragraph" w:customStyle="1" w:styleId="SPCaPILhlavika">
    <w:name w:val="SPC a PIL hlavička"/>
    <w:basedOn w:val="Normlny"/>
    <w:autoRedefine/>
    <w:qFormat/>
    <w:rsid w:val="00EE3F6B"/>
    <w:pPr>
      <w:spacing w:after="0" w:line="240" w:lineRule="auto"/>
      <w:jc w:val="center"/>
    </w:pPr>
    <w:rPr>
      <w:rFonts w:ascii="Times New Roman" w:eastAsia="Times New Roman" w:hAnsi="Times New Roman" w:cs="Times New Roman"/>
      <w:b/>
      <w:szCs w:val="20"/>
    </w:rPr>
  </w:style>
  <w:style w:type="paragraph" w:customStyle="1" w:styleId="Styl1">
    <w:name w:val="Styl1"/>
    <w:basedOn w:val="Normlny"/>
    <w:autoRedefine/>
    <w:rsid w:val="00954C84"/>
    <w:pPr>
      <w:keepNext/>
      <w:numPr>
        <w:numId w:val="12"/>
      </w:numPr>
      <w:spacing w:before="360" w:after="120" w:line="240" w:lineRule="auto"/>
    </w:pPr>
    <w:rPr>
      <w:rFonts w:ascii="Times New Roman" w:eastAsia="Times New Roman" w:hAnsi="Times New Roman" w:cs="Times New Roman"/>
      <w:b/>
      <w:bCs/>
      <w:szCs w:val="24"/>
    </w:rPr>
  </w:style>
  <w:style w:type="paragraph" w:customStyle="1" w:styleId="Styl2-2">
    <w:name w:val="Styl2-2"/>
    <w:basedOn w:val="Styl2"/>
    <w:next w:val="Normlny"/>
    <w:autoRedefine/>
    <w:qFormat/>
    <w:rsid w:val="004643E5"/>
    <w:pPr>
      <w:numPr>
        <w:ilvl w:val="0"/>
        <w:numId w:val="0"/>
      </w:numPr>
    </w:pPr>
    <w:rPr>
      <w:b w:val="0"/>
      <w:szCs w:val="20"/>
      <w:u w:val="single"/>
    </w:rPr>
  </w:style>
  <w:style w:type="paragraph" w:customStyle="1" w:styleId="Styl3">
    <w:name w:val="Styl3"/>
    <w:basedOn w:val="Normlndobloku"/>
    <w:link w:val="Styl3Char"/>
    <w:rsid w:val="00DD01D1"/>
    <w:pPr>
      <w:keepNext/>
      <w:tabs>
        <w:tab w:val="left" w:pos="6946"/>
      </w:tabs>
      <w:suppressAutoHyphens w:val="0"/>
    </w:pPr>
    <w:rPr>
      <w:u w:val="single"/>
    </w:rPr>
  </w:style>
  <w:style w:type="character" w:customStyle="1" w:styleId="Styl3Char">
    <w:name w:val="Styl3 Char"/>
    <w:link w:val="Styl3"/>
    <w:rsid w:val="00DD01D1"/>
    <w:rPr>
      <w:rFonts w:ascii="Times New Roman" w:eastAsia="Calibri" w:hAnsi="Times New Roman" w:cs="Times New Roman"/>
      <w:szCs w:val="24"/>
      <w:u w:val="single"/>
    </w:rPr>
  </w:style>
  <w:style w:type="paragraph" w:customStyle="1" w:styleId="Styl4">
    <w:name w:val="Styl4"/>
    <w:basedOn w:val="Styl3"/>
    <w:autoRedefine/>
    <w:qFormat/>
    <w:rsid w:val="00DD01D1"/>
    <w:pPr>
      <w:spacing w:after="60"/>
    </w:pPr>
    <w:rPr>
      <w:i/>
      <w:u w:val="none"/>
    </w:rPr>
  </w:style>
  <w:style w:type="paragraph" w:customStyle="1" w:styleId="Normlndobloku">
    <w:name w:val="Normální do bloku"/>
    <w:basedOn w:val="Normlny"/>
    <w:link w:val="NormlndoblokuChar"/>
    <w:autoRedefine/>
    <w:rsid w:val="001C1039"/>
    <w:pPr>
      <w:tabs>
        <w:tab w:val="left" w:pos="4140"/>
      </w:tabs>
      <w:suppressAutoHyphens/>
      <w:spacing w:after="120" w:line="240" w:lineRule="auto"/>
      <w:jc w:val="both"/>
    </w:pPr>
    <w:rPr>
      <w:rFonts w:ascii="Times New Roman" w:eastAsia="Calibri" w:hAnsi="Times New Roman" w:cs="Times New Roman"/>
      <w:szCs w:val="24"/>
    </w:rPr>
  </w:style>
  <w:style w:type="character" w:customStyle="1" w:styleId="NormlndoblokuChar">
    <w:name w:val="Normální do bloku Char"/>
    <w:link w:val="Normlndobloku"/>
    <w:rsid w:val="001C1039"/>
    <w:rPr>
      <w:rFonts w:ascii="Times New Roman" w:eastAsia="Calibri" w:hAnsi="Times New Roman" w:cs="Times New Roman"/>
      <w:szCs w:val="24"/>
    </w:rPr>
  </w:style>
  <w:style w:type="paragraph" w:customStyle="1" w:styleId="Normlndoblokusodrkami">
    <w:name w:val="Normální do bloku s odrážkami"/>
    <w:basedOn w:val="Normlndobloku"/>
    <w:next w:val="Normlndobloku"/>
    <w:autoRedefine/>
    <w:qFormat/>
    <w:rsid w:val="00DD01D1"/>
    <w:pPr>
      <w:numPr>
        <w:numId w:val="9"/>
      </w:numPr>
      <w:tabs>
        <w:tab w:val="clear" w:pos="4140"/>
        <w:tab w:val="left" w:pos="360"/>
      </w:tabs>
    </w:pPr>
    <w:rPr>
      <w:noProof/>
    </w:rPr>
  </w:style>
  <w:style w:type="paragraph" w:customStyle="1" w:styleId="Tabulkynormlndoblokuzarovnndoleva">
    <w:name w:val="Tabulky = normální do bloku + zarovnání doleva"/>
    <w:basedOn w:val="Normlndobloku"/>
    <w:autoRedefine/>
    <w:rsid w:val="00DD01D1"/>
    <w:pPr>
      <w:tabs>
        <w:tab w:val="clear" w:pos="4140"/>
      </w:tabs>
      <w:jc w:val="left"/>
    </w:pPr>
    <w:rPr>
      <w:rFonts w:cs="TimesNewRoman"/>
      <w:szCs w:val="20"/>
    </w:rPr>
  </w:style>
  <w:style w:type="paragraph" w:customStyle="1" w:styleId="Styl5">
    <w:name w:val="Styl5"/>
    <w:basedOn w:val="Normlny"/>
    <w:autoRedefine/>
    <w:qFormat/>
    <w:rsid w:val="00DD01D1"/>
    <w:pPr>
      <w:keepNext/>
      <w:suppressAutoHyphens/>
      <w:spacing w:before="120" w:after="120" w:line="240" w:lineRule="auto"/>
    </w:pPr>
    <w:rPr>
      <w:rFonts w:ascii="TimesNewRoman" w:eastAsia="Calibri" w:hAnsi="TimesNewRoman" w:cs="TimesNewRoman"/>
      <w:b/>
      <w:szCs w:val="20"/>
      <w:lang w:val="cs-CZ"/>
    </w:rPr>
  </w:style>
  <w:style w:type="paragraph" w:styleId="Hlavika">
    <w:name w:val="header"/>
    <w:basedOn w:val="Normlny"/>
    <w:link w:val="HlavikaChar"/>
    <w:unhideWhenUsed/>
    <w:rsid w:val="002B5AF8"/>
    <w:pPr>
      <w:tabs>
        <w:tab w:val="center" w:pos="4536"/>
        <w:tab w:val="right" w:pos="9072"/>
      </w:tabs>
      <w:spacing w:after="0" w:line="240" w:lineRule="auto"/>
    </w:pPr>
  </w:style>
  <w:style w:type="character" w:customStyle="1" w:styleId="HlavikaChar">
    <w:name w:val="Hlavička Char"/>
    <w:basedOn w:val="Predvolenpsmoodseku"/>
    <w:link w:val="Hlavika"/>
    <w:rsid w:val="002B5AF8"/>
  </w:style>
  <w:style w:type="paragraph" w:styleId="Pta">
    <w:name w:val="footer"/>
    <w:basedOn w:val="Normlny"/>
    <w:link w:val="PtaChar"/>
    <w:uiPriority w:val="99"/>
    <w:unhideWhenUsed/>
    <w:rsid w:val="002B5AF8"/>
    <w:pPr>
      <w:tabs>
        <w:tab w:val="center" w:pos="4536"/>
        <w:tab w:val="right" w:pos="9072"/>
      </w:tabs>
      <w:spacing w:after="0" w:line="240" w:lineRule="auto"/>
    </w:pPr>
  </w:style>
  <w:style w:type="character" w:customStyle="1" w:styleId="PtaChar">
    <w:name w:val="Päta Char"/>
    <w:basedOn w:val="Predvolenpsmoodseku"/>
    <w:link w:val="Pta"/>
    <w:uiPriority w:val="99"/>
    <w:rsid w:val="002B5AF8"/>
  </w:style>
  <w:style w:type="paragraph" w:styleId="Textbubliny">
    <w:name w:val="Balloon Text"/>
    <w:basedOn w:val="Normlny"/>
    <w:link w:val="TextbublinyChar"/>
    <w:uiPriority w:val="99"/>
    <w:semiHidden/>
    <w:unhideWhenUsed/>
    <w:rsid w:val="002B5AF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AF8"/>
    <w:rPr>
      <w:rFonts w:ascii="Segoe UI" w:hAnsi="Segoe UI" w:cs="Segoe UI"/>
      <w:sz w:val="18"/>
      <w:szCs w:val="18"/>
    </w:rPr>
  </w:style>
  <w:style w:type="character" w:styleId="Hypertextovprepojenie">
    <w:name w:val="Hyperlink"/>
    <w:basedOn w:val="Predvolenpsmoodseku"/>
    <w:uiPriority w:val="99"/>
    <w:unhideWhenUsed/>
    <w:rsid w:val="0030162C"/>
    <w:rPr>
      <w:color w:val="0563C1" w:themeColor="hyperlink"/>
      <w:u w:val="single"/>
    </w:rPr>
  </w:style>
  <w:style w:type="character" w:styleId="PouitHypertextovPrepojenie">
    <w:name w:val="FollowedHyperlink"/>
    <w:basedOn w:val="Predvolenpsmoodseku"/>
    <w:uiPriority w:val="99"/>
    <w:semiHidden/>
    <w:unhideWhenUsed/>
    <w:rsid w:val="0030162C"/>
    <w:rPr>
      <w:color w:val="954F72" w:themeColor="followedHyperlink"/>
      <w:u w:val="single"/>
    </w:rPr>
  </w:style>
  <w:style w:type="character" w:customStyle="1" w:styleId="NormlnydoblokuChar">
    <w:name w:val="Normálny do bloku Char"/>
    <w:link w:val="Normlnydobloku"/>
    <w:locked/>
    <w:rsid w:val="0053343A"/>
    <w:rPr>
      <w:rFonts w:ascii="Times New Roman" w:eastAsia="Calibri" w:hAnsi="Times New Roman" w:cs="Times New Roman"/>
      <w:lang w:eastAsia="cs-CZ"/>
    </w:rPr>
  </w:style>
  <w:style w:type="paragraph" w:customStyle="1" w:styleId="Normlnydobloku">
    <w:name w:val="Normálny do bloku"/>
    <w:basedOn w:val="Normlny"/>
    <w:link w:val="NormlnydoblokuChar"/>
    <w:autoRedefine/>
    <w:qFormat/>
    <w:rsid w:val="0053343A"/>
    <w:pPr>
      <w:suppressAutoHyphens/>
      <w:spacing w:after="120" w:line="240" w:lineRule="auto"/>
      <w:jc w:val="both"/>
    </w:pPr>
    <w:rPr>
      <w:rFonts w:ascii="Times New Roman" w:eastAsia="Calibri" w:hAnsi="Times New Roman" w:cs="Times New Roman"/>
      <w:lang w:eastAsia="cs-CZ"/>
    </w:rPr>
  </w:style>
  <w:style w:type="paragraph" w:customStyle="1" w:styleId="Jinnadpis">
    <w:name w:val="Jiný nadpis"/>
    <w:basedOn w:val="Styl1"/>
    <w:link w:val="JinnadpisChar"/>
    <w:autoRedefine/>
    <w:rsid w:val="00657084"/>
    <w:pPr>
      <w:keepNext w:val="0"/>
      <w:numPr>
        <w:numId w:val="0"/>
      </w:numPr>
      <w:spacing w:before="0" w:after="0"/>
    </w:pPr>
    <w:rPr>
      <w:bCs w:val="0"/>
      <w:szCs w:val="22"/>
      <w:lang w:eastAsia="sk-SK"/>
    </w:rPr>
  </w:style>
  <w:style w:type="character" w:customStyle="1" w:styleId="JinnadpisChar">
    <w:name w:val="Jiný nadpis Char"/>
    <w:link w:val="Jinnadpis"/>
    <w:rsid w:val="00657084"/>
    <w:rPr>
      <w:rFonts w:ascii="Times New Roman" w:eastAsia="Times New Roman" w:hAnsi="Times New Roman" w:cs="Times New Roman"/>
      <w:b/>
      <w:lang w:eastAsia="sk-SK"/>
    </w:rPr>
  </w:style>
  <w:style w:type="character" w:customStyle="1" w:styleId="Nevyrieenzmienka1">
    <w:name w:val="Nevyriešená zmienka1"/>
    <w:basedOn w:val="Predvolenpsmoodseku"/>
    <w:uiPriority w:val="99"/>
    <w:semiHidden/>
    <w:unhideWhenUsed/>
    <w:rsid w:val="00ED75F8"/>
    <w:rPr>
      <w:color w:val="605E5C"/>
      <w:shd w:val="clear" w:color="auto" w:fill="E1DFDD"/>
    </w:rPr>
  </w:style>
  <w:style w:type="character" w:styleId="Odkaznakomentr">
    <w:name w:val="annotation reference"/>
    <w:basedOn w:val="Predvolenpsmoodseku"/>
    <w:uiPriority w:val="99"/>
    <w:semiHidden/>
    <w:unhideWhenUsed/>
    <w:rsid w:val="002D691C"/>
    <w:rPr>
      <w:sz w:val="16"/>
      <w:szCs w:val="16"/>
    </w:rPr>
  </w:style>
  <w:style w:type="paragraph" w:styleId="Textkomentra">
    <w:name w:val="annotation text"/>
    <w:basedOn w:val="Normlny"/>
    <w:link w:val="TextkomentraChar"/>
    <w:uiPriority w:val="99"/>
    <w:semiHidden/>
    <w:unhideWhenUsed/>
    <w:rsid w:val="002D691C"/>
    <w:pPr>
      <w:spacing w:line="240" w:lineRule="auto"/>
    </w:pPr>
    <w:rPr>
      <w:sz w:val="20"/>
      <w:szCs w:val="20"/>
    </w:rPr>
  </w:style>
  <w:style w:type="character" w:customStyle="1" w:styleId="TextkomentraChar">
    <w:name w:val="Text komentára Char"/>
    <w:basedOn w:val="Predvolenpsmoodseku"/>
    <w:link w:val="Textkomentra"/>
    <w:uiPriority w:val="99"/>
    <w:semiHidden/>
    <w:rsid w:val="002D691C"/>
    <w:rPr>
      <w:sz w:val="20"/>
      <w:szCs w:val="20"/>
    </w:rPr>
  </w:style>
  <w:style w:type="paragraph" w:styleId="Predmetkomentra">
    <w:name w:val="annotation subject"/>
    <w:basedOn w:val="Textkomentra"/>
    <w:next w:val="Textkomentra"/>
    <w:link w:val="PredmetkomentraChar"/>
    <w:uiPriority w:val="99"/>
    <w:semiHidden/>
    <w:unhideWhenUsed/>
    <w:rsid w:val="002D691C"/>
    <w:rPr>
      <w:b/>
      <w:bCs/>
    </w:rPr>
  </w:style>
  <w:style w:type="character" w:customStyle="1" w:styleId="PredmetkomentraChar">
    <w:name w:val="Predmet komentára Char"/>
    <w:basedOn w:val="TextkomentraChar"/>
    <w:link w:val="Predmetkomentra"/>
    <w:uiPriority w:val="99"/>
    <w:semiHidden/>
    <w:rsid w:val="002D691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25F6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2">
    <w:name w:val="Styl2"/>
    <w:basedOn w:val="Normlny"/>
    <w:link w:val="Styl2Char"/>
    <w:autoRedefine/>
    <w:rsid w:val="00301FE5"/>
    <w:pPr>
      <w:keepNext/>
      <w:numPr>
        <w:ilvl w:val="1"/>
        <w:numId w:val="12"/>
      </w:numPr>
      <w:tabs>
        <w:tab w:val="clear" w:pos="5889"/>
        <w:tab w:val="num" w:pos="567"/>
      </w:tabs>
      <w:spacing w:after="0" w:line="240" w:lineRule="auto"/>
      <w:ind w:left="567" w:hanging="567"/>
    </w:pPr>
    <w:rPr>
      <w:rFonts w:ascii="Times New Roman" w:eastAsia="Times New Roman" w:hAnsi="Times New Roman" w:cs="Times New Roman"/>
      <w:b/>
      <w:bCs/>
    </w:rPr>
  </w:style>
  <w:style w:type="character" w:customStyle="1" w:styleId="Styl2Char">
    <w:name w:val="Styl2 Char"/>
    <w:link w:val="Styl2"/>
    <w:locked/>
    <w:rsid w:val="00301FE5"/>
    <w:rPr>
      <w:rFonts w:ascii="Times New Roman" w:eastAsia="Times New Roman" w:hAnsi="Times New Roman" w:cs="Times New Roman"/>
      <w:b/>
      <w:bCs/>
    </w:rPr>
  </w:style>
  <w:style w:type="character" w:customStyle="1" w:styleId="Bacil">
    <w:name w:val="Bacil"/>
    <w:qFormat/>
    <w:rsid w:val="009C449C"/>
    <w:rPr>
      <w:i/>
    </w:rPr>
  </w:style>
  <w:style w:type="paragraph" w:customStyle="1" w:styleId="SPCaPILhlavika">
    <w:name w:val="SPC a PIL hlavička"/>
    <w:basedOn w:val="Normlny"/>
    <w:autoRedefine/>
    <w:qFormat/>
    <w:rsid w:val="00EE3F6B"/>
    <w:pPr>
      <w:spacing w:after="0" w:line="240" w:lineRule="auto"/>
      <w:jc w:val="center"/>
    </w:pPr>
    <w:rPr>
      <w:rFonts w:ascii="Times New Roman" w:eastAsia="Times New Roman" w:hAnsi="Times New Roman" w:cs="Times New Roman"/>
      <w:b/>
      <w:szCs w:val="20"/>
    </w:rPr>
  </w:style>
  <w:style w:type="paragraph" w:customStyle="1" w:styleId="Styl1">
    <w:name w:val="Styl1"/>
    <w:basedOn w:val="Normlny"/>
    <w:autoRedefine/>
    <w:rsid w:val="00954C84"/>
    <w:pPr>
      <w:keepNext/>
      <w:numPr>
        <w:numId w:val="12"/>
      </w:numPr>
      <w:spacing w:before="360" w:after="120" w:line="240" w:lineRule="auto"/>
    </w:pPr>
    <w:rPr>
      <w:rFonts w:ascii="Times New Roman" w:eastAsia="Times New Roman" w:hAnsi="Times New Roman" w:cs="Times New Roman"/>
      <w:b/>
      <w:bCs/>
      <w:szCs w:val="24"/>
    </w:rPr>
  </w:style>
  <w:style w:type="paragraph" w:customStyle="1" w:styleId="Styl2-2">
    <w:name w:val="Styl2-2"/>
    <w:basedOn w:val="Styl2"/>
    <w:next w:val="Normlny"/>
    <w:autoRedefine/>
    <w:qFormat/>
    <w:rsid w:val="004643E5"/>
    <w:pPr>
      <w:numPr>
        <w:ilvl w:val="0"/>
        <w:numId w:val="0"/>
      </w:numPr>
    </w:pPr>
    <w:rPr>
      <w:b w:val="0"/>
      <w:szCs w:val="20"/>
      <w:u w:val="single"/>
    </w:rPr>
  </w:style>
  <w:style w:type="paragraph" w:customStyle="1" w:styleId="Styl3">
    <w:name w:val="Styl3"/>
    <w:basedOn w:val="Normlndobloku"/>
    <w:link w:val="Styl3Char"/>
    <w:rsid w:val="00DD01D1"/>
    <w:pPr>
      <w:keepNext/>
      <w:tabs>
        <w:tab w:val="left" w:pos="6946"/>
      </w:tabs>
      <w:suppressAutoHyphens w:val="0"/>
    </w:pPr>
    <w:rPr>
      <w:u w:val="single"/>
    </w:rPr>
  </w:style>
  <w:style w:type="character" w:customStyle="1" w:styleId="Styl3Char">
    <w:name w:val="Styl3 Char"/>
    <w:link w:val="Styl3"/>
    <w:rsid w:val="00DD01D1"/>
    <w:rPr>
      <w:rFonts w:ascii="Times New Roman" w:eastAsia="Calibri" w:hAnsi="Times New Roman" w:cs="Times New Roman"/>
      <w:szCs w:val="24"/>
      <w:u w:val="single"/>
    </w:rPr>
  </w:style>
  <w:style w:type="paragraph" w:customStyle="1" w:styleId="Styl4">
    <w:name w:val="Styl4"/>
    <w:basedOn w:val="Styl3"/>
    <w:autoRedefine/>
    <w:qFormat/>
    <w:rsid w:val="00DD01D1"/>
    <w:pPr>
      <w:spacing w:after="60"/>
    </w:pPr>
    <w:rPr>
      <w:i/>
      <w:u w:val="none"/>
    </w:rPr>
  </w:style>
  <w:style w:type="paragraph" w:customStyle="1" w:styleId="Normlndobloku">
    <w:name w:val="Normální do bloku"/>
    <w:basedOn w:val="Normlny"/>
    <w:link w:val="NormlndoblokuChar"/>
    <w:autoRedefine/>
    <w:rsid w:val="001C1039"/>
    <w:pPr>
      <w:tabs>
        <w:tab w:val="left" w:pos="4140"/>
      </w:tabs>
      <w:suppressAutoHyphens/>
      <w:spacing w:after="120" w:line="240" w:lineRule="auto"/>
      <w:jc w:val="both"/>
    </w:pPr>
    <w:rPr>
      <w:rFonts w:ascii="Times New Roman" w:eastAsia="Calibri" w:hAnsi="Times New Roman" w:cs="Times New Roman"/>
      <w:szCs w:val="24"/>
    </w:rPr>
  </w:style>
  <w:style w:type="character" w:customStyle="1" w:styleId="NormlndoblokuChar">
    <w:name w:val="Normální do bloku Char"/>
    <w:link w:val="Normlndobloku"/>
    <w:rsid w:val="001C1039"/>
    <w:rPr>
      <w:rFonts w:ascii="Times New Roman" w:eastAsia="Calibri" w:hAnsi="Times New Roman" w:cs="Times New Roman"/>
      <w:szCs w:val="24"/>
    </w:rPr>
  </w:style>
  <w:style w:type="paragraph" w:customStyle="1" w:styleId="Normlndoblokusodrkami">
    <w:name w:val="Normální do bloku s odrážkami"/>
    <w:basedOn w:val="Normlndobloku"/>
    <w:next w:val="Normlndobloku"/>
    <w:autoRedefine/>
    <w:qFormat/>
    <w:rsid w:val="00DD01D1"/>
    <w:pPr>
      <w:numPr>
        <w:numId w:val="9"/>
      </w:numPr>
      <w:tabs>
        <w:tab w:val="clear" w:pos="4140"/>
        <w:tab w:val="left" w:pos="360"/>
      </w:tabs>
    </w:pPr>
    <w:rPr>
      <w:noProof/>
    </w:rPr>
  </w:style>
  <w:style w:type="paragraph" w:customStyle="1" w:styleId="Tabulkynormlndoblokuzarovnndoleva">
    <w:name w:val="Tabulky = normální do bloku + zarovnání doleva"/>
    <w:basedOn w:val="Normlndobloku"/>
    <w:autoRedefine/>
    <w:rsid w:val="00DD01D1"/>
    <w:pPr>
      <w:tabs>
        <w:tab w:val="clear" w:pos="4140"/>
      </w:tabs>
      <w:jc w:val="left"/>
    </w:pPr>
    <w:rPr>
      <w:rFonts w:cs="TimesNewRoman"/>
      <w:szCs w:val="20"/>
    </w:rPr>
  </w:style>
  <w:style w:type="paragraph" w:customStyle="1" w:styleId="Styl5">
    <w:name w:val="Styl5"/>
    <w:basedOn w:val="Normlny"/>
    <w:autoRedefine/>
    <w:qFormat/>
    <w:rsid w:val="00DD01D1"/>
    <w:pPr>
      <w:keepNext/>
      <w:suppressAutoHyphens/>
      <w:spacing w:before="120" w:after="120" w:line="240" w:lineRule="auto"/>
    </w:pPr>
    <w:rPr>
      <w:rFonts w:ascii="TimesNewRoman" w:eastAsia="Calibri" w:hAnsi="TimesNewRoman" w:cs="TimesNewRoman"/>
      <w:b/>
      <w:szCs w:val="20"/>
      <w:lang w:val="cs-CZ"/>
    </w:rPr>
  </w:style>
  <w:style w:type="paragraph" w:styleId="Hlavika">
    <w:name w:val="header"/>
    <w:basedOn w:val="Normlny"/>
    <w:link w:val="HlavikaChar"/>
    <w:unhideWhenUsed/>
    <w:rsid w:val="002B5AF8"/>
    <w:pPr>
      <w:tabs>
        <w:tab w:val="center" w:pos="4536"/>
        <w:tab w:val="right" w:pos="9072"/>
      </w:tabs>
      <w:spacing w:after="0" w:line="240" w:lineRule="auto"/>
    </w:pPr>
  </w:style>
  <w:style w:type="character" w:customStyle="1" w:styleId="HlavikaChar">
    <w:name w:val="Hlavička Char"/>
    <w:basedOn w:val="Predvolenpsmoodseku"/>
    <w:link w:val="Hlavika"/>
    <w:rsid w:val="002B5AF8"/>
  </w:style>
  <w:style w:type="paragraph" w:styleId="Pta">
    <w:name w:val="footer"/>
    <w:basedOn w:val="Normlny"/>
    <w:link w:val="PtaChar"/>
    <w:uiPriority w:val="99"/>
    <w:unhideWhenUsed/>
    <w:rsid w:val="002B5AF8"/>
    <w:pPr>
      <w:tabs>
        <w:tab w:val="center" w:pos="4536"/>
        <w:tab w:val="right" w:pos="9072"/>
      </w:tabs>
      <w:spacing w:after="0" w:line="240" w:lineRule="auto"/>
    </w:pPr>
  </w:style>
  <w:style w:type="character" w:customStyle="1" w:styleId="PtaChar">
    <w:name w:val="Päta Char"/>
    <w:basedOn w:val="Predvolenpsmoodseku"/>
    <w:link w:val="Pta"/>
    <w:uiPriority w:val="99"/>
    <w:rsid w:val="002B5AF8"/>
  </w:style>
  <w:style w:type="paragraph" w:styleId="Textbubliny">
    <w:name w:val="Balloon Text"/>
    <w:basedOn w:val="Normlny"/>
    <w:link w:val="TextbublinyChar"/>
    <w:uiPriority w:val="99"/>
    <w:semiHidden/>
    <w:unhideWhenUsed/>
    <w:rsid w:val="002B5AF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AF8"/>
    <w:rPr>
      <w:rFonts w:ascii="Segoe UI" w:hAnsi="Segoe UI" w:cs="Segoe UI"/>
      <w:sz w:val="18"/>
      <w:szCs w:val="18"/>
    </w:rPr>
  </w:style>
  <w:style w:type="character" w:styleId="Hypertextovprepojenie">
    <w:name w:val="Hyperlink"/>
    <w:basedOn w:val="Predvolenpsmoodseku"/>
    <w:uiPriority w:val="99"/>
    <w:unhideWhenUsed/>
    <w:rsid w:val="0030162C"/>
    <w:rPr>
      <w:color w:val="0563C1" w:themeColor="hyperlink"/>
      <w:u w:val="single"/>
    </w:rPr>
  </w:style>
  <w:style w:type="character" w:styleId="PouitHypertextovPrepojenie">
    <w:name w:val="FollowedHyperlink"/>
    <w:basedOn w:val="Predvolenpsmoodseku"/>
    <w:uiPriority w:val="99"/>
    <w:semiHidden/>
    <w:unhideWhenUsed/>
    <w:rsid w:val="0030162C"/>
    <w:rPr>
      <w:color w:val="954F72" w:themeColor="followedHyperlink"/>
      <w:u w:val="single"/>
    </w:rPr>
  </w:style>
  <w:style w:type="character" w:customStyle="1" w:styleId="NormlnydoblokuChar">
    <w:name w:val="Normálny do bloku Char"/>
    <w:link w:val="Normlnydobloku"/>
    <w:locked/>
    <w:rsid w:val="0053343A"/>
    <w:rPr>
      <w:rFonts w:ascii="Times New Roman" w:eastAsia="Calibri" w:hAnsi="Times New Roman" w:cs="Times New Roman"/>
      <w:lang w:eastAsia="cs-CZ"/>
    </w:rPr>
  </w:style>
  <w:style w:type="paragraph" w:customStyle="1" w:styleId="Normlnydobloku">
    <w:name w:val="Normálny do bloku"/>
    <w:basedOn w:val="Normlny"/>
    <w:link w:val="NormlnydoblokuChar"/>
    <w:autoRedefine/>
    <w:qFormat/>
    <w:rsid w:val="0053343A"/>
    <w:pPr>
      <w:suppressAutoHyphens/>
      <w:spacing w:after="120" w:line="240" w:lineRule="auto"/>
      <w:jc w:val="both"/>
    </w:pPr>
    <w:rPr>
      <w:rFonts w:ascii="Times New Roman" w:eastAsia="Calibri" w:hAnsi="Times New Roman" w:cs="Times New Roman"/>
      <w:lang w:eastAsia="cs-CZ"/>
    </w:rPr>
  </w:style>
  <w:style w:type="paragraph" w:customStyle="1" w:styleId="Jinnadpis">
    <w:name w:val="Jiný nadpis"/>
    <w:basedOn w:val="Styl1"/>
    <w:link w:val="JinnadpisChar"/>
    <w:autoRedefine/>
    <w:rsid w:val="00657084"/>
    <w:pPr>
      <w:keepNext w:val="0"/>
      <w:numPr>
        <w:numId w:val="0"/>
      </w:numPr>
      <w:spacing w:before="0" w:after="0"/>
    </w:pPr>
    <w:rPr>
      <w:bCs w:val="0"/>
      <w:szCs w:val="22"/>
      <w:lang w:eastAsia="sk-SK"/>
    </w:rPr>
  </w:style>
  <w:style w:type="character" w:customStyle="1" w:styleId="JinnadpisChar">
    <w:name w:val="Jiný nadpis Char"/>
    <w:link w:val="Jinnadpis"/>
    <w:rsid w:val="00657084"/>
    <w:rPr>
      <w:rFonts w:ascii="Times New Roman" w:eastAsia="Times New Roman" w:hAnsi="Times New Roman" w:cs="Times New Roman"/>
      <w:b/>
      <w:lang w:eastAsia="sk-SK"/>
    </w:rPr>
  </w:style>
  <w:style w:type="character" w:customStyle="1" w:styleId="Nevyrieenzmienka1">
    <w:name w:val="Nevyriešená zmienka1"/>
    <w:basedOn w:val="Predvolenpsmoodseku"/>
    <w:uiPriority w:val="99"/>
    <w:semiHidden/>
    <w:unhideWhenUsed/>
    <w:rsid w:val="00ED75F8"/>
    <w:rPr>
      <w:color w:val="605E5C"/>
      <w:shd w:val="clear" w:color="auto" w:fill="E1DFDD"/>
    </w:rPr>
  </w:style>
  <w:style w:type="character" w:styleId="Odkaznakomentr">
    <w:name w:val="annotation reference"/>
    <w:basedOn w:val="Predvolenpsmoodseku"/>
    <w:uiPriority w:val="99"/>
    <w:semiHidden/>
    <w:unhideWhenUsed/>
    <w:rsid w:val="002D691C"/>
    <w:rPr>
      <w:sz w:val="16"/>
      <w:szCs w:val="16"/>
    </w:rPr>
  </w:style>
  <w:style w:type="paragraph" w:styleId="Textkomentra">
    <w:name w:val="annotation text"/>
    <w:basedOn w:val="Normlny"/>
    <w:link w:val="TextkomentraChar"/>
    <w:uiPriority w:val="99"/>
    <w:semiHidden/>
    <w:unhideWhenUsed/>
    <w:rsid w:val="002D691C"/>
    <w:pPr>
      <w:spacing w:line="240" w:lineRule="auto"/>
    </w:pPr>
    <w:rPr>
      <w:sz w:val="20"/>
      <w:szCs w:val="20"/>
    </w:rPr>
  </w:style>
  <w:style w:type="character" w:customStyle="1" w:styleId="TextkomentraChar">
    <w:name w:val="Text komentára Char"/>
    <w:basedOn w:val="Predvolenpsmoodseku"/>
    <w:link w:val="Textkomentra"/>
    <w:uiPriority w:val="99"/>
    <w:semiHidden/>
    <w:rsid w:val="002D691C"/>
    <w:rPr>
      <w:sz w:val="20"/>
      <w:szCs w:val="20"/>
    </w:rPr>
  </w:style>
  <w:style w:type="paragraph" w:styleId="Predmetkomentra">
    <w:name w:val="annotation subject"/>
    <w:basedOn w:val="Textkomentra"/>
    <w:next w:val="Textkomentra"/>
    <w:link w:val="PredmetkomentraChar"/>
    <w:uiPriority w:val="99"/>
    <w:semiHidden/>
    <w:unhideWhenUsed/>
    <w:rsid w:val="002D691C"/>
    <w:rPr>
      <w:b/>
      <w:bCs/>
    </w:rPr>
  </w:style>
  <w:style w:type="character" w:customStyle="1" w:styleId="PredmetkomentraChar">
    <w:name w:val="Predmet komentára Char"/>
    <w:basedOn w:val="TextkomentraChar"/>
    <w:link w:val="Predmetkomentra"/>
    <w:uiPriority w:val="99"/>
    <w:semiHidden/>
    <w:rsid w:val="002D69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183916">
      <w:bodyDiv w:val="1"/>
      <w:marLeft w:val="0"/>
      <w:marRight w:val="0"/>
      <w:marTop w:val="0"/>
      <w:marBottom w:val="0"/>
      <w:divBdr>
        <w:top w:val="none" w:sz="0" w:space="0" w:color="auto"/>
        <w:left w:val="none" w:sz="0" w:space="0" w:color="auto"/>
        <w:bottom w:val="none" w:sz="0" w:space="0" w:color="auto"/>
        <w:right w:val="none" w:sz="0" w:space="0" w:color="auto"/>
      </w:divBdr>
    </w:div>
    <w:div w:id="1844121330">
      <w:bodyDiv w:val="1"/>
      <w:marLeft w:val="0"/>
      <w:marRight w:val="0"/>
      <w:marTop w:val="0"/>
      <w:marBottom w:val="0"/>
      <w:divBdr>
        <w:top w:val="none" w:sz="0" w:space="0" w:color="auto"/>
        <w:left w:val="none" w:sz="0" w:space="0" w:color="auto"/>
        <w:bottom w:val="none" w:sz="0" w:space="0" w:color="auto"/>
        <w:right w:val="none" w:sz="0" w:space="0" w:color="auto"/>
      </w:divBdr>
    </w:div>
    <w:div w:id="20554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6694</Words>
  <Characters>38160</Characters>
  <Application>Microsoft Office Word</Application>
  <DocSecurity>4</DocSecurity>
  <Lines>318</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matuskova</dc:creator>
  <cp:lastModifiedBy>Natalia </cp:lastModifiedBy>
  <cp:revision>2</cp:revision>
  <dcterms:created xsi:type="dcterms:W3CDTF">2019-06-11T11:42:00Z</dcterms:created>
  <dcterms:modified xsi:type="dcterms:W3CDTF">2019-06-11T11:42:00Z</dcterms:modified>
</cp:coreProperties>
</file>